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78" w:rsidRPr="008F49E1" w:rsidRDefault="00B72178" w:rsidP="00B7217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C2EC4B2" wp14:editId="493CA7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2178" w:rsidRPr="00C84483" w:rsidRDefault="00B72178" w:rsidP="00B72178">
      <w:pPr>
        <w:pStyle w:val="Titel"/>
        <w:tabs>
          <w:tab w:val="right" w:pos="9356"/>
        </w:tabs>
        <w:jc w:val="left"/>
        <w:rPr>
          <w:b w:val="0"/>
          <w:szCs w:val="24"/>
          <w:lang w:eastAsia="en-US"/>
        </w:rPr>
      </w:pPr>
      <w:r w:rsidRPr="00C84483">
        <w:rPr>
          <w:b w:val="0"/>
          <w:szCs w:val="24"/>
          <w:lang w:eastAsia="en-US"/>
        </w:rPr>
        <w:tab/>
      </w:r>
      <w:r w:rsidR="0030188F">
        <w:rPr>
          <w:szCs w:val="24"/>
        </w:rPr>
        <w:t>2</w:t>
      </w:r>
      <w:r>
        <w:rPr>
          <w:szCs w:val="24"/>
        </w:rPr>
        <w:t xml:space="preserve">. </w:t>
      </w:r>
      <w:r w:rsidR="0030188F">
        <w:rPr>
          <w:szCs w:val="24"/>
        </w:rPr>
        <w:t>oktober</w:t>
      </w:r>
      <w:r>
        <w:rPr>
          <w:szCs w:val="24"/>
        </w:rPr>
        <w:t xml:space="preserve"> 20</w:t>
      </w:r>
      <w:r w:rsidR="00B35160">
        <w:rPr>
          <w:szCs w:val="24"/>
        </w:rPr>
        <w:t>2</w:t>
      </w:r>
      <w:r w:rsidR="0030188F">
        <w:rPr>
          <w:szCs w:val="24"/>
        </w:rPr>
        <w:t>3</w:t>
      </w:r>
    </w:p>
    <w:p w:rsidR="00B72178" w:rsidRPr="00C84483" w:rsidRDefault="00B72178" w:rsidP="00B72178">
      <w:pPr>
        <w:pStyle w:val="Titel"/>
        <w:tabs>
          <w:tab w:val="left" w:pos="8222"/>
        </w:tabs>
        <w:jc w:val="left"/>
        <w:rPr>
          <w:b w:val="0"/>
          <w:szCs w:val="24"/>
        </w:rPr>
      </w:pPr>
    </w:p>
    <w:p w:rsidR="00B72178" w:rsidRPr="00C84483" w:rsidRDefault="00B72178" w:rsidP="00B72178">
      <w:pPr>
        <w:pStyle w:val="Titel"/>
        <w:jc w:val="left"/>
        <w:rPr>
          <w:b w:val="0"/>
          <w:szCs w:val="24"/>
        </w:rPr>
      </w:pPr>
    </w:p>
    <w:p w:rsidR="00B72178" w:rsidRPr="00C84483" w:rsidRDefault="00B72178" w:rsidP="00B72178">
      <w:pPr>
        <w:pStyle w:val="Titel"/>
        <w:jc w:val="left"/>
        <w:rPr>
          <w:b w:val="0"/>
          <w:szCs w:val="24"/>
        </w:rPr>
      </w:pPr>
    </w:p>
    <w:p w:rsidR="00B72178" w:rsidRPr="00C84483" w:rsidRDefault="00B72178" w:rsidP="00B72178">
      <w:pPr>
        <w:jc w:val="center"/>
        <w:rPr>
          <w:b/>
          <w:sz w:val="24"/>
          <w:szCs w:val="24"/>
        </w:rPr>
      </w:pPr>
      <w:r w:rsidRPr="00C84483">
        <w:rPr>
          <w:b/>
          <w:sz w:val="24"/>
          <w:szCs w:val="24"/>
        </w:rPr>
        <w:t>PRODUKTRESUMÉ</w:t>
      </w:r>
    </w:p>
    <w:p w:rsidR="00B72178" w:rsidRPr="00C84483" w:rsidRDefault="00B72178" w:rsidP="00B72178">
      <w:pPr>
        <w:jc w:val="center"/>
        <w:rPr>
          <w:b/>
          <w:sz w:val="24"/>
          <w:szCs w:val="24"/>
        </w:rPr>
      </w:pPr>
    </w:p>
    <w:p w:rsidR="00B72178" w:rsidRDefault="00B72178" w:rsidP="00B72178">
      <w:pPr>
        <w:jc w:val="center"/>
        <w:rPr>
          <w:b/>
          <w:sz w:val="24"/>
          <w:szCs w:val="24"/>
        </w:rPr>
      </w:pPr>
      <w:r w:rsidRPr="00C84483">
        <w:rPr>
          <w:b/>
          <w:sz w:val="24"/>
          <w:szCs w:val="24"/>
        </w:rPr>
        <w:t>for</w:t>
      </w:r>
    </w:p>
    <w:p w:rsidR="00B72178" w:rsidRPr="00C84483" w:rsidRDefault="00B72178" w:rsidP="00B72178">
      <w:pPr>
        <w:jc w:val="center"/>
        <w:rPr>
          <w:b/>
          <w:sz w:val="24"/>
          <w:szCs w:val="24"/>
        </w:rPr>
      </w:pPr>
    </w:p>
    <w:p w:rsidR="00B72178" w:rsidRPr="00C84483" w:rsidRDefault="00B72178" w:rsidP="00B72178">
      <w:pPr>
        <w:jc w:val="center"/>
        <w:rPr>
          <w:b/>
          <w:sz w:val="24"/>
          <w:szCs w:val="24"/>
        </w:rPr>
      </w:pPr>
      <w:proofErr w:type="spellStart"/>
      <w:r>
        <w:rPr>
          <w:b/>
          <w:sz w:val="24"/>
          <w:szCs w:val="24"/>
        </w:rPr>
        <w:t>Vivotif</w:t>
      </w:r>
      <w:proofErr w:type="spellEnd"/>
      <w:r>
        <w:rPr>
          <w:b/>
          <w:sz w:val="24"/>
          <w:szCs w:val="24"/>
        </w:rPr>
        <w:t xml:space="preserve">, hårde </w:t>
      </w:r>
      <w:proofErr w:type="spellStart"/>
      <w:r>
        <w:rPr>
          <w:b/>
          <w:sz w:val="24"/>
          <w:szCs w:val="24"/>
        </w:rPr>
        <w:t>enterokapsler</w:t>
      </w:r>
      <w:proofErr w:type="spellEnd"/>
    </w:p>
    <w:p w:rsidR="00B72178" w:rsidRPr="00C84483" w:rsidRDefault="00B72178" w:rsidP="00B72178">
      <w:pPr>
        <w:jc w:val="both"/>
        <w:rPr>
          <w:sz w:val="24"/>
          <w:szCs w:val="24"/>
        </w:rPr>
      </w:pP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0.</w:t>
      </w:r>
      <w:r w:rsidRPr="00A11A99">
        <w:rPr>
          <w:b/>
          <w:sz w:val="24"/>
          <w:szCs w:val="24"/>
        </w:rPr>
        <w:tab/>
        <w:t>D.SP.NR.</w:t>
      </w:r>
    </w:p>
    <w:p w:rsidR="00B72178" w:rsidRPr="00A11A99" w:rsidRDefault="00B72178" w:rsidP="00B72178">
      <w:pPr>
        <w:ind w:left="851" w:hanging="851"/>
        <w:rPr>
          <w:sz w:val="24"/>
          <w:szCs w:val="24"/>
        </w:rPr>
      </w:pPr>
      <w:r>
        <w:rPr>
          <w:sz w:val="24"/>
          <w:szCs w:val="24"/>
        </w:rPr>
        <w:tab/>
      </w:r>
      <w:r w:rsidRPr="00A11A99">
        <w:rPr>
          <w:sz w:val="24"/>
          <w:szCs w:val="24"/>
        </w:rPr>
        <w:t>30723</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1.</w:t>
      </w:r>
      <w:r w:rsidRPr="00A11A99">
        <w:rPr>
          <w:b/>
          <w:sz w:val="24"/>
          <w:szCs w:val="24"/>
        </w:rPr>
        <w:tab/>
        <w:t>LÆGEMIDLETS NAVN</w:t>
      </w:r>
    </w:p>
    <w:p w:rsidR="00B72178" w:rsidRPr="00A11A99" w:rsidRDefault="00B72178" w:rsidP="00B72178">
      <w:pPr>
        <w:ind w:left="851" w:hanging="851"/>
        <w:rPr>
          <w:sz w:val="24"/>
          <w:szCs w:val="24"/>
        </w:rPr>
      </w:pPr>
      <w:r>
        <w:rPr>
          <w:sz w:val="24"/>
          <w:szCs w:val="24"/>
        </w:rPr>
        <w:tab/>
      </w:r>
      <w:proofErr w:type="spellStart"/>
      <w:r w:rsidRPr="00A11A99">
        <w:rPr>
          <w:sz w:val="24"/>
          <w:szCs w:val="24"/>
        </w:rPr>
        <w:t>Vivotif</w:t>
      </w:r>
      <w:proofErr w:type="spellEnd"/>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2.</w:t>
      </w:r>
      <w:r w:rsidRPr="00A11A99">
        <w:rPr>
          <w:b/>
          <w:sz w:val="24"/>
          <w:szCs w:val="24"/>
        </w:rPr>
        <w:tab/>
        <w:t>KVALITATIV OG KVANTITATIV SAMMENSÆTNING</w:t>
      </w:r>
    </w:p>
    <w:p w:rsidR="00B72178" w:rsidRPr="00A11A99" w:rsidRDefault="00B72178" w:rsidP="00B72178">
      <w:pPr>
        <w:pStyle w:val="BodyTextSPC"/>
        <w:tabs>
          <w:tab w:val="clear" w:pos="567"/>
        </w:tabs>
        <w:ind w:left="851"/>
        <w:rPr>
          <w:noProof/>
          <w:sz w:val="24"/>
          <w:szCs w:val="24"/>
        </w:rPr>
      </w:pPr>
      <w:r w:rsidRPr="00A11A99">
        <w:rPr>
          <w:sz w:val="24"/>
          <w:szCs w:val="24"/>
        </w:rPr>
        <w:t>Hver kapsel indeholder mindst 2x10</w:t>
      </w:r>
      <w:r w:rsidRPr="00A11A99">
        <w:rPr>
          <w:sz w:val="24"/>
          <w:szCs w:val="24"/>
          <w:vertAlign w:val="superscript"/>
        </w:rPr>
        <w:t>9</w:t>
      </w:r>
      <w:r w:rsidRPr="00A11A99">
        <w:rPr>
          <w:sz w:val="24"/>
          <w:szCs w:val="24"/>
        </w:rPr>
        <w:t xml:space="preserve"> levende celler af </w:t>
      </w:r>
      <w:r w:rsidRPr="00A11A99">
        <w:rPr>
          <w:i/>
          <w:sz w:val="24"/>
          <w:szCs w:val="24"/>
        </w:rPr>
        <w:t xml:space="preserve">Salmonella </w:t>
      </w:r>
      <w:proofErr w:type="spellStart"/>
      <w:r w:rsidRPr="00A11A99">
        <w:rPr>
          <w:i/>
          <w:sz w:val="24"/>
          <w:szCs w:val="24"/>
        </w:rPr>
        <w:t>enterica</w:t>
      </w:r>
      <w:proofErr w:type="spellEnd"/>
      <w:r w:rsidRPr="00A11A99">
        <w:rPr>
          <w:sz w:val="24"/>
          <w:szCs w:val="24"/>
        </w:rPr>
        <w:t xml:space="preserve"> </w:t>
      </w:r>
      <w:proofErr w:type="spellStart"/>
      <w:r w:rsidRPr="00A11A99">
        <w:rPr>
          <w:sz w:val="24"/>
          <w:szCs w:val="24"/>
        </w:rPr>
        <w:t>serotype</w:t>
      </w:r>
      <w:proofErr w:type="spellEnd"/>
      <w:r w:rsidRPr="00A11A99">
        <w:rPr>
          <w:sz w:val="24"/>
          <w:szCs w:val="24"/>
        </w:rPr>
        <w:t xml:space="preserve"> </w:t>
      </w:r>
      <w:proofErr w:type="spellStart"/>
      <w:r w:rsidRPr="00A11A99">
        <w:rPr>
          <w:sz w:val="24"/>
          <w:szCs w:val="24"/>
        </w:rPr>
        <w:t>Typhi</w:t>
      </w:r>
      <w:proofErr w:type="spellEnd"/>
      <w:r w:rsidRPr="00A11A99">
        <w:rPr>
          <w:sz w:val="24"/>
          <w:szCs w:val="24"/>
        </w:rPr>
        <w:t xml:space="preserve"> (fork.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Ty21a.</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Hjælpestof(fer), som behandleren skal være opmærksom på:</w:t>
      </w:r>
      <w:r w:rsidRPr="00A11A99">
        <w:rPr>
          <w:noProof/>
          <w:sz w:val="24"/>
          <w:szCs w:val="24"/>
        </w:rPr>
        <w:t xml:space="preserve"> </w:t>
      </w:r>
      <w:proofErr w:type="spellStart"/>
      <w:r>
        <w:rPr>
          <w:sz w:val="24"/>
          <w:szCs w:val="24"/>
        </w:rPr>
        <w:t>Lac</w:t>
      </w:r>
      <w:r w:rsidRPr="00A11A99">
        <w:rPr>
          <w:sz w:val="24"/>
          <w:szCs w:val="24"/>
        </w:rPr>
        <w:t>tose</w:t>
      </w:r>
      <w:proofErr w:type="spellEnd"/>
      <w:r w:rsidRPr="00A11A99">
        <w:rPr>
          <w:sz w:val="24"/>
          <w:szCs w:val="24"/>
        </w:rPr>
        <w:t xml:space="preserve">, </w:t>
      </w:r>
      <w:proofErr w:type="spellStart"/>
      <w:r w:rsidRPr="00A11A99">
        <w:rPr>
          <w:sz w:val="24"/>
          <w:szCs w:val="24"/>
        </w:rPr>
        <w:t>s</w:t>
      </w:r>
      <w:r>
        <w:rPr>
          <w:sz w:val="24"/>
          <w:szCs w:val="24"/>
        </w:rPr>
        <w:t>accharose</w:t>
      </w:r>
      <w:proofErr w:type="spellEnd"/>
      <w:r w:rsidRPr="00A11A99">
        <w:rPr>
          <w:sz w:val="24"/>
          <w:szCs w:val="24"/>
        </w:rPr>
        <w:t>.</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Alle hjælpestoffer er anført under pkt. 6.1.</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3.</w:t>
      </w:r>
      <w:r w:rsidRPr="00A11A99">
        <w:rPr>
          <w:b/>
          <w:sz w:val="24"/>
          <w:szCs w:val="24"/>
        </w:rPr>
        <w:tab/>
        <w:t>LÆGEMIDDELFORM</w:t>
      </w:r>
    </w:p>
    <w:p w:rsidR="00B72178" w:rsidRPr="00A11A99" w:rsidRDefault="00B72178" w:rsidP="00B72178">
      <w:pPr>
        <w:pStyle w:val="BodyTextSPC"/>
        <w:tabs>
          <w:tab w:val="clear" w:pos="567"/>
        </w:tabs>
        <w:ind w:left="851"/>
        <w:rPr>
          <w:noProof/>
          <w:sz w:val="24"/>
          <w:szCs w:val="24"/>
        </w:rPr>
      </w:pPr>
      <w:r>
        <w:rPr>
          <w:sz w:val="24"/>
          <w:szCs w:val="24"/>
        </w:rPr>
        <w:t xml:space="preserve">Hårde </w:t>
      </w:r>
      <w:proofErr w:type="spellStart"/>
      <w:r>
        <w:rPr>
          <w:sz w:val="24"/>
          <w:szCs w:val="24"/>
        </w:rPr>
        <w:t>e</w:t>
      </w:r>
      <w:r w:rsidRPr="00A11A99">
        <w:rPr>
          <w:sz w:val="24"/>
          <w:szCs w:val="24"/>
        </w:rPr>
        <w:t>nterokapsler</w:t>
      </w:r>
      <w:proofErr w:type="spellEnd"/>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Kapslerne er tofarvede:</w:t>
      </w:r>
      <w:r w:rsidRPr="00A11A99">
        <w:rPr>
          <w:noProof/>
          <w:sz w:val="24"/>
          <w:szCs w:val="24"/>
        </w:rPr>
        <w:t xml:space="preserve"> </w:t>
      </w:r>
      <w:r w:rsidRPr="00A11A99">
        <w:rPr>
          <w:sz w:val="24"/>
          <w:szCs w:val="24"/>
        </w:rPr>
        <w:t>hvide og laksefarvede.</w:t>
      </w:r>
    </w:p>
    <w:p w:rsidR="00B72178" w:rsidRPr="00A11A99" w:rsidRDefault="00B72178" w:rsidP="00B72178">
      <w:pPr>
        <w:ind w:left="851" w:hanging="851"/>
        <w:rPr>
          <w:sz w:val="24"/>
          <w:szCs w:val="24"/>
        </w:rPr>
      </w:pP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w:t>
      </w:r>
      <w:r w:rsidRPr="00A11A99">
        <w:rPr>
          <w:b/>
          <w:sz w:val="24"/>
          <w:szCs w:val="24"/>
        </w:rPr>
        <w:tab/>
        <w:t>KLINISKE OPLYSNINGER</w:t>
      </w:r>
    </w:p>
    <w:p w:rsidR="00B72178" w:rsidRPr="00A11A99" w:rsidRDefault="00B72178" w:rsidP="00B72178">
      <w:pPr>
        <w:ind w:left="851" w:hanging="851"/>
        <w:rPr>
          <w:b/>
          <w:sz w:val="24"/>
          <w:szCs w:val="24"/>
        </w:rPr>
      </w:pPr>
    </w:p>
    <w:p w:rsidR="00B72178" w:rsidRPr="00A11A99" w:rsidRDefault="00B72178" w:rsidP="00B72178">
      <w:pPr>
        <w:ind w:left="851" w:hanging="851"/>
        <w:rPr>
          <w:b/>
          <w:sz w:val="24"/>
          <w:szCs w:val="24"/>
          <w:u w:val="single"/>
        </w:rPr>
      </w:pPr>
      <w:r w:rsidRPr="00A11A99">
        <w:rPr>
          <w:b/>
          <w:sz w:val="24"/>
          <w:szCs w:val="24"/>
        </w:rPr>
        <w:t>4.1</w:t>
      </w:r>
      <w:r w:rsidRPr="00A11A99">
        <w:rPr>
          <w:b/>
          <w:sz w:val="24"/>
          <w:szCs w:val="24"/>
        </w:rPr>
        <w:tab/>
        <w:t>Terapeutiske indikationer</w:t>
      </w:r>
    </w:p>
    <w:p w:rsidR="00B72178" w:rsidRPr="00A23488" w:rsidRDefault="00B72178" w:rsidP="00B72178">
      <w:pPr>
        <w:ind w:left="851"/>
        <w:rPr>
          <w:i/>
          <w:sz w:val="24"/>
          <w:szCs w:val="24"/>
        </w:rPr>
      </w:pPr>
      <w:proofErr w:type="spellStart"/>
      <w:r w:rsidRPr="00A23488">
        <w:rPr>
          <w:sz w:val="24"/>
          <w:szCs w:val="24"/>
        </w:rPr>
        <w:t>Vivotif</w:t>
      </w:r>
      <w:proofErr w:type="spellEnd"/>
      <w:r w:rsidRPr="00A23488">
        <w:rPr>
          <w:sz w:val="24"/>
          <w:szCs w:val="24"/>
        </w:rPr>
        <w:t xml:space="preserve"> er indiceret til aktiv oral immunisering mod tyfus, der skyldes </w:t>
      </w:r>
      <w:r w:rsidRPr="00A23488">
        <w:rPr>
          <w:i/>
          <w:sz w:val="24"/>
          <w:szCs w:val="24"/>
        </w:rPr>
        <w:t>Salmonella</w:t>
      </w:r>
    </w:p>
    <w:p w:rsidR="00B72178" w:rsidRPr="00A23488" w:rsidRDefault="00B72178" w:rsidP="00B72178">
      <w:pPr>
        <w:ind w:left="851"/>
        <w:rPr>
          <w:sz w:val="24"/>
          <w:szCs w:val="24"/>
        </w:rPr>
      </w:pPr>
      <w:proofErr w:type="spellStart"/>
      <w:r w:rsidRPr="00A23488">
        <w:rPr>
          <w:i/>
          <w:sz w:val="24"/>
          <w:szCs w:val="24"/>
        </w:rPr>
        <w:t>enterica</w:t>
      </w:r>
      <w:proofErr w:type="spellEnd"/>
      <w:r w:rsidRPr="00A23488">
        <w:rPr>
          <w:sz w:val="24"/>
          <w:szCs w:val="24"/>
        </w:rPr>
        <w:t xml:space="preserve"> </w:t>
      </w:r>
      <w:proofErr w:type="spellStart"/>
      <w:r w:rsidRPr="00A23488">
        <w:rPr>
          <w:sz w:val="24"/>
          <w:szCs w:val="24"/>
        </w:rPr>
        <w:t>serotype</w:t>
      </w:r>
      <w:proofErr w:type="spellEnd"/>
      <w:r w:rsidRPr="00A23488">
        <w:rPr>
          <w:sz w:val="24"/>
          <w:szCs w:val="24"/>
        </w:rPr>
        <w:t xml:space="preserve"> </w:t>
      </w:r>
      <w:proofErr w:type="spellStart"/>
      <w:r w:rsidRPr="00A23488">
        <w:rPr>
          <w:sz w:val="24"/>
          <w:szCs w:val="24"/>
        </w:rPr>
        <w:t>Typhi</w:t>
      </w:r>
      <w:proofErr w:type="spellEnd"/>
      <w:r w:rsidRPr="00A23488">
        <w:rPr>
          <w:sz w:val="24"/>
          <w:szCs w:val="24"/>
        </w:rPr>
        <w:t>, (</w:t>
      </w:r>
      <w:r w:rsidRPr="00A23488">
        <w:rPr>
          <w:i/>
          <w:sz w:val="24"/>
          <w:szCs w:val="24"/>
        </w:rPr>
        <w:t xml:space="preserve">S. </w:t>
      </w:r>
      <w:proofErr w:type="spellStart"/>
      <w:r w:rsidRPr="00A23488">
        <w:rPr>
          <w:sz w:val="24"/>
          <w:szCs w:val="24"/>
        </w:rPr>
        <w:t>Typhi</w:t>
      </w:r>
      <w:proofErr w:type="spellEnd"/>
      <w:r w:rsidRPr="00A23488">
        <w:rPr>
          <w:sz w:val="24"/>
          <w:szCs w:val="24"/>
        </w:rPr>
        <w:t>), hos voksne og børn i alderen 5 år og derover.</w:t>
      </w:r>
    </w:p>
    <w:p w:rsidR="00B72178" w:rsidRPr="00A23488" w:rsidRDefault="00B72178" w:rsidP="00B72178">
      <w:pPr>
        <w:ind w:left="851"/>
        <w:rPr>
          <w:sz w:val="24"/>
          <w:szCs w:val="24"/>
        </w:rPr>
      </w:pPr>
    </w:p>
    <w:p w:rsidR="00B72178" w:rsidRPr="00A23488" w:rsidRDefault="00B72178" w:rsidP="00B72178">
      <w:pPr>
        <w:ind w:left="851"/>
        <w:rPr>
          <w:noProof/>
          <w:sz w:val="24"/>
          <w:szCs w:val="24"/>
        </w:rPr>
      </w:pPr>
      <w:r w:rsidRPr="00A23488">
        <w:rPr>
          <w:noProof/>
          <w:sz w:val="24"/>
          <w:szCs w:val="24"/>
        </w:rPr>
        <w:t>Denne vaccine skal anvendes i overensstemmelse med de officielle anbefalinger.</w:t>
      </w:r>
    </w:p>
    <w:p w:rsidR="00B72178" w:rsidRPr="00A23488" w:rsidRDefault="00B72178" w:rsidP="00B72178">
      <w:pPr>
        <w:ind w:left="851"/>
        <w:rPr>
          <w:sz w:val="24"/>
          <w:szCs w:val="24"/>
        </w:rPr>
      </w:pPr>
    </w:p>
    <w:p w:rsidR="00B72178" w:rsidRPr="00A11A99" w:rsidRDefault="00B72178" w:rsidP="00B72178">
      <w:pPr>
        <w:ind w:left="851" w:hanging="851"/>
        <w:rPr>
          <w:b/>
          <w:sz w:val="24"/>
          <w:szCs w:val="24"/>
        </w:rPr>
      </w:pPr>
      <w:r w:rsidRPr="00A11A99">
        <w:rPr>
          <w:b/>
          <w:sz w:val="24"/>
          <w:szCs w:val="24"/>
        </w:rPr>
        <w:t>4.2</w:t>
      </w:r>
      <w:r w:rsidRPr="00A11A99">
        <w:rPr>
          <w:b/>
          <w:sz w:val="24"/>
          <w:szCs w:val="24"/>
        </w:rPr>
        <w:tab/>
        <w:t xml:space="preserve">Dosering og </w:t>
      </w:r>
      <w:r w:rsidR="0030188F">
        <w:rPr>
          <w:b/>
          <w:sz w:val="24"/>
          <w:szCs w:val="24"/>
        </w:rPr>
        <w:t>administration</w:t>
      </w:r>
    </w:p>
    <w:p w:rsidR="00B72178" w:rsidRDefault="00B72178" w:rsidP="00B72178">
      <w:pPr>
        <w:pStyle w:val="BodyTextSPC"/>
        <w:tabs>
          <w:tab w:val="clear" w:pos="567"/>
        </w:tabs>
        <w:ind w:left="851" w:hanging="851"/>
        <w:rPr>
          <w:sz w:val="24"/>
          <w:szCs w:val="24"/>
          <w:u w:val="single"/>
        </w:rPr>
      </w:pPr>
    </w:p>
    <w:p w:rsidR="00B72178" w:rsidRPr="00493BE9" w:rsidRDefault="00B72178" w:rsidP="00B72178">
      <w:pPr>
        <w:ind w:left="851"/>
        <w:rPr>
          <w:sz w:val="24"/>
          <w:szCs w:val="24"/>
          <w:u w:val="single"/>
        </w:rPr>
      </w:pPr>
      <w:r w:rsidRPr="00493BE9">
        <w:rPr>
          <w:sz w:val="24"/>
          <w:szCs w:val="24"/>
          <w:u w:val="single"/>
        </w:rPr>
        <w:t>Dosering</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 xml:space="preserve">Én kapsel </w:t>
      </w:r>
      <w:proofErr w:type="spellStart"/>
      <w:r>
        <w:rPr>
          <w:sz w:val="24"/>
          <w:szCs w:val="24"/>
        </w:rPr>
        <w:t>Vivotif</w:t>
      </w:r>
      <w:proofErr w:type="spellEnd"/>
      <w:r w:rsidRPr="00493BE9">
        <w:rPr>
          <w:sz w:val="24"/>
          <w:szCs w:val="24"/>
        </w:rPr>
        <w:t xml:space="preserve"> indtages på dag 1, 3 og 5.</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lastRenderedPageBreak/>
        <w:t>Komplet vaccination omfatter indtagelse af tre kapsler, en kapsel på hver af dagene 1,3 og 5. Den optimale immunrespons opnås muligvis ikke, medmindre hele vaccinationsskemaet er fuldført.</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Beskyttelsen mod tyfus starter cirka syv til ti dage efter indtagelse af den tredje dosis af vaccinen. Hele vaccinationsskemaet skal være fuldført mindst en uge før der rejses til et område, hvor tyfus er endemisk.</w:t>
      </w:r>
    </w:p>
    <w:p w:rsidR="00B72178" w:rsidRPr="00493BE9" w:rsidRDefault="00B72178" w:rsidP="00B72178">
      <w:pPr>
        <w:ind w:left="851"/>
        <w:rPr>
          <w:sz w:val="24"/>
          <w:szCs w:val="24"/>
        </w:rPr>
      </w:pPr>
    </w:p>
    <w:p w:rsidR="00B72178" w:rsidRPr="00493BE9" w:rsidRDefault="00B72178" w:rsidP="00B72178">
      <w:pPr>
        <w:ind w:left="851"/>
        <w:rPr>
          <w:i/>
          <w:sz w:val="24"/>
          <w:szCs w:val="24"/>
        </w:rPr>
      </w:pPr>
      <w:r w:rsidRPr="00493BE9">
        <w:rPr>
          <w:i/>
          <w:sz w:val="24"/>
          <w:szCs w:val="24"/>
        </w:rPr>
        <w:t>Revaccination</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Revaccination anbefales tre år efter den seneste vaccination for alle personer.</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Revaccination omfatter indtagelse af tre kapsler, en kapsel på hver af dagene 1,3 og 5, som i det oprindelige vaccinationsskema.</w:t>
      </w:r>
    </w:p>
    <w:p w:rsidR="00B72178" w:rsidRPr="00493BE9" w:rsidRDefault="00B72178" w:rsidP="00B72178">
      <w:pPr>
        <w:ind w:left="851"/>
        <w:rPr>
          <w:sz w:val="24"/>
          <w:szCs w:val="24"/>
        </w:rPr>
      </w:pPr>
    </w:p>
    <w:p w:rsidR="00B72178" w:rsidRPr="00493BE9" w:rsidRDefault="00B72178" w:rsidP="00B72178">
      <w:pPr>
        <w:ind w:left="851"/>
        <w:rPr>
          <w:i/>
          <w:sz w:val="24"/>
          <w:szCs w:val="24"/>
        </w:rPr>
      </w:pPr>
      <w:r w:rsidRPr="00493BE9">
        <w:rPr>
          <w:i/>
          <w:sz w:val="24"/>
          <w:szCs w:val="24"/>
        </w:rPr>
        <w:t>Pædiatrisk population</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 xml:space="preserve">Dosering til børn er den samme som til voksne. </w:t>
      </w:r>
      <w:proofErr w:type="spellStart"/>
      <w:r>
        <w:rPr>
          <w:sz w:val="24"/>
          <w:szCs w:val="24"/>
        </w:rPr>
        <w:t>Vivotif</w:t>
      </w:r>
      <w:r w:rsidRPr="00493BE9">
        <w:rPr>
          <w:sz w:val="24"/>
          <w:szCs w:val="24"/>
        </w:rPr>
        <w:t>s</w:t>
      </w:r>
      <w:proofErr w:type="spellEnd"/>
      <w:r w:rsidRPr="00493BE9">
        <w:rPr>
          <w:sz w:val="24"/>
          <w:szCs w:val="24"/>
        </w:rPr>
        <w:t xml:space="preserve"> sikkerhed og virkning hos børn under 5 år er ikke klarlagt. </w:t>
      </w:r>
    </w:p>
    <w:p w:rsidR="00B72178" w:rsidRPr="00493BE9" w:rsidRDefault="00B72178" w:rsidP="00B72178">
      <w:pPr>
        <w:ind w:left="851"/>
        <w:rPr>
          <w:sz w:val="24"/>
          <w:szCs w:val="24"/>
        </w:rPr>
      </w:pPr>
    </w:p>
    <w:p w:rsidR="00B72178" w:rsidRPr="00140065" w:rsidRDefault="00B72178" w:rsidP="00B72178">
      <w:pPr>
        <w:ind w:left="851"/>
        <w:rPr>
          <w:sz w:val="24"/>
          <w:szCs w:val="24"/>
          <w:u w:val="single"/>
        </w:rPr>
      </w:pPr>
      <w:r w:rsidRPr="00140065">
        <w:rPr>
          <w:sz w:val="24"/>
          <w:szCs w:val="24"/>
          <w:u w:val="single"/>
        </w:rPr>
        <w:t>Administration</w:t>
      </w:r>
    </w:p>
    <w:p w:rsidR="00B72178" w:rsidRPr="00493BE9" w:rsidRDefault="00B72178" w:rsidP="00B72178">
      <w:pPr>
        <w:ind w:left="851"/>
        <w:rPr>
          <w:sz w:val="24"/>
          <w:szCs w:val="24"/>
        </w:rPr>
      </w:pPr>
      <w:r w:rsidRPr="00493BE9">
        <w:rPr>
          <w:sz w:val="24"/>
          <w:szCs w:val="24"/>
        </w:rPr>
        <w:t xml:space="preserve">Én kapsel </w:t>
      </w:r>
      <w:proofErr w:type="spellStart"/>
      <w:r>
        <w:rPr>
          <w:sz w:val="24"/>
          <w:szCs w:val="24"/>
        </w:rPr>
        <w:t>Vivotif</w:t>
      </w:r>
      <w:proofErr w:type="spellEnd"/>
      <w:r w:rsidRPr="00493BE9">
        <w:rPr>
          <w:sz w:val="24"/>
          <w:szCs w:val="24"/>
        </w:rPr>
        <w:t xml:space="preserve"> tages med koldt eller lunkent vand (maksimumtemperatur 37 °C) på tom mave og mindst én time før næste måltid. Kapslen med vaccine må ikke tygges og skal synkes hurtigst muligt, efter den er kommet ind i munden.</w:t>
      </w:r>
    </w:p>
    <w:p w:rsidR="00B72178" w:rsidRPr="00493BE9" w:rsidRDefault="00B72178" w:rsidP="00B72178">
      <w:pPr>
        <w:ind w:left="851"/>
        <w:rPr>
          <w:sz w:val="24"/>
          <w:szCs w:val="24"/>
        </w:rPr>
      </w:pPr>
    </w:p>
    <w:p w:rsidR="00B72178" w:rsidRPr="00A11A99" w:rsidRDefault="00B72178" w:rsidP="00B72178">
      <w:pPr>
        <w:ind w:left="851" w:hanging="851"/>
        <w:rPr>
          <w:b/>
          <w:sz w:val="24"/>
          <w:szCs w:val="24"/>
        </w:rPr>
      </w:pPr>
      <w:r w:rsidRPr="00A11A99">
        <w:rPr>
          <w:b/>
          <w:sz w:val="24"/>
          <w:szCs w:val="24"/>
        </w:rPr>
        <w:t>4.3</w:t>
      </w:r>
      <w:r w:rsidRPr="00A11A99">
        <w:rPr>
          <w:b/>
          <w:sz w:val="24"/>
          <w:szCs w:val="24"/>
        </w:rPr>
        <w:tab/>
        <w:t>Kontraindikationer</w:t>
      </w:r>
    </w:p>
    <w:p w:rsidR="00B72178" w:rsidRPr="00A11A99" w:rsidRDefault="00B72178" w:rsidP="00B72178">
      <w:pPr>
        <w:pStyle w:val="BodyTextSPC"/>
        <w:tabs>
          <w:tab w:val="clear" w:pos="567"/>
        </w:tabs>
        <w:ind w:left="851"/>
        <w:rPr>
          <w:noProof/>
          <w:sz w:val="24"/>
          <w:szCs w:val="24"/>
        </w:rPr>
      </w:pPr>
      <w:r w:rsidRPr="00A11A99">
        <w:rPr>
          <w:sz w:val="24"/>
          <w:szCs w:val="24"/>
        </w:rPr>
        <w:t>Overfølsomhed over for det (de) aktive stof(fer) eller over for et eller flere af hjælpestofferne anført i pkt. 6.1.</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Allergisk reaktion ved tidligere indtagelse af produktet.</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 xml:space="preserve">Medfødt eller erhvervet immundefekt (herunder patienter i behandling med immunsuppressive eller </w:t>
      </w:r>
      <w:proofErr w:type="spellStart"/>
      <w:r w:rsidRPr="00A11A99">
        <w:rPr>
          <w:sz w:val="24"/>
          <w:szCs w:val="24"/>
        </w:rPr>
        <w:t>antimitotiske</w:t>
      </w:r>
      <w:proofErr w:type="spellEnd"/>
      <w:r w:rsidRPr="00A11A99">
        <w:rPr>
          <w:sz w:val="24"/>
          <w:szCs w:val="24"/>
        </w:rPr>
        <w:t xml:space="preserve"> lægemidler).</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rPr>
      </w:pPr>
      <w:r w:rsidRPr="00A11A99">
        <w:rPr>
          <w:sz w:val="24"/>
          <w:szCs w:val="24"/>
        </w:rPr>
        <w:t xml:space="preserve">Akut febersygdom eller akut </w:t>
      </w:r>
      <w:proofErr w:type="spellStart"/>
      <w:r w:rsidRPr="00A11A99">
        <w:rPr>
          <w:sz w:val="24"/>
          <w:szCs w:val="24"/>
        </w:rPr>
        <w:t>gastrointestinal</w:t>
      </w:r>
      <w:proofErr w:type="spellEnd"/>
      <w:r w:rsidRPr="00A11A99">
        <w:rPr>
          <w:sz w:val="24"/>
          <w:szCs w:val="24"/>
        </w:rPr>
        <w:t xml:space="preserve"> sygdom.</w:t>
      </w:r>
      <w:r w:rsidRPr="00A11A99">
        <w:rPr>
          <w:noProof/>
          <w:sz w:val="24"/>
          <w:szCs w:val="24"/>
        </w:rPr>
        <w:t xml:space="preserve"> </w:t>
      </w:r>
      <w:r w:rsidRPr="00A11A99">
        <w:rPr>
          <w:sz w:val="24"/>
          <w:szCs w:val="24"/>
        </w:rPr>
        <w:t>Vaccinationen skal udsættes indtil efter restitution.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4.4</w:t>
      </w:r>
      <w:r w:rsidRPr="00A11A99">
        <w:rPr>
          <w:b/>
          <w:sz w:val="24"/>
          <w:szCs w:val="24"/>
        </w:rPr>
        <w:tab/>
        <w:t>Særlige advarsler og forsigtighedsregler vedrørende brugen</w:t>
      </w:r>
    </w:p>
    <w:p w:rsidR="00B72178" w:rsidRPr="00A11A99" w:rsidRDefault="00B72178" w:rsidP="00B72178">
      <w:pPr>
        <w:ind w:left="851" w:right="-2"/>
        <w:rPr>
          <w:b/>
          <w:noProof/>
          <w:sz w:val="24"/>
          <w:szCs w:val="24"/>
        </w:rPr>
      </w:pPr>
      <w:proofErr w:type="spellStart"/>
      <w:r>
        <w:rPr>
          <w:sz w:val="24"/>
          <w:szCs w:val="24"/>
        </w:rPr>
        <w:t>Vivotif</w:t>
      </w:r>
      <w:proofErr w:type="spellEnd"/>
      <w:r w:rsidRPr="00A11A99">
        <w:rPr>
          <w:sz w:val="24"/>
          <w:szCs w:val="24"/>
        </w:rPr>
        <w:t xml:space="preserve"> giver ikke 100 % beskyttelse mod tyfus.</w:t>
      </w:r>
      <w:r w:rsidRPr="00A11A99">
        <w:rPr>
          <w:noProof/>
          <w:sz w:val="24"/>
          <w:szCs w:val="24"/>
        </w:rPr>
        <w:t xml:space="preserve"> </w:t>
      </w:r>
      <w:r w:rsidRPr="00A11A99">
        <w:rPr>
          <w:sz w:val="24"/>
          <w:szCs w:val="24"/>
        </w:rPr>
        <w:t>Vaccinerede personer skal følge hygiejneanbefalingerne og udvise forsigtighed, når det gælder indtagelse af vand og føde i tyfus-ramte områder.</w:t>
      </w:r>
    </w:p>
    <w:p w:rsidR="00B72178" w:rsidRDefault="00B72178" w:rsidP="00B72178">
      <w:pPr>
        <w:pStyle w:val="Default"/>
        <w:ind w:left="851"/>
        <w:rPr>
          <w:lang w:val="da-DK"/>
        </w:rPr>
      </w:pPr>
    </w:p>
    <w:p w:rsidR="00B72178" w:rsidRPr="00A11A99" w:rsidRDefault="00B72178" w:rsidP="00B72178">
      <w:pPr>
        <w:pStyle w:val="Default"/>
        <w:ind w:left="851"/>
        <w:rPr>
          <w:lang w:val="da-DK"/>
        </w:rPr>
      </w:pPr>
      <w:r w:rsidRPr="00A11A99">
        <w:rPr>
          <w:lang w:val="da-DK"/>
        </w:rPr>
        <w:t xml:space="preserve">Kapslerne indeholder </w:t>
      </w:r>
      <w:proofErr w:type="spellStart"/>
      <w:r w:rsidRPr="00A11A99">
        <w:rPr>
          <w:lang w:val="da-DK"/>
        </w:rPr>
        <w:t>la</w:t>
      </w:r>
      <w:r>
        <w:rPr>
          <w:lang w:val="da-DK"/>
        </w:rPr>
        <w:t>c</w:t>
      </w:r>
      <w:r w:rsidRPr="00A11A99">
        <w:rPr>
          <w:lang w:val="da-DK"/>
        </w:rPr>
        <w:t>tose</w:t>
      </w:r>
      <w:proofErr w:type="spellEnd"/>
      <w:r w:rsidRPr="00A11A99">
        <w:rPr>
          <w:lang w:val="da-DK"/>
        </w:rPr>
        <w:t xml:space="preserve"> og </w:t>
      </w:r>
      <w:proofErr w:type="spellStart"/>
      <w:r w:rsidRPr="00A11A99">
        <w:rPr>
          <w:lang w:val="da-DK"/>
        </w:rPr>
        <w:t>s</w:t>
      </w:r>
      <w:r>
        <w:rPr>
          <w:lang w:val="da-DK"/>
        </w:rPr>
        <w:t>accharose</w:t>
      </w:r>
      <w:proofErr w:type="spellEnd"/>
      <w:r w:rsidRPr="00A11A99">
        <w:rPr>
          <w:lang w:val="da-DK"/>
        </w:rPr>
        <w:t xml:space="preserve">. Bør ikke anvendes til patienter med hereditær </w:t>
      </w:r>
      <w:proofErr w:type="spellStart"/>
      <w:r w:rsidRPr="00A11A99">
        <w:rPr>
          <w:lang w:val="da-DK"/>
        </w:rPr>
        <w:t>galactoseintolerans</w:t>
      </w:r>
      <w:proofErr w:type="spellEnd"/>
      <w:r w:rsidRPr="00A11A99">
        <w:rPr>
          <w:lang w:val="da-DK"/>
        </w:rPr>
        <w:t xml:space="preserve">, total </w:t>
      </w:r>
      <w:proofErr w:type="spellStart"/>
      <w:r w:rsidRPr="00A11A99">
        <w:rPr>
          <w:lang w:val="da-DK"/>
        </w:rPr>
        <w:t>lactasemangel</w:t>
      </w:r>
      <w:proofErr w:type="spellEnd"/>
      <w:r w:rsidRPr="00A11A99">
        <w:rPr>
          <w:lang w:val="da-DK"/>
        </w:rPr>
        <w:t xml:space="preserve">, </w:t>
      </w:r>
      <w:proofErr w:type="spellStart"/>
      <w:r w:rsidRPr="00A11A99">
        <w:rPr>
          <w:lang w:val="da-DK"/>
        </w:rPr>
        <w:t>glucose</w:t>
      </w:r>
      <w:proofErr w:type="spellEnd"/>
      <w:r w:rsidRPr="00A11A99">
        <w:rPr>
          <w:lang w:val="da-DK"/>
        </w:rPr>
        <w:t>/</w:t>
      </w:r>
      <w:proofErr w:type="spellStart"/>
      <w:r w:rsidRPr="00A11A99">
        <w:rPr>
          <w:lang w:val="da-DK"/>
        </w:rPr>
        <w:t>galactosemalabsorption</w:t>
      </w:r>
      <w:proofErr w:type="spellEnd"/>
      <w:r w:rsidRPr="00A11A99">
        <w:rPr>
          <w:lang w:val="da-DK"/>
        </w:rPr>
        <w:t xml:space="preserve">, hereditær </w:t>
      </w:r>
      <w:proofErr w:type="spellStart"/>
      <w:r w:rsidRPr="00A11A99">
        <w:rPr>
          <w:lang w:val="da-DK"/>
        </w:rPr>
        <w:t>fructoseintolerans</w:t>
      </w:r>
      <w:proofErr w:type="spellEnd"/>
      <w:r w:rsidRPr="00A11A99">
        <w:rPr>
          <w:lang w:val="da-DK"/>
        </w:rPr>
        <w:t xml:space="preserve"> og </w:t>
      </w:r>
      <w:proofErr w:type="spellStart"/>
      <w:r w:rsidRPr="00A11A99">
        <w:rPr>
          <w:lang w:val="da-DK"/>
        </w:rPr>
        <w:t>sucraseisomaltasemangel</w:t>
      </w:r>
      <w:proofErr w:type="spellEnd"/>
      <w:r w:rsidRPr="00A11A99">
        <w:rPr>
          <w:lang w:val="da-DK"/>
        </w:rPr>
        <w:t xml:space="preserve">.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4.5</w:t>
      </w:r>
      <w:r w:rsidRPr="00A11A99">
        <w:rPr>
          <w:b/>
          <w:sz w:val="24"/>
          <w:szCs w:val="24"/>
        </w:rPr>
        <w:tab/>
        <w:t>Interaktion med andre lægemidler og andre former for interaktion</w:t>
      </w:r>
    </w:p>
    <w:p w:rsidR="00B72178" w:rsidRPr="00A11A99" w:rsidRDefault="00B72178" w:rsidP="00B72178">
      <w:pPr>
        <w:pStyle w:val="BodyTextSPC"/>
        <w:tabs>
          <w:tab w:val="clear" w:pos="567"/>
        </w:tabs>
        <w:ind w:left="851"/>
        <w:rPr>
          <w:sz w:val="24"/>
          <w:szCs w:val="24"/>
        </w:rPr>
      </w:pPr>
      <w:r w:rsidRPr="00A11A99">
        <w:rPr>
          <w:sz w:val="24"/>
          <w:szCs w:val="24"/>
        </w:rPr>
        <w:t xml:space="preserve">På grund af den mulige hæmning af vaccineorganismernes vækst og den potentielle svækkelse af immunresponset skal vaccination med </w:t>
      </w:r>
      <w:proofErr w:type="spellStart"/>
      <w:r>
        <w:rPr>
          <w:sz w:val="24"/>
          <w:szCs w:val="24"/>
        </w:rPr>
        <w:t>Vivotif</w:t>
      </w:r>
      <w:proofErr w:type="spellEnd"/>
      <w:r w:rsidRPr="00A11A99">
        <w:rPr>
          <w:sz w:val="24"/>
          <w:szCs w:val="24"/>
        </w:rPr>
        <w:t xml:space="preserve"> udsættes under og i mindst tre dage inden og efter behandling med antibiotika eller antibakterielle midler, der indeholder </w:t>
      </w:r>
      <w:r w:rsidRPr="00A11A99">
        <w:rPr>
          <w:sz w:val="24"/>
          <w:szCs w:val="24"/>
        </w:rPr>
        <w:lastRenderedPageBreak/>
        <w:t>sulfonamider. Et længere interval skal overvejes ved behandling med langtidsvirkende antibiotika (</w:t>
      </w:r>
      <w:r>
        <w:rPr>
          <w:sz w:val="24"/>
          <w:szCs w:val="24"/>
        </w:rPr>
        <w:t>f.eks.</w:t>
      </w:r>
      <w:r w:rsidRPr="00A11A99">
        <w:rPr>
          <w:sz w:val="24"/>
          <w:szCs w:val="24"/>
        </w:rPr>
        <w:t xml:space="preserve"> </w:t>
      </w:r>
      <w:proofErr w:type="spellStart"/>
      <w:r w:rsidRPr="00A11A99">
        <w:rPr>
          <w:sz w:val="24"/>
          <w:szCs w:val="24"/>
        </w:rPr>
        <w:t>azithromycin</w:t>
      </w:r>
      <w:proofErr w:type="spellEnd"/>
      <w:r w:rsidRPr="00A11A99">
        <w:rPr>
          <w:sz w:val="24"/>
          <w:szCs w:val="24"/>
        </w:rPr>
        <w:t>).</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Kombination med malariaprofylakse</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Ved behov for malariaprofylakse anbefales det at fuldføre vaccination med </w:t>
      </w:r>
      <w:proofErr w:type="spellStart"/>
      <w:r>
        <w:rPr>
          <w:sz w:val="24"/>
          <w:szCs w:val="24"/>
        </w:rPr>
        <w:t>Vivotif</w:t>
      </w:r>
      <w:proofErr w:type="spellEnd"/>
      <w:r w:rsidRPr="00A11A99">
        <w:rPr>
          <w:sz w:val="24"/>
          <w:szCs w:val="24"/>
        </w:rPr>
        <w:t xml:space="preserve"> inden malariaprofylaksen. I dette tilfælde skal der være et interval på mindst tre dage mellem den sidste dosis af </w:t>
      </w:r>
      <w:proofErr w:type="spellStart"/>
      <w:r>
        <w:rPr>
          <w:sz w:val="24"/>
          <w:szCs w:val="24"/>
        </w:rPr>
        <w:t>Vivotif</w:t>
      </w:r>
      <w:proofErr w:type="spellEnd"/>
      <w:r w:rsidRPr="00A11A99">
        <w:rPr>
          <w:sz w:val="24"/>
          <w:szCs w:val="24"/>
        </w:rPr>
        <w:t xml:space="preserve"> og starten af malariaprofylaksen.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proofErr w:type="spellStart"/>
      <w:r>
        <w:rPr>
          <w:sz w:val="24"/>
          <w:szCs w:val="24"/>
        </w:rPr>
        <w:t>Vivotif</w:t>
      </w:r>
      <w:proofErr w:type="spellEnd"/>
      <w:r w:rsidRPr="00A11A99">
        <w:rPr>
          <w:sz w:val="24"/>
          <w:szCs w:val="24"/>
        </w:rPr>
        <w:t xml:space="preserve"> kan administreres samtidig med vaccine mod gul feber, CVD 103-HgR koleravaccine og oral poliovaccine. Der findes ingen data vedrørende interaktioner mellem </w:t>
      </w:r>
      <w:proofErr w:type="spellStart"/>
      <w:r>
        <w:rPr>
          <w:sz w:val="24"/>
          <w:szCs w:val="24"/>
        </w:rPr>
        <w:t>Vivotif</w:t>
      </w:r>
      <w:proofErr w:type="spellEnd"/>
      <w:r w:rsidRPr="00A11A99">
        <w:rPr>
          <w:sz w:val="24"/>
          <w:szCs w:val="24"/>
        </w:rPr>
        <w:t xml:space="preserve"> og andre levende, svækkede vacciner.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4.6</w:t>
      </w:r>
      <w:r w:rsidRPr="00A11A99">
        <w:rPr>
          <w:b/>
          <w:sz w:val="24"/>
          <w:szCs w:val="24"/>
        </w:rPr>
        <w:tab/>
      </w:r>
      <w:r w:rsidR="0030188F">
        <w:rPr>
          <w:b/>
          <w:sz w:val="24"/>
          <w:szCs w:val="24"/>
        </w:rPr>
        <w:t>Fertilitet, g</w:t>
      </w:r>
      <w:r w:rsidRPr="00A11A99">
        <w:rPr>
          <w:b/>
          <w:sz w:val="24"/>
          <w:szCs w:val="24"/>
        </w:rPr>
        <w:t>raviditet og amning</w:t>
      </w:r>
    </w:p>
    <w:p w:rsidR="00B72178"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Graviditet</w:t>
      </w:r>
    </w:p>
    <w:p w:rsidR="00B72178" w:rsidRPr="00A11A99" w:rsidRDefault="00B72178" w:rsidP="00B72178">
      <w:pPr>
        <w:pStyle w:val="BodyTextSPC"/>
        <w:tabs>
          <w:tab w:val="clear" w:pos="567"/>
        </w:tabs>
        <w:ind w:left="851"/>
        <w:rPr>
          <w:noProof/>
          <w:sz w:val="24"/>
          <w:szCs w:val="24"/>
        </w:rPr>
      </w:pPr>
      <w:r w:rsidRPr="00A11A99">
        <w:rPr>
          <w:sz w:val="24"/>
          <w:szCs w:val="24"/>
        </w:rPr>
        <w:t xml:space="preserve">Der er ikke udført reproduktionsstudier på dyr med </w:t>
      </w:r>
      <w:proofErr w:type="spellStart"/>
      <w:r>
        <w:rPr>
          <w:sz w:val="24"/>
          <w:szCs w:val="24"/>
        </w:rPr>
        <w:t>Vivotif</w:t>
      </w:r>
      <w:proofErr w:type="spellEnd"/>
      <w:r w:rsidRPr="00A11A99">
        <w:rPr>
          <w:sz w:val="24"/>
          <w:szCs w:val="24"/>
        </w:rPr>
        <w:t xml:space="preserve">. Det vides ikke, om </w:t>
      </w:r>
      <w:proofErr w:type="spellStart"/>
      <w:r>
        <w:rPr>
          <w:sz w:val="24"/>
          <w:szCs w:val="24"/>
        </w:rPr>
        <w:t>Vivotif</w:t>
      </w:r>
      <w:proofErr w:type="spellEnd"/>
      <w:r w:rsidRPr="00A11A99">
        <w:rPr>
          <w:sz w:val="24"/>
          <w:szCs w:val="24"/>
        </w:rPr>
        <w:t xml:space="preserve"> kan forårsage fosterskader, når det indgives til gravide kvinder, eller om det kan påvirke reproduktionsevnen.</w:t>
      </w:r>
      <w:r w:rsidRPr="00A11A99">
        <w:rPr>
          <w:noProof/>
          <w:sz w:val="24"/>
          <w:szCs w:val="24"/>
        </w:rPr>
        <w:t xml:space="preserve"> </w:t>
      </w:r>
      <w:r>
        <w:rPr>
          <w:noProof/>
          <w:sz w:val="24"/>
          <w:szCs w:val="24"/>
        </w:rPr>
        <w:t>Vivotif</w:t>
      </w:r>
      <w:r w:rsidRPr="00A11A99">
        <w:rPr>
          <w:noProof/>
          <w:sz w:val="24"/>
          <w:szCs w:val="24"/>
        </w:rPr>
        <w:t xml:space="preserve"> skal ikke administreres under graviditet, medmindre det er klart nødvendigt, som f.eks. i tilfælde hvor der er øget risiko for infektion.</w:t>
      </w:r>
    </w:p>
    <w:p w:rsidR="00B72178" w:rsidRPr="00A11A99" w:rsidRDefault="00B72178" w:rsidP="00B72178">
      <w:pPr>
        <w:pStyle w:val="BodyTextSPC"/>
        <w:tabs>
          <w:tab w:val="clear" w:pos="567"/>
        </w:tabs>
        <w:ind w:left="851"/>
        <w:rPr>
          <w:noProof/>
          <w:sz w:val="24"/>
          <w:szCs w:val="24"/>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Amning</w:t>
      </w:r>
    </w:p>
    <w:p w:rsidR="00B72178" w:rsidRDefault="00B72178" w:rsidP="00B72178">
      <w:pPr>
        <w:pStyle w:val="BodyTextSPC"/>
        <w:tabs>
          <w:tab w:val="clear" w:pos="567"/>
        </w:tabs>
        <w:ind w:left="851"/>
        <w:rPr>
          <w:sz w:val="24"/>
          <w:szCs w:val="24"/>
        </w:rPr>
      </w:pPr>
      <w:r w:rsidRPr="00A11A99">
        <w:rPr>
          <w:sz w:val="24"/>
          <w:szCs w:val="24"/>
        </w:rPr>
        <w:t xml:space="preserve">Der foreligger ingen data vedrørende administration af </w:t>
      </w:r>
      <w:proofErr w:type="spellStart"/>
      <w:r>
        <w:rPr>
          <w:sz w:val="24"/>
          <w:szCs w:val="24"/>
        </w:rPr>
        <w:t>Vivotif</w:t>
      </w:r>
      <w:proofErr w:type="spellEnd"/>
      <w:r w:rsidRPr="00A11A99">
        <w:rPr>
          <w:sz w:val="24"/>
          <w:szCs w:val="24"/>
        </w:rPr>
        <w:t xml:space="preserve"> til ammende mødre. </w:t>
      </w:r>
    </w:p>
    <w:p w:rsidR="00B72178" w:rsidRPr="00A11A99" w:rsidRDefault="00B72178" w:rsidP="00B72178">
      <w:pPr>
        <w:pStyle w:val="BodyTextSPC"/>
        <w:tabs>
          <w:tab w:val="clear" w:pos="567"/>
        </w:tabs>
        <w:ind w:left="851"/>
        <w:rPr>
          <w:sz w:val="24"/>
          <w:szCs w:val="24"/>
        </w:rPr>
      </w:pP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xml:space="preserve"> Ty21a absorberes ikke systemisk, og det forventes derfor ikke at blive udskilt i human mælk. </w:t>
      </w:r>
      <w:proofErr w:type="spellStart"/>
      <w:r>
        <w:rPr>
          <w:sz w:val="24"/>
          <w:szCs w:val="24"/>
        </w:rPr>
        <w:t>Vivotif</w:t>
      </w:r>
      <w:proofErr w:type="spellEnd"/>
      <w:r w:rsidRPr="00A11A99">
        <w:rPr>
          <w:sz w:val="24"/>
          <w:szCs w:val="24"/>
        </w:rPr>
        <w:t xml:space="preserve"> skal ikke administreres under amning, medmindre det er klart nødvendigt, som f.eks. i tilfælde hvor der er øget risiko for infektion.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noProof/>
          <w:sz w:val="24"/>
          <w:szCs w:val="24"/>
          <w:u w:val="single"/>
        </w:rPr>
      </w:pPr>
      <w:r w:rsidRPr="00A11A99">
        <w:rPr>
          <w:sz w:val="24"/>
          <w:szCs w:val="24"/>
          <w:u w:val="single"/>
        </w:rPr>
        <w:t>Fertilitet</w:t>
      </w:r>
    </w:p>
    <w:p w:rsidR="00B72178" w:rsidRPr="00A11A99" w:rsidRDefault="00B72178" w:rsidP="00B72178">
      <w:pPr>
        <w:pStyle w:val="BodyTextSPC"/>
        <w:tabs>
          <w:tab w:val="clear" w:pos="567"/>
        </w:tabs>
        <w:ind w:left="851"/>
        <w:rPr>
          <w:sz w:val="24"/>
          <w:szCs w:val="24"/>
        </w:rPr>
      </w:pPr>
      <w:r w:rsidRPr="00A11A99">
        <w:rPr>
          <w:sz w:val="24"/>
          <w:szCs w:val="24"/>
        </w:rPr>
        <w:t xml:space="preserve">Det vides ikke, om </w:t>
      </w:r>
      <w:proofErr w:type="spellStart"/>
      <w:r>
        <w:rPr>
          <w:sz w:val="24"/>
          <w:szCs w:val="24"/>
        </w:rPr>
        <w:t>Vivotif</w:t>
      </w:r>
      <w:proofErr w:type="spellEnd"/>
      <w:r w:rsidRPr="00A11A99">
        <w:rPr>
          <w:sz w:val="24"/>
          <w:szCs w:val="24"/>
        </w:rPr>
        <w:t xml:space="preserve"> kan påvirke reproduktionsevnen.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4.7</w:t>
      </w:r>
      <w:r w:rsidRPr="00A11A99">
        <w:rPr>
          <w:b/>
          <w:sz w:val="24"/>
          <w:szCs w:val="24"/>
        </w:rPr>
        <w:tab/>
        <w:t xml:space="preserve">Virkninger på evnen til at føre motorkøretøj </w:t>
      </w:r>
      <w:r w:rsidR="0030188F">
        <w:rPr>
          <w:b/>
          <w:sz w:val="24"/>
          <w:szCs w:val="24"/>
        </w:rPr>
        <w:t>og</w:t>
      </w:r>
      <w:r w:rsidRPr="00A11A99">
        <w:rPr>
          <w:b/>
          <w:sz w:val="24"/>
          <w:szCs w:val="24"/>
        </w:rPr>
        <w:t xml:space="preserve"> betjene maskiner</w:t>
      </w:r>
    </w:p>
    <w:p w:rsidR="00B72178" w:rsidRDefault="00B72178" w:rsidP="00B72178">
      <w:pPr>
        <w:pStyle w:val="BodyTextSPC"/>
        <w:tabs>
          <w:tab w:val="clear" w:pos="567"/>
        </w:tabs>
        <w:ind w:left="851"/>
        <w:rPr>
          <w:sz w:val="24"/>
          <w:szCs w:val="24"/>
        </w:rPr>
      </w:pPr>
      <w:r>
        <w:rPr>
          <w:sz w:val="24"/>
          <w:szCs w:val="24"/>
        </w:rPr>
        <w:t>Ikke mærkning.</w:t>
      </w:r>
    </w:p>
    <w:p w:rsidR="00B72178" w:rsidRPr="00A11A99" w:rsidRDefault="00B72178" w:rsidP="00B72178">
      <w:pPr>
        <w:pStyle w:val="BodyTextSPC"/>
        <w:tabs>
          <w:tab w:val="clear" w:pos="567"/>
        </w:tabs>
        <w:ind w:left="851"/>
        <w:rPr>
          <w:sz w:val="24"/>
          <w:szCs w:val="24"/>
        </w:rPr>
      </w:pPr>
      <w:r w:rsidRPr="00A11A99">
        <w:rPr>
          <w:sz w:val="24"/>
          <w:szCs w:val="24"/>
        </w:rPr>
        <w:t>Der er ikke udført undersøgelser af virkningerne på evnen til at føre motorkøretøj eller betjene maskiner. Nogle af de bivirkninger, der er nævnt i pkt. 4.8, kan dog midlertidigt påvirke evnen til at føre motorkøretøj eller betjene maskiner.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4.8</w:t>
      </w:r>
      <w:r w:rsidRPr="00A11A99">
        <w:rPr>
          <w:b/>
          <w:sz w:val="24"/>
          <w:szCs w:val="24"/>
        </w:rPr>
        <w:tab/>
        <w:t>Bivirkninger</w:t>
      </w:r>
    </w:p>
    <w:p w:rsidR="00B72178"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t>Resumé af sikkerhedsprofilen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I kliniske studier blev der administreret mere end 1,4 millioner kapsler med </w:t>
      </w:r>
      <w:proofErr w:type="spellStart"/>
      <w:r>
        <w:rPr>
          <w:sz w:val="24"/>
          <w:szCs w:val="24"/>
        </w:rPr>
        <w:t>Vivotif</w:t>
      </w:r>
      <w:proofErr w:type="spellEnd"/>
      <w:r w:rsidRPr="00A11A99">
        <w:rPr>
          <w:sz w:val="24"/>
          <w:szCs w:val="24"/>
        </w:rPr>
        <w:t xml:space="preserve">. Antallet af solgte doser overstiger 100 millioner siden den første registrering af produktet. De hyppigste bivirkninger har været </w:t>
      </w:r>
      <w:proofErr w:type="spellStart"/>
      <w:r w:rsidRPr="00A11A99">
        <w:rPr>
          <w:sz w:val="24"/>
          <w:szCs w:val="24"/>
        </w:rPr>
        <w:t>abdominalsmerter</w:t>
      </w:r>
      <w:proofErr w:type="spellEnd"/>
      <w:r w:rsidRPr="00A11A99">
        <w:rPr>
          <w:sz w:val="24"/>
          <w:szCs w:val="24"/>
        </w:rPr>
        <w:t xml:space="preserve">, kvalme, hovedpine, feber, </w:t>
      </w:r>
      <w:proofErr w:type="spellStart"/>
      <w:r w:rsidRPr="00A11A99">
        <w:rPr>
          <w:sz w:val="24"/>
          <w:szCs w:val="24"/>
        </w:rPr>
        <w:t>diaré</w:t>
      </w:r>
      <w:proofErr w:type="spellEnd"/>
      <w:r w:rsidRPr="00A11A99">
        <w:rPr>
          <w:sz w:val="24"/>
          <w:szCs w:val="24"/>
        </w:rPr>
        <w:t xml:space="preserve">, opkastning og hududslæt. De fleste bivirkninger har været lette. Der er indberettet et isoleret, ikke-fatalt tilfælde af </w:t>
      </w:r>
      <w:proofErr w:type="spellStart"/>
      <w:r w:rsidRPr="00A11A99">
        <w:rPr>
          <w:sz w:val="24"/>
          <w:szCs w:val="24"/>
        </w:rPr>
        <w:t>anafylaktisk</w:t>
      </w:r>
      <w:proofErr w:type="spellEnd"/>
      <w:r w:rsidRPr="00A11A99">
        <w:rPr>
          <w:sz w:val="24"/>
          <w:szCs w:val="24"/>
        </w:rPr>
        <w:t xml:space="preserve"> </w:t>
      </w:r>
      <w:proofErr w:type="spellStart"/>
      <w:r w:rsidRPr="00A11A99">
        <w:rPr>
          <w:sz w:val="24"/>
          <w:szCs w:val="24"/>
        </w:rPr>
        <w:t>shock</w:t>
      </w:r>
      <w:proofErr w:type="spellEnd"/>
      <w:r w:rsidRPr="00A11A99">
        <w:rPr>
          <w:sz w:val="24"/>
          <w:szCs w:val="24"/>
        </w:rPr>
        <w:t>, som blev anset for at være en allergisk reaktion på vaccinen.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Den anvendte klassifikation af bivirkningernes hyppighed er som følger: Meget almindelig (≥ 1/10), almindelig (≥ 1/100 til &lt; 1/10), ikke almindelig (≥ 1/1.000 til &lt; 1/100), sjælden (≥ 1/10.000 til &lt; 1/1.000), meget sjælden (&lt; 1/10.000), ikke kendt (kan ikke estimeres ud fra forhåndenværende data).</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t>Bivirkningstabel</w:t>
      </w:r>
    </w:p>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Bivirkninger, der er opstået i kliniske studier:</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138"/>
      </w:tblGrid>
      <w:tr w:rsidR="00B72178" w:rsidRPr="00140065"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rPr>
            </w:pPr>
            <w:r w:rsidRPr="00140065">
              <w:rPr>
                <w:b/>
                <w:sz w:val="24"/>
                <w:szCs w:val="24"/>
              </w:rPr>
              <w:t>Bivirkning</w:t>
            </w:r>
          </w:p>
        </w:tc>
        <w:tc>
          <w:tcPr>
            <w:tcW w:w="4138"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rPr>
            </w:pPr>
            <w:r w:rsidRPr="00140065">
              <w:rPr>
                <w:b/>
                <w:sz w:val="24"/>
                <w:szCs w:val="24"/>
              </w:rPr>
              <w:t>Hyppighed</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i/>
                <w:sz w:val="24"/>
                <w:szCs w:val="24"/>
              </w:rPr>
              <w:t>Nervesystemet</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Hovedpine</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i/>
                <w:sz w:val="24"/>
                <w:szCs w:val="24"/>
              </w:rPr>
              <w:t>Mave-tarm-kanalen</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 xml:space="preserve">Mavesmerter, kvalme, opkastning, </w:t>
            </w:r>
            <w:proofErr w:type="spellStart"/>
            <w:r w:rsidRPr="00493BE9">
              <w:rPr>
                <w:sz w:val="24"/>
                <w:szCs w:val="24"/>
              </w:rPr>
              <w:t>diaré</w:t>
            </w:r>
            <w:proofErr w:type="spellEnd"/>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Hud og subkutane væv</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Udslæt</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r w:rsidR="00B72178" w:rsidRPr="00493BE9" w:rsidTr="003B4BCE">
        <w:tc>
          <w:tcPr>
            <w:tcW w:w="8788" w:type="dxa"/>
            <w:gridSpan w:val="2"/>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Almene symptomer og reaktioner på administrationsstedet</w:t>
            </w:r>
          </w:p>
        </w:tc>
      </w:tr>
      <w:tr w:rsidR="00B72178" w:rsidRPr="00493BE9" w:rsidTr="003B4BCE">
        <w:tc>
          <w:tcPr>
            <w:tcW w:w="4650"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Feber</w:t>
            </w:r>
          </w:p>
        </w:tc>
        <w:tc>
          <w:tcPr>
            <w:tcW w:w="413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Almindelig</w:t>
            </w:r>
          </w:p>
        </w:tc>
      </w:tr>
    </w:tbl>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Bivirkninger, der er indberettet efter markedsføring:</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72178" w:rsidRPr="00140065"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140065" w:rsidRDefault="00B72178" w:rsidP="003B4BCE">
            <w:pPr>
              <w:rPr>
                <w:b/>
                <w:sz w:val="24"/>
                <w:szCs w:val="24"/>
                <w:lang w:eastAsia="de-DE"/>
              </w:rPr>
            </w:pPr>
            <w:r w:rsidRPr="00140065">
              <w:rPr>
                <w:b/>
                <w:sz w:val="24"/>
                <w:szCs w:val="24"/>
                <w:lang w:eastAsia="de-DE"/>
              </w:rPr>
              <w:t>Bivirkning*</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Immunsystemet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r w:rsidRPr="00493BE9">
              <w:rPr>
                <w:sz w:val="24"/>
                <w:szCs w:val="24"/>
              </w:rPr>
              <w:t xml:space="preserve">Overfølsomhed, </w:t>
            </w:r>
            <w:proofErr w:type="spellStart"/>
            <w:r w:rsidRPr="00493BE9">
              <w:rPr>
                <w:sz w:val="24"/>
                <w:szCs w:val="24"/>
              </w:rPr>
              <w:t>anafylaktisk</w:t>
            </w:r>
            <w:proofErr w:type="spellEnd"/>
            <w:r w:rsidRPr="00493BE9">
              <w:rPr>
                <w:sz w:val="24"/>
                <w:szCs w:val="24"/>
              </w:rPr>
              <w:t xml:space="preserve"> reaktion, </w:t>
            </w:r>
            <w:proofErr w:type="gramStart"/>
            <w:r w:rsidRPr="00493BE9">
              <w:rPr>
                <w:sz w:val="24"/>
                <w:szCs w:val="24"/>
              </w:rPr>
              <w:t>inklusiv</w:t>
            </w:r>
            <w:proofErr w:type="gramEnd"/>
            <w:r w:rsidRPr="00493BE9">
              <w:rPr>
                <w:sz w:val="24"/>
                <w:szCs w:val="24"/>
              </w:rPr>
              <w:t xml:space="preserve"> chok</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Metabolisme og ernæring</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r w:rsidRPr="00493BE9">
              <w:rPr>
                <w:sz w:val="24"/>
                <w:szCs w:val="24"/>
              </w:rPr>
              <w:t>Nedsat appetit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Nervesystemet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lang w:eastAsia="de-DE"/>
              </w:rPr>
            </w:pPr>
            <w:proofErr w:type="spellStart"/>
            <w:r w:rsidRPr="00493BE9">
              <w:rPr>
                <w:sz w:val="24"/>
                <w:szCs w:val="24"/>
              </w:rPr>
              <w:t>Paræstesi</w:t>
            </w:r>
            <w:proofErr w:type="spellEnd"/>
            <w:r w:rsidRPr="00493BE9">
              <w:rPr>
                <w:sz w:val="24"/>
                <w:szCs w:val="24"/>
              </w:rPr>
              <w:t>, svimmelhed</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lang w:eastAsia="de-DE"/>
              </w:rPr>
            </w:pPr>
            <w:r w:rsidRPr="00493BE9">
              <w:rPr>
                <w:i/>
                <w:sz w:val="24"/>
                <w:szCs w:val="24"/>
              </w:rPr>
              <w:t>Mave-tarm-kanalen</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Luft i maven, oppustethed</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Hud og subkutane væv</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proofErr w:type="spellStart"/>
            <w:r w:rsidRPr="00493BE9">
              <w:rPr>
                <w:sz w:val="24"/>
                <w:szCs w:val="24"/>
              </w:rPr>
              <w:t>Dermatitis</w:t>
            </w:r>
            <w:proofErr w:type="spellEnd"/>
            <w:r w:rsidRPr="00493BE9">
              <w:rPr>
                <w:sz w:val="24"/>
                <w:szCs w:val="24"/>
              </w:rPr>
              <w:t xml:space="preserve">, kløe, </w:t>
            </w:r>
            <w:proofErr w:type="spellStart"/>
            <w:r w:rsidRPr="00493BE9">
              <w:rPr>
                <w:sz w:val="24"/>
                <w:szCs w:val="24"/>
              </w:rPr>
              <w:t>urticaria</w:t>
            </w:r>
            <w:proofErr w:type="spellEnd"/>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Knogler, led, muskler og bindevæv</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proofErr w:type="spellStart"/>
            <w:r w:rsidRPr="00493BE9">
              <w:rPr>
                <w:sz w:val="24"/>
                <w:szCs w:val="24"/>
              </w:rPr>
              <w:t>Artralgi</w:t>
            </w:r>
            <w:proofErr w:type="spellEnd"/>
            <w:r w:rsidRPr="00493BE9">
              <w:rPr>
                <w:sz w:val="24"/>
                <w:szCs w:val="24"/>
              </w:rPr>
              <w:t>, myalgi, rygsmerter</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i/>
                <w:sz w:val="24"/>
                <w:szCs w:val="24"/>
              </w:rPr>
            </w:pPr>
            <w:r w:rsidRPr="00493BE9">
              <w:rPr>
                <w:i/>
                <w:sz w:val="24"/>
                <w:szCs w:val="24"/>
              </w:rPr>
              <w:t>Almene symptomer og reaktioner på administrationsstedet</w:t>
            </w:r>
          </w:p>
        </w:tc>
      </w:tr>
      <w:tr w:rsidR="00B72178" w:rsidRPr="00493BE9" w:rsidTr="003B4BCE">
        <w:tc>
          <w:tcPr>
            <w:tcW w:w="8788" w:type="dxa"/>
            <w:tcBorders>
              <w:top w:val="single" w:sz="4" w:space="0" w:color="auto"/>
              <w:left w:val="single" w:sz="4" w:space="0" w:color="auto"/>
              <w:bottom w:val="single" w:sz="4" w:space="0" w:color="auto"/>
              <w:right w:val="single" w:sz="4" w:space="0" w:color="auto"/>
            </w:tcBorders>
            <w:hideMark/>
          </w:tcPr>
          <w:p w:rsidR="00B72178" w:rsidRPr="00493BE9" w:rsidRDefault="00B72178" w:rsidP="003B4BCE">
            <w:pPr>
              <w:rPr>
                <w:sz w:val="24"/>
                <w:szCs w:val="24"/>
              </w:rPr>
            </w:pPr>
            <w:r w:rsidRPr="00493BE9">
              <w:rPr>
                <w:sz w:val="24"/>
                <w:szCs w:val="24"/>
              </w:rPr>
              <w:t>Asteni, ildebefindende, træthed, kulderystelser, influenzalignende sygdom</w:t>
            </w:r>
          </w:p>
        </w:tc>
      </w:tr>
    </w:tbl>
    <w:p w:rsidR="00B72178" w:rsidRPr="00A11A99" w:rsidRDefault="00B72178" w:rsidP="00B72178">
      <w:pPr>
        <w:pStyle w:val="BodyTextSPC"/>
        <w:tabs>
          <w:tab w:val="clear" w:pos="567"/>
        </w:tabs>
        <w:ind w:left="851"/>
        <w:rPr>
          <w:sz w:val="24"/>
          <w:szCs w:val="24"/>
          <w:lang w:eastAsia="de-DE"/>
        </w:rPr>
      </w:pPr>
      <w:r w:rsidRPr="00A11A99">
        <w:rPr>
          <w:sz w:val="24"/>
          <w:szCs w:val="24"/>
          <w:lang w:eastAsia="de-DE"/>
        </w:rPr>
        <w:t>*Det er ikke muligt at fastslå hyppigheden af disse bivirkninger, da de er indberettet spontant fra en population af ukendt størrelse i perioden efter markedsføring. Hyppigheden af disse bivirkninger er derfor ukendt.</w:t>
      </w:r>
    </w:p>
    <w:p w:rsidR="00B72178" w:rsidRPr="00A11A99" w:rsidRDefault="00B72178" w:rsidP="00B72178">
      <w:pPr>
        <w:pStyle w:val="BodyTextSPC"/>
        <w:tabs>
          <w:tab w:val="clear" w:pos="567"/>
        </w:tabs>
        <w:ind w:left="851" w:hanging="851"/>
        <w:rPr>
          <w:sz w:val="24"/>
          <w:szCs w:val="24"/>
          <w:lang w:eastAsia="de-DE"/>
        </w:rPr>
      </w:pPr>
    </w:p>
    <w:p w:rsidR="00B72178" w:rsidRPr="00493BE9" w:rsidRDefault="00B72178" w:rsidP="00B72178">
      <w:pPr>
        <w:ind w:left="851"/>
        <w:rPr>
          <w:sz w:val="24"/>
          <w:szCs w:val="24"/>
          <w:u w:val="single"/>
          <w:lang w:eastAsia="de-DE"/>
        </w:rPr>
      </w:pPr>
      <w:r w:rsidRPr="00493BE9">
        <w:rPr>
          <w:sz w:val="24"/>
          <w:szCs w:val="24"/>
          <w:u w:val="single"/>
          <w:lang w:eastAsia="de-DE"/>
        </w:rPr>
        <w:t>Pædiatrisk population</w:t>
      </w:r>
    </w:p>
    <w:p w:rsidR="00B72178" w:rsidRPr="00493BE9" w:rsidRDefault="00B72178" w:rsidP="00B72178">
      <w:pPr>
        <w:ind w:left="851"/>
        <w:rPr>
          <w:sz w:val="24"/>
          <w:szCs w:val="24"/>
          <w:lang w:eastAsia="de-DE"/>
        </w:rPr>
      </w:pPr>
      <w:r w:rsidRPr="00493BE9">
        <w:rPr>
          <w:sz w:val="24"/>
          <w:szCs w:val="24"/>
          <w:lang w:eastAsia="de-DE"/>
        </w:rPr>
        <w:t>Bivirkningernes hyppighed, type og sværhedsgrad hos børn forventes at være de samme som hos voksne.</w:t>
      </w:r>
    </w:p>
    <w:p w:rsidR="00B72178" w:rsidRPr="00493BE9" w:rsidRDefault="00B72178" w:rsidP="00B72178">
      <w:pPr>
        <w:ind w:left="851"/>
        <w:rPr>
          <w:sz w:val="24"/>
          <w:szCs w:val="24"/>
          <w:lang w:eastAsia="de-DE"/>
        </w:rPr>
      </w:pPr>
    </w:p>
    <w:p w:rsidR="00B72178" w:rsidRPr="00493BE9" w:rsidRDefault="00B72178" w:rsidP="00B72178">
      <w:pPr>
        <w:ind w:left="851"/>
        <w:rPr>
          <w:sz w:val="24"/>
          <w:szCs w:val="24"/>
          <w:u w:val="single"/>
        </w:rPr>
      </w:pPr>
      <w:r w:rsidRPr="00493BE9">
        <w:rPr>
          <w:sz w:val="24"/>
          <w:szCs w:val="24"/>
          <w:u w:val="single"/>
        </w:rPr>
        <w:t>Indberetning af formodede bivirkninger</w:t>
      </w:r>
    </w:p>
    <w:p w:rsidR="00B72178" w:rsidRPr="00493BE9" w:rsidRDefault="00B72178" w:rsidP="00B72178">
      <w:pPr>
        <w:ind w:left="851"/>
        <w:rPr>
          <w:sz w:val="24"/>
          <w:szCs w:val="24"/>
        </w:rPr>
      </w:pPr>
      <w:r w:rsidRPr="00493BE9">
        <w:rPr>
          <w:sz w:val="24"/>
          <w:szCs w:val="24"/>
        </w:rPr>
        <w:t>Når lægemidlet er godkendt, er indberetning af formodede bivirkninger vigtig. Det muliggør løbende overvågning af benefit/</w:t>
      </w:r>
      <w:proofErr w:type="spellStart"/>
      <w:r w:rsidRPr="00493BE9">
        <w:rPr>
          <w:sz w:val="24"/>
          <w:szCs w:val="24"/>
        </w:rPr>
        <w:t>risk</w:t>
      </w:r>
      <w:proofErr w:type="spellEnd"/>
      <w:r w:rsidRPr="00493BE9">
        <w:rPr>
          <w:sz w:val="24"/>
          <w:szCs w:val="24"/>
        </w:rPr>
        <w:t xml:space="preserve">-forholdet for lægemidlet. </w:t>
      </w:r>
      <w:r w:rsidR="0030188F">
        <w:rPr>
          <w:sz w:val="24"/>
          <w:szCs w:val="24"/>
        </w:rPr>
        <w:t>S</w:t>
      </w:r>
      <w:r w:rsidRPr="00493BE9">
        <w:rPr>
          <w:sz w:val="24"/>
          <w:szCs w:val="24"/>
        </w:rPr>
        <w:t>undhedsperson</w:t>
      </w:r>
      <w:r w:rsidR="0030188F">
        <w:rPr>
          <w:sz w:val="24"/>
          <w:szCs w:val="24"/>
        </w:rPr>
        <w:t>er</w:t>
      </w:r>
      <w:r w:rsidRPr="00493BE9">
        <w:rPr>
          <w:sz w:val="24"/>
          <w:szCs w:val="24"/>
        </w:rPr>
        <w:t xml:space="preserve"> anmodes om at indberette alle formodede bivirkninger via:</w:t>
      </w:r>
    </w:p>
    <w:p w:rsidR="00B72178" w:rsidRPr="00493BE9" w:rsidRDefault="00B72178" w:rsidP="00B72178">
      <w:pPr>
        <w:ind w:left="851"/>
        <w:rPr>
          <w:sz w:val="24"/>
          <w:szCs w:val="24"/>
        </w:rPr>
      </w:pPr>
    </w:p>
    <w:p w:rsidR="00B72178" w:rsidRPr="00493BE9" w:rsidRDefault="00B72178" w:rsidP="00B72178">
      <w:pPr>
        <w:ind w:left="851"/>
        <w:rPr>
          <w:sz w:val="24"/>
          <w:szCs w:val="24"/>
        </w:rPr>
      </w:pPr>
      <w:r w:rsidRPr="00493BE9">
        <w:rPr>
          <w:sz w:val="24"/>
          <w:szCs w:val="24"/>
        </w:rPr>
        <w:t>Lægemiddelstyrelsen</w:t>
      </w:r>
    </w:p>
    <w:p w:rsidR="00B72178" w:rsidRPr="00493BE9" w:rsidRDefault="00B72178" w:rsidP="00B72178">
      <w:pPr>
        <w:ind w:left="851"/>
        <w:rPr>
          <w:sz w:val="24"/>
          <w:szCs w:val="24"/>
        </w:rPr>
      </w:pPr>
      <w:r w:rsidRPr="00493BE9">
        <w:rPr>
          <w:sz w:val="24"/>
          <w:szCs w:val="24"/>
        </w:rPr>
        <w:t>Axel Heides Gade 1</w:t>
      </w:r>
    </w:p>
    <w:p w:rsidR="00B72178" w:rsidRPr="00493BE9" w:rsidRDefault="00B72178" w:rsidP="00B72178">
      <w:pPr>
        <w:ind w:left="851"/>
        <w:rPr>
          <w:sz w:val="24"/>
          <w:szCs w:val="24"/>
        </w:rPr>
      </w:pPr>
      <w:r w:rsidRPr="00493BE9">
        <w:rPr>
          <w:sz w:val="24"/>
          <w:szCs w:val="24"/>
        </w:rPr>
        <w:t>DK-2300 København S</w:t>
      </w:r>
    </w:p>
    <w:p w:rsidR="00B72178" w:rsidRPr="001C6614" w:rsidRDefault="00B72178" w:rsidP="00B35160">
      <w:pPr>
        <w:ind w:left="851"/>
        <w:rPr>
          <w:sz w:val="24"/>
          <w:szCs w:val="24"/>
        </w:rPr>
      </w:pPr>
      <w:r w:rsidRPr="001C6614">
        <w:rPr>
          <w:sz w:val="24"/>
          <w:szCs w:val="24"/>
        </w:rPr>
        <w:t xml:space="preserve">Websted: </w:t>
      </w:r>
      <w:hyperlink r:id="rId8" w:history="1">
        <w:r w:rsidR="00B35160" w:rsidRPr="001C6614">
          <w:rPr>
            <w:rStyle w:val="Hyperlink"/>
            <w:sz w:val="24"/>
            <w:szCs w:val="24"/>
          </w:rPr>
          <w:t>www.meldenbivirkning.dk</w:t>
        </w:r>
      </w:hyperlink>
      <w:r w:rsidR="00B35160" w:rsidRPr="001C6614">
        <w:rPr>
          <w:sz w:val="24"/>
          <w:szCs w:val="24"/>
        </w:rPr>
        <w:t xml:space="preserve"> </w:t>
      </w:r>
    </w:p>
    <w:p w:rsidR="00B72178" w:rsidRPr="001C6614" w:rsidRDefault="00B72178" w:rsidP="00B72178">
      <w:pPr>
        <w:rPr>
          <w:sz w:val="24"/>
          <w:szCs w:val="24"/>
          <w:lang w:eastAsia="da-DK"/>
        </w:rPr>
      </w:pPr>
      <w:r w:rsidRPr="001C6614">
        <w:rPr>
          <w:szCs w:val="24"/>
        </w:rPr>
        <w:br w:type="page"/>
      </w:r>
    </w:p>
    <w:p w:rsidR="00B72178" w:rsidRPr="001C6614" w:rsidRDefault="00B72178" w:rsidP="00B72178">
      <w:pPr>
        <w:pStyle w:val="Sidehoved"/>
        <w:tabs>
          <w:tab w:val="clear" w:pos="4819"/>
          <w:tab w:val="clear" w:pos="9638"/>
        </w:tabs>
        <w:ind w:left="851" w:hanging="851"/>
        <w:rPr>
          <w:szCs w:val="24"/>
        </w:rPr>
      </w:pPr>
    </w:p>
    <w:p w:rsidR="00B72178" w:rsidRPr="00A11A99" w:rsidRDefault="00B72178" w:rsidP="00B72178">
      <w:pPr>
        <w:ind w:left="851" w:hanging="851"/>
        <w:rPr>
          <w:b/>
          <w:sz w:val="24"/>
          <w:szCs w:val="24"/>
        </w:rPr>
      </w:pPr>
      <w:r w:rsidRPr="00A11A99">
        <w:rPr>
          <w:b/>
          <w:sz w:val="24"/>
          <w:szCs w:val="24"/>
        </w:rPr>
        <w:t>4.9</w:t>
      </w:r>
      <w:r w:rsidRPr="00A11A99">
        <w:rPr>
          <w:b/>
          <w:sz w:val="24"/>
          <w:szCs w:val="24"/>
        </w:rPr>
        <w:tab/>
        <w:t>Overdosering</w:t>
      </w:r>
    </w:p>
    <w:p w:rsidR="00B72178" w:rsidRPr="00493BE9" w:rsidRDefault="00B72178" w:rsidP="00B72178">
      <w:pPr>
        <w:ind w:left="851"/>
        <w:rPr>
          <w:sz w:val="24"/>
          <w:szCs w:val="24"/>
        </w:rPr>
      </w:pPr>
      <w:r w:rsidRPr="00493BE9">
        <w:rPr>
          <w:sz w:val="24"/>
          <w:szCs w:val="24"/>
        </w:rPr>
        <w:t xml:space="preserve">Der er lejlighedsvis modtaget rapporter om overdosering, dvs. indtagelse af to eller flere kapsler samtidigt. De rapporterede symptomer adskilte sig ikke fra dem, der ses ved den anbefalede dosering.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4.10</w:t>
      </w:r>
      <w:r w:rsidRPr="00A11A99">
        <w:rPr>
          <w:b/>
          <w:sz w:val="24"/>
          <w:szCs w:val="24"/>
        </w:rPr>
        <w:tab/>
        <w:t>Udlevering</w:t>
      </w:r>
    </w:p>
    <w:p w:rsidR="00B72178" w:rsidRPr="00A11A99" w:rsidRDefault="00B72178" w:rsidP="00B72178">
      <w:pPr>
        <w:ind w:left="851"/>
        <w:rPr>
          <w:sz w:val="24"/>
          <w:szCs w:val="24"/>
        </w:rPr>
      </w:pPr>
      <w:r w:rsidRPr="00A11A99">
        <w:rPr>
          <w:sz w:val="24"/>
          <w:szCs w:val="24"/>
        </w:rPr>
        <w:t>B</w:t>
      </w:r>
    </w:p>
    <w:p w:rsidR="00B72178" w:rsidRPr="00A11A99" w:rsidRDefault="00B72178" w:rsidP="00B72178">
      <w:pPr>
        <w:ind w:left="851" w:hanging="851"/>
        <w:rPr>
          <w:sz w:val="24"/>
          <w:szCs w:val="24"/>
        </w:rPr>
      </w:pP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w:t>
      </w:r>
      <w:r w:rsidRPr="00A11A99">
        <w:rPr>
          <w:b/>
          <w:sz w:val="24"/>
          <w:szCs w:val="24"/>
        </w:rPr>
        <w:tab/>
        <w:t>FARMAKOLOGISKE EGENSKABER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5.1</w:t>
      </w:r>
      <w:r w:rsidRPr="00A11A99">
        <w:rPr>
          <w:b/>
          <w:sz w:val="24"/>
          <w:szCs w:val="24"/>
        </w:rPr>
        <w:tab/>
      </w:r>
      <w:proofErr w:type="spellStart"/>
      <w:r w:rsidRPr="00A11A99">
        <w:rPr>
          <w:b/>
          <w:sz w:val="24"/>
          <w:szCs w:val="24"/>
        </w:rPr>
        <w:t>Farmakodynamiske</w:t>
      </w:r>
      <w:proofErr w:type="spellEnd"/>
      <w:r w:rsidRPr="00A11A99">
        <w:rPr>
          <w:b/>
          <w:sz w:val="24"/>
          <w:szCs w:val="24"/>
        </w:rPr>
        <w:t xml:space="preserve"> egenskaber</w:t>
      </w:r>
    </w:p>
    <w:p w:rsidR="00B72178" w:rsidRDefault="0030188F" w:rsidP="00B72178">
      <w:pPr>
        <w:pStyle w:val="BodyTextSPC"/>
        <w:tabs>
          <w:tab w:val="clear" w:pos="567"/>
        </w:tabs>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11A99">
        <w:rPr>
          <w:sz w:val="24"/>
          <w:szCs w:val="24"/>
        </w:rPr>
        <w:t>Bakterielle vacciner</w:t>
      </w:r>
      <w:r>
        <w:rPr>
          <w:sz w:val="24"/>
          <w:szCs w:val="24"/>
        </w:rPr>
        <w:t>.</w:t>
      </w:r>
      <w:r>
        <w:rPr>
          <w:sz w:val="24"/>
          <w:szCs w:val="24"/>
        </w:rPr>
        <w:t xml:space="preserve"> </w:t>
      </w:r>
      <w:r w:rsidRPr="00A11A99">
        <w:rPr>
          <w:sz w:val="24"/>
          <w:szCs w:val="24"/>
        </w:rPr>
        <w:t>ATC-kode: J</w:t>
      </w:r>
      <w:r>
        <w:rPr>
          <w:sz w:val="24"/>
          <w:szCs w:val="24"/>
        </w:rPr>
        <w:t xml:space="preserve"> </w:t>
      </w:r>
      <w:r w:rsidRPr="00A11A99">
        <w:rPr>
          <w:sz w:val="24"/>
          <w:szCs w:val="24"/>
        </w:rPr>
        <w:t>07</w:t>
      </w:r>
      <w:r>
        <w:rPr>
          <w:sz w:val="24"/>
          <w:szCs w:val="24"/>
        </w:rPr>
        <w:t xml:space="preserve"> </w:t>
      </w:r>
      <w:r w:rsidRPr="00A11A99">
        <w:rPr>
          <w:sz w:val="24"/>
          <w:szCs w:val="24"/>
        </w:rPr>
        <w:t>AP</w:t>
      </w:r>
      <w:r>
        <w:rPr>
          <w:sz w:val="24"/>
          <w:szCs w:val="24"/>
        </w:rPr>
        <w:t xml:space="preserve"> </w:t>
      </w:r>
      <w:r w:rsidRPr="00A11A99">
        <w:rPr>
          <w:sz w:val="24"/>
          <w:szCs w:val="24"/>
        </w:rPr>
        <w:t>01</w:t>
      </w:r>
      <w:r>
        <w:rPr>
          <w:sz w:val="24"/>
          <w:szCs w:val="24"/>
        </w:rPr>
        <w:t>.</w:t>
      </w:r>
    </w:p>
    <w:p w:rsidR="0030188F" w:rsidRPr="0030188F" w:rsidRDefault="0030188F"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u w:val="single"/>
        </w:rPr>
      </w:pPr>
      <w:r w:rsidRPr="00A11A99">
        <w:rPr>
          <w:sz w:val="24"/>
          <w:szCs w:val="24"/>
          <w:u w:val="single"/>
        </w:rPr>
        <w:t>Virkningsmekanisme</w:t>
      </w:r>
    </w:p>
    <w:p w:rsidR="00B72178" w:rsidRPr="00A11A99" w:rsidRDefault="00B72178" w:rsidP="00B72178">
      <w:pPr>
        <w:pStyle w:val="BodyTextSPC"/>
        <w:tabs>
          <w:tab w:val="clear" w:pos="567"/>
        </w:tabs>
        <w:ind w:left="851" w:hanging="851"/>
        <w:rPr>
          <w:sz w:val="24"/>
          <w:szCs w:val="24"/>
          <w:u w:val="single"/>
        </w:rPr>
      </w:pPr>
    </w:p>
    <w:p w:rsidR="00B72178" w:rsidRPr="00A11A99" w:rsidRDefault="00B72178" w:rsidP="00B72178">
      <w:pPr>
        <w:pStyle w:val="BodyTextSPC"/>
        <w:tabs>
          <w:tab w:val="clear" w:pos="567"/>
        </w:tabs>
        <w:ind w:left="851"/>
        <w:rPr>
          <w:sz w:val="24"/>
          <w:szCs w:val="24"/>
        </w:rPr>
      </w:pPr>
      <w:r w:rsidRPr="00A11A99">
        <w:rPr>
          <w:sz w:val="24"/>
          <w:szCs w:val="24"/>
        </w:rPr>
        <w:t xml:space="preserve">I modsætning til virulent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der kan forårsage systemisk sygdom, er vaccine</w:t>
      </w:r>
      <w:r>
        <w:rPr>
          <w:sz w:val="24"/>
          <w:szCs w:val="24"/>
        </w:rPr>
        <w:softHyphen/>
      </w:r>
      <w:r w:rsidRPr="00A11A99">
        <w:rPr>
          <w:sz w:val="24"/>
          <w:szCs w:val="24"/>
        </w:rPr>
        <w:t xml:space="preserve">stammen Ty21a svækket som følge af manglen på virulensfaktoren Vi </w:t>
      </w:r>
      <w:proofErr w:type="spellStart"/>
      <w:r w:rsidRPr="00A11A99">
        <w:rPr>
          <w:sz w:val="24"/>
          <w:szCs w:val="24"/>
        </w:rPr>
        <w:t>kapselpolysaccharid</w:t>
      </w:r>
      <w:proofErr w:type="spellEnd"/>
      <w:r w:rsidRPr="00A11A99">
        <w:rPr>
          <w:sz w:val="24"/>
          <w:szCs w:val="24"/>
        </w:rPr>
        <w:t xml:space="preserve"> og </w:t>
      </w:r>
      <w:proofErr w:type="spellStart"/>
      <w:r w:rsidRPr="00A11A99">
        <w:rPr>
          <w:i/>
          <w:sz w:val="24"/>
          <w:szCs w:val="24"/>
        </w:rPr>
        <w:t>galE</w:t>
      </w:r>
      <w:proofErr w:type="spellEnd"/>
      <w:r w:rsidRPr="00A11A99">
        <w:rPr>
          <w:sz w:val="24"/>
          <w:szCs w:val="24"/>
        </w:rPr>
        <w:t xml:space="preserve">-mutationen, der medfører irreversible ændringer i cellevæggens biosyntese. </w:t>
      </w:r>
      <w:proofErr w:type="spellStart"/>
      <w:r w:rsidRPr="00A11A99">
        <w:rPr>
          <w:i/>
          <w:sz w:val="24"/>
          <w:szCs w:val="24"/>
        </w:rPr>
        <w:t>GalE</w:t>
      </w:r>
      <w:proofErr w:type="spellEnd"/>
      <w:r w:rsidRPr="00A11A99">
        <w:rPr>
          <w:sz w:val="24"/>
          <w:szCs w:val="24"/>
        </w:rPr>
        <w:t xml:space="preserve">-mutationen begrænser replikationen </w:t>
      </w:r>
      <w:r w:rsidRPr="00A11A99">
        <w:rPr>
          <w:i/>
          <w:sz w:val="24"/>
          <w:szCs w:val="24"/>
        </w:rPr>
        <w:t xml:space="preserve">in </w:t>
      </w:r>
      <w:proofErr w:type="spellStart"/>
      <w:r w:rsidRPr="00A11A99">
        <w:rPr>
          <w:i/>
          <w:sz w:val="24"/>
          <w:szCs w:val="24"/>
        </w:rPr>
        <w:t>vivo</w:t>
      </w:r>
      <w:proofErr w:type="spellEnd"/>
      <w:r w:rsidRPr="00A11A99">
        <w:rPr>
          <w:sz w:val="24"/>
          <w:szCs w:val="24"/>
        </w:rPr>
        <w:t xml:space="preserve"> på grund af en akkumulering af toksiske metabolitter, der forårsager </w:t>
      </w:r>
      <w:proofErr w:type="spellStart"/>
      <w:r w:rsidRPr="00A11A99">
        <w:rPr>
          <w:sz w:val="24"/>
          <w:szCs w:val="24"/>
        </w:rPr>
        <w:t>lysering</w:t>
      </w:r>
      <w:proofErr w:type="spellEnd"/>
      <w:r w:rsidRPr="00A11A99">
        <w:rPr>
          <w:sz w:val="24"/>
          <w:szCs w:val="24"/>
        </w:rPr>
        <w:t xml:space="preserve"> i bakteriecellen. Vaccinestammen Ty21a forbliver således lokalt i tarmen og kan ikke påvises systemisk eller i fæces efter indtagelse af den sædvanlige dosis. Ty21a udløser </w:t>
      </w:r>
      <w:proofErr w:type="spellStart"/>
      <w:r w:rsidRPr="00A11A99">
        <w:rPr>
          <w:sz w:val="24"/>
          <w:szCs w:val="24"/>
        </w:rPr>
        <w:t>humoral</w:t>
      </w:r>
      <w:proofErr w:type="spellEnd"/>
      <w:r w:rsidRPr="00A11A99">
        <w:rPr>
          <w:sz w:val="24"/>
          <w:szCs w:val="24"/>
        </w:rPr>
        <w:t xml:space="preserve"> og cellulær immunitet, både lokalt og systemisk. Ty21a inducerer specifikt </w:t>
      </w:r>
      <w:proofErr w:type="spellStart"/>
      <w:r w:rsidRPr="00A11A99">
        <w:rPr>
          <w:sz w:val="24"/>
          <w:szCs w:val="24"/>
        </w:rPr>
        <w:t>IgA</w:t>
      </w:r>
      <w:proofErr w:type="spellEnd"/>
      <w:r w:rsidRPr="00A11A99">
        <w:rPr>
          <w:sz w:val="24"/>
          <w:szCs w:val="24"/>
        </w:rPr>
        <w:t xml:space="preserve"> til </w:t>
      </w:r>
      <w:r w:rsidRPr="00A11A99">
        <w:rPr>
          <w:i/>
          <w:sz w:val="24"/>
          <w:szCs w:val="24"/>
        </w:rPr>
        <w:t>Salmonella</w:t>
      </w:r>
      <w:r w:rsidRPr="00A11A99">
        <w:rPr>
          <w:sz w:val="24"/>
          <w:szCs w:val="24"/>
        </w:rPr>
        <w:t xml:space="preserve"> O-antigen samt antistof-udskillende celler (</w:t>
      </w:r>
      <w:proofErr w:type="spellStart"/>
      <w:r w:rsidRPr="00A11A99">
        <w:rPr>
          <w:sz w:val="24"/>
          <w:szCs w:val="24"/>
        </w:rPr>
        <w:t>ASC’er</w:t>
      </w:r>
      <w:proofErr w:type="spellEnd"/>
      <w:r w:rsidRPr="00A11A99">
        <w:rPr>
          <w:sz w:val="24"/>
          <w:szCs w:val="24"/>
        </w:rPr>
        <w:t xml:space="preserve">) og polyfunktionelle CD4+ og CD8+ T-celler med en tarm-målsøgende fænotype. </w:t>
      </w:r>
      <w:proofErr w:type="spellStart"/>
      <w:r w:rsidRPr="00A11A99">
        <w:rPr>
          <w:sz w:val="24"/>
          <w:szCs w:val="24"/>
        </w:rPr>
        <w:t>IgA</w:t>
      </w:r>
      <w:proofErr w:type="spellEnd"/>
      <w:r w:rsidRPr="00A11A99">
        <w:rPr>
          <w:sz w:val="24"/>
          <w:szCs w:val="24"/>
        </w:rPr>
        <w:t>- og CD8+ reaktionerne kan påvises i mave-tarm-kanalen op til 2 år efter Ty21a-vaccination.</w:t>
      </w:r>
    </w:p>
    <w:p w:rsidR="00B72178" w:rsidRPr="00A11A99" w:rsidRDefault="00B72178" w:rsidP="00B72178">
      <w:pPr>
        <w:pStyle w:val="BodyTextSPC"/>
        <w:tabs>
          <w:tab w:val="clear" w:pos="567"/>
        </w:tabs>
        <w:ind w:left="851" w:hanging="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Der blev gennemført et kontrolleret challenge-studie uden placebo med en tidlig formulering og </w:t>
      </w:r>
      <w:proofErr w:type="spellStart"/>
      <w:r w:rsidRPr="00A11A99">
        <w:rPr>
          <w:sz w:val="24"/>
          <w:szCs w:val="24"/>
        </w:rPr>
        <w:t>doseringsregimen</w:t>
      </w:r>
      <w:proofErr w:type="spellEnd"/>
      <w:r w:rsidRPr="00A11A99">
        <w:rPr>
          <w:sz w:val="24"/>
          <w:szCs w:val="24"/>
        </w:rPr>
        <w:t xml:space="preserve"> af Ty21a med deltagere fra USA, hvor 87 % beskyttelse mod virulent </w:t>
      </w:r>
      <w:r w:rsidRPr="00A11A99">
        <w:rPr>
          <w:i/>
          <w:sz w:val="24"/>
          <w:szCs w:val="24"/>
        </w:rPr>
        <w:t>S</w:t>
      </w:r>
      <w:r w:rsidRPr="00A11A99">
        <w:rPr>
          <w:sz w:val="24"/>
          <w:szCs w:val="24"/>
        </w:rPr>
        <w:t xml:space="preserve">. </w:t>
      </w:r>
      <w:proofErr w:type="spellStart"/>
      <w:r w:rsidRPr="00A11A99">
        <w:rPr>
          <w:sz w:val="24"/>
          <w:szCs w:val="24"/>
        </w:rPr>
        <w:t>Typhi</w:t>
      </w:r>
      <w:proofErr w:type="spellEnd"/>
      <w:r w:rsidRPr="00A11A99">
        <w:rPr>
          <w:sz w:val="24"/>
          <w:szCs w:val="24"/>
        </w:rPr>
        <w:t xml:space="preserve"> blev påvist efter vaccination.</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Klinisk beskyttelse mod andre </w:t>
      </w:r>
      <w:proofErr w:type="spellStart"/>
      <w:r w:rsidRPr="00A11A99">
        <w:rPr>
          <w:sz w:val="24"/>
          <w:szCs w:val="24"/>
        </w:rPr>
        <w:t>enteriske</w:t>
      </w:r>
      <w:proofErr w:type="spellEnd"/>
      <w:r w:rsidRPr="00A11A99">
        <w:rPr>
          <w:sz w:val="24"/>
          <w:szCs w:val="24"/>
        </w:rPr>
        <w:t xml:space="preserve"> feberudløsende midler, herunder </w:t>
      </w:r>
      <w:r w:rsidRPr="00A11A99">
        <w:rPr>
          <w:i/>
          <w:sz w:val="24"/>
          <w:szCs w:val="24"/>
        </w:rPr>
        <w:t>S</w:t>
      </w:r>
      <w:r w:rsidRPr="00A11A99">
        <w:rPr>
          <w:sz w:val="24"/>
          <w:szCs w:val="24"/>
        </w:rPr>
        <w:t xml:space="preserve">. </w:t>
      </w:r>
      <w:proofErr w:type="spellStart"/>
      <w:r w:rsidRPr="00A11A99">
        <w:rPr>
          <w:sz w:val="24"/>
          <w:szCs w:val="24"/>
        </w:rPr>
        <w:t>Paratyphi</w:t>
      </w:r>
      <w:proofErr w:type="spellEnd"/>
      <w:r w:rsidRPr="00A11A99">
        <w:rPr>
          <w:sz w:val="24"/>
          <w:szCs w:val="24"/>
        </w:rPr>
        <w:t>, er ikke blevet påvist i randomiserede, kontrollerede kliniske studier.</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Et regime bestående af tre doser af </w:t>
      </w:r>
      <w:proofErr w:type="spellStart"/>
      <w:r w:rsidRPr="00A11A99">
        <w:rPr>
          <w:sz w:val="24"/>
          <w:szCs w:val="24"/>
        </w:rPr>
        <w:t>enterokapsler</w:t>
      </w:r>
      <w:proofErr w:type="spellEnd"/>
      <w:r w:rsidRPr="00A11A99">
        <w:rPr>
          <w:sz w:val="24"/>
          <w:szCs w:val="24"/>
        </w:rPr>
        <w:t xml:space="preserve"> givet hver anden dag, 3 kapsler totalt, har i et feltstudie vist sig at have en beskyttelseseffekt på 71 % (95 % CI 35 %-87 %) i det første år efter vaccination, på 67 % (95 % CI 47 %-79 %) ved opfølgning efter tre år og på 62 % (95 % CI 48 %-73 %) ved opfølgning efter syv år.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Komplet vaccination omfatter indtagelse af tre kapsler, en kapsel på hver af dagene 1, 3 og 5. Det optimale immunrespons opnås muligvis ikke, medmindre hele vaccinationsskemaet er fuldført. To doser har vist sig at have en effekt på 59 % (95 % CI 41 %-71 %), og en enkelt dosis havde en effekt på 29 % (95 % CI 4 %-47 %) ved opfølgning efter to år.</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Revaccinationsstudier på raske frivillige viste, at den lokale humorale og cellemedierede immunitet, der induceres af den primære vaccination, holder i mindst tre år. Den kliniske relevans af disse observationer er uklar, da der ikke findes noget immunologisk korrelat af beskyttelse. Et feltstudie, der er gennemført i et område, hvor tyfus er endemisk, viste en beskyttelse på 62 % (95 % CI 48 %-73 %) i løbet af syv år efter vaccination.</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5.2</w:t>
      </w:r>
      <w:r w:rsidRPr="00A11A99">
        <w:rPr>
          <w:b/>
          <w:sz w:val="24"/>
          <w:szCs w:val="24"/>
        </w:rPr>
        <w:tab/>
      </w:r>
      <w:proofErr w:type="spellStart"/>
      <w:r w:rsidRPr="00A11A99">
        <w:rPr>
          <w:b/>
          <w:sz w:val="24"/>
          <w:szCs w:val="24"/>
        </w:rPr>
        <w:t>Farmakokinetiske</w:t>
      </w:r>
      <w:proofErr w:type="spellEnd"/>
      <w:r w:rsidRPr="00A11A99">
        <w:rPr>
          <w:b/>
          <w:sz w:val="24"/>
          <w:szCs w:val="24"/>
        </w:rPr>
        <w:t xml:space="preserve"> egenskaber</w:t>
      </w:r>
    </w:p>
    <w:p w:rsidR="00B72178" w:rsidRPr="00A11A99" w:rsidRDefault="00B72178" w:rsidP="00B72178">
      <w:pPr>
        <w:pStyle w:val="BodyTextSPC"/>
        <w:tabs>
          <w:tab w:val="clear" w:pos="567"/>
        </w:tabs>
        <w:ind w:left="851"/>
        <w:rPr>
          <w:sz w:val="24"/>
          <w:szCs w:val="24"/>
        </w:rPr>
      </w:pPr>
      <w:r w:rsidRPr="00A11A99">
        <w:rPr>
          <w:sz w:val="24"/>
          <w:szCs w:val="24"/>
        </w:rPr>
        <w:t xml:space="preserve">Ikke relevant. </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5.3</w:t>
      </w:r>
      <w:r w:rsidRPr="00A11A99">
        <w:rPr>
          <w:b/>
          <w:sz w:val="24"/>
          <w:szCs w:val="24"/>
        </w:rPr>
        <w:tab/>
      </w:r>
      <w:r w:rsidR="0030188F">
        <w:rPr>
          <w:b/>
          <w:sz w:val="24"/>
          <w:szCs w:val="24"/>
        </w:rPr>
        <w:t>Non-</w:t>
      </w:r>
      <w:r w:rsidRPr="00A11A99">
        <w:rPr>
          <w:b/>
          <w:sz w:val="24"/>
          <w:szCs w:val="24"/>
        </w:rPr>
        <w:t>kliniske sikkerhedsdata</w:t>
      </w:r>
    </w:p>
    <w:p w:rsidR="00B72178" w:rsidRPr="00A11A99" w:rsidRDefault="00B72178" w:rsidP="00B72178">
      <w:pPr>
        <w:pStyle w:val="BodyTextSPC"/>
        <w:tabs>
          <w:tab w:val="clear" w:pos="567"/>
        </w:tabs>
        <w:ind w:left="851"/>
        <w:rPr>
          <w:sz w:val="24"/>
          <w:szCs w:val="24"/>
        </w:rPr>
      </w:pPr>
      <w:r w:rsidRPr="00A11A99">
        <w:rPr>
          <w:sz w:val="24"/>
          <w:szCs w:val="24"/>
        </w:rPr>
        <w:t xml:space="preserve">Der findes ingen prækliniske sikkerhedsdata for </w:t>
      </w:r>
      <w:proofErr w:type="spellStart"/>
      <w:r>
        <w:rPr>
          <w:sz w:val="24"/>
          <w:szCs w:val="24"/>
        </w:rPr>
        <w:t>Vivotif</w:t>
      </w:r>
      <w:proofErr w:type="spellEnd"/>
      <w:r w:rsidRPr="00A11A99">
        <w:rPr>
          <w:sz w:val="24"/>
          <w:szCs w:val="24"/>
        </w:rPr>
        <w:t>.</w:t>
      </w:r>
    </w:p>
    <w:p w:rsidR="00B72178" w:rsidRPr="00A11A99" w:rsidRDefault="00B72178" w:rsidP="00B72178">
      <w:pPr>
        <w:ind w:left="851" w:hanging="851"/>
        <w:rPr>
          <w:sz w:val="24"/>
          <w:szCs w:val="24"/>
        </w:rPr>
      </w:pP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w:t>
      </w:r>
      <w:r w:rsidRPr="00A11A99">
        <w:rPr>
          <w:b/>
          <w:sz w:val="24"/>
          <w:szCs w:val="24"/>
        </w:rPr>
        <w:tab/>
        <w:t>FARMACEUTISKE OPLYSNINGER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6.1</w:t>
      </w:r>
      <w:r w:rsidRPr="00A11A99">
        <w:rPr>
          <w:b/>
          <w:sz w:val="24"/>
          <w:szCs w:val="24"/>
        </w:rPr>
        <w:tab/>
        <w:t>Hjælpestoffer</w:t>
      </w:r>
    </w:p>
    <w:p w:rsidR="00B72178" w:rsidRPr="00A11A99" w:rsidRDefault="00B72178" w:rsidP="00B72178">
      <w:pPr>
        <w:pStyle w:val="BodyTextSPC"/>
        <w:tabs>
          <w:tab w:val="clear" w:pos="567"/>
        </w:tabs>
        <w:ind w:left="851"/>
        <w:rPr>
          <w:sz w:val="24"/>
          <w:szCs w:val="24"/>
        </w:rPr>
      </w:pPr>
      <w:r w:rsidRPr="00A11A99">
        <w:rPr>
          <w:sz w:val="24"/>
          <w:szCs w:val="24"/>
        </w:rPr>
        <w:t xml:space="preserve">Hjælpestofferne i præparatet er følgende: </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proofErr w:type="spellStart"/>
      <w:r>
        <w:rPr>
          <w:sz w:val="24"/>
          <w:szCs w:val="24"/>
        </w:rPr>
        <w:t>Saccharose</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As</w:t>
      </w:r>
      <w:r>
        <w:rPr>
          <w:sz w:val="24"/>
          <w:szCs w:val="24"/>
        </w:rPr>
        <w:t>c</w:t>
      </w:r>
      <w:r w:rsidRPr="00A11A99">
        <w:rPr>
          <w:sz w:val="24"/>
          <w:szCs w:val="24"/>
        </w:rPr>
        <w:t>orbinsyre</w:t>
      </w:r>
      <w:proofErr w:type="spellEnd"/>
      <w:r w:rsidRPr="00A11A99">
        <w:rPr>
          <w:sz w:val="24"/>
          <w:szCs w:val="24"/>
        </w:rPr>
        <w:t xml:space="preserve"> (E 300)</w:t>
      </w:r>
    </w:p>
    <w:p w:rsidR="00B72178" w:rsidRPr="00A11A99" w:rsidRDefault="00B72178" w:rsidP="00B72178">
      <w:pPr>
        <w:pStyle w:val="BodyTextSPC"/>
        <w:tabs>
          <w:tab w:val="clear" w:pos="567"/>
        </w:tabs>
        <w:ind w:left="851"/>
        <w:rPr>
          <w:sz w:val="24"/>
          <w:szCs w:val="24"/>
        </w:rPr>
      </w:pPr>
      <w:proofErr w:type="spellStart"/>
      <w:r w:rsidRPr="00A11A99">
        <w:rPr>
          <w:sz w:val="24"/>
          <w:szCs w:val="24"/>
        </w:rPr>
        <w:t>Caseinsyrehydrolysat</w:t>
      </w:r>
      <w:proofErr w:type="spellEnd"/>
      <w:r w:rsidRPr="00A11A99">
        <w:rPr>
          <w:sz w:val="24"/>
          <w:szCs w:val="24"/>
        </w:rPr>
        <w:t xml:space="preserve"> </w:t>
      </w:r>
    </w:p>
    <w:p w:rsidR="00B72178" w:rsidRPr="00A11A99" w:rsidRDefault="00B72178" w:rsidP="00B72178">
      <w:pPr>
        <w:pStyle w:val="BodyTextSPC"/>
        <w:tabs>
          <w:tab w:val="clear" w:pos="567"/>
        </w:tabs>
        <w:ind w:left="851"/>
        <w:rPr>
          <w:sz w:val="24"/>
          <w:szCs w:val="24"/>
        </w:rPr>
      </w:pPr>
      <w:r w:rsidRPr="00A11A99">
        <w:rPr>
          <w:sz w:val="24"/>
          <w:szCs w:val="24"/>
        </w:rPr>
        <w:t xml:space="preserve">Vandfri </w:t>
      </w:r>
      <w:proofErr w:type="spellStart"/>
      <w:r w:rsidRPr="00A11A99">
        <w:rPr>
          <w:sz w:val="24"/>
          <w:szCs w:val="24"/>
        </w:rPr>
        <w:t>la</w:t>
      </w:r>
      <w:r>
        <w:rPr>
          <w:sz w:val="24"/>
          <w:szCs w:val="24"/>
        </w:rPr>
        <w:t>c</w:t>
      </w:r>
      <w:r w:rsidRPr="00A11A99">
        <w:rPr>
          <w:sz w:val="24"/>
          <w:szCs w:val="24"/>
        </w:rPr>
        <w:t>tose</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Magnesiumstearat</w:t>
      </w:r>
      <w:proofErr w:type="spellEnd"/>
      <w:r w:rsidRPr="00A11A99">
        <w:rPr>
          <w:sz w:val="24"/>
          <w:szCs w:val="24"/>
        </w:rPr>
        <w:t xml:space="preserve"> (E 470)</w:t>
      </w:r>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i/>
          <w:sz w:val="24"/>
          <w:szCs w:val="24"/>
        </w:rPr>
      </w:pPr>
      <w:r w:rsidRPr="00A11A99">
        <w:rPr>
          <w:i/>
          <w:sz w:val="24"/>
          <w:szCs w:val="24"/>
        </w:rPr>
        <w:t>Kapselskal:</w:t>
      </w:r>
    </w:p>
    <w:p w:rsidR="00B72178" w:rsidRPr="00A11A99" w:rsidRDefault="00B72178" w:rsidP="00B72178">
      <w:pPr>
        <w:pStyle w:val="BodyTextSPC"/>
        <w:tabs>
          <w:tab w:val="clear" w:pos="567"/>
        </w:tabs>
        <w:ind w:left="851"/>
        <w:rPr>
          <w:sz w:val="24"/>
          <w:szCs w:val="24"/>
        </w:rPr>
      </w:pPr>
      <w:r w:rsidRPr="00A11A99">
        <w:rPr>
          <w:sz w:val="24"/>
          <w:szCs w:val="24"/>
        </w:rPr>
        <w:t xml:space="preserve">Gelatine </w:t>
      </w:r>
    </w:p>
    <w:p w:rsidR="00B72178" w:rsidRPr="00A11A99" w:rsidRDefault="00B72178" w:rsidP="00B72178">
      <w:pPr>
        <w:pStyle w:val="BodyTextSPC"/>
        <w:tabs>
          <w:tab w:val="clear" w:pos="567"/>
        </w:tabs>
        <w:ind w:left="851"/>
        <w:rPr>
          <w:sz w:val="24"/>
          <w:szCs w:val="24"/>
        </w:rPr>
      </w:pPr>
      <w:r w:rsidRPr="00A11A99">
        <w:rPr>
          <w:sz w:val="24"/>
          <w:szCs w:val="24"/>
        </w:rPr>
        <w:t>Titandioxid (E 171)</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Erythrosin</w:t>
      </w:r>
      <w:proofErr w:type="spellEnd"/>
      <w:r w:rsidRPr="00A11A99">
        <w:rPr>
          <w:sz w:val="24"/>
          <w:szCs w:val="24"/>
          <w:lang w:val="en-US"/>
        </w:rPr>
        <w:t xml:space="preserve"> (E 127)</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Jernoxid</w:t>
      </w:r>
      <w:proofErr w:type="spellEnd"/>
      <w:r w:rsidRPr="00A11A99">
        <w:rPr>
          <w:sz w:val="24"/>
          <w:szCs w:val="24"/>
          <w:lang w:val="en-US"/>
        </w:rPr>
        <w:t xml:space="preserve">, </w:t>
      </w:r>
      <w:proofErr w:type="spellStart"/>
      <w:r w:rsidRPr="00A11A99">
        <w:rPr>
          <w:sz w:val="24"/>
          <w:szCs w:val="24"/>
          <w:lang w:val="en-US"/>
        </w:rPr>
        <w:t>gul</w:t>
      </w:r>
      <w:proofErr w:type="spellEnd"/>
      <w:r w:rsidRPr="00A11A99">
        <w:rPr>
          <w:sz w:val="24"/>
          <w:szCs w:val="24"/>
          <w:lang w:val="en-US"/>
        </w:rPr>
        <w:t xml:space="preserve"> (E 172)</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Jernoxid</w:t>
      </w:r>
      <w:proofErr w:type="spellEnd"/>
      <w:r w:rsidRPr="00A11A99">
        <w:rPr>
          <w:sz w:val="24"/>
          <w:szCs w:val="24"/>
          <w:lang w:val="en-US"/>
        </w:rPr>
        <w:t xml:space="preserve">, </w:t>
      </w:r>
      <w:proofErr w:type="spellStart"/>
      <w:r w:rsidRPr="00A11A99">
        <w:rPr>
          <w:sz w:val="24"/>
          <w:szCs w:val="24"/>
          <w:lang w:val="en-US"/>
        </w:rPr>
        <w:t>rød</w:t>
      </w:r>
      <w:proofErr w:type="spellEnd"/>
      <w:r w:rsidRPr="00A11A99">
        <w:rPr>
          <w:sz w:val="24"/>
          <w:szCs w:val="24"/>
          <w:lang w:val="en-US"/>
        </w:rPr>
        <w:t xml:space="preserve"> (E 172)</w:t>
      </w:r>
    </w:p>
    <w:p w:rsidR="00B72178" w:rsidRPr="00A11A99" w:rsidRDefault="00B72178" w:rsidP="00B72178">
      <w:pPr>
        <w:pStyle w:val="BodyTextSPC"/>
        <w:tabs>
          <w:tab w:val="clear" w:pos="567"/>
        </w:tabs>
        <w:ind w:left="851"/>
        <w:rPr>
          <w:sz w:val="24"/>
          <w:szCs w:val="24"/>
          <w:lang w:val="en-US"/>
        </w:rPr>
      </w:pPr>
    </w:p>
    <w:p w:rsidR="00B72178" w:rsidRPr="00A11A99" w:rsidRDefault="00B72178" w:rsidP="00B72178">
      <w:pPr>
        <w:pStyle w:val="BodyTextSPC"/>
        <w:tabs>
          <w:tab w:val="clear" w:pos="567"/>
        </w:tabs>
        <w:ind w:left="851"/>
        <w:rPr>
          <w:i/>
          <w:sz w:val="24"/>
          <w:szCs w:val="24"/>
          <w:lang w:val="en-US"/>
        </w:rPr>
      </w:pPr>
      <w:proofErr w:type="spellStart"/>
      <w:r w:rsidRPr="00A11A99">
        <w:rPr>
          <w:i/>
          <w:sz w:val="24"/>
          <w:szCs w:val="24"/>
          <w:lang w:val="en-US"/>
        </w:rPr>
        <w:t>Kapselovertræk</w:t>
      </w:r>
      <w:proofErr w:type="spellEnd"/>
      <w:r w:rsidRPr="00A11A99">
        <w:rPr>
          <w:i/>
          <w:sz w:val="24"/>
          <w:szCs w:val="24"/>
          <w:lang w:val="en-US"/>
        </w:rPr>
        <w:t>:</w:t>
      </w:r>
    </w:p>
    <w:p w:rsidR="00B72178" w:rsidRPr="00A11A99" w:rsidRDefault="00B72178" w:rsidP="00B72178">
      <w:pPr>
        <w:pStyle w:val="BodyTextSPC"/>
        <w:tabs>
          <w:tab w:val="clear" w:pos="567"/>
        </w:tabs>
        <w:ind w:left="851"/>
        <w:rPr>
          <w:sz w:val="24"/>
          <w:szCs w:val="24"/>
          <w:lang w:val="en-US"/>
        </w:rPr>
      </w:pPr>
      <w:proofErr w:type="spellStart"/>
      <w:r w:rsidRPr="00A11A99">
        <w:rPr>
          <w:sz w:val="24"/>
          <w:szCs w:val="24"/>
          <w:lang w:val="en-US"/>
        </w:rPr>
        <w:t>Hydroxypropylmethylcellulose-phthalat</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Ethylenglycol</w:t>
      </w:r>
      <w:proofErr w:type="spellEnd"/>
    </w:p>
    <w:p w:rsidR="00B72178" w:rsidRPr="00A11A99" w:rsidRDefault="00B72178" w:rsidP="00B72178">
      <w:pPr>
        <w:pStyle w:val="BodyTextSPC"/>
        <w:tabs>
          <w:tab w:val="clear" w:pos="567"/>
        </w:tabs>
        <w:ind w:left="851"/>
        <w:rPr>
          <w:sz w:val="24"/>
          <w:szCs w:val="24"/>
        </w:rPr>
      </w:pPr>
      <w:proofErr w:type="spellStart"/>
      <w:r w:rsidRPr="00A11A99">
        <w:rPr>
          <w:sz w:val="24"/>
          <w:szCs w:val="24"/>
        </w:rPr>
        <w:t>Diethylphthalat</w:t>
      </w:r>
      <w:proofErr w:type="spellEnd"/>
    </w:p>
    <w:p w:rsidR="00B72178" w:rsidRPr="00A11A99" w:rsidRDefault="00B72178" w:rsidP="00B72178">
      <w:pPr>
        <w:pStyle w:val="BodyTextSPC"/>
        <w:tabs>
          <w:tab w:val="clear" w:pos="567"/>
        </w:tabs>
        <w:ind w:left="851"/>
        <w:rPr>
          <w:sz w:val="24"/>
          <w:szCs w:val="24"/>
        </w:rPr>
      </w:pPr>
    </w:p>
    <w:p w:rsidR="00B72178" w:rsidRPr="00A11A99" w:rsidRDefault="00B72178" w:rsidP="00B72178">
      <w:pPr>
        <w:pStyle w:val="BodyTextSPC"/>
        <w:tabs>
          <w:tab w:val="clear" w:pos="567"/>
        </w:tabs>
        <w:ind w:left="851"/>
        <w:rPr>
          <w:sz w:val="24"/>
          <w:szCs w:val="24"/>
        </w:rPr>
      </w:pPr>
      <w:r w:rsidRPr="00A11A99">
        <w:rPr>
          <w:sz w:val="24"/>
          <w:szCs w:val="24"/>
        </w:rPr>
        <w:t xml:space="preserve">Vaccinen indeholder desuden inaktiv </w:t>
      </w:r>
      <w:r w:rsidRPr="00A11A99">
        <w:rPr>
          <w:i/>
          <w:sz w:val="24"/>
          <w:szCs w:val="24"/>
        </w:rPr>
        <w:t>Salmonella</w:t>
      </w:r>
      <w:r w:rsidRPr="00A11A99">
        <w:rPr>
          <w:sz w:val="24"/>
          <w:szCs w:val="24"/>
        </w:rPr>
        <w:t xml:space="preserve"> </w:t>
      </w:r>
      <w:proofErr w:type="spellStart"/>
      <w:r w:rsidRPr="00A11A99">
        <w:rPr>
          <w:sz w:val="24"/>
          <w:szCs w:val="24"/>
        </w:rPr>
        <w:t>Typhi</w:t>
      </w:r>
      <w:proofErr w:type="spellEnd"/>
      <w:r w:rsidRPr="00A11A99">
        <w:rPr>
          <w:sz w:val="24"/>
          <w:szCs w:val="24"/>
        </w:rPr>
        <w:t xml:space="preserve"> Ty21a.</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6.2</w:t>
      </w:r>
      <w:r w:rsidRPr="00A11A99">
        <w:rPr>
          <w:b/>
          <w:sz w:val="24"/>
          <w:szCs w:val="24"/>
        </w:rPr>
        <w:tab/>
        <w:t>Uforligeligheder</w:t>
      </w:r>
    </w:p>
    <w:p w:rsidR="00B72178" w:rsidRPr="00A11A99" w:rsidRDefault="00B72178" w:rsidP="00B72178">
      <w:pPr>
        <w:pStyle w:val="BodyTextSPC"/>
        <w:tabs>
          <w:tab w:val="clear" w:pos="567"/>
        </w:tabs>
        <w:ind w:left="851"/>
        <w:rPr>
          <w:sz w:val="24"/>
          <w:szCs w:val="24"/>
        </w:rPr>
      </w:pPr>
      <w:r w:rsidRPr="00A11A99">
        <w:rPr>
          <w:sz w:val="24"/>
          <w:szCs w:val="24"/>
        </w:rPr>
        <w:t>Ikke relevant.</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6.3</w:t>
      </w:r>
      <w:r w:rsidRPr="00A11A99">
        <w:rPr>
          <w:b/>
          <w:sz w:val="24"/>
          <w:szCs w:val="24"/>
        </w:rPr>
        <w:tab/>
        <w:t>Opbevaringstid</w:t>
      </w:r>
    </w:p>
    <w:p w:rsidR="00B72178" w:rsidRPr="00A11A99" w:rsidRDefault="00B72178" w:rsidP="00B72178">
      <w:pPr>
        <w:pStyle w:val="BodyTextSPC"/>
        <w:tabs>
          <w:tab w:val="clear" w:pos="567"/>
        </w:tabs>
        <w:ind w:left="851" w:hanging="851"/>
        <w:rPr>
          <w:noProof/>
          <w:sz w:val="24"/>
          <w:szCs w:val="24"/>
        </w:rPr>
      </w:pPr>
      <w:r w:rsidRPr="00A11A99">
        <w:rPr>
          <w:sz w:val="24"/>
          <w:szCs w:val="24"/>
        </w:rPr>
        <w:tab/>
        <w:t>18 måneder.</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6.4</w:t>
      </w:r>
      <w:r w:rsidRPr="00A11A99">
        <w:rPr>
          <w:b/>
          <w:sz w:val="24"/>
          <w:szCs w:val="24"/>
        </w:rPr>
        <w:tab/>
        <w:t>Særlige opbevaringsforhold</w:t>
      </w:r>
    </w:p>
    <w:p w:rsidR="00B72178" w:rsidRDefault="00B72178" w:rsidP="00B72178">
      <w:pPr>
        <w:ind w:left="851"/>
        <w:rPr>
          <w:sz w:val="24"/>
          <w:szCs w:val="24"/>
        </w:rPr>
      </w:pPr>
      <w:r w:rsidRPr="006334D0">
        <w:rPr>
          <w:sz w:val="24"/>
          <w:szCs w:val="24"/>
        </w:rPr>
        <w:t xml:space="preserve">Opbevares i køleskab (2 </w:t>
      </w:r>
      <w:r w:rsidRPr="006334D0">
        <w:rPr>
          <w:sz w:val="24"/>
          <w:szCs w:val="24"/>
        </w:rPr>
        <w:sym w:font="Symbol" w:char="F0B0"/>
      </w:r>
      <w:r w:rsidRPr="006334D0">
        <w:rPr>
          <w:sz w:val="24"/>
          <w:szCs w:val="24"/>
        </w:rPr>
        <w:t xml:space="preserve">C - 8 </w:t>
      </w:r>
      <w:r w:rsidRPr="006334D0">
        <w:rPr>
          <w:sz w:val="24"/>
          <w:szCs w:val="24"/>
        </w:rPr>
        <w:sym w:font="Symbol" w:char="F0B0"/>
      </w:r>
      <w:r w:rsidRPr="006334D0">
        <w:rPr>
          <w:sz w:val="24"/>
          <w:szCs w:val="24"/>
        </w:rPr>
        <w:t xml:space="preserve">C). </w:t>
      </w:r>
    </w:p>
    <w:p w:rsidR="00B72178" w:rsidRPr="006334D0" w:rsidRDefault="00B72178" w:rsidP="00B72178">
      <w:pPr>
        <w:ind w:left="851"/>
        <w:rPr>
          <w:sz w:val="24"/>
          <w:szCs w:val="24"/>
        </w:rPr>
      </w:pPr>
      <w:r w:rsidRPr="006334D0">
        <w:rPr>
          <w:sz w:val="24"/>
          <w:szCs w:val="24"/>
        </w:rPr>
        <w:t>Opbevar blisterkortet i den ydre karton for at beskytte mod lys.</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6.5</w:t>
      </w:r>
      <w:r w:rsidRPr="00A11A99">
        <w:rPr>
          <w:b/>
          <w:sz w:val="24"/>
          <w:szCs w:val="24"/>
        </w:rPr>
        <w:tab/>
        <w:t>Emballagetype og pakningsstørrelser</w:t>
      </w:r>
    </w:p>
    <w:p w:rsidR="00B72178" w:rsidRPr="00A11A99" w:rsidRDefault="00B72178" w:rsidP="00B72178">
      <w:pPr>
        <w:pStyle w:val="BodyTextSPC"/>
        <w:tabs>
          <w:tab w:val="clear" w:pos="567"/>
        </w:tabs>
        <w:ind w:left="851"/>
        <w:rPr>
          <w:noProof/>
          <w:sz w:val="24"/>
          <w:szCs w:val="24"/>
        </w:rPr>
      </w:pPr>
      <w:r w:rsidRPr="00A11A99">
        <w:rPr>
          <w:sz w:val="24"/>
          <w:szCs w:val="24"/>
        </w:rPr>
        <w:t>Karton med én blisterpakning.</w:t>
      </w:r>
      <w:r w:rsidRPr="00A11A99">
        <w:rPr>
          <w:noProof/>
          <w:sz w:val="24"/>
          <w:szCs w:val="24"/>
        </w:rPr>
        <w:t xml:space="preserve"> </w:t>
      </w:r>
      <w:r w:rsidRPr="00A11A99">
        <w:rPr>
          <w:sz w:val="24"/>
          <w:szCs w:val="24"/>
        </w:rPr>
        <w:t>Hver blisterpakning indeholder tre kapsler. Pakningsstørrelse: 3 doser.</w:t>
      </w:r>
    </w:p>
    <w:p w:rsidR="00B72178" w:rsidRPr="00A11A99" w:rsidRDefault="00B72178" w:rsidP="00B72178">
      <w:pPr>
        <w:pStyle w:val="BodyTextSPC"/>
        <w:tabs>
          <w:tab w:val="clear" w:pos="567"/>
        </w:tabs>
        <w:ind w:left="851"/>
        <w:rPr>
          <w:noProof/>
          <w:sz w:val="24"/>
          <w:szCs w:val="24"/>
        </w:rPr>
      </w:pPr>
      <w:r w:rsidRPr="00A11A99">
        <w:rPr>
          <w:sz w:val="24"/>
          <w:szCs w:val="24"/>
        </w:rPr>
        <w:t>Blisterpakningen er fremstillet af plastfilm (PVC/PE/PVDC) og aluminiumsfolie.</w:t>
      </w:r>
    </w:p>
    <w:p w:rsidR="00B72178" w:rsidRDefault="00B72178" w:rsidP="00B72178">
      <w:pPr>
        <w:rPr>
          <w:sz w:val="24"/>
          <w:szCs w:val="24"/>
        </w:rPr>
      </w:pPr>
      <w:r>
        <w:rPr>
          <w:sz w:val="24"/>
          <w:szCs w:val="24"/>
        </w:rPr>
        <w:br w:type="page"/>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6.6</w:t>
      </w:r>
      <w:r w:rsidRPr="00A11A99">
        <w:rPr>
          <w:b/>
          <w:sz w:val="24"/>
          <w:szCs w:val="24"/>
        </w:rPr>
        <w:tab/>
        <w:t xml:space="preserve">Regler for </w:t>
      </w:r>
      <w:r w:rsidR="0030188F">
        <w:rPr>
          <w:b/>
          <w:sz w:val="24"/>
          <w:szCs w:val="24"/>
        </w:rPr>
        <w:t>bortskaffelse</w:t>
      </w:r>
      <w:r w:rsidRPr="00A11A99">
        <w:rPr>
          <w:b/>
          <w:sz w:val="24"/>
          <w:szCs w:val="24"/>
        </w:rPr>
        <w:t xml:space="preserve"> og anden håndtering</w:t>
      </w:r>
    </w:p>
    <w:p w:rsidR="00B72178" w:rsidRPr="00A11A99" w:rsidRDefault="00B72178" w:rsidP="00B72178">
      <w:pPr>
        <w:pStyle w:val="BodyTextSPC"/>
        <w:tabs>
          <w:tab w:val="clear" w:pos="567"/>
        </w:tabs>
        <w:ind w:left="851"/>
        <w:rPr>
          <w:sz w:val="24"/>
          <w:szCs w:val="24"/>
        </w:rPr>
      </w:pPr>
      <w:r w:rsidRPr="00A11A99">
        <w:rPr>
          <w:sz w:val="24"/>
          <w:szCs w:val="24"/>
        </w:rPr>
        <w:t>Ingen særlige forholdsregler ved bortskaffelse. Ikke anvendt lægemiddel samt affald heraf skal bortskaffes i henhold til lokale retningslinjer.</w:t>
      </w: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7.</w:t>
      </w:r>
      <w:r w:rsidRPr="00A11A99">
        <w:rPr>
          <w:b/>
          <w:sz w:val="24"/>
          <w:szCs w:val="24"/>
        </w:rPr>
        <w:tab/>
        <w:t>INDEHAVER AF MARKEDSFØRINGSTILLADELSEN</w:t>
      </w:r>
    </w:p>
    <w:p w:rsidR="0030188F" w:rsidRPr="0030188F" w:rsidRDefault="0030188F" w:rsidP="0030188F">
      <w:pPr>
        <w:pStyle w:val="BodyTextSPC"/>
        <w:ind w:left="851"/>
        <w:rPr>
          <w:sz w:val="24"/>
          <w:szCs w:val="24"/>
          <w:lang w:val="en-US"/>
        </w:rPr>
      </w:pPr>
      <w:r w:rsidRPr="0030188F">
        <w:rPr>
          <w:sz w:val="24"/>
          <w:szCs w:val="24"/>
          <w:lang w:val="en-US"/>
        </w:rPr>
        <w:t>Bavarian Nordic A/S</w:t>
      </w:r>
    </w:p>
    <w:p w:rsidR="0030188F" w:rsidRPr="0030188F" w:rsidRDefault="0030188F" w:rsidP="0030188F">
      <w:pPr>
        <w:pStyle w:val="BodyTextSPC"/>
        <w:ind w:left="851"/>
        <w:rPr>
          <w:sz w:val="24"/>
          <w:szCs w:val="24"/>
          <w:lang w:val="en-US"/>
        </w:rPr>
      </w:pPr>
      <w:r w:rsidRPr="0030188F">
        <w:rPr>
          <w:sz w:val="24"/>
          <w:szCs w:val="24"/>
          <w:lang w:val="en-US"/>
        </w:rPr>
        <w:t xml:space="preserve">Philip Heymans </w:t>
      </w:r>
      <w:proofErr w:type="spellStart"/>
      <w:r w:rsidRPr="0030188F">
        <w:rPr>
          <w:sz w:val="24"/>
          <w:szCs w:val="24"/>
          <w:lang w:val="en-US"/>
        </w:rPr>
        <w:t>Alle</w:t>
      </w:r>
      <w:proofErr w:type="spellEnd"/>
      <w:r w:rsidRPr="0030188F">
        <w:rPr>
          <w:sz w:val="24"/>
          <w:szCs w:val="24"/>
          <w:lang w:val="en-US"/>
        </w:rPr>
        <w:t xml:space="preserve"> 3</w:t>
      </w:r>
    </w:p>
    <w:p w:rsidR="00B72178" w:rsidRDefault="0030188F" w:rsidP="0030188F">
      <w:pPr>
        <w:pStyle w:val="BodyTextSPC"/>
        <w:tabs>
          <w:tab w:val="clear" w:pos="567"/>
        </w:tabs>
        <w:ind w:left="851"/>
        <w:rPr>
          <w:sz w:val="24"/>
          <w:szCs w:val="24"/>
        </w:rPr>
      </w:pPr>
      <w:r w:rsidRPr="0030188F">
        <w:rPr>
          <w:sz w:val="24"/>
          <w:szCs w:val="24"/>
        </w:rPr>
        <w:t>2900 Hellerup</w:t>
      </w:r>
    </w:p>
    <w:p w:rsidR="0030188F" w:rsidRPr="00502B09" w:rsidRDefault="0030188F" w:rsidP="0030188F">
      <w:pPr>
        <w:pStyle w:val="BodyTextSPC"/>
        <w:tabs>
          <w:tab w:val="clear" w:pos="567"/>
        </w:tabs>
        <w:ind w:left="851"/>
        <w:rPr>
          <w:sz w:val="24"/>
          <w:szCs w:val="24"/>
        </w:rPr>
      </w:pPr>
    </w:p>
    <w:p w:rsidR="00B72178" w:rsidRPr="00A11A99" w:rsidRDefault="00B72178" w:rsidP="00B72178">
      <w:pPr>
        <w:ind w:left="851" w:hanging="851"/>
        <w:rPr>
          <w:b/>
          <w:sz w:val="24"/>
          <w:szCs w:val="24"/>
        </w:rPr>
      </w:pPr>
      <w:r w:rsidRPr="00A11A99">
        <w:rPr>
          <w:b/>
          <w:sz w:val="24"/>
          <w:szCs w:val="24"/>
        </w:rPr>
        <w:t>8.</w:t>
      </w:r>
      <w:r w:rsidRPr="00A11A99">
        <w:rPr>
          <w:b/>
          <w:sz w:val="24"/>
          <w:szCs w:val="24"/>
        </w:rPr>
        <w:tab/>
        <w:t>MARKEDSFØRINGSTILLADELSESNUMMER (</w:t>
      </w:r>
      <w:r w:rsidR="0030188F">
        <w:rPr>
          <w:b/>
          <w:sz w:val="24"/>
          <w:szCs w:val="24"/>
        </w:rPr>
        <w:t>-</w:t>
      </w:r>
      <w:r w:rsidRPr="00A11A99">
        <w:rPr>
          <w:b/>
          <w:sz w:val="24"/>
          <w:szCs w:val="24"/>
        </w:rPr>
        <w:t>NUMRE)</w:t>
      </w:r>
    </w:p>
    <w:p w:rsidR="00B72178" w:rsidRPr="00A11A99" w:rsidRDefault="00B72178" w:rsidP="00B72178">
      <w:pPr>
        <w:ind w:left="851"/>
        <w:rPr>
          <w:sz w:val="24"/>
          <w:szCs w:val="24"/>
        </w:rPr>
      </w:pPr>
      <w:r w:rsidRPr="00A11A99">
        <w:rPr>
          <w:sz w:val="24"/>
          <w:szCs w:val="24"/>
        </w:rPr>
        <w:t>59350</w:t>
      </w:r>
    </w:p>
    <w:p w:rsidR="00B72178" w:rsidRPr="00A11A99" w:rsidRDefault="00B72178" w:rsidP="00B72178">
      <w:pPr>
        <w:ind w:left="851" w:hanging="851"/>
        <w:jc w:val="both"/>
        <w:rPr>
          <w:sz w:val="24"/>
          <w:szCs w:val="24"/>
        </w:rPr>
      </w:pPr>
    </w:p>
    <w:p w:rsidR="00B72178" w:rsidRPr="00A11A99" w:rsidRDefault="00B72178" w:rsidP="00B72178">
      <w:pPr>
        <w:ind w:left="851" w:hanging="851"/>
        <w:rPr>
          <w:b/>
          <w:sz w:val="24"/>
          <w:szCs w:val="24"/>
        </w:rPr>
      </w:pPr>
      <w:r w:rsidRPr="00A11A99">
        <w:rPr>
          <w:b/>
          <w:sz w:val="24"/>
          <w:szCs w:val="24"/>
        </w:rPr>
        <w:t>9.</w:t>
      </w:r>
      <w:r w:rsidRPr="00A11A99">
        <w:rPr>
          <w:b/>
          <w:sz w:val="24"/>
          <w:szCs w:val="24"/>
        </w:rPr>
        <w:tab/>
        <w:t>DATO FOR FØRSTE MARKEDSFØRINGSTILLADELSE</w:t>
      </w:r>
    </w:p>
    <w:p w:rsidR="00B72178" w:rsidRPr="00A11A99" w:rsidRDefault="00B72178" w:rsidP="00B72178">
      <w:pPr>
        <w:ind w:left="851"/>
        <w:rPr>
          <w:sz w:val="24"/>
          <w:szCs w:val="24"/>
        </w:rPr>
      </w:pPr>
      <w:r>
        <w:rPr>
          <w:sz w:val="24"/>
          <w:szCs w:val="24"/>
        </w:rPr>
        <w:t>21. august 2018</w:t>
      </w:r>
    </w:p>
    <w:p w:rsidR="00B72178" w:rsidRPr="00A11A99" w:rsidRDefault="00B72178" w:rsidP="00B72178">
      <w:pPr>
        <w:ind w:left="851" w:hanging="851"/>
        <w:rPr>
          <w:sz w:val="24"/>
          <w:szCs w:val="24"/>
        </w:rPr>
      </w:pPr>
    </w:p>
    <w:p w:rsidR="00B72178" w:rsidRPr="00A11A99" w:rsidRDefault="00B72178" w:rsidP="00B72178">
      <w:pPr>
        <w:ind w:left="851" w:hanging="851"/>
        <w:rPr>
          <w:b/>
          <w:sz w:val="24"/>
          <w:szCs w:val="24"/>
        </w:rPr>
      </w:pPr>
      <w:r w:rsidRPr="00A11A99">
        <w:rPr>
          <w:b/>
          <w:sz w:val="24"/>
          <w:szCs w:val="24"/>
        </w:rPr>
        <w:t>10.</w:t>
      </w:r>
      <w:r w:rsidRPr="00A11A99">
        <w:rPr>
          <w:b/>
          <w:sz w:val="24"/>
          <w:szCs w:val="24"/>
        </w:rPr>
        <w:tab/>
        <w:t>DATO FOR ÆNDRING AF TEKSTEN</w:t>
      </w:r>
    </w:p>
    <w:p w:rsidR="00B72178" w:rsidRPr="00A11A99" w:rsidRDefault="0030188F" w:rsidP="00B72178">
      <w:pPr>
        <w:ind w:left="851"/>
        <w:rPr>
          <w:sz w:val="24"/>
          <w:szCs w:val="24"/>
        </w:rPr>
      </w:pPr>
      <w:r>
        <w:rPr>
          <w:sz w:val="24"/>
          <w:szCs w:val="24"/>
        </w:rPr>
        <w:t>2. oktober 2023</w:t>
      </w:r>
    </w:p>
    <w:p w:rsidR="00B72178" w:rsidRPr="00E56A68" w:rsidRDefault="00B72178" w:rsidP="00B72178"/>
    <w:p w:rsidR="00B72178" w:rsidRPr="00CA5A5C" w:rsidRDefault="00B72178" w:rsidP="00B72178"/>
    <w:p w:rsidR="009260DE" w:rsidRPr="00B72178" w:rsidRDefault="009260DE" w:rsidP="00B72178"/>
    <w:sectPr w:rsidR="009260DE" w:rsidRPr="00B721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178" w:rsidRDefault="00B72178">
      <w:r>
        <w:separator/>
      </w:r>
    </w:p>
  </w:endnote>
  <w:endnote w:type="continuationSeparator" w:id="0">
    <w:p w:rsidR="00B72178" w:rsidRDefault="00B7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1D24">
      <w:rPr>
        <w:i/>
        <w:noProof/>
        <w:sz w:val="18"/>
        <w:szCs w:val="18"/>
      </w:rPr>
      <w:t>Vivotif, hårde enterokapsler 2 mia bakterier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178" w:rsidRDefault="00B72178">
      <w:r>
        <w:separator/>
      </w:r>
    </w:p>
  </w:footnote>
  <w:footnote w:type="continuationSeparator" w:id="0">
    <w:p w:rsidR="00B72178" w:rsidRDefault="00B72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78"/>
    <w:rsid w:val="000259B9"/>
    <w:rsid w:val="00041491"/>
    <w:rsid w:val="00050D16"/>
    <w:rsid w:val="00074F2A"/>
    <w:rsid w:val="000A1CA8"/>
    <w:rsid w:val="000A466B"/>
    <w:rsid w:val="000B058C"/>
    <w:rsid w:val="000E4EE6"/>
    <w:rsid w:val="001454E2"/>
    <w:rsid w:val="001C6614"/>
    <w:rsid w:val="00206CE8"/>
    <w:rsid w:val="0021526C"/>
    <w:rsid w:val="00283A2B"/>
    <w:rsid w:val="002B30AD"/>
    <w:rsid w:val="002C2C01"/>
    <w:rsid w:val="0030188F"/>
    <w:rsid w:val="003A29AE"/>
    <w:rsid w:val="003A32D7"/>
    <w:rsid w:val="003B4074"/>
    <w:rsid w:val="003C769A"/>
    <w:rsid w:val="003F1838"/>
    <w:rsid w:val="0045746C"/>
    <w:rsid w:val="00465AF7"/>
    <w:rsid w:val="0049104B"/>
    <w:rsid w:val="004E3B12"/>
    <w:rsid w:val="00502B09"/>
    <w:rsid w:val="00532310"/>
    <w:rsid w:val="00560ECC"/>
    <w:rsid w:val="00565F0F"/>
    <w:rsid w:val="005842B7"/>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F1D24"/>
    <w:rsid w:val="00B003BF"/>
    <w:rsid w:val="00B35160"/>
    <w:rsid w:val="00B373D7"/>
    <w:rsid w:val="00B7217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AF37"/>
  <w15:chartTrackingRefBased/>
  <w15:docId w15:val="{3CAA2F87-BC74-47EB-8F5D-194E4D02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SPC">
    <w:name w:val="Body Text SPC"/>
    <w:basedOn w:val="Normal"/>
    <w:rsid w:val="00B72178"/>
    <w:pPr>
      <w:tabs>
        <w:tab w:val="left" w:pos="567"/>
      </w:tabs>
    </w:pPr>
    <w:rPr>
      <w:sz w:val="22"/>
    </w:rPr>
  </w:style>
  <w:style w:type="paragraph" w:customStyle="1" w:styleId="Default">
    <w:name w:val="Default"/>
    <w:rsid w:val="00B72178"/>
    <w:pPr>
      <w:autoSpaceDE w:val="0"/>
      <w:autoSpaceDN w:val="0"/>
      <w:adjustRightInd w:val="0"/>
    </w:pPr>
    <w:rPr>
      <w:rFonts w:eastAsia="SimSun"/>
      <w:color w:val="000000"/>
      <w:sz w:val="24"/>
      <w:szCs w:val="24"/>
      <w:lang w:val="en-US" w:eastAsia="zh-CN"/>
    </w:rPr>
  </w:style>
  <w:style w:type="character" w:styleId="Hyperlink">
    <w:name w:val="Hyperlink"/>
    <w:basedOn w:val="Standardskrifttypeiafsnit"/>
    <w:uiPriority w:val="99"/>
    <w:unhideWhenUsed/>
    <w:rsid w:val="00B35160"/>
    <w:rPr>
      <w:color w:val="0563C1" w:themeColor="hyperlink"/>
      <w:u w:val="single"/>
    </w:rPr>
  </w:style>
  <w:style w:type="character" w:styleId="Ulstomtale">
    <w:name w:val="Unresolved Mention"/>
    <w:basedOn w:val="Standardskrifttypeiafsnit"/>
    <w:uiPriority w:val="99"/>
    <w:semiHidden/>
    <w:unhideWhenUsed/>
    <w:rsid w:val="00B3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7</Pages>
  <Words>1570</Words>
  <Characters>9941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2023070338_x000d_
Skift af MAH fra Emergent Netherlands B.V. + QRD</dc:description>
  <cp:lastModifiedBy>Marianne Ott Jensen</cp:lastModifiedBy>
  <cp:revision>3</cp:revision>
  <cp:lastPrinted>2012-08-22T08:53:00Z</cp:lastPrinted>
  <dcterms:created xsi:type="dcterms:W3CDTF">2023-09-27T09:20:00Z</dcterms:created>
  <dcterms:modified xsi:type="dcterms:W3CDTF">2023-09-27T09:23:00Z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