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927D36" w14:textId="77777777" w:rsidR="004A3BF4" w:rsidRPr="007338E1" w:rsidRDefault="00056601" w:rsidP="004A3BF4">
      <w:pPr>
        <w:rPr>
          <w:sz w:val="24"/>
          <w:szCs w:val="24"/>
          <w:lang w:val="en-GB"/>
        </w:rPr>
      </w:pPr>
      <w:r w:rsidRPr="007338E1">
        <w:rPr>
          <w:noProof/>
          <w:sz w:val="24"/>
          <w:szCs w:val="24"/>
          <w:lang w:val="en-GB"/>
        </w:rPr>
        <w:drawing>
          <wp:inline distT="0" distB="0" distL="0" distR="0" wp14:anchorId="03B12245" wp14:editId="3D7C6B70">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0DDA499A" w14:textId="77777777" w:rsidR="006B3847" w:rsidRPr="007338E1" w:rsidRDefault="006B3847" w:rsidP="006B3847">
      <w:pPr>
        <w:rPr>
          <w:sz w:val="24"/>
          <w:szCs w:val="24"/>
          <w:lang w:val="en-GB"/>
        </w:rPr>
      </w:pPr>
    </w:p>
    <w:p w14:paraId="0A466045" w14:textId="7780629D" w:rsidR="006B3847" w:rsidRPr="00F661A3" w:rsidRDefault="006B3847" w:rsidP="006B3847">
      <w:pPr>
        <w:tabs>
          <w:tab w:val="right" w:pos="9356"/>
        </w:tabs>
        <w:rPr>
          <w:b/>
          <w:sz w:val="24"/>
          <w:szCs w:val="24"/>
        </w:rPr>
      </w:pPr>
      <w:r w:rsidRPr="007338E1">
        <w:rPr>
          <w:b/>
          <w:sz w:val="24"/>
          <w:szCs w:val="24"/>
          <w:lang w:val="en-GB"/>
        </w:rPr>
        <w:tab/>
      </w:r>
      <w:r w:rsidR="000416BA" w:rsidRPr="00F661A3">
        <w:rPr>
          <w:b/>
          <w:sz w:val="24"/>
          <w:szCs w:val="24"/>
        </w:rPr>
        <w:t>1</w:t>
      </w:r>
      <w:r w:rsidR="00E5581C" w:rsidRPr="00F661A3">
        <w:rPr>
          <w:b/>
          <w:sz w:val="24"/>
          <w:szCs w:val="24"/>
        </w:rPr>
        <w:t xml:space="preserve"> </w:t>
      </w:r>
      <w:proofErr w:type="gramStart"/>
      <w:r w:rsidR="009578B4">
        <w:rPr>
          <w:b/>
          <w:sz w:val="24"/>
          <w:szCs w:val="24"/>
        </w:rPr>
        <w:t>December</w:t>
      </w:r>
      <w:proofErr w:type="gramEnd"/>
      <w:r w:rsidR="00E5581C" w:rsidRPr="00F661A3">
        <w:rPr>
          <w:b/>
          <w:sz w:val="24"/>
          <w:szCs w:val="24"/>
        </w:rPr>
        <w:t xml:space="preserve"> 202</w:t>
      </w:r>
      <w:r w:rsidR="009578B4">
        <w:rPr>
          <w:b/>
          <w:sz w:val="24"/>
          <w:szCs w:val="24"/>
        </w:rPr>
        <w:t>2</w:t>
      </w:r>
    </w:p>
    <w:p w14:paraId="48E7FEA9" w14:textId="273E44DB" w:rsidR="006B3847" w:rsidRPr="00F661A3" w:rsidRDefault="006B3847" w:rsidP="006B3847">
      <w:pPr>
        <w:rPr>
          <w:sz w:val="24"/>
          <w:szCs w:val="24"/>
        </w:rPr>
      </w:pPr>
    </w:p>
    <w:p w14:paraId="20643DDE" w14:textId="552B0701" w:rsidR="0027099C" w:rsidRPr="00F661A3" w:rsidRDefault="0027099C" w:rsidP="007C5D2A">
      <w:pPr>
        <w:rPr>
          <w:sz w:val="24"/>
          <w:szCs w:val="24"/>
        </w:rPr>
      </w:pPr>
    </w:p>
    <w:p w14:paraId="29A362B1" w14:textId="77777777" w:rsidR="007C5D2A" w:rsidRPr="00F661A3" w:rsidRDefault="007C5D2A" w:rsidP="007C5D2A">
      <w:pPr>
        <w:rPr>
          <w:sz w:val="24"/>
          <w:szCs w:val="24"/>
        </w:rPr>
      </w:pPr>
    </w:p>
    <w:p w14:paraId="7C0DF6B1" w14:textId="77777777" w:rsidR="007C5D2A" w:rsidRPr="007338E1" w:rsidRDefault="007C5D2A" w:rsidP="007C5D2A">
      <w:pPr>
        <w:jc w:val="center"/>
        <w:rPr>
          <w:b/>
          <w:sz w:val="24"/>
          <w:szCs w:val="24"/>
          <w:lang w:val="en-GB"/>
        </w:rPr>
      </w:pPr>
      <w:bookmarkStart w:id="0" w:name="_Hlk49158549"/>
      <w:r w:rsidRPr="007338E1">
        <w:rPr>
          <w:b/>
          <w:sz w:val="24"/>
          <w:szCs w:val="24"/>
          <w:lang w:val="en-GB"/>
        </w:rPr>
        <w:t>SUMMARY OF PRODUCT CHARACTERISTICS</w:t>
      </w:r>
    </w:p>
    <w:bookmarkEnd w:id="0"/>
    <w:p w14:paraId="3EBDCEB3" w14:textId="77777777" w:rsidR="007C5D2A" w:rsidRPr="007338E1" w:rsidRDefault="007C5D2A" w:rsidP="007C5D2A">
      <w:pPr>
        <w:jc w:val="center"/>
        <w:rPr>
          <w:sz w:val="24"/>
          <w:szCs w:val="24"/>
          <w:lang w:val="en-GB"/>
        </w:rPr>
      </w:pPr>
    </w:p>
    <w:p w14:paraId="12AF802C" w14:textId="77777777" w:rsidR="007C5D2A" w:rsidRPr="007338E1" w:rsidRDefault="007C5D2A" w:rsidP="007C5D2A">
      <w:pPr>
        <w:jc w:val="center"/>
        <w:rPr>
          <w:b/>
          <w:sz w:val="24"/>
          <w:szCs w:val="24"/>
          <w:lang w:val="en-GB"/>
        </w:rPr>
      </w:pPr>
      <w:r w:rsidRPr="007338E1">
        <w:rPr>
          <w:b/>
          <w:sz w:val="24"/>
          <w:szCs w:val="24"/>
          <w:lang w:val="en-GB"/>
        </w:rPr>
        <w:t>for</w:t>
      </w:r>
    </w:p>
    <w:p w14:paraId="71D4D4F9" w14:textId="77777777" w:rsidR="007C5D2A" w:rsidRPr="007338E1" w:rsidRDefault="007C5D2A" w:rsidP="007C5D2A">
      <w:pPr>
        <w:jc w:val="center"/>
        <w:rPr>
          <w:sz w:val="24"/>
          <w:szCs w:val="24"/>
          <w:lang w:val="en-GB"/>
        </w:rPr>
      </w:pPr>
    </w:p>
    <w:p w14:paraId="0CFB4F1E" w14:textId="43654A81" w:rsidR="007C5D2A" w:rsidRPr="007338E1" w:rsidRDefault="00E5581C" w:rsidP="007C5D2A">
      <w:pPr>
        <w:jc w:val="center"/>
        <w:rPr>
          <w:b/>
          <w:sz w:val="24"/>
          <w:szCs w:val="24"/>
          <w:lang w:val="en-GB"/>
        </w:rPr>
      </w:pPr>
      <w:proofErr w:type="spellStart"/>
      <w:r w:rsidRPr="007338E1">
        <w:rPr>
          <w:b/>
          <w:sz w:val="24"/>
          <w:szCs w:val="24"/>
          <w:lang w:val="en-GB"/>
        </w:rPr>
        <w:t>Vizibim</w:t>
      </w:r>
      <w:proofErr w:type="spellEnd"/>
      <w:r w:rsidRPr="007338E1">
        <w:rPr>
          <w:b/>
          <w:sz w:val="24"/>
          <w:szCs w:val="24"/>
          <w:lang w:val="en-GB"/>
        </w:rPr>
        <w:t>, eye drops, solution</w:t>
      </w:r>
    </w:p>
    <w:p w14:paraId="2016F2B7" w14:textId="77777777" w:rsidR="007C5D2A" w:rsidRPr="007338E1" w:rsidRDefault="007C5D2A" w:rsidP="007C5D2A">
      <w:pPr>
        <w:jc w:val="both"/>
        <w:rPr>
          <w:sz w:val="24"/>
          <w:szCs w:val="24"/>
          <w:lang w:val="en-GB"/>
        </w:rPr>
      </w:pPr>
    </w:p>
    <w:p w14:paraId="2B6A0E87" w14:textId="77777777" w:rsidR="0042292D" w:rsidRPr="007338E1" w:rsidRDefault="0042292D" w:rsidP="007C5D2A">
      <w:pPr>
        <w:jc w:val="both"/>
        <w:rPr>
          <w:sz w:val="24"/>
          <w:szCs w:val="24"/>
          <w:lang w:val="en-GB"/>
        </w:rPr>
      </w:pPr>
    </w:p>
    <w:p w14:paraId="1EBC25CA" w14:textId="77777777" w:rsidR="008F2F8C" w:rsidRPr="007338E1" w:rsidRDefault="008F2F8C" w:rsidP="008F2F8C">
      <w:pPr>
        <w:tabs>
          <w:tab w:val="left" w:pos="8222"/>
        </w:tabs>
        <w:ind w:left="851" w:hanging="851"/>
        <w:rPr>
          <w:b/>
          <w:sz w:val="24"/>
          <w:szCs w:val="24"/>
          <w:lang w:val="en-GB"/>
        </w:rPr>
      </w:pPr>
      <w:r w:rsidRPr="007338E1">
        <w:rPr>
          <w:b/>
          <w:sz w:val="24"/>
          <w:szCs w:val="24"/>
          <w:lang w:val="en-GB"/>
        </w:rPr>
        <w:t>0.</w:t>
      </w:r>
      <w:r w:rsidRPr="007338E1">
        <w:rPr>
          <w:b/>
          <w:sz w:val="24"/>
          <w:szCs w:val="24"/>
          <w:lang w:val="en-GB"/>
        </w:rPr>
        <w:tab/>
      </w:r>
      <w:proofErr w:type="gramStart"/>
      <w:r w:rsidRPr="007338E1">
        <w:rPr>
          <w:b/>
          <w:sz w:val="24"/>
          <w:szCs w:val="24"/>
          <w:lang w:val="en-GB"/>
        </w:rPr>
        <w:t>D.SP.NO</w:t>
      </w:r>
      <w:proofErr w:type="gramEnd"/>
      <w:r w:rsidRPr="007338E1">
        <w:rPr>
          <w:b/>
          <w:sz w:val="24"/>
          <w:szCs w:val="24"/>
          <w:lang w:val="en-GB"/>
        </w:rPr>
        <w:t>.</w:t>
      </w:r>
    </w:p>
    <w:p w14:paraId="33027A92" w14:textId="7E811051" w:rsidR="008F2F8C" w:rsidRPr="007338E1" w:rsidRDefault="00E5581C" w:rsidP="008F2F8C">
      <w:pPr>
        <w:tabs>
          <w:tab w:val="left" w:pos="8222"/>
        </w:tabs>
        <w:ind w:left="851"/>
        <w:rPr>
          <w:sz w:val="24"/>
          <w:szCs w:val="24"/>
          <w:lang w:val="en-GB"/>
        </w:rPr>
      </w:pPr>
      <w:r w:rsidRPr="007338E1">
        <w:rPr>
          <w:sz w:val="24"/>
          <w:szCs w:val="24"/>
          <w:lang w:val="en-GB"/>
        </w:rPr>
        <w:t>29897</w:t>
      </w:r>
    </w:p>
    <w:p w14:paraId="0124F1C2" w14:textId="77777777" w:rsidR="007C5D2A" w:rsidRPr="007338E1" w:rsidRDefault="007C5D2A" w:rsidP="007C5D2A">
      <w:pPr>
        <w:tabs>
          <w:tab w:val="left" w:pos="851"/>
        </w:tabs>
        <w:jc w:val="both"/>
        <w:rPr>
          <w:sz w:val="24"/>
          <w:szCs w:val="24"/>
          <w:lang w:val="en-GB"/>
        </w:rPr>
      </w:pPr>
    </w:p>
    <w:p w14:paraId="015B543B" w14:textId="77777777" w:rsidR="007C5D2A" w:rsidRPr="007338E1" w:rsidRDefault="009925C9" w:rsidP="007C5D2A">
      <w:pPr>
        <w:tabs>
          <w:tab w:val="left" w:pos="851"/>
        </w:tabs>
        <w:ind w:left="851" w:hanging="851"/>
        <w:rPr>
          <w:sz w:val="24"/>
          <w:szCs w:val="24"/>
          <w:lang w:val="en-GB"/>
        </w:rPr>
      </w:pPr>
      <w:r w:rsidRPr="007338E1">
        <w:rPr>
          <w:b/>
          <w:sz w:val="24"/>
          <w:szCs w:val="24"/>
          <w:lang w:val="en-GB"/>
        </w:rPr>
        <w:t>1.</w:t>
      </w:r>
      <w:r w:rsidR="007C5D2A" w:rsidRPr="007338E1">
        <w:rPr>
          <w:b/>
          <w:sz w:val="24"/>
          <w:szCs w:val="24"/>
          <w:lang w:val="en-GB"/>
        </w:rPr>
        <w:tab/>
        <w:t>NAME OF THE MEDICINAL PRODUCT</w:t>
      </w:r>
    </w:p>
    <w:p w14:paraId="27BB0A1E" w14:textId="2613291D" w:rsidR="007C5D2A" w:rsidRPr="007338E1" w:rsidRDefault="00FA19B9" w:rsidP="004A3BF4">
      <w:pPr>
        <w:tabs>
          <w:tab w:val="left" w:pos="851"/>
        </w:tabs>
        <w:ind w:left="851"/>
        <w:rPr>
          <w:sz w:val="24"/>
          <w:szCs w:val="24"/>
          <w:lang w:val="en-GB"/>
        </w:rPr>
      </w:pPr>
      <w:proofErr w:type="spellStart"/>
      <w:r w:rsidRPr="007338E1">
        <w:rPr>
          <w:sz w:val="24"/>
          <w:szCs w:val="24"/>
          <w:lang w:val="en-GB"/>
        </w:rPr>
        <w:t>Vizibim</w:t>
      </w:r>
      <w:proofErr w:type="spellEnd"/>
    </w:p>
    <w:p w14:paraId="4D7FE618" w14:textId="77777777" w:rsidR="007C5D2A" w:rsidRPr="007338E1" w:rsidRDefault="007C5D2A" w:rsidP="004A3BF4">
      <w:pPr>
        <w:tabs>
          <w:tab w:val="left" w:pos="851"/>
        </w:tabs>
        <w:ind w:left="851"/>
        <w:rPr>
          <w:sz w:val="24"/>
          <w:szCs w:val="24"/>
          <w:lang w:val="en-GB"/>
        </w:rPr>
      </w:pPr>
    </w:p>
    <w:p w14:paraId="3EAAF2F5" w14:textId="77777777" w:rsidR="007C5D2A" w:rsidRPr="007338E1" w:rsidRDefault="009925C9" w:rsidP="007C5D2A">
      <w:pPr>
        <w:ind w:left="851" w:hanging="851"/>
        <w:rPr>
          <w:b/>
          <w:sz w:val="24"/>
          <w:szCs w:val="24"/>
          <w:lang w:val="en-GB"/>
        </w:rPr>
      </w:pPr>
      <w:r w:rsidRPr="007338E1">
        <w:rPr>
          <w:b/>
          <w:sz w:val="24"/>
          <w:szCs w:val="24"/>
          <w:lang w:val="en-GB"/>
        </w:rPr>
        <w:t>2.</w:t>
      </w:r>
      <w:r w:rsidR="007C5D2A" w:rsidRPr="007338E1">
        <w:rPr>
          <w:b/>
          <w:sz w:val="24"/>
          <w:szCs w:val="24"/>
          <w:lang w:val="en-GB"/>
        </w:rPr>
        <w:tab/>
        <w:t>QUALITATIVE AND QUANTITATIVE COMPOSITION</w:t>
      </w:r>
    </w:p>
    <w:p w14:paraId="6C7933EE" w14:textId="77777777" w:rsidR="00C0374F" w:rsidRPr="007338E1" w:rsidRDefault="00C0374F" w:rsidP="001C0125">
      <w:pPr>
        <w:pStyle w:val="Default"/>
        <w:ind w:left="851"/>
        <w:rPr>
          <w:lang w:val="en-US"/>
        </w:rPr>
      </w:pPr>
      <w:r w:rsidRPr="007338E1">
        <w:rPr>
          <w:lang w:val="en-US"/>
        </w:rPr>
        <w:t xml:space="preserve">One ml of solution contains 0.3 mg </w:t>
      </w:r>
      <w:proofErr w:type="spellStart"/>
      <w:r w:rsidRPr="007338E1">
        <w:rPr>
          <w:lang w:val="en-US"/>
        </w:rPr>
        <w:t>bimatoprost</w:t>
      </w:r>
      <w:proofErr w:type="spellEnd"/>
      <w:r w:rsidRPr="007338E1">
        <w:rPr>
          <w:lang w:val="en-US"/>
        </w:rPr>
        <w:t xml:space="preserve">. </w:t>
      </w:r>
    </w:p>
    <w:p w14:paraId="00CA242E" w14:textId="77777777" w:rsidR="00C0374F" w:rsidRPr="007338E1" w:rsidRDefault="00C0374F" w:rsidP="001C0125">
      <w:pPr>
        <w:pStyle w:val="Default"/>
        <w:ind w:left="851"/>
        <w:rPr>
          <w:lang w:val="en-US"/>
        </w:rPr>
      </w:pPr>
    </w:p>
    <w:p w14:paraId="65DAAFC8" w14:textId="77777777" w:rsidR="00C0374F" w:rsidRPr="00F661A3" w:rsidRDefault="00C0374F" w:rsidP="001C0125">
      <w:pPr>
        <w:pStyle w:val="Default"/>
        <w:ind w:left="851"/>
        <w:rPr>
          <w:u w:val="single"/>
          <w:lang w:val="en-US"/>
        </w:rPr>
      </w:pPr>
      <w:r w:rsidRPr="00F661A3">
        <w:rPr>
          <w:u w:val="single"/>
          <w:lang w:val="en-US"/>
        </w:rPr>
        <w:t xml:space="preserve">Excipient with known effect: </w:t>
      </w:r>
    </w:p>
    <w:p w14:paraId="119678E8" w14:textId="77777777" w:rsidR="00C0374F" w:rsidRPr="007338E1" w:rsidRDefault="00C0374F" w:rsidP="001C0125">
      <w:pPr>
        <w:pStyle w:val="Default"/>
        <w:ind w:left="851"/>
        <w:rPr>
          <w:lang w:val="en-US"/>
        </w:rPr>
      </w:pPr>
      <w:r w:rsidRPr="007338E1">
        <w:rPr>
          <w:lang w:val="en-US"/>
        </w:rPr>
        <w:t xml:space="preserve">Disodium hydrogen phosphate heptahydrate </w:t>
      </w:r>
      <w:bookmarkStart w:id="1" w:name="_Hlk48219528"/>
      <w:r w:rsidRPr="007338E1">
        <w:rPr>
          <w:lang w:val="en-US"/>
        </w:rPr>
        <w:t xml:space="preserve">2.95 mg/ml </w:t>
      </w:r>
      <w:bookmarkEnd w:id="1"/>
      <w:r w:rsidRPr="007338E1">
        <w:rPr>
          <w:lang w:val="en-US"/>
        </w:rPr>
        <w:t>(0.042 mg phosphates in each drop).</w:t>
      </w:r>
    </w:p>
    <w:p w14:paraId="54A914C7" w14:textId="77777777" w:rsidR="00C0374F" w:rsidRPr="007338E1" w:rsidRDefault="00C0374F" w:rsidP="001C0125">
      <w:pPr>
        <w:pStyle w:val="Default"/>
        <w:ind w:left="851"/>
        <w:rPr>
          <w:lang w:val="en-US"/>
        </w:rPr>
      </w:pPr>
      <w:r w:rsidRPr="007338E1">
        <w:rPr>
          <w:lang w:val="en-US"/>
        </w:rPr>
        <w:t xml:space="preserve">For the full list of excipients, see section 6.1. </w:t>
      </w:r>
    </w:p>
    <w:p w14:paraId="50450D0F" w14:textId="77777777" w:rsidR="007C5D2A" w:rsidRPr="007338E1" w:rsidRDefault="007C5D2A" w:rsidP="004A3BF4">
      <w:pPr>
        <w:tabs>
          <w:tab w:val="left" w:pos="851"/>
        </w:tabs>
        <w:ind w:left="851"/>
        <w:rPr>
          <w:sz w:val="24"/>
          <w:szCs w:val="24"/>
          <w:lang w:val="en-GB"/>
        </w:rPr>
      </w:pPr>
    </w:p>
    <w:p w14:paraId="0412E4A6"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t>3.</w:t>
      </w:r>
      <w:r w:rsidRPr="007338E1">
        <w:rPr>
          <w:b/>
          <w:sz w:val="24"/>
          <w:szCs w:val="24"/>
          <w:lang w:val="en-GB"/>
        </w:rPr>
        <w:tab/>
        <w:t>PHARMACEUTICAL FORM</w:t>
      </w:r>
    </w:p>
    <w:p w14:paraId="66BCFB86" w14:textId="77777777" w:rsidR="00C0374F" w:rsidRPr="007338E1" w:rsidRDefault="00C0374F" w:rsidP="001C0125">
      <w:pPr>
        <w:pStyle w:val="Default"/>
        <w:ind w:left="851"/>
        <w:rPr>
          <w:lang w:val="en-US"/>
        </w:rPr>
      </w:pPr>
      <w:r w:rsidRPr="007338E1">
        <w:rPr>
          <w:lang w:val="en-US"/>
        </w:rPr>
        <w:t xml:space="preserve">Eye drops, solution. </w:t>
      </w:r>
    </w:p>
    <w:p w14:paraId="7B0A30B2" w14:textId="77777777" w:rsidR="00C0374F" w:rsidRPr="007338E1" w:rsidRDefault="00C0374F" w:rsidP="001C0125">
      <w:pPr>
        <w:pStyle w:val="Default"/>
        <w:ind w:left="851"/>
        <w:rPr>
          <w:lang w:val="en-US"/>
        </w:rPr>
      </w:pPr>
      <w:r w:rsidRPr="007338E1">
        <w:rPr>
          <w:lang w:val="en-US"/>
        </w:rPr>
        <w:t xml:space="preserve">Clear, </w:t>
      </w:r>
      <w:proofErr w:type="spellStart"/>
      <w:r w:rsidRPr="007338E1">
        <w:rPr>
          <w:lang w:val="en-US"/>
        </w:rPr>
        <w:t>colourless</w:t>
      </w:r>
      <w:proofErr w:type="spellEnd"/>
      <w:r w:rsidRPr="007338E1">
        <w:rPr>
          <w:lang w:val="en-US"/>
        </w:rPr>
        <w:t xml:space="preserve"> solution</w:t>
      </w:r>
    </w:p>
    <w:p w14:paraId="50FB27E1" w14:textId="77777777" w:rsidR="00C0374F" w:rsidRPr="007338E1" w:rsidRDefault="00C0374F" w:rsidP="001C0125">
      <w:pPr>
        <w:tabs>
          <w:tab w:val="left" w:pos="5340"/>
        </w:tabs>
        <w:ind w:left="851"/>
        <w:rPr>
          <w:color w:val="000000"/>
          <w:sz w:val="24"/>
          <w:szCs w:val="24"/>
          <w:lang w:val="en-US" w:eastAsia="el-GR"/>
        </w:rPr>
      </w:pPr>
    </w:p>
    <w:p w14:paraId="4E35CF75" w14:textId="77777777" w:rsidR="00C0374F" w:rsidRPr="007338E1" w:rsidRDefault="00C0374F" w:rsidP="001C0125">
      <w:pPr>
        <w:tabs>
          <w:tab w:val="left" w:pos="5340"/>
        </w:tabs>
        <w:ind w:left="851"/>
        <w:rPr>
          <w:color w:val="000000"/>
          <w:sz w:val="24"/>
          <w:szCs w:val="24"/>
          <w:lang w:val="en-US" w:eastAsia="el-GR"/>
        </w:rPr>
      </w:pPr>
      <w:r w:rsidRPr="007338E1">
        <w:rPr>
          <w:color w:val="000000"/>
          <w:sz w:val="24"/>
          <w:szCs w:val="24"/>
          <w:lang w:val="en-US" w:eastAsia="el-GR"/>
        </w:rPr>
        <w:t xml:space="preserve">pH: </w:t>
      </w:r>
      <w:r w:rsidRPr="007338E1">
        <w:rPr>
          <w:sz w:val="24"/>
          <w:szCs w:val="24"/>
          <w:lang w:val="en-US" w:eastAsia="el-GR"/>
        </w:rPr>
        <w:t>6.8-7.8</w:t>
      </w:r>
    </w:p>
    <w:p w14:paraId="0164AADA" w14:textId="77777777" w:rsidR="00C0374F" w:rsidRPr="007338E1" w:rsidRDefault="00C0374F" w:rsidP="001C0125">
      <w:pPr>
        <w:ind w:left="851"/>
        <w:rPr>
          <w:color w:val="000000"/>
          <w:sz w:val="24"/>
          <w:szCs w:val="24"/>
          <w:lang w:val="en-US" w:eastAsia="el-GR"/>
        </w:rPr>
      </w:pPr>
      <w:r w:rsidRPr="007338E1">
        <w:rPr>
          <w:color w:val="000000"/>
          <w:sz w:val="24"/>
          <w:szCs w:val="24"/>
          <w:lang w:val="en-US" w:eastAsia="el-GR"/>
        </w:rPr>
        <w:t xml:space="preserve">Osmolality: 261-319 </w:t>
      </w:r>
      <w:proofErr w:type="spellStart"/>
      <w:r w:rsidRPr="007338E1">
        <w:rPr>
          <w:color w:val="000000"/>
          <w:sz w:val="24"/>
          <w:szCs w:val="24"/>
          <w:lang w:val="en-US" w:eastAsia="el-GR"/>
        </w:rPr>
        <w:t>mOsm</w:t>
      </w:r>
      <w:proofErr w:type="spellEnd"/>
      <w:r w:rsidRPr="007338E1">
        <w:rPr>
          <w:color w:val="000000"/>
          <w:sz w:val="24"/>
          <w:szCs w:val="24"/>
          <w:lang w:val="en-US" w:eastAsia="el-GR"/>
        </w:rPr>
        <w:t>/kg</w:t>
      </w:r>
    </w:p>
    <w:p w14:paraId="4E75A230" w14:textId="77777777" w:rsidR="007C5D2A" w:rsidRPr="007338E1" w:rsidRDefault="007C5D2A" w:rsidP="004A3BF4">
      <w:pPr>
        <w:tabs>
          <w:tab w:val="left" w:pos="851"/>
        </w:tabs>
        <w:ind w:left="851"/>
        <w:rPr>
          <w:sz w:val="24"/>
          <w:szCs w:val="24"/>
          <w:lang w:val="en-GB"/>
        </w:rPr>
      </w:pPr>
    </w:p>
    <w:p w14:paraId="11DBE8BA" w14:textId="77777777" w:rsidR="007C5D2A" w:rsidRPr="007338E1" w:rsidRDefault="007C5D2A" w:rsidP="004A3BF4">
      <w:pPr>
        <w:tabs>
          <w:tab w:val="left" w:pos="851"/>
        </w:tabs>
        <w:ind w:left="851"/>
        <w:rPr>
          <w:sz w:val="24"/>
          <w:szCs w:val="24"/>
          <w:lang w:val="en-GB"/>
        </w:rPr>
      </w:pPr>
    </w:p>
    <w:p w14:paraId="3C7BE084" w14:textId="77777777" w:rsidR="007C5D2A" w:rsidRPr="007338E1" w:rsidRDefault="007C5D2A" w:rsidP="007C5D2A">
      <w:pPr>
        <w:ind w:left="851" w:hanging="851"/>
        <w:rPr>
          <w:b/>
          <w:sz w:val="24"/>
          <w:szCs w:val="24"/>
          <w:lang w:val="en-GB"/>
        </w:rPr>
      </w:pPr>
      <w:r w:rsidRPr="007338E1">
        <w:rPr>
          <w:b/>
          <w:sz w:val="24"/>
          <w:szCs w:val="24"/>
          <w:lang w:val="en-GB"/>
        </w:rPr>
        <w:t>4.</w:t>
      </w:r>
      <w:r w:rsidRPr="007338E1">
        <w:rPr>
          <w:b/>
          <w:sz w:val="24"/>
          <w:szCs w:val="24"/>
          <w:lang w:val="en-GB"/>
        </w:rPr>
        <w:tab/>
        <w:t>CLINICAL PARTICULARS</w:t>
      </w:r>
    </w:p>
    <w:p w14:paraId="77610396" w14:textId="77777777" w:rsidR="007C5D2A" w:rsidRPr="007338E1" w:rsidRDefault="007C5D2A" w:rsidP="004A3BF4">
      <w:pPr>
        <w:tabs>
          <w:tab w:val="left" w:pos="851"/>
        </w:tabs>
        <w:ind w:left="851"/>
        <w:rPr>
          <w:sz w:val="24"/>
          <w:szCs w:val="24"/>
          <w:lang w:val="en-GB"/>
        </w:rPr>
      </w:pPr>
    </w:p>
    <w:p w14:paraId="5FD39750" w14:textId="77777777" w:rsidR="007C5D2A" w:rsidRPr="007338E1" w:rsidRDefault="007C5D2A" w:rsidP="007C5D2A">
      <w:pPr>
        <w:ind w:left="851" w:hanging="851"/>
        <w:rPr>
          <w:b/>
          <w:sz w:val="24"/>
          <w:szCs w:val="24"/>
          <w:u w:val="single"/>
          <w:lang w:val="en-GB"/>
        </w:rPr>
      </w:pPr>
      <w:r w:rsidRPr="007338E1">
        <w:rPr>
          <w:b/>
          <w:sz w:val="24"/>
          <w:szCs w:val="24"/>
          <w:lang w:val="en-GB"/>
        </w:rPr>
        <w:t>4.1</w:t>
      </w:r>
      <w:r w:rsidRPr="007338E1">
        <w:rPr>
          <w:b/>
          <w:sz w:val="24"/>
          <w:szCs w:val="24"/>
          <w:lang w:val="en-GB"/>
        </w:rPr>
        <w:tab/>
        <w:t>Therapeutic indications</w:t>
      </w:r>
    </w:p>
    <w:p w14:paraId="06A45929" w14:textId="77777777" w:rsidR="00C0374F" w:rsidRPr="007338E1" w:rsidRDefault="00C0374F" w:rsidP="001C0125">
      <w:pPr>
        <w:pStyle w:val="Default"/>
        <w:ind w:left="851"/>
        <w:rPr>
          <w:lang w:val="en-US"/>
        </w:rPr>
      </w:pPr>
      <w:r w:rsidRPr="007338E1">
        <w:rPr>
          <w:lang w:val="en-US"/>
        </w:rPr>
        <w:t xml:space="preserve">Reduction of elevated intraocular pressure in chronic open-angle glaucoma and ocular hypertension in adults (as monotherapy or as adjunctive therapy to beta-blockers). </w:t>
      </w:r>
    </w:p>
    <w:p w14:paraId="41F7212C" w14:textId="77777777" w:rsidR="007C5D2A" w:rsidRPr="007338E1" w:rsidRDefault="007C5D2A" w:rsidP="00A85D26">
      <w:pPr>
        <w:tabs>
          <w:tab w:val="left" w:pos="851"/>
        </w:tabs>
        <w:ind w:left="851"/>
        <w:rPr>
          <w:sz w:val="24"/>
          <w:szCs w:val="24"/>
          <w:lang w:val="en-GB"/>
        </w:rPr>
      </w:pPr>
    </w:p>
    <w:p w14:paraId="40C07711" w14:textId="77777777" w:rsidR="007C5D2A" w:rsidRPr="007338E1" w:rsidRDefault="009925C9" w:rsidP="007C5D2A">
      <w:pPr>
        <w:tabs>
          <w:tab w:val="left" w:pos="851"/>
        </w:tabs>
        <w:ind w:left="851" w:hanging="851"/>
        <w:rPr>
          <w:sz w:val="24"/>
          <w:szCs w:val="24"/>
          <w:lang w:val="en-GB"/>
        </w:rPr>
      </w:pPr>
      <w:r w:rsidRPr="007338E1">
        <w:rPr>
          <w:b/>
          <w:sz w:val="24"/>
          <w:szCs w:val="24"/>
          <w:lang w:val="en-GB"/>
        </w:rPr>
        <w:t>4.2</w:t>
      </w:r>
      <w:r w:rsidR="007C5D2A" w:rsidRPr="007338E1">
        <w:rPr>
          <w:b/>
          <w:sz w:val="24"/>
          <w:szCs w:val="24"/>
          <w:lang w:val="en-GB"/>
        </w:rPr>
        <w:tab/>
        <w:t>Posology and method of administration</w:t>
      </w:r>
    </w:p>
    <w:p w14:paraId="50AD4EAD" w14:textId="77777777" w:rsidR="007338E1" w:rsidRDefault="007338E1" w:rsidP="001C0125">
      <w:pPr>
        <w:pStyle w:val="Default"/>
        <w:ind w:left="851"/>
        <w:rPr>
          <w:u w:val="single"/>
          <w:lang w:val="en-US"/>
        </w:rPr>
      </w:pPr>
    </w:p>
    <w:p w14:paraId="1A0CA0C3" w14:textId="096A5E38" w:rsidR="00C0374F" w:rsidRPr="007338E1" w:rsidRDefault="00C0374F" w:rsidP="001C0125">
      <w:pPr>
        <w:pStyle w:val="Default"/>
        <w:ind w:left="851"/>
        <w:rPr>
          <w:u w:val="single"/>
          <w:lang w:val="en-US"/>
        </w:rPr>
      </w:pPr>
      <w:r w:rsidRPr="007338E1">
        <w:rPr>
          <w:u w:val="single"/>
          <w:lang w:val="en-US"/>
        </w:rPr>
        <w:t xml:space="preserve">Posology </w:t>
      </w:r>
    </w:p>
    <w:p w14:paraId="71801202" w14:textId="77777777" w:rsidR="00C0374F" w:rsidRPr="007338E1" w:rsidRDefault="00C0374F" w:rsidP="001C0125">
      <w:pPr>
        <w:pStyle w:val="Default"/>
        <w:ind w:left="851"/>
        <w:rPr>
          <w:lang w:val="en-US"/>
        </w:rPr>
      </w:pPr>
      <w:r w:rsidRPr="007338E1">
        <w:rPr>
          <w:lang w:val="en-US"/>
        </w:rPr>
        <w:t xml:space="preserve">The recommended dose is one drop in the affected eye(s) once daily, administered in the evening. The dose should not exceed once daily as more frequent administration may lessen the intraocular pressure lowering effect. </w:t>
      </w:r>
    </w:p>
    <w:p w14:paraId="593FC745" w14:textId="77777777" w:rsidR="00C0374F" w:rsidRPr="007338E1" w:rsidRDefault="00C0374F" w:rsidP="001C0125">
      <w:pPr>
        <w:pStyle w:val="Default"/>
        <w:ind w:left="851"/>
        <w:rPr>
          <w:lang w:val="en-US"/>
        </w:rPr>
      </w:pPr>
    </w:p>
    <w:p w14:paraId="7ECC754F" w14:textId="77777777" w:rsidR="00C0374F" w:rsidRPr="007338E1" w:rsidRDefault="00C0374F" w:rsidP="001C0125">
      <w:pPr>
        <w:pStyle w:val="Default"/>
        <w:ind w:left="851"/>
        <w:rPr>
          <w:lang w:val="en-US"/>
        </w:rPr>
      </w:pPr>
      <w:r w:rsidRPr="007338E1">
        <w:rPr>
          <w:i/>
          <w:iCs/>
          <w:lang w:val="en-US"/>
        </w:rPr>
        <w:lastRenderedPageBreak/>
        <w:t>Paediatric population</w:t>
      </w:r>
    </w:p>
    <w:p w14:paraId="04BD5056" w14:textId="77777777" w:rsidR="00C0374F" w:rsidRPr="007338E1" w:rsidRDefault="00C0374F" w:rsidP="001C0125">
      <w:pPr>
        <w:pStyle w:val="Default"/>
        <w:ind w:left="851"/>
        <w:rPr>
          <w:lang w:val="en-US"/>
        </w:rPr>
      </w:pPr>
      <w:r w:rsidRPr="007338E1">
        <w:rPr>
          <w:lang w:val="en-US"/>
        </w:rPr>
        <w:t xml:space="preserve">The safety and efficacy of </w:t>
      </w:r>
      <w:proofErr w:type="spellStart"/>
      <w:r w:rsidRPr="007338E1">
        <w:rPr>
          <w:lang w:val="en-US"/>
        </w:rPr>
        <w:t>bimatoprost</w:t>
      </w:r>
      <w:proofErr w:type="spellEnd"/>
      <w:r w:rsidRPr="007338E1">
        <w:rPr>
          <w:lang w:val="en-US"/>
        </w:rPr>
        <w:t xml:space="preserve"> in children aged 0 to 18 years has not yet been established. </w:t>
      </w:r>
    </w:p>
    <w:p w14:paraId="6DBFB7CD" w14:textId="77777777" w:rsidR="00C0374F" w:rsidRPr="007338E1" w:rsidRDefault="00C0374F" w:rsidP="001C0125">
      <w:pPr>
        <w:pStyle w:val="Default"/>
        <w:ind w:left="851"/>
        <w:rPr>
          <w:lang w:val="en-US"/>
        </w:rPr>
      </w:pPr>
    </w:p>
    <w:p w14:paraId="6EFB1507" w14:textId="77777777" w:rsidR="00C0374F" w:rsidRPr="007338E1" w:rsidRDefault="00C0374F" w:rsidP="001C0125">
      <w:pPr>
        <w:pStyle w:val="Default"/>
        <w:ind w:left="851"/>
        <w:rPr>
          <w:u w:val="single"/>
          <w:lang w:val="en-US"/>
        </w:rPr>
      </w:pPr>
      <w:r w:rsidRPr="007338E1">
        <w:rPr>
          <w:u w:val="single"/>
          <w:lang w:val="en-US"/>
        </w:rPr>
        <w:t>Patients with hepatic and renal impairment</w:t>
      </w:r>
    </w:p>
    <w:p w14:paraId="31629A91" w14:textId="77777777" w:rsidR="00C0374F" w:rsidRPr="007338E1" w:rsidRDefault="00C0374F" w:rsidP="001C0125">
      <w:pPr>
        <w:pStyle w:val="Default"/>
        <w:ind w:left="851"/>
        <w:rPr>
          <w:lang w:val="en-US"/>
        </w:rPr>
      </w:pPr>
      <w:proofErr w:type="spellStart"/>
      <w:r w:rsidRPr="007338E1">
        <w:rPr>
          <w:lang w:val="en-US"/>
        </w:rPr>
        <w:t>Bimatoprost</w:t>
      </w:r>
      <w:proofErr w:type="spellEnd"/>
      <w:r w:rsidRPr="007338E1">
        <w:rPr>
          <w:lang w:val="en-US"/>
        </w:rPr>
        <w:t xml:space="preserve"> has not been studied in patients with renal or moderate to severe hepatic impairment and should therefore be used with caution in such patients. In patients with a history of mild liver disease or abnormal alanine aminotransferase (ALT), aspartate aminotransferase (AST) and/or bilirubin at baseline, </w:t>
      </w:r>
      <w:proofErr w:type="spellStart"/>
      <w:r w:rsidRPr="007338E1">
        <w:rPr>
          <w:lang w:val="en-US"/>
        </w:rPr>
        <w:t>bimatoprost</w:t>
      </w:r>
      <w:proofErr w:type="spellEnd"/>
      <w:r w:rsidRPr="007338E1">
        <w:rPr>
          <w:lang w:val="en-US"/>
        </w:rPr>
        <w:t xml:space="preserve"> 0.3 mg/ml eye drops, solution had no adverse effect on liver function over 24 months. </w:t>
      </w:r>
    </w:p>
    <w:p w14:paraId="2ED06B3E" w14:textId="77777777" w:rsidR="00C0374F" w:rsidRPr="007338E1" w:rsidRDefault="00C0374F" w:rsidP="001C0125">
      <w:pPr>
        <w:pStyle w:val="Default"/>
        <w:ind w:left="851"/>
        <w:rPr>
          <w:lang w:val="en-US"/>
        </w:rPr>
      </w:pPr>
    </w:p>
    <w:p w14:paraId="0CAEF6B4" w14:textId="0AC22C2C" w:rsidR="00C0374F" w:rsidRPr="007338E1" w:rsidRDefault="003E49FB" w:rsidP="001C0125">
      <w:pPr>
        <w:pStyle w:val="Default"/>
        <w:ind w:left="851"/>
        <w:rPr>
          <w:lang w:val="en-US"/>
        </w:rPr>
      </w:pPr>
      <w:proofErr w:type="spellStart"/>
      <w:r>
        <w:rPr>
          <w:lang w:val="en-US"/>
        </w:rPr>
        <w:t>Vizibim</w:t>
      </w:r>
      <w:proofErr w:type="spellEnd"/>
      <w:r w:rsidR="00C0374F" w:rsidRPr="007338E1">
        <w:rPr>
          <w:lang w:val="en-US"/>
        </w:rPr>
        <w:t xml:space="preserve"> eye drops solution is a sterile solution that does not contain a preservative.</w:t>
      </w:r>
    </w:p>
    <w:p w14:paraId="2F3B0E50" w14:textId="77777777" w:rsidR="00C0374F" w:rsidRPr="007338E1" w:rsidRDefault="00C0374F" w:rsidP="001C0125">
      <w:pPr>
        <w:pStyle w:val="Default"/>
        <w:ind w:left="851"/>
        <w:rPr>
          <w:lang w:val="en-US"/>
        </w:rPr>
      </w:pPr>
    </w:p>
    <w:p w14:paraId="07A0F260" w14:textId="77777777" w:rsidR="00C0374F" w:rsidRPr="007338E1" w:rsidRDefault="00C0374F" w:rsidP="001C0125">
      <w:pPr>
        <w:pStyle w:val="Default"/>
        <w:ind w:left="851"/>
        <w:rPr>
          <w:u w:val="single"/>
          <w:lang w:val="en-US"/>
        </w:rPr>
      </w:pPr>
      <w:r w:rsidRPr="007338E1">
        <w:rPr>
          <w:u w:val="single"/>
          <w:lang w:val="en-US"/>
        </w:rPr>
        <w:t>Method of administration</w:t>
      </w:r>
    </w:p>
    <w:p w14:paraId="447F0226" w14:textId="77777777" w:rsidR="00C0374F" w:rsidRPr="007338E1" w:rsidRDefault="00C0374F" w:rsidP="001C0125">
      <w:pPr>
        <w:pStyle w:val="Default"/>
        <w:ind w:left="851"/>
        <w:rPr>
          <w:lang w:val="en-US"/>
        </w:rPr>
      </w:pPr>
      <w:r w:rsidRPr="007338E1">
        <w:rPr>
          <w:lang w:val="en-US"/>
        </w:rPr>
        <w:t xml:space="preserve">If more than one topical ophthalmic medicinal product is being used, each one should be administered at least 5 minutes apart. </w:t>
      </w:r>
    </w:p>
    <w:p w14:paraId="6F6BD783" w14:textId="77777777" w:rsidR="007C5D2A" w:rsidRPr="007338E1" w:rsidRDefault="007C5D2A" w:rsidP="00A85D26">
      <w:pPr>
        <w:tabs>
          <w:tab w:val="left" w:pos="851"/>
        </w:tabs>
        <w:ind w:left="851"/>
        <w:rPr>
          <w:sz w:val="24"/>
          <w:szCs w:val="24"/>
          <w:lang w:val="en-GB"/>
        </w:rPr>
      </w:pPr>
    </w:p>
    <w:p w14:paraId="1737B407"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t>4.3</w:t>
      </w:r>
      <w:r w:rsidRPr="007338E1">
        <w:rPr>
          <w:b/>
          <w:sz w:val="24"/>
          <w:szCs w:val="24"/>
          <w:lang w:val="en-GB"/>
        </w:rPr>
        <w:tab/>
        <w:t>Contraindications</w:t>
      </w:r>
    </w:p>
    <w:p w14:paraId="54C52BE6" w14:textId="77777777" w:rsidR="00C0374F" w:rsidRPr="007338E1" w:rsidRDefault="00C0374F" w:rsidP="001C0125">
      <w:pPr>
        <w:pStyle w:val="Default"/>
        <w:ind w:left="851"/>
        <w:rPr>
          <w:lang w:val="en-US"/>
        </w:rPr>
      </w:pPr>
      <w:r w:rsidRPr="007338E1">
        <w:rPr>
          <w:lang w:val="en-US"/>
        </w:rPr>
        <w:t xml:space="preserve">Hypersensitivity to the active substance or to any of the excipients listed in section 6.1. </w:t>
      </w:r>
    </w:p>
    <w:p w14:paraId="234601CC" w14:textId="77777777" w:rsidR="007C5D2A" w:rsidRPr="007338E1" w:rsidRDefault="007C5D2A" w:rsidP="003E0341">
      <w:pPr>
        <w:tabs>
          <w:tab w:val="left" w:pos="851"/>
        </w:tabs>
        <w:ind w:left="851"/>
        <w:rPr>
          <w:sz w:val="24"/>
          <w:szCs w:val="24"/>
          <w:lang w:val="en-GB"/>
        </w:rPr>
      </w:pPr>
    </w:p>
    <w:p w14:paraId="4FBFAF9F" w14:textId="77777777" w:rsidR="007C5D2A" w:rsidRPr="007338E1" w:rsidRDefault="007C5D2A" w:rsidP="007C5D2A">
      <w:pPr>
        <w:tabs>
          <w:tab w:val="left" w:pos="851"/>
        </w:tabs>
        <w:rPr>
          <w:b/>
          <w:sz w:val="24"/>
          <w:szCs w:val="24"/>
          <w:lang w:val="en-GB"/>
        </w:rPr>
      </w:pPr>
      <w:r w:rsidRPr="007338E1">
        <w:rPr>
          <w:b/>
          <w:sz w:val="24"/>
          <w:szCs w:val="24"/>
          <w:lang w:val="en-GB"/>
        </w:rPr>
        <w:t>4.4</w:t>
      </w:r>
      <w:r w:rsidRPr="007338E1">
        <w:rPr>
          <w:b/>
          <w:sz w:val="24"/>
          <w:szCs w:val="24"/>
          <w:lang w:val="en-GB"/>
        </w:rPr>
        <w:tab/>
        <w:t>Special warnings and precautions for use</w:t>
      </w:r>
    </w:p>
    <w:p w14:paraId="3A0F3228" w14:textId="77777777" w:rsidR="007338E1" w:rsidRDefault="007338E1" w:rsidP="001C0125">
      <w:pPr>
        <w:pStyle w:val="Default"/>
        <w:ind w:left="851"/>
        <w:rPr>
          <w:color w:val="auto"/>
          <w:u w:val="single"/>
          <w:lang w:val="en-GB"/>
        </w:rPr>
      </w:pPr>
    </w:p>
    <w:p w14:paraId="3FBA6A84" w14:textId="23B035DD" w:rsidR="00C0374F" w:rsidRPr="007338E1" w:rsidRDefault="00C0374F" w:rsidP="001C0125">
      <w:pPr>
        <w:pStyle w:val="Default"/>
        <w:ind w:left="851"/>
        <w:rPr>
          <w:color w:val="auto"/>
          <w:u w:val="single"/>
          <w:lang w:val="en-US"/>
        </w:rPr>
      </w:pPr>
      <w:r w:rsidRPr="007338E1">
        <w:rPr>
          <w:color w:val="auto"/>
          <w:u w:val="single"/>
          <w:lang w:val="en-US"/>
        </w:rPr>
        <w:t>Ocular</w:t>
      </w:r>
    </w:p>
    <w:p w14:paraId="1245B4DE" w14:textId="77777777" w:rsidR="00F661A3" w:rsidRPr="00C60CBC" w:rsidRDefault="00F661A3" w:rsidP="00C60CBC">
      <w:pPr>
        <w:pStyle w:val="Default"/>
        <w:ind w:left="851"/>
        <w:rPr>
          <w:color w:val="auto"/>
          <w:lang w:val="en-US"/>
        </w:rPr>
      </w:pPr>
      <w:r w:rsidRPr="00C60CBC">
        <w:rPr>
          <w:color w:val="auto"/>
          <w:lang w:val="en-US"/>
        </w:rPr>
        <w:t xml:space="preserve">Before treatment is initiated, patients should be informed of the possibility of prostaglandin analogue </w:t>
      </w:r>
      <w:proofErr w:type="spellStart"/>
      <w:r w:rsidRPr="00C60CBC">
        <w:rPr>
          <w:color w:val="auto"/>
          <w:lang w:val="en-US"/>
        </w:rPr>
        <w:t>periorbitopathy</w:t>
      </w:r>
      <w:proofErr w:type="spellEnd"/>
      <w:r w:rsidRPr="00C60CBC">
        <w:rPr>
          <w:color w:val="auto"/>
          <w:lang w:val="en-US"/>
        </w:rPr>
        <w:t xml:space="preserve"> (PAP) and increased iris pigmentation, since these have been observed during treatment with </w:t>
      </w:r>
      <w:proofErr w:type="spellStart"/>
      <w:r w:rsidRPr="00C60CBC">
        <w:rPr>
          <w:color w:val="auto"/>
          <w:lang w:val="en-US"/>
        </w:rPr>
        <w:t>bimatoprost</w:t>
      </w:r>
      <w:proofErr w:type="spellEnd"/>
      <w:r w:rsidRPr="00C60CBC">
        <w:rPr>
          <w:color w:val="auto"/>
          <w:lang w:val="en-US"/>
        </w:rPr>
        <w:t xml:space="preserve">. Some of these changes may be permanent, and may lead to impaired field of vision and differences in appearance between the eyes when only one eye is treated (see section 4.8). </w:t>
      </w:r>
    </w:p>
    <w:p w14:paraId="0C68A17C" w14:textId="77777777" w:rsidR="00C0374F" w:rsidRPr="00C60CBC" w:rsidRDefault="00C0374F" w:rsidP="00C60CBC">
      <w:pPr>
        <w:pStyle w:val="Default"/>
        <w:ind w:left="851"/>
        <w:rPr>
          <w:color w:val="auto"/>
          <w:lang w:val="en-US"/>
        </w:rPr>
      </w:pPr>
    </w:p>
    <w:p w14:paraId="2507BF61" w14:textId="77777777" w:rsidR="00C0374F" w:rsidRPr="007338E1" w:rsidRDefault="00C0374F" w:rsidP="001C0125">
      <w:pPr>
        <w:pStyle w:val="Default"/>
        <w:ind w:left="851"/>
        <w:rPr>
          <w:color w:val="auto"/>
          <w:lang w:val="en-US"/>
        </w:rPr>
      </w:pPr>
      <w:r w:rsidRPr="007338E1">
        <w:rPr>
          <w:color w:val="auto"/>
          <w:lang w:val="en-US"/>
        </w:rPr>
        <w:t xml:space="preserve">Cystoid macular </w:t>
      </w:r>
      <w:proofErr w:type="spellStart"/>
      <w:r w:rsidRPr="007338E1">
        <w:rPr>
          <w:color w:val="auto"/>
          <w:lang w:val="en-US"/>
        </w:rPr>
        <w:t>oedema</w:t>
      </w:r>
      <w:proofErr w:type="spellEnd"/>
      <w:r w:rsidRPr="007338E1">
        <w:rPr>
          <w:color w:val="auto"/>
          <w:lang w:val="en-US"/>
        </w:rPr>
        <w:t xml:space="preserve"> has been uncommonly reported (≥1/1,000 to &lt;1/100) following treatment with </w:t>
      </w:r>
      <w:proofErr w:type="spellStart"/>
      <w:r w:rsidRPr="007338E1">
        <w:rPr>
          <w:color w:val="auto"/>
          <w:lang w:val="en-US"/>
        </w:rPr>
        <w:t>bimatoprost</w:t>
      </w:r>
      <w:proofErr w:type="spellEnd"/>
      <w:r w:rsidRPr="007338E1">
        <w:rPr>
          <w:color w:val="auto"/>
          <w:lang w:val="en-US"/>
        </w:rPr>
        <w:t xml:space="preserve"> 0.3 mg/ml eye drops. Therefore, </w:t>
      </w:r>
      <w:proofErr w:type="spellStart"/>
      <w:r w:rsidRPr="007338E1">
        <w:rPr>
          <w:color w:val="auto"/>
          <w:lang w:val="en-US"/>
        </w:rPr>
        <w:t>bimatoprost</w:t>
      </w:r>
      <w:proofErr w:type="spellEnd"/>
      <w:r w:rsidRPr="007338E1">
        <w:rPr>
          <w:color w:val="auto"/>
          <w:lang w:val="en-US"/>
        </w:rPr>
        <w:t xml:space="preserve"> should be used with caution in patients with known risk factors for macular </w:t>
      </w:r>
      <w:proofErr w:type="spellStart"/>
      <w:r w:rsidRPr="007338E1">
        <w:rPr>
          <w:color w:val="auto"/>
          <w:lang w:val="en-US"/>
        </w:rPr>
        <w:t>oedema</w:t>
      </w:r>
      <w:proofErr w:type="spellEnd"/>
      <w:r w:rsidRPr="007338E1">
        <w:rPr>
          <w:color w:val="auto"/>
          <w:lang w:val="en-US"/>
        </w:rPr>
        <w:t xml:space="preserve"> (e.g. aphakic patients, </w:t>
      </w:r>
      <w:proofErr w:type="spellStart"/>
      <w:r w:rsidRPr="007338E1">
        <w:rPr>
          <w:color w:val="auto"/>
          <w:lang w:val="en-US"/>
        </w:rPr>
        <w:t>pseudophakic</w:t>
      </w:r>
      <w:proofErr w:type="spellEnd"/>
      <w:r w:rsidRPr="007338E1">
        <w:rPr>
          <w:color w:val="auto"/>
          <w:lang w:val="en-US"/>
        </w:rPr>
        <w:t xml:space="preserve"> patients with a torn posterior lens capsule). </w:t>
      </w:r>
    </w:p>
    <w:p w14:paraId="3545C1F5" w14:textId="77777777" w:rsidR="00C0374F" w:rsidRPr="007338E1" w:rsidRDefault="00C0374F" w:rsidP="001C0125">
      <w:pPr>
        <w:pStyle w:val="Default"/>
        <w:ind w:left="851"/>
        <w:rPr>
          <w:color w:val="auto"/>
          <w:lang w:val="en-US"/>
        </w:rPr>
      </w:pPr>
    </w:p>
    <w:p w14:paraId="502EA60D" w14:textId="77777777" w:rsidR="00C0374F" w:rsidRPr="007338E1" w:rsidRDefault="00C0374F" w:rsidP="001C0125">
      <w:pPr>
        <w:pStyle w:val="Default"/>
        <w:ind w:left="851"/>
        <w:rPr>
          <w:color w:val="auto"/>
          <w:lang w:val="en-US"/>
        </w:rPr>
      </w:pPr>
      <w:r w:rsidRPr="007338E1">
        <w:rPr>
          <w:color w:val="auto"/>
          <w:lang w:val="en-US"/>
        </w:rPr>
        <w:t xml:space="preserve">There have been rare spontaneous reports of reactivation of previous corneal infiltrates or ocular infections with </w:t>
      </w:r>
      <w:proofErr w:type="spellStart"/>
      <w:r w:rsidRPr="007338E1">
        <w:rPr>
          <w:color w:val="auto"/>
          <w:lang w:val="en-US"/>
        </w:rPr>
        <w:t>bimatoprost</w:t>
      </w:r>
      <w:proofErr w:type="spellEnd"/>
      <w:r w:rsidRPr="007338E1">
        <w:rPr>
          <w:color w:val="auto"/>
          <w:lang w:val="en-US"/>
        </w:rPr>
        <w:t xml:space="preserve"> 0.3 mg/ml eye drops, solution. </w:t>
      </w:r>
      <w:proofErr w:type="spellStart"/>
      <w:r w:rsidRPr="007338E1">
        <w:rPr>
          <w:color w:val="auto"/>
          <w:lang w:val="en-US"/>
        </w:rPr>
        <w:t>Bimatoprost</w:t>
      </w:r>
      <w:proofErr w:type="spellEnd"/>
      <w:r w:rsidRPr="007338E1">
        <w:rPr>
          <w:color w:val="auto"/>
          <w:lang w:val="en-US"/>
        </w:rPr>
        <w:t xml:space="preserve"> should be used with caution in patients with a prior history of significant ocular viral infections (e.g. herpes simplex) or uveitis/iritis. </w:t>
      </w:r>
    </w:p>
    <w:p w14:paraId="28A51698" w14:textId="77777777" w:rsidR="00C0374F" w:rsidRPr="007338E1" w:rsidRDefault="00C0374F" w:rsidP="001C0125">
      <w:pPr>
        <w:pStyle w:val="Default"/>
        <w:ind w:left="851"/>
        <w:rPr>
          <w:color w:val="auto"/>
          <w:lang w:val="en-US"/>
        </w:rPr>
      </w:pPr>
    </w:p>
    <w:p w14:paraId="60607ED6" w14:textId="77777777" w:rsidR="00C0374F" w:rsidRPr="007338E1" w:rsidRDefault="00C0374F" w:rsidP="001C0125">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has not been studied in patients with inflammatory ocular conditions, neovascular, inflammatory, angle-closure glaucoma, congenital glaucoma or narrow-angle glaucoma. </w:t>
      </w:r>
    </w:p>
    <w:p w14:paraId="70EECBBB" w14:textId="77777777" w:rsidR="00C0374F" w:rsidRPr="007338E1" w:rsidRDefault="00C0374F" w:rsidP="001C0125">
      <w:pPr>
        <w:pStyle w:val="Default"/>
        <w:ind w:left="851"/>
        <w:rPr>
          <w:color w:val="auto"/>
          <w:lang w:val="en-US"/>
        </w:rPr>
      </w:pPr>
    </w:p>
    <w:p w14:paraId="140AA5AB" w14:textId="77777777" w:rsidR="00C0374F" w:rsidRPr="007338E1" w:rsidRDefault="00C0374F" w:rsidP="001C0125">
      <w:pPr>
        <w:pStyle w:val="Default"/>
        <w:ind w:left="851"/>
        <w:rPr>
          <w:color w:val="auto"/>
          <w:u w:val="single"/>
          <w:lang w:val="en-US"/>
        </w:rPr>
      </w:pPr>
      <w:r w:rsidRPr="007338E1">
        <w:rPr>
          <w:color w:val="auto"/>
          <w:u w:val="single"/>
          <w:lang w:val="en-US"/>
        </w:rPr>
        <w:t xml:space="preserve">Skin </w:t>
      </w:r>
    </w:p>
    <w:p w14:paraId="778257C7" w14:textId="77777777" w:rsidR="00C0374F" w:rsidRPr="007338E1" w:rsidRDefault="00C0374F" w:rsidP="001C0125">
      <w:pPr>
        <w:pStyle w:val="Default"/>
        <w:ind w:left="851"/>
        <w:rPr>
          <w:color w:val="auto"/>
          <w:lang w:val="en-US"/>
        </w:rPr>
      </w:pPr>
      <w:r w:rsidRPr="007338E1">
        <w:rPr>
          <w:color w:val="auto"/>
          <w:lang w:val="en-US"/>
        </w:rPr>
        <w:t xml:space="preserve">There is a potential for hair growth to occur in areas where </w:t>
      </w:r>
      <w:proofErr w:type="spellStart"/>
      <w:r w:rsidRPr="007338E1">
        <w:rPr>
          <w:color w:val="auto"/>
          <w:lang w:val="en-US"/>
        </w:rPr>
        <w:t>bimatoprost</w:t>
      </w:r>
      <w:proofErr w:type="spellEnd"/>
      <w:r w:rsidRPr="007338E1">
        <w:rPr>
          <w:color w:val="auto"/>
          <w:lang w:val="en-US"/>
        </w:rPr>
        <w:t xml:space="preserve"> solution comes repeatedly in contact with the skin surface. Thus, it is important to apply </w:t>
      </w:r>
      <w:proofErr w:type="spellStart"/>
      <w:r w:rsidRPr="007338E1">
        <w:rPr>
          <w:color w:val="auto"/>
          <w:lang w:val="en-US"/>
        </w:rPr>
        <w:t>bimatoprost</w:t>
      </w:r>
      <w:proofErr w:type="spellEnd"/>
      <w:r w:rsidRPr="007338E1">
        <w:rPr>
          <w:color w:val="auto"/>
          <w:lang w:val="en-US"/>
        </w:rPr>
        <w:t xml:space="preserve"> as instructed and avoid it running onto the cheek or other skin areas.</w:t>
      </w:r>
    </w:p>
    <w:p w14:paraId="5E6E5225" w14:textId="77777777" w:rsidR="00C0374F" w:rsidRPr="007338E1" w:rsidRDefault="00C0374F" w:rsidP="001C0125">
      <w:pPr>
        <w:pStyle w:val="Default"/>
        <w:ind w:left="851"/>
        <w:rPr>
          <w:color w:val="auto"/>
          <w:lang w:val="en-US"/>
        </w:rPr>
      </w:pPr>
    </w:p>
    <w:p w14:paraId="4952422A" w14:textId="77777777" w:rsidR="00C0374F" w:rsidRPr="007338E1" w:rsidRDefault="00C0374F" w:rsidP="001C0125">
      <w:pPr>
        <w:pStyle w:val="Default"/>
        <w:ind w:left="851"/>
        <w:rPr>
          <w:color w:val="auto"/>
          <w:u w:val="single"/>
          <w:lang w:val="en-US"/>
        </w:rPr>
      </w:pPr>
      <w:r w:rsidRPr="007338E1">
        <w:rPr>
          <w:color w:val="auto"/>
          <w:u w:val="single"/>
          <w:lang w:val="en-US"/>
        </w:rPr>
        <w:t xml:space="preserve">Respiratory </w:t>
      </w:r>
    </w:p>
    <w:p w14:paraId="73C10E3C" w14:textId="77777777" w:rsidR="00C0374F" w:rsidRPr="007338E1" w:rsidRDefault="00C0374F" w:rsidP="001C0125">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has not been studied in patients with compromised respiratory function. While there is limited information available on patients with a history of asthma or COPD, there </w:t>
      </w:r>
      <w:r w:rsidRPr="007338E1">
        <w:rPr>
          <w:color w:val="auto"/>
          <w:lang w:val="en-US"/>
        </w:rPr>
        <w:lastRenderedPageBreak/>
        <w:t xml:space="preserve">have been reports of exacerbation of asthma, </w:t>
      </w:r>
      <w:proofErr w:type="spellStart"/>
      <w:r w:rsidRPr="007338E1">
        <w:rPr>
          <w:color w:val="auto"/>
          <w:lang w:val="en-US"/>
        </w:rPr>
        <w:t>dyspnoea</w:t>
      </w:r>
      <w:proofErr w:type="spellEnd"/>
      <w:r w:rsidRPr="007338E1">
        <w:rPr>
          <w:color w:val="auto"/>
          <w:lang w:val="en-US"/>
        </w:rPr>
        <w:t xml:space="preserve"> and COPD, as well as reports of asthma, in post marketing experience. The frequency of these symptoms is not known. Patients with COPD, asthma or compromised respiratory function due to other conditions should be treated with caution. </w:t>
      </w:r>
    </w:p>
    <w:p w14:paraId="504C10DA" w14:textId="77777777" w:rsidR="00C0374F" w:rsidRPr="007338E1" w:rsidRDefault="00C0374F" w:rsidP="001C0125">
      <w:pPr>
        <w:pStyle w:val="Default"/>
        <w:ind w:left="851"/>
        <w:rPr>
          <w:color w:val="auto"/>
          <w:lang w:val="en-US"/>
        </w:rPr>
      </w:pPr>
    </w:p>
    <w:p w14:paraId="112F5B2E" w14:textId="77777777" w:rsidR="00C0374F" w:rsidRPr="007338E1" w:rsidRDefault="00C0374F" w:rsidP="001C0125">
      <w:pPr>
        <w:pStyle w:val="Default"/>
        <w:ind w:left="851"/>
        <w:rPr>
          <w:color w:val="auto"/>
          <w:u w:val="single"/>
          <w:lang w:val="en-US"/>
        </w:rPr>
      </w:pPr>
      <w:r w:rsidRPr="007338E1">
        <w:rPr>
          <w:color w:val="auto"/>
          <w:u w:val="single"/>
          <w:lang w:val="en-US"/>
        </w:rPr>
        <w:t xml:space="preserve">Cardiovascular </w:t>
      </w:r>
    </w:p>
    <w:p w14:paraId="60C9C156" w14:textId="77777777" w:rsidR="00C0374F" w:rsidRPr="007338E1" w:rsidRDefault="00C0374F" w:rsidP="001C0125">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has not been studied in patients with heart block more severe than first degree or uncontrolled congestive heart failure. There have been a limited number of spontaneous reports of bradycardia or hypotension with </w:t>
      </w:r>
      <w:proofErr w:type="spellStart"/>
      <w:r w:rsidRPr="007338E1">
        <w:rPr>
          <w:color w:val="auto"/>
          <w:lang w:val="en-US"/>
        </w:rPr>
        <w:t>bimatoprost</w:t>
      </w:r>
      <w:proofErr w:type="spellEnd"/>
      <w:r w:rsidRPr="007338E1">
        <w:rPr>
          <w:color w:val="auto"/>
          <w:lang w:val="en-US"/>
        </w:rPr>
        <w:t xml:space="preserve"> 0.3 mg/ml eye drops, solution. </w:t>
      </w:r>
      <w:proofErr w:type="spellStart"/>
      <w:r w:rsidRPr="007338E1">
        <w:rPr>
          <w:color w:val="auto"/>
          <w:lang w:val="en-US"/>
        </w:rPr>
        <w:t>Bimatoprost</w:t>
      </w:r>
      <w:proofErr w:type="spellEnd"/>
      <w:r w:rsidRPr="007338E1">
        <w:rPr>
          <w:color w:val="auto"/>
          <w:lang w:val="en-US"/>
        </w:rPr>
        <w:t xml:space="preserve"> should be used with caution in patients predisposed to low heart rate or low blood pressure. </w:t>
      </w:r>
    </w:p>
    <w:p w14:paraId="370AE0FA" w14:textId="77777777" w:rsidR="00C0374F" w:rsidRPr="007338E1" w:rsidRDefault="00C0374F" w:rsidP="001C0125">
      <w:pPr>
        <w:pStyle w:val="Default"/>
        <w:ind w:left="851"/>
        <w:rPr>
          <w:color w:val="auto"/>
          <w:lang w:val="en-US"/>
        </w:rPr>
      </w:pPr>
    </w:p>
    <w:p w14:paraId="37659D67" w14:textId="77777777" w:rsidR="00C0374F" w:rsidRPr="00CF5F42" w:rsidRDefault="00C0374F" w:rsidP="007338E1">
      <w:pPr>
        <w:ind w:left="851"/>
        <w:rPr>
          <w:sz w:val="24"/>
          <w:szCs w:val="24"/>
          <w:u w:val="single"/>
          <w:lang w:val="en-US"/>
        </w:rPr>
      </w:pPr>
      <w:r w:rsidRPr="00CF5F42">
        <w:rPr>
          <w:sz w:val="24"/>
          <w:szCs w:val="24"/>
          <w:u w:val="single"/>
          <w:lang w:val="en-US"/>
        </w:rPr>
        <w:t xml:space="preserve">Other Information </w:t>
      </w:r>
    </w:p>
    <w:p w14:paraId="5054564D" w14:textId="77777777" w:rsidR="00C0374F" w:rsidRPr="007338E1" w:rsidRDefault="00C0374F" w:rsidP="007338E1">
      <w:pPr>
        <w:ind w:left="851"/>
        <w:rPr>
          <w:sz w:val="24"/>
          <w:szCs w:val="24"/>
          <w:lang w:val="en-US"/>
        </w:rPr>
      </w:pPr>
      <w:r w:rsidRPr="007338E1">
        <w:rPr>
          <w:sz w:val="24"/>
          <w:szCs w:val="24"/>
          <w:lang w:val="en-US"/>
        </w:rPr>
        <w:t xml:space="preserve">In studies of </w:t>
      </w:r>
      <w:proofErr w:type="spellStart"/>
      <w:r w:rsidRPr="007338E1">
        <w:rPr>
          <w:sz w:val="24"/>
          <w:szCs w:val="24"/>
          <w:lang w:val="en-US"/>
        </w:rPr>
        <w:t>bimatoprost</w:t>
      </w:r>
      <w:proofErr w:type="spellEnd"/>
      <w:r w:rsidRPr="007338E1">
        <w:rPr>
          <w:sz w:val="24"/>
          <w:szCs w:val="24"/>
          <w:lang w:val="en-US"/>
        </w:rPr>
        <w:t xml:space="preserve"> 0.3 mg/ml in patients with glaucoma or ocular hypertension, it has been shown that the more frequent exposure of the eye to more than one dose of </w:t>
      </w:r>
      <w:proofErr w:type="spellStart"/>
      <w:r w:rsidRPr="007338E1">
        <w:rPr>
          <w:sz w:val="24"/>
          <w:szCs w:val="24"/>
          <w:lang w:val="en-US"/>
        </w:rPr>
        <w:t>bimatoprost</w:t>
      </w:r>
      <w:proofErr w:type="spellEnd"/>
      <w:r w:rsidRPr="007338E1">
        <w:rPr>
          <w:sz w:val="24"/>
          <w:szCs w:val="24"/>
          <w:lang w:val="en-US"/>
        </w:rPr>
        <w:t xml:space="preserve"> daily may decrease the IOP-lowering effect (see section 4.5). Patients using </w:t>
      </w:r>
      <w:proofErr w:type="spellStart"/>
      <w:r w:rsidRPr="007338E1">
        <w:rPr>
          <w:sz w:val="24"/>
          <w:szCs w:val="24"/>
          <w:lang w:val="en-US"/>
        </w:rPr>
        <w:t>bimatoprost</w:t>
      </w:r>
      <w:proofErr w:type="spellEnd"/>
      <w:r w:rsidRPr="007338E1">
        <w:rPr>
          <w:sz w:val="24"/>
          <w:szCs w:val="24"/>
          <w:lang w:val="en-US"/>
        </w:rPr>
        <w:t xml:space="preserve"> with other prostaglandin analogues should be monitored for changes to their intraocular pressure. </w:t>
      </w:r>
    </w:p>
    <w:p w14:paraId="4E7FB8AA" w14:textId="77777777" w:rsidR="00C0374F" w:rsidRPr="007338E1" w:rsidRDefault="00C0374F" w:rsidP="001C0125">
      <w:pPr>
        <w:pStyle w:val="Default"/>
        <w:ind w:left="851"/>
        <w:rPr>
          <w:color w:val="auto"/>
          <w:lang w:val="en-US"/>
        </w:rPr>
      </w:pPr>
    </w:p>
    <w:p w14:paraId="14DC32CB" w14:textId="77777777" w:rsidR="00C0374F" w:rsidRPr="007338E1" w:rsidRDefault="00C0374F" w:rsidP="001C0125">
      <w:pPr>
        <w:autoSpaceDE w:val="0"/>
        <w:autoSpaceDN w:val="0"/>
        <w:adjustRightInd w:val="0"/>
        <w:ind w:left="851"/>
        <w:rPr>
          <w:sz w:val="24"/>
          <w:szCs w:val="24"/>
          <w:lang w:val="en-US"/>
        </w:rPr>
      </w:pPr>
      <w:r w:rsidRPr="007338E1">
        <w:rPr>
          <w:sz w:val="24"/>
          <w:szCs w:val="24"/>
          <w:lang w:val="en-US"/>
        </w:rPr>
        <w:t>There have been reports of bacterial keratitis associated with the use of multiple dose containers of topical ophthalmic products. These containers had been inadvertently contaminated by patients who, in most cases, had a concurrent ocular disease. Patients with a disruption of the ocular epithelial surface are at greater risk of developing bacterial keratitis.</w:t>
      </w:r>
    </w:p>
    <w:p w14:paraId="5E9551D6" w14:textId="77777777" w:rsidR="00C0374F" w:rsidRPr="007338E1" w:rsidRDefault="00C0374F" w:rsidP="001C0125">
      <w:pPr>
        <w:pStyle w:val="Default"/>
        <w:ind w:left="851"/>
        <w:rPr>
          <w:color w:val="auto"/>
          <w:lang w:val="en-US"/>
        </w:rPr>
      </w:pPr>
    </w:p>
    <w:p w14:paraId="21717282" w14:textId="77777777" w:rsidR="00C0374F" w:rsidRPr="007338E1" w:rsidRDefault="00C0374F" w:rsidP="001C0125">
      <w:pPr>
        <w:autoSpaceDE w:val="0"/>
        <w:autoSpaceDN w:val="0"/>
        <w:adjustRightInd w:val="0"/>
        <w:ind w:left="851"/>
        <w:rPr>
          <w:sz w:val="24"/>
          <w:szCs w:val="24"/>
          <w:lang w:val="en-US"/>
        </w:rPr>
      </w:pPr>
      <w:r w:rsidRPr="007338E1">
        <w:rPr>
          <w:sz w:val="24"/>
          <w:szCs w:val="24"/>
          <w:lang w:val="en-US"/>
        </w:rPr>
        <w:t xml:space="preserve">Patients should be instructed to wash their hands before use and avoid allowing the tip of the container to come into contact with the eye or surrounding structures as this could cause injury to the eye. </w:t>
      </w:r>
    </w:p>
    <w:p w14:paraId="1842B10F" w14:textId="77777777" w:rsidR="00C0374F" w:rsidRPr="007338E1" w:rsidRDefault="00C0374F" w:rsidP="001C0125">
      <w:pPr>
        <w:autoSpaceDE w:val="0"/>
        <w:autoSpaceDN w:val="0"/>
        <w:adjustRightInd w:val="0"/>
        <w:ind w:left="851"/>
        <w:rPr>
          <w:sz w:val="24"/>
          <w:szCs w:val="24"/>
          <w:lang w:val="en-US"/>
        </w:rPr>
      </w:pPr>
      <w:r w:rsidRPr="007338E1">
        <w:rPr>
          <w:sz w:val="24"/>
          <w:szCs w:val="24"/>
          <w:lang w:val="en-US"/>
        </w:rPr>
        <w:t>Patients should also be instructed that ocular solutions, if handled improperly, can become contaminated by common bacteria known to cause ocular infections. Serious damage to the eye and subsequent loss of vision may result from using contaminated solutions.</w:t>
      </w:r>
    </w:p>
    <w:p w14:paraId="1E19EBA0" w14:textId="77777777" w:rsidR="007C5D2A" w:rsidRPr="007338E1" w:rsidRDefault="007C5D2A" w:rsidP="003E0341">
      <w:pPr>
        <w:tabs>
          <w:tab w:val="left" w:pos="851"/>
        </w:tabs>
        <w:ind w:left="851"/>
        <w:rPr>
          <w:sz w:val="24"/>
          <w:szCs w:val="24"/>
          <w:lang w:val="en-GB"/>
        </w:rPr>
      </w:pPr>
    </w:p>
    <w:p w14:paraId="63711BCF" w14:textId="77777777" w:rsidR="007C5D2A" w:rsidRPr="007338E1" w:rsidRDefault="007C5D2A" w:rsidP="007C5D2A">
      <w:pPr>
        <w:ind w:left="851" w:hanging="851"/>
        <w:rPr>
          <w:b/>
          <w:sz w:val="24"/>
          <w:szCs w:val="24"/>
          <w:lang w:val="en-GB"/>
        </w:rPr>
      </w:pPr>
      <w:r w:rsidRPr="007338E1">
        <w:rPr>
          <w:b/>
          <w:sz w:val="24"/>
          <w:szCs w:val="24"/>
          <w:lang w:val="en-GB"/>
        </w:rPr>
        <w:t>4.5</w:t>
      </w:r>
      <w:r w:rsidRPr="007338E1">
        <w:rPr>
          <w:b/>
          <w:sz w:val="24"/>
          <w:szCs w:val="24"/>
          <w:lang w:val="en-GB"/>
        </w:rPr>
        <w:tab/>
        <w:t>Interaction with other medicinal products and other forms of interaction</w:t>
      </w:r>
    </w:p>
    <w:p w14:paraId="26A510D5" w14:textId="77777777" w:rsidR="00C0374F" w:rsidRPr="007338E1" w:rsidRDefault="00C0374F" w:rsidP="001C0125">
      <w:pPr>
        <w:pStyle w:val="Default"/>
        <w:ind w:left="851"/>
        <w:rPr>
          <w:color w:val="auto"/>
          <w:lang w:val="en-US"/>
        </w:rPr>
      </w:pPr>
      <w:r w:rsidRPr="007338E1">
        <w:rPr>
          <w:color w:val="auto"/>
          <w:lang w:val="en-US"/>
        </w:rPr>
        <w:t xml:space="preserve">No interaction studies have been performed. </w:t>
      </w:r>
    </w:p>
    <w:p w14:paraId="258378E6" w14:textId="77777777" w:rsidR="00C0374F" w:rsidRPr="007338E1" w:rsidRDefault="00C0374F" w:rsidP="001C0125">
      <w:pPr>
        <w:pStyle w:val="Default"/>
        <w:ind w:left="851"/>
        <w:rPr>
          <w:color w:val="auto"/>
          <w:lang w:val="en-US"/>
        </w:rPr>
      </w:pPr>
    </w:p>
    <w:p w14:paraId="3FC1C7E7" w14:textId="77777777" w:rsidR="00C0374F" w:rsidRPr="007338E1" w:rsidRDefault="00C0374F" w:rsidP="001C0125">
      <w:pPr>
        <w:pStyle w:val="Default"/>
        <w:ind w:left="851"/>
        <w:rPr>
          <w:color w:val="auto"/>
          <w:lang w:val="en-US"/>
        </w:rPr>
      </w:pPr>
      <w:r w:rsidRPr="007338E1">
        <w:rPr>
          <w:color w:val="auto"/>
          <w:lang w:val="en-US"/>
        </w:rPr>
        <w:t xml:space="preserve">No interactions are anticipated in humans, since systemic concentrations of </w:t>
      </w:r>
      <w:proofErr w:type="spellStart"/>
      <w:r w:rsidRPr="007338E1">
        <w:rPr>
          <w:color w:val="auto"/>
          <w:lang w:val="en-US"/>
        </w:rPr>
        <w:t>bimatoprost</w:t>
      </w:r>
      <w:proofErr w:type="spellEnd"/>
      <w:r w:rsidRPr="007338E1">
        <w:rPr>
          <w:color w:val="auto"/>
          <w:lang w:val="en-US"/>
        </w:rPr>
        <w:t xml:space="preserve"> are extremely low (less than 0.2 ng/ml) following ocular dosing with </w:t>
      </w:r>
      <w:proofErr w:type="spellStart"/>
      <w:r w:rsidRPr="007338E1">
        <w:rPr>
          <w:color w:val="auto"/>
          <w:lang w:val="en-US"/>
        </w:rPr>
        <w:t>bimatoprost</w:t>
      </w:r>
      <w:proofErr w:type="spellEnd"/>
      <w:r w:rsidRPr="007338E1">
        <w:rPr>
          <w:color w:val="auto"/>
          <w:lang w:val="en-US"/>
        </w:rPr>
        <w:t xml:space="preserve"> 0.3 mg/ml eye drops, solution. </w:t>
      </w:r>
      <w:proofErr w:type="spellStart"/>
      <w:r w:rsidRPr="007338E1">
        <w:rPr>
          <w:color w:val="auto"/>
          <w:lang w:val="en-US"/>
        </w:rPr>
        <w:t>Bimatoprost</w:t>
      </w:r>
      <w:proofErr w:type="spellEnd"/>
      <w:r w:rsidRPr="007338E1">
        <w:rPr>
          <w:color w:val="auto"/>
          <w:lang w:val="en-US"/>
        </w:rPr>
        <w:t xml:space="preserve"> is </w:t>
      </w:r>
      <w:proofErr w:type="spellStart"/>
      <w:r w:rsidRPr="007338E1">
        <w:rPr>
          <w:color w:val="auto"/>
          <w:lang w:val="en-US"/>
        </w:rPr>
        <w:t>biotransformed</w:t>
      </w:r>
      <w:proofErr w:type="spellEnd"/>
      <w:r w:rsidRPr="007338E1">
        <w:rPr>
          <w:color w:val="auto"/>
          <w:lang w:val="en-US"/>
        </w:rPr>
        <w:t xml:space="preserve"> by any of multiple enzymes and pathways, and no effects on hepatic drug </w:t>
      </w:r>
      <w:proofErr w:type="spellStart"/>
      <w:r w:rsidRPr="007338E1">
        <w:rPr>
          <w:color w:val="auto"/>
          <w:lang w:val="en-US"/>
        </w:rPr>
        <w:t>metabolising</w:t>
      </w:r>
      <w:proofErr w:type="spellEnd"/>
      <w:r w:rsidRPr="007338E1">
        <w:rPr>
          <w:color w:val="auto"/>
          <w:lang w:val="en-US"/>
        </w:rPr>
        <w:t xml:space="preserve"> enzymes were observed in preclinical studies. </w:t>
      </w:r>
    </w:p>
    <w:p w14:paraId="081EB32D" w14:textId="77777777" w:rsidR="00C0374F" w:rsidRPr="007338E1" w:rsidRDefault="00C0374F" w:rsidP="001C0125">
      <w:pPr>
        <w:pStyle w:val="Default"/>
        <w:ind w:left="851"/>
        <w:rPr>
          <w:color w:val="auto"/>
          <w:lang w:val="en-US"/>
        </w:rPr>
      </w:pPr>
    </w:p>
    <w:p w14:paraId="1CCC790D" w14:textId="77777777" w:rsidR="00C0374F" w:rsidRPr="007338E1" w:rsidRDefault="00C0374F" w:rsidP="001C0125">
      <w:pPr>
        <w:pStyle w:val="Default"/>
        <w:ind w:left="851"/>
        <w:rPr>
          <w:color w:val="auto"/>
          <w:lang w:val="en-US"/>
        </w:rPr>
      </w:pPr>
      <w:r w:rsidRPr="007338E1">
        <w:rPr>
          <w:color w:val="auto"/>
          <w:lang w:val="en-US"/>
        </w:rPr>
        <w:t xml:space="preserve">In clinical studies, </w:t>
      </w:r>
      <w:proofErr w:type="spellStart"/>
      <w:r w:rsidRPr="007338E1">
        <w:rPr>
          <w:color w:val="auto"/>
          <w:lang w:val="en-US"/>
        </w:rPr>
        <w:t>bimatoprost</w:t>
      </w:r>
      <w:proofErr w:type="spellEnd"/>
      <w:r w:rsidRPr="007338E1">
        <w:rPr>
          <w:color w:val="auto"/>
          <w:lang w:val="en-US"/>
        </w:rPr>
        <w:t xml:space="preserve"> was used concomitantly with a number of different ophthalmic beta-blocking agents without evidence of interactions. </w:t>
      </w:r>
    </w:p>
    <w:p w14:paraId="6B4CA7EF" w14:textId="77777777" w:rsidR="00C0374F" w:rsidRPr="007338E1" w:rsidRDefault="00C0374F" w:rsidP="001C0125">
      <w:pPr>
        <w:pStyle w:val="Default"/>
        <w:ind w:left="851"/>
        <w:rPr>
          <w:color w:val="auto"/>
          <w:lang w:val="en-US"/>
        </w:rPr>
      </w:pPr>
    </w:p>
    <w:p w14:paraId="76D36F36" w14:textId="77777777" w:rsidR="00C0374F" w:rsidRPr="007338E1" w:rsidRDefault="00C0374F" w:rsidP="001C0125">
      <w:pPr>
        <w:pStyle w:val="Default"/>
        <w:ind w:left="851"/>
        <w:rPr>
          <w:color w:val="auto"/>
          <w:lang w:val="en-US"/>
        </w:rPr>
      </w:pPr>
      <w:r w:rsidRPr="007338E1">
        <w:rPr>
          <w:color w:val="auto"/>
          <w:lang w:val="en-US"/>
        </w:rPr>
        <w:t xml:space="preserve">Concomitant use of </w:t>
      </w:r>
      <w:proofErr w:type="spellStart"/>
      <w:r w:rsidRPr="007338E1">
        <w:rPr>
          <w:color w:val="auto"/>
          <w:lang w:val="en-US"/>
        </w:rPr>
        <w:t>bimatoprost</w:t>
      </w:r>
      <w:proofErr w:type="spellEnd"/>
      <w:r w:rsidRPr="007338E1">
        <w:rPr>
          <w:color w:val="auto"/>
          <w:lang w:val="en-US"/>
        </w:rPr>
        <w:t xml:space="preserve"> and </w:t>
      </w:r>
      <w:proofErr w:type="spellStart"/>
      <w:r w:rsidRPr="007338E1">
        <w:rPr>
          <w:color w:val="auto"/>
          <w:lang w:val="en-US"/>
        </w:rPr>
        <w:t>antiglaucomatous</w:t>
      </w:r>
      <w:proofErr w:type="spellEnd"/>
      <w:r w:rsidRPr="007338E1">
        <w:rPr>
          <w:color w:val="auto"/>
          <w:lang w:val="en-US"/>
        </w:rPr>
        <w:t xml:space="preserve"> agents other than topical beta-blockers has not been evaluated during adjunctive glaucoma therapy. </w:t>
      </w:r>
    </w:p>
    <w:p w14:paraId="285E6055" w14:textId="77777777" w:rsidR="00C0374F" w:rsidRPr="007338E1" w:rsidRDefault="00C0374F" w:rsidP="001C0125">
      <w:pPr>
        <w:pStyle w:val="Default"/>
        <w:ind w:left="851"/>
        <w:rPr>
          <w:color w:val="auto"/>
          <w:lang w:val="en-US"/>
        </w:rPr>
      </w:pPr>
    </w:p>
    <w:p w14:paraId="47A25E24" w14:textId="77777777" w:rsidR="00C0374F" w:rsidRPr="007338E1" w:rsidRDefault="00C0374F" w:rsidP="001C0125">
      <w:pPr>
        <w:pStyle w:val="Default"/>
        <w:ind w:left="851"/>
        <w:rPr>
          <w:color w:val="auto"/>
          <w:lang w:val="en-US"/>
        </w:rPr>
      </w:pPr>
      <w:r w:rsidRPr="007338E1">
        <w:rPr>
          <w:color w:val="auto"/>
          <w:lang w:val="en-US"/>
        </w:rPr>
        <w:t xml:space="preserve">There is a potential for the IOP-lowering effect of prostaglandin analogues (e.g. </w:t>
      </w:r>
      <w:proofErr w:type="spellStart"/>
      <w:r w:rsidRPr="007338E1">
        <w:rPr>
          <w:color w:val="auto"/>
          <w:lang w:val="en-US"/>
        </w:rPr>
        <w:t>bimatoprost</w:t>
      </w:r>
      <w:proofErr w:type="spellEnd"/>
      <w:r w:rsidRPr="007338E1">
        <w:rPr>
          <w:color w:val="auto"/>
          <w:lang w:val="en-US"/>
        </w:rPr>
        <w:t xml:space="preserve">) to be reduced in patients with glaucoma or ocular hypertension when used with other prostaglandin analogues (see section 4.4). </w:t>
      </w:r>
    </w:p>
    <w:p w14:paraId="3AA11B98" w14:textId="77777777" w:rsidR="007C5D2A" w:rsidRPr="007338E1" w:rsidRDefault="007C5D2A" w:rsidP="003E0341">
      <w:pPr>
        <w:tabs>
          <w:tab w:val="left" w:pos="851"/>
        </w:tabs>
        <w:ind w:left="851"/>
        <w:rPr>
          <w:sz w:val="24"/>
          <w:szCs w:val="24"/>
          <w:lang w:val="en-GB"/>
        </w:rPr>
      </w:pPr>
    </w:p>
    <w:p w14:paraId="51AC63C5"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lastRenderedPageBreak/>
        <w:t>4.6</w:t>
      </w:r>
      <w:r w:rsidRPr="007338E1">
        <w:rPr>
          <w:b/>
          <w:sz w:val="24"/>
          <w:szCs w:val="24"/>
          <w:lang w:val="en-GB"/>
        </w:rPr>
        <w:tab/>
      </w:r>
      <w:r w:rsidR="004860D3" w:rsidRPr="007338E1">
        <w:rPr>
          <w:b/>
          <w:sz w:val="24"/>
          <w:szCs w:val="24"/>
          <w:lang w:val="en-GB"/>
        </w:rPr>
        <w:t>Fertility, p</w:t>
      </w:r>
      <w:r w:rsidRPr="007338E1">
        <w:rPr>
          <w:b/>
          <w:sz w:val="24"/>
          <w:szCs w:val="24"/>
          <w:lang w:val="en-GB"/>
        </w:rPr>
        <w:t>regnancy and lactation</w:t>
      </w:r>
    </w:p>
    <w:p w14:paraId="78A6B292" w14:textId="77777777" w:rsidR="00CF5F42" w:rsidRDefault="00CF5F42" w:rsidP="001C0125">
      <w:pPr>
        <w:pStyle w:val="Default"/>
        <w:ind w:left="851"/>
        <w:rPr>
          <w:color w:val="auto"/>
          <w:u w:val="single"/>
          <w:lang w:val="en-US"/>
        </w:rPr>
      </w:pPr>
    </w:p>
    <w:p w14:paraId="60968264" w14:textId="2E57C82A" w:rsidR="00C0374F" w:rsidRPr="007338E1" w:rsidRDefault="00C0374F" w:rsidP="001C0125">
      <w:pPr>
        <w:pStyle w:val="Default"/>
        <w:ind w:left="851"/>
        <w:rPr>
          <w:color w:val="auto"/>
          <w:u w:val="single"/>
          <w:lang w:val="en-US"/>
        </w:rPr>
      </w:pPr>
      <w:r w:rsidRPr="007338E1">
        <w:rPr>
          <w:color w:val="auto"/>
          <w:u w:val="single"/>
          <w:lang w:val="en-US"/>
        </w:rPr>
        <w:t xml:space="preserve">Pregnancy </w:t>
      </w:r>
    </w:p>
    <w:p w14:paraId="09151EA2" w14:textId="77777777" w:rsidR="00C0374F" w:rsidRPr="007338E1" w:rsidRDefault="00C0374F" w:rsidP="001C0125">
      <w:pPr>
        <w:pStyle w:val="Default"/>
        <w:ind w:left="851"/>
        <w:rPr>
          <w:color w:val="auto"/>
          <w:lang w:val="en-US"/>
        </w:rPr>
      </w:pPr>
      <w:r w:rsidRPr="007338E1">
        <w:rPr>
          <w:color w:val="auto"/>
          <w:lang w:val="en-US"/>
        </w:rPr>
        <w:t xml:space="preserve">There are no adequate data from the use of </w:t>
      </w:r>
      <w:proofErr w:type="spellStart"/>
      <w:r w:rsidRPr="007338E1">
        <w:rPr>
          <w:color w:val="auto"/>
          <w:lang w:val="en-US"/>
        </w:rPr>
        <w:t>bimatoprost</w:t>
      </w:r>
      <w:proofErr w:type="spellEnd"/>
      <w:r w:rsidRPr="007338E1">
        <w:rPr>
          <w:color w:val="auto"/>
          <w:lang w:val="en-US"/>
        </w:rPr>
        <w:t xml:space="preserve"> in pregnant women. Animal studies have shown reproductive toxicity at high </w:t>
      </w:r>
      <w:proofErr w:type="spellStart"/>
      <w:r w:rsidRPr="007338E1">
        <w:rPr>
          <w:color w:val="auto"/>
          <w:lang w:val="en-US"/>
        </w:rPr>
        <w:t>maternotoxic</w:t>
      </w:r>
      <w:proofErr w:type="spellEnd"/>
      <w:r w:rsidRPr="007338E1">
        <w:rPr>
          <w:color w:val="auto"/>
          <w:lang w:val="en-US"/>
        </w:rPr>
        <w:t xml:space="preserve"> doses (see section 5.3). </w:t>
      </w:r>
    </w:p>
    <w:p w14:paraId="0A44DA56" w14:textId="77777777" w:rsidR="00C0374F" w:rsidRPr="007338E1" w:rsidRDefault="00C0374F" w:rsidP="001C0125">
      <w:pPr>
        <w:pStyle w:val="Default"/>
        <w:ind w:left="851"/>
        <w:rPr>
          <w:color w:val="auto"/>
          <w:lang w:val="en-US"/>
        </w:rPr>
      </w:pPr>
    </w:p>
    <w:p w14:paraId="0E78D289" w14:textId="77777777" w:rsidR="00C0374F" w:rsidRPr="007338E1" w:rsidRDefault="00C0374F" w:rsidP="001C0125">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should not be used during pregnancy unless clearly necessary. </w:t>
      </w:r>
    </w:p>
    <w:p w14:paraId="4C319B93" w14:textId="77777777" w:rsidR="00C0374F" w:rsidRPr="007338E1" w:rsidRDefault="00C0374F" w:rsidP="001C0125">
      <w:pPr>
        <w:pStyle w:val="Default"/>
        <w:ind w:left="851"/>
        <w:rPr>
          <w:color w:val="auto"/>
          <w:lang w:val="en-US"/>
        </w:rPr>
      </w:pPr>
    </w:p>
    <w:p w14:paraId="262A2D05" w14:textId="77777777" w:rsidR="00C0374F" w:rsidRPr="007338E1" w:rsidRDefault="00C0374F" w:rsidP="001C0125">
      <w:pPr>
        <w:pStyle w:val="Default"/>
        <w:ind w:left="851"/>
        <w:rPr>
          <w:color w:val="auto"/>
          <w:u w:val="single"/>
          <w:lang w:val="en-US"/>
        </w:rPr>
      </w:pPr>
      <w:r w:rsidRPr="007338E1">
        <w:rPr>
          <w:color w:val="auto"/>
          <w:u w:val="single"/>
          <w:lang w:val="en-US"/>
        </w:rPr>
        <w:t xml:space="preserve">Breast-feeding </w:t>
      </w:r>
    </w:p>
    <w:p w14:paraId="3B0DF1C2" w14:textId="77777777" w:rsidR="00C0374F" w:rsidRPr="007338E1" w:rsidRDefault="00C0374F" w:rsidP="001C0125">
      <w:pPr>
        <w:pStyle w:val="Default"/>
        <w:ind w:left="851"/>
        <w:rPr>
          <w:color w:val="auto"/>
          <w:lang w:val="en-US"/>
        </w:rPr>
      </w:pPr>
      <w:r w:rsidRPr="007338E1">
        <w:rPr>
          <w:color w:val="auto"/>
          <w:lang w:val="en-US"/>
        </w:rPr>
        <w:t xml:space="preserve">It is unknown whether </w:t>
      </w:r>
      <w:proofErr w:type="spellStart"/>
      <w:r w:rsidRPr="007338E1">
        <w:rPr>
          <w:color w:val="auto"/>
          <w:lang w:val="en-US"/>
        </w:rPr>
        <w:t>bimatoprost</w:t>
      </w:r>
      <w:proofErr w:type="spellEnd"/>
      <w:r w:rsidRPr="007338E1">
        <w:rPr>
          <w:color w:val="auto"/>
          <w:lang w:val="en-US"/>
        </w:rPr>
        <w:t xml:space="preserve"> is excreted in human breast milk. Animal studies have shown excretion of </w:t>
      </w:r>
      <w:proofErr w:type="spellStart"/>
      <w:r w:rsidRPr="007338E1">
        <w:rPr>
          <w:color w:val="auto"/>
          <w:lang w:val="en-US"/>
        </w:rPr>
        <w:t>bimatoprost</w:t>
      </w:r>
      <w:proofErr w:type="spellEnd"/>
      <w:r w:rsidRPr="007338E1">
        <w:rPr>
          <w:color w:val="auto"/>
          <w:lang w:val="en-US"/>
        </w:rPr>
        <w:t xml:space="preserve"> in breast milk. A decision must be made whether to discontinue breast-feeding or to discontinue from </w:t>
      </w:r>
      <w:proofErr w:type="spellStart"/>
      <w:r w:rsidRPr="007338E1">
        <w:rPr>
          <w:color w:val="auto"/>
          <w:lang w:val="en-US"/>
        </w:rPr>
        <w:t>bimatoprost</w:t>
      </w:r>
      <w:proofErr w:type="spellEnd"/>
      <w:r w:rsidRPr="007338E1">
        <w:rPr>
          <w:color w:val="auto"/>
          <w:lang w:val="en-US"/>
        </w:rPr>
        <w:t xml:space="preserve"> therapy </w:t>
      </w:r>
      <w:proofErr w:type="gramStart"/>
      <w:r w:rsidRPr="007338E1">
        <w:rPr>
          <w:color w:val="auto"/>
          <w:lang w:val="en-US"/>
        </w:rPr>
        <w:t>taking into account</w:t>
      </w:r>
      <w:proofErr w:type="gramEnd"/>
      <w:r w:rsidRPr="007338E1">
        <w:rPr>
          <w:color w:val="auto"/>
          <w:lang w:val="en-US"/>
        </w:rPr>
        <w:t xml:space="preserve"> the benefit of breast feeding for the child and the benefit of therapy for the woman. </w:t>
      </w:r>
    </w:p>
    <w:p w14:paraId="21006A42" w14:textId="77777777" w:rsidR="00C0374F" w:rsidRPr="007338E1" w:rsidRDefault="00C0374F" w:rsidP="001C0125">
      <w:pPr>
        <w:pStyle w:val="Default"/>
        <w:ind w:left="851"/>
        <w:rPr>
          <w:color w:val="auto"/>
          <w:lang w:val="en-US"/>
        </w:rPr>
      </w:pPr>
    </w:p>
    <w:p w14:paraId="27F92418" w14:textId="77777777" w:rsidR="00C0374F" w:rsidRPr="007338E1" w:rsidRDefault="00C0374F" w:rsidP="001C0125">
      <w:pPr>
        <w:pStyle w:val="Default"/>
        <w:ind w:left="851"/>
        <w:rPr>
          <w:color w:val="auto"/>
          <w:u w:val="single"/>
          <w:lang w:val="en-US"/>
        </w:rPr>
      </w:pPr>
      <w:r w:rsidRPr="007338E1">
        <w:rPr>
          <w:color w:val="auto"/>
          <w:u w:val="single"/>
          <w:lang w:val="en-US"/>
        </w:rPr>
        <w:t xml:space="preserve">Fertility </w:t>
      </w:r>
    </w:p>
    <w:p w14:paraId="1BEA7673" w14:textId="77777777" w:rsidR="00C0374F" w:rsidRPr="007338E1" w:rsidRDefault="00C0374F" w:rsidP="001C0125">
      <w:pPr>
        <w:pStyle w:val="Default"/>
        <w:ind w:left="851"/>
        <w:rPr>
          <w:color w:val="auto"/>
          <w:lang w:val="en-US"/>
        </w:rPr>
      </w:pPr>
      <w:r w:rsidRPr="007338E1">
        <w:rPr>
          <w:color w:val="auto"/>
          <w:lang w:val="en-US"/>
        </w:rPr>
        <w:t xml:space="preserve">There are no data on the effects of </w:t>
      </w:r>
      <w:proofErr w:type="spellStart"/>
      <w:r w:rsidRPr="007338E1">
        <w:rPr>
          <w:color w:val="auto"/>
          <w:lang w:val="en-US"/>
        </w:rPr>
        <w:t>bimatoprost</w:t>
      </w:r>
      <w:proofErr w:type="spellEnd"/>
      <w:r w:rsidRPr="007338E1">
        <w:rPr>
          <w:color w:val="auto"/>
          <w:lang w:val="en-US"/>
        </w:rPr>
        <w:t xml:space="preserve"> on human fertility. </w:t>
      </w:r>
    </w:p>
    <w:p w14:paraId="0608C596" w14:textId="77777777" w:rsidR="007C5D2A" w:rsidRPr="007338E1" w:rsidRDefault="007C5D2A" w:rsidP="003E0341">
      <w:pPr>
        <w:tabs>
          <w:tab w:val="left" w:pos="851"/>
        </w:tabs>
        <w:ind w:left="851"/>
        <w:rPr>
          <w:sz w:val="24"/>
          <w:szCs w:val="24"/>
          <w:lang w:val="en-GB"/>
        </w:rPr>
      </w:pPr>
    </w:p>
    <w:p w14:paraId="1990C2A4"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t>4.7</w:t>
      </w:r>
      <w:r w:rsidRPr="007338E1">
        <w:rPr>
          <w:b/>
          <w:sz w:val="24"/>
          <w:szCs w:val="24"/>
          <w:lang w:val="en-GB"/>
        </w:rPr>
        <w:tab/>
        <w:t>Effects on ability to drive and use machines</w:t>
      </w:r>
    </w:p>
    <w:p w14:paraId="5A51F608" w14:textId="77777777" w:rsidR="001C0125" w:rsidRPr="007338E1" w:rsidRDefault="001C0125" w:rsidP="001C0125">
      <w:pPr>
        <w:pStyle w:val="Default"/>
        <w:ind w:left="851"/>
        <w:rPr>
          <w:color w:val="auto"/>
          <w:lang w:val="en-US"/>
        </w:rPr>
      </w:pPr>
      <w:r w:rsidRPr="007338E1">
        <w:rPr>
          <w:color w:val="auto"/>
          <w:lang w:val="en-US"/>
        </w:rPr>
        <w:t>No traffic warning.</w:t>
      </w:r>
    </w:p>
    <w:p w14:paraId="0AB13566" w14:textId="53384FEE" w:rsidR="00C0374F" w:rsidRPr="007338E1" w:rsidRDefault="003E49FB" w:rsidP="001C0125">
      <w:pPr>
        <w:pStyle w:val="Default"/>
        <w:ind w:left="851"/>
        <w:rPr>
          <w:color w:val="auto"/>
          <w:lang w:val="en-US"/>
        </w:rPr>
      </w:pPr>
      <w:proofErr w:type="spellStart"/>
      <w:r>
        <w:rPr>
          <w:color w:val="auto"/>
          <w:lang w:val="en-US"/>
        </w:rPr>
        <w:t>Vizibim</w:t>
      </w:r>
      <w:proofErr w:type="spellEnd"/>
      <w:r w:rsidR="00C0374F" w:rsidRPr="007338E1">
        <w:rPr>
          <w:color w:val="auto"/>
          <w:lang w:val="en-US"/>
        </w:rPr>
        <w:t xml:space="preserve"> has negligible influence on the ability to drive and use machines. As with any ocular treatment, if transient blurred vision occurs at instillation, the patient should wait until the vision clears before driving or using machines.</w:t>
      </w:r>
    </w:p>
    <w:p w14:paraId="33F9DA3C" w14:textId="77777777" w:rsidR="007C5D2A" w:rsidRPr="007338E1" w:rsidRDefault="007C5D2A" w:rsidP="003E0341">
      <w:pPr>
        <w:tabs>
          <w:tab w:val="left" w:pos="851"/>
        </w:tabs>
        <w:ind w:left="851"/>
        <w:rPr>
          <w:sz w:val="24"/>
          <w:szCs w:val="24"/>
          <w:lang w:val="en-GB"/>
        </w:rPr>
      </w:pPr>
    </w:p>
    <w:p w14:paraId="13361062"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t>4.8</w:t>
      </w:r>
      <w:r w:rsidRPr="007338E1">
        <w:rPr>
          <w:b/>
          <w:sz w:val="24"/>
          <w:szCs w:val="24"/>
          <w:lang w:val="en-GB"/>
        </w:rPr>
        <w:tab/>
        <w:t>Undesirable effects</w:t>
      </w:r>
    </w:p>
    <w:p w14:paraId="2E4D1515" w14:textId="77777777" w:rsidR="00C0374F" w:rsidRPr="007338E1" w:rsidRDefault="00C0374F" w:rsidP="001C0125">
      <w:pPr>
        <w:pStyle w:val="Default"/>
        <w:ind w:left="851"/>
        <w:rPr>
          <w:color w:val="auto"/>
          <w:lang w:val="en-US"/>
        </w:rPr>
      </w:pPr>
      <w:r w:rsidRPr="007338E1">
        <w:rPr>
          <w:color w:val="auto"/>
          <w:lang w:val="en-US"/>
        </w:rPr>
        <w:t xml:space="preserve">In clinical studies, over 1800 patients have been treated with </w:t>
      </w:r>
      <w:proofErr w:type="spellStart"/>
      <w:r w:rsidRPr="007338E1">
        <w:rPr>
          <w:color w:val="auto"/>
          <w:lang w:val="en-US"/>
        </w:rPr>
        <w:t>bimatoprost</w:t>
      </w:r>
      <w:proofErr w:type="spellEnd"/>
      <w:r w:rsidRPr="007338E1">
        <w:rPr>
          <w:color w:val="auto"/>
          <w:lang w:val="en-US"/>
        </w:rPr>
        <w:t xml:space="preserve"> 0.3 mg/ml eye drops, solution. On combining the data from phase III monotherapy and adjunctive </w:t>
      </w:r>
      <w:proofErr w:type="spellStart"/>
      <w:r w:rsidRPr="007338E1">
        <w:rPr>
          <w:color w:val="auto"/>
          <w:lang w:val="en-US"/>
        </w:rPr>
        <w:t>bimatoprost</w:t>
      </w:r>
      <w:proofErr w:type="spellEnd"/>
      <w:r w:rsidRPr="007338E1">
        <w:rPr>
          <w:color w:val="auto"/>
          <w:lang w:val="en-US"/>
        </w:rPr>
        <w:t xml:space="preserve"> 0.3 mg/ml eye drops, solution usage, the most frequently reported treatment-related adverse events were: growth of eyelashes in up to 45% in the first year with the incidence of new reports decreasing to 7% at 2 years and 2% at 3 years, conjunctival </w:t>
      </w:r>
      <w:proofErr w:type="spellStart"/>
      <w:r w:rsidRPr="007338E1">
        <w:rPr>
          <w:color w:val="auto"/>
          <w:lang w:val="en-US"/>
        </w:rPr>
        <w:t>hyperaemia</w:t>
      </w:r>
      <w:proofErr w:type="spellEnd"/>
      <w:r w:rsidRPr="007338E1">
        <w:rPr>
          <w:color w:val="auto"/>
          <w:lang w:val="en-US"/>
        </w:rPr>
        <w:t xml:space="preserve"> (mostly trace to mild and thought to be of a non-inflammatory nature) in up to 44% in the first year with the incidence of new reports decreasing to 13% at 2 years and 12% at 3 years and ocular pruritus in up to 14% of patients in the first year with the incidence of new reports decreasing to 3% at 2 years and 0% at 3 years. Less than 9% of patients discontinued due to any adverse event in the first year with the incidence of additional patient discontinuations being 3% at both 2 and 3 years. </w:t>
      </w:r>
    </w:p>
    <w:p w14:paraId="5E2EA137" w14:textId="77777777" w:rsidR="00C0374F" w:rsidRPr="007338E1" w:rsidRDefault="00C0374F" w:rsidP="001C0125">
      <w:pPr>
        <w:pStyle w:val="Default"/>
        <w:ind w:left="851"/>
        <w:rPr>
          <w:color w:val="auto"/>
          <w:lang w:val="en-US"/>
        </w:rPr>
      </w:pPr>
    </w:p>
    <w:p w14:paraId="3DEBABF9" w14:textId="77777777" w:rsidR="00C0374F" w:rsidRPr="007338E1" w:rsidRDefault="00C0374F" w:rsidP="001C0125">
      <w:pPr>
        <w:pStyle w:val="Default"/>
        <w:ind w:left="851"/>
        <w:rPr>
          <w:color w:val="auto"/>
          <w:lang w:val="en-US"/>
        </w:rPr>
      </w:pPr>
      <w:r w:rsidRPr="007338E1">
        <w:rPr>
          <w:color w:val="auto"/>
          <w:lang w:val="en-US"/>
        </w:rPr>
        <w:t xml:space="preserve">The following adverse reactions were reported during clinical trials with </w:t>
      </w:r>
      <w:proofErr w:type="spellStart"/>
      <w:r w:rsidRPr="007338E1">
        <w:rPr>
          <w:color w:val="auto"/>
          <w:lang w:val="en-US"/>
        </w:rPr>
        <w:t>bimatoprost</w:t>
      </w:r>
      <w:proofErr w:type="spellEnd"/>
      <w:r w:rsidRPr="007338E1">
        <w:rPr>
          <w:color w:val="auto"/>
          <w:lang w:val="en-US"/>
        </w:rPr>
        <w:t xml:space="preserve"> 0.3 mg/ml eye drops, solution or in the post-marketing period. Most were ocular, mild to moderate, and none was serious: </w:t>
      </w:r>
    </w:p>
    <w:p w14:paraId="15314601" w14:textId="77777777" w:rsidR="00C0374F" w:rsidRPr="007338E1" w:rsidRDefault="00C0374F" w:rsidP="001C0125">
      <w:pPr>
        <w:ind w:left="851"/>
        <w:rPr>
          <w:sz w:val="24"/>
          <w:szCs w:val="24"/>
          <w:lang w:val="en-US"/>
        </w:rPr>
      </w:pPr>
    </w:p>
    <w:p w14:paraId="1E573FF9" w14:textId="0BDB04FC" w:rsidR="00C0374F" w:rsidRPr="007338E1" w:rsidRDefault="00C0374F" w:rsidP="001C0125">
      <w:pPr>
        <w:ind w:left="851"/>
        <w:rPr>
          <w:sz w:val="24"/>
          <w:szCs w:val="24"/>
          <w:lang w:val="en-US"/>
        </w:rPr>
      </w:pPr>
      <w:r w:rsidRPr="007338E1">
        <w:rPr>
          <w:sz w:val="24"/>
          <w:szCs w:val="24"/>
          <w:lang w:val="en-US"/>
        </w:rPr>
        <w:t xml:space="preserve">Very common (≥1/10); common (≥1/100 to &lt;1/10); uncommon (≥1/1,000 to &lt;1/100); rare (≥1/10,000 to &lt;1/1,000); very rare (&lt;1/10,000) and not known (cannot be estimated from available data) adverse reactions are presented according to System Organ Class in Table </w:t>
      </w:r>
      <w:r w:rsidR="00F661A3">
        <w:rPr>
          <w:lang w:val="en-US"/>
        </w:rPr>
        <w:t>below</w:t>
      </w:r>
      <w:r w:rsidRPr="007338E1">
        <w:rPr>
          <w:sz w:val="24"/>
          <w:szCs w:val="24"/>
          <w:lang w:val="en-US"/>
        </w:rPr>
        <w:t>. Within each frequency grouping, undesirable effects are presented in order of decreasing seriousness.</w:t>
      </w:r>
    </w:p>
    <w:p w14:paraId="143E025C" w14:textId="2E1D7789" w:rsidR="00C0374F" w:rsidRPr="007338E1" w:rsidRDefault="00C0374F" w:rsidP="00CF5F42">
      <w:pPr>
        <w:rPr>
          <w:sz w:val="24"/>
          <w:szCs w:val="24"/>
          <w:lang w:val="en-US"/>
        </w:rPr>
      </w:pPr>
    </w:p>
    <w:tbl>
      <w:tblPr>
        <w:tblStyle w:val="Tabel-Gitter"/>
        <w:tblW w:w="5000" w:type="pct"/>
        <w:tblInd w:w="0" w:type="dxa"/>
        <w:tblLook w:val="04A0" w:firstRow="1" w:lastRow="0" w:firstColumn="1" w:lastColumn="0" w:noHBand="0" w:noVBand="1"/>
      </w:tblPr>
      <w:tblGrid>
        <w:gridCol w:w="3208"/>
        <w:gridCol w:w="3210"/>
        <w:gridCol w:w="3210"/>
      </w:tblGrid>
      <w:tr w:rsidR="00C0374F" w:rsidRPr="007338E1" w14:paraId="461BE9DF"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29ED412A"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b/>
                <w:bCs/>
              </w:rPr>
              <w:t>System Organ class</w:t>
            </w:r>
          </w:p>
        </w:tc>
        <w:tc>
          <w:tcPr>
            <w:tcW w:w="1667" w:type="pct"/>
            <w:tcBorders>
              <w:top w:val="single" w:sz="4" w:space="0" w:color="auto"/>
              <w:left w:val="single" w:sz="4" w:space="0" w:color="auto"/>
              <w:bottom w:val="single" w:sz="4" w:space="0" w:color="auto"/>
              <w:right w:val="single" w:sz="4" w:space="0" w:color="auto"/>
            </w:tcBorders>
            <w:hideMark/>
          </w:tcPr>
          <w:p w14:paraId="0DE9B583"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b/>
                <w:bCs/>
              </w:rPr>
              <w:t>Frequency</w:t>
            </w:r>
          </w:p>
        </w:tc>
        <w:tc>
          <w:tcPr>
            <w:tcW w:w="1667" w:type="pct"/>
            <w:tcBorders>
              <w:top w:val="single" w:sz="4" w:space="0" w:color="auto"/>
              <w:left w:val="single" w:sz="4" w:space="0" w:color="auto"/>
              <w:bottom w:val="single" w:sz="4" w:space="0" w:color="auto"/>
              <w:right w:val="single" w:sz="4" w:space="0" w:color="auto"/>
            </w:tcBorders>
            <w:hideMark/>
          </w:tcPr>
          <w:p w14:paraId="59E5207B"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b/>
                <w:bCs/>
              </w:rPr>
              <w:t>Adverse reaction</w:t>
            </w:r>
          </w:p>
        </w:tc>
      </w:tr>
      <w:tr w:rsidR="00C0374F" w:rsidRPr="007338E1" w14:paraId="72BA32BC"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37E7EC06" w14:textId="77777777" w:rsidR="00C0374F" w:rsidRPr="007338E1" w:rsidRDefault="00C0374F">
            <w:pPr>
              <w:pStyle w:val="Default"/>
              <w:rPr>
                <w:rFonts w:ascii="Times New Roman" w:hAnsi="Times New Roman" w:cs="Times New Roman"/>
                <w:i/>
                <w:iCs/>
              </w:rPr>
            </w:pPr>
            <w:r w:rsidRPr="007338E1">
              <w:rPr>
                <w:rFonts w:ascii="Times New Roman" w:hAnsi="Times New Roman" w:cs="Times New Roman"/>
                <w:i/>
                <w:iCs/>
              </w:rPr>
              <w:t>Nervous system disorders</w:t>
            </w:r>
          </w:p>
        </w:tc>
        <w:tc>
          <w:tcPr>
            <w:tcW w:w="1667" w:type="pct"/>
            <w:tcBorders>
              <w:top w:val="single" w:sz="4" w:space="0" w:color="auto"/>
              <w:left w:val="single" w:sz="4" w:space="0" w:color="auto"/>
              <w:bottom w:val="single" w:sz="4" w:space="0" w:color="auto"/>
              <w:right w:val="single" w:sz="4" w:space="0" w:color="auto"/>
            </w:tcBorders>
            <w:hideMark/>
          </w:tcPr>
          <w:p w14:paraId="57567E1E"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common</w:t>
            </w:r>
          </w:p>
        </w:tc>
        <w:tc>
          <w:tcPr>
            <w:tcW w:w="1667" w:type="pct"/>
            <w:tcBorders>
              <w:top w:val="single" w:sz="4" w:space="0" w:color="auto"/>
              <w:left w:val="single" w:sz="4" w:space="0" w:color="auto"/>
              <w:bottom w:val="single" w:sz="4" w:space="0" w:color="auto"/>
              <w:right w:val="single" w:sz="4" w:space="0" w:color="auto"/>
            </w:tcBorders>
            <w:hideMark/>
          </w:tcPr>
          <w:p w14:paraId="2C3119DE" w14:textId="77777777" w:rsidR="00C0374F" w:rsidRPr="007338E1" w:rsidRDefault="00C0374F">
            <w:pPr>
              <w:pStyle w:val="Default"/>
              <w:rPr>
                <w:rFonts w:ascii="Times New Roman" w:hAnsi="Times New Roman" w:cs="Times New Roman"/>
                <w:lang w:val="en-US"/>
              </w:rPr>
            </w:pPr>
            <w:r w:rsidRPr="007338E1">
              <w:rPr>
                <w:rFonts w:ascii="Times New Roman" w:hAnsi="Times New Roman" w:cs="Times New Roman"/>
              </w:rPr>
              <w:t>headache</w:t>
            </w:r>
          </w:p>
        </w:tc>
      </w:tr>
      <w:tr w:rsidR="00C0374F" w:rsidRPr="007338E1" w14:paraId="58EA1901"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tcPr>
          <w:p w14:paraId="6C39555F" w14:textId="77777777" w:rsidR="00C0374F" w:rsidRPr="007338E1" w:rsidRDefault="00C0374F">
            <w:pPr>
              <w:pStyle w:val="Default"/>
              <w:rPr>
                <w:rFonts w:ascii="Times New Roman" w:hAnsi="Times New Roman" w:cs="Times New Roman"/>
                <w:color w:val="auto"/>
                <w:lang w:val="en-US"/>
              </w:rPr>
            </w:pPr>
          </w:p>
        </w:tc>
        <w:tc>
          <w:tcPr>
            <w:tcW w:w="1667" w:type="pct"/>
            <w:tcBorders>
              <w:top w:val="single" w:sz="4" w:space="0" w:color="auto"/>
              <w:left w:val="single" w:sz="4" w:space="0" w:color="auto"/>
              <w:bottom w:val="single" w:sz="4" w:space="0" w:color="auto"/>
              <w:right w:val="single" w:sz="4" w:space="0" w:color="auto"/>
            </w:tcBorders>
            <w:hideMark/>
          </w:tcPr>
          <w:p w14:paraId="6E8D201C"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uncommon</w:t>
            </w:r>
          </w:p>
        </w:tc>
        <w:tc>
          <w:tcPr>
            <w:tcW w:w="1667" w:type="pct"/>
            <w:tcBorders>
              <w:top w:val="single" w:sz="4" w:space="0" w:color="auto"/>
              <w:left w:val="single" w:sz="4" w:space="0" w:color="auto"/>
              <w:bottom w:val="single" w:sz="4" w:space="0" w:color="auto"/>
              <w:right w:val="single" w:sz="4" w:space="0" w:color="auto"/>
            </w:tcBorders>
            <w:hideMark/>
          </w:tcPr>
          <w:p w14:paraId="3715C317"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lang w:val="en-US"/>
              </w:rPr>
              <w:t>dizziness</w:t>
            </w:r>
          </w:p>
        </w:tc>
      </w:tr>
      <w:tr w:rsidR="00C0374F" w:rsidRPr="00F661A3" w14:paraId="1571BE56" w14:textId="77777777" w:rsidTr="00CF5F42">
        <w:trPr>
          <w:trHeight w:val="20"/>
        </w:trPr>
        <w:tc>
          <w:tcPr>
            <w:tcW w:w="1666" w:type="pct"/>
            <w:vMerge w:val="restart"/>
            <w:tcBorders>
              <w:top w:val="single" w:sz="4" w:space="0" w:color="auto"/>
              <w:left w:val="single" w:sz="4" w:space="0" w:color="auto"/>
              <w:bottom w:val="single" w:sz="4" w:space="0" w:color="auto"/>
              <w:right w:val="single" w:sz="4" w:space="0" w:color="auto"/>
            </w:tcBorders>
            <w:hideMark/>
          </w:tcPr>
          <w:p w14:paraId="27CE186D"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i/>
                <w:iCs/>
              </w:rPr>
              <w:t>Eye disorders</w:t>
            </w:r>
          </w:p>
        </w:tc>
        <w:tc>
          <w:tcPr>
            <w:tcW w:w="1667" w:type="pct"/>
            <w:tcBorders>
              <w:top w:val="single" w:sz="4" w:space="0" w:color="auto"/>
              <w:left w:val="single" w:sz="4" w:space="0" w:color="auto"/>
              <w:bottom w:val="single" w:sz="4" w:space="0" w:color="auto"/>
              <w:right w:val="single" w:sz="4" w:space="0" w:color="auto"/>
            </w:tcBorders>
            <w:hideMark/>
          </w:tcPr>
          <w:p w14:paraId="288BD801"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very common</w:t>
            </w:r>
          </w:p>
        </w:tc>
        <w:tc>
          <w:tcPr>
            <w:tcW w:w="1667" w:type="pct"/>
            <w:tcBorders>
              <w:top w:val="single" w:sz="4" w:space="0" w:color="auto"/>
              <w:left w:val="single" w:sz="4" w:space="0" w:color="auto"/>
              <w:bottom w:val="single" w:sz="4" w:space="0" w:color="auto"/>
              <w:right w:val="single" w:sz="4" w:space="0" w:color="auto"/>
            </w:tcBorders>
            <w:hideMark/>
          </w:tcPr>
          <w:p w14:paraId="17EA6001" w14:textId="44A1E077" w:rsidR="00C0374F" w:rsidRPr="00C60CBC" w:rsidRDefault="00C0374F">
            <w:pPr>
              <w:pStyle w:val="Default"/>
              <w:rPr>
                <w:rFonts w:ascii="Times New Roman" w:hAnsi="Times New Roman" w:cs="Times New Roman"/>
                <w:lang w:val="en-US"/>
              </w:rPr>
            </w:pPr>
            <w:r w:rsidRPr="00C60CBC">
              <w:rPr>
                <w:rFonts w:ascii="Times New Roman" w:hAnsi="Times New Roman" w:cs="Times New Roman"/>
                <w:lang w:val="en-US"/>
              </w:rPr>
              <w:t xml:space="preserve">conjunctival </w:t>
            </w:r>
            <w:proofErr w:type="spellStart"/>
            <w:r w:rsidRPr="00C60CBC">
              <w:rPr>
                <w:rFonts w:ascii="Times New Roman" w:hAnsi="Times New Roman" w:cs="Times New Roman"/>
                <w:lang w:val="en-US"/>
              </w:rPr>
              <w:t>hyperaemia</w:t>
            </w:r>
            <w:proofErr w:type="spellEnd"/>
            <w:r w:rsidRPr="00C60CBC">
              <w:rPr>
                <w:rFonts w:ascii="Times New Roman" w:hAnsi="Times New Roman" w:cs="Times New Roman"/>
                <w:lang w:val="en-US"/>
              </w:rPr>
              <w:t>,</w:t>
            </w:r>
            <w:r w:rsidRPr="00C60CBC">
              <w:rPr>
                <w:rFonts w:ascii="Times New Roman" w:hAnsi="Times New Roman" w:cs="Times New Roman"/>
                <w:color w:val="auto"/>
                <w:lang w:val="en-US"/>
              </w:rPr>
              <w:t xml:space="preserve"> </w:t>
            </w:r>
            <w:r w:rsidRPr="00C60CBC">
              <w:rPr>
                <w:rFonts w:ascii="Times New Roman" w:hAnsi="Times New Roman" w:cs="Times New Roman"/>
                <w:lang w:val="en-US"/>
              </w:rPr>
              <w:t xml:space="preserve">ocular pruritus, growth of </w:t>
            </w:r>
            <w:r w:rsidRPr="00C60CBC">
              <w:rPr>
                <w:rFonts w:ascii="Times New Roman" w:hAnsi="Times New Roman" w:cs="Times New Roman"/>
                <w:lang w:val="en-US"/>
              </w:rPr>
              <w:lastRenderedPageBreak/>
              <w:t>eyelashes</w:t>
            </w:r>
            <w:r w:rsidR="00F661A3" w:rsidRPr="00C60CBC">
              <w:rPr>
                <w:rFonts w:ascii="Times New Roman" w:hAnsi="Times New Roman" w:cs="Times New Roman"/>
                <w:lang w:val="en-US"/>
              </w:rPr>
              <w:t xml:space="preserve">, prostaglandin analogue </w:t>
            </w:r>
            <w:proofErr w:type="spellStart"/>
            <w:r w:rsidR="00F661A3" w:rsidRPr="00C60CBC">
              <w:rPr>
                <w:rFonts w:ascii="Times New Roman" w:hAnsi="Times New Roman" w:cs="Times New Roman"/>
                <w:lang w:val="en-US"/>
              </w:rPr>
              <w:t>periorbitopathy</w:t>
            </w:r>
            <w:proofErr w:type="spellEnd"/>
          </w:p>
        </w:tc>
      </w:tr>
      <w:tr w:rsidR="00C0374F" w:rsidRPr="00F661A3" w14:paraId="4005025D" w14:textId="77777777" w:rsidTr="00CF5F42">
        <w:trPr>
          <w:trHeight w:val="20"/>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479FB705" w14:textId="77777777" w:rsidR="00C0374F" w:rsidRPr="007338E1" w:rsidRDefault="00C0374F">
            <w:pPr>
              <w:rPr>
                <w:rFonts w:ascii="Times New Roman" w:hAnsi="Times New Roman" w:cs="Times New Roman"/>
                <w:sz w:val="24"/>
                <w:szCs w:val="24"/>
                <w:lang w:val="en-US"/>
              </w:rPr>
            </w:pPr>
          </w:p>
        </w:tc>
        <w:tc>
          <w:tcPr>
            <w:tcW w:w="1667" w:type="pct"/>
            <w:tcBorders>
              <w:top w:val="single" w:sz="4" w:space="0" w:color="auto"/>
              <w:left w:val="single" w:sz="4" w:space="0" w:color="auto"/>
              <w:bottom w:val="single" w:sz="4" w:space="0" w:color="auto"/>
              <w:right w:val="single" w:sz="4" w:space="0" w:color="auto"/>
            </w:tcBorders>
            <w:hideMark/>
          </w:tcPr>
          <w:p w14:paraId="553D031F"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common</w:t>
            </w:r>
          </w:p>
        </w:tc>
        <w:tc>
          <w:tcPr>
            <w:tcW w:w="1667" w:type="pct"/>
            <w:tcBorders>
              <w:top w:val="single" w:sz="4" w:space="0" w:color="auto"/>
              <w:left w:val="single" w:sz="4" w:space="0" w:color="auto"/>
              <w:bottom w:val="single" w:sz="4" w:space="0" w:color="auto"/>
              <w:right w:val="single" w:sz="4" w:space="0" w:color="auto"/>
            </w:tcBorders>
            <w:hideMark/>
          </w:tcPr>
          <w:p w14:paraId="20ADA0F8"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lang w:val="en-US"/>
              </w:rPr>
              <w:t xml:space="preserve">superficial punctate keratitis, corneal erosion, ocular burning, ocular irritation, allergic conjunctivitis, blepharitis, worsening of visual acuity, asthenopia, conjunctival </w:t>
            </w:r>
            <w:proofErr w:type="spellStart"/>
            <w:r w:rsidRPr="007338E1">
              <w:rPr>
                <w:rFonts w:ascii="Times New Roman" w:hAnsi="Times New Roman" w:cs="Times New Roman"/>
                <w:lang w:val="en-US"/>
              </w:rPr>
              <w:t>oedema</w:t>
            </w:r>
            <w:proofErr w:type="spellEnd"/>
            <w:r w:rsidRPr="007338E1">
              <w:rPr>
                <w:rFonts w:ascii="Times New Roman" w:hAnsi="Times New Roman" w:cs="Times New Roman"/>
                <w:lang w:val="en-US"/>
              </w:rPr>
              <w:t>, foreign body sensation, ocular dryness, eye pain, photophobia, tearing, eye discharge, visual disturbance/blurred vision, increased iris pigmentation, eyelash darkening, eyelid erythema, eyelid pruritus</w:t>
            </w:r>
          </w:p>
        </w:tc>
      </w:tr>
      <w:tr w:rsidR="00C0374F" w:rsidRPr="00F661A3" w14:paraId="39E2E882" w14:textId="77777777" w:rsidTr="00CF5F42">
        <w:trPr>
          <w:trHeight w:val="20"/>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1B389370" w14:textId="77777777" w:rsidR="00C0374F" w:rsidRPr="007338E1" w:rsidRDefault="00C0374F">
            <w:pPr>
              <w:rPr>
                <w:rFonts w:ascii="Times New Roman" w:hAnsi="Times New Roman" w:cs="Times New Roman"/>
                <w:sz w:val="24"/>
                <w:szCs w:val="24"/>
                <w:lang w:val="en-US"/>
              </w:rPr>
            </w:pPr>
          </w:p>
        </w:tc>
        <w:tc>
          <w:tcPr>
            <w:tcW w:w="1667" w:type="pct"/>
            <w:tcBorders>
              <w:top w:val="single" w:sz="4" w:space="0" w:color="auto"/>
              <w:left w:val="single" w:sz="4" w:space="0" w:color="auto"/>
              <w:bottom w:val="single" w:sz="4" w:space="0" w:color="auto"/>
              <w:right w:val="single" w:sz="4" w:space="0" w:color="auto"/>
            </w:tcBorders>
            <w:hideMark/>
          </w:tcPr>
          <w:p w14:paraId="647CE782"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uncommon</w:t>
            </w:r>
          </w:p>
        </w:tc>
        <w:tc>
          <w:tcPr>
            <w:tcW w:w="1667" w:type="pct"/>
            <w:tcBorders>
              <w:top w:val="single" w:sz="4" w:space="0" w:color="auto"/>
              <w:left w:val="single" w:sz="4" w:space="0" w:color="auto"/>
              <w:bottom w:val="single" w:sz="4" w:space="0" w:color="auto"/>
              <w:right w:val="single" w:sz="4" w:space="0" w:color="auto"/>
            </w:tcBorders>
            <w:hideMark/>
          </w:tcPr>
          <w:p w14:paraId="26CA4C6E"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lang w:val="en-US"/>
              </w:rPr>
              <w:t xml:space="preserve">retinal </w:t>
            </w:r>
            <w:proofErr w:type="spellStart"/>
            <w:r w:rsidRPr="007338E1">
              <w:rPr>
                <w:rFonts w:ascii="Times New Roman" w:hAnsi="Times New Roman" w:cs="Times New Roman"/>
                <w:lang w:val="en-US"/>
              </w:rPr>
              <w:t>haemorrhage</w:t>
            </w:r>
            <w:proofErr w:type="spellEnd"/>
            <w:r w:rsidRPr="007338E1">
              <w:rPr>
                <w:rFonts w:ascii="Times New Roman" w:hAnsi="Times New Roman" w:cs="Times New Roman"/>
                <w:lang w:val="en-US"/>
              </w:rPr>
              <w:t xml:space="preserve">, uveitis, cystoid macular </w:t>
            </w:r>
            <w:proofErr w:type="spellStart"/>
            <w:r w:rsidRPr="007338E1">
              <w:rPr>
                <w:rFonts w:ascii="Times New Roman" w:hAnsi="Times New Roman" w:cs="Times New Roman"/>
                <w:lang w:val="en-US"/>
              </w:rPr>
              <w:t>oedema</w:t>
            </w:r>
            <w:proofErr w:type="spellEnd"/>
            <w:r w:rsidRPr="007338E1">
              <w:rPr>
                <w:rFonts w:ascii="Times New Roman" w:hAnsi="Times New Roman" w:cs="Times New Roman"/>
                <w:lang w:val="en-US"/>
              </w:rPr>
              <w:t xml:space="preserve">, iritis, blepharospasm, eyelid retraction, periorbital erythema, eyelid </w:t>
            </w:r>
            <w:proofErr w:type="spellStart"/>
            <w:r w:rsidRPr="007338E1">
              <w:rPr>
                <w:rFonts w:ascii="Times New Roman" w:hAnsi="Times New Roman" w:cs="Times New Roman"/>
                <w:lang w:val="en-US"/>
              </w:rPr>
              <w:t>oedema</w:t>
            </w:r>
            <w:proofErr w:type="spellEnd"/>
          </w:p>
        </w:tc>
      </w:tr>
      <w:tr w:rsidR="00C0374F" w:rsidRPr="00F661A3" w14:paraId="541CE04E" w14:textId="77777777" w:rsidTr="00CF5F42">
        <w:trPr>
          <w:trHeight w:val="20"/>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50FEA72E" w14:textId="77777777" w:rsidR="00C0374F" w:rsidRPr="007338E1" w:rsidRDefault="00C0374F">
            <w:pPr>
              <w:rPr>
                <w:rFonts w:ascii="Times New Roman" w:hAnsi="Times New Roman" w:cs="Times New Roman"/>
                <w:sz w:val="24"/>
                <w:szCs w:val="24"/>
                <w:lang w:val="en-US"/>
              </w:rPr>
            </w:pPr>
          </w:p>
        </w:tc>
        <w:tc>
          <w:tcPr>
            <w:tcW w:w="1667" w:type="pct"/>
            <w:tcBorders>
              <w:top w:val="single" w:sz="4" w:space="0" w:color="auto"/>
              <w:left w:val="single" w:sz="4" w:space="0" w:color="auto"/>
              <w:bottom w:val="single" w:sz="4" w:space="0" w:color="auto"/>
              <w:right w:val="single" w:sz="4" w:space="0" w:color="auto"/>
            </w:tcBorders>
            <w:hideMark/>
          </w:tcPr>
          <w:p w14:paraId="54607563"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not known</w:t>
            </w:r>
          </w:p>
        </w:tc>
        <w:tc>
          <w:tcPr>
            <w:tcW w:w="1667" w:type="pct"/>
            <w:tcBorders>
              <w:top w:val="single" w:sz="4" w:space="0" w:color="auto"/>
              <w:left w:val="single" w:sz="4" w:space="0" w:color="auto"/>
              <w:bottom w:val="single" w:sz="4" w:space="0" w:color="auto"/>
              <w:right w:val="single" w:sz="4" w:space="0" w:color="auto"/>
            </w:tcBorders>
            <w:hideMark/>
          </w:tcPr>
          <w:p w14:paraId="13844377" w14:textId="112D0B67" w:rsidR="00C0374F" w:rsidRPr="007338E1" w:rsidRDefault="00C0374F">
            <w:pPr>
              <w:pStyle w:val="Default"/>
              <w:rPr>
                <w:rFonts w:ascii="Times New Roman" w:hAnsi="Times New Roman" w:cs="Times New Roman"/>
                <w:lang w:val="en-US"/>
              </w:rPr>
            </w:pPr>
            <w:r w:rsidRPr="007338E1">
              <w:rPr>
                <w:rFonts w:ascii="Times New Roman" w:hAnsi="Times New Roman" w:cs="Times New Roman"/>
                <w:lang w:val="en-US" w:bidi="en-US"/>
              </w:rPr>
              <w:t>ocular discomfort</w:t>
            </w:r>
          </w:p>
        </w:tc>
      </w:tr>
      <w:tr w:rsidR="00C0374F" w:rsidRPr="007338E1" w14:paraId="68125F4A"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72D5F363" w14:textId="77777777" w:rsidR="00C0374F" w:rsidRPr="007338E1" w:rsidRDefault="00C0374F">
            <w:pPr>
              <w:pStyle w:val="Default"/>
              <w:rPr>
                <w:rFonts w:ascii="Times New Roman" w:hAnsi="Times New Roman" w:cs="Times New Roman"/>
                <w:i/>
                <w:iCs/>
                <w:lang w:val="en-US"/>
              </w:rPr>
            </w:pPr>
            <w:r w:rsidRPr="007338E1">
              <w:rPr>
                <w:rFonts w:ascii="Times New Roman" w:hAnsi="Times New Roman" w:cs="Times New Roman"/>
                <w:i/>
                <w:iCs/>
              </w:rPr>
              <w:t>Vascular disorders</w:t>
            </w:r>
          </w:p>
        </w:tc>
        <w:tc>
          <w:tcPr>
            <w:tcW w:w="1667" w:type="pct"/>
            <w:tcBorders>
              <w:top w:val="single" w:sz="4" w:space="0" w:color="auto"/>
              <w:left w:val="single" w:sz="4" w:space="0" w:color="auto"/>
              <w:bottom w:val="single" w:sz="4" w:space="0" w:color="auto"/>
              <w:right w:val="single" w:sz="4" w:space="0" w:color="auto"/>
            </w:tcBorders>
            <w:hideMark/>
          </w:tcPr>
          <w:p w14:paraId="14E7221E"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common</w:t>
            </w:r>
          </w:p>
        </w:tc>
        <w:tc>
          <w:tcPr>
            <w:tcW w:w="1667" w:type="pct"/>
            <w:tcBorders>
              <w:top w:val="single" w:sz="4" w:space="0" w:color="auto"/>
              <w:left w:val="single" w:sz="4" w:space="0" w:color="auto"/>
              <w:bottom w:val="single" w:sz="4" w:space="0" w:color="auto"/>
              <w:right w:val="single" w:sz="4" w:space="0" w:color="auto"/>
            </w:tcBorders>
            <w:hideMark/>
          </w:tcPr>
          <w:p w14:paraId="021483D6" w14:textId="77777777" w:rsidR="00C0374F" w:rsidRPr="007338E1" w:rsidRDefault="00C0374F">
            <w:pPr>
              <w:pStyle w:val="Default"/>
              <w:rPr>
                <w:rFonts w:ascii="Times New Roman" w:hAnsi="Times New Roman" w:cs="Times New Roman"/>
                <w:lang w:val="en-US"/>
              </w:rPr>
            </w:pPr>
            <w:r w:rsidRPr="007338E1">
              <w:rPr>
                <w:rFonts w:ascii="Times New Roman" w:hAnsi="Times New Roman" w:cs="Times New Roman"/>
              </w:rPr>
              <w:t>hypertension</w:t>
            </w:r>
          </w:p>
        </w:tc>
      </w:tr>
      <w:tr w:rsidR="00C0374F" w:rsidRPr="00F661A3" w14:paraId="2B9F9AFB"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23DE7CB8"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i/>
                <w:iCs/>
                <w:lang w:val="en-US"/>
              </w:rPr>
              <w:t>Respiratory, thoracic and mediastinal disorders</w:t>
            </w:r>
          </w:p>
        </w:tc>
        <w:tc>
          <w:tcPr>
            <w:tcW w:w="1667" w:type="pct"/>
            <w:tcBorders>
              <w:top w:val="single" w:sz="4" w:space="0" w:color="auto"/>
              <w:left w:val="single" w:sz="4" w:space="0" w:color="auto"/>
              <w:bottom w:val="single" w:sz="4" w:space="0" w:color="auto"/>
              <w:right w:val="single" w:sz="4" w:space="0" w:color="auto"/>
            </w:tcBorders>
            <w:hideMark/>
          </w:tcPr>
          <w:p w14:paraId="2963595D"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not known</w:t>
            </w:r>
          </w:p>
        </w:tc>
        <w:tc>
          <w:tcPr>
            <w:tcW w:w="1667" w:type="pct"/>
            <w:tcBorders>
              <w:top w:val="single" w:sz="4" w:space="0" w:color="auto"/>
              <w:left w:val="single" w:sz="4" w:space="0" w:color="auto"/>
              <w:bottom w:val="single" w:sz="4" w:space="0" w:color="auto"/>
              <w:right w:val="single" w:sz="4" w:space="0" w:color="auto"/>
            </w:tcBorders>
            <w:hideMark/>
          </w:tcPr>
          <w:p w14:paraId="6368194D"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lang w:val="en-US"/>
              </w:rPr>
              <w:t xml:space="preserve">asthma, asthma exacerbation, COPD exacerbation and </w:t>
            </w:r>
            <w:proofErr w:type="spellStart"/>
            <w:r w:rsidRPr="007338E1">
              <w:rPr>
                <w:rFonts w:ascii="Times New Roman" w:hAnsi="Times New Roman" w:cs="Times New Roman"/>
                <w:lang w:val="en-US"/>
              </w:rPr>
              <w:t>dyspnoea</w:t>
            </w:r>
            <w:proofErr w:type="spellEnd"/>
          </w:p>
        </w:tc>
      </w:tr>
      <w:tr w:rsidR="00C0374F" w:rsidRPr="007338E1" w14:paraId="37A140C6"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25095A44"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i/>
                <w:iCs/>
              </w:rPr>
              <w:t>Gastrointestinal disorders</w:t>
            </w:r>
          </w:p>
        </w:tc>
        <w:tc>
          <w:tcPr>
            <w:tcW w:w="1667" w:type="pct"/>
            <w:tcBorders>
              <w:top w:val="single" w:sz="4" w:space="0" w:color="auto"/>
              <w:left w:val="single" w:sz="4" w:space="0" w:color="auto"/>
              <w:bottom w:val="single" w:sz="4" w:space="0" w:color="auto"/>
              <w:right w:val="single" w:sz="4" w:space="0" w:color="auto"/>
            </w:tcBorders>
            <w:hideMark/>
          </w:tcPr>
          <w:p w14:paraId="72D89653"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uncommon</w:t>
            </w:r>
          </w:p>
        </w:tc>
        <w:tc>
          <w:tcPr>
            <w:tcW w:w="1667" w:type="pct"/>
            <w:tcBorders>
              <w:top w:val="single" w:sz="4" w:space="0" w:color="auto"/>
              <w:left w:val="single" w:sz="4" w:space="0" w:color="auto"/>
              <w:bottom w:val="single" w:sz="4" w:space="0" w:color="auto"/>
              <w:right w:val="single" w:sz="4" w:space="0" w:color="auto"/>
            </w:tcBorders>
            <w:hideMark/>
          </w:tcPr>
          <w:p w14:paraId="7A0BF41F"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nausea</w:t>
            </w:r>
          </w:p>
        </w:tc>
      </w:tr>
      <w:tr w:rsidR="00C0374F" w:rsidRPr="007338E1" w14:paraId="045AE341" w14:textId="77777777" w:rsidTr="00CF5F42">
        <w:trPr>
          <w:trHeight w:val="20"/>
        </w:trPr>
        <w:tc>
          <w:tcPr>
            <w:tcW w:w="1666" w:type="pct"/>
            <w:vMerge w:val="restart"/>
            <w:tcBorders>
              <w:top w:val="single" w:sz="4" w:space="0" w:color="auto"/>
              <w:left w:val="single" w:sz="4" w:space="0" w:color="auto"/>
              <w:bottom w:val="single" w:sz="4" w:space="0" w:color="auto"/>
              <w:right w:val="single" w:sz="4" w:space="0" w:color="auto"/>
            </w:tcBorders>
            <w:hideMark/>
          </w:tcPr>
          <w:p w14:paraId="403EBAFB"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i/>
                <w:iCs/>
                <w:lang w:val="en-US"/>
              </w:rPr>
              <w:t>Skin and subcutaneous tissue disorders</w:t>
            </w:r>
          </w:p>
        </w:tc>
        <w:tc>
          <w:tcPr>
            <w:tcW w:w="1667" w:type="pct"/>
            <w:tcBorders>
              <w:top w:val="single" w:sz="4" w:space="0" w:color="auto"/>
              <w:left w:val="single" w:sz="4" w:space="0" w:color="auto"/>
              <w:bottom w:val="single" w:sz="4" w:space="0" w:color="auto"/>
              <w:right w:val="single" w:sz="4" w:space="0" w:color="auto"/>
            </w:tcBorders>
            <w:hideMark/>
          </w:tcPr>
          <w:p w14:paraId="4197FADD"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common</w:t>
            </w:r>
          </w:p>
        </w:tc>
        <w:tc>
          <w:tcPr>
            <w:tcW w:w="1667" w:type="pct"/>
            <w:tcBorders>
              <w:top w:val="single" w:sz="4" w:space="0" w:color="auto"/>
              <w:left w:val="single" w:sz="4" w:space="0" w:color="auto"/>
              <w:bottom w:val="single" w:sz="4" w:space="0" w:color="auto"/>
              <w:right w:val="single" w:sz="4" w:space="0" w:color="auto"/>
            </w:tcBorders>
            <w:hideMark/>
          </w:tcPr>
          <w:p w14:paraId="7E7FB54A"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pigmentation of periocular skin</w:t>
            </w:r>
          </w:p>
        </w:tc>
      </w:tr>
      <w:tr w:rsidR="00C0374F" w:rsidRPr="007338E1" w14:paraId="34CCECA4" w14:textId="77777777" w:rsidTr="00CF5F42">
        <w:trPr>
          <w:trHeight w:val="20"/>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2DCCE265" w14:textId="77777777" w:rsidR="00C0374F" w:rsidRPr="007338E1" w:rsidRDefault="00C0374F">
            <w:pPr>
              <w:rPr>
                <w:rFonts w:ascii="Times New Roman" w:hAnsi="Times New Roman" w:cs="Times New Roman"/>
                <w:sz w:val="24"/>
                <w:szCs w:val="24"/>
                <w:lang w:val="en-US"/>
              </w:rPr>
            </w:pPr>
          </w:p>
        </w:tc>
        <w:tc>
          <w:tcPr>
            <w:tcW w:w="1667" w:type="pct"/>
            <w:tcBorders>
              <w:top w:val="single" w:sz="4" w:space="0" w:color="auto"/>
              <w:left w:val="single" w:sz="4" w:space="0" w:color="auto"/>
              <w:bottom w:val="single" w:sz="4" w:space="0" w:color="auto"/>
              <w:right w:val="single" w:sz="4" w:space="0" w:color="auto"/>
            </w:tcBorders>
            <w:hideMark/>
          </w:tcPr>
          <w:p w14:paraId="281615DC"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uncommon</w:t>
            </w:r>
          </w:p>
        </w:tc>
        <w:tc>
          <w:tcPr>
            <w:tcW w:w="1667" w:type="pct"/>
            <w:tcBorders>
              <w:top w:val="single" w:sz="4" w:space="0" w:color="auto"/>
              <w:left w:val="single" w:sz="4" w:space="0" w:color="auto"/>
              <w:bottom w:val="single" w:sz="4" w:space="0" w:color="auto"/>
              <w:right w:val="single" w:sz="4" w:space="0" w:color="auto"/>
            </w:tcBorders>
            <w:hideMark/>
          </w:tcPr>
          <w:p w14:paraId="7251523D" w14:textId="77777777" w:rsidR="00C0374F" w:rsidRPr="007338E1" w:rsidRDefault="00C0374F">
            <w:pPr>
              <w:pStyle w:val="Default"/>
              <w:rPr>
                <w:rFonts w:ascii="Times New Roman" w:hAnsi="Times New Roman" w:cs="Times New Roman"/>
                <w:color w:val="auto"/>
                <w:lang w:val="en-US"/>
              </w:rPr>
            </w:pPr>
            <w:r w:rsidRPr="007338E1">
              <w:rPr>
                <w:rFonts w:ascii="Times New Roman" w:hAnsi="Times New Roman" w:cs="Times New Roman"/>
              </w:rPr>
              <w:t>hirsutism</w:t>
            </w:r>
          </w:p>
        </w:tc>
      </w:tr>
      <w:tr w:rsidR="00C0374F" w:rsidRPr="007338E1" w14:paraId="4936FA23" w14:textId="77777777" w:rsidTr="00CF5F42">
        <w:trPr>
          <w:trHeight w:val="20"/>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349F1A6F" w14:textId="77777777" w:rsidR="00C0374F" w:rsidRPr="007338E1" w:rsidRDefault="00C0374F">
            <w:pPr>
              <w:rPr>
                <w:rFonts w:ascii="Times New Roman" w:hAnsi="Times New Roman" w:cs="Times New Roman"/>
                <w:sz w:val="24"/>
                <w:szCs w:val="24"/>
                <w:lang w:val="en-US"/>
              </w:rPr>
            </w:pPr>
          </w:p>
        </w:tc>
        <w:tc>
          <w:tcPr>
            <w:tcW w:w="1667" w:type="pct"/>
            <w:tcBorders>
              <w:top w:val="single" w:sz="4" w:space="0" w:color="auto"/>
              <w:left w:val="single" w:sz="4" w:space="0" w:color="auto"/>
              <w:bottom w:val="single" w:sz="4" w:space="0" w:color="auto"/>
              <w:right w:val="single" w:sz="4" w:space="0" w:color="auto"/>
            </w:tcBorders>
            <w:hideMark/>
          </w:tcPr>
          <w:p w14:paraId="56C5D968"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not known</w:t>
            </w:r>
          </w:p>
        </w:tc>
        <w:tc>
          <w:tcPr>
            <w:tcW w:w="1667" w:type="pct"/>
            <w:tcBorders>
              <w:top w:val="single" w:sz="4" w:space="0" w:color="auto"/>
              <w:left w:val="single" w:sz="4" w:space="0" w:color="auto"/>
              <w:bottom w:val="single" w:sz="4" w:space="0" w:color="auto"/>
              <w:right w:val="single" w:sz="4" w:space="0" w:color="auto"/>
            </w:tcBorders>
            <w:hideMark/>
          </w:tcPr>
          <w:p w14:paraId="7F3256C0"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skin discoloration (periocular)</w:t>
            </w:r>
          </w:p>
        </w:tc>
      </w:tr>
      <w:tr w:rsidR="00C0374F" w:rsidRPr="007338E1" w14:paraId="7D077F8F"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5D26EA41" w14:textId="77777777" w:rsidR="00C0374F" w:rsidRPr="007338E1" w:rsidRDefault="00C0374F">
            <w:pPr>
              <w:pStyle w:val="Default"/>
              <w:rPr>
                <w:rFonts w:ascii="Times New Roman" w:hAnsi="Times New Roman" w:cs="Times New Roman"/>
                <w:i/>
                <w:iCs/>
                <w:lang w:val="en-US"/>
              </w:rPr>
            </w:pPr>
            <w:r w:rsidRPr="007338E1">
              <w:rPr>
                <w:rFonts w:ascii="Times New Roman" w:hAnsi="Times New Roman" w:cs="Times New Roman"/>
                <w:i/>
                <w:iCs/>
                <w:lang w:val="en-US"/>
              </w:rPr>
              <w:t>General disorders and administration site conditions</w:t>
            </w:r>
          </w:p>
        </w:tc>
        <w:tc>
          <w:tcPr>
            <w:tcW w:w="1667" w:type="pct"/>
            <w:tcBorders>
              <w:top w:val="single" w:sz="4" w:space="0" w:color="auto"/>
              <w:left w:val="single" w:sz="4" w:space="0" w:color="auto"/>
              <w:bottom w:val="single" w:sz="4" w:space="0" w:color="auto"/>
              <w:right w:val="single" w:sz="4" w:space="0" w:color="auto"/>
            </w:tcBorders>
            <w:hideMark/>
          </w:tcPr>
          <w:p w14:paraId="38F59BC7" w14:textId="77777777" w:rsidR="00C0374F" w:rsidRPr="007338E1" w:rsidRDefault="00C0374F">
            <w:pPr>
              <w:pStyle w:val="Default"/>
              <w:rPr>
                <w:rFonts w:ascii="Times New Roman" w:hAnsi="Times New Roman" w:cs="Times New Roman"/>
                <w:lang w:val="en-US"/>
              </w:rPr>
            </w:pPr>
            <w:r w:rsidRPr="007338E1">
              <w:rPr>
                <w:rFonts w:ascii="Times New Roman" w:hAnsi="Times New Roman" w:cs="Times New Roman"/>
              </w:rPr>
              <w:t>uncommon</w:t>
            </w:r>
          </w:p>
        </w:tc>
        <w:tc>
          <w:tcPr>
            <w:tcW w:w="1667" w:type="pct"/>
            <w:tcBorders>
              <w:top w:val="single" w:sz="4" w:space="0" w:color="auto"/>
              <w:left w:val="single" w:sz="4" w:space="0" w:color="auto"/>
              <w:bottom w:val="single" w:sz="4" w:space="0" w:color="auto"/>
              <w:right w:val="single" w:sz="4" w:space="0" w:color="auto"/>
            </w:tcBorders>
            <w:hideMark/>
          </w:tcPr>
          <w:p w14:paraId="4165E4CE" w14:textId="77777777" w:rsidR="00C0374F" w:rsidRPr="007338E1" w:rsidRDefault="00C0374F">
            <w:pPr>
              <w:pStyle w:val="Default"/>
              <w:rPr>
                <w:rFonts w:ascii="Times New Roman" w:hAnsi="Times New Roman" w:cs="Times New Roman"/>
                <w:lang w:val="en-US"/>
              </w:rPr>
            </w:pPr>
            <w:r w:rsidRPr="007338E1">
              <w:rPr>
                <w:rFonts w:ascii="Times New Roman" w:hAnsi="Times New Roman" w:cs="Times New Roman"/>
              </w:rPr>
              <w:t>asthenia</w:t>
            </w:r>
          </w:p>
        </w:tc>
      </w:tr>
      <w:tr w:rsidR="00C0374F" w:rsidRPr="007338E1" w14:paraId="478AF341"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23B59127" w14:textId="77777777" w:rsidR="00C0374F" w:rsidRPr="007338E1" w:rsidRDefault="00C0374F">
            <w:pPr>
              <w:pStyle w:val="Default"/>
              <w:rPr>
                <w:rFonts w:ascii="Times New Roman" w:hAnsi="Times New Roman" w:cs="Times New Roman"/>
                <w:i/>
                <w:iCs/>
                <w:lang w:val="en-US"/>
              </w:rPr>
            </w:pPr>
            <w:r w:rsidRPr="007338E1">
              <w:rPr>
                <w:rFonts w:ascii="Times New Roman" w:hAnsi="Times New Roman" w:cs="Times New Roman"/>
                <w:i/>
                <w:iCs/>
                <w:lang w:val="en-US"/>
              </w:rPr>
              <w:t>Investigations</w:t>
            </w:r>
          </w:p>
        </w:tc>
        <w:tc>
          <w:tcPr>
            <w:tcW w:w="1667" w:type="pct"/>
            <w:tcBorders>
              <w:top w:val="single" w:sz="4" w:space="0" w:color="auto"/>
              <w:left w:val="single" w:sz="4" w:space="0" w:color="auto"/>
              <w:bottom w:val="single" w:sz="4" w:space="0" w:color="auto"/>
              <w:right w:val="single" w:sz="4" w:space="0" w:color="auto"/>
            </w:tcBorders>
            <w:hideMark/>
          </w:tcPr>
          <w:p w14:paraId="078E56EB"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rPr>
              <w:t>common</w:t>
            </w:r>
          </w:p>
        </w:tc>
        <w:tc>
          <w:tcPr>
            <w:tcW w:w="1667" w:type="pct"/>
            <w:tcBorders>
              <w:top w:val="single" w:sz="4" w:space="0" w:color="auto"/>
              <w:left w:val="single" w:sz="4" w:space="0" w:color="auto"/>
              <w:bottom w:val="single" w:sz="4" w:space="0" w:color="auto"/>
              <w:right w:val="single" w:sz="4" w:space="0" w:color="auto"/>
            </w:tcBorders>
            <w:hideMark/>
          </w:tcPr>
          <w:p w14:paraId="7AA92F5D" w14:textId="77777777" w:rsidR="00C0374F" w:rsidRPr="007338E1" w:rsidRDefault="00C0374F">
            <w:pPr>
              <w:pStyle w:val="Default"/>
              <w:rPr>
                <w:rFonts w:ascii="Times New Roman" w:hAnsi="Times New Roman" w:cs="Times New Roman"/>
              </w:rPr>
            </w:pPr>
            <w:r w:rsidRPr="007338E1">
              <w:rPr>
                <w:rFonts w:ascii="Times New Roman" w:hAnsi="Times New Roman" w:cs="Times New Roman"/>
                <w:lang w:val="en-US"/>
              </w:rPr>
              <w:t>liver function test abnormal</w:t>
            </w:r>
          </w:p>
        </w:tc>
      </w:tr>
      <w:tr w:rsidR="00C0374F" w:rsidRPr="00F661A3" w14:paraId="20812EF7" w14:textId="77777777" w:rsidTr="00CF5F42">
        <w:trPr>
          <w:trHeight w:val="20"/>
        </w:trPr>
        <w:tc>
          <w:tcPr>
            <w:tcW w:w="1666" w:type="pct"/>
            <w:tcBorders>
              <w:top w:val="single" w:sz="4" w:space="0" w:color="auto"/>
              <w:left w:val="single" w:sz="4" w:space="0" w:color="auto"/>
              <w:bottom w:val="single" w:sz="4" w:space="0" w:color="auto"/>
              <w:right w:val="single" w:sz="4" w:space="0" w:color="auto"/>
            </w:tcBorders>
            <w:hideMark/>
          </w:tcPr>
          <w:p w14:paraId="38A2D0D1" w14:textId="77777777" w:rsidR="00C0374F" w:rsidRPr="007338E1" w:rsidRDefault="00C0374F">
            <w:pPr>
              <w:pStyle w:val="Default"/>
              <w:rPr>
                <w:rFonts w:ascii="Times New Roman" w:hAnsi="Times New Roman" w:cs="Times New Roman"/>
                <w:i/>
                <w:iCs/>
                <w:lang w:val="en-US"/>
              </w:rPr>
            </w:pPr>
            <w:r w:rsidRPr="007338E1">
              <w:rPr>
                <w:rFonts w:ascii="Times New Roman" w:hAnsi="Times New Roman" w:cs="Times New Roman"/>
                <w:i/>
                <w:iCs/>
              </w:rPr>
              <w:t>Immune system disorders</w:t>
            </w:r>
          </w:p>
        </w:tc>
        <w:tc>
          <w:tcPr>
            <w:tcW w:w="1667" w:type="pct"/>
            <w:tcBorders>
              <w:top w:val="single" w:sz="4" w:space="0" w:color="auto"/>
              <w:left w:val="single" w:sz="4" w:space="0" w:color="auto"/>
              <w:bottom w:val="single" w:sz="4" w:space="0" w:color="auto"/>
              <w:right w:val="single" w:sz="4" w:space="0" w:color="auto"/>
            </w:tcBorders>
            <w:hideMark/>
          </w:tcPr>
          <w:p w14:paraId="5931B159" w14:textId="77777777" w:rsidR="00C0374F" w:rsidRPr="007338E1" w:rsidRDefault="00C0374F">
            <w:pPr>
              <w:pStyle w:val="Default"/>
              <w:rPr>
                <w:rFonts w:ascii="Times New Roman" w:hAnsi="Times New Roman" w:cs="Times New Roman"/>
                <w:lang w:val="en-US"/>
              </w:rPr>
            </w:pPr>
            <w:r w:rsidRPr="007338E1">
              <w:rPr>
                <w:rFonts w:ascii="Times New Roman" w:hAnsi="Times New Roman" w:cs="Times New Roman"/>
              </w:rPr>
              <w:t>not known</w:t>
            </w:r>
          </w:p>
        </w:tc>
        <w:tc>
          <w:tcPr>
            <w:tcW w:w="1667" w:type="pct"/>
            <w:tcBorders>
              <w:top w:val="single" w:sz="4" w:space="0" w:color="auto"/>
              <w:left w:val="single" w:sz="4" w:space="0" w:color="auto"/>
              <w:bottom w:val="single" w:sz="4" w:space="0" w:color="auto"/>
              <w:right w:val="single" w:sz="4" w:space="0" w:color="auto"/>
            </w:tcBorders>
            <w:hideMark/>
          </w:tcPr>
          <w:p w14:paraId="626D91D9" w14:textId="77777777" w:rsidR="00C0374F" w:rsidRPr="007338E1" w:rsidRDefault="00C0374F">
            <w:pPr>
              <w:pStyle w:val="Default"/>
              <w:rPr>
                <w:rFonts w:ascii="Times New Roman" w:hAnsi="Times New Roman" w:cs="Times New Roman"/>
                <w:lang w:val="en-US"/>
              </w:rPr>
            </w:pPr>
            <w:r w:rsidRPr="007338E1">
              <w:rPr>
                <w:rFonts w:ascii="Times New Roman" w:hAnsi="Times New Roman" w:cs="Times New Roman"/>
                <w:lang w:val="en-US"/>
              </w:rPr>
              <w:t>hypersensitivity reaction including signs and symptoms of eye allergy and allergic dermatitis</w:t>
            </w:r>
          </w:p>
        </w:tc>
      </w:tr>
    </w:tbl>
    <w:p w14:paraId="16F37A3F" w14:textId="77777777" w:rsidR="00C0374F" w:rsidRPr="007338E1" w:rsidRDefault="00C0374F" w:rsidP="00C0374F">
      <w:pPr>
        <w:rPr>
          <w:sz w:val="24"/>
          <w:szCs w:val="24"/>
          <w:lang w:val="en-US" w:eastAsia="en-US"/>
        </w:rPr>
      </w:pPr>
    </w:p>
    <w:p w14:paraId="15A5856D" w14:textId="77777777" w:rsidR="00C0374F" w:rsidRPr="007338E1" w:rsidRDefault="00C0374F" w:rsidP="001C0125">
      <w:pPr>
        <w:pStyle w:val="Default"/>
        <w:ind w:left="851"/>
        <w:rPr>
          <w:lang w:val="en-US"/>
        </w:rPr>
      </w:pPr>
      <w:r w:rsidRPr="007338E1">
        <w:rPr>
          <w:lang w:val="en-US"/>
        </w:rPr>
        <w:t xml:space="preserve">Adverse reactions reported in phosphate containing eye drops: </w:t>
      </w:r>
    </w:p>
    <w:p w14:paraId="09FC6577" w14:textId="77777777" w:rsidR="00C0374F" w:rsidRPr="007338E1" w:rsidRDefault="00C0374F" w:rsidP="001C0125">
      <w:pPr>
        <w:pStyle w:val="Default"/>
        <w:ind w:left="851"/>
        <w:rPr>
          <w:lang w:val="en-US"/>
        </w:rPr>
      </w:pPr>
      <w:r w:rsidRPr="007338E1">
        <w:rPr>
          <w:lang w:val="en-US"/>
        </w:rPr>
        <w:t>Cases of corneal calcification have been reported very rarely in association with the use of phosphate containing eye drops in some patients with significantly damaged corneas.</w:t>
      </w:r>
    </w:p>
    <w:p w14:paraId="32CD48EB" w14:textId="233C0551" w:rsidR="00C0374F" w:rsidRPr="00C60CBC" w:rsidRDefault="00C0374F" w:rsidP="00C60CBC">
      <w:pPr>
        <w:ind w:left="851"/>
        <w:rPr>
          <w:sz w:val="24"/>
          <w:szCs w:val="24"/>
          <w:lang w:val="en-US"/>
        </w:rPr>
      </w:pPr>
    </w:p>
    <w:p w14:paraId="03199745" w14:textId="77777777" w:rsidR="00F661A3" w:rsidRPr="00C60CBC" w:rsidRDefault="00F661A3" w:rsidP="00C60CBC">
      <w:pPr>
        <w:ind w:left="851"/>
        <w:rPr>
          <w:b/>
          <w:bCs/>
          <w:sz w:val="24"/>
          <w:szCs w:val="24"/>
          <w:lang w:val="en-US"/>
        </w:rPr>
      </w:pPr>
      <w:r w:rsidRPr="00C60CBC">
        <w:rPr>
          <w:b/>
          <w:bCs/>
          <w:sz w:val="24"/>
          <w:szCs w:val="24"/>
          <w:lang w:val="en-US"/>
        </w:rPr>
        <w:t>Description of selected adverse reactions</w:t>
      </w:r>
    </w:p>
    <w:p w14:paraId="07CCE6E5" w14:textId="77777777" w:rsidR="00F661A3" w:rsidRPr="00C60CBC" w:rsidRDefault="00F661A3" w:rsidP="00C60CBC">
      <w:pPr>
        <w:ind w:left="851"/>
        <w:rPr>
          <w:sz w:val="24"/>
          <w:szCs w:val="24"/>
          <w:lang w:val="en-US"/>
        </w:rPr>
      </w:pPr>
    </w:p>
    <w:p w14:paraId="5AC294D7" w14:textId="77777777" w:rsidR="00F661A3" w:rsidRPr="00C60CBC" w:rsidRDefault="00F661A3" w:rsidP="00C60CBC">
      <w:pPr>
        <w:ind w:left="851"/>
        <w:rPr>
          <w:sz w:val="24"/>
          <w:szCs w:val="24"/>
          <w:u w:val="single"/>
          <w:lang w:val="en-US"/>
        </w:rPr>
      </w:pPr>
      <w:r w:rsidRPr="00C60CBC">
        <w:rPr>
          <w:sz w:val="24"/>
          <w:szCs w:val="24"/>
          <w:u w:val="single"/>
          <w:lang w:val="en-US"/>
        </w:rPr>
        <w:t xml:space="preserve">Prostaglandin analogue </w:t>
      </w:r>
      <w:proofErr w:type="spellStart"/>
      <w:r w:rsidRPr="00C60CBC">
        <w:rPr>
          <w:sz w:val="24"/>
          <w:szCs w:val="24"/>
          <w:u w:val="single"/>
          <w:lang w:val="en-US"/>
        </w:rPr>
        <w:t>periorbitopathy</w:t>
      </w:r>
      <w:proofErr w:type="spellEnd"/>
      <w:r w:rsidRPr="00C60CBC">
        <w:rPr>
          <w:sz w:val="24"/>
          <w:szCs w:val="24"/>
          <w:u w:val="single"/>
          <w:lang w:val="en-US"/>
        </w:rPr>
        <w:t xml:space="preserve"> (PAP)</w:t>
      </w:r>
    </w:p>
    <w:p w14:paraId="75D4EF08" w14:textId="47DFA0D5" w:rsidR="00F661A3" w:rsidRPr="00C60CBC" w:rsidRDefault="00F661A3" w:rsidP="00C60CBC">
      <w:pPr>
        <w:ind w:left="851"/>
        <w:rPr>
          <w:sz w:val="24"/>
          <w:szCs w:val="24"/>
          <w:lang w:val="en-US"/>
        </w:rPr>
      </w:pPr>
      <w:r w:rsidRPr="00C60CBC">
        <w:rPr>
          <w:sz w:val="24"/>
          <w:szCs w:val="24"/>
          <w:lang w:val="en-US"/>
        </w:rPr>
        <w:t xml:space="preserve">Prostaglandin analogues including </w:t>
      </w:r>
      <w:proofErr w:type="spellStart"/>
      <w:r w:rsidR="00C60CBC">
        <w:rPr>
          <w:sz w:val="24"/>
          <w:szCs w:val="24"/>
          <w:lang w:val="en-US"/>
        </w:rPr>
        <w:t>Vizibim</w:t>
      </w:r>
      <w:proofErr w:type="spellEnd"/>
      <w:r w:rsidRPr="00C60CBC">
        <w:rPr>
          <w:sz w:val="24"/>
          <w:szCs w:val="24"/>
          <w:lang w:val="en-US"/>
        </w:rPr>
        <w:t xml:space="preserve"> can induce periorbital </w:t>
      </w:r>
      <w:proofErr w:type="spellStart"/>
      <w:r w:rsidRPr="00C60CBC">
        <w:rPr>
          <w:sz w:val="24"/>
          <w:szCs w:val="24"/>
          <w:lang w:val="en-US"/>
        </w:rPr>
        <w:t>lipodystrophic</w:t>
      </w:r>
      <w:proofErr w:type="spellEnd"/>
      <w:r w:rsidRPr="00C60CBC">
        <w:rPr>
          <w:sz w:val="24"/>
          <w:szCs w:val="24"/>
          <w:lang w:val="en-US"/>
        </w:rPr>
        <w:t xml:space="preserve"> changes which can lead to deepening of the eyelid sulcus, ptosis, enophthalmos, eyelid retraction, involution of dermatochalasis and inferior scleral show. Changes are typically mild, can </w:t>
      </w:r>
      <w:r w:rsidRPr="00C60CBC">
        <w:rPr>
          <w:sz w:val="24"/>
          <w:szCs w:val="24"/>
          <w:lang w:val="en-US"/>
        </w:rPr>
        <w:lastRenderedPageBreak/>
        <w:t xml:space="preserve">occur as early as one month after initiation of treatment with </w:t>
      </w:r>
      <w:proofErr w:type="spellStart"/>
      <w:r w:rsidR="00C60CBC">
        <w:rPr>
          <w:sz w:val="24"/>
          <w:szCs w:val="24"/>
          <w:lang w:val="en-US"/>
        </w:rPr>
        <w:t>Vizibim</w:t>
      </w:r>
      <w:proofErr w:type="spellEnd"/>
      <w:r w:rsidRPr="00C60CBC">
        <w:rPr>
          <w:sz w:val="24"/>
          <w:szCs w:val="24"/>
          <w:lang w:val="en-US"/>
        </w:rPr>
        <w:t>, and may cause impaired field of vision even in the absence of patient recognition. PAP is also associated with periocular skin hyperpigmentation or discoloration and hypertrichosis. All changes have been noted to be partially or fully reversible upon discontinuation or switch to alternative treatments.</w:t>
      </w:r>
    </w:p>
    <w:p w14:paraId="04E30F41" w14:textId="77777777" w:rsidR="00F661A3" w:rsidRPr="00C60CBC" w:rsidRDefault="00F661A3" w:rsidP="00C60CBC">
      <w:pPr>
        <w:ind w:left="851"/>
        <w:rPr>
          <w:sz w:val="24"/>
          <w:szCs w:val="24"/>
          <w:lang w:val="en-US"/>
        </w:rPr>
      </w:pPr>
    </w:p>
    <w:p w14:paraId="15CCE225" w14:textId="77777777" w:rsidR="00F661A3" w:rsidRPr="00C60CBC" w:rsidRDefault="00F661A3" w:rsidP="00C60CBC">
      <w:pPr>
        <w:ind w:left="851"/>
        <w:rPr>
          <w:sz w:val="24"/>
          <w:szCs w:val="24"/>
          <w:u w:val="single"/>
          <w:lang w:val="en-US"/>
        </w:rPr>
      </w:pPr>
      <w:r w:rsidRPr="00C60CBC">
        <w:rPr>
          <w:sz w:val="24"/>
          <w:szCs w:val="24"/>
          <w:u w:val="single"/>
          <w:lang w:val="en-US"/>
        </w:rPr>
        <w:t>Iris hyperpigmentation</w:t>
      </w:r>
    </w:p>
    <w:p w14:paraId="700C5B63" w14:textId="77777777" w:rsidR="00F661A3" w:rsidRPr="00C60CBC" w:rsidRDefault="00F661A3" w:rsidP="00C60CBC">
      <w:pPr>
        <w:ind w:left="851"/>
        <w:rPr>
          <w:sz w:val="24"/>
          <w:szCs w:val="24"/>
          <w:lang w:val="en-US"/>
        </w:rPr>
      </w:pPr>
      <w:r w:rsidRPr="00C60CBC">
        <w:rPr>
          <w:sz w:val="24"/>
          <w:szCs w:val="24"/>
          <w:lang w:val="en-US"/>
        </w:rPr>
        <w:t xml:space="preserve">Increased iris pigmentation is likely to be permanent. The pigmentation change is due to increased melanin content in the melanocytes rather than to an increase in the number of melanocytes. The long-term effects of increased iris pigmentation are not known. Iris </w:t>
      </w:r>
      <w:proofErr w:type="spellStart"/>
      <w:r w:rsidRPr="00C60CBC">
        <w:rPr>
          <w:sz w:val="24"/>
          <w:szCs w:val="24"/>
          <w:lang w:val="en-US"/>
        </w:rPr>
        <w:t>colour</w:t>
      </w:r>
      <w:proofErr w:type="spellEnd"/>
      <w:r w:rsidRPr="00C60CBC">
        <w:rPr>
          <w:sz w:val="24"/>
          <w:szCs w:val="24"/>
          <w:lang w:val="en-US"/>
        </w:rPr>
        <w:t xml:space="preserve"> changes seen with ophthalmic administration of </w:t>
      </w:r>
      <w:proofErr w:type="spellStart"/>
      <w:r w:rsidRPr="00C60CBC">
        <w:rPr>
          <w:sz w:val="24"/>
          <w:szCs w:val="24"/>
          <w:lang w:val="en-US"/>
        </w:rPr>
        <w:t>bimatoprost</w:t>
      </w:r>
      <w:proofErr w:type="spellEnd"/>
      <w:r w:rsidRPr="00C60CBC">
        <w:rPr>
          <w:sz w:val="24"/>
          <w:szCs w:val="24"/>
          <w:lang w:val="en-US"/>
        </w:rPr>
        <w:t xml:space="preserve"> may not be noticeable for several months to years. Typically, the brown pigmentation around the pupil spreads concentrically towards the periphery of the iris and the entire iris or parts become more brownish. Neither </w:t>
      </w:r>
      <w:proofErr w:type="spellStart"/>
      <w:r w:rsidRPr="00C60CBC">
        <w:rPr>
          <w:sz w:val="24"/>
          <w:szCs w:val="24"/>
          <w:lang w:val="en-US"/>
        </w:rPr>
        <w:t>naevi</w:t>
      </w:r>
      <w:proofErr w:type="spellEnd"/>
      <w:r w:rsidRPr="00C60CBC">
        <w:rPr>
          <w:sz w:val="24"/>
          <w:szCs w:val="24"/>
          <w:lang w:val="en-US"/>
        </w:rPr>
        <w:t xml:space="preserve"> nor freckles of the iris appear to be affected by the treatment. At 12 months, the incidence of iris hyperpigmentation with </w:t>
      </w:r>
      <w:proofErr w:type="spellStart"/>
      <w:r w:rsidRPr="00C60CBC">
        <w:rPr>
          <w:sz w:val="24"/>
          <w:szCs w:val="24"/>
          <w:lang w:val="en-US"/>
        </w:rPr>
        <w:t>bimatoprost</w:t>
      </w:r>
      <w:proofErr w:type="spellEnd"/>
      <w:r w:rsidRPr="00C60CBC">
        <w:rPr>
          <w:sz w:val="24"/>
          <w:szCs w:val="24"/>
          <w:lang w:val="en-US"/>
        </w:rPr>
        <w:t xml:space="preserve"> 0.3 mg/ml eye drops, solution was 1.5% and did not increase following 3 years treatment. </w:t>
      </w:r>
    </w:p>
    <w:p w14:paraId="50A4B22A" w14:textId="77777777" w:rsidR="00F661A3" w:rsidRPr="00C60CBC" w:rsidRDefault="00F661A3" w:rsidP="00C60CBC">
      <w:pPr>
        <w:ind w:left="851"/>
        <w:rPr>
          <w:sz w:val="24"/>
          <w:szCs w:val="24"/>
          <w:lang w:val="en-US"/>
        </w:rPr>
      </w:pPr>
    </w:p>
    <w:p w14:paraId="341C977E" w14:textId="77777777" w:rsidR="00CF5F42" w:rsidRDefault="00CF5F42" w:rsidP="00CF5F42">
      <w:pPr>
        <w:ind w:left="851"/>
        <w:rPr>
          <w:sz w:val="24"/>
          <w:szCs w:val="24"/>
          <w:u w:val="single"/>
          <w:lang w:val="en-GB"/>
        </w:rPr>
      </w:pPr>
      <w:r>
        <w:rPr>
          <w:sz w:val="24"/>
          <w:szCs w:val="24"/>
          <w:u w:val="single"/>
          <w:lang w:val="en-GB"/>
        </w:rPr>
        <w:t>Reporting of suspected adverse reactions</w:t>
      </w:r>
    </w:p>
    <w:p w14:paraId="47EC8D2C" w14:textId="77777777" w:rsidR="00CF5F42" w:rsidRDefault="00CF5F42" w:rsidP="00CF5F42">
      <w:pPr>
        <w:ind w:left="851"/>
        <w:rPr>
          <w:sz w:val="24"/>
          <w:szCs w:val="24"/>
          <w:lang w:val="en-GB"/>
        </w:rPr>
      </w:pPr>
      <w:r>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58F0A700" w14:textId="77777777" w:rsidR="00CF5F42" w:rsidRDefault="00CF5F42" w:rsidP="00CF5F42">
      <w:pPr>
        <w:ind w:left="851"/>
        <w:rPr>
          <w:sz w:val="24"/>
          <w:szCs w:val="24"/>
          <w:lang w:val="en-GB"/>
        </w:rPr>
      </w:pPr>
    </w:p>
    <w:p w14:paraId="234398EC" w14:textId="77777777" w:rsidR="00CF5F42" w:rsidRDefault="00CF5F42" w:rsidP="00CF5F42">
      <w:pPr>
        <w:ind w:left="851"/>
        <w:rPr>
          <w:sz w:val="24"/>
          <w:szCs w:val="24"/>
        </w:rPr>
      </w:pPr>
      <w:r>
        <w:rPr>
          <w:sz w:val="24"/>
          <w:szCs w:val="24"/>
        </w:rPr>
        <w:t>Lægemiddelstyrelsen</w:t>
      </w:r>
    </w:p>
    <w:p w14:paraId="734E5B1D" w14:textId="77777777" w:rsidR="00CF5F42" w:rsidRDefault="00CF5F42" w:rsidP="00CF5F42">
      <w:pPr>
        <w:ind w:left="851"/>
        <w:rPr>
          <w:sz w:val="24"/>
          <w:szCs w:val="24"/>
        </w:rPr>
      </w:pPr>
      <w:r>
        <w:rPr>
          <w:sz w:val="24"/>
          <w:szCs w:val="24"/>
        </w:rPr>
        <w:t>Axel Heides Gade 1</w:t>
      </w:r>
    </w:p>
    <w:p w14:paraId="200A6F62" w14:textId="77777777" w:rsidR="00CF5F42" w:rsidRDefault="00CF5F42" w:rsidP="00CF5F42">
      <w:pPr>
        <w:ind w:left="851"/>
        <w:rPr>
          <w:sz w:val="24"/>
          <w:szCs w:val="24"/>
        </w:rPr>
      </w:pPr>
      <w:r>
        <w:rPr>
          <w:sz w:val="24"/>
          <w:szCs w:val="24"/>
        </w:rPr>
        <w:t>DK-2300 København S</w:t>
      </w:r>
    </w:p>
    <w:p w14:paraId="4B5FC237" w14:textId="77777777" w:rsidR="00CF5F42" w:rsidRDefault="00CF5F42" w:rsidP="00CF5F42">
      <w:pPr>
        <w:ind w:left="851"/>
        <w:rPr>
          <w:sz w:val="24"/>
          <w:szCs w:val="24"/>
          <w:lang w:val="en-US"/>
        </w:rPr>
      </w:pPr>
      <w:r>
        <w:rPr>
          <w:sz w:val="24"/>
          <w:szCs w:val="24"/>
          <w:lang w:val="en-US"/>
        </w:rPr>
        <w:t>Website: www.meldenbivirkning.dk</w:t>
      </w:r>
    </w:p>
    <w:p w14:paraId="74BDAF03" w14:textId="77777777" w:rsidR="007C5D2A" w:rsidRPr="007338E1" w:rsidRDefault="007C5D2A" w:rsidP="003E0341">
      <w:pPr>
        <w:pStyle w:val="Sidehoved"/>
        <w:tabs>
          <w:tab w:val="clear" w:pos="4819"/>
          <w:tab w:val="clear" w:pos="9638"/>
          <w:tab w:val="left" w:pos="851"/>
        </w:tabs>
        <w:ind w:left="851"/>
        <w:rPr>
          <w:szCs w:val="24"/>
          <w:lang w:val="en-GB"/>
        </w:rPr>
      </w:pPr>
    </w:p>
    <w:p w14:paraId="2BEFF609"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t>4.9</w:t>
      </w:r>
      <w:r w:rsidRPr="007338E1">
        <w:rPr>
          <w:b/>
          <w:sz w:val="24"/>
          <w:szCs w:val="24"/>
          <w:lang w:val="en-GB"/>
        </w:rPr>
        <w:tab/>
        <w:t>Overdose</w:t>
      </w:r>
    </w:p>
    <w:p w14:paraId="68C3C7D2" w14:textId="77777777" w:rsidR="00C0374F" w:rsidRPr="007338E1" w:rsidRDefault="00C0374F" w:rsidP="001C0125">
      <w:pPr>
        <w:pStyle w:val="Default"/>
        <w:ind w:left="851"/>
        <w:rPr>
          <w:lang w:val="en-US"/>
        </w:rPr>
      </w:pPr>
      <w:r w:rsidRPr="007338E1">
        <w:rPr>
          <w:lang w:val="en-US"/>
        </w:rPr>
        <w:t xml:space="preserve">No case of overdose has been reported, and is unlikely to occur after ocular administration. </w:t>
      </w:r>
    </w:p>
    <w:p w14:paraId="39D5B51B" w14:textId="77777777" w:rsidR="00C0374F" w:rsidRPr="007338E1" w:rsidRDefault="00C0374F" w:rsidP="001C0125">
      <w:pPr>
        <w:pStyle w:val="Default"/>
        <w:ind w:left="851"/>
        <w:rPr>
          <w:lang w:val="en-US"/>
        </w:rPr>
      </w:pPr>
      <w:r w:rsidRPr="007338E1">
        <w:rPr>
          <w:lang w:val="en-US"/>
        </w:rPr>
        <w:t xml:space="preserve">If overdose occurs, treatment should be symptomatic and supportive. If </w:t>
      </w:r>
      <w:proofErr w:type="spellStart"/>
      <w:r w:rsidRPr="007338E1">
        <w:rPr>
          <w:lang w:val="en-US"/>
        </w:rPr>
        <w:t>bimatoprost</w:t>
      </w:r>
      <w:proofErr w:type="spellEnd"/>
      <w:r w:rsidRPr="007338E1">
        <w:rPr>
          <w:lang w:val="en-US"/>
        </w:rPr>
        <w:t xml:space="preserve"> is accidentally ingested, the following information may be useful: in two-week oral rat and mouse studies, doses up to 100 mg/kg/day did not produce any toxicity. This dose expressed as mg/m2 is at least 70-times higher than the accidental dose of one bottle of </w:t>
      </w:r>
      <w:proofErr w:type="spellStart"/>
      <w:r w:rsidRPr="007338E1">
        <w:rPr>
          <w:lang w:val="en-US"/>
        </w:rPr>
        <w:t>bimatoprost</w:t>
      </w:r>
      <w:proofErr w:type="spellEnd"/>
      <w:r w:rsidRPr="007338E1">
        <w:rPr>
          <w:lang w:val="en-US"/>
        </w:rPr>
        <w:t xml:space="preserve"> 0.3 mg/ml eye drops, solution in a 10 kg child. </w:t>
      </w:r>
    </w:p>
    <w:p w14:paraId="3939DA3B" w14:textId="77777777" w:rsidR="007C5D2A" w:rsidRPr="007338E1" w:rsidRDefault="007C5D2A" w:rsidP="003E0341">
      <w:pPr>
        <w:tabs>
          <w:tab w:val="left" w:pos="851"/>
        </w:tabs>
        <w:ind w:left="851"/>
        <w:rPr>
          <w:sz w:val="24"/>
          <w:szCs w:val="24"/>
          <w:lang w:val="en-GB"/>
        </w:rPr>
      </w:pPr>
    </w:p>
    <w:p w14:paraId="7B75CAD8" w14:textId="77777777" w:rsidR="008F2F8C" w:rsidRPr="007338E1" w:rsidRDefault="0042292D" w:rsidP="0042292D">
      <w:pPr>
        <w:tabs>
          <w:tab w:val="left" w:pos="851"/>
        </w:tabs>
        <w:rPr>
          <w:b/>
          <w:sz w:val="24"/>
          <w:szCs w:val="24"/>
          <w:lang w:val="en-GB"/>
        </w:rPr>
      </w:pPr>
      <w:r w:rsidRPr="007338E1">
        <w:rPr>
          <w:b/>
          <w:sz w:val="24"/>
          <w:szCs w:val="24"/>
          <w:lang w:val="en-GB"/>
        </w:rPr>
        <w:t>4.10</w:t>
      </w:r>
      <w:r w:rsidRPr="007338E1">
        <w:rPr>
          <w:b/>
          <w:sz w:val="24"/>
          <w:szCs w:val="24"/>
          <w:lang w:val="en-GB"/>
        </w:rPr>
        <w:tab/>
        <w:t>Legal status</w:t>
      </w:r>
    </w:p>
    <w:p w14:paraId="70F3B042" w14:textId="6653F2D7" w:rsidR="00AD2E36" w:rsidRPr="007338E1" w:rsidRDefault="009723F4" w:rsidP="00AD2E36">
      <w:pPr>
        <w:tabs>
          <w:tab w:val="left" w:pos="851"/>
        </w:tabs>
        <w:ind w:left="851"/>
        <w:rPr>
          <w:sz w:val="24"/>
          <w:szCs w:val="24"/>
          <w:lang w:val="en-GB"/>
        </w:rPr>
      </w:pPr>
      <w:r w:rsidRPr="007338E1">
        <w:rPr>
          <w:sz w:val="24"/>
          <w:szCs w:val="24"/>
          <w:lang w:val="en-GB"/>
        </w:rPr>
        <w:t>B</w:t>
      </w:r>
    </w:p>
    <w:p w14:paraId="4FBDD47A" w14:textId="77777777" w:rsidR="007C5D2A" w:rsidRPr="007338E1" w:rsidRDefault="007C5D2A" w:rsidP="003E0341">
      <w:pPr>
        <w:tabs>
          <w:tab w:val="left" w:pos="851"/>
        </w:tabs>
        <w:ind w:left="851"/>
        <w:rPr>
          <w:sz w:val="24"/>
          <w:szCs w:val="24"/>
          <w:lang w:val="en-GB"/>
        </w:rPr>
      </w:pPr>
    </w:p>
    <w:p w14:paraId="408D39F1" w14:textId="77777777" w:rsidR="00AD2E36" w:rsidRPr="007338E1" w:rsidRDefault="00AD2E36" w:rsidP="003E0341">
      <w:pPr>
        <w:tabs>
          <w:tab w:val="left" w:pos="851"/>
        </w:tabs>
        <w:ind w:left="851"/>
        <w:rPr>
          <w:sz w:val="24"/>
          <w:szCs w:val="24"/>
          <w:lang w:val="en-GB"/>
        </w:rPr>
      </w:pPr>
    </w:p>
    <w:p w14:paraId="04F4A26E" w14:textId="77777777" w:rsidR="007C5D2A" w:rsidRPr="007338E1" w:rsidRDefault="007C5D2A" w:rsidP="007C5D2A">
      <w:pPr>
        <w:tabs>
          <w:tab w:val="left" w:pos="851"/>
        </w:tabs>
        <w:rPr>
          <w:b/>
          <w:sz w:val="24"/>
          <w:szCs w:val="24"/>
          <w:lang w:val="en-GB"/>
        </w:rPr>
      </w:pPr>
      <w:r w:rsidRPr="007338E1">
        <w:rPr>
          <w:b/>
          <w:sz w:val="24"/>
          <w:szCs w:val="24"/>
          <w:lang w:val="en-GB"/>
        </w:rPr>
        <w:t>5.</w:t>
      </w:r>
      <w:r w:rsidRPr="007338E1">
        <w:rPr>
          <w:b/>
          <w:sz w:val="24"/>
          <w:szCs w:val="24"/>
          <w:lang w:val="en-GB"/>
        </w:rPr>
        <w:tab/>
        <w:t>PHARMACOLOGICAL PROPERTIES</w:t>
      </w:r>
    </w:p>
    <w:p w14:paraId="3807FB33" w14:textId="77777777" w:rsidR="007C5D2A" w:rsidRPr="007338E1" w:rsidRDefault="007C5D2A" w:rsidP="003E0341">
      <w:pPr>
        <w:tabs>
          <w:tab w:val="left" w:pos="851"/>
        </w:tabs>
        <w:ind w:left="851"/>
        <w:rPr>
          <w:sz w:val="24"/>
          <w:szCs w:val="24"/>
          <w:lang w:val="en-GB"/>
        </w:rPr>
      </w:pPr>
    </w:p>
    <w:p w14:paraId="253CB7EF" w14:textId="2EC7C9C2" w:rsidR="004860D3" w:rsidRPr="007338E1" w:rsidRDefault="004860D3" w:rsidP="004860D3">
      <w:pPr>
        <w:tabs>
          <w:tab w:val="left" w:pos="851"/>
        </w:tabs>
        <w:ind w:left="851" w:hanging="851"/>
        <w:rPr>
          <w:b/>
          <w:sz w:val="24"/>
          <w:szCs w:val="24"/>
          <w:lang w:val="en-GB"/>
        </w:rPr>
      </w:pPr>
      <w:r w:rsidRPr="007338E1">
        <w:rPr>
          <w:b/>
          <w:sz w:val="24"/>
          <w:szCs w:val="24"/>
          <w:lang w:val="en-GB"/>
        </w:rPr>
        <w:t>5.0</w:t>
      </w:r>
      <w:r w:rsidRPr="007338E1">
        <w:rPr>
          <w:b/>
          <w:sz w:val="24"/>
          <w:szCs w:val="24"/>
          <w:lang w:val="en-GB"/>
        </w:rPr>
        <w:tab/>
        <w:t>Therapeutic</w:t>
      </w:r>
      <w:r w:rsidR="00A80446" w:rsidRPr="007338E1">
        <w:rPr>
          <w:b/>
          <w:sz w:val="24"/>
          <w:szCs w:val="24"/>
          <w:lang w:val="en-GB"/>
        </w:rPr>
        <w:t xml:space="preserve"> classification</w:t>
      </w:r>
    </w:p>
    <w:p w14:paraId="1D918D5B" w14:textId="06CEF75C" w:rsidR="00C0374F" w:rsidRPr="007338E1" w:rsidRDefault="001C0125" w:rsidP="007E50F0">
      <w:pPr>
        <w:pStyle w:val="Default"/>
        <w:ind w:left="851"/>
        <w:rPr>
          <w:lang w:val="en-US"/>
        </w:rPr>
      </w:pPr>
      <w:r w:rsidRPr="007338E1">
        <w:rPr>
          <w:lang w:val="en-US"/>
        </w:rPr>
        <w:t>ATC code: S</w:t>
      </w:r>
      <w:r w:rsidR="002F1237">
        <w:rPr>
          <w:lang w:val="en-US"/>
        </w:rPr>
        <w:t xml:space="preserve"> </w:t>
      </w:r>
      <w:r w:rsidRPr="007338E1">
        <w:rPr>
          <w:lang w:val="en-US"/>
        </w:rPr>
        <w:t>01</w:t>
      </w:r>
      <w:r w:rsidR="002F1237">
        <w:rPr>
          <w:lang w:val="en-US"/>
        </w:rPr>
        <w:t xml:space="preserve"> </w:t>
      </w:r>
      <w:r w:rsidRPr="007338E1">
        <w:rPr>
          <w:lang w:val="en-US"/>
        </w:rPr>
        <w:t>EE</w:t>
      </w:r>
      <w:r w:rsidR="002F1237">
        <w:rPr>
          <w:lang w:val="en-US"/>
        </w:rPr>
        <w:t xml:space="preserve"> </w:t>
      </w:r>
      <w:r w:rsidRPr="007338E1">
        <w:rPr>
          <w:lang w:val="en-US"/>
        </w:rPr>
        <w:t xml:space="preserve">03. </w:t>
      </w:r>
      <w:proofErr w:type="spellStart"/>
      <w:r w:rsidR="00C0374F" w:rsidRPr="007338E1">
        <w:rPr>
          <w:lang w:val="en-US"/>
        </w:rPr>
        <w:t>Ophthalmologicals</w:t>
      </w:r>
      <w:proofErr w:type="spellEnd"/>
      <w:r w:rsidR="00C0374F" w:rsidRPr="007338E1">
        <w:rPr>
          <w:lang w:val="en-US"/>
        </w:rPr>
        <w:t>, prostaglandin analogues</w:t>
      </w:r>
      <w:r w:rsidR="002F1237">
        <w:rPr>
          <w:lang w:val="en-US"/>
        </w:rPr>
        <w:t>.</w:t>
      </w:r>
    </w:p>
    <w:p w14:paraId="4A616443" w14:textId="77777777" w:rsidR="004860D3" w:rsidRPr="007338E1" w:rsidRDefault="004860D3" w:rsidP="003E0341">
      <w:pPr>
        <w:tabs>
          <w:tab w:val="left" w:pos="851"/>
        </w:tabs>
        <w:ind w:left="851"/>
        <w:rPr>
          <w:sz w:val="24"/>
          <w:szCs w:val="24"/>
          <w:lang w:val="en-GB"/>
        </w:rPr>
      </w:pPr>
    </w:p>
    <w:p w14:paraId="15503B07" w14:textId="77777777" w:rsidR="007C5D2A" w:rsidRPr="007338E1" w:rsidRDefault="007C5D2A" w:rsidP="007C5D2A">
      <w:pPr>
        <w:tabs>
          <w:tab w:val="left" w:pos="851"/>
        </w:tabs>
        <w:ind w:left="851" w:hanging="851"/>
        <w:rPr>
          <w:b/>
          <w:sz w:val="24"/>
          <w:szCs w:val="24"/>
          <w:lang w:val="en-GB"/>
        </w:rPr>
      </w:pPr>
      <w:r w:rsidRPr="007338E1">
        <w:rPr>
          <w:b/>
          <w:sz w:val="24"/>
          <w:szCs w:val="24"/>
          <w:lang w:val="en-GB"/>
        </w:rPr>
        <w:t>5.1</w:t>
      </w:r>
      <w:r w:rsidRPr="007338E1">
        <w:rPr>
          <w:b/>
          <w:sz w:val="24"/>
          <w:szCs w:val="24"/>
          <w:lang w:val="en-GB"/>
        </w:rPr>
        <w:tab/>
        <w:t>Pharmacodynamic properties</w:t>
      </w:r>
      <w:r w:rsidRPr="007338E1">
        <w:rPr>
          <w:b/>
          <w:sz w:val="24"/>
          <w:szCs w:val="24"/>
          <w:lang w:val="en-GB"/>
        </w:rPr>
        <w:tab/>
      </w:r>
    </w:p>
    <w:p w14:paraId="616D06D1" w14:textId="77777777" w:rsidR="007D0179" w:rsidRDefault="007D0179" w:rsidP="007E50F0">
      <w:pPr>
        <w:pStyle w:val="Default"/>
        <w:ind w:left="851"/>
        <w:rPr>
          <w:u w:val="single"/>
          <w:lang w:val="en-US"/>
        </w:rPr>
      </w:pPr>
    </w:p>
    <w:p w14:paraId="5C4E5C3E" w14:textId="4193E2B5" w:rsidR="00DE1F62" w:rsidRPr="007338E1" w:rsidRDefault="00DE1F62" w:rsidP="007E50F0">
      <w:pPr>
        <w:pStyle w:val="Default"/>
        <w:ind w:left="851"/>
        <w:rPr>
          <w:u w:val="single"/>
          <w:lang w:val="en-US"/>
        </w:rPr>
      </w:pPr>
      <w:r w:rsidRPr="007338E1">
        <w:rPr>
          <w:u w:val="single"/>
          <w:lang w:val="en-US"/>
        </w:rPr>
        <w:t xml:space="preserve">Mechanism of action </w:t>
      </w:r>
    </w:p>
    <w:p w14:paraId="4535984E" w14:textId="77777777" w:rsidR="00DE1F62" w:rsidRPr="007338E1" w:rsidRDefault="00DE1F62" w:rsidP="007E50F0">
      <w:pPr>
        <w:pStyle w:val="Default"/>
        <w:ind w:left="851"/>
        <w:rPr>
          <w:lang w:val="en-US"/>
        </w:rPr>
      </w:pPr>
      <w:r w:rsidRPr="007338E1">
        <w:rPr>
          <w:lang w:val="en-US"/>
        </w:rPr>
        <w:t xml:space="preserve">The mechanism of action by which </w:t>
      </w:r>
      <w:proofErr w:type="spellStart"/>
      <w:r w:rsidRPr="007338E1">
        <w:rPr>
          <w:lang w:val="en-US"/>
        </w:rPr>
        <w:t>bimatoprost</w:t>
      </w:r>
      <w:proofErr w:type="spellEnd"/>
      <w:r w:rsidRPr="007338E1">
        <w:rPr>
          <w:lang w:val="en-US"/>
        </w:rPr>
        <w:t xml:space="preserve"> reduces intraocular pressure in humans is by increasing aqueous </w:t>
      </w:r>
      <w:proofErr w:type="spellStart"/>
      <w:r w:rsidRPr="007338E1">
        <w:rPr>
          <w:lang w:val="en-US"/>
        </w:rPr>
        <w:t>humour</w:t>
      </w:r>
      <w:proofErr w:type="spellEnd"/>
      <w:r w:rsidRPr="007338E1">
        <w:rPr>
          <w:lang w:val="en-US"/>
        </w:rPr>
        <w:t xml:space="preserve"> outflow through the trabecular meshwork and enhancing uveoscleral outflow. Reduction of the intraocular pressure starts approximately 4 hours </w:t>
      </w:r>
      <w:r w:rsidRPr="007338E1">
        <w:rPr>
          <w:lang w:val="en-US"/>
        </w:rPr>
        <w:lastRenderedPageBreak/>
        <w:t xml:space="preserve">after the first administration and maximum effect is reached within approximately 8 to 12 hours. The duration of effect is maintained for at least 24 hours. </w:t>
      </w:r>
    </w:p>
    <w:p w14:paraId="3420C3C0" w14:textId="77777777" w:rsidR="00DE1F62" w:rsidRPr="007338E1" w:rsidRDefault="00DE1F62" w:rsidP="007E50F0">
      <w:pPr>
        <w:pStyle w:val="Default"/>
        <w:ind w:left="851"/>
        <w:rPr>
          <w:lang w:val="en-US"/>
        </w:rPr>
      </w:pPr>
    </w:p>
    <w:p w14:paraId="6802674D" w14:textId="77777777" w:rsidR="00DE1F62" w:rsidRPr="007338E1" w:rsidRDefault="00DE1F62" w:rsidP="007E50F0">
      <w:pPr>
        <w:pStyle w:val="Default"/>
        <w:ind w:left="851"/>
        <w:rPr>
          <w:lang w:val="en-US"/>
        </w:rPr>
      </w:pPr>
      <w:proofErr w:type="spellStart"/>
      <w:r w:rsidRPr="007338E1">
        <w:rPr>
          <w:lang w:val="en-US"/>
        </w:rPr>
        <w:t>Bimatoprost</w:t>
      </w:r>
      <w:proofErr w:type="spellEnd"/>
      <w:r w:rsidRPr="007338E1">
        <w:rPr>
          <w:lang w:val="en-US"/>
        </w:rPr>
        <w:t xml:space="preserve"> is a potent ocular hypotensive agent. It is a synthetic </w:t>
      </w:r>
      <w:proofErr w:type="spellStart"/>
      <w:r w:rsidRPr="007338E1">
        <w:rPr>
          <w:lang w:val="en-US"/>
        </w:rPr>
        <w:t>prostamide</w:t>
      </w:r>
      <w:proofErr w:type="spellEnd"/>
      <w:r w:rsidRPr="007338E1">
        <w:rPr>
          <w:lang w:val="en-US"/>
        </w:rPr>
        <w:t>, structurally related to prostaglandin F</w:t>
      </w:r>
      <w:r w:rsidRPr="007338E1">
        <w:rPr>
          <w:vertAlign w:val="subscript"/>
          <w:lang w:val="en-US"/>
        </w:rPr>
        <w:t>2</w:t>
      </w:r>
      <w:r w:rsidRPr="007338E1">
        <w:rPr>
          <w:vertAlign w:val="subscript"/>
        </w:rPr>
        <w:t>α</w:t>
      </w:r>
      <w:r w:rsidRPr="007338E1">
        <w:rPr>
          <w:lang w:val="en-US"/>
        </w:rPr>
        <w:t xml:space="preserve"> (PGF</w:t>
      </w:r>
      <w:r w:rsidRPr="007338E1">
        <w:rPr>
          <w:vertAlign w:val="subscript"/>
          <w:lang w:val="en-US"/>
        </w:rPr>
        <w:t>2</w:t>
      </w:r>
      <w:r w:rsidRPr="007338E1">
        <w:rPr>
          <w:vertAlign w:val="subscript"/>
        </w:rPr>
        <w:t>α</w:t>
      </w:r>
      <w:r w:rsidRPr="007338E1">
        <w:rPr>
          <w:lang w:val="en-US"/>
        </w:rPr>
        <w:t xml:space="preserve">), that does not act through any known prostaglandin receptors. </w:t>
      </w:r>
      <w:proofErr w:type="spellStart"/>
      <w:r w:rsidRPr="007338E1">
        <w:rPr>
          <w:lang w:val="en-US"/>
        </w:rPr>
        <w:t>Bimatoprost</w:t>
      </w:r>
      <w:proofErr w:type="spellEnd"/>
      <w:r w:rsidRPr="007338E1">
        <w:rPr>
          <w:lang w:val="en-US"/>
        </w:rPr>
        <w:t xml:space="preserve"> selectively mimics the effects of newly discovered </w:t>
      </w:r>
      <w:proofErr w:type="spellStart"/>
      <w:r w:rsidRPr="007338E1">
        <w:rPr>
          <w:lang w:val="en-US"/>
        </w:rPr>
        <w:t>biosynthesised</w:t>
      </w:r>
      <w:proofErr w:type="spellEnd"/>
      <w:r w:rsidRPr="007338E1">
        <w:rPr>
          <w:lang w:val="en-US"/>
        </w:rPr>
        <w:t xml:space="preserve"> substances called </w:t>
      </w:r>
      <w:proofErr w:type="spellStart"/>
      <w:r w:rsidRPr="007338E1">
        <w:rPr>
          <w:lang w:val="en-US"/>
        </w:rPr>
        <w:t>prostamides</w:t>
      </w:r>
      <w:proofErr w:type="spellEnd"/>
      <w:r w:rsidRPr="007338E1">
        <w:rPr>
          <w:lang w:val="en-US"/>
        </w:rPr>
        <w:t xml:space="preserve">. The </w:t>
      </w:r>
      <w:proofErr w:type="spellStart"/>
      <w:r w:rsidRPr="007338E1">
        <w:rPr>
          <w:lang w:val="en-US"/>
        </w:rPr>
        <w:t>prostamide</w:t>
      </w:r>
      <w:proofErr w:type="spellEnd"/>
      <w:r w:rsidRPr="007338E1">
        <w:rPr>
          <w:lang w:val="en-US"/>
        </w:rPr>
        <w:t xml:space="preserve"> receptor, however, has not yet been structurally identified. </w:t>
      </w:r>
    </w:p>
    <w:p w14:paraId="3F41EAE9" w14:textId="77777777" w:rsidR="00DE1F62" w:rsidRPr="007338E1" w:rsidRDefault="00DE1F62" w:rsidP="007E50F0">
      <w:pPr>
        <w:pStyle w:val="Default"/>
        <w:ind w:left="851"/>
        <w:rPr>
          <w:lang w:val="en-US"/>
        </w:rPr>
      </w:pPr>
    </w:p>
    <w:p w14:paraId="5061C09B" w14:textId="77777777" w:rsidR="002F1237" w:rsidRDefault="00DE1F62" w:rsidP="007E50F0">
      <w:pPr>
        <w:pStyle w:val="Default"/>
        <w:ind w:left="851"/>
        <w:rPr>
          <w:lang w:val="en-US"/>
        </w:rPr>
      </w:pPr>
      <w:r w:rsidRPr="007338E1">
        <w:rPr>
          <w:lang w:val="en-US"/>
        </w:rPr>
        <w:t xml:space="preserve">During 12 months’ monotherapy treatment with </w:t>
      </w:r>
      <w:proofErr w:type="spellStart"/>
      <w:r w:rsidRPr="007338E1">
        <w:rPr>
          <w:lang w:val="en-US"/>
        </w:rPr>
        <w:t>bimatoprost</w:t>
      </w:r>
      <w:proofErr w:type="spellEnd"/>
      <w:r w:rsidRPr="007338E1">
        <w:rPr>
          <w:lang w:val="en-US"/>
        </w:rPr>
        <w:t xml:space="preserve"> 0.3 mg/ml in adults, versus timolol, mean change from baseline in morning (08:00) intraocular pressure ranged from </w:t>
      </w:r>
    </w:p>
    <w:p w14:paraId="5EDDC2BC" w14:textId="4CF439FF" w:rsidR="00DE1F62" w:rsidRPr="007338E1" w:rsidRDefault="00DE1F62" w:rsidP="007E50F0">
      <w:pPr>
        <w:pStyle w:val="Default"/>
        <w:ind w:left="851"/>
        <w:rPr>
          <w:lang w:val="en-US"/>
        </w:rPr>
      </w:pPr>
      <w:r w:rsidRPr="007338E1">
        <w:rPr>
          <w:lang w:val="en-US"/>
        </w:rPr>
        <w:t xml:space="preserve">-7.9 to -8.8 mm Hg. At any visit, the mean diurnal IOP values measured over the 12-month study period differed by no more than 1.3 mmHg throughout the day and were never greater than 18.0 mmHg. </w:t>
      </w:r>
    </w:p>
    <w:p w14:paraId="7C849B2E" w14:textId="77777777" w:rsidR="00DE1F62" w:rsidRPr="007338E1" w:rsidRDefault="00DE1F62" w:rsidP="007E50F0">
      <w:pPr>
        <w:pStyle w:val="Default"/>
        <w:ind w:left="851"/>
        <w:rPr>
          <w:lang w:val="en-US"/>
        </w:rPr>
      </w:pPr>
    </w:p>
    <w:p w14:paraId="064241B4" w14:textId="77777777" w:rsidR="00DE1F62" w:rsidRPr="007338E1" w:rsidRDefault="00DE1F62" w:rsidP="007E50F0">
      <w:pPr>
        <w:pStyle w:val="Default"/>
        <w:ind w:left="851"/>
        <w:rPr>
          <w:lang w:val="en-US"/>
        </w:rPr>
      </w:pPr>
      <w:r w:rsidRPr="007338E1">
        <w:rPr>
          <w:lang w:val="en-US"/>
        </w:rPr>
        <w:t xml:space="preserve">In a 6-month clinical study with </w:t>
      </w:r>
      <w:proofErr w:type="spellStart"/>
      <w:r w:rsidRPr="007338E1">
        <w:rPr>
          <w:lang w:val="en-US"/>
        </w:rPr>
        <w:t>bimatoprost</w:t>
      </w:r>
      <w:proofErr w:type="spellEnd"/>
      <w:r w:rsidRPr="007338E1">
        <w:rPr>
          <w:lang w:val="en-US"/>
        </w:rPr>
        <w:t xml:space="preserve"> 0.3 mg/ml, versus latanoprost, a statistically superior reduction in morning mean IOP (ranging from -7.6 to -8.2 mmHg for </w:t>
      </w:r>
      <w:proofErr w:type="spellStart"/>
      <w:r w:rsidRPr="007338E1">
        <w:rPr>
          <w:lang w:val="en-US"/>
        </w:rPr>
        <w:t>bimatoprost</w:t>
      </w:r>
      <w:proofErr w:type="spellEnd"/>
      <w:r w:rsidRPr="007338E1">
        <w:rPr>
          <w:lang w:val="en-US"/>
        </w:rPr>
        <w:t xml:space="preserve"> versus –6.0 to -7.2 mmHg for latanoprost) was observed at all visits throughout the study. Conjunctival </w:t>
      </w:r>
      <w:proofErr w:type="spellStart"/>
      <w:r w:rsidRPr="007338E1">
        <w:rPr>
          <w:lang w:val="en-US"/>
        </w:rPr>
        <w:t>hyperaemia</w:t>
      </w:r>
      <w:proofErr w:type="spellEnd"/>
      <w:r w:rsidRPr="007338E1">
        <w:rPr>
          <w:lang w:val="en-US"/>
        </w:rPr>
        <w:t xml:space="preserve">, growth of eyelashes, and eye pruritus were statistically significantly higher with </w:t>
      </w:r>
      <w:proofErr w:type="spellStart"/>
      <w:r w:rsidRPr="007338E1">
        <w:rPr>
          <w:lang w:val="en-US"/>
        </w:rPr>
        <w:t>bimatoprost</w:t>
      </w:r>
      <w:proofErr w:type="spellEnd"/>
      <w:r w:rsidRPr="007338E1">
        <w:rPr>
          <w:lang w:val="en-US"/>
        </w:rPr>
        <w:t xml:space="preserve"> than with latanoprost, however, the discontinuation rates due to adverse events were low with no statistically significant difference. </w:t>
      </w:r>
    </w:p>
    <w:p w14:paraId="36DF51F6" w14:textId="77777777" w:rsidR="00DE1F62" w:rsidRPr="007338E1" w:rsidRDefault="00DE1F62" w:rsidP="007E50F0">
      <w:pPr>
        <w:pStyle w:val="Default"/>
        <w:ind w:left="851"/>
        <w:rPr>
          <w:lang w:val="en-US"/>
        </w:rPr>
      </w:pPr>
    </w:p>
    <w:p w14:paraId="30580D5B" w14:textId="77777777" w:rsidR="00DE1F62" w:rsidRPr="007338E1" w:rsidRDefault="00DE1F62" w:rsidP="007E50F0">
      <w:pPr>
        <w:pStyle w:val="Default"/>
        <w:ind w:left="851"/>
        <w:rPr>
          <w:lang w:val="en-US"/>
        </w:rPr>
      </w:pPr>
      <w:r w:rsidRPr="007338E1">
        <w:rPr>
          <w:lang w:val="en-US"/>
        </w:rPr>
        <w:t xml:space="preserve">Compared to treatment with beta-blocker alone, adjunctive therapy with beta-blocker and </w:t>
      </w:r>
      <w:proofErr w:type="spellStart"/>
      <w:r w:rsidRPr="007338E1">
        <w:rPr>
          <w:lang w:val="en-US"/>
        </w:rPr>
        <w:t>bimatoprost</w:t>
      </w:r>
      <w:proofErr w:type="spellEnd"/>
      <w:r w:rsidRPr="007338E1">
        <w:rPr>
          <w:lang w:val="en-US"/>
        </w:rPr>
        <w:t xml:space="preserve"> 0.3 mg/ml lowered mean morning (08:00) intraocular pressure by -6.5 to -8.1 mmHg. </w:t>
      </w:r>
    </w:p>
    <w:p w14:paraId="3D051E5F" w14:textId="77777777" w:rsidR="00DE1F62" w:rsidRPr="007338E1" w:rsidRDefault="00DE1F62" w:rsidP="007E50F0">
      <w:pPr>
        <w:pStyle w:val="Default"/>
        <w:ind w:left="851"/>
        <w:rPr>
          <w:lang w:val="en-US"/>
        </w:rPr>
      </w:pPr>
    </w:p>
    <w:p w14:paraId="086AF2D7" w14:textId="77777777" w:rsidR="00DE1F62" w:rsidRPr="007338E1" w:rsidRDefault="00DE1F62" w:rsidP="007E50F0">
      <w:pPr>
        <w:pStyle w:val="Default"/>
        <w:ind w:left="851"/>
        <w:rPr>
          <w:lang w:val="en-US"/>
        </w:rPr>
      </w:pPr>
      <w:r w:rsidRPr="007338E1">
        <w:rPr>
          <w:lang w:val="en-US"/>
        </w:rPr>
        <w:t xml:space="preserve">Limited experience is available in patients with open-angle glaucoma with </w:t>
      </w:r>
      <w:proofErr w:type="spellStart"/>
      <w:r w:rsidRPr="007338E1">
        <w:rPr>
          <w:lang w:val="en-US"/>
        </w:rPr>
        <w:t>pseudoexfoliative</w:t>
      </w:r>
      <w:proofErr w:type="spellEnd"/>
      <w:r w:rsidRPr="007338E1">
        <w:rPr>
          <w:lang w:val="en-US"/>
        </w:rPr>
        <w:t xml:space="preserve"> and pigmentary glaucoma, and chronic angle-closure glaucoma with patent iridotomy. </w:t>
      </w:r>
    </w:p>
    <w:p w14:paraId="09F2CACC" w14:textId="77777777" w:rsidR="00DE1F62" w:rsidRPr="007338E1" w:rsidRDefault="00DE1F62" w:rsidP="007E50F0">
      <w:pPr>
        <w:pStyle w:val="Default"/>
        <w:ind w:left="851"/>
        <w:rPr>
          <w:lang w:val="en-US"/>
        </w:rPr>
      </w:pPr>
    </w:p>
    <w:p w14:paraId="425A996D" w14:textId="77777777" w:rsidR="00DE1F62" w:rsidRPr="007338E1" w:rsidRDefault="00DE1F62" w:rsidP="007E50F0">
      <w:pPr>
        <w:pStyle w:val="Default"/>
        <w:ind w:left="851"/>
        <w:rPr>
          <w:lang w:val="en-US"/>
        </w:rPr>
      </w:pPr>
      <w:r w:rsidRPr="007338E1">
        <w:rPr>
          <w:lang w:val="en-US"/>
        </w:rPr>
        <w:t xml:space="preserve">No clinically relevant effects on heart rate and blood pressure have been observed in clinical trials. </w:t>
      </w:r>
    </w:p>
    <w:p w14:paraId="28BCAF9C" w14:textId="77777777" w:rsidR="00DE1F62" w:rsidRPr="007338E1" w:rsidRDefault="00DE1F62" w:rsidP="007E50F0">
      <w:pPr>
        <w:pStyle w:val="Default"/>
        <w:ind w:left="851"/>
        <w:rPr>
          <w:lang w:val="en-US"/>
        </w:rPr>
      </w:pPr>
    </w:p>
    <w:p w14:paraId="69A9B24F" w14:textId="77777777" w:rsidR="00DE1F62" w:rsidRPr="007338E1" w:rsidRDefault="00DE1F62" w:rsidP="007E50F0">
      <w:pPr>
        <w:pStyle w:val="Default"/>
        <w:ind w:left="851"/>
        <w:rPr>
          <w:u w:val="single"/>
          <w:lang w:val="en-US"/>
        </w:rPr>
      </w:pPr>
      <w:r w:rsidRPr="007338E1">
        <w:rPr>
          <w:u w:val="single"/>
          <w:lang w:val="en-US"/>
        </w:rPr>
        <w:t xml:space="preserve">Paediatric population </w:t>
      </w:r>
    </w:p>
    <w:p w14:paraId="2E2A7B35" w14:textId="77777777" w:rsidR="00DE1F62" w:rsidRPr="007338E1" w:rsidRDefault="00DE1F62" w:rsidP="007E50F0">
      <w:pPr>
        <w:pStyle w:val="Default"/>
        <w:ind w:left="851"/>
        <w:rPr>
          <w:lang w:val="en-US"/>
        </w:rPr>
      </w:pPr>
      <w:r w:rsidRPr="007338E1">
        <w:rPr>
          <w:lang w:val="en-US"/>
        </w:rPr>
        <w:t xml:space="preserve">The safety and efficacy of </w:t>
      </w:r>
      <w:proofErr w:type="spellStart"/>
      <w:r w:rsidRPr="007338E1">
        <w:rPr>
          <w:lang w:val="en-US"/>
        </w:rPr>
        <w:t>bimatoprost</w:t>
      </w:r>
      <w:proofErr w:type="spellEnd"/>
      <w:r w:rsidRPr="007338E1">
        <w:rPr>
          <w:lang w:val="en-US"/>
        </w:rPr>
        <w:t xml:space="preserve"> in children aged 0 to less than 18 years has not been established.</w:t>
      </w:r>
    </w:p>
    <w:p w14:paraId="7A1056D5" w14:textId="77777777" w:rsidR="007C5D2A" w:rsidRPr="007338E1" w:rsidRDefault="007C5D2A" w:rsidP="003E0341">
      <w:pPr>
        <w:tabs>
          <w:tab w:val="left" w:pos="851"/>
        </w:tabs>
        <w:ind w:left="851"/>
        <w:rPr>
          <w:sz w:val="24"/>
          <w:szCs w:val="24"/>
          <w:lang w:val="en-GB"/>
        </w:rPr>
      </w:pPr>
    </w:p>
    <w:p w14:paraId="5FE02C34" w14:textId="6929E19F" w:rsidR="007C5D2A" w:rsidRPr="007338E1" w:rsidRDefault="007C5D2A" w:rsidP="007C5D2A">
      <w:pPr>
        <w:tabs>
          <w:tab w:val="left" w:pos="851"/>
        </w:tabs>
        <w:ind w:left="851" w:hanging="851"/>
        <w:rPr>
          <w:b/>
          <w:sz w:val="24"/>
          <w:szCs w:val="24"/>
          <w:lang w:val="en-GB"/>
        </w:rPr>
      </w:pPr>
      <w:r w:rsidRPr="007338E1">
        <w:rPr>
          <w:b/>
          <w:sz w:val="24"/>
          <w:szCs w:val="24"/>
          <w:lang w:val="en-GB"/>
        </w:rPr>
        <w:t>5.2</w:t>
      </w:r>
      <w:r w:rsidRPr="007338E1">
        <w:rPr>
          <w:b/>
          <w:sz w:val="24"/>
          <w:szCs w:val="24"/>
          <w:lang w:val="en-GB"/>
        </w:rPr>
        <w:tab/>
        <w:t>Pharmacokinetic properties</w:t>
      </w:r>
    </w:p>
    <w:p w14:paraId="007410CD" w14:textId="77777777" w:rsidR="007D0179" w:rsidRDefault="007D0179" w:rsidP="007E50F0">
      <w:pPr>
        <w:pStyle w:val="Default"/>
        <w:ind w:left="851"/>
        <w:rPr>
          <w:color w:val="auto"/>
          <w:u w:val="single"/>
          <w:lang w:val="en-US"/>
        </w:rPr>
      </w:pPr>
    </w:p>
    <w:p w14:paraId="54101608" w14:textId="2EAB65FB" w:rsidR="00DE1F62" w:rsidRPr="007338E1" w:rsidRDefault="00DE1F62" w:rsidP="007E50F0">
      <w:pPr>
        <w:pStyle w:val="Default"/>
        <w:ind w:left="851"/>
        <w:rPr>
          <w:color w:val="auto"/>
          <w:u w:val="single"/>
          <w:lang w:val="en-US"/>
        </w:rPr>
      </w:pPr>
      <w:r w:rsidRPr="007338E1">
        <w:rPr>
          <w:color w:val="auto"/>
          <w:u w:val="single"/>
          <w:lang w:val="en-US"/>
        </w:rPr>
        <w:t xml:space="preserve">Absorption </w:t>
      </w:r>
    </w:p>
    <w:p w14:paraId="082A1457" w14:textId="77777777" w:rsidR="00DE1F62" w:rsidRPr="007338E1" w:rsidRDefault="00DE1F62" w:rsidP="007E50F0">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penetrates the human cornea and sclera well </w:t>
      </w:r>
      <w:r w:rsidRPr="007338E1">
        <w:rPr>
          <w:i/>
          <w:iCs/>
          <w:color w:val="auto"/>
          <w:lang w:val="en-US"/>
        </w:rPr>
        <w:t>in vitro</w:t>
      </w:r>
      <w:r w:rsidRPr="007338E1">
        <w:rPr>
          <w:color w:val="auto"/>
          <w:lang w:val="en-US"/>
        </w:rPr>
        <w:t xml:space="preserve">. After ocular administration in adults, the systemic exposure of </w:t>
      </w:r>
      <w:proofErr w:type="spellStart"/>
      <w:r w:rsidRPr="007338E1">
        <w:rPr>
          <w:color w:val="auto"/>
          <w:lang w:val="en-US"/>
        </w:rPr>
        <w:t>bimatoprost</w:t>
      </w:r>
      <w:proofErr w:type="spellEnd"/>
      <w:r w:rsidRPr="007338E1">
        <w:rPr>
          <w:color w:val="auto"/>
          <w:lang w:val="en-US"/>
        </w:rPr>
        <w:t xml:space="preserve"> is very low with no accumulation over time. After once daily ocular administration of one drop of </w:t>
      </w:r>
      <w:proofErr w:type="spellStart"/>
      <w:r w:rsidRPr="007338E1">
        <w:rPr>
          <w:color w:val="auto"/>
          <w:lang w:val="en-US"/>
        </w:rPr>
        <w:t>bimatoprost</w:t>
      </w:r>
      <w:proofErr w:type="spellEnd"/>
      <w:r w:rsidRPr="007338E1">
        <w:rPr>
          <w:color w:val="auto"/>
          <w:lang w:val="en-US"/>
        </w:rPr>
        <w:t xml:space="preserve"> 0.3 mg/ml to both eyes for two weeks, blood concentrations peaked within 10 minutes after dosing and declined to below the lower limit of detection (0.025 ng/ml) within 1.5 hours after dosing. Mean </w:t>
      </w:r>
      <w:proofErr w:type="spellStart"/>
      <w:r w:rsidRPr="007338E1">
        <w:rPr>
          <w:color w:val="auto"/>
          <w:lang w:val="en-US"/>
        </w:rPr>
        <w:t>C</w:t>
      </w:r>
      <w:r w:rsidRPr="007338E1">
        <w:rPr>
          <w:color w:val="auto"/>
          <w:vertAlign w:val="subscript"/>
          <w:lang w:val="en-US"/>
        </w:rPr>
        <w:t>max</w:t>
      </w:r>
      <w:proofErr w:type="spellEnd"/>
      <w:r w:rsidRPr="007338E1">
        <w:rPr>
          <w:color w:val="auto"/>
          <w:lang w:val="en-US"/>
        </w:rPr>
        <w:t xml:space="preserve"> and AUC </w:t>
      </w:r>
      <w:r w:rsidRPr="007338E1">
        <w:rPr>
          <w:color w:val="auto"/>
          <w:vertAlign w:val="subscript"/>
          <w:lang w:val="en-US"/>
        </w:rPr>
        <w:t>0-24hrs</w:t>
      </w:r>
      <w:r w:rsidRPr="007338E1">
        <w:rPr>
          <w:color w:val="auto"/>
          <w:lang w:val="en-US"/>
        </w:rPr>
        <w:t xml:space="preserve"> values were similar on days 7 and 14 at approximately 0.08 ng/ml and 0.09 </w:t>
      </w:r>
      <w:proofErr w:type="spellStart"/>
      <w:r w:rsidRPr="007338E1">
        <w:rPr>
          <w:color w:val="auto"/>
          <w:lang w:val="en-US"/>
        </w:rPr>
        <w:t>ng</w:t>
      </w:r>
      <w:r w:rsidRPr="007338E1">
        <w:rPr>
          <w:lang w:val="en-US"/>
        </w:rPr>
        <w:t>•</w:t>
      </w:r>
      <w:r w:rsidRPr="007338E1">
        <w:rPr>
          <w:color w:val="auto"/>
          <w:lang w:val="en-US"/>
        </w:rPr>
        <w:t>hr</w:t>
      </w:r>
      <w:proofErr w:type="spellEnd"/>
      <w:r w:rsidRPr="007338E1">
        <w:rPr>
          <w:color w:val="auto"/>
          <w:lang w:val="en-US"/>
        </w:rPr>
        <w:t xml:space="preserve">/ml respectively, indicating that a steady </w:t>
      </w:r>
      <w:proofErr w:type="spellStart"/>
      <w:r w:rsidRPr="007338E1">
        <w:rPr>
          <w:color w:val="auto"/>
          <w:lang w:val="en-US"/>
        </w:rPr>
        <w:t>bimatoprost</w:t>
      </w:r>
      <w:proofErr w:type="spellEnd"/>
      <w:r w:rsidRPr="007338E1">
        <w:rPr>
          <w:color w:val="auto"/>
          <w:lang w:val="en-US"/>
        </w:rPr>
        <w:t xml:space="preserve"> concentration was reached during the first week of ocular dosing. </w:t>
      </w:r>
    </w:p>
    <w:p w14:paraId="515B0281" w14:textId="76FEB3D0" w:rsidR="00F65505" w:rsidRDefault="00F65505">
      <w:pPr>
        <w:rPr>
          <w:rFonts w:eastAsiaTheme="minorHAnsi"/>
          <w:sz w:val="24"/>
          <w:szCs w:val="24"/>
          <w:lang w:val="en-US" w:eastAsia="en-US"/>
        </w:rPr>
      </w:pPr>
      <w:r>
        <w:rPr>
          <w:lang w:val="en-US"/>
        </w:rPr>
        <w:br w:type="page"/>
      </w:r>
    </w:p>
    <w:p w14:paraId="24453C48" w14:textId="77777777" w:rsidR="00DE1F62" w:rsidRPr="007338E1" w:rsidRDefault="00DE1F62" w:rsidP="007E50F0">
      <w:pPr>
        <w:pStyle w:val="Default"/>
        <w:ind w:left="851"/>
        <w:rPr>
          <w:color w:val="auto"/>
          <w:lang w:val="en-US"/>
        </w:rPr>
      </w:pPr>
    </w:p>
    <w:p w14:paraId="2B7BF1D8" w14:textId="77777777" w:rsidR="00DE1F62" w:rsidRPr="007338E1" w:rsidRDefault="00DE1F62" w:rsidP="007E50F0">
      <w:pPr>
        <w:pStyle w:val="Default"/>
        <w:ind w:left="851"/>
        <w:rPr>
          <w:color w:val="auto"/>
          <w:u w:val="single"/>
          <w:lang w:val="en-US"/>
        </w:rPr>
      </w:pPr>
      <w:r w:rsidRPr="007338E1">
        <w:rPr>
          <w:color w:val="auto"/>
          <w:u w:val="single"/>
          <w:lang w:val="en-US"/>
        </w:rPr>
        <w:t xml:space="preserve">Distribution </w:t>
      </w:r>
    </w:p>
    <w:p w14:paraId="4CF9C349" w14:textId="77777777" w:rsidR="00DE1F62" w:rsidRPr="007338E1" w:rsidRDefault="00DE1F62" w:rsidP="007E50F0">
      <w:pPr>
        <w:pStyle w:val="Default"/>
        <w:ind w:left="851"/>
        <w:rPr>
          <w:color w:val="auto"/>
          <w:lang w:val="en-US"/>
        </w:rPr>
      </w:pPr>
      <w:proofErr w:type="spellStart"/>
      <w:r w:rsidRPr="007338E1">
        <w:rPr>
          <w:color w:val="auto"/>
          <w:lang w:val="en-US"/>
        </w:rPr>
        <w:lastRenderedPageBreak/>
        <w:t>Bimatoprost</w:t>
      </w:r>
      <w:proofErr w:type="spellEnd"/>
      <w:r w:rsidRPr="007338E1">
        <w:rPr>
          <w:color w:val="auto"/>
          <w:lang w:val="en-US"/>
        </w:rPr>
        <w:t xml:space="preserve"> is moderately distributed into body tissues and the systemic volume of distribution in humans at steady-state was 0.67 l/kg. In human blood, </w:t>
      </w:r>
      <w:proofErr w:type="spellStart"/>
      <w:r w:rsidRPr="007338E1">
        <w:rPr>
          <w:color w:val="auto"/>
          <w:lang w:val="en-US"/>
        </w:rPr>
        <w:t>bimatoprost</w:t>
      </w:r>
      <w:proofErr w:type="spellEnd"/>
      <w:r w:rsidRPr="007338E1">
        <w:rPr>
          <w:color w:val="auto"/>
          <w:lang w:val="en-US"/>
        </w:rPr>
        <w:t xml:space="preserve"> resides mainly in the plasma. The plasma protein binding of </w:t>
      </w:r>
      <w:proofErr w:type="spellStart"/>
      <w:r w:rsidRPr="007338E1">
        <w:rPr>
          <w:color w:val="auto"/>
          <w:lang w:val="en-US"/>
        </w:rPr>
        <w:t>bimatoprost</w:t>
      </w:r>
      <w:proofErr w:type="spellEnd"/>
      <w:r w:rsidRPr="007338E1">
        <w:rPr>
          <w:color w:val="auto"/>
          <w:lang w:val="en-US"/>
        </w:rPr>
        <w:t xml:space="preserve"> is approximately 88%. </w:t>
      </w:r>
    </w:p>
    <w:p w14:paraId="24C59CDD" w14:textId="77777777" w:rsidR="00DE1F62" w:rsidRPr="007338E1" w:rsidRDefault="00DE1F62" w:rsidP="007E50F0">
      <w:pPr>
        <w:pStyle w:val="Default"/>
        <w:ind w:left="851"/>
        <w:rPr>
          <w:color w:val="auto"/>
          <w:lang w:val="en-US"/>
        </w:rPr>
      </w:pPr>
    </w:p>
    <w:p w14:paraId="4C1F9FDA" w14:textId="77777777" w:rsidR="00DE1F62" w:rsidRPr="007338E1" w:rsidRDefault="00DE1F62" w:rsidP="007E50F0">
      <w:pPr>
        <w:pStyle w:val="Default"/>
        <w:ind w:left="851"/>
        <w:rPr>
          <w:color w:val="auto"/>
          <w:u w:val="single"/>
          <w:lang w:val="en-US"/>
        </w:rPr>
      </w:pPr>
      <w:r w:rsidRPr="007338E1">
        <w:rPr>
          <w:color w:val="auto"/>
          <w:u w:val="single"/>
          <w:lang w:val="en-US"/>
        </w:rPr>
        <w:t xml:space="preserve">Biotransformation </w:t>
      </w:r>
    </w:p>
    <w:p w14:paraId="744458AA" w14:textId="77777777" w:rsidR="00DE1F62" w:rsidRPr="007338E1" w:rsidRDefault="00DE1F62" w:rsidP="007E50F0">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is the major circulating species in the blood once it reaches the systemic circulation following ocular dosing. </w:t>
      </w:r>
      <w:proofErr w:type="spellStart"/>
      <w:r w:rsidRPr="007338E1">
        <w:rPr>
          <w:color w:val="auto"/>
          <w:lang w:val="en-US"/>
        </w:rPr>
        <w:t>Bimatoprost</w:t>
      </w:r>
      <w:proofErr w:type="spellEnd"/>
      <w:r w:rsidRPr="007338E1">
        <w:rPr>
          <w:color w:val="auto"/>
          <w:lang w:val="en-US"/>
        </w:rPr>
        <w:t xml:space="preserve"> then undergoes oxidation, N-</w:t>
      </w:r>
      <w:proofErr w:type="spellStart"/>
      <w:r w:rsidRPr="007338E1">
        <w:rPr>
          <w:color w:val="auto"/>
          <w:lang w:val="en-US"/>
        </w:rPr>
        <w:t>deethylation</w:t>
      </w:r>
      <w:proofErr w:type="spellEnd"/>
      <w:r w:rsidRPr="007338E1">
        <w:rPr>
          <w:color w:val="auto"/>
          <w:lang w:val="en-US"/>
        </w:rPr>
        <w:t xml:space="preserve"> and glucuronidation to form a diverse variety of metabolites. </w:t>
      </w:r>
    </w:p>
    <w:p w14:paraId="7D0A763A" w14:textId="77777777" w:rsidR="00DE1F62" w:rsidRPr="007338E1" w:rsidRDefault="00DE1F62" w:rsidP="007E50F0">
      <w:pPr>
        <w:pStyle w:val="Default"/>
        <w:ind w:left="851"/>
        <w:rPr>
          <w:color w:val="auto"/>
          <w:lang w:val="en-US"/>
        </w:rPr>
      </w:pPr>
    </w:p>
    <w:p w14:paraId="156694AC" w14:textId="77777777" w:rsidR="00DE1F62" w:rsidRPr="007338E1" w:rsidRDefault="00DE1F62" w:rsidP="007E50F0">
      <w:pPr>
        <w:pStyle w:val="Default"/>
        <w:ind w:left="851"/>
        <w:rPr>
          <w:color w:val="auto"/>
          <w:u w:val="single"/>
          <w:lang w:val="en-US"/>
        </w:rPr>
      </w:pPr>
      <w:r w:rsidRPr="007338E1">
        <w:rPr>
          <w:color w:val="auto"/>
          <w:u w:val="single"/>
          <w:lang w:val="en-US"/>
        </w:rPr>
        <w:t xml:space="preserve">Elimination </w:t>
      </w:r>
    </w:p>
    <w:p w14:paraId="1B6238DE" w14:textId="77777777" w:rsidR="00DE1F62" w:rsidRPr="007338E1" w:rsidRDefault="00DE1F62" w:rsidP="007E50F0">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is eliminated primarily by renal excretion, up to 67% of an intravenous dose administered to healthy adult volunteers was excreted in the urine, 25% of the dose was excreted via the </w:t>
      </w:r>
      <w:proofErr w:type="spellStart"/>
      <w:r w:rsidRPr="007338E1">
        <w:rPr>
          <w:color w:val="auto"/>
          <w:lang w:val="en-US"/>
        </w:rPr>
        <w:t>faeces</w:t>
      </w:r>
      <w:proofErr w:type="spellEnd"/>
      <w:r w:rsidRPr="007338E1">
        <w:rPr>
          <w:color w:val="auto"/>
          <w:lang w:val="en-US"/>
        </w:rPr>
        <w:t>. The elimination half-life, determined after intravenous administration, was approximately 45 minutes; the total blood clearance was 1.5 l/</w:t>
      </w:r>
      <w:proofErr w:type="spellStart"/>
      <w:r w:rsidRPr="007338E1">
        <w:rPr>
          <w:color w:val="auto"/>
          <w:lang w:val="en-US"/>
        </w:rPr>
        <w:t>hr</w:t>
      </w:r>
      <w:proofErr w:type="spellEnd"/>
      <w:r w:rsidRPr="007338E1">
        <w:rPr>
          <w:color w:val="auto"/>
          <w:lang w:val="en-US"/>
        </w:rPr>
        <w:t xml:space="preserve">/kg. </w:t>
      </w:r>
    </w:p>
    <w:p w14:paraId="222C60D6" w14:textId="77777777" w:rsidR="00DE1F62" w:rsidRPr="007338E1" w:rsidRDefault="00DE1F62" w:rsidP="007E50F0">
      <w:pPr>
        <w:pStyle w:val="Default"/>
        <w:ind w:left="851"/>
        <w:rPr>
          <w:color w:val="auto"/>
          <w:lang w:val="en-US"/>
        </w:rPr>
      </w:pPr>
    </w:p>
    <w:p w14:paraId="1B8BB076" w14:textId="77777777" w:rsidR="00DE1F62" w:rsidRPr="007338E1" w:rsidRDefault="00DE1F62" w:rsidP="007E50F0">
      <w:pPr>
        <w:pStyle w:val="Default"/>
        <w:ind w:left="851"/>
        <w:rPr>
          <w:color w:val="auto"/>
          <w:u w:val="single"/>
          <w:lang w:val="en-US"/>
        </w:rPr>
      </w:pPr>
      <w:r w:rsidRPr="007338E1">
        <w:rPr>
          <w:color w:val="auto"/>
          <w:u w:val="single"/>
          <w:lang w:val="en-US"/>
        </w:rPr>
        <w:t xml:space="preserve">Characteristics in elderly patients </w:t>
      </w:r>
    </w:p>
    <w:p w14:paraId="58FD539E" w14:textId="77777777" w:rsidR="00DE1F62" w:rsidRPr="007338E1" w:rsidRDefault="00DE1F62" w:rsidP="007E50F0">
      <w:pPr>
        <w:pStyle w:val="Default"/>
        <w:ind w:left="851"/>
        <w:rPr>
          <w:color w:val="auto"/>
          <w:lang w:val="en-US"/>
        </w:rPr>
      </w:pPr>
      <w:r w:rsidRPr="007338E1">
        <w:rPr>
          <w:color w:val="auto"/>
          <w:lang w:val="en-US"/>
        </w:rPr>
        <w:t xml:space="preserve">After twice daily dosing of </w:t>
      </w:r>
      <w:proofErr w:type="spellStart"/>
      <w:r w:rsidRPr="007338E1">
        <w:rPr>
          <w:color w:val="auto"/>
          <w:lang w:val="en-US"/>
        </w:rPr>
        <w:t>bimatoprost</w:t>
      </w:r>
      <w:proofErr w:type="spellEnd"/>
      <w:r w:rsidRPr="007338E1">
        <w:rPr>
          <w:color w:val="auto"/>
          <w:lang w:val="en-US"/>
        </w:rPr>
        <w:t xml:space="preserve"> 0.3 mg/ml, the mean AUC</w:t>
      </w:r>
      <w:r w:rsidRPr="007338E1">
        <w:rPr>
          <w:color w:val="auto"/>
          <w:vertAlign w:val="subscript"/>
          <w:lang w:val="en-US"/>
        </w:rPr>
        <w:t xml:space="preserve">0-24hr </w:t>
      </w:r>
      <w:r w:rsidRPr="007338E1">
        <w:rPr>
          <w:color w:val="auto"/>
          <w:lang w:val="en-US"/>
        </w:rPr>
        <w:t xml:space="preserve">value of 0.0634 </w:t>
      </w:r>
      <w:proofErr w:type="spellStart"/>
      <w:r w:rsidRPr="007338E1">
        <w:rPr>
          <w:color w:val="auto"/>
          <w:lang w:val="en-US"/>
        </w:rPr>
        <w:t>ng</w:t>
      </w:r>
      <w:r w:rsidRPr="007338E1">
        <w:rPr>
          <w:lang w:val="en-US"/>
        </w:rPr>
        <w:t>•</w:t>
      </w:r>
      <w:r w:rsidRPr="007338E1">
        <w:rPr>
          <w:color w:val="auto"/>
          <w:lang w:val="en-US"/>
        </w:rPr>
        <w:t>hr</w:t>
      </w:r>
      <w:proofErr w:type="spellEnd"/>
      <w:r w:rsidRPr="007338E1">
        <w:rPr>
          <w:color w:val="auto"/>
          <w:lang w:val="en-US"/>
        </w:rPr>
        <w:t xml:space="preserve">/ml </w:t>
      </w:r>
      <w:proofErr w:type="spellStart"/>
      <w:r w:rsidRPr="007338E1">
        <w:rPr>
          <w:color w:val="auto"/>
          <w:lang w:val="en-US"/>
        </w:rPr>
        <w:t>bimatoprost</w:t>
      </w:r>
      <w:proofErr w:type="spellEnd"/>
      <w:r w:rsidRPr="007338E1">
        <w:rPr>
          <w:color w:val="auto"/>
          <w:lang w:val="en-US"/>
        </w:rPr>
        <w:t xml:space="preserve"> in the elderly (subjects 65 years or older) were significantly higher than 0.0218 </w:t>
      </w:r>
      <w:proofErr w:type="spellStart"/>
      <w:r w:rsidRPr="007338E1">
        <w:rPr>
          <w:color w:val="auto"/>
          <w:lang w:val="en-US"/>
        </w:rPr>
        <w:t>ng</w:t>
      </w:r>
      <w:r w:rsidRPr="007338E1">
        <w:rPr>
          <w:lang w:val="en-US"/>
        </w:rPr>
        <w:t>•</w:t>
      </w:r>
      <w:r w:rsidRPr="007338E1">
        <w:rPr>
          <w:color w:val="auto"/>
          <w:lang w:val="en-US"/>
        </w:rPr>
        <w:t>hr</w:t>
      </w:r>
      <w:proofErr w:type="spellEnd"/>
      <w:r w:rsidRPr="007338E1">
        <w:rPr>
          <w:color w:val="auto"/>
          <w:lang w:val="en-US"/>
        </w:rPr>
        <w:t xml:space="preserve">/ml in young healthy adults. However, this finding is not clinically relevant as systemic exposure for both elderly and young subjects remained very low from ocular dosing. There was no accumulation of </w:t>
      </w:r>
      <w:proofErr w:type="spellStart"/>
      <w:r w:rsidRPr="007338E1">
        <w:rPr>
          <w:color w:val="auto"/>
          <w:lang w:val="en-US"/>
        </w:rPr>
        <w:t>bimatoprost</w:t>
      </w:r>
      <w:proofErr w:type="spellEnd"/>
      <w:r w:rsidRPr="007338E1">
        <w:rPr>
          <w:color w:val="auto"/>
          <w:lang w:val="en-US"/>
        </w:rPr>
        <w:t xml:space="preserve"> in the blood over time and the safety profile was similar in elderly and young patients. </w:t>
      </w:r>
    </w:p>
    <w:p w14:paraId="1E596DC7" w14:textId="77777777" w:rsidR="007C5D2A" w:rsidRPr="007338E1" w:rsidRDefault="007C5D2A" w:rsidP="003E0341">
      <w:pPr>
        <w:tabs>
          <w:tab w:val="left" w:pos="851"/>
        </w:tabs>
        <w:ind w:left="851"/>
        <w:rPr>
          <w:sz w:val="24"/>
          <w:szCs w:val="24"/>
          <w:lang w:val="en-GB"/>
        </w:rPr>
      </w:pPr>
    </w:p>
    <w:p w14:paraId="67D53E63" w14:textId="77777777" w:rsidR="007C5D2A" w:rsidRPr="007338E1" w:rsidRDefault="00180A12" w:rsidP="007C5D2A">
      <w:pPr>
        <w:tabs>
          <w:tab w:val="left" w:pos="851"/>
        </w:tabs>
        <w:ind w:left="851" w:hanging="851"/>
        <w:rPr>
          <w:b/>
          <w:sz w:val="24"/>
          <w:szCs w:val="24"/>
          <w:lang w:val="en-GB"/>
        </w:rPr>
      </w:pPr>
      <w:r w:rsidRPr="007338E1">
        <w:rPr>
          <w:b/>
          <w:sz w:val="24"/>
          <w:szCs w:val="24"/>
          <w:lang w:val="en-GB"/>
        </w:rPr>
        <w:t>5.3</w:t>
      </w:r>
      <w:r w:rsidRPr="007338E1">
        <w:rPr>
          <w:b/>
          <w:sz w:val="24"/>
          <w:szCs w:val="24"/>
          <w:lang w:val="en-GB"/>
        </w:rPr>
        <w:tab/>
        <w:t>Preclinical safety data</w:t>
      </w:r>
    </w:p>
    <w:p w14:paraId="0DEB3EA4" w14:textId="77777777" w:rsidR="00DE1F62" w:rsidRPr="007338E1" w:rsidRDefault="00DE1F62" w:rsidP="007E50F0">
      <w:pPr>
        <w:pStyle w:val="Default"/>
        <w:ind w:left="851"/>
        <w:rPr>
          <w:color w:val="auto"/>
          <w:lang w:val="en-US"/>
        </w:rPr>
      </w:pPr>
      <w:r w:rsidRPr="007338E1">
        <w:rPr>
          <w:color w:val="auto"/>
          <w:lang w:val="en-US"/>
        </w:rPr>
        <w:t xml:space="preserve">Effects in non-clinical studies were observed only at exposures considered sufficiently in excess of the maximum human exposure indicating little relevance to clinical use. </w:t>
      </w:r>
    </w:p>
    <w:p w14:paraId="14CED094" w14:textId="77777777" w:rsidR="00DE1F62" w:rsidRPr="007338E1" w:rsidRDefault="00DE1F62" w:rsidP="007E50F0">
      <w:pPr>
        <w:pStyle w:val="Default"/>
        <w:ind w:left="851"/>
        <w:rPr>
          <w:color w:val="auto"/>
          <w:lang w:val="en-US"/>
        </w:rPr>
      </w:pPr>
    </w:p>
    <w:p w14:paraId="5D247DAE" w14:textId="77777777" w:rsidR="00DE1F62" w:rsidRPr="007338E1" w:rsidRDefault="00DE1F62" w:rsidP="007E50F0">
      <w:pPr>
        <w:pStyle w:val="Default"/>
        <w:ind w:left="851"/>
        <w:rPr>
          <w:color w:val="auto"/>
          <w:lang w:val="en-US"/>
        </w:rPr>
      </w:pPr>
      <w:r w:rsidRPr="007338E1">
        <w:rPr>
          <w:color w:val="auto"/>
          <w:lang w:val="en-US"/>
        </w:rPr>
        <w:t xml:space="preserve">Monkeys administered ocular </w:t>
      </w:r>
      <w:proofErr w:type="spellStart"/>
      <w:r w:rsidRPr="007338E1">
        <w:rPr>
          <w:color w:val="auto"/>
          <w:lang w:val="en-US"/>
        </w:rPr>
        <w:t>bimatoprost</w:t>
      </w:r>
      <w:proofErr w:type="spellEnd"/>
      <w:r w:rsidRPr="007338E1">
        <w:rPr>
          <w:color w:val="auto"/>
          <w:lang w:val="en-US"/>
        </w:rPr>
        <w:t xml:space="preserve"> concentrations of ≥ 0.3 mg/ml daily for 1 year had an increase in iris pigmentation and reversible dose-related periocular effects </w:t>
      </w:r>
      <w:proofErr w:type="spellStart"/>
      <w:r w:rsidRPr="007338E1">
        <w:rPr>
          <w:color w:val="auto"/>
          <w:lang w:val="en-US"/>
        </w:rPr>
        <w:t>characterised</w:t>
      </w:r>
      <w:proofErr w:type="spellEnd"/>
      <w:r w:rsidRPr="007338E1">
        <w:rPr>
          <w:color w:val="auto"/>
          <w:lang w:val="en-US"/>
        </w:rPr>
        <w:t xml:space="preserve"> by a prominent upper and/or lower sulcus and widening of the palpebral fissure. The increased iris pigmentation appears to be caused by increased stimulation of melanin production in melanocytes and not by an increase in melanocyte number. No functional or microscopic changes related to the periocular effects have been observed, and the mechanism of action for the periocular changes is unknown. </w:t>
      </w:r>
    </w:p>
    <w:p w14:paraId="5BF653BA" w14:textId="77777777" w:rsidR="00DE1F62" w:rsidRPr="007338E1" w:rsidRDefault="00DE1F62" w:rsidP="007E50F0">
      <w:pPr>
        <w:pStyle w:val="Default"/>
        <w:ind w:left="851"/>
        <w:rPr>
          <w:color w:val="auto"/>
          <w:lang w:val="en-US"/>
        </w:rPr>
      </w:pPr>
    </w:p>
    <w:p w14:paraId="13F6E668" w14:textId="77777777" w:rsidR="00DE1F62" w:rsidRPr="007338E1" w:rsidRDefault="00DE1F62" w:rsidP="007E50F0">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was not mutagenic or carcinogenic in a series of </w:t>
      </w:r>
      <w:r w:rsidRPr="007338E1">
        <w:rPr>
          <w:i/>
          <w:iCs/>
          <w:color w:val="auto"/>
          <w:lang w:val="en-US"/>
        </w:rPr>
        <w:t xml:space="preserve">in vitro </w:t>
      </w:r>
      <w:r w:rsidRPr="007338E1">
        <w:rPr>
          <w:color w:val="auto"/>
          <w:lang w:val="en-US"/>
        </w:rPr>
        <w:t xml:space="preserve">and </w:t>
      </w:r>
      <w:r w:rsidRPr="007338E1">
        <w:rPr>
          <w:i/>
          <w:iCs/>
          <w:color w:val="auto"/>
          <w:lang w:val="en-US"/>
        </w:rPr>
        <w:t xml:space="preserve">in vivo </w:t>
      </w:r>
      <w:r w:rsidRPr="007338E1">
        <w:rPr>
          <w:color w:val="auto"/>
          <w:lang w:val="en-US"/>
        </w:rPr>
        <w:t xml:space="preserve">studies. </w:t>
      </w:r>
    </w:p>
    <w:p w14:paraId="01F1E379" w14:textId="77777777" w:rsidR="00DE1F62" w:rsidRPr="007338E1" w:rsidRDefault="00DE1F62" w:rsidP="007E50F0">
      <w:pPr>
        <w:pStyle w:val="Default"/>
        <w:ind w:left="851"/>
        <w:rPr>
          <w:color w:val="auto"/>
          <w:lang w:val="en-US"/>
        </w:rPr>
      </w:pPr>
    </w:p>
    <w:p w14:paraId="37B05B92" w14:textId="77777777" w:rsidR="00DE1F62" w:rsidRPr="007338E1" w:rsidRDefault="00DE1F62" w:rsidP="007E50F0">
      <w:pPr>
        <w:pStyle w:val="Default"/>
        <w:ind w:left="851"/>
        <w:rPr>
          <w:color w:val="auto"/>
          <w:lang w:val="en-US"/>
        </w:rPr>
      </w:pPr>
      <w:proofErr w:type="spellStart"/>
      <w:r w:rsidRPr="007338E1">
        <w:rPr>
          <w:color w:val="auto"/>
          <w:lang w:val="en-US"/>
        </w:rPr>
        <w:t>Bimatoprost</w:t>
      </w:r>
      <w:proofErr w:type="spellEnd"/>
      <w:r w:rsidRPr="007338E1">
        <w:rPr>
          <w:color w:val="auto"/>
          <w:lang w:val="en-US"/>
        </w:rPr>
        <w:t xml:space="preserve"> did not impair fertility in rats up to doses of 0.6 mg/kg/day (at least 103-times the intended human exposure). In embryo/</w:t>
      </w:r>
      <w:proofErr w:type="spellStart"/>
      <w:r w:rsidRPr="007338E1">
        <w:rPr>
          <w:color w:val="auto"/>
          <w:lang w:val="en-US"/>
        </w:rPr>
        <w:t>foetal</w:t>
      </w:r>
      <w:proofErr w:type="spellEnd"/>
      <w:r w:rsidRPr="007338E1">
        <w:rPr>
          <w:color w:val="auto"/>
          <w:lang w:val="en-US"/>
        </w:rPr>
        <w:t xml:space="preserve"> developmental studies abortion, but no developmental effects were seen in mice and rats at doses that were at least 860-times or 1700-times higher than the dose in humans, respectively. These doses resulted in systemic exposures of at least 33- or 97-times higher, respectively, than the intended human exposure. In rat peri/postnatal studies, maternal toxicity caused reduced gestation time, </w:t>
      </w:r>
      <w:proofErr w:type="spellStart"/>
      <w:r w:rsidRPr="007338E1">
        <w:rPr>
          <w:color w:val="auto"/>
          <w:lang w:val="en-US"/>
        </w:rPr>
        <w:t>foetal</w:t>
      </w:r>
      <w:proofErr w:type="spellEnd"/>
      <w:r w:rsidRPr="007338E1">
        <w:rPr>
          <w:color w:val="auto"/>
          <w:lang w:val="en-US"/>
        </w:rPr>
        <w:t xml:space="preserve"> death, and decreased pup body weights at ≥ 0.3 mg/kg/day (at least 41-times the intended human exposure). </w:t>
      </w:r>
      <w:proofErr w:type="spellStart"/>
      <w:r w:rsidRPr="007338E1">
        <w:rPr>
          <w:color w:val="auto"/>
          <w:lang w:val="en-US"/>
        </w:rPr>
        <w:t>Neurobehavioural</w:t>
      </w:r>
      <w:proofErr w:type="spellEnd"/>
      <w:r w:rsidRPr="007338E1">
        <w:rPr>
          <w:color w:val="auto"/>
          <w:lang w:val="en-US"/>
        </w:rPr>
        <w:t xml:space="preserve"> functions of offspring were not affected. </w:t>
      </w:r>
    </w:p>
    <w:p w14:paraId="49EEB469" w14:textId="77777777" w:rsidR="007C5D2A" w:rsidRPr="007338E1" w:rsidRDefault="007C5D2A" w:rsidP="003E0341">
      <w:pPr>
        <w:tabs>
          <w:tab w:val="left" w:pos="851"/>
        </w:tabs>
        <w:ind w:left="851"/>
        <w:rPr>
          <w:sz w:val="24"/>
          <w:szCs w:val="24"/>
          <w:lang w:val="en-GB"/>
        </w:rPr>
      </w:pPr>
    </w:p>
    <w:p w14:paraId="658BF317" w14:textId="0F266A9B" w:rsidR="00F65505" w:rsidRDefault="00F65505">
      <w:pPr>
        <w:rPr>
          <w:sz w:val="24"/>
          <w:szCs w:val="24"/>
          <w:lang w:val="en-GB"/>
        </w:rPr>
      </w:pPr>
      <w:r>
        <w:rPr>
          <w:sz w:val="24"/>
          <w:szCs w:val="24"/>
          <w:lang w:val="en-GB"/>
        </w:rPr>
        <w:br w:type="page"/>
      </w:r>
    </w:p>
    <w:p w14:paraId="4FD4649F" w14:textId="77777777" w:rsidR="007C5D2A" w:rsidRPr="007338E1" w:rsidRDefault="007C5D2A" w:rsidP="003E0341">
      <w:pPr>
        <w:tabs>
          <w:tab w:val="left" w:pos="851"/>
        </w:tabs>
        <w:ind w:left="851"/>
        <w:rPr>
          <w:sz w:val="24"/>
          <w:szCs w:val="24"/>
          <w:lang w:val="en-GB"/>
        </w:rPr>
      </w:pPr>
      <w:bookmarkStart w:id="2" w:name="_GoBack"/>
      <w:bookmarkEnd w:id="2"/>
    </w:p>
    <w:p w14:paraId="44F9961E" w14:textId="77777777" w:rsidR="007C5D2A" w:rsidRPr="007338E1" w:rsidRDefault="009925C9" w:rsidP="007C5D2A">
      <w:pPr>
        <w:ind w:left="851" w:hanging="851"/>
        <w:rPr>
          <w:b/>
          <w:sz w:val="24"/>
          <w:szCs w:val="24"/>
          <w:lang w:val="en-GB"/>
        </w:rPr>
      </w:pPr>
      <w:r w:rsidRPr="007338E1">
        <w:rPr>
          <w:b/>
          <w:sz w:val="24"/>
          <w:szCs w:val="24"/>
          <w:lang w:val="en-GB"/>
        </w:rPr>
        <w:t>6.</w:t>
      </w:r>
      <w:r w:rsidR="007C5D2A" w:rsidRPr="007338E1">
        <w:rPr>
          <w:b/>
          <w:sz w:val="24"/>
          <w:szCs w:val="24"/>
          <w:lang w:val="en-GB"/>
        </w:rPr>
        <w:tab/>
        <w:t>PHARMACEUTICAL PARTICULARS</w:t>
      </w:r>
    </w:p>
    <w:p w14:paraId="3600D1CB" w14:textId="77777777" w:rsidR="007C5D2A" w:rsidRPr="007338E1" w:rsidRDefault="007C5D2A" w:rsidP="003E0341">
      <w:pPr>
        <w:tabs>
          <w:tab w:val="left" w:pos="851"/>
        </w:tabs>
        <w:ind w:left="851"/>
        <w:rPr>
          <w:sz w:val="24"/>
          <w:szCs w:val="24"/>
          <w:lang w:val="en-GB"/>
        </w:rPr>
      </w:pPr>
    </w:p>
    <w:p w14:paraId="587D2ADE" w14:textId="77777777" w:rsidR="007C5D2A" w:rsidRPr="007338E1" w:rsidRDefault="007C5D2A" w:rsidP="007C5D2A">
      <w:pPr>
        <w:ind w:left="851" w:hanging="851"/>
        <w:rPr>
          <w:b/>
          <w:sz w:val="24"/>
          <w:szCs w:val="24"/>
          <w:lang w:val="en-GB"/>
        </w:rPr>
      </w:pPr>
      <w:r w:rsidRPr="007338E1">
        <w:rPr>
          <w:b/>
          <w:sz w:val="24"/>
          <w:szCs w:val="24"/>
          <w:lang w:val="en-GB"/>
        </w:rPr>
        <w:t>6.1</w:t>
      </w:r>
      <w:r w:rsidRPr="007338E1">
        <w:rPr>
          <w:b/>
          <w:sz w:val="24"/>
          <w:szCs w:val="24"/>
          <w:lang w:val="en-GB"/>
        </w:rPr>
        <w:tab/>
        <w:t>List of excipients</w:t>
      </w:r>
    </w:p>
    <w:p w14:paraId="09987984" w14:textId="77777777" w:rsidR="00DE1F62" w:rsidRPr="00437FC1" w:rsidRDefault="00DE1F62" w:rsidP="007E50F0">
      <w:pPr>
        <w:pStyle w:val="Default"/>
        <w:ind w:left="851"/>
        <w:rPr>
          <w:lang w:val="da-DK"/>
        </w:rPr>
      </w:pPr>
      <w:proofErr w:type="spellStart"/>
      <w:r w:rsidRPr="00437FC1">
        <w:rPr>
          <w:lang w:val="da-DK"/>
        </w:rPr>
        <w:t>Sodium</w:t>
      </w:r>
      <w:proofErr w:type="spellEnd"/>
      <w:r w:rsidRPr="00437FC1">
        <w:rPr>
          <w:lang w:val="da-DK"/>
        </w:rPr>
        <w:t xml:space="preserve"> </w:t>
      </w:r>
      <w:proofErr w:type="spellStart"/>
      <w:r w:rsidRPr="00437FC1">
        <w:rPr>
          <w:lang w:val="da-DK"/>
        </w:rPr>
        <w:t>chloride</w:t>
      </w:r>
      <w:proofErr w:type="spellEnd"/>
      <w:r w:rsidRPr="00437FC1">
        <w:rPr>
          <w:lang w:val="da-DK"/>
        </w:rPr>
        <w:t xml:space="preserve"> </w:t>
      </w:r>
    </w:p>
    <w:p w14:paraId="397A63C4" w14:textId="77777777" w:rsidR="00DE1F62" w:rsidRPr="00437FC1" w:rsidRDefault="00DE1F62" w:rsidP="007E50F0">
      <w:pPr>
        <w:pStyle w:val="Default"/>
        <w:ind w:left="851"/>
        <w:rPr>
          <w:lang w:val="da-DK"/>
        </w:rPr>
      </w:pPr>
      <w:proofErr w:type="spellStart"/>
      <w:r w:rsidRPr="00437FC1">
        <w:rPr>
          <w:lang w:val="da-DK"/>
        </w:rPr>
        <w:lastRenderedPageBreak/>
        <w:t>Disodium</w:t>
      </w:r>
      <w:proofErr w:type="spellEnd"/>
      <w:r w:rsidRPr="00437FC1">
        <w:rPr>
          <w:lang w:val="da-DK"/>
        </w:rPr>
        <w:t xml:space="preserve"> hydrogen </w:t>
      </w:r>
      <w:proofErr w:type="spellStart"/>
      <w:r w:rsidRPr="00437FC1">
        <w:rPr>
          <w:lang w:val="da-DK"/>
        </w:rPr>
        <w:t>phosphate</w:t>
      </w:r>
      <w:proofErr w:type="spellEnd"/>
      <w:r w:rsidRPr="00437FC1">
        <w:rPr>
          <w:lang w:val="da-DK"/>
        </w:rPr>
        <w:t xml:space="preserve"> </w:t>
      </w:r>
      <w:proofErr w:type="spellStart"/>
      <w:r w:rsidRPr="00437FC1">
        <w:rPr>
          <w:lang w:val="da-DK"/>
        </w:rPr>
        <w:t>heptahydrate</w:t>
      </w:r>
      <w:proofErr w:type="spellEnd"/>
      <w:r w:rsidRPr="00437FC1">
        <w:rPr>
          <w:lang w:val="da-DK"/>
        </w:rPr>
        <w:t xml:space="preserve"> </w:t>
      </w:r>
    </w:p>
    <w:p w14:paraId="2752337E" w14:textId="77777777" w:rsidR="00DE1F62" w:rsidRPr="007338E1" w:rsidRDefault="00DE1F62" w:rsidP="007E50F0">
      <w:pPr>
        <w:pStyle w:val="Default"/>
        <w:ind w:left="851"/>
        <w:rPr>
          <w:color w:val="auto"/>
          <w:lang w:val="en-US"/>
        </w:rPr>
      </w:pPr>
      <w:r w:rsidRPr="007338E1">
        <w:rPr>
          <w:color w:val="auto"/>
          <w:lang w:val="en-US"/>
        </w:rPr>
        <w:t>Citric acid monohydrate</w:t>
      </w:r>
    </w:p>
    <w:p w14:paraId="178E21B9" w14:textId="77777777" w:rsidR="00DE1F62" w:rsidRPr="007338E1" w:rsidRDefault="00DE1F62" w:rsidP="007E50F0">
      <w:pPr>
        <w:pStyle w:val="Default"/>
        <w:ind w:left="851"/>
        <w:rPr>
          <w:lang w:val="en-US"/>
        </w:rPr>
      </w:pPr>
      <w:r w:rsidRPr="007338E1">
        <w:rPr>
          <w:lang w:val="en-US"/>
        </w:rPr>
        <w:t>Hydrochloric acid or sodium hydroxide (to adjust pH)</w:t>
      </w:r>
    </w:p>
    <w:p w14:paraId="42B06B7B" w14:textId="77777777" w:rsidR="00DE1F62" w:rsidRPr="007338E1" w:rsidRDefault="00DE1F62" w:rsidP="007E50F0">
      <w:pPr>
        <w:pStyle w:val="Default"/>
        <w:ind w:left="851"/>
        <w:rPr>
          <w:lang w:val="en-US"/>
        </w:rPr>
      </w:pPr>
      <w:r w:rsidRPr="007338E1">
        <w:rPr>
          <w:lang w:val="en-US"/>
        </w:rPr>
        <w:t>Water for injection</w:t>
      </w:r>
    </w:p>
    <w:p w14:paraId="0C0F67EA" w14:textId="77777777" w:rsidR="007C5D2A" w:rsidRPr="007338E1" w:rsidRDefault="007C5D2A" w:rsidP="003D727E">
      <w:pPr>
        <w:tabs>
          <w:tab w:val="left" w:pos="851"/>
        </w:tabs>
        <w:ind w:left="851"/>
        <w:rPr>
          <w:sz w:val="24"/>
          <w:szCs w:val="24"/>
          <w:lang w:val="en-GB"/>
        </w:rPr>
      </w:pPr>
    </w:p>
    <w:p w14:paraId="461223A5" w14:textId="77777777" w:rsidR="007C5D2A" w:rsidRPr="007338E1" w:rsidRDefault="007C5D2A" w:rsidP="007C5D2A">
      <w:pPr>
        <w:ind w:left="851" w:hanging="851"/>
        <w:rPr>
          <w:b/>
          <w:sz w:val="24"/>
          <w:szCs w:val="24"/>
          <w:lang w:val="en-GB"/>
        </w:rPr>
      </w:pPr>
      <w:r w:rsidRPr="007338E1">
        <w:rPr>
          <w:b/>
          <w:sz w:val="24"/>
          <w:szCs w:val="24"/>
          <w:lang w:val="en-GB"/>
        </w:rPr>
        <w:t>6.2</w:t>
      </w:r>
      <w:r w:rsidRPr="007338E1">
        <w:rPr>
          <w:b/>
          <w:sz w:val="24"/>
          <w:szCs w:val="24"/>
          <w:lang w:val="en-GB"/>
        </w:rPr>
        <w:tab/>
        <w:t>Incompatibilities</w:t>
      </w:r>
    </w:p>
    <w:p w14:paraId="2AFE0FEB" w14:textId="77777777" w:rsidR="00DE1F62" w:rsidRPr="007338E1" w:rsidRDefault="00DE1F62" w:rsidP="007E50F0">
      <w:pPr>
        <w:pStyle w:val="Default"/>
        <w:ind w:left="851"/>
        <w:rPr>
          <w:color w:val="auto"/>
          <w:lang w:val="en-US"/>
        </w:rPr>
      </w:pPr>
      <w:r w:rsidRPr="007338E1">
        <w:rPr>
          <w:color w:val="auto"/>
          <w:lang w:val="en-US"/>
        </w:rPr>
        <w:t xml:space="preserve">Not applicable. </w:t>
      </w:r>
    </w:p>
    <w:p w14:paraId="11390683" w14:textId="77777777" w:rsidR="007C5D2A" w:rsidRPr="007338E1" w:rsidRDefault="007C5D2A" w:rsidP="003E0341">
      <w:pPr>
        <w:tabs>
          <w:tab w:val="left" w:pos="851"/>
        </w:tabs>
        <w:ind w:left="851"/>
        <w:rPr>
          <w:sz w:val="24"/>
          <w:szCs w:val="24"/>
          <w:lang w:val="en-GB"/>
        </w:rPr>
      </w:pPr>
    </w:p>
    <w:p w14:paraId="53BB88FC" w14:textId="77777777" w:rsidR="007C5D2A" w:rsidRPr="007338E1" w:rsidRDefault="007C5D2A" w:rsidP="007C5D2A">
      <w:pPr>
        <w:ind w:left="851" w:hanging="851"/>
        <w:rPr>
          <w:b/>
          <w:sz w:val="24"/>
          <w:szCs w:val="24"/>
          <w:lang w:val="en-GB"/>
        </w:rPr>
      </w:pPr>
      <w:r w:rsidRPr="007338E1">
        <w:rPr>
          <w:b/>
          <w:sz w:val="24"/>
          <w:szCs w:val="24"/>
          <w:lang w:val="en-GB"/>
        </w:rPr>
        <w:t>6.3</w:t>
      </w:r>
      <w:r w:rsidRPr="007338E1">
        <w:rPr>
          <w:b/>
          <w:sz w:val="24"/>
          <w:szCs w:val="24"/>
          <w:lang w:val="en-GB"/>
        </w:rPr>
        <w:tab/>
        <w:t>Shelf</w:t>
      </w:r>
      <w:r w:rsidR="00FD652E" w:rsidRPr="007338E1">
        <w:rPr>
          <w:b/>
          <w:sz w:val="24"/>
          <w:szCs w:val="24"/>
          <w:lang w:val="en-GB"/>
        </w:rPr>
        <w:t>-</w:t>
      </w:r>
      <w:r w:rsidRPr="007338E1">
        <w:rPr>
          <w:b/>
          <w:sz w:val="24"/>
          <w:szCs w:val="24"/>
          <w:lang w:val="en-GB"/>
        </w:rPr>
        <w:t>life</w:t>
      </w:r>
    </w:p>
    <w:p w14:paraId="67CAABCB" w14:textId="77777777" w:rsidR="00DE1F62" w:rsidRPr="007338E1" w:rsidRDefault="00DE1F62" w:rsidP="007E50F0">
      <w:pPr>
        <w:pStyle w:val="Default"/>
        <w:ind w:left="851"/>
        <w:rPr>
          <w:color w:val="auto"/>
          <w:lang w:val="en-US"/>
        </w:rPr>
      </w:pPr>
      <w:r w:rsidRPr="007338E1">
        <w:rPr>
          <w:color w:val="auto"/>
          <w:lang w:val="en-US"/>
        </w:rPr>
        <w:t>2 years</w:t>
      </w:r>
    </w:p>
    <w:p w14:paraId="652D74EB" w14:textId="77777777" w:rsidR="00DE1F62" w:rsidRPr="007338E1" w:rsidRDefault="00DE1F62" w:rsidP="007E50F0">
      <w:pPr>
        <w:pStyle w:val="Default"/>
        <w:ind w:left="851"/>
        <w:rPr>
          <w:color w:val="auto"/>
          <w:lang w:val="en-US"/>
        </w:rPr>
      </w:pPr>
      <w:r w:rsidRPr="007338E1">
        <w:rPr>
          <w:color w:val="auto"/>
          <w:lang w:val="en-US"/>
        </w:rPr>
        <w:t xml:space="preserve">4 weeks after first opening. </w:t>
      </w:r>
    </w:p>
    <w:p w14:paraId="2A3BAF96" w14:textId="77777777" w:rsidR="007C5D2A" w:rsidRPr="007338E1" w:rsidRDefault="007C5D2A" w:rsidP="003E0341">
      <w:pPr>
        <w:tabs>
          <w:tab w:val="left" w:pos="851"/>
        </w:tabs>
        <w:ind w:left="851"/>
        <w:rPr>
          <w:sz w:val="24"/>
          <w:szCs w:val="24"/>
          <w:lang w:val="en-GB"/>
        </w:rPr>
      </w:pPr>
    </w:p>
    <w:p w14:paraId="4ECBD2F3" w14:textId="77777777" w:rsidR="007C5D2A" w:rsidRPr="007338E1" w:rsidRDefault="007C5D2A" w:rsidP="007C5D2A">
      <w:pPr>
        <w:ind w:left="851" w:hanging="851"/>
        <w:rPr>
          <w:b/>
          <w:sz w:val="24"/>
          <w:szCs w:val="24"/>
          <w:lang w:val="en-GB"/>
        </w:rPr>
      </w:pPr>
      <w:r w:rsidRPr="007338E1">
        <w:rPr>
          <w:b/>
          <w:sz w:val="24"/>
          <w:szCs w:val="24"/>
          <w:lang w:val="en-GB"/>
        </w:rPr>
        <w:t>6.4</w:t>
      </w:r>
      <w:r w:rsidRPr="007338E1">
        <w:rPr>
          <w:b/>
          <w:sz w:val="24"/>
          <w:szCs w:val="24"/>
          <w:lang w:val="en-GB"/>
        </w:rPr>
        <w:tab/>
        <w:t>Special precautions for storage</w:t>
      </w:r>
    </w:p>
    <w:p w14:paraId="4AD209E7" w14:textId="77777777" w:rsidR="00DE1F62" w:rsidRPr="007338E1" w:rsidRDefault="00DE1F62" w:rsidP="007E50F0">
      <w:pPr>
        <w:pStyle w:val="Default"/>
        <w:ind w:left="851"/>
        <w:rPr>
          <w:color w:val="auto"/>
          <w:lang w:val="en-US"/>
        </w:rPr>
      </w:pPr>
      <w:r w:rsidRPr="007338E1">
        <w:rPr>
          <w:color w:val="auto"/>
          <w:lang w:val="en-US"/>
        </w:rPr>
        <w:t xml:space="preserve">This medicinal product does not require any special storage conditions. </w:t>
      </w:r>
    </w:p>
    <w:p w14:paraId="54516D5A" w14:textId="77777777" w:rsidR="007C5D2A" w:rsidRPr="007338E1" w:rsidRDefault="007C5D2A" w:rsidP="003E0341">
      <w:pPr>
        <w:tabs>
          <w:tab w:val="left" w:pos="851"/>
        </w:tabs>
        <w:ind w:left="851"/>
        <w:rPr>
          <w:sz w:val="24"/>
          <w:szCs w:val="24"/>
          <w:lang w:val="en-GB"/>
        </w:rPr>
      </w:pPr>
    </w:p>
    <w:p w14:paraId="52DCF12F" w14:textId="77777777" w:rsidR="007C5D2A" w:rsidRPr="007338E1" w:rsidRDefault="007C5D2A" w:rsidP="007C5D2A">
      <w:pPr>
        <w:ind w:left="851" w:hanging="851"/>
        <w:rPr>
          <w:b/>
          <w:sz w:val="24"/>
          <w:szCs w:val="24"/>
          <w:lang w:val="en-GB"/>
        </w:rPr>
      </w:pPr>
      <w:r w:rsidRPr="007338E1">
        <w:rPr>
          <w:b/>
          <w:sz w:val="24"/>
          <w:szCs w:val="24"/>
          <w:lang w:val="en-GB"/>
        </w:rPr>
        <w:t>6.5</w:t>
      </w:r>
      <w:r w:rsidRPr="007338E1">
        <w:rPr>
          <w:b/>
          <w:sz w:val="24"/>
          <w:szCs w:val="24"/>
          <w:lang w:val="en-GB"/>
        </w:rPr>
        <w:tab/>
        <w:t>Nature and contents of container</w:t>
      </w:r>
    </w:p>
    <w:p w14:paraId="2BA29291" w14:textId="77777777" w:rsidR="00DE1F62" w:rsidRPr="007338E1" w:rsidRDefault="00DE1F62" w:rsidP="007E50F0">
      <w:pPr>
        <w:pStyle w:val="Default"/>
        <w:ind w:left="851"/>
        <w:rPr>
          <w:rFonts w:eastAsia="Calibri"/>
          <w:color w:val="auto"/>
          <w:lang w:val="en-US"/>
        </w:rPr>
      </w:pPr>
      <w:r w:rsidRPr="007338E1">
        <w:rPr>
          <w:rFonts w:eastAsia="Calibri"/>
          <w:color w:val="auto"/>
          <w:lang w:val="en-US"/>
        </w:rPr>
        <w:t xml:space="preserve">White opaque 5 ml LDPE bottle and white </w:t>
      </w:r>
      <w:proofErr w:type="spellStart"/>
      <w:r w:rsidRPr="007338E1">
        <w:rPr>
          <w:rFonts w:eastAsia="Calibri"/>
          <w:color w:val="auto"/>
          <w:lang w:val="en-US"/>
        </w:rPr>
        <w:t>Novelia</w:t>
      </w:r>
      <w:proofErr w:type="spellEnd"/>
      <w:r w:rsidRPr="007338E1">
        <w:rPr>
          <w:rFonts w:eastAsia="Calibri"/>
          <w:color w:val="auto"/>
          <w:lang w:val="en-US"/>
        </w:rPr>
        <w:t xml:space="preserve"> nozzle (HDPE and silicone) with a </w:t>
      </w:r>
      <w:r w:rsidRPr="007338E1">
        <w:rPr>
          <w:bCs/>
          <w:color w:val="auto"/>
          <w:lang w:val="en-US"/>
        </w:rPr>
        <w:t>blue tip</w:t>
      </w:r>
      <w:r w:rsidRPr="007338E1">
        <w:rPr>
          <w:rFonts w:eastAsia="Calibri"/>
          <w:color w:val="auto"/>
          <w:lang w:val="en-US"/>
        </w:rPr>
        <w:t xml:space="preserve"> </w:t>
      </w:r>
      <w:r w:rsidRPr="007338E1">
        <w:rPr>
          <w:bCs/>
          <w:color w:val="auto"/>
          <w:lang w:val="en-US"/>
        </w:rPr>
        <w:t>and sealed with a white HDPE cap</w:t>
      </w:r>
      <w:r w:rsidRPr="007338E1">
        <w:rPr>
          <w:rFonts w:eastAsia="Calibri"/>
          <w:color w:val="auto"/>
          <w:lang w:val="en-US"/>
        </w:rPr>
        <w:t xml:space="preserve">. </w:t>
      </w:r>
    </w:p>
    <w:p w14:paraId="16DD9A2C" w14:textId="77777777" w:rsidR="00DE1F62" w:rsidRPr="007338E1" w:rsidRDefault="00DE1F62" w:rsidP="007E50F0">
      <w:pPr>
        <w:pStyle w:val="Default"/>
        <w:ind w:left="851"/>
        <w:rPr>
          <w:color w:val="auto"/>
          <w:lang w:val="en-US"/>
        </w:rPr>
      </w:pPr>
    </w:p>
    <w:p w14:paraId="4E704720" w14:textId="77777777" w:rsidR="00DE1F62" w:rsidRPr="007338E1" w:rsidRDefault="00DE1F62" w:rsidP="007E50F0">
      <w:pPr>
        <w:pStyle w:val="Default"/>
        <w:ind w:left="851"/>
        <w:rPr>
          <w:color w:val="auto"/>
          <w:lang w:val="en-US"/>
        </w:rPr>
      </w:pPr>
      <w:r w:rsidRPr="007338E1">
        <w:rPr>
          <w:color w:val="auto"/>
          <w:lang w:val="en-US"/>
        </w:rPr>
        <w:t xml:space="preserve">The following pack sizes are available: cartons containing 1 and 3 bottles of 3 ml solution. </w:t>
      </w:r>
    </w:p>
    <w:p w14:paraId="446578DB" w14:textId="77777777" w:rsidR="00DE1F62" w:rsidRPr="007338E1" w:rsidRDefault="00DE1F62" w:rsidP="007E50F0">
      <w:pPr>
        <w:pStyle w:val="Default"/>
        <w:ind w:left="851"/>
        <w:rPr>
          <w:color w:val="auto"/>
          <w:lang w:val="en-US"/>
        </w:rPr>
      </w:pPr>
    </w:p>
    <w:p w14:paraId="03DA486C" w14:textId="77777777" w:rsidR="00DE1F62" w:rsidRPr="007338E1" w:rsidRDefault="00DE1F62" w:rsidP="007E50F0">
      <w:pPr>
        <w:pStyle w:val="Default"/>
        <w:ind w:left="851"/>
        <w:rPr>
          <w:color w:val="auto"/>
          <w:lang w:val="en-US"/>
        </w:rPr>
      </w:pPr>
      <w:r w:rsidRPr="007338E1">
        <w:rPr>
          <w:color w:val="auto"/>
          <w:lang w:val="en-US"/>
        </w:rPr>
        <w:t xml:space="preserve">Not all pack sizes may be marketed. </w:t>
      </w:r>
    </w:p>
    <w:p w14:paraId="6068DE08" w14:textId="77777777" w:rsidR="007C5D2A" w:rsidRPr="007338E1" w:rsidRDefault="007C5D2A" w:rsidP="003E0341">
      <w:pPr>
        <w:tabs>
          <w:tab w:val="left" w:pos="851"/>
        </w:tabs>
        <w:ind w:left="851"/>
        <w:rPr>
          <w:sz w:val="24"/>
          <w:szCs w:val="24"/>
          <w:lang w:val="en-GB"/>
        </w:rPr>
      </w:pPr>
    </w:p>
    <w:p w14:paraId="321AD5BD" w14:textId="77777777" w:rsidR="007C5D2A" w:rsidRPr="007338E1" w:rsidRDefault="007C5D2A" w:rsidP="007C5D2A">
      <w:pPr>
        <w:ind w:left="851" w:hanging="851"/>
        <w:rPr>
          <w:b/>
          <w:sz w:val="24"/>
          <w:szCs w:val="24"/>
          <w:lang w:val="en-GB"/>
        </w:rPr>
      </w:pPr>
      <w:r w:rsidRPr="007338E1">
        <w:rPr>
          <w:b/>
          <w:sz w:val="24"/>
          <w:szCs w:val="24"/>
          <w:lang w:val="en-GB"/>
        </w:rPr>
        <w:t>6.6</w:t>
      </w:r>
      <w:r w:rsidRPr="007338E1">
        <w:rPr>
          <w:b/>
          <w:sz w:val="24"/>
          <w:szCs w:val="24"/>
          <w:lang w:val="en-GB"/>
        </w:rPr>
        <w:tab/>
        <w:t>Special precautions for disposal and other handling</w:t>
      </w:r>
    </w:p>
    <w:p w14:paraId="2F65D453" w14:textId="77777777" w:rsidR="00DE1F62" w:rsidRPr="007338E1" w:rsidRDefault="00DE1F62" w:rsidP="007E50F0">
      <w:pPr>
        <w:pStyle w:val="Default"/>
        <w:ind w:left="851"/>
        <w:rPr>
          <w:color w:val="auto"/>
          <w:lang w:val="en-US"/>
        </w:rPr>
      </w:pPr>
      <w:r w:rsidRPr="007338E1">
        <w:rPr>
          <w:color w:val="auto"/>
          <w:lang w:val="en-US"/>
        </w:rPr>
        <w:t xml:space="preserve">No special requirements for disposal. </w:t>
      </w:r>
    </w:p>
    <w:p w14:paraId="266DDEFE" w14:textId="77777777" w:rsidR="007C5D2A" w:rsidRPr="007338E1" w:rsidRDefault="007C5D2A" w:rsidP="003E0341">
      <w:pPr>
        <w:tabs>
          <w:tab w:val="left" w:pos="851"/>
        </w:tabs>
        <w:ind w:left="851"/>
        <w:jc w:val="both"/>
        <w:rPr>
          <w:sz w:val="24"/>
          <w:szCs w:val="24"/>
          <w:lang w:val="en-GB"/>
        </w:rPr>
      </w:pPr>
    </w:p>
    <w:p w14:paraId="6010894B" w14:textId="77777777" w:rsidR="007C5D2A" w:rsidRPr="007338E1" w:rsidRDefault="007C5D2A" w:rsidP="007C5D2A">
      <w:pPr>
        <w:tabs>
          <w:tab w:val="left" w:pos="851"/>
        </w:tabs>
        <w:ind w:left="851" w:hanging="851"/>
        <w:jc w:val="both"/>
        <w:rPr>
          <w:b/>
          <w:sz w:val="24"/>
          <w:szCs w:val="24"/>
          <w:lang w:val="en-GB"/>
        </w:rPr>
      </w:pPr>
      <w:r w:rsidRPr="007338E1">
        <w:rPr>
          <w:b/>
          <w:sz w:val="24"/>
          <w:szCs w:val="24"/>
          <w:lang w:val="en-GB"/>
        </w:rPr>
        <w:t>7.</w:t>
      </w:r>
      <w:r w:rsidRPr="007338E1">
        <w:rPr>
          <w:b/>
          <w:sz w:val="24"/>
          <w:szCs w:val="24"/>
          <w:lang w:val="en-GB"/>
        </w:rPr>
        <w:tab/>
        <w:t>MARKETING AUTHORISATION HOLDER</w:t>
      </w:r>
    </w:p>
    <w:p w14:paraId="029AB87C" w14:textId="247B5F3B" w:rsidR="009723F4" w:rsidRPr="007338E1" w:rsidRDefault="009723F4" w:rsidP="009723F4">
      <w:pPr>
        <w:ind w:left="851"/>
        <w:jc w:val="both"/>
        <w:rPr>
          <w:sz w:val="24"/>
          <w:szCs w:val="24"/>
          <w:lang w:val="en-US"/>
        </w:rPr>
      </w:pPr>
      <w:r w:rsidRPr="007338E1">
        <w:rPr>
          <w:sz w:val="24"/>
          <w:szCs w:val="24"/>
          <w:lang w:val="en-US"/>
        </w:rPr>
        <w:t xml:space="preserve">Bausch </w:t>
      </w:r>
      <w:r w:rsidR="000416BA">
        <w:rPr>
          <w:sz w:val="24"/>
          <w:szCs w:val="24"/>
          <w:lang w:val="en-US"/>
        </w:rPr>
        <w:t xml:space="preserve">+ Lomb </w:t>
      </w:r>
      <w:r w:rsidRPr="007338E1">
        <w:rPr>
          <w:sz w:val="24"/>
          <w:szCs w:val="24"/>
          <w:lang w:val="en-US"/>
        </w:rPr>
        <w:t>Ireland Limited</w:t>
      </w:r>
    </w:p>
    <w:p w14:paraId="04A41C55" w14:textId="77777777" w:rsidR="009723F4" w:rsidRPr="007338E1" w:rsidRDefault="009723F4" w:rsidP="009723F4">
      <w:pPr>
        <w:ind w:left="851"/>
        <w:jc w:val="both"/>
        <w:rPr>
          <w:sz w:val="24"/>
          <w:szCs w:val="24"/>
          <w:lang w:val="en-US"/>
        </w:rPr>
      </w:pPr>
      <w:r w:rsidRPr="007338E1">
        <w:rPr>
          <w:sz w:val="24"/>
          <w:szCs w:val="24"/>
          <w:lang w:val="en-US"/>
        </w:rPr>
        <w:t>3013 Lake Drive</w:t>
      </w:r>
    </w:p>
    <w:p w14:paraId="26DF8D99" w14:textId="77777777" w:rsidR="009723F4" w:rsidRPr="007338E1" w:rsidRDefault="009723F4" w:rsidP="009723F4">
      <w:pPr>
        <w:ind w:left="851"/>
        <w:jc w:val="both"/>
        <w:rPr>
          <w:sz w:val="24"/>
          <w:szCs w:val="24"/>
          <w:lang w:val="en-US"/>
        </w:rPr>
      </w:pPr>
      <w:r w:rsidRPr="007338E1">
        <w:rPr>
          <w:sz w:val="24"/>
          <w:szCs w:val="24"/>
          <w:lang w:val="en-US"/>
        </w:rPr>
        <w:t>Citywest Business Campus</w:t>
      </w:r>
    </w:p>
    <w:p w14:paraId="6947F133" w14:textId="77777777" w:rsidR="009723F4" w:rsidRPr="007338E1" w:rsidRDefault="009723F4" w:rsidP="009723F4">
      <w:pPr>
        <w:ind w:left="851"/>
        <w:jc w:val="both"/>
        <w:rPr>
          <w:sz w:val="24"/>
          <w:szCs w:val="24"/>
          <w:lang w:val="en-US"/>
        </w:rPr>
      </w:pPr>
      <w:r w:rsidRPr="007338E1">
        <w:rPr>
          <w:sz w:val="24"/>
          <w:szCs w:val="24"/>
          <w:lang w:val="en-US"/>
        </w:rPr>
        <w:t>Dublin 24, D24PPT3</w:t>
      </w:r>
    </w:p>
    <w:p w14:paraId="07FD1F30" w14:textId="77777777" w:rsidR="009723F4" w:rsidRPr="007338E1" w:rsidRDefault="009723F4" w:rsidP="009723F4">
      <w:pPr>
        <w:ind w:left="851"/>
        <w:rPr>
          <w:sz w:val="24"/>
          <w:szCs w:val="24"/>
          <w:lang w:val="en-US"/>
        </w:rPr>
      </w:pPr>
      <w:proofErr w:type="spellStart"/>
      <w:r w:rsidRPr="007338E1">
        <w:rPr>
          <w:sz w:val="24"/>
          <w:szCs w:val="24"/>
          <w:lang w:val="en-US"/>
        </w:rPr>
        <w:t>Irland</w:t>
      </w:r>
      <w:proofErr w:type="spellEnd"/>
    </w:p>
    <w:p w14:paraId="60D67897" w14:textId="77777777" w:rsidR="007C5D2A" w:rsidRPr="007338E1" w:rsidRDefault="007C5D2A" w:rsidP="003E0341">
      <w:pPr>
        <w:tabs>
          <w:tab w:val="left" w:pos="851"/>
        </w:tabs>
        <w:ind w:left="851"/>
        <w:jc w:val="both"/>
        <w:rPr>
          <w:sz w:val="24"/>
          <w:szCs w:val="24"/>
          <w:lang w:val="en-GB"/>
        </w:rPr>
      </w:pPr>
    </w:p>
    <w:p w14:paraId="1EDD31DE" w14:textId="77777777" w:rsidR="007C5D2A" w:rsidRPr="007338E1" w:rsidRDefault="007C5D2A" w:rsidP="007C5D2A">
      <w:pPr>
        <w:ind w:left="851" w:hanging="851"/>
        <w:jc w:val="both"/>
        <w:rPr>
          <w:b/>
          <w:sz w:val="24"/>
          <w:szCs w:val="24"/>
          <w:lang w:val="en-GB"/>
        </w:rPr>
      </w:pPr>
      <w:r w:rsidRPr="007338E1">
        <w:rPr>
          <w:b/>
          <w:sz w:val="24"/>
          <w:szCs w:val="24"/>
          <w:lang w:val="en-GB"/>
        </w:rPr>
        <w:t>8.</w:t>
      </w:r>
      <w:r w:rsidRPr="007338E1">
        <w:rPr>
          <w:b/>
          <w:sz w:val="24"/>
          <w:szCs w:val="24"/>
          <w:lang w:val="en-GB"/>
        </w:rPr>
        <w:tab/>
        <w:t>MARKETING AUTHORISATION NUMBER(S)</w:t>
      </w:r>
    </w:p>
    <w:p w14:paraId="0AF67590" w14:textId="77777777" w:rsidR="009723F4" w:rsidRPr="007338E1" w:rsidRDefault="009723F4" w:rsidP="009723F4">
      <w:pPr>
        <w:ind w:left="851"/>
        <w:rPr>
          <w:sz w:val="24"/>
          <w:szCs w:val="24"/>
          <w:lang w:val="en-US"/>
        </w:rPr>
      </w:pPr>
      <w:r w:rsidRPr="007338E1">
        <w:rPr>
          <w:sz w:val="24"/>
          <w:szCs w:val="24"/>
          <w:lang w:val="en-US"/>
        </w:rPr>
        <w:t>56395</w:t>
      </w:r>
    </w:p>
    <w:p w14:paraId="676FB725" w14:textId="77777777" w:rsidR="007C5D2A" w:rsidRPr="007338E1" w:rsidRDefault="007C5D2A" w:rsidP="00180A12">
      <w:pPr>
        <w:tabs>
          <w:tab w:val="left" w:pos="851"/>
        </w:tabs>
        <w:ind w:left="851"/>
        <w:jc w:val="both"/>
        <w:rPr>
          <w:sz w:val="24"/>
          <w:szCs w:val="24"/>
          <w:lang w:val="en-GB"/>
        </w:rPr>
      </w:pPr>
    </w:p>
    <w:p w14:paraId="43D1FD6D" w14:textId="77777777" w:rsidR="007C5D2A" w:rsidRPr="007338E1" w:rsidRDefault="007C5D2A" w:rsidP="007C5D2A">
      <w:pPr>
        <w:tabs>
          <w:tab w:val="left" w:pos="851"/>
        </w:tabs>
        <w:jc w:val="both"/>
        <w:rPr>
          <w:sz w:val="24"/>
          <w:szCs w:val="24"/>
          <w:lang w:val="en-GB"/>
        </w:rPr>
      </w:pPr>
      <w:r w:rsidRPr="007338E1">
        <w:rPr>
          <w:b/>
          <w:sz w:val="24"/>
          <w:szCs w:val="24"/>
          <w:lang w:val="en-GB"/>
        </w:rPr>
        <w:t>9.</w:t>
      </w:r>
      <w:r w:rsidRPr="007338E1">
        <w:rPr>
          <w:b/>
          <w:sz w:val="24"/>
          <w:szCs w:val="24"/>
          <w:lang w:val="en-GB"/>
        </w:rPr>
        <w:tab/>
        <w:t>DATE OF FIRST AUTHORISATION</w:t>
      </w:r>
    </w:p>
    <w:p w14:paraId="655BE846" w14:textId="1E481974" w:rsidR="009723F4" w:rsidRPr="007338E1" w:rsidRDefault="009723F4" w:rsidP="009723F4">
      <w:pPr>
        <w:ind w:left="851"/>
        <w:rPr>
          <w:sz w:val="24"/>
          <w:szCs w:val="24"/>
          <w:lang w:val="en-US"/>
        </w:rPr>
      </w:pPr>
      <w:r w:rsidRPr="007338E1">
        <w:rPr>
          <w:sz w:val="24"/>
          <w:szCs w:val="24"/>
          <w:lang w:val="en-US"/>
        </w:rPr>
        <w:t xml:space="preserve">23 </w:t>
      </w:r>
      <w:r w:rsidR="00853AC3" w:rsidRPr="007338E1">
        <w:rPr>
          <w:sz w:val="24"/>
          <w:szCs w:val="24"/>
          <w:lang w:val="en-US"/>
        </w:rPr>
        <w:t>S</w:t>
      </w:r>
      <w:r w:rsidRPr="007338E1">
        <w:rPr>
          <w:sz w:val="24"/>
          <w:szCs w:val="24"/>
          <w:lang w:val="en-US"/>
        </w:rPr>
        <w:t>eptember 2016</w:t>
      </w:r>
    </w:p>
    <w:p w14:paraId="56E9B4DF" w14:textId="77777777" w:rsidR="007C5D2A" w:rsidRPr="007338E1" w:rsidRDefault="007C5D2A" w:rsidP="003E0341">
      <w:pPr>
        <w:tabs>
          <w:tab w:val="left" w:pos="851"/>
        </w:tabs>
        <w:ind w:left="851"/>
        <w:jc w:val="both"/>
        <w:rPr>
          <w:sz w:val="24"/>
          <w:szCs w:val="24"/>
          <w:lang w:val="en-GB"/>
        </w:rPr>
      </w:pPr>
    </w:p>
    <w:p w14:paraId="5ECCBBE2" w14:textId="77777777" w:rsidR="007C5D2A" w:rsidRPr="007338E1" w:rsidRDefault="007C5D2A" w:rsidP="007C5D2A">
      <w:pPr>
        <w:tabs>
          <w:tab w:val="left" w:pos="851"/>
        </w:tabs>
        <w:jc w:val="both"/>
        <w:rPr>
          <w:sz w:val="24"/>
          <w:szCs w:val="24"/>
          <w:lang w:val="en-GB"/>
        </w:rPr>
      </w:pPr>
      <w:r w:rsidRPr="007338E1">
        <w:rPr>
          <w:b/>
          <w:sz w:val="24"/>
          <w:szCs w:val="24"/>
          <w:lang w:val="en-GB"/>
        </w:rPr>
        <w:t>10.</w:t>
      </w:r>
      <w:r w:rsidRPr="007338E1">
        <w:rPr>
          <w:b/>
          <w:sz w:val="24"/>
          <w:szCs w:val="24"/>
          <w:lang w:val="en-GB"/>
        </w:rPr>
        <w:tab/>
        <w:t>DATE OF REVISION OF THE TEXT</w:t>
      </w:r>
    </w:p>
    <w:p w14:paraId="6F50A404" w14:textId="33742A9F" w:rsidR="007C5D2A" w:rsidRPr="007338E1" w:rsidRDefault="000416BA" w:rsidP="003E0341">
      <w:pPr>
        <w:tabs>
          <w:tab w:val="left" w:pos="851"/>
        </w:tabs>
        <w:ind w:left="851"/>
        <w:jc w:val="both"/>
        <w:rPr>
          <w:sz w:val="24"/>
          <w:szCs w:val="24"/>
          <w:lang w:val="en-GB"/>
        </w:rPr>
      </w:pPr>
      <w:r>
        <w:rPr>
          <w:sz w:val="24"/>
          <w:szCs w:val="24"/>
          <w:lang w:val="en-GB"/>
        </w:rPr>
        <w:t xml:space="preserve">1 </w:t>
      </w:r>
      <w:r w:rsidR="00C60CBC">
        <w:rPr>
          <w:sz w:val="24"/>
          <w:szCs w:val="24"/>
          <w:lang w:val="en-GB"/>
        </w:rPr>
        <w:t>December</w:t>
      </w:r>
      <w:r w:rsidR="00853AC3" w:rsidRPr="007338E1">
        <w:rPr>
          <w:sz w:val="24"/>
          <w:szCs w:val="24"/>
          <w:lang w:val="en-GB"/>
        </w:rPr>
        <w:t xml:space="preserve"> 202</w:t>
      </w:r>
      <w:r w:rsidR="00C60CBC">
        <w:rPr>
          <w:sz w:val="24"/>
          <w:szCs w:val="24"/>
          <w:lang w:val="en-GB"/>
        </w:rPr>
        <w:t>2</w:t>
      </w:r>
    </w:p>
    <w:sectPr w:rsidR="007C5D2A" w:rsidRPr="007338E1"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C47049" w14:textId="77777777" w:rsidR="00D9026C" w:rsidRDefault="00D9026C">
      <w:r>
        <w:separator/>
      </w:r>
    </w:p>
  </w:endnote>
  <w:endnote w:type="continuationSeparator" w:id="0">
    <w:p w14:paraId="01E935A2" w14:textId="77777777" w:rsidR="00D9026C" w:rsidRDefault="00D90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DA42A6" w14:textId="77777777" w:rsidR="00AC033C" w:rsidRDefault="00AC033C">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EC101" w14:textId="77777777" w:rsidR="00864538" w:rsidRDefault="00864538">
    <w:pPr>
      <w:pStyle w:val="Sidefod"/>
      <w:pBdr>
        <w:bottom w:val="single" w:sz="6" w:space="1" w:color="auto"/>
      </w:pBdr>
    </w:pPr>
  </w:p>
  <w:p w14:paraId="306EF8F0" w14:textId="77777777" w:rsidR="00864538" w:rsidRDefault="00864538">
    <w:pPr>
      <w:pStyle w:val="Sidefod"/>
      <w:tabs>
        <w:tab w:val="clear" w:pos="4819"/>
        <w:tab w:val="left" w:pos="8647"/>
      </w:tabs>
      <w:rPr>
        <w:i/>
        <w:snapToGrid w:val="0"/>
        <w:sz w:val="18"/>
      </w:rPr>
    </w:pPr>
  </w:p>
  <w:p w14:paraId="2C50E428" w14:textId="395F81E4" w:rsidR="00864538" w:rsidRDefault="00E36A80" w:rsidP="00AC033C">
    <w:pPr>
      <w:pStyle w:val="Sidefod"/>
      <w:tabs>
        <w:tab w:val="clear" w:pos="4819"/>
        <w:tab w:val="left" w:pos="8364"/>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4E6DAF">
      <w:rPr>
        <w:i/>
        <w:noProof/>
        <w:snapToGrid w:val="0"/>
        <w:sz w:val="18"/>
      </w:rPr>
      <w:t>Vizibim, øjendråber, opløsning 0,3 mg-ml</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AC033C">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AC033C">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ADAF6D" w14:textId="77777777" w:rsidR="00864538" w:rsidRDefault="00864538">
    <w:pPr>
      <w:pStyle w:val="Sidefod"/>
      <w:pBdr>
        <w:bottom w:val="single" w:sz="6" w:space="1" w:color="auto"/>
      </w:pBdr>
      <w:tabs>
        <w:tab w:val="clear" w:pos="4819"/>
        <w:tab w:val="left" w:pos="8789"/>
      </w:tabs>
      <w:rPr>
        <w:i/>
        <w:snapToGrid w:val="0"/>
        <w:sz w:val="18"/>
      </w:rPr>
    </w:pPr>
  </w:p>
  <w:p w14:paraId="172FD7B8" w14:textId="77777777" w:rsidR="00864538" w:rsidRDefault="00864538">
    <w:pPr>
      <w:pStyle w:val="Sidefod"/>
      <w:tabs>
        <w:tab w:val="clear" w:pos="4819"/>
        <w:tab w:val="left" w:pos="8789"/>
      </w:tabs>
      <w:rPr>
        <w:i/>
        <w:snapToGrid w:val="0"/>
        <w:sz w:val="18"/>
      </w:rPr>
    </w:pPr>
  </w:p>
  <w:p w14:paraId="21736FB5" w14:textId="409F4ABA" w:rsidR="00864538" w:rsidRDefault="00E36A80">
    <w:pPr>
      <w:pStyle w:val="Sidefod"/>
      <w:tabs>
        <w:tab w:val="clear" w:pos="4819"/>
        <w:tab w:val="left" w:pos="8647"/>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4E6DAF">
      <w:rPr>
        <w:i/>
        <w:noProof/>
        <w:snapToGrid w:val="0"/>
        <w:sz w:val="18"/>
      </w:rPr>
      <w:t>Vizibim, øjendråber, opløsning 0,3 mg-ml</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D97B77">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E1290F">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952915" w14:textId="77777777" w:rsidR="00D9026C" w:rsidRDefault="00D9026C">
      <w:r>
        <w:separator/>
      </w:r>
    </w:p>
  </w:footnote>
  <w:footnote w:type="continuationSeparator" w:id="0">
    <w:p w14:paraId="4A4D76BC" w14:textId="77777777" w:rsidR="00D9026C" w:rsidRDefault="00D902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2D205" w14:textId="77777777" w:rsidR="00AC033C" w:rsidRDefault="00AC033C">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CA04A7" w14:textId="77777777" w:rsidR="00864538" w:rsidRDefault="000D3C9D">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DCB7A" w14:textId="77777777" w:rsidR="00AC033C" w:rsidRDefault="00AC033C">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26C"/>
    <w:rsid w:val="000416BA"/>
    <w:rsid w:val="00056601"/>
    <w:rsid w:val="000C3846"/>
    <w:rsid w:val="000C6218"/>
    <w:rsid w:val="000D3C9D"/>
    <w:rsid w:val="000F0D47"/>
    <w:rsid w:val="001242DE"/>
    <w:rsid w:val="00180A12"/>
    <w:rsid w:val="001C0125"/>
    <w:rsid w:val="00214331"/>
    <w:rsid w:val="00214CF4"/>
    <w:rsid w:val="0023212C"/>
    <w:rsid w:val="00242F6E"/>
    <w:rsid w:val="0027099C"/>
    <w:rsid w:val="00281F03"/>
    <w:rsid w:val="0029458A"/>
    <w:rsid w:val="002A1587"/>
    <w:rsid w:val="002B27C5"/>
    <w:rsid w:val="002F1237"/>
    <w:rsid w:val="00303008"/>
    <w:rsid w:val="00373B55"/>
    <w:rsid w:val="003D727E"/>
    <w:rsid w:val="003E0341"/>
    <w:rsid w:val="003E3402"/>
    <w:rsid w:val="003E49FB"/>
    <w:rsid w:val="003F4736"/>
    <w:rsid w:val="00401B49"/>
    <w:rsid w:val="0042292D"/>
    <w:rsid w:val="00437FC1"/>
    <w:rsid w:val="00440254"/>
    <w:rsid w:val="004860D3"/>
    <w:rsid w:val="004A3BF4"/>
    <w:rsid w:val="004A5DB3"/>
    <w:rsid w:val="004E6DAF"/>
    <w:rsid w:val="005152D9"/>
    <w:rsid w:val="00533AD4"/>
    <w:rsid w:val="00534849"/>
    <w:rsid w:val="00560102"/>
    <w:rsid w:val="00562EA1"/>
    <w:rsid w:val="00617BB8"/>
    <w:rsid w:val="0062214A"/>
    <w:rsid w:val="00680052"/>
    <w:rsid w:val="00683267"/>
    <w:rsid w:val="006844E9"/>
    <w:rsid w:val="006B3847"/>
    <w:rsid w:val="007338E1"/>
    <w:rsid w:val="0075453D"/>
    <w:rsid w:val="007C3623"/>
    <w:rsid w:val="007C5D2A"/>
    <w:rsid w:val="007D0179"/>
    <w:rsid w:val="007E50F0"/>
    <w:rsid w:val="007F1E00"/>
    <w:rsid w:val="008400E3"/>
    <w:rsid w:val="00853AC3"/>
    <w:rsid w:val="00864538"/>
    <w:rsid w:val="00873B4F"/>
    <w:rsid w:val="008E51AE"/>
    <w:rsid w:val="008F2F8C"/>
    <w:rsid w:val="009578B4"/>
    <w:rsid w:val="009723F4"/>
    <w:rsid w:val="009925C9"/>
    <w:rsid w:val="00A179D0"/>
    <w:rsid w:val="00A358A3"/>
    <w:rsid w:val="00A46747"/>
    <w:rsid w:val="00A80446"/>
    <w:rsid w:val="00A85D26"/>
    <w:rsid w:val="00A9153A"/>
    <w:rsid w:val="00AC033C"/>
    <w:rsid w:val="00AD2E36"/>
    <w:rsid w:val="00BD3490"/>
    <w:rsid w:val="00C0374F"/>
    <w:rsid w:val="00C26226"/>
    <w:rsid w:val="00C3571D"/>
    <w:rsid w:val="00C54F0B"/>
    <w:rsid w:val="00C60CBC"/>
    <w:rsid w:val="00C82621"/>
    <w:rsid w:val="00CB1423"/>
    <w:rsid w:val="00CF5F42"/>
    <w:rsid w:val="00D02508"/>
    <w:rsid w:val="00D778CC"/>
    <w:rsid w:val="00D82FE9"/>
    <w:rsid w:val="00D9026C"/>
    <w:rsid w:val="00D97B77"/>
    <w:rsid w:val="00DB6A85"/>
    <w:rsid w:val="00DE1F62"/>
    <w:rsid w:val="00E06B32"/>
    <w:rsid w:val="00E1290F"/>
    <w:rsid w:val="00E36A80"/>
    <w:rsid w:val="00E5581C"/>
    <w:rsid w:val="00E71FBF"/>
    <w:rsid w:val="00EB21D7"/>
    <w:rsid w:val="00EE3EB7"/>
    <w:rsid w:val="00F57E16"/>
    <w:rsid w:val="00F60336"/>
    <w:rsid w:val="00F65505"/>
    <w:rsid w:val="00F661A3"/>
    <w:rsid w:val="00FA19B9"/>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90477D"/>
  <w15:chartTrackingRefBased/>
  <w15:docId w15:val="{3BF09D78-4056-4B8A-8EC2-441E00D0C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uiPriority w:val="99"/>
    <w:semiHidden/>
    <w:rsid w:val="00373B55"/>
    <w:rPr>
      <w:sz w:val="16"/>
    </w:rPr>
  </w:style>
  <w:style w:type="paragraph" w:styleId="Kommentartekst">
    <w:name w:val="annotation text"/>
    <w:basedOn w:val="Normal"/>
    <w:link w:val="KommentartekstTegn"/>
    <w:uiPriority w:val="99"/>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uiPriority w:val="99"/>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customStyle="1" w:styleId="Default">
    <w:name w:val="Default"/>
    <w:rsid w:val="00C0374F"/>
    <w:pPr>
      <w:autoSpaceDE w:val="0"/>
      <w:autoSpaceDN w:val="0"/>
      <w:adjustRightInd w:val="0"/>
    </w:pPr>
    <w:rPr>
      <w:rFonts w:eastAsiaTheme="minorHAnsi"/>
      <w:color w:val="000000"/>
      <w:sz w:val="24"/>
      <w:szCs w:val="24"/>
      <w:lang w:val="el-GR" w:eastAsia="en-US"/>
    </w:rPr>
  </w:style>
  <w:style w:type="table" w:styleId="Tabel-Gitter">
    <w:name w:val="Table Grid"/>
    <w:basedOn w:val="Tabel-Normal"/>
    <w:uiPriority w:val="59"/>
    <w:rsid w:val="00C0374F"/>
    <w:rPr>
      <w:rFonts w:asciiTheme="minorHAnsi" w:eastAsiaTheme="minorHAnsi" w:hAnsiTheme="minorHAnsi" w:cstheme="minorBidi"/>
      <w:sz w:val="22"/>
      <w:szCs w:val="22"/>
      <w:lang w:val="el-GR"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639939">
      <w:bodyDiv w:val="1"/>
      <w:marLeft w:val="0"/>
      <w:marRight w:val="0"/>
      <w:marTop w:val="0"/>
      <w:marBottom w:val="0"/>
      <w:divBdr>
        <w:top w:val="none" w:sz="0" w:space="0" w:color="auto"/>
        <w:left w:val="none" w:sz="0" w:space="0" w:color="auto"/>
        <w:bottom w:val="none" w:sz="0" w:space="0" w:color="auto"/>
        <w:right w:val="none" w:sz="0" w:space="0" w:color="auto"/>
      </w:divBdr>
    </w:div>
    <w:div w:id="88281236">
      <w:bodyDiv w:val="1"/>
      <w:marLeft w:val="0"/>
      <w:marRight w:val="0"/>
      <w:marTop w:val="0"/>
      <w:marBottom w:val="0"/>
      <w:divBdr>
        <w:top w:val="none" w:sz="0" w:space="0" w:color="auto"/>
        <w:left w:val="none" w:sz="0" w:space="0" w:color="auto"/>
        <w:bottom w:val="none" w:sz="0" w:space="0" w:color="auto"/>
        <w:right w:val="none" w:sz="0" w:space="0" w:color="auto"/>
      </w:divBdr>
    </w:div>
    <w:div w:id="114251267">
      <w:bodyDiv w:val="1"/>
      <w:marLeft w:val="0"/>
      <w:marRight w:val="0"/>
      <w:marTop w:val="0"/>
      <w:marBottom w:val="0"/>
      <w:divBdr>
        <w:top w:val="none" w:sz="0" w:space="0" w:color="auto"/>
        <w:left w:val="none" w:sz="0" w:space="0" w:color="auto"/>
        <w:bottom w:val="none" w:sz="0" w:space="0" w:color="auto"/>
        <w:right w:val="none" w:sz="0" w:space="0" w:color="auto"/>
      </w:divBdr>
    </w:div>
    <w:div w:id="151605265">
      <w:bodyDiv w:val="1"/>
      <w:marLeft w:val="0"/>
      <w:marRight w:val="0"/>
      <w:marTop w:val="0"/>
      <w:marBottom w:val="0"/>
      <w:divBdr>
        <w:top w:val="none" w:sz="0" w:space="0" w:color="auto"/>
        <w:left w:val="none" w:sz="0" w:space="0" w:color="auto"/>
        <w:bottom w:val="none" w:sz="0" w:space="0" w:color="auto"/>
        <w:right w:val="none" w:sz="0" w:space="0" w:color="auto"/>
      </w:divBdr>
    </w:div>
    <w:div w:id="158542725">
      <w:bodyDiv w:val="1"/>
      <w:marLeft w:val="0"/>
      <w:marRight w:val="0"/>
      <w:marTop w:val="0"/>
      <w:marBottom w:val="0"/>
      <w:divBdr>
        <w:top w:val="none" w:sz="0" w:space="0" w:color="auto"/>
        <w:left w:val="none" w:sz="0" w:space="0" w:color="auto"/>
        <w:bottom w:val="none" w:sz="0" w:space="0" w:color="auto"/>
        <w:right w:val="none" w:sz="0" w:space="0" w:color="auto"/>
      </w:divBdr>
    </w:div>
    <w:div w:id="325279602">
      <w:bodyDiv w:val="1"/>
      <w:marLeft w:val="0"/>
      <w:marRight w:val="0"/>
      <w:marTop w:val="0"/>
      <w:marBottom w:val="0"/>
      <w:divBdr>
        <w:top w:val="none" w:sz="0" w:space="0" w:color="auto"/>
        <w:left w:val="none" w:sz="0" w:space="0" w:color="auto"/>
        <w:bottom w:val="none" w:sz="0" w:space="0" w:color="auto"/>
        <w:right w:val="none" w:sz="0" w:space="0" w:color="auto"/>
      </w:divBdr>
    </w:div>
    <w:div w:id="345252180">
      <w:bodyDiv w:val="1"/>
      <w:marLeft w:val="0"/>
      <w:marRight w:val="0"/>
      <w:marTop w:val="0"/>
      <w:marBottom w:val="0"/>
      <w:divBdr>
        <w:top w:val="none" w:sz="0" w:space="0" w:color="auto"/>
        <w:left w:val="none" w:sz="0" w:space="0" w:color="auto"/>
        <w:bottom w:val="none" w:sz="0" w:space="0" w:color="auto"/>
        <w:right w:val="none" w:sz="0" w:space="0" w:color="auto"/>
      </w:divBdr>
    </w:div>
    <w:div w:id="685251237">
      <w:bodyDiv w:val="1"/>
      <w:marLeft w:val="0"/>
      <w:marRight w:val="0"/>
      <w:marTop w:val="0"/>
      <w:marBottom w:val="0"/>
      <w:divBdr>
        <w:top w:val="none" w:sz="0" w:space="0" w:color="auto"/>
        <w:left w:val="none" w:sz="0" w:space="0" w:color="auto"/>
        <w:bottom w:val="none" w:sz="0" w:space="0" w:color="auto"/>
        <w:right w:val="none" w:sz="0" w:space="0" w:color="auto"/>
      </w:divBdr>
    </w:div>
    <w:div w:id="821772813">
      <w:bodyDiv w:val="1"/>
      <w:marLeft w:val="0"/>
      <w:marRight w:val="0"/>
      <w:marTop w:val="0"/>
      <w:marBottom w:val="0"/>
      <w:divBdr>
        <w:top w:val="none" w:sz="0" w:space="0" w:color="auto"/>
        <w:left w:val="none" w:sz="0" w:space="0" w:color="auto"/>
        <w:bottom w:val="none" w:sz="0" w:space="0" w:color="auto"/>
        <w:right w:val="none" w:sz="0" w:space="0" w:color="auto"/>
      </w:divBdr>
    </w:div>
    <w:div w:id="822550193">
      <w:bodyDiv w:val="1"/>
      <w:marLeft w:val="0"/>
      <w:marRight w:val="0"/>
      <w:marTop w:val="0"/>
      <w:marBottom w:val="0"/>
      <w:divBdr>
        <w:top w:val="none" w:sz="0" w:space="0" w:color="auto"/>
        <w:left w:val="none" w:sz="0" w:space="0" w:color="auto"/>
        <w:bottom w:val="none" w:sz="0" w:space="0" w:color="auto"/>
        <w:right w:val="none" w:sz="0" w:space="0" w:color="auto"/>
      </w:divBdr>
    </w:div>
    <w:div w:id="839736052">
      <w:bodyDiv w:val="1"/>
      <w:marLeft w:val="0"/>
      <w:marRight w:val="0"/>
      <w:marTop w:val="0"/>
      <w:marBottom w:val="0"/>
      <w:divBdr>
        <w:top w:val="none" w:sz="0" w:space="0" w:color="auto"/>
        <w:left w:val="none" w:sz="0" w:space="0" w:color="auto"/>
        <w:bottom w:val="none" w:sz="0" w:space="0" w:color="auto"/>
        <w:right w:val="none" w:sz="0" w:space="0" w:color="auto"/>
      </w:divBdr>
    </w:div>
    <w:div w:id="852963646">
      <w:bodyDiv w:val="1"/>
      <w:marLeft w:val="0"/>
      <w:marRight w:val="0"/>
      <w:marTop w:val="0"/>
      <w:marBottom w:val="0"/>
      <w:divBdr>
        <w:top w:val="none" w:sz="0" w:space="0" w:color="auto"/>
        <w:left w:val="none" w:sz="0" w:space="0" w:color="auto"/>
        <w:bottom w:val="none" w:sz="0" w:space="0" w:color="auto"/>
        <w:right w:val="none" w:sz="0" w:space="0" w:color="auto"/>
      </w:divBdr>
    </w:div>
    <w:div w:id="926574238">
      <w:bodyDiv w:val="1"/>
      <w:marLeft w:val="0"/>
      <w:marRight w:val="0"/>
      <w:marTop w:val="0"/>
      <w:marBottom w:val="0"/>
      <w:divBdr>
        <w:top w:val="none" w:sz="0" w:space="0" w:color="auto"/>
        <w:left w:val="none" w:sz="0" w:space="0" w:color="auto"/>
        <w:bottom w:val="none" w:sz="0" w:space="0" w:color="auto"/>
        <w:right w:val="none" w:sz="0" w:space="0" w:color="auto"/>
      </w:divBdr>
    </w:div>
    <w:div w:id="990868942">
      <w:bodyDiv w:val="1"/>
      <w:marLeft w:val="0"/>
      <w:marRight w:val="0"/>
      <w:marTop w:val="0"/>
      <w:marBottom w:val="0"/>
      <w:divBdr>
        <w:top w:val="none" w:sz="0" w:space="0" w:color="auto"/>
        <w:left w:val="none" w:sz="0" w:space="0" w:color="auto"/>
        <w:bottom w:val="none" w:sz="0" w:space="0" w:color="auto"/>
        <w:right w:val="none" w:sz="0" w:space="0" w:color="auto"/>
      </w:divBdr>
    </w:div>
    <w:div w:id="1290359028">
      <w:bodyDiv w:val="1"/>
      <w:marLeft w:val="0"/>
      <w:marRight w:val="0"/>
      <w:marTop w:val="0"/>
      <w:marBottom w:val="0"/>
      <w:divBdr>
        <w:top w:val="none" w:sz="0" w:space="0" w:color="auto"/>
        <w:left w:val="none" w:sz="0" w:space="0" w:color="auto"/>
        <w:bottom w:val="none" w:sz="0" w:space="0" w:color="auto"/>
        <w:right w:val="none" w:sz="0" w:space="0" w:color="auto"/>
      </w:divBdr>
    </w:div>
    <w:div w:id="1331105388">
      <w:bodyDiv w:val="1"/>
      <w:marLeft w:val="0"/>
      <w:marRight w:val="0"/>
      <w:marTop w:val="0"/>
      <w:marBottom w:val="0"/>
      <w:divBdr>
        <w:top w:val="none" w:sz="0" w:space="0" w:color="auto"/>
        <w:left w:val="none" w:sz="0" w:space="0" w:color="auto"/>
        <w:bottom w:val="none" w:sz="0" w:space="0" w:color="auto"/>
        <w:right w:val="none" w:sz="0" w:space="0" w:color="auto"/>
      </w:divBdr>
    </w:div>
    <w:div w:id="1392800980">
      <w:bodyDiv w:val="1"/>
      <w:marLeft w:val="0"/>
      <w:marRight w:val="0"/>
      <w:marTop w:val="0"/>
      <w:marBottom w:val="0"/>
      <w:divBdr>
        <w:top w:val="none" w:sz="0" w:space="0" w:color="auto"/>
        <w:left w:val="none" w:sz="0" w:space="0" w:color="auto"/>
        <w:bottom w:val="none" w:sz="0" w:space="0" w:color="auto"/>
        <w:right w:val="none" w:sz="0" w:space="0" w:color="auto"/>
      </w:divBdr>
    </w:div>
    <w:div w:id="1604220100">
      <w:bodyDiv w:val="1"/>
      <w:marLeft w:val="0"/>
      <w:marRight w:val="0"/>
      <w:marTop w:val="0"/>
      <w:marBottom w:val="0"/>
      <w:divBdr>
        <w:top w:val="none" w:sz="0" w:space="0" w:color="auto"/>
        <w:left w:val="none" w:sz="0" w:space="0" w:color="auto"/>
        <w:bottom w:val="none" w:sz="0" w:space="0" w:color="auto"/>
        <w:right w:val="none" w:sz="0" w:space="0" w:color="auto"/>
      </w:divBdr>
    </w:div>
    <w:div w:id="1638800523">
      <w:bodyDiv w:val="1"/>
      <w:marLeft w:val="0"/>
      <w:marRight w:val="0"/>
      <w:marTop w:val="0"/>
      <w:marBottom w:val="0"/>
      <w:divBdr>
        <w:top w:val="none" w:sz="0" w:space="0" w:color="auto"/>
        <w:left w:val="none" w:sz="0" w:space="0" w:color="auto"/>
        <w:bottom w:val="none" w:sz="0" w:space="0" w:color="auto"/>
        <w:right w:val="none" w:sz="0" w:space="0" w:color="auto"/>
      </w:divBdr>
    </w:div>
    <w:div w:id="1653021495">
      <w:bodyDiv w:val="1"/>
      <w:marLeft w:val="0"/>
      <w:marRight w:val="0"/>
      <w:marTop w:val="0"/>
      <w:marBottom w:val="0"/>
      <w:divBdr>
        <w:top w:val="none" w:sz="0" w:space="0" w:color="auto"/>
        <w:left w:val="none" w:sz="0" w:space="0" w:color="auto"/>
        <w:bottom w:val="none" w:sz="0" w:space="0" w:color="auto"/>
        <w:right w:val="none" w:sz="0" w:space="0" w:color="auto"/>
      </w:divBdr>
    </w:div>
    <w:div w:id="1722709957">
      <w:bodyDiv w:val="1"/>
      <w:marLeft w:val="0"/>
      <w:marRight w:val="0"/>
      <w:marTop w:val="0"/>
      <w:marBottom w:val="0"/>
      <w:divBdr>
        <w:top w:val="none" w:sz="0" w:space="0" w:color="auto"/>
        <w:left w:val="none" w:sz="0" w:space="0" w:color="auto"/>
        <w:bottom w:val="none" w:sz="0" w:space="0" w:color="auto"/>
        <w:right w:val="none" w:sz="0" w:space="0" w:color="auto"/>
      </w:divBdr>
    </w:div>
    <w:div w:id="1761177255">
      <w:bodyDiv w:val="1"/>
      <w:marLeft w:val="0"/>
      <w:marRight w:val="0"/>
      <w:marTop w:val="0"/>
      <w:marBottom w:val="0"/>
      <w:divBdr>
        <w:top w:val="none" w:sz="0" w:space="0" w:color="auto"/>
        <w:left w:val="none" w:sz="0" w:space="0" w:color="auto"/>
        <w:bottom w:val="none" w:sz="0" w:space="0" w:color="auto"/>
        <w:right w:val="none" w:sz="0" w:space="0" w:color="auto"/>
      </w:divBdr>
    </w:div>
    <w:div w:id="1820027891">
      <w:bodyDiv w:val="1"/>
      <w:marLeft w:val="0"/>
      <w:marRight w:val="0"/>
      <w:marTop w:val="0"/>
      <w:marBottom w:val="0"/>
      <w:divBdr>
        <w:top w:val="none" w:sz="0" w:space="0" w:color="auto"/>
        <w:left w:val="none" w:sz="0" w:space="0" w:color="auto"/>
        <w:bottom w:val="none" w:sz="0" w:space="0" w:color="auto"/>
        <w:right w:val="none" w:sz="0" w:space="0" w:color="auto"/>
      </w:divBdr>
    </w:div>
    <w:div w:id="2029133696">
      <w:bodyDiv w:val="1"/>
      <w:marLeft w:val="0"/>
      <w:marRight w:val="0"/>
      <w:marTop w:val="0"/>
      <w:marBottom w:val="0"/>
      <w:divBdr>
        <w:top w:val="none" w:sz="0" w:space="0" w:color="auto"/>
        <w:left w:val="none" w:sz="0" w:space="0" w:color="auto"/>
        <w:bottom w:val="none" w:sz="0" w:space="0" w:color="auto"/>
        <w:right w:val="none" w:sz="0" w:space="0" w:color="auto"/>
      </w:divBdr>
    </w:div>
    <w:div w:id="2038115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6-00-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006-00-SKB SPC Hum skabelon - engelsk.dotx</Template>
  <TotalTime>6</TotalTime>
  <Pages>9</Pages>
  <Words>2992</Words>
  <Characters>17633</Characters>
  <Application>Microsoft Office Word</Application>
  <DocSecurity>0</DocSecurity>
  <Lines>146</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2022010224, var. 9, pkt. 4.4 og 4.8 (psusa)</dc:description>
  <cp:lastModifiedBy>Gitte Jørgensen</cp:lastModifiedBy>
  <cp:revision>8</cp:revision>
  <cp:lastPrinted>2006-02-24T09:31:00Z</cp:lastPrinted>
  <dcterms:created xsi:type="dcterms:W3CDTF">2022-12-01T12:58:00Z</dcterms:created>
  <dcterms:modified xsi:type="dcterms:W3CDTF">2022-12-01T13:30:00Z</dcterms:modified>
</cp:coreProperties>
</file>