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36DC0" w14:textId="30147309" w:rsidR="009260DE" w:rsidRPr="00A7523D" w:rsidRDefault="0021526C" w:rsidP="00A7523D">
      <w:pPr>
        <w:rPr>
          <w:sz w:val="24"/>
          <w:szCs w:val="24"/>
        </w:rPr>
      </w:pPr>
      <w:r w:rsidRPr="00A7523D">
        <w:rPr>
          <w:noProof/>
          <w:sz w:val="24"/>
          <w:szCs w:val="24"/>
          <w:lang w:eastAsia="da-DK"/>
        </w:rPr>
        <w:drawing>
          <wp:anchor distT="0" distB="0" distL="114300" distR="114300" simplePos="0" relativeHeight="251658240" behindDoc="0" locked="0" layoutInCell="1" allowOverlap="1" wp14:anchorId="1AD80CDA" wp14:editId="6D71D9D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7523D">
        <w:rPr>
          <w:sz w:val="24"/>
          <w:szCs w:val="24"/>
        </w:rPr>
        <w:br w:type="textWrapping" w:clear="all"/>
      </w:r>
    </w:p>
    <w:p w14:paraId="7DB636DD" w14:textId="0D9A385B" w:rsidR="009260DE" w:rsidRPr="00A7523D" w:rsidRDefault="009260DE" w:rsidP="009260DE">
      <w:pPr>
        <w:pStyle w:val="Titel"/>
        <w:tabs>
          <w:tab w:val="right" w:pos="9356"/>
        </w:tabs>
        <w:jc w:val="left"/>
        <w:rPr>
          <w:b w:val="0"/>
          <w:szCs w:val="24"/>
          <w:lang w:eastAsia="en-US"/>
        </w:rPr>
      </w:pPr>
      <w:r w:rsidRPr="00A7523D">
        <w:rPr>
          <w:b w:val="0"/>
          <w:szCs w:val="24"/>
          <w:lang w:eastAsia="en-US"/>
        </w:rPr>
        <w:tab/>
      </w:r>
      <w:r w:rsidR="00A52AC0" w:rsidRPr="00A7523D">
        <w:rPr>
          <w:szCs w:val="24"/>
        </w:rPr>
        <w:t>24. januar 2025</w:t>
      </w:r>
    </w:p>
    <w:p w14:paraId="5263AD80" w14:textId="77777777" w:rsidR="009260DE" w:rsidRPr="00A7523D" w:rsidRDefault="009260DE" w:rsidP="009260DE">
      <w:pPr>
        <w:pStyle w:val="Titel"/>
        <w:tabs>
          <w:tab w:val="left" w:pos="8222"/>
        </w:tabs>
        <w:jc w:val="left"/>
        <w:rPr>
          <w:b w:val="0"/>
          <w:szCs w:val="24"/>
        </w:rPr>
      </w:pPr>
    </w:p>
    <w:p w14:paraId="5503F305" w14:textId="77777777" w:rsidR="009260DE" w:rsidRPr="00A7523D" w:rsidRDefault="009260DE" w:rsidP="009260DE">
      <w:pPr>
        <w:pStyle w:val="Titel"/>
        <w:jc w:val="left"/>
        <w:rPr>
          <w:b w:val="0"/>
          <w:szCs w:val="24"/>
        </w:rPr>
      </w:pPr>
    </w:p>
    <w:p w14:paraId="138EF9C2" w14:textId="77777777" w:rsidR="009260DE" w:rsidRPr="00A7523D" w:rsidRDefault="009260DE" w:rsidP="009260DE">
      <w:pPr>
        <w:pStyle w:val="Titel"/>
        <w:jc w:val="left"/>
        <w:rPr>
          <w:b w:val="0"/>
          <w:szCs w:val="24"/>
        </w:rPr>
      </w:pPr>
    </w:p>
    <w:p w14:paraId="6F105360" w14:textId="77777777" w:rsidR="009260DE" w:rsidRPr="00A7523D" w:rsidRDefault="009260DE" w:rsidP="009260DE">
      <w:pPr>
        <w:jc w:val="center"/>
        <w:rPr>
          <w:b/>
          <w:sz w:val="24"/>
          <w:szCs w:val="24"/>
        </w:rPr>
      </w:pPr>
      <w:r w:rsidRPr="00A7523D">
        <w:rPr>
          <w:b/>
          <w:sz w:val="24"/>
          <w:szCs w:val="24"/>
        </w:rPr>
        <w:t>PRODUKTRESUMÉ</w:t>
      </w:r>
    </w:p>
    <w:p w14:paraId="605B8A27" w14:textId="77777777" w:rsidR="009260DE" w:rsidRPr="00A7523D" w:rsidRDefault="009260DE" w:rsidP="009260DE">
      <w:pPr>
        <w:jc w:val="center"/>
        <w:rPr>
          <w:b/>
          <w:sz w:val="24"/>
          <w:szCs w:val="24"/>
        </w:rPr>
      </w:pPr>
    </w:p>
    <w:p w14:paraId="32CFD2CF" w14:textId="77777777" w:rsidR="009260DE" w:rsidRPr="00A7523D" w:rsidRDefault="009260DE" w:rsidP="009260DE">
      <w:pPr>
        <w:jc w:val="center"/>
        <w:rPr>
          <w:b/>
          <w:sz w:val="24"/>
          <w:szCs w:val="24"/>
        </w:rPr>
      </w:pPr>
      <w:r w:rsidRPr="00A7523D">
        <w:rPr>
          <w:b/>
          <w:sz w:val="24"/>
          <w:szCs w:val="24"/>
        </w:rPr>
        <w:t>for</w:t>
      </w:r>
    </w:p>
    <w:p w14:paraId="69D72477" w14:textId="77777777" w:rsidR="000B058C" w:rsidRPr="00A7523D" w:rsidRDefault="000B058C" w:rsidP="009260DE">
      <w:pPr>
        <w:jc w:val="center"/>
        <w:rPr>
          <w:b/>
          <w:sz w:val="24"/>
          <w:szCs w:val="24"/>
        </w:rPr>
      </w:pPr>
    </w:p>
    <w:p w14:paraId="7D9EDE31" w14:textId="5B4CE78C" w:rsidR="009260DE" w:rsidRPr="00A7523D" w:rsidRDefault="00A52AC0" w:rsidP="009260DE">
      <w:pPr>
        <w:jc w:val="center"/>
        <w:rPr>
          <w:b/>
          <w:sz w:val="24"/>
          <w:szCs w:val="24"/>
        </w:rPr>
      </w:pPr>
      <w:proofErr w:type="spellStart"/>
      <w:r w:rsidRPr="00A7523D">
        <w:rPr>
          <w:b/>
          <w:sz w:val="24"/>
          <w:szCs w:val="24"/>
        </w:rPr>
        <w:t>Vizidor</w:t>
      </w:r>
      <w:proofErr w:type="spellEnd"/>
      <w:r w:rsidRPr="00A7523D">
        <w:rPr>
          <w:b/>
          <w:sz w:val="24"/>
          <w:szCs w:val="24"/>
        </w:rPr>
        <w:t>, øjendråber, opløsning</w:t>
      </w:r>
    </w:p>
    <w:p w14:paraId="52BEEC65" w14:textId="77777777" w:rsidR="009260DE" w:rsidRPr="00A7523D" w:rsidRDefault="009260DE" w:rsidP="009260DE">
      <w:pPr>
        <w:jc w:val="both"/>
        <w:rPr>
          <w:sz w:val="24"/>
          <w:szCs w:val="24"/>
        </w:rPr>
      </w:pPr>
    </w:p>
    <w:p w14:paraId="017FBC6E" w14:textId="77777777" w:rsidR="009260DE" w:rsidRPr="00A7523D" w:rsidRDefault="009260DE" w:rsidP="009260DE">
      <w:pPr>
        <w:jc w:val="both"/>
        <w:rPr>
          <w:sz w:val="24"/>
          <w:szCs w:val="24"/>
        </w:rPr>
      </w:pPr>
    </w:p>
    <w:p w14:paraId="1C6C845B" w14:textId="77777777" w:rsidR="009260DE" w:rsidRPr="00A7523D" w:rsidRDefault="009260DE" w:rsidP="009260DE">
      <w:pPr>
        <w:tabs>
          <w:tab w:val="left" w:pos="851"/>
        </w:tabs>
        <w:ind w:left="851" w:hanging="851"/>
        <w:rPr>
          <w:b/>
          <w:sz w:val="24"/>
          <w:szCs w:val="24"/>
        </w:rPr>
      </w:pPr>
      <w:r w:rsidRPr="00A7523D">
        <w:rPr>
          <w:b/>
          <w:sz w:val="24"/>
          <w:szCs w:val="24"/>
        </w:rPr>
        <w:t>0.</w:t>
      </w:r>
      <w:r w:rsidRPr="00A7523D">
        <w:rPr>
          <w:b/>
          <w:sz w:val="24"/>
          <w:szCs w:val="24"/>
        </w:rPr>
        <w:tab/>
        <w:t>D.SP.NR.</w:t>
      </w:r>
    </w:p>
    <w:p w14:paraId="0A1E59F9" w14:textId="621A1988" w:rsidR="009260DE" w:rsidRPr="00A7523D" w:rsidRDefault="00A52AC0" w:rsidP="009260DE">
      <w:pPr>
        <w:tabs>
          <w:tab w:val="left" w:pos="851"/>
        </w:tabs>
        <w:ind w:left="851"/>
        <w:rPr>
          <w:sz w:val="24"/>
          <w:szCs w:val="24"/>
        </w:rPr>
      </w:pPr>
      <w:r w:rsidRPr="00A7523D">
        <w:rPr>
          <w:sz w:val="24"/>
          <w:szCs w:val="24"/>
        </w:rPr>
        <w:t>29580</w:t>
      </w:r>
    </w:p>
    <w:p w14:paraId="496E6C4D" w14:textId="77777777" w:rsidR="009260DE" w:rsidRPr="00A7523D" w:rsidRDefault="009260DE" w:rsidP="009260DE">
      <w:pPr>
        <w:tabs>
          <w:tab w:val="left" w:pos="851"/>
        </w:tabs>
        <w:ind w:left="851"/>
        <w:rPr>
          <w:sz w:val="24"/>
          <w:szCs w:val="24"/>
        </w:rPr>
      </w:pPr>
    </w:p>
    <w:p w14:paraId="2C3DA911" w14:textId="77777777" w:rsidR="009260DE" w:rsidRPr="00A7523D" w:rsidRDefault="009260DE" w:rsidP="009260DE">
      <w:pPr>
        <w:tabs>
          <w:tab w:val="left" w:pos="851"/>
        </w:tabs>
        <w:ind w:left="851" w:hanging="851"/>
        <w:rPr>
          <w:b/>
          <w:sz w:val="24"/>
          <w:szCs w:val="24"/>
        </w:rPr>
      </w:pPr>
      <w:r w:rsidRPr="00A7523D">
        <w:rPr>
          <w:b/>
          <w:sz w:val="24"/>
          <w:szCs w:val="24"/>
        </w:rPr>
        <w:t>1.</w:t>
      </w:r>
      <w:r w:rsidRPr="00A7523D">
        <w:rPr>
          <w:b/>
          <w:sz w:val="24"/>
          <w:szCs w:val="24"/>
        </w:rPr>
        <w:tab/>
        <w:t>LÆGEMIDLETS NAVN</w:t>
      </w:r>
    </w:p>
    <w:p w14:paraId="548BC04D" w14:textId="1E7C94D0" w:rsidR="009260DE" w:rsidRPr="00A7523D" w:rsidRDefault="00A52AC0" w:rsidP="009260DE">
      <w:pPr>
        <w:tabs>
          <w:tab w:val="left" w:pos="851"/>
        </w:tabs>
        <w:ind w:left="851"/>
        <w:rPr>
          <w:sz w:val="24"/>
          <w:szCs w:val="24"/>
        </w:rPr>
      </w:pPr>
      <w:proofErr w:type="spellStart"/>
      <w:r w:rsidRPr="00A7523D">
        <w:rPr>
          <w:sz w:val="24"/>
          <w:szCs w:val="24"/>
        </w:rPr>
        <w:t>Vizidor</w:t>
      </w:r>
      <w:proofErr w:type="spellEnd"/>
    </w:p>
    <w:p w14:paraId="105D1C9F" w14:textId="77777777" w:rsidR="009260DE" w:rsidRPr="00A7523D" w:rsidRDefault="009260DE" w:rsidP="009260DE">
      <w:pPr>
        <w:tabs>
          <w:tab w:val="left" w:pos="851"/>
        </w:tabs>
        <w:ind w:left="851"/>
        <w:rPr>
          <w:sz w:val="24"/>
          <w:szCs w:val="24"/>
        </w:rPr>
      </w:pPr>
    </w:p>
    <w:p w14:paraId="5F1FC0A6" w14:textId="77777777" w:rsidR="009260DE" w:rsidRPr="00A7523D" w:rsidRDefault="009260DE" w:rsidP="009260DE">
      <w:pPr>
        <w:tabs>
          <w:tab w:val="left" w:pos="851"/>
        </w:tabs>
        <w:ind w:left="851" w:hanging="851"/>
        <w:rPr>
          <w:b/>
          <w:sz w:val="24"/>
          <w:szCs w:val="24"/>
        </w:rPr>
      </w:pPr>
      <w:r w:rsidRPr="00A7523D">
        <w:rPr>
          <w:b/>
          <w:sz w:val="24"/>
          <w:szCs w:val="24"/>
        </w:rPr>
        <w:t>2.</w:t>
      </w:r>
      <w:r w:rsidRPr="00A7523D">
        <w:rPr>
          <w:b/>
          <w:sz w:val="24"/>
          <w:szCs w:val="24"/>
        </w:rPr>
        <w:tab/>
        <w:t>KVALITATIV OG KVANTITATIV SAMMENSÆTNING</w:t>
      </w:r>
    </w:p>
    <w:p w14:paraId="64590DD8" w14:textId="77777777" w:rsidR="00A52AC0" w:rsidRPr="00A7523D" w:rsidRDefault="00A52AC0" w:rsidP="00A52AC0">
      <w:pPr>
        <w:suppressAutoHyphens/>
        <w:ind w:left="851"/>
        <w:rPr>
          <w:sz w:val="24"/>
          <w:szCs w:val="24"/>
        </w:rPr>
      </w:pPr>
      <w:r w:rsidRPr="00A7523D">
        <w:rPr>
          <w:sz w:val="24"/>
          <w:szCs w:val="24"/>
        </w:rPr>
        <w:t xml:space="preserve">Hver ml indeholder 20 mg </w:t>
      </w:r>
      <w:proofErr w:type="spellStart"/>
      <w:r w:rsidRPr="00A7523D">
        <w:rPr>
          <w:sz w:val="24"/>
          <w:szCs w:val="24"/>
        </w:rPr>
        <w:t>dorzolamid</w:t>
      </w:r>
      <w:proofErr w:type="spellEnd"/>
      <w:r w:rsidRPr="00A7523D">
        <w:rPr>
          <w:sz w:val="24"/>
          <w:szCs w:val="24"/>
        </w:rPr>
        <w:t xml:space="preserve"> som </w:t>
      </w:r>
      <w:proofErr w:type="spellStart"/>
      <w:r w:rsidRPr="00A7523D">
        <w:rPr>
          <w:sz w:val="24"/>
          <w:szCs w:val="24"/>
        </w:rPr>
        <w:t>dorzolamidhydrochlorid</w:t>
      </w:r>
      <w:proofErr w:type="spellEnd"/>
      <w:r w:rsidRPr="00A7523D">
        <w:rPr>
          <w:sz w:val="24"/>
          <w:szCs w:val="24"/>
        </w:rPr>
        <w:t>.</w:t>
      </w:r>
    </w:p>
    <w:p w14:paraId="4774F7E7" w14:textId="77777777" w:rsidR="00A52AC0" w:rsidRPr="00A7523D" w:rsidRDefault="00A52AC0" w:rsidP="00A52AC0">
      <w:pPr>
        <w:ind w:left="851"/>
        <w:rPr>
          <w:sz w:val="24"/>
          <w:szCs w:val="24"/>
        </w:rPr>
      </w:pPr>
    </w:p>
    <w:p w14:paraId="6D5729FD" w14:textId="77777777" w:rsidR="00A52AC0" w:rsidRPr="00A7523D" w:rsidRDefault="00A52AC0" w:rsidP="00A52AC0">
      <w:pPr>
        <w:spacing w:line="260" w:lineRule="exact"/>
        <w:ind w:left="851" w:hanging="851"/>
        <w:rPr>
          <w:sz w:val="24"/>
          <w:szCs w:val="24"/>
        </w:rPr>
      </w:pPr>
      <w:r w:rsidRPr="00A7523D">
        <w:rPr>
          <w:sz w:val="24"/>
          <w:szCs w:val="24"/>
        </w:rPr>
        <w:tab/>
        <w:t>Alle hjælpestoffer er anført under pkt. 6.1.</w:t>
      </w:r>
    </w:p>
    <w:p w14:paraId="73CB5B32" w14:textId="77777777" w:rsidR="009260DE" w:rsidRPr="00A7523D" w:rsidRDefault="009260DE" w:rsidP="009260DE">
      <w:pPr>
        <w:tabs>
          <w:tab w:val="left" w:pos="851"/>
        </w:tabs>
        <w:ind w:left="851"/>
        <w:rPr>
          <w:sz w:val="24"/>
          <w:szCs w:val="24"/>
        </w:rPr>
      </w:pPr>
    </w:p>
    <w:p w14:paraId="5B767816" w14:textId="77777777" w:rsidR="009260DE" w:rsidRPr="00A7523D" w:rsidRDefault="009260DE" w:rsidP="009260DE">
      <w:pPr>
        <w:tabs>
          <w:tab w:val="left" w:pos="851"/>
        </w:tabs>
        <w:ind w:left="851" w:hanging="851"/>
        <w:rPr>
          <w:b/>
          <w:sz w:val="24"/>
          <w:szCs w:val="24"/>
        </w:rPr>
      </w:pPr>
      <w:r w:rsidRPr="00A7523D">
        <w:rPr>
          <w:b/>
          <w:sz w:val="24"/>
          <w:szCs w:val="24"/>
        </w:rPr>
        <w:t>3.</w:t>
      </w:r>
      <w:r w:rsidRPr="00A7523D">
        <w:rPr>
          <w:b/>
          <w:sz w:val="24"/>
          <w:szCs w:val="24"/>
        </w:rPr>
        <w:tab/>
        <w:t>LÆGEMIDDELFORM</w:t>
      </w:r>
    </w:p>
    <w:p w14:paraId="40C71A3E" w14:textId="77777777" w:rsidR="00A52AC0" w:rsidRPr="00A7523D" w:rsidRDefault="00A52AC0" w:rsidP="00A52AC0">
      <w:pPr>
        <w:pStyle w:val="Sidehoved"/>
        <w:tabs>
          <w:tab w:val="left" w:pos="1304"/>
        </w:tabs>
        <w:suppressAutoHyphens/>
        <w:ind w:left="851"/>
        <w:rPr>
          <w:szCs w:val="24"/>
        </w:rPr>
      </w:pPr>
      <w:r w:rsidRPr="00A7523D">
        <w:rPr>
          <w:szCs w:val="24"/>
        </w:rPr>
        <w:t>Øjendråber, opløsning</w:t>
      </w:r>
    </w:p>
    <w:p w14:paraId="314686B4" w14:textId="77777777" w:rsidR="00A52AC0" w:rsidRPr="00A7523D" w:rsidRDefault="00A52AC0" w:rsidP="00A52AC0">
      <w:pPr>
        <w:suppressAutoHyphens/>
        <w:ind w:left="851"/>
        <w:rPr>
          <w:spacing w:val="-3"/>
          <w:sz w:val="24"/>
          <w:szCs w:val="24"/>
        </w:rPr>
      </w:pPr>
      <w:r w:rsidRPr="00A7523D">
        <w:rPr>
          <w:sz w:val="24"/>
          <w:szCs w:val="24"/>
        </w:rPr>
        <w:t>Klar, farveløs, let viskøs vandig opløsning med en pH mellem</w:t>
      </w:r>
      <w:r w:rsidRPr="00A7523D">
        <w:rPr>
          <w:spacing w:val="-3"/>
          <w:sz w:val="24"/>
          <w:szCs w:val="24"/>
        </w:rPr>
        <w:t xml:space="preserve"> 5,0 og 6,0 og en </w:t>
      </w:r>
      <w:proofErr w:type="spellStart"/>
      <w:r w:rsidRPr="00A7523D">
        <w:rPr>
          <w:spacing w:val="-3"/>
          <w:sz w:val="24"/>
          <w:szCs w:val="24"/>
        </w:rPr>
        <w:t>osmolalitet</w:t>
      </w:r>
      <w:proofErr w:type="spellEnd"/>
      <w:r w:rsidRPr="00A7523D">
        <w:rPr>
          <w:spacing w:val="-3"/>
          <w:sz w:val="24"/>
          <w:szCs w:val="24"/>
        </w:rPr>
        <w:t xml:space="preserve"> på 270‒310 </w:t>
      </w:r>
      <w:proofErr w:type="spellStart"/>
      <w:r w:rsidRPr="00A7523D">
        <w:rPr>
          <w:spacing w:val="-3"/>
          <w:sz w:val="24"/>
          <w:szCs w:val="24"/>
        </w:rPr>
        <w:t>mOsmol</w:t>
      </w:r>
      <w:proofErr w:type="spellEnd"/>
      <w:r w:rsidRPr="00A7523D">
        <w:rPr>
          <w:spacing w:val="-3"/>
          <w:sz w:val="24"/>
          <w:szCs w:val="24"/>
        </w:rPr>
        <w:t>/kg.</w:t>
      </w:r>
    </w:p>
    <w:p w14:paraId="254F589A" w14:textId="77777777" w:rsidR="009260DE" w:rsidRPr="00A7523D" w:rsidRDefault="009260DE" w:rsidP="009260DE">
      <w:pPr>
        <w:tabs>
          <w:tab w:val="left" w:pos="851"/>
        </w:tabs>
        <w:ind w:left="851"/>
        <w:rPr>
          <w:sz w:val="24"/>
          <w:szCs w:val="24"/>
        </w:rPr>
      </w:pPr>
    </w:p>
    <w:p w14:paraId="7006DEE3" w14:textId="77777777" w:rsidR="009260DE" w:rsidRPr="00A7523D" w:rsidRDefault="009260DE" w:rsidP="009260DE">
      <w:pPr>
        <w:tabs>
          <w:tab w:val="left" w:pos="851"/>
        </w:tabs>
        <w:ind w:left="851"/>
        <w:rPr>
          <w:sz w:val="24"/>
          <w:szCs w:val="24"/>
        </w:rPr>
      </w:pPr>
    </w:p>
    <w:p w14:paraId="52A1AD97" w14:textId="77777777" w:rsidR="009260DE" w:rsidRPr="00A7523D" w:rsidRDefault="009260DE" w:rsidP="009260DE">
      <w:pPr>
        <w:tabs>
          <w:tab w:val="left" w:pos="851"/>
        </w:tabs>
        <w:ind w:left="851" w:hanging="851"/>
        <w:rPr>
          <w:b/>
          <w:sz w:val="24"/>
          <w:szCs w:val="24"/>
        </w:rPr>
      </w:pPr>
      <w:r w:rsidRPr="00A7523D">
        <w:rPr>
          <w:b/>
          <w:sz w:val="24"/>
          <w:szCs w:val="24"/>
        </w:rPr>
        <w:t>4.</w:t>
      </w:r>
      <w:r w:rsidRPr="00A7523D">
        <w:rPr>
          <w:b/>
          <w:sz w:val="24"/>
          <w:szCs w:val="24"/>
        </w:rPr>
        <w:tab/>
        <w:t>KLINISKE OPLYSNINGER</w:t>
      </w:r>
    </w:p>
    <w:p w14:paraId="1F8D4EE7" w14:textId="77777777" w:rsidR="009260DE" w:rsidRPr="00A7523D" w:rsidRDefault="009260DE" w:rsidP="009260DE">
      <w:pPr>
        <w:tabs>
          <w:tab w:val="left" w:pos="851"/>
        </w:tabs>
        <w:ind w:left="851"/>
        <w:rPr>
          <w:b/>
          <w:sz w:val="24"/>
          <w:szCs w:val="24"/>
        </w:rPr>
      </w:pPr>
    </w:p>
    <w:p w14:paraId="0B18AD9E" w14:textId="77777777" w:rsidR="009260DE" w:rsidRPr="00A7523D" w:rsidRDefault="009260DE" w:rsidP="009260DE">
      <w:pPr>
        <w:tabs>
          <w:tab w:val="left" w:pos="851"/>
        </w:tabs>
        <w:ind w:left="851" w:hanging="851"/>
        <w:rPr>
          <w:b/>
          <w:sz w:val="24"/>
          <w:szCs w:val="24"/>
          <w:u w:val="single"/>
        </w:rPr>
      </w:pPr>
      <w:r w:rsidRPr="00A7523D">
        <w:rPr>
          <w:b/>
          <w:sz w:val="24"/>
          <w:szCs w:val="24"/>
        </w:rPr>
        <w:t>4.1</w:t>
      </w:r>
      <w:r w:rsidRPr="00A7523D">
        <w:rPr>
          <w:b/>
          <w:sz w:val="24"/>
          <w:szCs w:val="24"/>
        </w:rPr>
        <w:tab/>
        <w:t>Terapeutiske indikationer</w:t>
      </w:r>
    </w:p>
    <w:p w14:paraId="7AA38F26" w14:textId="77777777" w:rsidR="00A52AC0" w:rsidRPr="00A7523D" w:rsidRDefault="00A52AC0" w:rsidP="00A52AC0">
      <w:pPr>
        <w:ind w:left="851"/>
        <w:rPr>
          <w:sz w:val="24"/>
          <w:szCs w:val="24"/>
        </w:rPr>
      </w:pPr>
      <w:proofErr w:type="spellStart"/>
      <w:r w:rsidRPr="00A7523D">
        <w:rPr>
          <w:sz w:val="24"/>
          <w:szCs w:val="24"/>
        </w:rPr>
        <w:t>Vizidor</w:t>
      </w:r>
      <w:proofErr w:type="spellEnd"/>
      <w:r w:rsidRPr="00A7523D">
        <w:rPr>
          <w:sz w:val="24"/>
          <w:szCs w:val="24"/>
        </w:rPr>
        <w:t xml:space="preserve"> øjendråber er indiceret til</w:t>
      </w:r>
    </w:p>
    <w:p w14:paraId="6FB799B1" w14:textId="77777777" w:rsidR="00A52AC0" w:rsidRPr="00A7523D" w:rsidRDefault="00A52AC0" w:rsidP="00A52AC0">
      <w:pPr>
        <w:pStyle w:val="Listeafsnit"/>
        <w:numPr>
          <w:ilvl w:val="0"/>
          <w:numId w:val="6"/>
        </w:numPr>
        <w:ind w:left="1418" w:hanging="567"/>
        <w:rPr>
          <w:sz w:val="24"/>
          <w:szCs w:val="24"/>
        </w:rPr>
      </w:pPr>
      <w:r w:rsidRPr="00A7523D">
        <w:rPr>
          <w:sz w:val="24"/>
          <w:szCs w:val="24"/>
        </w:rPr>
        <w:t>Supplerende behandling til betablokkere</w:t>
      </w:r>
    </w:p>
    <w:p w14:paraId="719002ED" w14:textId="77777777" w:rsidR="00A52AC0" w:rsidRPr="00A7523D" w:rsidRDefault="00A52AC0" w:rsidP="00A52AC0">
      <w:pPr>
        <w:pStyle w:val="Listeafsnit"/>
        <w:numPr>
          <w:ilvl w:val="0"/>
          <w:numId w:val="6"/>
        </w:numPr>
        <w:ind w:left="1418" w:hanging="567"/>
        <w:rPr>
          <w:sz w:val="24"/>
          <w:szCs w:val="24"/>
        </w:rPr>
      </w:pPr>
      <w:r w:rsidRPr="00A7523D">
        <w:rPr>
          <w:sz w:val="24"/>
          <w:szCs w:val="24"/>
        </w:rPr>
        <w:t xml:space="preserve">Som monoterapi hos patienter, der ikke responderer på </w:t>
      </w:r>
      <w:r w:rsidRPr="00A7523D">
        <w:rPr>
          <w:rStyle w:val="Sidetal"/>
          <w:sz w:val="24"/>
          <w:szCs w:val="24"/>
        </w:rPr>
        <w:t>betablokkere eller hos hvem betablokkere er kontraindicerede</w:t>
      </w:r>
    </w:p>
    <w:p w14:paraId="3CCD2008" w14:textId="77777777" w:rsidR="00A52AC0" w:rsidRPr="00A7523D" w:rsidRDefault="00A52AC0" w:rsidP="00A52AC0">
      <w:pPr>
        <w:ind w:left="851"/>
        <w:rPr>
          <w:sz w:val="24"/>
          <w:szCs w:val="24"/>
        </w:rPr>
      </w:pPr>
      <w:r w:rsidRPr="00A7523D">
        <w:rPr>
          <w:sz w:val="24"/>
          <w:szCs w:val="24"/>
        </w:rPr>
        <w:t xml:space="preserve">behandling af forhøjet </w:t>
      </w:r>
      <w:proofErr w:type="spellStart"/>
      <w:r w:rsidRPr="00A7523D">
        <w:rPr>
          <w:sz w:val="24"/>
          <w:szCs w:val="24"/>
        </w:rPr>
        <w:t>intraokulært</w:t>
      </w:r>
      <w:proofErr w:type="spellEnd"/>
      <w:r w:rsidRPr="00A7523D">
        <w:rPr>
          <w:sz w:val="24"/>
          <w:szCs w:val="24"/>
        </w:rPr>
        <w:t xml:space="preserve"> tryk hos patienter med </w:t>
      </w:r>
    </w:p>
    <w:p w14:paraId="245295F8" w14:textId="77777777" w:rsidR="00A52AC0" w:rsidRPr="00A7523D" w:rsidRDefault="00A52AC0" w:rsidP="00A52AC0">
      <w:pPr>
        <w:pStyle w:val="Listeafsnit"/>
        <w:numPr>
          <w:ilvl w:val="0"/>
          <w:numId w:val="6"/>
        </w:numPr>
        <w:ind w:left="1418" w:hanging="567"/>
        <w:rPr>
          <w:sz w:val="24"/>
          <w:szCs w:val="24"/>
        </w:rPr>
      </w:pPr>
      <w:proofErr w:type="spellStart"/>
      <w:r w:rsidRPr="00A7523D">
        <w:rPr>
          <w:sz w:val="24"/>
          <w:szCs w:val="24"/>
        </w:rPr>
        <w:t>okulær</w:t>
      </w:r>
      <w:proofErr w:type="spellEnd"/>
      <w:r w:rsidRPr="00A7523D">
        <w:rPr>
          <w:sz w:val="24"/>
          <w:szCs w:val="24"/>
        </w:rPr>
        <w:t xml:space="preserve"> hypertension</w:t>
      </w:r>
    </w:p>
    <w:p w14:paraId="0F501460" w14:textId="77777777" w:rsidR="00A52AC0" w:rsidRPr="00A7523D" w:rsidRDefault="00A52AC0" w:rsidP="00A52AC0">
      <w:pPr>
        <w:pStyle w:val="Listeafsnit"/>
        <w:numPr>
          <w:ilvl w:val="0"/>
          <w:numId w:val="6"/>
        </w:numPr>
        <w:ind w:left="1418" w:hanging="567"/>
        <w:rPr>
          <w:sz w:val="24"/>
          <w:szCs w:val="24"/>
        </w:rPr>
      </w:pPr>
      <w:r w:rsidRPr="00A7523D">
        <w:rPr>
          <w:sz w:val="24"/>
          <w:szCs w:val="24"/>
        </w:rPr>
        <w:t xml:space="preserve">åbenvinklet </w:t>
      </w:r>
      <w:proofErr w:type="spellStart"/>
      <w:r w:rsidRPr="00A7523D">
        <w:rPr>
          <w:sz w:val="24"/>
          <w:szCs w:val="24"/>
        </w:rPr>
        <w:t>glaukom</w:t>
      </w:r>
      <w:proofErr w:type="spellEnd"/>
    </w:p>
    <w:p w14:paraId="0E2A7315" w14:textId="77777777" w:rsidR="00A52AC0" w:rsidRPr="00A7523D" w:rsidRDefault="00A52AC0" w:rsidP="00A52AC0">
      <w:pPr>
        <w:pStyle w:val="Listeafsnit"/>
        <w:numPr>
          <w:ilvl w:val="0"/>
          <w:numId w:val="6"/>
        </w:numPr>
        <w:ind w:left="1418" w:hanging="567"/>
        <w:rPr>
          <w:sz w:val="24"/>
          <w:szCs w:val="24"/>
        </w:rPr>
      </w:pPr>
      <w:proofErr w:type="spellStart"/>
      <w:r w:rsidRPr="00A7523D">
        <w:rPr>
          <w:sz w:val="24"/>
          <w:szCs w:val="24"/>
        </w:rPr>
        <w:t>pseudoeksfoliativt</w:t>
      </w:r>
      <w:proofErr w:type="spellEnd"/>
      <w:r w:rsidRPr="00A7523D">
        <w:rPr>
          <w:sz w:val="24"/>
          <w:szCs w:val="24"/>
        </w:rPr>
        <w:t xml:space="preserve"> </w:t>
      </w:r>
      <w:proofErr w:type="spellStart"/>
      <w:r w:rsidRPr="00A7523D">
        <w:rPr>
          <w:sz w:val="24"/>
          <w:szCs w:val="24"/>
        </w:rPr>
        <w:t>glaukom</w:t>
      </w:r>
      <w:proofErr w:type="spellEnd"/>
    </w:p>
    <w:p w14:paraId="5DF4E119" w14:textId="77777777" w:rsidR="009260DE" w:rsidRPr="00A7523D" w:rsidRDefault="009260DE" w:rsidP="009260DE">
      <w:pPr>
        <w:tabs>
          <w:tab w:val="left" w:pos="851"/>
        </w:tabs>
        <w:ind w:left="851"/>
        <w:rPr>
          <w:sz w:val="24"/>
          <w:szCs w:val="24"/>
        </w:rPr>
      </w:pPr>
    </w:p>
    <w:p w14:paraId="166C6968" w14:textId="77777777" w:rsidR="009260DE" w:rsidRPr="00A7523D" w:rsidRDefault="009260DE" w:rsidP="009260DE">
      <w:pPr>
        <w:tabs>
          <w:tab w:val="left" w:pos="851"/>
        </w:tabs>
        <w:ind w:left="851" w:hanging="851"/>
        <w:rPr>
          <w:b/>
          <w:sz w:val="24"/>
          <w:szCs w:val="24"/>
        </w:rPr>
      </w:pPr>
      <w:r w:rsidRPr="00A7523D">
        <w:rPr>
          <w:b/>
          <w:sz w:val="24"/>
          <w:szCs w:val="24"/>
        </w:rPr>
        <w:t>4.2</w:t>
      </w:r>
      <w:r w:rsidRPr="00A7523D">
        <w:rPr>
          <w:b/>
          <w:sz w:val="24"/>
          <w:szCs w:val="24"/>
        </w:rPr>
        <w:tab/>
        <w:t xml:space="preserve">Dosering og </w:t>
      </w:r>
      <w:r w:rsidR="002C1EC0" w:rsidRPr="00A7523D">
        <w:rPr>
          <w:b/>
          <w:sz w:val="24"/>
          <w:szCs w:val="24"/>
        </w:rPr>
        <w:t>administration</w:t>
      </w:r>
    </w:p>
    <w:p w14:paraId="612BDBC2" w14:textId="77777777" w:rsidR="00A7523D" w:rsidRDefault="00A7523D" w:rsidP="00A52AC0">
      <w:pPr>
        <w:ind w:left="851"/>
        <w:rPr>
          <w:sz w:val="24"/>
          <w:szCs w:val="24"/>
          <w:u w:val="single"/>
        </w:rPr>
      </w:pPr>
    </w:p>
    <w:p w14:paraId="21642240" w14:textId="706B586A" w:rsidR="00A52AC0" w:rsidRPr="00A7523D" w:rsidRDefault="00A52AC0" w:rsidP="00A52AC0">
      <w:pPr>
        <w:ind w:left="851"/>
        <w:rPr>
          <w:sz w:val="24"/>
          <w:szCs w:val="24"/>
          <w:u w:val="single"/>
        </w:rPr>
      </w:pPr>
      <w:r w:rsidRPr="00A7523D">
        <w:rPr>
          <w:sz w:val="24"/>
          <w:szCs w:val="24"/>
          <w:u w:val="single"/>
        </w:rPr>
        <w:t>Dosering</w:t>
      </w:r>
    </w:p>
    <w:p w14:paraId="1982C0E7" w14:textId="77777777" w:rsidR="00A52AC0" w:rsidRPr="00A7523D" w:rsidRDefault="00A52AC0" w:rsidP="00A52AC0">
      <w:pPr>
        <w:ind w:left="851"/>
        <w:rPr>
          <w:sz w:val="24"/>
          <w:szCs w:val="24"/>
        </w:rPr>
      </w:pPr>
    </w:p>
    <w:p w14:paraId="482F149E" w14:textId="77777777" w:rsidR="00A52AC0" w:rsidRPr="00A7523D" w:rsidRDefault="00A52AC0" w:rsidP="00A52AC0">
      <w:pPr>
        <w:ind w:left="851"/>
        <w:rPr>
          <w:sz w:val="24"/>
          <w:szCs w:val="24"/>
        </w:rPr>
      </w:pPr>
      <w:r w:rsidRPr="00A7523D">
        <w:rPr>
          <w:sz w:val="24"/>
          <w:szCs w:val="24"/>
        </w:rPr>
        <w:t xml:space="preserve">Når </w:t>
      </w:r>
      <w:proofErr w:type="spellStart"/>
      <w:r w:rsidRPr="00A7523D">
        <w:rPr>
          <w:sz w:val="24"/>
          <w:szCs w:val="24"/>
        </w:rPr>
        <w:t>Vizidor</w:t>
      </w:r>
      <w:proofErr w:type="spellEnd"/>
      <w:r w:rsidRPr="00A7523D">
        <w:rPr>
          <w:sz w:val="24"/>
          <w:szCs w:val="24"/>
        </w:rPr>
        <w:t xml:space="preserve"> anvendes som monoterapi, er dosis én dråbe </w:t>
      </w:r>
      <w:proofErr w:type="spellStart"/>
      <w:r w:rsidRPr="00A7523D">
        <w:rPr>
          <w:sz w:val="24"/>
          <w:szCs w:val="24"/>
        </w:rPr>
        <w:t>dorzolamid</w:t>
      </w:r>
      <w:proofErr w:type="spellEnd"/>
      <w:r w:rsidRPr="00A7523D">
        <w:rPr>
          <w:sz w:val="24"/>
          <w:szCs w:val="24"/>
        </w:rPr>
        <w:t xml:space="preserve"> i </w:t>
      </w:r>
      <w:proofErr w:type="spellStart"/>
      <w:r w:rsidRPr="00A7523D">
        <w:rPr>
          <w:sz w:val="24"/>
          <w:szCs w:val="24"/>
        </w:rPr>
        <w:t>konjunktivalsækken</w:t>
      </w:r>
      <w:proofErr w:type="spellEnd"/>
      <w:r w:rsidRPr="00A7523D">
        <w:rPr>
          <w:sz w:val="24"/>
          <w:szCs w:val="24"/>
        </w:rPr>
        <w:t xml:space="preserve"> i de(t) berørte øjne(øje), tre gange daglig. </w:t>
      </w:r>
    </w:p>
    <w:p w14:paraId="5136BBCD" w14:textId="77777777" w:rsidR="00A52AC0" w:rsidRPr="00A7523D" w:rsidRDefault="00A52AC0" w:rsidP="00A52AC0">
      <w:pPr>
        <w:ind w:left="851"/>
        <w:rPr>
          <w:sz w:val="24"/>
          <w:szCs w:val="24"/>
        </w:rPr>
      </w:pPr>
    </w:p>
    <w:p w14:paraId="3BCF8F79" w14:textId="77777777" w:rsidR="00A52AC0" w:rsidRPr="00A7523D" w:rsidRDefault="00A52AC0" w:rsidP="00A52AC0">
      <w:pPr>
        <w:ind w:left="851"/>
        <w:rPr>
          <w:sz w:val="24"/>
          <w:szCs w:val="24"/>
        </w:rPr>
      </w:pPr>
      <w:r w:rsidRPr="00A7523D">
        <w:rPr>
          <w:sz w:val="24"/>
          <w:szCs w:val="24"/>
        </w:rPr>
        <w:t xml:space="preserve">Når </w:t>
      </w:r>
      <w:proofErr w:type="spellStart"/>
      <w:r w:rsidRPr="00A7523D">
        <w:rPr>
          <w:sz w:val="24"/>
          <w:szCs w:val="24"/>
        </w:rPr>
        <w:t>Vizidor</w:t>
      </w:r>
      <w:proofErr w:type="spellEnd"/>
      <w:r w:rsidRPr="00A7523D">
        <w:rPr>
          <w:sz w:val="24"/>
          <w:szCs w:val="24"/>
        </w:rPr>
        <w:t xml:space="preserve"> anvendes som supplerende behandling med en </w:t>
      </w:r>
      <w:proofErr w:type="spellStart"/>
      <w:r w:rsidRPr="00A7523D">
        <w:rPr>
          <w:sz w:val="24"/>
          <w:szCs w:val="24"/>
        </w:rPr>
        <w:t>oftalmisk</w:t>
      </w:r>
      <w:proofErr w:type="spellEnd"/>
      <w:r w:rsidRPr="00A7523D">
        <w:rPr>
          <w:sz w:val="24"/>
          <w:szCs w:val="24"/>
        </w:rPr>
        <w:t xml:space="preserve"> betablokker, er dosis én dråbe </w:t>
      </w:r>
      <w:proofErr w:type="spellStart"/>
      <w:r w:rsidRPr="00A7523D">
        <w:rPr>
          <w:sz w:val="24"/>
          <w:szCs w:val="24"/>
        </w:rPr>
        <w:t>dorzolamid</w:t>
      </w:r>
      <w:proofErr w:type="spellEnd"/>
      <w:r w:rsidRPr="00A7523D">
        <w:rPr>
          <w:sz w:val="24"/>
          <w:szCs w:val="24"/>
        </w:rPr>
        <w:t xml:space="preserve"> i </w:t>
      </w:r>
      <w:proofErr w:type="spellStart"/>
      <w:r w:rsidRPr="00A7523D">
        <w:rPr>
          <w:sz w:val="24"/>
          <w:szCs w:val="24"/>
        </w:rPr>
        <w:t>konjunktivalsækken</w:t>
      </w:r>
      <w:proofErr w:type="spellEnd"/>
      <w:r w:rsidRPr="00A7523D">
        <w:rPr>
          <w:sz w:val="24"/>
          <w:szCs w:val="24"/>
        </w:rPr>
        <w:t xml:space="preserve"> i de(t) berørte øjne(øje) to gange daglig.</w:t>
      </w:r>
    </w:p>
    <w:p w14:paraId="24BFF34B" w14:textId="77777777" w:rsidR="00A52AC0" w:rsidRPr="00A7523D" w:rsidRDefault="00A52AC0" w:rsidP="00A52AC0">
      <w:pPr>
        <w:ind w:left="851"/>
        <w:rPr>
          <w:sz w:val="24"/>
          <w:szCs w:val="24"/>
        </w:rPr>
      </w:pPr>
    </w:p>
    <w:p w14:paraId="72E55205" w14:textId="77777777" w:rsidR="00A52AC0" w:rsidRPr="00A7523D" w:rsidRDefault="00A52AC0" w:rsidP="00A52AC0">
      <w:pPr>
        <w:ind w:left="851"/>
        <w:rPr>
          <w:sz w:val="24"/>
          <w:szCs w:val="24"/>
        </w:rPr>
      </w:pPr>
      <w:r w:rsidRPr="00A7523D">
        <w:rPr>
          <w:sz w:val="24"/>
          <w:szCs w:val="24"/>
        </w:rPr>
        <w:t xml:space="preserve">Når </w:t>
      </w:r>
      <w:proofErr w:type="spellStart"/>
      <w:r w:rsidRPr="00A7523D">
        <w:rPr>
          <w:sz w:val="24"/>
          <w:szCs w:val="24"/>
        </w:rPr>
        <w:t>Vizidor</w:t>
      </w:r>
      <w:proofErr w:type="spellEnd"/>
      <w:r w:rsidRPr="00A7523D">
        <w:rPr>
          <w:sz w:val="24"/>
          <w:szCs w:val="24"/>
        </w:rPr>
        <w:t xml:space="preserve"> erstattes med et andet øjenpræparat mod </w:t>
      </w:r>
      <w:proofErr w:type="spellStart"/>
      <w:r w:rsidRPr="00A7523D">
        <w:rPr>
          <w:sz w:val="24"/>
          <w:szCs w:val="24"/>
        </w:rPr>
        <w:t>glaukom</w:t>
      </w:r>
      <w:proofErr w:type="spellEnd"/>
      <w:r w:rsidRPr="00A7523D">
        <w:rPr>
          <w:sz w:val="24"/>
          <w:szCs w:val="24"/>
        </w:rPr>
        <w:t xml:space="preserve">, skal det andet præparat afbrydes efter korrekt dosering på én dag, og </w:t>
      </w:r>
      <w:proofErr w:type="spellStart"/>
      <w:r w:rsidRPr="00A7523D">
        <w:rPr>
          <w:sz w:val="24"/>
          <w:szCs w:val="24"/>
        </w:rPr>
        <w:t>Vizidor</w:t>
      </w:r>
      <w:proofErr w:type="spellEnd"/>
      <w:r w:rsidRPr="00A7523D">
        <w:rPr>
          <w:sz w:val="24"/>
          <w:szCs w:val="24"/>
        </w:rPr>
        <w:t xml:space="preserve"> påbegyndes den næste dag.</w:t>
      </w:r>
    </w:p>
    <w:p w14:paraId="6288787C" w14:textId="77777777" w:rsidR="00A52AC0" w:rsidRPr="00A7523D" w:rsidRDefault="00A52AC0" w:rsidP="00A52AC0">
      <w:pPr>
        <w:ind w:left="851"/>
        <w:rPr>
          <w:sz w:val="24"/>
          <w:szCs w:val="24"/>
        </w:rPr>
      </w:pPr>
    </w:p>
    <w:p w14:paraId="288311D4" w14:textId="77777777" w:rsidR="00A52AC0" w:rsidRPr="00A7523D" w:rsidRDefault="00A52AC0" w:rsidP="00A52AC0">
      <w:pPr>
        <w:ind w:left="851"/>
        <w:rPr>
          <w:sz w:val="24"/>
          <w:szCs w:val="24"/>
        </w:rPr>
      </w:pPr>
      <w:r w:rsidRPr="00A7523D">
        <w:rPr>
          <w:sz w:val="24"/>
          <w:szCs w:val="24"/>
        </w:rPr>
        <w:t xml:space="preserve">Hvis der anvendes mere end et </w:t>
      </w:r>
      <w:proofErr w:type="spellStart"/>
      <w:r w:rsidRPr="00A7523D">
        <w:rPr>
          <w:sz w:val="24"/>
          <w:szCs w:val="24"/>
        </w:rPr>
        <w:t>topikalt</w:t>
      </w:r>
      <w:proofErr w:type="spellEnd"/>
      <w:r w:rsidRPr="00A7523D">
        <w:rPr>
          <w:sz w:val="24"/>
          <w:szCs w:val="24"/>
        </w:rPr>
        <w:t xml:space="preserve"> øjenpræparat, skal </w:t>
      </w:r>
      <w:proofErr w:type="spellStart"/>
      <w:r w:rsidRPr="00A7523D">
        <w:rPr>
          <w:sz w:val="24"/>
          <w:szCs w:val="24"/>
        </w:rPr>
        <w:t>Vizidor</w:t>
      </w:r>
      <w:proofErr w:type="spellEnd"/>
      <w:r w:rsidRPr="00A7523D">
        <w:rPr>
          <w:sz w:val="24"/>
          <w:szCs w:val="24"/>
        </w:rPr>
        <w:t xml:space="preserve"> og det andet præparat administreres med mindst 10 minutters mellemrum.</w:t>
      </w:r>
    </w:p>
    <w:p w14:paraId="474FB141" w14:textId="77777777" w:rsidR="00A52AC0" w:rsidRPr="00A7523D" w:rsidRDefault="00A52AC0" w:rsidP="00A7523D">
      <w:pPr>
        <w:ind w:left="851"/>
        <w:rPr>
          <w:sz w:val="24"/>
          <w:szCs w:val="24"/>
        </w:rPr>
      </w:pPr>
    </w:p>
    <w:p w14:paraId="574FF024" w14:textId="77777777" w:rsidR="00A52AC0" w:rsidRPr="00A7523D" w:rsidRDefault="00A52AC0" w:rsidP="00A52AC0">
      <w:pPr>
        <w:ind w:left="851"/>
        <w:rPr>
          <w:sz w:val="24"/>
          <w:szCs w:val="24"/>
        </w:rPr>
      </w:pPr>
      <w:r w:rsidRPr="00A7523D">
        <w:rPr>
          <w:sz w:val="24"/>
          <w:szCs w:val="24"/>
        </w:rPr>
        <w:t>Patienter bør instrueres i at vaske hænder før brug og undgå berøring af øjet eller øjenomgivelserne med spidsen af flasken.</w:t>
      </w:r>
    </w:p>
    <w:p w14:paraId="30BC73A4" w14:textId="77777777" w:rsidR="00A52AC0" w:rsidRPr="00A7523D" w:rsidRDefault="00A52AC0" w:rsidP="00A52AC0">
      <w:pPr>
        <w:ind w:left="851"/>
        <w:rPr>
          <w:sz w:val="24"/>
          <w:szCs w:val="24"/>
        </w:rPr>
      </w:pPr>
    </w:p>
    <w:p w14:paraId="48AD16E5" w14:textId="77777777" w:rsidR="00A52AC0" w:rsidRPr="00A7523D" w:rsidRDefault="00A52AC0" w:rsidP="00A52AC0">
      <w:pPr>
        <w:ind w:left="851"/>
        <w:rPr>
          <w:sz w:val="24"/>
          <w:szCs w:val="24"/>
        </w:rPr>
      </w:pPr>
      <w:r w:rsidRPr="00A7523D">
        <w:rPr>
          <w:sz w:val="24"/>
          <w:szCs w:val="24"/>
        </w:rPr>
        <w:t xml:space="preserve">Patienter bør også instrueres i, at øjendråber, hvis de håndteres forkert, kan blive kontamineret af almindelige bakterier, som er kendt for at forårsage øjeninfektioner. Brug af kontaminerede opløsninger kan resultere i alvorlige skader på øjet og efterfølgende synstab. </w:t>
      </w:r>
    </w:p>
    <w:p w14:paraId="33543180" w14:textId="77777777" w:rsidR="00A52AC0" w:rsidRPr="00A7523D" w:rsidRDefault="00A52AC0" w:rsidP="00A52AC0">
      <w:pPr>
        <w:ind w:left="851"/>
        <w:rPr>
          <w:iCs/>
          <w:sz w:val="24"/>
          <w:szCs w:val="24"/>
          <w:u w:val="single"/>
        </w:rPr>
      </w:pPr>
    </w:p>
    <w:p w14:paraId="3FFBBAF7" w14:textId="77777777" w:rsidR="00A52AC0" w:rsidRPr="00A7523D" w:rsidRDefault="00A52AC0" w:rsidP="00A52AC0">
      <w:pPr>
        <w:ind w:left="851"/>
        <w:rPr>
          <w:iCs/>
          <w:sz w:val="24"/>
          <w:szCs w:val="24"/>
        </w:rPr>
      </w:pPr>
      <w:r w:rsidRPr="00A7523D">
        <w:rPr>
          <w:iCs/>
          <w:sz w:val="24"/>
          <w:szCs w:val="24"/>
        </w:rPr>
        <w:t xml:space="preserve">Ved brug af </w:t>
      </w:r>
      <w:proofErr w:type="spellStart"/>
      <w:r w:rsidRPr="00A7523D">
        <w:rPr>
          <w:iCs/>
          <w:sz w:val="24"/>
          <w:szCs w:val="24"/>
        </w:rPr>
        <w:t>nasolakrimal</w:t>
      </w:r>
      <w:proofErr w:type="spellEnd"/>
      <w:r w:rsidRPr="00A7523D">
        <w:rPr>
          <w:iCs/>
          <w:sz w:val="24"/>
          <w:szCs w:val="24"/>
        </w:rPr>
        <w:t xml:space="preserve"> </w:t>
      </w:r>
      <w:proofErr w:type="spellStart"/>
      <w:r w:rsidRPr="00A7523D">
        <w:rPr>
          <w:iCs/>
          <w:sz w:val="24"/>
          <w:szCs w:val="24"/>
        </w:rPr>
        <w:t>okklusion</w:t>
      </w:r>
      <w:proofErr w:type="spellEnd"/>
      <w:r w:rsidRPr="00A7523D">
        <w:rPr>
          <w:iCs/>
          <w:sz w:val="24"/>
          <w:szCs w:val="24"/>
        </w:rPr>
        <w:t xml:space="preserve"> eller lukning af øjenlågene i 2 minutter, reduceres den systemiske absorption. Dette kan resultere i et fald i systemiske bivirkninger og en stigning i lokal aktivitet. </w:t>
      </w:r>
    </w:p>
    <w:p w14:paraId="374069CD" w14:textId="77777777" w:rsidR="00A52AC0" w:rsidRPr="00A7523D" w:rsidRDefault="00A52AC0" w:rsidP="00A52AC0">
      <w:pPr>
        <w:ind w:left="851"/>
        <w:rPr>
          <w:iCs/>
          <w:sz w:val="24"/>
          <w:szCs w:val="24"/>
        </w:rPr>
      </w:pPr>
    </w:p>
    <w:p w14:paraId="3D27AFAB" w14:textId="77777777" w:rsidR="00A52AC0" w:rsidRPr="00A7523D" w:rsidRDefault="00A52AC0" w:rsidP="00A52AC0">
      <w:pPr>
        <w:ind w:left="851"/>
        <w:rPr>
          <w:sz w:val="24"/>
          <w:szCs w:val="24"/>
        </w:rPr>
      </w:pPr>
      <w:proofErr w:type="spellStart"/>
      <w:r w:rsidRPr="00A7523D">
        <w:rPr>
          <w:color w:val="000000" w:themeColor="text1"/>
          <w:sz w:val="24"/>
          <w:szCs w:val="24"/>
        </w:rPr>
        <w:t>Vizidor</w:t>
      </w:r>
      <w:proofErr w:type="spellEnd"/>
      <w:r w:rsidRPr="00A7523D">
        <w:rPr>
          <w:sz w:val="24"/>
          <w:szCs w:val="24"/>
        </w:rPr>
        <w:t xml:space="preserve"> </w:t>
      </w:r>
      <w:r w:rsidRPr="00A7523D">
        <w:rPr>
          <w:color w:val="222222"/>
          <w:sz w:val="24"/>
          <w:szCs w:val="24"/>
        </w:rPr>
        <w:t xml:space="preserve">øjendråber er en steril opløsning, som ikke indeholder konserveringsmiddel. </w:t>
      </w:r>
      <w:r w:rsidRPr="00A7523D">
        <w:rPr>
          <w:sz w:val="24"/>
          <w:szCs w:val="24"/>
        </w:rPr>
        <w:t>Opløsningen fra flerdosisbeholderen må anvendes til administration i de(t) afficerede øjne(øje) i op til 28 dage efter første anbrud.</w:t>
      </w:r>
    </w:p>
    <w:p w14:paraId="368B16ED" w14:textId="77777777" w:rsidR="00A52AC0" w:rsidRPr="00A7523D" w:rsidRDefault="00A52AC0" w:rsidP="00A52AC0">
      <w:pPr>
        <w:ind w:left="851"/>
        <w:rPr>
          <w:sz w:val="24"/>
          <w:szCs w:val="24"/>
        </w:rPr>
      </w:pPr>
    </w:p>
    <w:p w14:paraId="10FB59D8" w14:textId="77777777" w:rsidR="00A52AC0" w:rsidRPr="00A7523D" w:rsidRDefault="00A52AC0" w:rsidP="00A52AC0">
      <w:pPr>
        <w:ind w:left="851"/>
        <w:rPr>
          <w:sz w:val="24"/>
          <w:szCs w:val="24"/>
          <w:u w:val="single"/>
        </w:rPr>
      </w:pPr>
      <w:r w:rsidRPr="00A7523D">
        <w:rPr>
          <w:sz w:val="24"/>
          <w:szCs w:val="24"/>
          <w:u w:val="single"/>
        </w:rPr>
        <w:t>Pædiatrisk population</w:t>
      </w:r>
    </w:p>
    <w:p w14:paraId="15B25B7C" w14:textId="77777777" w:rsidR="00A52AC0" w:rsidRPr="00A7523D" w:rsidRDefault="00A52AC0" w:rsidP="00A52AC0">
      <w:pPr>
        <w:ind w:left="851"/>
        <w:rPr>
          <w:sz w:val="24"/>
          <w:szCs w:val="24"/>
        </w:rPr>
      </w:pPr>
      <w:r w:rsidRPr="00A7523D">
        <w:rPr>
          <w:sz w:val="24"/>
          <w:szCs w:val="24"/>
        </w:rPr>
        <w:t xml:space="preserve">Der findes begrænsede data hos pædiatriske patienter for administration af </w:t>
      </w:r>
      <w:proofErr w:type="spellStart"/>
      <w:r w:rsidRPr="00A7523D">
        <w:rPr>
          <w:sz w:val="24"/>
          <w:szCs w:val="24"/>
        </w:rPr>
        <w:t>dorzolamid</w:t>
      </w:r>
      <w:proofErr w:type="spellEnd"/>
      <w:r w:rsidRPr="00A7523D">
        <w:rPr>
          <w:sz w:val="24"/>
          <w:szCs w:val="24"/>
        </w:rPr>
        <w:t xml:space="preserve"> (konserveret opløsning) tre gange daglig (for information om pædiatrisk dosering se pkt. 5.1).</w:t>
      </w:r>
    </w:p>
    <w:p w14:paraId="766C575F" w14:textId="77777777" w:rsidR="00A52AC0" w:rsidRPr="00A7523D" w:rsidRDefault="00A52AC0" w:rsidP="00A52AC0">
      <w:pPr>
        <w:ind w:left="851"/>
        <w:rPr>
          <w:sz w:val="24"/>
          <w:szCs w:val="24"/>
        </w:rPr>
      </w:pPr>
    </w:p>
    <w:p w14:paraId="3560C19C" w14:textId="77777777" w:rsidR="00A52AC0" w:rsidRPr="00A7523D" w:rsidRDefault="00A52AC0" w:rsidP="00A52AC0">
      <w:pPr>
        <w:ind w:left="851"/>
        <w:rPr>
          <w:sz w:val="24"/>
          <w:szCs w:val="24"/>
          <w:u w:val="single"/>
        </w:rPr>
      </w:pPr>
      <w:r w:rsidRPr="00A7523D">
        <w:rPr>
          <w:sz w:val="24"/>
          <w:szCs w:val="24"/>
          <w:u w:val="single"/>
        </w:rPr>
        <w:t>Administration</w:t>
      </w:r>
    </w:p>
    <w:p w14:paraId="5BF05F4D" w14:textId="77777777" w:rsidR="00A52AC0" w:rsidRPr="00A7523D" w:rsidRDefault="00A52AC0" w:rsidP="00A52AC0">
      <w:pPr>
        <w:ind w:left="851"/>
        <w:rPr>
          <w:sz w:val="24"/>
          <w:szCs w:val="24"/>
        </w:rPr>
      </w:pPr>
    </w:p>
    <w:p w14:paraId="2F8500D0" w14:textId="77777777" w:rsidR="00A52AC0" w:rsidRPr="00A7523D" w:rsidRDefault="00A52AC0" w:rsidP="00A52AC0">
      <w:pPr>
        <w:ind w:left="851"/>
        <w:rPr>
          <w:b/>
          <w:bCs/>
          <w:sz w:val="24"/>
          <w:szCs w:val="24"/>
        </w:rPr>
      </w:pPr>
      <w:r w:rsidRPr="00A7523D">
        <w:rPr>
          <w:b/>
          <w:bCs/>
          <w:sz w:val="24"/>
          <w:szCs w:val="24"/>
        </w:rPr>
        <w:t xml:space="preserve">Før </w:t>
      </w:r>
      <w:proofErr w:type="spellStart"/>
      <w:r w:rsidRPr="00A7523D">
        <w:rPr>
          <w:b/>
          <w:bCs/>
          <w:sz w:val="24"/>
          <w:szCs w:val="24"/>
        </w:rPr>
        <w:t>inddrypning</w:t>
      </w:r>
      <w:proofErr w:type="spellEnd"/>
      <w:r w:rsidRPr="00A7523D">
        <w:rPr>
          <w:b/>
          <w:bCs/>
          <w:sz w:val="24"/>
          <w:szCs w:val="24"/>
        </w:rPr>
        <w:t xml:space="preserve"> af øjendråber:</w:t>
      </w:r>
    </w:p>
    <w:p w14:paraId="1C7CFE5C" w14:textId="77777777" w:rsidR="00A52AC0" w:rsidRPr="00A7523D" w:rsidRDefault="00A52AC0" w:rsidP="00A52AC0">
      <w:pPr>
        <w:pStyle w:val="Listeafsnit"/>
        <w:numPr>
          <w:ilvl w:val="0"/>
          <w:numId w:val="6"/>
        </w:numPr>
        <w:ind w:left="1418" w:hanging="567"/>
        <w:rPr>
          <w:sz w:val="24"/>
          <w:szCs w:val="24"/>
        </w:rPr>
      </w:pPr>
      <w:r w:rsidRPr="00A7523D">
        <w:rPr>
          <w:sz w:val="24"/>
          <w:szCs w:val="24"/>
        </w:rPr>
        <w:t>Patienterne bør instrueres i at vaske hænder før åbning af flasken.</w:t>
      </w:r>
    </w:p>
    <w:p w14:paraId="0236DE40" w14:textId="77777777" w:rsidR="00A52AC0" w:rsidRPr="00A7523D" w:rsidRDefault="00A52AC0" w:rsidP="00A52AC0">
      <w:pPr>
        <w:pStyle w:val="Listeafsnit"/>
        <w:numPr>
          <w:ilvl w:val="0"/>
          <w:numId w:val="6"/>
        </w:numPr>
        <w:ind w:left="1418" w:hanging="567"/>
        <w:rPr>
          <w:sz w:val="24"/>
          <w:szCs w:val="24"/>
        </w:rPr>
      </w:pPr>
      <w:r w:rsidRPr="00A7523D">
        <w:rPr>
          <w:sz w:val="24"/>
          <w:szCs w:val="24"/>
        </w:rPr>
        <w:t>Patienterne bør også instrueres i ikke at anvende lægemidlet, hvis de observerer at forseglingen på flaskens hals er brudt før første anvendelse.</w:t>
      </w:r>
    </w:p>
    <w:p w14:paraId="0DF8F407" w14:textId="77777777" w:rsidR="00A52AC0" w:rsidRPr="00A7523D" w:rsidRDefault="00A52AC0" w:rsidP="00A52AC0">
      <w:pPr>
        <w:pStyle w:val="Listeafsnit"/>
        <w:numPr>
          <w:ilvl w:val="0"/>
          <w:numId w:val="6"/>
        </w:numPr>
        <w:ind w:left="1418" w:hanging="567"/>
        <w:rPr>
          <w:sz w:val="24"/>
          <w:szCs w:val="24"/>
        </w:rPr>
      </w:pPr>
      <w:r w:rsidRPr="00A7523D">
        <w:rPr>
          <w:sz w:val="24"/>
          <w:szCs w:val="24"/>
        </w:rPr>
        <w:t xml:space="preserve">Når </w:t>
      </w:r>
      <w:proofErr w:type="spellStart"/>
      <w:r w:rsidRPr="00A7523D">
        <w:rPr>
          <w:sz w:val="24"/>
          <w:szCs w:val="24"/>
        </w:rPr>
        <w:t>Vizidor</w:t>
      </w:r>
      <w:proofErr w:type="spellEnd"/>
      <w:r w:rsidRPr="00A7523D">
        <w:rPr>
          <w:sz w:val="24"/>
          <w:szCs w:val="24"/>
        </w:rPr>
        <w:t xml:space="preserve"> bruges for første gang, bør patienten øve sig i at bruge doseringsflasken ved langsomt at trykke på den, så en dråbe kommer ud i luften, væk fra øjet.</w:t>
      </w:r>
    </w:p>
    <w:p w14:paraId="22B65B8E" w14:textId="77777777" w:rsidR="00A52AC0" w:rsidRPr="00A7523D" w:rsidRDefault="00A52AC0" w:rsidP="00A52AC0">
      <w:pPr>
        <w:pStyle w:val="Listeafsnit"/>
        <w:numPr>
          <w:ilvl w:val="0"/>
          <w:numId w:val="6"/>
        </w:numPr>
        <w:ind w:left="1418" w:hanging="567"/>
        <w:rPr>
          <w:sz w:val="24"/>
          <w:szCs w:val="24"/>
        </w:rPr>
      </w:pPr>
      <w:r w:rsidRPr="00A7523D">
        <w:rPr>
          <w:sz w:val="24"/>
          <w:szCs w:val="24"/>
        </w:rPr>
        <w:t xml:space="preserve">Når patienten føler sig sikker på at kunne administrere én dråbe ad gangen, bør patienten indtage den stilling, der er mest behagelig for </w:t>
      </w:r>
      <w:proofErr w:type="spellStart"/>
      <w:r w:rsidRPr="00A7523D">
        <w:rPr>
          <w:sz w:val="24"/>
          <w:szCs w:val="24"/>
        </w:rPr>
        <w:t>inddrypning</w:t>
      </w:r>
      <w:proofErr w:type="spellEnd"/>
      <w:r w:rsidRPr="00A7523D">
        <w:rPr>
          <w:sz w:val="24"/>
          <w:szCs w:val="24"/>
        </w:rPr>
        <w:t xml:space="preserve"> af øjendråberne (patienten kan sidde ned, ligge på ryggen eller stå foran et spejl).</w:t>
      </w:r>
    </w:p>
    <w:p w14:paraId="48E32B1B" w14:textId="77777777" w:rsidR="00A52AC0" w:rsidRPr="00A7523D" w:rsidRDefault="00A52AC0" w:rsidP="00A52AC0">
      <w:pPr>
        <w:ind w:left="851"/>
        <w:rPr>
          <w:sz w:val="24"/>
          <w:szCs w:val="24"/>
        </w:rPr>
      </w:pPr>
    </w:p>
    <w:p w14:paraId="4DF98073" w14:textId="793C47B0" w:rsidR="00A52AC0" w:rsidRPr="00A7523D" w:rsidRDefault="00A52AC0" w:rsidP="00A7523D">
      <w:pPr>
        <w:ind w:left="851"/>
        <w:rPr>
          <w:b/>
          <w:sz w:val="24"/>
          <w:szCs w:val="24"/>
        </w:rPr>
      </w:pPr>
      <w:proofErr w:type="spellStart"/>
      <w:r w:rsidRPr="00A7523D">
        <w:rPr>
          <w:b/>
          <w:sz w:val="24"/>
          <w:szCs w:val="24"/>
        </w:rPr>
        <w:t>Inddrypning</w:t>
      </w:r>
      <w:proofErr w:type="spellEnd"/>
      <w:r w:rsidRPr="00A7523D">
        <w:rPr>
          <w:b/>
          <w:sz w:val="24"/>
          <w:szCs w:val="24"/>
        </w:rPr>
        <w:t>:</w:t>
      </w:r>
    </w:p>
    <w:p w14:paraId="77C1AD37" w14:textId="77777777" w:rsidR="00A52AC0" w:rsidRPr="00A7523D" w:rsidRDefault="00A52AC0" w:rsidP="00A7523D">
      <w:pPr>
        <w:ind w:left="851"/>
        <w:rPr>
          <w:bCs/>
          <w:sz w:val="24"/>
          <w:szCs w:val="24"/>
        </w:rPr>
      </w:pPr>
    </w:p>
    <w:p w14:paraId="5C1F1755" w14:textId="77777777" w:rsidR="00A52AC0" w:rsidRPr="00A7523D" w:rsidRDefault="00A52AC0" w:rsidP="00A52AC0">
      <w:pPr>
        <w:numPr>
          <w:ilvl w:val="0"/>
          <w:numId w:val="7"/>
        </w:numPr>
        <w:ind w:left="1276" w:hanging="425"/>
        <w:rPr>
          <w:sz w:val="24"/>
          <w:szCs w:val="24"/>
        </w:rPr>
      </w:pPr>
      <w:r w:rsidRPr="00A7523D">
        <w:rPr>
          <w:color w:val="222222"/>
          <w:sz w:val="24"/>
          <w:szCs w:val="24"/>
        </w:rPr>
        <w:t>Flasken bør holdes direkte under hætten, og hætten skal drejes for at åbne flasken. For at undgå kontaminering af opløsningen, må spidsen af flasken ikke røre ved noget.</w:t>
      </w:r>
    </w:p>
    <w:p w14:paraId="2FCEF790" w14:textId="77777777" w:rsidR="00A52AC0" w:rsidRPr="00A7523D" w:rsidRDefault="00A52AC0" w:rsidP="00A52AC0">
      <w:pPr>
        <w:ind w:left="851"/>
        <w:rPr>
          <w:sz w:val="24"/>
          <w:szCs w:val="24"/>
        </w:rPr>
      </w:pPr>
    </w:p>
    <w:p w14:paraId="31FC276E" w14:textId="093995FF" w:rsidR="00A52AC0" w:rsidRPr="00A7523D" w:rsidRDefault="00A52AC0" w:rsidP="00A7523D">
      <w:pPr>
        <w:ind w:left="1276"/>
        <w:rPr>
          <w:sz w:val="24"/>
          <w:szCs w:val="24"/>
        </w:rPr>
      </w:pPr>
      <w:r w:rsidRPr="00A7523D">
        <w:rPr>
          <w:noProof/>
          <w:sz w:val="24"/>
          <w:szCs w:val="24"/>
          <w:lang w:eastAsia="da-DK"/>
        </w:rPr>
        <w:lastRenderedPageBreak/>
        <w:drawing>
          <wp:inline distT="0" distB="0" distL="0" distR="0" wp14:anchorId="69D35ECB" wp14:editId="260AD928">
            <wp:extent cx="1272540" cy="1150620"/>
            <wp:effectExtent l="0" t="0" r="381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2540" cy="1150620"/>
                    </a:xfrm>
                    <a:prstGeom prst="rect">
                      <a:avLst/>
                    </a:prstGeom>
                    <a:noFill/>
                    <a:ln>
                      <a:noFill/>
                    </a:ln>
                  </pic:spPr>
                </pic:pic>
              </a:graphicData>
            </a:graphic>
          </wp:inline>
        </w:drawing>
      </w:r>
    </w:p>
    <w:p w14:paraId="318171D1" w14:textId="77777777" w:rsidR="00A52AC0" w:rsidRPr="00A7523D" w:rsidRDefault="00A52AC0" w:rsidP="00A52AC0">
      <w:pPr>
        <w:ind w:left="851"/>
        <w:rPr>
          <w:sz w:val="24"/>
          <w:szCs w:val="24"/>
        </w:rPr>
      </w:pPr>
    </w:p>
    <w:p w14:paraId="4DF82402" w14:textId="77777777" w:rsidR="00A52AC0" w:rsidRPr="00A7523D" w:rsidRDefault="00A52AC0" w:rsidP="00A52AC0">
      <w:pPr>
        <w:numPr>
          <w:ilvl w:val="0"/>
          <w:numId w:val="7"/>
        </w:numPr>
        <w:ind w:left="1276" w:hanging="425"/>
        <w:rPr>
          <w:sz w:val="24"/>
          <w:szCs w:val="24"/>
        </w:rPr>
      </w:pPr>
      <w:r w:rsidRPr="00A7523D">
        <w:rPr>
          <w:sz w:val="24"/>
          <w:szCs w:val="24"/>
        </w:rPr>
        <w:t xml:space="preserve">Patienten skal bøje hovedet bagover og holde flasken over øjet. </w:t>
      </w:r>
    </w:p>
    <w:p w14:paraId="438A4CB3" w14:textId="2DDDB119" w:rsidR="00A52AC0" w:rsidRPr="00A7523D" w:rsidRDefault="00A52AC0" w:rsidP="00A52AC0">
      <w:pPr>
        <w:ind w:left="851"/>
        <w:rPr>
          <w:sz w:val="24"/>
          <w:szCs w:val="24"/>
        </w:rPr>
      </w:pPr>
      <w:r w:rsidRPr="00A7523D">
        <w:rPr>
          <w:sz w:val="24"/>
          <w:szCs w:val="24"/>
        </w:rPr>
        <w:tab/>
      </w:r>
      <w:r w:rsidRPr="00A7523D">
        <w:rPr>
          <w:noProof/>
          <w:sz w:val="24"/>
          <w:szCs w:val="24"/>
          <w:lang w:eastAsia="da-DK"/>
        </w:rPr>
        <w:drawing>
          <wp:inline distT="0" distB="0" distL="0" distR="0" wp14:anchorId="6CE887FB" wp14:editId="4DBB84AD">
            <wp:extent cx="914400" cy="853440"/>
            <wp:effectExtent l="0" t="0" r="0" b="381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853440"/>
                    </a:xfrm>
                    <a:prstGeom prst="rect">
                      <a:avLst/>
                    </a:prstGeom>
                    <a:noFill/>
                    <a:ln>
                      <a:noFill/>
                    </a:ln>
                  </pic:spPr>
                </pic:pic>
              </a:graphicData>
            </a:graphic>
          </wp:inline>
        </w:drawing>
      </w:r>
    </w:p>
    <w:p w14:paraId="2BAD3F0D" w14:textId="77777777" w:rsidR="00A52AC0" w:rsidRPr="00A7523D" w:rsidRDefault="00A52AC0" w:rsidP="00A52AC0">
      <w:pPr>
        <w:numPr>
          <w:ilvl w:val="0"/>
          <w:numId w:val="7"/>
        </w:numPr>
        <w:ind w:left="1276" w:hanging="425"/>
        <w:rPr>
          <w:sz w:val="24"/>
          <w:szCs w:val="24"/>
        </w:rPr>
      </w:pPr>
      <w:r w:rsidRPr="00A7523D">
        <w:rPr>
          <w:sz w:val="24"/>
          <w:szCs w:val="24"/>
        </w:rPr>
        <w:t xml:space="preserve">Patienten skal forsigtigt trække ned i det nederste øjenlåg for at danne en lomme mellem øjenlåget og øjet og kigge op. Flasken </w:t>
      </w:r>
      <w:r w:rsidRPr="00A7523D">
        <w:rPr>
          <w:color w:val="222222"/>
          <w:sz w:val="24"/>
          <w:szCs w:val="24"/>
        </w:rPr>
        <w:t xml:space="preserve">skal klemmes forsigtigt på midten, så en dråbe kan falde ned i patientens øje. Bemærk, at der kan være nogle få sekunders forsinkelse, fra man klemmer flasken, til dråben kommer ud. Flasken må ikke klemmes for hårdt. </w:t>
      </w:r>
    </w:p>
    <w:p w14:paraId="3058AF43" w14:textId="77777777" w:rsidR="00A52AC0" w:rsidRPr="00A7523D" w:rsidRDefault="00A52AC0" w:rsidP="00A52AC0">
      <w:pPr>
        <w:ind w:left="1276" w:hanging="425"/>
        <w:rPr>
          <w:sz w:val="24"/>
          <w:szCs w:val="24"/>
        </w:rPr>
      </w:pPr>
    </w:p>
    <w:p w14:paraId="55487980" w14:textId="04FCBFEF" w:rsidR="00A52AC0" w:rsidRPr="00A7523D" w:rsidRDefault="00A52AC0" w:rsidP="00A7523D">
      <w:pPr>
        <w:ind w:left="1276"/>
        <w:rPr>
          <w:sz w:val="24"/>
          <w:szCs w:val="24"/>
        </w:rPr>
      </w:pPr>
      <w:r w:rsidRPr="00A7523D">
        <w:rPr>
          <w:noProof/>
          <w:sz w:val="24"/>
          <w:szCs w:val="24"/>
          <w:lang w:eastAsia="da-DK"/>
        </w:rPr>
        <w:drawing>
          <wp:inline distT="0" distB="0" distL="0" distR="0" wp14:anchorId="2FB59A27" wp14:editId="63D88896">
            <wp:extent cx="1295400" cy="118872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188720"/>
                    </a:xfrm>
                    <a:prstGeom prst="rect">
                      <a:avLst/>
                    </a:prstGeom>
                    <a:noFill/>
                    <a:ln>
                      <a:noFill/>
                    </a:ln>
                  </pic:spPr>
                </pic:pic>
              </a:graphicData>
            </a:graphic>
          </wp:inline>
        </w:drawing>
      </w:r>
    </w:p>
    <w:p w14:paraId="586A0D5F" w14:textId="77777777" w:rsidR="00A52AC0" w:rsidRPr="00A7523D" w:rsidRDefault="00A52AC0" w:rsidP="00A52AC0">
      <w:pPr>
        <w:ind w:left="1276"/>
        <w:rPr>
          <w:sz w:val="24"/>
          <w:szCs w:val="24"/>
        </w:rPr>
      </w:pPr>
    </w:p>
    <w:p w14:paraId="778FE899" w14:textId="77777777" w:rsidR="00A52AC0" w:rsidRPr="00A7523D" w:rsidRDefault="00A52AC0" w:rsidP="00A52AC0">
      <w:pPr>
        <w:numPr>
          <w:ilvl w:val="0"/>
          <w:numId w:val="7"/>
        </w:numPr>
        <w:ind w:left="1276" w:hanging="425"/>
        <w:rPr>
          <w:sz w:val="24"/>
          <w:szCs w:val="24"/>
        </w:rPr>
      </w:pPr>
      <w:r w:rsidRPr="00A7523D">
        <w:rPr>
          <w:sz w:val="24"/>
          <w:szCs w:val="24"/>
        </w:rPr>
        <w:t xml:space="preserve">Patienten skal </w:t>
      </w:r>
      <w:proofErr w:type="spellStart"/>
      <w:r w:rsidRPr="00A7523D">
        <w:rPr>
          <w:sz w:val="24"/>
          <w:szCs w:val="24"/>
        </w:rPr>
        <w:t>inddryppe</w:t>
      </w:r>
      <w:proofErr w:type="spellEnd"/>
      <w:r w:rsidRPr="00A7523D">
        <w:rPr>
          <w:sz w:val="24"/>
          <w:szCs w:val="24"/>
        </w:rPr>
        <w:t xml:space="preserve"> én dråbe i de(t) berørte øjne(øje) i henhold til lægens anvisning. Patienter skal blinke med øjet nogle få gange, så dråben spredes i øjet</w:t>
      </w:r>
      <w:r w:rsidRPr="00A7523D">
        <w:rPr>
          <w:color w:val="222222"/>
          <w:sz w:val="24"/>
          <w:szCs w:val="24"/>
        </w:rPr>
        <w:t>. Patienterne skal instrueres i at søge råd hos deres læge, apotekspersonalet eller sygeplejersken, hvis de ikke er sikker på, hvordan de skal administrere deres lægemiddel</w:t>
      </w:r>
      <w:r w:rsidRPr="00A7523D">
        <w:rPr>
          <w:sz w:val="24"/>
          <w:szCs w:val="24"/>
        </w:rPr>
        <w:t>.</w:t>
      </w:r>
    </w:p>
    <w:p w14:paraId="66DB35C8" w14:textId="77777777" w:rsidR="00A52AC0" w:rsidRPr="00A7523D" w:rsidRDefault="00A52AC0" w:rsidP="00A52AC0">
      <w:pPr>
        <w:ind w:left="1276" w:hanging="425"/>
        <w:rPr>
          <w:sz w:val="24"/>
          <w:szCs w:val="24"/>
        </w:rPr>
      </w:pPr>
    </w:p>
    <w:p w14:paraId="02AB31C5" w14:textId="77777777" w:rsidR="00A52AC0" w:rsidRPr="00A7523D" w:rsidRDefault="00A52AC0" w:rsidP="00A52AC0">
      <w:pPr>
        <w:numPr>
          <w:ilvl w:val="0"/>
          <w:numId w:val="7"/>
        </w:numPr>
        <w:ind w:left="1276" w:hanging="425"/>
        <w:rPr>
          <w:sz w:val="24"/>
          <w:szCs w:val="24"/>
        </w:rPr>
      </w:pPr>
      <w:r w:rsidRPr="00A7523D">
        <w:rPr>
          <w:sz w:val="24"/>
          <w:szCs w:val="24"/>
        </w:rPr>
        <w:t>Patienten skal lukke øjet og presse på øjenkrogen med fingeren i ca. to minutter. Dette hjælper med at forhindre, at lægemidlet kommer ud i resten af kroppen</w:t>
      </w:r>
    </w:p>
    <w:p w14:paraId="7CA10C8F" w14:textId="77777777" w:rsidR="00A52AC0" w:rsidRPr="00A7523D" w:rsidRDefault="00A52AC0" w:rsidP="00A52AC0">
      <w:pPr>
        <w:pStyle w:val="Listeafsnit"/>
        <w:ind w:left="851"/>
        <w:rPr>
          <w:color w:val="222222"/>
          <w:sz w:val="24"/>
          <w:szCs w:val="24"/>
        </w:rPr>
      </w:pPr>
    </w:p>
    <w:p w14:paraId="496BBA6B" w14:textId="77777777" w:rsidR="00A52AC0" w:rsidRPr="00A7523D" w:rsidRDefault="00A52AC0" w:rsidP="00A52AC0">
      <w:pPr>
        <w:numPr>
          <w:ilvl w:val="0"/>
          <w:numId w:val="7"/>
        </w:numPr>
        <w:ind w:left="1276" w:hanging="425"/>
        <w:rPr>
          <w:sz w:val="24"/>
          <w:szCs w:val="24"/>
        </w:rPr>
      </w:pPr>
      <w:r w:rsidRPr="00A7523D">
        <w:rPr>
          <w:color w:val="222222"/>
          <w:sz w:val="24"/>
          <w:szCs w:val="24"/>
        </w:rPr>
        <w:t>Vejledningens punkt 2 – 5 skal gentages for administration i det andet øje, om nødvendigt. Patienten skal tydeligt informeres om, hvis kun det ene øje kræver behandling, og i så fald, hvilket øje det drejer sig om.</w:t>
      </w:r>
    </w:p>
    <w:p w14:paraId="44DB7E00" w14:textId="29D0475B" w:rsidR="00A52AC0" w:rsidRPr="00A7523D" w:rsidRDefault="00A52AC0" w:rsidP="00A7523D">
      <w:pPr>
        <w:ind w:left="1276"/>
        <w:rPr>
          <w:sz w:val="24"/>
          <w:szCs w:val="24"/>
        </w:rPr>
      </w:pPr>
      <w:r w:rsidRPr="00A7523D">
        <w:rPr>
          <w:noProof/>
          <w:sz w:val="24"/>
          <w:szCs w:val="24"/>
          <w:lang w:eastAsia="da-DK"/>
        </w:rPr>
        <w:drawing>
          <wp:inline distT="0" distB="0" distL="0" distR="0" wp14:anchorId="64E78848" wp14:editId="040AB50C">
            <wp:extent cx="1348740" cy="1539240"/>
            <wp:effectExtent l="0" t="0" r="3810"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8740" cy="1539240"/>
                    </a:xfrm>
                    <a:prstGeom prst="rect">
                      <a:avLst/>
                    </a:prstGeom>
                    <a:noFill/>
                    <a:ln>
                      <a:noFill/>
                    </a:ln>
                  </pic:spPr>
                </pic:pic>
              </a:graphicData>
            </a:graphic>
          </wp:inline>
        </w:drawing>
      </w:r>
    </w:p>
    <w:p w14:paraId="337DABC1" w14:textId="77777777" w:rsidR="00A52AC0" w:rsidRPr="00A7523D" w:rsidRDefault="00A52AC0" w:rsidP="00A52AC0">
      <w:pPr>
        <w:numPr>
          <w:ilvl w:val="0"/>
          <w:numId w:val="7"/>
        </w:numPr>
        <w:ind w:left="1276" w:hanging="425"/>
        <w:rPr>
          <w:sz w:val="24"/>
          <w:szCs w:val="24"/>
        </w:rPr>
      </w:pPr>
      <w:r w:rsidRPr="00A7523D">
        <w:rPr>
          <w:sz w:val="24"/>
          <w:szCs w:val="24"/>
        </w:rPr>
        <w:t xml:space="preserve">Efter brug og før hætten sættes på igen, </w:t>
      </w:r>
      <w:r w:rsidRPr="00A7523D">
        <w:rPr>
          <w:color w:val="222222"/>
          <w:sz w:val="24"/>
          <w:szCs w:val="24"/>
        </w:rPr>
        <w:t>skal flasken rystes én gang i en nedadgående retning, uden at røre dråbespidsen, for at fjerne enhver resterende væske på spidsen. Dette er nødvendigt for at sikre administration af efterfølgende dråber.</w:t>
      </w:r>
    </w:p>
    <w:p w14:paraId="7732D836" w14:textId="77777777" w:rsidR="00A52AC0" w:rsidRPr="00A7523D" w:rsidRDefault="00A52AC0" w:rsidP="00A52AC0">
      <w:pPr>
        <w:pStyle w:val="Listeafsnit"/>
        <w:ind w:left="1276" w:hanging="425"/>
        <w:rPr>
          <w:sz w:val="24"/>
          <w:szCs w:val="24"/>
        </w:rPr>
      </w:pPr>
    </w:p>
    <w:p w14:paraId="749D8C4C" w14:textId="77777777" w:rsidR="00A52AC0" w:rsidRPr="00A7523D" w:rsidRDefault="00A52AC0" w:rsidP="00A52AC0">
      <w:pPr>
        <w:numPr>
          <w:ilvl w:val="0"/>
          <w:numId w:val="7"/>
        </w:numPr>
        <w:ind w:left="1276" w:hanging="425"/>
        <w:rPr>
          <w:sz w:val="24"/>
          <w:szCs w:val="24"/>
        </w:rPr>
      </w:pPr>
      <w:r w:rsidRPr="00A7523D">
        <w:rPr>
          <w:color w:val="222222"/>
          <w:sz w:val="24"/>
          <w:szCs w:val="24"/>
        </w:rPr>
        <w:lastRenderedPageBreak/>
        <w:t xml:space="preserve">Efter alle doser er brugt, vil der stadig være noget </w:t>
      </w:r>
      <w:proofErr w:type="spellStart"/>
      <w:r w:rsidRPr="00A7523D">
        <w:rPr>
          <w:color w:val="000000" w:themeColor="text1"/>
          <w:sz w:val="24"/>
          <w:szCs w:val="24"/>
        </w:rPr>
        <w:t>Vizidor</w:t>
      </w:r>
      <w:proofErr w:type="spellEnd"/>
      <w:r w:rsidRPr="00A7523D">
        <w:rPr>
          <w:color w:val="222222"/>
          <w:sz w:val="24"/>
          <w:szCs w:val="24"/>
        </w:rPr>
        <w:t xml:space="preserve"> tilbage i flasken. Patienten skal ikke være bekymret, da en ekstra mængde </w:t>
      </w:r>
      <w:proofErr w:type="spellStart"/>
      <w:r w:rsidRPr="00A7523D">
        <w:rPr>
          <w:color w:val="000000" w:themeColor="text1"/>
          <w:sz w:val="24"/>
          <w:szCs w:val="24"/>
        </w:rPr>
        <w:t>Vizidor</w:t>
      </w:r>
      <w:proofErr w:type="spellEnd"/>
      <w:r w:rsidRPr="00A7523D">
        <w:rPr>
          <w:color w:val="000000" w:themeColor="text1"/>
          <w:sz w:val="24"/>
          <w:szCs w:val="24"/>
        </w:rPr>
        <w:t xml:space="preserve"> </w:t>
      </w:r>
      <w:r w:rsidRPr="00A7523D">
        <w:rPr>
          <w:color w:val="222222"/>
          <w:sz w:val="24"/>
          <w:szCs w:val="24"/>
        </w:rPr>
        <w:t xml:space="preserve">er blevet tilføjet til flasken, og patienten vil få den fulde mængde </w:t>
      </w:r>
      <w:proofErr w:type="spellStart"/>
      <w:r w:rsidRPr="00A7523D">
        <w:rPr>
          <w:color w:val="000000" w:themeColor="text1"/>
          <w:sz w:val="24"/>
          <w:szCs w:val="24"/>
        </w:rPr>
        <w:t>Vizidor</w:t>
      </w:r>
      <w:proofErr w:type="spellEnd"/>
      <w:r w:rsidRPr="00A7523D">
        <w:rPr>
          <w:color w:val="222222"/>
          <w:sz w:val="24"/>
          <w:szCs w:val="24"/>
        </w:rPr>
        <w:t>, som lægen har ordineret. Patienten bør ikke forsøge at bruge det overskydende lægemiddel, der er tilbage i flasken, efter at behandlingen er afsluttet.</w:t>
      </w:r>
    </w:p>
    <w:p w14:paraId="5B1C230A" w14:textId="77777777" w:rsidR="00A52AC0" w:rsidRPr="00A7523D" w:rsidRDefault="00A52AC0" w:rsidP="00A52AC0">
      <w:pPr>
        <w:pStyle w:val="Listeafsnit"/>
        <w:ind w:left="851"/>
        <w:rPr>
          <w:sz w:val="24"/>
          <w:szCs w:val="24"/>
        </w:rPr>
      </w:pPr>
    </w:p>
    <w:p w14:paraId="617911F8" w14:textId="77777777" w:rsidR="00A52AC0" w:rsidRPr="00A7523D" w:rsidRDefault="00A52AC0" w:rsidP="00A52AC0">
      <w:pPr>
        <w:ind w:left="851"/>
        <w:rPr>
          <w:color w:val="222222"/>
          <w:sz w:val="24"/>
          <w:szCs w:val="24"/>
        </w:rPr>
      </w:pPr>
      <w:r w:rsidRPr="00A7523D">
        <w:rPr>
          <w:color w:val="222222"/>
          <w:sz w:val="24"/>
          <w:szCs w:val="24"/>
        </w:rPr>
        <w:t>Patienten må ikke bruge øjendråberne i mere end 28 dage efter første anbrud af flasken.</w:t>
      </w:r>
    </w:p>
    <w:p w14:paraId="22EACABF" w14:textId="77777777" w:rsidR="009260DE" w:rsidRPr="00A7523D" w:rsidRDefault="009260DE" w:rsidP="009260DE">
      <w:pPr>
        <w:tabs>
          <w:tab w:val="left" w:pos="851"/>
        </w:tabs>
        <w:ind w:left="851"/>
        <w:rPr>
          <w:sz w:val="24"/>
          <w:szCs w:val="24"/>
        </w:rPr>
      </w:pPr>
    </w:p>
    <w:p w14:paraId="2470BDEE" w14:textId="77777777" w:rsidR="009260DE" w:rsidRPr="00A7523D" w:rsidRDefault="009260DE" w:rsidP="009260DE">
      <w:pPr>
        <w:tabs>
          <w:tab w:val="left" w:pos="851"/>
        </w:tabs>
        <w:ind w:left="851" w:hanging="851"/>
        <w:rPr>
          <w:b/>
          <w:sz w:val="24"/>
          <w:szCs w:val="24"/>
        </w:rPr>
      </w:pPr>
      <w:r w:rsidRPr="00A7523D">
        <w:rPr>
          <w:b/>
          <w:sz w:val="24"/>
          <w:szCs w:val="24"/>
        </w:rPr>
        <w:t>4.3</w:t>
      </w:r>
      <w:r w:rsidRPr="00A7523D">
        <w:rPr>
          <w:b/>
          <w:sz w:val="24"/>
          <w:szCs w:val="24"/>
        </w:rPr>
        <w:tab/>
        <w:t>Kontraindikationer</w:t>
      </w:r>
    </w:p>
    <w:p w14:paraId="5776D937" w14:textId="77777777" w:rsidR="00A52AC0" w:rsidRPr="00A7523D" w:rsidRDefault="00A52AC0" w:rsidP="00A52AC0">
      <w:pPr>
        <w:ind w:left="851"/>
        <w:rPr>
          <w:sz w:val="24"/>
          <w:szCs w:val="24"/>
        </w:rPr>
      </w:pPr>
      <w:r w:rsidRPr="00A7523D">
        <w:rPr>
          <w:sz w:val="24"/>
          <w:szCs w:val="24"/>
        </w:rPr>
        <w:t>Overfølsomhed over for det aktive stof eller over for et eller flere af hjælpestofferne anført i pkt. 6.1.</w:t>
      </w:r>
    </w:p>
    <w:p w14:paraId="057801F4" w14:textId="77777777" w:rsidR="00A52AC0" w:rsidRPr="00A7523D" w:rsidRDefault="00A52AC0" w:rsidP="00A52AC0">
      <w:pPr>
        <w:ind w:left="851"/>
        <w:rPr>
          <w:sz w:val="24"/>
          <w:szCs w:val="24"/>
        </w:rPr>
      </w:pPr>
    </w:p>
    <w:p w14:paraId="67EFA17D" w14:textId="77777777" w:rsidR="00A52AC0" w:rsidRPr="00A7523D" w:rsidRDefault="00A52AC0" w:rsidP="00A52AC0">
      <w:pPr>
        <w:ind w:left="851"/>
        <w:rPr>
          <w:sz w:val="24"/>
          <w:szCs w:val="24"/>
        </w:rPr>
      </w:pPr>
      <w:proofErr w:type="spellStart"/>
      <w:r w:rsidRPr="00A7523D">
        <w:rPr>
          <w:sz w:val="24"/>
          <w:szCs w:val="24"/>
        </w:rPr>
        <w:t>Dorzolamid</w:t>
      </w:r>
      <w:proofErr w:type="spellEnd"/>
      <w:r w:rsidRPr="00A7523D">
        <w:rPr>
          <w:sz w:val="24"/>
          <w:szCs w:val="24"/>
        </w:rPr>
        <w:t xml:space="preserve"> er ikke undersøgt hos patienter med svært nedsat nyrefunktion (</w:t>
      </w:r>
      <w:proofErr w:type="spellStart"/>
      <w:r w:rsidRPr="00A7523D">
        <w:rPr>
          <w:sz w:val="24"/>
          <w:szCs w:val="24"/>
        </w:rPr>
        <w:t>CrCl</w:t>
      </w:r>
      <w:proofErr w:type="spellEnd"/>
      <w:r w:rsidRPr="00A7523D">
        <w:rPr>
          <w:sz w:val="24"/>
          <w:szCs w:val="24"/>
        </w:rPr>
        <w:t xml:space="preserve"> &lt; 30 ml/min). Da </w:t>
      </w:r>
      <w:proofErr w:type="spellStart"/>
      <w:r w:rsidRPr="00A7523D">
        <w:rPr>
          <w:sz w:val="24"/>
          <w:szCs w:val="24"/>
        </w:rPr>
        <w:t>dorzolamid</w:t>
      </w:r>
      <w:proofErr w:type="spellEnd"/>
      <w:r w:rsidRPr="00A7523D">
        <w:rPr>
          <w:sz w:val="24"/>
          <w:szCs w:val="24"/>
        </w:rPr>
        <w:t xml:space="preserve"> og dets metabolitter udskilles overvejende via nyrerne, er </w:t>
      </w:r>
      <w:proofErr w:type="spellStart"/>
      <w:r w:rsidRPr="00A7523D">
        <w:rPr>
          <w:sz w:val="24"/>
          <w:szCs w:val="24"/>
        </w:rPr>
        <w:t>dorzolamid</w:t>
      </w:r>
      <w:proofErr w:type="spellEnd"/>
      <w:r w:rsidRPr="00A7523D">
        <w:rPr>
          <w:sz w:val="24"/>
          <w:szCs w:val="24"/>
        </w:rPr>
        <w:t xml:space="preserve"> derfor kontraindiceret hos sådanne patienter.</w:t>
      </w:r>
    </w:p>
    <w:p w14:paraId="0904C42B" w14:textId="77777777" w:rsidR="009260DE" w:rsidRPr="00A7523D" w:rsidRDefault="009260DE" w:rsidP="009260DE">
      <w:pPr>
        <w:tabs>
          <w:tab w:val="left" w:pos="851"/>
        </w:tabs>
        <w:ind w:left="851"/>
        <w:rPr>
          <w:sz w:val="24"/>
          <w:szCs w:val="24"/>
        </w:rPr>
      </w:pPr>
    </w:p>
    <w:p w14:paraId="16E65474" w14:textId="77777777" w:rsidR="009260DE" w:rsidRPr="00A7523D" w:rsidRDefault="009260DE" w:rsidP="009260DE">
      <w:pPr>
        <w:tabs>
          <w:tab w:val="left" w:pos="851"/>
        </w:tabs>
        <w:ind w:left="851" w:hanging="851"/>
        <w:rPr>
          <w:b/>
          <w:sz w:val="24"/>
          <w:szCs w:val="24"/>
        </w:rPr>
      </w:pPr>
      <w:r w:rsidRPr="00A7523D">
        <w:rPr>
          <w:b/>
          <w:sz w:val="24"/>
          <w:szCs w:val="24"/>
        </w:rPr>
        <w:t>4.4</w:t>
      </w:r>
      <w:r w:rsidRPr="00A7523D">
        <w:rPr>
          <w:b/>
          <w:sz w:val="24"/>
          <w:szCs w:val="24"/>
        </w:rPr>
        <w:tab/>
        <w:t>Særlige advarsler og forsigtighedsregler vedrørende brugen</w:t>
      </w:r>
    </w:p>
    <w:p w14:paraId="4C289C47" w14:textId="77777777" w:rsidR="00A52AC0" w:rsidRPr="00A7523D" w:rsidRDefault="00A52AC0" w:rsidP="00A52AC0">
      <w:pPr>
        <w:ind w:left="851"/>
        <w:rPr>
          <w:sz w:val="24"/>
          <w:szCs w:val="24"/>
        </w:rPr>
      </w:pPr>
      <w:proofErr w:type="spellStart"/>
      <w:r w:rsidRPr="00A7523D">
        <w:rPr>
          <w:sz w:val="24"/>
          <w:szCs w:val="24"/>
        </w:rPr>
        <w:t>Dorzolamid</w:t>
      </w:r>
      <w:proofErr w:type="spellEnd"/>
      <w:r w:rsidRPr="00A7523D">
        <w:rPr>
          <w:sz w:val="24"/>
          <w:szCs w:val="24"/>
        </w:rPr>
        <w:t xml:space="preserve"> er ikke undersøgt hos patienter med nedsat leverfunktion og bør derfor anvendes med forsigtighed til disse patienter.</w:t>
      </w:r>
    </w:p>
    <w:p w14:paraId="4D00322C" w14:textId="77777777" w:rsidR="00A52AC0" w:rsidRPr="00A7523D" w:rsidRDefault="00A52AC0" w:rsidP="00A52AC0">
      <w:pPr>
        <w:ind w:left="851"/>
        <w:rPr>
          <w:sz w:val="24"/>
          <w:szCs w:val="24"/>
        </w:rPr>
      </w:pPr>
    </w:p>
    <w:p w14:paraId="1B91AEC8" w14:textId="77777777" w:rsidR="00A52AC0" w:rsidRPr="00A7523D" w:rsidRDefault="00A52AC0" w:rsidP="00A52AC0">
      <w:pPr>
        <w:ind w:left="851"/>
        <w:rPr>
          <w:sz w:val="24"/>
          <w:szCs w:val="24"/>
        </w:rPr>
      </w:pPr>
      <w:r w:rsidRPr="00A7523D">
        <w:rPr>
          <w:sz w:val="24"/>
          <w:szCs w:val="24"/>
        </w:rPr>
        <w:t xml:space="preserve">Behandling af patienter med akut snævervinklet </w:t>
      </w:r>
      <w:proofErr w:type="spellStart"/>
      <w:r w:rsidRPr="00A7523D">
        <w:rPr>
          <w:sz w:val="24"/>
          <w:szCs w:val="24"/>
        </w:rPr>
        <w:t>glaukom</w:t>
      </w:r>
      <w:proofErr w:type="spellEnd"/>
      <w:r w:rsidRPr="00A7523D">
        <w:rPr>
          <w:sz w:val="24"/>
          <w:szCs w:val="24"/>
        </w:rPr>
        <w:t xml:space="preserve"> kræver terapeutiske indgreb ud over </w:t>
      </w:r>
      <w:proofErr w:type="spellStart"/>
      <w:r w:rsidRPr="00A7523D">
        <w:rPr>
          <w:sz w:val="24"/>
          <w:szCs w:val="24"/>
        </w:rPr>
        <w:t>okulære</w:t>
      </w:r>
      <w:proofErr w:type="spellEnd"/>
      <w:r w:rsidRPr="00A7523D">
        <w:rPr>
          <w:sz w:val="24"/>
          <w:szCs w:val="24"/>
        </w:rPr>
        <w:t xml:space="preserve"> </w:t>
      </w:r>
      <w:proofErr w:type="spellStart"/>
      <w:r w:rsidRPr="00A7523D">
        <w:rPr>
          <w:sz w:val="24"/>
          <w:szCs w:val="24"/>
        </w:rPr>
        <w:t>hypotensive</w:t>
      </w:r>
      <w:proofErr w:type="spellEnd"/>
      <w:r w:rsidRPr="00A7523D">
        <w:rPr>
          <w:sz w:val="24"/>
          <w:szCs w:val="24"/>
        </w:rPr>
        <w:t xml:space="preserve"> midler. </w:t>
      </w:r>
      <w:proofErr w:type="spellStart"/>
      <w:r w:rsidRPr="00A7523D">
        <w:rPr>
          <w:sz w:val="24"/>
          <w:szCs w:val="24"/>
        </w:rPr>
        <w:t>Dorzolamid</w:t>
      </w:r>
      <w:proofErr w:type="spellEnd"/>
      <w:r w:rsidRPr="00A7523D">
        <w:rPr>
          <w:sz w:val="24"/>
          <w:szCs w:val="24"/>
        </w:rPr>
        <w:t xml:space="preserve"> er ikke undersøgt hos patienter med akut snævervinklet </w:t>
      </w:r>
      <w:proofErr w:type="spellStart"/>
      <w:r w:rsidRPr="00A7523D">
        <w:rPr>
          <w:sz w:val="24"/>
          <w:szCs w:val="24"/>
        </w:rPr>
        <w:t>glaukom</w:t>
      </w:r>
      <w:proofErr w:type="spellEnd"/>
      <w:r w:rsidRPr="00A7523D">
        <w:rPr>
          <w:sz w:val="24"/>
          <w:szCs w:val="24"/>
        </w:rPr>
        <w:t>.</w:t>
      </w:r>
    </w:p>
    <w:p w14:paraId="3EEAFE9B" w14:textId="77777777" w:rsidR="00A52AC0" w:rsidRPr="00A7523D" w:rsidRDefault="00A52AC0" w:rsidP="00A52AC0">
      <w:pPr>
        <w:ind w:left="851"/>
        <w:rPr>
          <w:sz w:val="24"/>
          <w:szCs w:val="24"/>
        </w:rPr>
      </w:pPr>
    </w:p>
    <w:p w14:paraId="583652E1" w14:textId="77777777" w:rsidR="00A52AC0" w:rsidRPr="00A7523D" w:rsidRDefault="00A52AC0" w:rsidP="00A52AC0">
      <w:pPr>
        <w:ind w:left="851"/>
        <w:rPr>
          <w:sz w:val="24"/>
          <w:szCs w:val="24"/>
        </w:rPr>
      </w:pPr>
      <w:proofErr w:type="spellStart"/>
      <w:r w:rsidRPr="00A7523D">
        <w:rPr>
          <w:sz w:val="24"/>
          <w:szCs w:val="24"/>
        </w:rPr>
        <w:t>Dorzolamid</w:t>
      </w:r>
      <w:proofErr w:type="spellEnd"/>
      <w:r w:rsidRPr="00A7523D">
        <w:rPr>
          <w:sz w:val="24"/>
          <w:szCs w:val="24"/>
        </w:rPr>
        <w:t xml:space="preserve"> indeholder en sulfonamidgruppe, som også findes hos sulfonamider, og som, selvom det gives </w:t>
      </w:r>
      <w:proofErr w:type="spellStart"/>
      <w:r w:rsidRPr="00A7523D">
        <w:rPr>
          <w:sz w:val="24"/>
          <w:szCs w:val="24"/>
        </w:rPr>
        <w:t>topikalt</w:t>
      </w:r>
      <w:proofErr w:type="spellEnd"/>
      <w:r w:rsidRPr="00A7523D">
        <w:rPr>
          <w:sz w:val="24"/>
          <w:szCs w:val="24"/>
        </w:rPr>
        <w:t xml:space="preserve">, absorberes systemisk. Derfor kan </w:t>
      </w:r>
      <w:proofErr w:type="spellStart"/>
      <w:r w:rsidRPr="00A7523D">
        <w:rPr>
          <w:sz w:val="24"/>
          <w:szCs w:val="24"/>
        </w:rPr>
        <w:t>topikal</w:t>
      </w:r>
      <w:proofErr w:type="spellEnd"/>
      <w:r w:rsidRPr="00A7523D">
        <w:rPr>
          <w:sz w:val="24"/>
          <w:szCs w:val="24"/>
        </w:rPr>
        <w:t xml:space="preserve"> administration forårsage de samme bivirkninger, som er kendte for sulfonamider, herunder alvorlige reaktioner som Stevens-Johnson syndrom og toksisk </w:t>
      </w:r>
      <w:proofErr w:type="spellStart"/>
      <w:r w:rsidRPr="00A7523D">
        <w:rPr>
          <w:sz w:val="24"/>
          <w:szCs w:val="24"/>
        </w:rPr>
        <w:t>epidermal</w:t>
      </w:r>
      <w:proofErr w:type="spellEnd"/>
      <w:r w:rsidRPr="00A7523D">
        <w:rPr>
          <w:sz w:val="24"/>
          <w:szCs w:val="24"/>
        </w:rPr>
        <w:t xml:space="preserve"> </w:t>
      </w:r>
      <w:proofErr w:type="spellStart"/>
      <w:r w:rsidRPr="00A7523D">
        <w:rPr>
          <w:sz w:val="24"/>
          <w:szCs w:val="24"/>
        </w:rPr>
        <w:t>nekrolyse</w:t>
      </w:r>
      <w:proofErr w:type="spellEnd"/>
      <w:r w:rsidRPr="00A7523D">
        <w:rPr>
          <w:sz w:val="24"/>
          <w:szCs w:val="24"/>
        </w:rPr>
        <w:t>. I tilfælde af tegn på alvorlige overfølsomhedsreaktioner skal lægemidlet seponeres.</w:t>
      </w:r>
    </w:p>
    <w:p w14:paraId="37166206" w14:textId="77777777" w:rsidR="00A52AC0" w:rsidRPr="00A7523D" w:rsidRDefault="00A52AC0" w:rsidP="00A52AC0">
      <w:pPr>
        <w:ind w:left="851"/>
        <w:rPr>
          <w:sz w:val="24"/>
          <w:szCs w:val="24"/>
        </w:rPr>
      </w:pPr>
    </w:p>
    <w:p w14:paraId="70BB4350" w14:textId="77777777" w:rsidR="00A52AC0" w:rsidRPr="00A7523D" w:rsidRDefault="00A52AC0" w:rsidP="00A52AC0">
      <w:pPr>
        <w:ind w:left="851"/>
        <w:rPr>
          <w:sz w:val="24"/>
          <w:szCs w:val="24"/>
        </w:rPr>
      </w:pPr>
      <w:r w:rsidRPr="00A7523D">
        <w:rPr>
          <w:sz w:val="24"/>
          <w:szCs w:val="24"/>
        </w:rPr>
        <w:t xml:space="preserve">Behandling med orale </w:t>
      </w:r>
      <w:proofErr w:type="spellStart"/>
      <w:r w:rsidRPr="00A7523D">
        <w:rPr>
          <w:sz w:val="24"/>
          <w:szCs w:val="24"/>
        </w:rPr>
        <w:t>carboanhydrasehæmmere</w:t>
      </w:r>
      <w:proofErr w:type="spellEnd"/>
      <w:r w:rsidRPr="00A7523D">
        <w:rPr>
          <w:sz w:val="24"/>
          <w:szCs w:val="24"/>
        </w:rPr>
        <w:t xml:space="preserve"> er blevet forbundet med </w:t>
      </w:r>
      <w:proofErr w:type="spellStart"/>
      <w:r w:rsidRPr="00A7523D">
        <w:rPr>
          <w:sz w:val="24"/>
          <w:szCs w:val="24"/>
        </w:rPr>
        <w:t>urolitiasis</w:t>
      </w:r>
      <w:proofErr w:type="spellEnd"/>
      <w:r w:rsidRPr="00A7523D">
        <w:rPr>
          <w:sz w:val="24"/>
          <w:szCs w:val="24"/>
        </w:rPr>
        <w:t xml:space="preserve">, der er forårsaget af forstyrrelser i syre-basebalancen, særligt hos patienter med nyresten i anamnesen. Skønt der ikke er set forstyrrelser i syre-basebalancen ved brug af </w:t>
      </w:r>
      <w:proofErr w:type="spellStart"/>
      <w:r w:rsidRPr="00A7523D">
        <w:rPr>
          <w:sz w:val="24"/>
          <w:szCs w:val="24"/>
        </w:rPr>
        <w:t>dorzolamid</w:t>
      </w:r>
      <w:proofErr w:type="spellEnd"/>
      <w:r w:rsidRPr="00A7523D">
        <w:rPr>
          <w:sz w:val="24"/>
          <w:szCs w:val="24"/>
        </w:rPr>
        <w:t xml:space="preserve">, er der i sjældne tilfælde set </w:t>
      </w:r>
      <w:proofErr w:type="spellStart"/>
      <w:r w:rsidRPr="00A7523D">
        <w:rPr>
          <w:sz w:val="24"/>
          <w:szCs w:val="24"/>
        </w:rPr>
        <w:t>urolitiasis</w:t>
      </w:r>
      <w:proofErr w:type="spellEnd"/>
      <w:r w:rsidRPr="00A7523D">
        <w:rPr>
          <w:sz w:val="24"/>
          <w:szCs w:val="24"/>
        </w:rPr>
        <w:t xml:space="preserve">. Da </w:t>
      </w:r>
      <w:proofErr w:type="spellStart"/>
      <w:r w:rsidRPr="00A7523D">
        <w:rPr>
          <w:sz w:val="24"/>
          <w:szCs w:val="24"/>
        </w:rPr>
        <w:t>Vizidor</w:t>
      </w:r>
      <w:proofErr w:type="spellEnd"/>
      <w:r w:rsidRPr="00A7523D">
        <w:rPr>
          <w:sz w:val="24"/>
          <w:szCs w:val="24"/>
        </w:rPr>
        <w:t xml:space="preserve"> indeholder en </w:t>
      </w:r>
      <w:proofErr w:type="spellStart"/>
      <w:r w:rsidRPr="00A7523D">
        <w:rPr>
          <w:sz w:val="24"/>
          <w:szCs w:val="24"/>
        </w:rPr>
        <w:t>topikal</w:t>
      </w:r>
      <w:proofErr w:type="spellEnd"/>
      <w:r w:rsidRPr="00A7523D">
        <w:rPr>
          <w:sz w:val="24"/>
          <w:szCs w:val="24"/>
        </w:rPr>
        <w:t xml:space="preserve"> </w:t>
      </w:r>
      <w:proofErr w:type="spellStart"/>
      <w:r w:rsidRPr="00A7523D">
        <w:rPr>
          <w:sz w:val="24"/>
          <w:szCs w:val="24"/>
        </w:rPr>
        <w:t>carboanhydrasehæmmer</w:t>
      </w:r>
      <w:proofErr w:type="spellEnd"/>
      <w:r w:rsidRPr="00A7523D">
        <w:rPr>
          <w:sz w:val="24"/>
          <w:szCs w:val="24"/>
        </w:rPr>
        <w:t xml:space="preserve">, der absorberes systemisk, kan patienter med nyresten i anamnesen have forøget risiko for </w:t>
      </w:r>
      <w:proofErr w:type="spellStart"/>
      <w:r w:rsidRPr="00A7523D">
        <w:rPr>
          <w:sz w:val="24"/>
          <w:szCs w:val="24"/>
        </w:rPr>
        <w:t>urolitiasis</w:t>
      </w:r>
      <w:proofErr w:type="spellEnd"/>
      <w:r w:rsidRPr="00A7523D">
        <w:rPr>
          <w:sz w:val="24"/>
          <w:szCs w:val="24"/>
        </w:rPr>
        <w:t>, mens de er i behandling med dette lægemiddel.</w:t>
      </w:r>
    </w:p>
    <w:p w14:paraId="5B124AAC" w14:textId="77777777" w:rsidR="00A52AC0" w:rsidRPr="00A7523D" w:rsidRDefault="00A52AC0" w:rsidP="00A52AC0">
      <w:pPr>
        <w:ind w:left="851"/>
        <w:rPr>
          <w:sz w:val="24"/>
          <w:szCs w:val="24"/>
        </w:rPr>
      </w:pPr>
    </w:p>
    <w:p w14:paraId="67C79700" w14:textId="77777777" w:rsidR="00A52AC0" w:rsidRPr="00A7523D" w:rsidRDefault="00A52AC0" w:rsidP="00A52AC0">
      <w:pPr>
        <w:ind w:left="851"/>
        <w:rPr>
          <w:sz w:val="24"/>
          <w:szCs w:val="24"/>
        </w:rPr>
      </w:pPr>
      <w:r w:rsidRPr="00A7523D">
        <w:rPr>
          <w:sz w:val="24"/>
          <w:szCs w:val="24"/>
        </w:rPr>
        <w:t xml:space="preserve">Hvis der observeres allergiske reaktioner (f.eks. </w:t>
      </w:r>
      <w:proofErr w:type="spellStart"/>
      <w:r w:rsidRPr="00A7523D">
        <w:rPr>
          <w:sz w:val="24"/>
          <w:szCs w:val="24"/>
        </w:rPr>
        <w:t>konjunktivitis</w:t>
      </w:r>
      <w:proofErr w:type="spellEnd"/>
      <w:r w:rsidRPr="00A7523D">
        <w:rPr>
          <w:sz w:val="24"/>
          <w:szCs w:val="24"/>
        </w:rPr>
        <w:t xml:space="preserve"> og øjenlågsreaktioner), bør det overvejes at seponere behandlingen.</w:t>
      </w:r>
    </w:p>
    <w:p w14:paraId="6EF8D821" w14:textId="77777777" w:rsidR="00A52AC0" w:rsidRPr="00A7523D" w:rsidRDefault="00A52AC0" w:rsidP="00A52AC0">
      <w:pPr>
        <w:ind w:left="851"/>
        <w:rPr>
          <w:sz w:val="24"/>
          <w:szCs w:val="24"/>
        </w:rPr>
      </w:pPr>
    </w:p>
    <w:p w14:paraId="5B8850DD" w14:textId="77777777" w:rsidR="00A52AC0" w:rsidRPr="00A7523D" w:rsidRDefault="00A52AC0" w:rsidP="00A52AC0">
      <w:pPr>
        <w:ind w:left="851"/>
        <w:rPr>
          <w:sz w:val="24"/>
          <w:szCs w:val="24"/>
        </w:rPr>
      </w:pPr>
      <w:r w:rsidRPr="00A7523D">
        <w:rPr>
          <w:sz w:val="24"/>
          <w:szCs w:val="24"/>
        </w:rPr>
        <w:t xml:space="preserve">Der er mulighed for en additiveffekt på de kendte systemiske virkninger af </w:t>
      </w:r>
      <w:proofErr w:type="spellStart"/>
      <w:r w:rsidRPr="00A7523D">
        <w:rPr>
          <w:sz w:val="24"/>
          <w:szCs w:val="24"/>
        </w:rPr>
        <w:t>carboanhydrasehæmning</w:t>
      </w:r>
      <w:proofErr w:type="spellEnd"/>
      <w:r w:rsidRPr="00A7523D">
        <w:rPr>
          <w:sz w:val="24"/>
          <w:szCs w:val="24"/>
        </w:rPr>
        <w:t xml:space="preserve"> hos patienter, der får en oral </w:t>
      </w:r>
      <w:proofErr w:type="spellStart"/>
      <w:r w:rsidRPr="00A7523D">
        <w:rPr>
          <w:sz w:val="24"/>
          <w:szCs w:val="24"/>
        </w:rPr>
        <w:t>carboanhydrasehæmmer</w:t>
      </w:r>
      <w:proofErr w:type="spellEnd"/>
      <w:r w:rsidRPr="00A7523D">
        <w:rPr>
          <w:sz w:val="24"/>
          <w:szCs w:val="24"/>
        </w:rPr>
        <w:t xml:space="preserve"> og </w:t>
      </w:r>
      <w:proofErr w:type="spellStart"/>
      <w:r w:rsidRPr="00A7523D">
        <w:rPr>
          <w:sz w:val="24"/>
          <w:szCs w:val="24"/>
        </w:rPr>
        <w:t>dorzolamid</w:t>
      </w:r>
      <w:proofErr w:type="spellEnd"/>
      <w:r w:rsidRPr="00A7523D">
        <w:rPr>
          <w:sz w:val="24"/>
          <w:szCs w:val="24"/>
        </w:rPr>
        <w:t xml:space="preserve">. Samtidig administration af </w:t>
      </w:r>
      <w:proofErr w:type="spellStart"/>
      <w:r w:rsidRPr="00A7523D">
        <w:rPr>
          <w:sz w:val="24"/>
          <w:szCs w:val="24"/>
        </w:rPr>
        <w:t>dorzolamid</w:t>
      </w:r>
      <w:proofErr w:type="spellEnd"/>
      <w:r w:rsidRPr="00A7523D">
        <w:rPr>
          <w:sz w:val="24"/>
          <w:szCs w:val="24"/>
        </w:rPr>
        <w:t xml:space="preserve"> og orale </w:t>
      </w:r>
      <w:proofErr w:type="spellStart"/>
      <w:r w:rsidRPr="00A7523D">
        <w:rPr>
          <w:sz w:val="24"/>
          <w:szCs w:val="24"/>
        </w:rPr>
        <w:t>carboanhydrasehæmmere</w:t>
      </w:r>
      <w:proofErr w:type="spellEnd"/>
      <w:r w:rsidRPr="00A7523D">
        <w:rPr>
          <w:sz w:val="24"/>
          <w:szCs w:val="24"/>
        </w:rPr>
        <w:t xml:space="preserve"> frarådes.</w:t>
      </w:r>
    </w:p>
    <w:p w14:paraId="17931743" w14:textId="77777777" w:rsidR="00A52AC0" w:rsidRPr="00A7523D" w:rsidRDefault="00A52AC0" w:rsidP="00A52AC0">
      <w:pPr>
        <w:ind w:left="851"/>
        <w:rPr>
          <w:sz w:val="24"/>
          <w:szCs w:val="24"/>
        </w:rPr>
      </w:pPr>
    </w:p>
    <w:p w14:paraId="00F02B2D" w14:textId="77777777" w:rsidR="00A52AC0" w:rsidRPr="00A7523D" w:rsidRDefault="00A52AC0" w:rsidP="00A52AC0">
      <w:pPr>
        <w:ind w:left="851"/>
        <w:rPr>
          <w:sz w:val="24"/>
          <w:szCs w:val="24"/>
        </w:rPr>
      </w:pPr>
      <w:r w:rsidRPr="00A7523D">
        <w:rPr>
          <w:sz w:val="24"/>
          <w:szCs w:val="24"/>
        </w:rPr>
        <w:t xml:space="preserve">Der er rapporteret hornhindeødemer og irreversibel hornhindenedbrydning hos patienter med kroniske hornhindefejl og/eller </w:t>
      </w:r>
      <w:proofErr w:type="spellStart"/>
      <w:r w:rsidRPr="00A7523D">
        <w:rPr>
          <w:sz w:val="24"/>
          <w:szCs w:val="24"/>
        </w:rPr>
        <w:t>intraokulær</w:t>
      </w:r>
      <w:proofErr w:type="spellEnd"/>
      <w:r w:rsidRPr="00A7523D">
        <w:rPr>
          <w:sz w:val="24"/>
          <w:szCs w:val="24"/>
        </w:rPr>
        <w:t xml:space="preserve"> kirurgi i anamnesen, mens </w:t>
      </w:r>
      <w:proofErr w:type="spellStart"/>
      <w:r w:rsidRPr="00A7523D">
        <w:rPr>
          <w:sz w:val="24"/>
          <w:szCs w:val="24"/>
        </w:rPr>
        <w:t>dorzolamid</w:t>
      </w:r>
      <w:proofErr w:type="spellEnd"/>
      <w:r w:rsidRPr="00A7523D">
        <w:rPr>
          <w:sz w:val="24"/>
          <w:szCs w:val="24"/>
        </w:rPr>
        <w:t xml:space="preserve">-flerdosis (konserveret formulering) blev anvendt. </w:t>
      </w:r>
      <w:proofErr w:type="spellStart"/>
      <w:r w:rsidRPr="00A7523D">
        <w:rPr>
          <w:sz w:val="24"/>
          <w:szCs w:val="24"/>
        </w:rPr>
        <w:t>Topikal</w:t>
      </w:r>
      <w:proofErr w:type="spellEnd"/>
      <w:r w:rsidRPr="00A7523D">
        <w:rPr>
          <w:sz w:val="24"/>
          <w:szCs w:val="24"/>
        </w:rPr>
        <w:t xml:space="preserve"> </w:t>
      </w:r>
      <w:proofErr w:type="spellStart"/>
      <w:r w:rsidRPr="00A7523D">
        <w:rPr>
          <w:sz w:val="24"/>
          <w:szCs w:val="24"/>
        </w:rPr>
        <w:t>dorzolamid</w:t>
      </w:r>
      <w:proofErr w:type="spellEnd"/>
      <w:r w:rsidRPr="00A7523D">
        <w:rPr>
          <w:sz w:val="24"/>
          <w:szCs w:val="24"/>
        </w:rPr>
        <w:t xml:space="preserve"> bør anvendes med forsigtighed hos sådanne patienter. </w:t>
      </w:r>
    </w:p>
    <w:p w14:paraId="18B51BEA" w14:textId="77777777" w:rsidR="00A52AC0" w:rsidRPr="00A7523D" w:rsidRDefault="00A52AC0" w:rsidP="00A52AC0">
      <w:pPr>
        <w:ind w:left="851"/>
        <w:rPr>
          <w:sz w:val="24"/>
          <w:szCs w:val="24"/>
        </w:rPr>
      </w:pPr>
    </w:p>
    <w:p w14:paraId="76FCAD2F" w14:textId="77777777" w:rsidR="00A52AC0" w:rsidRPr="00A7523D" w:rsidRDefault="00A52AC0" w:rsidP="00A52AC0">
      <w:pPr>
        <w:ind w:left="851"/>
        <w:rPr>
          <w:sz w:val="24"/>
          <w:szCs w:val="24"/>
        </w:rPr>
      </w:pPr>
      <w:r w:rsidRPr="00A7523D">
        <w:rPr>
          <w:sz w:val="24"/>
          <w:szCs w:val="24"/>
        </w:rPr>
        <w:t xml:space="preserve">Der er rapporteret om </w:t>
      </w:r>
      <w:proofErr w:type="spellStart"/>
      <w:r w:rsidRPr="00A7523D">
        <w:rPr>
          <w:sz w:val="24"/>
          <w:szCs w:val="24"/>
        </w:rPr>
        <w:t>choroidalløsning</w:t>
      </w:r>
      <w:proofErr w:type="spellEnd"/>
      <w:r w:rsidRPr="00A7523D">
        <w:rPr>
          <w:sz w:val="24"/>
          <w:szCs w:val="24"/>
        </w:rPr>
        <w:t xml:space="preserve"> samtidig med </w:t>
      </w:r>
      <w:proofErr w:type="spellStart"/>
      <w:r w:rsidRPr="00A7523D">
        <w:rPr>
          <w:sz w:val="24"/>
          <w:szCs w:val="24"/>
        </w:rPr>
        <w:t>okulær</w:t>
      </w:r>
      <w:proofErr w:type="spellEnd"/>
      <w:r w:rsidRPr="00A7523D">
        <w:rPr>
          <w:sz w:val="24"/>
          <w:szCs w:val="24"/>
        </w:rPr>
        <w:t xml:space="preserve"> </w:t>
      </w:r>
      <w:proofErr w:type="spellStart"/>
      <w:r w:rsidRPr="00A7523D">
        <w:rPr>
          <w:sz w:val="24"/>
          <w:szCs w:val="24"/>
        </w:rPr>
        <w:t>hypotoni</w:t>
      </w:r>
      <w:proofErr w:type="spellEnd"/>
      <w:r w:rsidRPr="00A7523D">
        <w:rPr>
          <w:sz w:val="24"/>
          <w:szCs w:val="24"/>
        </w:rPr>
        <w:t xml:space="preserve"> ved administration af kammervæskehæmmende lægemidler efter filtreringsprocedurer. </w:t>
      </w:r>
    </w:p>
    <w:p w14:paraId="568CCCDC" w14:textId="77777777" w:rsidR="00A52AC0" w:rsidRPr="00A7523D" w:rsidRDefault="00A52AC0" w:rsidP="00A52AC0">
      <w:pPr>
        <w:ind w:left="851"/>
        <w:rPr>
          <w:sz w:val="24"/>
          <w:szCs w:val="24"/>
        </w:rPr>
      </w:pPr>
    </w:p>
    <w:p w14:paraId="729C01FD" w14:textId="77777777" w:rsidR="00A52AC0" w:rsidRPr="00A7523D" w:rsidRDefault="00A52AC0" w:rsidP="00A52AC0">
      <w:pPr>
        <w:ind w:left="851"/>
        <w:rPr>
          <w:sz w:val="24"/>
          <w:szCs w:val="24"/>
        </w:rPr>
      </w:pPr>
      <w:r w:rsidRPr="00A7523D">
        <w:rPr>
          <w:sz w:val="24"/>
          <w:szCs w:val="24"/>
        </w:rPr>
        <w:t xml:space="preserve">Patienter med tidligere kontaktoverfølsomhed over for sølv i anamnesen bør ikke bruge dette produkt, da de udleverede dråber kan indeholde spor af sølv. </w:t>
      </w:r>
    </w:p>
    <w:p w14:paraId="66054097" w14:textId="77777777" w:rsidR="00A52AC0" w:rsidRPr="00A7523D" w:rsidRDefault="00A52AC0" w:rsidP="00A52AC0">
      <w:pPr>
        <w:ind w:left="851"/>
        <w:rPr>
          <w:sz w:val="24"/>
          <w:szCs w:val="24"/>
        </w:rPr>
      </w:pPr>
    </w:p>
    <w:p w14:paraId="728BE075" w14:textId="77777777" w:rsidR="00A52AC0" w:rsidRPr="00A7523D" w:rsidRDefault="00A52AC0" w:rsidP="00A52AC0">
      <w:pPr>
        <w:ind w:left="851"/>
        <w:rPr>
          <w:sz w:val="24"/>
          <w:szCs w:val="24"/>
        </w:rPr>
      </w:pPr>
      <w:proofErr w:type="spellStart"/>
      <w:r w:rsidRPr="00A7523D">
        <w:rPr>
          <w:sz w:val="24"/>
          <w:szCs w:val="24"/>
        </w:rPr>
        <w:t>Vizidor</w:t>
      </w:r>
      <w:proofErr w:type="spellEnd"/>
      <w:r w:rsidRPr="00A7523D">
        <w:rPr>
          <w:sz w:val="24"/>
          <w:szCs w:val="24"/>
        </w:rPr>
        <w:t xml:space="preserve"> er ikke undersøgt hos patienter, der bruger kontaktlinser.</w:t>
      </w:r>
    </w:p>
    <w:p w14:paraId="7B2ECF27" w14:textId="77777777" w:rsidR="00A52AC0" w:rsidRPr="00A7523D" w:rsidRDefault="00A52AC0" w:rsidP="00A52AC0">
      <w:pPr>
        <w:ind w:left="851"/>
        <w:rPr>
          <w:sz w:val="24"/>
          <w:szCs w:val="24"/>
        </w:rPr>
      </w:pPr>
    </w:p>
    <w:p w14:paraId="4DCE05AD" w14:textId="77777777" w:rsidR="00A52AC0" w:rsidRPr="00A7523D" w:rsidRDefault="00A52AC0" w:rsidP="00A52AC0">
      <w:pPr>
        <w:ind w:left="851"/>
        <w:rPr>
          <w:sz w:val="24"/>
          <w:szCs w:val="24"/>
          <w:u w:val="single"/>
        </w:rPr>
      </w:pPr>
      <w:r w:rsidRPr="00A7523D">
        <w:rPr>
          <w:sz w:val="24"/>
          <w:szCs w:val="24"/>
          <w:u w:val="single"/>
        </w:rPr>
        <w:t>Pædiatrisk population</w:t>
      </w:r>
    </w:p>
    <w:p w14:paraId="73BC9716" w14:textId="77777777" w:rsidR="00A52AC0" w:rsidRPr="00A7523D" w:rsidRDefault="00A52AC0" w:rsidP="00A52AC0">
      <w:pPr>
        <w:ind w:left="851"/>
        <w:rPr>
          <w:sz w:val="24"/>
          <w:szCs w:val="24"/>
        </w:rPr>
      </w:pPr>
      <w:proofErr w:type="spellStart"/>
      <w:r w:rsidRPr="00A7523D">
        <w:rPr>
          <w:sz w:val="24"/>
          <w:szCs w:val="24"/>
        </w:rPr>
        <w:t>Dorzolamid</w:t>
      </w:r>
      <w:proofErr w:type="spellEnd"/>
      <w:r w:rsidRPr="00A7523D">
        <w:rPr>
          <w:sz w:val="24"/>
          <w:szCs w:val="24"/>
        </w:rPr>
        <w:t xml:space="preserve"> er ikke undersøgt hos patienter under 36-ugers graviditetsalder og under 1-ugers alder. Patienter med signifikant </w:t>
      </w:r>
      <w:proofErr w:type="spellStart"/>
      <w:r w:rsidRPr="00A7523D">
        <w:rPr>
          <w:sz w:val="24"/>
          <w:szCs w:val="24"/>
        </w:rPr>
        <w:t>renal</w:t>
      </w:r>
      <w:proofErr w:type="spellEnd"/>
      <w:r w:rsidRPr="00A7523D">
        <w:rPr>
          <w:sz w:val="24"/>
          <w:szCs w:val="24"/>
        </w:rPr>
        <w:t xml:space="preserve"> </w:t>
      </w:r>
      <w:proofErr w:type="spellStart"/>
      <w:r w:rsidRPr="00A7523D">
        <w:rPr>
          <w:sz w:val="24"/>
          <w:szCs w:val="24"/>
        </w:rPr>
        <w:t>tubulær</w:t>
      </w:r>
      <w:proofErr w:type="spellEnd"/>
      <w:r w:rsidRPr="00A7523D">
        <w:rPr>
          <w:sz w:val="24"/>
          <w:szCs w:val="24"/>
        </w:rPr>
        <w:t xml:space="preserve"> umodenhed bør kun modtage </w:t>
      </w:r>
      <w:proofErr w:type="spellStart"/>
      <w:r w:rsidRPr="00A7523D">
        <w:rPr>
          <w:sz w:val="24"/>
          <w:szCs w:val="24"/>
        </w:rPr>
        <w:t>dorzolamid</w:t>
      </w:r>
      <w:proofErr w:type="spellEnd"/>
      <w:r w:rsidRPr="00A7523D">
        <w:rPr>
          <w:sz w:val="24"/>
          <w:szCs w:val="24"/>
        </w:rPr>
        <w:t xml:space="preserve"> efter omhyggelig overvejelse af benefit/</w:t>
      </w:r>
      <w:proofErr w:type="spellStart"/>
      <w:r w:rsidRPr="00A7523D">
        <w:rPr>
          <w:sz w:val="24"/>
          <w:szCs w:val="24"/>
        </w:rPr>
        <w:t>risk</w:t>
      </w:r>
      <w:proofErr w:type="spellEnd"/>
      <w:r w:rsidRPr="00A7523D">
        <w:rPr>
          <w:sz w:val="24"/>
          <w:szCs w:val="24"/>
        </w:rPr>
        <w:t xml:space="preserve">-balancen på grund af den mulige risiko for metabolisk </w:t>
      </w:r>
      <w:proofErr w:type="spellStart"/>
      <w:r w:rsidRPr="00A7523D">
        <w:rPr>
          <w:sz w:val="24"/>
          <w:szCs w:val="24"/>
        </w:rPr>
        <w:t>acidose</w:t>
      </w:r>
      <w:proofErr w:type="spellEnd"/>
      <w:r w:rsidRPr="00A7523D">
        <w:rPr>
          <w:sz w:val="24"/>
          <w:szCs w:val="24"/>
        </w:rPr>
        <w:t>.</w:t>
      </w:r>
    </w:p>
    <w:p w14:paraId="22115149" w14:textId="77777777" w:rsidR="009260DE" w:rsidRPr="00A7523D" w:rsidRDefault="009260DE" w:rsidP="009260DE">
      <w:pPr>
        <w:tabs>
          <w:tab w:val="left" w:pos="851"/>
        </w:tabs>
        <w:ind w:left="851"/>
        <w:rPr>
          <w:sz w:val="24"/>
          <w:szCs w:val="24"/>
        </w:rPr>
      </w:pPr>
    </w:p>
    <w:p w14:paraId="0D681485" w14:textId="77777777" w:rsidR="009260DE" w:rsidRPr="00A7523D" w:rsidRDefault="009260DE" w:rsidP="009260DE">
      <w:pPr>
        <w:tabs>
          <w:tab w:val="left" w:pos="851"/>
        </w:tabs>
        <w:ind w:left="851" w:hanging="851"/>
        <w:rPr>
          <w:b/>
          <w:sz w:val="24"/>
          <w:szCs w:val="24"/>
        </w:rPr>
      </w:pPr>
      <w:r w:rsidRPr="00A7523D">
        <w:rPr>
          <w:b/>
          <w:sz w:val="24"/>
          <w:szCs w:val="24"/>
        </w:rPr>
        <w:t>4.5</w:t>
      </w:r>
      <w:r w:rsidRPr="00A7523D">
        <w:rPr>
          <w:b/>
          <w:sz w:val="24"/>
          <w:szCs w:val="24"/>
        </w:rPr>
        <w:tab/>
        <w:t>Interaktion med andre lægemidler og andre former for interaktion</w:t>
      </w:r>
    </w:p>
    <w:p w14:paraId="6F477E9B" w14:textId="77777777" w:rsidR="00A52AC0" w:rsidRPr="00A7523D" w:rsidRDefault="00A52AC0" w:rsidP="00A52AC0">
      <w:pPr>
        <w:ind w:left="851"/>
        <w:rPr>
          <w:sz w:val="24"/>
          <w:szCs w:val="24"/>
        </w:rPr>
      </w:pPr>
      <w:r w:rsidRPr="00A7523D">
        <w:rPr>
          <w:sz w:val="24"/>
          <w:szCs w:val="24"/>
        </w:rPr>
        <w:t xml:space="preserve">Der er ikke udført specifikke interaktionsundersøgelser med </w:t>
      </w:r>
      <w:proofErr w:type="spellStart"/>
      <w:r w:rsidRPr="00A7523D">
        <w:rPr>
          <w:sz w:val="24"/>
          <w:szCs w:val="24"/>
        </w:rPr>
        <w:t>dorzolamid</w:t>
      </w:r>
      <w:proofErr w:type="spellEnd"/>
      <w:r w:rsidRPr="00A7523D">
        <w:rPr>
          <w:sz w:val="24"/>
          <w:szCs w:val="24"/>
        </w:rPr>
        <w:t xml:space="preserve">. </w:t>
      </w:r>
    </w:p>
    <w:p w14:paraId="24D0E324" w14:textId="77777777" w:rsidR="00A52AC0" w:rsidRPr="00A7523D" w:rsidRDefault="00A52AC0" w:rsidP="00A7523D">
      <w:pPr>
        <w:ind w:left="851"/>
        <w:rPr>
          <w:sz w:val="24"/>
          <w:szCs w:val="24"/>
        </w:rPr>
      </w:pPr>
    </w:p>
    <w:p w14:paraId="7CA6A607" w14:textId="77777777" w:rsidR="00A52AC0" w:rsidRPr="00A7523D" w:rsidRDefault="00A52AC0" w:rsidP="00A7523D">
      <w:pPr>
        <w:ind w:left="851"/>
        <w:rPr>
          <w:sz w:val="24"/>
          <w:szCs w:val="24"/>
        </w:rPr>
      </w:pPr>
      <w:r w:rsidRPr="00A7523D">
        <w:rPr>
          <w:sz w:val="24"/>
          <w:szCs w:val="24"/>
        </w:rPr>
        <w:t xml:space="preserve">I kliniske studier er </w:t>
      </w:r>
      <w:proofErr w:type="spellStart"/>
      <w:r w:rsidRPr="00A7523D">
        <w:rPr>
          <w:sz w:val="24"/>
          <w:szCs w:val="24"/>
        </w:rPr>
        <w:t>dorzolamid</w:t>
      </w:r>
      <w:proofErr w:type="spellEnd"/>
      <w:r w:rsidRPr="00A7523D">
        <w:rPr>
          <w:sz w:val="24"/>
          <w:szCs w:val="24"/>
        </w:rPr>
        <w:t xml:space="preserve"> blevet anvendt sammen med følgende systemiske lægemidler uden tegn på bivirkninger: </w:t>
      </w:r>
      <w:proofErr w:type="spellStart"/>
      <w:r w:rsidRPr="00A7523D">
        <w:rPr>
          <w:sz w:val="24"/>
          <w:szCs w:val="24"/>
        </w:rPr>
        <w:t>timolol</w:t>
      </w:r>
      <w:proofErr w:type="spellEnd"/>
      <w:r w:rsidRPr="00A7523D">
        <w:rPr>
          <w:sz w:val="24"/>
          <w:szCs w:val="24"/>
        </w:rPr>
        <w:t xml:space="preserve"> øjenpræparat, </w:t>
      </w:r>
      <w:proofErr w:type="spellStart"/>
      <w:r w:rsidRPr="00A7523D">
        <w:rPr>
          <w:sz w:val="24"/>
          <w:szCs w:val="24"/>
        </w:rPr>
        <w:t>betaxol</w:t>
      </w:r>
      <w:proofErr w:type="spellEnd"/>
      <w:r w:rsidRPr="00A7523D">
        <w:rPr>
          <w:sz w:val="24"/>
          <w:szCs w:val="24"/>
        </w:rPr>
        <w:t xml:space="preserve"> øjenpræparat og systemisk virkende lægemidler inklusive ACE-</w:t>
      </w:r>
      <w:proofErr w:type="spellStart"/>
      <w:r w:rsidRPr="00A7523D">
        <w:rPr>
          <w:sz w:val="24"/>
          <w:szCs w:val="24"/>
        </w:rPr>
        <w:t>hæmmere</w:t>
      </w:r>
      <w:proofErr w:type="spellEnd"/>
      <w:r w:rsidRPr="00A7523D">
        <w:rPr>
          <w:sz w:val="24"/>
          <w:szCs w:val="24"/>
        </w:rPr>
        <w:t xml:space="preserve">, calciumkanalblokkere, </w:t>
      </w:r>
      <w:proofErr w:type="spellStart"/>
      <w:r w:rsidRPr="00A7523D">
        <w:rPr>
          <w:sz w:val="24"/>
          <w:szCs w:val="24"/>
        </w:rPr>
        <w:t>diuretika</w:t>
      </w:r>
      <w:proofErr w:type="spellEnd"/>
      <w:r w:rsidRPr="00A7523D">
        <w:rPr>
          <w:sz w:val="24"/>
          <w:szCs w:val="24"/>
        </w:rPr>
        <w:t>, non-</w:t>
      </w:r>
      <w:proofErr w:type="spellStart"/>
      <w:r w:rsidRPr="00A7523D">
        <w:rPr>
          <w:sz w:val="24"/>
          <w:szCs w:val="24"/>
        </w:rPr>
        <w:t>steroide</w:t>
      </w:r>
      <w:proofErr w:type="spellEnd"/>
      <w:r w:rsidRPr="00A7523D">
        <w:rPr>
          <w:sz w:val="24"/>
          <w:szCs w:val="24"/>
        </w:rPr>
        <w:t xml:space="preserve"> antiinflammatoriske lægemidler, herunder</w:t>
      </w:r>
      <w:r w:rsidRPr="00A7523D">
        <w:rPr>
          <w:color w:val="525759"/>
          <w:sz w:val="24"/>
          <w:szCs w:val="24"/>
        </w:rPr>
        <w:t xml:space="preserve"> </w:t>
      </w:r>
      <w:r w:rsidRPr="00A7523D">
        <w:rPr>
          <w:sz w:val="24"/>
          <w:szCs w:val="24"/>
        </w:rPr>
        <w:t>acetylsalicylsyre,</w:t>
      </w:r>
      <w:r w:rsidRPr="00A7523D">
        <w:rPr>
          <w:color w:val="525759"/>
          <w:sz w:val="24"/>
          <w:szCs w:val="24"/>
        </w:rPr>
        <w:t xml:space="preserve"> </w:t>
      </w:r>
      <w:r w:rsidRPr="00A7523D">
        <w:rPr>
          <w:sz w:val="24"/>
          <w:szCs w:val="24"/>
        </w:rPr>
        <w:t xml:space="preserve">og hormoner (f.eks. østrogen, insulin og </w:t>
      </w:r>
      <w:proofErr w:type="spellStart"/>
      <w:r w:rsidRPr="00A7523D">
        <w:rPr>
          <w:sz w:val="24"/>
          <w:szCs w:val="24"/>
        </w:rPr>
        <w:t>thyroxin</w:t>
      </w:r>
      <w:proofErr w:type="spellEnd"/>
      <w:r w:rsidRPr="00A7523D">
        <w:rPr>
          <w:sz w:val="24"/>
          <w:szCs w:val="24"/>
        </w:rPr>
        <w:t>).</w:t>
      </w:r>
    </w:p>
    <w:p w14:paraId="203C6576" w14:textId="1510F746" w:rsidR="00A52AC0" w:rsidRPr="00A7523D" w:rsidRDefault="00A52AC0" w:rsidP="00A7523D">
      <w:pPr>
        <w:ind w:left="851"/>
        <w:rPr>
          <w:sz w:val="24"/>
          <w:szCs w:val="24"/>
        </w:rPr>
      </w:pPr>
    </w:p>
    <w:p w14:paraId="480D30B7" w14:textId="77777777" w:rsidR="00A52AC0" w:rsidRPr="00A7523D" w:rsidRDefault="00A52AC0" w:rsidP="00A52AC0">
      <w:pPr>
        <w:ind w:left="851"/>
        <w:rPr>
          <w:sz w:val="24"/>
          <w:szCs w:val="24"/>
        </w:rPr>
      </w:pPr>
      <w:r w:rsidRPr="00A7523D">
        <w:rPr>
          <w:sz w:val="24"/>
          <w:szCs w:val="24"/>
        </w:rPr>
        <w:t xml:space="preserve">Forbindelsen mellem </w:t>
      </w:r>
      <w:proofErr w:type="spellStart"/>
      <w:r w:rsidRPr="00A7523D">
        <w:rPr>
          <w:sz w:val="24"/>
          <w:szCs w:val="24"/>
        </w:rPr>
        <w:t>dorzolamid</w:t>
      </w:r>
      <w:proofErr w:type="spellEnd"/>
      <w:r w:rsidRPr="00A7523D">
        <w:rPr>
          <w:sz w:val="24"/>
          <w:szCs w:val="24"/>
        </w:rPr>
        <w:t xml:space="preserve"> og </w:t>
      </w:r>
      <w:proofErr w:type="spellStart"/>
      <w:r w:rsidRPr="00A7523D">
        <w:rPr>
          <w:sz w:val="24"/>
          <w:szCs w:val="24"/>
        </w:rPr>
        <w:t>miotika</w:t>
      </w:r>
      <w:proofErr w:type="spellEnd"/>
      <w:r w:rsidRPr="00A7523D">
        <w:rPr>
          <w:sz w:val="24"/>
          <w:szCs w:val="24"/>
        </w:rPr>
        <w:t xml:space="preserve"> og </w:t>
      </w:r>
      <w:proofErr w:type="spellStart"/>
      <w:r w:rsidRPr="00A7523D">
        <w:rPr>
          <w:sz w:val="24"/>
          <w:szCs w:val="24"/>
        </w:rPr>
        <w:t>adrenerge</w:t>
      </w:r>
      <w:proofErr w:type="spellEnd"/>
      <w:r w:rsidRPr="00A7523D">
        <w:rPr>
          <w:sz w:val="24"/>
          <w:szCs w:val="24"/>
        </w:rPr>
        <w:t xml:space="preserve"> agonister er ikke fuldt evalueret under </w:t>
      </w:r>
      <w:proofErr w:type="spellStart"/>
      <w:r w:rsidRPr="00A7523D">
        <w:rPr>
          <w:sz w:val="24"/>
          <w:szCs w:val="24"/>
        </w:rPr>
        <w:t>glaukombehandling</w:t>
      </w:r>
      <w:proofErr w:type="spellEnd"/>
      <w:r w:rsidRPr="00A7523D">
        <w:rPr>
          <w:sz w:val="24"/>
          <w:szCs w:val="24"/>
        </w:rPr>
        <w:t>.</w:t>
      </w:r>
    </w:p>
    <w:p w14:paraId="194498F4" w14:textId="77777777" w:rsidR="009260DE" w:rsidRPr="00A7523D" w:rsidRDefault="009260DE" w:rsidP="009260DE">
      <w:pPr>
        <w:tabs>
          <w:tab w:val="left" w:pos="851"/>
        </w:tabs>
        <w:ind w:left="851"/>
        <w:rPr>
          <w:sz w:val="24"/>
          <w:szCs w:val="24"/>
        </w:rPr>
      </w:pPr>
    </w:p>
    <w:p w14:paraId="77AC821C" w14:textId="77777777" w:rsidR="009260DE" w:rsidRPr="00A7523D" w:rsidRDefault="009260DE" w:rsidP="009260DE">
      <w:pPr>
        <w:tabs>
          <w:tab w:val="left" w:pos="851"/>
        </w:tabs>
        <w:ind w:left="851" w:hanging="851"/>
        <w:rPr>
          <w:b/>
          <w:sz w:val="24"/>
          <w:szCs w:val="24"/>
        </w:rPr>
      </w:pPr>
      <w:r w:rsidRPr="00A7523D">
        <w:rPr>
          <w:b/>
          <w:sz w:val="24"/>
          <w:szCs w:val="24"/>
        </w:rPr>
        <w:t>4.6</w:t>
      </w:r>
      <w:r w:rsidRPr="00A7523D">
        <w:rPr>
          <w:b/>
          <w:sz w:val="24"/>
          <w:szCs w:val="24"/>
        </w:rPr>
        <w:tab/>
      </w:r>
      <w:r w:rsidR="0071241E" w:rsidRPr="00A7523D">
        <w:rPr>
          <w:b/>
          <w:sz w:val="24"/>
          <w:szCs w:val="24"/>
        </w:rPr>
        <w:t>Fertilitet, g</w:t>
      </w:r>
      <w:r w:rsidRPr="00A7523D">
        <w:rPr>
          <w:b/>
          <w:sz w:val="24"/>
          <w:szCs w:val="24"/>
        </w:rPr>
        <w:t>raviditet og amning</w:t>
      </w:r>
    </w:p>
    <w:p w14:paraId="41206A25" w14:textId="77777777" w:rsidR="00A7523D" w:rsidRDefault="00A7523D" w:rsidP="00A52AC0">
      <w:pPr>
        <w:ind w:left="851"/>
        <w:rPr>
          <w:i/>
          <w:iCs/>
          <w:sz w:val="24"/>
          <w:szCs w:val="24"/>
          <w:u w:val="single"/>
        </w:rPr>
      </w:pPr>
    </w:p>
    <w:p w14:paraId="7DE933AC" w14:textId="46EB04B5" w:rsidR="00A52AC0" w:rsidRPr="00A7523D" w:rsidRDefault="00A52AC0" w:rsidP="00A52AC0">
      <w:pPr>
        <w:ind w:left="851"/>
        <w:rPr>
          <w:i/>
          <w:iCs/>
          <w:sz w:val="24"/>
          <w:szCs w:val="24"/>
          <w:u w:val="single"/>
        </w:rPr>
      </w:pPr>
      <w:r w:rsidRPr="00A7523D">
        <w:rPr>
          <w:i/>
          <w:iCs/>
          <w:sz w:val="24"/>
          <w:szCs w:val="24"/>
          <w:u w:val="single"/>
        </w:rPr>
        <w:t>Graviditet</w:t>
      </w:r>
    </w:p>
    <w:p w14:paraId="76705181" w14:textId="77777777" w:rsidR="00A52AC0" w:rsidRPr="00A7523D" w:rsidRDefault="00A52AC0" w:rsidP="00A52AC0">
      <w:pPr>
        <w:ind w:left="851"/>
        <w:rPr>
          <w:sz w:val="24"/>
          <w:szCs w:val="24"/>
        </w:rPr>
      </w:pPr>
      <w:proofErr w:type="spellStart"/>
      <w:r w:rsidRPr="00A7523D">
        <w:rPr>
          <w:sz w:val="24"/>
          <w:szCs w:val="24"/>
        </w:rPr>
        <w:t>Vizidor</w:t>
      </w:r>
      <w:proofErr w:type="spellEnd"/>
      <w:r w:rsidRPr="00A7523D">
        <w:rPr>
          <w:sz w:val="24"/>
          <w:szCs w:val="24"/>
        </w:rPr>
        <w:t xml:space="preserve"> bør ikke anvendes under graviditet. Der foreligger ingen eller begrænsede data om brugen af </w:t>
      </w:r>
      <w:proofErr w:type="spellStart"/>
      <w:r w:rsidRPr="00A7523D">
        <w:rPr>
          <w:sz w:val="24"/>
          <w:szCs w:val="24"/>
        </w:rPr>
        <w:t>dorzolamid</w:t>
      </w:r>
      <w:proofErr w:type="spellEnd"/>
      <w:r w:rsidRPr="00A7523D">
        <w:rPr>
          <w:sz w:val="24"/>
          <w:szCs w:val="24"/>
        </w:rPr>
        <w:t xml:space="preserve"> under graviditet. Forsøg med kaniner har vist en </w:t>
      </w:r>
      <w:proofErr w:type="spellStart"/>
      <w:r w:rsidRPr="00A7523D">
        <w:rPr>
          <w:sz w:val="24"/>
          <w:szCs w:val="24"/>
        </w:rPr>
        <w:t>teratogen</w:t>
      </w:r>
      <w:proofErr w:type="spellEnd"/>
      <w:r w:rsidRPr="00A7523D">
        <w:rPr>
          <w:sz w:val="24"/>
          <w:szCs w:val="24"/>
        </w:rPr>
        <w:t xml:space="preserve"> effekt ved </w:t>
      </w:r>
      <w:proofErr w:type="spellStart"/>
      <w:r w:rsidRPr="00A7523D">
        <w:rPr>
          <w:sz w:val="24"/>
          <w:szCs w:val="24"/>
        </w:rPr>
        <w:t>maternotoksiske</w:t>
      </w:r>
      <w:proofErr w:type="spellEnd"/>
      <w:r w:rsidRPr="00A7523D">
        <w:rPr>
          <w:sz w:val="24"/>
          <w:szCs w:val="24"/>
        </w:rPr>
        <w:t xml:space="preserve"> doser (se pkt. 5.3).</w:t>
      </w:r>
    </w:p>
    <w:p w14:paraId="4DF3C42A" w14:textId="77777777" w:rsidR="00A52AC0" w:rsidRPr="00A7523D" w:rsidRDefault="00A52AC0" w:rsidP="00A7523D">
      <w:pPr>
        <w:ind w:left="851"/>
        <w:rPr>
          <w:sz w:val="24"/>
          <w:szCs w:val="24"/>
        </w:rPr>
      </w:pPr>
    </w:p>
    <w:p w14:paraId="1BB9544E" w14:textId="77777777" w:rsidR="00A52AC0" w:rsidRPr="00A7523D" w:rsidRDefault="00A52AC0" w:rsidP="00A52AC0">
      <w:pPr>
        <w:ind w:left="851"/>
        <w:rPr>
          <w:sz w:val="24"/>
          <w:szCs w:val="24"/>
        </w:rPr>
      </w:pPr>
      <w:r w:rsidRPr="00A7523D">
        <w:rPr>
          <w:i/>
          <w:iCs/>
          <w:sz w:val="24"/>
          <w:szCs w:val="24"/>
          <w:u w:val="single"/>
        </w:rPr>
        <w:t>Amning</w:t>
      </w:r>
    </w:p>
    <w:p w14:paraId="2FE3EE08" w14:textId="77777777" w:rsidR="00A52AC0" w:rsidRPr="00A7523D" w:rsidRDefault="00A52AC0" w:rsidP="00A52AC0">
      <w:pPr>
        <w:ind w:left="851"/>
        <w:rPr>
          <w:sz w:val="24"/>
          <w:szCs w:val="24"/>
        </w:rPr>
      </w:pPr>
      <w:r w:rsidRPr="00A7523D">
        <w:rPr>
          <w:sz w:val="24"/>
          <w:szCs w:val="24"/>
        </w:rPr>
        <w:t xml:space="preserve">Det vides ikke, om </w:t>
      </w:r>
      <w:proofErr w:type="spellStart"/>
      <w:r w:rsidRPr="00A7523D">
        <w:rPr>
          <w:sz w:val="24"/>
          <w:szCs w:val="24"/>
        </w:rPr>
        <w:t>dorzolamid</w:t>
      </w:r>
      <w:proofErr w:type="spellEnd"/>
      <w:r w:rsidRPr="00A7523D">
        <w:rPr>
          <w:sz w:val="24"/>
          <w:szCs w:val="24"/>
        </w:rPr>
        <w:t xml:space="preserve"> udskilles i human mælk. Tilgængelige </w:t>
      </w:r>
      <w:proofErr w:type="spellStart"/>
      <w:r w:rsidRPr="00A7523D">
        <w:rPr>
          <w:sz w:val="24"/>
          <w:szCs w:val="24"/>
        </w:rPr>
        <w:t>farmakodynamiske</w:t>
      </w:r>
      <w:proofErr w:type="spellEnd"/>
      <w:r w:rsidRPr="00A7523D">
        <w:rPr>
          <w:sz w:val="24"/>
          <w:szCs w:val="24"/>
        </w:rPr>
        <w:t>/</w:t>
      </w:r>
      <w:proofErr w:type="spellStart"/>
      <w:r w:rsidRPr="00A7523D">
        <w:rPr>
          <w:sz w:val="24"/>
          <w:szCs w:val="24"/>
        </w:rPr>
        <w:t>farmakokinetiske</w:t>
      </w:r>
      <w:proofErr w:type="spellEnd"/>
      <w:r w:rsidRPr="00A7523D">
        <w:rPr>
          <w:sz w:val="24"/>
          <w:szCs w:val="24"/>
        </w:rPr>
        <w:t xml:space="preserve"> data hos dyr har vist, at </w:t>
      </w:r>
      <w:proofErr w:type="spellStart"/>
      <w:r w:rsidRPr="00A7523D">
        <w:rPr>
          <w:sz w:val="24"/>
          <w:szCs w:val="24"/>
        </w:rPr>
        <w:t>dorzolamid</w:t>
      </w:r>
      <w:proofErr w:type="spellEnd"/>
      <w:r w:rsidRPr="00A7523D">
        <w:rPr>
          <w:sz w:val="24"/>
          <w:szCs w:val="24"/>
        </w:rPr>
        <w:t xml:space="preserve"> udskilles i mælk. Der skal træffes beslutning om, hvorvidt amning skal indstilles/afstås fra under behandling med </w:t>
      </w:r>
      <w:proofErr w:type="spellStart"/>
      <w:r w:rsidRPr="00A7523D">
        <w:rPr>
          <w:sz w:val="24"/>
          <w:szCs w:val="24"/>
        </w:rPr>
        <w:t>Vizidor</w:t>
      </w:r>
      <w:proofErr w:type="spellEnd"/>
      <w:r w:rsidRPr="00A7523D">
        <w:rPr>
          <w:sz w:val="24"/>
          <w:szCs w:val="24"/>
        </w:rPr>
        <w:t xml:space="preserve"> under hensyntagen til fordelene ved amning for barnet og fordelene for behandling for kvinden. En risiko for nyfødte/spædbørn kan ikke udelukkes.</w:t>
      </w:r>
    </w:p>
    <w:p w14:paraId="562F7D80" w14:textId="77777777" w:rsidR="00A52AC0" w:rsidRPr="00A7523D" w:rsidRDefault="00A52AC0" w:rsidP="00A52AC0">
      <w:pPr>
        <w:ind w:left="851"/>
        <w:rPr>
          <w:sz w:val="24"/>
          <w:szCs w:val="24"/>
        </w:rPr>
      </w:pPr>
    </w:p>
    <w:p w14:paraId="76EE741C" w14:textId="77777777" w:rsidR="00A52AC0" w:rsidRPr="00A7523D" w:rsidRDefault="00A52AC0" w:rsidP="00A52AC0">
      <w:pPr>
        <w:ind w:left="851"/>
        <w:rPr>
          <w:sz w:val="24"/>
          <w:szCs w:val="24"/>
        </w:rPr>
      </w:pPr>
      <w:r w:rsidRPr="00A7523D">
        <w:rPr>
          <w:sz w:val="24"/>
          <w:szCs w:val="24"/>
          <w:u w:val="single"/>
        </w:rPr>
        <w:t>Fertilitet</w:t>
      </w:r>
    </w:p>
    <w:p w14:paraId="34E9437E" w14:textId="77777777" w:rsidR="00A52AC0" w:rsidRPr="00A7523D" w:rsidRDefault="00A52AC0" w:rsidP="00A52AC0">
      <w:pPr>
        <w:ind w:left="851"/>
        <w:rPr>
          <w:sz w:val="24"/>
          <w:szCs w:val="24"/>
        </w:rPr>
      </w:pPr>
      <w:r w:rsidRPr="00A7523D">
        <w:rPr>
          <w:sz w:val="24"/>
          <w:szCs w:val="24"/>
        </w:rPr>
        <w:t xml:space="preserve">Dyredata tyder ikke på en effekt af behandling med </w:t>
      </w:r>
      <w:proofErr w:type="spellStart"/>
      <w:r w:rsidRPr="00A7523D">
        <w:rPr>
          <w:sz w:val="24"/>
          <w:szCs w:val="24"/>
        </w:rPr>
        <w:t>dorzolamid</w:t>
      </w:r>
      <w:proofErr w:type="spellEnd"/>
      <w:r w:rsidRPr="00A7523D">
        <w:rPr>
          <w:sz w:val="24"/>
          <w:szCs w:val="24"/>
        </w:rPr>
        <w:t xml:space="preserve"> på mandlig og kvindelig fertilitet. Der mangler humane data.</w:t>
      </w:r>
    </w:p>
    <w:p w14:paraId="4A473DD5" w14:textId="77777777" w:rsidR="009260DE" w:rsidRPr="00A7523D" w:rsidRDefault="009260DE" w:rsidP="009260DE">
      <w:pPr>
        <w:tabs>
          <w:tab w:val="left" w:pos="851"/>
        </w:tabs>
        <w:ind w:left="851"/>
        <w:rPr>
          <w:sz w:val="24"/>
          <w:szCs w:val="24"/>
        </w:rPr>
      </w:pPr>
    </w:p>
    <w:p w14:paraId="2A1BE827" w14:textId="77777777" w:rsidR="009260DE" w:rsidRPr="00A7523D" w:rsidRDefault="009260DE" w:rsidP="009260DE">
      <w:pPr>
        <w:tabs>
          <w:tab w:val="left" w:pos="851"/>
        </w:tabs>
        <w:ind w:left="851" w:hanging="851"/>
        <w:rPr>
          <w:b/>
          <w:sz w:val="24"/>
          <w:szCs w:val="24"/>
        </w:rPr>
      </w:pPr>
      <w:r w:rsidRPr="00A7523D">
        <w:rPr>
          <w:b/>
          <w:sz w:val="24"/>
          <w:szCs w:val="24"/>
        </w:rPr>
        <w:t>4.7</w:t>
      </w:r>
      <w:r w:rsidRPr="00A7523D">
        <w:rPr>
          <w:b/>
          <w:sz w:val="24"/>
          <w:szCs w:val="24"/>
        </w:rPr>
        <w:tab/>
        <w:t xml:space="preserve">Virkning på evnen til at føre motorkøretøj </w:t>
      </w:r>
      <w:r w:rsidR="0071241E" w:rsidRPr="00A7523D">
        <w:rPr>
          <w:b/>
          <w:sz w:val="24"/>
          <w:szCs w:val="24"/>
        </w:rPr>
        <w:t>og</w:t>
      </w:r>
      <w:r w:rsidRPr="00A7523D">
        <w:rPr>
          <w:b/>
          <w:sz w:val="24"/>
          <w:szCs w:val="24"/>
        </w:rPr>
        <w:t xml:space="preserve"> betjene maskiner</w:t>
      </w:r>
    </w:p>
    <w:p w14:paraId="2FA27FBA" w14:textId="77777777" w:rsidR="00A52AC0" w:rsidRPr="00A7523D" w:rsidRDefault="00A52AC0" w:rsidP="00A52AC0">
      <w:pPr>
        <w:ind w:left="851"/>
        <w:rPr>
          <w:sz w:val="24"/>
          <w:szCs w:val="24"/>
        </w:rPr>
      </w:pPr>
      <w:r w:rsidRPr="00A7523D">
        <w:rPr>
          <w:sz w:val="24"/>
          <w:szCs w:val="24"/>
        </w:rPr>
        <w:t>Ikke mærkning.</w:t>
      </w:r>
    </w:p>
    <w:p w14:paraId="080ACAE1" w14:textId="77777777" w:rsidR="00A52AC0" w:rsidRPr="00A7523D" w:rsidRDefault="00A52AC0" w:rsidP="00A52AC0">
      <w:pPr>
        <w:ind w:left="851"/>
        <w:rPr>
          <w:sz w:val="24"/>
          <w:szCs w:val="24"/>
        </w:rPr>
      </w:pPr>
      <w:r w:rsidRPr="00A7523D">
        <w:rPr>
          <w:sz w:val="24"/>
          <w:szCs w:val="24"/>
        </w:rPr>
        <w:t>Det er ikke foretaget studier af virkningen på evnen til at føre motorkøretøj eller betjene maskiner. Mulige bivirkninger som svimmelhed og synsforstyrrelser kan påvirke evnen til at føre motorkøretøj og betjene maskiner.</w:t>
      </w:r>
    </w:p>
    <w:p w14:paraId="74226DB2" w14:textId="77777777" w:rsidR="009260DE" w:rsidRPr="00A7523D" w:rsidRDefault="009260DE" w:rsidP="009260DE">
      <w:pPr>
        <w:tabs>
          <w:tab w:val="left" w:pos="851"/>
        </w:tabs>
        <w:ind w:left="851"/>
        <w:rPr>
          <w:sz w:val="24"/>
          <w:szCs w:val="24"/>
        </w:rPr>
      </w:pPr>
    </w:p>
    <w:p w14:paraId="67D74245" w14:textId="77777777" w:rsidR="009260DE" w:rsidRPr="00A7523D" w:rsidRDefault="009260DE" w:rsidP="009260DE">
      <w:pPr>
        <w:tabs>
          <w:tab w:val="left" w:pos="851"/>
        </w:tabs>
        <w:ind w:left="851" w:hanging="851"/>
        <w:rPr>
          <w:b/>
          <w:sz w:val="24"/>
          <w:szCs w:val="24"/>
        </w:rPr>
      </w:pPr>
      <w:r w:rsidRPr="00A7523D">
        <w:rPr>
          <w:b/>
          <w:sz w:val="24"/>
          <w:szCs w:val="24"/>
        </w:rPr>
        <w:t>4.8</w:t>
      </w:r>
      <w:r w:rsidRPr="00A7523D">
        <w:rPr>
          <w:b/>
          <w:sz w:val="24"/>
          <w:szCs w:val="24"/>
        </w:rPr>
        <w:tab/>
        <w:t>Bivirkninger</w:t>
      </w:r>
    </w:p>
    <w:p w14:paraId="7ED3169F" w14:textId="77777777" w:rsidR="00A52AC0" w:rsidRPr="00A7523D" w:rsidRDefault="00A52AC0" w:rsidP="00A52AC0">
      <w:pPr>
        <w:ind w:left="851"/>
        <w:rPr>
          <w:sz w:val="24"/>
          <w:szCs w:val="24"/>
        </w:rPr>
      </w:pPr>
      <w:r w:rsidRPr="00A7523D">
        <w:rPr>
          <w:sz w:val="24"/>
          <w:szCs w:val="24"/>
        </w:rPr>
        <w:lastRenderedPageBreak/>
        <w:t xml:space="preserve">I et kontrolleret, dobbeltblindet, multiklinisk crossover studie med to-perioder, gentagen dosis og aktiv behandling (flerdosis </w:t>
      </w:r>
      <w:proofErr w:type="spellStart"/>
      <w:r w:rsidRPr="00A7523D">
        <w:rPr>
          <w:sz w:val="24"/>
          <w:szCs w:val="24"/>
        </w:rPr>
        <w:t>dorzolamid</w:t>
      </w:r>
      <w:proofErr w:type="spellEnd"/>
      <w:r w:rsidRPr="00A7523D">
        <w:rPr>
          <w:sz w:val="24"/>
          <w:szCs w:val="24"/>
        </w:rPr>
        <w:t xml:space="preserve">) var sikkerhedsprofilen for </w:t>
      </w:r>
      <w:proofErr w:type="spellStart"/>
      <w:r w:rsidRPr="00A7523D">
        <w:rPr>
          <w:sz w:val="24"/>
          <w:szCs w:val="24"/>
        </w:rPr>
        <w:t>dorzolamid</w:t>
      </w:r>
      <w:proofErr w:type="spellEnd"/>
      <w:r w:rsidRPr="00A7523D">
        <w:rPr>
          <w:sz w:val="24"/>
          <w:szCs w:val="24"/>
        </w:rPr>
        <w:t xml:space="preserve"> uden konservering tilsvarende den for </w:t>
      </w:r>
      <w:proofErr w:type="spellStart"/>
      <w:r w:rsidRPr="00A7523D">
        <w:rPr>
          <w:sz w:val="24"/>
          <w:szCs w:val="24"/>
        </w:rPr>
        <w:t>dorzolamid</w:t>
      </w:r>
      <w:proofErr w:type="spellEnd"/>
      <w:r w:rsidRPr="00A7523D">
        <w:rPr>
          <w:sz w:val="24"/>
          <w:szCs w:val="24"/>
        </w:rPr>
        <w:t xml:space="preserve"> flerdosis. </w:t>
      </w:r>
    </w:p>
    <w:p w14:paraId="0317DC9C" w14:textId="77777777" w:rsidR="00A52AC0" w:rsidRPr="00A7523D" w:rsidRDefault="00A52AC0" w:rsidP="00A52AC0">
      <w:pPr>
        <w:ind w:left="851"/>
        <w:rPr>
          <w:sz w:val="24"/>
          <w:szCs w:val="24"/>
        </w:rPr>
      </w:pPr>
    </w:p>
    <w:p w14:paraId="4576F01D" w14:textId="77777777" w:rsidR="00A52AC0" w:rsidRPr="00A7523D" w:rsidRDefault="00A52AC0" w:rsidP="00A52AC0">
      <w:pPr>
        <w:ind w:left="851"/>
        <w:rPr>
          <w:sz w:val="24"/>
          <w:szCs w:val="24"/>
        </w:rPr>
      </w:pPr>
      <w:r w:rsidRPr="00A7523D">
        <w:rPr>
          <w:sz w:val="24"/>
          <w:szCs w:val="24"/>
        </w:rPr>
        <w:t xml:space="preserve">Flerdosis </w:t>
      </w:r>
      <w:proofErr w:type="spellStart"/>
      <w:r w:rsidRPr="00A7523D">
        <w:rPr>
          <w:sz w:val="24"/>
          <w:szCs w:val="24"/>
        </w:rPr>
        <w:t>dorzolamid</w:t>
      </w:r>
      <w:proofErr w:type="spellEnd"/>
      <w:r w:rsidRPr="00A7523D">
        <w:rPr>
          <w:sz w:val="24"/>
          <w:szCs w:val="24"/>
        </w:rPr>
        <w:t xml:space="preserve"> (konserveret formulering) er blevet undersøgt hos mere end 1.400 individer i kontrollerede og ukontrollerede studier. I langtidsstudier med 1.108 patienter behandlet med flerdosis </w:t>
      </w:r>
      <w:proofErr w:type="spellStart"/>
      <w:r w:rsidRPr="00A7523D">
        <w:rPr>
          <w:sz w:val="24"/>
          <w:szCs w:val="24"/>
        </w:rPr>
        <w:t>dorzolamid</w:t>
      </w:r>
      <w:proofErr w:type="spellEnd"/>
      <w:r w:rsidRPr="00A7523D">
        <w:rPr>
          <w:sz w:val="24"/>
          <w:szCs w:val="24"/>
        </w:rPr>
        <w:t xml:space="preserve"> som monoterapi og en </w:t>
      </w:r>
      <w:proofErr w:type="spellStart"/>
      <w:r w:rsidRPr="00A7523D">
        <w:rPr>
          <w:sz w:val="24"/>
          <w:szCs w:val="24"/>
        </w:rPr>
        <w:t>oftalmisk</w:t>
      </w:r>
      <w:proofErr w:type="spellEnd"/>
      <w:r w:rsidRPr="00A7523D">
        <w:rPr>
          <w:sz w:val="24"/>
          <w:szCs w:val="24"/>
        </w:rPr>
        <w:t xml:space="preserve"> betablokker som </w:t>
      </w:r>
      <w:proofErr w:type="spellStart"/>
      <w:r w:rsidRPr="00A7523D">
        <w:rPr>
          <w:sz w:val="24"/>
          <w:szCs w:val="24"/>
        </w:rPr>
        <w:t>adjunktiv</w:t>
      </w:r>
      <w:proofErr w:type="spellEnd"/>
      <w:r w:rsidRPr="00A7523D">
        <w:rPr>
          <w:sz w:val="24"/>
          <w:szCs w:val="24"/>
        </w:rPr>
        <w:t xml:space="preserve"> terapi, var de hyppigste årsager til afbrydelse af behandlingen lægemiddelrelaterede </w:t>
      </w:r>
      <w:proofErr w:type="spellStart"/>
      <w:r w:rsidRPr="00A7523D">
        <w:rPr>
          <w:sz w:val="24"/>
          <w:szCs w:val="24"/>
        </w:rPr>
        <w:t>okulære</w:t>
      </w:r>
      <w:proofErr w:type="spellEnd"/>
      <w:r w:rsidRPr="00A7523D">
        <w:rPr>
          <w:sz w:val="24"/>
          <w:szCs w:val="24"/>
        </w:rPr>
        <w:t xml:space="preserve"> bivirkninger, primært </w:t>
      </w:r>
      <w:proofErr w:type="spellStart"/>
      <w:r w:rsidRPr="00A7523D">
        <w:rPr>
          <w:sz w:val="24"/>
          <w:szCs w:val="24"/>
        </w:rPr>
        <w:t>konjunktivitis</w:t>
      </w:r>
      <w:proofErr w:type="spellEnd"/>
      <w:r w:rsidRPr="00A7523D">
        <w:rPr>
          <w:sz w:val="24"/>
          <w:szCs w:val="24"/>
        </w:rPr>
        <w:t xml:space="preserve"> og øjenlågsreaktioner, hos ca. 3 % af patienterne.</w:t>
      </w:r>
    </w:p>
    <w:p w14:paraId="7EE65F27" w14:textId="77777777" w:rsidR="00A52AC0" w:rsidRPr="00A7523D" w:rsidRDefault="00A52AC0" w:rsidP="00A52AC0">
      <w:pPr>
        <w:ind w:left="851"/>
        <w:rPr>
          <w:sz w:val="24"/>
          <w:szCs w:val="24"/>
        </w:rPr>
      </w:pPr>
    </w:p>
    <w:p w14:paraId="66DD4B1C" w14:textId="77777777" w:rsidR="00A52AC0" w:rsidRPr="00A7523D" w:rsidRDefault="00A52AC0" w:rsidP="00A52AC0">
      <w:pPr>
        <w:ind w:left="851"/>
        <w:rPr>
          <w:sz w:val="24"/>
          <w:szCs w:val="24"/>
        </w:rPr>
      </w:pPr>
      <w:r w:rsidRPr="00A7523D">
        <w:rPr>
          <w:sz w:val="24"/>
          <w:szCs w:val="24"/>
        </w:rPr>
        <w:t xml:space="preserve">Følgende bivirkninger er indberettet ved brug af </w:t>
      </w:r>
      <w:proofErr w:type="spellStart"/>
      <w:r w:rsidRPr="00A7523D">
        <w:rPr>
          <w:sz w:val="24"/>
          <w:szCs w:val="24"/>
        </w:rPr>
        <w:t>dorzolamid</w:t>
      </w:r>
      <w:proofErr w:type="spellEnd"/>
      <w:r w:rsidRPr="00A7523D">
        <w:rPr>
          <w:sz w:val="24"/>
          <w:szCs w:val="24"/>
        </w:rPr>
        <w:t xml:space="preserve"> enten under kliniske forsøg eller efter markedsføringen:</w:t>
      </w:r>
    </w:p>
    <w:p w14:paraId="52975965" w14:textId="77777777" w:rsidR="00A52AC0" w:rsidRPr="00A7523D" w:rsidRDefault="00A52AC0" w:rsidP="00A52AC0">
      <w:pPr>
        <w:ind w:left="851"/>
        <w:rPr>
          <w:sz w:val="24"/>
          <w:szCs w:val="24"/>
        </w:rPr>
      </w:pPr>
    </w:p>
    <w:p w14:paraId="134D6AEF" w14:textId="77777777" w:rsidR="00A52AC0" w:rsidRPr="00A7523D" w:rsidRDefault="00A52AC0" w:rsidP="00A52AC0">
      <w:pPr>
        <w:ind w:left="851"/>
        <w:rPr>
          <w:i/>
          <w:iCs/>
          <w:sz w:val="24"/>
          <w:szCs w:val="24"/>
        </w:rPr>
      </w:pPr>
      <w:r w:rsidRPr="00A7523D">
        <w:rPr>
          <w:i/>
          <w:iCs/>
          <w:sz w:val="24"/>
          <w:szCs w:val="24"/>
        </w:rPr>
        <w:t>[Meget almindelig (≥ 1/10), almindelig (≥ 1/100 til &lt; 1/10), ikke almindelig (≥ 1/1.000 til &lt; 1/100), sjælden (≥ 1/10.000 til &lt; 1/1.000), ikke kendt (kan ikke estimeres ud fra forhåndenværende data)]</w:t>
      </w:r>
    </w:p>
    <w:p w14:paraId="1C0C143D" w14:textId="77777777" w:rsidR="00A52AC0" w:rsidRPr="00A7523D" w:rsidRDefault="00A52AC0" w:rsidP="00A52AC0">
      <w:pPr>
        <w:ind w:left="851" w:hanging="851"/>
        <w:rPr>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53"/>
        <w:gridCol w:w="1153"/>
        <w:gridCol w:w="2005"/>
        <w:gridCol w:w="1205"/>
        <w:gridCol w:w="1676"/>
        <w:gridCol w:w="1530"/>
      </w:tblGrid>
      <w:tr w:rsidR="00A52AC0" w:rsidRPr="00A7523D" w14:paraId="5008824F" w14:textId="77777777" w:rsidTr="00A7523D">
        <w:tc>
          <w:tcPr>
            <w:tcW w:w="1067" w:type="pct"/>
            <w:tcBorders>
              <w:top w:val="outset" w:sz="6" w:space="0" w:color="auto"/>
              <w:left w:val="outset" w:sz="6" w:space="0" w:color="auto"/>
              <w:bottom w:val="outset" w:sz="6" w:space="0" w:color="auto"/>
              <w:right w:val="outset" w:sz="6" w:space="0" w:color="auto"/>
            </w:tcBorders>
            <w:hideMark/>
          </w:tcPr>
          <w:p w14:paraId="16713198" w14:textId="77777777" w:rsidR="00A52AC0" w:rsidRPr="00A7523D" w:rsidRDefault="00A52AC0">
            <w:pPr>
              <w:spacing w:line="254" w:lineRule="auto"/>
              <w:ind w:left="104" w:right="187"/>
              <w:rPr>
                <w:sz w:val="22"/>
                <w:szCs w:val="22"/>
                <w:lang w:eastAsia="el-GR"/>
              </w:rPr>
            </w:pPr>
            <w:r w:rsidRPr="00A7523D">
              <w:rPr>
                <w:b/>
                <w:bCs/>
                <w:sz w:val="22"/>
                <w:szCs w:val="22"/>
                <w:lang w:eastAsia="el-GR"/>
              </w:rPr>
              <w:t>Organsystemklasse (</w:t>
            </w:r>
            <w:proofErr w:type="spellStart"/>
            <w:r w:rsidRPr="00A7523D">
              <w:rPr>
                <w:b/>
                <w:bCs/>
                <w:sz w:val="22"/>
                <w:szCs w:val="22"/>
                <w:lang w:eastAsia="el-GR"/>
              </w:rPr>
              <w:t>MedDRA</w:t>
            </w:r>
            <w:proofErr w:type="spellEnd"/>
            <w:r w:rsidRPr="00A7523D">
              <w:rPr>
                <w:b/>
                <w:bCs/>
                <w:sz w:val="22"/>
                <w:szCs w:val="22"/>
                <w:lang w:eastAsia="el-GR"/>
              </w:rPr>
              <w:t>)</w:t>
            </w:r>
          </w:p>
        </w:tc>
        <w:tc>
          <w:tcPr>
            <w:tcW w:w="599" w:type="pct"/>
            <w:tcBorders>
              <w:top w:val="outset" w:sz="6" w:space="0" w:color="auto"/>
              <w:left w:val="outset" w:sz="6" w:space="0" w:color="auto"/>
              <w:bottom w:val="outset" w:sz="6" w:space="0" w:color="auto"/>
              <w:right w:val="outset" w:sz="6" w:space="0" w:color="auto"/>
            </w:tcBorders>
            <w:hideMark/>
          </w:tcPr>
          <w:p w14:paraId="0F8847FF" w14:textId="77777777" w:rsidR="00A52AC0" w:rsidRPr="00A7523D" w:rsidRDefault="00A52AC0">
            <w:pPr>
              <w:spacing w:line="254" w:lineRule="auto"/>
              <w:ind w:left="104" w:right="187"/>
              <w:rPr>
                <w:sz w:val="22"/>
                <w:szCs w:val="22"/>
                <w:lang w:eastAsia="el-GR"/>
              </w:rPr>
            </w:pPr>
            <w:r w:rsidRPr="00A7523D">
              <w:rPr>
                <w:b/>
                <w:bCs/>
                <w:sz w:val="22"/>
                <w:szCs w:val="22"/>
                <w:lang w:eastAsia="el-GR"/>
              </w:rPr>
              <w:t>Meget almindelig</w:t>
            </w:r>
          </w:p>
        </w:tc>
        <w:tc>
          <w:tcPr>
            <w:tcW w:w="1042" w:type="pct"/>
            <w:tcBorders>
              <w:top w:val="outset" w:sz="6" w:space="0" w:color="auto"/>
              <w:left w:val="outset" w:sz="6" w:space="0" w:color="auto"/>
              <w:bottom w:val="outset" w:sz="6" w:space="0" w:color="auto"/>
              <w:right w:val="outset" w:sz="6" w:space="0" w:color="auto"/>
            </w:tcBorders>
            <w:hideMark/>
          </w:tcPr>
          <w:p w14:paraId="7A3EC8D1" w14:textId="77777777" w:rsidR="00A52AC0" w:rsidRPr="00A7523D" w:rsidRDefault="00A52AC0">
            <w:pPr>
              <w:spacing w:line="254" w:lineRule="auto"/>
              <w:ind w:left="104" w:right="187"/>
              <w:rPr>
                <w:sz w:val="22"/>
                <w:szCs w:val="22"/>
                <w:lang w:eastAsia="el-GR"/>
              </w:rPr>
            </w:pPr>
            <w:r w:rsidRPr="00A7523D">
              <w:rPr>
                <w:b/>
                <w:bCs/>
                <w:sz w:val="22"/>
                <w:szCs w:val="22"/>
                <w:lang w:eastAsia="el-GR"/>
              </w:rPr>
              <w:t>Almindelig</w:t>
            </w:r>
          </w:p>
        </w:tc>
        <w:tc>
          <w:tcPr>
            <w:tcW w:w="626" w:type="pct"/>
            <w:tcBorders>
              <w:top w:val="outset" w:sz="6" w:space="0" w:color="auto"/>
              <w:left w:val="outset" w:sz="6" w:space="0" w:color="auto"/>
              <w:bottom w:val="outset" w:sz="6" w:space="0" w:color="auto"/>
              <w:right w:val="outset" w:sz="6" w:space="0" w:color="auto"/>
            </w:tcBorders>
            <w:hideMark/>
          </w:tcPr>
          <w:p w14:paraId="55AAE931" w14:textId="77777777" w:rsidR="00A52AC0" w:rsidRPr="00A7523D" w:rsidRDefault="00A52AC0">
            <w:pPr>
              <w:spacing w:line="254" w:lineRule="auto"/>
              <w:ind w:left="104" w:right="187"/>
              <w:rPr>
                <w:sz w:val="22"/>
                <w:szCs w:val="22"/>
                <w:lang w:eastAsia="el-GR"/>
              </w:rPr>
            </w:pPr>
            <w:r w:rsidRPr="00A7523D">
              <w:rPr>
                <w:b/>
                <w:bCs/>
                <w:sz w:val="22"/>
                <w:szCs w:val="22"/>
                <w:lang w:eastAsia="el-GR"/>
              </w:rPr>
              <w:t>Ikke almindelig</w:t>
            </w:r>
          </w:p>
        </w:tc>
        <w:tc>
          <w:tcPr>
            <w:tcW w:w="871" w:type="pct"/>
            <w:tcBorders>
              <w:top w:val="outset" w:sz="6" w:space="0" w:color="auto"/>
              <w:left w:val="outset" w:sz="6" w:space="0" w:color="auto"/>
              <w:bottom w:val="outset" w:sz="6" w:space="0" w:color="auto"/>
              <w:right w:val="outset" w:sz="6" w:space="0" w:color="auto"/>
            </w:tcBorders>
            <w:hideMark/>
          </w:tcPr>
          <w:p w14:paraId="18C0F2F7" w14:textId="77777777" w:rsidR="00A52AC0" w:rsidRPr="00A7523D" w:rsidRDefault="00A52AC0">
            <w:pPr>
              <w:spacing w:line="254" w:lineRule="auto"/>
              <w:ind w:left="104" w:right="187"/>
              <w:rPr>
                <w:sz w:val="22"/>
                <w:szCs w:val="22"/>
                <w:lang w:eastAsia="el-GR"/>
              </w:rPr>
            </w:pPr>
            <w:r w:rsidRPr="00A7523D">
              <w:rPr>
                <w:b/>
                <w:bCs/>
                <w:sz w:val="22"/>
                <w:szCs w:val="22"/>
                <w:lang w:eastAsia="el-GR"/>
              </w:rPr>
              <w:t>Sjælden</w:t>
            </w:r>
          </w:p>
        </w:tc>
        <w:tc>
          <w:tcPr>
            <w:tcW w:w="796" w:type="pct"/>
            <w:tcBorders>
              <w:top w:val="outset" w:sz="6" w:space="0" w:color="auto"/>
              <w:left w:val="outset" w:sz="6" w:space="0" w:color="auto"/>
              <w:bottom w:val="outset" w:sz="6" w:space="0" w:color="auto"/>
              <w:right w:val="outset" w:sz="6" w:space="0" w:color="auto"/>
            </w:tcBorders>
            <w:hideMark/>
          </w:tcPr>
          <w:p w14:paraId="3D35B25E" w14:textId="77777777" w:rsidR="00A52AC0" w:rsidRPr="00A7523D" w:rsidRDefault="00A52AC0">
            <w:pPr>
              <w:spacing w:line="254" w:lineRule="auto"/>
              <w:ind w:left="104" w:right="187"/>
              <w:rPr>
                <w:sz w:val="22"/>
                <w:szCs w:val="22"/>
                <w:lang w:eastAsia="el-GR"/>
              </w:rPr>
            </w:pPr>
            <w:r w:rsidRPr="00A7523D">
              <w:rPr>
                <w:b/>
                <w:bCs/>
                <w:sz w:val="22"/>
                <w:szCs w:val="22"/>
                <w:lang w:eastAsia="el-GR"/>
              </w:rPr>
              <w:t>Ikke kendt**</w:t>
            </w:r>
          </w:p>
        </w:tc>
      </w:tr>
      <w:tr w:rsidR="00A52AC0" w:rsidRPr="00A7523D" w14:paraId="74F145D3" w14:textId="77777777" w:rsidTr="00A7523D">
        <w:tc>
          <w:tcPr>
            <w:tcW w:w="1067" w:type="pct"/>
            <w:tcBorders>
              <w:top w:val="outset" w:sz="6" w:space="0" w:color="auto"/>
              <w:left w:val="outset" w:sz="6" w:space="0" w:color="auto"/>
              <w:bottom w:val="outset" w:sz="6" w:space="0" w:color="auto"/>
              <w:right w:val="outset" w:sz="6" w:space="0" w:color="auto"/>
            </w:tcBorders>
            <w:hideMark/>
          </w:tcPr>
          <w:p w14:paraId="717BF972" w14:textId="77777777" w:rsidR="00A52AC0" w:rsidRPr="00A7523D" w:rsidRDefault="00A52AC0">
            <w:pPr>
              <w:spacing w:line="254" w:lineRule="auto"/>
              <w:ind w:left="104" w:right="187"/>
              <w:rPr>
                <w:b/>
                <w:bCs/>
                <w:sz w:val="22"/>
                <w:szCs w:val="22"/>
                <w:lang w:eastAsia="el-GR"/>
              </w:rPr>
            </w:pPr>
            <w:r w:rsidRPr="00A7523D">
              <w:rPr>
                <w:b/>
                <w:bCs/>
                <w:sz w:val="22"/>
                <w:szCs w:val="22"/>
                <w:lang w:eastAsia="el-GR"/>
              </w:rPr>
              <w:t>Nervesystemet</w:t>
            </w:r>
          </w:p>
        </w:tc>
        <w:tc>
          <w:tcPr>
            <w:tcW w:w="599" w:type="pct"/>
            <w:tcBorders>
              <w:top w:val="outset" w:sz="6" w:space="0" w:color="auto"/>
              <w:left w:val="outset" w:sz="6" w:space="0" w:color="auto"/>
              <w:bottom w:val="outset" w:sz="6" w:space="0" w:color="auto"/>
              <w:right w:val="outset" w:sz="6" w:space="0" w:color="auto"/>
            </w:tcBorders>
          </w:tcPr>
          <w:p w14:paraId="3C1D8812" w14:textId="77777777" w:rsidR="00A52AC0" w:rsidRPr="00A7523D" w:rsidRDefault="00A52AC0">
            <w:pPr>
              <w:spacing w:line="254" w:lineRule="auto"/>
              <w:ind w:left="104" w:right="187"/>
              <w:rPr>
                <w:b/>
                <w:bCs/>
                <w:sz w:val="22"/>
                <w:szCs w:val="22"/>
                <w:lang w:eastAsia="el-GR"/>
              </w:rPr>
            </w:pPr>
          </w:p>
        </w:tc>
        <w:tc>
          <w:tcPr>
            <w:tcW w:w="1042" w:type="pct"/>
            <w:tcBorders>
              <w:top w:val="outset" w:sz="6" w:space="0" w:color="auto"/>
              <w:left w:val="outset" w:sz="6" w:space="0" w:color="auto"/>
              <w:bottom w:val="outset" w:sz="6" w:space="0" w:color="auto"/>
              <w:right w:val="outset" w:sz="6" w:space="0" w:color="auto"/>
            </w:tcBorders>
            <w:hideMark/>
          </w:tcPr>
          <w:p w14:paraId="53F9E58B" w14:textId="77777777" w:rsidR="00A52AC0" w:rsidRPr="00A7523D" w:rsidRDefault="00A52AC0">
            <w:pPr>
              <w:spacing w:line="254" w:lineRule="auto"/>
              <w:ind w:left="104" w:right="107"/>
              <w:rPr>
                <w:b/>
                <w:bCs/>
                <w:sz w:val="22"/>
                <w:szCs w:val="22"/>
                <w:lang w:eastAsia="el-GR"/>
              </w:rPr>
            </w:pPr>
            <w:r w:rsidRPr="00A7523D">
              <w:rPr>
                <w:sz w:val="22"/>
                <w:szCs w:val="22"/>
              </w:rPr>
              <w:t>hovedpine</w:t>
            </w:r>
          </w:p>
        </w:tc>
        <w:tc>
          <w:tcPr>
            <w:tcW w:w="626" w:type="pct"/>
            <w:tcBorders>
              <w:top w:val="outset" w:sz="6" w:space="0" w:color="auto"/>
              <w:left w:val="outset" w:sz="6" w:space="0" w:color="auto"/>
              <w:bottom w:val="outset" w:sz="6" w:space="0" w:color="auto"/>
              <w:right w:val="outset" w:sz="6" w:space="0" w:color="auto"/>
            </w:tcBorders>
          </w:tcPr>
          <w:p w14:paraId="34E7D885" w14:textId="77777777" w:rsidR="00A52AC0" w:rsidRPr="00A7523D" w:rsidRDefault="00A52AC0">
            <w:pPr>
              <w:spacing w:line="254" w:lineRule="auto"/>
              <w:ind w:left="104" w:right="187"/>
              <w:rPr>
                <w:b/>
                <w:bCs/>
                <w:sz w:val="22"/>
                <w:szCs w:val="22"/>
                <w:lang w:eastAsia="el-GR"/>
              </w:rPr>
            </w:pPr>
          </w:p>
        </w:tc>
        <w:tc>
          <w:tcPr>
            <w:tcW w:w="871" w:type="pct"/>
            <w:tcBorders>
              <w:top w:val="outset" w:sz="6" w:space="0" w:color="auto"/>
              <w:left w:val="outset" w:sz="6" w:space="0" w:color="auto"/>
              <w:bottom w:val="outset" w:sz="6" w:space="0" w:color="auto"/>
              <w:right w:val="outset" w:sz="6" w:space="0" w:color="auto"/>
            </w:tcBorders>
            <w:hideMark/>
          </w:tcPr>
          <w:p w14:paraId="3D6A23AF" w14:textId="77777777" w:rsidR="00A52AC0" w:rsidRPr="00A7523D" w:rsidRDefault="00A52AC0">
            <w:pPr>
              <w:spacing w:line="254" w:lineRule="auto"/>
              <w:ind w:left="104" w:right="187"/>
              <w:rPr>
                <w:b/>
                <w:bCs/>
                <w:sz w:val="22"/>
                <w:szCs w:val="22"/>
                <w:lang w:eastAsia="el-GR"/>
              </w:rPr>
            </w:pPr>
            <w:r w:rsidRPr="00A7523D">
              <w:rPr>
                <w:sz w:val="22"/>
                <w:szCs w:val="22"/>
              </w:rPr>
              <w:t xml:space="preserve">svimmelhed, </w:t>
            </w:r>
            <w:proofErr w:type="spellStart"/>
            <w:r w:rsidRPr="00A7523D">
              <w:rPr>
                <w:sz w:val="22"/>
                <w:szCs w:val="22"/>
              </w:rPr>
              <w:t>paræstesi</w:t>
            </w:r>
            <w:proofErr w:type="spellEnd"/>
          </w:p>
        </w:tc>
        <w:tc>
          <w:tcPr>
            <w:tcW w:w="796" w:type="pct"/>
            <w:tcBorders>
              <w:top w:val="outset" w:sz="6" w:space="0" w:color="auto"/>
              <w:left w:val="outset" w:sz="6" w:space="0" w:color="auto"/>
              <w:bottom w:val="outset" w:sz="6" w:space="0" w:color="auto"/>
              <w:right w:val="outset" w:sz="6" w:space="0" w:color="auto"/>
            </w:tcBorders>
          </w:tcPr>
          <w:p w14:paraId="2BE7C159" w14:textId="77777777" w:rsidR="00A52AC0" w:rsidRPr="00A7523D" w:rsidRDefault="00A52AC0">
            <w:pPr>
              <w:spacing w:line="254" w:lineRule="auto"/>
              <w:ind w:left="104" w:right="187"/>
              <w:rPr>
                <w:b/>
                <w:bCs/>
                <w:sz w:val="22"/>
                <w:szCs w:val="22"/>
                <w:lang w:eastAsia="el-GR"/>
              </w:rPr>
            </w:pPr>
          </w:p>
        </w:tc>
      </w:tr>
      <w:tr w:rsidR="00A52AC0" w:rsidRPr="00A7523D" w14:paraId="4E8BEF04" w14:textId="77777777" w:rsidTr="00A7523D">
        <w:tc>
          <w:tcPr>
            <w:tcW w:w="1067" w:type="pct"/>
            <w:tcBorders>
              <w:top w:val="outset" w:sz="6" w:space="0" w:color="auto"/>
              <w:left w:val="outset" w:sz="6" w:space="0" w:color="auto"/>
              <w:bottom w:val="outset" w:sz="6" w:space="0" w:color="auto"/>
              <w:right w:val="outset" w:sz="6" w:space="0" w:color="auto"/>
            </w:tcBorders>
            <w:hideMark/>
          </w:tcPr>
          <w:p w14:paraId="6710AF54" w14:textId="77777777" w:rsidR="00A52AC0" w:rsidRPr="00A7523D" w:rsidRDefault="00A52AC0">
            <w:pPr>
              <w:spacing w:line="254" w:lineRule="auto"/>
              <w:ind w:left="104" w:right="187"/>
              <w:rPr>
                <w:sz w:val="22"/>
                <w:szCs w:val="22"/>
                <w:lang w:eastAsia="el-GR"/>
              </w:rPr>
            </w:pPr>
            <w:r w:rsidRPr="00A7523D">
              <w:rPr>
                <w:b/>
                <w:bCs/>
                <w:sz w:val="22"/>
                <w:szCs w:val="22"/>
                <w:lang w:eastAsia="el-GR"/>
              </w:rPr>
              <w:t>Øjne</w:t>
            </w:r>
          </w:p>
        </w:tc>
        <w:tc>
          <w:tcPr>
            <w:tcW w:w="599" w:type="pct"/>
            <w:tcBorders>
              <w:top w:val="outset" w:sz="6" w:space="0" w:color="auto"/>
              <w:left w:val="outset" w:sz="6" w:space="0" w:color="auto"/>
              <w:bottom w:val="outset" w:sz="6" w:space="0" w:color="auto"/>
              <w:right w:val="outset" w:sz="6" w:space="0" w:color="auto"/>
            </w:tcBorders>
            <w:hideMark/>
          </w:tcPr>
          <w:p w14:paraId="06231724" w14:textId="77777777" w:rsidR="00A52AC0" w:rsidRPr="00A7523D" w:rsidRDefault="00A52AC0">
            <w:pPr>
              <w:pStyle w:val="TableText"/>
              <w:spacing w:line="254" w:lineRule="auto"/>
              <w:ind w:left="104" w:right="187"/>
              <w:rPr>
                <w:sz w:val="22"/>
                <w:szCs w:val="22"/>
              </w:rPr>
            </w:pPr>
            <w:proofErr w:type="spellStart"/>
            <w:r w:rsidRPr="00A7523D">
              <w:rPr>
                <w:sz w:val="22"/>
                <w:szCs w:val="22"/>
              </w:rPr>
              <w:t>brænden</w:t>
            </w:r>
            <w:proofErr w:type="spellEnd"/>
            <w:r w:rsidRPr="00A7523D">
              <w:rPr>
                <w:sz w:val="22"/>
                <w:szCs w:val="22"/>
              </w:rPr>
              <w:t xml:space="preserve"> og </w:t>
            </w:r>
            <w:proofErr w:type="spellStart"/>
            <w:r w:rsidRPr="00A7523D">
              <w:rPr>
                <w:sz w:val="22"/>
                <w:szCs w:val="22"/>
              </w:rPr>
              <w:t>svien</w:t>
            </w:r>
            <w:proofErr w:type="spellEnd"/>
          </w:p>
        </w:tc>
        <w:tc>
          <w:tcPr>
            <w:tcW w:w="1042" w:type="pct"/>
            <w:tcBorders>
              <w:top w:val="outset" w:sz="6" w:space="0" w:color="auto"/>
              <w:left w:val="outset" w:sz="6" w:space="0" w:color="auto"/>
              <w:bottom w:val="outset" w:sz="6" w:space="0" w:color="auto"/>
              <w:right w:val="outset" w:sz="6" w:space="0" w:color="auto"/>
            </w:tcBorders>
            <w:hideMark/>
          </w:tcPr>
          <w:p w14:paraId="0B3B6998" w14:textId="77777777" w:rsidR="00A52AC0" w:rsidRPr="00A7523D" w:rsidRDefault="00A52AC0">
            <w:pPr>
              <w:pStyle w:val="TableText"/>
              <w:spacing w:line="254" w:lineRule="auto"/>
              <w:ind w:left="104" w:right="187"/>
              <w:rPr>
                <w:sz w:val="22"/>
                <w:szCs w:val="22"/>
                <w:lang w:val="da-DK"/>
              </w:rPr>
            </w:pPr>
            <w:r w:rsidRPr="00A7523D">
              <w:rPr>
                <w:sz w:val="22"/>
                <w:szCs w:val="22"/>
                <w:lang w:val="da-DK"/>
              </w:rPr>
              <w:t xml:space="preserve">overfladisk punkteret </w:t>
            </w:r>
            <w:proofErr w:type="spellStart"/>
            <w:r w:rsidRPr="00A7523D">
              <w:rPr>
                <w:sz w:val="22"/>
                <w:szCs w:val="22"/>
                <w:lang w:val="da-DK"/>
              </w:rPr>
              <w:t>keratitis</w:t>
            </w:r>
            <w:proofErr w:type="spellEnd"/>
            <w:r w:rsidRPr="00A7523D">
              <w:rPr>
                <w:sz w:val="22"/>
                <w:szCs w:val="22"/>
                <w:lang w:val="da-DK"/>
              </w:rPr>
              <w:t xml:space="preserve">, tåreflåd, </w:t>
            </w:r>
            <w:proofErr w:type="spellStart"/>
            <w:r w:rsidRPr="00A7523D">
              <w:rPr>
                <w:sz w:val="22"/>
                <w:szCs w:val="22"/>
                <w:lang w:val="da-DK"/>
              </w:rPr>
              <w:t>konjunktivitis</w:t>
            </w:r>
            <w:proofErr w:type="spellEnd"/>
            <w:r w:rsidRPr="00A7523D">
              <w:rPr>
                <w:sz w:val="22"/>
                <w:szCs w:val="22"/>
                <w:lang w:val="da-DK"/>
              </w:rPr>
              <w:t>, øjenlågsinflammation, øjenkløe, sløret syn</w:t>
            </w:r>
          </w:p>
        </w:tc>
        <w:tc>
          <w:tcPr>
            <w:tcW w:w="626" w:type="pct"/>
            <w:tcBorders>
              <w:top w:val="outset" w:sz="6" w:space="0" w:color="auto"/>
              <w:left w:val="outset" w:sz="6" w:space="0" w:color="auto"/>
              <w:bottom w:val="outset" w:sz="6" w:space="0" w:color="auto"/>
              <w:right w:val="outset" w:sz="6" w:space="0" w:color="auto"/>
            </w:tcBorders>
            <w:hideMark/>
          </w:tcPr>
          <w:p w14:paraId="014E9176" w14:textId="77777777" w:rsidR="00A52AC0" w:rsidRPr="00A7523D" w:rsidRDefault="00A52AC0">
            <w:pPr>
              <w:ind w:left="104" w:right="187"/>
              <w:rPr>
                <w:sz w:val="22"/>
                <w:szCs w:val="22"/>
              </w:rPr>
            </w:pPr>
            <w:proofErr w:type="spellStart"/>
            <w:r w:rsidRPr="00A7523D">
              <w:rPr>
                <w:sz w:val="22"/>
                <w:szCs w:val="22"/>
              </w:rPr>
              <w:t>iridocyclitis</w:t>
            </w:r>
            <w:proofErr w:type="spellEnd"/>
          </w:p>
        </w:tc>
        <w:tc>
          <w:tcPr>
            <w:tcW w:w="871" w:type="pct"/>
            <w:tcBorders>
              <w:top w:val="outset" w:sz="6" w:space="0" w:color="auto"/>
              <w:left w:val="outset" w:sz="6" w:space="0" w:color="auto"/>
              <w:bottom w:val="outset" w:sz="6" w:space="0" w:color="auto"/>
              <w:right w:val="outset" w:sz="6" w:space="0" w:color="auto"/>
            </w:tcBorders>
            <w:hideMark/>
          </w:tcPr>
          <w:p w14:paraId="3E2F19E9" w14:textId="77777777" w:rsidR="00A52AC0" w:rsidRPr="00A7523D" w:rsidRDefault="00A52AC0">
            <w:pPr>
              <w:spacing w:line="254" w:lineRule="auto"/>
              <w:ind w:left="104" w:right="187"/>
              <w:rPr>
                <w:rFonts w:eastAsiaTheme="minorHAnsi"/>
                <w:sz w:val="22"/>
                <w:szCs w:val="22"/>
                <w:lang w:eastAsia="da-DK"/>
              </w:rPr>
            </w:pPr>
            <w:r w:rsidRPr="00A7523D">
              <w:rPr>
                <w:sz w:val="22"/>
                <w:szCs w:val="22"/>
              </w:rPr>
              <w:t xml:space="preserve">irritation, herunder røde øjne, smerter, skorpedannelse på øjenlågene, forbigående </w:t>
            </w:r>
            <w:proofErr w:type="spellStart"/>
            <w:r w:rsidRPr="00A7523D">
              <w:rPr>
                <w:sz w:val="22"/>
                <w:szCs w:val="22"/>
              </w:rPr>
              <w:t>myopi</w:t>
            </w:r>
            <w:proofErr w:type="spellEnd"/>
            <w:r w:rsidRPr="00A7523D">
              <w:rPr>
                <w:sz w:val="22"/>
                <w:szCs w:val="22"/>
              </w:rPr>
              <w:t xml:space="preserve">, (som forsvinder efter endt behandling), hornhinde-ødem, </w:t>
            </w:r>
            <w:proofErr w:type="spellStart"/>
            <w:r w:rsidRPr="00A7523D">
              <w:rPr>
                <w:sz w:val="22"/>
                <w:szCs w:val="22"/>
              </w:rPr>
              <w:t>okulær</w:t>
            </w:r>
            <w:proofErr w:type="spellEnd"/>
            <w:r w:rsidRPr="00A7523D">
              <w:rPr>
                <w:sz w:val="22"/>
                <w:szCs w:val="22"/>
              </w:rPr>
              <w:t xml:space="preserve"> </w:t>
            </w:r>
            <w:proofErr w:type="spellStart"/>
            <w:r w:rsidRPr="00A7523D">
              <w:rPr>
                <w:sz w:val="22"/>
                <w:szCs w:val="22"/>
              </w:rPr>
              <w:t>hypotoni</w:t>
            </w:r>
            <w:proofErr w:type="spellEnd"/>
            <w:r w:rsidRPr="00A7523D">
              <w:rPr>
                <w:sz w:val="22"/>
                <w:szCs w:val="22"/>
              </w:rPr>
              <w:t xml:space="preserve">, </w:t>
            </w:r>
            <w:proofErr w:type="spellStart"/>
            <w:r w:rsidRPr="00A7523D">
              <w:rPr>
                <w:sz w:val="22"/>
                <w:szCs w:val="22"/>
              </w:rPr>
              <w:t>choroidealløsning</w:t>
            </w:r>
            <w:proofErr w:type="spellEnd"/>
            <w:r w:rsidRPr="00A7523D">
              <w:rPr>
                <w:sz w:val="22"/>
                <w:szCs w:val="22"/>
              </w:rPr>
              <w:t xml:space="preserve"> (efter filtrationskirurgi)</w:t>
            </w:r>
          </w:p>
        </w:tc>
        <w:tc>
          <w:tcPr>
            <w:tcW w:w="796" w:type="pct"/>
            <w:tcBorders>
              <w:top w:val="outset" w:sz="6" w:space="0" w:color="auto"/>
              <w:left w:val="outset" w:sz="6" w:space="0" w:color="auto"/>
              <w:bottom w:val="outset" w:sz="6" w:space="0" w:color="auto"/>
              <w:right w:val="outset" w:sz="6" w:space="0" w:color="auto"/>
            </w:tcBorders>
            <w:hideMark/>
          </w:tcPr>
          <w:p w14:paraId="3001C268" w14:textId="77777777" w:rsidR="00A52AC0" w:rsidRPr="00A7523D" w:rsidRDefault="00A52AC0">
            <w:pPr>
              <w:spacing w:line="254" w:lineRule="auto"/>
              <w:ind w:left="104" w:right="187"/>
              <w:rPr>
                <w:sz w:val="22"/>
                <w:szCs w:val="22"/>
                <w:lang w:eastAsia="el-GR"/>
              </w:rPr>
            </w:pPr>
            <w:r w:rsidRPr="00A7523D">
              <w:rPr>
                <w:sz w:val="22"/>
                <w:szCs w:val="22"/>
                <w:lang w:eastAsia="el-GR"/>
              </w:rPr>
              <w:t>følelse af fremmedlegeme i øjet</w:t>
            </w:r>
          </w:p>
        </w:tc>
      </w:tr>
      <w:tr w:rsidR="00A52AC0" w:rsidRPr="00A7523D" w14:paraId="5B6B0AE9" w14:textId="77777777" w:rsidTr="00A7523D">
        <w:tc>
          <w:tcPr>
            <w:tcW w:w="1067" w:type="pct"/>
            <w:tcBorders>
              <w:top w:val="outset" w:sz="6" w:space="0" w:color="auto"/>
              <w:left w:val="outset" w:sz="6" w:space="0" w:color="auto"/>
              <w:bottom w:val="outset" w:sz="6" w:space="0" w:color="auto"/>
              <w:right w:val="outset" w:sz="6" w:space="0" w:color="auto"/>
            </w:tcBorders>
            <w:hideMark/>
          </w:tcPr>
          <w:p w14:paraId="695D411F" w14:textId="77777777" w:rsidR="00A52AC0" w:rsidRPr="00A7523D" w:rsidRDefault="00A52AC0">
            <w:pPr>
              <w:spacing w:line="254" w:lineRule="auto"/>
              <w:ind w:left="104" w:right="187"/>
              <w:rPr>
                <w:sz w:val="22"/>
                <w:szCs w:val="22"/>
                <w:lang w:eastAsia="el-GR"/>
              </w:rPr>
            </w:pPr>
            <w:r w:rsidRPr="00A7523D">
              <w:rPr>
                <w:b/>
                <w:bCs/>
                <w:sz w:val="22"/>
                <w:szCs w:val="22"/>
                <w:lang w:eastAsia="el-GR"/>
              </w:rPr>
              <w:t>Hjerte</w:t>
            </w:r>
          </w:p>
        </w:tc>
        <w:tc>
          <w:tcPr>
            <w:tcW w:w="599" w:type="pct"/>
            <w:tcBorders>
              <w:top w:val="outset" w:sz="6" w:space="0" w:color="auto"/>
              <w:left w:val="outset" w:sz="6" w:space="0" w:color="auto"/>
              <w:bottom w:val="outset" w:sz="6" w:space="0" w:color="auto"/>
              <w:right w:val="outset" w:sz="6" w:space="0" w:color="auto"/>
            </w:tcBorders>
            <w:hideMark/>
          </w:tcPr>
          <w:p w14:paraId="399825D8" w14:textId="77777777" w:rsidR="00A52AC0" w:rsidRPr="00A7523D" w:rsidRDefault="00A52AC0">
            <w:pPr>
              <w:rPr>
                <w:sz w:val="22"/>
                <w:szCs w:val="22"/>
                <w:lang w:eastAsia="el-GR"/>
              </w:rPr>
            </w:pPr>
          </w:p>
        </w:tc>
        <w:tc>
          <w:tcPr>
            <w:tcW w:w="1042" w:type="pct"/>
            <w:tcBorders>
              <w:top w:val="outset" w:sz="6" w:space="0" w:color="auto"/>
              <w:left w:val="outset" w:sz="6" w:space="0" w:color="auto"/>
              <w:bottom w:val="outset" w:sz="6" w:space="0" w:color="auto"/>
              <w:right w:val="outset" w:sz="6" w:space="0" w:color="auto"/>
            </w:tcBorders>
            <w:hideMark/>
          </w:tcPr>
          <w:p w14:paraId="1CF0924F" w14:textId="77777777" w:rsidR="00A52AC0" w:rsidRPr="00A7523D" w:rsidRDefault="00A52AC0">
            <w:pPr>
              <w:rPr>
                <w:sz w:val="22"/>
                <w:szCs w:val="22"/>
                <w:lang w:eastAsia="da-DK"/>
              </w:rPr>
            </w:pPr>
          </w:p>
        </w:tc>
        <w:tc>
          <w:tcPr>
            <w:tcW w:w="626" w:type="pct"/>
            <w:tcBorders>
              <w:top w:val="outset" w:sz="6" w:space="0" w:color="auto"/>
              <w:left w:val="outset" w:sz="6" w:space="0" w:color="auto"/>
              <w:bottom w:val="outset" w:sz="6" w:space="0" w:color="auto"/>
              <w:right w:val="outset" w:sz="6" w:space="0" w:color="auto"/>
            </w:tcBorders>
            <w:hideMark/>
          </w:tcPr>
          <w:p w14:paraId="54299513" w14:textId="77777777" w:rsidR="00A52AC0" w:rsidRPr="00A7523D" w:rsidRDefault="00A52AC0">
            <w:pPr>
              <w:rPr>
                <w:sz w:val="22"/>
                <w:szCs w:val="22"/>
                <w:lang w:eastAsia="da-DK"/>
              </w:rPr>
            </w:pPr>
          </w:p>
        </w:tc>
        <w:tc>
          <w:tcPr>
            <w:tcW w:w="871" w:type="pct"/>
            <w:tcBorders>
              <w:top w:val="outset" w:sz="6" w:space="0" w:color="auto"/>
              <w:left w:val="outset" w:sz="6" w:space="0" w:color="auto"/>
              <w:bottom w:val="outset" w:sz="6" w:space="0" w:color="auto"/>
              <w:right w:val="outset" w:sz="6" w:space="0" w:color="auto"/>
            </w:tcBorders>
            <w:hideMark/>
          </w:tcPr>
          <w:p w14:paraId="5A48D277" w14:textId="77777777" w:rsidR="00A52AC0" w:rsidRPr="00A7523D" w:rsidRDefault="00A52AC0">
            <w:pPr>
              <w:rPr>
                <w:sz w:val="22"/>
                <w:szCs w:val="22"/>
                <w:lang w:eastAsia="da-DK"/>
              </w:rPr>
            </w:pPr>
          </w:p>
        </w:tc>
        <w:tc>
          <w:tcPr>
            <w:tcW w:w="796" w:type="pct"/>
            <w:tcBorders>
              <w:top w:val="outset" w:sz="6" w:space="0" w:color="auto"/>
              <w:left w:val="outset" w:sz="6" w:space="0" w:color="auto"/>
              <w:bottom w:val="outset" w:sz="6" w:space="0" w:color="auto"/>
              <w:right w:val="outset" w:sz="6" w:space="0" w:color="auto"/>
            </w:tcBorders>
            <w:hideMark/>
          </w:tcPr>
          <w:p w14:paraId="36BF13E5" w14:textId="77777777" w:rsidR="00A52AC0" w:rsidRPr="00A7523D" w:rsidRDefault="00A52AC0">
            <w:pPr>
              <w:spacing w:line="254" w:lineRule="auto"/>
              <w:ind w:left="104" w:right="187"/>
              <w:rPr>
                <w:sz w:val="22"/>
                <w:szCs w:val="22"/>
                <w:lang w:eastAsia="el-GR"/>
              </w:rPr>
            </w:pPr>
            <w:proofErr w:type="spellStart"/>
            <w:r w:rsidRPr="00A7523D">
              <w:rPr>
                <w:sz w:val="22"/>
                <w:szCs w:val="22"/>
              </w:rPr>
              <w:t>palpitationer</w:t>
            </w:r>
            <w:proofErr w:type="spellEnd"/>
            <w:r w:rsidRPr="00A7523D">
              <w:rPr>
                <w:sz w:val="22"/>
                <w:szCs w:val="22"/>
              </w:rPr>
              <w:t xml:space="preserve">, </w:t>
            </w:r>
            <w:proofErr w:type="spellStart"/>
            <w:r w:rsidRPr="00A7523D">
              <w:rPr>
                <w:sz w:val="22"/>
                <w:szCs w:val="22"/>
              </w:rPr>
              <w:t>takykardi</w:t>
            </w:r>
            <w:proofErr w:type="spellEnd"/>
            <w:r w:rsidRPr="00A7523D">
              <w:rPr>
                <w:sz w:val="22"/>
                <w:szCs w:val="22"/>
              </w:rPr>
              <w:t xml:space="preserve"> </w:t>
            </w:r>
          </w:p>
        </w:tc>
      </w:tr>
      <w:tr w:rsidR="00A52AC0" w:rsidRPr="00A7523D" w14:paraId="5577F45E" w14:textId="77777777" w:rsidTr="00A7523D">
        <w:tc>
          <w:tcPr>
            <w:tcW w:w="1067" w:type="pct"/>
            <w:tcBorders>
              <w:top w:val="outset" w:sz="6" w:space="0" w:color="auto"/>
              <w:left w:val="outset" w:sz="6" w:space="0" w:color="auto"/>
              <w:bottom w:val="nil"/>
              <w:right w:val="outset" w:sz="6" w:space="0" w:color="auto"/>
            </w:tcBorders>
            <w:hideMark/>
          </w:tcPr>
          <w:p w14:paraId="348E7ADD" w14:textId="77777777" w:rsidR="00A52AC0" w:rsidRPr="00A7523D" w:rsidRDefault="00A52AC0">
            <w:pPr>
              <w:spacing w:line="254" w:lineRule="auto"/>
              <w:ind w:left="104" w:right="187"/>
              <w:rPr>
                <w:b/>
                <w:bCs/>
                <w:sz w:val="22"/>
                <w:szCs w:val="22"/>
                <w:lang w:eastAsia="el-GR"/>
              </w:rPr>
            </w:pPr>
            <w:proofErr w:type="spellStart"/>
            <w:r w:rsidRPr="00A7523D">
              <w:rPr>
                <w:b/>
                <w:bCs/>
                <w:sz w:val="22"/>
                <w:szCs w:val="22"/>
                <w:lang w:eastAsia="el-GR"/>
              </w:rPr>
              <w:t>Vaskulære</w:t>
            </w:r>
            <w:proofErr w:type="spellEnd"/>
            <w:r w:rsidRPr="00A7523D">
              <w:rPr>
                <w:b/>
                <w:bCs/>
                <w:sz w:val="22"/>
                <w:szCs w:val="22"/>
                <w:lang w:eastAsia="el-GR"/>
              </w:rPr>
              <w:t xml:space="preserve"> sygdomme</w:t>
            </w:r>
          </w:p>
        </w:tc>
        <w:tc>
          <w:tcPr>
            <w:tcW w:w="599" w:type="pct"/>
            <w:tcBorders>
              <w:top w:val="outset" w:sz="6" w:space="0" w:color="auto"/>
              <w:left w:val="outset" w:sz="6" w:space="0" w:color="auto"/>
              <w:bottom w:val="outset" w:sz="6" w:space="0" w:color="auto"/>
              <w:right w:val="outset" w:sz="6" w:space="0" w:color="auto"/>
            </w:tcBorders>
          </w:tcPr>
          <w:p w14:paraId="590C518A" w14:textId="77777777" w:rsidR="00A52AC0" w:rsidRPr="00A7523D" w:rsidRDefault="00A52AC0">
            <w:pPr>
              <w:ind w:left="104" w:right="187"/>
              <w:rPr>
                <w:sz w:val="22"/>
                <w:szCs w:val="22"/>
              </w:rPr>
            </w:pPr>
          </w:p>
        </w:tc>
        <w:tc>
          <w:tcPr>
            <w:tcW w:w="1042" w:type="pct"/>
            <w:tcBorders>
              <w:top w:val="outset" w:sz="6" w:space="0" w:color="auto"/>
              <w:left w:val="outset" w:sz="6" w:space="0" w:color="auto"/>
              <w:bottom w:val="outset" w:sz="6" w:space="0" w:color="auto"/>
              <w:right w:val="outset" w:sz="6" w:space="0" w:color="auto"/>
            </w:tcBorders>
          </w:tcPr>
          <w:p w14:paraId="48A1127E" w14:textId="77777777" w:rsidR="00A52AC0" w:rsidRPr="00A7523D" w:rsidRDefault="00A52AC0">
            <w:pPr>
              <w:spacing w:line="254" w:lineRule="auto"/>
              <w:ind w:left="104" w:right="187"/>
              <w:rPr>
                <w:rFonts w:eastAsiaTheme="minorHAnsi"/>
                <w:sz w:val="22"/>
                <w:szCs w:val="22"/>
                <w:lang w:eastAsia="da-DK"/>
              </w:rPr>
            </w:pPr>
          </w:p>
        </w:tc>
        <w:tc>
          <w:tcPr>
            <w:tcW w:w="626" w:type="pct"/>
            <w:tcBorders>
              <w:top w:val="outset" w:sz="6" w:space="0" w:color="auto"/>
              <w:left w:val="outset" w:sz="6" w:space="0" w:color="auto"/>
              <w:bottom w:val="outset" w:sz="6" w:space="0" w:color="auto"/>
              <w:right w:val="outset" w:sz="6" w:space="0" w:color="auto"/>
            </w:tcBorders>
          </w:tcPr>
          <w:p w14:paraId="664F532C" w14:textId="77777777" w:rsidR="00A52AC0" w:rsidRPr="00A7523D" w:rsidRDefault="00A52AC0">
            <w:pPr>
              <w:spacing w:line="254" w:lineRule="auto"/>
              <w:ind w:left="104" w:right="187"/>
              <w:rPr>
                <w:rFonts w:eastAsiaTheme="minorHAnsi"/>
                <w:sz w:val="22"/>
                <w:szCs w:val="22"/>
                <w:lang w:eastAsia="da-DK"/>
              </w:rPr>
            </w:pPr>
          </w:p>
        </w:tc>
        <w:tc>
          <w:tcPr>
            <w:tcW w:w="871" w:type="pct"/>
            <w:tcBorders>
              <w:top w:val="outset" w:sz="6" w:space="0" w:color="auto"/>
              <w:left w:val="outset" w:sz="6" w:space="0" w:color="auto"/>
              <w:bottom w:val="outset" w:sz="6" w:space="0" w:color="auto"/>
              <w:right w:val="outset" w:sz="6" w:space="0" w:color="auto"/>
            </w:tcBorders>
          </w:tcPr>
          <w:p w14:paraId="0C36B24D" w14:textId="77777777" w:rsidR="00A52AC0" w:rsidRPr="00A7523D" w:rsidRDefault="00A52AC0">
            <w:pPr>
              <w:spacing w:line="254" w:lineRule="auto"/>
              <w:ind w:left="104" w:right="187"/>
              <w:rPr>
                <w:sz w:val="22"/>
                <w:szCs w:val="22"/>
              </w:rPr>
            </w:pPr>
          </w:p>
        </w:tc>
        <w:tc>
          <w:tcPr>
            <w:tcW w:w="796" w:type="pct"/>
            <w:tcBorders>
              <w:top w:val="outset" w:sz="6" w:space="0" w:color="auto"/>
              <w:left w:val="outset" w:sz="6" w:space="0" w:color="auto"/>
              <w:bottom w:val="outset" w:sz="6" w:space="0" w:color="auto"/>
              <w:right w:val="outset" w:sz="6" w:space="0" w:color="auto"/>
            </w:tcBorders>
            <w:hideMark/>
          </w:tcPr>
          <w:p w14:paraId="2962FC5B" w14:textId="77777777" w:rsidR="00A52AC0" w:rsidRPr="00A7523D" w:rsidRDefault="00A52AC0">
            <w:pPr>
              <w:spacing w:line="254" w:lineRule="auto"/>
              <w:ind w:left="104" w:right="187"/>
              <w:rPr>
                <w:sz w:val="22"/>
                <w:szCs w:val="22"/>
                <w:lang w:eastAsia="el-GR"/>
              </w:rPr>
            </w:pPr>
            <w:r w:rsidRPr="00A7523D">
              <w:rPr>
                <w:sz w:val="22"/>
                <w:szCs w:val="22"/>
                <w:lang w:eastAsia="el-GR"/>
              </w:rPr>
              <w:t>hypertension</w:t>
            </w:r>
          </w:p>
        </w:tc>
      </w:tr>
      <w:tr w:rsidR="00A52AC0" w:rsidRPr="00A7523D" w14:paraId="6061A4B6" w14:textId="77777777" w:rsidTr="00A7523D">
        <w:tc>
          <w:tcPr>
            <w:tcW w:w="1067" w:type="pct"/>
            <w:tcBorders>
              <w:top w:val="outset" w:sz="6" w:space="0" w:color="auto"/>
              <w:left w:val="outset" w:sz="6" w:space="0" w:color="auto"/>
              <w:bottom w:val="outset" w:sz="6" w:space="0" w:color="auto"/>
              <w:right w:val="outset" w:sz="6" w:space="0" w:color="auto"/>
            </w:tcBorders>
            <w:hideMark/>
          </w:tcPr>
          <w:p w14:paraId="75E694A9" w14:textId="77777777" w:rsidR="00A52AC0" w:rsidRPr="00A7523D" w:rsidRDefault="00A52AC0">
            <w:pPr>
              <w:spacing w:line="254" w:lineRule="auto"/>
              <w:ind w:left="104" w:right="187"/>
              <w:rPr>
                <w:sz w:val="22"/>
                <w:szCs w:val="22"/>
                <w:lang w:val="en-US" w:eastAsia="el-GR"/>
              </w:rPr>
            </w:pPr>
            <w:proofErr w:type="spellStart"/>
            <w:r w:rsidRPr="00A7523D">
              <w:rPr>
                <w:b/>
                <w:bCs/>
                <w:sz w:val="22"/>
                <w:szCs w:val="22"/>
                <w:lang w:val="en-US" w:eastAsia="el-GR"/>
              </w:rPr>
              <w:t>Luftveje</w:t>
            </w:r>
            <w:proofErr w:type="spellEnd"/>
            <w:r w:rsidRPr="00A7523D">
              <w:rPr>
                <w:b/>
                <w:bCs/>
                <w:sz w:val="22"/>
                <w:szCs w:val="22"/>
                <w:lang w:val="en-US" w:eastAsia="el-GR"/>
              </w:rPr>
              <w:t>, thorax og mediastinum</w:t>
            </w:r>
          </w:p>
        </w:tc>
        <w:tc>
          <w:tcPr>
            <w:tcW w:w="599" w:type="pct"/>
            <w:tcBorders>
              <w:top w:val="outset" w:sz="6" w:space="0" w:color="auto"/>
              <w:left w:val="outset" w:sz="6" w:space="0" w:color="auto"/>
              <w:bottom w:val="outset" w:sz="6" w:space="0" w:color="auto"/>
              <w:right w:val="outset" w:sz="6" w:space="0" w:color="auto"/>
            </w:tcBorders>
            <w:hideMark/>
          </w:tcPr>
          <w:p w14:paraId="29E2016B" w14:textId="77777777" w:rsidR="00A52AC0" w:rsidRPr="00A7523D" w:rsidRDefault="00A52AC0">
            <w:pPr>
              <w:rPr>
                <w:sz w:val="22"/>
                <w:szCs w:val="22"/>
                <w:lang w:val="en-US" w:eastAsia="el-GR"/>
              </w:rPr>
            </w:pPr>
          </w:p>
        </w:tc>
        <w:tc>
          <w:tcPr>
            <w:tcW w:w="1042" w:type="pct"/>
            <w:tcBorders>
              <w:top w:val="outset" w:sz="6" w:space="0" w:color="auto"/>
              <w:left w:val="outset" w:sz="6" w:space="0" w:color="auto"/>
              <w:bottom w:val="outset" w:sz="6" w:space="0" w:color="auto"/>
              <w:right w:val="outset" w:sz="6" w:space="0" w:color="auto"/>
            </w:tcBorders>
            <w:hideMark/>
          </w:tcPr>
          <w:p w14:paraId="5E5D409C" w14:textId="77777777" w:rsidR="00A52AC0" w:rsidRPr="00A7523D" w:rsidRDefault="00A52AC0">
            <w:pPr>
              <w:rPr>
                <w:sz w:val="22"/>
                <w:szCs w:val="22"/>
                <w:lang w:eastAsia="da-DK"/>
              </w:rPr>
            </w:pPr>
          </w:p>
        </w:tc>
        <w:tc>
          <w:tcPr>
            <w:tcW w:w="626" w:type="pct"/>
            <w:tcBorders>
              <w:top w:val="outset" w:sz="6" w:space="0" w:color="auto"/>
              <w:left w:val="outset" w:sz="6" w:space="0" w:color="auto"/>
              <w:bottom w:val="outset" w:sz="6" w:space="0" w:color="auto"/>
              <w:right w:val="outset" w:sz="6" w:space="0" w:color="auto"/>
            </w:tcBorders>
            <w:hideMark/>
          </w:tcPr>
          <w:p w14:paraId="3A84793D" w14:textId="77777777" w:rsidR="00A52AC0" w:rsidRPr="00A7523D" w:rsidRDefault="00A52AC0">
            <w:pPr>
              <w:rPr>
                <w:sz w:val="22"/>
                <w:szCs w:val="22"/>
                <w:lang w:eastAsia="da-DK"/>
              </w:rPr>
            </w:pPr>
          </w:p>
        </w:tc>
        <w:tc>
          <w:tcPr>
            <w:tcW w:w="871" w:type="pct"/>
            <w:tcBorders>
              <w:top w:val="outset" w:sz="6" w:space="0" w:color="auto"/>
              <w:left w:val="outset" w:sz="6" w:space="0" w:color="auto"/>
              <w:bottom w:val="outset" w:sz="6" w:space="0" w:color="auto"/>
              <w:right w:val="outset" w:sz="6" w:space="0" w:color="auto"/>
            </w:tcBorders>
            <w:hideMark/>
          </w:tcPr>
          <w:p w14:paraId="072BE777" w14:textId="77777777" w:rsidR="00A52AC0" w:rsidRPr="00A7523D" w:rsidRDefault="00A52AC0">
            <w:pPr>
              <w:spacing w:line="254" w:lineRule="auto"/>
              <w:ind w:left="104" w:right="187"/>
              <w:rPr>
                <w:sz w:val="22"/>
                <w:szCs w:val="22"/>
              </w:rPr>
            </w:pPr>
            <w:proofErr w:type="spellStart"/>
            <w:r w:rsidRPr="00A7523D">
              <w:rPr>
                <w:sz w:val="22"/>
                <w:szCs w:val="22"/>
              </w:rPr>
              <w:t>epistaxis</w:t>
            </w:r>
            <w:proofErr w:type="spellEnd"/>
          </w:p>
        </w:tc>
        <w:tc>
          <w:tcPr>
            <w:tcW w:w="796" w:type="pct"/>
            <w:tcBorders>
              <w:top w:val="outset" w:sz="6" w:space="0" w:color="auto"/>
              <w:left w:val="outset" w:sz="6" w:space="0" w:color="auto"/>
              <w:bottom w:val="outset" w:sz="6" w:space="0" w:color="auto"/>
              <w:right w:val="outset" w:sz="6" w:space="0" w:color="auto"/>
            </w:tcBorders>
            <w:hideMark/>
          </w:tcPr>
          <w:p w14:paraId="3A5B6C97" w14:textId="77777777" w:rsidR="00A52AC0" w:rsidRPr="00A7523D" w:rsidRDefault="00A52AC0">
            <w:pPr>
              <w:ind w:left="104" w:right="187"/>
              <w:rPr>
                <w:sz w:val="22"/>
                <w:szCs w:val="22"/>
              </w:rPr>
            </w:pPr>
            <w:r w:rsidRPr="00A7523D">
              <w:rPr>
                <w:sz w:val="22"/>
                <w:szCs w:val="22"/>
              </w:rPr>
              <w:t>dyspnø</w:t>
            </w:r>
          </w:p>
        </w:tc>
      </w:tr>
      <w:tr w:rsidR="00A52AC0" w:rsidRPr="00A7523D" w14:paraId="65A2FA76" w14:textId="77777777" w:rsidTr="00A7523D">
        <w:tc>
          <w:tcPr>
            <w:tcW w:w="1067" w:type="pct"/>
            <w:tcBorders>
              <w:top w:val="outset" w:sz="6" w:space="0" w:color="auto"/>
              <w:left w:val="outset" w:sz="6" w:space="0" w:color="auto"/>
              <w:bottom w:val="outset" w:sz="6" w:space="0" w:color="auto"/>
              <w:right w:val="outset" w:sz="6" w:space="0" w:color="auto"/>
            </w:tcBorders>
            <w:hideMark/>
          </w:tcPr>
          <w:p w14:paraId="1CF8BB60" w14:textId="77777777" w:rsidR="00A52AC0" w:rsidRPr="00A7523D" w:rsidRDefault="00A52AC0">
            <w:pPr>
              <w:spacing w:line="254" w:lineRule="auto"/>
              <w:ind w:left="104" w:right="187"/>
              <w:rPr>
                <w:b/>
                <w:bCs/>
                <w:sz w:val="22"/>
                <w:szCs w:val="22"/>
                <w:lang w:eastAsia="el-GR"/>
              </w:rPr>
            </w:pPr>
            <w:proofErr w:type="spellStart"/>
            <w:r w:rsidRPr="00A7523D">
              <w:rPr>
                <w:b/>
                <w:bCs/>
                <w:sz w:val="22"/>
                <w:szCs w:val="22"/>
                <w:lang w:eastAsia="el-GR"/>
              </w:rPr>
              <w:t>Mave-tarmkanalen</w:t>
            </w:r>
            <w:proofErr w:type="spellEnd"/>
          </w:p>
        </w:tc>
        <w:tc>
          <w:tcPr>
            <w:tcW w:w="599" w:type="pct"/>
            <w:tcBorders>
              <w:top w:val="outset" w:sz="6" w:space="0" w:color="auto"/>
              <w:left w:val="outset" w:sz="6" w:space="0" w:color="auto"/>
              <w:bottom w:val="outset" w:sz="6" w:space="0" w:color="auto"/>
              <w:right w:val="outset" w:sz="6" w:space="0" w:color="auto"/>
            </w:tcBorders>
          </w:tcPr>
          <w:p w14:paraId="0D3922E0" w14:textId="77777777" w:rsidR="00A52AC0" w:rsidRPr="00A7523D" w:rsidRDefault="00A52AC0">
            <w:pPr>
              <w:spacing w:line="254" w:lineRule="auto"/>
              <w:ind w:left="104" w:right="187"/>
              <w:rPr>
                <w:sz w:val="22"/>
                <w:szCs w:val="22"/>
                <w:lang w:eastAsia="el-GR"/>
              </w:rPr>
            </w:pPr>
          </w:p>
        </w:tc>
        <w:tc>
          <w:tcPr>
            <w:tcW w:w="1042" w:type="pct"/>
            <w:tcBorders>
              <w:top w:val="outset" w:sz="6" w:space="0" w:color="auto"/>
              <w:left w:val="outset" w:sz="6" w:space="0" w:color="auto"/>
              <w:bottom w:val="outset" w:sz="6" w:space="0" w:color="auto"/>
              <w:right w:val="outset" w:sz="6" w:space="0" w:color="auto"/>
            </w:tcBorders>
            <w:hideMark/>
          </w:tcPr>
          <w:p w14:paraId="63FBAC69" w14:textId="77777777" w:rsidR="00A52AC0" w:rsidRPr="00A7523D" w:rsidRDefault="00A52AC0">
            <w:pPr>
              <w:spacing w:line="254" w:lineRule="auto"/>
              <w:ind w:left="104" w:right="187"/>
              <w:rPr>
                <w:sz w:val="22"/>
                <w:szCs w:val="22"/>
                <w:lang w:eastAsia="el-GR"/>
              </w:rPr>
            </w:pPr>
            <w:r w:rsidRPr="00A7523D">
              <w:rPr>
                <w:sz w:val="22"/>
                <w:szCs w:val="22"/>
                <w:lang w:eastAsia="el-GR"/>
              </w:rPr>
              <w:t>kvalme, bitter smag</w:t>
            </w:r>
          </w:p>
        </w:tc>
        <w:tc>
          <w:tcPr>
            <w:tcW w:w="626" w:type="pct"/>
            <w:tcBorders>
              <w:top w:val="outset" w:sz="6" w:space="0" w:color="auto"/>
              <w:left w:val="outset" w:sz="6" w:space="0" w:color="auto"/>
              <w:bottom w:val="outset" w:sz="6" w:space="0" w:color="auto"/>
              <w:right w:val="outset" w:sz="6" w:space="0" w:color="auto"/>
            </w:tcBorders>
          </w:tcPr>
          <w:p w14:paraId="49122B75" w14:textId="77777777" w:rsidR="00A52AC0" w:rsidRPr="00A7523D" w:rsidRDefault="00A52AC0">
            <w:pPr>
              <w:spacing w:line="254" w:lineRule="auto"/>
              <w:ind w:left="104" w:right="187"/>
              <w:rPr>
                <w:sz w:val="22"/>
                <w:szCs w:val="22"/>
                <w:lang w:eastAsia="el-GR"/>
              </w:rPr>
            </w:pPr>
          </w:p>
        </w:tc>
        <w:tc>
          <w:tcPr>
            <w:tcW w:w="871" w:type="pct"/>
            <w:tcBorders>
              <w:top w:val="outset" w:sz="6" w:space="0" w:color="auto"/>
              <w:left w:val="outset" w:sz="6" w:space="0" w:color="auto"/>
              <w:bottom w:val="outset" w:sz="6" w:space="0" w:color="auto"/>
              <w:right w:val="outset" w:sz="6" w:space="0" w:color="auto"/>
            </w:tcBorders>
            <w:hideMark/>
          </w:tcPr>
          <w:p w14:paraId="591A163F" w14:textId="77777777" w:rsidR="00A52AC0" w:rsidRPr="00A7523D" w:rsidRDefault="00A52AC0">
            <w:pPr>
              <w:spacing w:line="254" w:lineRule="auto"/>
              <w:ind w:left="104" w:right="187"/>
              <w:rPr>
                <w:rStyle w:val="Sidetal"/>
                <w:sz w:val="22"/>
                <w:szCs w:val="22"/>
              </w:rPr>
            </w:pPr>
            <w:r w:rsidRPr="00A7523D">
              <w:rPr>
                <w:sz w:val="22"/>
                <w:szCs w:val="22"/>
              </w:rPr>
              <w:t>halsirritation, mundtørhed</w:t>
            </w:r>
          </w:p>
        </w:tc>
        <w:tc>
          <w:tcPr>
            <w:tcW w:w="796" w:type="pct"/>
            <w:tcBorders>
              <w:top w:val="outset" w:sz="6" w:space="0" w:color="auto"/>
              <w:left w:val="outset" w:sz="6" w:space="0" w:color="auto"/>
              <w:bottom w:val="outset" w:sz="6" w:space="0" w:color="auto"/>
              <w:right w:val="outset" w:sz="6" w:space="0" w:color="auto"/>
            </w:tcBorders>
          </w:tcPr>
          <w:p w14:paraId="58D45A8F" w14:textId="77777777" w:rsidR="00A52AC0" w:rsidRPr="00A7523D" w:rsidRDefault="00A52AC0">
            <w:pPr>
              <w:spacing w:line="254" w:lineRule="auto"/>
              <w:ind w:left="104" w:right="187"/>
              <w:rPr>
                <w:sz w:val="22"/>
                <w:szCs w:val="22"/>
                <w:lang w:eastAsia="el-GR"/>
              </w:rPr>
            </w:pPr>
          </w:p>
        </w:tc>
      </w:tr>
      <w:tr w:rsidR="00A52AC0" w:rsidRPr="00A7523D" w14:paraId="5DF3F527" w14:textId="77777777" w:rsidTr="00A7523D">
        <w:tc>
          <w:tcPr>
            <w:tcW w:w="1067" w:type="pct"/>
            <w:tcBorders>
              <w:top w:val="outset" w:sz="6" w:space="0" w:color="auto"/>
              <w:left w:val="outset" w:sz="6" w:space="0" w:color="auto"/>
              <w:bottom w:val="outset" w:sz="6" w:space="0" w:color="auto"/>
              <w:right w:val="outset" w:sz="6" w:space="0" w:color="auto"/>
            </w:tcBorders>
            <w:hideMark/>
          </w:tcPr>
          <w:p w14:paraId="386F6AE4" w14:textId="77777777" w:rsidR="00A52AC0" w:rsidRPr="00A7523D" w:rsidRDefault="00A52AC0">
            <w:pPr>
              <w:spacing w:line="254" w:lineRule="auto"/>
              <w:ind w:left="104" w:right="187"/>
              <w:rPr>
                <w:sz w:val="22"/>
                <w:szCs w:val="22"/>
                <w:lang w:val="en-US" w:eastAsia="el-GR"/>
              </w:rPr>
            </w:pPr>
            <w:r w:rsidRPr="00A7523D">
              <w:rPr>
                <w:b/>
                <w:bCs/>
                <w:sz w:val="22"/>
                <w:szCs w:val="22"/>
                <w:lang w:val="en-US" w:eastAsia="el-GR"/>
              </w:rPr>
              <w:t xml:space="preserve">Hud og </w:t>
            </w:r>
            <w:proofErr w:type="spellStart"/>
            <w:r w:rsidRPr="00A7523D">
              <w:rPr>
                <w:b/>
                <w:bCs/>
                <w:sz w:val="22"/>
                <w:szCs w:val="22"/>
                <w:lang w:val="en-US" w:eastAsia="el-GR"/>
              </w:rPr>
              <w:t>subkutane</w:t>
            </w:r>
            <w:proofErr w:type="spellEnd"/>
            <w:r w:rsidRPr="00A7523D">
              <w:rPr>
                <w:b/>
                <w:bCs/>
                <w:sz w:val="22"/>
                <w:szCs w:val="22"/>
                <w:lang w:val="en-US" w:eastAsia="el-GR"/>
              </w:rPr>
              <w:t xml:space="preserve"> </w:t>
            </w:r>
            <w:proofErr w:type="spellStart"/>
            <w:r w:rsidRPr="00A7523D">
              <w:rPr>
                <w:b/>
                <w:bCs/>
                <w:sz w:val="22"/>
                <w:szCs w:val="22"/>
                <w:lang w:val="en-US" w:eastAsia="el-GR"/>
              </w:rPr>
              <w:t>væv</w:t>
            </w:r>
            <w:proofErr w:type="spellEnd"/>
          </w:p>
        </w:tc>
        <w:tc>
          <w:tcPr>
            <w:tcW w:w="599" w:type="pct"/>
            <w:tcBorders>
              <w:top w:val="outset" w:sz="6" w:space="0" w:color="auto"/>
              <w:left w:val="outset" w:sz="6" w:space="0" w:color="auto"/>
              <w:bottom w:val="outset" w:sz="6" w:space="0" w:color="auto"/>
              <w:right w:val="outset" w:sz="6" w:space="0" w:color="auto"/>
            </w:tcBorders>
            <w:hideMark/>
          </w:tcPr>
          <w:p w14:paraId="2564877E" w14:textId="77777777" w:rsidR="00A52AC0" w:rsidRPr="00A7523D" w:rsidRDefault="00A52AC0">
            <w:pPr>
              <w:rPr>
                <w:sz w:val="22"/>
                <w:szCs w:val="22"/>
                <w:lang w:val="en-US" w:eastAsia="el-GR"/>
              </w:rPr>
            </w:pPr>
          </w:p>
        </w:tc>
        <w:tc>
          <w:tcPr>
            <w:tcW w:w="1042" w:type="pct"/>
            <w:tcBorders>
              <w:top w:val="outset" w:sz="6" w:space="0" w:color="auto"/>
              <w:left w:val="outset" w:sz="6" w:space="0" w:color="auto"/>
              <w:bottom w:val="outset" w:sz="6" w:space="0" w:color="auto"/>
              <w:right w:val="outset" w:sz="6" w:space="0" w:color="auto"/>
            </w:tcBorders>
            <w:hideMark/>
          </w:tcPr>
          <w:p w14:paraId="1CAEBE5F" w14:textId="77777777" w:rsidR="00A52AC0" w:rsidRPr="00A7523D" w:rsidRDefault="00A52AC0">
            <w:pPr>
              <w:rPr>
                <w:sz w:val="22"/>
                <w:szCs w:val="22"/>
                <w:lang w:eastAsia="da-DK"/>
              </w:rPr>
            </w:pPr>
          </w:p>
        </w:tc>
        <w:tc>
          <w:tcPr>
            <w:tcW w:w="626" w:type="pct"/>
            <w:tcBorders>
              <w:top w:val="outset" w:sz="6" w:space="0" w:color="auto"/>
              <w:left w:val="outset" w:sz="6" w:space="0" w:color="auto"/>
              <w:bottom w:val="outset" w:sz="6" w:space="0" w:color="auto"/>
              <w:right w:val="outset" w:sz="6" w:space="0" w:color="auto"/>
            </w:tcBorders>
            <w:hideMark/>
          </w:tcPr>
          <w:p w14:paraId="76CA14EE" w14:textId="77777777" w:rsidR="00A52AC0" w:rsidRPr="00A7523D" w:rsidRDefault="00A52AC0">
            <w:pPr>
              <w:rPr>
                <w:sz w:val="22"/>
                <w:szCs w:val="22"/>
                <w:lang w:eastAsia="da-DK"/>
              </w:rPr>
            </w:pPr>
          </w:p>
        </w:tc>
        <w:tc>
          <w:tcPr>
            <w:tcW w:w="871" w:type="pct"/>
            <w:tcBorders>
              <w:top w:val="outset" w:sz="6" w:space="0" w:color="auto"/>
              <w:left w:val="outset" w:sz="6" w:space="0" w:color="auto"/>
              <w:bottom w:val="outset" w:sz="6" w:space="0" w:color="auto"/>
              <w:right w:val="outset" w:sz="6" w:space="0" w:color="auto"/>
            </w:tcBorders>
            <w:hideMark/>
          </w:tcPr>
          <w:p w14:paraId="4191E72C" w14:textId="77777777" w:rsidR="00A52AC0" w:rsidRPr="00A7523D" w:rsidRDefault="00A52AC0">
            <w:pPr>
              <w:pStyle w:val="TableText"/>
              <w:spacing w:line="254" w:lineRule="auto"/>
              <w:ind w:left="104" w:right="187"/>
              <w:rPr>
                <w:sz w:val="22"/>
                <w:szCs w:val="22"/>
                <w:lang w:val="da-DK"/>
              </w:rPr>
            </w:pPr>
            <w:proofErr w:type="spellStart"/>
            <w:r w:rsidRPr="00A7523D">
              <w:rPr>
                <w:sz w:val="22"/>
                <w:szCs w:val="22"/>
                <w:lang w:val="da-DK"/>
              </w:rPr>
              <w:t>kontaktdermatitis</w:t>
            </w:r>
            <w:proofErr w:type="spellEnd"/>
            <w:r w:rsidRPr="00A7523D">
              <w:rPr>
                <w:sz w:val="22"/>
                <w:szCs w:val="22"/>
                <w:lang w:val="da-DK"/>
              </w:rPr>
              <w:t xml:space="preserve">, Stevens-Johnson </w:t>
            </w:r>
            <w:r w:rsidRPr="00A7523D">
              <w:rPr>
                <w:sz w:val="22"/>
                <w:szCs w:val="22"/>
                <w:lang w:val="da-DK"/>
              </w:rPr>
              <w:lastRenderedPageBreak/>
              <w:t xml:space="preserve">syndrom, toksisk </w:t>
            </w:r>
            <w:proofErr w:type="spellStart"/>
            <w:r w:rsidRPr="00A7523D">
              <w:rPr>
                <w:sz w:val="22"/>
                <w:szCs w:val="22"/>
                <w:lang w:val="da-DK"/>
              </w:rPr>
              <w:t>epidermal</w:t>
            </w:r>
            <w:proofErr w:type="spellEnd"/>
            <w:r w:rsidRPr="00A7523D">
              <w:rPr>
                <w:sz w:val="22"/>
                <w:szCs w:val="22"/>
                <w:lang w:val="da-DK"/>
              </w:rPr>
              <w:t xml:space="preserve"> </w:t>
            </w:r>
            <w:proofErr w:type="spellStart"/>
            <w:r w:rsidRPr="00A7523D">
              <w:rPr>
                <w:sz w:val="22"/>
                <w:szCs w:val="22"/>
                <w:lang w:val="da-DK"/>
              </w:rPr>
              <w:t>nekrolyse</w:t>
            </w:r>
            <w:proofErr w:type="spellEnd"/>
          </w:p>
        </w:tc>
        <w:tc>
          <w:tcPr>
            <w:tcW w:w="796" w:type="pct"/>
            <w:tcBorders>
              <w:top w:val="outset" w:sz="6" w:space="0" w:color="auto"/>
              <w:left w:val="outset" w:sz="6" w:space="0" w:color="auto"/>
              <w:bottom w:val="outset" w:sz="6" w:space="0" w:color="auto"/>
              <w:right w:val="outset" w:sz="6" w:space="0" w:color="auto"/>
            </w:tcBorders>
            <w:hideMark/>
          </w:tcPr>
          <w:p w14:paraId="155E4E71" w14:textId="77777777" w:rsidR="00A52AC0" w:rsidRPr="00A7523D" w:rsidRDefault="00A52AC0">
            <w:pPr>
              <w:rPr>
                <w:sz w:val="22"/>
                <w:szCs w:val="22"/>
              </w:rPr>
            </w:pPr>
          </w:p>
        </w:tc>
      </w:tr>
      <w:tr w:rsidR="00A52AC0" w:rsidRPr="00A7523D" w14:paraId="0963D3F2" w14:textId="77777777" w:rsidTr="00A7523D">
        <w:tc>
          <w:tcPr>
            <w:tcW w:w="1067" w:type="pct"/>
            <w:tcBorders>
              <w:top w:val="outset" w:sz="6" w:space="0" w:color="auto"/>
              <w:left w:val="outset" w:sz="6" w:space="0" w:color="auto"/>
              <w:bottom w:val="outset" w:sz="6" w:space="0" w:color="auto"/>
              <w:right w:val="outset" w:sz="6" w:space="0" w:color="auto"/>
            </w:tcBorders>
            <w:hideMark/>
          </w:tcPr>
          <w:p w14:paraId="7310CA88" w14:textId="77777777" w:rsidR="00A52AC0" w:rsidRPr="00A7523D" w:rsidRDefault="00A52AC0">
            <w:pPr>
              <w:spacing w:line="254" w:lineRule="auto"/>
              <w:ind w:left="104" w:right="187"/>
              <w:rPr>
                <w:sz w:val="22"/>
                <w:szCs w:val="22"/>
                <w:lang w:eastAsia="el-GR"/>
              </w:rPr>
            </w:pPr>
            <w:r w:rsidRPr="00A7523D">
              <w:rPr>
                <w:b/>
                <w:bCs/>
                <w:sz w:val="22"/>
                <w:szCs w:val="22"/>
                <w:lang w:eastAsia="el-GR"/>
              </w:rPr>
              <w:t>Nyrer og urinveje</w:t>
            </w:r>
          </w:p>
        </w:tc>
        <w:tc>
          <w:tcPr>
            <w:tcW w:w="599" w:type="pct"/>
            <w:tcBorders>
              <w:top w:val="outset" w:sz="6" w:space="0" w:color="auto"/>
              <w:left w:val="outset" w:sz="6" w:space="0" w:color="auto"/>
              <w:bottom w:val="outset" w:sz="6" w:space="0" w:color="auto"/>
              <w:right w:val="outset" w:sz="6" w:space="0" w:color="auto"/>
            </w:tcBorders>
            <w:hideMark/>
          </w:tcPr>
          <w:p w14:paraId="6636BCCA" w14:textId="77777777" w:rsidR="00A52AC0" w:rsidRPr="00A7523D" w:rsidRDefault="00A52AC0">
            <w:pPr>
              <w:rPr>
                <w:sz w:val="22"/>
                <w:szCs w:val="22"/>
                <w:lang w:eastAsia="el-GR"/>
              </w:rPr>
            </w:pPr>
          </w:p>
        </w:tc>
        <w:tc>
          <w:tcPr>
            <w:tcW w:w="1042" w:type="pct"/>
            <w:tcBorders>
              <w:top w:val="outset" w:sz="6" w:space="0" w:color="auto"/>
              <w:left w:val="outset" w:sz="6" w:space="0" w:color="auto"/>
              <w:bottom w:val="outset" w:sz="6" w:space="0" w:color="auto"/>
              <w:right w:val="outset" w:sz="6" w:space="0" w:color="auto"/>
            </w:tcBorders>
            <w:hideMark/>
          </w:tcPr>
          <w:p w14:paraId="5CF5751C" w14:textId="77777777" w:rsidR="00A52AC0" w:rsidRPr="00A7523D" w:rsidRDefault="00A52AC0">
            <w:pPr>
              <w:rPr>
                <w:sz w:val="22"/>
                <w:szCs w:val="22"/>
                <w:lang w:eastAsia="da-DK"/>
              </w:rPr>
            </w:pPr>
          </w:p>
        </w:tc>
        <w:tc>
          <w:tcPr>
            <w:tcW w:w="626" w:type="pct"/>
            <w:tcBorders>
              <w:top w:val="outset" w:sz="6" w:space="0" w:color="auto"/>
              <w:left w:val="outset" w:sz="6" w:space="0" w:color="auto"/>
              <w:bottom w:val="outset" w:sz="6" w:space="0" w:color="auto"/>
              <w:right w:val="outset" w:sz="6" w:space="0" w:color="auto"/>
            </w:tcBorders>
            <w:hideMark/>
          </w:tcPr>
          <w:p w14:paraId="4F9AAA4F" w14:textId="77777777" w:rsidR="00A52AC0" w:rsidRPr="00A7523D" w:rsidRDefault="00A52AC0">
            <w:pPr>
              <w:rPr>
                <w:sz w:val="22"/>
                <w:szCs w:val="22"/>
                <w:lang w:eastAsia="da-DK"/>
              </w:rPr>
            </w:pPr>
          </w:p>
        </w:tc>
        <w:tc>
          <w:tcPr>
            <w:tcW w:w="871" w:type="pct"/>
            <w:tcBorders>
              <w:top w:val="outset" w:sz="6" w:space="0" w:color="auto"/>
              <w:left w:val="outset" w:sz="6" w:space="0" w:color="auto"/>
              <w:bottom w:val="outset" w:sz="6" w:space="0" w:color="auto"/>
              <w:right w:val="outset" w:sz="6" w:space="0" w:color="auto"/>
            </w:tcBorders>
            <w:hideMark/>
          </w:tcPr>
          <w:p w14:paraId="7B846B31" w14:textId="77777777" w:rsidR="00A52AC0" w:rsidRPr="00A7523D" w:rsidRDefault="00A52AC0">
            <w:pPr>
              <w:ind w:left="104" w:right="187"/>
              <w:rPr>
                <w:sz w:val="22"/>
                <w:szCs w:val="22"/>
              </w:rPr>
            </w:pPr>
            <w:proofErr w:type="spellStart"/>
            <w:r w:rsidRPr="00A7523D">
              <w:rPr>
                <w:sz w:val="22"/>
                <w:szCs w:val="22"/>
              </w:rPr>
              <w:t>urolitiasis</w:t>
            </w:r>
            <w:proofErr w:type="spellEnd"/>
          </w:p>
        </w:tc>
        <w:tc>
          <w:tcPr>
            <w:tcW w:w="796" w:type="pct"/>
            <w:tcBorders>
              <w:top w:val="outset" w:sz="6" w:space="0" w:color="auto"/>
              <w:left w:val="outset" w:sz="6" w:space="0" w:color="auto"/>
              <w:bottom w:val="outset" w:sz="6" w:space="0" w:color="auto"/>
              <w:right w:val="outset" w:sz="6" w:space="0" w:color="auto"/>
            </w:tcBorders>
            <w:hideMark/>
          </w:tcPr>
          <w:p w14:paraId="2211367B" w14:textId="77777777" w:rsidR="00A52AC0" w:rsidRPr="00A7523D" w:rsidRDefault="00A52AC0">
            <w:pPr>
              <w:rPr>
                <w:sz w:val="22"/>
                <w:szCs w:val="22"/>
              </w:rPr>
            </w:pPr>
          </w:p>
        </w:tc>
      </w:tr>
      <w:tr w:rsidR="00A52AC0" w:rsidRPr="00A7523D" w14:paraId="685FC818" w14:textId="77777777" w:rsidTr="00A7523D">
        <w:tc>
          <w:tcPr>
            <w:tcW w:w="1067" w:type="pct"/>
            <w:tcBorders>
              <w:top w:val="outset" w:sz="6" w:space="0" w:color="auto"/>
              <w:left w:val="outset" w:sz="6" w:space="0" w:color="auto"/>
              <w:bottom w:val="outset" w:sz="6" w:space="0" w:color="auto"/>
              <w:right w:val="outset" w:sz="6" w:space="0" w:color="auto"/>
            </w:tcBorders>
            <w:hideMark/>
          </w:tcPr>
          <w:p w14:paraId="55C6946C" w14:textId="77777777" w:rsidR="00A52AC0" w:rsidRPr="00A7523D" w:rsidRDefault="00A52AC0">
            <w:pPr>
              <w:spacing w:line="254" w:lineRule="auto"/>
              <w:ind w:left="104" w:right="187"/>
              <w:rPr>
                <w:sz w:val="22"/>
                <w:szCs w:val="22"/>
                <w:lang w:eastAsia="el-GR"/>
              </w:rPr>
            </w:pPr>
            <w:r w:rsidRPr="00A7523D">
              <w:rPr>
                <w:b/>
                <w:bCs/>
                <w:sz w:val="22"/>
                <w:szCs w:val="22"/>
                <w:lang w:eastAsia="el-GR"/>
              </w:rPr>
              <w:t>Almene symptomer og reaktioner på administrationsstedet</w:t>
            </w:r>
          </w:p>
        </w:tc>
        <w:tc>
          <w:tcPr>
            <w:tcW w:w="599" w:type="pct"/>
            <w:tcBorders>
              <w:top w:val="outset" w:sz="6" w:space="0" w:color="auto"/>
              <w:left w:val="outset" w:sz="6" w:space="0" w:color="auto"/>
              <w:bottom w:val="outset" w:sz="6" w:space="0" w:color="auto"/>
              <w:right w:val="outset" w:sz="6" w:space="0" w:color="auto"/>
            </w:tcBorders>
            <w:hideMark/>
          </w:tcPr>
          <w:p w14:paraId="3E38E533" w14:textId="77777777" w:rsidR="00A52AC0" w:rsidRPr="00A7523D" w:rsidRDefault="00A52AC0">
            <w:pPr>
              <w:rPr>
                <w:sz w:val="22"/>
                <w:szCs w:val="22"/>
                <w:lang w:eastAsia="el-GR"/>
              </w:rPr>
            </w:pPr>
          </w:p>
        </w:tc>
        <w:tc>
          <w:tcPr>
            <w:tcW w:w="1042" w:type="pct"/>
            <w:tcBorders>
              <w:top w:val="outset" w:sz="6" w:space="0" w:color="auto"/>
              <w:left w:val="outset" w:sz="6" w:space="0" w:color="auto"/>
              <w:bottom w:val="outset" w:sz="6" w:space="0" w:color="auto"/>
              <w:right w:val="outset" w:sz="6" w:space="0" w:color="auto"/>
            </w:tcBorders>
            <w:hideMark/>
          </w:tcPr>
          <w:p w14:paraId="27BDB9EF" w14:textId="77777777" w:rsidR="00A52AC0" w:rsidRPr="00A7523D" w:rsidRDefault="00A52AC0">
            <w:pPr>
              <w:pStyle w:val="TableText"/>
              <w:spacing w:line="254" w:lineRule="auto"/>
              <w:ind w:left="104" w:right="187"/>
              <w:rPr>
                <w:sz w:val="22"/>
                <w:szCs w:val="22"/>
              </w:rPr>
            </w:pPr>
            <w:proofErr w:type="spellStart"/>
            <w:r w:rsidRPr="00A7523D">
              <w:rPr>
                <w:sz w:val="22"/>
                <w:szCs w:val="22"/>
              </w:rPr>
              <w:t>asteni</w:t>
            </w:r>
            <w:proofErr w:type="spellEnd"/>
            <w:r w:rsidRPr="00A7523D">
              <w:rPr>
                <w:sz w:val="22"/>
                <w:szCs w:val="22"/>
              </w:rPr>
              <w:t>/</w:t>
            </w:r>
          </w:p>
          <w:p w14:paraId="3492C896" w14:textId="77777777" w:rsidR="00A52AC0" w:rsidRPr="00A7523D" w:rsidRDefault="00A52AC0">
            <w:pPr>
              <w:pStyle w:val="TableText"/>
              <w:spacing w:line="254" w:lineRule="auto"/>
              <w:ind w:left="104" w:right="187"/>
              <w:rPr>
                <w:sz w:val="22"/>
                <w:szCs w:val="22"/>
              </w:rPr>
            </w:pPr>
            <w:proofErr w:type="spellStart"/>
            <w:r w:rsidRPr="00A7523D">
              <w:rPr>
                <w:sz w:val="22"/>
                <w:szCs w:val="22"/>
              </w:rPr>
              <w:t>træthed</w:t>
            </w:r>
            <w:proofErr w:type="spellEnd"/>
          </w:p>
        </w:tc>
        <w:tc>
          <w:tcPr>
            <w:tcW w:w="626" w:type="pct"/>
            <w:tcBorders>
              <w:top w:val="outset" w:sz="6" w:space="0" w:color="auto"/>
              <w:left w:val="outset" w:sz="6" w:space="0" w:color="auto"/>
              <w:bottom w:val="outset" w:sz="6" w:space="0" w:color="auto"/>
              <w:right w:val="outset" w:sz="6" w:space="0" w:color="auto"/>
            </w:tcBorders>
            <w:hideMark/>
          </w:tcPr>
          <w:p w14:paraId="7E25F642" w14:textId="77777777" w:rsidR="00A52AC0" w:rsidRPr="00A7523D" w:rsidRDefault="00A52AC0">
            <w:pPr>
              <w:rPr>
                <w:sz w:val="22"/>
                <w:szCs w:val="22"/>
              </w:rPr>
            </w:pPr>
          </w:p>
        </w:tc>
        <w:tc>
          <w:tcPr>
            <w:tcW w:w="871" w:type="pct"/>
            <w:tcBorders>
              <w:top w:val="outset" w:sz="6" w:space="0" w:color="auto"/>
              <w:left w:val="outset" w:sz="6" w:space="0" w:color="auto"/>
              <w:bottom w:val="outset" w:sz="6" w:space="0" w:color="auto"/>
              <w:right w:val="outset" w:sz="6" w:space="0" w:color="auto"/>
            </w:tcBorders>
            <w:hideMark/>
          </w:tcPr>
          <w:p w14:paraId="11654508" w14:textId="77777777" w:rsidR="00A52AC0" w:rsidRPr="00A7523D" w:rsidRDefault="00A52AC0">
            <w:pPr>
              <w:spacing w:line="254" w:lineRule="auto"/>
              <w:ind w:left="104" w:right="187"/>
              <w:rPr>
                <w:sz w:val="22"/>
                <w:szCs w:val="22"/>
              </w:rPr>
            </w:pPr>
            <w:r w:rsidRPr="00A7523D">
              <w:rPr>
                <w:sz w:val="22"/>
                <w:szCs w:val="22"/>
              </w:rPr>
              <w:t>overfølsomhed:</w:t>
            </w:r>
          </w:p>
          <w:p w14:paraId="7515EB8A" w14:textId="77777777" w:rsidR="00A52AC0" w:rsidRPr="00A7523D" w:rsidRDefault="00A52AC0">
            <w:pPr>
              <w:spacing w:line="254" w:lineRule="auto"/>
              <w:ind w:left="104" w:right="187"/>
              <w:rPr>
                <w:rFonts w:eastAsiaTheme="minorHAnsi"/>
                <w:sz w:val="22"/>
                <w:szCs w:val="22"/>
                <w:lang w:eastAsia="da-DK"/>
              </w:rPr>
            </w:pPr>
            <w:r w:rsidRPr="00A7523D">
              <w:rPr>
                <w:sz w:val="22"/>
                <w:szCs w:val="22"/>
              </w:rPr>
              <w:t>tegn og symptomer på lokale reaktioner (</w:t>
            </w:r>
            <w:proofErr w:type="spellStart"/>
            <w:r w:rsidRPr="00A7523D">
              <w:rPr>
                <w:sz w:val="22"/>
                <w:szCs w:val="22"/>
              </w:rPr>
              <w:t>palpebrale</w:t>
            </w:r>
            <w:proofErr w:type="spellEnd"/>
            <w:r w:rsidRPr="00A7523D">
              <w:rPr>
                <w:sz w:val="22"/>
                <w:szCs w:val="22"/>
              </w:rPr>
              <w:t xml:space="preserve"> reaktioner) og systemiske reaktioner inklusive </w:t>
            </w:r>
            <w:proofErr w:type="spellStart"/>
            <w:r w:rsidRPr="00A7523D">
              <w:rPr>
                <w:sz w:val="22"/>
                <w:szCs w:val="22"/>
              </w:rPr>
              <w:t>angioødem</w:t>
            </w:r>
            <w:proofErr w:type="spellEnd"/>
            <w:r w:rsidRPr="00A7523D">
              <w:rPr>
                <w:sz w:val="22"/>
                <w:szCs w:val="22"/>
              </w:rPr>
              <w:t xml:space="preserve">, </w:t>
            </w:r>
            <w:proofErr w:type="spellStart"/>
            <w:r w:rsidRPr="00A7523D">
              <w:rPr>
                <w:sz w:val="22"/>
                <w:szCs w:val="22"/>
              </w:rPr>
              <w:t>urticaria</w:t>
            </w:r>
            <w:proofErr w:type="spellEnd"/>
            <w:r w:rsidRPr="00A7523D">
              <w:rPr>
                <w:sz w:val="22"/>
                <w:szCs w:val="22"/>
              </w:rPr>
              <w:t xml:space="preserve"> og </w:t>
            </w:r>
            <w:proofErr w:type="spellStart"/>
            <w:r w:rsidRPr="00A7523D">
              <w:rPr>
                <w:sz w:val="22"/>
                <w:szCs w:val="22"/>
              </w:rPr>
              <w:t>puritus</w:t>
            </w:r>
            <w:proofErr w:type="spellEnd"/>
            <w:r w:rsidRPr="00A7523D">
              <w:rPr>
                <w:sz w:val="22"/>
                <w:szCs w:val="22"/>
              </w:rPr>
              <w:t xml:space="preserve">, udslæt, </w:t>
            </w:r>
            <w:proofErr w:type="spellStart"/>
            <w:r w:rsidRPr="00A7523D">
              <w:rPr>
                <w:sz w:val="22"/>
                <w:szCs w:val="22"/>
              </w:rPr>
              <w:t>kortåndethed</w:t>
            </w:r>
            <w:proofErr w:type="spellEnd"/>
            <w:r w:rsidRPr="00A7523D">
              <w:rPr>
                <w:sz w:val="22"/>
                <w:szCs w:val="22"/>
              </w:rPr>
              <w:t xml:space="preserve">, sjældent </w:t>
            </w:r>
            <w:proofErr w:type="spellStart"/>
            <w:r w:rsidRPr="00A7523D">
              <w:rPr>
                <w:sz w:val="22"/>
                <w:szCs w:val="22"/>
              </w:rPr>
              <w:t>bronkospasme</w:t>
            </w:r>
            <w:proofErr w:type="spellEnd"/>
          </w:p>
        </w:tc>
        <w:tc>
          <w:tcPr>
            <w:tcW w:w="796" w:type="pct"/>
            <w:tcBorders>
              <w:top w:val="outset" w:sz="6" w:space="0" w:color="auto"/>
              <w:left w:val="outset" w:sz="6" w:space="0" w:color="auto"/>
              <w:bottom w:val="outset" w:sz="6" w:space="0" w:color="auto"/>
              <w:right w:val="outset" w:sz="6" w:space="0" w:color="auto"/>
            </w:tcBorders>
            <w:hideMark/>
          </w:tcPr>
          <w:p w14:paraId="64FA10B4" w14:textId="77777777" w:rsidR="00A52AC0" w:rsidRPr="00A7523D" w:rsidRDefault="00A52AC0">
            <w:pPr>
              <w:rPr>
                <w:rFonts w:eastAsiaTheme="minorHAnsi"/>
                <w:sz w:val="22"/>
                <w:szCs w:val="22"/>
                <w:lang w:eastAsia="da-DK"/>
              </w:rPr>
            </w:pPr>
          </w:p>
        </w:tc>
      </w:tr>
    </w:tbl>
    <w:p w14:paraId="3D8C207A" w14:textId="77777777" w:rsidR="00A52AC0" w:rsidRPr="00A7523D" w:rsidRDefault="00A52AC0" w:rsidP="00A52AC0">
      <w:pPr>
        <w:ind w:left="851"/>
        <w:rPr>
          <w:sz w:val="24"/>
          <w:szCs w:val="24"/>
        </w:rPr>
      </w:pPr>
    </w:p>
    <w:p w14:paraId="43C6C768" w14:textId="77777777" w:rsidR="00A52AC0" w:rsidRPr="00A7523D" w:rsidRDefault="00A52AC0" w:rsidP="00A52AC0">
      <w:pPr>
        <w:ind w:left="851"/>
        <w:rPr>
          <w:sz w:val="24"/>
          <w:szCs w:val="24"/>
        </w:rPr>
      </w:pPr>
      <w:r w:rsidRPr="00A7523D">
        <w:rPr>
          <w:sz w:val="24"/>
          <w:szCs w:val="24"/>
          <w:u w:val="single"/>
        </w:rPr>
        <w:t>Undersøgelser:</w:t>
      </w:r>
      <w:r w:rsidRPr="00A7523D">
        <w:rPr>
          <w:sz w:val="24"/>
          <w:szCs w:val="24"/>
        </w:rPr>
        <w:t xml:space="preserve"> </w:t>
      </w:r>
      <w:proofErr w:type="spellStart"/>
      <w:r w:rsidRPr="00A7523D">
        <w:rPr>
          <w:sz w:val="24"/>
          <w:szCs w:val="24"/>
        </w:rPr>
        <w:t>Dorzolamid</w:t>
      </w:r>
      <w:proofErr w:type="spellEnd"/>
      <w:r w:rsidRPr="00A7523D">
        <w:rPr>
          <w:sz w:val="24"/>
          <w:szCs w:val="24"/>
        </w:rPr>
        <w:t xml:space="preserve"> var ikke forbundet med klinisk meningsfulde forstyrrelser i elektrolytbalancen.</w:t>
      </w:r>
    </w:p>
    <w:p w14:paraId="3BDCA784" w14:textId="77777777" w:rsidR="00A52AC0" w:rsidRPr="00A7523D" w:rsidRDefault="00A52AC0" w:rsidP="00A52AC0">
      <w:pPr>
        <w:ind w:left="851"/>
        <w:rPr>
          <w:sz w:val="24"/>
          <w:szCs w:val="24"/>
        </w:rPr>
      </w:pPr>
    </w:p>
    <w:p w14:paraId="1B13386A" w14:textId="77777777" w:rsidR="00A52AC0" w:rsidRPr="00A7523D" w:rsidRDefault="00A52AC0" w:rsidP="00A52AC0">
      <w:pPr>
        <w:ind w:left="851"/>
        <w:rPr>
          <w:sz w:val="24"/>
          <w:szCs w:val="24"/>
          <w:u w:val="single"/>
        </w:rPr>
      </w:pPr>
      <w:r w:rsidRPr="00A7523D">
        <w:rPr>
          <w:sz w:val="24"/>
          <w:szCs w:val="24"/>
          <w:u w:val="single"/>
        </w:rPr>
        <w:t>Pædiatrisk population:</w:t>
      </w:r>
    </w:p>
    <w:p w14:paraId="4B67FC98" w14:textId="77777777" w:rsidR="00A52AC0" w:rsidRPr="00A7523D" w:rsidRDefault="00A52AC0" w:rsidP="00A52AC0">
      <w:pPr>
        <w:ind w:left="851"/>
        <w:rPr>
          <w:sz w:val="24"/>
          <w:szCs w:val="24"/>
        </w:rPr>
      </w:pPr>
      <w:r w:rsidRPr="00A7523D">
        <w:rPr>
          <w:sz w:val="24"/>
          <w:szCs w:val="24"/>
        </w:rPr>
        <w:t>Se punkt. 5.1.</w:t>
      </w:r>
    </w:p>
    <w:p w14:paraId="6F5234FF" w14:textId="77777777" w:rsidR="00A52AC0" w:rsidRPr="00A7523D" w:rsidRDefault="00A52AC0" w:rsidP="00A52AC0">
      <w:pPr>
        <w:ind w:left="851"/>
        <w:rPr>
          <w:sz w:val="24"/>
          <w:szCs w:val="24"/>
        </w:rPr>
      </w:pPr>
    </w:p>
    <w:p w14:paraId="3FC81C6A" w14:textId="77777777" w:rsidR="00A52AC0" w:rsidRPr="00A7523D" w:rsidRDefault="00A52AC0" w:rsidP="00A52AC0">
      <w:pPr>
        <w:autoSpaceDE w:val="0"/>
        <w:autoSpaceDN w:val="0"/>
        <w:ind w:left="851"/>
        <w:rPr>
          <w:sz w:val="24"/>
          <w:szCs w:val="24"/>
          <w:u w:val="single"/>
        </w:rPr>
      </w:pPr>
      <w:r w:rsidRPr="00A7523D">
        <w:rPr>
          <w:sz w:val="24"/>
          <w:szCs w:val="24"/>
          <w:u w:val="single"/>
        </w:rPr>
        <w:t>Indberetning af formodede bivirkninger</w:t>
      </w:r>
    </w:p>
    <w:p w14:paraId="7AF6D90F" w14:textId="77777777" w:rsidR="00A52AC0" w:rsidRPr="00A7523D" w:rsidRDefault="00A52AC0" w:rsidP="00A52AC0">
      <w:pPr>
        <w:ind w:left="851"/>
        <w:rPr>
          <w:sz w:val="24"/>
          <w:szCs w:val="24"/>
        </w:rPr>
      </w:pPr>
      <w:r w:rsidRPr="00A7523D">
        <w:rPr>
          <w:sz w:val="24"/>
          <w:szCs w:val="24"/>
        </w:rPr>
        <w:t>Når lægemidlet er godkendt, er indberetning af formodede bivirkninger vigtig. Det muliggør løbende overvågning af benefit/</w:t>
      </w:r>
      <w:proofErr w:type="spellStart"/>
      <w:r w:rsidRPr="00A7523D">
        <w:rPr>
          <w:sz w:val="24"/>
          <w:szCs w:val="24"/>
        </w:rPr>
        <w:t>risk</w:t>
      </w:r>
      <w:proofErr w:type="spellEnd"/>
      <w:r w:rsidRPr="00A7523D">
        <w:rPr>
          <w:sz w:val="24"/>
          <w:szCs w:val="24"/>
        </w:rPr>
        <w:t>-forholdet for lægemidlet. Sundhedspersoner anmodes om at indberette alle formodede bivirkninger via:</w:t>
      </w:r>
    </w:p>
    <w:p w14:paraId="6AF20A62" w14:textId="77777777" w:rsidR="00A52AC0" w:rsidRPr="00A7523D" w:rsidRDefault="00A52AC0" w:rsidP="00A52AC0">
      <w:pPr>
        <w:tabs>
          <w:tab w:val="left" w:pos="2440"/>
        </w:tabs>
        <w:ind w:left="851"/>
        <w:rPr>
          <w:sz w:val="24"/>
          <w:szCs w:val="24"/>
        </w:rPr>
      </w:pPr>
    </w:p>
    <w:p w14:paraId="62854E35" w14:textId="77777777" w:rsidR="00A52AC0" w:rsidRPr="00A7523D" w:rsidRDefault="00A52AC0" w:rsidP="00A52AC0">
      <w:pPr>
        <w:ind w:left="851"/>
        <w:rPr>
          <w:sz w:val="24"/>
          <w:szCs w:val="24"/>
        </w:rPr>
      </w:pPr>
      <w:r w:rsidRPr="00A7523D">
        <w:rPr>
          <w:sz w:val="24"/>
          <w:szCs w:val="24"/>
        </w:rPr>
        <w:t>Lægemiddelstyrelsen</w:t>
      </w:r>
    </w:p>
    <w:p w14:paraId="2F1623CB" w14:textId="77777777" w:rsidR="00A52AC0" w:rsidRPr="00A7523D" w:rsidRDefault="00A52AC0" w:rsidP="00A52AC0">
      <w:pPr>
        <w:ind w:left="851"/>
        <w:rPr>
          <w:sz w:val="24"/>
          <w:szCs w:val="24"/>
        </w:rPr>
      </w:pPr>
      <w:r w:rsidRPr="00A7523D">
        <w:rPr>
          <w:sz w:val="24"/>
          <w:szCs w:val="24"/>
        </w:rPr>
        <w:t>Axel Heides Gade 1</w:t>
      </w:r>
    </w:p>
    <w:p w14:paraId="7F67E2BB" w14:textId="77777777" w:rsidR="00A52AC0" w:rsidRPr="00A7523D" w:rsidRDefault="00A52AC0" w:rsidP="00A52AC0">
      <w:pPr>
        <w:ind w:left="851"/>
        <w:rPr>
          <w:sz w:val="24"/>
          <w:szCs w:val="24"/>
        </w:rPr>
      </w:pPr>
      <w:r w:rsidRPr="00A7523D">
        <w:rPr>
          <w:sz w:val="24"/>
          <w:szCs w:val="24"/>
        </w:rPr>
        <w:t>DK-2300 København S</w:t>
      </w:r>
    </w:p>
    <w:p w14:paraId="4F7224C8" w14:textId="77777777" w:rsidR="00A52AC0" w:rsidRPr="00A7523D" w:rsidRDefault="00A52AC0" w:rsidP="00A52AC0">
      <w:pPr>
        <w:ind w:left="851"/>
        <w:rPr>
          <w:sz w:val="24"/>
          <w:szCs w:val="24"/>
        </w:rPr>
      </w:pPr>
      <w:r w:rsidRPr="00A7523D">
        <w:rPr>
          <w:sz w:val="24"/>
          <w:szCs w:val="24"/>
        </w:rPr>
        <w:t xml:space="preserve">Websted: </w:t>
      </w:r>
      <w:hyperlink r:id="rId12" w:history="1">
        <w:r w:rsidRPr="00A7523D">
          <w:rPr>
            <w:rStyle w:val="Hyperlink"/>
            <w:sz w:val="24"/>
            <w:szCs w:val="24"/>
          </w:rPr>
          <w:t>www.meldenbivirkning.dk</w:t>
        </w:r>
      </w:hyperlink>
    </w:p>
    <w:p w14:paraId="15E0534D" w14:textId="77777777" w:rsidR="009260DE" w:rsidRPr="00A7523D" w:rsidRDefault="009260DE" w:rsidP="00A10294">
      <w:pPr>
        <w:tabs>
          <w:tab w:val="left" w:pos="851"/>
        </w:tabs>
        <w:ind w:left="851"/>
        <w:rPr>
          <w:sz w:val="24"/>
          <w:szCs w:val="24"/>
        </w:rPr>
      </w:pPr>
    </w:p>
    <w:p w14:paraId="59E86918" w14:textId="77777777" w:rsidR="009260DE" w:rsidRPr="00A7523D" w:rsidRDefault="009260DE" w:rsidP="009260DE">
      <w:pPr>
        <w:tabs>
          <w:tab w:val="left" w:pos="851"/>
        </w:tabs>
        <w:ind w:left="851" w:hanging="851"/>
        <w:rPr>
          <w:b/>
          <w:sz w:val="24"/>
          <w:szCs w:val="24"/>
        </w:rPr>
      </w:pPr>
      <w:r w:rsidRPr="00A7523D">
        <w:rPr>
          <w:b/>
          <w:sz w:val="24"/>
          <w:szCs w:val="24"/>
        </w:rPr>
        <w:t>4.9</w:t>
      </w:r>
      <w:r w:rsidRPr="00A7523D">
        <w:rPr>
          <w:b/>
          <w:sz w:val="24"/>
          <w:szCs w:val="24"/>
        </w:rPr>
        <w:tab/>
        <w:t>Overdosering</w:t>
      </w:r>
    </w:p>
    <w:p w14:paraId="50F1DDDA" w14:textId="77777777" w:rsidR="00A52AC0" w:rsidRPr="00A7523D" w:rsidRDefault="00A52AC0" w:rsidP="00A7523D">
      <w:pPr>
        <w:ind w:left="851"/>
        <w:rPr>
          <w:sz w:val="24"/>
          <w:szCs w:val="24"/>
        </w:rPr>
      </w:pPr>
      <w:r w:rsidRPr="00A7523D">
        <w:rPr>
          <w:sz w:val="24"/>
          <w:szCs w:val="24"/>
        </w:rPr>
        <w:t xml:space="preserve">Der foreligger kun begrænsede data om uforsætlig eller forsætlig indtagelse af en overdosis af </w:t>
      </w:r>
      <w:proofErr w:type="spellStart"/>
      <w:r w:rsidRPr="00A7523D">
        <w:rPr>
          <w:sz w:val="24"/>
          <w:szCs w:val="24"/>
        </w:rPr>
        <w:t>dorzolamidhydrochlorid</w:t>
      </w:r>
      <w:proofErr w:type="spellEnd"/>
      <w:r w:rsidRPr="00A7523D">
        <w:rPr>
          <w:sz w:val="24"/>
          <w:szCs w:val="24"/>
        </w:rPr>
        <w:t xml:space="preserve"> hos mennesker.</w:t>
      </w:r>
    </w:p>
    <w:p w14:paraId="69D8D0BB" w14:textId="77777777" w:rsidR="00A52AC0" w:rsidRPr="00A7523D" w:rsidRDefault="00A52AC0" w:rsidP="00A7523D">
      <w:pPr>
        <w:ind w:left="851"/>
        <w:rPr>
          <w:sz w:val="24"/>
          <w:szCs w:val="24"/>
        </w:rPr>
      </w:pPr>
    </w:p>
    <w:p w14:paraId="3DCC7C49" w14:textId="39D2F137" w:rsidR="00A52AC0" w:rsidRPr="00A7523D" w:rsidRDefault="00A52AC0" w:rsidP="00A7523D">
      <w:pPr>
        <w:ind w:left="851"/>
        <w:rPr>
          <w:sz w:val="24"/>
          <w:szCs w:val="24"/>
          <w:u w:val="single"/>
        </w:rPr>
      </w:pPr>
      <w:r w:rsidRPr="00A7523D">
        <w:rPr>
          <w:sz w:val="24"/>
          <w:szCs w:val="24"/>
          <w:u w:val="single"/>
        </w:rPr>
        <w:t>Symptomer</w:t>
      </w:r>
    </w:p>
    <w:p w14:paraId="68C8DB00" w14:textId="77777777" w:rsidR="00A52AC0" w:rsidRPr="00A7523D" w:rsidRDefault="00A52AC0" w:rsidP="00A7523D">
      <w:pPr>
        <w:ind w:left="851"/>
        <w:rPr>
          <w:sz w:val="24"/>
          <w:szCs w:val="24"/>
        </w:rPr>
      </w:pPr>
      <w:r w:rsidRPr="00A7523D">
        <w:rPr>
          <w:sz w:val="24"/>
          <w:szCs w:val="24"/>
        </w:rPr>
        <w:t xml:space="preserve">Følgende er rapporteret efter oral indtagelse: </w:t>
      </w:r>
      <w:proofErr w:type="spellStart"/>
      <w:r w:rsidRPr="00A7523D">
        <w:rPr>
          <w:sz w:val="24"/>
          <w:szCs w:val="24"/>
        </w:rPr>
        <w:t>solomnesens</w:t>
      </w:r>
      <w:proofErr w:type="spellEnd"/>
      <w:r w:rsidRPr="00A7523D">
        <w:rPr>
          <w:sz w:val="24"/>
          <w:szCs w:val="24"/>
        </w:rPr>
        <w:t xml:space="preserve">. Ved </w:t>
      </w:r>
      <w:proofErr w:type="spellStart"/>
      <w:r w:rsidRPr="00A7523D">
        <w:rPr>
          <w:sz w:val="24"/>
          <w:szCs w:val="24"/>
        </w:rPr>
        <w:t>topikal</w:t>
      </w:r>
      <w:proofErr w:type="spellEnd"/>
      <w:r w:rsidRPr="00A7523D">
        <w:rPr>
          <w:sz w:val="24"/>
          <w:szCs w:val="24"/>
        </w:rPr>
        <w:t xml:space="preserve"> anvendelse er der rapporteret om følgende: kvalme, svimmelhed, hovedpine, træthed, abnorme drømme og </w:t>
      </w:r>
      <w:proofErr w:type="spellStart"/>
      <w:r w:rsidRPr="00A7523D">
        <w:rPr>
          <w:sz w:val="24"/>
          <w:szCs w:val="24"/>
        </w:rPr>
        <w:t>dysfagi</w:t>
      </w:r>
      <w:proofErr w:type="spellEnd"/>
      <w:r w:rsidRPr="00A7523D">
        <w:rPr>
          <w:sz w:val="24"/>
          <w:szCs w:val="24"/>
        </w:rPr>
        <w:t>.</w:t>
      </w:r>
    </w:p>
    <w:p w14:paraId="7C869112" w14:textId="77777777" w:rsidR="00A52AC0" w:rsidRPr="00A7523D" w:rsidRDefault="00A52AC0" w:rsidP="00A7523D">
      <w:pPr>
        <w:ind w:left="851"/>
        <w:rPr>
          <w:sz w:val="24"/>
          <w:szCs w:val="24"/>
        </w:rPr>
      </w:pPr>
    </w:p>
    <w:p w14:paraId="51786C54" w14:textId="77777777" w:rsidR="00A52AC0" w:rsidRPr="00A7523D" w:rsidRDefault="00A52AC0" w:rsidP="00A7523D">
      <w:pPr>
        <w:ind w:left="851"/>
        <w:rPr>
          <w:sz w:val="24"/>
          <w:szCs w:val="24"/>
          <w:u w:val="single"/>
        </w:rPr>
      </w:pPr>
      <w:r w:rsidRPr="00A7523D">
        <w:rPr>
          <w:sz w:val="24"/>
          <w:szCs w:val="24"/>
          <w:u w:val="single"/>
        </w:rPr>
        <w:t>Behandling</w:t>
      </w:r>
    </w:p>
    <w:p w14:paraId="13E0B80C" w14:textId="77777777" w:rsidR="00A52AC0" w:rsidRPr="00A7523D" w:rsidRDefault="00A52AC0" w:rsidP="00A7523D">
      <w:pPr>
        <w:ind w:left="851"/>
        <w:rPr>
          <w:sz w:val="24"/>
          <w:szCs w:val="24"/>
        </w:rPr>
      </w:pPr>
      <w:r w:rsidRPr="00A7523D">
        <w:rPr>
          <w:sz w:val="24"/>
          <w:szCs w:val="24"/>
        </w:rPr>
        <w:t xml:space="preserve">Behandlingen bør være symptomatisk og understøttende. Der kan forekomme ubalance i elektrolytterne, udvikling af en </w:t>
      </w:r>
      <w:proofErr w:type="spellStart"/>
      <w:r w:rsidRPr="00A7523D">
        <w:rPr>
          <w:sz w:val="24"/>
          <w:szCs w:val="24"/>
        </w:rPr>
        <w:t>acidotisk</w:t>
      </w:r>
      <w:proofErr w:type="spellEnd"/>
      <w:r w:rsidRPr="00A7523D">
        <w:rPr>
          <w:sz w:val="24"/>
          <w:szCs w:val="24"/>
        </w:rPr>
        <w:t xml:space="preserve"> tilstand og mulige virkninger på centralnervesystemet. Serumniveauerne af elektrolytter (især kalium) og blodets pH-niveau skal overvåges.</w:t>
      </w:r>
    </w:p>
    <w:p w14:paraId="654EF763" w14:textId="77777777" w:rsidR="009260DE" w:rsidRPr="00A7523D" w:rsidRDefault="009260DE" w:rsidP="009260DE">
      <w:pPr>
        <w:tabs>
          <w:tab w:val="left" w:pos="851"/>
        </w:tabs>
        <w:ind w:left="851"/>
        <w:rPr>
          <w:sz w:val="24"/>
          <w:szCs w:val="24"/>
        </w:rPr>
      </w:pPr>
    </w:p>
    <w:p w14:paraId="2175766C" w14:textId="77777777" w:rsidR="009260DE" w:rsidRPr="00A7523D" w:rsidRDefault="009260DE" w:rsidP="009260DE">
      <w:pPr>
        <w:tabs>
          <w:tab w:val="left" w:pos="851"/>
        </w:tabs>
        <w:ind w:left="851" w:hanging="851"/>
        <w:rPr>
          <w:b/>
          <w:sz w:val="24"/>
          <w:szCs w:val="24"/>
        </w:rPr>
      </w:pPr>
      <w:r w:rsidRPr="00A7523D">
        <w:rPr>
          <w:b/>
          <w:sz w:val="24"/>
          <w:szCs w:val="24"/>
        </w:rPr>
        <w:t>4.10</w:t>
      </w:r>
      <w:r w:rsidRPr="00A7523D">
        <w:rPr>
          <w:b/>
          <w:sz w:val="24"/>
          <w:szCs w:val="24"/>
        </w:rPr>
        <w:tab/>
        <w:t>Udlevering</w:t>
      </w:r>
    </w:p>
    <w:p w14:paraId="324CBE77" w14:textId="56BB93CC" w:rsidR="009260DE" w:rsidRPr="00A7523D" w:rsidRDefault="00A52AC0" w:rsidP="009260DE">
      <w:pPr>
        <w:tabs>
          <w:tab w:val="left" w:pos="851"/>
        </w:tabs>
        <w:ind w:left="851"/>
        <w:rPr>
          <w:sz w:val="24"/>
          <w:szCs w:val="24"/>
        </w:rPr>
      </w:pPr>
      <w:r w:rsidRPr="00A7523D">
        <w:rPr>
          <w:sz w:val="24"/>
          <w:szCs w:val="24"/>
        </w:rPr>
        <w:t>B</w:t>
      </w:r>
    </w:p>
    <w:p w14:paraId="45339BAB" w14:textId="77777777" w:rsidR="009260DE" w:rsidRPr="00A7523D" w:rsidRDefault="009260DE" w:rsidP="009260DE">
      <w:pPr>
        <w:tabs>
          <w:tab w:val="left" w:pos="851"/>
        </w:tabs>
        <w:ind w:left="851"/>
        <w:rPr>
          <w:sz w:val="24"/>
          <w:szCs w:val="24"/>
        </w:rPr>
      </w:pPr>
    </w:p>
    <w:p w14:paraId="67E7D10D" w14:textId="77777777" w:rsidR="009260DE" w:rsidRPr="00A7523D" w:rsidRDefault="009260DE" w:rsidP="009260DE">
      <w:pPr>
        <w:tabs>
          <w:tab w:val="left" w:pos="851"/>
        </w:tabs>
        <w:ind w:left="851"/>
        <w:rPr>
          <w:sz w:val="24"/>
          <w:szCs w:val="24"/>
        </w:rPr>
      </w:pPr>
    </w:p>
    <w:p w14:paraId="434BC912" w14:textId="77777777" w:rsidR="009260DE" w:rsidRPr="00A7523D" w:rsidRDefault="009260DE" w:rsidP="009260DE">
      <w:pPr>
        <w:tabs>
          <w:tab w:val="left" w:pos="851"/>
        </w:tabs>
        <w:ind w:left="851" w:hanging="851"/>
        <w:rPr>
          <w:b/>
          <w:sz w:val="24"/>
          <w:szCs w:val="24"/>
        </w:rPr>
      </w:pPr>
      <w:r w:rsidRPr="00A7523D">
        <w:rPr>
          <w:b/>
          <w:sz w:val="24"/>
          <w:szCs w:val="24"/>
        </w:rPr>
        <w:t>5.</w:t>
      </w:r>
      <w:r w:rsidRPr="00A7523D">
        <w:rPr>
          <w:b/>
          <w:sz w:val="24"/>
          <w:szCs w:val="24"/>
        </w:rPr>
        <w:tab/>
        <w:t>FARMAKOLOGISKE EGENSKABER</w:t>
      </w:r>
    </w:p>
    <w:p w14:paraId="4D6DA037" w14:textId="77777777" w:rsidR="009260DE" w:rsidRPr="00A7523D" w:rsidRDefault="009260DE" w:rsidP="009260DE">
      <w:pPr>
        <w:tabs>
          <w:tab w:val="left" w:pos="851"/>
        </w:tabs>
        <w:ind w:left="851"/>
        <w:rPr>
          <w:sz w:val="24"/>
          <w:szCs w:val="24"/>
        </w:rPr>
      </w:pPr>
    </w:p>
    <w:p w14:paraId="01A82E4F" w14:textId="77777777" w:rsidR="009260DE" w:rsidRPr="00A7523D" w:rsidRDefault="009260DE" w:rsidP="009260DE">
      <w:pPr>
        <w:tabs>
          <w:tab w:val="num" w:pos="851"/>
        </w:tabs>
        <w:ind w:left="851" w:hanging="851"/>
        <w:rPr>
          <w:b/>
          <w:sz w:val="24"/>
          <w:szCs w:val="24"/>
        </w:rPr>
      </w:pPr>
      <w:r w:rsidRPr="00A7523D">
        <w:rPr>
          <w:b/>
          <w:sz w:val="24"/>
          <w:szCs w:val="24"/>
        </w:rPr>
        <w:t>5.1</w:t>
      </w:r>
      <w:r w:rsidRPr="00A7523D">
        <w:rPr>
          <w:b/>
          <w:sz w:val="24"/>
          <w:szCs w:val="24"/>
        </w:rPr>
        <w:tab/>
      </w:r>
      <w:proofErr w:type="spellStart"/>
      <w:r w:rsidRPr="00A7523D">
        <w:rPr>
          <w:b/>
          <w:sz w:val="24"/>
          <w:szCs w:val="24"/>
        </w:rPr>
        <w:t>Farmakodynamiske</w:t>
      </w:r>
      <w:proofErr w:type="spellEnd"/>
      <w:r w:rsidRPr="00A7523D">
        <w:rPr>
          <w:b/>
          <w:sz w:val="24"/>
          <w:szCs w:val="24"/>
        </w:rPr>
        <w:t xml:space="preserve"> egenskaber</w:t>
      </w:r>
    </w:p>
    <w:p w14:paraId="6C6FAC60" w14:textId="3A725655" w:rsidR="00A52AC0" w:rsidRPr="00A7523D" w:rsidRDefault="00A52AC0" w:rsidP="00A52AC0">
      <w:pPr>
        <w:ind w:left="851"/>
        <w:rPr>
          <w:sz w:val="24"/>
          <w:szCs w:val="24"/>
        </w:rPr>
      </w:pPr>
      <w:proofErr w:type="spellStart"/>
      <w:r w:rsidRPr="00A7523D">
        <w:rPr>
          <w:sz w:val="24"/>
          <w:szCs w:val="24"/>
        </w:rPr>
        <w:t>Farmakoterapeutisk</w:t>
      </w:r>
      <w:proofErr w:type="spellEnd"/>
      <w:r w:rsidRPr="00A7523D">
        <w:rPr>
          <w:sz w:val="24"/>
          <w:szCs w:val="24"/>
        </w:rPr>
        <w:t xml:space="preserve"> klassifikation: </w:t>
      </w:r>
      <w:proofErr w:type="spellStart"/>
      <w:r w:rsidRPr="00A7523D">
        <w:rPr>
          <w:sz w:val="24"/>
          <w:szCs w:val="24"/>
        </w:rPr>
        <w:t>Antiglaucom</w:t>
      </w:r>
      <w:proofErr w:type="spellEnd"/>
      <w:r w:rsidRPr="00A7523D">
        <w:rPr>
          <w:sz w:val="24"/>
          <w:szCs w:val="24"/>
        </w:rPr>
        <w:t xml:space="preserve">-midler og </w:t>
      </w:r>
      <w:proofErr w:type="spellStart"/>
      <w:r w:rsidRPr="00A7523D">
        <w:rPr>
          <w:sz w:val="24"/>
          <w:szCs w:val="24"/>
        </w:rPr>
        <w:t>miotica</w:t>
      </w:r>
      <w:proofErr w:type="spellEnd"/>
      <w:r w:rsidRPr="00A7523D">
        <w:rPr>
          <w:sz w:val="24"/>
          <w:szCs w:val="24"/>
        </w:rPr>
        <w:t xml:space="preserve">, </w:t>
      </w:r>
      <w:proofErr w:type="spellStart"/>
      <w:r w:rsidRPr="00A7523D">
        <w:rPr>
          <w:sz w:val="24"/>
          <w:szCs w:val="24"/>
        </w:rPr>
        <w:t>carbo-anhydrase</w:t>
      </w:r>
      <w:proofErr w:type="spellEnd"/>
      <w:r w:rsidRPr="00A7523D">
        <w:rPr>
          <w:sz w:val="24"/>
          <w:szCs w:val="24"/>
        </w:rPr>
        <w:t xml:space="preserve"> inhibitorer, </w:t>
      </w:r>
      <w:proofErr w:type="spellStart"/>
      <w:r w:rsidRPr="00A7523D">
        <w:rPr>
          <w:sz w:val="24"/>
          <w:szCs w:val="24"/>
        </w:rPr>
        <w:t>Dorzolamid</w:t>
      </w:r>
      <w:proofErr w:type="spellEnd"/>
      <w:r w:rsidRPr="00A7523D">
        <w:rPr>
          <w:sz w:val="24"/>
          <w:szCs w:val="24"/>
        </w:rPr>
        <w:t>, ATC-kode: S01EC03.</w:t>
      </w:r>
    </w:p>
    <w:p w14:paraId="1334DCFB" w14:textId="77777777" w:rsidR="00A52AC0" w:rsidRPr="00A7523D" w:rsidRDefault="00A52AC0" w:rsidP="00A7523D">
      <w:pPr>
        <w:ind w:left="851"/>
        <w:rPr>
          <w:iCs/>
          <w:sz w:val="24"/>
          <w:szCs w:val="24"/>
          <w:u w:val="single"/>
        </w:rPr>
      </w:pPr>
    </w:p>
    <w:p w14:paraId="6E0E57A2" w14:textId="77777777" w:rsidR="00A52AC0" w:rsidRPr="00A7523D" w:rsidRDefault="00A52AC0" w:rsidP="00A52AC0">
      <w:pPr>
        <w:ind w:left="851"/>
        <w:rPr>
          <w:iCs/>
          <w:sz w:val="24"/>
          <w:szCs w:val="24"/>
          <w:u w:val="single"/>
        </w:rPr>
      </w:pPr>
      <w:r w:rsidRPr="00A7523D">
        <w:rPr>
          <w:iCs/>
          <w:sz w:val="24"/>
          <w:szCs w:val="24"/>
          <w:u w:val="single"/>
        </w:rPr>
        <w:t>Virkningsmekanisme</w:t>
      </w:r>
    </w:p>
    <w:p w14:paraId="3744C283" w14:textId="77777777" w:rsidR="00A52AC0" w:rsidRPr="00A7523D" w:rsidRDefault="00A52AC0" w:rsidP="00A52AC0">
      <w:pPr>
        <w:ind w:left="851"/>
        <w:rPr>
          <w:sz w:val="24"/>
          <w:szCs w:val="24"/>
        </w:rPr>
      </w:pPr>
      <w:proofErr w:type="spellStart"/>
      <w:r w:rsidRPr="00A7523D">
        <w:rPr>
          <w:sz w:val="24"/>
          <w:szCs w:val="24"/>
        </w:rPr>
        <w:t>Carboanhydrase</w:t>
      </w:r>
      <w:proofErr w:type="spellEnd"/>
      <w:r w:rsidRPr="00A7523D">
        <w:rPr>
          <w:sz w:val="24"/>
          <w:szCs w:val="24"/>
        </w:rPr>
        <w:t xml:space="preserve"> (CA) er et enzym, der findes i mange væv i kroppen, herunder i øjet. Hos mennesker findes </w:t>
      </w:r>
      <w:proofErr w:type="spellStart"/>
      <w:r w:rsidRPr="00A7523D">
        <w:rPr>
          <w:sz w:val="24"/>
          <w:szCs w:val="24"/>
        </w:rPr>
        <w:t>carboanhydrase</w:t>
      </w:r>
      <w:proofErr w:type="spellEnd"/>
      <w:r w:rsidRPr="00A7523D">
        <w:rPr>
          <w:sz w:val="24"/>
          <w:szCs w:val="24"/>
        </w:rPr>
        <w:t xml:space="preserve"> som en række </w:t>
      </w:r>
      <w:proofErr w:type="spellStart"/>
      <w:r w:rsidRPr="00A7523D">
        <w:rPr>
          <w:sz w:val="24"/>
          <w:szCs w:val="24"/>
        </w:rPr>
        <w:t>isoenzymer</w:t>
      </w:r>
      <w:proofErr w:type="spellEnd"/>
      <w:r w:rsidRPr="00A7523D">
        <w:rPr>
          <w:sz w:val="24"/>
          <w:szCs w:val="24"/>
        </w:rPr>
        <w:t xml:space="preserve">, hvoraf den mest aktive er </w:t>
      </w:r>
      <w:proofErr w:type="spellStart"/>
      <w:r w:rsidRPr="00A7523D">
        <w:rPr>
          <w:sz w:val="24"/>
          <w:szCs w:val="24"/>
        </w:rPr>
        <w:t>carboanhydrase</w:t>
      </w:r>
      <w:proofErr w:type="spellEnd"/>
      <w:r w:rsidRPr="00A7523D">
        <w:rPr>
          <w:sz w:val="24"/>
          <w:szCs w:val="24"/>
        </w:rPr>
        <w:t xml:space="preserve"> II (CA-II), der primært findes i røde blodlegemer, men også i andre væv. Hæmning af </w:t>
      </w:r>
      <w:proofErr w:type="spellStart"/>
      <w:r w:rsidRPr="00A7523D">
        <w:rPr>
          <w:sz w:val="24"/>
          <w:szCs w:val="24"/>
        </w:rPr>
        <w:t>carboanhydrase</w:t>
      </w:r>
      <w:proofErr w:type="spellEnd"/>
      <w:r w:rsidRPr="00A7523D">
        <w:rPr>
          <w:sz w:val="24"/>
          <w:szCs w:val="24"/>
        </w:rPr>
        <w:t xml:space="preserve"> i øjets </w:t>
      </w:r>
      <w:proofErr w:type="spellStart"/>
      <w:r w:rsidRPr="00A7523D">
        <w:rPr>
          <w:sz w:val="24"/>
          <w:szCs w:val="24"/>
        </w:rPr>
        <w:t>ciliare</w:t>
      </w:r>
      <w:proofErr w:type="spellEnd"/>
      <w:r w:rsidRPr="00A7523D">
        <w:rPr>
          <w:sz w:val="24"/>
          <w:szCs w:val="24"/>
        </w:rPr>
        <w:t xml:space="preserve"> processer reducerer kammervæskesekretionen. Resultatet er en reduktion af det </w:t>
      </w:r>
      <w:proofErr w:type="spellStart"/>
      <w:r w:rsidRPr="00A7523D">
        <w:rPr>
          <w:sz w:val="24"/>
          <w:szCs w:val="24"/>
        </w:rPr>
        <w:t>intraokulære</w:t>
      </w:r>
      <w:proofErr w:type="spellEnd"/>
      <w:r w:rsidRPr="00A7523D">
        <w:rPr>
          <w:sz w:val="24"/>
          <w:szCs w:val="24"/>
        </w:rPr>
        <w:t xml:space="preserve"> tryk (IOP).</w:t>
      </w:r>
    </w:p>
    <w:p w14:paraId="63E6DB5A" w14:textId="77777777" w:rsidR="00A52AC0" w:rsidRPr="00A7523D" w:rsidRDefault="00A52AC0" w:rsidP="00A52AC0">
      <w:pPr>
        <w:ind w:left="851"/>
        <w:rPr>
          <w:sz w:val="24"/>
          <w:szCs w:val="24"/>
        </w:rPr>
      </w:pPr>
    </w:p>
    <w:p w14:paraId="2A79FBA4" w14:textId="77777777" w:rsidR="00A52AC0" w:rsidRPr="00A7523D" w:rsidRDefault="00A52AC0" w:rsidP="00A52AC0">
      <w:pPr>
        <w:ind w:left="851"/>
        <w:rPr>
          <w:sz w:val="24"/>
          <w:szCs w:val="24"/>
        </w:rPr>
      </w:pPr>
      <w:proofErr w:type="spellStart"/>
      <w:r w:rsidRPr="00A7523D">
        <w:rPr>
          <w:sz w:val="24"/>
          <w:szCs w:val="24"/>
        </w:rPr>
        <w:t>Vizidor</w:t>
      </w:r>
      <w:proofErr w:type="spellEnd"/>
      <w:r w:rsidRPr="00A7523D">
        <w:rPr>
          <w:sz w:val="24"/>
          <w:szCs w:val="24"/>
        </w:rPr>
        <w:t xml:space="preserve"> indeholder </w:t>
      </w:r>
      <w:proofErr w:type="spellStart"/>
      <w:r w:rsidRPr="00A7523D">
        <w:rPr>
          <w:sz w:val="24"/>
          <w:szCs w:val="24"/>
        </w:rPr>
        <w:t>dorzolamidhydrochlorid</w:t>
      </w:r>
      <w:proofErr w:type="spellEnd"/>
      <w:r w:rsidRPr="00A7523D">
        <w:rPr>
          <w:sz w:val="24"/>
          <w:szCs w:val="24"/>
        </w:rPr>
        <w:t xml:space="preserve">, som er en potent hæmmer af human </w:t>
      </w:r>
      <w:proofErr w:type="spellStart"/>
      <w:r w:rsidRPr="00A7523D">
        <w:rPr>
          <w:sz w:val="24"/>
          <w:szCs w:val="24"/>
        </w:rPr>
        <w:t>carboanhydrase</w:t>
      </w:r>
      <w:proofErr w:type="spellEnd"/>
      <w:r w:rsidRPr="00A7523D">
        <w:rPr>
          <w:sz w:val="24"/>
          <w:szCs w:val="24"/>
        </w:rPr>
        <w:t xml:space="preserve"> II. Efter </w:t>
      </w:r>
      <w:proofErr w:type="spellStart"/>
      <w:r w:rsidRPr="00A7523D">
        <w:rPr>
          <w:sz w:val="24"/>
          <w:szCs w:val="24"/>
        </w:rPr>
        <w:t>topikal</w:t>
      </w:r>
      <w:proofErr w:type="spellEnd"/>
      <w:r w:rsidRPr="00A7523D">
        <w:rPr>
          <w:sz w:val="24"/>
          <w:szCs w:val="24"/>
        </w:rPr>
        <w:t xml:space="preserve"> </w:t>
      </w:r>
      <w:proofErr w:type="spellStart"/>
      <w:r w:rsidRPr="00A7523D">
        <w:rPr>
          <w:sz w:val="24"/>
          <w:szCs w:val="24"/>
        </w:rPr>
        <w:t>okulær</w:t>
      </w:r>
      <w:proofErr w:type="spellEnd"/>
      <w:r w:rsidRPr="00A7523D">
        <w:rPr>
          <w:sz w:val="24"/>
          <w:szCs w:val="24"/>
        </w:rPr>
        <w:t xml:space="preserve"> administration reducerer </w:t>
      </w:r>
      <w:proofErr w:type="spellStart"/>
      <w:r w:rsidRPr="00A7523D">
        <w:rPr>
          <w:sz w:val="24"/>
          <w:szCs w:val="24"/>
        </w:rPr>
        <w:t>dorzolamid</w:t>
      </w:r>
      <w:proofErr w:type="spellEnd"/>
      <w:r w:rsidRPr="00A7523D">
        <w:rPr>
          <w:sz w:val="24"/>
          <w:szCs w:val="24"/>
        </w:rPr>
        <w:t xml:space="preserve"> forhøjet </w:t>
      </w:r>
      <w:proofErr w:type="spellStart"/>
      <w:r w:rsidRPr="00A7523D">
        <w:rPr>
          <w:sz w:val="24"/>
          <w:szCs w:val="24"/>
        </w:rPr>
        <w:t>intraokulært</w:t>
      </w:r>
      <w:proofErr w:type="spellEnd"/>
      <w:r w:rsidRPr="00A7523D">
        <w:rPr>
          <w:sz w:val="24"/>
          <w:szCs w:val="24"/>
        </w:rPr>
        <w:t xml:space="preserve"> tryk, uanset om det er associeret med </w:t>
      </w:r>
      <w:proofErr w:type="spellStart"/>
      <w:r w:rsidRPr="00A7523D">
        <w:rPr>
          <w:sz w:val="24"/>
          <w:szCs w:val="24"/>
        </w:rPr>
        <w:t>glaukom</w:t>
      </w:r>
      <w:proofErr w:type="spellEnd"/>
      <w:r w:rsidRPr="00A7523D">
        <w:rPr>
          <w:sz w:val="24"/>
          <w:szCs w:val="24"/>
        </w:rPr>
        <w:t xml:space="preserve"> eller ej. Forhøjet </w:t>
      </w:r>
      <w:proofErr w:type="spellStart"/>
      <w:r w:rsidRPr="00A7523D">
        <w:rPr>
          <w:sz w:val="24"/>
          <w:szCs w:val="24"/>
        </w:rPr>
        <w:t>intraokulært</w:t>
      </w:r>
      <w:proofErr w:type="spellEnd"/>
      <w:r w:rsidRPr="00A7523D">
        <w:rPr>
          <w:sz w:val="24"/>
          <w:szCs w:val="24"/>
        </w:rPr>
        <w:t xml:space="preserve"> tryk er en væsentlig risikofaktor i patogenesen af synsnervebeskadigelser og synsfelttab. </w:t>
      </w:r>
      <w:proofErr w:type="spellStart"/>
      <w:r w:rsidRPr="00A7523D">
        <w:rPr>
          <w:sz w:val="24"/>
          <w:szCs w:val="24"/>
        </w:rPr>
        <w:t>Dorzolamid</w:t>
      </w:r>
      <w:proofErr w:type="spellEnd"/>
      <w:r w:rsidRPr="00A7523D">
        <w:rPr>
          <w:sz w:val="24"/>
          <w:szCs w:val="24"/>
        </w:rPr>
        <w:t xml:space="preserve"> forårsager ikke pupilkonstriktion og reducerer det </w:t>
      </w:r>
      <w:proofErr w:type="spellStart"/>
      <w:r w:rsidRPr="00A7523D">
        <w:rPr>
          <w:sz w:val="24"/>
          <w:szCs w:val="24"/>
        </w:rPr>
        <w:t>intraokulære</w:t>
      </w:r>
      <w:proofErr w:type="spellEnd"/>
      <w:r w:rsidRPr="00A7523D">
        <w:rPr>
          <w:sz w:val="24"/>
          <w:szCs w:val="24"/>
        </w:rPr>
        <w:t xml:space="preserve"> tryk uden bivirkninger som natteblindhed eller </w:t>
      </w:r>
      <w:proofErr w:type="spellStart"/>
      <w:r w:rsidRPr="00A7523D">
        <w:rPr>
          <w:sz w:val="24"/>
          <w:szCs w:val="24"/>
        </w:rPr>
        <w:t>akkommodativ</w:t>
      </w:r>
      <w:proofErr w:type="spellEnd"/>
      <w:r w:rsidRPr="00A7523D">
        <w:rPr>
          <w:sz w:val="24"/>
          <w:szCs w:val="24"/>
        </w:rPr>
        <w:t xml:space="preserve"> spasme. </w:t>
      </w:r>
      <w:proofErr w:type="spellStart"/>
      <w:r w:rsidRPr="00A7523D">
        <w:rPr>
          <w:sz w:val="24"/>
          <w:szCs w:val="24"/>
        </w:rPr>
        <w:t>Dorzolamid</w:t>
      </w:r>
      <w:proofErr w:type="spellEnd"/>
      <w:r w:rsidRPr="00A7523D">
        <w:rPr>
          <w:sz w:val="24"/>
          <w:szCs w:val="24"/>
        </w:rPr>
        <w:t xml:space="preserve"> har minimal eller ingen virkning på hjertefrekvens eller blodtryk.</w:t>
      </w:r>
    </w:p>
    <w:p w14:paraId="24B7844B" w14:textId="77777777" w:rsidR="00A52AC0" w:rsidRPr="00A7523D" w:rsidRDefault="00A52AC0" w:rsidP="00A52AC0">
      <w:pPr>
        <w:ind w:left="851"/>
        <w:rPr>
          <w:sz w:val="24"/>
          <w:szCs w:val="24"/>
        </w:rPr>
      </w:pPr>
    </w:p>
    <w:p w14:paraId="2F5AF030" w14:textId="77777777" w:rsidR="00A52AC0" w:rsidRPr="00A7523D" w:rsidRDefault="00A52AC0" w:rsidP="00A52AC0">
      <w:pPr>
        <w:ind w:left="851"/>
        <w:rPr>
          <w:sz w:val="24"/>
          <w:szCs w:val="24"/>
        </w:rPr>
      </w:pPr>
      <w:proofErr w:type="spellStart"/>
      <w:r w:rsidRPr="00A7523D">
        <w:rPr>
          <w:sz w:val="24"/>
          <w:szCs w:val="24"/>
        </w:rPr>
        <w:t>Topikalt</w:t>
      </w:r>
      <w:proofErr w:type="spellEnd"/>
      <w:r w:rsidRPr="00A7523D">
        <w:rPr>
          <w:sz w:val="24"/>
          <w:szCs w:val="24"/>
        </w:rPr>
        <w:t xml:space="preserve"> anvendte beta-</w:t>
      </w:r>
      <w:proofErr w:type="spellStart"/>
      <w:r w:rsidRPr="00A7523D">
        <w:rPr>
          <w:sz w:val="24"/>
          <w:szCs w:val="24"/>
        </w:rPr>
        <w:t>adrenerge</w:t>
      </w:r>
      <w:proofErr w:type="spellEnd"/>
      <w:r w:rsidRPr="00A7523D">
        <w:rPr>
          <w:sz w:val="24"/>
          <w:szCs w:val="24"/>
        </w:rPr>
        <w:t xml:space="preserve">-blokerende stoffer reducerer også IOP ved at reducere kammervæskesekretion, men ved en anden virkningsmekanisme. Undersøgelser har vist, at der observeres yderligere reduktion af IOP, når </w:t>
      </w:r>
      <w:proofErr w:type="spellStart"/>
      <w:r w:rsidRPr="00A7523D">
        <w:rPr>
          <w:sz w:val="24"/>
          <w:szCs w:val="24"/>
        </w:rPr>
        <w:t>dorzolamid</w:t>
      </w:r>
      <w:proofErr w:type="spellEnd"/>
      <w:r w:rsidRPr="00A7523D">
        <w:rPr>
          <w:sz w:val="24"/>
          <w:szCs w:val="24"/>
        </w:rPr>
        <w:t xml:space="preserve"> tilsættes en </w:t>
      </w:r>
      <w:proofErr w:type="spellStart"/>
      <w:r w:rsidRPr="00A7523D">
        <w:rPr>
          <w:sz w:val="24"/>
          <w:szCs w:val="24"/>
        </w:rPr>
        <w:t>topikal</w:t>
      </w:r>
      <w:proofErr w:type="spellEnd"/>
      <w:r w:rsidRPr="00A7523D">
        <w:rPr>
          <w:sz w:val="24"/>
          <w:szCs w:val="24"/>
        </w:rPr>
        <w:t xml:space="preserve"> betablokker. Dette fund er i overensstemmelse med de rapporterede </w:t>
      </w:r>
      <w:proofErr w:type="spellStart"/>
      <w:r w:rsidRPr="00A7523D">
        <w:rPr>
          <w:sz w:val="24"/>
          <w:szCs w:val="24"/>
        </w:rPr>
        <w:t>additive</w:t>
      </w:r>
      <w:proofErr w:type="spellEnd"/>
      <w:r w:rsidRPr="00A7523D">
        <w:rPr>
          <w:sz w:val="24"/>
          <w:szCs w:val="24"/>
        </w:rPr>
        <w:t xml:space="preserve"> virkninger af betablokkere og orale </w:t>
      </w:r>
      <w:proofErr w:type="spellStart"/>
      <w:r w:rsidRPr="00A7523D">
        <w:rPr>
          <w:sz w:val="24"/>
          <w:szCs w:val="24"/>
        </w:rPr>
        <w:t>carboanhydrasehæmmere</w:t>
      </w:r>
      <w:proofErr w:type="spellEnd"/>
      <w:r w:rsidRPr="00A7523D">
        <w:rPr>
          <w:sz w:val="24"/>
          <w:szCs w:val="24"/>
        </w:rPr>
        <w:t>.</w:t>
      </w:r>
    </w:p>
    <w:p w14:paraId="4EBD2B17" w14:textId="77777777" w:rsidR="00A52AC0" w:rsidRPr="00A7523D" w:rsidRDefault="00A52AC0" w:rsidP="00A52AC0">
      <w:pPr>
        <w:ind w:left="851"/>
        <w:rPr>
          <w:sz w:val="24"/>
          <w:szCs w:val="24"/>
        </w:rPr>
      </w:pPr>
    </w:p>
    <w:p w14:paraId="4A2B0066" w14:textId="77777777" w:rsidR="00A52AC0" w:rsidRPr="00A7523D" w:rsidRDefault="00A52AC0" w:rsidP="00A52AC0">
      <w:pPr>
        <w:ind w:left="851"/>
        <w:rPr>
          <w:sz w:val="24"/>
          <w:szCs w:val="24"/>
          <w:u w:val="single"/>
        </w:rPr>
      </w:pPr>
      <w:r w:rsidRPr="00A7523D">
        <w:rPr>
          <w:sz w:val="24"/>
          <w:szCs w:val="24"/>
          <w:u w:val="single"/>
        </w:rPr>
        <w:t>Klinisk virkning og sikkerhed</w:t>
      </w:r>
    </w:p>
    <w:p w14:paraId="6EBB2A3C" w14:textId="77777777" w:rsidR="00A52AC0" w:rsidRPr="00A7523D" w:rsidRDefault="00A52AC0" w:rsidP="00A52AC0">
      <w:pPr>
        <w:ind w:left="851"/>
        <w:rPr>
          <w:sz w:val="24"/>
          <w:szCs w:val="24"/>
        </w:rPr>
      </w:pPr>
    </w:p>
    <w:p w14:paraId="1D503031" w14:textId="77777777" w:rsidR="00A52AC0" w:rsidRPr="00A7523D" w:rsidRDefault="00A52AC0" w:rsidP="00A52AC0">
      <w:pPr>
        <w:ind w:left="851"/>
        <w:rPr>
          <w:sz w:val="24"/>
          <w:szCs w:val="24"/>
        </w:rPr>
      </w:pPr>
      <w:r w:rsidRPr="00A7523D">
        <w:rPr>
          <w:i/>
          <w:iCs/>
          <w:sz w:val="24"/>
          <w:szCs w:val="24"/>
        </w:rPr>
        <w:t>Voksne</w:t>
      </w:r>
    </w:p>
    <w:p w14:paraId="28558CF6" w14:textId="77777777" w:rsidR="00A52AC0" w:rsidRPr="00A7523D" w:rsidRDefault="00A52AC0" w:rsidP="00A52AC0">
      <w:pPr>
        <w:ind w:left="851"/>
        <w:rPr>
          <w:sz w:val="24"/>
          <w:szCs w:val="24"/>
        </w:rPr>
      </w:pPr>
      <w:r w:rsidRPr="00A7523D">
        <w:rPr>
          <w:sz w:val="24"/>
          <w:szCs w:val="24"/>
        </w:rPr>
        <w:t xml:space="preserve">I store kliniske studier med en varighed på op til et år hos patienter med </w:t>
      </w:r>
      <w:proofErr w:type="spellStart"/>
      <w:r w:rsidRPr="00A7523D">
        <w:rPr>
          <w:sz w:val="24"/>
          <w:szCs w:val="24"/>
        </w:rPr>
        <w:t>glaukom</w:t>
      </w:r>
      <w:proofErr w:type="spellEnd"/>
      <w:r w:rsidRPr="00A7523D">
        <w:rPr>
          <w:sz w:val="24"/>
          <w:szCs w:val="24"/>
        </w:rPr>
        <w:t xml:space="preserve"> eller </w:t>
      </w:r>
      <w:proofErr w:type="spellStart"/>
      <w:r w:rsidRPr="00A7523D">
        <w:rPr>
          <w:sz w:val="24"/>
          <w:szCs w:val="24"/>
        </w:rPr>
        <w:t>okulær</w:t>
      </w:r>
      <w:proofErr w:type="spellEnd"/>
      <w:r w:rsidRPr="00A7523D">
        <w:rPr>
          <w:sz w:val="24"/>
          <w:szCs w:val="24"/>
        </w:rPr>
        <w:t xml:space="preserve"> hypertension blev virkningen af </w:t>
      </w:r>
      <w:proofErr w:type="spellStart"/>
      <w:r w:rsidRPr="00A7523D">
        <w:rPr>
          <w:sz w:val="24"/>
          <w:szCs w:val="24"/>
        </w:rPr>
        <w:t>dorzolamid</w:t>
      </w:r>
      <w:proofErr w:type="spellEnd"/>
      <w:r w:rsidRPr="00A7523D">
        <w:rPr>
          <w:sz w:val="24"/>
          <w:szCs w:val="24"/>
        </w:rPr>
        <w:t xml:space="preserve"> givet tre gange dagligt som monoterapi (IOP ≥ 23 </w:t>
      </w:r>
      <w:proofErr w:type="spellStart"/>
      <w:r w:rsidRPr="00A7523D">
        <w:rPr>
          <w:sz w:val="24"/>
          <w:szCs w:val="24"/>
        </w:rPr>
        <w:t>mmHg</w:t>
      </w:r>
      <w:proofErr w:type="spellEnd"/>
      <w:r w:rsidRPr="00A7523D">
        <w:rPr>
          <w:sz w:val="24"/>
          <w:szCs w:val="24"/>
        </w:rPr>
        <w:t xml:space="preserve"> ved </w:t>
      </w:r>
      <w:r w:rsidRPr="00A7523D">
        <w:rPr>
          <w:i/>
          <w:iCs/>
          <w:sz w:val="24"/>
          <w:szCs w:val="24"/>
        </w:rPr>
        <w:t>baseline</w:t>
      </w:r>
      <w:r w:rsidRPr="00A7523D">
        <w:rPr>
          <w:sz w:val="24"/>
          <w:szCs w:val="24"/>
        </w:rPr>
        <w:t xml:space="preserve">) eller givet to gange dagligt som supplerende behandling, mens patienterne var i behandling med </w:t>
      </w:r>
      <w:proofErr w:type="spellStart"/>
      <w:r w:rsidRPr="00A7523D">
        <w:rPr>
          <w:sz w:val="24"/>
          <w:szCs w:val="24"/>
        </w:rPr>
        <w:t>oftalmiske</w:t>
      </w:r>
      <w:proofErr w:type="spellEnd"/>
      <w:r w:rsidRPr="00A7523D">
        <w:rPr>
          <w:sz w:val="24"/>
          <w:szCs w:val="24"/>
        </w:rPr>
        <w:t xml:space="preserve"> betablokkere (IOP ≥ 22 </w:t>
      </w:r>
      <w:proofErr w:type="spellStart"/>
      <w:r w:rsidRPr="00A7523D">
        <w:rPr>
          <w:sz w:val="24"/>
          <w:szCs w:val="24"/>
        </w:rPr>
        <w:t>mmHg</w:t>
      </w:r>
      <w:proofErr w:type="spellEnd"/>
      <w:r w:rsidRPr="00A7523D">
        <w:rPr>
          <w:sz w:val="24"/>
          <w:szCs w:val="24"/>
        </w:rPr>
        <w:t xml:space="preserve"> ved </w:t>
      </w:r>
      <w:r w:rsidRPr="00A7523D">
        <w:rPr>
          <w:i/>
          <w:iCs/>
          <w:sz w:val="24"/>
          <w:szCs w:val="24"/>
        </w:rPr>
        <w:t>baseline</w:t>
      </w:r>
      <w:r w:rsidRPr="00A7523D">
        <w:rPr>
          <w:sz w:val="24"/>
          <w:szCs w:val="24"/>
        </w:rPr>
        <w:t xml:space="preserve">), påvist. Den IOP-sænkende virkning af </w:t>
      </w:r>
      <w:proofErr w:type="spellStart"/>
      <w:r w:rsidRPr="00A7523D">
        <w:rPr>
          <w:sz w:val="24"/>
          <w:szCs w:val="24"/>
        </w:rPr>
        <w:t>dorzolamid</w:t>
      </w:r>
      <w:proofErr w:type="spellEnd"/>
      <w:r w:rsidRPr="00A7523D">
        <w:rPr>
          <w:sz w:val="24"/>
          <w:szCs w:val="24"/>
        </w:rPr>
        <w:t xml:space="preserve"> som monoterapi og som supplerende behandling blev påvist i løbet af dagen, og denne virkning blev opretholdt under langtidsbehandling. Virkningen under langtidsmonoterapi svarede til virkningen af </w:t>
      </w:r>
      <w:proofErr w:type="spellStart"/>
      <w:r w:rsidRPr="00A7523D">
        <w:rPr>
          <w:sz w:val="24"/>
          <w:szCs w:val="24"/>
        </w:rPr>
        <w:t>betaxolol</w:t>
      </w:r>
      <w:proofErr w:type="spellEnd"/>
      <w:r w:rsidRPr="00A7523D">
        <w:rPr>
          <w:sz w:val="24"/>
          <w:szCs w:val="24"/>
        </w:rPr>
        <w:t xml:space="preserve"> og var lidt mindre end af </w:t>
      </w:r>
      <w:proofErr w:type="spellStart"/>
      <w:r w:rsidRPr="00A7523D">
        <w:rPr>
          <w:sz w:val="24"/>
          <w:szCs w:val="24"/>
        </w:rPr>
        <w:t>timolol</w:t>
      </w:r>
      <w:proofErr w:type="spellEnd"/>
      <w:r w:rsidRPr="00A7523D">
        <w:rPr>
          <w:sz w:val="24"/>
          <w:szCs w:val="24"/>
        </w:rPr>
        <w:t xml:space="preserve">. Ved anvendelse som supplerende behandling til </w:t>
      </w:r>
      <w:proofErr w:type="spellStart"/>
      <w:r w:rsidRPr="00A7523D">
        <w:rPr>
          <w:sz w:val="24"/>
          <w:szCs w:val="24"/>
        </w:rPr>
        <w:t>oftalmiske</w:t>
      </w:r>
      <w:proofErr w:type="spellEnd"/>
      <w:r w:rsidRPr="00A7523D">
        <w:rPr>
          <w:sz w:val="24"/>
          <w:szCs w:val="24"/>
        </w:rPr>
        <w:t xml:space="preserve"> betablokkere viste </w:t>
      </w:r>
      <w:proofErr w:type="spellStart"/>
      <w:r w:rsidRPr="00A7523D">
        <w:rPr>
          <w:sz w:val="24"/>
          <w:szCs w:val="24"/>
        </w:rPr>
        <w:t>dorzolamid</w:t>
      </w:r>
      <w:proofErr w:type="spellEnd"/>
      <w:r w:rsidRPr="00A7523D">
        <w:rPr>
          <w:sz w:val="24"/>
          <w:szCs w:val="24"/>
        </w:rPr>
        <w:t xml:space="preserve"> yderligere IOP-sænkning svarende til </w:t>
      </w:r>
      <w:proofErr w:type="spellStart"/>
      <w:r w:rsidRPr="00A7523D">
        <w:rPr>
          <w:sz w:val="24"/>
          <w:szCs w:val="24"/>
        </w:rPr>
        <w:t>pilocarpin</w:t>
      </w:r>
      <w:proofErr w:type="spellEnd"/>
      <w:r w:rsidRPr="00A7523D">
        <w:rPr>
          <w:sz w:val="24"/>
          <w:szCs w:val="24"/>
        </w:rPr>
        <w:t xml:space="preserve"> 2 % givet fire gange dagligt.</w:t>
      </w:r>
    </w:p>
    <w:p w14:paraId="750D85F1" w14:textId="77777777" w:rsidR="00A52AC0" w:rsidRPr="00A7523D" w:rsidRDefault="00A52AC0" w:rsidP="00A52AC0">
      <w:pPr>
        <w:ind w:left="851"/>
        <w:rPr>
          <w:sz w:val="24"/>
          <w:szCs w:val="24"/>
        </w:rPr>
      </w:pPr>
    </w:p>
    <w:p w14:paraId="22D860D2" w14:textId="77777777" w:rsidR="00A52AC0" w:rsidRPr="00A7523D" w:rsidRDefault="00A52AC0" w:rsidP="00A52AC0">
      <w:pPr>
        <w:ind w:left="851"/>
        <w:rPr>
          <w:sz w:val="24"/>
          <w:szCs w:val="24"/>
        </w:rPr>
      </w:pPr>
      <w:r w:rsidRPr="00A7523D">
        <w:rPr>
          <w:sz w:val="24"/>
          <w:szCs w:val="24"/>
        </w:rPr>
        <w:t xml:space="preserve">I et kontrolleret, dobbeltblindet, multiklinisk crossover studie med to-perioder, gentagen dosis og aktiv behandling (flerdosis </w:t>
      </w:r>
      <w:proofErr w:type="spellStart"/>
      <w:r w:rsidRPr="00A7523D">
        <w:rPr>
          <w:sz w:val="24"/>
          <w:szCs w:val="24"/>
        </w:rPr>
        <w:t>dorzolamid</w:t>
      </w:r>
      <w:proofErr w:type="spellEnd"/>
      <w:r w:rsidRPr="00A7523D">
        <w:rPr>
          <w:sz w:val="24"/>
          <w:szCs w:val="24"/>
        </w:rPr>
        <w:t xml:space="preserve">) hos 152 patienter med forhøjet </w:t>
      </w:r>
      <w:proofErr w:type="spellStart"/>
      <w:r w:rsidRPr="00A7523D">
        <w:rPr>
          <w:sz w:val="24"/>
          <w:szCs w:val="24"/>
        </w:rPr>
        <w:t>intraokulært</w:t>
      </w:r>
      <w:proofErr w:type="spellEnd"/>
      <w:r w:rsidRPr="00A7523D">
        <w:rPr>
          <w:sz w:val="24"/>
          <w:szCs w:val="24"/>
        </w:rPr>
        <w:t xml:space="preserve"> tryk (</w:t>
      </w:r>
      <w:r w:rsidRPr="00A7523D">
        <w:rPr>
          <w:i/>
          <w:iCs/>
          <w:sz w:val="24"/>
          <w:szCs w:val="24"/>
        </w:rPr>
        <w:t>baseline</w:t>
      </w:r>
      <w:r w:rsidRPr="00A7523D">
        <w:rPr>
          <w:sz w:val="24"/>
          <w:szCs w:val="24"/>
        </w:rPr>
        <w:t xml:space="preserve"> IOP ≥ 22 </w:t>
      </w:r>
      <w:proofErr w:type="spellStart"/>
      <w:r w:rsidRPr="00A7523D">
        <w:rPr>
          <w:sz w:val="24"/>
          <w:szCs w:val="24"/>
        </w:rPr>
        <w:t>mmHg</w:t>
      </w:r>
      <w:proofErr w:type="spellEnd"/>
      <w:r w:rsidRPr="00A7523D">
        <w:rPr>
          <w:sz w:val="24"/>
          <w:szCs w:val="24"/>
        </w:rPr>
        <w:t xml:space="preserve">) i et eller begge øjne ved </w:t>
      </w:r>
      <w:r w:rsidRPr="00A7523D">
        <w:rPr>
          <w:i/>
          <w:iCs/>
          <w:sz w:val="24"/>
          <w:szCs w:val="24"/>
        </w:rPr>
        <w:t>baseline</w:t>
      </w:r>
      <w:r w:rsidRPr="00A7523D">
        <w:rPr>
          <w:sz w:val="24"/>
          <w:szCs w:val="24"/>
        </w:rPr>
        <w:t xml:space="preserve">, havde </w:t>
      </w:r>
      <w:proofErr w:type="spellStart"/>
      <w:r w:rsidRPr="00A7523D">
        <w:rPr>
          <w:sz w:val="24"/>
          <w:szCs w:val="24"/>
        </w:rPr>
        <w:t>dorzolamid</w:t>
      </w:r>
      <w:proofErr w:type="spellEnd"/>
      <w:r w:rsidRPr="00A7523D">
        <w:rPr>
          <w:sz w:val="24"/>
          <w:szCs w:val="24"/>
        </w:rPr>
        <w:t xml:space="preserve"> uden konserveringsmidler en IOP-sænkende effekt svarende til den af flerdosis </w:t>
      </w:r>
      <w:proofErr w:type="spellStart"/>
      <w:r w:rsidRPr="00A7523D">
        <w:rPr>
          <w:sz w:val="24"/>
          <w:szCs w:val="24"/>
        </w:rPr>
        <w:lastRenderedPageBreak/>
        <w:t>dorzolamid</w:t>
      </w:r>
      <w:proofErr w:type="spellEnd"/>
      <w:r w:rsidRPr="00A7523D">
        <w:rPr>
          <w:sz w:val="24"/>
          <w:szCs w:val="24"/>
        </w:rPr>
        <w:t xml:space="preserve">. Sikkerhedsprofilen for </w:t>
      </w:r>
      <w:proofErr w:type="spellStart"/>
      <w:r w:rsidRPr="00A7523D">
        <w:rPr>
          <w:sz w:val="24"/>
          <w:szCs w:val="24"/>
        </w:rPr>
        <w:t>dorzolamid</w:t>
      </w:r>
      <w:proofErr w:type="spellEnd"/>
      <w:r w:rsidRPr="00A7523D">
        <w:rPr>
          <w:sz w:val="24"/>
          <w:szCs w:val="24"/>
        </w:rPr>
        <w:t xml:space="preserve"> uden konserveringsmidler var lig den for flerdosis </w:t>
      </w:r>
      <w:proofErr w:type="spellStart"/>
      <w:r w:rsidRPr="00A7523D">
        <w:rPr>
          <w:sz w:val="24"/>
          <w:szCs w:val="24"/>
        </w:rPr>
        <w:t>dorzolamid</w:t>
      </w:r>
      <w:proofErr w:type="spellEnd"/>
      <w:r w:rsidRPr="00A7523D">
        <w:rPr>
          <w:sz w:val="24"/>
          <w:szCs w:val="24"/>
        </w:rPr>
        <w:t>.</w:t>
      </w:r>
    </w:p>
    <w:p w14:paraId="62070BEA" w14:textId="77777777" w:rsidR="00A52AC0" w:rsidRPr="00A7523D" w:rsidRDefault="00A52AC0" w:rsidP="00A52AC0">
      <w:pPr>
        <w:ind w:left="851"/>
        <w:rPr>
          <w:sz w:val="24"/>
          <w:szCs w:val="24"/>
        </w:rPr>
      </w:pPr>
    </w:p>
    <w:p w14:paraId="4360EF9E" w14:textId="77777777" w:rsidR="00A52AC0" w:rsidRPr="00A7523D" w:rsidRDefault="00A52AC0" w:rsidP="00A52AC0">
      <w:pPr>
        <w:ind w:left="851"/>
        <w:rPr>
          <w:sz w:val="24"/>
          <w:szCs w:val="24"/>
        </w:rPr>
      </w:pPr>
      <w:r w:rsidRPr="00A7523D">
        <w:rPr>
          <w:sz w:val="24"/>
          <w:szCs w:val="24"/>
          <w:u w:val="single"/>
        </w:rPr>
        <w:t>Pædiatrisk population</w:t>
      </w:r>
    </w:p>
    <w:p w14:paraId="78D5518B" w14:textId="77777777" w:rsidR="00A52AC0" w:rsidRPr="00A7523D" w:rsidRDefault="00A52AC0" w:rsidP="00A52AC0">
      <w:pPr>
        <w:ind w:left="851"/>
        <w:rPr>
          <w:sz w:val="24"/>
          <w:szCs w:val="24"/>
        </w:rPr>
      </w:pPr>
      <w:r w:rsidRPr="00A7523D">
        <w:rPr>
          <w:sz w:val="24"/>
          <w:szCs w:val="24"/>
        </w:rPr>
        <w:t xml:space="preserve">Der blev gennemført et 3-måneders, kontrolleret, dobbeltblindet, multicenter studie med aktiv-behandling med 184 (122 for </w:t>
      </w:r>
      <w:proofErr w:type="spellStart"/>
      <w:r w:rsidRPr="00A7523D">
        <w:rPr>
          <w:sz w:val="24"/>
          <w:szCs w:val="24"/>
        </w:rPr>
        <w:t>dorzolamid</w:t>
      </w:r>
      <w:proofErr w:type="spellEnd"/>
      <w:r w:rsidRPr="00A7523D">
        <w:rPr>
          <w:sz w:val="24"/>
          <w:szCs w:val="24"/>
        </w:rPr>
        <w:t xml:space="preserve">) pædiatriske patienter i alderen fra 1 uge til &lt; 6 år med </w:t>
      </w:r>
      <w:proofErr w:type="spellStart"/>
      <w:r w:rsidRPr="00A7523D">
        <w:rPr>
          <w:sz w:val="24"/>
          <w:szCs w:val="24"/>
        </w:rPr>
        <w:t>glaukom</w:t>
      </w:r>
      <w:proofErr w:type="spellEnd"/>
      <w:r w:rsidRPr="00A7523D">
        <w:rPr>
          <w:sz w:val="24"/>
          <w:szCs w:val="24"/>
        </w:rPr>
        <w:t xml:space="preserve"> eller forhøjet </w:t>
      </w:r>
      <w:proofErr w:type="spellStart"/>
      <w:r w:rsidRPr="00A7523D">
        <w:rPr>
          <w:sz w:val="24"/>
          <w:szCs w:val="24"/>
        </w:rPr>
        <w:t>intraokulært</w:t>
      </w:r>
      <w:proofErr w:type="spellEnd"/>
      <w:r w:rsidRPr="00A7523D">
        <w:rPr>
          <w:sz w:val="24"/>
          <w:szCs w:val="24"/>
        </w:rPr>
        <w:t xml:space="preserve"> tryk (</w:t>
      </w:r>
      <w:r w:rsidRPr="00A7523D">
        <w:rPr>
          <w:i/>
          <w:iCs/>
          <w:sz w:val="24"/>
          <w:szCs w:val="24"/>
        </w:rPr>
        <w:t>baseline</w:t>
      </w:r>
      <w:r w:rsidRPr="00A7523D">
        <w:rPr>
          <w:sz w:val="24"/>
          <w:szCs w:val="24"/>
        </w:rPr>
        <w:t xml:space="preserve"> IOP ≥ 22 </w:t>
      </w:r>
      <w:proofErr w:type="spellStart"/>
      <w:r w:rsidRPr="00A7523D">
        <w:rPr>
          <w:sz w:val="24"/>
          <w:szCs w:val="24"/>
        </w:rPr>
        <w:t>mmHg</w:t>
      </w:r>
      <w:proofErr w:type="spellEnd"/>
      <w:r w:rsidRPr="00A7523D">
        <w:rPr>
          <w:sz w:val="24"/>
          <w:szCs w:val="24"/>
        </w:rPr>
        <w:t xml:space="preserve">) for at vurdere sikkerheden af </w:t>
      </w:r>
      <w:proofErr w:type="spellStart"/>
      <w:r w:rsidRPr="00A7523D">
        <w:rPr>
          <w:sz w:val="24"/>
          <w:szCs w:val="24"/>
        </w:rPr>
        <w:t>dorzolamid</w:t>
      </w:r>
      <w:proofErr w:type="spellEnd"/>
      <w:r w:rsidRPr="00A7523D">
        <w:rPr>
          <w:sz w:val="24"/>
          <w:szCs w:val="24"/>
        </w:rPr>
        <w:t xml:space="preserve"> (konserveret formulering) ved </w:t>
      </w:r>
      <w:proofErr w:type="spellStart"/>
      <w:r w:rsidRPr="00A7523D">
        <w:rPr>
          <w:sz w:val="24"/>
          <w:szCs w:val="24"/>
        </w:rPr>
        <w:t>topikal</w:t>
      </w:r>
      <w:proofErr w:type="spellEnd"/>
      <w:r w:rsidRPr="00A7523D">
        <w:rPr>
          <w:sz w:val="24"/>
          <w:szCs w:val="24"/>
        </w:rPr>
        <w:t xml:space="preserve"> administration tre gange dagligt. Omkring halvdelen af patienterne i begge behandlingsgrupper blev diagnosticeret med medfødt </w:t>
      </w:r>
      <w:proofErr w:type="spellStart"/>
      <w:r w:rsidRPr="00A7523D">
        <w:rPr>
          <w:sz w:val="24"/>
          <w:szCs w:val="24"/>
        </w:rPr>
        <w:t>glaukom</w:t>
      </w:r>
      <w:proofErr w:type="spellEnd"/>
      <w:r w:rsidRPr="00A7523D">
        <w:rPr>
          <w:sz w:val="24"/>
          <w:szCs w:val="24"/>
        </w:rPr>
        <w:t xml:space="preserve">; andre almindelige ætiologier var </w:t>
      </w:r>
      <w:proofErr w:type="spellStart"/>
      <w:r w:rsidRPr="00A7523D">
        <w:rPr>
          <w:sz w:val="24"/>
          <w:szCs w:val="24"/>
        </w:rPr>
        <w:t>Sturge</w:t>
      </w:r>
      <w:proofErr w:type="spellEnd"/>
      <w:r w:rsidRPr="00A7523D">
        <w:rPr>
          <w:sz w:val="24"/>
          <w:szCs w:val="24"/>
        </w:rPr>
        <w:t xml:space="preserve"> Weber syndrom, </w:t>
      </w:r>
      <w:proofErr w:type="spellStart"/>
      <w:r w:rsidRPr="00A7523D">
        <w:rPr>
          <w:sz w:val="24"/>
          <w:szCs w:val="24"/>
        </w:rPr>
        <w:t>iridocorneal</w:t>
      </w:r>
      <w:proofErr w:type="spellEnd"/>
      <w:r w:rsidRPr="00A7523D">
        <w:rPr>
          <w:sz w:val="24"/>
          <w:szCs w:val="24"/>
        </w:rPr>
        <w:t xml:space="preserve"> </w:t>
      </w:r>
      <w:proofErr w:type="spellStart"/>
      <w:r w:rsidRPr="00A7523D">
        <w:rPr>
          <w:sz w:val="24"/>
          <w:szCs w:val="24"/>
        </w:rPr>
        <w:t>mesenkymal</w:t>
      </w:r>
      <w:proofErr w:type="spellEnd"/>
      <w:r w:rsidRPr="00A7523D">
        <w:rPr>
          <w:sz w:val="24"/>
          <w:szCs w:val="24"/>
        </w:rPr>
        <w:t xml:space="preserve"> </w:t>
      </w:r>
      <w:proofErr w:type="spellStart"/>
      <w:r w:rsidRPr="00A7523D">
        <w:rPr>
          <w:sz w:val="24"/>
          <w:szCs w:val="24"/>
        </w:rPr>
        <w:t>dysgenese</w:t>
      </w:r>
      <w:proofErr w:type="spellEnd"/>
      <w:r w:rsidRPr="00A7523D">
        <w:rPr>
          <w:sz w:val="24"/>
          <w:szCs w:val="24"/>
        </w:rPr>
        <w:t xml:space="preserve">, </w:t>
      </w:r>
      <w:proofErr w:type="spellStart"/>
      <w:r w:rsidRPr="00A7523D">
        <w:rPr>
          <w:sz w:val="24"/>
          <w:szCs w:val="24"/>
        </w:rPr>
        <w:t>afakiske</w:t>
      </w:r>
      <w:proofErr w:type="spellEnd"/>
      <w:r w:rsidRPr="00A7523D">
        <w:rPr>
          <w:sz w:val="24"/>
          <w:szCs w:val="24"/>
        </w:rPr>
        <w:t xml:space="preserve"> patienter. Fordelingen efter alder og behandlinger i monoterapifasen var som følger:</w:t>
      </w:r>
    </w:p>
    <w:p w14:paraId="2AA636D6" w14:textId="77777777" w:rsidR="00A52AC0" w:rsidRPr="00A7523D" w:rsidRDefault="00A52AC0" w:rsidP="00A52AC0">
      <w:pPr>
        <w:ind w:left="851"/>
        <w:rPr>
          <w:sz w:val="24"/>
          <w:szCs w:val="24"/>
        </w:rPr>
      </w:pPr>
    </w:p>
    <w:tbl>
      <w:tblPr>
        <w:tblStyle w:val="Tabel-Gitter"/>
        <w:tblW w:w="0" w:type="auto"/>
        <w:tblInd w:w="851" w:type="dxa"/>
        <w:tblLook w:val="04A0" w:firstRow="1" w:lastRow="0" w:firstColumn="1" w:lastColumn="0" w:noHBand="0" w:noVBand="1"/>
      </w:tblPr>
      <w:tblGrid>
        <w:gridCol w:w="2935"/>
        <w:gridCol w:w="2958"/>
        <w:gridCol w:w="2884"/>
      </w:tblGrid>
      <w:tr w:rsidR="00A52AC0" w:rsidRPr="00A7523D" w14:paraId="73DD9ABC" w14:textId="77777777" w:rsidTr="00A52AC0">
        <w:tc>
          <w:tcPr>
            <w:tcW w:w="3209" w:type="dxa"/>
            <w:tcBorders>
              <w:top w:val="single" w:sz="4" w:space="0" w:color="auto"/>
              <w:left w:val="single" w:sz="4" w:space="0" w:color="auto"/>
              <w:bottom w:val="single" w:sz="4" w:space="0" w:color="auto"/>
              <w:right w:val="single" w:sz="4" w:space="0" w:color="auto"/>
            </w:tcBorders>
          </w:tcPr>
          <w:p w14:paraId="4592749A" w14:textId="77777777" w:rsidR="00A52AC0" w:rsidRPr="00A7523D" w:rsidRDefault="00A52AC0">
            <w:pPr>
              <w:rPr>
                <w:sz w:val="24"/>
                <w:szCs w:val="24"/>
              </w:rPr>
            </w:pPr>
          </w:p>
        </w:tc>
        <w:tc>
          <w:tcPr>
            <w:tcW w:w="3209" w:type="dxa"/>
            <w:tcBorders>
              <w:top w:val="single" w:sz="4" w:space="0" w:color="auto"/>
              <w:left w:val="single" w:sz="4" w:space="0" w:color="auto"/>
              <w:bottom w:val="single" w:sz="4" w:space="0" w:color="auto"/>
              <w:right w:val="single" w:sz="4" w:space="0" w:color="auto"/>
            </w:tcBorders>
            <w:hideMark/>
          </w:tcPr>
          <w:p w14:paraId="1E900F04" w14:textId="77777777" w:rsidR="00A52AC0" w:rsidRPr="00A7523D" w:rsidRDefault="00A52AC0">
            <w:pPr>
              <w:rPr>
                <w:sz w:val="24"/>
                <w:szCs w:val="24"/>
              </w:rPr>
            </w:pPr>
            <w:proofErr w:type="spellStart"/>
            <w:r w:rsidRPr="00A7523D">
              <w:rPr>
                <w:sz w:val="24"/>
                <w:szCs w:val="24"/>
              </w:rPr>
              <w:t>Dorzolamid</w:t>
            </w:r>
            <w:proofErr w:type="spellEnd"/>
            <w:r w:rsidRPr="00A7523D">
              <w:rPr>
                <w:sz w:val="24"/>
                <w:szCs w:val="24"/>
              </w:rPr>
              <w:t> 2 %</w:t>
            </w:r>
          </w:p>
        </w:tc>
        <w:tc>
          <w:tcPr>
            <w:tcW w:w="3210" w:type="dxa"/>
            <w:tcBorders>
              <w:top w:val="single" w:sz="4" w:space="0" w:color="auto"/>
              <w:left w:val="single" w:sz="4" w:space="0" w:color="auto"/>
              <w:bottom w:val="single" w:sz="4" w:space="0" w:color="auto"/>
              <w:right w:val="single" w:sz="4" w:space="0" w:color="auto"/>
            </w:tcBorders>
            <w:hideMark/>
          </w:tcPr>
          <w:p w14:paraId="179CC27B" w14:textId="77777777" w:rsidR="00A52AC0" w:rsidRPr="00A7523D" w:rsidRDefault="00A52AC0">
            <w:pPr>
              <w:rPr>
                <w:sz w:val="24"/>
                <w:szCs w:val="24"/>
              </w:rPr>
            </w:pPr>
            <w:proofErr w:type="spellStart"/>
            <w:r w:rsidRPr="00A7523D">
              <w:rPr>
                <w:sz w:val="24"/>
                <w:szCs w:val="24"/>
              </w:rPr>
              <w:t>Timolol</w:t>
            </w:r>
            <w:proofErr w:type="spellEnd"/>
          </w:p>
        </w:tc>
      </w:tr>
      <w:tr w:rsidR="00A52AC0" w:rsidRPr="00A7523D" w14:paraId="3CBC2CAF" w14:textId="77777777" w:rsidTr="00A52AC0">
        <w:tc>
          <w:tcPr>
            <w:tcW w:w="3209" w:type="dxa"/>
            <w:tcBorders>
              <w:top w:val="single" w:sz="4" w:space="0" w:color="auto"/>
              <w:left w:val="single" w:sz="4" w:space="0" w:color="auto"/>
              <w:bottom w:val="single" w:sz="4" w:space="0" w:color="auto"/>
              <w:right w:val="single" w:sz="4" w:space="0" w:color="auto"/>
            </w:tcBorders>
            <w:hideMark/>
          </w:tcPr>
          <w:p w14:paraId="17860507" w14:textId="77777777" w:rsidR="00A52AC0" w:rsidRPr="00A7523D" w:rsidRDefault="00A52AC0">
            <w:pPr>
              <w:rPr>
                <w:sz w:val="24"/>
                <w:szCs w:val="24"/>
              </w:rPr>
            </w:pPr>
            <w:r w:rsidRPr="00A7523D">
              <w:rPr>
                <w:sz w:val="24"/>
                <w:szCs w:val="24"/>
              </w:rPr>
              <w:t>Alderskohorte &lt; 2 år</w:t>
            </w:r>
          </w:p>
        </w:tc>
        <w:tc>
          <w:tcPr>
            <w:tcW w:w="3209" w:type="dxa"/>
            <w:tcBorders>
              <w:top w:val="single" w:sz="4" w:space="0" w:color="auto"/>
              <w:left w:val="single" w:sz="4" w:space="0" w:color="auto"/>
              <w:bottom w:val="single" w:sz="4" w:space="0" w:color="auto"/>
              <w:right w:val="single" w:sz="4" w:space="0" w:color="auto"/>
            </w:tcBorders>
            <w:hideMark/>
          </w:tcPr>
          <w:p w14:paraId="0B7B9239" w14:textId="77777777" w:rsidR="00A52AC0" w:rsidRPr="00A7523D" w:rsidRDefault="00A52AC0">
            <w:pPr>
              <w:rPr>
                <w:sz w:val="24"/>
                <w:szCs w:val="24"/>
              </w:rPr>
            </w:pPr>
            <w:r w:rsidRPr="00A7523D">
              <w:rPr>
                <w:sz w:val="24"/>
                <w:szCs w:val="24"/>
              </w:rPr>
              <w:t>N=56</w:t>
            </w:r>
          </w:p>
          <w:p w14:paraId="1EA53C6C" w14:textId="77777777" w:rsidR="00A52AC0" w:rsidRPr="00A7523D" w:rsidRDefault="00A52AC0">
            <w:pPr>
              <w:rPr>
                <w:sz w:val="24"/>
                <w:szCs w:val="24"/>
              </w:rPr>
            </w:pPr>
            <w:r w:rsidRPr="00A7523D">
              <w:rPr>
                <w:sz w:val="24"/>
                <w:szCs w:val="24"/>
              </w:rPr>
              <w:t>Aldersinterval: 1 til 23 måneder</w:t>
            </w:r>
          </w:p>
        </w:tc>
        <w:tc>
          <w:tcPr>
            <w:tcW w:w="3210" w:type="dxa"/>
            <w:tcBorders>
              <w:top w:val="single" w:sz="4" w:space="0" w:color="auto"/>
              <w:left w:val="single" w:sz="4" w:space="0" w:color="auto"/>
              <w:bottom w:val="single" w:sz="4" w:space="0" w:color="auto"/>
              <w:right w:val="single" w:sz="4" w:space="0" w:color="auto"/>
            </w:tcBorders>
            <w:hideMark/>
          </w:tcPr>
          <w:p w14:paraId="440BB90D" w14:textId="77777777" w:rsidR="00A52AC0" w:rsidRPr="00A7523D" w:rsidRDefault="00A52AC0">
            <w:pPr>
              <w:rPr>
                <w:sz w:val="24"/>
                <w:szCs w:val="24"/>
              </w:rPr>
            </w:pPr>
            <w:proofErr w:type="spellStart"/>
            <w:r w:rsidRPr="00A7523D">
              <w:rPr>
                <w:sz w:val="24"/>
                <w:szCs w:val="24"/>
              </w:rPr>
              <w:t>Timolol</w:t>
            </w:r>
            <w:proofErr w:type="spellEnd"/>
            <w:r w:rsidRPr="00A7523D">
              <w:rPr>
                <w:sz w:val="24"/>
                <w:szCs w:val="24"/>
              </w:rPr>
              <w:t xml:space="preserve"> GS 0,25 % N=27</w:t>
            </w:r>
          </w:p>
          <w:p w14:paraId="10C6FBF2" w14:textId="77777777" w:rsidR="00A52AC0" w:rsidRPr="00A7523D" w:rsidRDefault="00A52AC0">
            <w:pPr>
              <w:rPr>
                <w:sz w:val="24"/>
                <w:szCs w:val="24"/>
              </w:rPr>
            </w:pPr>
            <w:r w:rsidRPr="00A7523D">
              <w:rPr>
                <w:sz w:val="24"/>
                <w:szCs w:val="24"/>
              </w:rPr>
              <w:t>Aldersinterval: 0,25 til 22 måneder</w:t>
            </w:r>
          </w:p>
        </w:tc>
      </w:tr>
      <w:tr w:rsidR="00A52AC0" w:rsidRPr="00A7523D" w14:paraId="7E29F4ED" w14:textId="77777777" w:rsidTr="00A52AC0">
        <w:tc>
          <w:tcPr>
            <w:tcW w:w="3209" w:type="dxa"/>
            <w:tcBorders>
              <w:top w:val="single" w:sz="4" w:space="0" w:color="auto"/>
              <w:left w:val="single" w:sz="4" w:space="0" w:color="auto"/>
              <w:bottom w:val="single" w:sz="4" w:space="0" w:color="auto"/>
              <w:right w:val="single" w:sz="4" w:space="0" w:color="auto"/>
            </w:tcBorders>
            <w:hideMark/>
          </w:tcPr>
          <w:p w14:paraId="1A0B1124" w14:textId="77777777" w:rsidR="00A52AC0" w:rsidRPr="00A7523D" w:rsidRDefault="00A52AC0">
            <w:pPr>
              <w:rPr>
                <w:sz w:val="24"/>
                <w:szCs w:val="24"/>
              </w:rPr>
            </w:pPr>
            <w:r w:rsidRPr="00A7523D">
              <w:rPr>
                <w:sz w:val="24"/>
                <w:szCs w:val="24"/>
              </w:rPr>
              <w:t>Alderskohorte ≥ 2 ‒ &lt;6 år</w:t>
            </w:r>
          </w:p>
        </w:tc>
        <w:tc>
          <w:tcPr>
            <w:tcW w:w="3209" w:type="dxa"/>
            <w:tcBorders>
              <w:top w:val="single" w:sz="4" w:space="0" w:color="auto"/>
              <w:left w:val="single" w:sz="4" w:space="0" w:color="auto"/>
              <w:bottom w:val="single" w:sz="4" w:space="0" w:color="auto"/>
              <w:right w:val="single" w:sz="4" w:space="0" w:color="auto"/>
            </w:tcBorders>
            <w:hideMark/>
          </w:tcPr>
          <w:p w14:paraId="359D4435" w14:textId="77777777" w:rsidR="00A52AC0" w:rsidRPr="00A7523D" w:rsidRDefault="00A52AC0">
            <w:pPr>
              <w:rPr>
                <w:sz w:val="24"/>
                <w:szCs w:val="24"/>
              </w:rPr>
            </w:pPr>
            <w:r w:rsidRPr="00A7523D">
              <w:rPr>
                <w:sz w:val="24"/>
                <w:szCs w:val="24"/>
              </w:rPr>
              <w:t>N=66</w:t>
            </w:r>
          </w:p>
          <w:p w14:paraId="6D4E6C95" w14:textId="77777777" w:rsidR="00A52AC0" w:rsidRPr="00A7523D" w:rsidRDefault="00A52AC0">
            <w:pPr>
              <w:rPr>
                <w:sz w:val="24"/>
                <w:szCs w:val="24"/>
              </w:rPr>
            </w:pPr>
            <w:r w:rsidRPr="00A7523D">
              <w:rPr>
                <w:sz w:val="24"/>
                <w:szCs w:val="24"/>
              </w:rPr>
              <w:t>Aldersinterval: 2 til 6 år</w:t>
            </w:r>
          </w:p>
        </w:tc>
        <w:tc>
          <w:tcPr>
            <w:tcW w:w="3210" w:type="dxa"/>
            <w:tcBorders>
              <w:top w:val="single" w:sz="4" w:space="0" w:color="auto"/>
              <w:left w:val="single" w:sz="4" w:space="0" w:color="auto"/>
              <w:bottom w:val="single" w:sz="4" w:space="0" w:color="auto"/>
              <w:right w:val="single" w:sz="4" w:space="0" w:color="auto"/>
            </w:tcBorders>
            <w:hideMark/>
          </w:tcPr>
          <w:p w14:paraId="74A88D55" w14:textId="77777777" w:rsidR="00A52AC0" w:rsidRPr="00A7523D" w:rsidRDefault="00A52AC0">
            <w:pPr>
              <w:rPr>
                <w:sz w:val="24"/>
                <w:szCs w:val="24"/>
              </w:rPr>
            </w:pPr>
            <w:proofErr w:type="spellStart"/>
            <w:r w:rsidRPr="00A7523D">
              <w:rPr>
                <w:sz w:val="24"/>
                <w:szCs w:val="24"/>
              </w:rPr>
              <w:t>Timolol</w:t>
            </w:r>
            <w:proofErr w:type="spellEnd"/>
            <w:r w:rsidRPr="00A7523D">
              <w:rPr>
                <w:sz w:val="24"/>
                <w:szCs w:val="24"/>
              </w:rPr>
              <w:t xml:space="preserve"> 0,50 % N=35</w:t>
            </w:r>
          </w:p>
          <w:p w14:paraId="0142E3CE" w14:textId="77777777" w:rsidR="00A52AC0" w:rsidRPr="00A7523D" w:rsidRDefault="00A52AC0">
            <w:pPr>
              <w:rPr>
                <w:sz w:val="24"/>
                <w:szCs w:val="24"/>
              </w:rPr>
            </w:pPr>
            <w:r w:rsidRPr="00A7523D">
              <w:rPr>
                <w:sz w:val="24"/>
                <w:szCs w:val="24"/>
              </w:rPr>
              <w:t>Aldersinterval: 2 til 6 år</w:t>
            </w:r>
          </w:p>
        </w:tc>
      </w:tr>
    </w:tbl>
    <w:p w14:paraId="2AA636EA" w14:textId="77777777" w:rsidR="00A52AC0" w:rsidRPr="00A7523D" w:rsidRDefault="00A52AC0" w:rsidP="00A52AC0">
      <w:pPr>
        <w:ind w:left="851"/>
        <w:rPr>
          <w:sz w:val="24"/>
          <w:szCs w:val="24"/>
        </w:rPr>
      </w:pPr>
    </w:p>
    <w:p w14:paraId="459575F7" w14:textId="77777777" w:rsidR="00A52AC0" w:rsidRPr="00A7523D" w:rsidRDefault="00A52AC0" w:rsidP="00A52AC0">
      <w:pPr>
        <w:ind w:left="851"/>
        <w:rPr>
          <w:sz w:val="24"/>
          <w:szCs w:val="24"/>
        </w:rPr>
      </w:pPr>
      <w:r w:rsidRPr="00A7523D">
        <w:rPr>
          <w:sz w:val="24"/>
          <w:szCs w:val="24"/>
        </w:rPr>
        <w:t>På tværs af begge aldersgrupper modtog ca. 70 patienter behandling i mindst 61 dage, og ca. 50 patienter modtog 81‒100 dages behandling.</w:t>
      </w:r>
    </w:p>
    <w:p w14:paraId="11DB5F19" w14:textId="77777777" w:rsidR="00A52AC0" w:rsidRPr="00A7523D" w:rsidRDefault="00A52AC0" w:rsidP="00A52AC0">
      <w:pPr>
        <w:ind w:left="851"/>
        <w:rPr>
          <w:sz w:val="24"/>
          <w:szCs w:val="24"/>
        </w:rPr>
      </w:pPr>
    </w:p>
    <w:p w14:paraId="27DBF7CF" w14:textId="77777777" w:rsidR="00A52AC0" w:rsidRPr="00A7523D" w:rsidRDefault="00A52AC0" w:rsidP="00A52AC0">
      <w:pPr>
        <w:ind w:left="851"/>
        <w:rPr>
          <w:sz w:val="24"/>
          <w:szCs w:val="24"/>
        </w:rPr>
      </w:pPr>
      <w:r w:rsidRPr="00A7523D">
        <w:rPr>
          <w:sz w:val="24"/>
          <w:szCs w:val="24"/>
        </w:rPr>
        <w:t xml:space="preserve">Hvis IOP var utilstrækkeligt kontrolleret ved monoterapi med </w:t>
      </w:r>
      <w:proofErr w:type="spellStart"/>
      <w:r w:rsidRPr="00A7523D">
        <w:rPr>
          <w:sz w:val="24"/>
          <w:szCs w:val="24"/>
        </w:rPr>
        <w:t>dorzolamid</w:t>
      </w:r>
      <w:proofErr w:type="spellEnd"/>
      <w:r w:rsidRPr="00A7523D">
        <w:rPr>
          <w:sz w:val="24"/>
          <w:szCs w:val="24"/>
        </w:rPr>
        <w:t xml:space="preserve"> eller </w:t>
      </w:r>
      <w:proofErr w:type="spellStart"/>
      <w:r w:rsidRPr="00A7523D">
        <w:rPr>
          <w:sz w:val="24"/>
          <w:szCs w:val="24"/>
        </w:rPr>
        <w:t>timolol</w:t>
      </w:r>
      <w:proofErr w:type="spellEnd"/>
      <w:r w:rsidRPr="00A7523D">
        <w:rPr>
          <w:sz w:val="24"/>
          <w:szCs w:val="24"/>
        </w:rPr>
        <w:t xml:space="preserve"> gel-dannende opløsning, blev der foretaget en ændring til åben behandling i henhold til følgende: 30 patienter &lt; 2 år blev skiftet til samtidig behandling med </w:t>
      </w:r>
      <w:proofErr w:type="spellStart"/>
      <w:r w:rsidRPr="00A7523D">
        <w:rPr>
          <w:sz w:val="24"/>
          <w:szCs w:val="24"/>
        </w:rPr>
        <w:t>timolol</w:t>
      </w:r>
      <w:proofErr w:type="spellEnd"/>
      <w:r w:rsidRPr="00A7523D">
        <w:rPr>
          <w:sz w:val="24"/>
          <w:szCs w:val="24"/>
        </w:rPr>
        <w:t xml:space="preserve"> gel-dannende opløsning 0,25 % en gang dagligt og </w:t>
      </w:r>
      <w:proofErr w:type="spellStart"/>
      <w:r w:rsidRPr="00A7523D">
        <w:rPr>
          <w:sz w:val="24"/>
          <w:szCs w:val="24"/>
        </w:rPr>
        <w:t>dorzolamid</w:t>
      </w:r>
      <w:proofErr w:type="spellEnd"/>
      <w:r w:rsidRPr="00A7523D">
        <w:rPr>
          <w:sz w:val="24"/>
          <w:szCs w:val="24"/>
        </w:rPr>
        <w:t xml:space="preserve"> 2 % tre gange dagligt, 30 patienter ≥ 2 år blev skiftet til 2 % </w:t>
      </w:r>
      <w:proofErr w:type="spellStart"/>
      <w:r w:rsidRPr="00A7523D">
        <w:rPr>
          <w:sz w:val="24"/>
          <w:szCs w:val="24"/>
        </w:rPr>
        <w:t>dorzolamid</w:t>
      </w:r>
      <w:proofErr w:type="spellEnd"/>
      <w:r w:rsidRPr="00A7523D">
        <w:rPr>
          <w:sz w:val="24"/>
          <w:szCs w:val="24"/>
        </w:rPr>
        <w:t xml:space="preserve">/0,5 % </w:t>
      </w:r>
      <w:proofErr w:type="spellStart"/>
      <w:r w:rsidRPr="00A7523D">
        <w:rPr>
          <w:sz w:val="24"/>
          <w:szCs w:val="24"/>
        </w:rPr>
        <w:t>timolol</w:t>
      </w:r>
      <w:proofErr w:type="spellEnd"/>
      <w:r w:rsidRPr="00A7523D">
        <w:rPr>
          <w:sz w:val="24"/>
          <w:szCs w:val="24"/>
        </w:rPr>
        <w:t xml:space="preserve"> fast kombination to gange dagligt.</w:t>
      </w:r>
    </w:p>
    <w:p w14:paraId="3CBE7CBE" w14:textId="77777777" w:rsidR="00A52AC0" w:rsidRPr="00A7523D" w:rsidRDefault="00A52AC0" w:rsidP="00A52AC0">
      <w:pPr>
        <w:ind w:left="851"/>
        <w:rPr>
          <w:sz w:val="24"/>
          <w:szCs w:val="24"/>
        </w:rPr>
      </w:pPr>
    </w:p>
    <w:p w14:paraId="72C455DE" w14:textId="77777777" w:rsidR="00A52AC0" w:rsidRPr="00A7523D" w:rsidRDefault="00A52AC0" w:rsidP="00A52AC0">
      <w:pPr>
        <w:ind w:left="851"/>
        <w:rPr>
          <w:sz w:val="24"/>
          <w:szCs w:val="24"/>
        </w:rPr>
      </w:pPr>
      <w:r w:rsidRPr="00A7523D">
        <w:rPr>
          <w:sz w:val="24"/>
          <w:szCs w:val="24"/>
        </w:rPr>
        <w:t xml:space="preserve">Overordnet set viste denne undersøgelse ikke yderligere sikkerhedsproblemer hos pædiatriske patienter: ca. 26 % (20 % i </w:t>
      </w:r>
      <w:proofErr w:type="spellStart"/>
      <w:r w:rsidRPr="00A7523D">
        <w:rPr>
          <w:sz w:val="24"/>
          <w:szCs w:val="24"/>
        </w:rPr>
        <w:t>dorzolamidmonoterapi</w:t>
      </w:r>
      <w:proofErr w:type="spellEnd"/>
      <w:r w:rsidRPr="00A7523D">
        <w:rPr>
          <w:sz w:val="24"/>
          <w:szCs w:val="24"/>
        </w:rPr>
        <w:t xml:space="preserve">) af pædiatriske patienter fik lægemiddelrelaterede bivirkninger, hvoraf de fleste var lokale, ikke-alvorlige </w:t>
      </w:r>
      <w:proofErr w:type="spellStart"/>
      <w:r w:rsidRPr="00A7523D">
        <w:rPr>
          <w:sz w:val="24"/>
          <w:szCs w:val="24"/>
        </w:rPr>
        <w:t>okulære</w:t>
      </w:r>
      <w:proofErr w:type="spellEnd"/>
      <w:r w:rsidRPr="00A7523D">
        <w:rPr>
          <w:sz w:val="24"/>
          <w:szCs w:val="24"/>
        </w:rPr>
        <w:t xml:space="preserve"> virkninger såsom brændende og stikkende fornemmelse i øjet, injektion og øjensmerter. En lille procentdel &lt; 4 % blev observeret med hornhindeødem eller sløret syn. Hyppigheden af lokale reaktioner syntes at være lignende hyppigheden for </w:t>
      </w:r>
      <w:proofErr w:type="spellStart"/>
      <w:r w:rsidRPr="00A7523D">
        <w:rPr>
          <w:sz w:val="24"/>
          <w:szCs w:val="24"/>
        </w:rPr>
        <w:t>komparator</w:t>
      </w:r>
      <w:proofErr w:type="spellEnd"/>
      <w:r w:rsidRPr="00A7523D">
        <w:rPr>
          <w:sz w:val="24"/>
          <w:szCs w:val="24"/>
        </w:rPr>
        <w:t xml:space="preserve">. Postmarketing er der rapporteret om metabolisk </w:t>
      </w:r>
      <w:proofErr w:type="spellStart"/>
      <w:r w:rsidRPr="00A7523D">
        <w:rPr>
          <w:sz w:val="24"/>
          <w:szCs w:val="24"/>
        </w:rPr>
        <w:t>acidose</w:t>
      </w:r>
      <w:proofErr w:type="spellEnd"/>
      <w:r w:rsidRPr="00A7523D">
        <w:rPr>
          <w:sz w:val="24"/>
          <w:szCs w:val="24"/>
        </w:rPr>
        <w:t xml:space="preserve"> hos meget unge, især med nyre-</w:t>
      </w:r>
      <w:proofErr w:type="spellStart"/>
      <w:r w:rsidRPr="00A7523D">
        <w:rPr>
          <w:sz w:val="24"/>
          <w:szCs w:val="24"/>
        </w:rPr>
        <w:t>immaturitet</w:t>
      </w:r>
      <w:proofErr w:type="spellEnd"/>
      <w:r w:rsidRPr="00A7523D">
        <w:rPr>
          <w:sz w:val="24"/>
          <w:szCs w:val="24"/>
        </w:rPr>
        <w:t>/nedsat funktion.</w:t>
      </w:r>
    </w:p>
    <w:p w14:paraId="711F2579" w14:textId="77777777" w:rsidR="00A52AC0" w:rsidRPr="00A7523D" w:rsidRDefault="00A52AC0" w:rsidP="00A52AC0">
      <w:pPr>
        <w:ind w:left="851"/>
        <w:rPr>
          <w:sz w:val="24"/>
          <w:szCs w:val="24"/>
        </w:rPr>
      </w:pPr>
    </w:p>
    <w:p w14:paraId="52ED8EAA" w14:textId="77777777" w:rsidR="00A52AC0" w:rsidRPr="00A7523D" w:rsidRDefault="00A52AC0" w:rsidP="00A52AC0">
      <w:pPr>
        <w:ind w:left="851"/>
        <w:rPr>
          <w:sz w:val="24"/>
          <w:szCs w:val="24"/>
        </w:rPr>
      </w:pPr>
      <w:r w:rsidRPr="00A7523D">
        <w:rPr>
          <w:sz w:val="24"/>
          <w:szCs w:val="24"/>
        </w:rPr>
        <w:t xml:space="preserve">Virkningsresultater hos pædiatriske patienter tyder på, at det gennemsnitlige IOP-fald, der blev observeret i </w:t>
      </w:r>
      <w:proofErr w:type="spellStart"/>
      <w:r w:rsidRPr="00A7523D">
        <w:rPr>
          <w:sz w:val="24"/>
          <w:szCs w:val="24"/>
        </w:rPr>
        <w:t>dorzolamidgruppen</w:t>
      </w:r>
      <w:proofErr w:type="spellEnd"/>
      <w:r w:rsidRPr="00A7523D">
        <w:rPr>
          <w:sz w:val="24"/>
          <w:szCs w:val="24"/>
        </w:rPr>
        <w:t xml:space="preserve">, var sammenligneligt med det gennemsnitlige IOP-fald, der blev observeret i </w:t>
      </w:r>
      <w:proofErr w:type="spellStart"/>
      <w:r w:rsidRPr="00A7523D">
        <w:rPr>
          <w:sz w:val="24"/>
          <w:szCs w:val="24"/>
        </w:rPr>
        <w:t>timololgruppen</w:t>
      </w:r>
      <w:proofErr w:type="spellEnd"/>
      <w:r w:rsidRPr="00A7523D">
        <w:rPr>
          <w:sz w:val="24"/>
          <w:szCs w:val="24"/>
        </w:rPr>
        <w:t xml:space="preserve">, selv om der blev observeret en lille numerisk fordel for </w:t>
      </w:r>
      <w:proofErr w:type="spellStart"/>
      <w:r w:rsidRPr="00A7523D">
        <w:rPr>
          <w:sz w:val="24"/>
          <w:szCs w:val="24"/>
        </w:rPr>
        <w:t>timolol</w:t>
      </w:r>
      <w:proofErr w:type="spellEnd"/>
      <w:r w:rsidRPr="00A7523D">
        <w:rPr>
          <w:sz w:val="24"/>
          <w:szCs w:val="24"/>
        </w:rPr>
        <w:t>. Langtidsstudier (&gt; 12 uger) er ikke tilgængelige.</w:t>
      </w:r>
    </w:p>
    <w:p w14:paraId="5EDDE2A4" w14:textId="77777777" w:rsidR="009260DE" w:rsidRPr="00A7523D" w:rsidRDefault="009260DE" w:rsidP="009260DE">
      <w:pPr>
        <w:tabs>
          <w:tab w:val="left" w:pos="851"/>
        </w:tabs>
        <w:ind w:left="851"/>
        <w:rPr>
          <w:sz w:val="24"/>
          <w:szCs w:val="24"/>
        </w:rPr>
      </w:pPr>
    </w:p>
    <w:p w14:paraId="014CA475" w14:textId="77777777" w:rsidR="009260DE" w:rsidRPr="00A7523D" w:rsidRDefault="009260DE" w:rsidP="009260DE">
      <w:pPr>
        <w:tabs>
          <w:tab w:val="left" w:pos="851"/>
        </w:tabs>
        <w:ind w:left="851" w:hanging="851"/>
        <w:rPr>
          <w:b/>
          <w:sz w:val="24"/>
          <w:szCs w:val="24"/>
        </w:rPr>
      </w:pPr>
      <w:r w:rsidRPr="00A7523D">
        <w:rPr>
          <w:b/>
          <w:sz w:val="24"/>
          <w:szCs w:val="24"/>
        </w:rPr>
        <w:t>5.2</w:t>
      </w:r>
      <w:r w:rsidRPr="00A7523D">
        <w:rPr>
          <w:b/>
          <w:sz w:val="24"/>
          <w:szCs w:val="24"/>
        </w:rPr>
        <w:tab/>
      </w:r>
      <w:proofErr w:type="spellStart"/>
      <w:r w:rsidRPr="00A7523D">
        <w:rPr>
          <w:b/>
          <w:sz w:val="24"/>
          <w:szCs w:val="24"/>
        </w:rPr>
        <w:t>Farmakokinetiske</w:t>
      </w:r>
      <w:proofErr w:type="spellEnd"/>
      <w:r w:rsidRPr="00A7523D">
        <w:rPr>
          <w:b/>
          <w:sz w:val="24"/>
          <w:szCs w:val="24"/>
        </w:rPr>
        <w:t xml:space="preserve"> egenskaber</w:t>
      </w:r>
    </w:p>
    <w:p w14:paraId="28193860" w14:textId="77777777" w:rsidR="00A52AC0" w:rsidRPr="00A7523D" w:rsidRDefault="00A52AC0" w:rsidP="00A52AC0">
      <w:pPr>
        <w:ind w:left="851"/>
        <w:rPr>
          <w:sz w:val="24"/>
          <w:szCs w:val="24"/>
        </w:rPr>
      </w:pPr>
      <w:r w:rsidRPr="00A7523D">
        <w:rPr>
          <w:sz w:val="24"/>
          <w:szCs w:val="24"/>
        </w:rPr>
        <w:t xml:space="preserve">I modsætning til orale </w:t>
      </w:r>
      <w:proofErr w:type="spellStart"/>
      <w:r w:rsidRPr="00A7523D">
        <w:rPr>
          <w:sz w:val="24"/>
          <w:szCs w:val="24"/>
        </w:rPr>
        <w:t>carboanhydrasehæmmere</w:t>
      </w:r>
      <w:proofErr w:type="spellEnd"/>
      <w:r w:rsidRPr="00A7523D">
        <w:rPr>
          <w:sz w:val="24"/>
          <w:szCs w:val="24"/>
        </w:rPr>
        <w:t xml:space="preserve"> giver </w:t>
      </w:r>
      <w:proofErr w:type="spellStart"/>
      <w:r w:rsidRPr="00A7523D">
        <w:rPr>
          <w:sz w:val="24"/>
          <w:szCs w:val="24"/>
        </w:rPr>
        <w:t>topikal</w:t>
      </w:r>
      <w:proofErr w:type="spellEnd"/>
      <w:r w:rsidRPr="00A7523D">
        <w:rPr>
          <w:sz w:val="24"/>
          <w:szCs w:val="24"/>
        </w:rPr>
        <w:t xml:space="preserve"> administration af </w:t>
      </w:r>
      <w:proofErr w:type="spellStart"/>
      <w:r w:rsidRPr="00A7523D">
        <w:rPr>
          <w:sz w:val="24"/>
          <w:szCs w:val="24"/>
        </w:rPr>
        <w:t>dorzolamidhydrochlorid</w:t>
      </w:r>
      <w:proofErr w:type="spellEnd"/>
      <w:r w:rsidRPr="00A7523D">
        <w:rPr>
          <w:sz w:val="24"/>
          <w:szCs w:val="24"/>
        </w:rPr>
        <w:t xml:space="preserve"> mulighed for, at det aktive stof kan indvirke direkte på øjet ved væsentligt lavere doser, og derfor lavere systemisk eksponering. I kliniske forsøg har dette resulteret i en sænkning af det IOP uden forstyrrelser i syre-basebalancen eller elektrolytændringer, der er kendetegnende for orale </w:t>
      </w:r>
      <w:proofErr w:type="spellStart"/>
      <w:r w:rsidRPr="00A7523D">
        <w:rPr>
          <w:sz w:val="24"/>
          <w:szCs w:val="24"/>
        </w:rPr>
        <w:t>carboanhydrasehæmmere</w:t>
      </w:r>
      <w:proofErr w:type="spellEnd"/>
      <w:r w:rsidRPr="00A7523D">
        <w:rPr>
          <w:sz w:val="24"/>
          <w:szCs w:val="24"/>
        </w:rPr>
        <w:t>.</w:t>
      </w:r>
    </w:p>
    <w:p w14:paraId="6A947FA8" w14:textId="77777777" w:rsidR="00A52AC0" w:rsidRPr="00A7523D" w:rsidRDefault="00A52AC0" w:rsidP="004B7932">
      <w:pPr>
        <w:ind w:left="851"/>
        <w:rPr>
          <w:sz w:val="24"/>
          <w:szCs w:val="24"/>
        </w:rPr>
      </w:pPr>
    </w:p>
    <w:p w14:paraId="5DF2467E" w14:textId="77777777" w:rsidR="00A52AC0" w:rsidRPr="00A7523D" w:rsidRDefault="00A52AC0" w:rsidP="00A52AC0">
      <w:pPr>
        <w:ind w:left="851"/>
        <w:rPr>
          <w:sz w:val="24"/>
          <w:szCs w:val="24"/>
        </w:rPr>
      </w:pPr>
      <w:r w:rsidRPr="00A7523D">
        <w:rPr>
          <w:sz w:val="24"/>
          <w:szCs w:val="24"/>
        </w:rPr>
        <w:lastRenderedPageBreak/>
        <w:t xml:space="preserve">Ved </w:t>
      </w:r>
      <w:proofErr w:type="spellStart"/>
      <w:r w:rsidRPr="00A7523D">
        <w:rPr>
          <w:sz w:val="24"/>
          <w:szCs w:val="24"/>
        </w:rPr>
        <w:t>topikal</w:t>
      </w:r>
      <w:proofErr w:type="spellEnd"/>
      <w:r w:rsidRPr="00A7523D">
        <w:rPr>
          <w:sz w:val="24"/>
          <w:szCs w:val="24"/>
        </w:rPr>
        <w:t xml:space="preserve"> anvendelse når </w:t>
      </w:r>
      <w:proofErr w:type="spellStart"/>
      <w:r w:rsidRPr="00A7523D">
        <w:rPr>
          <w:sz w:val="24"/>
          <w:szCs w:val="24"/>
        </w:rPr>
        <w:t>dorzolamid</w:t>
      </w:r>
      <w:proofErr w:type="spellEnd"/>
      <w:r w:rsidRPr="00A7523D">
        <w:rPr>
          <w:sz w:val="24"/>
          <w:szCs w:val="24"/>
        </w:rPr>
        <w:t xml:space="preserve"> ud i det systemiske kredsløb. For at vurdere muligheden for systemisk </w:t>
      </w:r>
      <w:proofErr w:type="spellStart"/>
      <w:r w:rsidRPr="00A7523D">
        <w:rPr>
          <w:sz w:val="24"/>
          <w:szCs w:val="24"/>
        </w:rPr>
        <w:t>carboanhydrasehæmning</w:t>
      </w:r>
      <w:proofErr w:type="spellEnd"/>
      <w:r w:rsidRPr="00A7523D">
        <w:rPr>
          <w:sz w:val="24"/>
          <w:szCs w:val="24"/>
        </w:rPr>
        <w:t xml:space="preserve"> efter </w:t>
      </w:r>
      <w:proofErr w:type="spellStart"/>
      <w:r w:rsidRPr="00A7523D">
        <w:rPr>
          <w:sz w:val="24"/>
          <w:szCs w:val="24"/>
        </w:rPr>
        <w:t>topikal</w:t>
      </w:r>
      <w:proofErr w:type="spellEnd"/>
      <w:r w:rsidRPr="00A7523D">
        <w:rPr>
          <w:sz w:val="24"/>
          <w:szCs w:val="24"/>
        </w:rPr>
        <w:t xml:space="preserve"> administration, blev aktivt stof- og metabolitkoncentrationerne målt i erytrocytter og plasma, og </w:t>
      </w:r>
      <w:proofErr w:type="spellStart"/>
      <w:r w:rsidRPr="00A7523D">
        <w:rPr>
          <w:sz w:val="24"/>
          <w:szCs w:val="24"/>
        </w:rPr>
        <w:t>carboanhydrasehæmningen</w:t>
      </w:r>
      <w:proofErr w:type="spellEnd"/>
      <w:r w:rsidRPr="00A7523D">
        <w:rPr>
          <w:sz w:val="24"/>
          <w:szCs w:val="24"/>
        </w:rPr>
        <w:t xml:space="preserve"> i erytrocytterne blev bestemt. Ved kronisk dosering akkumuleres </w:t>
      </w:r>
      <w:proofErr w:type="spellStart"/>
      <w:r w:rsidRPr="00A7523D">
        <w:rPr>
          <w:sz w:val="24"/>
          <w:szCs w:val="24"/>
        </w:rPr>
        <w:t>dorzolamid</w:t>
      </w:r>
      <w:proofErr w:type="spellEnd"/>
      <w:r w:rsidRPr="00A7523D">
        <w:rPr>
          <w:sz w:val="24"/>
          <w:szCs w:val="24"/>
        </w:rPr>
        <w:t xml:space="preserve"> i erytrocytterne som følge af selektiv binding til CA-II, mens der opretholdes særdeles lave plasmakoncentrationer af det frie aktive stof. Det aktive moderstof danner en enkelt N-</w:t>
      </w:r>
      <w:proofErr w:type="spellStart"/>
      <w:r w:rsidRPr="00A7523D">
        <w:rPr>
          <w:sz w:val="24"/>
          <w:szCs w:val="24"/>
        </w:rPr>
        <w:t>desethyl</w:t>
      </w:r>
      <w:proofErr w:type="spellEnd"/>
      <w:r w:rsidRPr="00A7523D">
        <w:rPr>
          <w:sz w:val="24"/>
          <w:szCs w:val="24"/>
        </w:rPr>
        <w:t xml:space="preserve">-metabolit, som er en mindre potent hæmmer af CA-II end det aktive moderstof, men som også hæmmer et mindre aktivt </w:t>
      </w:r>
      <w:proofErr w:type="spellStart"/>
      <w:r w:rsidRPr="00A7523D">
        <w:rPr>
          <w:sz w:val="24"/>
          <w:szCs w:val="24"/>
        </w:rPr>
        <w:t>isoenzym</w:t>
      </w:r>
      <w:proofErr w:type="spellEnd"/>
      <w:r w:rsidRPr="00A7523D">
        <w:rPr>
          <w:sz w:val="24"/>
          <w:szCs w:val="24"/>
        </w:rPr>
        <w:t xml:space="preserve"> (CA-I). Metabolitten akkumuleres også i erytrocytterne, hvor den primært binder sig til CA-I. </w:t>
      </w:r>
      <w:proofErr w:type="spellStart"/>
      <w:r w:rsidRPr="00A7523D">
        <w:rPr>
          <w:sz w:val="24"/>
          <w:szCs w:val="24"/>
        </w:rPr>
        <w:t>Dorzolamid</w:t>
      </w:r>
      <w:proofErr w:type="spellEnd"/>
      <w:r w:rsidRPr="00A7523D">
        <w:rPr>
          <w:sz w:val="24"/>
          <w:szCs w:val="24"/>
        </w:rPr>
        <w:t xml:space="preserve"> bindes i moderat grad til plasmaproteiner (ca. 33 %). </w:t>
      </w:r>
      <w:proofErr w:type="spellStart"/>
      <w:r w:rsidRPr="00A7523D">
        <w:rPr>
          <w:sz w:val="24"/>
          <w:szCs w:val="24"/>
        </w:rPr>
        <w:t>Dorzolamid</w:t>
      </w:r>
      <w:proofErr w:type="spellEnd"/>
      <w:r w:rsidRPr="00A7523D">
        <w:rPr>
          <w:sz w:val="24"/>
          <w:szCs w:val="24"/>
        </w:rPr>
        <w:t xml:space="preserve"> udskilles primært i </w:t>
      </w:r>
      <w:proofErr w:type="spellStart"/>
      <w:r w:rsidRPr="00A7523D">
        <w:rPr>
          <w:sz w:val="24"/>
          <w:szCs w:val="24"/>
        </w:rPr>
        <w:t>uomdannet</w:t>
      </w:r>
      <w:proofErr w:type="spellEnd"/>
      <w:r w:rsidRPr="00A7523D">
        <w:rPr>
          <w:sz w:val="24"/>
          <w:szCs w:val="24"/>
        </w:rPr>
        <w:t xml:space="preserve"> form via urinen. Metabolitten udskilles også via urinen. Efter endt dosering udvaskes </w:t>
      </w:r>
      <w:proofErr w:type="spellStart"/>
      <w:r w:rsidRPr="00A7523D">
        <w:rPr>
          <w:sz w:val="24"/>
          <w:szCs w:val="24"/>
        </w:rPr>
        <w:t>dorzolamid</w:t>
      </w:r>
      <w:proofErr w:type="spellEnd"/>
      <w:r w:rsidRPr="00A7523D">
        <w:rPr>
          <w:sz w:val="24"/>
          <w:szCs w:val="24"/>
        </w:rPr>
        <w:t xml:space="preserve"> af erytrocytterne non-lineært, hvilket resulterer i et hurtigt initialt fald i koncentrationen af aktivt stof efterfulgt af en langsommere eliminationsfase med en halveringstid på ca. fire måneder.</w:t>
      </w:r>
    </w:p>
    <w:p w14:paraId="32873048" w14:textId="77777777" w:rsidR="00A52AC0" w:rsidRPr="00A7523D" w:rsidRDefault="00A52AC0" w:rsidP="00A52AC0">
      <w:pPr>
        <w:ind w:left="851"/>
        <w:rPr>
          <w:sz w:val="24"/>
          <w:szCs w:val="24"/>
        </w:rPr>
      </w:pPr>
    </w:p>
    <w:p w14:paraId="07541233" w14:textId="77777777" w:rsidR="00A52AC0" w:rsidRPr="00A7523D" w:rsidRDefault="00A52AC0" w:rsidP="00A52AC0">
      <w:pPr>
        <w:ind w:left="851"/>
        <w:rPr>
          <w:sz w:val="24"/>
          <w:szCs w:val="24"/>
        </w:rPr>
      </w:pPr>
      <w:r w:rsidRPr="00A7523D">
        <w:rPr>
          <w:sz w:val="24"/>
          <w:szCs w:val="24"/>
        </w:rPr>
        <w:t xml:space="preserve">Ved oral administration af </w:t>
      </w:r>
      <w:proofErr w:type="spellStart"/>
      <w:r w:rsidRPr="00A7523D">
        <w:rPr>
          <w:sz w:val="24"/>
          <w:szCs w:val="24"/>
        </w:rPr>
        <w:t>dorzolamid</w:t>
      </w:r>
      <w:proofErr w:type="spellEnd"/>
      <w:r w:rsidRPr="00A7523D">
        <w:rPr>
          <w:sz w:val="24"/>
          <w:szCs w:val="24"/>
        </w:rPr>
        <w:t xml:space="preserve"> med det formål at simulere den maksimale systemiske eksponering efter langvarig </w:t>
      </w:r>
      <w:proofErr w:type="spellStart"/>
      <w:r w:rsidRPr="00A7523D">
        <w:rPr>
          <w:sz w:val="24"/>
          <w:szCs w:val="24"/>
        </w:rPr>
        <w:t>topikal</w:t>
      </w:r>
      <w:proofErr w:type="spellEnd"/>
      <w:r w:rsidRPr="00A7523D">
        <w:rPr>
          <w:sz w:val="24"/>
          <w:szCs w:val="24"/>
        </w:rPr>
        <w:t xml:space="preserve"> </w:t>
      </w:r>
      <w:proofErr w:type="spellStart"/>
      <w:r w:rsidRPr="00A7523D">
        <w:rPr>
          <w:sz w:val="24"/>
          <w:szCs w:val="24"/>
        </w:rPr>
        <w:t>okulær</w:t>
      </w:r>
      <w:proofErr w:type="spellEnd"/>
      <w:r w:rsidRPr="00A7523D">
        <w:rPr>
          <w:sz w:val="24"/>
          <w:szCs w:val="24"/>
        </w:rPr>
        <w:t xml:space="preserve"> administration blev </w:t>
      </w:r>
      <w:proofErr w:type="spellStart"/>
      <w:r w:rsidRPr="00A7523D">
        <w:rPr>
          <w:i/>
          <w:iCs/>
          <w:sz w:val="24"/>
          <w:szCs w:val="24"/>
        </w:rPr>
        <w:t>steady-state</w:t>
      </w:r>
      <w:proofErr w:type="spellEnd"/>
      <w:r w:rsidRPr="00A7523D">
        <w:rPr>
          <w:sz w:val="24"/>
          <w:szCs w:val="24"/>
        </w:rPr>
        <w:t xml:space="preserve"> nået inden for 13 uger. Ved </w:t>
      </w:r>
      <w:proofErr w:type="spellStart"/>
      <w:r w:rsidRPr="00A7523D">
        <w:rPr>
          <w:i/>
          <w:iCs/>
          <w:sz w:val="24"/>
          <w:szCs w:val="24"/>
        </w:rPr>
        <w:t>steady-state</w:t>
      </w:r>
      <w:proofErr w:type="spellEnd"/>
      <w:r w:rsidRPr="00A7523D">
        <w:rPr>
          <w:sz w:val="24"/>
          <w:szCs w:val="24"/>
        </w:rPr>
        <w:t xml:space="preserve"> var der stort set intet frit aktivt stof eller metabolit i plasma. Hæmningen af CA i erytrocytterne var lavere, end hvad der forventedes at være nødvendigt for at opnå en farmakologisk effekt på nyrefunktionen eller respirationen. Der blev observeret lignende </w:t>
      </w:r>
      <w:proofErr w:type="spellStart"/>
      <w:r w:rsidRPr="00A7523D">
        <w:rPr>
          <w:sz w:val="24"/>
          <w:szCs w:val="24"/>
        </w:rPr>
        <w:t>farmakokinetiske</w:t>
      </w:r>
      <w:proofErr w:type="spellEnd"/>
      <w:r w:rsidRPr="00A7523D">
        <w:rPr>
          <w:sz w:val="24"/>
          <w:szCs w:val="24"/>
        </w:rPr>
        <w:t xml:space="preserve"> resultater efter kronisk </w:t>
      </w:r>
      <w:proofErr w:type="spellStart"/>
      <w:r w:rsidRPr="00A7523D">
        <w:rPr>
          <w:sz w:val="24"/>
          <w:szCs w:val="24"/>
        </w:rPr>
        <w:t>topikal</w:t>
      </w:r>
      <w:proofErr w:type="spellEnd"/>
      <w:r w:rsidRPr="00A7523D">
        <w:rPr>
          <w:sz w:val="24"/>
          <w:szCs w:val="24"/>
        </w:rPr>
        <w:t xml:space="preserve"> administration af </w:t>
      </w:r>
      <w:proofErr w:type="spellStart"/>
      <w:r w:rsidRPr="00A7523D">
        <w:rPr>
          <w:sz w:val="24"/>
          <w:szCs w:val="24"/>
        </w:rPr>
        <w:t>dorzolamidhydrochlorid</w:t>
      </w:r>
      <w:proofErr w:type="spellEnd"/>
      <w:r w:rsidRPr="00A7523D">
        <w:rPr>
          <w:sz w:val="24"/>
          <w:szCs w:val="24"/>
        </w:rPr>
        <w:t xml:space="preserve">. </w:t>
      </w:r>
    </w:p>
    <w:p w14:paraId="3F4AF26A" w14:textId="77777777" w:rsidR="00A52AC0" w:rsidRPr="00A7523D" w:rsidRDefault="00A52AC0" w:rsidP="00A52AC0">
      <w:pPr>
        <w:ind w:left="851"/>
        <w:rPr>
          <w:sz w:val="24"/>
          <w:szCs w:val="24"/>
        </w:rPr>
      </w:pPr>
    </w:p>
    <w:p w14:paraId="394295B7" w14:textId="77777777" w:rsidR="00A52AC0" w:rsidRPr="00A7523D" w:rsidRDefault="00A52AC0" w:rsidP="00A52AC0">
      <w:pPr>
        <w:ind w:left="851"/>
        <w:rPr>
          <w:sz w:val="24"/>
          <w:szCs w:val="24"/>
        </w:rPr>
      </w:pPr>
      <w:r w:rsidRPr="00A7523D">
        <w:rPr>
          <w:sz w:val="24"/>
          <w:szCs w:val="24"/>
        </w:rPr>
        <w:t xml:space="preserve">Nogle ældre patienter med nedsat nyrefunktion (estimeret </w:t>
      </w:r>
      <w:proofErr w:type="spellStart"/>
      <w:r w:rsidRPr="00A7523D">
        <w:rPr>
          <w:sz w:val="24"/>
          <w:szCs w:val="24"/>
        </w:rPr>
        <w:t>kreatininclearance</w:t>
      </w:r>
      <w:proofErr w:type="spellEnd"/>
      <w:r w:rsidRPr="00A7523D">
        <w:rPr>
          <w:sz w:val="24"/>
          <w:szCs w:val="24"/>
        </w:rPr>
        <w:t xml:space="preserve"> på 30‒60 ml/min) havde dog højere koncentrationer af metabolitten i erytrocytterne, men der var ingen betydningsfulde forskelle i hæmningen af </w:t>
      </w:r>
      <w:proofErr w:type="spellStart"/>
      <w:r w:rsidRPr="00A7523D">
        <w:rPr>
          <w:sz w:val="24"/>
          <w:szCs w:val="24"/>
        </w:rPr>
        <w:t>carboanhydrase</w:t>
      </w:r>
      <w:proofErr w:type="spellEnd"/>
      <w:r w:rsidRPr="00A7523D">
        <w:rPr>
          <w:sz w:val="24"/>
          <w:szCs w:val="24"/>
        </w:rPr>
        <w:t xml:space="preserve"> eller klinisk signifikante systemiske bivirkninger, som direkte kunne tilskrives dette fund.</w:t>
      </w:r>
    </w:p>
    <w:p w14:paraId="66509774" w14:textId="77777777" w:rsidR="009260DE" w:rsidRPr="00A7523D" w:rsidRDefault="009260DE" w:rsidP="009260DE">
      <w:pPr>
        <w:tabs>
          <w:tab w:val="left" w:pos="851"/>
        </w:tabs>
        <w:ind w:left="851"/>
        <w:rPr>
          <w:sz w:val="24"/>
          <w:szCs w:val="24"/>
        </w:rPr>
      </w:pPr>
    </w:p>
    <w:p w14:paraId="3CCF1FD2" w14:textId="77777777" w:rsidR="009260DE" w:rsidRPr="00A7523D" w:rsidRDefault="009260DE" w:rsidP="009260DE">
      <w:pPr>
        <w:tabs>
          <w:tab w:val="left" w:pos="851"/>
        </w:tabs>
        <w:ind w:left="851" w:hanging="851"/>
        <w:rPr>
          <w:b/>
          <w:sz w:val="24"/>
          <w:szCs w:val="24"/>
        </w:rPr>
      </w:pPr>
      <w:r w:rsidRPr="00A7523D">
        <w:rPr>
          <w:b/>
          <w:sz w:val="24"/>
          <w:szCs w:val="24"/>
        </w:rPr>
        <w:t>5.3</w:t>
      </w:r>
      <w:r w:rsidRPr="00A7523D">
        <w:rPr>
          <w:b/>
          <w:sz w:val="24"/>
          <w:szCs w:val="24"/>
        </w:rPr>
        <w:tab/>
      </w:r>
      <w:r w:rsidR="00BD7931" w:rsidRPr="00A7523D">
        <w:rPr>
          <w:b/>
          <w:sz w:val="24"/>
          <w:szCs w:val="24"/>
        </w:rPr>
        <w:t>Non-</w:t>
      </w:r>
      <w:r w:rsidRPr="00A7523D">
        <w:rPr>
          <w:b/>
          <w:sz w:val="24"/>
          <w:szCs w:val="24"/>
        </w:rPr>
        <w:t>kliniske sikkerhedsdata</w:t>
      </w:r>
    </w:p>
    <w:p w14:paraId="20E2A4F0" w14:textId="77777777" w:rsidR="00A52AC0" w:rsidRPr="00A7523D" w:rsidRDefault="00A52AC0" w:rsidP="00A52AC0">
      <w:pPr>
        <w:ind w:left="851"/>
        <w:rPr>
          <w:sz w:val="24"/>
          <w:szCs w:val="24"/>
        </w:rPr>
      </w:pPr>
      <w:r w:rsidRPr="00A7523D">
        <w:rPr>
          <w:sz w:val="24"/>
          <w:szCs w:val="24"/>
        </w:rPr>
        <w:t xml:space="preserve">De vigtigste fund i dyreforsøg med oralt administreret </w:t>
      </w:r>
      <w:proofErr w:type="spellStart"/>
      <w:r w:rsidRPr="00A7523D">
        <w:rPr>
          <w:sz w:val="24"/>
          <w:szCs w:val="24"/>
        </w:rPr>
        <w:t>dorzolamidhydrochlorid</w:t>
      </w:r>
      <w:proofErr w:type="spellEnd"/>
      <w:r w:rsidRPr="00A7523D">
        <w:rPr>
          <w:sz w:val="24"/>
          <w:szCs w:val="24"/>
        </w:rPr>
        <w:t xml:space="preserve"> var relateret til de farmakologiske virkninger af systemisk </w:t>
      </w:r>
      <w:proofErr w:type="spellStart"/>
      <w:r w:rsidRPr="00A7523D">
        <w:rPr>
          <w:sz w:val="24"/>
          <w:szCs w:val="24"/>
        </w:rPr>
        <w:t>carboanhydrasehæmning</w:t>
      </w:r>
      <w:proofErr w:type="spellEnd"/>
      <w:r w:rsidRPr="00A7523D">
        <w:rPr>
          <w:sz w:val="24"/>
          <w:szCs w:val="24"/>
        </w:rPr>
        <w:t xml:space="preserve">. Nogle af disse resultater var artsspecifikke og/eller var et resultat af metabolisk </w:t>
      </w:r>
      <w:proofErr w:type="spellStart"/>
      <w:r w:rsidRPr="00A7523D">
        <w:rPr>
          <w:sz w:val="24"/>
          <w:szCs w:val="24"/>
        </w:rPr>
        <w:t>acidose</w:t>
      </w:r>
      <w:proofErr w:type="spellEnd"/>
      <w:r w:rsidRPr="00A7523D">
        <w:rPr>
          <w:sz w:val="24"/>
          <w:szCs w:val="24"/>
        </w:rPr>
        <w:t xml:space="preserve">. Hos kaniner, der fik </w:t>
      </w:r>
      <w:proofErr w:type="spellStart"/>
      <w:r w:rsidRPr="00A7523D">
        <w:rPr>
          <w:sz w:val="24"/>
          <w:szCs w:val="24"/>
        </w:rPr>
        <w:t>maternotoksiske</w:t>
      </w:r>
      <w:proofErr w:type="spellEnd"/>
      <w:r w:rsidRPr="00A7523D">
        <w:rPr>
          <w:sz w:val="24"/>
          <w:szCs w:val="24"/>
        </w:rPr>
        <w:t xml:space="preserve"> doser af </w:t>
      </w:r>
      <w:proofErr w:type="spellStart"/>
      <w:r w:rsidRPr="00A7523D">
        <w:rPr>
          <w:sz w:val="24"/>
          <w:szCs w:val="24"/>
        </w:rPr>
        <w:t>dorzolamid</w:t>
      </w:r>
      <w:proofErr w:type="spellEnd"/>
      <w:r w:rsidRPr="00A7523D">
        <w:rPr>
          <w:sz w:val="24"/>
          <w:szCs w:val="24"/>
        </w:rPr>
        <w:t xml:space="preserve"> i forbindelse med metabolisk </w:t>
      </w:r>
      <w:proofErr w:type="spellStart"/>
      <w:r w:rsidRPr="00A7523D">
        <w:rPr>
          <w:sz w:val="24"/>
          <w:szCs w:val="24"/>
        </w:rPr>
        <w:t>acidose</w:t>
      </w:r>
      <w:proofErr w:type="spellEnd"/>
      <w:r w:rsidRPr="00A7523D">
        <w:rPr>
          <w:sz w:val="24"/>
          <w:szCs w:val="24"/>
        </w:rPr>
        <w:t xml:space="preserve">, blev der observeret misdannelse af hvirvellegemerne. </w:t>
      </w:r>
    </w:p>
    <w:p w14:paraId="31DE4AE1" w14:textId="77777777" w:rsidR="00A52AC0" w:rsidRPr="00A7523D" w:rsidRDefault="00A52AC0" w:rsidP="00A52AC0">
      <w:pPr>
        <w:ind w:left="851"/>
        <w:rPr>
          <w:sz w:val="24"/>
          <w:szCs w:val="24"/>
        </w:rPr>
      </w:pPr>
      <w:r w:rsidRPr="00A7523D">
        <w:rPr>
          <w:sz w:val="24"/>
          <w:szCs w:val="24"/>
        </w:rPr>
        <w:t xml:space="preserve">Hos </w:t>
      </w:r>
      <w:proofErr w:type="spellStart"/>
      <w:r w:rsidRPr="00A7523D">
        <w:rPr>
          <w:sz w:val="24"/>
          <w:szCs w:val="24"/>
        </w:rPr>
        <w:t>lakterende</w:t>
      </w:r>
      <w:proofErr w:type="spellEnd"/>
      <w:r w:rsidRPr="00A7523D">
        <w:rPr>
          <w:sz w:val="24"/>
          <w:szCs w:val="24"/>
        </w:rPr>
        <w:t xml:space="preserve"> rotter blev der observeret en nedgang i afkommets vægtforøgelse. Der blev ikke observeret bivirkninger på fertiliteten hos han- og hunrotter, der fik </w:t>
      </w:r>
      <w:proofErr w:type="spellStart"/>
      <w:r w:rsidRPr="00A7523D">
        <w:rPr>
          <w:sz w:val="24"/>
          <w:szCs w:val="24"/>
        </w:rPr>
        <w:t>dorzolamid</w:t>
      </w:r>
      <w:proofErr w:type="spellEnd"/>
      <w:r w:rsidRPr="00A7523D">
        <w:rPr>
          <w:sz w:val="24"/>
          <w:szCs w:val="24"/>
        </w:rPr>
        <w:t xml:space="preserve"> før og under parringen.</w:t>
      </w:r>
    </w:p>
    <w:p w14:paraId="37EB5C5A" w14:textId="77777777" w:rsidR="00A52AC0" w:rsidRPr="00A7523D" w:rsidRDefault="00A52AC0" w:rsidP="00A52AC0">
      <w:pPr>
        <w:ind w:left="851"/>
        <w:rPr>
          <w:sz w:val="24"/>
          <w:szCs w:val="24"/>
        </w:rPr>
      </w:pPr>
    </w:p>
    <w:p w14:paraId="5B42AE87" w14:textId="77777777" w:rsidR="00A52AC0" w:rsidRPr="00A7523D" w:rsidRDefault="00A52AC0" w:rsidP="00A52AC0">
      <w:pPr>
        <w:ind w:left="851"/>
        <w:rPr>
          <w:sz w:val="24"/>
          <w:szCs w:val="24"/>
        </w:rPr>
      </w:pPr>
      <w:r w:rsidRPr="00A7523D">
        <w:rPr>
          <w:sz w:val="24"/>
          <w:szCs w:val="24"/>
        </w:rPr>
        <w:t xml:space="preserve">I kliniske studier udviklede patienterne ikke tegn på metabolisk </w:t>
      </w:r>
      <w:proofErr w:type="spellStart"/>
      <w:r w:rsidRPr="00A7523D">
        <w:rPr>
          <w:sz w:val="24"/>
          <w:szCs w:val="24"/>
        </w:rPr>
        <w:t>acidose</w:t>
      </w:r>
      <w:proofErr w:type="spellEnd"/>
      <w:r w:rsidRPr="00A7523D">
        <w:rPr>
          <w:sz w:val="24"/>
          <w:szCs w:val="24"/>
        </w:rPr>
        <w:t xml:space="preserve"> eller ændringer i serumelektrolytter, som er </w:t>
      </w:r>
      <w:proofErr w:type="spellStart"/>
      <w:r w:rsidRPr="00A7523D">
        <w:rPr>
          <w:sz w:val="24"/>
          <w:szCs w:val="24"/>
        </w:rPr>
        <w:t>indikative</w:t>
      </w:r>
      <w:proofErr w:type="spellEnd"/>
      <w:r w:rsidRPr="00A7523D">
        <w:rPr>
          <w:sz w:val="24"/>
          <w:szCs w:val="24"/>
        </w:rPr>
        <w:t xml:space="preserve"> for systemisk CA-hæmning. Det forventes derfor ikke, at de virkninger, der er observeret i dyreforsøg, vil blive observeret hos patienter, der får en terapeutisk dosis </w:t>
      </w:r>
      <w:proofErr w:type="spellStart"/>
      <w:r w:rsidRPr="00A7523D">
        <w:rPr>
          <w:sz w:val="24"/>
          <w:szCs w:val="24"/>
        </w:rPr>
        <w:t>dorzolamid</w:t>
      </w:r>
      <w:proofErr w:type="spellEnd"/>
      <w:r w:rsidRPr="00A7523D">
        <w:rPr>
          <w:sz w:val="24"/>
          <w:szCs w:val="24"/>
        </w:rPr>
        <w:t>.</w:t>
      </w:r>
    </w:p>
    <w:p w14:paraId="591EB60C" w14:textId="77777777" w:rsidR="009260DE" w:rsidRPr="00A7523D" w:rsidRDefault="009260DE" w:rsidP="009260DE">
      <w:pPr>
        <w:tabs>
          <w:tab w:val="left" w:pos="851"/>
        </w:tabs>
        <w:ind w:left="851"/>
        <w:rPr>
          <w:sz w:val="24"/>
          <w:szCs w:val="24"/>
        </w:rPr>
      </w:pPr>
    </w:p>
    <w:p w14:paraId="0A3ABE82" w14:textId="77777777" w:rsidR="009260DE" w:rsidRPr="00A7523D" w:rsidRDefault="009260DE" w:rsidP="009260DE">
      <w:pPr>
        <w:tabs>
          <w:tab w:val="left" w:pos="851"/>
        </w:tabs>
        <w:ind w:left="851"/>
        <w:rPr>
          <w:sz w:val="24"/>
          <w:szCs w:val="24"/>
        </w:rPr>
      </w:pPr>
    </w:p>
    <w:p w14:paraId="0AAB3408" w14:textId="77777777" w:rsidR="009260DE" w:rsidRPr="00A7523D" w:rsidRDefault="009260DE" w:rsidP="009260DE">
      <w:pPr>
        <w:tabs>
          <w:tab w:val="left" w:pos="851"/>
        </w:tabs>
        <w:ind w:left="851" w:hanging="851"/>
        <w:rPr>
          <w:b/>
          <w:sz w:val="24"/>
          <w:szCs w:val="24"/>
        </w:rPr>
      </w:pPr>
      <w:r w:rsidRPr="00A7523D">
        <w:rPr>
          <w:b/>
          <w:sz w:val="24"/>
          <w:szCs w:val="24"/>
        </w:rPr>
        <w:t>6.</w:t>
      </w:r>
      <w:r w:rsidRPr="00A7523D">
        <w:rPr>
          <w:b/>
          <w:sz w:val="24"/>
          <w:szCs w:val="24"/>
        </w:rPr>
        <w:tab/>
        <w:t>FARMACEUTISKE OPLYSNINGER</w:t>
      </w:r>
    </w:p>
    <w:p w14:paraId="64F7D039" w14:textId="77777777" w:rsidR="009260DE" w:rsidRPr="00A7523D" w:rsidRDefault="009260DE" w:rsidP="009260DE">
      <w:pPr>
        <w:tabs>
          <w:tab w:val="left" w:pos="851"/>
        </w:tabs>
        <w:ind w:left="851"/>
        <w:rPr>
          <w:sz w:val="24"/>
          <w:szCs w:val="24"/>
        </w:rPr>
      </w:pPr>
    </w:p>
    <w:p w14:paraId="11FC1930" w14:textId="77777777" w:rsidR="009260DE" w:rsidRPr="00A7523D" w:rsidRDefault="009260DE" w:rsidP="009260DE">
      <w:pPr>
        <w:tabs>
          <w:tab w:val="left" w:pos="851"/>
        </w:tabs>
        <w:ind w:left="851" w:hanging="851"/>
        <w:rPr>
          <w:b/>
          <w:sz w:val="24"/>
          <w:szCs w:val="24"/>
        </w:rPr>
      </w:pPr>
      <w:r w:rsidRPr="00A7523D">
        <w:rPr>
          <w:b/>
          <w:sz w:val="24"/>
          <w:szCs w:val="24"/>
        </w:rPr>
        <w:t>6.1</w:t>
      </w:r>
      <w:r w:rsidRPr="00A7523D">
        <w:rPr>
          <w:b/>
          <w:sz w:val="24"/>
          <w:szCs w:val="24"/>
        </w:rPr>
        <w:tab/>
        <w:t>Hjælpestoffer</w:t>
      </w:r>
    </w:p>
    <w:p w14:paraId="697C0289" w14:textId="77777777" w:rsidR="00A52AC0" w:rsidRPr="00A7523D" w:rsidRDefault="00A52AC0" w:rsidP="00A52AC0">
      <w:pPr>
        <w:ind w:left="851"/>
        <w:rPr>
          <w:sz w:val="24"/>
          <w:szCs w:val="24"/>
        </w:rPr>
      </w:pPr>
      <w:proofErr w:type="spellStart"/>
      <w:r w:rsidRPr="00A7523D">
        <w:rPr>
          <w:sz w:val="24"/>
          <w:szCs w:val="24"/>
        </w:rPr>
        <w:t>Hydroxyethylcellulose</w:t>
      </w:r>
      <w:proofErr w:type="spellEnd"/>
    </w:p>
    <w:p w14:paraId="557A3EE6" w14:textId="77777777" w:rsidR="00A52AC0" w:rsidRPr="00A7523D" w:rsidRDefault="00A52AC0" w:rsidP="00A52AC0">
      <w:pPr>
        <w:ind w:left="851"/>
        <w:rPr>
          <w:sz w:val="24"/>
          <w:szCs w:val="24"/>
        </w:rPr>
      </w:pPr>
      <w:proofErr w:type="spellStart"/>
      <w:r w:rsidRPr="00A7523D">
        <w:rPr>
          <w:sz w:val="24"/>
          <w:szCs w:val="24"/>
        </w:rPr>
        <w:t>Mannitol</w:t>
      </w:r>
      <w:proofErr w:type="spellEnd"/>
      <w:r w:rsidRPr="00A7523D">
        <w:rPr>
          <w:sz w:val="24"/>
          <w:szCs w:val="24"/>
        </w:rPr>
        <w:t xml:space="preserve"> (E421)</w:t>
      </w:r>
    </w:p>
    <w:p w14:paraId="4DCBE46E" w14:textId="77777777" w:rsidR="00A52AC0" w:rsidRPr="00A7523D" w:rsidRDefault="00A52AC0" w:rsidP="00A52AC0">
      <w:pPr>
        <w:ind w:left="851"/>
        <w:rPr>
          <w:sz w:val="24"/>
          <w:szCs w:val="24"/>
        </w:rPr>
      </w:pPr>
      <w:proofErr w:type="spellStart"/>
      <w:r w:rsidRPr="00A7523D">
        <w:rPr>
          <w:sz w:val="24"/>
          <w:szCs w:val="24"/>
        </w:rPr>
        <w:t>Natriumcitratdihydrat</w:t>
      </w:r>
      <w:proofErr w:type="spellEnd"/>
    </w:p>
    <w:p w14:paraId="220738DD" w14:textId="77777777" w:rsidR="00A52AC0" w:rsidRPr="00A7523D" w:rsidRDefault="00A52AC0" w:rsidP="00A52AC0">
      <w:pPr>
        <w:ind w:left="851"/>
        <w:rPr>
          <w:sz w:val="24"/>
          <w:szCs w:val="24"/>
        </w:rPr>
      </w:pPr>
      <w:r w:rsidRPr="00A7523D">
        <w:rPr>
          <w:sz w:val="24"/>
          <w:szCs w:val="24"/>
        </w:rPr>
        <w:t>Natriumhydroxid (E524) (til pH-justering)</w:t>
      </w:r>
    </w:p>
    <w:p w14:paraId="0A1D3527" w14:textId="77777777" w:rsidR="00A52AC0" w:rsidRPr="00A7523D" w:rsidRDefault="00A52AC0" w:rsidP="00A52AC0">
      <w:pPr>
        <w:ind w:left="851"/>
        <w:rPr>
          <w:sz w:val="24"/>
          <w:szCs w:val="24"/>
        </w:rPr>
      </w:pPr>
      <w:r w:rsidRPr="00A7523D">
        <w:rPr>
          <w:sz w:val="24"/>
          <w:szCs w:val="24"/>
        </w:rPr>
        <w:lastRenderedPageBreak/>
        <w:t>Vand til injektionsvæsker</w:t>
      </w:r>
    </w:p>
    <w:p w14:paraId="4D272F54" w14:textId="77777777" w:rsidR="009260DE" w:rsidRPr="00A7523D" w:rsidRDefault="009260DE" w:rsidP="009260DE">
      <w:pPr>
        <w:tabs>
          <w:tab w:val="left" w:pos="851"/>
        </w:tabs>
        <w:ind w:left="851"/>
        <w:rPr>
          <w:sz w:val="24"/>
          <w:szCs w:val="24"/>
        </w:rPr>
      </w:pPr>
    </w:p>
    <w:p w14:paraId="734F957C" w14:textId="77777777" w:rsidR="009260DE" w:rsidRPr="00A7523D" w:rsidRDefault="009260DE" w:rsidP="009260DE">
      <w:pPr>
        <w:tabs>
          <w:tab w:val="left" w:pos="851"/>
        </w:tabs>
        <w:ind w:left="851" w:hanging="851"/>
        <w:rPr>
          <w:b/>
          <w:sz w:val="24"/>
          <w:szCs w:val="24"/>
        </w:rPr>
      </w:pPr>
      <w:r w:rsidRPr="00A7523D">
        <w:rPr>
          <w:b/>
          <w:sz w:val="24"/>
          <w:szCs w:val="24"/>
        </w:rPr>
        <w:t>6.2</w:t>
      </w:r>
      <w:r w:rsidRPr="00A7523D">
        <w:rPr>
          <w:b/>
          <w:sz w:val="24"/>
          <w:szCs w:val="24"/>
        </w:rPr>
        <w:tab/>
        <w:t>Uforligeligheder</w:t>
      </w:r>
    </w:p>
    <w:p w14:paraId="5C0C3374" w14:textId="77777777" w:rsidR="00A52AC0" w:rsidRPr="00A7523D" w:rsidRDefault="00A52AC0" w:rsidP="00A52AC0">
      <w:pPr>
        <w:ind w:left="851"/>
        <w:rPr>
          <w:sz w:val="24"/>
          <w:szCs w:val="24"/>
        </w:rPr>
      </w:pPr>
      <w:r w:rsidRPr="00A7523D">
        <w:rPr>
          <w:sz w:val="24"/>
          <w:szCs w:val="24"/>
        </w:rPr>
        <w:t>Ikke relevant.</w:t>
      </w:r>
    </w:p>
    <w:p w14:paraId="19B1F7DE" w14:textId="77777777" w:rsidR="009260DE" w:rsidRPr="00A7523D" w:rsidRDefault="009260DE" w:rsidP="009260DE">
      <w:pPr>
        <w:tabs>
          <w:tab w:val="left" w:pos="851"/>
        </w:tabs>
        <w:ind w:left="851"/>
        <w:rPr>
          <w:sz w:val="24"/>
          <w:szCs w:val="24"/>
        </w:rPr>
      </w:pPr>
    </w:p>
    <w:p w14:paraId="5B7EB572" w14:textId="77777777" w:rsidR="009260DE" w:rsidRPr="00A7523D" w:rsidRDefault="009260DE" w:rsidP="009260DE">
      <w:pPr>
        <w:tabs>
          <w:tab w:val="left" w:pos="851"/>
        </w:tabs>
        <w:ind w:left="851" w:hanging="851"/>
        <w:rPr>
          <w:b/>
          <w:sz w:val="24"/>
          <w:szCs w:val="24"/>
        </w:rPr>
      </w:pPr>
      <w:r w:rsidRPr="00A7523D">
        <w:rPr>
          <w:b/>
          <w:sz w:val="24"/>
          <w:szCs w:val="24"/>
        </w:rPr>
        <w:t>6.3</w:t>
      </w:r>
      <w:r w:rsidRPr="00A7523D">
        <w:rPr>
          <w:b/>
          <w:sz w:val="24"/>
          <w:szCs w:val="24"/>
        </w:rPr>
        <w:tab/>
        <w:t>Opbevaringstid</w:t>
      </w:r>
    </w:p>
    <w:p w14:paraId="66FB7E5B" w14:textId="77777777" w:rsidR="00A52AC0" w:rsidRPr="00A7523D" w:rsidRDefault="00A52AC0" w:rsidP="00A52AC0">
      <w:pPr>
        <w:ind w:left="851"/>
        <w:rPr>
          <w:sz w:val="24"/>
          <w:szCs w:val="24"/>
        </w:rPr>
      </w:pPr>
      <w:r w:rsidRPr="00A7523D">
        <w:rPr>
          <w:sz w:val="24"/>
          <w:szCs w:val="24"/>
        </w:rPr>
        <w:t>30 måneder</w:t>
      </w:r>
    </w:p>
    <w:p w14:paraId="592B5494" w14:textId="77777777" w:rsidR="00A52AC0" w:rsidRPr="00A7523D" w:rsidRDefault="00A52AC0" w:rsidP="00A52AC0">
      <w:pPr>
        <w:ind w:left="851"/>
        <w:rPr>
          <w:sz w:val="24"/>
          <w:szCs w:val="24"/>
        </w:rPr>
      </w:pPr>
      <w:r w:rsidRPr="00A7523D">
        <w:rPr>
          <w:sz w:val="24"/>
          <w:szCs w:val="24"/>
        </w:rPr>
        <w:t xml:space="preserve">Efter første åbning af den indre emballage: 28 dage </w:t>
      </w:r>
    </w:p>
    <w:p w14:paraId="55F4A39C" w14:textId="77777777" w:rsidR="009260DE" w:rsidRPr="00A7523D" w:rsidRDefault="009260DE" w:rsidP="009260DE">
      <w:pPr>
        <w:tabs>
          <w:tab w:val="left" w:pos="851"/>
        </w:tabs>
        <w:ind w:left="851"/>
        <w:rPr>
          <w:sz w:val="24"/>
          <w:szCs w:val="24"/>
        </w:rPr>
      </w:pPr>
    </w:p>
    <w:p w14:paraId="25357183" w14:textId="77777777" w:rsidR="009260DE" w:rsidRPr="00A7523D" w:rsidRDefault="009260DE" w:rsidP="009260DE">
      <w:pPr>
        <w:tabs>
          <w:tab w:val="left" w:pos="851"/>
        </w:tabs>
        <w:ind w:left="851" w:hanging="851"/>
        <w:rPr>
          <w:b/>
          <w:sz w:val="24"/>
          <w:szCs w:val="24"/>
        </w:rPr>
      </w:pPr>
      <w:r w:rsidRPr="00A7523D">
        <w:rPr>
          <w:b/>
          <w:sz w:val="24"/>
          <w:szCs w:val="24"/>
        </w:rPr>
        <w:t>6.4</w:t>
      </w:r>
      <w:r w:rsidRPr="00A7523D">
        <w:rPr>
          <w:b/>
          <w:sz w:val="24"/>
          <w:szCs w:val="24"/>
        </w:rPr>
        <w:tab/>
        <w:t>Særlige opbevaringsforhold</w:t>
      </w:r>
    </w:p>
    <w:p w14:paraId="340DCF55" w14:textId="77777777" w:rsidR="00A52AC0" w:rsidRPr="00A7523D" w:rsidRDefault="00A52AC0" w:rsidP="00A52AC0">
      <w:pPr>
        <w:pStyle w:val="Listeafsnit"/>
        <w:ind w:left="851"/>
        <w:rPr>
          <w:sz w:val="24"/>
          <w:szCs w:val="24"/>
        </w:rPr>
      </w:pPr>
      <w:r w:rsidRPr="00A7523D">
        <w:rPr>
          <w:sz w:val="24"/>
          <w:szCs w:val="24"/>
        </w:rPr>
        <w:t>Opbevares ved temperaturer under 30 ℃.</w:t>
      </w:r>
    </w:p>
    <w:p w14:paraId="10D7C78C" w14:textId="77777777" w:rsidR="00A52AC0" w:rsidRPr="00A7523D" w:rsidRDefault="00A52AC0" w:rsidP="00A52AC0">
      <w:pPr>
        <w:pStyle w:val="Listeafsnit"/>
        <w:ind w:left="851"/>
        <w:rPr>
          <w:sz w:val="24"/>
          <w:szCs w:val="24"/>
        </w:rPr>
      </w:pPr>
      <w:r w:rsidRPr="00A7523D">
        <w:rPr>
          <w:sz w:val="24"/>
          <w:szCs w:val="24"/>
        </w:rPr>
        <w:t>For opbevaring efter første åbning af lægemidlet, se pkt. 6.3.</w:t>
      </w:r>
    </w:p>
    <w:p w14:paraId="415563BB" w14:textId="77777777" w:rsidR="009260DE" w:rsidRPr="00A7523D" w:rsidRDefault="009260DE" w:rsidP="009260DE">
      <w:pPr>
        <w:tabs>
          <w:tab w:val="left" w:pos="851"/>
        </w:tabs>
        <w:ind w:left="851"/>
        <w:rPr>
          <w:sz w:val="24"/>
          <w:szCs w:val="24"/>
        </w:rPr>
      </w:pPr>
    </w:p>
    <w:p w14:paraId="03DFCB2A" w14:textId="77777777" w:rsidR="009260DE" w:rsidRPr="00A7523D" w:rsidRDefault="009260DE" w:rsidP="009260DE">
      <w:pPr>
        <w:tabs>
          <w:tab w:val="left" w:pos="851"/>
        </w:tabs>
        <w:ind w:left="851" w:hanging="851"/>
        <w:rPr>
          <w:b/>
          <w:sz w:val="24"/>
          <w:szCs w:val="24"/>
        </w:rPr>
      </w:pPr>
      <w:r w:rsidRPr="00A7523D">
        <w:rPr>
          <w:b/>
          <w:sz w:val="24"/>
          <w:szCs w:val="24"/>
        </w:rPr>
        <w:t>6.5</w:t>
      </w:r>
      <w:r w:rsidRPr="00A7523D">
        <w:rPr>
          <w:b/>
          <w:sz w:val="24"/>
          <w:szCs w:val="24"/>
        </w:rPr>
        <w:tab/>
        <w:t>Emballagetype og pakningsstørrelser</w:t>
      </w:r>
    </w:p>
    <w:p w14:paraId="4DEE59AB" w14:textId="77777777" w:rsidR="00A52AC0" w:rsidRPr="00A7523D" w:rsidRDefault="00A52AC0" w:rsidP="00A52AC0">
      <w:pPr>
        <w:ind w:left="851"/>
        <w:rPr>
          <w:sz w:val="24"/>
          <w:szCs w:val="24"/>
        </w:rPr>
      </w:pPr>
      <w:r w:rsidRPr="00A7523D">
        <w:rPr>
          <w:sz w:val="24"/>
          <w:szCs w:val="24"/>
        </w:rPr>
        <w:t xml:space="preserve">5 ml opløsning i en hvid uigennemsigtig 11 ml LDPE-flaske med hvid </w:t>
      </w:r>
      <w:proofErr w:type="spellStart"/>
      <w:r w:rsidRPr="00A7523D">
        <w:rPr>
          <w:sz w:val="24"/>
          <w:szCs w:val="24"/>
        </w:rPr>
        <w:t>Novelia</w:t>
      </w:r>
      <w:proofErr w:type="spellEnd"/>
      <w:r w:rsidRPr="00A7523D">
        <w:rPr>
          <w:sz w:val="24"/>
          <w:szCs w:val="24"/>
        </w:rPr>
        <w:t xml:space="preserve"> dyse (HDPE og silikone) med en hvid HDPE-hætte.</w:t>
      </w:r>
    </w:p>
    <w:p w14:paraId="4BF2C2F9" w14:textId="77777777" w:rsidR="00A52AC0" w:rsidRPr="00A7523D" w:rsidRDefault="00A52AC0" w:rsidP="00A52AC0">
      <w:pPr>
        <w:ind w:left="851"/>
        <w:rPr>
          <w:sz w:val="24"/>
          <w:szCs w:val="24"/>
        </w:rPr>
      </w:pPr>
    </w:p>
    <w:p w14:paraId="3B2E99BB" w14:textId="77777777" w:rsidR="00A52AC0" w:rsidRPr="00A7523D" w:rsidRDefault="00A52AC0" w:rsidP="00A52AC0">
      <w:pPr>
        <w:ind w:left="851"/>
        <w:rPr>
          <w:sz w:val="24"/>
          <w:szCs w:val="24"/>
        </w:rPr>
      </w:pPr>
      <w:r w:rsidRPr="00A7523D">
        <w:rPr>
          <w:sz w:val="24"/>
          <w:szCs w:val="24"/>
        </w:rPr>
        <w:t>Pakningsstørrelser:</w:t>
      </w:r>
    </w:p>
    <w:p w14:paraId="05CC7B85" w14:textId="77777777" w:rsidR="00A52AC0" w:rsidRPr="00A7523D" w:rsidRDefault="00A52AC0" w:rsidP="00A52AC0">
      <w:pPr>
        <w:ind w:left="851"/>
        <w:rPr>
          <w:sz w:val="24"/>
          <w:szCs w:val="24"/>
        </w:rPr>
      </w:pPr>
      <w:r w:rsidRPr="00A7523D">
        <w:rPr>
          <w:sz w:val="24"/>
          <w:szCs w:val="24"/>
        </w:rPr>
        <w:t>1, 3 eller 4 flasker i en æske.</w:t>
      </w:r>
    </w:p>
    <w:p w14:paraId="10AB55F7" w14:textId="77777777" w:rsidR="00A52AC0" w:rsidRPr="00A7523D" w:rsidRDefault="00A52AC0" w:rsidP="00A52AC0">
      <w:pPr>
        <w:ind w:left="851"/>
        <w:rPr>
          <w:sz w:val="24"/>
          <w:szCs w:val="24"/>
        </w:rPr>
      </w:pPr>
      <w:r w:rsidRPr="00A7523D">
        <w:rPr>
          <w:sz w:val="24"/>
          <w:szCs w:val="24"/>
        </w:rPr>
        <w:t>Ikke alle pakningsstørrelser er nødvendigvis markedsført.</w:t>
      </w:r>
    </w:p>
    <w:p w14:paraId="793C3F47" w14:textId="77777777" w:rsidR="009260DE" w:rsidRPr="00A7523D" w:rsidRDefault="009260DE" w:rsidP="009260DE">
      <w:pPr>
        <w:tabs>
          <w:tab w:val="left" w:pos="851"/>
        </w:tabs>
        <w:ind w:left="851"/>
        <w:rPr>
          <w:sz w:val="24"/>
          <w:szCs w:val="24"/>
        </w:rPr>
      </w:pPr>
    </w:p>
    <w:p w14:paraId="17548E0B" w14:textId="77777777" w:rsidR="009260DE" w:rsidRPr="00A7523D" w:rsidRDefault="009260DE" w:rsidP="009260DE">
      <w:pPr>
        <w:tabs>
          <w:tab w:val="left" w:pos="851"/>
        </w:tabs>
        <w:ind w:left="851" w:hanging="851"/>
        <w:rPr>
          <w:b/>
          <w:sz w:val="24"/>
          <w:szCs w:val="24"/>
        </w:rPr>
      </w:pPr>
      <w:r w:rsidRPr="00A7523D">
        <w:rPr>
          <w:b/>
          <w:sz w:val="24"/>
          <w:szCs w:val="24"/>
        </w:rPr>
        <w:t>6.6</w:t>
      </w:r>
      <w:r w:rsidRPr="00A7523D">
        <w:rPr>
          <w:b/>
          <w:sz w:val="24"/>
          <w:szCs w:val="24"/>
        </w:rPr>
        <w:tab/>
        <w:t xml:space="preserve">Regler for </w:t>
      </w:r>
      <w:r w:rsidR="00BD7931" w:rsidRPr="00A7523D">
        <w:rPr>
          <w:b/>
          <w:sz w:val="24"/>
          <w:szCs w:val="24"/>
        </w:rPr>
        <w:t>bortskaffelse</w:t>
      </w:r>
      <w:r w:rsidRPr="00A7523D">
        <w:rPr>
          <w:b/>
          <w:sz w:val="24"/>
          <w:szCs w:val="24"/>
        </w:rPr>
        <w:t xml:space="preserve"> og anden håndtering</w:t>
      </w:r>
    </w:p>
    <w:p w14:paraId="39A8EEA0" w14:textId="77777777" w:rsidR="00A52AC0" w:rsidRPr="00A7523D" w:rsidRDefault="00A52AC0" w:rsidP="00A52AC0">
      <w:pPr>
        <w:ind w:left="851"/>
        <w:rPr>
          <w:sz w:val="24"/>
          <w:szCs w:val="24"/>
        </w:rPr>
      </w:pPr>
      <w:r w:rsidRPr="00A7523D">
        <w:rPr>
          <w:sz w:val="24"/>
          <w:szCs w:val="24"/>
        </w:rPr>
        <w:t>Ingen særlige forholdsregler for bortskaffelse.</w:t>
      </w:r>
    </w:p>
    <w:p w14:paraId="3FFB8FAF" w14:textId="77777777" w:rsidR="009260DE" w:rsidRPr="00A7523D" w:rsidRDefault="009260DE" w:rsidP="000730CA">
      <w:pPr>
        <w:tabs>
          <w:tab w:val="left" w:pos="851"/>
        </w:tabs>
        <w:ind w:left="851"/>
        <w:rPr>
          <w:sz w:val="24"/>
          <w:szCs w:val="24"/>
        </w:rPr>
      </w:pPr>
    </w:p>
    <w:p w14:paraId="30C3F388" w14:textId="77777777" w:rsidR="009260DE" w:rsidRPr="00A7523D" w:rsidRDefault="009260DE" w:rsidP="009260DE">
      <w:pPr>
        <w:tabs>
          <w:tab w:val="left" w:pos="851"/>
        </w:tabs>
        <w:ind w:left="851" w:hanging="851"/>
        <w:rPr>
          <w:b/>
          <w:sz w:val="24"/>
          <w:szCs w:val="24"/>
        </w:rPr>
      </w:pPr>
      <w:r w:rsidRPr="00A7523D">
        <w:rPr>
          <w:b/>
          <w:sz w:val="24"/>
          <w:szCs w:val="24"/>
        </w:rPr>
        <w:t>7.</w:t>
      </w:r>
      <w:r w:rsidRPr="00A7523D">
        <w:rPr>
          <w:b/>
          <w:sz w:val="24"/>
          <w:szCs w:val="24"/>
        </w:rPr>
        <w:tab/>
        <w:t>INDEHAVER AF MARKEDSFØRINGSTILLADELSEN</w:t>
      </w:r>
    </w:p>
    <w:p w14:paraId="3FB1BF57" w14:textId="77777777" w:rsidR="00A52AC0" w:rsidRPr="00A7523D" w:rsidRDefault="00A52AC0" w:rsidP="00A52AC0">
      <w:pPr>
        <w:ind w:left="851"/>
        <w:rPr>
          <w:sz w:val="24"/>
          <w:szCs w:val="24"/>
          <w:lang w:eastAsia="da-DK"/>
        </w:rPr>
      </w:pPr>
      <w:bookmarkStart w:id="0" w:name="_Hlk94173649"/>
      <w:r w:rsidRPr="00A7523D">
        <w:rPr>
          <w:sz w:val="24"/>
          <w:szCs w:val="24"/>
        </w:rPr>
        <w:t>Bausch &amp; Lomb Ireland Limited</w:t>
      </w:r>
    </w:p>
    <w:bookmarkEnd w:id="0"/>
    <w:p w14:paraId="21063583" w14:textId="77777777" w:rsidR="00A52AC0" w:rsidRPr="00A7523D" w:rsidRDefault="00A52AC0" w:rsidP="00A52AC0">
      <w:pPr>
        <w:ind w:left="851"/>
        <w:rPr>
          <w:sz w:val="24"/>
          <w:szCs w:val="24"/>
          <w:lang w:val="en-US"/>
        </w:rPr>
      </w:pPr>
      <w:r w:rsidRPr="00A7523D">
        <w:rPr>
          <w:sz w:val="24"/>
          <w:szCs w:val="24"/>
          <w:lang w:val="en-US"/>
        </w:rPr>
        <w:t>3013 Lake Drive</w:t>
      </w:r>
    </w:p>
    <w:p w14:paraId="063FB251" w14:textId="77777777" w:rsidR="00A52AC0" w:rsidRPr="00A7523D" w:rsidRDefault="00A52AC0" w:rsidP="00A52AC0">
      <w:pPr>
        <w:ind w:left="851"/>
        <w:rPr>
          <w:sz w:val="24"/>
          <w:szCs w:val="24"/>
          <w:lang w:val="en-US"/>
        </w:rPr>
      </w:pPr>
      <w:r w:rsidRPr="00A7523D">
        <w:rPr>
          <w:sz w:val="24"/>
          <w:szCs w:val="24"/>
          <w:lang w:val="en-US"/>
        </w:rPr>
        <w:t>Citywest Business Campus</w:t>
      </w:r>
    </w:p>
    <w:p w14:paraId="54A88B17" w14:textId="77777777" w:rsidR="00A52AC0" w:rsidRPr="00A7523D" w:rsidRDefault="00A52AC0" w:rsidP="00A52AC0">
      <w:pPr>
        <w:ind w:left="851"/>
        <w:rPr>
          <w:sz w:val="24"/>
          <w:szCs w:val="24"/>
          <w:lang w:val="en-US"/>
        </w:rPr>
      </w:pPr>
      <w:r w:rsidRPr="00A7523D">
        <w:rPr>
          <w:sz w:val="24"/>
          <w:szCs w:val="24"/>
          <w:lang w:val="en-US"/>
        </w:rPr>
        <w:t>Dublin 24, D24PPT3</w:t>
      </w:r>
    </w:p>
    <w:p w14:paraId="60ECDE00" w14:textId="5D9EBA3C" w:rsidR="00A52AC0" w:rsidRPr="00A7523D" w:rsidRDefault="00A52AC0" w:rsidP="00A52AC0">
      <w:pPr>
        <w:tabs>
          <w:tab w:val="left" w:pos="851"/>
        </w:tabs>
        <w:ind w:left="851"/>
        <w:rPr>
          <w:sz w:val="24"/>
          <w:szCs w:val="24"/>
        </w:rPr>
      </w:pPr>
      <w:r w:rsidRPr="00A7523D">
        <w:rPr>
          <w:sz w:val="24"/>
          <w:szCs w:val="24"/>
        </w:rPr>
        <w:t>Irland</w:t>
      </w:r>
    </w:p>
    <w:p w14:paraId="263F9BA8" w14:textId="77777777" w:rsidR="009260DE" w:rsidRPr="00A7523D" w:rsidRDefault="009260DE" w:rsidP="009260DE">
      <w:pPr>
        <w:tabs>
          <w:tab w:val="left" w:pos="851"/>
        </w:tabs>
        <w:ind w:left="851"/>
        <w:rPr>
          <w:sz w:val="24"/>
          <w:szCs w:val="24"/>
        </w:rPr>
      </w:pPr>
    </w:p>
    <w:p w14:paraId="71433892" w14:textId="77777777" w:rsidR="00641C65" w:rsidRPr="00A7523D" w:rsidRDefault="00641C65" w:rsidP="009260DE">
      <w:pPr>
        <w:tabs>
          <w:tab w:val="left" w:pos="851"/>
        </w:tabs>
        <w:ind w:left="851"/>
        <w:rPr>
          <w:sz w:val="24"/>
          <w:szCs w:val="24"/>
        </w:rPr>
      </w:pPr>
      <w:r w:rsidRPr="00A7523D">
        <w:rPr>
          <w:b/>
          <w:sz w:val="24"/>
          <w:szCs w:val="24"/>
        </w:rPr>
        <w:t>Repræsentant</w:t>
      </w:r>
    </w:p>
    <w:p w14:paraId="30C01D0B" w14:textId="77777777" w:rsidR="00A52AC0" w:rsidRPr="00A7523D" w:rsidRDefault="00A52AC0" w:rsidP="00A52AC0">
      <w:pPr>
        <w:tabs>
          <w:tab w:val="left" w:pos="851"/>
        </w:tabs>
        <w:ind w:left="851"/>
        <w:rPr>
          <w:sz w:val="24"/>
          <w:szCs w:val="24"/>
          <w:lang w:eastAsia="da-DK"/>
        </w:rPr>
      </w:pPr>
      <w:r w:rsidRPr="00A7523D">
        <w:rPr>
          <w:sz w:val="24"/>
          <w:szCs w:val="24"/>
        </w:rPr>
        <w:t>Bausch &amp; Lomb Nordic AB</w:t>
      </w:r>
    </w:p>
    <w:p w14:paraId="5526EF22" w14:textId="77777777" w:rsidR="00A52AC0" w:rsidRPr="00A7523D" w:rsidRDefault="00A52AC0" w:rsidP="00A52AC0">
      <w:pPr>
        <w:tabs>
          <w:tab w:val="left" w:pos="851"/>
        </w:tabs>
        <w:ind w:left="851"/>
        <w:rPr>
          <w:sz w:val="24"/>
          <w:szCs w:val="24"/>
        </w:rPr>
      </w:pPr>
      <w:proofErr w:type="spellStart"/>
      <w:r w:rsidRPr="00A7523D">
        <w:rPr>
          <w:sz w:val="24"/>
          <w:szCs w:val="24"/>
        </w:rPr>
        <w:t>Söder</w:t>
      </w:r>
      <w:proofErr w:type="spellEnd"/>
      <w:r w:rsidRPr="00A7523D">
        <w:rPr>
          <w:sz w:val="24"/>
          <w:szCs w:val="24"/>
        </w:rPr>
        <w:t xml:space="preserve"> </w:t>
      </w:r>
      <w:proofErr w:type="spellStart"/>
      <w:r w:rsidRPr="00A7523D">
        <w:rPr>
          <w:sz w:val="24"/>
          <w:szCs w:val="24"/>
        </w:rPr>
        <w:t>Mälarstrand</w:t>
      </w:r>
      <w:proofErr w:type="spellEnd"/>
      <w:r w:rsidRPr="00A7523D">
        <w:rPr>
          <w:sz w:val="24"/>
          <w:szCs w:val="24"/>
        </w:rPr>
        <w:t xml:space="preserve"> 45</w:t>
      </w:r>
    </w:p>
    <w:p w14:paraId="51B0D7C6" w14:textId="77777777" w:rsidR="00A52AC0" w:rsidRPr="00A7523D" w:rsidRDefault="00A52AC0" w:rsidP="00A52AC0">
      <w:pPr>
        <w:tabs>
          <w:tab w:val="left" w:pos="851"/>
        </w:tabs>
        <w:ind w:left="851"/>
        <w:rPr>
          <w:sz w:val="24"/>
          <w:szCs w:val="24"/>
        </w:rPr>
      </w:pPr>
      <w:r w:rsidRPr="00A7523D">
        <w:rPr>
          <w:sz w:val="24"/>
          <w:szCs w:val="24"/>
        </w:rPr>
        <w:t>104 65 Stockholm</w:t>
      </w:r>
    </w:p>
    <w:p w14:paraId="08529A67" w14:textId="4E9FA58C" w:rsidR="00A52AC0" w:rsidRPr="00A7523D" w:rsidRDefault="00A52AC0" w:rsidP="00A52AC0">
      <w:pPr>
        <w:tabs>
          <w:tab w:val="left" w:pos="851"/>
        </w:tabs>
        <w:ind w:left="851"/>
        <w:rPr>
          <w:sz w:val="24"/>
          <w:szCs w:val="24"/>
        </w:rPr>
      </w:pPr>
      <w:r w:rsidRPr="00A7523D">
        <w:rPr>
          <w:sz w:val="24"/>
          <w:szCs w:val="24"/>
        </w:rPr>
        <w:t>Sverige</w:t>
      </w:r>
    </w:p>
    <w:p w14:paraId="78EDE0C9" w14:textId="77777777" w:rsidR="00641C65" w:rsidRPr="00A7523D" w:rsidRDefault="00641C65" w:rsidP="009260DE">
      <w:pPr>
        <w:tabs>
          <w:tab w:val="left" w:pos="851"/>
        </w:tabs>
        <w:ind w:left="851"/>
        <w:rPr>
          <w:sz w:val="24"/>
          <w:szCs w:val="24"/>
        </w:rPr>
      </w:pPr>
    </w:p>
    <w:p w14:paraId="58D5818B" w14:textId="77777777" w:rsidR="009260DE" w:rsidRPr="00A7523D" w:rsidRDefault="009260DE" w:rsidP="009260DE">
      <w:pPr>
        <w:tabs>
          <w:tab w:val="left" w:pos="851"/>
        </w:tabs>
        <w:ind w:left="851" w:hanging="851"/>
        <w:rPr>
          <w:b/>
          <w:sz w:val="24"/>
          <w:szCs w:val="24"/>
        </w:rPr>
      </w:pPr>
      <w:r w:rsidRPr="00A7523D">
        <w:rPr>
          <w:b/>
          <w:sz w:val="24"/>
          <w:szCs w:val="24"/>
        </w:rPr>
        <w:t>8.</w:t>
      </w:r>
      <w:r w:rsidRPr="00A7523D">
        <w:rPr>
          <w:b/>
          <w:sz w:val="24"/>
          <w:szCs w:val="24"/>
        </w:rPr>
        <w:tab/>
        <w:t>MARKEDSFØRINGSTILLADELSESNUMMER (</w:t>
      </w:r>
      <w:r w:rsidR="00BF6243" w:rsidRPr="00A7523D">
        <w:rPr>
          <w:b/>
          <w:sz w:val="24"/>
          <w:szCs w:val="24"/>
        </w:rPr>
        <w:t>-</w:t>
      </w:r>
      <w:r w:rsidRPr="00A7523D">
        <w:rPr>
          <w:b/>
          <w:sz w:val="24"/>
          <w:szCs w:val="24"/>
        </w:rPr>
        <w:t>NUMRE)</w:t>
      </w:r>
    </w:p>
    <w:p w14:paraId="11D79B86" w14:textId="0B9FBE1B" w:rsidR="009260DE" w:rsidRPr="00A7523D" w:rsidRDefault="00A52AC0" w:rsidP="009260DE">
      <w:pPr>
        <w:tabs>
          <w:tab w:val="left" w:pos="851"/>
        </w:tabs>
        <w:ind w:left="851"/>
        <w:rPr>
          <w:sz w:val="24"/>
          <w:szCs w:val="24"/>
        </w:rPr>
      </w:pPr>
      <w:r w:rsidRPr="00A7523D">
        <w:rPr>
          <w:sz w:val="24"/>
          <w:szCs w:val="24"/>
        </w:rPr>
        <w:t>55282</w:t>
      </w:r>
    </w:p>
    <w:p w14:paraId="177617FC" w14:textId="77777777" w:rsidR="009260DE" w:rsidRPr="00A7523D" w:rsidRDefault="009260DE" w:rsidP="009260DE">
      <w:pPr>
        <w:tabs>
          <w:tab w:val="left" w:pos="851"/>
        </w:tabs>
        <w:ind w:left="851"/>
        <w:jc w:val="both"/>
        <w:rPr>
          <w:sz w:val="24"/>
          <w:szCs w:val="24"/>
        </w:rPr>
      </w:pPr>
    </w:p>
    <w:p w14:paraId="2882C9C8" w14:textId="77777777" w:rsidR="009260DE" w:rsidRPr="00A7523D" w:rsidRDefault="009260DE" w:rsidP="009260DE">
      <w:pPr>
        <w:tabs>
          <w:tab w:val="left" w:pos="851"/>
        </w:tabs>
        <w:ind w:left="851" w:hanging="851"/>
        <w:rPr>
          <w:b/>
          <w:sz w:val="24"/>
          <w:szCs w:val="24"/>
        </w:rPr>
      </w:pPr>
      <w:r w:rsidRPr="00A7523D">
        <w:rPr>
          <w:b/>
          <w:sz w:val="24"/>
          <w:szCs w:val="24"/>
        </w:rPr>
        <w:t>9.</w:t>
      </w:r>
      <w:r w:rsidRPr="00A7523D">
        <w:rPr>
          <w:b/>
          <w:sz w:val="24"/>
          <w:szCs w:val="24"/>
        </w:rPr>
        <w:tab/>
        <w:t>DATO FOR FØRSTE MARKEDSFØRINGSTILLADELSE</w:t>
      </w:r>
    </w:p>
    <w:p w14:paraId="3C83D014" w14:textId="5A3804D1" w:rsidR="009260DE" w:rsidRPr="00A7523D" w:rsidRDefault="00A52AC0" w:rsidP="009260DE">
      <w:pPr>
        <w:tabs>
          <w:tab w:val="left" w:pos="851"/>
        </w:tabs>
        <w:ind w:left="851"/>
        <w:rPr>
          <w:sz w:val="24"/>
          <w:szCs w:val="24"/>
        </w:rPr>
      </w:pPr>
      <w:r w:rsidRPr="00A7523D">
        <w:rPr>
          <w:sz w:val="24"/>
          <w:szCs w:val="24"/>
        </w:rPr>
        <w:t>30. september 2016</w:t>
      </w:r>
    </w:p>
    <w:p w14:paraId="27D2619D" w14:textId="77777777" w:rsidR="009260DE" w:rsidRPr="00A7523D" w:rsidRDefault="009260DE" w:rsidP="009260DE">
      <w:pPr>
        <w:tabs>
          <w:tab w:val="left" w:pos="851"/>
        </w:tabs>
        <w:ind w:left="851"/>
        <w:rPr>
          <w:sz w:val="24"/>
          <w:szCs w:val="24"/>
        </w:rPr>
      </w:pPr>
    </w:p>
    <w:p w14:paraId="4CF78F6A" w14:textId="77777777" w:rsidR="009260DE" w:rsidRPr="00A7523D" w:rsidRDefault="009260DE" w:rsidP="009260DE">
      <w:pPr>
        <w:tabs>
          <w:tab w:val="left" w:pos="851"/>
        </w:tabs>
        <w:ind w:left="851" w:hanging="851"/>
        <w:rPr>
          <w:b/>
          <w:sz w:val="24"/>
          <w:szCs w:val="24"/>
        </w:rPr>
      </w:pPr>
      <w:r w:rsidRPr="00A7523D">
        <w:rPr>
          <w:b/>
          <w:sz w:val="24"/>
          <w:szCs w:val="24"/>
        </w:rPr>
        <w:t>10.</w:t>
      </w:r>
      <w:r w:rsidRPr="00A7523D">
        <w:rPr>
          <w:b/>
          <w:sz w:val="24"/>
          <w:szCs w:val="24"/>
        </w:rPr>
        <w:tab/>
        <w:t>DATO FOR ÆNDRING AF TEKSTEN</w:t>
      </w:r>
    </w:p>
    <w:p w14:paraId="5045A502" w14:textId="7C8955A8" w:rsidR="009260DE" w:rsidRPr="00A7523D" w:rsidRDefault="00A52AC0" w:rsidP="009260DE">
      <w:pPr>
        <w:tabs>
          <w:tab w:val="left" w:pos="851"/>
        </w:tabs>
        <w:ind w:left="851"/>
        <w:rPr>
          <w:sz w:val="24"/>
          <w:szCs w:val="24"/>
        </w:rPr>
      </w:pPr>
      <w:r w:rsidRPr="00A7523D">
        <w:rPr>
          <w:sz w:val="24"/>
          <w:szCs w:val="24"/>
        </w:rPr>
        <w:t>24. januar 2025</w:t>
      </w:r>
      <w:bookmarkStart w:id="1" w:name="_GoBack"/>
      <w:bookmarkEnd w:id="1"/>
    </w:p>
    <w:sectPr w:rsidR="009260DE" w:rsidRPr="00A7523D"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B04ED" w14:textId="77777777" w:rsidR="007214B7" w:rsidRDefault="007214B7">
      <w:r>
        <w:separator/>
      </w:r>
    </w:p>
  </w:endnote>
  <w:endnote w:type="continuationSeparator" w:id="0">
    <w:p w14:paraId="65F0B610" w14:textId="77777777" w:rsidR="007214B7" w:rsidRDefault="0072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EB06" w14:textId="77777777" w:rsidR="000259B9" w:rsidRDefault="000259B9">
    <w:pPr>
      <w:pStyle w:val="Sidefod"/>
      <w:pBdr>
        <w:bottom w:val="single" w:sz="6" w:space="1" w:color="auto"/>
      </w:pBdr>
    </w:pPr>
  </w:p>
  <w:p w14:paraId="10CE1A14" w14:textId="77777777" w:rsidR="000259B9" w:rsidRDefault="000259B9" w:rsidP="00C42586">
    <w:pPr>
      <w:pStyle w:val="Sidefod"/>
      <w:tabs>
        <w:tab w:val="clear" w:pos="4819"/>
        <w:tab w:val="left" w:pos="8505"/>
      </w:tabs>
      <w:rPr>
        <w:i/>
        <w:sz w:val="18"/>
        <w:szCs w:val="18"/>
      </w:rPr>
    </w:pPr>
  </w:p>
  <w:p w14:paraId="4DCB1D06" w14:textId="5A31EEE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761C0">
      <w:rPr>
        <w:i/>
        <w:noProof/>
        <w:sz w:val="18"/>
        <w:szCs w:val="18"/>
      </w:rPr>
      <w:t>Vizidor, øjendråber, opløsning 20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016AB" w14:textId="77777777" w:rsidR="007214B7" w:rsidRDefault="007214B7">
      <w:r>
        <w:separator/>
      </w:r>
    </w:p>
  </w:footnote>
  <w:footnote w:type="continuationSeparator" w:id="0">
    <w:p w14:paraId="6610DDCF" w14:textId="77777777" w:rsidR="007214B7" w:rsidRDefault="00721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EA9540D"/>
    <w:multiLevelType w:val="hybridMultilevel"/>
    <w:tmpl w:val="82C2F2E6"/>
    <w:lvl w:ilvl="0" w:tplc="B42CA324">
      <w:start w:val="8"/>
      <w:numFmt w:val="bullet"/>
      <w:lvlText w:val="-"/>
      <w:lvlJc w:val="left"/>
      <w:pPr>
        <w:ind w:left="1624" w:hanging="360"/>
      </w:pPr>
      <w:rPr>
        <w:rFonts w:ascii="Times New Roman" w:eastAsia="Times New Roman" w:hAnsi="Times New Roman" w:cs="Times New Roman" w:hint="default"/>
      </w:rPr>
    </w:lvl>
    <w:lvl w:ilvl="1" w:tplc="04090003">
      <w:start w:val="1"/>
      <w:numFmt w:val="bullet"/>
      <w:lvlText w:val="o"/>
      <w:lvlJc w:val="left"/>
      <w:pPr>
        <w:ind w:left="2344" w:hanging="360"/>
      </w:pPr>
      <w:rPr>
        <w:rFonts w:ascii="Courier New" w:hAnsi="Courier New" w:cs="Courier New" w:hint="default"/>
      </w:rPr>
    </w:lvl>
    <w:lvl w:ilvl="2" w:tplc="04090005">
      <w:start w:val="1"/>
      <w:numFmt w:val="bullet"/>
      <w:lvlText w:val=""/>
      <w:lvlJc w:val="left"/>
      <w:pPr>
        <w:ind w:left="3064" w:hanging="360"/>
      </w:pPr>
      <w:rPr>
        <w:rFonts w:ascii="Wingdings" w:hAnsi="Wingdings" w:hint="default"/>
      </w:rPr>
    </w:lvl>
    <w:lvl w:ilvl="3" w:tplc="04090001">
      <w:start w:val="1"/>
      <w:numFmt w:val="bullet"/>
      <w:lvlText w:val=""/>
      <w:lvlJc w:val="left"/>
      <w:pPr>
        <w:ind w:left="3784" w:hanging="360"/>
      </w:pPr>
      <w:rPr>
        <w:rFonts w:ascii="Symbol" w:hAnsi="Symbol" w:hint="default"/>
      </w:rPr>
    </w:lvl>
    <w:lvl w:ilvl="4" w:tplc="04090003">
      <w:start w:val="1"/>
      <w:numFmt w:val="bullet"/>
      <w:lvlText w:val="o"/>
      <w:lvlJc w:val="left"/>
      <w:pPr>
        <w:ind w:left="4504" w:hanging="360"/>
      </w:pPr>
      <w:rPr>
        <w:rFonts w:ascii="Courier New" w:hAnsi="Courier New" w:cs="Courier New" w:hint="default"/>
      </w:rPr>
    </w:lvl>
    <w:lvl w:ilvl="5" w:tplc="04090005">
      <w:start w:val="1"/>
      <w:numFmt w:val="bullet"/>
      <w:lvlText w:val=""/>
      <w:lvlJc w:val="left"/>
      <w:pPr>
        <w:ind w:left="5224" w:hanging="360"/>
      </w:pPr>
      <w:rPr>
        <w:rFonts w:ascii="Wingdings" w:hAnsi="Wingdings" w:hint="default"/>
      </w:rPr>
    </w:lvl>
    <w:lvl w:ilvl="6" w:tplc="04090001">
      <w:start w:val="1"/>
      <w:numFmt w:val="bullet"/>
      <w:lvlText w:val=""/>
      <w:lvlJc w:val="left"/>
      <w:pPr>
        <w:ind w:left="5944" w:hanging="360"/>
      </w:pPr>
      <w:rPr>
        <w:rFonts w:ascii="Symbol" w:hAnsi="Symbol" w:hint="default"/>
      </w:rPr>
    </w:lvl>
    <w:lvl w:ilvl="7" w:tplc="04090003">
      <w:start w:val="1"/>
      <w:numFmt w:val="bullet"/>
      <w:lvlText w:val="o"/>
      <w:lvlJc w:val="left"/>
      <w:pPr>
        <w:ind w:left="6664" w:hanging="360"/>
      </w:pPr>
      <w:rPr>
        <w:rFonts w:ascii="Courier New" w:hAnsi="Courier New" w:cs="Courier New" w:hint="default"/>
      </w:rPr>
    </w:lvl>
    <w:lvl w:ilvl="8" w:tplc="04090005">
      <w:start w:val="1"/>
      <w:numFmt w:val="bullet"/>
      <w:lvlText w:val=""/>
      <w:lvlJc w:val="left"/>
      <w:pPr>
        <w:ind w:left="7384" w:hanging="360"/>
      </w:pPr>
      <w:rPr>
        <w:rFonts w:ascii="Wingdings" w:hAnsi="Wingdings" w:hint="default"/>
      </w:rPr>
    </w:lvl>
  </w:abstractNum>
  <w:abstractNum w:abstractNumId="6" w15:restartNumberingAfterBreak="0">
    <w:nsid w:val="63894F82"/>
    <w:multiLevelType w:val="singleLevel"/>
    <w:tmpl w:val="60562B8E"/>
    <w:lvl w:ilvl="0">
      <w:start w:val="1"/>
      <w:numFmt w:val="decimal"/>
      <w:lvlText w:val="%1."/>
      <w:lvlJc w:val="left"/>
      <w:pPr>
        <w:tabs>
          <w:tab w:val="num" w:pos="1304"/>
        </w:tabs>
        <w:ind w:left="1304" w:hanging="453"/>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B7"/>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761C0"/>
    <w:rsid w:val="0049104B"/>
    <w:rsid w:val="004B7932"/>
    <w:rsid w:val="004E3B12"/>
    <w:rsid w:val="00532310"/>
    <w:rsid w:val="00565F0F"/>
    <w:rsid w:val="00594A86"/>
    <w:rsid w:val="00596D86"/>
    <w:rsid w:val="00637F5A"/>
    <w:rsid w:val="00641C65"/>
    <w:rsid w:val="006560B1"/>
    <w:rsid w:val="006756DD"/>
    <w:rsid w:val="0071241E"/>
    <w:rsid w:val="007214B7"/>
    <w:rsid w:val="00737275"/>
    <w:rsid w:val="00740EEC"/>
    <w:rsid w:val="0078011A"/>
    <w:rsid w:val="00782AF4"/>
    <w:rsid w:val="00790EE7"/>
    <w:rsid w:val="007B6649"/>
    <w:rsid w:val="0082576E"/>
    <w:rsid w:val="0089346F"/>
    <w:rsid w:val="00907F75"/>
    <w:rsid w:val="009260DE"/>
    <w:rsid w:val="0093258A"/>
    <w:rsid w:val="009C7BA3"/>
    <w:rsid w:val="009D1F5A"/>
    <w:rsid w:val="009D7453"/>
    <w:rsid w:val="00A10294"/>
    <w:rsid w:val="00A52AC0"/>
    <w:rsid w:val="00A7523D"/>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F18CE"/>
  <w15:chartTrackingRefBased/>
  <w15:docId w15:val="{FD0FF171-29BB-45FB-8EE8-AFCB1C01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A52AC0"/>
    <w:pPr>
      <w:ind w:left="720"/>
      <w:contextualSpacing/>
    </w:pPr>
    <w:rPr>
      <w:sz w:val="22"/>
      <w:szCs w:val="22"/>
    </w:rPr>
  </w:style>
  <w:style w:type="character" w:styleId="Hyperlink">
    <w:name w:val="Hyperlink"/>
    <w:uiPriority w:val="99"/>
    <w:semiHidden/>
    <w:unhideWhenUsed/>
    <w:rsid w:val="00A52AC0"/>
    <w:rPr>
      <w:color w:val="0000FF"/>
      <w:u w:val="single"/>
    </w:rPr>
  </w:style>
  <w:style w:type="paragraph" w:customStyle="1" w:styleId="TableText">
    <w:name w:val="TableText"/>
    <w:rsid w:val="00A52AC0"/>
    <w:rPr>
      <w:lang w:val="en-US" w:eastAsia="en-US"/>
    </w:rPr>
  </w:style>
  <w:style w:type="table" w:styleId="Tabel-Gitter">
    <w:name w:val="Table Grid"/>
    <w:basedOn w:val="Tabel-Normal"/>
    <w:uiPriority w:val="59"/>
    <w:rsid w:val="00A52A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9912">
      <w:bodyDiv w:val="1"/>
      <w:marLeft w:val="0"/>
      <w:marRight w:val="0"/>
      <w:marTop w:val="0"/>
      <w:marBottom w:val="0"/>
      <w:divBdr>
        <w:top w:val="none" w:sz="0" w:space="0" w:color="auto"/>
        <w:left w:val="none" w:sz="0" w:space="0" w:color="auto"/>
        <w:bottom w:val="none" w:sz="0" w:space="0" w:color="auto"/>
        <w:right w:val="none" w:sz="0" w:space="0" w:color="auto"/>
      </w:divBdr>
    </w:div>
    <w:div w:id="7656498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34377747">
      <w:bodyDiv w:val="1"/>
      <w:marLeft w:val="0"/>
      <w:marRight w:val="0"/>
      <w:marTop w:val="0"/>
      <w:marBottom w:val="0"/>
      <w:divBdr>
        <w:top w:val="none" w:sz="0" w:space="0" w:color="auto"/>
        <w:left w:val="none" w:sz="0" w:space="0" w:color="auto"/>
        <w:bottom w:val="none" w:sz="0" w:space="0" w:color="auto"/>
        <w:right w:val="none" w:sz="0" w:space="0" w:color="auto"/>
      </w:divBdr>
    </w:div>
    <w:div w:id="415826426">
      <w:bodyDiv w:val="1"/>
      <w:marLeft w:val="0"/>
      <w:marRight w:val="0"/>
      <w:marTop w:val="0"/>
      <w:marBottom w:val="0"/>
      <w:divBdr>
        <w:top w:val="none" w:sz="0" w:space="0" w:color="auto"/>
        <w:left w:val="none" w:sz="0" w:space="0" w:color="auto"/>
        <w:bottom w:val="none" w:sz="0" w:space="0" w:color="auto"/>
        <w:right w:val="none" w:sz="0" w:space="0" w:color="auto"/>
      </w:divBdr>
    </w:div>
    <w:div w:id="454063066">
      <w:bodyDiv w:val="1"/>
      <w:marLeft w:val="0"/>
      <w:marRight w:val="0"/>
      <w:marTop w:val="0"/>
      <w:marBottom w:val="0"/>
      <w:divBdr>
        <w:top w:val="none" w:sz="0" w:space="0" w:color="auto"/>
        <w:left w:val="none" w:sz="0" w:space="0" w:color="auto"/>
        <w:bottom w:val="none" w:sz="0" w:space="0" w:color="auto"/>
        <w:right w:val="none" w:sz="0" w:space="0" w:color="auto"/>
      </w:divBdr>
    </w:div>
    <w:div w:id="490489903">
      <w:bodyDiv w:val="1"/>
      <w:marLeft w:val="0"/>
      <w:marRight w:val="0"/>
      <w:marTop w:val="0"/>
      <w:marBottom w:val="0"/>
      <w:divBdr>
        <w:top w:val="none" w:sz="0" w:space="0" w:color="auto"/>
        <w:left w:val="none" w:sz="0" w:space="0" w:color="auto"/>
        <w:bottom w:val="none" w:sz="0" w:space="0" w:color="auto"/>
        <w:right w:val="none" w:sz="0" w:space="0" w:color="auto"/>
      </w:divBdr>
    </w:div>
    <w:div w:id="585385577">
      <w:bodyDiv w:val="1"/>
      <w:marLeft w:val="0"/>
      <w:marRight w:val="0"/>
      <w:marTop w:val="0"/>
      <w:marBottom w:val="0"/>
      <w:divBdr>
        <w:top w:val="none" w:sz="0" w:space="0" w:color="auto"/>
        <w:left w:val="none" w:sz="0" w:space="0" w:color="auto"/>
        <w:bottom w:val="none" w:sz="0" w:space="0" w:color="auto"/>
        <w:right w:val="none" w:sz="0" w:space="0" w:color="auto"/>
      </w:divBdr>
    </w:div>
    <w:div w:id="764569747">
      <w:bodyDiv w:val="1"/>
      <w:marLeft w:val="0"/>
      <w:marRight w:val="0"/>
      <w:marTop w:val="0"/>
      <w:marBottom w:val="0"/>
      <w:divBdr>
        <w:top w:val="none" w:sz="0" w:space="0" w:color="auto"/>
        <w:left w:val="none" w:sz="0" w:space="0" w:color="auto"/>
        <w:bottom w:val="none" w:sz="0" w:space="0" w:color="auto"/>
        <w:right w:val="none" w:sz="0" w:space="0" w:color="auto"/>
      </w:divBdr>
    </w:div>
    <w:div w:id="834565491">
      <w:bodyDiv w:val="1"/>
      <w:marLeft w:val="0"/>
      <w:marRight w:val="0"/>
      <w:marTop w:val="0"/>
      <w:marBottom w:val="0"/>
      <w:divBdr>
        <w:top w:val="none" w:sz="0" w:space="0" w:color="auto"/>
        <w:left w:val="none" w:sz="0" w:space="0" w:color="auto"/>
        <w:bottom w:val="none" w:sz="0" w:space="0" w:color="auto"/>
        <w:right w:val="none" w:sz="0" w:space="0" w:color="auto"/>
      </w:divBdr>
    </w:div>
    <w:div w:id="901987616">
      <w:bodyDiv w:val="1"/>
      <w:marLeft w:val="0"/>
      <w:marRight w:val="0"/>
      <w:marTop w:val="0"/>
      <w:marBottom w:val="0"/>
      <w:divBdr>
        <w:top w:val="none" w:sz="0" w:space="0" w:color="auto"/>
        <w:left w:val="none" w:sz="0" w:space="0" w:color="auto"/>
        <w:bottom w:val="none" w:sz="0" w:space="0" w:color="auto"/>
        <w:right w:val="none" w:sz="0" w:space="0" w:color="auto"/>
      </w:divBdr>
    </w:div>
    <w:div w:id="951668380">
      <w:bodyDiv w:val="1"/>
      <w:marLeft w:val="0"/>
      <w:marRight w:val="0"/>
      <w:marTop w:val="0"/>
      <w:marBottom w:val="0"/>
      <w:divBdr>
        <w:top w:val="none" w:sz="0" w:space="0" w:color="auto"/>
        <w:left w:val="none" w:sz="0" w:space="0" w:color="auto"/>
        <w:bottom w:val="none" w:sz="0" w:space="0" w:color="auto"/>
        <w:right w:val="none" w:sz="0" w:space="0" w:color="auto"/>
      </w:divBdr>
    </w:div>
    <w:div w:id="1087386377">
      <w:bodyDiv w:val="1"/>
      <w:marLeft w:val="0"/>
      <w:marRight w:val="0"/>
      <w:marTop w:val="0"/>
      <w:marBottom w:val="0"/>
      <w:divBdr>
        <w:top w:val="none" w:sz="0" w:space="0" w:color="auto"/>
        <w:left w:val="none" w:sz="0" w:space="0" w:color="auto"/>
        <w:bottom w:val="none" w:sz="0" w:space="0" w:color="auto"/>
        <w:right w:val="none" w:sz="0" w:space="0" w:color="auto"/>
      </w:divBdr>
    </w:div>
    <w:div w:id="1123960177">
      <w:bodyDiv w:val="1"/>
      <w:marLeft w:val="0"/>
      <w:marRight w:val="0"/>
      <w:marTop w:val="0"/>
      <w:marBottom w:val="0"/>
      <w:divBdr>
        <w:top w:val="none" w:sz="0" w:space="0" w:color="auto"/>
        <w:left w:val="none" w:sz="0" w:space="0" w:color="auto"/>
        <w:bottom w:val="none" w:sz="0" w:space="0" w:color="auto"/>
        <w:right w:val="none" w:sz="0" w:space="0" w:color="auto"/>
      </w:divBdr>
    </w:div>
    <w:div w:id="1200895579">
      <w:bodyDiv w:val="1"/>
      <w:marLeft w:val="0"/>
      <w:marRight w:val="0"/>
      <w:marTop w:val="0"/>
      <w:marBottom w:val="0"/>
      <w:divBdr>
        <w:top w:val="none" w:sz="0" w:space="0" w:color="auto"/>
        <w:left w:val="none" w:sz="0" w:space="0" w:color="auto"/>
        <w:bottom w:val="none" w:sz="0" w:space="0" w:color="auto"/>
        <w:right w:val="none" w:sz="0" w:space="0" w:color="auto"/>
      </w:divBdr>
    </w:div>
    <w:div w:id="1352219242">
      <w:bodyDiv w:val="1"/>
      <w:marLeft w:val="0"/>
      <w:marRight w:val="0"/>
      <w:marTop w:val="0"/>
      <w:marBottom w:val="0"/>
      <w:divBdr>
        <w:top w:val="none" w:sz="0" w:space="0" w:color="auto"/>
        <w:left w:val="none" w:sz="0" w:space="0" w:color="auto"/>
        <w:bottom w:val="none" w:sz="0" w:space="0" w:color="auto"/>
        <w:right w:val="none" w:sz="0" w:space="0" w:color="auto"/>
      </w:divBdr>
    </w:div>
    <w:div w:id="1353073251">
      <w:bodyDiv w:val="1"/>
      <w:marLeft w:val="0"/>
      <w:marRight w:val="0"/>
      <w:marTop w:val="0"/>
      <w:marBottom w:val="0"/>
      <w:divBdr>
        <w:top w:val="none" w:sz="0" w:space="0" w:color="auto"/>
        <w:left w:val="none" w:sz="0" w:space="0" w:color="auto"/>
        <w:bottom w:val="none" w:sz="0" w:space="0" w:color="auto"/>
        <w:right w:val="none" w:sz="0" w:space="0" w:color="auto"/>
      </w:divBdr>
    </w:div>
    <w:div w:id="1428425109">
      <w:bodyDiv w:val="1"/>
      <w:marLeft w:val="0"/>
      <w:marRight w:val="0"/>
      <w:marTop w:val="0"/>
      <w:marBottom w:val="0"/>
      <w:divBdr>
        <w:top w:val="none" w:sz="0" w:space="0" w:color="auto"/>
        <w:left w:val="none" w:sz="0" w:space="0" w:color="auto"/>
        <w:bottom w:val="none" w:sz="0" w:space="0" w:color="auto"/>
        <w:right w:val="none" w:sz="0" w:space="0" w:color="auto"/>
      </w:divBdr>
    </w:div>
    <w:div w:id="1449619280">
      <w:bodyDiv w:val="1"/>
      <w:marLeft w:val="0"/>
      <w:marRight w:val="0"/>
      <w:marTop w:val="0"/>
      <w:marBottom w:val="0"/>
      <w:divBdr>
        <w:top w:val="none" w:sz="0" w:space="0" w:color="auto"/>
        <w:left w:val="none" w:sz="0" w:space="0" w:color="auto"/>
        <w:bottom w:val="none" w:sz="0" w:space="0" w:color="auto"/>
        <w:right w:val="none" w:sz="0" w:space="0" w:color="auto"/>
      </w:divBdr>
    </w:div>
    <w:div w:id="1475414196">
      <w:bodyDiv w:val="1"/>
      <w:marLeft w:val="0"/>
      <w:marRight w:val="0"/>
      <w:marTop w:val="0"/>
      <w:marBottom w:val="0"/>
      <w:divBdr>
        <w:top w:val="none" w:sz="0" w:space="0" w:color="auto"/>
        <w:left w:val="none" w:sz="0" w:space="0" w:color="auto"/>
        <w:bottom w:val="none" w:sz="0" w:space="0" w:color="auto"/>
        <w:right w:val="none" w:sz="0" w:space="0" w:color="auto"/>
      </w:divBdr>
    </w:div>
    <w:div w:id="1745489030">
      <w:bodyDiv w:val="1"/>
      <w:marLeft w:val="0"/>
      <w:marRight w:val="0"/>
      <w:marTop w:val="0"/>
      <w:marBottom w:val="0"/>
      <w:divBdr>
        <w:top w:val="none" w:sz="0" w:space="0" w:color="auto"/>
        <w:left w:val="none" w:sz="0" w:space="0" w:color="auto"/>
        <w:bottom w:val="none" w:sz="0" w:space="0" w:color="auto"/>
        <w:right w:val="none" w:sz="0" w:space="0" w:color="auto"/>
      </w:divBdr>
    </w:div>
    <w:div w:id="1746756495">
      <w:bodyDiv w:val="1"/>
      <w:marLeft w:val="0"/>
      <w:marRight w:val="0"/>
      <w:marTop w:val="0"/>
      <w:marBottom w:val="0"/>
      <w:divBdr>
        <w:top w:val="none" w:sz="0" w:space="0" w:color="auto"/>
        <w:left w:val="none" w:sz="0" w:space="0" w:color="auto"/>
        <w:bottom w:val="none" w:sz="0" w:space="0" w:color="auto"/>
        <w:right w:val="none" w:sz="0" w:space="0" w:color="auto"/>
      </w:divBdr>
    </w:div>
    <w:div w:id="213951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eldenbivirkning.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17</TotalTime>
  <Pages>11</Pages>
  <Words>3123</Words>
  <Characters>20125</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2025011558, overgået til danske tekster</dc:description>
  <cp:lastModifiedBy>Gitte Jørgensen</cp:lastModifiedBy>
  <cp:revision>7</cp:revision>
  <cp:lastPrinted>2012-08-22T08:53:00Z</cp:lastPrinted>
  <dcterms:created xsi:type="dcterms:W3CDTF">2025-01-24T10:08:00Z</dcterms:created>
  <dcterms:modified xsi:type="dcterms:W3CDTF">2025-01-24T10:46:00Z</dcterms:modified>
</cp:coreProperties>
</file>