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8CDFA" w14:textId="77777777" w:rsidR="009260DE" w:rsidRPr="00275FA4" w:rsidRDefault="0021526C" w:rsidP="009260DE">
      <w:pPr>
        <w:rPr>
          <w:sz w:val="24"/>
          <w:szCs w:val="24"/>
        </w:rPr>
      </w:pPr>
      <w:bookmarkStart w:id="0" w:name="_GoBack"/>
      <w:bookmarkEnd w:id="0"/>
      <w:r w:rsidRPr="00275FA4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DDFCA60" wp14:editId="3D63C5E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275FA4">
        <w:rPr>
          <w:sz w:val="24"/>
          <w:szCs w:val="24"/>
        </w:rPr>
        <w:br w:type="textWrapping" w:clear="all"/>
      </w:r>
    </w:p>
    <w:p w14:paraId="7B75E290" w14:textId="38E2DA60" w:rsidR="009260DE" w:rsidRPr="00275FA4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275FA4">
        <w:rPr>
          <w:b w:val="0"/>
          <w:szCs w:val="24"/>
          <w:lang w:eastAsia="en-US"/>
        </w:rPr>
        <w:tab/>
      </w:r>
      <w:r w:rsidR="00275FA4" w:rsidRPr="00275FA4">
        <w:rPr>
          <w:szCs w:val="24"/>
        </w:rPr>
        <w:t>24. januar 2025</w:t>
      </w:r>
    </w:p>
    <w:p w14:paraId="7481A539" w14:textId="77777777" w:rsidR="009260DE" w:rsidRPr="00275FA4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CAC5FBD" w14:textId="77777777" w:rsidR="009260DE" w:rsidRPr="00275FA4" w:rsidRDefault="009260DE" w:rsidP="009260DE">
      <w:pPr>
        <w:pStyle w:val="Titel"/>
        <w:jc w:val="left"/>
        <w:rPr>
          <w:b w:val="0"/>
          <w:szCs w:val="24"/>
        </w:rPr>
      </w:pPr>
    </w:p>
    <w:p w14:paraId="6BE19C04" w14:textId="77777777" w:rsidR="009260DE" w:rsidRPr="00275FA4" w:rsidRDefault="009260DE" w:rsidP="009260DE">
      <w:pPr>
        <w:pStyle w:val="Titel"/>
        <w:jc w:val="left"/>
        <w:rPr>
          <w:b w:val="0"/>
          <w:szCs w:val="24"/>
        </w:rPr>
      </w:pPr>
    </w:p>
    <w:p w14:paraId="492B34CC" w14:textId="77777777" w:rsidR="009260DE" w:rsidRPr="00275FA4" w:rsidRDefault="009260DE" w:rsidP="009260DE">
      <w:pPr>
        <w:jc w:val="center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PRODUKTRESUMÉ</w:t>
      </w:r>
    </w:p>
    <w:p w14:paraId="19954CF4" w14:textId="77777777" w:rsidR="009260DE" w:rsidRPr="00275FA4" w:rsidRDefault="009260DE" w:rsidP="009260DE">
      <w:pPr>
        <w:jc w:val="center"/>
        <w:rPr>
          <w:b/>
          <w:sz w:val="24"/>
          <w:szCs w:val="24"/>
        </w:rPr>
      </w:pPr>
    </w:p>
    <w:p w14:paraId="0FB5F420" w14:textId="77777777" w:rsidR="009260DE" w:rsidRPr="00275FA4" w:rsidRDefault="009260DE" w:rsidP="009260DE">
      <w:pPr>
        <w:jc w:val="center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for</w:t>
      </w:r>
    </w:p>
    <w:p w14:paraId="52632E0A" w14:textId="77777777" w:rsidR="000B058C" w:rsidRPr="00275FA4" w:rsidRDefault="000B058C" w:rsidP="009260DE">
      <w:pPr>
        <w:jc w:val="center"/>
        <w:rPr>
          <w:b/>
          <w:sz w:val="24"/>
          <w:szCs w:val="24"/>
        </w:rPr>
      </w:pPr>
    </w:p>
    <w:p w14:paraId="41EA1B3C" w14:textId="50983E52" w:rsidR="009260DE" w:rsidRPr="00275FA4" w:rsidRDefault="0060518C" w:rsidP="009260DE">
      <w:pPr>
        <w:jc w:val="center"/>
        <w:rPr>
          <w:b/>
          <w:sz w:val="24"/>
          <w:szCs w:val="24"/>
        </w:rPr>
      </w:pPr>
      <w:proofErr w:type="spellStart"/>
      <w:r w:rsidRPr="00275FA4">
        <w:rPr>
          <w:b/>
          <w:sz w:val="24"/>
          <w:szCs w:val="24"/>
        </w:rPr>
        <w:t>Vizidorduo</w:t>
      </w:r>
      <w:proofErr w:type="spellEnd"/>
      <w:r w:rsidRPr="00275FA4">
        <w:rPr>
          <w:b/>
          <w:sz w:val="24"/>
          <w:szCs w:val="24"/>
        </w:rPr>
        <w:t>, øjendråber, opløsning</w:t>
      </w:r>
    </w:p>
    <w:p w14:paraId="4D23B253" w14:textId="77777777" w:rsidR="009260DE" w:rsidRPr="00275FA4" w:rsidRDefault="009260DE" w:rsidP="009260DE">
      <w:pPr>
        <w:jc w:val="both"/>
        <w:rPr>
          <w:sz w:val="24"/>
          <w:szCs w:val="24"/>
        </w:rPr>
      </w:pPr>
    </w:p>
    <w:p w14:paraId="6D7CF8B6" w14:textId="77777777" w:rsidR="009260DE" w:rsidRPr="00275FA4" w:rsidRDefault="009260DE" w:rsidP="009260DE">
      <w:pPr>
        <w:jc w:val="both"/>
        <w:rPr>
          <w:sz w:val="24"/>
          <w:szCs w:val="24"/>
        </w:rPr>
      </w:pPr>
    </w:p>
    <w:p w14:paraId="6E5E40CC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0.</w:t>
      </w:r>
      <w:r w:rsidRPr="00275FA4">
        <w:rPr>
          <w:b/>
          <w:sz w:val="24"/>
          <w:szCs w:val="24"/>
        </w:rPr>
        <w:tab/>
        <w:t>D.SP.NR.</w:t>
      </w:r>
    </w:p>
    <w:p w14:paraId="30E8B47E" w14:textId="2F1E7674" w:rsidR="009260DE" w:rsidRPr="00275FA4" w:rsidRDefault="0060518C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color w:val="000000"/>
          <w:sz w:val="24"/>
          <w:szCs w:val="24"/>
        </w:rPr>
        <w:t>29582</w:t>
      </w:r>
    </w:p>
    <w:p w14:paraId="6A610C47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20FD13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1.</w:t>
      </w:r>
      <w:r w:rsidRPr="00275FA4">
        <w:rPr>
          <w:b/>
          <w:sz w:val="24"/>
          <w:szCs w:val="24"/>
        </w:rPr>
        <w:tab/>
        <w:t>LÆGEMIDLETS NAVN</w:t>
      </w:r>
    </w:p>
    <w:p w14:paraId="1499905B" w14:textId="415D3A37" w:rsidR="009260DE" w:rsidRPr="00275FA4" w:rsidRDefault="0060518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Vizidorduo</w:t>
      </w:r>
      <w:proofErr w:type="spellEnd"/>
    </w:p>
    <w:p w14:paraId="6243AD5A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95E3BAC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2.</w:t>
      </w:r>
      <w:r w:rsidRPr="00275FA4">
        <w:rPr>
          <w:b/>
          <w:sz w:val="24"/>
          <w:szCs w:val="24"/>
        </w:rPr>
        <w:tab/>
        <w:t>KVALITATIV OG KVANTITATIV SAMMENSÆTNING</w:t>
      </w:r>
    </w:p>
    <w:p w14:paraId="76CCDB73" w14:textId="77777777" w:rsidR="00420790" w:rsidRPr="00275FA4" w:rsidRDefault="00420790" w:rsidP="00420790">
      <w:pPr>
        <w:suppressAutoHyphens/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Hver ml indeholder 20 mg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(som </w:t>
      </w:r>
      <w:proofErr w:type="spellStart"/>
      <w:r w:rsidRPr="00275FA4">
        <w:rPr>
          <w:sz w:val="24"/>
          <w:szCs w:val="24"/>
        </w:rPr>
        <w:t>hydrochlorid</w:t>
      </w:r>
      <w:proofErr w:type="spellEnd"/>
      <w:r w:rsidRPr="00275FA4">
        <w:rPr>
          <w:sz w:val="24"/>
          <w:szCs w:val="24"/>
        </w:rPr>
        <w:t xml:space="preserve">) og 5 mg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(som </w:t>
      </w:r>
      <w:proofErr w:type="spellStart"/>
      <w:r w:rsidRPr="00275FA4">
        <w:rPr>
          <w:sz w:val="24"/>
          <w:szCs w:val="24"/>
        </w:rPr>
        <w:t>maleat</w:t>
      </w:r>
      <w:proofErr w:type="spellEnd"/>
      <w:r w:rsidRPr="00275FA4">
        <w:rPr>
          <w:sz w:val="24"/>
          <w:szCs w:val="24"/>
        </w:rPr>
        <w:t>).</w:t>
      </w:r>
    </w:p>
    <w:p w14:paraId="2C0BB82D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58A55151" w14:textId="77777777" w:rsidR="00420790" w:rsidRPr="00275FA4" w:rsidRDefault="00420790" w:rsidP="00420790">
      <w:pPr>
        <w:spacing w:line="260" w:lineRule="exact"/>
        <w:ind w:left="851"/>
        <w:rPr>
          <w:sz w:val="24"/>
          <w:szCs w:val="24"/>
        </w:rPr>
      </w:pPr>
      <w:r w:rsidRPr="00275FA4">
        <w:rPr>
          <w:sz w:val="24"/>
          <w:szCs w:val="24"/>
        </w:rPr>
        <w:t>Alle hjælpestoffer er anført under pkt. 6.1.</w:t>
      </w:r>
    </w:p>
    <w:p w14:paraId="76A606BA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5CF21F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3.</w:t>
      </w:r>
      <w:r w:rsidRPr="00275FA4">
        <w:rPr>
          <w:b/>
          <w:sz w:val="24"/>
          <w:szCs w:val="24"/>
        </w:rPr>
        <w:tab/>
        <w:t>LÆGEMIDDELFORM</w:t>
      </w:r>
    </w:p>
    <w:p w14:paraId="635F7634" w14:textId="77777777" w:rsidR="00420790" w:rsidRPr="00275FA4" w:rsidRDefault="00420790" w:rsidP="00420790">
      <w:pPr>
        <w:pStyle w:val="Sidehoved"/>
        <w:tabs>
          <w:tab w:val="left" w:pos="1304"/>
        </w:tabs>
        <w:suppressAutoHyphens/>
        <w:ind w:left="851"/>
        <w:rPr>
          <w:szCs w:val="24"/>
        </w:rPr>
      </w:pPr>
      <w:r w:rsidRPr="00275FA4">
        <w:rPr>
          <w:szCs w:val="24"/>
        </w:rPr>
        <w:t>Øjendråber, opløsning</w:t>
      </w:r>
    </w:p>
    <w:p w14:paraId="604684AD" w14:textId="77777777" w:rsidR="00420790" w:rsidRPr="00275FA4" w:rsidRDefault="00420790" w:rsidP="00420790">
      <w:pPr>
        <w:suppressAutoHyphens/>
        <w:ind w:left="851"/>
        <w:rPr>
          <w:spacing w:val="-3"/>
          <w:sz w:val="24"/>
          <w:szCs w:val="24"/>
        </w:rPr>
      </w:pPr>
      <w:r w:rsidRPr="00275FA4">
        <w:rPr>
          <w:sz w:val="24"/>
          <w:szCs w:val="24"/>
        </w:rPr>
        <w:t>Klar, farveløs, let viskøs vandig opløsning med en pH-værdi mellem</w:t>
      </w:r>
      <w:r w:rsidRPr="00275FA4">
        <w:rPr>
          <w:spacing w:val="-3"/>
          <w:sz w:val="24"/>
          <w:szCs w:val="24"/>
        </w:rPr>
        <w:t xml:space="preserve"> 5,0 og 6,0 og en </w:t>
      </w:r>
      <w:proofErr w:type="spellStart"/>
      <w:r w:rsidRPr="00275FA4">
        <w:rPr>
          <w:spacing w:val="-3"/>
          <w:sz w:val="24"/>
          <w:szCs w:val="24"/>
        </w:rPr>
        <w:t>osmolalitet</w:t>
      </w:r>
      <w:proofErr w:type="spellEnd"/>
      <w:r w:rsidRPr="00275FA4">
        <w:rPr>
          <w:spacing w:val="-3"/>
          <w:sz w:val="24"/>
          <w:szCs w:val="24"/>
        </w:rPr>
        <w:t xml:space="preserve"> på 251‒289 </w:t>
      </w:r>
      <w:proofErr w:type="spellStart"/>
      <w:r w:rsidRPr="00275FA4">
        <w:rPr>
          <w:spacing w:val="-3"/>
          <w:sz w:val="24"/>
          <w:szCs w:val="24"/>
        </w:rPr>
        <w:t>mOsmol</w:t>
      </w:r>
      <w:proofErr w:type="spellEnd"/>
      <w:r w:rsidRPr="00275FA4">
        <w:rPr>
          <w:spacing w:val="-3"/>
          <w:sz w:val="24"/>
          <w:szCs w:val="24"/>
        </w:rPr>
        <w:t>/kg.</w:t>
      </w:r>
    </w:p>
    <w:p w14:paraId="2D50A96C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80696E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B596897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</w:t>
      </w:r>
      <w:r w:rsidRPr="00275FA4">
        <w:rPr>
          <w:b/>
          <w:sz w:val="24"/>
          <w:szCs w:val="24"/>
        </w:rPr>
        <w:tab/>
        <w:t>KLINISKE OPLYSNINGER</w:t>
      </w:r>
    </w:p>
    <w:p w14:paraId="300E5B92" w14:textId="77777777" w:rsidR="009260DE" w:rsidRPr="00275FA4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1DBCD7A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275FA4">
        <w:rPr>
          <w:b/>
          <w:sz w:val="24"/>
          <w:szCs w:val="24"/>
        </w:rPr>
        <w:t>4.1</w:t>
      </w:r>
      <w:r w:rsidRPr="00275FA4">
        <w:rPr>
          <w:b/>
          <w:sz w:val="24"/>
          <w:szCs w:val="24"/>
        </w:rPr>
        <w:tab/>
        <w:t>Terapeutiske indikationer</w:t>
      </w:r>
    </w:p>
    <w:p w14:paraId="722842BF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er indiceret til behandling af forhøjet </w:t>
      </w:r>
      <w:proofErr w:type="spellStart"/>
      <w:r w:rsidRPr="00275FA4">
        <w:rPr>
          <w:sz w:val="24"/>
          <w:szCs w:val="24"/>
        </w:rPr>
        <w:t>intraokulært</w:t>
      </w:r>
      <w:proofErr w:type="spellEnd"/>
      <w:r w:rsidRPr="00275FA4">
        <w:rPr>
          <w:sz w:val="24"/>
          <w:szCs w:val="24"/>
        </w:rPr>
        <w:t xml:space="preserve"> tryk (IOP) hos patienter med åbenvinklet eller </w:t>
      </w:r>
      <w:proofErr w:type="spellStart"/>
      <w:r w:rsidRPr="00275FA4">
        <w:rPr>
          <w:sz w:val="24"/>
          <w:szCs w:val="24"/>
        </w:rPr>
        <w:t>pseudoeksfoliativt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glaukom</w:t>
      </w:r>
      <w:proofErr w:type="spellEnd"/>
      <w:r w:rsidRPr="00275FA4">
        <w:rPr>
          <w:sz w:val="24"/>
          <w:szCs w:val="24"/>
        </w:rPr>
        <w:t xml:space="preserve">, når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betablokker monoterapi er utilstrækkelig.</w:t>
      </w:r>
    </w:p>
    <w:p w14:paraId="70840648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F1FEBB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4.2</w:t>
      </w:r>
      <w:r w:rsidRPr="00275FA4">
        <w:rPr>
          <w:b/>
          <w:sz w:val="24"/>
          <w:szCs w:val="24"/>
        </w:rPr>
        <w:tab/>
        <w:t xml:space="preserve">Dosering og </w:t>
      </w:r>
      <w:r w:rsidR="002C1EC0" w:rsidRPr="00275FA4">
        <w:rPr>
          <w:b/>
          <w:sz w:val="24"/>
          <w:szCs w:val="24"/>
        </w:rPr>
        <w:t>administration</w:t>
      </w:r>
    </w:p>
    <w:p w14:paraId="3DD9DBEA" w14:textId="77777777" w:rsidR="00275FA4" w:rsidRDefault="00275FA4" w:rsidP="00420790">
      <w:pPr>
        <w:ind w:left="851"/>
        <w:rPr>
          <w:sz w:val="24"/>
          <w:szCs w:val="24"/>
          <w:u w:val="single"/>
        </w:rPr>
      </w:pPr>
    </w:p>
    <w:p w14:paraId="2C52FEAE" w14:textId="5B1B3555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Dosering</w:t>
      </w:r>
    </w:p>
    <w:p w14:paraId="07012C2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Dosis er én dråbe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(i </w:t>
      </w:r>
      <w:proofErr w:type="spellStart"/>
      <w:r w:rsidRPr="00275FA4">
        <w:rPr>
          <w:sz w:val="24"/>
          <w:szCs w:val="24"/>
        </w:rPr>
        <w:t>konjunktivalsækken</w:t>
      </w:r>
      <w:proofErr w:type="spellEnd"/>
      <w:r w:rsidRPr="00275FA4">
        <w:rPr>
          <w:sz w:val="24"/>
          <w:szCs w:val="24"/>
        </w:rPr>
        <w:t>) i de(t) berørte øjne(øje) to gange dagligt.</w:t>
      </w:r>
    </w:p>
    <w:p w14:paraId="5307EE4B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Hvis et andet </w:t>
      </w:r>
      <w:proofErr w:type="spellStart"/>
      <w:r w:rsidRPr="00275FA4">
        <w:rPr>
          <w:sz w:val="24"/>
          <w:szCs w:val="24"/>
        </w:rPr>
        <w:t>topikalt</w:t>
      </w:r>
      <w:proofErr w:type="spellEnd"/>
      <w:r w:rsidRPr="00275FA4">
        <w:rPr>
          <w:sz w:val="24"/>
          <w:szCs w:val="24"/>
        </w:rPr>
        <w:t xml:space="preserve"> øjenpræparat anvendes, skal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og det andet præparat administreres med mindst 10 minutters mellemrum.</w:t>
      </w:r>
    </w:p>
    <w:p w14:paraId="724DA56F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color w:val="000000" w:themeColor="text1"/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</w:t>
      </w:r>
      <w:r w:rsidRPr="00275FA4">
        <w:rPr>
          <w:color w:val="222222"/>
          <w:sz w:val="24"/>
          <w:szCs w:val="24"/>
        </w:rPr>
        <w:t>øjendråber er en steril opløsning, som ikke indeholder konserveringsmiddel.</w:t>
      </w:r>
    </w:p>
    <w:p w14:paraId="27D08CA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Opløsningen fra flerdosisbeholderen må anvendes til administration i de(t) berørte øjne(øje) i op til 28 dage efter første anbrud.</w:t>
      </w:r>
    </w:p>
    <w:p w14:paraId="06AFFFB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8F0DEC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lastRenderedPageBreak/>
        <w:t>Patienter bør instrueres i at vaske hænder før brug og undgå berøring af øjet eller øjenomgivelserne med spidsen af flasken, da dette kan forårsage øjenskader.</w:t>
      </w:r>
    </w:p>
    <w:p w14:paraId="3BA02C7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Patienter bør også instrueres i, at øjendråber, hvis de håndteres forkert, kan blive kontamineret af almindelige bakterier, som er kendt for at forårsage øjeninfektioner. Anvendelse af kontaminerede opløsninger kan resultere i alvorlige skader på øjet og efterfølgende synstab. </w:t>
      </w:r>
    </w:p>
    <w:p w14:paraId="0AD6FB2C" w14:textId="77777777" w:rsidR="00420790" w:rsidRPr="00275FA4" w:rsidRDefault="00420790" w:rsidP="00420790">
      <w:pPr>
        <w:ind w:left="851"/>
        <w:rPr>
          <w:iCs/>
          <w:sz w:val="24"/>
          <w:szCs w:val="24"/>
          <w:u w:val="single"/>
        </w:rPr>
      </w:pPr>
    </w:p>
    <w:p w14:paraId="746E78F5" w14:textId="77777777" w:rsidR="00420790" w:rsidRPr="00275FA4" w:rsidRDefault="00420790" w:rsidP="00420790">
      <w:pPr>
        <w:ind w:left="851"/>
        <w:rPr>
          <w:iCs/>
          <w:sz w:val="24"/>
          <w:szCs w:val="24"/>
        </w:rPr>
      </w:pPr>
      <w:r w:rsidRPr="00275FA4">
        <w:rPr>
          <w:iCs/>
          <w:sz w:val="24"/>
          <w:szCs w:val="24"/>
        </w:rPr>
        <w:t xml:space="preserve">Ved brug af </w:t>
      </w:r>
      <w:proofErr w:type="spellStart"/>
      <w:r w:rsidRPr="00275FA4">
        <w:rPr>
          <w:iCs/>
          <w:sz w:val="24"/>
          <w:szCs w:val="24"/>
        </w:rPr>
        <w:t>nasolakrimal</w:t>
      </w:r>
      <w:proofErr w:type="spellEnd"/>
      <w:r w:rsidRPr="00275FA4">
        <w:rPr>
          <w:iCs/>
          <w:sz w:val="24"/>
          <w:szCs w:val="24"/>
        </w:rPr>
        <w:t xml:space="preserve"> </w:t>
      </w:r>
      <w:proofErr w:type="spellStart"/>
      <w:r w:rsidRPr="00275FA4">
        <w:rPr>
          <w:iCs/>
          <w:sz w:val="24"/>
          <w:szCs w:val="24"/>
        </w:rPr>
        <w:t>okklusion</w:t>
      </w:r>
      <w:proofErr w:type="spellEnd"/>
      <w:r w:rsidRPr="00275FA4">
        <w:rPr>
          <w:iCs/>
          <w:sz w:val="24"/>
          <w:szCs w:val="24"/>
        </w:rPr>
        <w:t xml:space="preserve"> eller lukning af øjenlågene i 2 minutter, reduceres den systemiske absorption. Dette kan resultere i et fald i systemiske bivirkninger og en stigning i lokal aktivitet. </w:t>
      </w:r>
    </w:p>
    <w:p w14:paraId="4D235520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</w:p>
    <w:p w14:paraId="5F858BDB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Administration</w:t>
      </w:r>
    </w:p>
    <w:p w14:paraId="21534B98" w14:textId="77777777" w:rsidR="00420790" w:rsidRPr="00275FA4" w:rsidRDefault="00420790" w:rsidP="00420790">
      <w:pPr>
        <w:ind w:left="851"/>
        <w:rPr>
          <w:iCs/>
          <w:sz w:val="24"/>
          <w:szCs w:val="24"/>
        </w:rPr>
      </w:pPr>
    </w:p>
    <w:p w14:paraId="1387C370" w14:textId="77777777" w:rsidR="00420790" w:rsidRPr="00275FA4" w:rsidRDefault="00420790" w:rsidP="00420790">
      <w:pPr>
        <w:ind w:left="851"/>
        <w:rPr>
          <w:b/>
          <w:color w:val="222222"/>
          <w:sz w:val="24"/>
          <w:szCs w:val="24"/>
        </w:rPr>
      </w:pPr>
      <w:r w:rsidRPr="00275FA4">
        <w:rPr>
          <w:b/>
          <w:color w:val="222222"/>
          <w:sz w:val="24"/>
          <w:szCs w:val="24"/>
        </w:rPr>
        <w:t xml:space="preserve">Før </w:t>
      </w:r>
      <w:proofErr w:type="spellStart"/>
      <w:r w:rsidRPr="00275FA4">
        <w:rPr>
          <w:b/>
          <w:color w:val="222222"/>
          <w:sz w:val="24"/>
          <w:szCs w:val="24"/>
        </w:rPr>
        <w:t>inddrypning</w:t>
      </w:r>
      <w:proofErr w:type="spellEnd"/>
      <w:r w:rsidRPr="00275FA4">
        <w:rPr>
          <w:b/>
          <w:color w:val="222222"/>
          <w:sz w:val="24"/>
          <w:szCs w:val="24"/>
        </w:rPr>
        <w:t xml:space="preserve"> af øjendråber:</w:t>
      </w:r>
    </w:p>
    <w:p w14:paraId="5A616286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50D896A" w14:textId="77777777" w:rsidR="00420790" w:rsidRPr="00275FA4" w:rsidRDefault="00420790" w:rsidP="00420790">
      <w:pPr>
        <w:pStyle w:val="Listeafsnit"/>
        <w:numPr>
          <w:ilvl w:val="0"/>
          <w:numId w:val="6"/>
        </w:numPr>
        <w:ind w:left="1418" w:hanging="567"/>
        <w:rPr>
          <w:sz w:val="24"/>
          <w:szCs w:val="24"/>
        </w:rPr>
      </w:pPr>
      <w:r w:rsidRPr="00275FA4">
        <w:rPr>
          <w:sz w:val="24"/>
          <w:szCs w:val="24"/>
        </w:rPr>
        <w:t>Patienterne bør instrueres i at vaske hænder, før flasken åbnes.</w:t>
      </w:r>
    </w:p>
    <w:p w14:paraId="535DA66F" w14:textId="77777777" w:rsidR="00420790" w:rsidRPr="00275FA4" w:rsidRDefault="00420790" w:rsidP="00420790">
      <w:pPr>
        <w:pStyle w:val="Listeafsnit"/>
        <w:numPr>
          <w:ilvl w:val="0"/>
          <w:numId w:val="6"/>
        </w:numPr>
        <w:ind w:left="1418" w:hanging="567"/>
        <w:rPr>
          <w:sz w:val="24"/>
          <w:szCs w:val="24"/>
        </w:rPr>
      </w:pPr>
      <w:r w:rsidRPr="00275FA4">
        <w:rPr>
          <w:sz w:val="24"/>
          <w:szCs w:val="24"/>
        </w:rPr>
        <w:t xml:space="preserve">Patienterne bør også instrueres i, at de ikke må anvende lægemidlet, hvis forseglingen på flaskens hals er brudt før første anvendelse. </w:t>
      </w:r>
    </w:p>
    <w:p w14:paraId="4AC6E4FD" w14:textId="77777777" w:rsidR="00420790" w:rsidRPr="00275FA4" w:rsidRDefault="00420790" w:rsidP="00420790">
      <w:pPr>
        <w:pStyle w:val="Listeafsnit"/>
        <w:numPr>
          <w:ilvl w:val="0"/>
          <w:numId w:val="6"/>
        </w:numPr>
        <w:ind w:left="1418" w:hanging="567"/>
        <w:rPr>
          <w:sz w:val="24"/>
          <w:szCs w:val="24"/>
        </w:rPr>
      </w:pPr>
      <w:r w:rsidRPr="00275FA4">
        <w:rPr>
          <w:sz w:val="24"/>
          <w:szCs w:val="24"/>
        </w:rPr>
        <w:t xml:space="preserve">Når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bruges for første gang, bør patienten øve sig i at bruge doseringsflasken ved at klemme den langsomt for at administrere en dråbe i luften, væk fra øjet. </w:t>
      </w:r>
    </w:p>
    <w:p w14:paraId="4B4B90A1" w14:textId="77777777" w:rsidR="00420790" w:rsidRPr="00275FA4" w:rsidRDefault="00420790" w:rsidP="00420790">
      <w:pPr>
        <w:pStyle w:val="Listeafsnit"/>
        <w:numPr>
          <w:ilvl w:val="0"/>
          <w:numId w:val="6"/>
        </w:numPr>
        <w:ind w:left="1418" w:hanging="567"/>
        <w:rPr>
          <w:sz w:val="24"/>
          <w:szCs w:val="24"/>
        </w:rPr>
      </w:pPr>
      <w:r w:rsidRPr="00275FA4">
        <w:rPr>
          <w:sz w:val="24"/>
          <w:szCs w:val="24"/>
        </w:rPr>
        <w:t xml:space="preserve">Når patienten føler sig sikker på at kunne administrere en dråbe ad gangen, skal patienten indtage den position, der er mest behagelig ved </w:t>
      </w:r>
      <w:proofErr w:type="spellStart"/>
      <w:r w:rsidRPr="00275FA4">
        <w:rPr>
          <w:sz w:val="24"/>
          <w:szCs w:val="24"/>
        </w:rPr>
        <w:t>inddrypning</w:t>
      </w:r>
      <w:proofErr w:type="spellEnd"/>
      <w:r w:rsidRPr="00275FA4">
        <w:rPr>
          <w:sz w:val="24"/>
          <w:szCs w:val="24"/>
        </w:rPr>
        <w:t xml:space="preserve"> af øjendråberne (patienten kan sidde ned, ligge på ryggen, eller stå foran et spejl).</w:t>
      </w:r>
    </w:p>
    <w:p w14:paraId="2CF85EB6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4F562703" w14:textId="77777777" w:rsidR="00420790" w:rsidRPr="00275FA4" w:rsidRDefault="00420790" w:rsidP="00420790">
      <w:pPr>
        <w:ind w:left="851"/>
        <w:rPr>
          <w:b/>
          <w:sz w:val="24"/>
          <w:szCs w:val="24"/>
        </w:rPr>
      </w:pPr>
      <w:proofErr w:type="spellStart"/>
      <w:r w:rsidRPr="00275FA4">
        <w:rPr>
          <w:b/>
          <w:sz w:val="24"/>
          <w:szCs w:val="24"/>
        </w:rPr>
        <w:t>Inddrypning</w:t>
      </w:r>
      <w:proofErr w:type="spellEnd"/>
      <w:r w:rsidRPr="00275FA4">
        <w:rPr>
          <w:b/>
          <w:sz w:val="24"/>
          <w:szCs w:val="24"/>
        </w:rPr>
        <w:t>:</w:t>
      </w:r>
    </w:p>
    <w:p w14:paraId="37236F17" w14:textId="77777777" w:rsidR="00420790" w:rsidRPr="00275FA4" w:rsidRDefault="00420790" w:rsidP="00420790">
      <w:pPr>
        <w:ind w:left="851"/>
        <w:rPr>
          <w:b/>
          <w:sz w:val="24"/>
          <w:szCs w:val="24"/>
        </w:rPr>
      </w:pPr>
    </w:p>
    <w:p w14:paraId="65698664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color w:val="222222"/>
          <w:sz w:val="24"/>
          <w:szCs w:val="24"/>
        </w:rPr>
        <w:t>Flasken bør holdes direkte under hætten, og hætten skal drejes for at åbne flasken. For at undgå kontaminering af opløsningen, må spidsen af flasken ikke røre ved noget.</w:t>
      </w:r>
    </w:p>
    <w:p w14:paraId="1C559DA5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1B8D8B53" w14:textId="7C3DB641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noProof/>
          <w:sz w:val="24"/>
          <w:szCs w:val="24"/>
          <w:lang w:eastAsia="da-DK"/>
        </w:rPr>
        <w:drawing>
          <wp:inline distT="0" distB="0" distL="0" distR="0" wp14:anchorId="570E344A" wp14:editId="1A1A4109">
            <wp:extent cx="1272540" cy="1150620"/>
            <wp:effectExtent l="0" t="0" r="381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6B477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7E5ED62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Patienten skal bøje hovedet bagover og holde flasken over øjet. </w:t>
      </w:r>
    </w:p>
    <w:p w14:paraId="1AD08C44" w14:textId="4D418F16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noProof/>
          <w:sz w:val="24"/>
          <w:szCs w:val="24"/>
          <w:lang w:eastAsia="da-DK"/>
        </w:rPr>
        <w:drawing>
          <wp:inline distT="0" distB="0" distL="0" distR="0" wp14:anchorId="56F8DBEA" wp14:editId="1FF320E4">
            <wp:extent cx="914400" cy="853440"/>
            <wp:effectExtent l="0" t="0" r="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1C101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Patienten skal trække ned i det nederste øjenlåg og kigge op. Flasken </w:t>
      </w:r>
      <w:r w:rsidRPr="00275FA4">
        <w:rPr>
          <w:color w:val="222222"/>
          <w:sz w:val="24"/>
          <w:szCs w:val="24"/>
        </w:rPr>
        <w:t xml:space="preserve">skal klemmes forsigtigt på midten, så en dråbe kan falde ned i patientens øje. Bemærk, at der kan være nogle få sekunders forsinkelse, fra man klemmer flasken, til dråben kommer ud. Flasken må ikke klemmes for hårdt. </w:t>
      </w:r>
    </w:p>
    <w:p w14:paraId="517614F6" w14:textId="77777777" w:rsidR="00420790" w:rsidRPr="00275FA4" w:rsidRDefault="00420790" w:rsidP="00275FA4">
      <w:pPr>
        <w:ind w:left="1701" w:hanging="425"/>
        <w:rPr>
          <w:sz w:val="24"/>
          <w:szCs w:val="24"/>
        </w:rPr>
      </w:pPr>
    </w:p>
    <w:p w14:paraId="3A0EF3CA" w14:textId="77777777" w:rsidR="00420790" w:rsidRPr="00275FA4" w:rsidRDefault="00420790" w:rsidP="00275FA4">
      <w:pPr>
        <w:ind w:left="1276"/>
        <w:rPr>
          <w:color w:val="222222"/>
          <w:sz w:val="24"/>
          <w:szCs w:val="24"/>
        </w:rPr>
      </w:pPr>
      <w:r w:rsidRPr="00275FA4">
        <w:rPr>
          <w:color w:val="222222"/>
          <w:sz w:val="24"/>
          <w:szCs w:val="24"/>
        </w:rPr>
        <w:t>Patienterne skal instrueres i at søge råd hos deres læge, apotekspersonalet eller sygeplejersken, hvis de ikke er sikker på, hvordan de skal administrere deres lægemiddel.</w:t>
      </w:r>
    </w:p>
    <w:p w14:paraId="6AAB5EBA" w14:textId="0159D3BE" w:rsidR="00420790" w:rsidRDefault="00420790" w:rsidP="00420790">
      <w:pPr>
        <w:ind w:left="851"/>
        <w:rPr>
          <w:sz w:val="24"/>
          <w:szCs w:val="24"/>
        </w:rPr>
      </w:pPr>
      <w:r w:rsidRPr="00275FA4">
        <w:rPr>
          <w:noProof/>
          <w:sz w:val="24"/>
          <w:szCs w:val="24"/>
          <w:lang w:eastAsia="da-DK"/>
        </w:rPr>
        <w:lastRenderedPageBreak/>
        <w:drawing>
          <wp:inline distT="0" distB="0" distL="0" distR="0" wp14:anchorId="24198277" wp14:editId="3E750959">
            <wp:extent cx="1295400" cy="11887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CE22F" w14:textId="77777777" w:rsidR="00275FA4" w:rsidRPr="00275FA4" w:rsidRDefault="00275FA4" w:rsidP="00420790">
      <w:pPr>
        <w:ind w:left="851"/>
        <w:rPr>
          <w:sz w:val="24"/>
          <w:szCs w:val="24"/>
        </w:rPr>
      </w:pPr>
    </w:p>
    <w:p w14:paraId="4B5DF750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>Patienten skal blinke med øjet nogle få gange, så dråben spredes i øjet.</w:t>
      </w:r>
    </w:p>
    <w:p w14:paraId="6EE5878F" w14:textId="77777777" w:rsidR="00420790" w:rsidRPr="00275FA4" w:rsidRDefault="00420790" w:rsidP="00275FA4">
      <w:pPr>
        <w:ind w:left="1276" w:hanging="425"/>
        <w:rPr>
          <w:sz w:val="24"/>
          <w:szCs w:val="24"/>
        </w:rPr>
      </w:pPr>
    </w:p>
    <w:p w14:paraId="768E6E6F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>Patienten skal lukke øjet og presse på øjenkrogen med en finger i ca. to minutter. Dette er med til at forhindre, at lægemidlet kommer ud i resten af kroppen.</w:t>
      </w:r>
    </w:p>
    <w:p w14:paraId="512F9155" w14:textId="77777777" w:rsidR="00420790" w:rsidRPr="00275FA4" w:rsidRDefault="00420790" w:rsidP="00275FA4">
      <w:pPr>
        <w:ind w:left="1276" w:hanging="425"/>
        <w:rPr>
          <w:sz w:val="24"/>
          <w:szCs w:val="24"/>
        </w:rPr>
      </w:pPr>
    </w:p>
    <w:p w14:paraId="28E75135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color w:val="222222"/>
          <w:sz w:val="24"/>
          <w:szCs w:val="24"/>
        </w:rPr>
        <w:t>Vejledningens punkt 2 – 5 skal gentages for administration i det andet øje, om nødvendigt. Patienten skal tydeligt informeres om, hvis kun det ene øje kræver behandling, og i så fald, hvilket øje det drejer sig om.</w:t>
      </w:r>
    </w:p>
    <w:p w14:paraId="4D23243D" w14:textId="7EF7C02F" w:rsidR="00420790" w:rsidRDefault="00420790" w:rsidP="00420790">
      <w:pPr>
        <w:ind w:left="851"/>
        <w:rPr>
          <w:sz w:val="24"/>
          <w:szCs w:val="24"/>
        </w:rPr>
      </w:pPr>
      <w:r w:rsidRPr="00275FA4">
        <w:rPr>
          <w:noProof/>
          <w:sz w:val="24"/>
          <w:szCs w:val="24"/>
          <w:lang w:eastAsia="da-DK"/>
        </w:rPr>
        <w:drawing>
          <wp:inline distT="0" distB="0" distL="0" distR="0" wp14:anchorId="01AEDCA3" wp14:editId="5C841818">
            <wp:extent cx="1348740" cy="1539240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4C8A8" w14:textId="77777777" w:rsidR="00275FA4" w:rsidRPr="00275FA4" w:rsidRDefault="00275FA4" w:rsidP="00420790">
      <w:pPr>
        <w:ind w:left="851"/>
        <w:rPr>
          <w:sz w:val="24"/>
          <w:szCs w:val="24"/>
        </w:rPr>
      </w:pPr>
    </w:p>
    <w:p w14:paraId="583204A9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Efter brug og før hætten sættes på, </w:t>
      </w:r>
      <w:r w:rsidRPr="00275FA4">
        <w:rPr>
          <w:color w:val="222222"/>
          <w:sz w:val="24"/>
          <w:szCs w:val="24"/>
        </w:rPr>
        <w:t>skal flasken rystes én gang i en nedadgående retning, uden at røre dråbespidsen, for at fjerne evt. resterende væske på spidsen. Dette er nødvendigt for at sikre administration af efterfølgende dråber.</w:t>
      </w:r>
    </w:p>
    <w:p w14:paraId="11E9B2B2" w14:textId="77777777" w:rsidR="00420790" w:rsidRPr="00275FA4" w:rsidRDefault="00420790" w:rsidP="00275FA4">
      <w:pPr>
        <w:pStyle w:val="Listeafsnit"/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 </w:t>
      </w:r>
    </w:p>
    <w:p w14:paraId="4D790E56" w14:textId="77777777" w:rsidR="00420790" w:rsidRPr="00275FA4" w:rsidRDefault="00420790" w:rsidP="00275FA4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275FA4">
        <w:rPr>
          <w:color w:val="222222"/>
          <w:sz w:val="24"/>
          <w:szCs w:val="24"/>
        </w:rPr>
        <w:t xml:space="preserve">Efter alle doser er brugt, vil der stadig være noget </w:t>
      </w:r>
      <w:proofErr w:type="spellStart"/>
      <w:r w:rsidRPr="00275FA4">
        <w:rPr>
          <w:color w:val="000000" w:themeColor="text1"/>
          <w:sz w:val="24"/>
          <w:szCs w:val="24"/>
        </w:rPr>
        <w:t>Vizidorduo</w:t>
      </w:r>
      <w:proofErr w:type="spellEnd"/>
      <w:r w:rsidRPr="00275FA4">
        <w:rPr>
          <w:color w:val="222222"/>
          <w:sz w:val="24"/>
          <w:szCs w:val="24"/>
        </w:rPr>
        <w:t xml:space="preserve"> tilbage i flasken. Patienten skal ikke være bekymret, da en ekstra mængde </w:t>
      </w:r>
      <w:proofErr w:type="spellStart"/>
      <w:r w:rsidRPr="00275FA4">
        <w:rPr>
          <w:color w:val="000000" w:themeColor="text1"/>
          <w:sz w:val="24"/>
          <w:szCs w:val="24"/>
        </w:rPr>
        <w:t>Vizidorduo</w:t>
      </w:r>
      <w:proofErr w:type="spellEnd"/>
      <w:r w:rsidRPr="00275FA4">
        <w:rPr>
          <w:color w:val="222222"/>
          <w:sz w:val="24"/>
          <w:szCs w:val="24"/>
        </w:rPr>
        <w:t xml:space="preserve"> er blevet tilføjet til flasken, og patienten vil få den fulde mængde </w:t>
      </w:r>
      <w:proofErr w:type="spellStart"/>
      <w:r w:rsidRPr="00275FA4">
        <w:rPr>
          <w:color w:val="000000" w:themeColor="text1"/>
          <w:sz w:val="24"/>
          <w:szCs w:val="24"/>
        </w:rPr>
        <w:t>Vizidorduo</w:t>
      </w:r>
      <w:proofErr w:type="spellEnd"/>
      <w:r w:rsidRPr="00275FA4">
        <w:rPr>
          <w:color w:val="222222"/>
          <w:sz w:val="24"/>
          <w:szCs w:val="24"/>
        </w:rPr>
        <w:t>, som lægen har ordineret. Patienten bør ikke forsøge at bruge det overskydende lægemiddel, der er tilbage i flasken efter at behandlingen er afsluttet.</w:t>
      </w:r>
    </w:p>
    <w:p w14:paraId="3827D182" w14:textId="77777777" w:rsidR="00420790" w:rsidRPr="00275FA4" w:rsidRDefault="00420790" w:rsidP="00420790">
      <w:pPr>
        <w:pStyle w:val="Listeafsnit"/>
        <w:ind w:left="851"/>
        <w:rPr>
          <w:sz w:val="24"/>
          <w:szCs w:val="24"/>
        </w:rPr>
      </w:pPr>
    </w:p>
    <w:p w14:paraId="6A9D4104" w14:textId="77777777" w:rsidR="00420790" w:rsidRPr="00275FA4" w:rsidRDefault="00420790" w:rsidP="00420790">
      <w:pPr>
        <w:ind w:left="851"/>
        <w:rPr>
          <w:color w:val="222222"/>
          <w:sz w:val="24"/>
          <w:szCs w:val="24"/>
        </w:rPr>
      </w:pPr>
      <w:r w:rsidRPr="00275FA4">
        <w:rPr>
          <w:color w:val="222222"/>
          <w:sz w:val="24"/>
          <w:szCs w:val="24"/>
        </w:rPr>
        <w:t>Patienten må ikke bruge øjendråberne i mere end 28 dage efter første anbrud af flasken.</w:t>
      </w:r>
    </w:p>
    <w:p w14:paraId="2DD419A9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</w:p>
    <w:p w14:paraId="3CE92EC1" w14:textId="77777777" w:rsidR="00420790" w:rsidRPr="00275FA4" w:rsidRDefault="00420790" w:rsidP="00420790">
      <w:pPr>
        <w:ind w:left="851"/>
        <w:rPr>
          <w:i/>
          <w:iCs/>
          <w:sz w:val="24"/>
          <w:szCs w:val="24"/>
        </w:rPr>
      </w:pPr>
      <w:r w:rsidRPr="00275FA4">
        <w:rPr>
          <w:i/>
          <w:iCs/>
          <w:sz w:val="24"/>
          <w:szCs w:val="24"/>
        </w:rPr>
        <w:t>Pædiatrisk population</w:t>
      </w:r>
    </w:p>
    <w:p w14:paraId="58B36B18" w14:textId="77777777" w:rsidR="00420790" w:rsidRPr="00275FA4" w:rsidRDefault="00420790" w:rsidP="00420790">
      <w:pPr>
        <w:ind w:left="851"/>
        <w:rPr>
          <w:iCs/>
          <w:sz w:val="24"/>
          <w:szCs w:val="24"/>
        </w:rPr>
      </w:pPr>
      <w:r w:rsidRPr="00275FA4">
        <w:rPr>
          <w:rStyle w:val="shorttext"/>
          <w:color w:val="222222"/>
          <w:sz w:val="24"/>
          <w:szCs w:val="24"/>
        </w:rPr>
        <w:t>Virkningen hos børn er ikke klarlagt.</w:t>
      </w:r>
    </w:p>
    <w:p w14:paraId="76204E68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Sikkerheden hos børn under 2 år er ikke klarlagt. (For information om sikkerheden hos patienter </w:t>
      </w:r>
      <w:r w:rsidRPr="00275FA4">
        <w:rPr>
          <w:sz w:val="24"/>
          <w:szCs w:val="24"/>
          <w:lang w:eastAsia="el-GR"/>
        </w:rPr>
        <w:t>≥ 2 år og &lt; 6 år, se pkt. 5.1).</w:t>
      </w:r>
    </w:p>
    <w:p w14:paraId="5931A1D0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01996A1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4.3</w:t>
      </w:r>
      <w:r w:rsidRPr="00275FA4">
        <w:rPr>
          <w:b/>
          <w:sz w:val="24"/>
          <w:szCs w:val="24"/>
        </w:rPr>
        <w:tab/>
        <w:t>Kontraindikationer</w:t>
      </w:r>
    </w:p>
    <w:p w14:paraId="12059866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color w:val="000000" w:themeColor="text1"/>
          <w:sz w:val="24"/>
          <w:szCs w:val="24"/>
        </w:rPr>
        <w:t>Vizidorduo</w:t>
      </w:r>
      <w:proofErr w:type="spellEnd"/>
      <w:r w:rsidRPr="00275FA4">
        <w:rPr>
          <w:color w:val="222222"/>
          <w:sz w:val="24"/>
          <w:szCs w:val="24"/>
        </w:rPr>
        <w:t xml:space="preserve"> </w:t>
      </w:r>
      <w:r w:rsidRPr="00275FA4">
        <w:rPr>
          <w:sz w:val="24"/>
          <w:szCs w:val="24"/>
        </w:rPr>
        <w:t>er kontraindiceret til patienter med:</w:t>
      </w:r>
    </w:p>
    <w:p w14:paraId="7BB445C3" w14:textId="77777777" w:rsidR="00420790" w:rsidRPr="00275FA4" w:rsidRDefault="00420790" w:rsidP="004971CE">
      <w:pPr>
        <w:pStyle w:val="ListParagraph1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reaktiv luftvejssygdom, herunder bronkial astma eller bronkial astma i anamnesen, eller svær kronisk obstruktiv lungesygdom </w:t>
      </w:r>
    </w:p>
    <w:p w14:paraId="4DE53955" w14:textId="77777777" w:rsidR="00420790" w:rsidRPr="00275FA4" w:rsidRDefault="00420790" w:rsidP="004971CE">
      <w:pPr>
        <w:pStyle w:val="ListParagraph1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 xml:space="preserve">sinusbradykardi, sygt sinussyndrom, </w:t>
      </w:r>
      <w:proofErr w:type="spellStart"/>
      <w:r w:rsidRPr="00275FA4">
        <w:rPr>
          <w:sz w:val="24"/>
          <w:szCs w:val="24"/>
        </w:rPr>
        <w:t>sinoatrialt</w:t>
      </w:r>
      <w:proofErr w:type="spellEnd"/>
      <w:r w:rsidRPr="00275FA4">
        <w:rPr>
          <w:sz w:val="24"/>
          <w:szCs w:val="24"/>
        </w:rPr>
        <w:t xml:space="preserve"> blok, </w:t>
      </w:r>
      <w:proofErr w:type="spellStart"/>
      <w:r w:rsidRPr="00275FA4">
        <w:rPr>
          <w:sz w:val="24"/>
          <w:szCs w:val="24"/>
        </w:rPr>
        <w:t>atrioventrikulært</w:t>
      </w:r>
      <w:proofErr w:type="spellEnd"/>
      <w:r w:rsidRPr="00275FA4">
        <w:rPr>
          <w:sz w:val="24"/>
          <w:szCs w:val="24"/>
        </w:rPr>
        <w:t xml:space="preserve"> blok af anden eller tredje grad, der ikke kontrolleres af en pacemaker, signifikant hjerteinsufficiens, </w:t>
      </w:r>
      <w:proofErr w:type="spellStart"/>
      <w:r w:rsidRPr="00275FA4">
        <w:rPr>
          <w:sz w:val="24"/>
          <w:szCs w:val="24"/>
        </w:rPr>
        <w:t>kardiogent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shock</w:t>
      </w:r>
      <w:proofErr w:type="spellEnd"/>
    </w:p>
    <w:p w14:paraId="6DD55681" w14:textId="77777777" w:rsidR="00420790" w:rsidRPr="00275FA4" w:rsidRDefault="00420790" w:rsidP="004971CE">
      <w:pPr>
        <w:pStyle w:val="ListParagraph1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t>svært nedsat nyrefunktion (</w:t>
      </w:r>
      <w:proofErr w:type="spellStart"/>
      <w:r w:rsidRPr="00275FA4">
        <w:rPr>
          <w:sz w:val="24"/>
          <w:szCs w:val="24"/>
        </w:rPr>
        <w:t>CrCL</w:t>
      </w:r>
      <w:proofErr w:type="spellEnd"/>
      <w:r w:rsidRPr="00275FA4">
        <w:rPr>
          <w:sz w:val="24"/>
          <w:szCs w:val="24"/>
        </w:rPr>
        <w:t xml:space="preserve"> &lt; 30 ml/min.) eller </w:t>
      </w:r>
      <w:proofErr w:type="spellStart"/>
      <w:r w:rsidRPr="00275FA4">
        <w:rPr>
          <w:sz w:val="24"/>
          <w:szCs w:val="24"/>
        </w:rPr>
        <w:t>hyperkloræmisk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acidose</w:t>
      </w:r>
      <w:proofErr w:type="spellEnd"/>
      <w:r w:rsidRPr="00275FA4">
        <w:rPr>
          <w:sz w:val="24"/>
          <w:szCs w:val="24"/>
        </w:rPr>
        <w:t>.</w:t>
      </w:r>
    </w:p>
    <w:p w14:paraId="2C6490E5" w14:textId="77777777" w:rsidR="00420790" w:rsidRPr="00275FA4" w:rsidRDefault="00420790" w:rsidP="004971CE">
      <w:pPr>
        <w:pStyle w:val="ListParagraph1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275FA4">
        <w:rPr>
          <w:sz w:val="24"/>
          <w:szCs w:val="24"/>
        </w:rPr>
        <w:lastRenderedPageBreak/>
        <w:t>overfølsomhed over for en eller begge aktive stoffer eller over for nogen af hjælpestofferne anført i pkt. 6.1.</w:t>
      </w:r>
    </w:p>
    <w:p w14:paraId="291768C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21A532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Ovenstående er baseret på de enkelte aktive stoffer og er ikke unikt for kombinationen.</w:t>
      </w:r>
    </w:p>
    <w:p w14:paraId="3B3EA939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EED65B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4.4</w:t>
      </w:r>
      <w:r w:rsidRPr="00275FA4">
        <w:rPr>
          <w:b/>
          <w:sz w:val="24"/>
          <w:szCs w:val="24"/>
        </w:rPr>
        <w:tab/>
        <w:t>Særlige advarsler og forsigtighedsregler vedrørende brugen</w:t>
      </w:r>
    </w:p>
    <w:p w14:paraId="76F682A6" w14:textId="77777777" w:rsidR="00275FA4" w:rsidRDefault="00275FA4" w:rsidP="00420790">
      <w:pPr>
        <w:ind w:left="851"/>
        <w:rPr>
          <w:i/>
          <w:iCs/>
          <w:sz w:val="24"/>
          <w:szCs w:val="24"/>
          <w:u w:val="single"/>
        </w:rPr>
      </w:pPr>
    </w:p>
    <w:p w14:paraId="6BBC7E21" w14:textId="33203DFB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Kardiovaskulære</w:t>
      </w:r>
      <w:proofErr w:type="spellEnd"/>
      <w:r w:rsidRPr="00275FA4">
        <w:rPr>
          <w:i/>
          <w:iCs/>
          <w:sz w:val="24"/>
          <w:szCs w:val="24"/>
          <w:u w:val="single"/>
        </w:rPr>
        <w:t>/respiratoriske reaktioner</w:t>
      </w:r>
    </w:p>
    <w:p w14:paraId="393FAD0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Ligesom andre </w:t>
      </w:r>
      <w:proofErr w:type="spellStart"/>
      <w:r w:rsidRPr="00275FA4">
        <w:rPr>
          <w:sz w:val="24"/>
          <w:szCs w:val="24"/>
        </w:rPr>
        <w:t>topikale</w:t>
      </w:r>
      <w:proofErr w:type="spellEnd"/>
      <w:r w:rsidRPr="00275FA4">
        <w:rPr>
          <w:sz w:val="24"/>
          <w:szCs w:val="24"/>
        </w:rPr>
        <w:t xml:space="preserve"> øjenpræparater, absorberes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systemisk. Pga. den beta-</w:t>
      </w:r>
      <w:proofErr w:type="spellStart"/>
      <w:r w:rsidRPr="00275FA4">
        <w:rPr>
          <w:sz w:val="24"/>
          <w:szCs w:val="24"/>
        </w:rPr>
        <w:t>adrenerge</w:t>
      </w:r>
      <w:proofErr w:type="spellEnd"/>
      <w:r w:rsidRPr="00275FA4">
        <w:rPr>
          <w:sz w:val="24"/>
          <w:szCs w:val="24"/>
        </w:rPr>
        <w:t xml:space="preserve"> komponent,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, kan der forekomme de samme typer af </w:t>
      </w:r>
      <w:proofErr w:type="spellStart"/>
      <w:r w:rsidRPr="00275FA4">
        <w:rPr>
          <w:sz w:val="24"/>
          <w:szCs w:val="24"/>
        </w:rPr>
        <w:t>kardiovaskulære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pulmonære</w:t>
      </w:r>
      <w:proofErr w:type="spellEnd"/>
      <w:r w:rsidRPr="00275FA4">
        <w:rPr>
          <w:sz w:val="24"/>
          <w:szCs w:val="24"/>
        </w:rPr>
        <w:t xml:space="preserve">, og andre bivirkninger, som ses ved administration af systemiske betablokkere. </w:t>
      </w:r>
      <w:proofErr w:type="spellStart"/>
      <w:r w:rsidRPr="00275FA4">
        <w:rPr>
          <w:sz w:val="24"/>
          <w:szCs w:val="24"/>
        </w:rPr>
        <w:t>Incidensen</w:t>
      </w:r>
      <w:proofErr w:type="spellEnd"/>
      <w:r w:rsidRPr="00275FA4">
        <w:rPr>
          <w:sz w:val="24"/>
          <w:szCs w:val="24"/>
        </w:rPr>
        <w:t xml:space="preserve"> af systemiske bivirkninger ved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af øjendråber er lavere end ved systemisk administration. For at reducere den systemiske absorption, se pkt. 4.2.</w:t>
      </w:r>
    </w:p>
    <w:p w14:paraId="5ADDB4E4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6717662" w14:textId="77777777" w:rsidR="00420790" w:rsidRPr="00275FA4" w:rsidRDefault="00420790" w:rsidP="00420790">
      <w:pPr>
        <w:ind w:left="851"/>
        <w:rPr>
          <w:i/>
          <w:sz w:val="24"/>
          <w:szCs w:val="24"/>
          <w:u w:val="single"/>
        </w:rPr>
      </w:pPr>
      <w:r w:rsidRPr="00275FA4">
        <w:rPr>
          <w:i/>
          <w:sz w:val="24"/>
          <w:szCs w:val="24"/>
          <w:u w:val="single"/>
        </w:rPr>
        <w:t>Hjertesygdomme:</w:t>
      </w:r>
    </w:p>
    <w:p w14:paraId="49D74220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Hos patienter med </w:t>
      </w:r>
      <w:proofErr w:type="spellStart"/>
      <w:r w:rsidRPr="00275FA4">
        <w:rPr>
          <w:sz w:val="24"/>
          <w:szCs w:val="24"/>
        </w:rPr>
        <w:t>kardiovaskulære</w:t>
      </w:r>
      <w:proofErr w:type="spellEnd"/>
      <w:r w:rsidRPr="00275FA4">
        <w:rPr>
          <w:sz w:val="24"/>
          <w:szCs w:val="24"/>
        </w:rPr>
        <w:t xml:space="preserve"> sygdomme (f.eks. </w:t>
      </w:r>
      <w:proofErr w:type="spellStart"/>
      <w:r w:rsidRPr="00275FA4">
        <w:rPr>
          <w:sz w:val="24"/>
          <w:szCs w:val="24"/>
        </w:rPr>
        <w:t>koronar</w:t>
      </w:r>
      <w:proofErr w:type="spellEnd"/>
      <w:r w:rsidRPr="00275FA4">
        <w:rPr>
          <w:sz w:val="24"/>
          <w:szCs w:val="24"/>
        </w:rPr>
        <w:t xml:space="preserve"> hjertesygdom, </w:t>
      </w:r>
      <w:proofErr w:type="spellStart"/>
      <w:r w:rsidRPr="00275FA4">
        <w:rPr>
          <w:sz w:val="24"/>
          <w:szCs w:val="24"/>
        </w:rPr>
        <w:t>Prinzmetals</w:t>
      </w:r>
      <w:proofErr w:type="spellEnd"/>
      <w:r w:rsidRPr="00275FA4">
        <w:rPr>
          <w:sz w:val="24"/>
          <w:szCs w:val="24"/>
        </w:rPr>
        <w:t xml:space="preserve"> angina og hjerteinsufficiens) og hypotension, skal behandling med betablokkere vurderes kritisk, og behandling med andre aktive stoffer bør overvejes. Patienter med </w:t>
      </w:r>
      <w:proofErr w:type="spellStart"/>
      <w:r w:rsidRPr="00275FA4">
        <w:rPr>
          <w:sz w:val="24"/>
          <w:szCs w:val="24"/>
        </w:rPr>
        <w:t>kardiovaskulære</w:t>
      </w:r>
      <w:proofErr w:type="spellEnd"/>
      <w:r w:rsidRPr="00275FA4">
        <w:rPr>
          <w:sz w:val="24"/>
          <w:szCs w:val="24"/>
        </w:rPr>
        <w:t xml:space="preserve"> sygdomme skal overvåges for tegn på forværring af disse sygdomme og for bivirkninger. </w:t>
      </w:r>
    </w:p>
    <w:p w14:paraId="6210AC2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4A8340C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Som følge af deres negative virkning på overledningstiden bør betablokkere kun gives med forsigtighed til patienter med hjerteblok af første grad.</w:t>
      </w:r>
    </w:p>
    <w:p w14:paraId="33E183D5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D8B4330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proofErr w:type="spellStart"/>
      <w:r w:rsidRPr="00275FA4">
        <w:rPr>
          <w:i/>
          <w:sz w:val="24"/>
          <w:szCs w:val="24"/>
          <w:u w:val="single"/>
        </w:rPr>
        <w:t>Vaskulære</w:t>
      </w:r>
      <w:proofErr w:type="spellEnd"/>
      <w:r w:rsidRPr="00275FA4">
        <w:rPr>
          <w:i/>
          <w:sz w:val="24"/>
          <w:szCs w:val="24"/>
          <w:u w:val="single"/>
        </w:rPr>
        <w:t xml:space="preserve"> sygdomme:</w:t>
      </w:r>
    </w:p>
    <w:p w14:paraId="129D8D3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Patienter med svære perifere kredsforstyrrelser (dvs. svære former for </w:t>
      </w:r>
      <w:proofErr w:type="spellStart"/>
      <w:r w:rsidRPr="00275FA4">
        <w:rPr>
          <w:sz w:val="24"/>
          <w:szCs w:val="24"/>
        </w:rPr>
        <w:t>Raynauds</w:t>
      </w:r>
      <w:proofErr w:type="spellEnd"/>
      <w:r w:rsidRPr="00275FA4">
        <w:rPr>
          <w:sz w:val="24"/>
          <w:szCs w:val="24"/>
        </w:rPr>
        <w:t xml:space="preserve"> sygdom eller </w:t>
      </w:r>
      <w:proofErr w:type="spellStart"/>
      <w:r w:rsidRPr="00275FA4">
        <w:rPr>
          <w:sz w:val="24"/>
          <w:szCs w:val="24"/>
        </w:rPr>
        <w:t>Raynauds</w:t>
      </w:r>
      <w:proofErr w:type="spellEnd"/>
      <w:r w:rsidRPr="00275FA4">
        <w:rPr>
          <w:sz w:val="24"/>
          <w:szCs w:val="24"/>
        </w:rPr>
        <w:t xml:space="preserve"> syndrom) skal behandles med forsigtighed.</w:t>
      </w:r>
    </w:p>
    <w:p w14:paraId="413F255D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E8924F9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i/>
          <w:sz w:val="24"/>
          <w:szCs w:val="24"/>
          <w:u w:val="single"/>
        </w:rPr>
        <w:t>Respiratoriske sygdomme:</w:t>
      </w:r>
    </w:p>
    <w:p w14:paraId="5E5C232C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rapporteret om respiratoriske reaktioner, herunder dødsfald, som følge af </w:t>
      </w:r>
      <w:proofErr w:type="spellStart"/>
      <w:r w:rsidRPr="00275FA4">
        <w:rPr>
          <w:sz w:val="24"/>
          <w:szCs w:val="24"/>
        </w:rPr>
        <w:t>bronkospasmer</w:t>
      </w:r>
      <w:proofErr w:type="spellEnd"/>
      <w:r w:rsidRPr="00275FA4">
        <w:rPr>
          <w:sz w:val="24"/>
          <w:szCs w:val="24"/>
        </w:rPr>
        <w:t xml:space="preserve"> hos patienter med astma, efter administration af visse </w:t>
      </w:r>
      <w:proofErr w:type="spellStart"/>
      <w:r w:rsidRPr="00275FA4">
        <w:rPr>
          <w:sz w:val="24"/>
          <w:szCs w:val="24"/>
        </w:rPr>
        <w:t>oftalmiske</w:t>
      </w:r>
      <w:proofErr w:type="spellEnd"/>
      <w:r w:rsidRPr="00275FA4">
        <w:rPr>
          <w:sz w:val="24"/>
          <w:szCs w:val="24"/>
        </w:rPr>
        <w:t xml:space="preserve"> betablokkere.</w:t>
      </w:r>
    </w:p>
    <w:p w14:paraId="0FBE2A1A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skal bruges med forsigtighed hos patienter med mild/moderat kronisk obstruktiv lungesygdom (KOL), og kun hvis den potentielle fordel overstiger den potentielle risiko.</w:t>
      </w:r>
    </w:p>
    <w:p w14:paraId="0D61D62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D6069AE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Nedsat leverfunktion</w:t>
      </w:r>
    </w:p>
    <w:p w14:paraId="76C3332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Dette lægemiddel er ikke undersøgt hos patienter med nedsat leverfunktion og bør derfor anvendes med forsigtighed hos sådanne patienter.</w:t>
      </w:r>
    </w:p>
    <w:p w14:paraId="398ED54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79A05B3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Immunologi og overfølsomhed</w:t>
      </w:r>
    </w:p>
    <w:p w14:paraId="2AD9813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Som for andre </w:t>
      </w:r>
      <w:proofErr w:type="spellStart"/>
      <w:r w:rsidRPr="00275FA4">
        <w:rPr>
          <w:sz w:val="24"/>
          <w:szCs w:val="24"/>
        </w:rPr>
        <w:t>topikale</w:t>
      </w:r>
      <w:proofErr w:type="spellEnd"/>
      <w:r w:rsidRPr="00275FA4">
        <w:rPr>
          <w:sz w:val="24"/>
          <w:szCs w:val="24"/>
        </w:rPr>
        <w:t xml:space="preserve"> øjenpræparater, kan dette lægemiddel absorberes systemisk.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indeholder en sulfonamidgruppe, som også findes hos sulfonamider. Derfor kan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forårsage de samme bivirkninger, som er kendte for sulfonamider, herunder alvorlige reaktioner som Stevens-Johnson syndrom og toksisk </w:t>
      </w:r>
      <w:proofErr w:type="spellStart"/>
      <w:r w:rsidRPr="00275FA4">
        <w:rPr>
          <w:sz w:val="24"/>
          <w:szCs w:val="24"/>
        </w:rPr>
        <w:t>epidermal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nekrolyse</w:t>
      </w:r>
      <w:proofErr w:type="spellEnd"/>
      <w:r w:rsidRPr="00275FA4">
        <w:rPr>
          <w:sz w:val="24"/>
          <w:szCs w:val="24"/>
        </w:rPr>
        <w:t>. I tilfælde af tegn på alvorlige reaktioner eller overfølsomhed skal lægemidlet seponeres.</w:t>
      </w:r>
    </w:p>
    <w:p w14:paraId="753FD97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D87E34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Lokale </w:t>
      </w:r>
      <w:proofErr w:type="spellStart"/>
      <w:r w:rsidRPr="00275FA4">
        <w:rPr>
          <w:sz w:val="24"/>
          <w:szCs w:val="24"/>
        </w:rPr>
        <w:t>okulære</w:t>
      </w:r>
      <w:proofErr w:type="spellEnd"/>
      <w:r w:rsidRPr="00275FA4">
        <w:rPr>
          <w:sz w:val="24"/>
          <w:szCs w:val="24"/>
        </w:rPr>
        <w:t xml:space="preserve"> bivirkninger, som ligner dem, der er observeret ved brug af øjendråber med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, er set ved brug af dette lægemiddel. Hvis disse reaktioner forekommer, skal det overvejes at seponere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øjendråber, opløsning.</w:t>
      </w:r>
    </w:p>
    <w:p w14:paraId="51263A36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color w:val="222222"/>
          <w:sz w:val="24"/>
          <w:szCs w:val="24"/>
        </w:rPr>
        <w:lastRenderedPageBreak/>
        <w:t xml:space="preserve">Patienter som tager betablokkere, og har </w:t>
      </w:r>
      <w:proofErr w:type="spellStart"/>
      <w:r w:rsidRPr="00275FA4">
        <w:rPr>
          <w:color w:val="222222"/>
          <w:sz w:val="24"/>
          <w:szCs w:val="24"/>
        </w:rPr>
        <w:t>atopi</w:t>
      </w:r>
      <w:proofErr w:type="spellEnd"/>
      <w:r w:rsidRPr="00275FA4">
        <w:rPr>
          <w:color w:val="222222"/>
          <w:sz w:val="24"/>
          <w:szCs w:val="24"/>
        </w:rPr>
        <w:t xml:space="preserve"> eller alvorlige </w:t>
      </w:r>
      <w:proofErr w:type="spellStart"/>
      <w:r w:rsidRPr="00275FA4">
        <w:rPr>
          <w:color w:val="222222"/>
          <w:sz w:val="24"/>
          <w:szCs w:val="24"/>
        </w:rPr>
        <w:t>anafylaktiske</w:t>
      </w:r>
      <w:proofErr w:type="spellEnd"/>
      <w:r w:rsidRPr="00275FA4">
        <w:rPr>
          <w:color w:val="222222"/>
          <w:sz w:val="24"/>
          <w:szCs w:val="24"/>
        </w:rPr>
        <w:t xml:space="preserve"> reaktioner over for en række forskellige allergener i anamnesen, kan reagere kraftigere over for en gentagen eksponering for sådanne allergener og responderer muligvis ikke på den typiske dosis af adrenalin til behandling af </w:t>
      </w:r>
      <w:proofErr w:type="spellStart"/>
      <w:r w:rsidRPr="00275FA4">
        <w:rPr>
          <w:color w:val="222222"/>
          <w:sz w:val="24"/>
          <w:szCs w:val="24"/>
        </w:rPr>
        <w:t>anafylaktiske</w:t>
      </w:r>
      <w:proofErr w:type="spellEnd"/>
      <w:r w:rsidRPr="00275FA4">
        <w:rPr>
          <w:color w:val="222222"/>
          <w:sz w:val="24"/>
          <w:szCs w:val="24"/>
        </w:rPr>
        <w:t xml:space="preserve"> reaktioner.</w:t>
      </w:r>
    </w:p>
    <w:p w14:paraId="4293FE49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428F1A19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Samtidig behandling</w:t>
      </w:r>
    </w:p>
    <w:p w14:paraId="06E91A4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Virkningen på det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eller de kendte virkninger af systemisk betablokade kan forstærkes, når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gives til patienter, der i forvejen behandles med en systemisk betablokker. Disse patienters reaktion skal nøje observeres. Det frarådes at anvende to </w:t>
      </w:r>
      <w:proofErr w:type="spellStart"/>
      <w:r w:rsidRPr="00275FA4">
        <w:rPr>
          <w:sz w:val="24"/>
          <w:szCs w:val="24"/>
        </w:rPr>
        <w:t>topikale</w:t>
      </w:r>
      <w:proofErr w:type="spellEnd"/>
      <w:r w:rsidRPr="00275FA4">
        <w:rPr>
          <w:sz w:val="24"/>
          <w:szCs w:val="24"/>
        </w:rPr>
        <w:t xml:space="preserve"> beta-</w:t>
      </w:r>
      <w:proofErr w:type="spellStart"/>
      <w:r w:rsidRPr="00275FA4">
        <w:rPr>
          <w:sz w:val="24"/>
          <w:szCs w:val="24"/>
        </w:rPr>
        <w:t>adrenerge</w:t>
      </w:r>
      <w:proofErr w:type="spellEnd"/>
      <w:r w:rsidRPr="00275FA4">
        <w:rPr>
          <w:sz w:val="24"/>
          <w:szCs w:val="24"/>
        </w:rPr>
        <w:t xml:space="preserve"> blokerende stoffer (se pkt. 4.5).</w:t>
      </w:r>
    </w:p>
    <w:p w14:paraId="37A216E5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Samtidig anvendelse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og orale </w:t>
      </w:r>
      <w:proofErr w:type="spellStart"/>
      <w:r w:rsidRPr="00275FA4">
        <w:rPr>
          <w:sz w:val="24"/>
          <w:szCs w:val="24"/>
        </w:rPr>
        <w:t>carboanhydrasehæmmere</w:t>
      </w:r>
      <w:proofErr w:type="spellEnd"/>
      <w:r w:rsidRPr="00275FA4">
        <w:rPr>
          <w:sz w:val="24"/>
          <w:szCs w:val="24"/>
        </w:rPr>
        <w:t xml:space="preserve"> frarådes.</w:t>
      </w:r>
    </w:p>
    <w:p w14:paraId="605527C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DE30BC7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Seponering</w:t>
      </w:r>
      <w:proofErr w:type="spellEnd"/>
      <w:r w:rsidRPr="00275FA4">
        <w:rPr>
          <w:i/>
          <w:iCs/>
          <w:sz w:val="24"/>
          <w:szCs w:val="24"/>
          <w:u w:val="single"/>
        </w:rPr>
        <w:t xml:space="preserve"> af behandlingen</w:t>
      </w:r>
    </w:p>
    <w:p w14:paraId="4A47A40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Som med systemiske betablokkere, skal behandlingen med </w:t>
      </w:r>
      <w:proofErr w:type="spellStart"/>
      <w:r w:rsidRPr="00275FA4">
        <w:rPr>
          <w:sz w:val="24"/>
          <w:szCs w:val="24"/>
        </w:rPr>
        <w:t>oftalmisk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seponeres gradvist hos patienter med </w:t>
      </w:r>
      <w:proofErr w:type="spellStart"/>
      <w:r w:rsidRPr="00275FA4">
        <w:rPr>
          <w:sz w:val="24"/>
          <w:szCs w:val="24"/>
        </w:rPr>
        <w:t>koronar</w:t>
      </w:r>
      <w:proofErr w:type="spellEnd"/>
      <w:r w:rsidRPr="00275FA4">
        <w:rPr>
          <w:sz w:val="24"/>
          <w:szCs w:val="24"/>
        </w:rPr>
        <w:t xml:space="preserve"> hjertesygdom, hvis behandlingsophør er nødvendig.</w:t>
      </w:r>
    </w:p>
    <w:p w14:paraId="396BF54F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</w:p>
    <w:p w14:paraId="7DAEB8F4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Yderligere virkning af betablokade</w:t>
      </w:r>
    </w:p>
    <w:p w14:paraId="32FA6001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</w:p>
    <w:p w14:paraId="4A41C77A" w14:textId="77777777" w:rsidR="00420790" w:rsidRPr="00275FA4" w:rsidRDefault="00420790" w:rsidP="00420790">
      <w:pPr>
        <w:ind w:left="851"/>
        <w:rPr>
          <w:i/>
          <w:iCs/>
          <w:sz w:val="24"/>
          <w:szCs w:val="24"/>
        </w:rPr>
      </w:pPr>
      <w:r w:rsidRPr="00275FA4">
        <w:rPr>
          <w:i/>
          <w:iCs/>
          <w:sz w:val="24"/>
          <w:szCs w:val="24"/>
        </w:rPr>
        <w:t>Hypoglykæmi/diabetes:</w:t>
      </w:r>
    </w:p>
    <w:p w14:paraId="588E673D" w14:textId="77777777" w:rsidR="00420790" w:rsidRPr="00275FA4" w:rsidRDefault="00420790" w:rsidP="00420790">
      <w:pPr>
        <w:ind w:left="851"/>
        <w:rPr>
          <w:iCs/>
          <w:sz w:val="24"/>
          <w:szCs w:val="24"/>
        </w:rPr>
      </w:pPr>
      <w:r w:rsidRPr="00275FA4">
        <w:rPr>
          <w:iCs/>
          <w:sz w:val="24"/>
          <w:szCs w:val="24"/>
        </w:rPr>
        <w:t xml:space="preserve">Behandling med </w:t>
      </w:r>
      <w:proofErr w:type="gramStart"/>
      <w:r w:rsidRPr="00275FA4">
        <w:rPr>
          <w:iCs/>
          <w:sz w:val="24"/>
          <w:szCs w:val="24"/>
        </w:rPr>
        <w:t>betablokkere</w:t>
      </w:r>
      <w:proofErr w:type="gramEnd"/>
      <w:r w:rsidRPr="00275FA4">
        <w:rPr>
          <w:iCs/>
          <w:sz w:val="24"/>
          <w:szCs w:val="24"/>
        </w:rPr>
        <w:t xml:space="preserve"> skal administreres med forsigtighed til patienter, som er i risiko for spontan hypoglykæmi eller til patienter med labil diabetes, da betablokkere kan maskere tegn og symptomer på akut hypoglykæmi.</w:t>
      </w:r>
    </w:p>
    <w:p w14:paraId="6A1B79C8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iCs/>
          <w:sz w:val="24"/>
          <w:szCs w:val="24"/>
        </w:rPr>
        <w:t xml:space="preserve">Betablokkere kan også maskere symptomer </w:t>
      </w:r>
      <w:r w:rsidRPr="00275FA4">
        <w:rPr>
          <w:sz w:val="24"/>
          <w:szCs w:val="24"/>
        </w:rPr>
        <w:t xml:space="preserve">på </w:t>
      </w:r>
      <w:proofErr w:type="spellStart"/>
      <w:r w:rsidRPr="00275FA4">
        <w:rPr>
          <w:sz w:val="24"/>
          <w:szCs w:val="24"/>
        </w:rPr>
        <w:t>hypertyroidisme</w:t>
      </w:r>
      <w:proofErr w:type="spellEnd"/>
      <w:r w:rsidRPr="00275FA4">
        <w:rPr>
          <w:sz w:val="24"/>
          <w:szCs w:val="24"/>
        </w:rPr>
        <w:t xml:space="preserve">. Pludselig </w:t>
      </w:r>
      <w:proofErr w:type="spellStart"/>
      <w:r w:rsidRPr="00275FA4">
        <w:rPr>
          <w:sz w:val="24"/>
          <w:szCs w:val="24"/>
        </w:rPr>
        <w:t>seponering</w:t>
      </w:r>
      <w:proofErr w:type="spellEnd"/>
      <w:r w:rsidRPr="00275FA4">
        <w:rPr>
          <w:sz w:val="24"/>
          <w:szCs w:val="24"/>
        </w:rPr>
        <w:t xml:space="preserve"> af behandling med </w:t>
      </w:r>
      <w:proofErr w:type="gramStart"/>
      <w:r w:rsidRPr="00275FA4">
        <w:rPr>
          <w:sz w:val="24"/>
          <w:szCs w:val="24"/>
        </w:rPr>
        <w:t>betablokkere</w:t>
      </w:r>
      <w:proofErr w:type="gramEnd"/>
      <w:r w:rsidRPr="00275FA4">
        <w:rPr>
          <w:sz w:val="24"/>
          <w:szCs w:val="24"/>
        </w:rPr>
        <w:t xml:space="preserve"> kan forværre symptomerne.</w:t>
      </w:r>
    </w:p>
    <w:p w14:paraId="3B1BD9B4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67BA562" w14:textId="77777777" w:rsidR="00420790" w:rsidRPr="00275FA4" w:rsidRDefault="00420790" w:rsidP="00420790">
      <w:pPr>
        <w:ind w:left="851"/>
        <w:rPr>
          <w:color w:val="222222"/>
          <w:sz w:val="24"/>
          <w:szCs w:val="24"/>
        </w:rPr>
      </w:pPr>
      <w:proofErr w:type="spellStart"/>
      <w:r w:rsidRPr="00275FA4">
        <w:rPr>
          <w:i/>
          <w:sz w:val="24"/>
          <w:szCs w:val="24"/>
        </w:rPr>
        <w:t>Corneasygdomme</w:t>
      </w:r>
      <w:proofErr w:type="spellEnd"/>
      <w:r w:rsidRPr="00275FA4">
        <w:rPr>
          <w:i/>
          <w:sz w:val="24"/>
          <w:szCs w:val="24"/>
        </w:rPr>
        <w:t>:</w:t>
      </w:r>
      <w:r w:rsidRPr="00275FA4">
        <w:rPr>
          <w:color w:val="222222"/>
          <w:sz w:val="24"/>
          <w:szCs w:val="24"/>
        </w:rPr>
        <w:br/>
      </w:r>
      <w:proofErr w:type="spellStart"/>
      <w:r w:rsidRPr="00275FA4">
        <w:rPr>
          <w:color w:val="222222"/>
          <w:sz w:val="24"/>
          <w:szCs w:val="24"/>
        </w:rPr>
        <w:t>Oftalmiske</w:t>
      </w:r>
      <w:proofErr w:type="spellEnd"/>
      <w:r w:rsidRPr="00275FA4">
        <w:rPr>
          <w:color w:val="222222"/>
          <w:sz w:val="24"/>
          <w:szCs w:val="24"/>
        </w:rPr>
        <w:t xml:space="preserve"> betablokkere kan forårsage tørhed i øjnene. Patienter med </w:t>
      </w:r>
      <w:proofErr w:type="spellStart"/>
      <w:r w:rsidRPr="00275FA4">
        <w:rPr>
          <w:color w:val="222222"/>
          <w:sz w:val="24"/>
          <w:szCs w:val="24"/>
        </w:rPr>
        <w:t>corneasygdomme</w:t>
      </w:r>
      <w:proofErr w:type="spellEnd"/>
      <w:r w:rsidRPr="00275FA4">
        <w:rPr>
          <w:color w:val="222222"/>
          <w:sz w:val="24"/>
          <w:szCs w:val="24"/>
        </w:rPr>
        <w:t xml:space="preserve"> skal behandles med forsigtighed.</w:t>
      </w:r>
    </w:p>
    <w:p w14:paraId="40847605" w14:textId="77777777" w:rsidR="00420790" w:rsidRPr="00275FA4" w:rsidRDefault="00420790" w:rsidP="00420790">
      <w:pPr>
        <w:ind w:left="851"/>
        <w:rPr>
          <w:i/>
          <w:sz w:val="24"/>
          <w:szCs w:val="24"/>
        </w:rPr>
      </w:pPr>
    </w:p>
    <w:p w14:paraId="34B07A5B" w14:textId="77777777" w:rsidR="00420790" w:rsidRPr="00275FA4" w:rsidRDefault="00420790" w:rsidP="00420790">
      <w:pPr>
        <w:ind w:left="851"/>
        <w:rPr>
          <w:i/>
          <w:sz w:val="24"/>
          <w:szCs w:val="24"/>
        </w:rPr>
      </w:pPr>
      <w:r w:rsidRPr="00275FA4">
        <w:rPr>
          <w:i/>
          <w:color w:val="222222"/>
          <w:sz w:val="24"/>
          <w:szCs w:val="24"/>
        </w:rPr>
        <w:t>Anæstesi ved kirurgi:</w:t>
      </w:r>
      <w:r w:rsidRPr="00275FA4">
        <w:rPr>
          <w:color w:val="222222"/>
          <w:sz w:val="24"/>
          <w:szCs w:val="24"/>
        </w:rPr>
        <w:br/>
        <w:t>Betablokerende øjenpræparater kan blokere systemiske beta-</w:t>
      </w:r>
      <w:proofErr w:type="spellStart"/>
      <w:r w:rsidRPr="00275FA4">
        <w:rPr>
          <w:color w:val="222222"/>
          <w:sz w:val="24"/>
          <w:szCs w:val="24"/>
        </w:rPr>
        <w:t>agonistiske</w:t>
      </w:r>
      <w:proofErr w:type="spellEnd"/>
      <w:r w:rsidRPr="00275FA4">
        <w:rPr>
          <w:color w:val="222222"/>
          <w:sz w:val="24"/>
          <w:szCs w:val="24"/>
        </w:rPr>
        <w:t xml:space="preserve"> virkninger, f.eks. for adrenalin. </w:t>
      </w:r>
      <w:r w:rsidRPr="00275FA4">
        <w:rPr>
          <w:sz w:val="24"/>
          <w:szCs w:val="24"/>
        </w:rPr>
        <w:t>Anæstesiologen</w:t>
      </w:r>
      <w:r w:rsidRPr="00275FA4">
        <w:rPr>
          <w:color w:val="222222"/>
          <w:sz w:val="24"/>
          <w:szCs w:val="24"/>
        </w:rPr>
        <w:t xml:space="preserve"> skal informeres, når patienten tager </w:t>
      </w:r>
      <w:proofErr w:type="spellStart"/>
      <w:r w:rsidRPr="00275FA4">
        <w:rPr>
          <w:color w:val="222222"/>
          <w:sz w:val="24"/>
          <w:szCs w:val="24"/>
        </w:rPr>
        <w:t>timolol</w:t>
      </w:r>
      <w:proofErr w:type="spellEnd"/>
      <w:r w:rsidRPr="00275FA4">
        <w:rPr>
          <w:color w:val="222222"/>
          <w:sz w:val="24"/>
          <w:szCs w:val="24"/>
        </w:rPr>
        <w:t>.</w:t>
      </w:r>
      <w:r w:rsidRPr="00275FA4">
        <w:rPr>
          <w:color w:val="222222"/>
          <w:sz w:val="24"/>
          <w:szCs w:val="24"/>
        </w:rPr>
        <w:br/>
        <w:t xml:space="preserve">Behandling med </w:t>
      </w:r>
      <w:proofErr w:type="gramStart"/>
      <w:r w:rsidRPr="00275FA4">
        <w:rPr>
          <w:color w:val="222222"/>
          <w:sz w:val="24"/>
          <w:szCs w:val="24"/>
        </w:rPr>
        <w:t>betablokkere</w:t>
      </w:r>
      <w:proofErr w:type="gramEnd"/>
      <w:r w:rsidRPr="00275FA4">
        <w:rPr>
          <w:color w:val="222222"/>
          <w:sz w:val="24"/>
          <w:szCs w:val="24"/>
        </w:rPr>
        <w:t xml:space="preserve"> kan forværre symptomerne på </w:t>
      </w:r>
      <w:proofErr w:type="spellStart"/>
      <w:r w:rsidRPr="00275FA4">
        <w:rPr>
          <w:color w:val="222222"/>
          <w:sz w:val="24"/>
          <w:szCs w:val="24"/>
        </w:rPr>
        <w:t>myasteni</w:t>
      </w:r>
      <w:proofErr w:type="spellEnd"/>
      <w:r w:rsidRPr="00275FA4">
        <w:rPr>
          <w:color w:val="222222"/>
          <w:sz w:val="24"/>
          <w:szCs w:val="24"/>
        </w:rPr>
        <w:t>.</w:t>
      </w:r>
    </w:p>
    <w:p w14:paraId="7152B50B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CF86BD9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 xml:space="preserve">Yderligere virkninger af </w:t>
      </w:r>
      <w:proofErr w:type="spellStart"/>
      <w:r w:rsidRPr="00275FA4">
        <w:rPr>
          <w:i/>
          <w:iCs/>
          <w:sz w:val="24"/>
          <w:szCs w:val="24"/>
          <w:u w:val="single"/>
        </w:rPr>
        <w:t>carboanhydrasehæmning</w:t>
      </w:r>
      <w:proofErr w:type="spellEnd"/>
    </w:p>
    <w:p w14:paraId="314E1942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</w:p>
    <w:p w14:paraId="1C2BC00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Behandling med orale </w:t>
      </w:r>
      <w:proofErr w:type="spellStart"/>
      <w:r w:rsidRPr="00275FA4">
        <w:rPr>
          <w:sz w:val="24"/>
          <w:szCs w:val="24"/>
        </w:rPr>
        <w:t>carboanhydrasehæmmere</w:t>
      </w:r>
      <w:proofErr w:type="spellEnd"/>
      <w:r w:rsidRPr="00275FA4">
        <w:rPr>
          <w:sz w:val="24"/>
          <w:szCs w:val="24"/>
        </w:rPr>
        <w:t xml:space="preserve"> er blevet forbundet med </w:t>
      </w:r>
      <w:proofErr w:type="spellStart"/>
      <w:r w:rsidRPr="00275FA4">
        <w:rPr>
          <w:sz w:val="24"/>
          <w:szCs w:val="24"/>
        </w:rPr>
        <w:t>urolitiasis</w:t>
      </w:r>
      <w:proofErr w:type="spellEnd"/>
      <w:r w:rsidRPr="00275FA4">
        <w:rPr>
          <w:sz w:val="24"/>
          <w:szCs w:val="24"/>
        </w:rPr>
        <w:t xml:space="preserve">, der er forårsaget af forstyrrelser i syre-basebalancen, særligt hos patienter med tidligere nyresten i anamnesen. Skønt der ikke er set forstyrrelser i syre-basebalancen ved brug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konserveringsmiddel), er der i sjældne tilfælde set </w:t>
      </w:r>
      <w:proofErr w:type="spellStart"/>
      <w:r w:rsidRPr="00275FA4">
        <w:rPr>
          <w:sz w:val="24"/>
          <w:szCs w:val="24"/>
        </w:rPr>
        <w:t>urolitiasis</w:t>
      </w:r>
      <w:proofErr w:type="spellEnd"/>
      <w:r w:rsidRPr="00275FA4">
        <w:rPr>
          <w:sz w:val="24"/>
          <w:szCs w:val="24"/>
        </w:rPr>
        <w:t xml:space="preserve">. Da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uden konserveringsmiddel indeholder en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carboanhydrasehæmmer</w:t>
      </w:r>
      <w:proofErr w:type="spellEnd"/>
      <w:r w:rsidRPr="00275FA4">
        <w:rPr>
          <w:sz w:val="24"/>
          <w:szCs w:val="24"/>
        </w:rPr>
        <w:t xml:space="preserve">, som absorberes systemisk, kan patienter med nyresten i anamnesen have forøget risiko for </w:t>
      </w:r>
      <w:proofErr w:type="spellStart"/>
      <w:r w:rsidRPr="00275FA4">
        <w:rPr>
          <w:sz w:val="24"/>
          <w:szCs w:val="24"/>
        </w:rPr>
        <w:t>urolitiasis</w:t>
      </w:r>
      <w:proofErr w:type="spellEnd"/>
      <w:r w:rsidRPr="00275FA4">
        <w:rPr>
          <w:sz w:val="24"/>
          <w:szCs w:val="24"/>
        </w:rPr>
        <w:t>, mens de er i behandling med dette lægemiddel.</w:t>
      </w:r>
    </w:p>
    <w:p w14:paraId="5571EE0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EC68D6B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Andre</w:t>
      </w:r>
    </w:p>
    <w:p w14:paraId="722BFEC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Ved behandling af patienter med akut snævervinklet </w:t>
      </w:r>
      <w:proofErr w:type="spellStart"/>
      <w:r w:rsidRPr="00275FA4">
        <w:rPr>
          <w:sz w:val="24"/>
          <w:szCs w:val="24"/>
        </w:rPr>
        <w:t>glaukom</w:t>
      </w:r>
      <w:proofErr w:type="spellEnd"/>
      <w:r w:rsidRPr="00275FA4">
        <w:rPr>
          <w:sz w:val="24"/>
          <w:szCs w:val="24"/>
        </w:rPr>
        <w:t xml:space="preserve"> er det nødvendigt at benytte terapeutiske interventioner som supplement til </w:t>
      </w:r>
      <w:proofErr w:type="spellStart"/>
      <w:r w:rsidRPr="00275FA4">
        <w:rPr>
          <w:sz w:val="24"/>
          <w:szCs w:val="24"/>
        </w:rPr>
        <w:t>okulære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hypotensiva</w:t>
      </w:r>
      <w:proofErr w:type="spellEnd"/>
      <w:r w:rsidRPr="00275FA4">
        <w:rPr>
          <w:sz w:val="24"/>
          <w:szCs w:val="24"/>
        </w:rPr>
        <w:t xml:space="preserve">. Dette lægemiddel er ikke undersøgt hos patienter med akut snævervinklet </w:t>
      </w:r>
      <w:proofErr w:type="spellStart"/>
      <w:r w:rsidRPr="00275FA4">
        <w:rPr>
          <w:sz w:val="24"/>
          <w:szCs w:val="24"/>
        </w:rPr>
        <w:t>glaukom</w:t>
      </w:r>
      <w:proofErr w:type="spellEnd"/>
      <w:r w:rsidRPr="00275FA4">
        <w:rPr>
          <w:sz w:val="24"/>
          <w:szCs w:val="24"/>
        </w:rPr>
        <w:t>.</w:t>
      </w:r>
    </w:p>
    <w:p w14:paraId="1CDA58B6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rapporteret hornhindeødem og irreversibel hornhindenedbrydning hos patienter med præeksisterende kroniske hornhindelidelser og/eller </w:t>
      </w:r>
      <w:proofErr w:type="spellStart"/>
      <w:r w:rsidRPr="00275FA4">
        <w:rPr>
          <w:sz w:val="24"/>
          <w:szCs w:val="24"/>
        </w:rPr>
        <w:t>intraokulær</w:t>
      </w:r>
      <w:proofErr w:type="spellEnd"/>
      <w:r w:rsidRPr="00275FA4">
        <w:rPr>
          <w:sz w:val="24"/>
          <w:szCs w:val="24"/>
        </w:rPr>
        <w:t xml:space="preserve"> operation samtidig med behandling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. Der er en øget risiko for, at patienter med lavt </w:t>
      </w:r>
      <w:proofErr w:type="spellStart"/>
      <w:r w:rsidRPr="00275FA4">
        <w:rPr>
          <w:sz w:val="24"/>
          <w:szCs w:val="24"/>
        </w:rPr>
        <w:t>endotelcelletal</w:t>
      </w:r>
      <w:proofErr w:type="spellEnd"/>
      <w:r w:rsidRPr="00275FA4">
        <w:rPr>
          <w:sz w:val="24"/>
          <w:szCs w:val="24"/>
        </w:rPr>
        <w:t xml:space="preserve"> </w:t>
      </w:r>
      <w:r w:rsidRPr="00275FA4">
        <w:rPr>
          <w:sz w:val="24"/>
          <w:szCs w:val="24"/>
        </w:rPr>
        <w:lastRenderedPageBreak/>
        <w:t xml:space="preserve">udvikler hornhindeødem. Forsigtighed tilrådes, når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ordineres til denne patientgruppe.</w:t>
      </w:r>
    </w:p>
    <w:p w14:paraId="7F8A02F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rapporteret om </w:t>
      </w:r>
      <w:proofErr w:type="spellStart"/>
      <w:r w:rsidRPr="00275FA4">
        <w:rPr>
          <w:sz w:val="24"/>
          <w:szCs w:val="24"/>
        </w:rPr>
        <w:t>choroidalløsning</w:t>
      </w:r>
      <w:proofErr w:type="spellEnd"/>
      <w:r w:rsidRPr="00275FA4">
        <w:rPr>
          <w:sz w:val="24"/>
          <w:szCs w:val="24"/>
        </w:rPr>
        <w:t xml:space="preserve"> ved administration af kammervæskehæmmende lægemidler (f.eks.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acetazolamid</w:t>
      </w:r>
      <w:proofErr w:type="spellEnd"/>
      <w:r w:rsidRPr="00275FA4">
        <w:rPr>
          <w:sz w:val="24"/>
          <w:szCs w:val="24"/>
        </w:rPr>
        <w:t>) efter filtreringsprocedurer.</w:t>
      </w:r>
    </w:p>
    <w:p w14:paraId="6CA107E2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Som ved anvendelse af andre </w:t>
      </w:r>
      <w:proofErr w:type="spellStart"/>
      <w:r w:rsidRPr="00275FA4">
        <w:rPr>
          <w:sz w:val="24"/>
          <w:szCs w:val="24"/>
        </w:rPr>
        <w:t>antiglaukom</w:t>
      </w:r>
      <w:proofErr w:type="spellEnd"/>
      <w:r w:rsidRPr="00275FA4">
        <w:rPr>
          <w:sz w:val="24"/>
          <w:szCs w:val="24"/>
        </w:rPr>
        <w:t xml:space="preserve"> lægemidler er der hos nogle patienter rapporteret om nedsat følsomhed over for </w:t>
      </w:r>
      <w:proofErr w:type="spellStart"/>
      <w:r w:rsidRPr="00275FA4">
        <w:rPr>
          <w:sz w:val="24"/>
          <w:szCs w:val="24"/>
        </w:rPr>
        <w:t>oftalmisk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 efter langtidsbehandling. I kliniske forsøg, hvor 164 patienter er blevet fulgt i mindst 3 år, er der dog ikke observeret en signifikant forskel i det gennemsnitlige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efter den indledende stabilisering.</w:t>
      </w:r>
    </w:p>
    <w:p w14:paraId="78B86C0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5614226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color w:val="222222"/>
          <w:sz w:val="24"/>
          <w:szCs w:val="24"/>
        </w:rPr>
        <w:t>Patienter med kontaktallergi over for sølv i anamnesen, bør ikke bruge dette produkt, da dispenserede dråber kan indeholde spor af sølv.</w:t>
      </w:r>
    </w:p>
    <w:p w14:paraId="5D79952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1C5ACB30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r w:rsidRPr="00275FA4">
        <w:rPr>
          <w:i/>
          <w:iCs/>
          <w:sz w:val="24"/>
          <w:szCs w:val="24"/>
          <w:u w:val="single"/>
        </w:rPr>
        <w:t>Brug af kontaktlinser</w:t>
      </w:r>
    </w:p>
    <w:p w14:paraId="6231ACC1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Dette lægemiddel er ikke undersøgt hos patienter, der bruger kontaktlinser.</w:t>
      </w:r>
    </w:p>
    <w:p w14:paraId="26BD4A6C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46DCD0B3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Pædiatrisk population</w:t>
      </w:r>
    </w:p>
    <w:p w14:paraId="203F371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Se pkt. 5.1.</w:t>
      </w:r>
    </w:p>
    <w:p w14:paraId="3599E32D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ACFDF3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4.5</w:t>
      </w:r>
      <w:r w:rsidRPr="00275FA4">
        <w:rPr>
          <w:b/>
          <w:sz w:val="24"/>
          <w:szCs w:val="24"/>
        </w:rPr>
        <w:tab/>
        <w:t>Interaktion med andre lægemidler og andre former for interaktion</w:t>
      </w:r>
    </w:p>
    <w:p w14:paraId="5A2853AC" w14:textId="69FF0A8C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ikke udført specifikke interaktionsstudier med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uden konserverings</w:t>
      </w:r>
      <w:r w:rsidR="00275FA4">
        <w:rPr>
          <w:sz w:val="24"/>
          <w:szCs w:val="24"/>
        </w:rPr>
        <w:softHyphen/>
      </w:r>
      <w:r w:rsidRPr="00275FA4">
        <w:rPr>
          <w:sz w:val="24"/>
          <w:szCs w:val="24"/>
        </w:rPr>
        <w:t xml:space="preserve">middel. </w:t>
      </w:r>
    </w:p>
    <w:p w14:paraId="581ED230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et kliniske studie er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blevet anvendt samtidig med følgende systemiske lægemidler uden tegn på bivirkninger: ACE-</w:t>
      </w:r>
      <w:proofErr w:type="spellStart"/>
      <w:r w:rsidRPr="00275FA4">
        <w:rPr>
          <w:sz w:val="24"/>
          <w:szCs w:val="24"/>
        </w:rPr>
        <w:t>hæmmere</w:t>
      </w:r>
      <w:proofErr w:type="spellEnd"/>
      <w:r w:rsidRPr="00275FA4">
        <w:rPr>
          <w:sz w:val="24"/>
          <w:szCs w:val="24"/>
        </w:rPr>
        <w:t xml:space="preserve">, calciumkanalblokkere, </w:t>
      </w:r>
      <w:proofErr w:type="spellStart"/>
      <w:r w:rsidRPr="00275FA4">
        <w:rPr>
          <w:sz w:val="24"/>
          <w:szCs w:val="24"/>
        </w:rPr>
        <w:t>diuretika</w:t>
      </w:r>
      <w:proofErr w:type="spellEnd"/>
      <w:r w:rsidRPr="00275FA4">
        <w:rPr>
          <w:sz w:val="24"/>
          <w:szCs w:val="24"/>
        </w:rPr>
        <w:t>, non-</w:t>
      </w:r>
      <w:proofErr w:type="spellStart"/>
      <w:r w:rsidRPr="00275FA4">
        <w:rPr>
          <w:sz w:val="24"/>
          <w:szCs w:val="24"/>
        </w:rPr>
        <w:t>steroide</w:t>
      </w:r>
      <w:proofErr w:type="spellEnd"/>
      <w:r w:rsidRPr="00275FA4">
        <w:rPr>
          <w:sz w:val="24"/>
          <w:szCs w:val="24"/>
        </w:rPr>
        <w:t xml:space="preserve"> antiinflammatoriske lægemidler, herunder</w:t>
      </w:r>
      <w:r w:rsidRPr="00275FA4">
        <w:rPr>
          <w:color w:val="525759"/>
          <w:sz w:val="24"/>
          <w:szCs w:val="24"/>
        </w:rPr>
        <w:t xml:space="preserve"> </w:t>
      </w:r>
      <w:r w:rsidRPr="00275FA4">
        <w:rPr>
          <w:sz w:val="24"/>
          <w:szCs w:val="24"/>
        </w:rPr>
        <w:t>acetylsalicylsyre,</w:t>
      </w:r>
      <w:r w:rsidRPr="00275FA4">
        <w:rPr>
          <w:color w:val="525759"/>
          <w:sz w:val="24"/>
          <w:szCs w:val="24"/>
        </w:rPr>
        <w:t xml:space="preserve"> </w:t>
      </w:r>
      <w:r w:rsidRPr="00275FA4">
        <w:rPr>
          <w:sz w:val="24"/>
          <w:szCs w:val="24"/>
        </w:rPr>
        <w:t xml:space="preserve">og hormoner (f.eks. østrogen, insulin og </w:t>
      </w:r>
      <w:proofErr w:type="spellStart"/>
      <w:r w:rsidRPr="00275FA4">
        <w:rPr>
          <w:sz w:val="24"/>
          <w:szCs w:val="24"/>
        </w:rPr>
        <w:t>thyroxin</w:t>
      </w:r>
      <w:proofErr w:type="spellEnd"/>
      <w:r w:rsidRPr="00275FA4">
        <w:rPr>
          <w:sz w:val="24"/>
          <w:szCs w:val="24"/>
        </w:rPr>
        <w:t>).</w:t>
      </w:r>
    </w:p>
    <w:p w14:paraId="31725A13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AF64E31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dog en mulighed for, at additiveffekter kan føre til hypotension og/eller udtalt bradykardi, når den </w:t>
      </w:r>
      <w:proofErr w:type="spellStart"/>
      <w:r w:rsidRPr="00275FA4">
        <w:rPr>
          <w:sz w:val="24"/>
          <w:szCs w:val="24"/>
        </w:rPr>
        <w:t>oftalmiske</w:t>
      </w:r>
      <w:proofErr w:type="spellEnd"/>
      <w:r w:rsidRPr="00275FA4">
        <w:rPr>
          <w:sz w:val="24"/>
          <w:szCs w:val="24"/>
        </w:rPr>
        <w:t xml:space="preserve"> betablokker-opløsning administreres samtidig med orale calciumkanalblokkere, </w:t>
      </w:r>
      <w:proofErr w:type="spellStart"/>
      <w:r w:rsidRPr="00275FA4">
        <w:rPr>
          <w:sz w:val="24"/>
          <w:szCs w:val="24"/>
        </w:rPr>
        <w:t>katekolamin-depleterende</w:t>
      </w:r>
      <w:proofErr w:type="spellEnd"/>
      <w:r w:rsidRPr="00275FA4">
        <w:rPr>
          <w:sz w:val="24"/>
          <w:szCs w:val="24"/>
        </w:rPr>
        <w:t xml:space="preserve"> lægemidler eller beta-</w:t>
      </w:r>
      <w:proofErr w:type="spellStart"/>
      <w:r w:rsidRPr="00275FA4">
        <w:rPr>
          <w:sz w:val="24"/>
          <w:szCs w:val="24"/>
        </w:rPr>
        <w:t>adrenerge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blokkere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antiarytmika</w:t>
      </w:r>
      <w:proofErr w:type="spellEnd"/>
      <w:r w:rsidRPr="00275FA4">
        <w:rPr>
          <w:sz w:val="24"/>
          <w:szCs w:val="24"/>
        </w:rPr>
        <w:t xml:space="preserve"> (herunder </w:t>
      </w:r>
      <w:proofErr w:type="spellStart"/>
      <w:r w:rsidRPr="00275FA4">
        <w:rPr>
          <w:sz w:val="24"/>
          <w:szCs w:val="24"/>
        </w:rPr>
        <w:t>amiodaron</w:t>
      </w:r>
      <w:proofErr w:type="spellEnd"/>
      <w:r w:rsidRPr="00275FA4">
        <w:rPr>
          <w:sz w:val="24"/>
          <w:szCs w:val="24"/>
        </w:rPr>
        <w:t xml:space="preserve">), digitalisglykosider, </w:t>
      </w:r>
      <w:proofErr w:type="spellStart"/>
      <w:r w:rsidRPr="00275FA4">
        <w:rPr>
          <w:sz w:val="24"/>
          <w:szCs w:val="24"/>
        </w:rPr>
        <w:t>parasympatomimetika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quanethidin</w:t>
      </w:r>
      <w:proofErr w:type="spellEnd"/>
      <w:r w:rsidRPr="00275FA4">
        <w:rPr>
          <w:sz w:val="24"/>
          <w:szCs w:val="24"/>
        </w:rPr>
        <w:t xml:space="preserve">, narkotika og </w:t>
      </w:r>
      <w:proofErr w:type="spellStart"/>
      <w:r w:rsidRPr="00275FA4">
        <w:rPr>
          <w:sz w:val="24"/>
          <w:szCs w:val="24"/>
        </w:rPr>
        <w:t>monoaminoxidase</w:t>
      </w:r>
      <w:proofErr w:type="spellEnd"/>
      <w:r w:rsidRPr="00275FA4">
        <w:rPr>
          <w:sz w:val="24"/>
          <w:szCs w:val="24"/>
        </w:rPr>
        <w:t>-(MAO)-</w:t>
      </w:r>
      <w:proofErr w:type="spellStart"/>
      <w:r w:rsidRPr="00275FA4">
        <w:rPr>
          <w:sz w:val="24"/>
          <w:szCs w:val="24"/>
        </w:rPr>
        <w:t>hæmmere</w:t>
      </w:r>
      <w:proofErr w:type="spellEnd"/>
      <w:r w:rsidRPr="00275FA4">
        <w:rPr>
          <w:sz w:val="24"/>
          <w:szCs w:val="24"/>
        </w:rPr>
        <w:t>.</w:t>
      </w:r>
    </w:p>
    <w:p w14:paraId="262265A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10A16AF8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rapporteret om potenseret systemisk betablokade (f.eks. nedsat hjertefrekvens, depression) ved samtidig behandling med CYP2D6-hæmmere (f.eks. </w:t>
      </w:r>
      <w:proofErr w:type="spellStart"/>
      <w:r w:rsidRPr="00275FA4">
        <w:rPr>
          <w:sz w:val="24"/>
          <w:szCs w:val="24"/>
        </w:rPr>
        <w:t>kinidin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fluoxetin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paroxetin</w:t>
      </w:r>
      <w:proofErr w:type="spellEnd"/>
      <w:r w:rsidRPr="00275FA4">
        <w:rPr>
          <w:sz w:val="24"/>
          <w:szCs w:val="24"/>
        </w:rPr>
        <w:t xml:space="preserve">) og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>.</w:t>
      </w:r>
    </w:p>
    <w:p w14:paraId="1B915648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1A7C5C0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Selvom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alene, har ingen eller lille effekt på pupilstørrelsen, er der lejlighedsvist rapporteret om </w:t>
      </w:r>
      <w:proofErr w:type="spellStart"/>
      <w:r w:rsidRPr="00275FA4">
        <w:rPr>
          <w:sz w:val="24"/>
          <w:szCs w:val="24"/>
        </w:rPr>
        <w:t>mydriasis</w:t>
      </w:r>
      <w:proofErr w:type="spellEnd"/>
      <w:r w:rsidRPr="00275FA4">
        <w:rPr>
          <w:sz w:val="24"/>
          <w:szCs w:val="24"/>
        </w:rPr>
        <w:t xml:space="preserve">, som skyldes samtidig brug af </w:t>
      </w:r>
      <w:proofErr w:type="spellStart"/>
      <w:r w:rsidRPr="00275FA4">
        <w:rPr>
          <w:sz w:val="24"/>
          <w:szCs w:val="24"/>
        </w:rPr>
        <w:t>oftalmiske</w:t>
      </w:r>
      <w:proofErr w:type="spellEnd"/>
      <w:r w:rsidRPr="00275FA4">
        <w:rPr>
          <w:sz w:val="24"/>
          <w:szCs w:val="24"/>
        </w:rPr>
        <w:t xml:space="preserve"> betablokkere og adrenalin.</w:t>
      </w:r>
    </w:p>
    <w:p w14:paraId="0C5A161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70D504E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Betablokkere kan forstærke den hypoglykæmiske effekt af </w:t>
      </w:r>
      <w:proofErr w:type="spellStart"/>
      <w:r w:rsidRPr="00275FA4">
        <w:rPr>
          <w:sz w:val="24"/>
          <w:szCs w:val="24"/>
        </w:rPr>
        <w:t>antidiabetika</w:t>
      </w:r>
      <w:proofErr w:type="spellEnd"/>
      <w:r w:rsidRPr="00275FA4">
        <w:rPr>
          <w:sz w:val="24"/>
          <w:szCs w:val="24"/>
        </w:rPr>
        <w:t>.</w:t>
      </w:r>
    </w:p>
    <w:p w14:paraId="54CEC12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Orale beta-</w:t>
      </w:r>
      <w:proofErr w:type="spellStart"/>
      <w:r w:rsidRPr="00275FA4">
        <w:rPr>
          <w:sz w:val="24"/>
          <w:szCs w:val="24"/>
        </w:rPr>
        <w:t>adrenerge</w:t>
      </w:r>
      <w:proofErr w:type="spellEnd"/>
      <w:r w:rsidRPr="00275FA4">
        <w:rPr>
          <w:sz w:val="24"/>
          <w:szCs w:val="24"/>
        </w:rPr>
        <w:t xml:space="preserve"> blokerende lægemidler kan forværre den tilbagevendende-hypertension, som kan opstå efter </w:t>
      </w:r>
      <w:proofErr w:type="spellStart"/>
      <w:r w:rsidRPr="00275FA4">
        <w:rPr>
          <w:sz w:val="24"/>
          <w:szCs w:val="24"/>
        </w:rPr>
        <w:t>seponering</w:t>
      </w:r>
      <w:proofErr w:type="spellEnd"/>
      <w:r w:rsidRPr="00275FA4">
        <w:rPr>
          <w:sz w:val="24"/>
          <w:szCs w:val="24"/>
        </w:rPr>
        <w:t xml:space="preserve"> af </w:t>
      </w:r>
      <w:proofErr w:type="spellStart"/>
      <w:r w:rsidRPr="00275FA4">
        <w:rPr>
          <w:sz w:val="24"/>
          <w:szCs w:val="24"/>
        </w:rPr>
        <w:t>chlonidin</w:t>
      </w:r>
      <w:proofErr w:type="spellEnd"/>
      <w:r w:rsidRPr="00275FA4">
        <w:rPr>
          <w:sz w:val="24"/>
          <w:szCs w:val="24"/>
        </w:rPr>
        <w:t>.</w:t>
      </w:r>
    </w:p>
    <w:p w14:paraId="5678C6B5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26BF8E6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4.6</w:t>
      </w:r>
      <w:r w:rsidRPr="00275FA4">
        <w:rPr>
          <w:b/>
          <w:sz w:val="24"/>
          <w:szCs w:val="24"/>
        </w:rPr>
        <w:tab/>
      </w:r>
      <w:r w:rsidR="0071241E" w:rsidRPr="00275FA4">
        <w:rPr>
          <w:b/>
          <w:sz w:val="24"/>
          <w:szCs w:val="24"/>
        </w:rPr>
        <w:t>Fertilitet, g</w:t>
      </w:r>
      <w:r w:rsidRPr="00275FA4">
        <w:rPr>
          <w:b/>
          <w:sz w:val="24"/>
          <w:szCs w:val="24"/>
        </w:rPr>
        <w:t>raviditet og amning</w:t>
      </w:r>
    </w:p>
    <w:p w14:paraId="761FFBF9" w14:textId="77777777" w:rsidR="00275FA4" w:rsidRDefault="00275FA4" w:rsidP="00420790">
      <w:pPr>
        <w:ind w:left="851"/>
        <w:rPr>
          <w:sz w:val="24"/>
          <w:szCs w:val="24"/>
          <w:u w:val="single"/>
        </w:rPr>
      </w:pPr>
    </w:p>
    <w:p w14:paraId="44ACCFF6" w14:textId="78447A9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Graviditet</w:t>
      </w:r>
    </w:p>
    <w:p w14:paraId="34B2F6B8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bør ikke anvendes under graviditet.</w:t>
      </w:r>
    </w:p>
    <w:p w14:paraId="50AFCF54" w14:textId="1F55F779" w:rsidR="004971CE" w:rsidRDefault="004971C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0039DD8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3B1A53B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Dorzolamid</w:t>
      </w:r>
      <w:proofErr w:type="spellEnd"/>
    </w:p>
    <w:p w14:paraId="511C887F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foreligger ikke tilstrækkelige kliniske data om brugen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under graviditet. Forsøg med kaniner har vist en </w:t>
      </w:r>
      <w:proofErr w:type="spellStart"/>
      <w:r w:rsidRPr="00275FA4">
        <w:rPr>
          <w:sz w:val="24"/>
          <w:szCs w:val="24"/>
        </w:rPr>
        <w:t>teratogen</w:t>
      </w:r>
      <w:proofErr w:type="spellEnd"/>
      <w:r w:rsidRPr="00275FA4">
        <w:rPr>
          <w:sz w:val="24"/>
          <w:szCs w:val="24"/>
        </w:rPr>
        <w:t xml:space="preserve"> effekt ved </w:t>
      </w:r>
      <w:proofErr w:type="spellStart"/>
      <w:r w:rsidRPr="00275FA4">
        <w:rPr>
          <w:sz w:val="24"/>
          <w:szCs w:val="24"/>
        </w:rPr>
        <w:t>maternotoksiske</w:t>
      </w:r>
      <w:proofErr w:type="spellEnd"/>
      <w:r w:rsidRPr="00275FA4">
        <w:rPr>
          <w:sz w:val="24"/>
          <w:szCs w:val="24"/>
        </w:rPr>
        <w:t xml:space="preserve"> doser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(se pkt. 5.3).</w:t>
      </w:r>
    </w:p>
    <w:p w14:paraId="4EAD5597" w14:textId="77777777" w:rsidR="00420790" w:rsidRPr="00275FA4" w:rsidRDefault="00420790" w:rsidP="00420790">
      <w:pPr>
        <w:ind w:left="851"/>
        <w:rPr>
          <w:i/>
          <w:iCs/>
          <w:sz w:val="24"/>
          <w:szCs w:val="24"/>
        </w:rPr>
      </w:pPr>
    </w:p>
    <w:p w14:paraId="6AB95972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Timolol</w:t>
      </w:r>
      <w:proofErr w:type="spellEnd"/>
    </w:p>
    <w:p w14:paraId="63A9513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iCs/>
          <w:sz w:val="24"/>
          <w:szCs w:val="24"/>
        </w:rPr>
        <w:t xml:space="preserve">Der foreligger ikke tilstrækkelige data for brug af </w:t>
      </w:r>
      <w:proofErr w:type="spellStart"/>
      <w:r w:rsidRPr="00275FA4">
        <w:rPr>
          <w:iCs/>
          <w:sz w:val="24"/>
          <w:szCs w:val="24"/>
        </w:rPr>
        <w:t>timolol</w:t>
      </w:r>
      <w:proofErr w:type="spellEnd"/>
      <w:r w:rsidRPr="00275FA4">
        <w:rPr>
          <w:iCs/>
          <w:sz w:val="24"/>
          <w:szCs w:val="24"/>
        </w:rPr>
        <w:t xml:space="preserve"> hos gravide kvinder. </w:t>
      </w:r>
      <w:proofErr w:type="spellStart"/>
      <w:r w:rsidRPr="00275FA4">
        <w:rPr>
          <w:iCs/>
          <w:sz w:val="24"/>
          <w:szCs w:val="24"/>
        </w:rPr>
        <w:t>Timolol</w:t>
      </w:r>
      <w:proofErr w:type="spellEnd"/>
      <w:r w:rsidRPr="00275FA4">
        <w:rPr>
          <w:iCs/>
          <w:sz w:val="24"/>
          <w:szCs w:val="24"/>
        </w:rPr>
        <w:t xml:space="preserve"> bør ikke anvendes under graviditet, medmindre det er klart nødvendigt. </w:t>
      </w:r>
      <w:r w:rsidRPr="00275FA4">
        <w:rPr>
          <w:sz w:val="24"/>
          <w:szCs w:val="24"/>
        </w:rPr>
        <w:t>For at reducere den systemiske absorption, se pkt. 4.2.</w:t>
      </w:r>
    </w:p>
    <w:p w14:paraId="719D8CE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noProof/>
          <w:sz w:val="24"/>
          <w:szCs w:val="24"/>
        </w:rPr>
        <w:t xml:space="preserve">Epidemiologiske undersøgelser har ikke vist misdannelser, </w:t>
      </w:r>
      <w:r w:rsidRPr="00275FA4">
        <w:rPr>
          <w:iCs/>
          <w:sz w:val="24"/>
          <w:szCs w:val="24"/>
        </w:rPr>
        <w:t xml:space="preserve">men viser en risiko for intrauterin vækstretardering når betablokkere administreres oralt. Yderligere sås tegn og symptomer på betablokade (såsom bradykardi, hypotension, respiratorisk </w:t>
      </w:r>
      <w:proofErr w:type="spellStart"/>
      <w:r w:rsidRPr="00275FA4">
        <w:rPr>
          <w:iCs/>
          <w:sz w:val="24"/>
          <w:szCs w:val="24"/>
        </w:rPr>
        <w:t>distres</w:t>
      </w:r>
      <w:proofErr w:type="spellEnd"/>
      <w:r w:rsidRPr="00275FA4">
        <w:rPr>
          <w:iCs/>
          <w:sz w:val="24"/>
          <w:szCs w:val="24"/>
        </w:rPr>
        <w:t xml:space="preserve"> og hypoglykæmi) hos nyfødte, når betablokkere blev administreret frem til fødslen. Hvis dette lægemiddel administreres frem til fødslen, skal nyfødte observeres i de første dage efter fødslen.</w:t>
      </w:r>
    </w:p>
    <w:p w14:paraId="4433AFFE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0DF38C1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i/>
          <w:iCs/>
          <w:sz w:val="24"/>
          <w:szCs w:val="24"/>
          <w:u w:val="single"/>
        </w:rPr>
        <w:t>Amning</w:t>
      </w:r>
    </w:p>
    <w:p w14:paraId="5352795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Det vides ikke, om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udskilles i human mælk. Hos diegivende rotter, der fik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, blev der observeret nedsat vægtøgning hos afkommet. Betablokkere udskilles i modermælken. Ved terapeutiske doser af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som øjendråber er der ringe sandsynlighed for, at der vil være tilstrækkelige mængder i modermælken til at producere kliniske symptomer på betablokade hos spædbarnet. For at reducere den systemiske absorption, se pkt. 4.2. Amning frarådes, hvis behandling med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er nødvendig.</w:t>
      </w:r>
    </w:p>
    <w:p w14:paraId="1A7A280A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5EC047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4.7</w:t>
      </w:r>
      <w:r w:rsidRPr="00275FA4">
        <w:rPr>
          <w:b/>
          <w:sz w:val="24"/>
          <w:szCs w:val="24"/>
        </w:rPr>
        <w:tab/>
        <w:t xml:space="preserve">Virkning på evnen til at føre motorkøretøj </w:t>
      </w:r>
      <w:r w:rsidR="0071241E" w:rsidRPr="00275FA4">
        <w:rPr>
          <w:b/>
          <w:sz w:val="24"/>
          <w:szCs w:val="24"/>
        </w:rPr>
        <w:t>og</w:t>
      </w:r>
      <w:r w:rsidRPr="00275FA4">
        <w:rPr>
          <w:b/>
          <w:sz w:val="24"/>
          <w:szCs w:val="24"/>
        </w:rPr>
        <w:t xml:space="preserve"> betjene maskiner</w:t>
      </w:r>
    </w:p>
    <w:p w14:paraId="599C8BD4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Ikke mærkning.</w:t>
      </w:r>
    </w:p>
    <w:p w14:paraId="65AD30E2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Det er ikke foretaget studier af virkningen på evnen til at føre motorkøretøj eller betjene maskiner.</w:t>
      </w:r>
    </w:p>
    <w:p w14:paraId="40394B62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Hos nogle patienter kan evnen til at føre motorkøretøj og/eller betjene maskiner blive påvirket af mulige bivirkninger, f.eks. sløret syn.</w:t>
      </w:r>
    </w:p>
    <w:p w14:paraId="6237AC50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DA6124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4.8</w:t>
      </w:r>
      <w:r w:rsidRPr="00275FA4">
        <w:rPr>
          <w:b/>
          <w:sz w:val="24"/>
          <w:szCs w:val="24"/>
        </w:rPr>
        <w:tab/>
        <w:t>Bivirkninger</w:t>
      </w:r>
    </w:p>
    <w:p w14:paraId="528240A1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kliniske forsøg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uden konserveringsmiddel svarede de observerede bivirkninger til dem, der tidligere er indberettet ved brug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konserveringsmiddel),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og/eller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. </w:t>
      </w:r>
    </w:p>
    <w:p w14:paraId="69F646D7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8088498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kliniske studier er 1.035 patienter er blevet behandlet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konserveringsmiddel). Cirka 2,4 % af alle patienterne afbrød behandlingen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på grund af lokale </w:t>
      </w:r>
      <w:proofErr w:type="spellStart"/>
      <w:r w:rsidRPr="00275FA4">
        <w:rPr>
          <w:sz w:val="24"/>
          <w:szCs w:val="24"/>
        </w:rPr>
        <w:t>okulære</w:t>
      </w:r>
      <w:proofErr w:type="spellEnd"/>
      <w:r w:rsidRPr="00275FA4">
        <w:rPr>
          <w:sz w:val="24"/>
          <w:szCs w:val="24"/>
        </w:rPr>
        <w:t xml:space="preserve"> bivirkninger. Cirka 1,2 % af alle patienterne afbrød behandlingen på grund af lokale bivirkninger, der tydede på allergi eller overfølsomhed (f.eks. øjenlågsbetændelse og </w:t>
      </w:r>
      <w:proofErr w:type="spellStart"/>
      <w:r w:rsidRPr="00275FA4">
        <w:rPr>
          <w:sz w:val="24"/>
          <w:szCs w:val="24"/>
        </w:rPr>
        <w:t>konjunktivitis</w:t>
      </w:r>
      <w:proofErr w:type="spellEnd"/>
      <w:r w:rsidRPr="00275FA4">
        <w:rPr>
          <w:sz w:val="24"/>
          <w:szCs w:val="24"/>
        </w:rPr>
        <w:t>).</w:t>
      </w:r>
    </w:p>
    <w:p w14:paraId="69D3709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F92511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et dobbeltblindet sammenlignende studie med gentagen dosis, var sikkerhedsprofilen for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uden konserveringsmiddel den samme som for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konserveringsmiddel).</w:t>
      </w:r>
    </w:p>
    <w:p w14:paraId="5B3E37E6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CF34A4B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Ligesom andre </w:t>
      </w:r>
      <w:proofErr w:type="spellStart"/>
      <w:r w:rsidRPr="00275FA4">
        <w:rPr>
          <w:sz w:val="24"/>
          <w:szCs w:val="24"/>
        </w:rPr>
        <w:t>topikalt</w:t>
      </w:r>
      <w:proofErr w:type="spellEnd"/>
      <w:r w:rsidRPr="00275FA4">
        <w:rPr>
          <w:sz w:val="24"/>
          <w:szCs w:val="24"/>
        </w:rPr>
        <w:t xml:space="preserve"> administrerede øjenpræparater, absorberes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i det systemiske kredsløb. Dette kan forårsage samme bivirkninger, som ses ved systemiske betablokkere. Forekomsten af systemiske bivirkninger efter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oftalmisk</w:t>
      </w:r>
      <w:proofErr w:type="spellEnd"/>
      <w:r w:rsidRPr="00275FA4">
        <w:rPr>
          <w:sz w:val="24"/>
          <w:szCs w:val="24"/>
        </w:rPr>
        <w:t xml:space="preserve"> administration er lavere end for systemisk administration.</w:t>
      </w:r>
    </w:p>
    <w:p w14:paraId="1C7613FD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8E98462" w14:textId="77777777" w:rsidR="00420790" w:rsidRPr="00275FA4" w:rsidRDefault="00420790" w:rsidP="00420790">
      <w:pPr>
        <w:ind w:left="851"/>
        <w:rPr>
          <w:b/>
          <w:sz w:val="24"/>
          <w:szCs w:val="24"/>
        </w:rPr>
      </w:pPr>
      <w:r w:rsidRPr="00275FA4">
        <w:rPr>
          <w:sz w:val="24"/>
          <w:szCs w:val="24"/>
        </w:rPr>
        <w:lastRenderedPageBreak/>
        <w:t xml:space="preserve">Følgende bivirkninger er indberettet ved brug af lægemidlet indeholdende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uden konserveringsmiddel eller en af de aktive stoffer, enten under kliniske studier eller efter markedsføring:</w:t>
      </w:r>
    </w:p>
    <w:p w14:paraId="31889BA3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Meget almindelige (≥ 1/10), almindelige (≥ 1/100 til &lt; 1/10), ikke almindelige (≥ 1/1.000 til &lt; 1/100) sjældne (≥ 1/10.000 til &lt; 1/1.000), ikke kendt (kan ikke estimeres ud fra de foreliggende data)</w:t>
      </w:r>
    </w:p>
    <w:p w14:paraId="60C795C1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5"/>
        <w:gridCol w:w="1637"/>
        <w:gridCol w:w="1040"/>
        <w:gridCol w:w="1570"/>
        <w:gridCol w:w="1208"/>
        <w:gridCol w:w="1418"/>
        <w:gridCol w:w="1214"/>
      </w:tblGrid>
      <w:tr w:rsidR="00420790" w:rsidRPr="00275FA4" w14:paraId="1F2BF614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8E946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Organsystemklasse (</w:t>
            </w:r>
            <w:proofErr w:type="spellStart"/>
            <w:r w:rsidRPr="00275FA4">
              <w:rPr>
                <w:b/>
                <w:bCs/>
                <w:sz w:val="20"/>
                <w:lang w:eastAsia="el-GR"/>
              </w:rPr>
              <w:t>MedDRA</w:t>
            </w:r>
            <w:proofErr w:type="spellEnd"/>
            <w:r w:rsidRPr="00275FA4">
              <w:rPr>
                <w:b/>
                <w:bCs/>
                <w:sz w:val="20"/>
                <w:lang w:eastAsia="el-GR"/>
              </w:rPr>
              <w:t>)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A0C4E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Formulering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A6D90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Meget almindelige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214A6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Almindelige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F1C6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Ikke almindelige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31EEF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Sjældne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864B2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Ikke kendt**</w:t>
            </w:r>
          </w:p>
        </w:tc>
      </w:tr>
      <w:tr w:rsidR="00420790" w:rsidRPr="00275FA4" w14:paraId="6CC5A00F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C28F1" w14:textId="77777777" w:rsidR="00420790" w:rsidRPr="00275FA4" w:rsidRDefault="00420790">
            <w:pPr>
              <w:spacing w:line="254" w:lineRule="auto"/>
              <w:ind w:left="104" w:right="187"/>
              <w:rPr>
                <w:b/>
                <w:bCs/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Immunsystemet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B90EC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proofErr w:type="spellStart"/>
            <w:r w:rsidRPr="00275FA4">
              <w:rPr>
                <w:sz w:val="20"/>
                <w:lang w:eastAsia="el-GR"/>
              </w:rPr>
              <w:t>Dorzolamid</w:t>
            </w:r>
            <w:proofErr w:type="spellEnd"/>
            <w:r w:rsidRPr="00275FA4">
              <w:rPr>
                <w:sz w:val="20"/>
                <w:lang w:eastAsia="el-GR"/>
              </w:rPr>
              <w:t>/</w:t>
            </w:r>
            <w:proofErr w:type="spellStart"/>
            <w:r w:rsidRPr="00275FA4">
              <w:rPr>
                <w:sz w:val="20"/>
                <w:lang w:eastAsia="el-GR"/>
              </w:rPr>
              <w:t>timolol</w:t>
            </w:r>
            <w:proofErr w:type="spellEnd"/>
            <w:r w:rsidRPr="00275FA4">
              <w:rPr>
                <w:sz w:val="20"/>
                <w:lang w:eastAsia="el-GR"/>
              </w:rPr>
              <w:t xml:space="preserve"> uden konserveringsmiddel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392D1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E410AC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091E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GB"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9B7E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rStyle w:val="Sidetal"/>
                <w:sz w:val="20"/>
              </w:rPr>
              <w:t xml:space="preserve">tegn og symptomer på systemiske allergiske reaktioner, herunder </w:t>
            </w:r>
            <w:proofErr w:type="spellStart"/>
            <w:r w:rsidRPr="00275FA4">
              <w:rPr>
                <w:rStyle w:val="Sidetal"/>
                <w:sz w:val="20"/>
              </w:rPr>
              <w:t>angioødem</w:t>
            </w:r>
            <w:proofErr w:type="spellEnd"/>
            <w:r w:rsidRPr="00275FA4">
              <w:rPr>
                <w:rStyle w:val="Sidetal"/>
                <w:sz w:val="20"/>
              </w:rPr>
              <w:t xml:space="preserve">, </w:t>
            </w:r>
            <w:proofErr w:type="spellStart"/>
            <w:r w:rsidRPr="00275FA4">
              <w:rPr>
                <w:rStyle w:val="Sidetal"/>
                <w:sz w:val="20"/>
              </w:rPr>
              <w:t>urticaria</w:t>
            </w:r>
            <w:proofErr w:type="spellEnd"/>
            <w:r w:rsidRPr="00275FA4">
              <w:rPr>
                <w:rStyle w:val="Sidetal"/>
                <w:sz w:val="20"/>
              </w:rPr>
              <w:t xml:space="preserve">, </w:t>
            </w:r>
            <w:proofErr w:type="spellStart"/>
            <w:r w:rsidRPr="00275FA4">
              <w:rPr>
                <w:rStyle w:val="Sidetal"/>
                <w:sz w:val="20"/>
              </w:rPr>
              <w:t>pruritus</w:t>
            </w:r>
            <w:proofErr w:type="spellEnd"/>
            <w:r w:rsidRPr="00275FA4">
              <w:rPr>
                <w:rStyle w:val="Sidetal"/>
                <w:sz w:val="20"/>
              </w:rPr>
              <w:t>, udslæt, anafylaksi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A0540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0743F9F4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A4CC4" w14:textId="77777777" w:rsidR="00420790" w:rsidRPr="00275FA4" w:rsidRDefault="00420790">
            <w:pPr>
              <w:rPr>
                <w:b/>
                <w:bCs/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7FFC01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proofErr w:type="spellStart"/>
            <w:r w:rsidRPr="00275FA4">
              <w:rPr>
                <w:sz w:val="20"/>
              </w:rPr>
              <w:t>Timololmaleat</w:t>
            </w:r>
            <w:proofErr w:type="spellEnd"/>
            <w:r w:rsidRPr="00275FA4">
              <w:rPr>
                <w:sz w:val="20"/>
              </w:rPr>
              <w:t>, øjendråber,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3957E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r w:rsidRPr="00275FA4">
              <w:rPr>
                <w:sz w:val="20"/>
                <w:lang w:val="en-US" w:eastAsia="el-GR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AE887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r w:rsidRPr="00275FA4">
              <w:rPr>
                <w:sz w:val="20"/>
                <w:lang w:val="en-US" w:eastAsia="el-GR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7504B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GB" w:eastAsia="el-GR"/>
              </w:rPr>
            </w:pPr>
            <w:r w:rsidRPr="00275FA4">
              <w:rPr>
                <w:sz w:val="20"/>
                <w:lang w:val="en-US" w:eastAsia="el-GR"/>
              </w:rPr>
              <w:t> 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0318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</w:rPr>
              <w:t xml:space="preserve">tegn og symptomer på allergiske reaktioner, herunder </w:t>
            </w:r>
            <w:proofErr w:type="spellStart"/>
            <w:r w:rsidRPr="00275FA4">
              <w:rPr>
                <w:sz w:val="20"/>
              </w:rPr>
              <w:t>angioødem</w:t>
            </w:r>
            <w:proofErr w:type="spellEnd"/>
            <w:r w:rsidRPr="00275FA4">
              <w:rPr>
                <w:sz w:val="20"/>
              </w:rPr>
              <w:t xml:space="preserve">, </w:t>
            </w:r>
            <w:proofErr w:type="spellStart"/>
            <w:r w:rsidRPr="00275FA4">
              <w:rPr>
                <w:sz w:val="20"/>
              </w:rPr>
              <w:t>urticaria</w:t>
            </w:r>
            <w:proofErr w:type="spellEnd"/>
            <w:r w:rsidRPr="00275FA4">
              <w:rPr>
                <w:sz w:val="20"/>
              </w:rPr>
              <w:t>, lokaliseret og generaliseret udslæt, anafylaksi.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7D6B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proofErr w:type="spellStart"/>
            <w:r w:rsidRPr="00275FA4">
              <w:rPr>
                <w:sz w:val="20"/>
                <w:lang w:eastAsia="el-GR"/>
              </w:rPr>
              <w:t>pruritus</w:t>
            </w:r>
            <w:proofErr w:type="spellEnd"/>
          </w:p>
        </w:tc>
      </w:tr>
      <w:tr w:rsidR="00420790" w:rsidRPr="00275FA4" w14:paraId="7E67DE42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D8BB37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b/>
              </w:rPr>
            </w:pPr>
            <w:proofErr w:type="spellStart"/>
            <w:r w:rsidRPr="00275FA4">
              <w:rPr>
                <w:b/>
              </w:rPr>
              <w:t>Metabolisme</w:t>
            </w:r>
            <w:proofErr w:type="spellEnd"/>
            <w:r w:rsidRPr="00275FA4">
              <w:rPr>
                <w:b/>
              </w:rPr>
              <w:t xml:space="preserve"> og </w:t>
            </w:r>
            <w:proofErr w:type="spellStart"/>
            <w:r w:rsidRPr="00275FA4">
              <w:rPr>
                <w:b/>
              </w:rPr>
              <w:t>ernæring</w:t>
            </w:r>
            <w:proofErr w:type="spellEnd"/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9301F2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EA05F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B0EF1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8F065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B248D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460CDA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hypoglykæ</w:t>
            </w:r>
            <w:proofErr w:type="spellEnd"/>
            <w:r w:rsidRPr="00275FA4">
              <w:t>-mi</w:t>
            </w:r>
          </w:p>
        </w:tc>
      </w:tr>
      <w:tr w:rsidR="00420790" w:rsidRPr="00275FA4" w14:paraId="246DAFA1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68CB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Psykiske lidelser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1940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proofErr w:type="spellStart"/>
            <w:r w:rsidRPr="00275FA4">
              <w:rPr>
                <w:sz w:val="20"/>
              </w:rPr>
              <w:t>Timololmaleat</w:t>
            </w:r>
            <w:proofErr w:type="spellEnd"/>
            <w:r w:rsidRPr="00275FA4">
              <w:rPr>
                <w:sz w:val="20"/>
              </w:rPr>
              <w:t>, øjendråber,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69F138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r w:rsidRPr="00275FA4">
              <w:rPr>
                <w:sz w:val="20"/>
                <w:lang w:val="en-US" w:eastAsia="el-GR"/>
              </w:rPr>
              <w:t> </w:t>
            </w: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57CF28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r w:rsidRPr="00275FA4">
              <w:rPr>
                <w:sz w:val="20"/>
                <w:lang w:val="en-US" w:eastAsia="el-GR"/>
              </w:rPr>
              <w:t> 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B2F4E4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r w:rsidRPr="00275FA4">
              <w:t>depression*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9B3FB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søvnløshed</w:t>
            </w:r>
            <w:proofErr w:type="spellEnd"/>
            <w:r w:rsidRPr="00275FA4">
              <w:t xml:space="preserve">*, </w:t>
            </w:r>
            <w:proofErr w:type="spellStart"/>
            <w:r w:rsidRPr="00275FA4">
              <w:t>mareridt</w:t>
            </w:r>
            <w:proofErr w:type="spellEnd"/>
            <w:r w:rsidRPr="00275FA4">
              <w:t xml:space="preserve">*, </w:t>
            </w:r>
            <w:proofErr w:type="spellStart"/>
            <w:r w:rsidRPr="00275FA4">
              <w:t>hukommelsestab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2A864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</w:rPr>
              <w:t>hallucination</w:t>
            </w:r>
          </w:p>
        </w:tc>
      </w:tr>
      <w:tr w:rsidR="00420790" w:rsidRPr="00275FA4" w14:paraId="3B50EBF9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76D8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Nervesystemet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6262F" w14:textId="2FC89FC9" w:rsidR="00420790" w:rsidRPr="00275FA4" w:rsidRDefault="00420790" w:rsidP="00843B96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Dorzolamidhydrochlorid</w:t>
            </w:r>
            <w:proofErr w:type="spellEnd"/>
            <w:r w:rsidRPr="00275FA4">
              <w:rPr>
                <w:lang w:val="da-DK"/>
              </w:rPr>
              <w:t xml:space="preserve"> øjendråber,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3C844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6C7D3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r w:rsidRPr="00275FA4">
              <w:rPr>
                <w:lang w:val="da-DK"/>
              </w:rPr>
              <w:t>hovedpine*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AB70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19D3F5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r w:rsidRPr="00275FA4">
              <w:rPr>
                <w:lang w:val="da-DK"/>
              </w:rPr>
              <w:t xml:space="preserve">svimmelhed*, </w:t>
            </w:r>
            <w:proofErr w:type="spellStart"/>
            <w:r w:rsidRPr="00275FA4">
              <w:rPr>
                <w:lang w:val="da-DK"/>
              </w:rPr>
              <w:t>paræstesi</w:t>
            </w:r>
            <w:proofErr w:type="spellEnd"/>
            <w:r w:rsidRPr="00275FA4">
              <w:rPr>
                <w:lang w:val="da-DK"/>
              </w:rPr>
              <w:t>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549E7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</w:p>
        </w:tc>
      </w:tr>
      <w:tr w:rsidR="00420790" w:rsidRPr="00275FA4" w14:paraId="79F60B71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98D1E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793B0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Timololmaleat</w:t>
            </w:r>
            <w:proofErr w:type="spellEnd"/>
            <w:r w:rsidRPr="00275FA4">
              <w:rPr>
                <w:lang w:val="da-DK"/>
              </w:rPr>
              <w:t>, øjendråber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98DF8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8446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hovedpine</w:t>
            </w:r>
            <w:proofErr w:type="spellEnd"/>
            <w:r w:rsidRPr="00275FA4">
              <w:t>*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5E190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svimmelhed</w:t>
            </w:r>
            <w:proofErr w:type="spellEnd"/>
            <w:r w:rsidRPr="00275FA4">
              <w:t xml:space="preserve">*, </w:t>
            </w:r>
            <w:proofErr w:type="spellStart"/>
            <w:r w:rsidRPr="00275FA4">
              <w:t>synkope</w:t>
            </w:r>
            <w:proofErr w:type="spellEnd"/>
            <w:r w:rsidRPr="00275FA4">
              <w:t xml:space="preserve">*,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BB34BD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paræstesi</w:t>
            </w:r>
            <w:proofErr w:type="spellEnd"/>
            <w:r w:rsidRPr="00275FA4">
              <w:rPr>
                <w:lang w:val="da-DK"/>
              </w:rPr>
              <w:t xml:space="preserve">*, øgede tegn og symptomer på </w:t>
            </w:r>
            <w:proofErr w:type="spellStart"/>
            <w:r w:rsidRPr="00275FA4">
              <w:rPr>
                <w:lang w:val="da-DK"/>
              </w:rPr>
              <w:t>myasteni</w:t>
            </w:r>
            <w:proofErr w:type="spellEnd"/>
            <w:r w:rsidRPr="00275FA4">
              <w:rPr>
                <w:lang w:val="da-DK"/>
              </w:rPr>
              <w:t xml:space="preserve">, nedsat libido*, </w:t>
            </w:r>
            <w:proofErr w:type="spellStart"/>
            <w:r w:rsidRPr="00275FA4">
              <w:rPr>
                <w:lang w:val="da-DK"/>
              </w:rPr>
              <w:t>cerebrovaskulære</w:t>
            </w:r>
            <w:proofErr w:type="spellEnd"/>
            <w:r w:rsidRPr="00275FA4">
              <w:rPr>
                <w:lang w:val="da-DK"/>
              </w:rPr>
              <w:t xml:space="preserve"> tilfælde*, cerebral iskæmi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E3385C" w14:textId="77777777" w:rsidR="00420790" w:rsidRPr="00275FA4" w:rsidRDefault="00420790">
            <w:pPr>
              <w:rPr>
                <w:sz w:val="20"/>
              </w:rPr>
            </w:pPr>
          </w:p>
        </w:tc>
      </w:tr>
      <w:tr w:rsidR="00420790" w:rsidRPr="00275FA4" w14:paraId="41F5E5E0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21EF26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lastRenderedPageBreak/>
              <w:t>Øjne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E083D0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>/</w:t>
            </w:r>
            <w:proofErr w:type="spellStart"/>
            <w:r w:rsidRPr="00275FA4">
              <w:rPr>
                <w:lang w:val="da-DK"/>
              </w:rPr>
              <w:t>timolol</w:t>
            </w:r>
            <w:proofErr w:type="spellEnd"/>
            <w:r w:rsidRPr="00275FA4">
              <w:rPr>
                <w:lang w:val="da-DK"/>
              </w:rPr>
              <w:t xml:space="preserve"> uden </w:t>
            </w:r>
            <w:proofErr w:type="spellStart"/>
            <w:r w:rsidRPr="00275FA4">
              <w:rPr>
                <w:lang w:val="da-DK"/>
              </w:rPr>
              <w:t>konserve-ringsmiddel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2D718B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brænden</w:t>
            </w:r>
            <w:proofErr w:type="spellEnd"/>
            <w:r w:rsidRPr="00275FA4">
              <w:t xml:space="preserve"> og </w:t>
            </w:r>
            <w:proofErr w:type="spellStart"/>
            <w:r w:rsidRPr="00275FA4">
              <w:t>svien</w:t>
            </w:r>
            <w:proofErr w:type="spellEnd"/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9B711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konjunktival</w:t>
            </w:r>
            <w:proofErr w:type="spellEnd"/>
            <w:r w:rsidRPr="00275FA4">
              <w:rPr>
                <w:lang w:val="da-DK"/>
              </w:rPr>
              <w:t xml:space="preserve"> injektion, sløret syn, hornhinde-erosion, øjenkløe og tåreflåd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0CB49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38DA2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7D38B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4B09FC9A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0A5F5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B6AD8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hydrochlorid</w:t>
            </w:r>
            <w:proofErr w:type="spellEnd"/>
            <w:r w:rsidRPr="00275FA4">
              <w:t xml:space="preserve"> </w:t>
            </w:r>
          </w:p>
          <w:p w14:paraId="26EE94D8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D0FB09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B5692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r w:rsidRPr="00275FA4">
              <w:rPr>
                <w:lang w:val="da-DK"/>
              </w:rPr>
              <w:t>øjenlågsinflammation*, irritation af øjenlåget*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4F1C2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r w:rsidRPr="00275FA4">
              <w:t>iridocyclitis*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6B8DB2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 xml:space="preserve">irritation, herunder røde øjne*, smerter*, skorpedannelse på øjenlågene*, forbigående </w:t>
            </w:r>
            <w:proofErr w:type="spellStart"/>
            <w:r w:rsidRPr="00275FA4">
              <w:rPr>
                <w:sz w:val="20"/>
              </w:rPr>
              <w:t>myopi</w:t>
            </w:r>
            <w:proofErr w:type="spellEnd"/>
            <w:r w:rsidRPr="00275FA4">
              <w:rPr>
                <w:sz w:val="20"/>
              </w:rPr>
              <w:t xml:space="preserve">, (som forsvinder efter endt behandling), hornhinde-ødem*, </w:t>
            </w:r>
            <w:proofErr w:type="spellStart"/>
            <w:r w:rsidRPr="00275FA4">
              <w:rPr>
                <w:sz w:val="20"/>
              </w:rPr>
              <w:t>okulær</w:t>
            </w:r>
            <w:proofErr w:type="spellEnd"/>
            <w:r w:rsidRPr="00275FA4">
              <w:rPr>
                <w:sz w:val="20"/>
              </w:rPr>
              <w:t xml:space="preserve"> </w:t>
            </w:r>
            <w:proofErr w:type="spellStart"/>
            <w:r w:rsidRPr="00275FA4">
              <w:rPr>
                <w:sz w:val="20"/>
              </w:rPr>
              <w:t>hypotoni</w:t>
            </w:r>
            <w:proofErr w:type="spellEnd"/>
            <w:r w:rsidRPr="00275FA4">
              <w:rPr>
                <w:sz w:val="20"/>
              </w:rPr>
              <w:t xml:space="preserve">*, </w:t>
            </w:r>
            <w:proofErr w:type="spellStart"/>
            <w:r w:rsidRPr="00275FA4">
              <w:rPr>
                <w:sz w:val="20"/>
              </w:rPr>
              <w:t>choroidealløsning</w:t>
            </w:r>
            <w:proofErr w:type="spellEnd"/>
            <w:r w:rsidRPr="00275FA4">
              <w:rPr>
                <w:sz w:val="20"/>
              </w:rPr>
              <w:t xml:space="preserve"> (efter </w:t>
            </w:r>
            <w:proofErr w:type="gramStart"/>
            <w:r w:rsidRPr="00275FA4">
              <w:rPr>
                <w:sz w:val="20"/>
              </w:rPr>
              <w:t>filtrationskirurgi)*</w:t>
            </w:r>
            <w:proofErr w:type="gram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27C70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følelse af fremmedlegeme i øjet</w:t>
            </w:r>
          </w:p>
        </w:tc>
      </w:tr>
      <w:tr w:rsidR="00420790" w:rsidRPr="00275FA4" w14:paraId="05479D93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C833A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B32C6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B2736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C1A81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 xml:space="preserve">tegn og symptomer på </w:t>
            </w:r>
            <w:proofErr w:type="spellStart"/>
            <w:r w:rsidRPr="00275FA4">
              <w:rPr>
                <w:sz w:val="20"/>
              </w:rPr>
              <w:t>okulær</w:t>
            </w:r>
            <w:proofErr w:type="spellEnd"/>
            <w:r w:rsidRPr="00275FA4">
              <w:rPr>
                <w:sz w:val="20"/>
              </w:rPr>
              <w:t xml:space="preserve"> irritation, herunder </w:t>
            </w:r>
            <w:proofErr w:type="spellStart"/>
            <w:r w:rsidRPr="00275FA4">
              <w:rPr>
                <w:sz w:val="20"/>
              </w:rPr>
              <w:t>blefaritis</w:t>
            </w:r>
            <w:proofErr w:type="spellEnd"/>
            <w:r w:rsidRPr="00275FA4">
              <w:rPr>
                <w:sz w:val="20"/>
              </w:rPr>
              <w:t xml:space="preserve">*, </w:t>
            </w:r>
            <w:proofErr w:type="spellStart"/>
            <w:r w:rsidRPr="00275FA4">
              <w:rPr>
                <w:sz w:val="20"/>
              </w:rPr>
              <w:t>keratitis</w:t>
            </w:r>
            <w:proofErr w:type="spellEnd"/>
            <w:r w:rsidRPr="00275FA4">
              <w:rPr>
                <w:sz w:val="20"/>
              </w:rPr>
              <w:t xml:space="preserve">*, nedsat følsomhed i </w:t>
            </w:r>
            <w:proofErr w:type="spellStart"/>
            <w:r w:rsidRPr="00275FA4">
              <w:rPr>
                <w:sz w:val="20"/>
              </w:rPr>
              <w:t>cornea</w:t>
            </w:r>
            <w:proofErr w:type="spellEnd"/>
            <w:r w:rsidRPr="00275FA4">
              <w:rPr>
                <w:sz w:val="20"/>
              </w:rPr>
              <w:t xml:space="preserve"> og tørre øjne*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F1C98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 xml:space="preserve">synsforstyrrelser, herunder </w:t>
            </w:r>
            <w:proofErr w:type="spellStart"/>
            <w:r w:rsidRPr="00275FA4">
              <w:rPr>
                <w:sz w:val="20"/>
              </w:rPr>
              <w:t>refraktive</w:t>
            </w:r>
            <w:proofErr w:type="spellEnd"/>
            <w:r w:rsidRPr="00275FA4">
              <w:rPr>
                <w:sz w:val="20"/>
              </w:rPr>
              <w:t xml:space="preserve"> ændringer (i nogle tilfælde på grund af </w:t>
            </w:r>
            <w:proofErr w:type="spellStart"/>
            <w:r w:rsidRPr="00275FA4">
              <w:rPr>
                <w:sz w:val="20"/>
              </w:rPr>
              <w:t>seponering</w:t>
            </w:r>
            <w:proofErr w:type="spellEnd"/>
            <w:r w:rsidRPr="00275FA4">
              <w:rPr>
                <w:sz w:val="20"/>
              </w:rPr>
              <w:t xml:space="preserve"> af </w:t>
            </w:r>
            <w:proofErr w:type="spellStart"/>
            <w:r w:rsidRPr="00275FA4">
              <w:rPr>
                <w:sz w:val="20"/>
              </w:rPr>
              <w:t>miotisk</w:t>
            </w:r>
            <w:proofErr w:type="spellEnd"/>
            <w:r w:rsidRPr="00275FA4">
              <w:rPr>
                <w:sz w:val="20"/>
              </w:rPr>
              <w:t xml:space="preserve"> behandling) *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CD849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proofErr w:type="spellStart"/>
            <w:r w:rsidRPr="00275FA4">
              <w:rPr>
                <w:sz w:val="20"/>
              </w:rPr>
              <w:t>ptose</w:t>
            </w:r>
            <w:proofErr w:type="spellEnd"/>
            <w:r w:rsidRPr="00275FA4">
              <w:rPr>
                <w:sz w:val="20"/>
              </w:rPr>
              <w:t xml:space="preserve">, </w:t>
            </w:r>
            <w:proofErr w:type="spellStart"/>
            <w:r w:rsidRPr="00275FA4">
              <w:rPr>
                <w:sz w:val="20"/>
              </w:rPr>
              <w:t>diplopi</w:t>
            </w:r>
            <w:proofErr w:type="spellEnd"/>
            <w:r w:rsidRPr="00275FA4">
              <w:rPr>
                <w:sz w:val="20"/>
              </w:rPr>
              <w:t xml:space="preserve">, </w:t>
            </w:r>
            <w:proofErr w:type="spellStart"/>
            <w:r w:rsidRPr="00275FA4">
              <w:rPr>
                <w:sz w:val="20"/>
              </w:rPr>
              <w:t>choroidalløsning</w:t>
            </w:r>
            <w:proofErr w:type="spellEnd"/>
            <w:r w:rsidRPr="00275FA4">
              <w:rPr>
                <w:sz w:val="20"/>
              </w:rPr>
              <w:t xml:space="preserve"> (efter filtrationskirurgi), se pkt. 4.4)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40CB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rStyle w:val="Sidetal"/>
                <w:sz w:val="20"/>
              </w:rPr>
              <w:t xml:space="preserve">kløe, tåreflåd, rødmen, sløret syn, </w:t>
            </w:r>
            <w:proofErr w:type="spellStart"/>
            <w:r w:rsidRPr="00275FA4">
              <w:rPr>
                <w:rStyle w:val="Sidetal"/>
                <w:sz w:val="20"/>
              </w:rPr>
              <w:t>corneal</w:t>
            </w:r>
            <w:proofErr w:type="spellEnd"/>
            <w:r w:rsidRPr="00275FA4">
              <w:rPr>
                <w:rStyle w:val="Sidetal"/>
                <w:sz w:val="20"/>
              </w:rPr>
              <w:t xml:space="preserve"> erosion</w:t>
            </w:r>
          </w:p>
        </w:tc>
      </w:tr>
      <w:tr w:rsidR="00420790" w:rsidRPr="00275FA4" w14:paraId="3AA889C1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74B78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Øre og labyrint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115C0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C3592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C0258A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6CF095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489D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r w:rsidRPr="00275FA4">
              <w:t>tinnitus*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2C89A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6924AC9E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B987A7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Hjerte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60A00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0A976A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892F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EBB73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bradykardi</w:t>
            </w:r>
            <w:proofErr w:type="spellEnd"/>
            <w:r w:rsidRPr="00275FA4">
              <w:t xml:space="preserve">*,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09E96B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 xml:space="preserve">brystsmerter*, </w:t>
            </w:r>
            <w:proofErr w:type="spellStart"/>
            <w:r w:rsidRPr="00275FA4">
              <w:rPr>
                <w:sz w:val="20"/>
              </w:rPr>
              <w:t>palpitationer</w:t>
            </w:r>
            <w:proofErr w:type="spellEnd"/>
            <w:r w:rsidRPr="00275FA4">
              <w:rPr>
                <w:sz w:val="20"/>
              </w:rPr>
              <w:t xml:space="preserve">*, ødem*, </w:t>
            </w:r>
            <w:proofErr w:type="spellStart"/>
            <w:r w:rsidRPr="00275FA4">
              <w:rPr>
                <w:sz w:val="20"/>
              </w:rPr>
              <w:t>arytmi</w:t>
            </w:r>
            <w:proofErr w:type="spellEnd"/>
            <w:r w:rsidRPr="00275FA4">
              <w:rPr>
                <w:sz w:val="20"/>
              </w:rPr>
              <w:t xml:space="preserve">*, </w:t>
            </w:r>
            <w:proofErr w:type="spellStart"/>
            <w:r w:rsidRPr="00275FA4">
              <w:rPr>
                <w:sz w:val="20"/>
              </w:rPr>
              <w:t>kongestivt</w:t>
            </w:r>
            <w:proofErr w:type="spellEnd"/>
            <w:r w:rsidRPr="00275FA4">
              <w:rPr>
                <w:sz w:val="20"/>
              </w:rPr>
              <w:t xml:space="preserve"> hjertesvigt*, hjertestop*, hjerteblok 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C820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proofErr w:type="spellStart"/>
            <w:r w:rsidRPr="00275FA4">
              <w:rPr>
                <w:sz w:val="20"/>
              </w:rPr>
              <w:t>atrioventrikulært</w:t>
            </w:r>
            <w:proofErr w:type="spellEnd"/>
            <w:r w:rsidRPr="00275FA4">
              <w:rPr>
                <w:sz w:val="20"/>
              </w:rPr>
              <w:t xml:space="preserve"> blok, hjerteinsufficiens</w:t>
            </w:r>
          </w:p>
        </w:tc>
      </w:tr>
      <w:tr w:rsidR="00420790" w:rsidRPr="00275FA4" w14:paraId="26AA4A05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F0915" w14:textId="77777777" w:rsidR="00420790" w:rsidRPr="00275FA4" w:rsidRDefault="00420790">
            <w:pPr>
              <w:spacing w:line="254" w:lineRule="auto"/>
              <w:ind w:left="104" w:right="187"/>
              <w:rPr>
                <w:b/>
                <w:bCs/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C42BE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 xml:space="preserve"> </w:t>
            </w:r>
            <w:proofErr w:type="spellStart"/>
            <w:r w:rsidRPr="00275FA4">
              <w:rPr>
                <w:lang w:val="da-DK"/>
              </w:rPr>
              <w:t>hydrochlorid</w:t>
            </w:r>
            <w:proofErr w:type="spellEnd"/>
            <w:r w:rsidRPr="00275FA4">
              <w:rPr>
                <w:lang w:val="da-DK"/>
              </w:rPr>
              <w:t xml:space="preserve"> øjendråber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9643D" w14:textId="77777777" w:rsidR="00420790" w:rsidRPr="00275FA4" w:rsidRDefault="00420790">
            <w:pPr>
              <w:ind w:left="104" w:right="187"/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7639B" w14:textId="77777777" w:rsidR="00420790" w:rsidRPr="00275FA4" w:rsidRDefault="00420790">
            <w:pPr>
              <w:spacing w:line="254" w:lineRule="auto"/>
              <w:ind w:left="104" w:right="187"/>
              <w:rPr>
                <w:rFonts w:eastAsiaTheme="minorHAnsi"/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F51D47" w14:textId="77777777" w:rsidR="00420790" w:rsidRPr="00275FA4" w:rsidRDefault="00420790">
            <w:pPr>
              <w:spacing w:line="254" w:lineRule="auto"/>
              <w:ind w:left="104" w:right="187"/>
              <w:rPr>
                <w:rFonts w:eastAsiaTheme="minorHAnsi"/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1232E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1F469" w14:textId="3EA69E56" w:rsidR="00420790" w:rsidRPr="00275FA4" w:rsidRDefault="00420790" w:rsidP="00843B96">
            <w:pPr>
              <w:pStyle w:val="Default"/>
              <w:ind w:left="55"/>
              <w:rPr>
                <w:sz w:val="20"/>
                <w:szCs w:val="20"/>
                <w:lang w:eastAsia="el-GR"/>
              </w:rPr>
            </w:pPr>
            <w:proofErr w:type="spellStart"/>
            <w:r w:rsidRPr="00275FA4">
              <w:rPr>
                <w:sz w:val="20"/>
                <w:szCs w:val="20"/>
              </w:rPr>
              <w:t>palpitationer</w:t>
            </w:r>
            <w:proofErr w:type="spellEnd"/>
            <w:r w:rsidRPr="00275FA4">
              <w:rPr>
                <w:sz w:val="20"/>
                <w:szCs w:val="20"/>
              </w:rPr>
              <w:t xml:space="preserve">, takykardi </w:t>
            </w:r>
          </w:p>
        </w:tc>
      </w:tr>
      <w:tr w:rsidR="00420790" w:rsidRPr="00275FA4" w14:paraId="3559A191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66E9E" w14:textId="77777777" w:rsidR="00420790" w:rsidRPr="00275FA4" w:rsidRDefault="00420790">
            <w:pPr>
              <w:spacing w:line="254" w:lineRule="auto"/>
              <w:ind w:left="104" w:right="187"/>
              <w:rPr>
                <w:b/>
                <w:bCs/>
                <w:sz w:val="20"/>
                <w:lang w:eastAsia="el-GR"/>
              </w:rPr>
            </w:pPr>
            <w:proofErr w:type="spellStart"/>
            <w:r w:rsidRPr="00275FA4">
              <w:rPr>
                <w:b/>
                <w:bCs/>
                <w:sz w:val="20"/>
                <w:lang w:eastAsia="el-GR"/>
              </w:rPr>
              <w:t>Vaskulære</w:t>
            </w:r>
            <w:proofErr w:type="spellEnd"/>
            <w:r w:rsidRPr="00275FA4">
              <w:rPr>
                <w:b/>
                <w:bCs/>
                <w:sz w:val="20"/>
                <w:lang w:eastAsia="el-GR"/>
              </w:rPr>
              <w:t xml:space="preserve"> sygdomme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E8435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 xml:space="preserve"> </w:t>
            </w:r>
            <w:proofErr w:type="spellStart"/>
            <w:r w:rsidRPr="00275FA4">
              <w:rPr>
                <w:lang w:val="da-DK"/>
              </w:rPr>
              <w:t>hydrochlorid</w:t>
            </w:r>
            <w:proofErr w:type="spellEnd"/>
            <w:r w:rsidRPr="00275FA4">
              <w:rPr>
                <w:lang w:val="da-DK"/>
              </w:rPr>
              <w:t xml:space="preserve"> </w:t>
            </w:r>
            <w:r w:rsidRPr="00275FA4">
              <w:rPr>
                <w:lang w:val="da-DK"/>
              </w:rPr>
              <w:lastRenderedPageBreak/>
              <w:t>øjendråber oplæsning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2B2CE" w14:textId="77777777" w:rsidR="00420790" w:rsidRPr="00275FA4" w:rsidRDefault="00420790">
            <w:pPr>
              <w:ind w:left="104" w:right="187"/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2629A" w14:textId="77777777" w:rsidR="00420790" w:rsidRPr="00275FA4" w:rsidRDefault="00420790">
            <w:pPr>
              <w:spacing w:line="254" w:lineRule="auto"/>
              <w:ind w:left="104" w:right="187"/>
              <w:rPr>
                <w:rFonts w:eastAsiaTheme="minorHAnsi"/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78A7" w14:textId="77777777" w:rsidR="00420790" w:rsidRPr="00275FA4" w:rsidRDefault="00420790">
            <w:pPr>
              <w:spacing w:line="254" w:lineRule="auto"/>
              <w:ind w:left="104" w:right="187"/>
              <w:rPr>
                <w:rFonts w:eastAsiaTheme="minorHAnsi"/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A55D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B00C7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hypertension</w:t>
            </w:r>
          </w:p>
        </w:tc>
      </w:tr>
      <w:tr w:rsidR="00420790" w:rsidRPr="00275FA4" w14:paraId="4A04D21D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81842" w14:textId="77777777" w:rsidR="00420790" w:rsidRPr="00275FA4" w:rsidRDefault="00420790">
            <w:pPr>
              <w:rPr>
                <w:b/>
                <w:bCs/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77AF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5FBAD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4E56D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26EAC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CA1C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>hypotension*</w:t>
            </w:r>
          </w:p>
          <w:p w14:paraId="11C78C0A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proofErr w:type="spellStart"/>
            <w:r w:rsidRPr="00275FA4">
              <w:rPr>
                <w:sz w:val="20"/>
              </w:rPr>
              <w:t>claudikatio</w:t>
            </w:r>
            <w:proofErr w:type="spellEnd"/>
            <w:r w:rsidRPr="00275FA4">
              <w:rPr>
                <w:sz w:val="20"/>
              </w:rPr>
              <w:t xml:space="preserve">, </w:t>
            </w:r>
            <w:proofErr w:type="spellStart"/>
            <w:r w:rsidRPr="00275FA4">
              <w:rPr>
                <w:sz w:val="20"/>
              </w:rPr>
              <w:t>Raynauds</w:t>
            </w:r>
            <w:proofErr w:type="spellEnd"/>
            <w:r w:rsidRPr="00275FA4">
              <w:rPr>
                <w:sz w:val="20"/>
              </w:rPr>
              <w:t xml:space="preserve"> syndrom*, kolde hænder og fødder*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4246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709E28F2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D8EC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proofErr w:type="spellStart"/>
            <w:r w:rsidRPr="00275FA4">
              <w:rPr>
                <w:b/>
                <w:bCs/>
                <w:sz w:val="20"/>
                <w:lang w:val="en-US" w:eastAsia="el-GR"/>
              </w:rPr>
              <w:t>Luftveje</w:t>
            </w:r>
            <w:proofErr w:type="spellEnd"/>
            <w:r w:rsidRPr="00275FA4">
              <w:rPr>
                <w:b/>
                <w:bCs/>
                <w:sz w:val="20"/>
                <w:lang w:val="en-US" w:eastAsia="el-GR"/>
              </w:rPr>
              <w:t>, thorax og mediastinum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C60BB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>/</w:t>
            </w:r>
            <w:proofErr w:type="spellStart"/>
            <w:r w:rsidRPr="00275FA4">
              <w:rPr>
                <w:lang w:val="da-DK"/>
              </w:rPr>
              <w:t>timolol</w:t>
            </w:r>
            <w:proofErr w:type="spellEnd"/>
            <w:r w:rsidRPr="00275FA4">
              <w:rPr>
                <w:lang w:val="da-DK"/>
              </w:rPr>
              <w:t xml:space="preserve"> uden </w:t>
            </w:r>
            <w:proofErr w:type="spellStart"/>
            <w:r w:rsidRPr="00275FA4">
              <w:rPr>
                <w:lang w:val="da-DK"/>
              </w:rPr>
              <w:t>konserve-ringsmiddel</w:t>
            </w:r>
            <w:proofErr w:type="spellEnd"/>
            <w:r w:rsidRPr="00275FA4">
              <w:rPr>
                <w:lang w:val="da-DK"/>
              </w:rPr>
              <w:t xml:space="preserve"> 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7D55B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0BB5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sinuitis</w:t>
            </w:r>
            <w:proofErr w:type="spell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06DD9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E2FBDD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proofErr w:type="spellStart"/>
            <w:r w:rsidRPr="00275FA4">
              <w:rPr>
                <w:sz w:val="20"/>
              </w:rPr>
              <w:t>kortåndethed</w:t>
            </w:r>
            <w:proofErr w:type="spellEnd"/>
            <w:r w:rsidRPr="00275FA4">
              <w:rPr>
                <w:sz w:val="20"/>
              </w:rPr>
              <w:t xml:space="preserve">, respirationssvigt, </w:t>
            </w:r>
            <w:proofErr w:type="spellStart"/>
            <w:r w:rsidRPr="00275FA4">
              <w:rPr>
                <w:sz w:val="20"/>
              </w:rPr>
              <w:t>rhinitis</w:t>
            </w:r>
            <w:proofErr w:type="spellEnd"/>
            <w:r w:rsidRPr="00275FA4">
              <w:rPr>
                <w:sz w:val="20"/>
              </w:rPr>
              <w:t xml:space="preserve">, sjælden </w:t>
            </w:r>
            <w:proofErr w:type="spellStart"/>
            <w:r w:rsidRPr="00275FA4">
              <w:rPr>
                <w:sz w:val="20"/>
              </w:rPr>
              <w:t>bronkospasme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54BEA" w14:textId="77777777" w:rsidR="00420790" w:rsidRPr="00275FA4" w:rsidRDefault="00420790">
            <w:pPr>
              <w:rPr>
                <w:sz w:val="20"/>
              </w:rPr>
            </w:pPr>
          </w:p>
        </w:tc>
      </w:tr>
      <w:tr w:rsidR="00420790" w:rsidRPr="00275FA4" w14:paraId="4C74BC49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BD0D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2A6B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hydrochlorid</w:t>
            </w:r>
            <w:proofErr w:type="spellEnd"/>
            <w:r w:rsidRPr="00275FA4">
              <w:t xml:space="preserve">, </w:t>
            </w:r>
          </w:p>
          <w:p w14:paraId="1C429239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øjendråber</w:t>
            </w:r>
            <w:proofErr w:type="spellEnd"/>
            <w:r w:rsidRPr="00275FA4">
              <w:t>,</w:t>
            </w:r>
          </w:p>
          <w:p w14:paraId="40F06315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5F651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76B87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4D550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82B8A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r w:rsidRPr="00275FA4">
              <w:t>epistaxis*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B1FED" w14:textId="77777777" w:rsidR="00420790" w:rsidRPr="00275FA4" w:rsidRDefault="00420790">
            <w:pPr>
              <w:ind w:left="104" w:right="187"/>
              <w:rPr>
                <w:sz w:val="20"/>
              </w:rPr>
            </w:pPr>
            <w:r w:rsidRPr="00275FA4">
              <w:rPr>
                <w:sz w:val="20"/>
              </w:rPr>
              <w:t>dyspnø</w:t>
            </w:r>
          </w:p>
        </w:tc>
      </w:tr>
      <w:tr w:rsidR="00420790" w:rsidRPr="00275FA4" w14:paraId="336AC327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819A8" w14:textId="77777777" w:rsidR="00420790" w:rsidRPr="00275FA4" w:rsidRDefault="00420790">
            <w:pPr>
              <w:rPr>
                <w:sz w:val="20"/>
                <w:lang w:val="en-US"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AD136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E3A4D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F5466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577EA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dyspnø</w:t>
            </w:r>
            <w:proofErr w:type="spellEnd"/>
            <w:r w:rsidRPr="00275FA4">
              <w:t xml:space="preserve">*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621F4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proofErr w:type="spellStart"/>
            <w:r w:rsidRPr="00275FA4">
              <w:rPr>
                <w:sz w:val="20"/>
              </w:rPr>
              <w:t>bronkospasmer</w:t>
            </w:r>
            <w:proofErr w:type="spellEnd"/>
            <w:r w:rsidRPr="00275FA4">
              <w:rPr>
                <w:sz w:val="20"/>
              </w:rPr>
              <w:t xml:space="preserve"> (fortrinsvis hos patienter med præeksisterende </w:t>
            </w:r>
            <w:proofErr w:type="spellStart"/>
            <w:r w:rsidRPr="00275FA4">
              <w:rPr>
                <w:sz w:val="20"/>
              </w:rPr>
              <w:t>bronkospastisk</w:t>
            </w:r>
            <w:proofErr w:type="spellEnd"/>
            <w:r w:rsidRPr="00275FA4">
              <w:rPr>
                <w:sz w:val="20"/>
              </w:rPr>
              <w:t xml:space="preserve"> sygdom) *, respirations-svigt, hoste*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159B2" w14:textId="77777777" w:rsidR="00420790" w:rsidRPr="00275FA4" w:rsidRDefault="00420790">
            <w:pPr>
              <w:rPr>
                <w:sz w:val="20"/>
              </w:rPr>
            </w:pPr>
          </w:p>
        </w:tc>
      </w:tr>
      <w:tr w:rsidR="00420790" w:rsidRPr="00275FA4" w14:paraId="5CA63605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CD7F91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proofErr w:type="spellStart"/>
            <w:r w:rsidRPr="00275FA4">
              <w:rPr>
                <w:b/>
                <w:bCs/>
                <w:sz w:val="20"/>
                <w:lang w:eastAsia="el-GR"/>
              </w:rPr>
              <w:t>Mave-tarmkanalen</w:t>
            </w:r>
            <w:proofErr w:type="spellEnd"/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3B3B1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>/</w:t>
            </w:r>
            <w:proofErr w:type="spellStart"/>
            <w:r w:rsidRPr="00275FA4">
              <w:rPr>
                <w:lang w:val="da-DK"/>
              </w:rPr>
              <w:t>timolol</w:t>
            </w:r>
            <w:proofErr w:type="spellEnd"/>
            <w:r w:rsidRPr="00275FA4">
              <w:rPr>
                <w:lang w:val="da-DK"/>
              </w:rPr>
              <w:t xml:space="preserve"> uden konserveringsmiddel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317B39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dysgeusi</w:t>
            </w:r>
            <w:proofErr w:type="spellEnd"/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0FF16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6F6D6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4855B9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D55ED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7651E563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33E3F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7EE53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hydrochlorid</w:t>
            </w:r>
            <w:proofErr w:type="spellEnd"/>
            <w:r w:rsidRPr="00275FA4">
              <w:t>,</w:t>
            </w:r>
          </w:p>
          <w:p w14:paraId="1DEEAE50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øjendråber</w:t>
            </w:r>
            <w:proofErr w:type="spellEnd"/>
            <w:r w:rsidRPr="00275FA4">
              <w:t>,</w:t>
            </w:r>
          </w:p>
          <w:p w14:paraId="68A1E37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0331C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57BB6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kvalme</w:t>
            </w:r>
            <w:proofErr w:type="spellEnd"/>
            <w:r w:rsidRPr="00275FA4">
              <w:t xml:space="preserve">*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7B3FB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08D3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halsirritation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mundtørhed</w:t>
            </w:r>
            <w:proofErr w:type="spellEnd"/>
            <w:r w:rsidRPr="00275FA4">
              <w:t>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F7039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sz w:val="20"/>
                <w:lang w:eastAsia="el-GR"/>
              </w:rPr>
              <w:t> </w:t>
            </w:r>
          </w:p>
        </w:tc>
      </w:tr>
      <w:tr w:rsidR="00420790" w:rsidRPr="00275FA4" w14:paraId="2795E192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9FAE1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A6394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AF670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DD0014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8CD7D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kvalme</w:t>
            </w:r>
            <w:proofErr w:type="spellEnd"/>
            <w:r w:rsidRPr="00275FA4">
              <w:t xml:space="preserve">*, </w:t>
            </w:r>
            <w:proofErr w:type="spellStart"/>
            <w:r w:rsidRPr="00275FA4">
              <w:t>dyspepsi</w:t>
            </w:r>
            <w:proofErr w:type="spellEnd"/>
            <w:r w:rsidRPr="00275FA4">
              <w:t xml:space="preserve">* 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0268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diarré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mundtørhed</w:t>
            </w:r>
            <w:proofErr w:type="spellEnd"/>
            <w:r w:rsidRPr="00275FA4">
              <w:t>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62D518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dysgeusi</w:t>
            </w:r>
            <w:proofErr w:type="spellEnd"/>
            <w:r w:rsidRPr="00275FA4">
              <w:rPr>
                <w:lang w:val="da-DK"/>
              </w:rPr>
              <w:t xml:space="preserve">, mavesmerter, opkastning, </w:t>
            </w:r>
          </w:p>
        </w:tc>
      </w:tr>
      <w:tr w:rsidR="00420790" w:rsidRPr="00275FA4" w14:paraId="6758558D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FB6E70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r w:rsidRPr="00275FA4">
              <w:rPr>
                <w:b/>
                <w:bCs/>
                <w:sz w:val="20"/>
                <w:lang w:val="en-US" w:eastAsia="el-GR"/>
              </w:rPr>
              <w:t xml:space="preserve">Hud og </w:t>
            </w:r>
            <w:proofErr w:type="spellStart"/>
            <w:r w:rsidRPr="00275FA4">
              <w:rPr>
                <w:b/>
                <w:bCs/>
                <w:sz w:val="20"/>
                <w:lang w:val="en-US" w:eastAsia="el-GR"/>
              </w:rPr>
              <w:t>subkutane</w:t>
            </w:r>
            <w:proofErr w:type="spellEnd"/>
            <w:r w:rsidRPr="00275FA4">
              <w:rPr>
                <w:b/>
                <w:bCs/>
                <w:sz w:val="20"/>
                <w:lang w:val="en-US" w:eastAsia="el-GR"/>
              </w:rPr>
              <w:t xml:space="preserve"> </w:t>
            </w:r>
            <w:proofErr w:type="spellStart"/>
            <w:r w:rsidRPr="00275FA4">
              <w:rPr>
                <w:b/>
                <w:bCs/>
                <w:sz w:val="20"/>
                <w:lang w:val="en-US" w:eastAsia="el-GR"/>
              </w:rPr>
              <w:t>væv</w:t>
            </w:r>
            <w:proofErr w:type="spellEnd"/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894B5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Dorzolamid</w:t>
            </w:r>
            <w:proofErr w:type="spellEnd"/>
            <w:r w:rsidRPr="00275FA4">
              <w:rPr>
                <w:lang w:val="da-DK"/>
              </w:rPr>
              <w:t>/</w:t>
            </w:r>
            <w:proofErr w:type="spellStart"/>
            <w:r w:rsidRPr="00275FA4">
              <w:rPr>
                <w:lang w:val="da-DK"/>
              </w:rPr>
              <w:t>timolol</w:t>
            </w:r>
            <w:proofErr w:type="spellEnd"/>
            <w:r w:rsidRPr="00275FA4">
              <w:rPr>
                <w:lang w:val="da-DK"/>
              </w:rPr>
              <w:t xml:space="preserve"> uden konserveringsmiddel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FDAB50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A1E172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52B3E6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C3E19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kontaktdermatitis</w:t>
            </w:r>
            <w:proofErr w:type="spellEnd"/>
            <w:r w:rsidRPr="00275FA4">
              <w:rPr>
                <w:lang w:val="da-DK"/>
              </w:rPr>
              <w:t xml:space="preserve">, Stevens-Johnsons syndrom, toksisk </w:t>
            </w:r>
            <w:proofErr w:type="spellStart"/>
            <w:r w:rsidRPr="00275FA4">
              <w:rPr>
                <w:lang w:val="da-DK"/>
              </w:rPr>
              <w:t>epidermal</w:t>
            </w:r>
            <w:proofErr w:type="spellEnd"/>
            <w:r w:rsidRPr="00275FA4">
              <w:rPr>
                <w:lang w:val="da-DK"/>
              </w:rPr>
              <w:t xml:space="preserve"> </w:t>
            </w:r>
            <w:proofErr w:type="spellStart"/>
            <w:r w:rsidRPr="00275FA4">
              <w:rPr>
                <w:lang w:val="da-DK"/>
              </w:rPr>
              <w:t>nekrolyse</w:t>
            </w:r>
            <w:proofErr w:type="spellEnd"/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6F9C1" w14:textId="77777777" w:rsidR="00420790" w:rsidRPr="00275FA4" w:rsidRDefault="00420790">
            <w:pPr>
              <w:rPr>
                <w:sz w:val="20"/>
              </w:rPr>
            </w:pPr>
          </w:p>
        </w:tc>
      </w:tr>
      <w:tr w:rsidR="00420790" w:rsidRPr="00275FA4" w14:paraId="48DD8218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6E667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51D1A3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hydrochlorid</w:t>
            </w:r>
            <w:proofErr w:type="spellEnd"/>
            <w:r w:rsidRPr="00275FA4">
              <w:t xml:space="preserve"> </w:t>
            </w:r>
          </w:p>
          <w:p w14:paraId="62E43A59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øjendråber</w:t>
            </w:r>
            <w:proofErr w:type="spellEnd"/>
            <w:r w:rsidRPr="00275FA4">
              <w:t>,</w:t>
            </w:r>
          </w:p>
          <w:p w14:paraId="689F43E4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lastRenderedPageBreak/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C80AF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180E8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1B1B20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EC621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udslæt</w:t>
            </w:r>
            <w:proofErr w:type="spellEnd"/>
            <w:r w:rsidRPr="00275FA4">
              <w:t>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7C8A96" w14:textId="77777777" w:rsidR="00420790" w:rsidRPr="00275FA4" w:rsidRDefault="00420790">
            <w:pPr>
              <w:rPr>
                <w:sz w:val="20"/>
              </w:rPr>
            </w:pPr>
          </w:p>
        </w:tc>
      </w:tr>
      <w:tr w:rsidR="00420790" w:rsidRPr="00275FA4" w14:paraId="0D7C5C08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4B83E" w14:textId="77777777" w:rsidR="00420790" w:rsidRPr="00275FA4" w:rsidRDefault="00420790">
            <w:pPr>
              <w:rPr>
                <w:sz w:val="20"/>
                <w:lang w:val="en-US"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D2773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F233E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7F1C4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52C9CA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141F33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</w:rPr>
            </w:pPr>
            <w:proofErr w:type="spellStart"/>
            <w:r w:rsidRPr="00275FA4">
              <w:rPr>
                <w:sz w:val="20"/>
              </w:rPr>
              <w:t>alopeci</w:t>
            </w:r>
            <w:proofErr w:type="spellEnd"/>
            <w:r w:rsidRPr="00275FA4">
              <w:rPr>
                <w:sz w:val="20"/>
              </w:rPr>
              <w:t>*, psoriasislig-</w:t>
            </w:r>
            <w:proofErr w:type="spellStart"/>
            <w:r w:rsidRPr="00275FA4">
              <w:rPr>
                <w:sz w:val="20"/>
              </w:rPr>
              <w:t>nende</w:t>
            </w:r>
            <w:proofErr w:type="spellEnd"/>
            <w:r w:rsidRPr="00275FA4">
              <w:rPr>
                <w:sz w:val="20"/>
              </w:rPr>
              <w:t xml:space="preserve"> udslæt eller forværring af psoriasis*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DD90C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hududslæt</w:t>
            </w:r>
            <w:proofErr w:type="spellEnd"/>
          </w:p>
        </w:tc>
      </w:tr>
      <w:tr w:rsidR="00420790" w:rsidRPr="00275FA4" w14:paraId="24731E83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35AFF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val="en-US" w:eastAsia="el-GR"/>
              </w:rPr>
            </w:pPr>
            <w:proofErr w:type="spellStart"/>
            <w:r w:rsidRPr="00275FA4">
              <w:rPr>
                <w:b/>
                <w:bCs/>
                <w:sz w:val="20"/>
                <w:lang w:val="en-US" w:eastAsia="el-GR"/>
              </w:rPr>
              <w:t>Knogler</w:t>
            </w:r>
            <w:proofErr w:type="spellEnd"/>
            <w:r w:rsidRPr="00275FA4">
              <w:rPr>
                <w:b/>
                <w:bCs/>
                <w:sz w:val="20"/>
                <w:lang w:val="en-US" w:eastAsia="el-GR"/>
              </w:rPr>
              <w:t xml:space="preserve"> og </w:t>
            </w:r>
            <w:proofErr w:type="spellStart"/>
            <w:r w:rsidRPr="00275FA4">
              <w:rPr>
                <w:b/>
                <w:bCs/>
                <w:sz w:val="20"/>
                <w:lang w:val="en-US" w:eastAsia="el-GR"/>
              </w:rPr>
              <w:t>bindevæv</w:t>
            </w:r>
            <w:proofErr w:type="spellEnd"/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26DC68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22751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B4EB4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72808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7902D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systemisk</w:t>
            </w:r>
            <w:proofErr w:type="spellEnd"/>
            <w:r w:rsidRPr="00275FA4">
              <w:t xml:space="preserve"> lupus erythematosus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2DCF3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myalgi</w:t>
            </w:r>
            <w:proofErr w:type="spellEnd"/>
          </w:p>
        </w:tc>
      </w:tr>
      <w:tr w:rsidR="00420790" w:rsidRPr="00275FA4" w14:paraId="1B08EA9E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63EF6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Nyrer og urinveje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A461F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>/timolol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0FCB0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DAB539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66F18B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urolitiasis</w:t>
            </w:r>
            <w:proofErr w:type="spellEnd"/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D5749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A53AC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</w:tr>
      <w:tr w:rsidR="00420790" w:rsidRPr="00275FA4" w14:paraId="091C92CF" w14:textId="77777777" w:rsidTr="00275FA4">
        <w:tc>
          <w:tcPr>
            <w:tcW w:w="8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1D6FE9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noProof/>
                <w:sz w:val="20"/>
                <w:lang w:val="de-DE"/>
              </w:rPr>
              <w:t>Det reproduktive system og mammaer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5B268B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proofErr w:type="spellStart"/>
            <w:r w:rsidRPr="00275FA4">
              <w:rPr>
                <w:lang w:val="da-DK"/>
              </w:rPr>
              <w:t>Timololmaleat</w:t>
            </w:r>
            <w:proofErr w:type="spellEnd"/>
            <w:r w:rsidRPr="00275FA4">
              <w:rPr>
                <w:lang w:val="da-DK"/>
              </w:rPr>
              <w:t>, øjendråber, opløsning</w:t>
            </w:r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E287B9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DAD42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6C89EE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F437D8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Peyronies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sygdom</w:t>
            </w:r>
            <w:proofErr w:type="spellEnd"/>
            <w:r w:rsidRPr="00275FA4">
              <w:t xml:space="preserve">*, </w:t>
            </w:r>
            <w:proofErr w:type="spellStart"/>
            <w:r w:rsidRPr="00275FA4">
              <w:t>nedsat</w:t>
            </w:r>
            <w:proofErr w:type="spellEnd"/>
            <w:r w:rsidRPr="00275FA4">
              <w:t xml:space="preserve"> libido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1EC7" w14:textId="77777777" w:rsidR="00420790" w:rsidRPr="00275FA4" w:rsidRDefault="00420790">
            <w:pPr>
              <w:pStyle w:val="TableText"/>
              <w:spacing w:line="254" w:lineRule="auto"/>
              <w:ind w:left="104" w:right="187"/>
              <w:rPr>
                <w:lang w:val="da-DK"/>
              </w:rPr>
            </w:pPr>
            <w:r w:rsidRPr="00275FA4">
              <w:rPr>
                <w:lang w:val="da-DK"/>
              </w:rPr>
              <w:t xml:space="preserve">seksuel dysfunktion </w:t>
            </w:r>
          </w:p>
        </w:tc>
      </w:tr>
      <w:tr w:rsidR="00420790" w:rsidRPr="00275FA4" w14:paraId="4D860F8E" w14:textId="77777777" w:rsidTr="00275FA4">
        <w:tc>
          <w:tcPr>
            <w:tcW w:w="81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38D2DC" w14:textId="77777777" w:rsidR="00420790" w:rsidRPr="00275FA4" w:rsidRDefault="00420790">
            <w:pPr>
              <w:spacing w:line="254" w:lineRule="auto"/>
              <w:ind w:left="104" w:right="187"/>
              <w:rPr>
                <w:sz w:val="20"/>
                <w:lang w:eastAsia="el-GR"/>
              </w:rPr>
            </w:pPr>
            <w:r w:rsidRPr="00275FA4">
              <w:rPr>
                <w:b/>
                <w:bCs/>
                <w:sz w:val="20"/>
                <w:lang w:eastAsia="el-GR"/>
              </w:rPr>
              <w:t>Almene symptomer og reaktioner på administrationsstedet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1C96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Dorzolamid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hydrochlorid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B7816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5ADCC7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Asteni</w:t>
            </w:r>
            <w:proofErr w:type="spellEnd"/>
            <w:r w:rsidRPr="00275FA4">
              <w:t>/</w:t>
            </w:r>
          </w:p>
          <w:p w14:paraId="48D490A4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træthed</w:t>
            </w:r>
            <w:proofErr w:type="spellEnd"/>
            <w:r w:rsidRPr="00275FA4">
              <w:t>*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DAEF5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EDBC82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56FFE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</w:tr>
      <w:tr w:rsidR="00420790" w:rsidRPr="00275FA4" w14:paraId="587AE695" w14:textId="77777777" w:rsidTr="00275FA4">
        <w:tc>
          <w:tcPr>
            <w:tcW w:w="81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FA1D7" w14:textId="77777777" w:rsidR="00420790" w:rsidRPr="00275FA4" w:rsidRDefault="00420790">
            <w:pPr>
              <w:rPr>
                <w:sz w:val="20"/>
                <w:lang w:eastAsia="el-GR"/>
              </w:rPr>
            </w:pP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C07420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Timololmaleat</w:t>
            </w:r>
            <w:proofErr w:type="spellEnd"/>
            <w:r w:rsidRPr="00275FA4">
              <w:t xml:space="preserve"> </w:t>
            </w:r>
            <w:proofErr w:type="spellStart"/>
            <w:r w:rsidRPr="00275FA4">
              <w:t>øjendråber</w:t>
            </w:r>
            <w:proofErr w:type="spellEnd"/>
            <w:r w:rsidRPr="00275FA4">
              <w:t xml:space="preserve">, </w:t>
            </w:r>
            <w:proofErr w:type="spellStart"/>
            <w:r w:rsidRPr="00275FA4">
              <w:t>opløsning</w:t>
            </w:r>
            <w:proofErr w:type="spellEnd"/>
          </w:p>
        </w:tc>
        <w:tc>
          <w:tcPr>
            <w:tcW w:w="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3399E3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35E07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AEDBD" w14:textId="77777777" w:rsidR="00420790" w:rsidRPr="00275FA4" w:rsidRDefault="00420790">
            <w:pPr>
              <w:pStyle w:val="TableText"/>
              <w:spacing w:line="254" w:lineRule="auto"/>
              <w:ind w:left="104" w:right="187"/>
            </w:pPr>
            <w:proofErr w:type="spellStart"/>
            <w:r w:rsidRPr="00275FA4">
              <w:t>Asteni</w:t>
            </w:r>
            <w:proofErr w:type="spellEnd"/>
            <w:r w:rsidRPr="00275FA4">
              <w:t xml:space="preserve">/ </w:t>
            </w:r>
            <w:proofErr w:type="spellStart"/>
            <w:r w:rsidRPr="00275FA4">
              <w:t>træthed</w:t>
            </w:r>
            <w:proofErr w:type="spellEnd"/>
            <w:r w:rsidRPr="00275FA4">
              <w:t>*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F322B" w14:textId="77777777" w:rsidR="00420790" w:rsidRPr="00275FA4" w:rsidRDefault="00420790">
            <w:pPr>
              <w:rPr>
                <w:sz w:val="20"/>
              </w:rPr>
            </w:pP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14728B" w14:textId="77777777" w:rsidR="00420790" w:rsidRPr="00275FA4" w:rsidRDefault="00420790">
            <w:pPr>
              <w:rPr>
                <w:sz w:val="20"/>
                <w:lang w:eastAsia="da-DK"/>
              </w:rPr>
            </w:pPr>
          </w:p>
        </w:tc>
      </w:tr>
    </w:tbl>
    <w:p w14:paraId="7DECC2C8" w14:textId="2C02F23C" w:rsidR="00420790" w:rsidRPr="00275FA4" w:rsidRDefault="00420790" w:rsidP="00843B96">
      <w:pPr>
        <w:ind w:left="426" w:hanging="426"/>
        <w:rPr>
          <w:sz w:val="24"/>
          <w:szCs w:val="24"/>
        </w:rPr>
      </w:pPr>
      <w:r w:rsidRPr="00275FA4">
        <w:rPr>
          <w:sz w:val="24"/>
          <w:szCs w:val="24"/>
        </w:rPr>
        <w:t>*</w:t>
      </w:r>
      <w:r w:rsidR="00843B96">
        <w:rPr>
          <w:sz w:val="24"/>
          <w:szCs w:val="24"/>
        </w:rPr>
        <w:tab/>
      </w:r>
      <w:r w:rsidRPr="00275FA4">
        <w:rPr>
          <w:sz w:val="24"/>
          <w:szCs w:val="24"/>
        </w:rPr>
        <w:t xml:space="preserve">Disse bivirkninger blev også observeret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efter markedsføringen.</w:t>
      </w:r>
    </w:p>
    <w:p w14:paraId="7EF97EFE" w14:textId="0813B02E" w:rsidR="00420790" w:rsidRPr="00275FA4" w:rsidRDefault="00420790" w:rsidP="00843B96">
      <w:pPr>
        <w:ind w:left="426" w:hanging="426"/>
        <w:rPr>
          <w:color w:val="222222"/>
          <w:sz w:val="24"/>
          <w:szCs w:val="24"/>
        </w:rPr>
      </w:pPr>
      <w:r w:rsidRPr="00275FA4">
        <w:rPr>
          <w:sz w:val="24"/>
          <w:szCs w:val="24"/>
        </w:rPr>
        <w:t xml:space="preserve">** </w:t>
      </w:r>
      <w:r w:rsidR="00843B96">
        <w:rPr>
          <w:sz w:val="24"/>
          <w:szCs w:val="24"/>
        </w:rPr>
        <w:tab/>
      </w:r>
      <w:r w:rsidRPr="00275FA4">
        <w:rPr>
          <w:color w:val="222222"/>
          <w:sz w:val="24"/>
          <w:szCs w:val="24"/>
        </w:rPr>
        <w:t xml:space="preserve">Yderligere bivirkninger er observeret med </w:t>
      </w:r>
      <w:proofErr w:type="spellStart"/>
      <w:r w:rsidRPr="00275FA4">
        <w:rPr>
          <w:color w:val="222222"/>
          <w:sz w:val="24"/>
          <w:szCs w:val="24"/>
        </w:rPr>
        <w:t>oftalmiske</w:t>
      </w:r>
      <w:proofErr w:type="spellEnd"/>
      <w:r w:rsidRPr="00275FA4">
        <w:rPr>
          <w:color w:val="222222"/>
          <w:sz w:val="24"/>
          <w:szCs w:val="24"/>
        </w:rPr>
        <w:t xml:space="preserve"> betablokkere og kan potentielt forekomme med </w:t>
      </w:r>
      <w:proofErr w:type="spellStart"/>
      <w:r w:rsidRPr="00275FA4">
        <w:rPr>
          <w:color w:val="222222"/>
          <w:sz w:val="24"/>
          <w:szCs w:val="24"/>
        </w:rPr>
        <w:t>dorzolamid</w:t>
      </w:r>
      <w:proofErr w:type="spellEnd"/>
      <w:r w:rsidRPr="00275FA4">
        <w:rPr>
          <w:color w:val="222222"/>
          <w:sz w:val="24"/>
          <w:szCs w:val="24"/>
        </w:rPr>
        <w:t>/</w:t>
      </w:r>
      <w:proofErr w:type="spellStart"/>
      <w:r w:rsidRPr="00275FA4">
        <w:rPr>
          <w:color w:val="222222"/>
          <w:sz w:val="24"/>
          <w:szCs w:val="24"/>
        </w:rPr>
        <w:t>timolol</w:t>
      </w:r>
      <w:proofErr w:type="spellEnd"/>
      <w:r w:rsidRPr="00275FA4">
        <w:rPr>
          <w:color w:val="222222"/>
          <w:sz w:val="24"/>
          <w:szCs w:val="24"/>
        </w:rPr>
        <w:t xml:space="preserve"> uden konserveringsmiddel.</w:t>
      </w:r>
    </w:p>
    <w:p w14:paraId="4489DEB8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83209D7" w14:textId="77777777" w:rsidR="00420790" w:rsidRPr="00275FA4" w:rsidRDefault="00420790" w:rsidP="00420790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Indberetning af formodede bivirkninger</w:t>
      </w:r>
    </w:p>
    <w:p w14:paraId="32B06482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275FA4">
        <w:rPr>
          <w:sz w:val="24"/>
          <w:szCs w:val="24"/>
        </w:rPr>
        <w:t>risk</w:t>
      </w:r>
      <w:proofErr w:type="spellEnd"/>
      <w:r w:rsidRPr="00275FA4">
        <w:rPr>
          <w:sz w:val="24"/>
          <w:szCs w:val="24"/>
        </w:rPr>
        <w:t>-forholdet for lægemidlet. Sundhedspersoner anmodes om at indberette alle formodede bivirkninger via</w:t>
      </w:r>
      <w:r w:rsidRPr="00275FA4">
        <w:rPr>
          <w:sz w:val="24"/>
          <w:szCs w:val="24"/>
          <w:highlight w:val="lightGray"/>
        </w:rPr>
        <w:t>:</w:t>
      </w:r>
    </w:p>
    <w:p w14:paraId="340C9C2E" w14:textId="77777777" w:rsidR="00420790" w:rsidRPr="00275FA4" w:rsidRDefault="00420790" w:rsidP="00420790">
      <w:pPr>
        <w:tabs>
          <w:tab w:val="left" w:pos="2440"/>
        </w:tabs>
        <w:ind w:left="851"/>
        <w:rPr>
          <w:sz w:val="24"/>
          <w:szCs w:val="24"/>
        </w:rPr>
      </w:pPr>
    </w:p>
    <w:p w14:paraId="62D0591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Lægemiddelstyrelsen</w:t>
      </w:r>
    </w:p>
    <w:p w14:paraId="6DF6B306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Axel Heides Gade 1</w:t>
      </w:r>
    </w:p>
    <w:p w14:paraId="2C3EEE0F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DK-2300 København S</w:t>
      </w:r>
    </w:p>
    <w:p w14:paraId="053F791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Websted: </w:t>
      </w:r>
      <w:hyperlink r:id="rId12" w:history="1">
        <w:r w:rsidRPr="00275FA4">
          <w:rPr>
            <w:rStyle w:val="Hyperlink"/>
            <w:sz w:val="24"/>
            <w:szCs w:val="24"/>
          </w:rPr>
          <w:t>www.meldenbivirkning.dk</w:t>
        </w:r>
      </w:hyperlink>
    </w:p>
    <w:p w14:paraId="520FC678" w14:textId="77777777" w:rsidR="009260DE" w:rsidRPr="00275FA4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423DD8A3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4.9</w:t>
      </w:r>
      <w:r w:rsidRPr="00275FA4">
        <w:rPr>
          <w:b/>
          <w:sz w:val="24"/>
          <w:szCs w:val="24"/>
        </w:rPr>
        <w:tab/>
        <w:t>Overdosering</w:t>
      </w:r>
    </w:p>
    <w:p w14:paraId="7FE9639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foreligger ingen humane data om uforsætlig eller forsætlig indtagelse af en overdosis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og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(uden konserveringsmiddel).</w:t>
      </w:r>
    </w:p>
    <w:p w14:paraId="379EF99E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8DAE0D0" w14:textId="77777777" w:rsidR="00420790" w:rsidRPr="00843B96" w:rsidRDefault="00420790" w:rsidP="00843B96">
      <w:pPr>
        <w:ind w:left="851"/>
        <w:rPr>
          <w:sz w:val="24"/>
          <w:szCs w:val="24"/>
          <w:u w:val="single"/>
        </w:rPr>
      </w:pPr>
      <w:r w:rsidRPr="00843B96">
        <w:rPr>
          <w:sz w:val="24"/>
          <w:szCs w:val="24"/>
          <w:u w:val="single"/>
        </w:rPr>
        <w:t>Symptomer</w:t>
      </w:r>
    </w:p>
    <w:p w14:paraId="2FEF712B" w14:textId="77777777" w:rsidR="00420790" w:rsidRPr="00843B96" w:rsidRDefault="00420790" w:rsidP="00843B96">
      <w:pPr>
        <w:ind w:left="851"/>
        <w:rPr>
          <w:sz w:val="24"/>
          <w:szCs w:val="24"/>
        </w:rPr>
      </w:pPr>
      <w:r w:rsidRPr="00843B96">
        <w:rPr>
          <w:sz w:val="24"/>
          <w:szCs w:val="24"/>
        </w:rPr>
        <w:t xml:space="preserve">Der er rapporteret om utilsigtet overdosering med den </w:t>
      </w:r>
      <w:proofErr w:type="spellStart"/>
      <w:r w:rsidRPr="00843B96">
        <w:rPr>
          <w:sz w:val="24"/>
          <w:szCs w:val="24"/>
        </w:rPr>
        <w:t>oftalmiske</w:t>
      </w:r>
      <w:proofErr w:type="spellEnd"/>
      <w:r w:rsidRPr="00843B96">
        <w:rPr>
          <w:sz w:val="24"/>
          <w:szCs w:val="24"/>
        </w:rPr>
        <w:t xml:space="preserve"> opløsning med </w:t>
      </w:r>
      <w:proofErr w:type="spellStart"/>
      <w:r w:rsidRPr="00843B96">
        <w:rPr>
          <w:sz w:val="24"/>
          <w:szCs w:val="24"/>
        </w:rPr>
        <w:t>timololmaleat</w:t>
      </w:r>
      <w:proofErr w:type="spellEnd"/>
      <w:r w:rsidRPr="00843B96">
        <w:rPr>
          <w:sz w:val="24"/>
          <w:szCs w:val="24"/>
        </w:rPr>
        <w:t xml:space="preserve">, hvilket medførte systemiske reaktioner, svarende til dem, der ses ved brug af systemiske betablokkere, såsom svimmelhed, hovedpine, </w:t>
      </w:r>
      <w:proofErr w:type="spellStart"/>
      <w:r w:rsidRPr="00843B96">
        <w:rPr>
          <w:sz w:val="24"/>
          <w:szCs w:val="24"/>
        </w:rPr>
        <w:t>kortåndethed</w:t>
      </w:r>
      <w:proofErr w:type="spellEnd"/>
      <w:r w:rsidRPr="00843B96">
        <w:rPr>
          <w:sz w:val="24"/>
          <w:szCs w:val="24"/>
        </w:rPr>
        <w:t xml:space="preserve">, bradykardi, </w:t>
      </w:r>
      <w:proofErr w:type="spellStart"/>
      <w:r w:rsidRPr="00843B96">
        <w:rPr>
          <w:sz w:val="24"/>
          <w:szCs w:val="24"/>
        </w:rPr>
        <w:t>bronkospasme</w:t>
      </w:r>
      <w:proofErr w:type="spellEnd"/>
      <w:r w:rsidRPr="00843B96">
        <w:rPr>
          <w:sz w:val="24"/>
          <w:szCs w:val="24"/>
        </w:rPr>
        <w:t xml:space="preserve"> og hjertestop. De mest almindelige tegn og symptomer, der kan forventes ved overdosering med </w:t>
      </w:r>
      <w:proofErr w:type="spellStart"/>
      <w:r w:rsidRPr="00843B96">
        <w:rPr>
          <w:sz w:val="24"/>
          <w:szCs w:val="24"/>
        </w:rPr>
        <w:t>dorzolamid</w:t>
      </w:r>
      <w:proofErr w:type="spellEnd"/>
      <w:r w:rsidRPr="00843B96">
        <w:rPr>
          <w:sz w:val="24"/>
          <w:szCs w:val="24"/>
        </w:rPr>
        <w:t xml:space="preserve">, er elektrolytforstyrrelser, udvikling af en </w:t>
      </w:r>
      <w:proofErr w:type="spellStart"/>
      <w:r w:rsidRPr="00843B96">
        <w:rPr>
          <w:sz w:val="24"/>
          <w:szCs w:val="24"/>
        </w:rPr>
        <w:t>acidotisk</w:t>
      </w:r>
      <w:proofErr w:type="spellEnd"/>
      <w:r w:rsidRPr="00843B96">
        <w:rPr>
          <w:sz w:val="24"/>
          <w:szCs w:val="24"/>
        </w:rPr>
        <w:t xml:space="preserve"> tilstand og muligvis påvirkning af centralnervesystemet.</w:t>
      </w:r>
    </w:p>
    <w:p w14:paraId="0FD53DCA" w14:textId="77777777" w:rsidR="00420790" w:rsidRPr="00843B96" w:rsidRDefault="00420790" w:rsidP="00843B96">
      <w:pPr>
        <w:ind w:left="851"/>
        <w:rPr>
          <w:sz w:val="24"/>
          <w:szCs w:val="24"/>
        </w:rPr>
      </w:pPr>
      <w:r w:rsidRPr="00843B96">
        <w:rPr>
          <w:sz w:val="24"/>
          <w:szCs w:val="24"/>
        </w:rPr>
        <w:t xml:space="preserve">Der foreligger kun begrænset information om uforsætlig eller forsætlig indtagelse af en overdosis af </w:t>
      </w:r>
      <w:proofErr w:type="spellStart"/>
      <w:r w:rsidRPr="00843B96">
        <w:rPr>
          <w:sz w:val="24"/>
          <w:szCs w:val="24"/>
        </w:rPr>
        <w:t>dorzolamidhydrochlorid</w:t>
      </w:r>
      <w:proofErr w:type="spellEnd"/>
      <w:r w:rsidRPr="00843B96">
        <w:rPr>
          <w:sz w:val="24"/>
          <w:szCs w:val="24"/>
        </w:rPr>
        <w:t xml:space="preserve"> hos mennesker. Der er rapporteret om </w:t>
      </w:r>
      <w:proofErr w:type="spellStart"/>
      <w:r w:rsidRPr="00843B96">
        <w:rPr>
          <w:sz w:val="24"/>
          <w:szCs w:val="24"/>
        </w:rPr>
        <w:t>somnolens</w:t>
      </w:r>
      <w:proofErr w:type="spellEnd"/>
      <w:r w:rsidRPr="00843B96">
        <w:rPr>
          <w:sz w:val="24"/>
          <w:szCs w:val="24"/>
        </w:rPr>
        <w:t xml:space="preserve"> ved </w:t>
      </w:r>
      <w:r w:rsidRPr="00843B96">
        <w:rPr>
          <w:sz w:val="24"/>
          <w:szCs w:val="24"/>
        </w:rPr>
        <w:lastRenderedPageBreak/>
        <w:t xml:space="preserve">oral indtagelse. Ved </w:t>
      </w:r>
      <w:proofErr w:type="spellStart"/>
      <w:r w:rsidRPr="00843B96">
        <w:rPr>
          <w:sz w:val="24"/>
          <w:szCs w:val="24"/>
        </w:rPr>
        <w:t>topikal</w:t>
      </w:r>
      <w:proofErr w:type="spellEnd"/>
      <w:r w:rsidRPr="00843B96">
        <w:rPr>
          <w:sz w:val="24"/>
          <w:szCs w:val="24"/>
        </w:rPr>
        <w:t xml:space="preserve"> anvendelse er der rapporteret om følgende: kvalme, svimmelhed, hovedpine, træthed, abnorme drømme og </w:t>
      </w:r>
      <w:proofErr w:type="spellStart"/>
      <w:r w:rsidRPr="00843B96">
        <w:rPr>
          <w:sz w:val="24"/>
          <w:szCs w:val="24"/>
        </w:rPr>
        <w:t>dysfagi</w:t>
      </w:r>
      <w:proofErr w:type="spellEnd"/>
      <w:r w:rsidRPr="00843B96">
        <w:rPr>
          <w:sz w:val="24"/>
          <w:szCs w:val="24"/>
        </w:rPr>
        <w:t>.</w:t>
      </w:r>
    </w:p>
    <w:p w14:paraId="02B02695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3AC4DE72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Behandling</w:t>
      </w:r>
    </w:p>
    <w:p w14:paraId="2D969DB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Behandlingen bør være symptomatisk og understøttende. Serumniveauerne af elektrolytter (især kalium) og pH-niveauerne i blodet skal monitoreres. Forsøg har vist, at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er vanskeligt at dialysere.</w:t>
      </w:r>
    </w:p>
    <w:p w14:paraId="54440115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EA6E26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4.10</w:t>
      </w:r>
      <w:r w:rsidRPr="00275FA4">
        <w:rPr>
          <w:b/>
          <w:sz w:val="24"/>
          <w:szCs w:val="24"/>
        </w:rPr>
        <w:tab/>
        <w:t>Udlevering</w:t>
      </w:r>
    </w:p>
    <w:p w14:paraId="6F909ABE" w14:textId="3487AFAB" w:rsidR="009260DE" w:rsidRPr="00275FA4" w:rsidRDefault="00420790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sz w:val="24"/>
          <w:szCs w:val="24"/>
        </w:rPr>
        <w:t>B</w:t>
      </w:r>
    </w:p>
    <w:p w14:paraId="198D5D4B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F40B9DF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1277F9F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5.</w:t>
      </w:r>
      <w:r w:rsidRPr="00275FA4">
        <w:rPr>
          <w:b/>
          <w:sz w:val="24"/>
          <w:szCs w:val="24"/>
        </w:rPr>
        <w:tab/>
        <w:t>FARMAKOLOGISKE EGENSKABER</w:t>
      </w:r>
    </w:p>
    <w:p w14:paraId="7357C7E8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9D049F" w14:textId="77777777" w:rsidR="009260DE" w:rsidRPr="00275FA4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5.1</w:t>
      </w:r>
      <w:r w:rsidRPr="00275FA4">
        <w:rPr>
          <w:b/>
          <w:sz w:val="24"/>
          <w:szCs w:val="24"/>
        </w:rPr>
        <w:tab/>
      </w:r>
      <w:proofErr w:type="spellStart"/>
      <w:r w:rsidRPr="00275FA4">
        <w:rPr>
          <w:b/>
          <w:sz w:val="24"/>
          <w:szCs w:val="24"/>
        </w:rPr>
        <w:t>Farmakodynamiske</w:t>
      </w:r>
      <w:proofErr w:type="spellEnd"/>
      <w:r w:rsidRPr="00275FA4">
        <w:rPr>
          <w:b/>
          <w:sz w:val="24"/>
          <w:szCs w:val="24"/>
        </w:rPr>
        <w:t xml:space="preserve"> egenskaber</w:t>
      </w:r>
    </w:p>
    <w:p w14:paraId="598BFFBF" w14:textId="4185551B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Farmakoterapeutisk</w:t>
      </w:r>
      <w:proofErr w:type="spellEnd"/>
      <w:r w:rsidRPr="00275FA4">
        <w:rPr>
          <w:sz w:val="24"/>
          <w:szCs w:val="24"/>
        </w:rPr>
        <w:t xml:space="preserve"> klassifikation: </w:t>
      </w:r>
      <w:proofErr w:type="spellStart"/>
      <w:r w:rsidRPr="00275FA4">
        <w:rPr>
          <w:sz w:val="24"/>
          <w:szCs w:val="24"/>
        </w:rPr>
        <w:t>Antiglaukom</w:t>
      </w:r>
      <w:proofErr w:type="spellEnd"/>
      <w:r w:rsidRPr="00275FA4">
        <w:rPr>
          <w:sz w:val="24"/>
          <w:szCs w:val="24"/>
        </w:rPr>
        <w:t xml:space="preserve">-midler og </w:t>
      </w:r>
      <w:proofErr w:type="spellStart"/>
      <w:r w:rsidRPr="00275FA4">
        <w:rPr>
          <w:sz w:val="24"/>
          <w:szCs w:val="24"/>
        </w:rPr>
        <w:t>miotica</w:t>
      </w:r>
      <w:proofErr w:type="spellEnd"/>
      <w:r w:rsidRPr="00275FA4">
        <w:rPr>
          <w:sz w:val="24"/>
          <w:szCs w:val="24"/>
        </w:rPr>
        <w:t>, beta receptorblokerende midler, ATC-kode: S01ED51.</w:t>
      </w:r>
    </w:p>
    <w:p w14:paraId="6ADF3553" w14:textId="77777777" w:rsidR="00420790" w:rsidRPr="00275FA4" w:rsidRDefault="00420790" w:rsidP="00420790">
      <w:pPr>
        <w:ind w:left="851"/>
        <w:rPr>
          <w:iCs/>
          <w:sz w:val="24"/>
          <w:szCs w:val="24"/>
          <w:u w:val="single"/>
        </w:rPr>
      </w:pPr>
    </w:p>
    <w:p w14:paraId="100DA36C" w14:textId="77777777" w:rsidR="00420790" w:rsidRPr="00275FA4" w:rsidRDefault="00420790" w:rsidP="00420790">
      <w:pPr>
        <w:ind w:left="851"/>
        <w:rPr>
          <w:iCs/>
          <w:sz w:val="24"/>
          <w:szCs w:val="24"/>
          <w:u w:val="single"/>
        </w:rPr>
      </w:pPr>
      <w:r w:rsidRPr="00275FA4">
        <w:rPr>
          <w:iCs/>
          <w:sz w:val="24"/>
          <w:szCs w:val="24"/>
          <w:u w:val="single"/>
        </w:rPr>
        <w:t>Virkningsmekanisme</w:t>
      </w:r>
    </w:p>
    <w:p w14:paraId="764319DB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består af to komponenter: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og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. Hver af de to komponenter sænker forhøjet </w:t>
      </w:r>
      <w:proofErr w:type="spellStart"/>
      <w:r w:rsidRPr="00275FA4">
        <w:rPr>
          <w:sz w:val="24"/>
          <w:szCs w:val="24"/>
        </w:rPr>
        <w:t>intraokulært</w:t>
      </w:r>
      <w:proofErr w:type="spellEnd"/>
      <w:r w:rsidRPr="00275FA4">
        <w:rPr>
          <w:sz w:val="24"/>
          <w:szCs w:val="24"/>
        </w:rPr>
        <w:t xml:space="preserve"> tryk ved at reducere kammervæskesekretionen, men ved forskellige virkningsmekanismer.</w:t>
      </w:r>
    </w:p>
    <w:p w14:paraId="0743EC89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53D5EE8D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er en potent hæmmer af human </w:t>
      </w:r>
      <w:proofErr w:type="spellStart"/>
      <w:r w:rsidRPr="00275FA4">
        <w:rPr>
          <w:sz w:val="24"/>
          <w:szCs w:val="24"/>
        </w:rPr>
        <w:t>carboanhydrase</w:t>
      </w:r>
      <w:proofErr w:type="spellEnd"/>
      <w:r w:rsidRPr="00275FA4">
        <w:rPr>
          <w:sz w:val="24"/>
          <w:szCs w:val="24"/>
        </w:rPr>
        <w:t xml:space="preserve"> II. Hæmning af </w:t>
      </w:r>
      <w:proofErr w:type="spellStart"/>
      <w:r w:rsidRPr="00275FA4">
        <w:rPr>
          <w:sz w:val="24"/>
          <w:szCs w:val="24"/>
        </w:rPr>
        <w:t>carboanhydrase</w:t>
      </w:r>
      <w:proofErr w:type="spellEnd"/>
      <w:r w:rsidRPr="00275FA4">
        <w:rPr>
          <w:sz w:val="24"/>
          <w:szCs w:val="24"/>
        </w:rPr>
        <w:t xml:space="preserve"> i øjets </w:t>
      </w:r>
      <w:proofErr w:type="spellStart"/>
      <w:r w:rsidRPr="00275FA4">
        <w:rPr>
          <w:sz w:val="24"/>
          <w:szCs w:val="24"/>
        </w:rPr>
        <w:t>ciliare</w:t>
      </w:r>
      <w:proofErr w:type="spellEnd"/>
      <w:r w:rsidRPr="00275FA4">
        <w:rPr>
          <w:sz w:val="24"/>
          <w:szCs w:val="24"/>
        </w:rPr>
        <w:t xml:space="preserve"> processer reducerer kammervæskesekretionen, formentlig ved at nedsætte dannelsen af bikarbonat-ioner med efterfølgende reduktion i natrium- og væsketransporten.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 er en non-selektiv </w:t>
      </w:r>
      <w:proofErr w:type="spellStart"/>
      <w:r w:rsidRPr="00275FA4">
        <w:rPr>
          <w:sz w:val="24"/>
          <w:szCs w:val="24"/>
        </w:rPr>
        <w:t>adrenerg</w:t>
      </w:r>
      <w:proofErr w:type="spellEnd"/>
      <w:r w:rsidRPr="00275FA4">
        <w:rPr>
          <w:sz w:val="24"/>
          <w:szCs w:val="24"/>
        </w:rPr>
        <w:t xml:space="preserve"> betareceptorblokker. </w:t>
      </w:r>
      <w:proofErr w:type="spellStart"/>
      <w:r w:rsidRPr="00275FA4">
        <w:rPr>
          <w:sz w:val="24"/>
          <w:szCs w:val="24"/>
        </w:rPr>
        <w:t>Timololmaleats</w:t>
      </w:r>
      <w:proofErr w:type="spellEnd"/>
      <w:r w:rsidRPr="00275FA4">
        <w:rPr>
          <w:sz w:val="24"/>
          <w:szCs w:val="24"/>
        </w:rPr>
        <w:t xml:space="preserve"> præcise virkningsmekanisme i forbindelse med sænkning af det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er ikke klart påvist på nuværende tidspunkt, men et </w:t>
      </w:r>
      <w:proofErr w:type="spellStart"/>
      <w:r w:rsidRPr="00275FA4">
        <w:rPr>
          <w:sz w:val="24"/>
          <w:szCs w:val="24"/>
        </w:rPr>
        <w:t>fluorescinstudie</w:t>
      </w:r>
      <w:proofErr w:type="spellEnd"/>
      <w:r w:rsidRPr="00275FA4">
        <w:rPr>
          <w:sz w:val="24"/>
          <w:szCs w:val="24"/>
        </w:rPr>
        <w:t xml:space="preserve"> og </w:t>
      </w:r>
      <w:proofErr w:type="spellStart"/>
      <w:r w:rsidRPr="00275FA4">
        <w:rPr>
          <w:sz w:val="24"/>
          <w:szCs w:val="24"/>
        </w:rPr>
        <w:t>tonografistudier</w:t>
      </w:r>
      <w:proofErr w:type="spellEnd"/>
      <w:r w:rsidRPr="00275FA4">
        <w:rPr>
          <w:sz w:val="24"/>
          <w:szCs w:val="24"/>
        </w:rPr>
        <w:t xml:space="preserve"> indikerer, at den dominerende virkning kan være relateret til reduceret kammervæskedannelse. I nogle studier blev der dog også observeret en lille stigning i udstrømning. Den kombinerede effekt af disse to midler resulterer i en yderligere sænkning af det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(IOP) sammenlignet med administration af de to komponenter hver for sig.</w:t>
      </w:r>
    </w:p>
    <w:p w14:paraId="512D8C8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5B763505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Efter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reducerer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forhøjet </w:t>
      </w:r>
      <w:proofErr w:type="spellStart"/>
      <w:r w:rsidRPr="00275FA4">
        <w:rPr>
          <w:sz w:val="24"/>
          <w:szCs w:val="24"/>
        </w:rPr>
        <w:t>intraokulært</w:t>
      </w:r>
      <w:proofErr w:type="spellEnd"/>
      <w:r w:rsidRPr="00275FA4">
        <w:rPr>
          <w:sz w:val="24"/>
          <w:szCs w:val="24"/>
        </w:rPr>
        <w:t xml:space="preserve"> tryk, uanset om det er associeret med </w:t>
      </w:r>
      <w:proofErr w:type="spellStart"/>
      <w:r w:rsidRPr="00275FA4">
        <w:rPr>
          <w:sz w:val="24"/>
          <w:szCs w:val="24"/>
        </w:rPr>
        <w:t>glaukom</w:t>
      </w:r>
      <w:proofErr w:type="spellEnd"/>
      <w:r w:rsidRPr="00275FA4">
        <w:rPr>
          <w:sz w:val="24"/>
          <w:szCs w:val="24"/>
        </w:rPr>
        <w:t xml:space="preserve"> eller ej. Forhøjet </w:t>
      </w:r>
      <w:proofErr w:type="spellStart"/>
      <w:r w:rsidRPr="00275FA4">
        <w:rPr>
          <w:sz w:val="24"/>
          <w:szCs w:val="24"/>
        </w:rPr>
        <w:t>intraokulært</w:t>
      </w:r>
      <w:proofErr w:type="spellEnd"/>
      <w:r w:rsidRPr="00275FA4">
        <w:rPr>
          <w:sz w:val="24"/>
          <w:szCs w:val="24"/>
        </w:rPr>
        <w:t xml:space="preserve"> tryk er en væsentlig risikofaktor i patogenesen af synsnervebeskadigelse og </w:t>
      </w:r>
      <w:proofErr w:type="spellStart"/>
      <w:r w:rsidRPr="00275FA4">
        <w:rPr>
          <w:sz w:val="24"/>
          <w:szCs w:val="24"/>
        </w:rPr>
        <w:t>glaukomrelateret</w:t>
      </w:r>
      <w:proofErr w:type="spellEnd"/>
      <w:r w:rsidRPr="00275FA4">
        <w:rPr>
          <w:sz w:val="24"/>
          <w:szCs w:val="24"/>
        </w:rPr>
        <w:t xml:space="preserve"> synsfelttab. Dette lægemiddel reducerer det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uden de almindelige bivirkninger forbundet med </w:t>
      </w:r>
      <w:proofErr w:type="spellStart"/>
      <w:r w:rsidRPr="00275FA4">
        <w:rPr>
          <w:sz w:val="24"/>
          <w:szCs w:val="24"/>
        </w:rPr>
        <w:t>miotisk</w:t>
      </w:r>
      <w:proofErr w:type="spellEnd"/>
      <w:r w:rsidRPr="00275FA4">
        <w:rPr>
          <w:sz w:val="24"/>
          <w:szCs w:val="24"/>
        </w:rPr>
        <w:t xml:space="preserve"> behandling, såsom natteblindhed, </w:t>
      </w:r>
      <w:proofErr w:type="spellStart"/>
      <w:r w:rsidRPr="00275FA4">
        <w:rPr>
          <w:sz w:val="24"/>
          <w:szCs w:val="24"/>
        </w:rPr>
        <w:t>akkommodativ</w:t>
      </w:r>
      <w:proofErr w:type="spellEnd"/>
      <w:r w:rsidRPr="00275FA4">
        <w:rPr>
          <w:sz w:val="24"/>
          <w:szCs w:val="24"/>
        </w:rPr>
        <w:t xml:space="preserve"> spasme og pupilkonstriktion.</w:t>
      </w:r>
    </w:p>
    <w:p w14:paraId="60DCF04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16FBEB55" w14:textId="77777777" w:rsidR="00420790" w:rsidRPr="00843B96" w:rsidRDefault="00420790" w:rsidP="00843B96">
      <w:pPr>
        <w:ind w:left="851"/>
        <w:rPr>
          <w:sz w:val="24"/>
          <w:szCs w:val="24"/>
          <w:u w:val="single"/>
        </w:rPr>
      </w:pPr>
      <w:proofErr w:type="spellStart"/>
      <w:r w:rsidRPr="00843B96">
        <w:rPr>
          <w:sz w:val="24"/>
          <w:szCs w:val="24"/>
          <w:u w:val="single"/>
        </w:rPr>
        <w:t>Farmakodynamisk</w:t>
      </w:r>
      <w:proofErr w:type="spellEnd"/>
      <w:r w:rsidRPr="00843B96">
        <w:rPr>
          <w:sz w:val="24"/>
          <w:szCs w:val="24"/>
          <w:u w:val="single"/>
        </w:rPr>
        <w:t xml:space="preserve"> effekt</w:t>
      </w:r>
    </w:p>
    <w:p w14:paraId="597FCD2E" w14:textId="77777777" w:rsidR="00420790" w:rsidRPr="00843B96" w:rsidRDefault="00420790" w:rsidP="00843B96">
      <w:pPr>
        <w:ind w:left="851"/>
        <w:rPr>
          <w:i/>
          <w:sz w:val="24"/>
          <w:szCs w:val="24"/>
        </w:rPr>
      </w:pPr>
    </w:p>
    <w:p w14:paraId="16EF4B7C" w14:textId="77777777" w:rsidR="00420790" w:rsidRPr="00843B96" w:rsidRDefault="00420790" w:rsidP="00843B96">
      <w:pPr>
        <w:ind w:left="851"/>
        <w:rPr>
          <w:sz w:val="24"/>
          <w:szCs w:val="24"/>
        </w:rPr>
      </w:pPr>
      <w:r w:rsidRPr="00843B96">
        <w:rPr>
          <w:i/>
          <w:sz w:val="24"/>
          <w:szCs w:val="24"/>
        </w:rPr>
        <w:t>Klinisk effekt</w:t>
      </w:r>
    </w:p>
    <w:p w14:paraId="752F8B7E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udført kliniske studier af op til 15 måneders varighed for at sammenligne den IOP-reducerende virkning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administreret to gange daglig (doseret om morgenen og ved sengetid) med individuelt og samtidigt administreret 0,5 %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og 2,0 %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hos patienter med </w:t>
      </w:r>
      <w:proofErr w:type="spellStart"/>
      <w:r w:rsidRPr="00275FA4">
        <w:rPr>
          <w:sz w:val="24"/>
          <w:szCs w:val="24"/>
        </w:rPr>
        <w:t>glaukom</w:t>
      </w:r>
      <w:proofErr w:type="spellEnd"/>
      <w:r w:rsidRPr="00275FA4">
        <w:rPr>
          <w:sz w:val="24"/>
          <w:szCs w:val="24"/>
        </w:rPr>
        <w:t xml:space="preserve"> eller </w:t>
      </w:r>
      <w:proofErr w:type="spellStart"/>
      <w:r w:rsidRPr="00275FA4">
        <w:rPr>
          <w:sz w:val="24"/>
          <w:szCs w:val="24"/>
        </w:rPr>
        <w:t>okulær</w:t>
      </w:r>
      <w:proofErr w:type="spellEnd"/>
      <w:r w:rsidRPr="00275FA4">
        <w:rPr>
          <w:sz w:val="24"/>
          <w:szCs w:val="24"/>
        </w:rPr>
        <w:t xml:space="preserve"> hypertension, hos hvem kombinationsbehandling i studierne blev anset for at være hensigtsmæssig. Dette omfattede både ubehandlede patienter og patienter, der var utilstrækkeligt kontrolleret med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som monoterapi. Størstedelen af patienterne blev behandlet med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betablokker-monoterapi inden inklusion i studiet. I en analyse af de kombinerede </w:t>
      </w:r>
      <w:r w:rsidRPr="00275FA4">
        <w:rPr>
          <w:sz w:val="24"/>
          <w:szCs w:val="24"/>
        </w:rPr>
        <w:lastRenderedPageBreak/>
        <w:t xml:space="preserve">studier var den IOP-reducerende virkning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administreret to gange daglig større, end virkningen af monoterapi med enten 2 %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administreret tre gange daglig eller 0,5 %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administreret to gange daglig. Den IOP-reducerende virkning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administreret to gange daglig svarede til virkningen af kombinationsbehandling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administreret to gange daglig og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administreret to gange daglig. Den IOP-reducerende virkning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administreret to gange daglig blev påvist ved målinger på forskellige tidspunkter af dagen, og virkningen blev opretholdt ved langtidsbehandling. </w:t>
      </w:r>
    </w:p>
    <w:p w14:paraId="3C074A7F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EC1CF5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et aktiv-behandlingskontrolleret, parallelt, dobbeltblindet studie med 261 patienter med forhøjet </w:t>
      </w:r>
      <w:proofErr w:type="spellStart"/>
      <w:r w:rsidRPr="00275FA4">
        <w:rPr>
          <w:sz w:val="24"/>
          <w:szCs w:val="24"/>
        </w:rPr>
        <w:t>intraokulært</w:t>
      </w:r>
      <w:proofErr w:type="spellEnd"/>
      <w:r w:rsidRPr="00275FA4">
        <w:rPr>
          <w:sz w:val="24"/>
          <w:szCs w:val="24"/>
        </w:rPr>
        <w:t xml:space="preserve"> tryk ≥22 </w:t>
      </w:r>
      <w:proofErr w:type="spellStart"/>
      <w:r w:rsidRPr="00275FA4">
        <w:rPr>
          <w:sz w:val="24"/>
          <w:szCs w:val="24"/>
        </w:rPr>
        <w:t>mmHg</w:t>
      </w:r>
      <w:proofErr w:type="spellEnd"/>
      <w:r w:rsidRPr="00275FA4">
        <w:rPr>
          <w:sz w:val="24"/>
          <w:szCs w:val="24"/>
        </w:rPr>
        <w:t xml:space="preserve"> i et eller begge øjne, havde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uden konserveringsmiddel en IOP-sænkende effekt svarende til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med konserveringsmiddel. Sikkerhedsprofilen for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uden konserveringsmiddel er tilsvarende sikkerhedsprofilen for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med konserveringsmiddel.</w:t>
      </w:r>
    </w:p>
    <w:p w14:paraId="6C3D0BD5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7CFBDDB1" w14:textId="77777777" w:rsidR="00420790" w:rsidRPr="00275FA4" w:rsidRDefault="00420790" w:rsidP="00420790">
      <w:pPr>
        <w:ind w:left="851"/>
        <w:rPr>
          <w:sz w:val="24"/>
          <w:szCs w:val="24"/>
          <w:u w:val="single"/>
        </w:rPr>
      </w:pPr>
      <w:r w:rsidRPr="00275FA4">
        <w:rPr>
          <w:sz w:val="24"/>
          <w:szCs w:val="24"/>
          <w:u w:val="single"/>
        </w:rPr>
        <w:t>Pædiatrisk population</w:t>
      </w:r>
    </w:p>
    <w:p w14:paraId="6574BE1E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Der er udført et af 3-måneders kontrolleret studie, hvor det primære formål var at dokumentere sikkerheden af en </w:t>
      </w:r>
      <w:proofErr w:type="spellStart"/>
      <w:r w:rsidRPr="00275FA4">
        <w:rPr>
          <w:sz w:val="24"/>
          <w:szCs w:val="24"/>
        </w:rPr>
        <w:t>oftalmisk</w:t>
      </w:r>
      <w:proofErr w:type="spellEnd"/>
      <w:r w:rsidRPr="00275FA4">
        <w:rPr>
          <w:sz w:val="24"/>
          <w:szCs w:val="24"/>
        </w:rPr>
        <w:t xml:space="preserve"> opløsning med 2 %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til børn under 6 år. I dette studie fik 30 patienter på under 6 år og mindst 2 år, hvis </w:t>
      </w:r>
      <w:proofErr w:type="spellStart"/>
      <w:r w:rsidRPr="00275FA4">
        <w:rPr>
          <w:sz w:val="24"/>
          <w:szCs w:val="24"/>
        </w:rPr>
        <w:t>intraokulære</w:t>
      </w:r>
      <w:proofErr w:type="spellEnd"/>
      <w:r w:rsidRPr="00275FA4">
        <w:rPr>
          <w:sz w:val="24"/>
          <w:szCs w:val="24"/>
        </w:rPr>
        <w:t xml:space="preserve"> tryk (IOP) ikke kunne kontrolleres tilstrækkeligt med monoterapi med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eller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,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med konserveringsmiddel i et åben </w:t>
      </w:r>
      <w:proofErr w:type="gramStart"/>
      <w:r w:rsidRPr="00275FA4">
        <w:rPr>
          <w:sz w:val="24"/>
          <w:szCs w:val="24"/>
        </w:rPr>
        <w:t>fase studie</w:t>
      </w:r>
      <w:proofErr w:type="gramEnd"/>
      <w:r w:rsidRPr="00275FA4">
        <w:rPr>
          <w:sz w:val="24"/>
          <w:szCs w:val="24"/>
        </w:rPr>
        <w:t xml:space="preserve">. Virkning hos disse patienter er ikke påvist. I denne lille patientgruppe var administration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>/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(med konserveringsmiddel) 2 gange daglig generelt veltolereret. 19 patienter gennemførte behandlingsperioden, og 11 patienter ophørte med behandlingen på grund af operation, ændret medicinering eller af andre årsager.</w:t>
      </w:r>
    </w:p>
    <w:p w14:paraId="5A3C06D4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DECF67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5.2</w:t>
      </w:r>
      <w:r w:rsidRPr="00275FA4">
        <w:rPr>
          <w:b/>
          <w:sz w:val="24"/>
          <w:szCs w:val="24"/>
        </w:rPr>
        <w:tab/>
      </w:r>
      <w:proofErr w:type="spellStart"/>
      <w:r w:rsidRPr="00275FA4">
        <w:rPr>
          <w:b/>
          <w:sz w:val="24"/>
          <w:szCs w:val="24"/>
        </w:rPr>
        <w:t>Farmakokinetiske</w:t>
      </w:r>
      <w:proofErr w:type="spellEnd"/>
      <w:r w:rsidRPr="00275FA4">
        <w:rPr>
          <w:b/>
          <w:sz w:val="24"/>
          <w:szCs w:val="24"/>
        </w:rPr>
        <w:t xml:space="preserve"> egenskaber</w:t>
      </w:r>
    </w:p>
    <w:p w14:paraId="43DC78AE" w14:textId="77777777" w:rsidR="00843B96" w:rsidRDefault="00843B96" w:rsidP="00420790">
      <w:pPr>
        <w:ind w:left="851"/>
        <w:rPr>
          <w:i/>
          <w:iCs/>
          <w:sz w:val="24"/>
          <w:szCs w:val="24"/>
          <w:u w:val="single"/>
        </w:rPr>
      </w:pPr>
    </w:p>
    <w:p w14:paraId="1C10C2AB" w14:textId="4A9B536E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Dorzolamidhydrochlorid</w:t>
      </w:r>
      <w:proofErr w:type="spellEnd"/>
    </w:p>
    <w:p w14:paraId="4A08EA5E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modsætning til orale </w:t>
      </w:r>
      <w:proofErr w:type="spellStart"/>
      <w:r w:rsidRPr="00275FA4">
        <w:rPr>
          <w:sz w:val="24"/>
          <w:szCs w:val="24"/>
        </w:rPr>
        <w:t>carboanhydrasehæmmere</w:t>
      </w:r>
      <w:proofErr w:type="spellEnd"/>
      <w:r w:rsidRPr="00275FA4">
        <w:rPr>
          <w:sz w:val="24"/>
          <w:szCs w:val="24"/>
        </w:rPr>
        <w:t xml:space="preserve"> giver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af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mulighed for, at det aktive stof kan udøve dets virkning direkte på øjet ved væsentligt lavere doser, og derfor med lavere systemisk eksponering. I kliniske studier har dette resulteret i en sænkning i IOP uden forstyrrelser i syre-basebalancen eller ændring i elektrolytter, der er kendetegnende for orale </w:t>
      </w:r>
      <w:proofErr w:type="spellStart"/>
      <w:r w:rsidRPr="00275FA4">
        <w:rPr>
          <w:sz w:val="24"/>
          <w:szCs w:val="24"/>
        </w:rPr>
        <w:t>carboanhydrasehæmmere</w:t>
      </w:r>
      <w:proofErr w:type="spellEnd"/>
      <w:r w:rsidRPr="00275FA4">
        <w:rPr>
          <w:sz w:val="24"/>
          <w:szCs w:val="24"/>
        </w:rPr>
        <w:t>.</w:t>
      </w:r>
    </w:p>
    <w:p w14:paraId="53140698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424DC504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Ved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anvendelse optages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i det systemiske kredsløb. For at vurdere muligheden for systemisk </w:t>
      </w:r>
      <w:proofErr w:type="spellStart"/>
      <w:r w:rsidRPr="00275FA4">
        <w:rPr>
          <w:sz w:val="24"/>
          <w:szCs w:val="24"/>
        </w:rPr>
        <w:t>carboanhydrasehæmning</w:t>
      </w:r>
      <w:proofErr w:type="spellEnd"/>
      <w:r w:rsidRPr="00275FA4">
        <w:rPr>
          <w:sz w:val="24"/>
          <w:szCs w:val="24"/>
        </w:rPr>
        <w:t xml:space="preserve"> efter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administration, blev lægemiddelstof - og metabolitkoncentrationerne målt i erytrocytter og plasma, og </w:t>
      </w:r>
      <w:proofErr w:type="spellStart"/>
      <w:r w:rsidRPr="00275FA4">
        <w:rPr>
          <w:sz w:val="24"/>
          <w:szCs w:val="24"/>
        </w:rPr>
        <w:t>carboanhydrasehæmningen</w:t>
      </w:r>
      <w:proofErr w:type="spellEnd"/>
      <w:r w:rsidRPr="00275FA4">
        <w:rPr>
          <w:sz w:val="24"/>
          <w:szCs w:val="24"/>
        </w:rPr>
        <w:t xml:space="preserve"> i erytrocytterne blev bestemt. Ved kronisk dosering akkumuleres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i erytrocytterne som følge af selektiv binding til CA-II, mens der opretholdes særdeles lave plasmakoncentrationer af lægemiddelstof. Det aktive moderstof danner en enkelt N-</w:t>
      </w:r>
      <w:proofErr w:type="spellStart"/>
      <w:r w:rsidRPr="00275FA4">
        <w:rPr>
          <w:sz w:val="24"/>
          <w:szCs w:val="24"/>
        </w:rPr>
        <w:t>desethyl</w:t>
      </w:r>
      <w:proofErr w:type="spellEnd"/>
      <w:r w:rsidRPr="00275FA4">
        <w:rPr>
          <w:sz w:val="24"/>
          <w:szCs w:val="24"/>
        </w:rPr>
        <w:t xml:space="preserve">-metabolit, som er en mindre potent hæmmer af CA-II end det aktive moderstof, men som også hæmmer et mindre aktivt </w:t>
      </w:r>
      <w:proofErr w:type="spellStart"/>
      <w:r w:rsidRPr="00275FA4">
        <w:rPr>
          <w:sz w:val="24"/>
          <w:szCs w:val="24"/>
        </w:rPr>
        <w:t>isoenzym</w:t>
      </w:r>
      <w:proofErr w:type="spellEnd"/>
      <w:r w:rsidRPr="00275FA4">
        <w:rPr>
          <w:sz w:val="24"/>
          <w:szCs w:val="24"/>
        </w:rPr>
        <w:t xml:space="preserve"> (CA-I). Metabolitten akkumuleres også i erytrocytter, hvor den primært bindes til CA-I.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bindes i moderat grad til plasmaproteiner (ca. 33 %).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udskilles primært i </w:t>
      </w:r>
      <w:proofErr w:type="spellStart"/>
      <w:r w:rsidRPr="00275FA4">
        <w:rPr>
          <w:sz w:val="24"/>
          <w:szCs w:val="24"/>
        </w:rPr>
        <w:t>uomdannet</w:t>
      </w:r>
      <w:proofErr w:type="spellEnd"/>
      <w:r w:rsidRPr="00275FA4">
        <w:rPr>
          <w:sz w:val="24"/>
          <w:szCs w:val="24"/>
        </w:rPr>
        <w:t xml:space="preserve"> form i urinen. Metabolitten udskilles også i urinen. Efter endt dosering udvaskes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af erytrocytterne non-lineært, hvilket resulterer i et hurtigt initialt fald i lægemiddelstofkoncentrationen efterfulgt af en langsommere eliminationsfase med en halveringstid på ca. fire måneder.</w:t>
      </w:r>
    </w:p>
    <w:p w14:paraId="3C8C1574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51FC54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lastRenderedPageBreak/>
        <w:t xml:space="preserve">Ved oral administration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med det formål at simulere den maksimale systemiske eksponering efter langvarig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</w:t>
      </w:r>
      <w:proofErr w:type="spellStart"/>
      <w:r w:rsidRPr="00275FA4">
        <w:rPr>
          <w:sz w:val="24"/>
          <w:szCs w:val="24"/>
        </w:rPr>
        <w:t>okulær</w:t>
      </w:r>
      <w:proofErr w:type="spellEnd"/>
      <w:r w:rsidRPr="00275FA4">
        <w:rPr>
          <w:sz w:val="24"/>
          <w:szCs w:val="24"/>
        </w:rPr>
        <w:t xml:space="preserve"> administration blev </w:t>
      </w:r>
      <w:proofErr w:type="spellStart"/>
      <w:r w:rsidRPr="00275FA4">
        <w:rPr>
          <w:i/>
          <w:iCs/>
          <w:sz w:val="24"/>
          <w:szCs w:val="24"/>
        </w:rPr>
        <w:t>steady-state</w:t>
      </w:r>
      <w:proofErr w:type="spellEnd"/>
      <w:r w:rsidRPr="00275FA4">
        <w:rPr>
          <w:sz w:val="24"/>
          <w:szCs w:val="24"/>
        </w:rPr>
        <w:t xml:space="preserve"> nået inden for 13 uger. Ved </w:t>
      </w:r>
      <w:proofErr w:type="spellStart"/>
      <w:r w:rsidRPr="00275FA4">
        <w:rPr>
          <w:i/>
          <w:iCs/>
          <w:sz w:val="24"/>
          <w:szCs w:val="24"/>
        </w:rPr>
        <w:t>steady-state</w:t>
      </w:r>
      <w:proofErr w:type="spellEnd"/>
      <w:r w:rsidRPr="00275FA4">
        <w:rPr>
          <w:sz w:val="24"/>
          <w:szCs w:val="24"/>
        </w:rPr>
        <w:t xml:space="preserve"> var der stort set intet frit lægemiddelstof eller metabolit i plasma. Hæmningen af CA i erytrocytterne var lavere, end hvad der forventedes at være nødvendigt for at opnå en farmakologisk effekt på nyrefunktionen eller respirationen. Der blev observeret lignende </w:t>
      </w:r>
      <w:proofErr w:type="spellStart"/>
      <w:r w:rsidRPr="00275FA4">
        <w:rPr>
          <w:sz w:val="24"/>
          <w:szCs w:val="24"/>
        </w:rPr>
        <w:t>farmakokinetiske</w:t>
      </w:r>
      <w:proofErr w:type="spellEnd"/>
      <w:r w:rsidRPr="00275FA4">
        <w:rPr>
          <w:sz w:val="24"/>
          <w:szCs w:val="24"/>
        </w:rPr>
        <w:t xml:space="preserve"> resultater efter kronisk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af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. Nogle ældre patienter med nedsat nyrefunktion (estimeret </w:t>
      </w:r>
      <w:proofErr w:type="spellStart"/>
      <w:r w:rsidRPr="00275FA4">
        <w:rPr>
          <w:sz w:val="24"/>
          <w:szCs w:val="24"/>
        </w:rPr>
        <w:t>kreatininclearance</w:t>
      </w:r>
      <w:proofErr w:type="spellEnd"/>
      <w:r w:rsidRPr="00275FA4">
        <w:rPr>
          <w:sz w:val="24"/>
          <w:szCs w:val="24"/>
        </w:rPr>
        <w:t xml:space="preserve"> på 30‒60 ml/min) havde dog højere koncentrationer af metabolitten i erytrocytterne, men der var ingen betydningsfulde forskelle i hæmningen af </w:t>
      </w:r>
      <w:proofErr w:type="spellStart"/>
      <w:r w:rsidRPr="00275FA4">
        <w:rPr>
          <w:sz w:val="24"/>
          <w:szCs w:val="24"/>
        </w:rPr>
        <w:t>carboanhydrase</w:t>
      </w:r>
      <w:proofErr w:type="spellEnd"/>
      <w:r w:rsidRPr="00275FA4">
        <w:rPr>
          <w:sz w:val="24"/>
          <w:szCs w:val="24"/>
        </w:rPr>
        <w:t xml:space="preserve"> eller klinisk signifikante systemiske bivirkninger, som direkte kunne tilskrives dette fund.</w:t>
      </w:r>
    </w:p>
    <w:p w14:paraId="0EE103BA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958A77F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Timololmaleat</w:t>
      </w:r>
      <w:proofErr w:type="spellEnd"/>
    </w:p>
    <w:p w14:paraId="091EA46F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I et forsøg, hvor man undersøgte plasmakoncentrationen af lægemiddelstof hos 6 personer, blev den systemiske eksponering af </w:t>
      </w:r>
      <w:proofErr w:type="spellStart"/>
      <w:r w:rsidRPr="00275FA4">
        <w:rPr>
          <w:sz w:val="24"/>
          <w:szCs w:val="24"/>
        </w:rPr>
        <w:t>timolol</w:t>
      </w:r>
      <w:proofErr w:type="spellEnd"/>
      <w:r w:rsidRPr="00275FA4">
        <w:rPr>
          <w:sz w:val="24"/>
          <w:szCs w:val="24"/>
        </w:rPr>
        <w:t xml:space="preserve"> målt efter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administration af en </w:t>
      </w:r>
      <w:proofErr w:type="spellStart"/>
      <w:r w:rsidRPr="00275FA4">
        <w:rPr>
          <w:sz w:val="24"/>
          <w:szCs w:val="24"/>
        </w:rPr>
        <w:t>oftalmisk</w:t>
      </w:r>
      <w:proofErr w:type="spellEnd"/>
      <w:r w:rsidRPr="00275FA4">
        <w:rPr>
          <w:sz w:val="24"/>
          <w:szCs w:val="24"/>
        </w:rPr>
        <w:t xml:space="preserve"> opløsning med 0,5 %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 to gange daglig. Den gennemsnitlige maksimale plasmakoncentration efter dosering om morgenen var 0,46 </w:t>
      </w:r>
      <w:proofErr w:type="spellStart"/>
      <w:r w:rsidRPr="00275FA4">
        <w:rPr>
          <w:sz w:val="24"/>
          <w:szCs w:val="24"/>
        </w:rPr>
        <w:t>ng</w:t>
      </w:r>
      <w:proofErr w:type="spellEnd"/>
      <w:r w:rsidRPr="00275FA4">
        <w:rPr>
          <w:sz w:val="24"/>
          <w:szCs w:val="24"/>
        </w:rPr>
        <w:t>/ml, og efter dosering om eftermiddagen var den 0,35 </w:t>
      </w:r>
      <w:proofErr w:type="spellStart"/>
      <w:r w:rsidRPr="00275FA4">
        <w:rPr>
          <w:sz w:val="24"/>
          <w:szCs w:val="24"/>
        </w:rPr>
        <w:t>ng</w:t>
      </w:r>
      <w:proofErr w:type="spellEnd"/>
      <w:r w:rsidRPr="00275FA4">
        <w:rPr>
          <w:sz w:val="24"/>
          <w:szCs w:val="24"/>
        </w:rPr>
        <w:t>/ml.</w:t>
      </w:r>
    </w:p>
    <w:p w14:paraId="28C0241B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35FAC5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5.3</w:t>
      </w:r>
      <w:r w:rsidRPr="00275FA4">
        <w:rPr>
          <w:b/>
          <w:sz w:val="24"/>
          <w:szCs w:val="24"/>
        </w:rPr>
        <w:tab/>
      </w:r>
      <w:r w:rsidR="00BD7931" w:rsidRPr="00275FA4">
        <w:rPr>
          <w:b/>
          <w:sz w:val="24"/>
          <w:szCs w:val="24"/>
        </w:rPr>
        <w:t>Non-</w:t>
      </w:r>
      <w:r w:rsidRPr="00275FA4">
        <w:rPr>
          <w:b/>
          <w:sz w:val="24"/>
          <w:szCs w:val="24"/>
        </w:rPr>
        <w:t>kliniske sikkerhedsdata</w:t>
      </w:r>
    </w:p>
    <w:p w14:paraId="4C2B4964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Den </w:t>
      </w:r>
      <w:proofErr w:type="spellStart"/>
      <w:r w:rsidRPr="00275FA4">
        <w:rPr>
          <w:sz w:val="24"/>
          <w:szCs w:val="24"/>
        </w:rPr>
        <w:t>okulære</w:t>
      </w:r>
      <w:proofErr w:type="spellEnd"/>
      <w:r w:rsidRPr="00275FA4">
        <w:rPr>
          <w:sz w:val="24"/>
          <w:szCs w:val="24"/>
        </w:rPr>
        <w:t xml:space="preserve"> og systemiske sikkerhedsprofil for de enkelte komponenter er veletableret.</w:t>
      </w:r>
    </w:p>
    <w:p w14:paraId="33AB6668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51847EE5" w14:textId="77777777" w:rsidR="00420790" w:rsidRPr="00275FA4" w:rsidRDefault="00420790" w:rsidP="00420790">
      <w:pPr>
        <w:ind w:left="851"/>
        <w:rPr>
          <w:i/>
          <w:iCs/>
          <w:sz w:val="24"/>
          <w:szCs w:val="24"/>
          <w:u w:val="single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Dorzolamid</w:t>
      </w:r>
      <w:proofErr w:type="spellEnd"/>
    </w:p>
    <w:p w14:paraId="6304EC3C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Hos kaniner, der fik </w:t>
      </w:r>
      <w:proofErr w:type="spellStart"/>
      <w:r w:rsidRPr="00275FA4">
        <w:rPr>
          <w:sz w:val="24"/>
          <w:szCs w:val="24"/>
        </w:rPr>
        <w:t>maternotoksiske</w:t>
      </w:r>
      <w:proofErr w:type="spellEnd"/>
      <w:r w:rsidRPr="00275FA4">
        <w:rPr>
          <w:sz w:val="24"/>
          <w:szCs w:val="24"/>
        </w:rPr>
        <w:t xml:space="preserve"> doser af </w:t>
      </w:r>
      <w:proofErr w:type="spellStart"/>
      <w:r w:rsidRPr="00275FA4">
        <w:rPr>
          <w:sz w:val="24"/>
          <w:szCs w:val="24"/>
        </w:rPr>
        <w:t>dorzolamid</w:t>
      </w:r>
      <w:proofErr w:type="spellEnd"/>
      <w:r w:rsidRPr="00275FA4">
        <w:rPr>
          <w:sz w:val="24"/>
          <w:szCs w:val="24"/>
        </w:rPr>
        <w:t xml:space="preserve"> i forbindelse med metabolisk </w:t>
      </w:r>
      <w:proofErr w:type="spellStart"/>
      <w:r w:rsidRPr="00275FA4">
        <w:rPr>
          <w:sz w:val="24"/>
          <w:szCs w:val="24"/>
        </w:rPr>
        <w:t>acidose</w:t>
      </w:r>
      <w:proofErr w:type="spellEnd"/>
      <w:r w:rsidRPr="00275FA4">
        <w:rPr>
          <w:sz w:val="24"/>
          <w:szCs w:val="24"/>
        </w:rPr>
        <w:t xml:space="preserve">, blev der observeret misdannelse af hvirvellegemerne. </w:t>
      </w:r>
    </w:p>
    <w:p w14:paraId="4EE799DB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6063B28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i/>
          <w:iCs/>
          <w:sz w:val="24"/>
          <w:szCs w:val="24"/>
          <w:u w:val="single"/>
        </w:rPr>
        <w:t>Timolol</w:t>
      </w:r>
      <w:proofErr w:type="spellEnd"/>
    </w:p>
    <w:p w14:paraId="581823C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Dyreforsøg har ikke vist </w:t>
      </w:r>
      <w:proofErr w:type="spellStart"/>
      <w:r w:rsidRPr="00275FA4">
        <w:rPr>
          <w:sz w:val="24"/>
          <w:szCs w:val="24"/>
        </w:rPr>
        <w:t>teratogen</w:t>
      </w:r>
      <w:proofErr w:type="spellEnd"/>
      <w:r w:rsidRPr="00275FA4">
        <w:rPr>
          <w:sz w:val="24"/>
          <w:szCs w:val="24"/>
        </w:rPr>
        <w:t xml:space="preserve"> virkning.</w:t>
      </w:r>
    </w:p>
    <w:p w14:paraId="3121769D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Desuden er der ikke set </w:t>
      </w:r>
      <w:proofErr w:type="spellStart"/>
      <w:r w:rsidRPr="00275FA4">
        <w:rPr>
          <w:sz w:val="24"/>
          <w:szCs w:val="24"/>
        </w:rPr>
        <w:t>okulære</w:t>
      </w:r>
      <w:proofErr w:type="spellEnd"/>
      <w:r w:rsidRPr="00275FA4">
        <w:rPr>
          <w:sz w:val="24"/>
          <w:szCs w:val="24"/>
        </w:rPr>
        <w:t xml:space="preserve"> bivirkninger hos dyr, som har fået </w:t>
      </w:r>
      <w:proofErr w:type="spellStart"/>
      <w:r w:rsidRPr="00275FA4">
        <w:rPr>
          <w:sz w:val="24"/>
          <w:szCs w:val="24"/>
        </w:rPr>
        <w:t>topikal</w:t>
      </w:r>
      <w:proofErr w:type="spellEnd"/>
      <w:r w:rsidRPr="00275FA4">
        <w:rPr>
          <w:sz w:val="24"/>
          <w:szCs w:val="24"/>
        </w:rPr>
        <w:t xml:space="preserve"> behandling med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- og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 øjendråber eller med samtidigt administreret </w:t>
      </w:r>
      <w:proofErr w:type="spellStart"/>
      <w:r w:rsidRPr="00275FA4">
        <w:rPr>
          <w:sz w:val="24"/>
          <w:szCs w:val="24"/>
        </w:rPr>
        <w:t>dorzolamidhydrochlorid</w:t>
      </w:r>
      <w:proofErr w:type="spellEnd"/>
      <w:r w:rsidRPr="00275FA4">
        <w:rPr>
          <w:sz w:val="24"/>
          <w:szCs w:val="24"/>
        </w:rPr>
        <w:t xml:space="preserve"> og </w:t>
      </w:r>
      <w:proofErr w:type="spellStart"/>
      <w:r w:rsidRPr="00275FA4">
        <w:rPr>
          <w:sz w:val="24"/>
          <w:szCs w:val="24"/>
        </w:rPr>
        <w:t>timololmaleat</w:t>
      </w:r>
      <w:proofErr w:type="spellEnd"/>
      <w:r w:rsidRPr="00275FA4">
        <w:rPr>
          <w:sz w:val="24"/>
          <w:szCs w:val="24"/>
        </w:rPr>
        <w:t xml:space="preserve">. </w:t>
      </w:r>
      <w:r w:rsidRPr="00275FA4">
        <w:rPr>
          <w:i/>
          <w:iCs/>
          <w:sz w:val="24"/>
          <w:szCs w:val="24"/>
        </w:rPr>
        <w:t xml:space="preserve">In </w:t>
      </w:r>
      <w:proofErr w:type="spellStart"/>
      <w:r w:rsidRPr="00275FA4">
        <w:rPr>
          <w:i/>
          <w:iCs/>
          <w:sz w:val="24"/>
          <w:szCs w:val="24"/>
        </w:rPr>
        <w:t>vitro</w:t>
      </w:r>
      <w:proofErr w:type="spellEnd"/>
      <w:r w:rsidRPr="00275FA4">
        <w:rPr>
          <w:sz w:val="24"/>
          <w:szCs w:val="24"/>
        </w:rPr>
        <w:t xml:space="preserve">- og </w:t>
      </w:r>
      <w:r w:rsidRPr="00275FA4">
        <w:rPr>
          <w:i/>
          <w:iCs/>
          <w:sz w:val="24"/>
          <w:szCs w:val="24"/>
        </w:rPr>
        <w:t xml:space="preserve">in </w:t>
      </w:r>
      <w:proofErr w:type="spellStart"/>
      <w:r w:rsidRPr="00275FA4">
        <w:rPr>
          <w:i/>
          <w:iCs/>
          <w:sz w:val="24"/>
          <w:szCs w:val="24"/>
        </w:rPr>
        <w:t>vivo</w:t>
      </w:r>
      <w:proofErr w:type="spellEnd"/>
      <w:r w:rsidRPr="00275FA4">
        <w:rPr>
          <w:sz w:val="24"/>
          <w:szCs w:val="24"/>
        </w:rPr>
        <w:t xml:space="preserve">-forsøg med hver af komponenterne viste ikke tegn på mutagent potentiale. Derfor forventes der ikke at være nogen signifikant sikkerhedsrisiko for mennesker ved brug af terapeutiske doser af </w:t>
      </w:r>
      <w:proofErr w:type="spellStart"/>
      <w:r w:rsidRPr="00275FA4">
        <w:rPr>
          <w:sz w:val="24"/>
          <w:szCs w:val="24"/>
        </w:rPr>
        <w:t>Vizidorduo</w:t>
      </w:r>
      <w:proofErr w:type="spellEnd"/>
      <w:r w:rsidRPr="00275FA4">
        <w:rPr>
          <w:sz w:val="24"/>
          <w:szCs w:val="24"/>
        </w:rPr>
        <w:t xml:space="preserve"> øjendråber, opløsning.</w:t>
      </w:r>
    </w:p>
    <w:p w14:paraId="2E7F52A5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925EC1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49F1A6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</w:t>
      </w:r>
      <w:r w:rsidRPr="00275FA4">
        <w:rPr>
          <w:b/>
          <w:sz w:val="24"/>
          <w:szCs w:val="24"/>
        </w:rPr>
        <w:tab/>
        <w:t>FARMACEUTISKE OPLYSNINGER</w:t>
      </w:r>
    </w:p>
    <w:p w14:paraId="1EC8377C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056325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6.1</w:t>
      </w:r>
      <w:r w:rsidRPr="00275FA4">
        <w:rPr>
          <w:b/>
          <w:sz w:val="24"/>
          <w:szCs w:val="24"/>
        </w:rPr>
        <w:tab/>
        <w:t>Hjælpestoffer</w:t>
      </w:r>
    </w:p>
    <w:p w14:paraId="6080098D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Hydroxyethylcellulose</w:t>
      </w:r>
      <w:proofErr w:type="spellEnd"/>
    </w:p>
    <w:p w14:paraId="2AFB4F80" w14:textId="77777777" w:rsidR="00420790" w:rsidRPr="00275FA4" w:rsidRDefault="00420790" w:rsidP="00420790">
      <w:pPr>
        <w:ind w:left="851"/>
        <w:rPr>
          <w:sz w:val="24"/>
          <w:szCs w:val="24"/>
        </w:rPr>
      </w:pPr>
      <w:proofErr w:type="spellStart"/>
      <w:r w:rsidRPr="00275FA4">
        <w:rPr>
          <w:sz w:val="24"/>
          <w:szCs w:val="24"/>
        </w:rPr>
        <w:t>Mannitol</w:t>
      </w:r>
      <w:proofErr w:type="spellEnd"/>
      <w:r w:rsidRPr="00275FA4">
        <w:rPr>
          <w:sz w:val="24"/>
          <w:szCs w:val="24"/>
        </w:rPr>
        <w:t xml:space="preserve"> (E421)</w:t>
      </w:r>
    </w:p>
    <w:p w14:paraId="06259CD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Natriumcitrat (E331)</w:t>
      </w:r>
    </w:p>
    <w:p w14:paraId="6BFEDEE9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Natriumhydroxid (E524)</w:t>
      </w:r>
    </w:p>
    <w:p w14:paraId="2BBA85AF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Vand til injektionsvæsker</w:t>
      </w:r>
    </w:p>
    <w:p w14:paraId="15DD0CF3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C4689C9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6.2</w:t>
      </w:r>
      <w:r w:rsidRPr="00275FA4">
        <w:rPr>
          <w:b/>
          <w:sz w:val="24"/>
          <w:szCs w:val="24"/>
        </w:rPr>
        <w:tab/>
        <w:t>Uforligeligheder</w:t>
      </w:r>
    </w:p>
    <w:p w14:paraId="767DC0D7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Ikke relevant.</w:t>
      </w:r>
    </w:p>
    <w:p w14:paraId="1BE92703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8A6FC3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6.3</w:t>
      </w:r>
      <w:r w:rsidRPr="00275FA4">
        <w:rPr>
          <w:b/>
          <w:sz w:val="24"/>
          <w:szCs w:val="24"/>
        </w:rPr>
        <w:tab/>
        <w:t>Opbevaringstid</w:t>
      </w:r>
    </w:p>
    <w:p w14:paraId="657DF1F6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30 måneder</w:t>
      </w:r>
    </w:p>
    <w:p w14:paraId="2BB85704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Efter første åbning af den indre emballage: 28 dage</w:t>
      </w:r>
    </w:p>
    <w:p w14:paraId="53AE56A8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3F5D25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lastRenderedPageBreak/>
        <w:t>6.4</w:t>
      </w:r>
      <w:r w:rsidRPr="00275FA4">
        <w:rPr>
          <w:b/>
          <w:sz w:val="24"/>
          <w:szCs w:val="24"/>
        </w:rPr>
        <w:tab/>
        <w:t>Særlige opbevaringsforhold</w:t>
      </w:r>
    </w:p>
    <w:p w14:paraId="07808447" w14:textId="694A9073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Opbevares ved temperaturer under 30 </w:t>
      </w:r>
      <w:r w:rsidR="00AC5EB8">
        <w:rPr>
          <w:sz w:val="24"/>
          <w:szCs w:val="24"/>
        </w:rPr>
        <w:t>°</w:t>
      </w:r>
      <w:r w:rsidRPr="00275FA4">
        <w:rPr>
          <w:sz w:val="24"/>
          <w:szCs w:val="24"/>
        </w:rPr>
        <w:t>C.</w:t>
      </w:r>
    </w:p>
    <w:p w14:paraId="685F5BC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2D4FCB4A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For opbevaring efter første åbning af lægemidlet, se pkt. 6.3.</w:t>
      </w:r>
    </w:p>
    <w:p w14:paraId="7DD94789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39A4DA8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6.5</w:t>
      </w:r>
      <w:r w:rsidRPr="00275FA4">
        <w:rPr>
          <w:b/>
          <w:sz w:val="24"/>
          <w:szCs w:val="24"/>
        </w:rPr>
        <w:tab/>
        <w:t>Emballagetype og pakningsstørrelser</w:t>
      </w:r>
    </w:p>
    <w:p w14:paraId="0202A4C5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5 ml opløsning i en hvid uigennemsigtig 11 ml LDPE-flaske med hvid </w:t>
      </w:r>
      <w:proofErr w:type="spellStart"/>
      <w:r w:rsidRPr="00275FA4">
        <w:rPr>
          <w:sz w:val="24"/>
          <w:szCs w:val="24"/>
        </w:rPr>
        <w:t>Novelia</w:t>
      </w:r>
      <w:proofErr w:type="spellEnd"/>
      <w:r w:rsidRPr="00275FA4">
        <w:rPr>
          <w:sz w:val="24"/>
          <w:szCs w:val="24"/>
        </w:rPr>
        <w:t xml:space="preserve"> dyse (HDPE og silikone) med en hvid HDPE-hætte.</w:t>
      </w:r>
    </w:p>
    <w:p w14:paraId="3A77BA16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1E2AB164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 xml:space="preserve">Pakningsstørrelser: </w:t>
      </w:r>
    </w:p>
    <w:p w14:paraId="66E41A2C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1, 3 eller 4 flasker i en æske.</w:t>
      </w:r>
    </w:p>
    <w:p w14:paraId="57CD09D0" w14:textId="77777777" w:rsidR="00420790" w:rsidRPr="00275FA4" w:rsidRDefault="00420790" w:rsidP="00420790">
      <w:pPr>
        <w:ind w:left="851"/>
        <w:rPr>
          <w:sz w:val="24"/>
          <w:szCs w:val="24"/>
        </w:rPr>
      </w:pPr>
    </w:p>
    <w:p w14:paraId="6FFE45C1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Ikke alle pakningsstørrelser er nødvendigvis markedsført.</w:t>
      </w:r>
    </w:p>
    <w:p w14:paraId="58812924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142411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6.6</w:t>
      </w:r>
      <w:r w:rsidRPr="00275FA4">
        <w:rPr>
          <w:b/>
          <w:sz w:val="24"/>
          <w:szCs w:val="24"/>
        </w:rPr>
        <w:tab/>
        <w:t xml:space="preserve">Regler for </w:t>
      </w:r>
      <w:r w:rsidR="00BD7931" w:rsidRPr="00275FA4">
        <w:rPr>
          <w:b/>
          <w:sz w:val="24"/>
          <w:szCs w:val="24"/>
        </w:rPr>
        <w:t>bortskaffelse</w:t>
      </w:r>
      <w:r w:rsidRPr="00275FA4">
        <w:rPr>
          <w:b/>
          <w:sz w:val="24"/>
          <w:szCs w:val="24"/>
        </w:rPr>
        <w:t xml:space="preserve"> og anden håndtering</w:t>
      </w:r>
    </w:p>
    <w:p w14:paraId="5C10AF9B" w14:textId="77777777" w:rsidR="00420790" w:rsidRPr="00275FA4" w:rsidRDefault="00420790" w:rsidP="00420790">
      <w:pPr>
        <w:ind w:left="851"/>
        <w:rPr>
          <w:sz w:val="24"/>
          <w:szCs w:val="24"/>
        </w:rPr>
      </w:pPr>
      <w:r w:rsidRPr="00275FA4">
        <w:rPr>
          <w:sz w:val="24"/>
          <w:szCs w:val="24"/>
        </w:rPr>
        <w:t>Ikke anvendt lægemiddel samt affald heraf skal bortskaffes i henhold til lokale retningslinjer.</w:t>
      </w:r>
    </w:p>
    <w:p w14:paraId="620B132A" w14:textId="77777777" w:rsidR="009260DE" w:rsidRPr="00275FA4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DEB2798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7.</w:t>
      </w:r>
      <w:r w:rsidRPr="00275FA4">
        <w:rPr>
          <w:b/>
          <w:sz w:val="24"/>
          <w:szCs w:val="24"/>
        </w:rPr>
        <w:tab/>
        <w:t>INDEHAVER AF MARKEDSFØRINGSTILLADELSEN</w:t>
      </w:r>
    </w:p>
    <w:p w14:paraId="13877E5D" w14:textId="77777777" w:rsidR="00420790" w:rsidRPr="00275FA4" w:rsidRDefault="00420790" w:rsidP="00420790">
      <w:pPr>
        <w:ind w:left="851"/>
        <w:rPr>
          <w:sz w:val="24"/>
          <w:szCs w:val="24"/>
          <w:lang w:eastAsia="da-DK"/>
        </w:rPr>
      </w:pPr>
      <w:bookmarkStart w:id="1" w:name="_Hlk88469138"/>
      <w:bookmarkStart w:id="2" w:name="_Hlk95902029"/>
      <w:r w:rsidRPr="00275FA4">
        <w:rPr>
          <w:sz w:val="24"/>
          <w:szCs w:val="24"/>
        </w:rPr>
        <w:t>Bausch &amp; Lomb Ireland Limited</w:t>
      </w:r>
    </w:p>
    <w:bookmarkEnd w:id="1"/>
    <w:p w14:paraId="50076178" w14:textId="77777777" w:rsidR="00420790" w:rsidRPr="00275FA4" w:rsidRDefault="00420790" w:rsidP="00420790">
      <w:pPr>
        <w:ind w:left="851"/>
        <w:rPr>
          <w:sz w:val="24"/>
          <w:szCs w:val="24"/>
          <w:lang w:val="en-US"/>
        </w:rPr>
      </w:pPr>
      <w:r w:rsidRPr="00275FA4">
        <w:rPr>
          <w:sz w:val="24"/>
          <w:szCs w:val="24"/>
          <w:lang w:val="en-US"/>
        </w:rPr>
        <w:t>3013 Lake Drive</w:t>
      </w:r>
    </w:p>
    <w:p w14:paraId="46330E76" w14:textId="77777777" w:rsidR="00420790" w:rsidRPr="00275FA4" w:rsidRDefault="00420790" w:rsidP="00420790">
      <w:pPr>
        <w:ind w:left="851"/>
        <w:rPr>
          <w:sz w:val="24"/>
          <w:szCs w:val="24"/>
          <w:lang w:val="en-US"/>
        </w:rPr>
      </w:pPr>
      <w:r w:rsidRPr="00275FA4">
        <w:rPr>
          <w:sz w:val="24"/>
          <w:szCs w:val="24"/>
          <w:lang w:val="en-US"/>
        </w:rPr>
        <w:t>Citywest Business Campus</w:t>
      </w:r>
    </w:p>
    <w:p w14:paraId="2FBEA4DA" w14:textId="77777777" w:rsidR="00420790" w:rsidRPr="00275FA4" w:rsidRDefault="00420790" w:rsidP="00420790">
      <w:pPr>
        <w:ind w:left="851"/>
        <w:rPr>
          <w:sz w:val="24"/>
          <w:szCs w:val="24"/>
          <w:lang w:val="en-US"/>
        </w:rPr>
      </w:pPr>
      <w:r w:rsidRPr="00275FA4">
        <w:rPr>
          <w:sz w:val="24"/>
          <w:szCs w:val="24"/>
          <w:lang w:val="en-US"/>
        </w:rPr>
        <w:t>Dublin 24, D24PPT3</w:t>
      </w:r>
    </w:p>
    <w:p w14:paraId="3FC70CD2" w14:textId="77777777" w:rsidR="00420790" w:rsidRPr="00275FA4" w:rsidRDefault="00420790" w:rsidP="00420790">
      <w:pPr>
        <w:ind w:left="851"/>
        <w:rPr>
          <w:rStyle w:val="Kommentarhenvisning"/>
          <w:sz w:val="24"/>
          <w:szCs w:val="24"/>
        </w:rPr>
      </w:pPr>
      <w:r w:rsidRPr="001825E6">
        <w:rPr>
          <w:rStyle w:val="Kommentarhenvisning"/>
          <w:sz w:val="24"/>
          <w:szCs w:val="24"/>
        </w:rPr>
        <w:t>Irland</w:t>
      </w:r>
      <w:bookmarkEnd w:id="2"/>
    </w:p>
    <w:p w14:paraId="35E84F61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39FA81" w14:textId="77777777" w:rsidR="00641C65" w:rsidRPr="00275FA4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b/>
          <w:sz w:val="24"/>
          <w:szCs w:val="24"/>
        </w:rPr>
        <w:t>Repræsentant</w:t>
      </w:r>
    </w:p>
    <w:p w14:paraId="46FCD86B" w14:textId="77777777" w:rsidR="00420790" w:rsidRPr="00843B96" w:rsidRDefault="00420790" w:rsidP="00420790">
      <w:pPr>
        <w:ind w:left="851"/>
        <w:rPr>
          <w:sz w:val="24"/>
          <w:szCs w:val="24"/>
          <w:lang w:eastAsia="da-DK"/>
        </w:rPr>
      </w:pPr>
      <w:r w:rsidRPr="00843B96">
        <w:rPr>
          <w:sz w:val="24"/>
          <w:szCs w:val="24"/>
        </w:rPr>
        <w:t>Bausch &amp; Lomb Nordic AB</w:t>
      </w:r>
    </w:p>
    <w:p w14:paraId="6D075623" w14:textId="77777777" w:rsidR="00420790" w:rsidRPr="00843B96" w:rsidRDefault="00420790" w:rsidP="00420790">
      <w:pPr>
        <w:ind w:left="851"/>
        <w:rPr>
          <w:sz w:val="24"/>
          <w:szCs w:val="24"/>
        </w:rPr>
      </w:pPr>
      <w:proofErr w:type="spellStart"/>
      <w:r w:rsidRPr="00843B96">
        <w:rPr>
          <w:sz w:val="24"/>
          <w:szCs w:val="24"/>
        </w:rPr>
        <w:t>Söder</w:t>
      </w:r>
      <w:proofErr w:type="spellEnd"/>
      <w:r w:rsidRPr="00843B96">
        <w:rPr>
          <w:sz w:val="24"/>
          <w:szCs w:val="24"/>
        </w:rPr>
        <w:t xml:space="preserve"> </w:t>
      </w:r>
      <w:proofErr w:type="spellStart"/>
      <w:r w:rsidRPr="00843B96">
        <w:rPr>
          <w:sz w:val="24"/>
          <w:szCs w:val="24"/>
        </w:rPr>
        <w:t>Mälarstrand</w:t>
      </w:r>
      <w:proofErr w:type="spellEnd"/>
      <w:r w:rsidRPr="00843B96">
        <w:rPr>
          <w:sz w:val="24"/>
          <w:szCs w:val="24"/>
        </w:rPr>
        <w:t xml:space="preserve"> 45</w:t>
      </w:r>
    </w:p>
    <w:p w14:paraId="4D8071AD" w14:textId="77777777" w:rsidR="00420790" w:rsidRPr="00843B96" w:rsidRDefault="00420790" w:rsidP="00420790">
      <w:pPr>
        <w:ind w:left="851"/>
        <w:rPr>
          <w:sz w:val="24"/>
          <w:szCs w:val="24"/>
        </w:rPr>
      </w:pPr>
      <w:r w:rsidRPr="00843B96">
        <w:rPr>
          <w:sz w:val="24"/>
          <w:szCs w:val="24"/>
        </w:rPr>
        <w:t>104 65 Stockholm</w:t>
      </w:r>
    </w:p>
    <w:p w14:paraId="5395E884" w14:textId="1578D721" w:rsidR="00420790" w:rsidRPr="00843B96" w:rsidRDefault="00420790" w:rsidP="00420790">
      <w:pPr>
        <w:ind w:left="851"/>
        <w:rPr>
          <w:sz w:val="24"/>
          <w:szCs w:val="24"/>
        </w:rPr>
      </w:pPr>
      <w:r w:rsidRPr="00843B96">
        <w:rPr>
          <w:sz w:val="24"/>
          <w:szCs w:val="24"/>
        </w:rPr>
        <w:t>S</w:t>
      </w:r>
      <w:r w:rsidR="00843B96" w:rsidRPr="00843B96">
        <w:rPr>
          <w:sz w:val="24"/>
          <w:szCs w:val="24"/>
        </w:rPr>
        <w:t>verige</w:t>
      </w:r>
    </w:p>
    <w:p w14:paraId="49706ED0" w14:textId="77777777" w:rsidR="00641C65" w:rsidRPr="00275FA4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57FF5F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8.</w:t>
      </w:r>
      <w:r w:rsidRPr="00275FA4">
        <w:rPr>
          <w:b/>
          <w:sz w:val="24"/>
          <w:szCs w:val="24"/>
        </w:rPr>
        <w:tab/>
        <w:t>MARKEDSFØRINGSTILLADELSESNUMMER (</w:t>
      </w:r>
      <w:r w:rsidR="00BF6243" w:rsidRPr="00275FA4">
        <w:rPr>
          <w:b/>
          <w:sz w:val="24"/>
          <w:szCs w:val="24"/>
        </w:rPr>
        <w:t>-</w:t>
      </w:r>
      <w:r w:rsidRPr="00275FA4">
        <w:rPr>
          <w:b/>
          <w:sz w:val="24"/>
          <w:szCs w:val="24"/>
        </w:rPr>
        <w:t>NUMRE)</w:t>
      </w:r>
    </w:p>
    <w:p w14:paraId="3FECC93C" w14:textId="60F3D2C5" w:rsidR="009260DE" w:rsidRPr="00275FA4" w:rsidRDefault="00420790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sz w:val="24"/>
          <w:szCs w:val="24"/>
        </w:rPr>
        <w:t>55284</w:t>
      </w:r>
    </w:p>
    <w:p w14:paraId="79F0E806" w14:textId="77777777" w:rsidR="009260DE" w:rsidRPr="00275FA4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A02173B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9.</w:t>
      </w:r>
      <w:r w:rsidRPr="00275FA4">
        <w:rPr>
          <w:b/>
          <w:sz w:val="24"/>
          <w:szCs w:val="24"/>
        </w:rPr>
        <w:tab/>
        <w:t>DATO FOR FØRSTE MARKEDSFØRINGSTILLADELSE</w:t>
      </w:r>
    </w:p>
    <w:p w14:paraId="2D41FF63" w14:textId="44F4B237" w:rsidR="009260DE" w:rsidRPr="00275FA4" w:rsidRDefault="00420790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sz w:val="24"/>
          <w:szCs w:val="24"/>
        </w:rPr>
        <w:t>30. september 2016</w:t>
      </w:r>
    </w:p>
    <w:p w14:paraId="57EF4158" w14:textId="77777777" w:rsidR="009260DE" w:rsidRPr="00275FA4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AAB8A5" w14:textId="77777777" w:rsidR="009260DE" w:rsidRPr="00275FA4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275FA4">
        <w:rPr>
          <w:b/>
          <w:sz w:val="24"/>
          <w:szCs w:val="24"/>
        </w:rPr>
        <w:t>10.</w:t>
      </w:r>
      <w:r w:rsidRPr="00275FA4">
        <w:rPr>
          <w:b/>
          <w:sz w:val="24"/>
          <w:szCs w:val="24"/>
        </w:rPr>
        <w:tab/>
        <w:t>DATO FOR ÆNDRING AF TEKSTEN</w:t>
      </w:r>
    </w:p>
    <w:p w14:paraId="007A4619" w14:textId="60CE9265" w:rsidR="009260DE" w:rsidRPr="00275FA4" w:rsidRDefault="00420790" w:rsidP="009260DE">
      <w:pPr>
        <w:tabs>
          <w:tab w:val="left" w:pos="851"/>
        </w:tabs>
        <w:ind w:left="851"/>
        <w:rPr>
          <w:sz w:val="24"/>
          <w:szCs w:val="24"/>
        </w:rPr>
      </w:pPr>
      <w:r w:rsidRPr="00275FA4">
        <w:rPr>
          <w:sz w:val="24"/>
          <w:szCs w:val="24"/>
        </w:rPr>
        <w:t>24. januar 2025</w:t>
      </w:r>
    </w:p>
    <w:sectPr w:rsidR="009260DE" w:rsidRPr="00275FA4" w:rsidSect="000259B9">
      <w:footerReference w:type="default" r:id="rId13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6B5759" w14:textId="77777777" w:rsidR="006F1F41" w:rsidRDefault="006F1F41">
      <w:r>
        <w:separator/>
      </w:r>
    </w:p>
  </w:endnote>
  <w:endnote w:type="continuationSeparator" w:id="0">
    <w:p w14:paraId="7E020894" w14:textId="77777777" w:rsidR="006F1F41" w:rsidRDefault="006F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0591" w14:textId="77777777" w:rsidR="000259B9" w:rsidRDefault="000259B9">
    <w:pPr>
      <w:pStyle w:val="Sidefod"/>
      <w:pBdr>
        <w:bottom w:val="single" w:sz="6" w:space="1" w:color="auto"/>
      </w:pBdr>
    </w:pPr>
  </w:p>
  <w:p w14:paraId="6F3B38C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4DFE37D5" w14:textId="5BBEFE6D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971CE">
      <w:rPr>
        <w:i/>
        <w:noProof/>
        <w:sz w:val="18"/>
        <w:szCs w:val="18"/>
      </w:rPr>
      <w:t>Vizidorduo, øjendråber, opløsning 20+5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7BEF" w14:textId="77777777" w:rsidR="006F1F41" w:rsidRDefault="006F1F41">
      <w:r>
        <w:separator/>
      </w:r>
    </w:p>
  </w:footnote>
  <w:footnote w:type="continuationSeparator" w:id="0">
    <w:p w14:paraId="4FEEF052" w14:textId="77777777" w:rsidR="006F1F41" w:rsidRDefault="006F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1A50"/>
    <w:multiLevelType w:val="hybridMultilevel"/>
    <w:tmpl w:val="373C4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214C0D"/>
    <w:multiLevelType w:val="hybridMultilevel"/>
    <w:tmpl w:val="A4B2C8DA"/>
    <w:lvl w:ilvl="0" w:tplc="B42CA324">
      <w:start w:val="8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F6D78FC"/>
    <w:multiLevelType w:val="hybridMultilevel"/>
    <w:tmpl w:val="7C0C6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41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54E2"/>
    <w:rsid w:val="001825E6"/>
    <w:rsid w:val="00206CE8"/>
    <w:rsid w:val="0021526C"/>
    <w:rsid w:val="00275FA4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0790"/>
    <w:rsid w:val="004251C1"/>
    <w:rsid w:val="0045746C"/>
    <w:rsid w:val="0049104B"/>
    <w:rsid w:val="004971CE"/>
    <w:rsid w:val="004E3B12"/>
    <w:rsid w:val="00532310"/>
    <w:rsid w:val="00565F0F"/>
    <w:rsid w:val="00594A86"/>
    <w:rsid w:val="00596D86"/>
    <w:rsid w:val="0060518C"/>
    <w:rsid w:val="00637F5A"/>
    <w:rsid w:val="00641C65"/>
    <w:rsid w:val="006560B1"/>
    <w:rsid w:val="006756DD"/>
    <w:rsid w:val="006F1F41"/>
    <w:rsid w:val="0071241E"/>
    <w:rsid w:val="00737275"/>
    <w:rsid w:val="00740EEC"/>
    <w:rsid w:val="0078011A"/>
    <w:rsid w:val="00782AF4"/>
    <w:rsid w:val="00790EE7"/>
    <w:rsid w:val="007B6649"/>
    <w:rsid w:val="0082576E"/>
    <w:rsid w:val="00843B96"/>
    <w:rsid w:val="0089346F"/>
    <w:rsid w:val="008A0A88"/>
    <w:rsid w:val="00907F75"/>
    <w:rsid w:val="009260DE"/>
    <w:rsid w:val="0093258A"/>
    <w:rsid w:val="009C7BA3"/>
    <w:rsid w:val="009D1F5A"/>
    <w:rsid w:val="00A10294"/>
    <w:rsid w:val="00AC5EB8"/>
    <w:rsid w:val="00B003BF"/>
    <w:rsid w:val="00B373D7"/>
    <w:rsid w:val="00B55271"/>
    <w:rsid w:val="00B9676C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9399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02944"/>
  <w15:chartTrackingRefBased/>
  <w15:docId w15:val="{63AD1926-B0A8-4253-BA31-FBEAAC26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uiPriority w:val="99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420790"/>
    <w:pPr>
      <w:ind w:left="720"/>
      <w:contextualSpacing/>
    </w:pPr>
    <w:rPr>
      <w:sz w:val="22"/>
      <w:szCs w:val="22"/>
    </w:rPr>
  </w:style>
  <w:style w:type="character" w:customStyle="1" w:styleId="shorttext">
    <w:name w:val="short_text"/>
    <w:basedOn w:val="Standardskrifttypeiafsnit"/>
    <w:rsid w:val="00420790"/>
  </w:style>
  <w:style w:type="paragraph" w:customStyle="1" w:styleId="ListParagraph1">
    <w:name w:val="List Paragraph1"/>
    <w:basedOn w:val="Normal"/>
    <w:rsid w:val="00420790"/>
    <w:pPr>
      <w:ind w:left="720"/>
      <w:contextualSpacing/>
    </w:pPr>
    <w:rPr>
      <w:sz w:val="22"/>
      <w:szCs w:val="22"/>
    </w:rPr>
  </w:style>
  <w:style w:type="character" w:styleId="Hyperlink">
    <w:name w:val="Hyperlink"/>
    <w:uiPriority w:val="99"/>
    <w:semiHidden/>
    <w:unhideWhenUsed/>
    <w:rsid w:val="00420790"/>
    <w:rPr>
      <w:color w:val="0000FF"/>
      <w:u w:val="single"/>
    </w:rPr>
  </w:style>
  <w:style w:type="paragraph" w:customStyle="1" w:styleId="TableText">
    <w:name w:val="TableText"/>
    <w:rsid w:val="00420790"/>
    <w:rPr>
      <w:lang w:val="en-US" w:eastAsia="en-US"/>
    </w:rPr>
  </w:style>
  <w:style w:type="paragraph" w:customStyle="1" w:styleId="Default">
    <w:name w:val="Default"/>
    <w:rsid w:val="00420790"/>
    <w:pPr>
      <w:autoSpaceDE w:val="0"/>
      <w:autoSpaceDN w:val="0"/>
      <w:adjustRightInd w:val="0"/>
    </w:pPr>
    <w:rPr>
      <w:color w:val="000000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ldenbivirkn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17</TotalTime>
  <Pages>15</Pages>
  <Words>3966</Words>
  <Characters>27505</Characters>
  <Application>Microsoft Office Word</Application>
  <DocSecurity>0</DocSecurity>
  <Lines>229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2025011566, overgået til danske tekster</dc:description>
  <cp:lastModifiedBy>Gitte Jørgensen</cp:lastModifiedBy>
  <cp:revision>10</cp:revision>
  <cp:lastPrinted>2012-08-22T08:53:00Z</cp:lastPrinted>
  <dcterms:created xsi:type="dcterms:W3CDTF">2025-01-24T09:30:00Z</dcterms:created>
  <dcterms:modified xsi:type="dcterms:W3CDTF">2025-01-24T10:35:00Z</dcterms:modified>
</cp:coreProperties>
</file>