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8A8D10" w14:textId="77777777" w:rsidR="004A3BF4" w:rsidRPr="00EB68C7" w:rsidRDefault="00056601" w:rsidP="004A3BF4">
      <w:pPr>
        <w:rPr>
          <w:sz w:val="24"/>
          <w:szCs w:val="24"/>
          <w:lang w:val="en-GB"/>
        </w:rPr>
      </w:pPr>
      <w:r w:rsidRPr="00EB68C7">
        <w:rPr>
          <w:noProof/>
          <w:sz w:val="24"/>
          <w:szCs w:val="24"/>
          <w:lang w:val="en-GB"/>
        </w:rPr>
        <w:drawing>
          <wp:inline distT="0" distB="0" distL="0" distR="0" wp14:anchorId="55FF8B31" wp14:editId="478BCA0A">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67525D00" w14:textId="77777777" w:rsidR="006B3847" w:rsidRPr="00EB68C7" w:rsidRDefault="006B3847" w:rsidP="006B3847">
      <w:pPr>
        <w:rPr>
          <w:sz w:val="24"/>
          <w:szCs w:val="24"/>
          <w:lang w:val="en-GB"/>
        </w:rPr>
      </w:pPr>
    </w:p>
    <w:p w14:paraId="5DC6C00F" w14:textId="4D2849BF" w:rsidR="006B3847" w:rsidRPr="00C1229C" w:rsidRDefault="006B3847" w:rsidP="006B3847">
      <w:pPr>
        <w:tabs>
          <w:tab w:val="right" w:pos="9356"/>
        </w:tabs>
        <w:rPr>
          <w:b/>
          <w:sz w:val="24"/>
          <w:szCs w:val="24"/>
          <w:lang w:val="en-US"/>
        </w:rPr>
      </w:pPr>
      <w:r w:rsidRPr="00EB68C7">
        <w:rPr>
          <w:b/>
          <w:sz w:val="24"/>
          <w:szCs w:val="24"/>
          <w:lang w:val="en-GB"/>
        </w:rPr>
        <w:tab/>
      </w:r>
      <w:r w:rsidR="00C1229C" w:rsidRPr="00C1229C">
        <w:rPr>
          <w:b/>
          <w:sz w:val="24"/>
          <w:szCs w:val="24"/>
          <w:lang w:val="en-US"/>
        </w:rPr>
        <w:t>8 N</w:t>
      </w:r>
      <w:r w:rsidR="00C1229C">
        <w:rPr>
          <w:b/>
          <w:sz w:val="24"/>
          <w:szCs w:val="24"/>
          <w:lang w:val="en-US"/>
        </w:rPr>
        <w:t>ovember 2023</w:t>
      </w:r>
    </w:p>
    <w:p w14:paraId="43FB7362" w14:textId="5688C2D3" w:rsidR="00B02943" w:rsidRPr="00C1229C" w:rsidRDefault="00B02943" w:rsidP="007C5D2A">
      <w:pPr>
        <w:rPr>
          <w:sz w:val="24"/>
          <w:szCs w:val="24"/>
          <w:lang w:val="en-US"/>
        </w:rPr>
      </w:pPr>
    </w:p>
    <w:p w14:paraId="2BBD90E1" w14:textId="0FA456F4" w:rsidR="007C5D2A" w:rsidRPr="00C1229C" w:rsidRDefault="007C5D2A" w:rsidP="007C5D2A">
      <w:pPr>
        <w:rPr>
          <w:sz w:val="24"/>
          <w:szCs w:val="24"/>
          <w:lang w:val="en-US"/>
        </w:rPr>
      </w:pPr>
    </w:p>
    <w:p w14:paraId="2EA88E8D" w14:textId="77777777" w:rsidR="00C1229C" w:rsidRPr="00C1229C" w:rsidRDefault="00C1229C" w:rsidP="007C5D2A">
      <w:pPr>
        <w:rPr>
          <w:sz w:val="24"/>
          <w:szCs w:val="24"/>
          <w:lang w:val="en-US"/>
        </w:rPr>
      </w:pPr>
    </w:p>
    <w:p w14:paraId="226BDB23" w14:textId="77777777" w:rsidR="007C5D2A" w:rsidRPr="00EB68C7" w:rsidRDefault="007C5D2A" w:rsidP="007C5D2A">
      <w:pPr>
        <w:jc w:val="center"/>
        <w:rPr>
          <w:b/>
          <w:sz w:val="24"/>
          <w:szCs w:val="24"/>
          <w:lang w:val="en-GB"/>
        </w:rPr>
      </w:pPr>
      <w:bookmarkStart w:id="0" w:name="_Hlk49158549"/>
      <w:r w:rsidRPr="00EB68C7">
        <w:rPr>
          <w:b/>
          <w:sz w:val="24"/>
          <w:szCs w:val="24"/>
          <w:lang w:val="en-GB"/>
        </w:rPr>
        <w:t>SUMMARY OF PRODUCT CHARACTERISTICS</w:t>
      </w:r>
    </w:p>
    <w:bookmarkEnd w:id="0"/>
    <w:p w14:paraId="1EC28790" w14:textId="77777777" w:rsidR="007C5D2A" w:rsidRPr="00EB68C7" w:rsidRDefault="007C5D2A" w:rsidP="007C5D2A">
      <w:pPr>
        <w:jc w:val="center"/>
        <w:rPr>
          <w:sz w:val="24"/>
          <w:szCs w:val="24"/>
          <w:lang w:val="en-GB"/>
        </w:rPr>
      </w:pPr>
    </w:p>
    <w:p w14:paraId="27D75B7B" w14:textId="77777777" w:rsidR="007C5D2A" w:rsidRPr="00EB68C7" w:rsidRDefault="007C5D2A" w:rsidP="007C5D2A">
      <w:pPr>
        <w:jc w:val="center"/>
        <w:rPr>
          <w:b/>
          <w:sz w:val="24"/>
          <w:szCs w:val="24"/>
          <w:lang w:val="en-GB"/>
        </w:rPr>
      </w:pPr>
      <w:r w:rsidRPr="00EB68C7">
        <w:rPr>
          <w:b/>
          <w:sz w:val="24"/>
          <w:szCs w:val="24"/>
          <w:lang w:val="en-GB"/>
        </w:rPr>
        <w:t>for</w:t>
      </w:r>
    </w:p>
    <w:p w14:paraId="0BDD520E" w14:textId="77777777" w:rsidR="007C5D2A" w:rsidRPr="00EB68C7" w:rsidRDefault="007C5D2A" w:rsidP="007C5D2A">
      <w:pPr>
        <w:jc w:val="center"/>
        <w:rPr>
          <w:sz w:val="24"/>
          <w:szCs w:val="24"/>
          <w:lang w:val="en-GB"/>
        </w:rPr>
      </w:pPr>
    </w:p>
    <w:p w14:paraId="44A1AACB" w14:textId="47B9983E" w:rsidR="007C5D2A" w:rsidRPr="00EB68C7" w:rsidRDefault="00815C59" w:rsidP="007C5D2A">
      <w:pPr>
        <w:jc w:val="center"/>
        <w:rPr>
          <w:b/>
          <w:sz w:val="24"/>
          <w:szCs w:val="24"/>
          <w:lang w:val="en-GB"/>
        </w:rPr>
      </w:pPr>
      <w:proofErr w:type="spellStart"/>
      <w:r w:rsidRPr="00EB68C7">
        <w:rPr>
          <w:b/>
          <w:sz w:val="24"/>
          <w:szCs w:val="24"/>
          <w:lang w:val="en-GB"/>
        </w:rPr>
        <w:t>Vizilatan</w:t>
      </w:r>
      <w:proofErr w:type="spellEnd"/>
      <w:r w:rsidRPr="00EB68C7">
        <w:rPr>
          <w:b/>
          <w:sz w:val="24"/>
          <w:szCs w:val="24"/>
          <w:lang w:val="en-GB"/>
        </w:rPr>
        <w:t>, eye drops, solution</w:t>
      </w:r>
    </w:p>
    <w:p w14:paraId="09220112" w14:textId="77777777" w:rsidR="007C5D2A" w:rsidRPr="00EB68C7" w:rsidRDefault="007C5D2A" w:rsidP="007C5D2A">
      <w:pPr>
        <w:jc w:val="both"/>
        <w:rPr>
          <w:sz w:val="24"/>
          <w:szCs w:val="24"/>
          <w:lang w:val="en-GB"/>
        </w:rPr>
      </w:pPr>
    </w:p>
    <w:p w14:paraId="788FC26A" w14:textId="77777777" w:rsidR="0042292D" w:rsidRPr="00EB68C7" w:rsidRDefault="0042292D" w:rsidP="007C5D2A">
      <w:pPr>
        <w:jc w:val="both"/>
        <w:rPr>
          <w:sz w:val="24"/>
          <w:szCs w:val="24"/>
          <w:lang w:val="en-GB"/>
        </w:rPr>
      </w:pPr>
    </w:p>
    <w:p w14:paraId="3E224329" w14:textId="77777777" w:rsidR="008F2F8C" w:rsidRPr="00EB68C7" w:rsidRDefault="008F2F8C" w:rsidP="008F2F8C">
      <w:pPr>
        <w:tabs>
          <w:tab w:val="left" w:pos="8222"/>
        </w:tabs>
        <w:ind w:left="851" w:hanging="851"/>
        <w:rPr>
          <w:b/>
          <w:sz w:val="24"/>
          <w:szCs w:val="24"/>
          <w:lang w:val="en-GB"/>
        </w:rPr>
      </w:pPr>
      <w:r w:rsidRPr="00EB68C7">
        <w:rPr>
          <w:b/>
          <w:sz w:val="24"/>
          <w:szCs w:val="24"/>
          <w:lang w:val="en-GB"/>
        </w:rPr>
        <w:t>0.</w:t>
      </w:r>
      <w:r w:rsidRPr="00EB68C7">
        <w:rPr>
          <w:b/>
          <w:sz w:val="24"/>
          <w:szCs w:val="24"/>
          <w:lang w:val="en-GB"/>
        </w:rPr>
        <w:tab/>
      </w:r>
      <w:proofErr w:type="gramStart"/>
      <w:r w:rsidRPr="00EB68C7">
        <w:rPr>
          <w:b/>
          <w:sz w:val="24"/>
          <w:szCs w:val="24"/>
          <w:lang w:val="en-GB"/>
        </w:rPr>
        <w:t>D.SP.NO</w:t>
      </w:r>
      <w:proofErr w:type="gramEnd"/>
      <w:r w:rsidRPr="00EB68C7">
        <w:rPr>
          <w:b/>
          <w:sz w:val="24"/>
          <w:szCs w:val="24"/>
          <w:lang w:val="en-GB"/>
        </w:rPr>
        <w:t>.</w:t>
      </w:r>
    </w:p>
    <w:p w14:paraId="4377500A" w14:textId="1AE52CA0" w:rsidR="008F2F8C" w:rsidRPr="00EB68C7" w:rsidRDefault="00BB207E" w:rsidP="008F2F8C">
      <w:pPr>
        <w:tabs>
          <w:tab w:val="left" w:pos="8222"/>
        </w:tabs>
        <w:ind w:left="851"/>
        <w:rPr>
          <w:sz w:val="24"/>
          <w:szCs w:val="24"/>
          <w:lang w:val="en-GB"/>
        </w:rPr>
      </w:pPr>
      <w:r w:rsidRPr="00EB68C7">
        <w:rPr>
          <w:sz w:val="24"/>
          <w:szCs w:val="24"/>
          <w:lang w:val="en-GB"/>
        </w:rPr>
        <w:t>30766</w:t>
      </w:r>
    </w:p>
    <w:p w14:paraId="534668CC" w14:textId="77777777" w:rsidR="007C5D2A" w:rsidRPr="00EB68C7" w:rsidRDefault="007C5D2A" w:rsidP="007C5D2A">
      <w:pPr>
        <w:tabs>
          <w:tab w:val="left" w:pos="851"/>
        </w:tabs>
        <w:jc w:val="both"/>
        <w:rPr>
          <w:sz w:val="24"/>
          <w:szCs w:val="24"/>
          <w:lang w:val="en-GB"/>
        </w:rPr>
      </w:pPr>
    </w:p>
    <w:p w14:paraId="4F2F39CB" w14:textId="77777777" w:rsidR="007C5D2A" w:rsidRPr="00EB68C7" w:rsidRDefault="009925C9" w:rsidP="007C5D2A">
      <w:pPr>
        <w:tabs>
          <w:tab w:val="left" w:pos="851"/>
        </w:tabs>
        <w:ind w:left="851" w:hanging="851"/>
        <w:rPr>
          <w:sz w:val="24"/>
          <w:szCs w:val="24"/>
          <w:lang w:val="en-GB"/>
        </w:rPr>
      </w:pPr>
      <w:r w:rsidRPr="00EB68C7">
        <w:rPr>
          <w:b/>
          <w:sz w:val="24"/>
          <w:szCs w:val="24"/>
          <w:lang w:val="en-GB"/>
        </w:rPr>
        <w:t>1.</w:t>
      </w:r>
      <w:r w:rsidR="007C5D2A" w:rsidRPr="00EB68C7">
        <w:rPr>
          <w:b/>
          <w:sz w:val="24"/>
          <w:szCs w:val="24"/>
          <w:lang w:val="en-GB"/>
        </w:rPr>
        <w:tab/>
        <w:t>NAME OF THE MEDICINAL PRODUCT</w:t>
      </w:r>
    </w:p>
    <w:p w14:paraId="61C8F8DC" w14:textId="0662BDC6" w:rsidR="007C5D2A" w:rsidRPr="00EB68C7" w:rsidRDefault="00815C59" w:rsidP="004A3BF4">
      <w:pPr>
        <w:tabs>
          <w:tab w:val="left" w:pos="851"/>
        </w:tabs>
        <w:ind w:left="851"/>
        <w:rPr>
          <w:sz w:val="24"/>
          <w:szCs w:val="24"/>
          <w:lang w:val="en-GB"/>
        </w:rPr>
      </w:pPr>
      <w:proofErr w:type="spellStart"/>
      <w:r w:rsidRPr="00EB68C7">
        <w:rPr>
          <w:sz w:val="24"/>
          <w:szCs w:val="24"/>
          <w:lang w:val="en-GB"/>
        </w:rPr>
        <w:t>Vizilatan</w:t>
      </w:r>
      <w:proofErr w:type="spellEnd"/>
    </w:p>
    <w:p w14:paraId="76000123" w14:textId="77777777" w:rsidR="007C5D2A" w:rsidRPr="00EB68C7" w:rsidRDefault="007C5D2A" w:rsidP="004A3BF4">
      <w:pPr>
        <w:tabs>
          <w:tab w:val="left" w:pos="851"/>
        </w:tabs>
        <w:ind w:left="851"/>
        <w:rPr>
          <w:sz w:val="24"/>
          <w:szCs w:val="24"/>
          <w:lang w:val="en-GB"/>
        </w:rPr>
      </w:pPr>
    </w:p>
    <w:p w14:paraId="79388729" w14:textId="77777777" w:rsidR="007C5D2A" w:rsidRPr="00EB68C7" w:rsidRDefault="009925C9" w:rsidP="007C5D2A">
      <w:pPr>
        <w:ind w:left="851" w:hanging="851"/>
        <w:rPr>
          <w:b/>
          <w:sz w:val="24"/>
          <w:szCs w:val="24"/>
          <w:lang w:val="en-GB"/>
        </w:rPr>
      </w:pPr>
      <w:r w:rsidRPr="00EB68C7">
        <w:rPr>
          <w:b/>
          <w:sz w:val="24"/>
          <w:szCs w:val="24"/>
          <w:lang w:val="en-GB"/>
        </w:rPr>
        <w:t>2.</w:t>
      </w:r>
      <w:r w:rsidR="007C5D2A" w:rsidRPr="00EB68C7">
        <w:rPr>
          <w:b/>
          <w:sz w:val="24"/>
          <w:szCs w:val="24"/>
          <w:lang w:val="en-GB"/>
        </w:rPr>
        <w:tab/>
        <w:t>QUALITATIVE AND QUANTITATIVE COMPOSITION</w:t>
      </w:r>
    </w:p>
    <w:p w14:paraId="3156C368" w14:textId="62CB16C7" w:rsidR="00BB207E" w:rsidRPr="00EB68C7" w:rsidRDefault="003E22ED" w:rsidP="00453C51">
      <w:pPr>
        <w:ind w:left="851"/>
        <w:rPr>
          <w:noProof/>
          <w:sz w:val="24"/>
          <w:szCs w:val="24"/>
          <w:lang w:val="en-GB"/>
        </w:rPr>
      </w:pPr>
      <w:r w:rsidRPr="00EB68C7">
        <w:rPr>
          <w:noProof/>
          <w:sz w:val="24"/>
          <w:szCs w:val="24"/>
          <w:lang w:val="en-GB"/>
        </w:rPr>
        <w:t>One</w:t>
      </w:r>
      <w:r w:rsidR="00BB207E" w:rsidRPr="00EB68C7">
        <w:rPr>
          <w:noProof/>
          <w:sz w:val="24"/>
          <w:szCs w:val="24"/>
          <w:lang w:val="en-GB"/>
        </w:rPr>
        <w:t xml:space="preserve"> mL of </w:t>
      </w:r>
      <w:r w:rsidRPr="00EB68C7">
        <w:rPr>
          <w:noProof/>
          <w:sz w:val="24"/>
          <w:szCs w:val="24"/>
          <w:lang w:val="en-GB"/>
        </w:rPr>
        <w:t xml:space="preserve">eye drops, </w:t>
      </w:r>
      <w:r w:rsidR="00BB207E" w:rsidRPr="00EB68C7">
        <w:rPr>
          <w:noProof/>
          <w:sz w:val="24"/>
          <w:szCs w:val="24"/>
          <w:lang w:val="en-GB"/>
        </w:rPr>
        <w:t>solution contains 50 micrograms of latanoprost.</w:t>
      </w:r>
    </w:p>
    <w:p w14:paraId="689337A2" w14:textId="77777777" w:rsidR="00BB207E" w:rsidRPr="00EB68C7" w:rsidRDefault="00BB207E" w:rsidP="00453C51">
      <w:pPr>
        <w:ind w:left="851"/>
        <w:rPr>
          <w:sz w:val="24"/>
          <w:szCs w:val="24"/>
          <w:lang w:val="en-GB"/>
        </w:rPr>
      </w:pPr>
      <w:r w:rsidRPr="00EB68C7">
        <w:rPr>
          <w:sz w:val="24"/>
          <w:szCs w:val="24"/>
          <w:lang w:val="en-GB"/>
        </w:rPr>
        <w:t>One drop contains approximately 1.5 micrograms of latanoprost.</w:t>
      </w:r>
    </w:p>
    <w:p w14:paraId="72CA2D4C" w14:textId="77777777" w:rsidR="00BB207E" w:rsidRPr="00EB68C7" w:rsidRDefault="00BB207E" w:rsidP="00453C51">
      <w:pPr>
        <w:ind w:left="851"/>
        <w:rPr>
          <w:sz w:val="24"/>
          <w:szCs w:val="24"/>
          <w:lang w:val="en-GB"/>
        </w:rPr>
      </w:pPr>
    </w:p>
    <w:p w14:paraId="5138A895" w14:textId="77777777" w:rsidR="00BB207E" w:rsidRPr="00EB68C7" w:rsidRDefault="00BB207E" w:rsidP="00453C51">
      <w:pPr>
        <w:autoSpaceDE w:val="0"/>
        <w:autoSpaceDN w:val="0"/>
        <w:adjustRightInd w:val="0"/>
        <w:ind w:left="851"/>
        <w:rPr>
          <w:bCs/>
          <w:noProof/>
          <w:sz w:val="24"/>
          <w:szCs w:val="24"/>
          <w:u w:val="single"/>
          <w:lang w:val="en-GB"/>
        </w:rPr>
      </w:pPr>
      <w:r w:rsidRPr="00EB68C7">
        <w:rPr>
          <w:sz w:val="24"/>
          <w:szCs w:val="24"/>
          <w:u w:val="single"/>
          <w:lang w:val="en-GB"/>
        </w:rPr>
        <w:t>Excipients</w:t>
      </w:r>
      <w:r w:rsidRPr="00EB68C7">
        <w:rPr>
          <w:bCs/>
          <w:noProof/>
          <w:sz w:val="24"/>
          <w:szCs w:val="24"/>
          <w:u w:val="single"/>
          <w:lang w:val="en-GB"/>
        </w:rPr>
        <w:t xml:space="preserve"> with known effect</w:t>
      </w:r>
    </w:p>
    <w:p w14:paraId="05A82C3B" w14:textId="4BC24424" w:rsidR="00BB207E" w:rsidRPr="00EB68C7" w:rsidRDefault="00BB207E" w:rsidP="00453C51">
      <w:pPr>
        <w:autoSpaceDE w:val="0"/>
        <w:autoSpaceDN w:val="0"/>
        <w:adjustRightInd w:val="0"/>
        <w:ind w:left="851"/>
        <w:rPr>
          <w:noProof/>
          <w:sz w:val="24"/>
          <w:szCs w:val="24"/>
          <w:lang w:val="en-GB"/>
        </w:rPr>
      </w:pPr>
      <w:r w:rsidRPr="00EB68C7">
        <w:rPr>
          <w:noProof/>
          <w:sz w:val="24"/>
          <w:szCs w:val="24"/>
          <w:lang w:val="en-GB"/>
        </w:rPr>
        <w:t xml:space="preserve">Each mL of solution contains </w:t>
      </w:r>
      <w:r w:rsidRPr="00EB68C7">
        <w:rPr>
          <w:sz w:val="24"/>
          <w:szCs w:val="24"/>
          <w:lang w:val="en-GB" w:eastAsia="en-GB"/>
        </w:rPr>
        <w:t xml:space="preserve">25 mg </w:t>
      </w:r>
      <w:proofErr w:type="spellStart"/>
      <w:r w:rsidRPr="00EB68C7">
        <w:rPr>
          <w:sz w:val="24"/>
          <w:szCs w:val="24"/>
          <w:lang w:val="en-GB" w:eastAsia="en-GB"/>
        </w:rPr>
        <w:t>Macrogolglycerol</w:t>
      </w:r>
      <w:proofErr w:type="spellEnd"/>
      <w:r w:rsidRPr="00EB68C7">
        <w:rPr>
          <w:sz w:val="24"/>
          <w:szCs w:val="24"/>
          <w:lang w:val="en-GB" w:eastAsia="en-GB"/>
        </w:rPr>
        <w:t xml:space="preserve"> </w:t>
      </w:r>
      <w:proofErr w:type="spellStart"/>
      <w:r w:rsidRPr="00EB68C7">
        <w:rPr>
          <w:sz w:val="24"/>
          <w:szCs w:val="24"/>
          <w:lang w:val="en-GB" w:eastAsia="en-GB"/>
        </w:rPr>
        <w:t>hydroxystearate</w:t>
      </w:r>
      <w:proofErr w:type="spellEnd"/>
      <w:r w:rsidRPr="00EB68C7">
        <w:rPr>
          <w:sz w:val="24"/>
          <w:szCs w:val="24"/>
          <w:lang w:val="en-GB" w:eastAsia="en-GB"/>
        </w:rPr>
        <w:t xml:space="preserve"> 40</w:t>
      </w:r>
      <w:r w:rsidRPr="00EB68C7">
        <w:rPr>
          <w:noProof/>
          <w:sz w:val="24"/>
          <w:szCs w:val="24"/>
          <w:lang w:val="en-GB"/>
        </w:rPr>
        <w:t xml:space="preserve"> (see section 4.4)</w:t>
      </w:r>
      <w:r w:rsidR="00EB68C7">
        <w:rPr>
          <w:noProof/>
          <w:sz w:val="24"/>
          <w:szCs w:val="24"/>
          <w:lang w:val="en-GB"/>
        </w:rPr>
        <w:t>.</w:t>
      </w:r>
    </w:p>
    <w:p w14:paraId="094345E2" w14:textId="0A78FAE2" w:rsidR="003E22ED" w:rsidRPr="00EB68C7" w:rsidRDefault="003E22ED" w:rsidP="003E22ED">
      <w:pPr>
        <w:ind w:left="851"/>
        <w:rPr>
          <w:sz w:val="24"/>
          <w:szCs w:val="24"/>
          <w:lang w:val="en-GB"/>
        </w:rPr>
      </w:pPr>
      <w:r w:rsidRPr="00EB68C7">
        <w:rPr>
          <w:bCs/>
          <w:noProof/>
          <w:sz w:val="24"/>
          <w:szCs w:val="24"/>
          <w:lang w:val="en-GB"/>
        </w:rPr>
        <w:t>Each mL of solution contains 6.79 mg phosphates.</w:t>
      </w:r>
      <w:r w:rsidRPr="00EB68C7">
        <w:rPr>
          <w:sz w:val="24"/>
          <w:szCs w:val="24"/>
          <w:lang w:val="en-GB"/>
        </w:rPr>
        <w:t xml:space="preserve"> </w:t>
      </w:r>
    </w:p>
    <w:p w14:paraId="13053ECF" w14:textId="77777777" w:rsidR="00BB207E" w:rsidRPr="00EB68C7" w:rsidRDefault="00BB207E" w:rsidP="00453C51">
      <w:pPr>
        <w:autoSpaceDE w:val="0"/>
        <w:autoSpaceDN w:val="0"/>
        <w:adjustRightInd w:val="0"/>
        <w:ind w:left="851"/>
        <w:rPr>
          <w:iCs/>
          <w:sz w:val="24"/>
          <w:szCs w:val="24"/>
          <w:u w:val="single"/>
          <w:lang w:val="en-GB"/>
        </w:rPr>
      </w:pPr>
    </w:p>
    <w:p w14:paraId="4B474F15" w14:textId="77777777" w:rsidR="00BB207E" w:rsidRPr="00EB68C7" w:rsidRDefault="00BB207E" w:rsidP="00453C51">
      <w:pPr>
        <w:ind w:left="851"/>
        <w:rPr>
          <w:sz w:val="24"/>
          <w:szCs w:val="24"/>
          <w:lang w:val="en-GB"/>
        </w:rPr>
      </w:pPr>
      <w:r w:rsidRPr="00EB68C7">
        <w:rPr>
          <w:sz w:val="24"/>
          <w:szCs w:val="24"/>
          <w:lang w:val="en-GB"/>
        </w:rPr>
        <w:t>For the full list of excipients, see section 6.1.</w:t>
      </w:r>
    </w:p>
    <w:p w14:paraId="678DA37C" w14:textId="77777777" w:rsidR="007C5D2A" w:rsidRPr="00EB68C7" w:rsidRDefault="007C5D2A" w:rsidP="004A3BF4">
      <w:pPr>
        <w:tabs>
          <w:tab w:val="left" w:pos="851"/>
        </w:tabs>
        <w:ind w:left="851"/>
        <w:rPr>
          <w:sz w:val="24"/>
          <w:szCs w:val="24"/>
          <w:lang w:val="en-GB"/>
        </w:rPr>
      </w:pPr>
    </w:p>
    <w:p w14:paraId="3FC5CAAD"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3.</w:t>
      </w:r>
      <w:r w:rsidRPr="00EB68C7">
        <w:rPr>
          <w:b/>
          <w:sz w:val="24"/>
          <w:szCs w:val="24"/>
          <w:lang w:val="en-GB"/>
        </w:rPr>
        <w:tab/>
        <w:t>PHARMACEUTICAL FORM</w:t>
      </w:r>
    </w:p>
    <w:p w14:paraId="03F60E99" w14:textId="7DC0E365" w:rsidR="00BB207E" w:rsidRPr="00EB68C7" w:rsidRDefault="00BB207E" w:rsidP="00453C51">
      <w:pPr>
        <w:ind w:left="851"/>
        <w:rPr>
          <w:sz w:val="24"/>
          <w:szCs w:val="24"/>
          <w:lang w:val="en-GB"/>
        </w:rPr>
      </w:pPr>
      <w:r w:rsidRPr="00EB68C7">
        <w:rPr>
          <w:sz w:val="24"/>
          <w:szCs w:val="24"/>
          <w:lang w:val="en-GB"/>
        </w:rPr>
        <w:t xml:space="preserve">Eye drops, solution </w:t>
      </w:r>
    </w:p>
    <w:p w14:paraId="119AAEE5" w14:textId="77777777" w:rsidR="00BB207E" w:rsidRPr="00EB68C7" w:rsidRDefault="00BB207E" w:rsidP="00453C51">
      <w:pPr>
        <w:ind w:left="851"/>
        <w:rPr>
          <w:sz w:val="24"/>
          <w:szCs w:val="24"/>
          <w:lang w:val="en-GB" w:bidi="en-US"/>
        </w:rPr>
      </w:pPr>
      <w:r w:rsidRPr="00EB68C7">
        <w:rPr>
          <w:sz w:val="24"/>
          <w:szCs w:val="24"/>
          <w:lang w:val="en-GB" w:bidi="en-US"/>
        </w:rPr>
        <w:t xml:space="preserve">Clear, </w:t>
      </w:r>
      <w:proofErr w:type="spellStart"/>
      <w:r w:rsidRPr="00EB68C7">
        <w:rPr>
          <w:sz w:val="24"/>
          <w:szCs w:val="24"/>
          <w:lang w:val="en-GB" w:bidi="en-US"/>
        </w:rPr>
        <w:t>colorless</w:t>
      </w:r>
      <w:proofErr w:type="spellEnd"/>
      <w:r w:rsidRPr="00EB68C7">
        <w:rPr>
          <w:sz w:val="24"/>
          <w:szCs w:val="24"/>
          <w:lang w:val="en-GB" w:bidi="en-US"/>
        </w:rPr>
        <w:t xml:space="preserve">, </w:t>
      </w:r>
      <w:r w:rsidRPr="00EB68C7">
        <w:rPr>
          <w:sz w:val="24"/>
          <w:szCs w:val="24"/>
          <w:lang w:val="en-GB"/>
        </w:rPr>
        <w:t>aqueous</w:t>
      </w:r>
      <w:r w:rsidRPr="00EB68C7">
        <w:rPr>
          <w:sz w:val="24"/>
          <w:szCs w:val="24"/>
          <w:lang w:val="en-GB" w:bidi="en-US"/>
        </w:rPr>
        <w:t xml:space="preserve"> solution, free from visible particles.</w:t>
      </w:r>
    </w:p>
    <w:p w14:paraId="76343A37" w14:textId="77777777" w:rsidR="00BB207E" w:rsidRPr="00EB68C7" w:rsidRDefault="00BB207E" w:rsidP="00453C51">
      <w:pPr>
        <w:ind w:left="851"/>
        <w:rPr>
          <w:sz w:val="24"/>
          <w:szCs w:val="24"/>
          <w:lang w:val="en-GB"/>
        </w:rPr>
      </w:pPr>
    </w:p>
    <w:p w14:paraId="4CAA4492" w14:textId="77777777" w:rsidR="00BB207E" w:rsidRPr="00EB68C7" w:rsidRDefault="00BB207E" w:rsidP="00453C51">
      <w:pPr>
        <w:ind w:left="851"/>
        <w:rPr>
          <w:sz w:val="24"/>
          <w:szCs w:val="24"/>
          <w:lang w:val="en-GB"/>
        </w:rPr>
      </w:pPr>
      <w:r w:rsidRPr="00EB68C7">
        <w:rPr>
          <w:sz w:val="24"/>
          <w:szCs w:val="24"/>
          <w:lang w:val="en-GB"/>
        </w:rPr>
        <w:t>pH: 5.5-6.5</w:t>
      </w:r>
    </w:p>
    <w:p w14:paraId="3B1560CB" w14:textId="3A874693" w:rsidR="00BB207E" w:rsidRPr="00EB68C7" w:rsidRDefault="00BB207E" w:rsidP="00453C51">
      <w:pPr>
        <w:ind w:left="851"/>
        <w:rPr>
          <w:sz w:val="24"/>
          <w:szCs w:val="24"/>
          <w:lang w:val="en-GB"/>
        </w:rPr>
      </w:pPr>
      <w:r w:rsidRPr="00EB68C7">
        <w:rPr>
          <w:sz w:val="24"/>
          <w:szCs w:val="24"/>
          <w:lang w:val="en-GB"/>
        </w:rPr>
        <w:t xml:space="preserve">Osmolality: 260 </w:t>
      </w:r>
      <w:proofErr w:type="spellStart"/>
      <w:r w:rsidRPr="00EB68C7">
        <w:rPr>
          <w:sz w:val="24"/>
          <w:szCs w:val="24"/>
          <w:lang w:val="en-GB"/>
        </w:rPr>
        <w:t>mOsm</w:t>
      </w:r>
      <w:proofErr w:type="spellEnd"/>
      <w:r w:rsidRPr="00EB68C7">
        <w:rPr>
          <w:sz w:val="24"/>
          <w:szCs w:val="24"/>
          <w:lang w:val="en-GB"/>
        </w:rPr>
        <w:t>/Kg ± 10</w:t>
      </w:r>
      <w:r w:rsidR="000B1C7E" w:rsidRPr="00EB68C7">
        <w:rPr>
          <w:sz w:val="24"/>
          <w:szCs w:val="24"/>
          <w:lang w:val="en-GB"/>
        </w:rPr>
        <w:t xml:space="preserve"> %</w:t>
      </w:r>
    </w:p>
    <w:p w14:paraId="07E67B6C" w14:textId="77777777" w:rsidR="007C5D2A" w:rsidRPr="00EB68C7" w:rsidRDefault="007C5D2A" w:rsidP="004A3BF4">
      <w:pPr>
        <w:tabs>
          <w:tab w:val="left" w:pos="851"/>
        </w:tabs>
        <w:ind w:left="851"/>
        <w:rPr>
          <w:sz w:val="24"/>
          <w:szCs w:val="24"/>
          <w:lang w:val="en-GB"/>
        </w:rPr>
      </w:pPr>
    </w:p>
    <w:p w14:paraId="3019A498" w14:textId="77777777" w:rsidR="007C5D2A" w:rsidRPr="00EB68C7" w:rsidRDefault="007C5D2A" w:rsidP="004A3BF4">
      <w:pPr>
        <w:tabs>
          <w:tab w:val="left" w:pos="851"/>
        </w:tabs>
        <w:ind w:left="851"/>
        <w:rPr>
          <w:sz w:val="24"/>
          <w:szCs w:val="24"/>
          <w:lang w:val="en-GB"/>
        </w:rPr>
      </w:pPr>
    </w:p>
    <w:p w14:paraId="62CC2432" w14:textId="77777777" w:rsidR="007C5D2A" w:rsidRPr="00EB68C7" w:rsidRDefault="007C5D2A" w:rsidP="007C5D2A">
      <w:pPr>
        <w:ind w:left="851" w:hanging="851"/>
        <w:rPr>
          <w:b/>
          <w:sz w:val="24"/>
          <w:szCs w:val="24"/>
          <w:lang w:val="en-GB"/>
        </w:rPr>
      </w:pPr>
      <w:r w:rsidRPr="00EB68C7">
        <w:rPr>
          <w:b/>
          <w:sz w:val="24"/>
          <w:szCs w:val="24"/>
          <w:lang w:val="en-GB"/>
        </w:rPr>
        <w:t>4.</w:t>
      </w:r>
      <w:r w:rsidRPr="00EB68C7">
        <w:rPr>
          <w:b/>
          <w:sz w:val="24"/>
          <w:szCs w:val="24"/>
          <w:lang w:val="en-GB"/>
        </w:rPr>
        <w:tab/>
        <w:t>CLINICAL PARTICULARS</w:t>
      </w:r>
    </w:p>
    <w:p w14:paraId="4C958F38" w14:textId="77777777" w:rsidR="007C5D2A" w:rsidRPr="00EB68C7" w:rsidRDefault="007C5D2A" w:rsidP="004A3BF4">
      <w:pPr>
        <w:tabs>
          <w:tab w:val="left" w:pos="851"/>
        </w:tabs>
        <w:ind w:left="851"/>
        <w:rPr>
          <w:sz w:val="24"/>
          <w:szCs w:val="24"/>
          <w:lang w:val="en-GB"/>
        </w:rPr>
      </w:pPr>
    </w:p>
    <w:p w14:paraId="20A43741" w14:textId="77777777" w:rsidR="007C5D2A" w:rsidRPr="00EB68C7" w:rsidRDefault="007C5D2A" w:rsidP="007C5D2A">
      <w:pPr>
        <w:ind w:left="851" w:hanging="851"/>
        <w:rPr>
          <w:b/>
          <w:sz w:val="24"/>
          <w:szCs w:val="24"/>
          <w:u w:val="single"/>
          <w:lang w:val="en-GB"/>
        </w:rPr>
      </w:pPr>
      <w:r w:rsidRPr="00EB68C7">
        <w:rPr>
          <w:b/>
          <w:sz w:val="24"/>
          <w:szCs w:val="24"/>
          <w:lang w:val="en-GB"/>
        </w:rPr>
        <w:t>4.1</w:t>
      </w:r>
      <w:r w:rsidRPr="00EB68C7">
        <w:rPr>
          <w:b/>
          <w:sz w:val="24"/>
          <w:szCs w:val="24"/>
          <w:lang w:val="en-GB"/>
        </w:rPr>
        <w:tab/>
        <w:t>Therapeutic indications</w:t>
      </w:r>
    </w:p>
    <w:p w14:paraId="487E0B81" w14:textId="0AD6F99B" w:rsidR="00BB207E" w:rsidRPr="00EB68C7" w:rsidRDefault="00BB207E" w:rsidP="00453C51">
      <w:pPr>
        <w:ind w:left="851"/>
        <w:rPr>
          <w:sz w:val="24"/>
          <w:szCs w:val="24"/>
          <w:lang w:val="en-GB"/>
        </w:rPr>
      </w:pPr>
      <w:r w:rsidRPr="00EB68C7">
        <w:rPr>
          <w:sz w:val="24"/>
          <w:szCs w:val="24"/>
          <w:lang w:val="en-GB"/>
        </w:rPr>
        <w:t xml:space="preserve">Reduction of elevated intraocular pressure (IOP) in patients with open angle glaucoma and ocular hypertension </w:t>
      </w:r>
      <w:r w:rsidR="003E22ED" w:rsidRPr="00EB68C7">
        <w:rPr>
          <w:sz w:val="24"/>
          <w:szCs w:val="24"/>
          <w:lang w:val="en-GB"/>
        </w:rPr>
        <w:t xml:space="preserve">in </w:t>
      </w:r>
      <w:r w:rsidRPr="00EB68C7">
        <w:rPr>
          <w:sz w:val="24"/>
          <w:szCs w:val="24"/>
          <w:lang w:val="en-GB"/>
        </w:rPr>
        <w:t>adults (including the elderly)</w:t>
      </w:r>
      <w:r w:rsidR="006B4CE3" w:rsidRPr="00EB68C7">
        <w:rPr>
          <w:sz w:val="24"/>
          <w:szCs w:val="24"/>
          <w:lang w:val="en-GB"/>
        </w:rPr>
        <w:t>.</w:t>
      </w:r>
    </w:p>
    <w:p w14:paraId="268C3C9D" w14:textId="77777777" w:rsidR="00BB207E" w:rsidRPr="00EB68C7" w:rsidRDefault="00BB207E" w:rsidP="00453C51">
      <w:pPr>
        <w:ind w:left="851"/>
        <w:rPr>
          <w:sz w:val="24"/>
          <w:szCs w:val="24"/>
          <w:lang w:val="en-GB"/>
        </w:rPr>
      </w:pPr>
    </w:p>
    <w:p w14:paraId="6CFE2A53" w14:textId="4A1620EF" w:rsidR="00BB207E" w:rsidRPr="00EB68C7" w:rsidRDefault="00BB207E" w:rsidP="00453C51">
      <w:pPr>
        <w:ind w:left="851"/>
        <w:rPr>
          <w:sz w:val="24"/>
          <w:szCs w:val="24"/>
          <w:lang w:val="en-GB"/>
        </w:rPr>
      </w:pPr>
      <w:r w:rsidRPr="00EB68C7">
        <w:rPr>
          <w:sz w:val="24"/>
          <w:szCs w:val="24"/>
          <w:lang w:val="en-GB"/>
        </w:rPr>
        <w:t>Reduction of elevated IOP in paediatric patients with elevated IOP and paediatric glaucoma.</w:t>
      </w:r>
    </w:p>
    <w:p w14:paraId="30675EEC" w14:textId="6BE08AC1" w:rsidR="00832A34" w:rsidRPr="00EB68C7" w:rsidRDefault="00832A34">
      <w:pPr>
        <w:rPr>
          <w:sz w:val="24"/>
          <w:szCs w:val="24"/>
          <w:lang w:val="en-GB"/>
        </w:rPr>
      </w:pPr>
      <w:r w:rsidRPr="00EB68C7">
        <w:rPr>
          <w:sz w:val="24"/>
          <w:szCs w:val="24"/>
          <w:lang w:val="en-GB"/>
        </w:rPr>
        <w:br w:type="page"/>
      </w:r>
    </w:p>
    <w:p w14:paraId="20381210" w14:textId="77777777" w:rsidR="007C5D2A" w:rsidRPr="00EB68C7" w:rsidRDefault="007C5D2A" w:rsidP="00A85D26">
      <w:pPr>
        <w:tabs>
          <w:tab w:val="left" w:pos="851"/>
        </w:tabs>
        <w:ind w:left="851"/>
        <w:rPr>
          <w:sz w:val="24"/>
          <w:szCs w:val="24"/>
          <w:lang w:val="en-GB"/>
        </w:rPr>
      </w:pPr>
    </w:p>
    <w:p w14:paraId="08B149F2" w14:textId="77777777" w:rsidR="007C5D2A" w:rsidRPr="00EB68C7" w:rsidRDefault="009925C9" w:rsidP="007C5D2A">
      <w:pPr>
        <w:tabs>
          <w:tab w:val="left" w:pos="851"/>
        </w:tabs>
        <w:ind w:left="851" w:hanging="851"/>
        <w:rPr>
          <w:sz w:val="24"/>
          <w:szCs w:val="24"/>
          <w:lang w:val="en-GB"/>
        </w:rPr>
      </w:pPr>
      <w:r w:rsidRPr="00EB68C7">
        <w:rPr>
          <w:b/>
          <w:sz w:val="24"/>
          <w:szCs w:val="24"/>
          <w:lang w:val="en-GB"/>
        </w:rPr>
        <w:t>4.2</w:t>
      </w:r>
      <w:r w:rsidR="007C5D2A" w:rsidRPr="00EB68C7">
        <w:rPr>
          <w:b/>
          <w:sz w:val="24"/>
          <w:szCs w:val="24"/>
          <w:lang w:val="en-GB"/>
        </w:rPr>
        <w:tab/>
        <w:t>Posology and method of administration</w:t>
      </w:r>
    </w:p>
    <w:p w14:paraId="519C25E0" w14:textId="77777777" w:rsidR="00832A34" w:rsidRPr="00EB68C7" w:rsidRDefault="00832A34" w:rsidP="00453C51">
      <w:pPr>
        <w:ind w:left="851"/>
        <w:rPr>
          <w:sz w:val="24"/>
          <w:szCs w:val="24"/>
          <w:u w:val="single"/>
          <w:lang w:val="en-GB"/>
        </w:rPr>
      </w:pPr>
    </w:p>
    <w:p w14:paraId="473D4A39" w14:textId="2219C4B5" w:rsidR="00BB207E" w:rsidRPr="00EB68C7" w:rsidRDefault="00BB207E" w:rsidP="00453C51">
      <w:pPr>
        <w:ind w:left="851"/>
        <w:rPr>
          <w:sz w:val="24"/>
          <w:szCs w:val="24"/>
          <w:u w:val="single"/>
          <w:lang w:val="en-GB"/>
        </w:rPr>
      </w:pPr>
      <w:r w:rsidRPr="00EB68C7">
        <w:rPr>
          <w:sz w:val="24"/>
          <w:szCs w:val="24"/>
          <w:u w:val="single"/>
          <w:lang w:val="en-GB"/>
        </w:rPr>
        <w:t>Posology</w:t>
      </w:r>
    </w:p>
    <w:p w14:paraId="15554B7F" w14:textId="77777777" w:rsidR="00BB207E" w:rsidRPr="00EB68C7" w:rsidRDefault="00BB207E" w:rsidP="00453C51">
      <w:pPr>
        <w:ind w:left="851"/>
        <w:rPr>
          <w:sz w:val="24"/>
          <w:szCs w:val="24"/>
          <w:u w:val="single"/>
          <w:lang w:val="en-GB"/>
        </w:rPr>
      </w:pPr>
    </w:p>
    <w:p w14:paraId="043DF200" w14:textId="77777777" w:rsidR="00BB207E" w:rsidRPr="00EB68C7" w:rsidRDefault="00BB207E" w:rsidP="00453C51">
      <w:pPr>
        <w:ind w:left="851"/>
        <w:rPr>
          <w:sz w:val="24"/>
          <w:szCs w:val="24"/>
          <w:lang w:val="en-GB"/>
        </w:rPr>
      </w:pPr>
      <w:r w:rsidRPr="00EB68C7">
        <w:rPr>
          <w:i/>
          <w:iCs/>
          <w:sz w:val="24"/>
          <w:szCs w:val="24"/>
          <w:lang w:val="en-GB"/>
        </w:rPr>
        <w:t>Adults (including the elderly)</w:t>
      </w:r>
    </w:p>
    <w:p w14:paraId="57799994" w14:textId="4FBB06B7" w:rsidR="00BB207E" w:rsidRPr="00EB68C7" w:rsidRDefault="00BB207E" w:rsidP="00453C51">
      <w:pPr>
        <w:ind w:left="851"/>
        <w:rPr>
          <w:sz w:val="24"/>
          <w:szCs w:val="24"/>
          <w:lang w:val="en-GB"/>
        </w:rPr>
      </w:pPr>
      <w:r w:rsidRPr="00EB68C7">
        <w:rPr>
          <w:sz w:val="24"/>
          <w:szCs w:val="24"/>
          <w:lang w:val="en-GB"/>
        </w:rPr>
        <w:t xml:space="preserve">Recommended therapy is one eye drop in the affected eye(s) once daily. Optimal effect is obtained if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is administered in the evening.</w:t>
      </w:r>
    </w:p>
    <w:p w14:paraId="6F05A9B7" w14:textId="77777777" w:rsidR="00BB207E" w:rsidRPr="00EB68C7" w:rsidRDefault="00BB207E" w:rsidP="00453C51">
      <w:pPr>
        <w:ind w:left="851"/>
        <w:rPr>
          <w:sz w:val="24"/>
          <w:szCs w:val="24"/>
          <w:lang w:val="en-GB"/>
        </w:rPr>
      </w:pPr>
    </w:p>
    <w:p w14:paraId="474CC159" w14:textId="1BB77034" w:rsidR="00BB207E" w:rsidRPr="00EB68C7" w:rsidRDefault="00BB207E" w:rsidP="00453C51">
      <w:pPr>
        <w:ind w:left="851"/>
        <w:rPr>
          <w:sz w:val="24"/>
          <w:szCs w:val="24"/>
          <w:lang w:val="en-GB"/>
        </w:rPr>
      </w:pPr>
      <w:r w:rsidRPr="00EB68C7">
        <w:rPr>
          <w:sz w:val="24"/>
          <w:szCs w:val="24"/>
          <w:lang w:val="en-GB"/>
        </w:rPr>
        <w:t xml:space="preserve">The dosage of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should not exceed once daily since it has been shown that more frequent administration decreases the IOP lowering effect.</w:t>
      </w:r>
    </w:p>
    <w:p w14:paraId="66A25483" w14:textId="77777777" w:rsidR="00BB207E" w:rsidRPr="00EB68C7" w:rsidRDefault="00BB207E" w:rsidP="00453C51">
      <w:pPr>
        <w:ind w:left="851"/>
        <w:rPr>
          <w:sz w:val="24"/>
          <w:szCs w:val="24"/>
          <w:lang w:val="en-GB"/>
        </w:rPr>
      </w:pPr>
    </w:p>
    <w:p w14:paraId="7C9115FB" w14:textId="77777777" w:rsidR="00BB207E" w:rsidRPr="00EB68C7" w:rsidRDefault="00BB207E" w:rsidP="00453C51">
      <w:pPr>
        <w:ind w:left="851"/>
        <w:rPr>
          <w:sz w:val="24"/>
          <w:szCs w:val="24"/>
          <w:lang w:val="en-GB"/>
        </w:rPr>
      </w:pPr>
      <w:r w:rsidRPr="00EB68C7">
        <w:rPr>
          <w:sz w:val="24"/>
          <w:szCs w:val="24"/>
          <w:lang w:val="en-GB"/>
        </w:rPr>
        <w:t>If one dose is missed, treatment should continue with the next dose as normal.</w:t>
      </w:r>
    </w:p>
    <w:p w14:paraId="650529B4" w14:textId="77777777" w:rsidR="00BB207E" w:rsidRPr="00EB68C7" w:rsidRDefault="00BB207E" w:rsidP="00453C51">
      <w:pPr>
        <w:ind w:left="851"/>
        <w:rPr>
          <w:sz w:val="24"/>
          <w:szCs w:val="24"/>
          <w:lang w:val="en-GB"/>
        </w:rPr>
      </w:pPr>
    </w:p>
    <w:p w14:paraId="121DD169" w14:textId="77777777" w:rsidR="00BB207E" w:rsidRPr="00EB68C7" w:rsidRDefault="00BB207E" w:rsidP="00453C51">
      <w:pPr>
        <w:ind w:left="851"/>
        <w:rPr>
          <w:bCs/>
          <w:i/>
          <w:iCs/>
          <w:sz w:val="24"/>
          <w:szCs w:val="24"/>
          <w:lang w:val="en-GB"/>
        </w:rPr>
      </w:pPr>
      <w:r w:rsidRPr="00EB68C7">
        <w:rPr>
          <w:bCs/>
          <w:i/>
          <w:iCs/>
          <w:sz w:val="24"/>
          <w:szCs w:val="24"/>
          <w:lang w:val="en-GB"/>
        </w:rPr>
        <w:t>Paediatric population</w:t>
      </w:r>
    </w:p>
    <w:p w14:paraId="1CF755A8" w14:textId="4EBF920C" w:rsidR="00BB207E" w:rsidRPr="00EB68C7" w:rsidRDefault="007E759B" w:rsidP="00453C51">
      <w:pPr>
        <w:ind w:left="851"/>
        <w:rPr>
          <w:bCs/>
          <w:iCs/>
          <w:sz w:val="24"/>
          <w:szCs w:val="24"/>
          <w:lang w:val="en-GB"/>
        </w:rPr>
      </w:pPr>
      <w:r w:rsidRPr="00EB68C7">
        <w:rPr>
          <w:noProof/>
          <w:sz w:val="24"/>
          <w:szCs w:val="24"/>
          <w:lang w:val="en-GB"/>
        </w:rPr>
        <w:t>Vizilatan</w:t>
      </w:r>
      <w:r w:rsidR="00BB207E" w:rsidRPr="00EB68C7">
        <w:rPr>
          <w:noProof/>
          <w:sz w:val="24"/>
          <w:szCs w:val="24"/>
          <w:lang w:val="en-GB"/>
        </w:rPr>
        <w:t xml:space="preserve"> </w:t>
      </w:r>
      <w:r w:rsidR="00BB207E" w:rsidRPr="00EB68C7">
        <w:rPr>
          <w:bCs/>
          <w:iCs/>
          <w:sz w:val="24"/>
          <w:szCs w:val="24"/>
          <w:lang w:val="en-GB"/>
        </w:rPr>
        <w:t>eye drops, solution may be used in paediatric patients at the same posology as in adults. No data are available for preterm infants (less than 36 weeks gestational age). Data in the age group &lt; 1 year (4 patients) are</w:t>
      </w:r>
      <w:r w:rsidR="003E22ED" w:rsidRPr="00EB68C7">
        <w:rPr>
          <w:bCs/>
          <w:iCs/>
          <w:sz w:val="24"/>
          <w:szCs w:val="24"/>
          <w:lang w:val="en-GB"/>
        </w:rPr>
        <w:t xml:space="preserve"> very</w:t>
      </w:r>
      <w:r w:rsidR="00BB207E" w:rsidRPr="00EB68C7">
        <w:rPr>
          <w:bCs/>
          <w:iCs/>
          <w:sz w:val="24"/>
          <w:szCs w:val="24"/>
          <w:lang w:val="en-GB"/>
        </w:rPr>
        <w:t xml:space="preserve"> limited (</w:t>
      </w:r>
      <w:r w:rsidR="00BB207E" w:rsidRPr="00EB68C7">
        <w:rPr>
          <w:bCs/>
          <w:i/>
          <w:iCs/>
          <w:sz w:val="24"/>
          <w:szCs w:val="24"/>
          <w:lang w:val="en-GB"/>
        </w:rPr>
        <w:t>see section 5.1</w:t>
      </w:r>
      <w:r w:rsidR="00BB207E" w:rsidRPr="00EB68C7">
        <w:rPr>
          <w:bCs/>
          <w:iCs/>
          <w:sz w:val="24"/>
          <w:szCs w:val="24"/>
          <w:lang w:val="en-GB"/>
        </w:rPr>
        <w:t>).</w:t>
      </w:r>
    </w:p>
    <w:p w14:paraId="597A30E1" w14:textId="77777777" w:rsidR="00BB207E" w:rsidRPr="00EB68C7" w:rsidRDefault="00BB207E" w:rsidP="00453C51">
      <w:pPr>
        <w:ind w:left="851"/>
        <w:rPr>
          <w:sz w:val="24"/>
          <w:szCs w:val="24"/>
          <w:u w:val="single"/>
          <w:lang w:val="en-GB"/>
        </w:rPr>
      </w:pPr>
    </w:p>
    <w:p w14:paraId="3FB21FD9" w14:textId="77777777" w:rsidR="00BB207E" w:rsidRPr="00EB68C7" w:rsidRDefault="00BB207E" w:rsidP="00453C51">
      <w:pPr>
        <w:ind w:left="851"/>
        <w:rPr>
          <w:sz w:val="24"/>
          <w:szCs w:val="24"/>
          <w:u w:val="single"/>
          <w:lang w:val="en-GB"/>
        </w:rPr>
      </w:pPr>
      <w:r w:rsidRPr="00EB68C7">
        <w:rPr>
          <w:sz w:val="24"/>
          <w:szCs w:val="24"/>
          <w:u w:val="single"/>
          <w:lang w:val="en-GB"/>
        </w:rPr>
        <w:t xml:space="preserve">Method of administration </w:t>
      </w:r>
    </w:p>
    <w:p w14:paraId="3E9AB724" w14:textId="77777777" w:rsidR="003E22ED" w:rsidRPr="00EB68C7" w:rsidRDefault="003E22ED" w:rsidP="003E22ED">
      <w:pPr>
        <w:ind w:left="851"/>
        <w:rPr>
          <w:sz w:val="24"/>
          <w:szCs w:val="24"/>
          <w:lang w:val="en-GB"/>
        </w:rPr>
      </w:pPr>
      <w:r w:rsidRPr="00EB68C7">
        <w:rPr>
          <w:sz w:val="24"/>
          <w:szCs w:val="24"/>
          <w:lang w:val="en-GB"/>
        </w:rPr>
        <w:t>Ocular use.</w:t>
      </w:r>
    </w:p>
    <w:p w14:paraId="5C4D29E7" w14:textId="77777777" w:rsidR="00BB207E" w:rsidRPr="00EB68C7" w:rsidRDefault="00BB207E" w:rsidP="00453C51">
      <w:pPr>
        <w:ind w:left="851"/>
        <w:rPr>
          <w:sz w:val="24"/>
          <w:szCs w:val="24"/>
          <w:lang w:val="en-GB"/>
        </w:rPr>
      </w:pPr>
      <w:r w:rsidRPr="00EB68C7">
        <w:rPr>
          <w:sz w:val="24"/>
          <w:szCs w:val="24"/>
          <w:lang w:val="en-GB"/>
        </w:rPr>
        <w:t>As with any eye drops, to reduce possible systemic absorption, it is recommended that the lachrymal sac be compressed at the medial canthus (</w:t>
      </w:r>
      <w:proofErr w:type="spellStart"/>
      <w:r w:rsidRPr="00EB68C7">
        <w:rPr>
          <w:sz w:val="24"/>
          <w:szCs w:val="24"/>
          <w:lang w:val="en-GB"/>
        </w:rPr>
        <w:t>punctal</w:t>
      </w:r>
      <w:proofErr w:type="spellEnd"/>
      <w:r w:rsidRPr="00EB68C7">
        <w:rPr>
          <w:sz w:val="24"/>
          <w:szCs w:val="24"/>
          <w:lang w:val="en-GB"/>
        </w:rPr>
        <w:t xml:space="preserve"> occlusion) for one minute. This should be performed immediately following the instillation of each drop.</w:t>
      </w:r>
    </w:p>
    <w:p w14:paraId="174D7569" w14:textId="77777777" w:rsidR="00BB207E" w:rsidRPr="00EB68C7" w:rsidRDefault="00BB207E" w:rsidP="00453C51">
      <w:pPr>
        <w:ind w:left="851"/>
        <w:rPr>
          <w:sz w:val="24"/>
          <w:szCs w:val="24"/>
          <w:lang w:val="en-GB"/>
        </w:rPr>
      </w:pPr>
    </w:p>
    <w:p w14:paraId="119E059A" w14:textId="77777777" w:rsidR="00BB207E" w:rsidRPr="00EB68C7" w:rsidRDefault="00BB207E" w:rsidP="00453C51">
      <w:pPr>
        <w:ind w:left="851"/>
        <w:rPr>
          <w:sz w:val="24"/>
          <w:szCs w:val="24"/>
          <w:lang w:val="en-GB"/>
        </w:rPr>
      </w:pPr>
      <w:r w:rsidRPr="00EB68C7">
        <w:rPr>
          <w:sz w:val="24"/>
          <w:szCs w:val="24"/>
          <w:lang w:val="en-GB"/>
        </w:rPr>
        <w:t>Contact lenses should be removed before instillation of the eye drops and may be reinserted after 15 minutes.</w:t>
      </w:r>
    </w:p>
    <w:p w14:paraId="7649B138" w14:textId="77777777" w:rsidR="00BB207E" w:rsidRPr="00EB68C7" w:rsidRDefault="00BB207E" w:rsidP="00453C51">
      <w:pPr>
        <w:ind w:left="851"/>
        <w:rPr>
          <w:sz w:val="24"/>
          <w:szCs w:val="24"/>
          <w:lang w:val="en-GB"/>
        </w:rPr>
      </w:pPr>
    </w:p>
    <w:p w14:paraId="0420AE1A" w14:textId="759E2A20" w:rsidR="00BB207E" w:rsidRPr="00EB68C7" w:rsidRDefault="00BB207E" w:rsidP="00453C51">
      <w:pPr>
        <w:ind w:left="851"/>
        <w:rPr>
          <w:sz w:val="24"/>
          <w:szCs w:val="24"/>
          <w:lang w:val="en-GB"/>
        </w:rPr>
      </w:pPr>
      <w:r w:rsidRPr="00EB68C7">
        <w:rPr>
          <w:sz w:val="24"/>
          <w:szCs w:val="24"/>
          <w:lang w:val="en-GB"/>
        </w:rPr>
        <w:t>If more than one topical ophthalmic medicinal product is being used, the medicinal products should be administered at least five minutes apart.</w:t>
      </w:r>
    </w:p>
    <w:p w14:paraId="4FC305A9" w14:textId="07BCFDF0" w:rsidR="00AF0151" w:rsidRPr="00EB68C7" w:rsidRDefault="00AF0151" w:rsidP="000D6B3D">
      <w:pPr>
        <w:ind w:left="851"/>
        <w:rPr>
          <w:sz w:val="24"/>
          <w:szCs w:val="24"/>
          <w:lang w:val="en-GB"/>
        </w:rPr>
      </w:pPr>
    </w:p>
    <w:p w14:paraId="1294CE6C" w14:textId="77777777" w:rsidR="00AF0151" w:rsidRPr="00EB68C7" w:rsidRDefault="00AF0151" w:rsidP="000D6B3D">
      <w:pPr>
        <w:autoSpaceDE w:val="0"/>
        <w:autoSpaceDN w:val="0"/>
        <w:adjustRightInd w:val="0"/>
        <w:ind w:left="851"/>
        <w:rPr>
          <w:b/>
          <w:i/>
          <w:sz w:val="24"/>
          <w:szCs w:val="24"/>
          <w:lang w:val="en-GB"/>
        </w:rPr>
      </w:pPr>
      <w:bookmarkStart w:id="1" w:name="_Hlk89686870"/>
      <w:r w:rsidRPr="00EB68C7">
        <w:rPr>
          <w:sz w:val="24"/>
          <w:szCs w:val="24"/>
          <w:lang w:val="en-GB" w:eastAsia="en-GB"/>
        </w:rPr>
        <w:t>For instructions of the product administration, see section 6.6.</w:t>
      </w:r>
    </w:p>
    <w:bookmarkEnd w:id="1"/>
    <w:p w14:paraId="74C3DF8D" w14:textId="77777777" w:rsidR="00BB207E" w:rsidRPr="00EB68C7" w:rsidRDefault="00BB207E" w:rsidP="000D6B3D">
      <w:pPr>
        <w:ind w:left="851"/>
        <w:rPr>
          <w:sz w:val="24"/>
          <w:szCs w:val="24"/>
          <w:lang w:val="en-GB"/>
        </w:rPr>
      </w:pPr>
    </w:p>
    <w:p w14:paraId="196428B3" w14:textId="138E84A8" w:rsidR="00BB207E" w:rsidRPr="00EB68C7" w:rsidRDefault="007E759B" w:rsidP="00453C51">
      <w:pPr>
        <w:ind w:left="851"/>
        <w:rPr>
          <w:sz w:val="24"/>
          <w:szCs w:val="24"/>
          <w:lang w:val="en-GB"/>
        </w:rPr>
      </w:pPr>
      <w:r w:rsidRPr="00EB68C7">
        <w:rPr>
          <w:noProof/>
          <w:sz w:val="24"/>
          <w:szCs w:val="24"/>
          <w:lang w:val="en-GB"/>
        </w:rPr>
        <w:t>Vizilatan</w:t>
      </w:r>
      <w:r w:rsidR="00BB207E" w:rsidRPr="00EB68C7">
        <w:rPr>
          <w:noProof/>
          <w:sz w:val="24"/>
          <w:szCs w:val="24"/>
          <w:lang w:val="en-GB"/>
        </w:rPr>
        <w:t xml:space="preserve"> </w:t>
      </w:r>
      <w:r w:rsidR="00BB207E" w:rsidRPr="00EB68C7">
        <w:rPr>
          <w:sz w:val="24"/>
          <w:szCs w:val="24"/>
          <w:lang w:val="en-GB"/>
        </w:rPr>
        <w:t>eye drops, solution is a sterile solution that does not contain a preservative.</w:t>
      </w:r>
    </w:p>
    <w:p w14:paraId="6EC92CEF" w14:textId="77777777" w:rsidR="007C5D2A" w:rsidRPr="00EB68C7" w:rsidRDefault="007C5D2A" w:rsidP="00A85D26">
      <w:pPr>
        <w:tabs>
          <w:tab w:val="left" w:pos="851"/>
        </w:tabs>
        <w:ind w:left="851"/>
        <w:rPr>
          <w:sz w:val="24"/>
          <w:szCs w:val="24"/>
          <w:lang w:val="en-GB"/>
        </w:rPr>
      </w:pPr>
    </w:p>
    <w:p w14:paraId="36CDD259"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4.3</w:t>
      </w:r>
      <w:r w:rsidRPr="00EB68C7">
        <w:rPr>
          <w:b/>
          <w:sz w:val="24"/>
          <w:szCs w:val="24"/>
          <w:lang w:val="en-GB"/>
        </w:rPr>
        <w:tab/>
        <w:t>Contraindications</w:t>
      </w:r>
    </w:p>
    <w:p w14:paraId="2E5B8F32" w14:textId="77777777" w:rsidR="00BB207E" w:rsidRPr="00EB68C7" w:rsidRDefault="00BB207E" w:rsidP="00453C51">
      <w:pPr>
        <w:ind w:left="851"/>
        <w:rPr>
          <w:sz w:val="24"/>
          <w:szCs w:val="24"/>
          <w:lang w:val="en-GB"/>
        </w:rPr>
      </w:pPr>
      <w:r w:rsidRPr="00EB68C7">
        <w:rPr>
          <w:sz w:val="24"/>
          <w:szCs w:val="24"/>
          <w:lang w:val="en-GB"/>
        </w:rPr>
        <w:t xml:space="preserve">Hypersensitivity to the active substance or to any of the excipients </w:t>
      </w:r>
      <w:r w:rsidRPr="00EB68C7">
        <w:rPr>
          <w:noProof/>
          <w:sz w:val="24"/>
          <w:szCs w:val="24"/>
          <w:lang w:val="en-GB"/>
        </w:rPr>
        <w:t>listed in section 6.1.</w:t>
      </w:r>
    </w:p>
    <w:p w14:paraId="7E8ED058" w14:textId="77777777" w:rsidR="007C5D2A" w:rsidRPr="00EB68C7" w:rsidRDefault="007C5D2A" w:rsidP="003E0341">
      <w:pPr>
        <w:tabs>
          <w:tab w:val="left" w:pos="851"/>
        </w:tabs>
        <w:ind w:left="851"/>
        <w:rPr>
          <w:sz w:val="24"/>
          <w:szCs w:val="24"/>
          <w:lang w:val="en-GB"/>
        </w:rPr>
      </w:pPr>
    </w:p>
    <w:p w14:paraId="47DBC6EA" w14:textId="77777777" w:rsidR="007C5D2A" w:rsidRPr="00EB68C7" w:rsidRDefault="007C5D2A" w:rsidP="007C5D2A">
      <w:pPr>
        <w:tabs>
          <w:tab w:val="left" w:pos="851"/>
        </w:tabs>
        <w:rPr>
          <w:b/>
          <w:sz w:val="24"/>
          <w:szCs w:val="24"/>
          <w:lang w:val="en-GB"/>
        </w:rPr>
      </w:pPr>
      <w:r w:rsidRPr="00EB68C7">
        <w:rPr>
          <w:b/>
          <w:sz w:val="24"/>
          <w:szCs w:val="24"/>
          <w:lang w:val="en-GB"/>
        </w:rPr>
        <w:t>4.4</w:t>
      </w:r>
      <w:r w:rsidRPr="00EB68C7">
        <w:rPr>
          <w:b/>
          <w:sz w:val="24"/>
          <w:szCs w:val="24"/>
          <w:lang w:val="en-GB"/>
        </w:rPr>
        <w:tab/>
        <w:t>Special warnings and precautions for use</w:t>
      </w:r>
    </w:p>
    <w:p w14:paraId="1E8FB48D" w14:textId="26F20017" w:rsidR="00BB207E" w:rsidRPr="00EB68C7" w:rsidRDefault="007E759B" w:rsidP="00453C51">
      <w:pPr>
        <w:ind w:left="851"/>
        <w:rPr>
          <w:sz w:val="24"/>
          <w:szCs w:val="24"/>
          <w:lang w:val="en-GB"/>
        </w:rPr>
      </w:pPr>
      <w:r w:rsidRPr="00EB68C7">
        <w:rPr>
          <w:noProof/>
          <w:sz w:val="24"/>
          <w:szCs w:val="24"/>
          <w:lang w:val="en-GB"/>
        </w:rPr>
        <w:t>Vizilatan</w:t>
      </w:r>
      <w:r w:rsidR="00BB207E" w:rsidRPr="00EB68C7">
        <w:rPr>
          <w:noProof/>
          <w:sz w:val="24"/>
          <w:szCs w:val="24"/>
          <w:lang w:val="en-GB"/>
        </w:rPr>
        <w:t xml:space="preserve"> </w:t>
      </w:r>
      <w:r w:rsidR="00BB207E" w:rsidRPr="00EB68C7">
        <w:rPr>
          <w:sz w:val="24"/>
          <w:szCs w:val="24"/>
          <w:lang w:val="en-GB"/>
        </w:rPr>
        <w:t>may gradually change eye colour by increasing the amount of brown pigment in the iris. Before treatment is instituted, patients should be informed of the possibility of a permanent change in eye colour. Unilateral treatment can result in permanent heterochromia.</w:t>
      </w:r>
    </w:p>
    <w:p w14:paraId="0A0E4E0E" w14:textId="77777777" w:rsidR="00BB207E" w:rsidRPr="00EB68C7" w:rsidRDefault="00BB207E" w:rsidP="00453C51">
      <w:pPr>
        <w:ind w:left="851"/>
        <w:rPr>
          <w:sz w:val="24"/>
          <w:szCs w:val="24"/>
          <w:lang w:val="en-GB"/>
        </w:rPr>
      </w:pPr>
    </w:p>
    <w:p w14:paraId="61D537D7" w14:textId="5D0BD43A" w:rsidR="00BB207E" w:rsidRPr="00EB68C7" w:rsidRDefault="00BB207E" w:rsidP="00453C51">
      <w:pPr>
        <w:ind w:left="851"/>
        <w:rPr>
          <w:sz w:val="24"/>
          <w:szCs w:val="24"/>
          <w:lang w:val="en-GB"/>
        </w:rPr>
      </w:pPr>
      <w:r w:rsidRPr="00EB68C7">
        <w:rPr>
          <w:sz w:val="24"/>
          <w:szCs w:val="24"/>
          <w:lang w:val="en-GB"/>
        </w:rPr>
        <w:t xml:space="preserve">This change in eye colour has predominantly been seen in patients with mixed coloured </w:t>
      </w:r>
      <w:proofErr w:type="spellStart"/>
      <w:r w:rsidRPr="00EB68C7">
        <w:rPr>
          <w:sz w:val="24"/>
          <w:szCs w:val="24"/>
          <w:lang w:val="en-GB"/>
        </w:rPr>
        <w:t>irides</w:t>
      </w:r>
      <w:proofErr w:type="spellEnd"/>
      <w:r w:rsidRPr="00EB68C7">
        <w:rPr>
          <w:sz w:val="24"/>
          <w:szCs w:val="24"/>
          <w:lang w:val="en-GB"/>
        </w:rPr>
        <w:t xml:space="preserve">, i.e. blue-brown, grey-brown, yellow-brown and green-brown. In studies with latanoprost, the onset of the change is usually within the first 8 months of treatment, rarely during the second or third year, and has not been seen after the fourth year of treatment. The rate of progression of iris pigmentation decreases with time and is stable for five years. The effect of increased pigmentation beyond </w:t>
      </w:r>
      <w:r w:rsidR="003E22ED" w:rsidRPr="00EB68C7">
        <w:rPr>
          <w:sz w:val="24"/>
          <w:szCs w:val="24"/>
          <w:lang w:val="en-GB"/>
        </w:rPr>
        <w:t>5</w:t>
      </w:r>
      <w:r w:rsidRPr="00EB68C7">
        <w:rPr>
          <w:sz w:val="24"/>
          <w:szCs w:val="24"/>
          <w:lang w:val="en-GB"/>
        </w:rPr>
        <w:t xml:space="preserve"> years has not been evaluated. In an open 5-year latanoprost safety study, 33</w:t>
      </w:r>
      <w:r w:rsidR="000B1C7E" w:rsidRPr="00EB68C7">
        <w:rPr>
          <w:sz w:val="24"/>
          <w:szCs w:val="24"/>
          <w:lang w:val="en-GB"/>
        </w:rPr>
        <w:t xml:space="preserve"> %</w:t>
      </w:r>
      <w:r w:rsidRPr="00EB68C7">
        <w:rPr>
          <w:sz w:val="24"/>
          <w:szCs w:val="24"/>
          <w:lang w:val="en-GB"/>
        </w:rPr>
        <w:t xml:space="preserve"> of patients developed iris pigmentation (</w:t>
      </w:r>
      <w:r w:rsidRPr="00EB68C7">
        <w:rPr>
          <w:i/>
          <w:sz w:val="24"/>
          <w:szCs w:val="24"/>
          <w:lang w:val="en-GB"/>
        </w:rPr>
        <w:t xml:space="preserve">see section </w:t>
      </w:r>
      <w:r w:rsidRPr="00EB68C7">
        <w:rPr>
          <w:i/>
          <w:sz w:val="24"/>
          <w:szCs w:val="24"/>
          <w:lang w:val="en-GB"/>
        </w:rPr>
        <w:lastRenderedPageBreak/>
        <w:t>4.8</w:t>
      </w:r>
      <w:r w:rsidRPr="00EB68C7">
        <w:rPr>
          <w:sz w:val="24"/>
          <w:szCs w:val="24"/>
          <w:lang w:val="en-GB"/>
        </w:rPr>
        <w:t xml:space="preserve">). The iris colour change is slight in the majority of cases and often not observed clinically. The incidence in patients with mixed colour </w:t>
      </w:r>
      <w:proofErr w:type="spellStart"/>
      <w:r w:rsidRPr="00EB68C7">
        <w:rPr>
          <w:sz w:val="24"/>
          <w:szCs w:val="24"/>
          <w:lang w:val="en-GB"/>
        </w:rPr>
        <w:t>irides</w:t>
      </w:r>
      <w:proofErr w:type="spellEnd"/>
      <w:r w:rsidRPr="00EB68C7">
        <w:rPr>
          <w:sz w:val="24"/>
          <w:szCs w:val="24"/>
          <w:lang w:val="en-GB"/>
        </w:rPr>
        <w:t xml:space="preserve"> ranged from 7 to 85</w:t>
      </w:r>
      <w:r w:rsidR="000B1C7E" w:rsidRPr="00EB68C7">
        <w:rPr>
          <w:sz w:val="24"/>
          <w:szCs w:val="24"/>
          <w:lang w:val="en-GB"/>
        </w:rPr>
        <w:t xml:space="preserve"> %</w:t>
      </w:r>
      <w:r w:rsidRPr="00EB68C7">
        <w:rPr>
          <w:sz w:val="24"/>
          <w:szCs w:val="24"/>
          <w:lang w:val="en-GB"/>
        </w:rPr>
        <w:t xml:space="preserve">, with yellow-brown </w:t>
      </w:r>
      <w:proofErr w:type="spellStart"/>
      <w:r w:rsidRPr="00EB68C7">
        <w:rPr>
          <w:sz w:val="24"/>
          <w:szCs w:val="24"/>
          <w:lang w:val="en-GB"/>
        </w:rPr>
        <w:t>irides</w:t>
      </w:r>
      <w:proofErr w:type="spellEnd"/>
      <w:r w:rsidRPr="00EB68C7">
        <w:rPr>
          <w:sz w:val="24"/>
          <w:szCs w:val="24"/>
          <w:lang w:val="en-GB"/>
        </w:rPr>
        <w:t xml:space="preserve"> having the highest incidence. In patients with homogeneously blue eyes, no change has been observed and in patients with homogeneously grey, green or brown eyes, the change has only rarely been seen.</w:t>
      </w:r>
    </w:p>
    <w:p w14:paraId="4BCC1B41" w14:textId="77777777" w:rsidR="00BB207E" w:rsidRPr="00EB68C7" w:rsidRDefault="00BB207E" w:rsidP="00453C51">
      <w:pPr>
        <w:ind w:left="851"/>
        <w:rPr>
          <w:sz w:val="24"/>
          <w:szCs w:val="24"/>
          <w:lang w:val="en-GB"/>
        </w:rPr>
      </w:pPr>
    </w:p>
    <w:p w14:paraId="703E78E2" w14:textId="77777777" w:rsidR="00BB207E" w:rsidRPr="00EB68C7" w:rsidRDefault="00BB207E" w:rsidP="00453C51">
      <w:pPr>
        <w:ind w:left="851"/>
        <w:rPr>
          <w:sz w:val="24"/>
          <w:szCs w:val="24"/>
          <w:lang w:val="en-GB"/>
        </w:rPr>
      </w:pPr>
      <w:r w:rsidRPr="00EB68C7">
        <w:rPr>
          <w:sz w:val="24"/>
          <w:szCs w:val="24"/>
          <w:lang w:val="en-GB"/>
        </w:rPr>
        <w:t>The colour change is due to increased melanin content in the stromal melanocytes of the iris and not to an increase in number of melanocytes. Typically, the brown pigmentation around the pupil spreads concentrically towards the periphery in affected eyes, but the entire iris or parts of it may become more brownish. No further increase in brown iris pigment has been observed after discontinuation of treatment. It has not been associated with any symptom or pathological changes in clinical trials to date.</w:t>
      </w:r>
    </w:p>
    <w:p w14:paraId="27B06200" w14:textId="77777777" w:rsidR="00BB207E" w:rsidRPr="00EB68C7" w:rsidRDefault="00BB207E" w:rsidP="00453C51">
      <w:pPr>
        <w:ind w:left="851"/>
        <w:rPr>
          <w:sz w:val="24"/>
          <w:szCs w:val="24"/>
          <w:lang w:val="en-GB"/>
        </w:rPr>
      </w:pPr>
    </w:p>
    <w:p w14:paraId="34AC630E" w14:textId="1955BFCF" w:rsidR="00BB207E" w:rsidRPr="00EB68C7" w:rsidRDefault="00BB207E" w:rsidP="00453C51">
      <w:pPr>
        <w:ind w:left="851"/>
        <w:rPr>
          <w:sz w:val="24"/>
          <w:szCs w:val="24"/>
          <w:lang w:val="en-GB"/>
        </w:rPr>
      </w:pPr>
      <w:r w:rsidRPr="00EB68C7">
        <w:rPr>
          <w:sz w:val="24"/>
          <w:szCs w:val="24"/>
          <w:lang w:val="en-GB"/>
        </w:rPr>
        <w:t xml:space="preserve">Neither </w:t>
      </w:r>
      <w:proofErr w:type="spellStart"/>
      <w:r w:rsidRPr="00EB68C7">
        <w:rPr>
          <w:sz w:val="24"/>
          <w:szCs w:val="24"/>
          <w:lang w:val="en-GB"/>
        </w:rPr>
        <w:t>naevi</w:t>
      </w:r>
      <w:proofErr w:type="spellEnd"/>
      <w:r w:rsidRPr="00EB68C7">
        <w:rPr>
          <w:sz w:val="24"/>
          <w:szCs w:val="24"/>
          <w:lang w:val="en-GB"/>
        </w:rPr>
        <w:t xml:space="preserve"> nor freckles of the iris have been affected by treatment. Accumulation of pigment in the trabecular meshwork or elsewhere in the anterior chamber has not been observed in clinical trials. Based on 5 years clinical experience, increased iris pigmentation has not been shown to have any negative clinical sequelae and </w:t>
      </w:r>
      <w:r w:rsidRPr="00EB68C7">
        <w:rPr>
          <w:noProof/>
          <w:sz w:val="24"/>
          <w:szCs w:val="24"/>
          <w:lang w:val="en-GB"/>
        </w:rPr>
        <w:t>latanoprost</w:t>
      </w:r>
      <w:r w:rsidRPr="00EB68C7">
        <w:rPr>
          <w:sz w:val="24"/>
          <w:szCs w:val="24"/>
          <w:lang w:val="en-GB"/>
        </w:rPr>
        <w:t xml:space="preserve"> can be continued if iris pigmentation ensues. However, patients should be monitored regularly and if the clinical situation warrants, </w:t>
      </w:r>
      <w:proofErr w:type="spellStart"/>
      <w:r w:rsidR="0004453D" w:rsidRPr="00EB68C7">
        <w:rPr>
          <w:sz w:val="24"/>
          <w:szCs w:val="24"/>
          <w:lang w:val="en-GB"/>
        </w:rPr>
        <w:t>Vizilatan</w:t>
      </w:r>
      <w:proofErr w:type="spellEnd"/>
      <w:r w:rsidRPr="00EB68C7">
        <w:rPr>
          <w:sz w:val="24"/>
          <w:szCs w:val="24"/>
          <w:lang w:val="en-GB"/>
        </w:rPr>
        <w:t xml:space="preserve"> treatment may be discontinued.</w:t>
      </w:r>
    </w:p>
    <w:p w14:paraId="5460EDBF" w14:textId="77777777" w:rsidR="00BB207E" w:rsidRPr="00EB68C7" w:rsidRDefault="00BB207E" w:rsidP="00453C51">
      <w:pPr>
        <w:ind w:left="851"/>
        <w:rPr>
          <w:sz w:val="24"/>
          <w:szCs w:val="24"/>
          <w:lang w:val="en-GB"/>
        </w:rPr>
      </w:pPr>
    </w:p>
    <w:p w14:paraId="258D942D" w14:textId="23477178" w:rsidR="00BB207E" w:rsidRPr="00EB68C7" w:rsidRDefault="00BB207E" w:rsidP="00453C51">
      <w:pPr>
        <w:ind w:left="851"/>
        <w:rPr>
          <w:sz w:val="24"/>
          <w:szCs w:val="24"/>
          <w:lang w:val="en-GB"/>
        </w:rPr>
      </w:pPr>
      <w:r w:rsidRPr="00EB68C7">
        <w:rPr>
          <w:sz w:val="24"/>
          <w:szCs w:val="24"/>
          <w:lang w:val="en-GB"/>
        </w:rPr>
        <w:t xml:space="preserve">There is limited experience of </w:t>
      </w:r>
      <w:r w:rsidRPr="00EB68C7">
        <w:rPr>
          <w:noProof/>
          <w:sz w:val="24"/>
          <w:szCs w:val="24"/>
          <w:lang w:val="en-GB"/>
        </w:rPr>
        <w:t>latanoprost</w:t>
      </w:r>
      <w:r w:rsidRPr="00EB68C7">
        <w:rPr>
          <w:sz w:val="24"/>
          <w:szCs w:val="24"/>
          <w:lang w:val="en-GB"/>
        </w:rPr>
        <w:t xml:space="preserve"> in chronic angle closure glaucoma, open angle glaucoma of </w:t>
      </w:r>
      <w:proofErr w:type="spellStart"/>
      <w:r w:rsidRPr="00EB68C7">
        <w:rPr>
          <w:sz w:val="24"/>
          <w:szCs w:val="24"/>
          <w:lang w:val="en-GB"/>
        </w:rPr>
        <w:t>pseudophakic</w:t>
      </w:r>
      <w:proofErr w:type="spellEnd"/>
      <w:r w:rsidRPr="00EB68C7">
        <w:rPr>
          <w:sz w:val="24"/>
          <w:szCs w:val="24"/>
          <w:lang w:val="en-GB"/>
        </w:rPr>
        <w:t xml:space="preserve"> patients and in pigmentary glaucoma. There is no experience of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 xml:space="preserve">in inflammatory and neovascular glaucoma or inflammatory ocular conditions.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 xml:space="preserve">has no or little effect on the pupil, but there is no experience in acute attacks of closed angle glaucoma. Therefore, it is recommended that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should be used with caution in these conditions until more experience is obtained.</w:t>
      </w:r>
    </w:p>
    <w:p w14:paraId="437A4961" w14:textId="77777777" w:rsidR="00BB207E" w:rsidRPr="00EB68C7" w:rsidRDefault="00BB207E" w:rsidP="00453C51">
      <w:pPr>
        <w:ind w:left="851"/>
        <w:rPr>
          <w:sz w:val="24"/>
          <w:szCs w:val="24"/>
          <w:lang w:val="en-GB"/>
        </w:rPr>
      </w:pPr>
    </w:p>
    <w:p w14:paraId="455DEF92" w14:textId="36A487D9" w:rsidR="00BB207E" w:rsidRPr="00EB68C7" w:rsidRDefault="00BB207E" w:rsidP="00453C51">
      <w:pPr>
        <w:ind w:left="851"/>
        <w:rPr>
          <w:sz w:val="24"/>
          <w:szCs w:val="24"/>
          <w:lang w:val="en-GB"/>
        </w:rPr>
      </w:pPr>
      <w:r w:rsidRPr="00EB68C7">
        <w:rPr>
          <w:sz w:val="24"/>
          <w:szCs w:val="24"/>
          <w:lang w:val="en-GB"/>
        </w:rPr>
        <w:t xml:space="preserve">There are limited study data on the use of </w:t>
      </w:r>
      <w:r w:rsidRPr="00EB68C7">
        <w:rPr>
          <w:noProof/>
          <w:sz w:val="24"/>
          <w:szCs w:val="24"/>
          <w:lang w:val="en-GB"/>
        </w:rPr>
        <w:t>latanoprost</w:t>
      </w:r>
      <w:r w:rsidRPr="00EB68C7">
        <w:rPr>
          <w:sz w:val="24"/>
          <w:szCs w:val="24"/>
          <w:lang w:val="en-GB"/>
        </w:rPr>
        <w:t xml:space="preserve"> during the peri-operative period of cataract surgery.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should be used with caution in these patients.</w:t>
      </w:r>
    </w:p>
    <w:p w14:paraId="3FBC8C01" w14:textId="77777777" w:rsidR="00BB207E" w:rsidRPr="00EB68C7" w:rsidRDefault="00BB207E" w:rsidP="00453C51">
      <w:pPr>
        <w:ind w:left="851"/>
        <w:rPr>
          <w:sz w:val="24"/>
          <w:szCs w:val="24"/>
          <w:lang w:val="en-GB"/>
        </w:rPr>
      </w:pPr>
    </w:p>
    <w:p w14:paraId="3F53E5A5" w14:textId="4C9192A0" w:rsidR="00BB207E" w:rsidRPr="00EB68C7" w:rsidRDefault="007E759B" w:rsidP="00453C51">
      <w:pPr>
        <w:ind w:left="851"/>
        <w:rPr>
          <w:sz w:val="24"/>
          <w:szCs w:val="24"/>
          <w:lang w:val="en-GB"/>
        </w:rPr>
      </w:pPr>
      <w:r w:rsidRPr="00EB68C7">
        <w:rPr>
          <w:noProof/>
          <w:sz w:val="24"/>
          <w:szCs w:val="24"/>
          <w:lang w:val="en-GB"/>
        </w:rPr>
        <w:t>Vizilatan</w:t>
      </w:r>
      <w:r w:rsidR="00BB207E" w:rsidRPr="00EB68C7">
        <w:rPr>
          <w:noProof/>
          <w:sz w:val="24"/>
          <w:szCs w:val="24"/>
          <w:lang w:val="en-GB"/>
        </w:rPr>
        <w:t xml:space="preserve"> </w:t>
      </w:r>
      <w:r w:rsidR="00BB207E" w:rsidRPr="00EB68C7">
        <w:rPr>
          <w:sz w:val="24"/>
          <w:szCs w:val="24"/>
          <w:lang w:val="en-GB"/>
        </w:rPr>
        <w:t>should be used with caution in patients with a history of herpetic keratitis, and should be avoided in cases of active herpes simplex keratitis and in patients with a history of recurrent herpetic keratitis specifically associated with prostaglandin analogues.</w:t>
      </w:r>
    </w:p>
    <w:p w14:paraId="1F42D928" w14:textId="77777777" w:rsidR="003E22ED" w:rsidRPr="00EB68C7" w:rsidRDefault="003E22ED" w:rsidP="00453C51">
      <w:pPr>
        <w:ind w:left="851"/>
        <w:rPr>
          <w:sz w:val="24"/>
          <w:szCs w:val="24"/>
          <w:lang w:val="en-GB"/>
        </w:rPr>
      </w:pPr>
    </w:p>
    <w:p w14:paraId="109DB845" w14:textId="29D9B008" w:rsidR="00BB207E" w:rsidRPr="00EB68C7" w:rsidRDefault="00BB207E" w:rsidP="00453C51">
      <w:pPr>
        <w:ind w:left="851"/>
        <w:rPr>
          <w:sz w:val="24"/>
          <w:szCs w:val="24"/>
          <w:lang w:val="en-GB"/>
        </w:rPr>
      </w:pPr>
      <w:r w:rsidRPr="00EB68C7">
        <w:rPr>
          <w:sz w:val="24"/>
          <w:szCs w:val="24"/>
          <w:lang w:val="en-GB"/>
        </w:rPr>
        <w:t>Reports of macular oedema have occurred (</w:t>
      </w:r>
      <w:r w:rsidRPr="00EB68C7">
        <w:rPr>
          <w:i/>
          <w:sz w:val="24"/>
          <w:szCs w:val="24"/>
          <w:lang w:val="en-GB"/>
        </w:rPr>
        <w:t>see section 4.8</w:t>
      </w:r>
      <w:r w:rsidRPr="00EB68C7">
        <w:rPr>
          <w:sz w:val="24"/>
          <w:szCs w:val="24"/>
          <w:lang w:val="en-GB"/>
        </w:rPr>
        <w:t xml:space="preserve">) mainly in aphakic patients, in </w:t>
      </w:r>
      <w:proofErr w:type="spellStart"/>
      <w:r w:rsidRPr="00EB68C7">
        <w:rPr>
          <w:sz w:val="24"/>
          <w:szCs w:val="24"/>
          <w:lang w:val="en-GB"/>
        </w:rPr>
        <w:t>pseudophakic</w:t>
      </w:r>
      <w:proofErr w:type="spellEnd"/>
      <w:r w:rsidRPr="00EB68C7">
        <w:rPr>
          <w:sz w:val="24"/>
          <w:szCs w:val="24"/>
          <w:lang w:val="en-GB"/>
        </w:rPr>
        <w:t xml:space="preserve"> patients with torn posterior lens capsule or anterior chamber lenses, or in patients with known risk factors for cystoid macular oedema (such as diabetic retinopathy and retinal vein occlusion). </w:t>
      </w:r>
      <w:r w:rsidR="007E759B" w:rsidRPr="00EB68C7">
        <w:rPr>
          <w:noProof/>
          <w:sz w:val="24"/>
          <w:szCs w:val="24"/>
          <w:lang w:val="en-GB"/>
        </w:rPr>
        <w:t>Vizilatan</w:t>
      </w:r>
      <w:r w:rsidRPr="00EB68C7">
        <w:rPr>
          <w:noProof/>
          <w:sz w:val="24"/>
          <w:szCs w:val="24"/>
          <w:lang w:val="en-GB"/>
        </w:rPr>
        <w:t xml:space="preserve"> </w:t>
      </w:r>
      <w:r w:rsidRPr="00EB68C7">
        <w:rPr>
          <w:sz w:val="24"/>
          <w:szCs w:val="24"/>
          <w:lang w:val="en-GB"/>
        </w:rPr>
        <w:t xml:space="preserve">should be used with caution in aphakic patients, in </w:t>
      </w:r>
      <w:proofErr w:type="spellStart"/>
      <w:r w:rsidRPr="00EB68C7">
        <w:rPr>
          <w:sz w:val="24"/>
          <w:szCs w:val="24"/>
          <w:lang w:val="en-GB"/>
        </w:rPr>
        <w:t>pseudophakic</w:t>
      </w:r>
      <w:proofErr w:type="spellEnd"/>
      <w:r w:rsidRPr="00EB68C7">
        <w:rPr>
          <w:sz w:val="24"/>
          <w:szCs w:val="24"/>
          <w:lang w:val="en-GB"/>
        </w:rPr>
        <w:t xml:space="preserve"> patients with torn posterior lens capsule or anterior chamber lenses, or in patients with known risk factors for cystoid macular oedema.</w:t>
      </w:r>
    </w:p>
    <w:p w14:paraId="0DB2F3EE" w14:textId="77777777" w:rsidR="00BB207E" w:rsidRPr="00EB68C7" w:rsidRDefault="00BB207E" w:rsidP="00453C51">
      <w:pPr>
        <w:ind w:left="851"/>
        <w:rPr>
          <w:sz w:val="24"/>
          <w:szCs w:val="24"/>
          <w:lang w:val="en-GB"/>
        </w:rPr>
      </w:pPr>
    </w:p>
    <w:p w14:paraId="2544A22B" w14:textId="73101144" w:rsidR="00BB207E" w:rsidRPr="00EB68C7" w:rsidRDefault="00BB207E" w:rsidP="00453C51">
      <w:pPr>
        <w:ind w:left="851"/>
        <w:rPr>
          <w:sz w:val="24"/>
          <w:szCs w:val="24"/>
          <w:lang w:val="en-GB"/>
        </w:rPr>
      </w:pPr>
      <w:r w:rsidRPr="00EB68C7">
        <w:rPr>
          <w:sz w:val="24"/>
          <w:szCs w:val="24"/>
          <w:lang w:val="en-GB"/>
        </w:rPr>
        <w:t xml:space="preserve">In patients with known predisposing risk factors for iritis/uveitis, </w:t>
      </w:r>
      <w:r w:rsidR="007E759B" w:rsidRPr="00EB68C7">
        <w:rPr>
          <w:noProof/>
          <w:sz w:val="24"/>
          <w:szCs w:val="24"/>
          <w:lang w:val="en-GB"/>
        </w:rPr>
        <w:t>Vizilatan</w:t>
      </w:r>
      <w:r w:rsidRPr="00EB68C7">
        <w:rPr>
          <w:noProof/>
          <w:sz w:val="24"/>
          <w:szCs w:val="24"/>
          <w:lang w:val="en-GB"/>
        </w:rPr>
        <w:t xml:space="preserve"> </w:t>
      </w:r>
      <w:r w:rsidR="003E22ED" w:rsidRPr="00EB68C7">
        <w:rPr>
          <w:sz w:val="24"/>
          <w:szCs w:val="24"/>
          <w:lang w:val="en-GB"/>
        </w:rPr>
        <w:t>must</w:t>
      </w:r>
      <w:r w:rsidRPr="00EB68C7">
        <w:rPr>
          <w:sz w:val="24"/>
          <w:szCs w:val="24"/>
          <w:lang w:val="en-GB"/>
        </w:rPr>
        <w:t xml:space="preserve"> be used with caution.</w:t>
      </w:r>
    </w:p>
    <w:p w14:paraId="550E01A5" w14:textId="77777777" w:rsidR="00BB207E" w:rsidRPr="00EB68C7" w:rsidRDefault="00BB207E" w:rsidP="00453C51">
      <w:pPr>
        <w:ind w:left="851"/>
        <w:rPr>
          <w:sz w:val="24"/>
          <w:szCs w:val="24"/>
          <w:lang w:val="en-GB"/>
        </w:rPr>
      </w:pPr>
    </w:p>
    <w:p w14:paraId="1561EF5C" w14:textId="76BCE401" w:rsidR="00BB207E" w:rsidRPr="00EB68C7" w:rsidRDefault="00BB207E" w:rsidP="00453C51">
      <w:pPr>
        <w:ind w:left="851"/>
        <w:rPr>
          <w:sz w:val="24"/>
          <w:szCs w:val="24"/>
          <w:lang w:val="en-GB"/>
        </w:rPr>
      </w:pPr>
      <w:r w:rsidRPr="00EB68C7">
        <w:rPr>
          <w:sz w:val="24"/>
          <w:szCs w:val="24"/>
          <w:lang w:val="en-GB"/>
        </w:rPr>
        <w:t>There is limited experience from patients with asthma, but some cases of exacerbation of asthma and/or dyspnoea were reported in post marketing experience. Asthmatic patients should therefore be treated with caution until there is sufficient experience</w:t>
      </w:r>
      <w:r w:rsidR="003E22ED" w:rsidRPr="00EB68C7">
        <w:rPr>
          <w:sz w:val="24"/>
          <w:szCs w:val="24"/>
          <w:lang w:val="en-GB"/>
        </w:rPr>
        <w:t xml:space="preserve"> (</w:t>
      </w:r>
      <w:r w:rsidR="003E22ED" w:rsidRPr="00EB68C7">
        <w:rPr>
          <w:i/>
          <w:iCs/>
          <w:sz w:val="24"/>
          <w:szCs w:val="24"/>
          <w:lang w:val="en-GB"/>
        </w:rPr>
        <w:t>see also section 4.8</w:t>
      </w:r>
      <w:r w:rsidR="003E22ED" w:rsidRPr="00EB68C7">
        <w:rPr>
          <w:sz w:val="24"/>
          <w:szCs w:val="24"/>
          <w:lang w:val="en-GB"/>
        </w:rPr>
        <w:t>).</w:t>
      </w:r>
    </w:p>
    <w:p w14:paraId="69285CC8" w14:textId="77777777" w:rsidR="00BB207E" w:rsidRPr="00EB68C7" w:rsidRDefault="00BB207E" w:rsidP="00453C51">
      <w:pPr>
        <w:ind w:left="851"/>
        <w:rPr>
          <w:sz w:val="24"/>
          <w:szCs w:val="24"/>
          <w:lang w:val="en-GB"/>
        </w:rPr>
      </w:pPr>
    </w:p>
    <w:p w14:paraId="4C7C65FB" w14:textId="5C63E0C8" w:rsidR="00BB207E" w:rsidRPr="00EB68C7" w:rsidRDefault="00BB207E" w:rsidP="00453C51">
      <w:pPr>
        <w:ind w:left="851"/>
        <w:rPr>
          <w:sz w:val="24"/>
          <w:szCs w:val="24"/>
          <w:lang w:val="en-GB"/>
        </w:rPr>
      </w:pPr>
      <w:r w:rsidRPr="00EB68C7">
        <w:rPr>
          <w:sz w:val="24"/>
          <w:szCs w:val="24"/>
          <w:lang w:val="en-GB"/>
        </w:rPr>
        <w:t>Periorbital skin discolouration has been observed, the majority of reports being in Japanese patients. Experience to date shows that periorbital skin discolouration is not permanent and</w:t>
      </w:r>
      <w:r w:rsidR="00EB68C7">
        <w:rPr>
          <w:sz w:val="24"/>
          <w:szCs w:val="24"/>
          <w:lang w:val="en-GB"/>
        </w:rPr>
        <w:t>,</w:t>
      </w:r>
      <w:r w:rsidRPr="00EB68C7">
        <w:rPr>
          <w:sz w:val="24"/>
          <w:szCs w:val="24"/>
          <w:lang w:val="en-GB"/>
        </w:rPr>
        <w:t xml:space="preserve"> in some cases has reversed while continuing treatment with </w:t>
      </w:r>
      <w:r w:rsidRPr="00EB68C7">
        <w:rPr>
          <w:noProof/>
          <w:sz w:val="24"/>
          <w:szCs w:val="24"/>
          <w:lang w:val="en-GB"/>
        </w:rPr>
        <w:t>latanoprost</w:t>
      </w:r>
      <w:r w:rsidRPr="00EB68C7">
        <w:rPr>
          <w:sz w:val="24"/>
          <w:szCs w:val="24"/>
          <w:lang w:val="en-GB"/>
        </w:rPr>
        <w:t>.</w:t>
      </w:r>
    </w:p>
    <w:p w14:paraId="5B613BA7" w14:textId="77777777" w:rsidR="00BB207E" w:rsidRPr="00EB68C7" w:rsidRDefault="00BB207E" w:rsidP="00453C51">
      <w:pPr>
        <w:ind w:left="851"/>
        <w:rPr>
          <w:sz w:val="24"/>
          <w:szCs w:val="24"/>
          <w:lang w:val="en-GB"/>
        </w:rPr>
      </w:pPr>
    </w:p>
    <w:p w14:paraId="3C3A5DF8" w14:textId="3793FFB3" w:rsidR="00BB207E" w:rsidRPr="00EB68C7" w:rsidRDefault="003E22ED" w:rsidP="00453C51">
      <w:pPr>
        <w:ind w:left="851"/>
        <w:rPr>
          <w:sz w:val="24"/>
          <w:szCs w:val="24"/>
          <w:lang w:val="en-GB"/>
        </w:rPr>
      </w:pPr>
      <w:proofErr w:type="spellStart"/>
      <w:r w:rsidRPr="00EB68C7">
        <w:rPr>
          <w:sz w:val="24"/>
          <w:szCs w:val="24"/>
          <w:lang w:val="en-GB"/>
        </w:rPr>
        <w:t>Vizilatan</w:t>
      </w:r>
      <w:proofErr w:type="spellEnd"/>
      <w:r w:rsidR="00BB207E" w:rsidRPr="00EB68C7">
        <w:rPr>
          <w:sz w:val="24"/>
          <w:szCs w:val="24"/>
          <w:lang w:val="en-GB"/>
        </w:rPr>
        <w:t xml:space="preserve"> may gradually change eyelashes and vellus hair in the treated eye and surrounding areas; these changes include increased length, thickness, pigmentation, number of lashes or hairs and misdirected growth of eyelashes. Eyelash changes are reversible upon discontinuation of treatment.</w:t>
      </w:r>
    </w:p>
    <w:p w14:paraId="2B63C8D8" w14:textId="77777777" w:rsidR="00BB207E" w:rsidRPr="00EB68C7" w:rsidRDefault="00BB207E" w:rsidP="00453C51">
      <w:pPr>
        <w:ind w:left="851"/>
        <w:rPr>
          <w:sz w:val="24"/>
          <w:szCs w:val="24"/>
          <w:lang w:val="en-GB"/>
        </w:rPr>
      </w:pPr>
    </w:p>
    <w:p w14:paraId="2E1CD046" w14:textId="77777777" w:rsidR="00BB207E" w:rsidRPr="00EB68C7" w:rsidRDefault="00BB207E" w:rsidP="00453C51">
      <w:pPr>
        <w:tabs>
          <w:tab w:val="left" w:pos="1304"/>
        </w:tabs>
        <w:ind w:left="851"/>
        <w:rPr>
          <w:sz w:val="24"/>
          <w:szCs w:val="24"/>
          <w:u w:val="single"/>
          <w:lang w:val="en-GB"/>
        </w:rPr>
      </w:pPr>
      <w:r w:rsidRPr="00EB68C7">
        <w:rPr>
          <w:sz w:val="24"/>
          <w:szCs w:val="24"/>
          <w:u w:val="single"/>
          <w:lang w:val="en-GB"/>
        </w:rPr>
        <w:t xml:space="preserve">Paediatric population </w:t>
      </w:r>
    </w:p>
    <w:p w14:paraId="226EE40D" w14:textId="77777777" w:rsidR="00BB207E" w:rsidRPr="00EB68C7" w:rsidRDefault="00BB207E" w:rsidP="00453C51">
      <w:pPr>
        <w:ind w:left="851"/>
        <w:rPr>
          <w:sz w:val="24"/>
          <w:szCs w:val="24"/>
          <w:lang w:val="en-GB"/>
        </w:rPr>
      </w:pPr>
      <w:r w:rsidRPr="00EB68C7">
        <w:rPr>
          <w:sz w:val="24"/>
          <w:szCs w:val="24"/>
          <w:lang w:val="en-GB"/>
        </w:rPr>
        <w:t>Efficacy and safety data in the age group &lt; 1 year (4 patients) are very limited (see section 5.1). No data are available for preterm infants (less than 36 weeks gestational age).</w:t>
      </w:r>
    </w:p>
    <w:p w14:paraId="132F794D" w14:textId="77777777" w:rsidR="00BB207E" w:rsidRPr="00EB68C7" w:rsidRDefault="00BB207E" w:rsidP="00453C51">
      <w:pPr>
        <w:ind w:left="851"/>
        <w:rPr>
          <w:sz w:val="24"/>
          <w:szCs w:val="24"/>
          <w:lang w:val="en-GB"/>
        </w:rPr>
      </w:pPr>
    </w:p>
    <w:p w14:paraId="1F4D49C1" w14:textId="77777777" w:rsidR="00BB207E" w:rsidRPr="00EB68C7" w:rsidRDefault="00BB207E" w:rsidP="00453C51">
      <w:pPr>
        <w:ind w:left="851"/>
        <w:rPr>
          <w:sz w:val="24"/>
          <w:szCs w:val="24"/>
          <w:lang w:val="en-GB"/>
        </w:rPr>
      </w:pPr>
      <w:r w:rsidRPr="00EB68C7">
        <w:rPr>
          <w:sz w:val="24"/>
          <w:szCs w:val="24"/>
          <w:lang w:val="en-GB"/>
        </w:rPr>
        <w:t>In children from 0 to &lt; 3 years old that mainly suffer from primary congenital glaucoma (PCG), surgery (e.g. trabeculotomy/goniotomy) remains the first line treatment.</w:t>
      </w:r>
    </w:p>
    <w:p w14:paraId="73132F3A" w14:textId="77777777" w:rsidR="00BB207E" w:rsidRPr="00EB68C7" w:rsidRDefault="00BB207E" w:rsidP="00453C51">
      <w:pPr>
        <w:ind w:left="851"/>
        <w:rPr>
          <w:sz w:val="24"/>
          <w:szCs w:val="24"/>
          <w:lang w:val="en-GB"/>
        </w:rPr>
      </w:pPr>
    </w:p>
    <w:p w14:paraId="4207B42A" w14:textId="77777777" w:rsidR="00BB207E" w:rsidRPr="00EB68C7" w:rsidRDefault="00BB207E" w:rsidP="00453C51">
      <w:pPr>
        <w:ind w:left="851"/>
        <w:rPr>
          <w:sz w:val="24"/>
          <w:szCs w:val="24"/>
          <w:lang w:val="en-GB"/>
        </w:rPr>
      </w:pPr>
      <w:r w:rsidRPr="00EB68C7">
        <w:rPr>
          <w:sz w:val="24"/>
          <w:szCs w:val="24"/>
          <w:lang w:val="en-GB"/>
        </w:rPr>
        <w:t>Long-term safety in children has not yet been established.</w:t>
      </w:r>
    </w:p>
    <w:p w14:paraId="3C977EE8" w14:textId="77777777" w:rsidR="00BB207E" w:rsidRPr="00EB68C7" w:rsidRDefault="00BB207E" w:rsidP="00453C51">
      <w:pPr>
        <w:ind w:left="851"/>
        <w:rPr>
          <w:sz w:val="24"/>
          <w:szCs w:val="24"/>
          <w:lang w:val="en-GB"/>
        </w:rPr>
      </w:pPr>
    </w:p>
    <w:p w14:paraId="1AEC6758" w14:textId="77777777" w:rsidR="00BB207E" w:rsidRPr="00EB68C7" w:rsidRDefault="00BB207E" w:rsidP="00453C51">
      <w:pPr>
        <w:ind w:left="851"/>
        <w:rPr>
          <w:sz w:val="24"/>
          <w:szCs w:val="24"/>
          <w:u w:val="single"/>
          <w:lang w:val="en-GB"/>
        </w:rPr>
      </w:pPr>
      <w:r w:rsidRPr="00EB68C7">
        <w:rPr>
          <w:sz w:val="24"/>
          <w:szCs w:val="24"/>
          <w:u w:val="single"/>
          <w:lang w:val="en-GB" w:bidi="en-US"/>
        </w:rPr>
        <w:t>Excipients</w:t>
      </w:r>
    </w:p>
    <w:p w14:paraId="13B5542C" w14:textId="77777777" w:rsidR="003E22ED" w:rsidRPr="00EB68C7" w:rsidRDefault="007E759B" w:rsidP="003E22ED">
      <w:pPr>
        <w:ind w:left="851"/>
        <w:rPr>
          <w:sz w:val="24"/>
          <w:szCs w:val="24"/>
          <w:lang w:val="en-GB" w:bidi="en-US"/>
        </w:rPr>
      </w:pPr>
      <w:proofErr w:type="spellStart"/>
      <w:r w:rsidRPr="00EB68C7">
        <w:rPr>
          <w:sz w:val="24"/>
          <w:szCs w:val="24"/>
          <w:lang w:val="en-GB" w:bidi="en-US"/>
        </w:rPr>
        <w:t>Vizilatan</w:t>
      </w:r>
      <w:proofErr w:type="spellEnd"/>
      <w:r w:rsidR="00BB207E" w:rsidRPr="00EB68C7">
        <w:rPr>
          <w:sz w:val="24"/>
          <w:szCs w:val="24"/>
          <w:lang w:val="en-GB" w:bidi="en-US"/>
        </w:rPr>
        <w:t xml:space="preserve"> </w:t>
      </w:r>
      <w:r w:rsidR="003E22ED" w:rsidRPr="00EB68C7">
        <w:rPr>
          <w:sz w:val="24"/>
          <w:szCs w:val="24"/>
          <w:lang w:val="en-GB" w:bidi="en-US"/>
        </w:rPr>
        <w:t xml:space="preserve">contains </w:t>
      </w:r>
      <w:proofErr w:type="spellStart"/>
      <w:r w:rsidR="003E22ED" w:rsidRPr="00EB68C7">
        <w:rPr>
          <w:sz w:val="24"/>
          <w:szCs w:val="24"/>
          <w:lang w:val="en-GB" w:bidi="en-US"/>
        </w:rPr>
        <w:t>macrogolglycerol</w:t>
      </w:r>
      <w:proofErr w:type="spellEnd"/>
      <w:r w:rsidR="003E22ED" w:rsidRPr="00EB68C7">
        <w:rPr>
          <w:sz w:val="24"/>
          <w:szCs w:val="24"/>
          <w:lang w:val="en-GB" w:bidi="en-US"/>
        </w:rPr>
        <w:t xml:space="preserve"> </w:t>
      </w:r>
      <w:proofErr w:type="spellStart"/>
      <w:r w:rsidR="003E22ED" w:rsidRPr="00EB68C7">
        <w:rPr>
          <w:sz w:val="24"/>
          <w:szCs w:val="24"/>
          <w:lang w:val="en-GB" w:bidi="en-US"/>
        </w:rPr>
        <w:t>hydroxystearate</w:t>
      </w:r>
      <w:proofErr w:type="spellEnd"/>
      <w:r w:rsidR="003E22ED" w:rsidRPr="00EB68C7">
        <w:rPr>
          <w:sz w:val="24"/>
          <w:szCs w:val="24"/>
          <w:lang w:val="en-GB" w:bidi="en-US"/>
        </w:rPr>
        <w:t xml:space="preserve"> 40, which may cause skin reactions.</w:t>
      </w:r>
    </w:p>
    <w:p w14:paraId="2E6AE3FE" w14:textId="3EDC7836" w:rsidR="003E22ED" w:rsidRPr="00EB68C7" w:rsidRDefault="003E22ED" w:rsidP="003E22ED">
      <w:pPr>
        <w:ind w:left="851"/>
        <w:rPr>
          <w:sz w:val="24"/>
          <w:szCs w:val="24"/>
          <w:lang w:val="en-GB"/>
        </w:rPr>
      </w:pPr>
      <w:r w:rsidRPr="00EB68C7">
        <w:rPr>
          <w:sz w:val="24"/>
          <w:szCs w:val="24"/>
          <w:lang w:val="en-GB"/>
        </w:rPr>
        <w:t>This medicine contains 0.19 mg phosphates in each drop which is equivalent to 6.79 mg/ml.</w:t>
      </w:r>
    </w:p>
    <w:p w14:paraId="7FD70573" w14:textId="77777777" w:rsidR="007C5D2A" w:rsidRPr="00EB68C7" w:rsidRDefault="007C5D2A" w:rsidP="003E22ED">
      <w:pPr>
        <w:tabs>
          <w:tab w:val="left" w:pos="851"/>
        </w:tabs>
        <w:ind w:left="851"/>
        <w:rPr>
          <w:sz w:val="24"/>
          <w:szCs w:val="24"/>
          <w:lang w:val="en-GB"/>
        </w:rPr>
      </w:pPr>
    </w:p>
    <w:p w14:paraId="76F8F899" w14:textId="77777777" w:rsidR="007C5D2A" w:rsidRPr="00EB68C7" w:rsidRDefault="007C5D2A" w:rsidP="007C5D2A">
      <w:pPr>
        <w:ind w:left="851" w:hanging="851"/>
        <w:rPr>
          <w:b/>
          <w:sz w:val="24"/>
          <w:szCs w:val="24"/>
          <w:lang w:val="en-GB"/>
        </w:rPr>
      </w:pPr>
      <w:r w:rsidRPr="00EB68C7">
        <w:rPr>
          <w:b/>
          <w:sz w:val="24"/>
          <w:szCs w:val="24"/>
          <w:lang w:val="en-GB"/>
        </w:rPr>
        <w:t>4.5</w:t>
      </w:r>
      <w:r w:rsidRPr="00EB68C7">
        <w:rPr>
          <w:b/>
          <w:sz w:val="24"/>
          <w:szCs w:val="24"/>
          <w:lang w:val="en-GB"/>
        </w:rPr>
        <w:tab/>
        <w:t>Interaction with other medicinal products and other forms of interaction</w:t>
      </w:r>
    </w:p>
    <w:p w14:paraId="195C3518" w14:textId="77777777" w:rsidR="00BB207E" w:rsidRPr="00EB68C7" w:rsidRDefault="00BB207E" w:rsidP="00453C51">
      <w:pPr>
        <w:ind w:left="851"/>
        <w:rPr>
          <w:sz w:val="24"/>
          <w:szCs w:val="24"/>
          <w:lang w:val="en-GB"/>
        </w:rPr>
      </w:pPr>
      <w:r w:rsidRPr="00EB68C7">
        <w:rPr>
          <w:sz w:val="24"/>
          <w:szCs w:val="24"/>
          <w:lang w:val="en-GB"/>
        </w:rPr>
        <w:t>Definitive drug interaction data are not available.</w:t>
      </w:r>
    </w:p>
    <w:p w14:paraId="016D930B" w14:textId="77777777" w:rsidR="00BB207E" w:rsidRPr="00EB68C7" w:rsidRDefault="00BB207E" w:rsidP="00453C51">
      <w:pPr>
        <w:ind w:left="851"/>
        <w:rPr>
          <w:sz w:val="24"/>
          <w:szCs w:val="24"/>
          <w:lang w:val="en-GB"/>
        </w:rPr>
      </w:pPr>
    </w:p>
    <w:p w14:paraId="63AEBEBF" w14:textId="33607421" w:rsidR="00BB207E" w:rsidRPr="00EB68C7" w:rsidRDefault="00BB207E" w:rsidP="00453C51">
      <w:pPr>
        <w:ind w:left="851"/>
        <w:rPr>
          <w:sz w:val="24"/>
          <w:szCs w:val="24"/>
          <w:lang w:val="en-GB"/>
        </w:rPr>
      </w:pPr>
      <w:r w:rsidRPr="00EB68C7">
        <w:rPr>
          <w:sz w:val="24"/>
          <w:szCs w:val="24"/>
          <w:lang w:val="en-GB"/>
        </w:rPr>
        <w:t>There have been reports of paradoxical elevations in IOP following the concomitant ophthalmic administration of two prostaglandin analogues. Therefore, the use of two or more prostaglandins, prostaglandin analogues or prostaglandin derivatives is not recommended.</w:t>
      </w:r>
    </w:p>
    <w:p w14:paraId="41D8969B" w14:textId="77777777" w:rsidR="00BB207E" w:rsidRPr="00EB68C7" w:rsidRDefault="00BB207E" w:rsidP="00453C51">
      <w:pPr>
        <w:ind w:left="851"/>
        <w:rPr>
          <w:sz w:val="24"/>
          <w:szCs w:val="24"/>
          <w:lang w:val="en-GB"/>
        </w:rPr>
      </w:pPr>
    </w:p>
    <w:p w14:paraId="2D1688DC" w14:textId="77777777" w:rsidR="00BB207E" w:rsidRPr="00EB68C7" w:rsidRDefault="00BB207E" w:rsidP="00453C51">
      <w:pPr>
        <w:tabs>
          <w:tab w:val="left" w:pos="1304"/>
        </w:tabs>
        <w:ind w:left="851"/>
        <w:rPr>
          <w:noProof/>
          <w:sz w:val="24"/>
          <w:szCs w:val="24"/>
          <w:lang w:val="en-GB"/>
        </w:rPr>
      </w:pPr>
      <w:r w:rsidRPr="00EB68C7">
        <w:rPr>
          <w:noProof/>
          <w:sz w:val="24"/>
          <w:szCs w:val="24"/>
          <w:lang w:val="en-GB"/>
        </w:rPr>
        <w:t>Paediatric population</w:t>
      </w:r>
    </w:p>
    <w:p w14:paraId="548D1D83" w14:textId="77777777" w:rsidR="00BB207E" w:rsidRPr="00EB68C7" w:rsidRDefault="00BB207E" w:rsidP="00453C51">
      <w:pPr>
        <w:ind w:left="851"/>
        <w:rPr>
          <w:sz w:val="24"/>
          <w:szCs w:val="24"/>
          <w:lang w:val="en-GB"/>
        </w:rPr>
      </w:pPr>
      <w:r w:rsidRPr="00EB68C7">
        <w:rPr>
          <w:sz w:val="24"/>
          <w:szCs w:val="24"/>
          <w:lang w:val="en-GB"/>
        </w:rPr>
        <w:t>Interaction studies have only been performed in adults.</w:t>
      </w:r>
    </w:p>
    <w:p w14:paraId="096C6AA3" w14:textId="77777777" w:rsidR="007C5D2A" w:rsidRPr="00EB68C7" w:rsidRDefault="007C5D2A" w:rsidP="003E0341">
      <w:pPr>
        <w:tabs>
          <w:tab w:val="left" w:pos="851"/>
        </w:tabs>
        <w:ind w:left="851"/>
        <w:rPr>
          <w:sz w:val="24"/>
          <w:szCs w:val="24"/>
          <w:lang w:val="en-GB"/>
        </w:rPr>
      </w:pPr>
    </w:p>
    <w:p w14:paraId="1F43A71D"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4.6</w:t>
      </w:r>
      <w:r w:rsidRPr="00EB68C7">
        <w:rPr>
          <w:b/>
          <w:sz w:val="24"/>
          <w:szCs w:val="24"/>
          <w:lang w:val="en-GB"/>
        </w:rPr>
        <w:tab/>
      </w:r>
      <w:r w:rsidR="004860D3" w:rsidRPr="00EB68C7">
        <w:rPr>
          <w:b/>
          <w:sz w:val="24"/>
          <w:szCs w:val="24"/>
          <w:lang w:val="en-GB"/>
        </w:rPr>
        <w:t>Fertility, p</w:t>
      </w:r>
      <w:r w:rsidRPr="00EB68C7">
        <w:rPr>
          <w:b/>
          <w:sz w:val="24"/>
          <w:szCs w:val="24"/>
          <w:lang w:val="en-GB"/>
        </w:rPr>
        <w:t>regnancy and lactation</w:t>
      </w:r>
    </w:p>
    <w:p w14:paraId="1D03F684" w14:textId="77777777" w:rsidR="006F209F" w:rsidRPr="00EB68C7" w:rsidRDefault="006F209F" w:rsidP="00453C51">
      <w:pPr>
        <w:ind w:left="851"/>
        <w:rPr>
          <w:noProof/>
          <w:sz w:val="24"/>
          <w:szCs w:val="24"/>
          <w:u w:val="single"/>
          <w:lang w:val="en-GB"/>
        </w:rPr>
      </w:pPr>
    </w:p>
    <w:p w14:paraId="1D400E6B" w14:textId="3360A0C2" w:rsidR="00BB207E" w:rsidRPr="00EB68C7" w:rsidRDefault="00BB207E" w:rsidP="00453C51">
      <w:pPr>
        <w:ind w:left="851"/>
        <w:rPr>
          <w:noProof/>
          <w:sz w:val="24"/>
          <w:szCs w:val="24"/>
          <w:u w:val="single"/>
          <w:lang w:val="en-GB"/>
        </w:rPr>
      </w:pPr>
      <w:r w:rsidRPr="00EB68C7">
        <w:rPr>
          <w:noProof/>
          <w:sz w:val="24"/>
          <w:szCs w:val="24"/>
          <w:u w:val="single"/>
          <w:lang w:val="en-GB"/>
        </w:rPr>
        <w:t>Pregnancy</w:t>
      </w:r>
    </w:p>
    <w:p w14:paraId="3D75EC7F" w14:textId="459A4E1C" w:rsidR="00BB207E" w:rsidRPr="00EB68C7" w:rsidRDefault="00BB207E" w:rsidP="00453C51">
      <w:pPr>
        <w:ind w:left="851"/>
        <w:rPr>
          <w:noProof/>
          <w:sz w:val="24"/>
          <w:szCs w:val="24"/>
          <w:lang w:val="en-GB"/>
        </w:rPr>
      </w:pPr>
      <w:r w:rsidRPr="00EB68C7">
        <w:rPr>
          <w:noProof/>
          <w:sz w:val="24"/>
          <w:szCs w:val="24"/>
          <w:lang w:val="en-GB"/>
        </w:rPr>
        <w:t xml:space="preserve">The safety of </w:t>
      </w:r>
      <w:r w:rsidRPr="00EB68C7">
        <w:rPr>
          <w:sz w:val="24"/>
          <w:szCs w:val="24"/>
          <w:lang w:val="en-GB"/>
        </w:rPr>
        <w:t xml:space="preserve">latanoprost </w:t>
      </w:r>
      <w:r w:rsidRPr="00EB68C7">
        <w:rPr>
          <w:noProof/>
          <w:sz w:val="24"/>
          <w:szCs w:val="24"/>
          <w:lang w:val="en-GB"/>
        </w:rPr>
        <w:t xml:space="preserve">for use in human pregnancy has not been established. It has potential hazardous pharmacological effects with respect to the course of pregnancy, to the unborn or the neonate. Therefore, </w:t>
      </w:r>
      <w:r w:rsidR="007E759B" w:rsidRPr="00EB68C7">
        <w:rPr>
          <w:noProof/>
          <w:sz w:val="24"/>
          <w:szCs w:val="24"/>
          <w:lang w:val="en-GB"/>
        </w:rPr>
        <w:t>Vizilatan</w:t>
      </w:r>
      <w:r w:rsidRPr="00EB68C7">
        <w:rPr>
          <w:noProof/>
          <w:sz w:val="24"/>
          <w:szCs w:val="24"/>
          <w:lang w:val="en-GB"/>
        </w:rPr>
        <w:t xml:space="preserve"> should not be used during pregnancy.</w:t>
      </w:r>
    </w:p>
    <w:p w14:paraId="6FFEA4DE" w14:textId="77777777" w:rsidR="00BB207E" w:rsidRPr="00EB68C7" w:rsidRDefault="00BB207E" w:rsidP="00453C51">
      <w:pPr>
        <w:ind w:left="851"/>
        <w:rPr>
          <w:noProof/>
          <w:sz w:val="24"/>
          <w:szCs w:val="24"/>
          <w:u w:val="single"/>
          <w:lang w:val="en-GB"/>
        </w:rPr>
      </w:pPr>
    </w:p>
    <w:p w14:paraId="1707C599" w14:textId="77777777" w:rsidR="00BB207E" w:rsidRPr="00EB68C7" w:rsidRDefault="00BB207E" w:rsidP="00453C51">
      <w:pPr>
        <w:ind w:left="851"/>
        <w:rPr>
          <w:noProof/>
          <w:sz w:val="24"/>
          <w:szCs w:val="24"/>
          <w:u w:val="single"/>
          <w:lang w:val="en-GB"/>
        </w:rPr>
      </w:pPr>
      <w:r w:rsidRPr="00EB68C7">
        <w:rPr>
          <w:noProof/>
          <w:sz w:val="24"/>
          <w:szCs w:val="24"/>
          <w:u w:val="single"/>
          <w:lang w:val="en-GB"/>
        </w:rPr>
        <w:t>Breast-feeding</w:t>
      </w:r>
    </w:p>
    <w:p w14:paraId="20343642" w14:textId="3E33A2B3" w:rsidR="00BB207E" w:rsidRPr="00EB68C7" w:rsidRDefault="00BB207E" w:rsidP="00453C51">
      <w:pPr>
        <w:ind w:left="851"/>
        <w:rPr>
          <w:noProof/>
          <w:sz w:val="24"/>
          <w:szCs w:val="24"/>
          <w:lang w:val="en-GB"/>
        </w:rPr>
      </w:pPr>
      <w:r w:rsidRPr="00EB68C7">
        <w:rPr>
          <w:noProof/>
          <w:sz w:val="24"/>
          <w:szCs w:val="24"/>
          <w:lang w:val="en-GB"/>
        </w:rPr>
        <w:t xml:space="preserve">Latanoprost and its metabolites may pass into breast milk and </w:t>
      </w:r>
      <w:r w:rsidR="007E759B" w:rsidRPr="00EB68C7">
        <w:rPr>
          <w:noProof/>
          <w:sz w:val="24"/>
          <w:szCs w:val="24"/>
          <w:lang w:val="en-GB"/>
        </w:rPr>
        <w:t>Vizilatan</w:t>
      </w:r>
      <w:r w:rsidRPr="00EB68C7">
        <w:rPr>
          <w:noProof/>
          <w:sz w:val="24"/>
          <w:szCs w:val="24"/>
          <w:lang w:val="en-GB"/>
        </w:rPr>
        <w:t xml:space="preserve"> should therefore not be used in breast-feeding women or breast-feeding should be stopped.</w:t>
      </w:r>
    </w:p>
    <w:p w14:paraId="0E1233E2" w14:textId="77777777" w:rsidR="00BB207E" w:rsidRPr="00EB68C7" w:rsidRDefault="00BB207E" w:rsidP="00453C51">
      <w:pPr>
        <w:ind w:left="851"/>
        <w:rPr>
          <w:noProof/>
          <w:sz w:val="24"/>
          <w:szCs w:val="24"/>
          <w:u w:val="single"/>
          <w:lang w:val="en-GB"/>
        </w:rPr>
      </w:pPr>
    </w:p>
    <w:p w14:paraId="6B5D1787" w14:textId="77777777" w:rsidR="00BB207E" w:rsidRPr="00EB68C7" w:rsidRDefault="00BB207E" w:rsidP="00453C51">
      <w:pPr>
        <w:ind w:left="851"/>
        <w:rPr>
          <w:noProof/>
          <w:sz w:val="24"/>
          <w:szCs w:val="24"/>
          <w:u w:val="single"/>
          <w:lang w:val="en-GB"/>
        </w:rPr>
      </w:pPr>
      <w:r w:rsidRPr="00EB68C7">
        <w:rPr>
          <w:noProof/>
          <w:sz w:val="24"/>
          <w:szCs w:val="24"/>
          <w:u w:val="single"/>
          <w:lang w:val="en-GB"/>
        </w:rPr>
        <w:t>Fertility</w:t>
      </w:r>
    </w:p>
    <w:p w14:paraId="6D5C793F" w14:textId="77777777" w:rsidR="00BB207E" w:rsidRPr="00EB68C7" w:rsidRDefault="00BB207E" w:rsidP="00453C51">
      <w:pPr>
        <w:tabs>
          <w:tab w:val="left" w:pos="0"/>
        </w:tabs>
        <w:ind w:left="851"/>
        <w:rPr>
          <w:sz w:val="24"/>
          <w:szCs w:val="24"/>
          <w:lang w:val="en-GB"/>
        </w:rPr>
      </w:pPr>
      <w:r w:rsidRPr="00EB68C7">
        <w:rPr>
          <w:sz w:val="24"/>
          <w:szCs w:val="24"/>
          <w:lang w:val="en-GB"/>
        </w:rPr>
        <w:t>Latanoprost has not been found to have any effect on male or female fertility</w:t>
      </w:r>
      <w:r w:rsidRPr="00EB68C7">
        <w:rPr>
          <w:bCs/>
          <w:sz w:val="24"/>
          <w:szCs w:val="24"/>
          <w:lang w:val="en-GB"/>
        </w:rPr>
        <w:t xml:space="preserve"> </w:t>
      </w:r>
      <w:r w:rsidRPr="00EB68C7">
        <w:rPr>
          <w:sz w:val="24"/>
          <w:szCs w:val="24"/>
          <w:lang w:val="en-GB"/>
        </w:rPr>
        <w:t>in animal studies (</w:t>
      </w:r>
      <w:r w:rsidRPr="00EB68C7">
        <w:rPr>
          <w:i/>
          <w:sz w:val="24"/>
          <w:szCs w:val="24"/>
          <w:lang w:val="en-GB"/>
        </w:rPr>
        <w:t>see section 5.3</w:t>
      </w:r>
      <w:r w:rsidRPr="00EB68C7">
        <w:rPr>
          <w:sz w:val="24"/>
          <w:szCs w:val="24"/>
          <w:lang w:val="en-GB"/>
        </w:rPr>
        <w:t>).</w:t>
      </w:r>
    </w:p>
    <w:p w14:paraId="12555E66" w14:textId="77777777" w:rsidR="007C5D2A" w:rsidRPr="00EB68C7" w:rsidRDefault="007C5D2A" w:rsidP="003E0341">
      <w:pPr>
        <w:tabs>
          <w:tab w:val="left" w:pos="851"/>
        </w:tabs>
        <w:ind w:left="851"/>
        <w:rPr>
          <w:sz w:val="24"/>
          <w:szCs w:val="24"/>
          <w:lang w:val="en-GB"/>
        </w:rPr>
      </w:pPr>
    </w:p>
    <w:p w14:paraId="70132D05"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4.7</w:t>
      </w:r>
      <w:r w:rsidRPr="00EB68C7">
        <w:rPr>
          <w:b/>
          <w:sz w:val="24"/>
          <w:szCs w:val="24"/>
          <w:lang w:val="en-GB"/>
        </w:rPr>
        <w:tab/>
        <w:t>Effects on ability to drive and use machines</w:t>
      </w:r>
    </w:p>
    <w:p w14:paraId="64D1849A" w14:textId="77777777" w:rsidR="00E024B5" w:rsidRPr="00EB68C7" w:rsidRDefault="00E024B5" w:rsidP="00453C51">
      <w:pPr>
        <w:ind w:left="851"/>
        <w:rPr>
          <w:noProof/>
          <w:sz w:val="24"/>
          <w:szCs w:val="24"/>
          <w:lang w:val="en-GB"/>
        </w:rPr>
      </w:pPr>
      <w:r w:rsidRPr="00EB68C7">
        <w:rPr>
          <w:noProof/>
          <w:sz w:val="24"/>
          <w:szCs w:val="24"/>
          <w:lang w:val="en-GB"/>
        </w:rPr>
        <w:t>No traffic warning.</w:t>
      </w:r>
    </w:p>
    <w:p w14:paraId="310C3689" w14:textId="7EB340CE" w:rsidR="00956842" w:rsidRPr="00EB68C7" w:rsidRDefault="007E759B" w:rsidP="000D6B3D">
      <w:pPr>
        <w:ind w:left="851"/>
        <w:rPr>
          <w:sz w:val="24"/>
          <w:szCs w:val="24"/>
          <w:lang w:val="en-GB"/>
        </w:rPr>
      </w:pPr>
      <w:r w:rsidRPr="00EB68C7">
        <w:rPr>
          <w:noProof/>
          <w:sz w:val="24"/>
          <w:szCs w:val="24"/>
          <w:lang w:val="en-GB"/>
        </w:rPr>
        <w:t>Vizilatan</w:t>
      </w:r>
      <w:r w:rsidR="00BB207E" w:rsidRPr="00EB68C7">
        <w:rPr>
          <w:noProof/>
          <w:sz w:val="24"/>
          <w:szCs w:val="24"/>
          <w:lang w:val="en-GB"/>
        </w:rPr>
        <w:t xml:space="preserve"> has minor influence on the ability to drive and use machines. </w:t>
      </w:r>
      <w:r w:rsidR="00BB207E" w:rsidRPr="00EB68C7">
        <w:rPr>
          <w:sz w:val="24"/>
          <w:szCs w:val="24"/>
          <w:lang w:val="en-GB"/>
        </w:rPr>
        <w:t>In common with other eye preparations, instillation of eye drops may cause transient blurring of vision. Until this has resolved, patients should not drive or use machines.</w:t>
      </w:r>
    </w:p>
    <w:p w14:paraId="7332A1CE" w14:textId="77777777" w:rsidR="007C5D2A" w:rsidRPr="00EB68C7" w:rsidRDefault="007C5D2A" w:rsidP="003E0341">
      <w:pPr>
        <w:tabs>
          <w:tab w:val="left" w:pos="851"/>
        </w:tabs>
        <w:ind w:left="851"/>
        <w:rPr>
          <w:sz w:val="24"/>
          <w:szCs w:val="24"/>
          <w:lang w:val="en-GB"/>
        </w:rPr>
      </w:pPr>
    </w:p>
    <w:p w14:paraId="3C94F2CC"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4.8</w:t>
      </w:r>
      <w:r w:rsidRPr="00EB68C7">
        <w:rPr>
          <w:b/>
          <w:sz w:val="24"/>
          <w:szCs w:val="24"/>
          <w:lang w:val="en-GB"/>
        </w:rPr>
        <w:tab/>
        <w:t>Undesirable effects</w:t>
      </w:r>
    </w:p>
    <w:p w14:paraId="070A1EB0" w14:textId="77777777" w:rsidR="00EB68C7" w:rsidRDefault="00EB68C7" w:rsidP="00EB68C7">
      <w:pPr>
        <w:ind w:left="851"/>
        <w:rPr>
          <w:sz w:val="24"/>
          <w:szCs w:val="24"/>
          <w:lang w:val="en-GB"/>
        </w:rPr>
      </w:pPr>
    </w:p>
    <w:p w14:paraId="08164C45" w14:textId="1C731C1C" w:rsidR="003E22ED" w:rsidRPr="00EB68C7" w:rsidRDefault="003E22ED" w:rsidP="00EB68C7">
      <w:pPr>
        <w:ind w:left="851"/>
        <w:rPr>
          <w:sz w:val="24"/>
          <w:szCs w:val="24"/>
          <w:u w:val="single"/>
          <w:lang w:val="en-GB"/>
        </w:rPr>
      </w:pPr>
      <w:r w:rsidRPr="00EB68C7">
        <w:rPr>
          <w:sz w:val="24"/>
          <w:szCs w:val="24"/>
          <w:u w:val="single"/>
          <w:lang w:val="en-GB"/>
        </w:rPr>
        <w:t>Summary of the safety profile</w:t>
      </w:r>
    </w:p>
    <w:p w14:paraId="5A78A26B" w14:textId="77777777" w:rsidR="003E22ED" w:rsidRPr="00EB68C7" w:rsidRDefault="003E22ED" w:rsidP="00EB68C7">
      <w:pPr>
        <w:ind w:left="851"/>
        <w:rPr>
          <w:sz w:val="24"/>
          <w:szCs w:val="24"/>
          <w:lang w:val="en-GB"/>
        </w:rPr>
      </w:pPr>
      <w:r w:rsidRPr="00EB68C7">
        <w:rPr>
          <w:sz w:val="24"/>
          <w:szCs w:val="24"/>
          <w:lang w:val="en-GB"/>
        </w:rPr>
        <w:t>The majority of adverse reactions relate to the ocular system. In an open 5-year latanoprost safety study, 33% of patients developed iris pigmentation (see section 4.4). Other ocular adverse reactions are generally transient and occur on dose administration.</w:t>
      </w:r>
    </w:p>
    <w:p w14:paraId="2879EF30" w14:textId="77777777" w:rsidR="00EB68C7" w:rsidRDefault="00EB68C7" w:rsidP="00EB68C7">
      <w:pPr>
        <w:ind w:left="851"/>
        <w:rPr>
          <w:sz w:val="24"/>
          <w:szCs w:val="24"/>
          <w:lang w:val="en-GB"/>
        </w:rPr>
      </w:pPr>
    </w:p>
    <w:p w14:paraId="60FBDB47" w14:textId="2A48087A" w:rsidR="003E22ED" w:rsidRPr="00EB68C7" w:rsidRDefault="003E22ED" w:rsidP="00EB68C7">
      <w:pPr>
        <w:ind w:left="851"/>
        <w:rPr>
          <w:sz w:val="24"/>
          <w:szCs w:val="24"/>
          <w:u w:val="single"/>
          <w:lang w:val="en-GB"/>
        </w:rPr>
      </w:pPr>
      <w:r w:rsidRPr="00EB68C7">
        <w:rPr>
          <w:sz w:val="24"/>
          <w:szCs w:val="24"/>
          <w:u w:val="single"/>
          <w:lang w:val="en-GB"/>
        </w:rPr>
        <w:t>Tabulated list of adverse reactions</w:t>
      </w:r>
    </w:p>
    <w:p w14:paraId="39182F06" w14:textId="77777777" w:rsidR="003E22ED" w:rsidRPr="00EB68C7" w:rsidRDefault="003E22ED" w:rsidP="00EB68C7">
      <w:pPr>
        <w:ind w:left="851"/>
        <w:rPr>
          <w:sz w:val="24"/>
          <w:szCs w:val="24"/>
          <w:lang w:val="en-GB"/>
        </w:rPr>
      </w:pPr>
      <w:r w:rsidRPr="00EB68C7">
        <w:rPr>
          <w:sz w:val="24"/>
          <w:szCs w:val="24"/>
          <w:lang w:val="en-GB"/>
        </w:rPr>
        <w:t>Adverse reactions are listed by system organ class and frequency. The following convention has been used for the classification of frequencies: very common (≥1/10), common (≥1/100 to &lt;1/10), uncommon (≥1/1,000 to &lt;1/100), rare (≥1/10,000 to &lt;1/1,000), very rare (&lt;1/10,000), not known (</w:t>
      </w:r>
      <w:bookmarkStart w:id="2" w:name="_Hlk79495928"/>
      <w:r w:rsidRPr="00EB68C7">
        <w:rPr>
          <w:sz w:val="24"/>
          <w:szCs w:val="24"/>
          <w:lang w:val="en-GB"/>
        </w:rPr>
        <w:t>cannot be estimated from the available data</w:t>
      </w:r>
      <w:bookmarkEnd w:id="2"/>
      <w:r w:rsidRPr="00EB68C7">
        <w:rPr>
          <w:sz w:val="24"/>
          <w:szCs w:val="24"/>
          <w:lang w:val="en-GB"/>
        </w:rPr>
        <w:t>).</w:t>
      </w:r>
    </w:p>
    <w:p w14:paraId="3A27EDE2" w14:textId="77777777" w:rsidR="003E22ED" w:rsidRPr="00EB68C7" w:rsidRDefault="003E22ED" w:rsidP="00EB68C7">
      <w:pPr>
        <w:ind w:left="851"/>
        <w:rPr>
          <w:sz w:val="24"/>
          <w:szCs w:val="24"/>
          <w:lang w:val="en-GB"/>
        </w:rPr>
      </w:pPr>
    </w:p>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7"/>
        <w:gridCol w:w="1939"/>
        <w:gridCol w:w="1524"/>
        <w:gridCol w:w="1373"/>
        <w:gridCol w:w="1453"/>
        <w:gridCol w:w="1122"/>
        <w:gridCol w:w="1720"/>
      </w:tblGrid>
      <w:tr w:rsidR="003E22ED" w:rsidRPr="00C1229C" w14:paraId="13F1358C" w14:textId="77777777" w:rsidTr="003E22ED">
        <w:trPr>
          <w:trHeight w:val="1021"/>
          <w:tblHeader/>
          <w:jc w:val="center"/>
        </w:trPr>
        <w:tc>
          <w:tcPr>
            <w:tcW w:w="1646" w:type="dxa"/>
            <w:tcBorders>
              <w:top w:val="single" w:sz="4" w:space="0" w:color="auto"/>
              <w:left w:val="single" w:sz="4" w:space="0" w:color="auto"/>
              <w:bottom w:val="single" w:sz="4" w:space="0" w:color="auto"/>
              <w:right w:val="single" w:sz="4" w:space="0" w:color="auto"/>
            </w:tcBorders>
            <w:hideMark/>
          </w:tcPr>
          <w:p w14:paraId="28DDD7D6" w14:textId="77777777" w:rsidR="003E22ED" w:rsidRPr="00F0588E" w:rsidRDefault="003E22ED">
            <w:pPr>
              <w:rPr>
                <w:b/>
                <w:sz w:val="22"/>
                <w:szCs w:val="22"/>
                <w:lang w:val="en-GB"/>
              </w:rPr>
            </w:pPr>
            <w:r w:rsidRPr="00F0588E">
              <w:rPr>
                <w:b/>
                <w:sz w:val="22"/>
                <w:szCs w:val="22"/>
                <w:lang w:val="en-GB"/>
              </w:rPr>
              <w:t>System Organ Class</w:t>
            </w:r>
          </w:p>
        </w:tc>
        <w:tc>
          <w:tcPr>
            <w:tcW w:w="1939" w:type="dxa"/>
            <w:tcBorders>
              <w:top w:val="single" w:sz="4" w:space="0" w:color="auto"/>
              <w:left w:val="single" w:sz="4" w:space="0" w:color="auto"/>
              <w:bottom w:val="single" w:sz="4" w:space="0" w:color="auto"/>
              <w:right w:val="single" w:sz="4" w:space="0" w:color="auto"/>
            </w:tcBorders>
            <w:hideMark/>
          </w:tcPr>
          <w:p w14:paraId="61ADF353" w14:textId="77777777" w:rsidR="003E22ED" w:rsidRPr="00F0588E" w:rsidRDefault="003E22ED">
            <w:pPr>
              <w:rPr>
                <w:b/>
                <w:sz w:val="22"/>
                <w:szCs w:val="22"/>
                <w:lang w:val="en-GB"/>
              </w:rPr>
            </w:pPr>
            <w:r w:rsidRPr="00F0588E">
              <w:rPr>
                <w:b/>
                <w:sz w:val="22"/>
                <w:szCs w:val="22"/>
                <w:lang w:val="en-GB"/>
              </w:rPr>
              <w:t xml:space="preserve">Very Common </w:t>
            </w:r>
          </w:p>
          <w:p w14:paraId="695C9509" w14:textId="77777777" w:rsidR="003E22ED" w:rsidRPr="00F0588E" w:rsidRDefault="003E22ED">
            <w:pPr>
              <w:rPr>
                <w:b/>
                <w:sz w:val="22"/>
                <w:szCs w:val="22"/>
                <w:lang w:val="en-GB"/>
              </w:rPr>
            </w:pPr>
            <w:r w:rsidRPr="00F0588E">
              <w:rPr>
                <w:b/>
                <w:sz w:val="22"/>
                <w:szCs w:val="22"/>
                <w:lang w:val="en-GB"/>
              </w:rPr>
              <w:t xml:space="preserve"> ≥1/10 </w:t>
            </w:r>
          </w:p>
          <w:p w14:paraId="1FCE6AF7" w14:textId="77777777" w:rsidR="003E22ED" w:rsidRPr="00F0588E" w:rsidRDefault="003E22ED">
            <w:pPr>
              <w:rPr>
                <w:b/>
                <w:sz w:val="22"/>
                <w:szCs w:val="22"/>
                <w:lang w:val="en-GB"/>
              </w:rPr>
            </w:pPr>
            <w:r w:rsidRPr="00F0588E">
              <w:rPr>
                <w:b/>
                <w:sz w:val="22"/>
                <w:szCs w:val="22"/>
                <w:lang w:val="en-GB"/>
              </w:rPr>
              <w:t xml:space="preserve"> </w:t>
            </w:r>
          </w:p>
        </w:tc>
        <w:tc>
          <w:tcPr>
            <w:tcW w:w="1524" w:type="dxa"/>
            <w:tcBorders>
              <w:top w:val="single" w:sz="4" w:space="0" w:color="auto"/>
              <w:left w:val="single" w:sz="4" w:space="0" w:color="auto"/>
              <w:bottom w:val="single" w:sz="4" w:space="0" w:color="auto"/>
              <w:right w:val="single" w:sz="4" w:space="0" w:color="auto"/>
            </w:tcBorders>
            <w:hideMark/>
          </w:tcPr>
          <w:p w14:paraId="4CEA4066" w14:textId="77777777" w:rsidR="003E22ED" w:rsidRPr="00F0588E" w:rsidRDefault="003E22ED">
            <w:pPr>
              <w:rPr>
                <w:b/>
                <w:sz w:val="22"/>
                <w:szCs w:val="22"/>
                <w:lang w:val="en-GB"/>
              </w:rPr>
            </w:pPr>
            <w:r w:rsidRPr="00F0588E">
              <w:rPr>
                <w:b/>
                <w:sz w:val="22"/>
                <w:szCs w:val="22"/>
                <w:lang w:val="en-GB"/>
              </w:rPr>
              <w:t xml:space="preserve">Common </w:t>
            </w:r>
          </w:p>
          <w:p w14:paraId="51B56B82" w14:textId="77777777" w:rsidR="003E22ED" w:rsidRPr="00F0588E" w:rsidRDefault="003E22ED">
            <w:pPr>
              <w:rPr>
                <w:b/>
                <w:sz w:val="22"/>
                <w:szCs w:val="22"/>
                <w:lang w:val="en-GB"/>
              </w:rPr>
            </w:pPr>
            <w:r w:rsidRPr="00F0588E">
              <w:rPr>
                <w:b/>
                <w:sz w:val="22"/>
                <w:szCs w:val="22"/>
                <w:lang w:val="en-GB"/>
              </w:rPr>
              <w:t xml:space="preserve"> ≥1/100 to </w:t>
            </w:r>
          </w:p>
          <w:p w14:paraId="37EA4DFE" w14:textId="77777777" w:rsidR="003E22ED" w:rsidRPr="00F0588E" w:rsidRDefault="003E22ED">
            <w:pPr>
              <w:rPr>
                <w:b/>
                <w:sz w:val="22"/>
                <w:szCs w:val="22"/>
                <w:lang w:val="en-GB"/>
              </w:rPr>
            </w:pPr>
            <w:r w:rsidRPr="00F0588E">
              <w:rPr>
                <w:b/>
                <w:sz w:val="22"/>
                <w:szCs w:val="22"/>
                <w:lang w:val="en-GB"/>
              </w:rPr>
              <w:t xml:space="preserve">&lt; 1/10 </w:t>
            </w:r>
          </w:p>
        </w:tc>
        <w:tc>
          <w:tcPr>
            <w:tcW w:w="1488" w:type="dxa"/>
            <w:tcBorders>
              <w:top w:val="single" w:sz="4" w:space="0" w:color="auto"/>
              <w:left w:val="single" w:sz="4" w:space="0" w:color="auto"/>
              <w:bottom w:val="single" w:sz="4" w:space="0" w:color="auto"/>
              <w:right w:val="single" w:sz="4" w:space="0" w:color="auto"/>
            </w:tcBorders>
          </w:tcPr>
          <w:p w14:paraId="32BED51A" w14:textId="77777777" w:rsidR="003E22ED" w:rsidRPr="00F0588E" w:rsidRDefault="003E22ED">
            <w:pPr>
              <w:rPr>
                <w:b/>
                <w:sz w:val="22"/>
                <w:szCs w:val="22"/>
                <w:lang w:val="en-GB"/>
              </w:rPr>
            </w:pPr>
            <w:r w:rsidRPr="00F0588E">
              <w:rPr>
                <w:b/>
                <w:sz w:val="22"/>
                <w:szCs w:val="22"/>
                <w:lang w:val="en-GB"/>
              </w:rPr>
              <w:t xml:space="preserve">Uncommon </w:t>
            </w:r>
          </w:p>
          <w:p w14:paraId="5E021964" w14:textId="77777777" w:rsidR="003E22ED" w:rsidRPr="00F0588E" w:rsidRDefault="003E22ED">
            <w:pPr>
              <w:rPr>
                <w:b/>
                <w:sz w:val="22"/>
                <w:szCs w:val="22"/>
                <w:lang w:val="en-GB"/>
              </w:rPr>
            </w:pPr>
            <w:r w:rsidRPr="00F0588E">
              <w:rPr>
                <w:b/>
                <w:sz w:val="22"/>
                <w:szCs w:val="22"/>
                <w:lang w:val="en-GB"/>
              </w:rPr>
              <w:t xml:space="preserve"> ≥1/1,000 to &lt;1/100 </w:t>
            </w:r>
          </w:p>
          <w:p w14:paraId="1194EE18" w14:textId="77777777" w:rsidR="003E22ED" w:rsidRPr="00F0588E" w:rsidRDefault="003E22ED">
            <w:pPr>
              <w:rPr>
                <w:b/>
                <w:sz w:val="22"/>
                <w:szCs w:val="22"/>
                <w:lang w:val="en-GB"/>
              </w:rPr>
            </w:pPr>
          </w:p>
        </w:tc>
        <w:tc>
          <w:tcPr>
            <w:tcW w:w="1891" w:type="dxa"/>
            <w:tcBorders>
              <w:top w:val="single" w:sz="4" w:space="0" w:color="auto"/>
              <w:left w:val="single" w:sz="4" w:space="0" w:color="auto"/>
              <w:bottom w:val="single" w:sz="4" w:space="0" w:color="auto"/>
              <w:right w:val="single" w:sz="4" w:space="0" w:color="auto"/>
            </w:tcBorders>
            <w:hideMark/>
          </w:tcPr>
          <w:p w14:paraId="197EBD40" w14:textId="77777777" w:rsidR="003E22ED" w:rsidRPr="00F0588E" w:rsidRDefault="003E22ED">
            <w:pPr>
              <w:rPr>
                <w:b/>
                <w:sz w:val="22"/>
                <w:szCs w:val="22"/>
                <w:lang w:val="en-GB"/>
              </w:rPr>
            </w:pPr>
            <w:r w:rsidRPr="00F0588E">
              <w:rPr>
                <w:b/>
                <w:sz w:val="22"/>
                <w:szCs w:val="22"/>
                <w:lang w:val="en-GB"/>
              </w:rPr>
              <w:t>Rare</w:t>
            </w:r>
          </w:p>
          <w:p w14:paraId="2E2F125F" w14:textId="77777777" w:rsidR="003E22ED" w:rsidRPr="00F0588E" w:rsidRDefault="003E22ED">
            <w:pPr>
              <w:rPr>
                <w:b/>
                <w:sz w:val="22"/>
                <w:szCs w:val="22"/>
                <w:lang w:val="en-GB"/>
              </w:rPr>
            </w:pPr>
            <w:r w:rsidRPr="00F0588E">
              <w:rPr>
                <w:b/>
                <w:sz w:val="22"/>
                <w:szCs w:val="22"/>
                <w:lang w:val="en-GB"/>
              </w:rPr>
              <w:t xml:space="preserve"> ≥1/10,000 to &lt;1/1,000 </w:t>
            </w:r>
          </w:p>
        </w:tc>
        <w:tc>
          <w:tcPr>
            <w:tcW w:w="1145" w:type="dxa"/>
            <w:tcBorders>
              <w:top w:val="single" w:sz="4" w:space="0" w:color="auto"/>
              <w:left w:val="single" w:sz="4" w:space="0" w:color="auto"/>
              <w:bottom w:val="single" w:sz="4" w:space="0" w:color="auto"/>
              <w:right w:val="single" w:sz="4" w:space="0" w:color="auto"/>
            </w:tcBorders>
            <w:hideMark/>
          </w:tcPr>
          <w:p w14:paraId="5EE0A359" w14:textId="77777777" w:rsidR="003E22ED" w:rsidRPr="00F0588E" w:rsidRDefault="003E22ED">
            <w:pPr>
              <w:rPr>
                <w:b/>
                <w:sz w:val="22"/>
                <w:szCs w:val="22"/>
                <w:lang w:val="en-GB"/>
              </w:rPr>
            </w:pPr>
            <w:r w:rsidRPr="00F0588E">
              <w:rPr>
                <w:b/>
                <w:sz w:val="22"/>
                <w:szCs w:val="22"/>
                <w:lang w:val="en-GB"/>
              </w:rPr>
              <w:t xml:space="preserve">Very Rare </w:t>
            </w:r>
          </w:p>
          <w:p w14:paraId="6AE76931" w14:textId="77777777" w:rsidR="003E22ED" w:rsidRPr="00F0588E" w:rsidRDefault="003E22ED">
            <w:pPr>
              <w:rPr>
                <w:b/>
                <w:sz w:val="22"/>
                <w:szCs w:val="22"/>
                <w:lang w:val="en-GB"/>
              </w:rPr>
            </w:pPr>
            <w:r w:rsidRPr="00F0588E">
              <w:rPr>
                <w:b/>
                <w:sz w:val="22"/>
                <w:szCs w:val="22"/>
                <w:lang w:val="en-GB"/>
              </w:rPr>
              <w:t>&lt;1/10,000</w:t>
            </w:r>
          </w:p>
        </w:tc>
        <w:tc>
          <w:tcPr>
            <w:tcW w:w="1145" w:type="dxa"/>
            <w:tcBorders>
              <w:top w:val="single" w:sz="4" w:space="0" w:color="auto"/>
              <w:left w:val="single" w:sz="4" w:space="0" w:color="auto"/>
              <w:bottom w:val="single" w:sz="4" w:space="0" w:color="auto"/>
              <w:right w:val="single" w:sz="4" w:space="0" w:color="auto"/>
            </w:tcBorders>
            <w:hideMark/>
          </w:tcPr>
          <w:p w14:paraId="4ABB712A" w14:textId="77777777" w:rsidR="003E22ED" w:rsidRPr="00F0588E" w:rsidRDefault="003E22ED">
            <w:pPr>
              <w:rPr>
                <w:b/>
                <w:sz w:val="22"/>
                <w:szCs w:val="22"/>
                <w:lang w:val="en-GB"/>
              </w:rPr>
            </w:pPr>
            <w:r w:rsidRPr="00F0588E">
              <w:rPr>
                <w:b/>
                <w:sz w:val="22"/>
                <w:szCs w:val="22"/>
                <w:lang w:val="en-GB"/>
              </w:rPr>
              <w:t>Not known cannot be estimated from the available data</w:t>
            </w:r>
          </w:p>
        </w:tc>
      </w:tr>
      <w:tr w:rsidR="003E22ED" w:rsidRPr="00C1229C" w14:paraId="5CF460D3" w14:textId="77777777" w:rsidTr="003E22ED">
        <w:trPr>
          <w:trHeight w:val="526"/>
          <w:jc w:val="center"/>
        </w:trPr>
        <w:tc>
          <w:tcPr>
            <w:tcW w:w="1646" w:type="dxa"/>
            <w:tcBorders>
              <w:top w:val="single" w:sz="4" w:space="0" w:color="auto"/>
              <w:left w:val="single" w:sz="4" w:space="0" w:color="auto"/>
              <w:bottom w:val="single" w:sz="4" w:space="0" w:color="auto"/>
              <w:right w:val="single" w:sz="4" w:space="0" w:color="auto"/>
            </w:tcBorders>
            <w:hideMark/>
          </w:tcPr>
          <w:p w14:paraId="279FF4CF" w14:textId="77777777" w:rsidR="003E22ED" w:rsidRPr="00F0588E" w:rsidRDefault="003E22ED">
            <w:pPr>
              <w:rPr>
                <w:i/>
                <w:sz w:val="22"/>
                <w:szCs w:val="22"/>
                <w:lang w:val="en-GB"/>
              </w:rPr>
            </w:pPr>
            <w:r w:rsidRPr="00F0588E">
              <w:rPr>
                <w:i/>
                <w:sz w:val="22"/>
                <w:szCs w:val="22"/>
                <w:lang w:val="en-GB"/>
              </w:rPr>
              <w:t>Infections and infestations</w:t>
            </w:r>
          </w:p>
        </w:tc>
        <w:tc>
          <w:tcPr>
            <w:tcW w:w="1939" w:type="dxa"/>
            <w:tcBorders>
              <w:top w:val="single" w:sz="4" w:space="0" w:color="auto"/>
              <w:left w:val="single" w:sz="4" w:space="0" w:color="auto"/>
              <w:bottom w:val="single" w:sz="4" w:space="0" w:color="auto"/>
              <w:right w:val="single" w:sz="4" w:space="0" w:color="auto"/>
            </w:tcBorders>
          </w:tcPr>
          <w:p w14:paraId="3E7F5E79"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3758276B"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tcPr>
          <w:p w14:paraId="4BECF715" w14:textId="77777777" w:rsidR="003E22ED" w:rsidRPr="00F0588E" w:rsidRDefault="003E22ED">
            <w:pPr>
              <w:rPr>
                <w:sz w:val="22"/>
                <w:szCs w:val="22"/>
                <w:lang w:val="en-GB"/>
              </w:rPr>
            </w:pPr>
          </w:p>
        </w:tc>
        <w:tc>
          <w:tcPr>
            <w:tcW w:w="1891" w:type="dxa"/>
            <w:tcBorders>
              <w:top w:val="single" w:sz="4" w:space="0" w:color="auto"/>
              <w:left w:val="single" w:sz="4" w:space="0" w:color="auto"/>
              <w:bottom w:val="single" w:sz="4" w:space="0" w:color="auto"/>
              <w:right w:val="single" w:sz="4" w:space="0" w:color="auto"/>
            </w:tcBorders>
            <w:hideMark/>
          </w:tcPr>
          <w:p w14:paraId="5CCFB7D8" w14:textId="77777777" w:rsidR="003E22ED" w:rsidRPr="00F0588E" w:rsidRDefault="003E22ED">
            <w:pPr>
              <w:rPr>
                <w:sz w:val="22"/>
                <w:szCs w:val="22"/>
                <w:lang w:val="en-GB"/>
              </w:rPr>
            </w:pPr>
            <w:r w:rsidRPr="00F0588E">
              <w:rPr>
                <w:sz w:val="22"/>
                <w:szCs w:val="22"/>
                <w:lang w:val="en-GB"/>
              </w:rPr>
              <w:t>Herpetic keratitis*</w:t>
            </w:r>
          </w:p>
        </w:tc>
        <w:tc>
          <w:tcPr>
            <w:tcW w:w="1145" w:type="dxa"/>
            <w:tcBorders>
              <w:top w:val="single" w:sz="4" w:space="0" w:color="auto"/>
              <w:left w:val="single" w:sz="4" w:space="0" w:color="auto"/>
              <w:bottom w:val="single" w:sz="4" w:space="0" w:color="auto"/>
              <w:right w:val="single" w:sz="4" w:space="0" w:color="auto"/>
            </w:tcBorders>
          </w:tcPr>
          <w:p w14:paraId="27CCC3CB"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hideMark/>
          </w:tcPr>
          <w:p w14:paraId="758012EB" w14:textId="77777777" w:rsidR="003E22ED" w:rsidRPr="00F0588E" w:rsidRDefault="003E22ED">
            <w:pPr>
              <w:rPr>
                <w:sz w:val="22"/>
                <w:szCs w:val="22"/>
                <w:lang w:val="en-GB"/>
              </w:rPr>
            </w:pPr>
            <w:r w:rsidRPr="00F0588E">
              <w:rPr>
                <w:sz w:val="22"/>
                <w:szCs w:val="22"/>
                <w:lang w:val="en-GB"/>
              </w:rPr>
              <w:t>Nasopharyngitis;</w:t>
            </w:r>
          </w:p>
          <w:p w14:paraId="4D62A8D9" w14:textId="77777777" w:rsidR="003E22ED" w:rsidRPr="00F0588E" w:rsidRDefault="003E22ED">
            <w:pPr>
              <w:rPr>
                <w:sz w:val="22"/>
                <w:szCs w:val="22"/>
                <w:lang w:val="en-GB"/>
              </w:rPr>
            </w:pPr>
            <w:r w:rsidRPr="00F0588E">
              <w:rPr>
                <w:sz w:val="22"/>
                <w:szCs w:val="22"/>
                <w:lang w:val="en-GB"/>
              </w:rPr>
              <w:t>upper respiratory tract infection</w:t>
            </w:r>
          </w:p>
        </w:tc>
      </w:tr>
      <w:tr w:rsidR="003E22ED" w:rsidRPr="00F0588E" w14:paraId="33DE725E" w14:textId="77777777" w:rsidTr="003E22ED">
        <w:trPr>
          <w:trHeight w:val="511"/>
          <w:jc w:val="center"/>
        </w:trPr>
        <w:tc>
          <w:tcPr>
            <w:tcW w:w="1646" w:type="dxa"/>
            <w:tcBorders>
              <w:top w:val="single" w:sz="4" w:space="0" w:color="auto"/>
              <w:left w:val="single" w:sz="4" w:space="0" w:color="auto"/>
              <w:bottom w:val="single" w:sz="4" w:space="0" w:color="auto"/>
              <w:right w:val="single" w:sz="4" w:space="0" w:color="auto"/>
            </w:tcBorders>
            <w:hideMark/>
          </w:tcPr>
          <w:p w14:paraId="2633703F" w14:textId="77777777" w:rsidR="003E22ED" w:rsidRPr="00F0588E" w:rsidRDefault="003E22ED">
            <w:pPr>
              <w:rPr>
                <w:i/>
                <w:sz w:val="22"/>
                <w:szCs w:val="22"/>
                <w:lang w:val="en-GB"/>
              </w:rPr>
            </w:pPr>
            <w:r w:rsidRPr="00F0588E">
              <w:rPr>
                <w:i/>
                <w:sz w:val="22"/>
                <w:szCs w:val="22"/>
                <w:lang w:val="en-GB"/>
              </w:rPr>
              <w:t>Nervous system disorders</w:t>
            </w:r>
          </w:p>
        </w:tc>
        <w:tc>
          <w:tcPr>
            <w:tcW w:w="1939" w:type="dxa"/>
            <w:tcBorders>
              <w:top w:val="single" w:sz="4" w:space="0" w:color="auto"/>
              <w:left w:val="single" w:sz="4" w:space="0" w:color="auto"/>
              <w:bottom w:val="single" w:sz="4" w:space="0" w:color="auto"/>
              <w:right w:val="single" w:sz="4" w:space="0" w:color="auto"/>
            </w:tcBorders>
          </w:tcPr>
          <w:p w14:paraId="1E65E274"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45AD2D25"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hideMark/>
          </w:tcPr>
          <w:p w14:paraId="1FA9B657" w14:textId="77777777" w:rsidR="003E22ED" w:rsidRPr="00F0588E" w:rsidRDefault="003E22ED">
            <w:pPr>
              <w:rPr>
                <w:sz w:val="22"/>
                <w:szCs w:val="22"/>
                <w:lang w:val="en-GB"/>
              </w:rPr>
            </w:pPr>
            <w:r w:rsidRPr="00F0588E">
              <w:rPr>
                <w:sz w:val="22"/>
                <w:szCs w:val="22"/>
                <w:lang w:val="en-GB"/>
              </w:rPr>
              <w:t>Headache*; dizziness*</w:t>
            </w:r>
          </w:p>
        </w:tc>
        <w:tc>
          <w:tcPr>
            <w:tcW w:w="1891" w:type="dxa"/>
            <w:tcBorders>
              <w:top w:val="single" w:sz="4" w:space="0" w:color="auto"/>
              <w:left w:val="single" w:sz="4" w:space="0" w:color="auto"/>
              <w:bottom w:val="single" w:sz="4" w:space="0" w:color="auto"/>
              <w:right w:val="single" w:sz="4" w:space="0" w:color="auto"/>
            </w:tcBorders>
          </w:tcPr>
          <w:p w14:paraId="4CC4EF89"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3A2642FF"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68E4FD83" w14:textId="77777777" w:rsidR="003E22ED" w:rsidRPr="00F0588E" w:rsidRDefault="003E22ED">
            <w:pPr>
              <w:rPr>
                <w:sz w:val="22"/>
                <w:szCs w:val="22"/>
                <w:lang w:val="en-GB"/>
              </w:rPr>
            </w:pPr>
          </w:p>
        </w:tc>
      </w:tr>
      <w:tr w:rsidR="003E22ED" w:rsidRPr="00C1229C" w14:paraId="270A17BF" w14:textId="77777777" w:rsidTr="003E22ED">
        <w:trPr>
          <w:trHeight w:val="4243"/>
          <w:jc w:val="center"/>
        </w:trPr>
        <w:tc>
          <w:tcPr>
            <w:tcW w:w="1646" w:type="dxa"/>
            <w:tcBorders>
              <w:top w:val="single" w:sz="4" w:space="0" w:color="auto"/>
              <w:left w:val="single" w:sz="4" w:space="0" w:color="auto"/>
              <w:bottom w:val="single" w:sz="4" w:space="0" w:color="auto"/>
              <w:right w:val="single" w:sz="4" w:space="0" w:color="auto"/>
            </w:tcBorders>
            <w:hideMark/>
          </w:tcPr>
          <w:p w14:paraId="77D64993" w14:textId="77777777" w:rsidR="003E22ED" w:rsidRPr="00F0588E" w:rsidRDefault="003E22ED">
            <w:pPr>
              <w:rPr>
                <w:i/>
                <w:sz w:val="22"/>
                <w:szCs w:val="22"/>
                <w:lang w:val="en-GB"/>
              </w:rPr>
            </w:pPr>
            <w:r w:rsidRPr="00F0588E">
              <w:rPr>
                <w:i/>
                <w:sz w:val="22"/>
                <w:szCs w:val="22"/>
                <w:lang w:val="en-GB"/>
              </w:rPr>
              <w:t>Eye disorders</w:t>
            </w:r>
          </w:p>
        </w:tc>
        <w:tc>
          <w:tcPr>
            <w:tcW w:w="1939" w:type="dxa"/>
            <w:tcBorders>
              <w:top w:val="single" w:sz="4" w:space="0" w:color="auto"/>
              <w:left w:val="single" w:sz="4" w:space="0" w:color="auto"/>
              <w:bottom w:val="single" w:sz="4" w:space="0" w:color="auto"/>
              <w:right w:val="single" w:sz="4" w:space="0" w:color="auto"/>
            </w:tcBorders>
            <w:hideMark/>
          </w:tcPr>
          <w:p w14:paraId="72D18CE7" w14:textId="77777777" w:rsidR="003E22ED" w:rsidRPr="00F0588E" w:rsidRDefault="003E22ED">
            <w:pPr>
              <w:rPr>
                <w:sz w:val="22"/>
                <w:szCs w:val="22"/>
                <w:lang w:val="en-GB"/>
              </w:rPr>
            </w:pPr>
            <w:r w:rsidRPr="00F0588E">
              <w:rPr>
                <w:sz w:val="22"/>
                <w:szCs w:val="22"/>
                <w:lang w:val="en-GB"/>
              </w:rPr>
              <w:t>Iris hyperpigmentation; conjunctival hyperaemia; eye irritation (burning grittiness, itching, stinging and foreign body sensation); eyelash and vellus hair changes of the eyelid (increased length, thickness, pigmentation and number of eyelashes)</w:t>
            </w:r>
          </w:p>
        </w:tc>
        <w:tc>
          <w:tcPr>
            <w:tcW w:w="1524" w:type="dxa"/>
            <w:tcBorders>
              <w:top w:val="single" w:sz="4" w:space="0" w:color="auto"/>
              <w:left w:val="single" w:sz="4" w:space="0" w:color="auto"/>
              <w:bottom w:val="single" w:sz="4" w:space="0" w:color="auto"/>
              <w:right w:val="single" w:sz="4" w:space="0" w:color="auto"/>
            </w:tcBorders>
            <w:hideMark/>
          </w:tcPr>
          <w:p w14:paraId="6C176789" w14:textId="77777777" w:rsidR="003E22ED" w:rsidRPr="00F0588E" w:rsidRDefault="003E22ED">
            <w:pPr>
              <w:rPr>
                <w:sz w:val="22"/>
                <w:szCs w:val="22"/>
                <w:lang w:val="en-GB"/>
              </w:rPr>
            </w:pPr>
            <w:r w:rsidRPr="00F0588E">
              <w:rPr>
                <w:sz w:val="22"/>
                <w:szCs w:val="22"/>
                <w:lang w:val="en-GB"/>
              </w:rPr>
              <w:t>Punctate keratitis, mostly without symptoms; blepharitis; eye pain; photophobia; conjunctivitis*</w:t>
            </w:r>
          </w:p>
        </w:tc>
        <w:tc>
          <w:tcPr>
            <w:tcW w:w="1488" w:type="dxa"/>
            <w:tcBorders>
              <w:top w:val="single" w:sz="4" w:space="0" w:color="auto"/>
              <w:left w:val="single" w:sz="4" w:space="0" w:color="auto"/>
              <w:bottom w:val="single" w:sz="4" w:space="0" w:color="auto"/>
              <w:right w:val="single" w:sz="4" w:space="0" w:color="auto"/>
            </w:tcBorders>
            <w:hideMark/>
          </w:tcPr>
          <w:p w14:paraId="58EBE915" w14:textId="77777777" w:rsidR="003E22ED" w:rsidRPr="00F0588E" w:rsidRDefault="003E22ED">
            <w:pPr>
              <w:rPr>
                <w:sz w:val="22"/>
                <w:szCs w:val="22"/>
                <w:lang w:val="en-GB"/>
              </w:rPr>
            </w:pPr>
            <w:r w:rsidRPr="00F0588E">
              <w:rPr>
                <w:sz w:val="22"/>
                <w:szCs w:val="22"/>
                <w:lang w:val="en-GB"/>
              </w:rPr>
              <w:t>Eyelid oedema; dry eye; keratitis*; vision blurred; macular oedema including cystoid macular oedema*; uveitis*</w:t>
            </w:r>
          </w:p>
        </w:tc>
        <w:tc>
          <w:tcPr>
            <w:tcW w:w="1891" w:type="dxa"/>
            <w:tcBorders>
              <w:top w:val="single" w:sz="4" w:space="0" w:color="auto"/>
              <w:left w:val="single" w:sz="4" w:space="0" w:color="auto"/>
              <w:bottom w:val="single" w:sz="4" w:space="0" w:color="auto"/>
              <w:right w:val="single" w:sz="4" w:space="0" w:color="auto"/>
            </w:tcBorders>
            <w:hideMark/>
          </w:tcPr>
          <w:p w14:paraId="6D599D46" w14:textId="77777777" w:rsidR="003E22ED" w:rsidRPr="00F0588E" w:rsidRDefault="003E22ED">
            <w:pPr>
              <w:rPr>
                <w:sz w:val="22"/>
                <w:szCs w:val="22"/>
                <w:lang w:val="en-GB"/>
              </w:rPr>
            </w:pPr>
            <w:r w:rsidRPr="00F0588E">
              <w:rPr>
                <w:sz w:val="22"/>
                <w:szCs w:val="22"/>
                <w:lang w:val="en-GB"/>
              </w:rPr>
              <w:t xml:space="preserve">Iritis*; corneal oedema*; corneal erosion; periorbital oedema; trichiasis*; distichiasis; iris cyst*; </w:t>
            </w:r>
            <w:proofErr w:type="spellStart"/>
            <w:r w:rsidRPr="00F0588E">
              <w:rPr>
                <w:sz w:val="22"/>
                <w:szCs w:val="22"/>
                <w:lang w:val="en-GB"/>
              </w:rPr>
              <w:t>blepharal</w:t>
            </w:r>
            <w:proofErr w:type="spellEnd"/>
            <w:r w:rsidRPr="00F0588E">
              <w:rPr>
                <w:sz w:val="22"/>
                <w:szCs w:val="22"/>
                <w:lang w:val="en-GB"/>
              </w:rPr>
              <w:t xml:space="preserve"> pigmentation s; ocular pemphigoid *</w:t>
            </w:r>
          </w:p>
        </w:tc>
        <w:tc>
          <w:tcPr>
            <w:tcW w:w="1145" w:type="dxa"/>
            <w:tcBorders>
              <w:top w:val="single" w:sz="4" w:space="0" w:color="auto"/>
              <w:left w:val="single" w:sz="4" w:space="0" w:color="auto"/>
              <w:bottom w:val="single" w:sz="4" w:space="0" w:color="auto"/>
              <w:right w:val="single" w:sz="4" w:space="0" w:color="auto"/>
            </w:tcBorders>
            <w:hideMark/>
          </w:tcPr>
          <w:p w14:paraId="21F36DAF" w14:textId="77777777" w:rsidR="003E22ED" w:rsidRPr="00F0588E" w:rsidRDefault="003E22ED">
            <w:pPr>
              <w:rPr>
                <w:sz w:val="22"/>
                <w:szCs w:val="22"/>
                <w:lang w:val="en-GB"/>
              </w:rPr>
            </w:pPr>
            <w:r w:rsidRPr="00F0588E">
              <w:rPr>
                <w:sz w:val="22"/>
                <w:szCs w:val="22"/>
                <w:lang w:val="en-GB"/>
              </w:rPr>
              <w:t xml:space="preserve">Lid sulcus deepened </w:t>
            </w:r>
          </w:p>
        </w:tc>
        <w:tc>
          <w:tcPr>
            <w:tcW w:w="1145" w:type="dxa"/>
            <w:tcBorders>
              <w:top w:val="single" w:sz="4" w:space="0" w:color="auto"/>
              <w:left w:val="single" w:sz="4" w:space="0" w:color="auto"/>
              <w:bottom w:val="single" w:sz="4" w:space="0" w:color="auto"/>
              <w:right w:val="single" w:sz="4" w:space="0" w:color="auto"/>
            </w:tcBorders>
            <w:hideMark/>
          </w:tcPr>
          <w:p w14:paraId="12C391BE" w14:textId="77777777" w:rsidR="003E22ED" w:rsidRPr="00F0588E" w:rsidRDefault="003E22ED">
            <w:pPr>
              <w:rPr>
                <w:sz w:val="22"/>
                <w:szCs w:val="22"/>
                <w:lang w:val="en-GB"/>
              </w:rPr>
            </w:pPr>
            <w:r w:rsidRPr="00F0588E">
              <w:rPr>
                <w:sz w:val="22"/>
                <w:szCs w:val="22"/>
                <w:lang w:val="en-GB"/>
              </w:rPr>
              <w:t>Erythema of eyelid*;</w:t>
            </w:r>
          </w:p>
          <w:p w14:paraId="73BADE38" w14:textId="77777777" w:rsidR="003E22ED" w:rsidRPr="00F0588E" w:rsidRDefault="003E22ED">
            <w:pPr>
              <w:rPr>
                <w:sz w:val="22"/>
                <w:szCs w:val="22"/>
                <w:lang w:val="en-GB"/>
              </w:rPr>
            </w:pPr>
            <w:r w:rsidRPr="00F0588E">
              <w:rPr>
                <w:sz w:val="22"/>
                <w:szCs w:val="22"/>
                <w:lang w:val="en-GB"/>
              </w:rPr>
              <w:t>eyelid irritation*;</w:t>
            </w:r>
          </w:p>
          <w:p w14:paraId="62EBED06" w14:textId="77777777" w:rsidR="003E22ED" w:rsidRPr="00F0588E" w:rsidRDefault="003E22ED">
            <w:pPr>
              <w:rPr>
                <w:sz w:val="22"/>
                <w:szCs w:val="22"/>
                <w:lang w:val="en-GB"/>
              </w:rPr>
            </w:pPr>
            <w:r w:rsidRPr="00F0588E">
              <w:rPr>
                <w:sz w:val="22"/>
                <w:szCs w:val="22"/>
                <w:lang w:val="en-GB"/>
              </w:rPr>
              <w:t>eyelid margin crusting*;</w:t>
            </w:r>
          </w:p>
          <w:p w14:paraId="0FF0E190" w14:textId="77777777" w:rsidR="003E22ED" w:rsidRPr="00F0588E" w:rsidRDefault="003E22ED">
            <w:pPr>
              <w:rPr>
                <w:sz w:val="22"/>
                <w:szCs w:val="22"/>
                <w:lang w:val="en-GB"/>
              </w:rPr>
            </w:pPr>
            <w:r w:rsidRPr="00F0588E">
              <w:rPr>
                <w:sz w:val="22"/>
                <w:szCs w:val="22"/>
                <w:lang w:val="en-GB"/>
              </w:rPr>
              <w:t>lacrimation increased*</w:t>
            </w:r>
          </w:p>
        </w:tc>
      </w:tr>
      <w:tr w:rsidR="003E22ED" w:rsidRPr="00F0588E" w14:paraId="26E0AA7C" w14:textId="77777777" w:rsidTr="003E22ED">
        <w:trPr>
          <w:trHeight w:val="766"/>
          <w:jc w:val="center"/>
        </w:trPr>
        <w:tc>
          <w:tcPr>
            <w:tcW w:w="1646" w:type="dxa"/>
            <w:tcBorders>
              <w:top w:val="single" w:sz="4" w:space="0" w:color="auto"/>
              <w:left w:val="single" w:sz="4" w:space="0" w:color="auto"/>
              <w:bottom w:val="single" w:sz="4" w:space="0" w:color="auto"/>
              <w:right w:val="single" w:sz="4" w:space="0" w:color="auto"/>
            </w:tcBorders>
            <w:hideMark/>
          </w:tcPr>
          <w:p w14:paraId="493DCA56" w14:textId="77777777" w:rsidR="003E22ED" w:rsidRPr="00F0588E" w:rsidRDefault="003E22ED">
            <w:pPr>
              <w:rPr>
                <w:i/>
                <w:sz w:val="22"/>
                <w:szCs w:val="22"/>
                <w:lang w:val="en-GB"/>
              </w:rPr>
            </w:pPr>
            <w:r w:rsidRPr="00F0588E">
              <w:rPr>
                <w:i/>
                <w:sz w:val="22"/>
                <w:szCs w:val="22"/>
                <w:lang w:val="en-GB"/>
              </w:rPr>
              <w:t>Cardiac disorders</w:t>
            </w:r>
          </w:p>
        </w:tc>
        <w:tc>
          <w:tcPr>
            <w:tcW w:w="1939" w:type="dxa"/>
            <w:tcBorders>
              <w:top w:val="single" w:sz="4" w:space="0" w:color="auto"/>
              <w:left w:val="single" w:sz="4" w:space="0" w:color="auto"/>
              <w:bottom w:val="single" w:sz="4" w:space="0" w:color="auto"/>
              <w:right w:val="single" w:sz="4" w:space="0" w:color="auto"/>
            </w:tcBorders>
          </w:tcPr>
          <w:p w14:paraId="628817D0"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1A0666D9"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hideMark/>
          </w:tcPr>
          <w:p w14:paraId="02A455F9" w14:textId="77777777" w:rsidR="003E22ED" w:rsidRPr="00F0588E" w:rsidRDefault="003E22ED">
            <w:pPr>
              <w:rPr>
                <w:sz w:val="22"/>
                <w:szCs w:val="22"/>
                <w:lang w:val="en-GB"/>
              </w:rPr>
            </w:pPr>
            <w:r w:rsidRPr="00F0588E">
              <w:rPr>
                <w:sz w:val="22"/>
                <w:szCs w:val="22"/>
                <w:lang w:val="en-GB"/>
              </w:rPr>
              <w:t>Angina pectoris; palpitations*</w:t>
            </w:r>
          </w:p>
        </w:tc>
        <w:tc>
          <w:tcPr>
            <w:tcW w:w="1891" w:type="dxa"/>
            <w:tcBorders>
              <w:top w:val="single" w:sz="4" w:space="0" w:color="auto"/>
              <w:left w:val="single" w:sz="4" w:space="0" w:color="auto"/>
              <w:bottom w:val="single" w:sz="4" w:space="0" w:color="auto"/>
              <w:right w:val="single" w:sz="4" w:space="0" w:color="auto"/>
            </w:tcBorders>
          </w:tcPr>
          <w:p w14:paraId="7582DB57"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hideMark/>
          </w:tcPr>
          <w:p w14:paraId="3825870E" w14:textId="77777777" w:rsidR="003E22ED" w:rsidRPr="00F0588E" w:rsidRDefault="003E22ED">
            <w:pPr>
              <w:rPr>
                <w:sz w:val="22"/>
                <w:szCs w:val="22"/>
                <w:lang w:val="en-GB"/>
              </w:rPr>
            </w:pPr>
            <w:r w:rsidRPr="00F0588E">
              <w:rPr>
                <w:sz w:val="22"/>
                <w:szCs w:val="22"/>
                <w:lang w:val="en-GB"/>
              </w:rPr>
              <w:t>Angina unstable</w:t>
            </w:r>
          </w:p>
        </w:tc>
        <w:tc>
          <w:tcPr>
            <w:tcW w:w="1145" w:type="dxa"/>
            <w:tcBorders>
              <w:top w:val="single" w:sz="4" w:space="0" w:color="auto"/>
              <w:left w:val="single" w:sz="4" w:space="0" w:color="auto"/>
              <w:bottom w:val="single" w:sz="4" w:space="0" w:color="auto"/>
              <w:right w:val="single" w:sz="4" w:space="0" w:color="auto"/>
            </w:tcBorders>
          </w:tcPr>
          <w:p w14:paraId="12BAE49A" w14:textId="77777777" w:rsidR="003E22ED" w:rsidRPr="00F0588E" w:rsidRDefault="003E22ED">
            <w:pPr>
              <w:rPr>
                <w:sz w:val="22"/>
                <w:szCs w:val="22"/>
                <w:lang w:val="en-GB"/>
              </w:rPr>
            </w:pPr>
          </w:p>
        </w:tc>
      </w:tr>
      <w:tr w:rsidR="003E22ED" w:rsidRPr="00F0588E" w14:paraId="21EC10B6" w14:textId="77777777" w:rsidTr="003E22ED">
        <w:trPr>
          <w:trHeight w:val="1036"/>
          <w:jc w:val="center"/>
        </w:trPr>
        <w:tc>
          <w:tcPr>
            <w:tcW w:w="1646" w:type="dxa"/>
            <w:tcBorders>
              <w:top w:val="single" w:sz="4" w:space="0" w:color="auto"/>
              <w:left w:val="single" w:sz="4" w:space="0" w:color="auto"/>
              <w:bottom w:val="single" w:sz="4" w:space="0" w:color="auto"/>
              <w:right w:val="single" w:sz="4" w:space="0" w:color="auto"/>
            </w:tcBorders>
            <w:hideMark/>
          </w:tcPr>
          <w:p w14:paraId="13F915EA" w14:textId="77777777" w:rsidR="003E22ED" w:rsidRPr="00F0588E" w:rsidRDefault="003E22ED">
            <w:pPr>
              <w:rPr>
                <w:i/>
                <w:sz w:val="22"/>
                <w:szCs w:val="22"/>
                <w:lang w:val="en-GB"/>
              </w:rPr>
            </w:pPr>
            <w:r w:rsidRPr="00F0588E">
              <w:rPr>
                <w:i/>
                <w:sz w:val="22"/>
                <w:szCs w:val="22"/>
                <w:lang w:val="en-GB"/>
              </w:rPr>
              <w:t>Respiratory, thoracic and mediastinal disorders</w:t>
            </w:r>
          </w:p>
        </w:tc>
        <w:tc>
          <w:tcPr>
            <w:tcW w:w="1939" w:type="dxa"/>
            <w:tcBorders>
              <w:top w:val="single" w:sz="4" w:space="0" w:color="auto"/>
              <w:left w:val="single" w:sz="4" w:space="0" w:color="auto"/>
              <w:bottom w:val="single" w:sz="4" w:space="0" w:color="auto"/>
              <w:right w:val="single" w:sz="4" w:space="0" w:color="auto"/>
            </w:tcBorders>
          </w:tcPr>
          <w:p w14:paraId="55CA74B1"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52EB9D77"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hideMark/>
          </w:tcPr>
          <w:p w14:paraId="3404BF0A" w14:textId="77777777" w:rsidR="003E22ED" w:rsidRPr="00F0588E" w:rsidRDefault="003E22ED">
            <w:pPr>
              <w:rPr>
                <w:sz w:val="22"/>
                <w:szCs w:val="22"/>
                <w:lang w:val="en-GB"/>
              </w:rPr>
            </w:pPr>
            <w:r w:rsidRPr="00F0588E">
              <w:rPr>
                <w:sz w:val="22"/>
                <w:szCs w:val="22"/>
                <w:lang w:val="en-GB"/>
              </w:rPr>
              <w:t>Asthma*; dyspnoea*</w:t>
            </w:r>
          </w:p>
        </w:tc>
        <w:tc>
          <w:tcPr>
            <w:tcW w:w="1891" w:type="dxa"/>
            <w:tcBorders>
              <w:top w:val="single" w:sz="4" w:space="0" w:color="auto"/>
              <w:left w:val="single" w:sz="4" w:space="0" w:color="auto"/>
              <w:bottom w:val="single" w:sz="4" w:space="0" w:color="auto"/>
              <w:right w:val="single" w:sz="4" w:space="0" w:color="auto"/>
            </w:tcBorders>
            <w:hideMark/>
          </w:tcPr>
          <w:p w14:paraId="3521B02F" w14:textId="77777777" w:rsidR="003E22ED" w:rsidRPr="00F0588E" w:rsidRDefault="003E22ED">
            <w:pPr>
              <w:rPr>
                <w:sz w:val="22"/>
                <w:szCs w:val="22"/>
                <w:lang w:val="en-GB"/>
              </w:rPr>
            </w:pPr>
            <w:r w:rsidRPr="00F0588E">
              <w:rPr>
                <w:sz w:val="22"/>
                <w:szCs w:val="22"/>
                <w:lang w:val="en-GB"/>
              </w:rPr>
              <w:t xml:space="preserve">Asthma exacerbation </w:t>
            </w:r>
          </w:p>
        </w:tc>
        <w:tc>
          <w:tcPr>
            <w:tcW w:w="1145" w:type="dxa"/>
            <w:tcBorders>
              <w:top w:val="single" w:sz="4" w:space="0" w:color="auto"/>
              <w:left w:val="single" w:sz="4" w:space="0" w:color="auto"/>
              <w:bottom w:val="single" w:sz="4" w:space="0" w:color="auto"/>
              <w:right w:val="single" w:sz="4" w:space="0" w:color="auto"/>
            </w:tcBorders>
          </w:tcPr>
          <w:p w14:paraId="6870D4D6"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4BA206CF" w14:textId="77777777" w:rsidR="003E22ED" w:rsidRPr="00F0588E" w:rsidRDefault="003E22ED">
            <w:pPr>
              <w:rPr>
                <w:sz w:val="22"/>
                <w:szCs w:val="22"/>
                <w:lang w:val="en-GB"/>
              </w:rPr>
            </w:pPr>
          </w:p>
        </w:tc>
      </w:tr>
      <w:tr w:rsidR="00C1229C" w:rsidRPr="00C1229C" w14:paraId="1DBA18FE" w14:textId="77777777" w:rsidTr="003E22ED">
        <w:trPr>
          <w:trHeight w:val="1036"/>
          <w:jc w:val="center"/>
        </w:trPr>
        <w:tc>
          <w:tcPr>
            <w:tcW w:w="1646" w:type="dxa"/>
            <w:tcBorders>
              <w:top w:val="single" w:sz="4" w:space="0" w:color="auto"/>
              <w:left w:val="single" w:sz="4" w:space="0" w:color="auto"/>
              <w:bottom w:val="single" w:sz="4" w:space="0" w:color="auto"/>
              <w:right w:val="single" w:sz="4" w:space="0" w:color="auto"/>
            </w:tcBorders>
          </w:tcPr>
          <w:p w14:paraId="5FAD50BB" w14:textId="29ABD78D" w:rsidR="00C1229C" w:rsidRPr="00C1229C" w:rsidRDefault="00C1229C">
            <w:pPr>
              <w:rPr>
                <w:i/>
                <w:sz w:val="22"/>
                <w:szCs w:val="22"/>
                <w:lang w:val="en-GB"/>
              </w:rPr>
            </w:pPr>
            <w:proofErr w:type="spellStart"/>
            <w:r w:rsidRPr="00C1229C">
              <w:rPr>
                <w:i/>
                <w:iCs/>
                <w:sz w:val="22"/>
                <w:szCs w:val="22"/>
              </w:rPr>
              <w:t>Gastrointestinal</w:t>
            </w:r>
            <w:proofErr w:type="spellEnd"/>
            <w:r w:rsidRPr="00C1229C">
              <w:rPr>
                <w:i/>
                <w:iCs/>
                <w:sz w:val="22"/>
                <w:szCs w:val="22"/>
              </w:rPr>
              <w:t xml:space="preserve"> </w:t>
            </w:r>
            <w:proofErr w:type="spellStart"/>
            <w:r w:rsidRPr="00C1229C">
              <w:rPr>
                <w:i/>
                <w:iCs/>
                <w:sz w:val="22"/>
                <w:szCs w:val="22"/>
              </w:rPr>
              <w:t>disorders</w:t>
            </w:r>
            <w:proofErr w:type="spellEnd"/>
          </w:p>
        </w:tc>
        <w:tc>
          <w:tcPr>
            <w:tcW w:w="1939" w:type="dxa"/>
            <w:tcBorders>
              <w:top w:val="single" w:sz="4" w:space="0" w:color="auto"/>
              <w:left w:val="single" w:sz="4" w:space="0" w:color="auto"/>
              <w:bottom w:val="single" w:sz="4" w:space="0" w:color="auto"/>
              <w:right w:val="single" w:sz="4" w:space="0" w:color="auto"/>
            </w:tcBorders>
          </w:tcPr>
          <w:p w14:paraId="16FEF2D9" w14:textId="77777777" w:rsidR="00C1229C" w:rsidRPr="00C1229C" w:rsidRDefault="00C1229C">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4DB72B4C" w14:textId="77777777" w:rsidR="00C1229C" w:rsidRPr="00C1229C" w:rsidRDefault="00C1229C">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tcPr>
          <w:p w14:paraId="38389425" w14:textId="77777777" w:rsidR="00C1229C" w:rsidRPr="00C1229C" w:rsidRDefault="00C1229C" w:rsidP="00C1229C">
            <w:pPr>
              <w:rPr>
                <w:sz w:val="22"/>
                <w:szCs w:val="22"/>
              </w:rPr>
            </w:pPr>
            <w:proofErr w:type="spellStart"/>
            <w:r w:rsidRPr="00C1229C">
              <w:rPr>
                <w:sz w:val="22"/>
                <w:szCs w:val="22"/>
              </w:rPr>
              <w:t>Nausea</w:t>
            </w:r>
            <w:proofErr w:type="spellEnd"/>
          </w:p>
          <w:p w14:paraId="0704F2DB" w14:textId="6D982F7F" w:rsidR="00C1229C" w:rsidRPr="00C1229C" w:rsidRDefault="00C1229C" w:rsidP="00C1229C">
            <w:pPr>
              <w:rPr>
                <w:sz w:val="22"/>
                <w:szCs w:val="22"/>
                <w:lang w:val="en-GB"/>
              </w:rPr>
            </w:pPr>
            <w:proofErr w:type="spellStart"/>
            <w:r w:rsidRPr="00C1229C">
              <w:rPr>
                <w:sz w:val="22"/>
                <w:szCs w:val="22"/>
              </w:rPr>
              <w:t>vomiting</w:t>
            </w:r>
            <w:proofErr w:type="spellEnd"/>
          </w:p>
        </w:tc>
        <w:tc>
          <w:tcPr>
            <w:tcW w:w="1891" w:type="dxa"/>
            <w:tcBorders>
              <w:top w:val="single" w:sz="4" w:space="0" w:color="auto"/>
              <w:left w:val="single" w:sz="4" w:space="0" w:color="auto"/>
              <w:bottom w:val="single" w:sz="4" w:space="0" w:color="auto"/>
              <w:right w:val="single" w:sz="4" w:space="0" w:color="auto"/>
            </w:tcBorders>
          </w:tcPr>
          <w:p w14:paraId="63E572C7" w14:textId="77777777" w:rsidR="00C1229C" w:rsidRPr="00C1229C" w:rsidRDefault="00C1229C">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74713779" w14:textId="77777777" w:rsidR="00C1229C" w:rsidRPr="00C1229C" w:rsidRDefault="00C1229C">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366A0E79" w14:textId="77777777" w:rsidR="00C1229C" w:rsidRPr="00C1229C" w:rsidRDefault="00C1229C">
            <w:pPr>
              <w:rPr>
                <w:sz w:val="22"/>
                <w:szCs w:val="22"/>
                <w:lang w:val="en-GB"/>
              </w:rPr>
            </w:pPr>
          </w:p>
        </w:tc>
      </w:tr>
      <w:tr w:rsidR="003E22ED" w:rsidRPr="00C1229C" w14:paraId="678DE99E" w14:textId="77777777" w:rsidTr="003E22ED">
        <w:trPr>
          <w:trHeight w:val="766"/>
          <w:jc w:val="center"/>
        </w:trPr>
        <w:tc>
          <w:tcPr>
            <w:tcW w:w="1646" w:type="dxa"/>
            <w:tcBorders>
              <w:top w:val="single" w:sz="4" w:space="0" w:color="auto"/>
              <w:left w:val="single" w:sz="4" w:space="0" w:color="auto"/>
              <w:bottom w:val="single" w:sz="4" w:space="0" w:color="auto"/>
              <w:right w:val="single" w:sz="4" w:space="0" w:color="auto"/>
            </w:tcBorders>
            <w:hideMark/>
          </w:tcPr>
          <w:p w14:paraId="7849E3F7" w14:textId="77777777" w:rsidR="003E22ED" w:rsidRPr="00F0588E" w:rsidRDefault="003E22ED">
            <w:pPr>
              <w:rPr>
                <w:i/>
                <w:sz w:val="22"/>
                <w:szCs w:val="22"/>
                <w:lang w:val="en-GB"/>
              </w:rPr>
            </w:pPr>
            <w:r w:rsidRPr="00F0588E">
              <w:rPr>
                <w:i/>
                <w:sz w:val="22"/>
                <w:szCs w:val="22"/>
                <w:lang w:val="en-GB"/>
              </w:rPr>
              <w:t>Skin and subcutaneous tissue disorders</w:t>
            </w:r>
          </w:p>
        </w:tc>
        <w:tc>
          <w:tcPr>
            <w:tcW w:w="1939" w:type="dxa"/>
            <w:tcBorders>
              <w:top w:val="single" w:sz="4" w:space="0" w:color="auto"/>
              <w:left w:val="single" w:sz="4" w:space="0" w:color="auto"/>
              <w:bottom w:val="single" w:sz="4" w:space="0" w:color="auto"/>
              <w:right w:val="single" w:sz="4" w:space="0" w:color="auto"/>
            </w:tcBorders>
          </w:tcPr>
          <w:p w14:paraId="45BB705E"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42D2A6E2"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hideMark/>
          </w:tcPr>
          <w:p w14:paraId="2658F2B0" w14:textId="77777777" w:rsidR="003E22ED" w:rsidRPr="00F0588E" w:rsidRDefault="003E22ED">
            <w:pPr>
              <w:rPr>
                <w:sz w:val="22"/>
                <w:szCs w:val="22"/>
                <w:lang w:val="en-GB"/>
              </w:rPr>
            </w:pPr>
            <w:r w:rsidRPr="00F0588E">
              <w:rPr>
                <w:sz w:val="22"/>
                <w:szCs w:val="22"/>
                <w:lang w:val="en-GB"/>
              </w:rPr>
              <w:t>Rash</w:t>
            </w:r>
          </w:p>
        </w:tc>
        <w:tc>
          <w:tcPr>
            <w:tcW w:w="1891" w:type="dxa"/>
            <w:tcBorders>
              <w:top w:val="single" w:sz="4" w:space="0" w:color="auto"/>
              <w:left w:val="single" w:sz="4" w:space="0" w:color="auto"/>
              <w:bottom w:val="single" w:sz="4" w:space="0" w:color="auto"/>
              <w:right w:val="single" w:sz="4" w:space="0" w:color="auto"/>
            </w:tcBorders>
            <w:hideMark/>
          </w:tcPr>
          <w:p w14:paraId="3D630176" w14:textId="77777777" w:rsidR="003E22ED" w:rsidRPr="00F0588E" w:rsidRDefault="003E22ED">
            <w:pPr>
              <w:rPr>
                <w:sz w:val="22"/>
                <w:szCs w:val="22"/>
                <w:lang w:val="en-GB"/>
              </w:rPr>
            </w:pPr>
            <w:r w:rsidRPr="00F0588E">
              <w:rPr>
                <w:sz w:val="22"/>
                <w:szCs w:val="22"/>
                <w:lang w:val="en-GB"/>
              </w:rPr>
              <w:t>Pruritus; localised skin reaction on the eyelids</w:t>
            </w:r>
          </w:p>
        </w:tc>
        <w:tc>
          <w:tcPr>
            <w:tcW w:w="1145" w:type="dxa"/>
            <w:tcBorders>
              <w:top w:val="single" w:sz="4" w:space="0" w:color="auto"/>
              <w:left w:val="single" w:sz="4" w:space="0" w:color="auto"/>
              <w:bottom w:val="single" w:sz="4" w:space="0" w:color="auto"/>
              <w:right w:val="single" w:sz="4" w:space="0" w:color="auto"/>
            </w:tcBorders>
          </w:tcPr>
          <w:p w14:paraId="1A3BD633"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04951D33" w14:textId="77777777" w:rsidR="003E22ED" w:rsidRPr="00F0588E" w:rsidRDefault="003E22ED">
            <w:pPr>
              <w:rPr>
                <w:sz w:val="22"/>
                <w:szCs w:val="22"/>
                <w:lang w:val="en-GB"/>
              </w:rPr>
            </w:pPr>
          </w:p>
        </w:tc>
      </w:tr>
      <w:tr w:rsidR="003E22ED" w:rsidRPr="00F0588E" w14:paraId="7C78C2B1" w14:textId="77777777" w:rsidTr="003E22ED">
        <w:trPr>
          <w:trHeight w:val="781"/>
          <w:jc w:val="center"/>
        </w:trPr>
        <w:tc>
          <w:tcPr>
            <w:tcW w:w="1646" w:type="dxa"/>
            <w:tcBorders>
              <w:top w:val="single" w:sz="4" w:space="0" w:color="auto"/>
              <w:left w:val="single" w:sz="4" w:space="0" w:color="auto"/>
              <w:bottom w:val="single" w:sz="4" w:space="0" w:color="auto"/>
              <w:right w:val="single" w:sz="4" w:space="0" w:color="auto"/>
            </w:tcBorders>
            <w:hideMark/>
          </w:tcPr>
          <w:p w14:paraId="4A48462A" w14:textId="77777777" w:rsidR="003E22ED" w:rsidRPr="00F0588E" w:rsidRDefault="003E22ED">
            <w:pPr>
              <w:rPr>
                <w:i/>
                <w:sz w:val="22"/>
                <w:szCs w:val="22"/>
                <w:lang w:val="en-GB"/>
              </w:rPr>
            </w:pPr>
            <w:r w:rsidRPr="00F0588E">
              <w:rPr>
                <w:i/>
                <w:sz w:val="22"/>
                <w:szCs w:val="22"/>
                <w:lang w:val="en-GB"/>
              </w:rPr>
              <w:t>Musculoskeletal and connective tissue disorders</w:t>
            </w:r>
          </w:p>
        </w:tc>
        <w:tc>
          <w:tcPr>
            <w:tcW w:w="1939" w:type="dxa"/>
            <w:tcBorders>
              <w:top w:val="single" w:sz="4" w:space="0" w:color="auto"/>
              <w:left w:val="single" w:sz="4" w:space="0" w:color="auto"/>
              <w:bottom w:val="single" w:sz="4" w:space="0" w:color="auto"/>
              <w:right w:val="single" w:sz="4" w:space="0" w:color="auto"/>
            </w:tcBorders>
          </w:tcPr>
          <w:p w14:paraId="51B88516"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2ED66FF0"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hideMark/>
          </w:tcPr>
          <w:p w14:paraId="739126F2" w14:textId="77777777" w:rsidR="003E22ED" w:rsidRPr="00F0588E" w:rsidRDefault="003E22ED">
            <w:pPr>
              <w:rPr>
                <w:sz w:val="22"/>
                <w:szCs w:val="22"/>
                <w:lang w:val="en-GB"/>
              </w:rPr>
            </w:pPr>
            <w:r w:rsidRPr="00F0588E">
              <w:rPr>
                <w:sz w:val="22"/>
                <w:szCs w:val="22"/>
                <w:lang w:val="en-GB"/>
              </w:rPr>
              <w:t>Myalgia*; arthralgia*</w:t>
            </w:r>
          </w:p>
        </w:tc>
        <w:tc>
          <w:tcPr>
            <w:tcW w:w="1891" w:type="dxa"/>
            <w:tcBorders>
              <w:top w:val="single" w:sz="4" w:space="0" w:color="auto"/>
              <w:left w:val="single" w:sz="4" w:space="0" w:color="auto"/>
              <w:bottom w:val="single" w:sz="4" w:space="0" w:color="auto"/>
              <w:right w:val="single" w:sz="4" w:space="0" w:color="auto"/>
            </w:tcBorders>
          </w:tcPr>
          <w:p w14:paraId="22900D2C"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0B56232F"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02907F85" w14:textId="77777777" w:rsidR="003E22ED" w:rsidRPr="00F0588E" w:rsidRDefault="003E22ED">
            <w:pPr>
              <w:rPr>
                <w:sz w:val="22"/>
                <w:szCs w:val="22"/>
                <w:lang w:val="en-GB"/>
              </w:rPr>
            </w:pPr>
          </w:p>
        </w:tc>
      </w:tr>
      <w:tr w:rsidR="003E22ED" w:rsidRPr="00F0588E" w14:paraId="09B72D9B" w14:textId="77777777" w:rsidTr="003E22ED">
        <w:trPr>
          <w:trHeight w:val="781"/>
          <w:jc w:val="center"/>
        </w:trPr>
        <w:tc>
          <w:tcPr>
            <w:tcW w:w="1646" w:type="dxa"/>
            <w:tcBorders>
              <w:top w:val="single" w:sz="4" w:space="0" w:color="auto"/>
              <w:left w:val="single" w:sz="4" w:space="0" w:color="auto"/>
              <w:bottom w:val="single" w:sz="4" w:space="0" w:color="auto"/>
              <w:right w:val="single" w:sz="4" w:space="0" w:color="auto"/>
            </w:tcBorders>
            <w:hideMark/>
          </w:tcPr>
          <w:p w14:paraId="3FD1F50B" w14:textId="77777777" w:rsidR="003E22ED" w:rsidRPr="00F0588E" w:rsidRDefault="003E22ED">
            <w:pPr>
              <w:rPr>
                <w:i/>
                <w:sz w:val="22"/>
                <w:szCs w:val="22"/>
                <w:lang w:val="en-GB"/>
              </w:rPr>
            </w:pPr>
            <w:r w:rsidRPr="00F0588E">
              <w:rPr>
                <w:i/>
                <w:sz w:val="22"/>
                <w:szCs w:val="22"/>
                <w:lang w:val="en-GB"/>
              </w:rPr>
              <w:t>General disorders and administration site conditions</w:t>
            </w:r>
          </w:p>
        </w:tc>
        <w:tc>
          <w:tcPr>
            <w:tcW w:w="1939" w:type="dxa"/>
            <w:tcBorders>
              <w:top w:val="single" w:sz="4" w:space="0" w:color="auto"/>
              <w:left w:val="single" w:sz="4" w:space="0" w:color="auto"/>
              <w:bottom w:val="single" w:sz="4" w:space="0" w:color="auto"/>
              <w:right w:val="single" w:sz="4" w:space="0" w:color="auto"/>
            </w:tcBorders>
          </w:tcPr>
          <w:p w14:paraId="74B27166" w14:textId="77777777" w:rsidR="003E22ED" w:rsidRPr="00F0588E" w:rsidRDefault="003E22ED">
            <w:pPr>
              <w:rPr>
                <w:sz w:val="22"/>
                <w:szCs w:val="22"/>
                <w:lang w:val="en-GB"/>
              </w:rPr>
            </w:pPr>
          </w:p>
        </w:tc>
        <w:tc>
          <w:tcPr>
            <w:tcW w:w="1524" w:type="dxa"/>
            <w:tcBorders>
              <w:top w:val="single" w:sz="4" w:space="0" w:color="auto"/>
              <w:left w:val="single" w:sz="4" w:space="0" w:color="auto"/>
              <w:bottom w:val="single" w:sz="4" w:space="0" w:color="auto"/>
              <w:right w:val="single" w:sz="4" w:space="0" w:color="auto"/>
            </w:tcBorders>
          </w:tcPr>
          <w:p w14:paraId="7CB53E0D" w14:textId="77777777" w:rsidR="003E22ED" w:rsidRPr="00F0588E" w:rsidRDefault="003E22ED">
            <w:pPr>
              <w:rPr>
                <w:sz w:val="22"/>
                <w:szCs w:val="22"/>
                <w:lang w:val="en-GB"/>
              </w:rPr>
            </w:pPr>
          </w:p>
        </w:tc>
        <w:tc>
          <w:tcPr>
            <w:tcW w:w="1488" w:type="dxa"/>
            <w:tcBorders>
              <w:top w:val="single" w:sz="4" w:space="0" w:color="auto"/>
              <w:left w:val="single" w:sz="4" w:space="0" w:color="auto"/>
              <w:bottom w:val="single" w:sz="4" w:space="0" w:color="auto"/>
              <w:right w:val="single" w:sz="4" w:space="0" w:color="auto"/>
            </w:tcBorders>
            <w:hideMark/>
          </w:tcPr>
          <w:p w14:paraId="501A7D6C" w14:textId="77777777" w:rsidR="003E22ED" w:rsidRPr="00F0588E" w:rsidRDefault="003E22ED">
            <w:pPr>
              <w:rPr>
                <w:sz w:val="22"/>
                <w:szCs w:val="22"/>
                <w:lang w:val="en-GB"/>
              </w:rPr>
            </w:pPr>
            <w:r w:rsidRPr="00F0588E">
              <w:rPr>
                <w:sz w:val="22"/>
                <w:szCs w:val="22"/>
                <w:lang w:val="en-GB"/>
              </w:rPr>
              <w:t>Chest pain*</w:t>
            </w:r>
          </w:p>
        </w:tc>
        <w:tc>
          <w:tcPr>
            <w:tcW w:w="1891" w:type="dxa"/>
            <w:tcBorders>
              <w:top w:val="single" w:sz="4" w:space="0" w:color="auto"/>
              <w:left w:val="single" w:sz="4" w:space="0" w:color="auto"/>
              <w:bottom w:val="single" w:sz="4" w:space="0" w:color="auto"/>
              <w:right w:val="single" w:sz="4" w:space="0" w:color="auto"/>
            </w:tcBorders>
          </w:tcPr>
          <w:p w14:paraId="234A6616"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783B2943" w14:textId="77777777" w:rsidR="003E22ED" w:rsidRPr="00F0588E" w:rsidRDefault="003E22ED">
            <w:pPr>
              <w:rPr>
                <w:sz w:val="22"/>
                <w:szCs w:val="22"/>
                <w:lang w:val="en-GB"/>
              </w:rPr>
            </w:pPr>
          </w:p>
        </w:tc>
        <w:tc>
          <w:tcPr>
            <w:tcW w:w="1145" w:type="dxa"/>
            <w:tcBorders>
              <w:top w:val="single" w:sz="4" w:space="0" w:color="auto"/>
              <w:left w:val="single" w:sz="4" w:space="0" w:color="auto"/>
              <w:bottom w:val="single" w:sz="4" w:space="0" w:color="auto"/>
              <w:right w:val="single" w:sz="4" w:space="0" w:color="auto"/>
            </w:tcBorders>
          </w:tcPr>
          <w:p w14:paraId="10AAF64A" w14:textId="77777777" w:rsidR="003E22ED" w:rsidRPr="00F0588E" w:rsidRDefault="003E22ED">
            <w:pPr>
              <w:rPr>
                <w:sz w:val="22"/>
                <w:szCs w:val="22"/>
                <w:lang w:val="en-GB"/>
              </w:rPr>
            </w:pPr>
          </w:p>
        </w:tc>
      </w:tr>
    </w:tbl>
    <w:p w14:paraId="535D5A0A" w14:textId="77777777" w:rsidR="003E22ED" w:rsidRPr="00F0588E" w:rsidRDefault="003E22ED" w:rsidP="003E22ED">
      <w:pPr>
        <w:rPr>
          <w:sz w:val="24"/>
          <w:szCs w:val="24"/>
          <w:lang w:val="en-GB" w:eastAsia="en-US"/>
        </w:rPr>
      </w:pPr>
      <w:r w:rsidRPr="00F0588E">
        <w:rPr>
          <w:sz w:val="24"/>
          <w:szCs w:val="24"/>
          <w:lang w:val="en-GB"/>
        </w:rPr>
        <w:t>*Adverse reactions identified post-marketing</w:t>
      </w:r>
    </w:p>
    <w:p w14:paraId="3F541D74" w14:textId="77777777" w:rsidR="003E22ED" w:rsidRPr="00F0588E" w:rsidRDefault="003E22ED" w:rsidP="00F0588E">
      <w:pPr>
        <w:ind w:left="851"/>
        <w:rPr>
          <w:sz w:val="24"/>
          <w:szCs w:val="24"/>
          <w:u w:val="single"/>
          <w:lang w:val="en-GB"/>
        </w:rPr>
      </w:pPr>
    </w:p>
    <w:p w14:paraId="18FAD398" w14:textId="77777777" w:rsidR="003E22ED" w:rsidRPr="00F0588E" w:rsidRDefault="003E22ED" w:rsidP="00F0588E">
      <w:pPr>
        <w:ind w:left="851"/>
        <w:rPr>
          <w:sz w:val="24"/>
          <w:szCs w:val="24"/>
          <w:lang w:val="en-GB"/>
        </w:rPr>
      </w:pPr>
      <w:r w:rsidRPr="00F0588E">
        <w:rPr>
          <w:sz w:val="24"/>
          <w:szCs w:val="24"/>
          <w:lang w:val="en-GB"/>
        </w:rPr>
        <w:t>Cases of corneal calcification have been reported very rarely in association with the use of phosphate containing eye drops in some patients with significantly damaged corneas.</w:t>
      </w:r>
    </w:p>
    <w:p w14:paraId="699429A2" w14:textId="77777777" w:rsidR="003E22ED" w:rsidRPr="00F0588E" w:rsidRDefault="003E22ED" w:rsidP="00F0588E">
      <w:pPr>
        <w:ind w:left="851"/>
        <w:rPr>
          <w:sz w:val="24"/>
          <w:szCs w:val="24"/>
          <w:u w:val="single"/>
          <w:lang w:val="en-GB"/>
        </w:rPr>
      </w:pPr>
    </w:p>
    <w:p w14:paraId="740E2DA0" w14:textId="77777777" w:rsidR="003E22ED" w:rsidRPr="00F0588E" w:rsidRDefault="003E22ED" w:rsidP="00F0588E">
      <w:pPr>
        <w:tabs>
          <w:tab w:val="left" w:pos="1304"/>
        </w:tabs>
        <w:ind w:left="851"/>
        <w:rPr>
          <w:sz w:val="24"/>
          <w:szCs w:val="24"/>
          <w:u w:val="single"/>
          <w:lang w:val="en-GB"/>
        </w:rPr>
      </w:pPr>
      <w:r w:rsidRPr="00F0588E">
        <w:rPr>
          <w:sz w:val="24"/>
          <w:szCs w:val="24"/>
          <w:u w:val="single"/>
          <w:lang w:val="en-GB"/>
        </w:rPr>
        <w:t xml:space="preserve">Paediatric population </w:t>
      </w:r>
    </w:p>
    <w:p w14:paraId="5EF9440A" w14:textId="77777777" w:rsidR="003E22ED" w:rsidRPr="00F0588E" w:rsidRDefault="003E22ED" w:rsidP="00F0588E">
      <w:pPr>
        <w:ind w:left="851"/>
        <w:rPr>
          <w:sz w:val="24"/>
          <w:szCs w:val="24"/>
          <w:lang w:val="en-GB"/>
        </w:rPr>
      </w:pPr>
      <w:r w:rsidRPr="00F0588E">
        <w:rPr>
          <w:sz w:val="24"/>
          <w:szCs w:val="24"/>
          <w:lang w:val="en-GB"/>
        </w:rPr>
        <w:t>In two short term clinical trials (≤ 12 weeks), involving 93 (25 and 68) paediatric patients, the safety profile was similar to that in adults and no new adverse events were identified. The short-term safety profiles in the different paediatric subsets were also similar (</w:t>
      </w:r>
      <w:r w:rsidRPr="00F0588E">
        <w:rPr>
          <w:i/>
          <w:iCs/>
          <w:sz w:val="24"/>
          <w:szCs w:val="24"/>
          <w:lang w:val="en-GB"/>
        </w:rPr>
        <w:t>see section 5.1</w:t>
      </w:r>
      <w:r w:rsidRPr="00F0588E">
        <w:rPr>
          <w:sz w:val="24"/>
          <w:szCs w:val="24"/>
          <w:lang w:val="en-GB"/>
        </w:rPr>
        <w:t>). Adverse events seen more frequently in the paediatric population as compared to adults are: nasopharyngitis and pyrexia.</w:t>
      </w:r>
    </w:p>
    <w:p w14:paraId="40E1CA3F" w14:textId="77777777" w:rsidR="00BB207E" w:rsidRPr="00F0588E" w:rsidRDefault="00BB207E" w:rsidP="00F0588E">
      <w:pPr>
        <w:ind w:left="851"/>
        <w:rPr>
          <w:sz w:val="24"/>
          <w:szCs w:val="24"/>
          <w:u w:val="single"/>
          <w:lang w:val="en-GB"/>
        </w:rPr>
      </w:pPr>
    </w:p>
    <w:p w14:paraId="72FCB509" w14:textId="77777777" w:rsidR="00E024B5" w:rsidRPr="00EB68C7" w:rsidRDefault="00E024B5" w:rsidP="00E024B5">
      <w:pPr>
        <w:ind w:left="851"/>
        <w:rPr>
          <w:sz w:val="24"/>
          <w:szCs w:val="24"/>
          <w:u w:val="single"/>
          <w:lang w:val="en-GB"/>
        </w:rPr>
      </w:pPr>
      <w:r w:rsidRPr="00EB68C7">
        <w:rPr>
          <w:sz w:val="24"/>
          <w:szCs w:val="24"/>
          <w:u w:val="single"/>
          <w:lang w:val="en-GB"/>
        </w:rPr>
        <w:t>Reporting of suspected adverse reactions</w:t>
      </w:r>
    </w:p>
    <w:p w14:paraId="63B9FD8C" w14:textId="77777777" w:rsidR="00E024B5" w:rsidRPr="00EB68C7" w:rsidRDefault="00E024B5" w:rsidP="00E024B5">
      <w:pPr>
        <w:ind w:left="851"/>
        <w:rPr>
          <w:sz w:val="24"/>
          <w:szCs w:val="24"/>
          <w:lang w:val="en-GB"/>
        </w:rPr>
      </w:pPr>
      <w:r w:rsidRPr="00EB68C7">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7140D79F" w14:textId="77777777" w:rsidR="00E024B5" w:rsidRPr="00EB68C7" w:rsidRDefault="00E024B5" w:rsidP="00E024B5">
      <w:pPr>
        <w:ind w:left="851"/>
        <w:rPr>
          <w:sz w:val="24"/>
          <w:szCs w:val="24"/>
          <w:lang w:val="en-GB"/>
        </w:rPr>
      </w:pPr>
    </w:p>
    <w:p w14:paraId="5F9CE0F3" w14:textId="77777777" w:rsidR="00E024B5" w:rsidRPr="00F23A2B" w:rsidRDefault="00E024B5" w:rsidP="00E024B5">
      <w:pPr>
        <w:ind w:left="851"/>
        <w:rPr>
          <w:sz w:val="24"/>
          <w:szCs w:val="24"/>
        </w:rPr>
      </w:pPr>
      <w:r w:rsidRPr="00F23A2B">
        <w:rPr>
          <w:sz w:val="24"/>
          <w:szCs w:val="24"/>
        </w:rPr>
        <w:t>Lægemiddelstyrelsen</w:t>
      </w:r>
    </w:p>
    <w:p w14:paraId="206EC397" w14:textId="77777777" w:rsidR="00E024B5" w:rsidRPr="00F23A2B" w:rsidRDefault="00E024B5" w:rsidP="00E024B5">
      <w:pPr>
        <w:ind w:left="851"/>
        <w:rPr>
          <w:sz w:val="24"/>
          <w:szCs w:val="24"/>
        </w:rPr>
      </w:pPr>
      <w:r w:rsidRPr="00F23A2B">
        <w:rPr>
          <w:sz w:val="24"/>
          <w:szCs w:val="24"/>
        </w:rPr>
        <w:t>Axel Heides Gade 1</w:t>
      </w:r>
    </w:p>
    <w:p w14:paraId="54522E41" w14:textId="77777777" w:rsidR="00E024B5" w:rsidRPr="00F23A2B" w:rsidRDefault="00E024B5" w:rsidP="00E024B5">
      <w:pPr>
        <w:ind w:left="851"/>
        <w:rPr>
          <w:sz w:val="24"/>
          <w:szCs w:val="24"/>
        </w:rPr>
      </w:pPr>
      <w:r w:rsidRPr="00F23A2B">
        <w:rPr>
          <w:sz w:val="24"/>
          <w:szCs w:val="24"/>
        </w:rPr>
        <w:t>DK-2300 København S</w:t>
      </w:r>
    </w:p>
    <w:p w14:paraId="6FC54881" w14:textId="77777777" w:rsidR="00E024B5" w:rsidRPr="00EB68C7" w:rsidRDefault="00E024B5" w:rsidP="00E024B5">
      <w:pPr>
        <w:ind w:left="851"/>
        <w:rPr>
          <w:sz w:val="24"/>
          <w:szCs w:val="24"/>
          <w:lang w:val="en-GB"/>
        </w:rPr>
      </w:pPr>
      <w:r w:rsidRPr="00EB68C7">
        <w:rPr>
          <w:sz w:val="24"/>
          <w:szCs w:val="24"/>
          <w:lang w:val="en-GB"/>
        </w:rPr>
        <w:t>Website: www.meldenbivirkning.dk</w:t>
      </w:r>
    </w:p>
    <w:p w14:paraId="7FE2AF0D" w14:textId="77777777" w:rsidR="007C5D2A" w:rsidRPr="00EB68C7" w:rsidRDefault="007C5D2A" w:rsidP="007A4CC6">
      <w:pPr>
        <w:tabs>
          <w:tab w:val="left" w:pos="851"/>
        </w:tabs>
        <w:ind w:left="851"/>
        <w:rPr>
          <w:sz w:val="24"/>
          <w:szCs w:val="24"/>
          <w:lang w:val="en-GB"/>
        </w:rPr>
      </w:pPr>
    </w:p>
    <w:p w14:paraId="366286FA"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4.9</w:t>
      </w:r>
      <w:r w:rsidRPr="00EB68C7">
        <w:rPr>
          <w:b/>
          <w:sz w:val="24"/>
          <w:szCs w:val="24"/>
          <w:lang w:val="en-GB"/>
        </w:rPr>
        <w:tab/>
        <w:t>Overdose</w:t>
      </w:r>
    </w:p>
    <w:p w14:paraId="337BECE9" w14:textId="77777777" w:rsidR="009C1E37" w:rsidRPr="00EB68C7" w:rsidRDefault="009C1E37" w:rsidP="00453C51">
      <w:pPr>
        <w:ind w:left="851"/>
        <w:rPr>
          <w:noProof/>
          <w:sz w:val="24"/>
          <w:szCs w:val="24"/>
          <w:u w:val="single"/>
          <w:lang w:val="en-GB"/>
        </w:rPr>
      </w:pPr>
    </w:p>
    <w:p w14:paraId="21CE0332" w14:textId="6503C648" w:rsidR="00E57FA2" w:rsidRPr="00EB68C7" w:rsidRDefault="00E57FA2" w:rsidP="00453C51">
      <w:pPr>
        <w:ind w:left="851"/>
        <w:rPr>
          <w:noProof/>
          <w:sz w:val="24"/>
          <w:szCs w:val="24"/>
          <w:u w:val="single"/>
          <w:lang w:val="en-GB"/>
        </w:rPr>
      </w:pPr>
      <w:r w:rsidRPr="00EB68C7">
        <w:rPr>
          <w:noProof/>
          <w:sz w:val="24"/>
          <w:szCs w:val="24"/>
          <w:u w:val="single"/>
          <w:lang w:val="en-GB"/>
        </w:rPr>
        <w:t>Sym</w:t>
      </w:r>
      <w:r w:rsidR="003E22ED" w:rsidRPr="00EB68C7">
        <w:rPr>
          <w:noProof/>
          <w:sz w:val="24"/>
          <w:szCs w:val="24"/>
          <w:u w:val="single"/>
          <w:lang w:val="en-GB"/>
        </w:rPr>
        <w:t>p</w:t>
      </w:r>
      <w:r w:rsidRPr="00EB68C7">
        <w:rPr>
          <w:noProof/>
          <w:sz w:val="24"/>
          <w:szCs w:val="24"/>
          <w:u w:val="single"/>
          <w:lang w:val="en-GB"/>
        </w:rPr>
        <w:t>toms</w:t>
      </w:r>
    </w:p>
    <w:p w14:paraId="775D6748" w14:textId="494D87BB" w:rsidR="00E57FA2" w:rsidRPr="00EB68C7" w:rsidRDefault="00E57FA2" w:rsidP="00453C51">
      <w:pPr>
        <w:ind w:left="851"/>
        <w:rPr>
          <w:noProof/>
          <w:sz w:val="24"/>
          <w:szCs w:val="24"/>
          <w:lang w:val="en-GB"/>
        </w:rPr>
      </w:pPr>
      <w:r w:rsidRPr="00EB68C7">
        <w:rPr>
          <w:noProof/>
          <w:sz w:val="24"/>
          <w:szCs w:val="24"/>
          <w:lang w:val="en-GB"/>
        </w:rPr>
        <w:t xml:space="preserve">Apart from ocular irritation and conjunctival hyperaemia, no other ocular side effects are known if </w:t>
      </w:r>
      <w:r w:rsidR="007E759B" w:rsidRPr="00EB68C7">
        <w:rPr>
          <w:noProof/>
          <w:sz w:val="24"/>
          <w:szCs w:val="24"/>
          <w:lang w:val="en-GB"/>
        </w:rPr>
        <w:t>Vizilatan</w:t>
      </w:r>
      <w:r w:rsidRPr="00EB68C7">
        <w:rPr>
          <w:noProof/>
          <w:sz w:val="24"/>
          <w:szCs w:val="24"/>
          <w:lang w:val="en-GB"/>
        </w:rPr>
        <w:t xml:space="preserve"> is overdosed.</w:t>
      </w:r>
    </w:p>
    <w:p w14:paraId="5550385B" w14:textId="77777777" w:rsidR="00E57FA2" w:rsidRPr="00EB68C7" w:rsidRDefault="00E57FA2" w:rsidP="00453C51">
      <w:pPr>
        <w:ind w:left="851"/>
        <w:rPr>
          <w:noProof/>
          <w:sz w:val="24"/>
          <w:szCs w:val="24"/>
          <w:lang w:val="en-GB"/>
        </w:rPr>
      </w:pPr>
    </w:p>
    <w:p w14:paraId="018ED700" w14:textId="77777777" w:rsidR="00E57FA2" w:rsidRPr="00EB68C7" w:rsidRDefault="00E57FA2" w:rsidP="00453C51">
      <w:pPr>
        <w:ind w:left="851"/>
        <w:rPr>
          <w:noProof/>
          <w:sz w:val="24"/>
          <w:szCs w:val="24"/>
          <w:u w:val="single"/>
          <w:lang w:val="en-GB"/>
        </w:rPr>
      </w:pPr>
      <w:r w:rsidRPr="00EB68C7">
        <w:rPr>
          <w:noProof/>
          <w:sz w:val="24"/>
          <w:szCs w:val="24"/>
          <w:u w:val="single"/>
          <w:lang w:val="en-GB"/>
        </w:rPr>
        <w:t>Treatment</w:t>
      </w:r>
    </w:p>
    <w:p w14:paraId="237AB2C5" w14:textId="77777777" w:rsidR="003E22ED" w:rsidRPr="00EB68C7" w:rsidRDefault="003E22ED" w:rsidP="003E22ED">
      <w:pPr>
        <w:ind w:left="851"/>
        <w:rPr>
          <w:noProof/>
          <w:sz w:val="24"/>
          <w:szCs w:val="24"/>
          <w:lang w:val="en-GB"/>
        </w:rPr>
      </w:pPr>
      <w:r w:rsidRPr="00EB68C7">
        <w:rPr>
          <w:noProof/>
          <w:sz w:val="24"/>
          <w:szCs w:val="24"/>
          <w:lang w:val="en-GB"/>
        </w:rPr>
        <w:t xml:space="preserve">Intravenous infusion of 3 micrograms/kg in healthy volunteers induced no symptoms, but a dose of 5.5-10 micrograms/kg caused nausea, abdominal pain, dizziness, fatigue, hot flushes and sweating. </w:t>
      </w:r>
    </w:p>
    <w:p w14:paraId="032FD342" w14:textId="77777777" w:rsidR="003E22ED" w:rsidRPr="00EB68C7" w:rsidRDefault="003E22ED" w:rsidP="003E22ED">
      <w:pPr>
        <w:ind w:left="851"/>
        <w:rPr>
          <w:noProof/>
          <w:sz w:val="24"/>
          <w:szCs w:val="24"/>
          <w:lang w:val="en-GB"/>
        </w:rPr>
      </w:pPr>
    </w:p>
    <w:p w14:paraId="5FDAC99B" w14:textId="63661B60" w:rsidR="00E57FA2" w:rsidRPr="00EB68C7" w:rsidRDefault="00E57FA2" w:rsidP="00453C51">
      <w:pPr>
        <w:ind w:left="851"/>
        <w:rPr>
          <w:noProof/>
          <w:sz w:val="24"/>
          <w:szCs w:val="24"/>
          <w:lang w:val="en-GB"/>
        </w:rPr>
      </w:pPr>
      <w:r w:rsidRPr="00EB68C7">
        <w:rPr>
          <w:noProof/>
          <w:sz w:val="24"/>
          <w:szCs w:val="24"/>
          <w:lang w:val="en-GB"/>
        </w:rPr>
        <w:t>In monkeys, latanoprost has been infused intravenously in doses of up to 500</w:t>
      </w:r>
      <w:r w:rsidR="00F0588E">
        <w:rPr>
          <w:noProof/>
          <w:sz w:val="24"/>
          <w:szCs w:val="24"/>
          <w:lang w:val="en-GB"/>
        </w:rPr>
        <w:t> </w:t>
      </w:r>
      <w:r w:rsidRPr="00EB68C7">
        <w:rPr>
          <w:noProof/>
          <w:sz w:val="24"/>
          <w:szCs w:val="24"/>
          <w:lang w:val="en-GB"/>
        </w:rPr>
        <w:t>micrograms/kg without major effects on the cardiovascular system.</w:t>
      </w:r>
    </w:p>
    <w:p w14:paraId="67751866" w14:textId="77777777" w:rsidR="00E57FA2" w:rsidRPr="00EB68C7" w:rsidRDefault="00E57FA2" w:rsidP="00453C51">
      <w:pPr>
        <w:ind w:left="851"/>
        <w:rPr>
          <w:noProof/>
          <w:sz w:val="24"/>
          <w:szCs w:val="24"/>
          <w:lang w:val="en-GB"/>
        </w:rPr>
      </w:pPr>
    </w:p>
    <w:p w14:paraId="1235E53D" w14:textId="6A6945CE" w:rsidR="00E57FA2" w:rsidRPr="00EB68C7" w:rsidRDefault="00E57FA2" w:rsidP="00453C51">
      <w:pPr>
        <w:ind w:left="851"/>
        <w:rPr>
          <w:noProof/>
          <w:sz w:val="24"/>
          <w:szCs w:val="24"/>
          <w:lang w:val="en-GB"/>
        </w:rPr>
      </w:pPr>
      <w:r w:rsidRPr="00EB68C7">
        <w:rPr>
          <w:noProof/>
          <w:sz w:val="24"/>
          <w:szCs w:val="24"/>
          <w:lang w:val="en-GB"/>
        </w:rPr>
        <w:t xml:space="preserve">Intravenous administration of latanoprost in monkeys has been associated with transient bronchoconstriction. </w:t>
      </w:r>
      <w:r w:rsidR="003E22ED" w:rsidRPr="00EB68C7">
        <w:rPr>
          <w:noProof/>
          <w:sz w:val="24"/>
          <w:szCs w:val="24"/>
          <w:lang w:val="en-GB"/>
        </w:rPr>
        <w:t>I</w:t>
      </w:r>
      <w:r w:rsidRPr="00EB68C7">
        <w:rPr>
          <w:noProof/>
          <w:sz w:val="24"/>
          <w:szCs w:val="24"/>
          <w:lang w:val="en-GB"/>
        </w:rPr>
        <w:t>n patients with moderate bronchial asthma, broncho</w:t>
      </w:r>
      <w:r w:rsidR="000E1131" w:rsidRPr="00EB68C7">
        <w:rPr>
          <w:noProof/>
          <w:sz w:val="24"/>
          <w:szCs w:val="24"/>
          <w:lang w:val="en-GB"/>
        </w:rPr>
        <w:softHyphen/>
      </w:r>
      <w:r w:rsidRPr="00EB68C7">
        <w:rPr>
          <w:noProof/>
          <w:sz w:val="24"/>
          <w:szCs w:val="24"/>
          <w:lang w:val="en-GB"/>
        </w:rPr>
        <w:t xml:space="preserve">constriction was not induced by latanoprost when applied topically on the eyes in a dose of seven times the clinical dose of </w:t>
      </w:r>
      <w:r w:rsidR="007E759B" w:rsidRPr="00EB68C7">
        <w:rPr>
          <w:noProof/>
          <w:sz w:val="24"/>
          <w:szCs w:val="24"/>
          <w:lang w:val="en-GB"/>
        </w:rPr>
        <w:t>Vizilatan</w:t>
      </w:r>
      <w:r w:rsidRPr="00EB68C7">
        <w:rPr>
          <w:noProof/>
          <w:sz w:val="24"/>
          <w:szCs w:val="24"/>
          <w:lang w:val="en-GB"/>
        </w:rPr>
        <w:t xml:space="preserve">. </w:t>
      </w:r>
    </w:p>
    <w:p w14:paraId="122050DF" w14:textId="77777777" w:rsidR="00F0588E" w:rsidRDefault="00F0588E" w:rsidP="00453C51">
      <w:pPr>
        <w:ind w:left="851"/>
        <w:rPr>
          <w:noProof/>
          <w:sz w:val="24"/>
          <w:szCs w:val="24"/>
          <w:lang w:val="en-GB"/>
        </w:rPr>
      </w:pPr>
    </w:p>
    <w:p w14:paraId="38A80304" w14:textId="5F3512D5" w:rsidR="00E57FA2" w:rsidRPr="00EB68C7" w:rsidRDefault="00E57FA2" w:rsidP="00453C51">
      <w:pPr>
        <w:ind w:left="851"/>
        <w:rPr>
          <w:noProof/>
          <w:sz w:val="24"/>
          <w:szCs w:val="24"/>
          <w:lang w:val="en-GB"/>
        </w:rPr>
      </w:pPr>
      <w:r w:rsidRPr="00EB68C7">
        <w:rPr>
          <w:noProof/>
          <w:sz w:val="24"/>
          <w:szCs w:val="24"/>
          <w:lang w:val="en-GB"/>
        </w:rPr>
        <w:t xml:space="preserve">If overdose with </w:t>
      </w:r>
      <w:r w:rsidR="007E759B" w:rsidRPr="00EB68C7">
        <w:rPr>
          <w:noProof/>
          <w:sz w:val="24"/>
          <w:szCs w:val="24"/>
          <w:lang w:val="en-GB"/>
        </w:rPr>
        <w:t>Vizilatan</w:t>
      </w:r>
      <w:r w:rsidRPr="00EB68C7">
        <w:rPr>
          <w:noProof/>
          <w:sz w:val="24"/>
          <w:szCs w:val="24"/>
          <w:lang w:val="en-GB"/>
        </w:rPr>
        <w:t xml:space="preserve"> occurs, treatment should be symptomatic.</w:t>
      </w:r>
    </w:p>
    <w:p w14:paraId="5ABF574B" w14:textId="63A7D07E" w:rsidR="007C5D2A" w:rsidRPr="00EB68C7" w:rsidRDefault="007C5D2A" w:rsidP="003E0341">
      <w:pPr>
        <w:tabs>
          <w:tab w:val="left" w:pos="851"/>
        </w:tabs>
        <w:ind w:left="851"/>
        <w:rPr>
          <w:sz w:val="24"/>
          <w:szCs w:val="24"/>
          <w:lang w:val="en-GB"/>
        </w:rPr>
      </w:pPr>
    </w:p>
    <w:p w14:paraId="37F657C0" w14:textId="16144F69" w:rsidR="003E22ED" w:rsidRPr="00EB68C7" w:rsidRDefault="003E22ED" w:rsidP="003E0341">
      <w:pPr>
        <w:tabs>
          <w:tab w:val="left" w:pos="851"/>
        </w:tabs>
        <w:ind w:left="851"/>
        <w:rPr>
          <w:noProof/>
          <w:szCs w:val="22"/>
          <w:lang w:val="en-GB"/>
        </w:rPr>
      </w:pPr>
      <w:r w:rsidRPr="00EB68C7">
        <w:rPr>
          <w:noProof/>
          <w:szCs w:val="22"/>
          <w:lang w:val="en-GB"/>
        </w:rPr>
        <w:t>If Vizilatan is accidentally ingested the following information may be useful: One bottle contains 125 micrograms latanoprost. More than 90% is metabolised during the first pass through the liver.</w:t>
      </w:r>
    </w:p>
    <w:p w14:paraId="1D3BECF2" w14:textId="77777777" w:rsidR="003E22ED" w:rsidRPr="00EB68C7" w:rsidRDefault="003E22ED" w:rsidP="003E0341">
      <w:pPr>
        <w:tabs>
          <w:tab w:val="left" w:pos="851"/>
        </w:tabs>
        <w:ind w:left="851"/>
        <w:rPr>
          <w:sz w:val="24"/>
          <w:szCs w:val="24"/>
          <w:lang w:val="en-GB"/>
        </w:rPr>
      </w:pPr>
    </w:p>
    <w:p w14:paraId="7984CDF5" w14:textId="77777777" w:rsidR="008F2F8C" w:rsidRPr="00EB68C7" w:rsidRDefault="0042292D" w:rsidP="0042292D">
      <w:pPr>
        <w:tabs>
          <w:tab w:val="left" w:pos="851"/>
        </w:tabs>
        <w:rPr>
          <w:b/>
          <w:sz w:val="24"/>
          <w:szCs w:val="24"/>
          <w:lang w:val="en-GB"/>
        </w:rPr>
      </w:pPr>
      <w:r w:rsidRPr="00EB68C7">
        <w:rPr>
          <w:b/>
          <w:sz w:val="24"/>
          <w:szCs w:val="24"/>
          <w:lang w:val="en-GB"/>
        </w:rPr>
        <w:t>4.10</w:t>
      </w:r>
      <w:r w:rsidRPr="00EB68C7">
        <w:rPr>
          <w:b/>
          <w:sz w:val="24"/>
          <w:szCs w:val="24"/>
          <w:lang w:val="en-GB"/>
        </w:rPr>
        <w:tab/>
        <w:t>Legal status</w:t>
      </w:r>
    </w:p>
    <w:p w14:paraId="76DE178D" w14:textId="3F854FEB" w:rsidR="00AD2E36" w:rsidRPr="00EB68C7" w:rsidRDefault="00C84C07" w:rsidP="00AD2E36">
      <w:pPr>
        <w:tabs>
          <w:tab w:val="left" w:pos="851"/>
        </w:tabs>
        <w:ind w:left="851"/>
        <w:rPr>
          <w:sz w:val="24"/>
          <w:szCs w:val="24"/>
          <w:lang w:val="en-GB"/>
        </w:rPr>
      </w:pPr>
      <w:r w:rsidRPr="00EB68C7">
        <w:rPr>
          <w:sz w:val="24"/>
          <w:szCs w:val="24"/>
          <w:lang w:val="en-GB"/>
        </w:rPr>
        <w:t>B</w:t>
      </w:r>
    </w:p>
    <w:p w14:paraId="413A7DA0" w14:textId="77777777" w:rsidR="007C5D2A" w:rsidRPr="00EB68C7" w:rsidRDefault="007C5D2A" w:rsidP="003E0341">
      <w:pPr>
        <w:tabs>
          <w:tab w:val="left" w:pos="851"/>
        </w:tabs>
        <w:ind w:left="851"/>
        <w:rPr>
          <w:sz w:val="24"/>
          <w:szCs w:val="24"/>
          <w:lang w:val="en-GB"/>
        </w:rPr>
      </w:pPr>
    </w:p>
    <w:p w14:paraId="7BF23146" w14:textId="77777777" w:rsidR="00AD2E36" w:rsidRPr="00EB68C7" w:rsidRDefault="00AD2E36" w:rsidP="003E0341">
      <w:pPr>
        <w:tabs>
          <w:tab w:val="left" w:pos="851"/>
        </w:tabs>
        <w:ind w:left="851"/>
        <w:rPr>
          <w:sz w:val="24"/>
          <w:szCs w:val="24"/>
          <w:lang w:val="en-GB"/>
        </w:rPr>
      </w:pPr>
    </w:p>
    <w:p w14:paraId="15593595" w14:textId="77777777" w:rsidR="007C5D2A" w:rsidRPr="00EB68C7" w:rsidRDefault="007C5D2A" w:rsidP="007C5D2A">
      <w:pPr>
        <w:tabs>
          <w:tab w:val="left" w:pos="851"/>
        </w:tabs>
        <w:rPr>
          <w:b/>
          <w:sz w:val="24"/>
          <w:szCs w:val="24"/>
          <w:lang w:val="en-GB"/>
        </w:rPr>
      </w:pPr>
      <w:r w:rsidRPr="00EB68C7">
        <w:rPr>
          <w:b/>
          <w:sz w:val="24"/>
          <w:szCs w:val="24"/>
          <w:lang w:val="en-GB"/>
        </w:rPr>
        <w:t>5.</w:t>
      </w:r>
      <w:r w:rsidRPr="00EB68C7">
        <w:rPr>
          <w:b/>
          <w:sz w:val="24"/>
          <w:szCs w:val="24"/>
          <w:lang w:val="en-GB"/>
        </w:rPr>
        <w:tab/>
        <w:t>PHARMACOLOGICAL PROPERTIES</w:t>
      </w:r>
    </w:p>
    <w:p w14:paraId="1A693F04" w14:textId="77777777" w:rsidR="007C5D2A" w:rsidRPr="00EB68C7" w:rsidRDefault="007C5D2A" w:rsidP="003E0341">
      <w:pPr>
        <w:tabs>
          <w:tab w:val="left" w:pos="851"/>
        </w:tabs>
        <w:ind w:left="851"/>
        <w:rPr>
          <w:sz w:val="24"/>
          <w:szCs w:val="24"/>
          <w:lang w:val="en-GB"/>
        </w:rPr>
      </w:pPr>
    </w:p>
    <w:p w14:paraId="24F34303"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5.1</w:t>
      </w:r>
      <w:r w:rsidRPr="00EB68C7">
        <w:rPr>
          <w:b/>
          <w:sz w:val="24"/>
          <w:szCs w:val="24"/>
          <w:lang w:val="en-GB"/>
        </w:rPr>
        <w:tab/>
        <w:t>Pharmacodynamic properties</w:t>
      </w:r>
      <w:r w:rsidRPr="00EB68C7">
        <w:rPr>
          <w:b/>
          <w:sz w:val="24"/>
          <w:szCs w:val="24"/>
          <w:lang w:val="en-GB"/>
        </w:rPr>
        <w:tab/>
      </w:r>
    </w:p>
    <w:p w14:paraId="71838975" w14:textId="2966213B" w:rsidR="00722998" w:rsidRPr="00F0588E" w:rsidRDefault="00722998" w:rsidP="00722998">
      <w:pPr>
        <w:ind w:left="851"/>
        <w:rPr>
          <w:sz w:val="24"/>
          <w:szCs w:val="24"/>
          <w:lang w:val="en-GB"/>
        </w:rPr>
      </w:pPr>
      <w:r w:rsidRPr="00F0588E">
        <w:rPr>
          <w:sz w:val="24"/>
          <w:szCs w:val="24"/>
          <w:lang w:val="en-GB"/>
        </w:rPr>
        <w:t xml:space="preserve">Pharmacotherapeutic group: </w:t>
      </w:r>
      <w:proofErr w:type="spellStart"/>
      <w:r w:rsidR="003E22ED" w:rsidRPr="00F0588E">
        <w:rPr>
          <w:sz w:val="24"/>
          <w:szCs w:val="24"/>
          <w:lang w:val="en-GB"/>
        </w:rPr>
        <w:t>Ophthalmologicals</w:t>
      </w:r>
      <w:proofErr w:type="spellEnd"/>
      <w:r w:rsidR="003E22ED" w:rsidRPr="00F0588E">
        <w:rPr>
          <w:sz w:val="24"/>
          <w:szCs w:val="24"/>
          <w:lang w:val="en-GB"/>
        </w:rPr>
        <w:t xml:space="preserve">; </w:t>
      </w:r>
      <w:r w:rsidRPr="00F0588E">
        <w:rPr>
          <w:sz w:val="24"/>
          <w:szCs w:val="24"/>
          <w:lang w:val="en-GB"/>
        </w:rPr>
        <w:t xml:space="preserve">Antiglaucoma preparations and </w:t>
      </w:r>
      <w:proofErr w:type="spellStart"/>
      <w:r w:rsidRPr="00F0588E">
        <w:rPr>
          <w:sz w:val="24"/>
          <w:szCs w:val="24"/>
          <w:lang w:val="en-GB"/>
        </w:rPr>
        <w:t>miotics</w:t>
      </w:r>
      <w:proofErr w:type="spellEnd"/>
      <w:r w:rsidRPr="00F0588E">
        <w:rPr>
          <w:sz w:val="24"/>
          <w:szCs w:val="24"/>
          <w:lang w:val="en-GB"/>
        </w:rPr>
        <w:t>, prostaglandin analogues, ATC code: S01EE01.</w:t>
      </w:r>
    </w:p>
    <w:p w14:paraId="7C2D105E" w14:textId="77777777" w:rsidR="009C1E37" w:rsidRPr="00F0588E" w:rsidRDefault="009C1E37" w:rsidP="00A64B35">
      <w:pPr>
        <w:ind w:left="851"/>
        <w:rPr>
          <w:sz w:val="24"/>
          <w:szCs w:val="24"/>
          <w:u w:val="single"/>
          <w:lang w:val="en-GB"/>
        </w:rPr>
      </w:pPr>
    </w:p>
    <w:p w14:paraId="1673FF92" w14:textId="0EDAD514" w:rsidR="00E57FA2" w:rsidRPr="00F0588E" w:rsidRDefault="00E57FA2" w:rsidP="00A64B35">
      <w:pPr>
        <w:ind w:left="851"/>
        <w:rPr>
          <w:sz w:val="24"/>
          <w:szCs w:val="24"/>
          <w:lang w:val="en-GB"/>
        </w:rPr>
      </w:pPr>
      <w:r w:rsidRPr="00F0588E">
        <w:rPr>
          <w:sz w:val="24"/>
          <w:szCs w:val="24"/>
          <w:u w:val="single"/>
          <w:lang w:val="en-GB"/>
        </w:rPr>
        <w:t>Mechanism of action</w:t>
      </w:r>
      <w:r w:rsidRPr="00F0588E">
        <w:rPr>
          <w:sz w:val="24"/>
          <w:szCs w:val="24"/>
          <w:lang w:val="en-GB"/>
        </w:rPr>
        <w:t xml:space="preserve"> </w:t>
      </w:r>
    </w:p>
    <w:p w14:paraId="7B2051F6" w14:textId="77777777" w:rsidR="00E57FA2" w:rsidRPr="00EB68C7" w:rsidRDefault="00E57FA2" w:rsidP="00A64B35">
      <w:pPr>
        <w:ind w:left="851"/>
        <w:rPr>
          <w:sz w:val="24"/>
          <w:szCs w:val="24"/>
          <w:lang w:val="en-GB"/>
        </w:rPr>
      </w:pPr>
      <w:r w:rsidRPr="00EB68C7">
        <w:rPr>
          <w:sz w:val="24"/>
          <w:szCs w:val="24"/>
          <w:lang w:val="en-GB"/>
        </w:rPr>
        <w:t>The active substance latanoprost, a prostaglandin F</w:t>
      </w:r>
      <w:r w:rsidRPr="00EB68C7">
        <w:rPr>
          <w:sz w:val="24"/>
          <w:szCs w:val="24"/>
          <w:vertAlign w:val="subscript"/>
          <w:lang w:val="en-GB"/>
        </w:rPr>
        <w:t xml:space="preserve">2α </w:t>
      </w:r>
      <w:r w:rsidRPr="00EB68C7">
        <w:rPr>
          <w:sz w:val="24"/>
          <w:szCs w:val="24"/>
          <w:lang w:val="en-GB"/>
        </w:rPr>
        <w:t xml:space="preserve">analogue, is a selective </w:t>
      </w:r>
      <w:proofErr w:type="spellStart"/>
      <w:r w:rsidRPr="00EB68C7">
        <w:rPr>
          <w:sz w:val="24"/>
          <w:szCs w:val="24"/>
          <w:lang w:val="en-GB"/>
        </w:rPr>
        <w:t>prostanoid</w:t>
      </w:r>
      <w:proofErr w:type="spellEnd"/>
      <w:r w:rsidRPr="00EB68C7">
        <w:rPr>
          <w:sz w:val="24"/>
          <w:szCs w:val="24"/>
          <w:lang w:val="en-GB"/>
        </w:rPr>
        <w:t xml:space="preserve"> FP receptor agonist which reduces the IOP by increasing the outflow of aqueous humour. Reduction of the IOP in man starts about three to four hours after administration and maximum effect is reached after eight to twelve hours. Pressure reduction is maintained for at least 24 hours.</w:t>
      </w:r>
    </w:p>
    <w:p w14:paraId="21F546FA" w14:textId="77777777" w:rsidR="00E57FA2" w:rsidRPr="00EB68C7" w:rsidRDefault="00E57FA2" w:rsidP="00A64B35">
      <w:pPr>
        <w:ind w:left="851"/>
        <w:rPr>
          <w:sz w:val="24"/>
          <w:szCs w:val="24"/>
          <w:lang w:val="en-GB"/>
        </w:rPr>
      </w:pPr>
    </w:p>
    <w:p w14:paraId="59B09AFE" w14:textId="77777777" w:rsidR="00E57FA2" w:rsidRPr="00EB68C7" w:rsidRDefault="00E57FA2" w:rsidP="00A64B35">
      <w:pPr>
        <w:ind w:left="851"/>
        <w:rPr>
          <w:sz w:val="24"/>
          <w:szCs w:val="24"/>
          <w:lang w:val="en-GB"/>
        </w:rPr>
      </w:pPr>
      <w:r w:rsidRPr="00EB68C7">
        <w:rPr>
          <w:sz w:val="24"/>
          <w:szCs w:val="24"/>
          <w:lang w:val="en-GB"/>
        </w:rPr>
        <w:t>Studies in animals and man indicate that the main mechanism of action is increased uveoscleral outflow, although some increase in outflow facility (decrease in outflow resistance) has been reported in man.</w:t>
      </w:r>
    </w:p>
    <w:p w14:paraId="6736E8A0" w14:textId="77777777" w:rsidR="00E57FA2" w:rsidRPr="00EB68C7" w:rsidRDefault="00E57FA2" w:rsidP="00A64B35">
      <w:pPr>
        <w:ind w:left="851"/>
        <w:rPr>
          <w:sz w:val="24"/>
          <w:szCs w:val="24"/>
          <w:lang w:val="en-GB"/>
        </w:rPr>
      </w:pPr>
    </w:p>
    <w:p w14:paraId="4087209C" w14:textId="77777777" w:rsidR="00E57FA2" w:rsidRPr="00EB68C7" w:rsidRDefault="00E57FA2" w:rsidP="00A64B35">
      <w:pPr>
        <w:ind w:left="851"/>
        <w:rPr>
          <w:sz w:val="24"/>
          <w:szCs w:val="24"/>
          <w:lang w:val="en-GB"/>
        </w:rPr>
      </w:pPr>
      <w:r w:rsidRPr="00EB68C7">
        <w:rPr>
          <w:sz w:val="24"/>
          <w:szCs w:val="24"/>
          <w:u w:val="single"/>
          <w:lang w:val="en-GB"/>
        </w:rPr>
        <w:t>Pharmacodynamic effects</w:t>
      </w:r>
      <w:r w:rsidRPr="00EB68C7">
        <w:rPr>
          <w:sz w:val="24"/>
          <w:szCs w:val="24"/>
          <w:lang w:val="en-GB"/>
        </w:rPr>
        <w:t xml:space="preserve"> </w:t>
      </w:r>
    </w:p>
    <w:p w14:paraId="1AFADC63" w14:textId="77777777" w:rsidR="00E57FA2" w:rsidRPr="00EB68C7" w:rsidRDefault="00E57FA2" w:rsidP="00A64B35">
      <w:pPr>
        <w:ind w:left="851"/>
        <w:rPr>
          <w:sz w:val="24"/>
          <w:szCs w:val="24"/>
          <w:lang w:val="en-GB"/>
        </w:rPr>
      </w:pPr>
      <w:r w:rsidRPr="00EB68C7">
        <w:rPr>
          <w:sz w:val="24"/>
          <w:szCs w:val="24"/>
          <w:lang w:val="en-GB"/>
        </w:rPr>
        <w:t xml:space="preserve">Pivotal studies have demonstrated that </w:t>
      </w:r>
      <w:r w:rsidRPr="00EB68C7">
        <w:rPr>
          <w:noProof/>
          <w:sz w:val="24"/>
          <w:szCs w:val="24"/>
          <w:lang w:val="en-GB"/>
        </w:rPr>
        <w:t xml:space="preserve">latanoprost </w:t>
      </w:r>
      <w:r w:rsidRPr="00EB68C7">
        <w:rPr>
          <w:sz w:val="24"/>
          <w:szCs w:val="24"/>
          <w:lang w:val="en-GB"/>
        </w:rPr>
        <w:t>is effective as monotherapy. In addition, clinical trials investigating combination use have been performed. These include studies that show that latanoprost is effective in combination with beta-adrenergic antagonists (timolol). Short-term (1 or 2 weeks) studies suggest that the effect of latanoprost is additive in combination with adrenergic agonists (</w:t>
      </w:r>
      <w:proofErr w:type="spellStart"/>
      <w:r w:rsidRPr="00EB68C7">
        <w:rPr>
          <w:sz w:val="24"/>
          <w:szCs w:val="24"/>
          <w:lang w:val="en-GB"/>
        </w:rPr>
        <w:t>dipivalyl</w:t>
      </w:r>
      <w:proofErr w:type="spellEnd"/>
      <w:r w:rsidRPr="00EB68C7">
        <w:rPr>
          <w:sz w:val="24"/>
          <w:szCs w:val="24"/>
          <w:lang w:val="en-GB"/>
        </w:rPr>
        <w:t xml:space="preserve"> epinephrine), oral carbonic anhydrase inhibitors (acetazolamide) and at least partly additive with cholinergic agonists (pilocarpine).</w:t>
      </w:r>
    </w:p>
    <w:p w14:paraId="24E58208" w14:textId="77777777" w:rsidR="00E57FA2" w:rsidRPr="00EB68C7" w:rsidRDefault="00E57FA2" w:rsidP="00A64B35">
      <w:pPr>
        <w:ind w:left="851"/>
        <w:rPr>
          <w:sz w:val="24"/>
          <w:szCs w:val="24"/>
          <w:lang w:val="en-GB"/>
        </w:rPr>
      </w:pPr>
    </w:p>
    <w:p w14:paraId="13BA2C00" w14:textId="77777777" w:rsidR="00E57FA2" w:rsidRPr="00EB68C7" w:rsidRDefault="00E57FA2" w:rsidP="00A64B35">
      <w:pPr>
        <w:ind w:left="851"/>
        <w:rPr>
          <w:sz w:val="24"/>
          <w:szCs w:val="24"/>
          <w:lang w:val="en-GB"/>
        </w:rPr>
      </w:pPr>
      <w:r w:rsidRPr="00EB68C7">
        <w:rPr>
          <w:sz w:val="24"/>
          <w:szCs w:val="24"/>
          <w:lang w:val="en-GB"/>
        </w:rPr>
        <w:t>Clinical trials have shown that latanoprost has no significant effect on the production of aqueous humour. Latanoprost has not been found to have any effect on the blood-aqueous barrier.</w:t>
      </w:r>
    </w:p>
    <w:p w14:paraId="6836AD3A" w14:textId="77777777" w:rsidR="00E57FA2" w:rsidRPr="00EB68C7" w:rsidRDefault="00E57FA2" w:rsidP="00A64B35">
      <w:pPr>
        <w:ind w:left="851"/>
        <w:rPr>
          <w:sz w:val="24"/>
          <w:szCs w:val="24"/>
          <w:lang w:val="en-GB"/>
        </w:rPr>
      </w:pPr>
    </w:p>
    <w:p w14:paraId="14A070E0" w14:textId="77777777" w:rsidR="00E57FA2" w:rsidRPr="00EB68C7" w:rsidRDefault="00E57FA2" w:rsidP="00A64B35">
      <w:pPr>
        <w:ind w:left="851"/>
        <w:rPr>
          <w:sz w:val="24"/>
          <w:szCs w:val="24"/>
          <w:lang w:val="en-GB"/>
        </w:rPr>
      </w:pPr>
      <w:r w:rsidRPr="00EB68C7">
        <w:rPr>
          <w:sz w:val="24"/>
          <w:szCs w:val="24"/>
          <w:lang w:val="en-GB"/>
        </w:rPr>
        <w:t>Latanoprost has no or negligible effects on the intraocular blood circulation when used at the clinical dose and studied in monkeys. However, mild to moderate conjunctival or episcleral hyperaemia may occur during topical treatment.</w:t>
      </w:r>
    </w:p>
    <w:p w14:paraId="6A16FCF1" w14:textId="77777777" w:rsidR="00E57FA2" w:rsidRPr="00EB68C7" w:rsidRDefault="00E57FA2" w:rsidP="00A64B35">
      <w:pPr>
        <w:ind w:left="851"/>
        <w:rPr>
          <w:sz w:val="24"/>
          <w:szCs w:val="24"/>
          <w:lang w:val="en-GB"/>
        </w:rPr>
      </w:pPr>
    </w:p>
    <w:p w14:paraId="0EF292E7" w14:textId="77777777" w:rsidR="00E57FA2" w:rsidRPr="00EB68C7" w:rsidRDefault="00E57FA2" w:rsidP="00A64B35">
      <w:pPr>
        <w:ind w:left="851"/>
        <w:rPr>
          <w:sz w:val="24"/>
          <w:szCs w:val="24"/>
          <w:lang w:val="en-GB"/>
        </w:rPr>
      </w:pPr>
      <w:r w:rsidRPr="00EB68C7">
        <w:rPr>
          <w:sz w:val="24"/>
          <w:szCs w:val="24"/>
          <w:lang w:val="en-GB"/>
        </w:rPr>
        <w:t>Chronic treatment with latanoprost in monkey eyes, which had undergone extracapsular lens extraction, did not affect the retinal blood vessels as determined by fluorescein angiography.</w:t>
      </w:r>
    </w:p>
    <w:p w14:paraId="0AFA6A3C" w14:textId="77777777" w:rsidR="00E57FA2" w:rsidRPr="00EB68C7" w:rsidRDefault="00E57FA2" w:rsidP="00A64B35">
      <w:pPr>
        <w:ind w:left="851"/>
        <w:rPr>
          <w:sz w:val="24"/>
          <w:szCs w:val="24"/>
          <w:lang w:val="en-GB"/>
        </w:rPr>
      </w:pPr>
    </w:p>
    <w:p w14:paraId="43CA29C2" w14:textId="77777777" w:rsidR="00E57FA2" w:rsidRPr="00EB68C7" w:rsidRDefault="00E57FA2" w:rsidP="00A64B35">
      <w:pPr>
        <w:ind w:left="851"/>
        <w:rPr>
          <w:sz w:val="24"/>
          <w:szCs w:val="24"/>
          <w:lang w:val="en-GB"/>
        </w:rPr>
      </w:pPr>
      <w:r w:rsidRPr="00EB68C7">
        <w:rPr>
          <w:sz w:val="24"/>
          <w:szCs w:val="24"/>
          <w:lang w:val="en-GB"/>
        </w:rPr>
        <w:t xml:space="preserve">Latanoprost has not induced fluorescein leakage in the posterior segment of </w:t>
      </w:r>
      <w:proofErr w:type="spellStart"/>
      <w:r w:rsidRPr="00EB68C7">
        <w:rPr>
          <w:sz w:val="24"/>
          <w:szCs w:val="24"/>
          <w:lang w:val="en-GB"/>
        </w:rPr>
        <w:t>pseudophakic</w:t>
      </w:r>
      <w:proofErr w:type="spellEnd"/>
      <w:r w:rsidRPr="00EB68C7">
        <w:rPr>
          <w:sz w:val="24"/>
          <w:szCs w:val="24"/>
          <w:lang w:val="en-GB"/>
        </w:rPr>
        <w:t xml:space="preserve"> human eyes during short-term treatment.</w:t>
      </w:r>
    </w:p>
    <w:p w14:paraId="3DB0C687" w14:textId="77777777" w:rsidR="00E57FA2" w:rsidRPr="00EB68C7" w:rsidRDefault="00E57FA2" w:rsidP="00A64B35">
      <w:pPr>
        <w:ind w:left="851"/>
        <w:rPr>
          <w:sz w:val="24"/>
          <w:szCs w:val="24"/>
          <w:lang w:val="en-GB"/>
        </w:rPr>
      </w:pPr>
    </w:p>
    <w:p w14:paraId="09052238" w14:textId="4E15A787" w:rsidR="00FA0CF8" w:rsidRPr="00EB68C7" w:rsidRDefault="00E57FA2" w:rsidP="00722998">
      <w:pPr>
        <w:ind w:left="851"/>
        <w:rPr>
          <w:sz w:val="24"/>
          <w:szCs w:val="24"/>
          <w:lang w:val="en-GB"/>
        </w:rPr>
      </w:pPr>
      <w:r w:rsidRPr="00EB68C7">
        <w:rPr>
          <w:sz w:val="24"/>
          <w:szCs w:val="24"/>
          <w:lang w:val="en-GB"/>
        </w:rPr>
        <w:t>Latanoprost in clinical doses has not been found to have any significant pharmacological effects on the cardiovascular or respiratory system.</w:t>
      </w:r>
    </w:p>
    <w:p w14:paraId="5CD4C652" w14:textId="77777777" w:rsidR="00E57FA2" w:rsidRPr="00EB68C7" w:rsidRDefault="00E57FA2" w:rsidP="00A64B35">
      <w:pPr>
        <w:ind w:left="851"/>
        <w:rPr>
          <w:sz w:val="24"/>
          <w:szCs w:val="24"/>
          <w:lang w:val="en-GB"/>
        </w:rPr>
      </w:pPr>
    </w:p>
    <w:p w14:paraId="24FE7CFC" w14:textId="77777777" w:rsidR="00E57FA2" w:rsidRPr="00EB68C7" w:rsidRDefault="00E57FA2" w:rsidP="00A64B35">
      <w:pPr>
        <w:ind w:left="851"/>
        <w:rPr>
          <w:bCs/>
          <w:i/>
          <w:iCs/>
          <w:sz w:val="24"/>
          <w:szCs w:val="24"/>
          <w:lang w:val="en-GB"/>
        </w:rPr>
      </w:pPr>
      <w:r w:rsidRPr="00EB68C7">
        <w:rPr>
          <w:bCs/>
          <w:i/>
          <w:iCs/>
          <w:sz w:val="24"/>
          <w:szCs w:val="24"/>
          <w:lang w:val="en-GB"/>
        </w:rPr>
        <w:t xml:space="preserve">Paediatric population </w:t>
      </w:r>
    </w:p>
    <w:p w14:paraId="520DA3B1" w14:textId="4A0DD91A" w:rsidR="00E57FA2" w:rsidRPr="00EB68C7" w:rsidRDefault="00E57FA2" w:rsidP="00A64B35">
      <w:pPr>
        <w:ind w:left="851"/>
        <w:rPr>
          <w:bCs/>
          <w:iCs/>
          <w:sz w:val="24"/>
          <w:szCs w:val="24"/>
          <w:lang w:val="en-GB"/>
        </w:rPr>
      </w:pPr>
      <w:r w:rsidRPr="00EB68C7">
        <w:rPr>
          <w:bCs/>
          <w:iCs/>
          <w:sz w:val="24"/>
          <w:szCs w:val="24"/>
          <w:lang w:val="en-GB"/>
        </w:rPr>
        <w:t xml:space="preserve">The efficacy of </w:t>
      </w:r>
      <w:r w:rsidRPr="00EB68C7">
        <w:rPr>
          <w:noProof/>
          <w:sz w:val="24"/>
          <w:szCs w:val="24"/>
          <w:lang w:val="en-GB"/>
        </w:rPr>
        <w:t xml:space="preserve">latanoprost </w:t>
      </w:r>
      <w:r w:rsidRPr="00EB68C7">
        <w:rPr>
          <w:bCs/>
          <w:iCs/>
          <w:sz w:val="24"/>
          <w:szCs w:val="24"/>
          <w:lang w:val="en-GB"/>
        </w:rPr>
        <w:t xml:space="preserve">in paediatric patients ≤ 18 years of age was demonstrated in a 12-week, double-masked clinical study of latanoprost compared with timolol in 107 patients diagnosed with ocular hypertension and paediatric glaucoma. Neonates were required to be at least 36 weeks gestational age. Patients received either latanoprost </w:t>
      </w:r>
      <w:r w:rsidR="00FB7EBC" w:rsidRPr="00EB68C7">
        <w:rPr>
          <w:bCs/>
          <w:iCs/>
          <w:szCs w:val="22"/>
          <w:lang w:val="en-GB"/>
        </w:rPr>
        <w:t>50</w:t>
      </w:r>
      <w:r w:rsidR="00921084">
        <w:rPr>
          <w:bCs/>
          <w:iCs/>
          <w:szCs w:val="22"/>
          <w:lang w:val="en-GB"/>
        </w:rPr>
        <w:t> </w:t>
      </w:r>
      <w:r w:rsidR="00FB7EBC" w:rsidRPr="00EB68C7">
        <w:rPr>
          <w:lang w:val="en-GB"/>
        </w:rPr>
        <w:t>micrograms/</w:t>
      </w:r>
      <w:r w:rsidR="00FB7EBC" w:rsidRPr="00EB68C7">
        <w:rPr>
          <w:bCs/>
          <w:iCs/>
          <w:szCs w:val="22"/>
          <w:lang w:val="en-GB"/>
        </w:rPr>
        <w:t>mL</w:t>
      </w:r>
      <w:r w:rsidRPr="00EB68C7">
        <w:rPr>
          <w:bCs/>
          <w:iCs/>
          <w:sz w:val="24"/>
          <w:szCs w:val="24"/>
          <w:lang w:val="en-GB"/>
        </w:rPr>
        <w:t xml:space="preserve"> once daily or timolol 0.5</w:t>
      </w:r>
      <w:r w:rsidR="000B1C7E" w:rsidRPr="00EB68C7">
        <w:rPr>
          <w:bCs/>
          <w:iCs/>
          <w:sz w:val="24"/>
          <w:szCs w:val="24"/>
          <w:lang w:val="en-GB"/>
        </w:rPr>
        <w:t xml:space="preserve"> %</w:t>
      </w:r>
      <w:r w:rsidRPr="00EB68C7">
        <w:rPr>
          <w:bCs/>
          <w:iCs/>
          <w:sz w:val="24"/>
          <w:szCs w:val="24"/>
          <w:lang w:val="en-GB"/>
        </w:rPr>
        <w:t xml:space="preserve"> (or optionally 0.25</w:t>
      </w:r>
      <w:r w:rsidR="000B1C7E" w:rsidRPr="00EB68C7">
        <w:rPr>
          <w:bCs/>
          <w:iCs/>
          <w:sz w:val="24"/>
          <w:szCs w:val="24"/>
          <w:lang w:val="en-GB"/>
        </w:rPr>
        <w:t xml:space="preserve"> %</w:t>
      </w:r>
      <w:r w:rsidRPr="00EB68C7">
        <w:rPr>
          <w:bCs/>
          <w:iCs/>
          <w:sz w:val="24"/>
          <w:szCs w:val="24"/>
          <w:lang w:val="en-GB"/>
        </w:rPr>
        <w:t xml:space="preserve"> for subjects younger than 3 years old) twice daily. The primary efficacy endpoint was the mean reduction in IOP from baseline at Week 12 of the study. Mean IOP reductions in the latanoprost and timolol groups were similar. In all age groups studied (0 to &lt;3 years, 3 to &lt; 12 years and 12 to 18 years of age) the mean IOP reduction at Week 12 in the latanoprost group was similar to that in the timolol group. Nevertheless, efficacy data in the age group 0 to &lt; 3 years were based on only 13 patients for latanoprost and no relevant efficacy was shown from the 4 patients representing the age group 0 to &lt; 1 year old in the clinical paediatric study. No data are available for preterm infants (less than 36 weeks gestational age).</w:t>
      </w:r>
    </w:p>
    <w:p w14:paraId="704D9676" w14:textId="77777777" w:rsidR="00E57FA2" w:rsidRPr="00EB68C7" w:rsidRDefault="00E57FA2" w:rsidP="00A64B35">
      <w:pPr>
        <w:ind w:left="851"/>
        <w:rPr>
          <w:bCs/>
          <w:iCs/>
          <w:sz w:val="24"/>
          <w:szCs w:val="24"/>
          <w:lang w:val="en-GB"/>
        </w:rPr>
      </w:pPr>
    </w:p>
    <w:p w14:paraId="6B9232E9" w14:textId="77777777" w:rsidR="00E57FA2" w:rsidRPr="00EB68C7" w:rsidRDefault="00E57FA2" w:rsidP="00A64B35">
      <w:pPr>
        <w:ind w:left="851"/>
        <w:rPr>
          <w:bCs/>
          <w:iCs/>
          <w:sz w:val="24"/>
          <w:szCs w:val="24"/>
          <w:lang w:val="en-GB"/>
        </w:rPr>
      </w:pPr>
      <w:r w:rsidRPr="00EB68C7">
        <w:rPr>
          <w:bCs/>
          <w:iCs/>
          <w:sz w:val="24"/>
          <w:szCs w:val="24"/>
          <w:lang w:val="en-GB"/>
        </w:rPr>
        <w:t>IOP reductions among subjects in the PCG subgroup were similar between the latanoprost group and the timolol group. The non-PCG (e.g. juvenile open angle glaucoma, aphakic glaucoma) subgroup showed similar results as the PCG subgroup.</w:t>
      </w:r>
    </w:p>
    <w:p w14:paraId="62B81332" w14:textId="77777777" w:rsidR="00E57FA2" w:rsidRPr="00EB68C7" w:rsidRDefault="00E57FA2" w:rsidP="00A64B35">
      <w:pPr>
        <w:ind w:left="851"/>
        <w:rPr>
          <w:bCs/>
          <w:iCs/>
          <w:sz w:val="24"/>
          <w:szCs w:val="24"/>
          <w:lang w:val="en-GB"/>
        </w:rPr>
      </w:pPr>
    </w:p>
    <w:p w14:paraId="4AC55D6C" w14:textId="77777777" w:rsidR="00E57FA2" w:rsidRPr="00EB68C7" w:rsidRDefault="00E57FA2" w:rsidP="00A64B35">
      <w:pPr>
        <w:ind w:left="851"/>
        <w:rPr>
          <w:bCs/>
          <w:iCs/>
          <w:sz w:val="24"/>
          <w:szCs w:val="24"/>
          <w:lang w:val="en-GB"/>
        </w:rPr>
      </w:pPr>
      <w:r w:rsidRPr="00EB68C7">
        <w:rPr>
          <w:bCs/>
          <w:iCs/>
          <w:sz w:val="24"/>
          <w:szCs w:val="24"/>
          <w:lang w:val="en-GB"/>
        </w:rPr>
        <w:t xml:space="preserve">The effect on IOP was seen after the first week of treatment (see table) and was maintained throughout the </w:t>
      </w:r>
      <w:proofErr w:type="gramStart"/>
      <w:r w:rsidRPr="00EB68C7">
        <w:rPr>
          <w:bCs/>
          <w:iCs/>
          <w:sz w:val="24"/>
          <w:szCs w:val="24"/>
          <w:lang w:val="en-GB"/>
        </w:rPr>
        <w:t>12 week</w:t>
      </w:r>
      <w:proofErr w:type="gramEnd"/>
      <w:r w:rsidRPr="00EB68C7">
        <w:rPr>
          <w:bCs/>
          <w:iCs/>
          <w:sz w:val="24"/>
          <w:szCs w:val="24"/>
          <w:lang w:val="en-GB"/>
        </w:rPr>
        <w:t xml:space="preserve"> period of study, as in adults. </w:t>
      </w:r>
    </w:p>
    <w:p w14:paraId="109DE688" w14:textId="77777777" w:rsidR="00E57FA2" w:rsidRPr="00EB68C7" w:rsidRDefault="00E57FA2" w:rsidP="00E57FA2">
      <w:pPr>
        <w:rPr>
          <w:bCs/>
          <w:iCs/>
          <w:sz w:val="24"/>
          <w:szCs w:val="24"/>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1456"/>
        <w:gridCol w:w="1922"/>
        <w:gridCol w:w="1313"/>
        <w:gridCol w:w="1427"/>
      </w:tblGrid>
      <w:tr w:rsidR="00E57FA2" w:rsidRPr="00C1229C" w14:paraId="1A1A70F2" w14:textId="77777777" w:rsidTr="00921084">
        <w:tc>
          <w:tcPr>
            <w:tcW w:w="5000" w:type="pct"/>
            <w:gridSpan w:val="5"/>
            <w:tcBorders>
              <w:top w:val="single" w:sz="4" w:space="0" w:color="auto"/>
              <w:left w:val="single" w:sz="4" w:space="0" w:color="auto"/>
              <w:bottom w:val="single" w:sz="4" w:space="0" w:color="auto"/>
              <w:right w:val="single" w:sz="4" w:space="0" w:color="auto"/>
            </w:tcBorders>
            <w:hideMark/>
          </w:tcPr>
          <w:p w14:paraId="14A1B145" w14:textId="77777777" w:rsidR="00E57FA2" w:rsidRPr="00EB68C7" w:rsidRDefault="00E57FA2">
            <w:pPr>
              <w:jc w:val="center"/>
              <w:rPr>
                <w:b/>
                <w:bCs/>
                <w:iCs/>
                <w:sz w:val="24"/>
                <w:szCs w:val="24"/>
                <w:lang w:val="en-GB"/>
              </w:rPr>
            </w:pPr>
            <w:r w:rsidRPr="00EB68C7">
              <w:rPr>
                <w:b/>
                <w:bCs/>
                <w:iCs/>
                <w:sz w:val="24"/>
                <w:szCs w:val="24"/>
                <w:lang w:val="en-GB"/>
              </w:rPr>
              <w:t>Table: IOP reduction (mmHg) at week 12 by active treatment group and baseline diagnosis</w:t>
            </w:r>
          </w:p>
        </w:tc>
      </w:tr>
      <w:tr w:rsidR="00174999" w:rsidRPr="00EB68C7" w14:paraId="0AEDAE20" w14:textId="77777777" w:rsidTr="00921084">
        <w:tc>
          <w:tcPr>
            <w:tcW w:w="1823" w:type="pct"/>
            <w:tcBorders>
              <w:top w:val="single" w:sz="4" w:space="0" w:color="auto"/>
              <w:left w:val="single" w:sz="4" w:space="0" w:color="auto"/>
              <w:bottom w:val="single" w:sz="4" w:space="0" w:color="auto"/>
              <w:right w:val="single" w:sz="4" w:space="0" w:color="auto"/>
            </w:tcBorders>
            <w:hideMark/>
          </w:tcPr>
          <w:p w14:paraId="467F8549" w14:textId="66876A13" w:rsidR="00174999" w:rsidRPr="00EB68C7" w:rsidRDefault="00174999">
            <w:pPr>
              <w:jc w:val="center"/>
              <w:rPr>
                <w:bCs/>
                <w:iCs/>
                <w:sz w:val="24"/>
                <w:szCs w:val="24"/>
                <w:lang w:val="en-GB"/>
              </w:rPr>
            </w:pPr>
          </w:p>
        </w:tc>
        <w:tc>
          <w:tcPr>
            <w:tcW w:w="1754" w:type="pct"/>
            <w:gridSpan w:val="2"/>
            <w:tcBorders>
              <w:top w:val="single" w:sz="4" w:space="0" w:color="auto"/>
              <w:left w:val="single" w:sz="4" w:space="0" w:color="auto"/>
              <w:bottom w:val="single" w:sz="4" w:space="0" w:color="auto"/>
              <w:right w:val="single" w:sz="4" w:space="0" w:color="auto"/>
            </w:tcBorders>
          </w:tcPr>
          <w:p w14:paraId="7E871062" w14:textId="77777777" w:rsidR="000453D0" w:rsidRPr="00EB68C7" w:rsidRDefault="00174999">
            <w:pPr>
              <w:jc w:val="center"/>
              <w:rPr>
                <w:b/>
                <w:bCs/>
                <w:iCs/>
                <w:sz w:val="24"/>
                <w:szCs w:val="24"/>
                <w:lang w:val="en-GB"/>
              </w:rPr>
            </w:pPr>
            <w:r w:rsidRPr="00EB68C7">
              <w:rPr>
                <w:b/>
                <w:bCs/>
                <w:iCs/>
                <w:sz w:val="24"/>
                <w:szCs w:val="24"/>
                <w:lang w:val="en-GB"/>
              </w:rPr>
              <w:t xml:space="preserve">Latanoprost </w:t>
            </w:r>
          </w:p>
          <w:p w14:paraId="561820F2" w14:textId="72533E39" w:rsidR="00174999" w:rsidRPr="00EB68C7" w:rsidRDefault="00174999">
            <w:pPr>
              <w:jc w:val="center"/>
              <w:rPr>
                <w:bCs/>
                <w:iCs/>
                <w:sz w:val="24"/>
                <w:szCs w:val="24"/>
                <w:lang w:val="en-GB"/>
              </w:rPr>
            </w:pPr>
            <w:r w:rsidRPr="00EB68C7">
              <w:rPr>
                <w:b/>
                <w:bCs/>
                <w:iCs/>
                <w:sz w:val="24"/>
                <w:szCs w:val="24"/>
                <w:lang w:val="en-GB"/>
              </w:rPr>
              <w:t>N=53</w:t>
            </w:r>
          </w:p>
        </w:tc>
        <w:tc>
          <w:tcPr>
            <w:tcW w:w="1423" w:type="pct"/>
            <w:gridSpan w:val="2"/>
            <w:tcBorders>
              <w:top w:val="single" w:sz="4" w:space="0" w:color="auto"/>
              <w:left w:val="single" w:sz="4" w:space="0" w:color="auto"/>
              <w:bottom w:val="single" w:sz="4" w:space="0" w:color="auto"/>
              <w:right w:val="single" w:sz="4" w:space="0" w:color="auto"/>
            </w:tcBorders>
            <w:hideMark/>
          </w:tcPr>
          <w:p w14:paraId="76B4BE0D" w14:textId="77777777" w:rsidR="00174999" w:rsidRPr="00EB68C7" w:rsidRDefault="00174999">
            <w:pPr>
              <w:jc w:val="center"/>
              <w:rPr>
                <w:bCs/>
                <w:iCs/>
                <w:sz w:val="24"/>
                <w:szCs w:val="24"/>
                <w:lang w:val="en-GB"/>
              </w:rPr>
            </w:pPr>
            <w:r w:rsidRPr="00EB68C7">
              <w:rPr>
                <w:b/>
                <w:bCs/>
                <w:iCs/>
                <w:sz w:val="24"/>
                <w:szCs w:val="24"/>
                <w:lang w:val="en-GB"/>
              </w:rPr>
              <w:t>Timolol</w:t>
            </w:r>
          </w:p>
          <w:p w14:paraId="0EEBE645" w14:textId="77777777" w:rsidR="00174999" w:rsidRPr="00EB68C7" w:rsidRDefault="00174999">
            <w:pPr>
              <w:jc w:val="center"/>
              <w:rPr>
                <w:b/>
                <w:bCs/>
                <w:iCs/>
                <w:sz w:val="24"/>
                <w:szCs w:val="24"/>
                <w:lang w:val="en-GB"/>
              </w:rPr>
            </w:pPr>
            <w:r w:rsidRPr="00EB68C7">
              <w:rPr>
                <w:b/>
                <w:bCs/>
                <w:iCs/>
                <w:sz w:val="24"/>
                <w:szCs w:val="24"/>
                <w:lang w:val="en-GB"/>
              </w:rPr>
              <w:t>N=54</w:t>
            </w:r>
          </w:p>
        </w:tc>
      </w:tr>
      <w:tr w:rsidR="00E57FA2" w:rsidRPr="00EB68C7" w14:paraId="78800F72" w14:textId="77777777" w:rsidTr="00921084">
        <w:trPr>
          <w:trHeight w:val="426"/>
        </w:trPr>
        <w:tc>
          <w:tcPr>
            <w:tcW w:w="1823" w:type="pct"/>
            <w:tcBorders>
              <w:top w:val="single" w:sz="4" w:space="0" w:color="auto"/>
              <w:left w:val="single" w:sz="4" w:space="0" w:color="auto"/>
              <w:bottom w:val="single" w:sz="4" w:space="0" w:color="auto"/>
              <w:right w:val="single" w:sz="4" w:space="0" w:color="auto"/>
            </w:tcBorders>
            <w:vAlign w:val="center"/>
            <w:hideMark/>
          </w:tcPr>
          <w:p w14:paraId="5B3DB8EC" w14:textId="77777777" w:rsidR="00E57FA2" w:rsidRPr="00EB68C7" w:rsidRDefault="00E57FA2">
            <w:pPr>
              <w:rPr>
                <w:bCs/>
                <w:iCs/>
                <w:sz w:val="24"/>
                <w:szCs w:val="24"/>
                <w:lang w:val="en-GB"/>
              </w:rPr>
            </w:pPr>
            <w:r w:rsidRPr="00EB68C7">
              <w:rPr>
                <w:bCs/>
                <w:iCs/>
                <w:sz w:val="24"/>
                <w:szCs w:val="24"/>
                <w:lang w:val="en-GB"/>
              </w:rPr>
              <w:t>Baseline Mean (SE)</w:t>
            </w:r>
          </w:p>
        </w:tc>
        <w:tc>
          <w:tcPr>
            <w:tcW w:w="1754" w:type="pct"/>
            <w:gridSpan w:val="2"/>
            <w:tcBorders>
              <w:top w:val="single" w:sz="4" w:space="0" w:color="auto"/>
              <w:left w:val="single" w:sz="4" w:space="0" w:color="auto"/>
              <w:bottom w:val="single" w:sz="4" w:space="0" w:color="auto"/>
              <w:right w:val="single" w:sz="4" w:space="0" w:color="auto"/>
            </w:tcBorders>
            <w:vAlign w:val="center"/>
            <w:hideMark/>
          </w:tcPr>
          <w:p w14:paraId="69EC1185" w14:textId="77777777" w:rsidR="00E57FA2" w:rsidRPr="00EB68C7" w:rsidRDefault="00E57FA2">
            <w:pPr>
              <w:jc w:val="center"/>
              <w:rPr>
                <w:bCs/>
                <w:iCs/>
                <w:sz w:val="24"/>
                <w:szCs w:val="24"/>
                <w:lang w:val="en-GB"/>
              </w:rPr>
            </w:pPr>
            <w:r w:rsidRPr="00EB68C7">
              <w:rPr>
                <w:bCs/>
                <w:iCs/>
                <w:sz w:val="24"/>
                <w:szCs w:val="24"/>
                <w:lang w:val="en-GB"/>
              </w:rPr>
              <w:t>27.3 (0.75)</w:t>
            </w:r>
          </w:p>
        </w:tc>
        <w:tc>
          <w:tcPr>
            <w:tcW w:w="1423" w:type="pct"/>
            <w:gridSpan w:val="2"/>
            <w:tcBorders>
              <w:top w:val="single" w:sz="4" w:space="0" w:color="auto"/>
              <w:left w:val="single" w:sz="4" w:space="0" w:color="auto"/>
              <w:bottom w:val="single" w:sz="4" w:space="0" w:color="auto"/>
              <w:right w:val="single" w:sz="4" w:space="0" w:color="auto"/>
            </w:tcBorders>
            <w:vAlign w:val="center"/>
            <w:hideMark/>
          </w:tcPr>
          <w:p w14:paraId="206908B7" w14:textId="77777777" w:rsidR="00E57FA2" w:rsidRPr="00EB68C7" w:rsidRDefault="00E57FA2">
            <w:pPr>
              <w:jc w:val="center"/>
              <w:rPr>
                <w:bCs/>
                <w:iCs/>
                <w:sz w:val="24"/>
                <w:szCs w:val="24"/>
                <w:lang w:val="en-GB"/>
              </w:rPr>
            </w:pPr>
            <w:r w:rsidRPr="00EB68C7">
              <w:rPr>
                <w:bCs/>
                <w:iCs/>
                <w:sz w:val="24"/>
                <w:szCs w:val="24"/>
                <w:lang w:val="en-GB"/>
              </w:rPr>
              <w:t>27.8 (0.84)</w:t>
            </w:r>
          </w:p>
        </w:tc>
      </w:tr>
      <w:tr w:rsidR="00E57FA2" w:rsidRPr="00EB68C7" w14:paraId="688F5565" w14:textId="77777777" w:rsidTr="00921084">
        <w:tc>
          <w:tcPr>
            <w:tcW w:w="1823" w:type="pct"/>
            <w:tcBorders>
              <w:top w:val="single" w:sz="4" w:space="0" w:color="auto"/>
              <w:left w:val="single" w:sz="4" w:space="0" w:color="auto"/>
              <w:bottom w:val="single" w:sz="4" w:space="0" w:color="auto"/>
              <w:right w:val="single" w:sz="4" w:space="0" w:color="auto"/>
            </w:tcBorders>
            <w:hideMark/>
          </w:tcPr>
          <w:p w14:paraId="63DD86BE" w14:textId="77777777" w:rsidR="00E57FA2" w:rsidRPr="00EB68C7" w:rsidRDefault="00E57FA2">
            <w:pPr>
              <w:rPr>
                <w:bCs/>
                <w:iCs/>
                <w:sz w:val="24"/>
                <w:szCs w:val="24"/>
                <w:lang w:val="en-GB"/>
              </w:rPr>
            </w:pPr>
            <w:r w:rsidRPr="00EB68C7">
              <w:rPr>
                <w:bCs/>
                <w:iCs/>
                <w:sz w:val="24"/>
                <w:szCs w:val="24"/>
                <w:lang w:val="en-GB"/>
              </w:rPr>
              <w:t>Week 12 Change from Baseline Mean</w:t>
            </w:r>
            <w:r w:rsidRPr="00EB68C7">
              <w:rPr>
                <w:bCs/>
                <w:iCs/>
                <w:sz w:val="24"/>
                <w:szCs w:val="24"/>
                <w:vertAlign w:val="superscript"/>
                <w:lang w:val="en-GB"/>
              </w:rPr>
              <w:t>†</w:t>
            </w:r>
            <w:r w:rsidRPr="00EB68C7">
              <w:rPr>
                <w:bCs/>
                <w:iCs/>
                <w:sz w:val="24"/>
                <w:szCs w:val="24"/>
                <w:lang w:val="en-GB"/>
              </w:rPr>
              <w:t>(SE)</w:t>
            </w:r>
          </w:p>
        </w:tc>
        <w:tc>
          <w:tcPr>
            <w:tcW w:w="1754" w:type="pct"/>
            <w:gridSpan w:val="2"/>
            <w:tcBorders>
              <w:top w:val="single" w:sz="4" w:space="0" w:color="auto"/>
              <w:left w:val="single" w:sz="4" w:space="0" w:color="auto"/>
              <w:bottom w:val="single" w:sz="4" w:space="0" w:color="auto"/>
              <w:right w:val="single" w:sz="4" w:space="0" w:color="auto"/>
            </w:tcBorders>
            <w:vAlign w:val="center"/>
            <w:hideMark/>
          </w:tcPr>
          <w:p w14:paraId="44870A74" w14:textId="77777777" w:rsidR="00E57FA2" w:rsidRPr="00EB68C7" w:rsidRDefault="00E57FA2">
            <w:pPr>
              <w:jc w:val="center"/>
              <w:rPr>
                <w:bCs/>
                <w:iCs/>
                <w:sz w:val="24"/>
                <w:szCs w:val="24"/>
                <w:lang w:val="en-GB"/>
              </w:rPr>
            </w:pPr>
            <w:r w:rsidRPr="00EB68C7">
              <w:rPr>
                <w:bCs/>
                <w:iCs/>
                <w:sz w:val="24"/>
                <w:szCs w:val="24"/>
                <w:lang w:val="en-GB"/>
              </w:rPr>
              <w:t>-7.18 (0.81)</w:t>
            </w:r>
          </w:p>
        </w:tc>
        <w:tc>
          <w:tcPr>
            <w:tcW w:w="1423" w:type="pct"/>
            <w:gridSpan w:val="2"/>
            <w:tcBorders>
              <w:top w:val="single" w:sz="4" w:space="0" w:color="auto"/>
              <w:left w:val="single" w:sz="4" w:space="0" w:color="auto"/>
              <w:bottom w:val="single" w:sz="4" w:space="0" w:color="auto"/>
              <w:right w:val="single" w:sz="4" w:space="0" w:color="auto"/>
            </w:tcBorders>
            <w:vAlign w:val="center"/>
            <w:hideMark/>
          </w:tcPr>
          <w:p w14:paraId="0BA8DF68" w14:textId="77777777" w:rsidR="00E57FA2" w:rsidRPr="00EB68C7" w:rsidRDefault="00E57FA2">
            <w:pPr>
              <w:jc w:val="center"/>
              <w:rPr>
                <w:bCs/>
                <w:iCs/>
                <w:sz w:val="24"/>
                <w:szCs w:val="24"/>
                <w:lang w:val="en-GB"/>
              </w:rPr>
            </w:pPr>
            <w:r w:rsidRPr="00EB68C7">
              <w:rPr>
                <w:bCs/>
                <w:iCs/>
                <w:sz w:val="24"/>
                <w:szCs w:val="24"/>
                <w:lang w:val="en-GB"/>
              </w:rPr>
              <w:t>-5.72 (0.81)</w:t>
            </w:r>
          </w:p>
        </w:tc>
      </w:tr>
      <w:tr w:rsidR="00E57FA2" w:rsidRPr="00EB68C7" w14:paraId="595181A0" w14:textId="77777777" w:rsidTr="00921084">
        <w:tc>
          <w:tcPr>
            <w:tcW w:w="1823" w:type="pct"/>
            <w:tcBorders>
              <w:top w:val="single" w:sz="4" w:space="0" w:color="auto"/>
              <w:left w:val="single" w:sz="4" w:space="0" w:color="auto"/>
              <w:bottom w:val="single" w:sz="4" w:space="0" w:color="auto"/>
              <w:right w:val="single" w:sz="4" w:space="0" w:color="auto"/>
            </w:tcBorders>
            <w:hideMark/>
          </w:tcPr>
          <w:p w14:paraId="5DCC01DF" w14:textId="77777777" w:rsidR="00E57FA2" w:rsidRPr="00EB68C7" w:rsidRDefault="00E57FA2">
            <w:pPr>
              <w:rPr>
                <w:bCs/>
                <w:iCs/>
                <w:sz w:val="24"/>
                <w:szCs w:val="24"/>
                <w:lang w:val="en-GB"/>
              </w:rPr>
            </w:pPr>
            <w:r w:rsidRPr="00EB68C7">
              <w:rPr>
                <w:bCs/>
                <w:i/>
                <w:iCs/>
                <w:sz w:val="24"/>
                <w:szCs w:val="24"/>
                <w:lang w:val="en-GB"/>
              </w:rPr>
              <w:t>p</w:t>
            </w:r>
            <w:r w:rsidRPr="00EB68C7">
              <w:rPr>
                <w:bCs/>
                <w:iCs/>
                <w:sz w:val="24"/>
                <w:szCs w:val="24"/>
                <w:lang w:val="en-GB"/>
              </w:rPr>
              <w:t>-value vs. timolol</w:t>
            </w:r>
          </w:p>
        </w:tc>
        <w:tc>
          <w:tcPr>
            <w:tcW w:w="3177" w:type="pct"/>
            <w:gridSpan w:val="4"/>
            <w:tcBorders>
              <w:top w:val="single" w:sz="4" w:space="0" w:color="auto"/>
              <w:left w:val="single" w:sz="4" w:space="0" w:color="auto"/>
              <w:bottom w:val="single" w:sz="4" w:space="0" w:color="auto"/>
              <w:right w:val="single" w:sz="4" w:space="0" w:color="auto"/>
            </w:tcBorders>
            <w:hideMark/>
          </w:tcPr>
          <w:p w14:paraId="76709D5A" w14:textId="77777777" w:rsidR="00E57FA2" w:rsidRPr="00EB68C7" w:rsidRDefault="00E57FA2">
            <w:pPr>
              <w:jc w:val="center"/>
              <w:rPr>
                <w:bCs/>
                <w:iCs/>
                <w:sz w:val="24"/>
                <w:szCs w:val="24"/>
                <w:lang w:val="en-GB"/>
              </w:rPr>
            </w:pPr>
            <w:r w:rsidRPr="00EB68C7">
              <w:rPr>
                <w:bCs/>
                <w:iCs/>
                <w:sz w:val="24"/>
                <w:szCs w:val="24"/>
                <w:lang w:val="en-GB"/>
              </w:rPr>
              <w:t>0.2056</w:t>
            </w:r>
          </w:p>
        </w:tc>
      </w:tr>
      <w:tr w:rsidR="00E57FA2" w:rsidRPr="00EB68C7" w14:paraId="541A0FED" w14:textId="77777777" w:rsidTr="00921084">
        <w:tc>
          <w:tcPr>
            <w:tcW w:w="1823" w:type="pct"/>
            <w:tcBorders>
              <w:top w:val="single" w:sz="4" w:space="0" w:color="auto"/>
              <w:left w:val="single" w:sz="4" w:space="0" w:color="auto"/>
              <w:bottom w:val="single" w:sz="4" w:space="0" w:color="auto"/>
              <w:right w:val="single" w:sz="4" w:space="0" w:color="auto"/>
            </w:tcBorders>
          </w:tcPr>
          <w:p w14:paraId="26E6C1C0" w14:textId="77777777" w:rsidR="00E57FA2" w:rsidRPr="00EB68C7" w:rsidRDefault="00E57FA2">
            <w:pPr>
              <w:rPr>
                <w:bCs/>
                <w:iCs/>
                <w:sz w:val="24"/>
                <w:szCs w:val="24"/>
                <w:lang w:val="en-GB"/>
              </w:rPr>
            </w:pPr>
          </w:p>
        </w:tc>
        <w:tc>
          <w:tcPr>
            <w:tcW w:w="756" w:type="pct"/>
            <w:tcBorders>
              <w:top w:val="single" w:sz="4" w:space="0" w:color="auto"/>
              <w:left w:val="single" w:sz="4" w:space="0" w:color="auto"/>
              <w:bottom w:val="single" w:sz="4" w:space="0" w:color="auto"/>
              <w:right w:val="single" w:sz="4" w:space="0" w:color="auto"/>
            </w:tcBorders>
            <w:hideMark/>
          </w:tcPr>
          <w:p w14:paraId="7DA3A86E" w14:textId="77777777" w:rsidR="00E57FA2" w:rsidRPr="00EB68C7" w:rsidRDefault="00E57FA2">
            <w:pPr>
              <w:jc w:val="center"/>
              <w:rPr>
                <w:b/>
                <w:bCs/>
                <w:iCs/>
                <w:sz w:val="24"/>
                <w:szCs w:val="24"/>
                <w:lang w:val="en-GB"/>
              </w:rPr>
            </w:pPr>
            <w:r w:rsidRPr="00EB68C7">
              <w:rPr>
                <w:b/>
                <w:bCs/>
                <w:iCs/>
                <w:sz w:val="24"/>
                <w:szCs w:val="24"/>
                <w:lang w:val="en-GB"/>
              </w:rPr>
              <w:t>PCG</w:t>
            </w:r>
          </w:p>
          <w:p w14:paraId="0A818152" w14:textId="77777777" w:rsidR="00E57FA2" w:rsidRPr="00EB68C7" w:rsidRDefault="00E57FA2">
            <w:pPr>
              <w:jc w:val="center"/>
              <w:rPr>
                <w:b/>
                <w:bCs/>
                <w:iCs/>
                <w:sz w:val="24"/>
                <w:szCs w:val="24"/>
                <w:lang w:val="en-GB"/>
              </w:rPr>
            </w:pPr>
            <w:r w:rsidRPr="00EB68C7">
              <w:rPr>
                <w:b/>
                <w:bCs/>
                <w:iCs/>
                <w:sz w:val="24"/>
                <w:szCs w:val="24"/>
                <w:lang w:val="en-GB"/>
              </w:rPr>
              <w:t>N=28</w:t>
            </w:r>
          </w:p>
        </w:tc>
        <w:tc>
          <w:tcPr>
            <w:tcW w:w="998" w:type="pct"/>
            <w:tcBorders>
              <w:top w:val="single" w:sz="4" w:space="0" w:color="auto"/>
              <w:left w:val="single" w:sz="4" w:space="0" w:color="auto"/>
              <w:bottom w:val="single" w:sz="4" w:space="0" w:color="auto"/>
              <w:right w:val="single" w:sz="4" w:space="0" w:color="auto"/>
            </w:tcBorders>
            <w:hideMark/>
          </w:tcPr>
          <w:p w14:paraId="254AD5EC" w14:textId="77777777" w:rsidR="00E57FA2" w:rsidRPr="00EB68C7" w:rsidRDefault="00E57FA2">
            <w:pPr>
              <w:jc w:val="center"/>
              <w:rPr>
                <w:b/>
                <w:bCs/>
                <w:iCs/>
                <w:sz w:val="24"/>
                <w:szCs w:val="24"/>
                <w:lang w:val="en-GB"/>
              </w:rPr>
            </w:pPr>
            <w:r w:rsidRPr="00EB68C7">
              <w:rPr>
                <w:b/>
                <w:bCs/>
                <w:iCs/>
                <w:sz w:val="24"/>
                <w:szCs w:val="24"/>
                <w:lang w:val="en-GB"/>
              </w:rPr>
              <w:t>Non-PCG</w:t>
            </w:r>
          </w:p>
          <w:p w14:paraId="42FD7BE0" w14:textId="77777777" w:rsidR="00E57FA2" w:rsidRPr="00EB68C7" w:rsidRDefault="00E57FA2">
            <w:pPr>
              <w:jc w:val="center"/>
              <w:rPr>
                <w:b/>
                <w:bCs/>
                <w:iCs/>
                <w:sz w:val="24"/>
                <w:szCs w:val="24"/>
                <w:lang w:val="en-GB"/>
              </w:rPr>
            </w:pPr>
            <w:r w:rsidRPr="00EB68C7">
              <w:rPr>
                <w:b/>
                <w:bCs/>
                <w:iCs/>
                <w:sz w:val="24"/>
                <w:szCs w:val="24"/>
                <w:lang w:val="en-GB"/>
              </w:rPr>
              <w:t>N=25</w:t>
            </w:r>
          </w:p>
        </w:tc>
        <w:tc>
          <w:tcPr>
            <w:tcW w:w="682" w:type="pct"/>
            <w:tcBorders>
              <w:top w:val="single" w:sz="4" w:space="0" w:color="auto"/>
              <w:left w:val="single" w:sz="4" w:space="0" w:color="auto"/>
              <w:bottom w:val="single" w:sz="4" w:space="0" w:color="auto"/>
              <w:right w:val="single" w:sz="4" w:space="0" w:color="auto"/>
            </w:tcBorders>
            <w:hideMark/>
          </w:tcPr>
          <w:p w14:paraId="1186229C" w14:textId="77777777" w:rsidR="00E57FA2" w:rsidRPr="00EB68C7" w:rsidRDefault="00E57FA2">
            <w:pPr>
              <w:jc w:val="center"/>
              <w:rPr>
                <w:b/>
                <w:bCs/>
                <w:iCs/>
                <w:sz w:val="24"/>
                <w:szCs w:val="24"/>
                <w:lang w:val="en-GB"/>
              </w:rPr>
            </w:pPr>
            <w:r w:rsidRPr="00EB68C7">
              <w:rPr>
                <w:b/>
                <w:bCs/>
                <w:iCs/>
                <w:sz w:val="24"/>
                <w:szCs w:val="24"/>
                <w:lang w:val="en-GB"/>
              </w:rPr>
              <w:t>PCG</w:t>
            </w:r>
          </w:p>
          <w:p w14:paraId="61EA732B" w14:textId="77777777" w:rsidR="00E57FA2" w:rsidRPr="00EB68C7" w:rsidRDefault="00E57FA2">
            <w:pPr>
              <w:jc w:val="center"/>
              <w:rPr>
                <w:b/>
                <w:bCs/>
                <w:iCs/>
                <w:sz w:val="24"/>
                <w:szCs w:val="24"/>
                <w:lang w:val="en-GB"/>
              </w:rPr>
            </w:pPr>
            <w:r w:rsidRPr="00EB68C7">
              <w:rPr>
                <w:b/>
                <w:bCs/>
                <w:iCs/>
                <w:sz w:val="24"/>
                <w:szCs w:val="24"/>
                <w:lang w:val="en-GB"/>
              </w:rPr>
              <w:t>N=26</w:t>
            </w:r>
          </w:p>
        </w:tc>
        <w:tc>
          <w:tcPr>
            <w:tcW w:w="741" w:type="pct"/>
            <w:tcBorders>
              <w:top w:val="single" w:sz="4" w:space="0" w:color="auto"/>
              <w:left w:val="single" w:sz="4" w:space="0" w:color="auto"/>
              <w:bottom w:val="single" w:sz="4" w:space="0" w:color="auto"/>
              <w:right w:val="single" w:sz="4" w:space="0" w:color="auto"/>
            </w:tcBorders>
            <w:hideMark/>
          </w:tcPr>
          <w:p w14:paraId="7A5110CF" w14:textId="77777777" w:rsidR="00E57FA2" w:rsidRPr="00EB68C7" w:rsidRDefault="00E57FA2">
            <w:pPr>
              <w:jc w:val="center"/>
              <w:rPr>
                <w:b/>
                <w:bCs/>
                <w:iCs/>
                <w:sz w:val="24"/>
                <w:szCs w:val="24"/>
                <w:lang w:val="en-GB"/>
              </w:rPr>
            </w:pPr>
            <w:r w:rsidRPr="00EB68C7">
              <w:rPr>
                <w:b/>
                <w:bCs/>
                <w:iCs/>
                <w:sz w:val="24"/>
                <w:szCs w:val="24"/>
                <w:lang w:val="en-GB"/>
              </w:rPr>
              <w:t>Non-PCG</w:t>
            </w:r>
          </w:p>
          <w:p w14:paraId="12FECD63" w14:textId="77777777" w:rsidR="00E57FA2" w:rsidRPr="00EB68C7" w:rsidRDefault="00E57FA2">
            <w:pPr>
              <w:jc w:val="center"/>
              <w:rPr>
                <w:b/>
                <w:bCs/>
                <w:iCs/>
                <w:sz w:val="24"/>
                <w:szCs w:val="24"/>
                <w:lang w:val="en-GB"/>
              </w:rPr>
            </w:pPr>
            <w:r w:rsidRPr="00EB68C7">
              <w:rPr>
                <w:b/>
                <w:bCs/>
                <w:iCs/>
                <w:sz w:val="24"/>
                <w:szCs w:val="24"/>
                <w:lang w:val="en-GB"/>
              </w:rPr>
              <w:t>N=28</w:t>
            </w:r>
          </w:p>
        </w:tc>
      </w:tr>
      <w:tr w:rsidR="00E57FA2" w:rsidRPr="00EB68C7" w14:paraId="5FA810F4" w14:textId="77777777" w:rsidTr="00921084">
        <w:trPr>
          <w:trHeight w:val="507"/>
        </w:trPr>
        <w:tc>
          <w:tcPr>
            <w:tcW w:w="1823" w:type="pct"/>
            <w:tcBorders>
              <w:top w:val="single" w:sz="4" w:space="0" w:color="auto"/>
              <w:left w:val="single" w:sz="4" w:space="0" w:color="auto"/>
              <w:bottom w:val="single" w:sz="4" w:space="0" w:color="auto"/>
              <w:right w:val="single" w:sz="4" w:space="0" w:color="auto"/>
            </w:tcBorders>
            <w:vAlign w:val="center"/>
            <w:hideMark/>
          </w:tcPr>
          <w:p w14:paraId="06E1E373" w14:textId="77777777" w:rsidR="00E57FA2" w:rsidRPr="00EB68C7" w:rsidRDefault="00E57FA2">
            <w:pPr>
              <w:rPr>
                <w:bCs/>
                <w:iCs/>
                <w:sz w:val="24"/>
                <w:szCs w:val="24"/>
                <w:lang w:val="en-GB"/>
              </w:rPr>
            </w:pPr>
            <w:r w:rsidRPr="00EB68C7">
              <w:rPr>
                <w:bCs/>
                <w:iCs/>
                <w:sz w:val="24"/>
                <w:szCs w:val="24"/>
                <w:lang w:val="en-GB"/>
              </w:rPr>
              <w:t>Baseline Mean (SE)</w:t>
            </w:r>
          </w:p>
        </w:tc>
        <w:tc>
          <w:tcPr>
            <w:tcW w:w="756" w:type="pct"/>
            <w:tcBorders>
              <w:top w:val="single" w:sz="4" w:space="0" w:color="auto"/>
              <w:left w:val="single" w:sz="4" w:space="0" w:color="auto"/>
              <w:bottom w:val="single" w:sz="4" w:space="0" w:color="auto"/>
              <w:right w:val="single" w:sz="4" w:space="0" w:color="auto"/>
            </w:tcBorders>
            <w:vAlign w:val="center"/>
            <w:hideMark/>
          </w:tcPr>
          <w:p w14:paraId="22DF58EB" w14:textId="77777777" w:rsidR="00E57FA2" w:rsidRPr="00EB68C7" w:rsidRDefault="00E57FA2">
            <w:pPr>
              <w:rPr>
                <w:bCs/>
                <w:iCs/>
                <w:sz w:val="24"/>
                <w:szCs w:val="24"/>
                <w:lang w:val="en-GB"/>
              </w:rPr>
            </w:pPr>
            <w:r w:rsidRPr="00EB68C7">
              <w:rPr>
                <w:bCs/>
                <w:iCs/>
                <w:sz w:val="24"/>
                <w:szCs w:val="24"/>
                <w:lang w:val="en-GB"/>
              </w:rPr>
              <w:t>26.5 (0.72)</w:t>
            </w:r>
          </w:p>
        </w:tc>
        <w:tc>
          <w:tcPr>
            <w:tcW w:w="998" w:type="pct"/>
            <w:tcBorders>
              <w:top w:val="single" w:sz="4" w:space="0" w:color="auto"/>
              <w:left w:val="single" w:sz="4" w:space="0" w:color="auto"/>
              <w:bottom w:val="single" w:sz="4" w:space="0" w:color="auto"/>
              <w:right w:val="single" w:sz="4" w:space="0" w:color="auto"/>
            </w:tcBorders>
            <w:vAlign w:val="center"/>
            <w:hideMark/>
          </w:tcPr>
          <w:p w14:paraId="6D62F44D" w14:textId="77777777" w:rsidR="00E57FA2" w:rsidRPr="00EB68C7" w:rsidRDefault="00E57FA2">
            <w:pPr>
              <w:rPr>
                <w:bCs/>
                <w:iCs/>
                <w:sz w:val="24"/>
                <w:szCs w:val="24"/>
                <w:lang w:val="en-GB"/>
              </w:rPr>
            </w:pPr>
            <w:r w:rsidRPr="00EB68C7">
              <w:rPr>
                <w:bCs/>
                <w:iCs/>
                <w:sz w:val="24"/>
                <w:szCs w:val="24"/>
                <w:lang w:val="en-GB"/>
              </w:rPr>
              <w:t>28.2 (1.37)</w:t>
            </w:r>
          </w:p>
        </w:tc>
        <w:tc>
          <w:tcPr>
            <w:tcW w:w="682" w:type="pct"/>
            <w:tcBorders>
              <w:top w:val="single" w:sz="4" w:space="0" w:color="auto"/>
              <w:left w:val="single" w:sz="4" w:space="0" w:color="auto"/>
              <w:bottom w:val="single" w:sz="4" w:space="0" w:color="auto"/>
              <w:right w:val="single" w:sz="4" w:space="0" w:color="auto"/>
            </w:tcBorders>
            <w:vAlign w:val="center"/>
            <w:hideMark/>
          </w:tcPr>
          <w:p w14:paraId="08433260" w14:textId="77777777" w:rsidR="00E57FA2" w:rsidRPr="00EB68C7" w:rsidRDefault="00E57FA2">
            <w:pPr>
              <w:rPr>
                <w:bCs/>
                <w:iCs/>
                <w:sz w:val="24"/>
                <w:szCs w:val="24"/>
                <w:lang w:val="en-GB"/>
              </w:rPr>
            </w:pPr>
            <w:r w:rsidRPr="00EB68C7">
              <w:rPr>
                <w:bCs/>
                <w:iCs/>
                <w:sz w:val="24"/>
                <w:szCs w:val="24"/>
                <w:lang w:val="en-GB"/>
              </w:rPr>
              <w:t>26.3 (0.95)</w:t>
            </w:r>
          </w:p>
        </w:tc>
        <w:tc>
          <w:tcPr>
            <w:tcW w:w="741" w:type="pct"/>
            <w:tcBorders>
              <w:top w:val="single" w:sz="4" w:space="0" w:color="auto"/>
              <w:left w:val="single" w:sz="4" w:space="0" w:color="auto"/>
              <w:bottom w:val="single" w:sz="4" w:space="0" w:color="auto"/>
              <w:right w:val="single" w:sz="4" w:space="0" w:color="auto"/>
            </w:tcBorders>
            <w:vAlign w:val="center"/>
            <w:hideMark/>
          </w:tcPr>
          <w:p w14:paraId="14F03EDB" w14:textId="77777777" w:rsidR="00E57FA2" w:rsidRPr="00EB68C7" w:rsidRDefault="00E57FA2">
            <w:pPr>
              <w:rPr>
                <w:bCs/>
                <w:iCs/>
                <w:sz w:val="24"/>
                <w:szCs w:val="24"/>
                <w:lang w:val="en-GB"/>
              </w:rPr>
            </w:pPr>
            <w:r w:rsidRPr="00EB68C7">
              <w:rPr>
                <w:bCs/>
                <w:iCs/>
                <w:sz w:val="24"/>
                <w:szCs w:val="24"/>
                <w:lang w:val="en-GB"/>
              </w:rPr>
              <w:t>29.1 (1.33)</w:t>
            </w:r>
          </w:p>
        </w:tc>
      </w:tr>
      <w:tr w:rsidR="00E57FA2" w:rsidRPr="00EB68C7" w14:paraId="5D8E2237" w14:textId="77777777" w:rsidTr="00921084">
        <w:trPr>
          <w:trHeight w:val="561"/>
        </w:trPr>
        <w:tc>
          <w:tcPr>
            <w:tcW w:w="1823" w:type="pct"/>
            <w:tcBorders>
              <w:top w:val="single" w:sz="4" w:space="0" w:color="auto"/>
              <w:left w:val="single" w:sz="4" w:space="0" w:color="auto"/>
              <w:bottom w:val="single" w:sz="4" w:space="0" w:color="auto"/>
              <w:right w:val="single" w:sz="4" w:space="0" w:color="auto"/>
            </w:tcBorders>
            <w:hideMark/>
          </w:tcPr>
          <w:p w14:paraId="4D9F3FB9" w14:textId="77777777" w:rsidR="00E57FA2" w:rsidRPr="00EB68C7" w:rsidRDefault="00E57FA2">
            <w:pPr>
              <w:rPr>
                <w:bCs/>
                <w:iCs/>
                <w:sz w:val="24"/>
                <w:szCs w:val="24"/>
                <w:lang w:val="en-GB"/>
              </w:rPr>
            </w:pPr>
            <w:r w:rsidRPr="00EB68C7">
              <w:rPr>
                <w:bCs/>
                <w:iCs/>
                <w:sz w:val="24"/>
                <w:szCs w:val="24"/>
                <w:lang w:val="en-GB"/>
              </w:rPr>
              <w:t>Week 12 Change from Baseline Mean</w:t>
            </w:r>
            <w:r w:rsidRPr="00EB68C7">
              <w:rPr>
                <w:bCs/>
                <w:iCs/>
                <w:sz w:val="24"/>
                <w:szCs w:val="24"/>
                <w:vertAlign w:val="superscript"/>
                <w:lang w:val="en-GB"/>
              </w:rPr>
              <w:t>†</w:t>
            </w:r>
            <w:r w:rsidRPr="00EB68C7">
              <w:rPr>
                <w:bCs/>
                <w:iCs/>
                <w:sz w:val="24"/>
                <w:szCs w:val="24"/>
                <w:lang w:val="en-GB"/>
              </w:rPr>
              <w:t>(SE)</w:t>
            </w:r>
          </w:p>
        </w:tc>
        <w:tc>
          <w:tcPr>
            <w:tcW w:w="756" w:type="pct"/>
            <w:tcBorders>
              <w:top w:val="single" w:sz="4" w:space="0" w:color="auto"/>
              <w:left w:val="single" w:sz="4" w:space="0" w:color="auto"/>
              <w:bottom w:val="single" w:sz="4" w:space="0" w:color="auto"/>
              <w:right w:val="single" w:sz="4" w:space="0" w:color="auto"/>
            </w:tcBorders>
            <w:vAlign w:val="center"/>
            <w:hideMark/>
          </w:tcPr>
          <w:p w14:paraId="715C894D" w14:textId="77777777" w:rsidR="00E57FA2" w:rsidRPr="00EB68C7" w:rsidRDefault="00E57FA2">
            <w:pPr>
              <w:rPr>
                <w:bCs/>
                <w:iCs/>
                <w:sz w:val="24"/>
                <w:szCs w:val="24"/>
                <w:lang w:val="en-GB"/>
              </w:rPr>
            </w:pPr>
            <w:r w:rsidRPr="00EB68C7">
              <w:rPr>
                <w:color w:val="000000"/>
                <w:sz w:val="24"/>
                <w:szCs w:val="24"/>
                <w:lang w:val="en-GB"/>
              </w:rPr>
              <w:t>-5.90 (0.98)</w:t>
            </w:r>
          </w:p>
        </w:tc>
        <w:tc>
          <w:tcPr>
            <w:tcW w:w="998" w:type="pct"/>
            <w:tcBorders>
              <w:top w:val="single" w:sz="4" w:space="0" w:color="auto"/>
              <w:left w:val="single" w:sz="4" w:space="0" w:color="auto"/>
              <w:bottom w:val="single" w:sz="4" w:space="0" w:color="auto"/>
              <w:right w:val="single" w:sz="4" w:space="0" w:color="auto"/>
            </w:tcBorders>
            <w:vAlign w:val="center"/>
            <w:hideMark/>
          </w:tcPr>
          <w:p w14:paraId="060C3ACC" w14:textId="77777777" w:rsidR="00E57FA2" w:rsidRPr="00EB68C7" w:rsidRDefault="00E57FA2">
            <w:pPr>
              <w:rPr>
                <w:bCs/>
                <w:iCs/>
                <w:sz w:val="24"/>
                <w:szCs w:val="24"/>
                <w:lang w:val="en-GB"/>
              </w:rPr>
            </w:pPr>
            <w:r w:rsidRPr="00EB68C7">
              <w:rPr>
                <w:bCs/>
                <w:iCs/>
                <w:sz w:val="24"/>
                <w:szCs w:val="24"/>
                <w:lang w:val="en-GB"/>
              </w:rPr>
              <w:t>-8.66 (1.25)</w:t>
            </w:r>
          </w:p>
        </w:tc>
        <w:tc>
          <w:tcPr>
            <w:tcW w:w="682" w:type="pct"/>
            <w:tcBorders>
              <w:top w:val="single" w:sz="4" w:space="0" w:color="auto"/>
              <w:left w:val="single" w:sz="4" w:space="0" w:color="auto"/>
              <w:bottom w:val="single" w:sz="4" w:space="0" w:color="auto"/>
              <w:right w:val="single" w:sz="4" w:space="0" w:color="auto"/>
            </w:tcBorders>
            <w:vAlign w:val="center"/>
            <w:hideMark/>
          </w:tcPr>
          <w:p w14:paraId="1E386646" w14:textId="77777777" w:rsidR="00E57FA2" w:rsidRPr="00EB68C7" w:rsidRDefault="00E57FA2">
            <w:pPr>
              <w:rPr>
                <w:bCs/>
                <w:iCs/>
                <w:sz w:val="24"/>
                <w:szCs w:val="24"/>
                <w:lang w:val="en-GB"/>
              </w:rPr>
            </w:pPr>
            <w:r w:rsidRPr="00EB68C7">
              <w:rPr>
                <w:bCs/>
                <w:iCs/>
                <w:sz w:val="24"/>
                <w:szCs w:val="24"/>
                <w:lang w:val="en-GB"/>
              </w:rPr>
              <w:t>-5.34 (1.02)</w:t>
            </w:r>
          </w:p>
        </w:tc>
        <w:tc>
          <w:tcPr>
            <w:tcW w:w="741" w:type="pct"/>
            <w:tcBorders>
              <w:top w:val="single" w:sz="4" w:space="0" w:color="auto"/>
              <w:left w:val="single" w:sz="4" w:space="0" w:color="auto"/>
              <w:bottom w:val="single" w:sz="4" w:space="0" w:color="auto"/>
              <w:right w:val="single" w:sz="4" w:space="0" w:color="auto"/>
            </w:tcBorders>
            <w:vAlign w:val="center"/>
            <w:hideMark/>
          </w:tcPr>
          <w:p w14:paraId="74B84DD0" w14:textId="77777777" w:rsidR="00E57FA2" w:rsidRPr="00EB68C7" w:rsidRDefault="00E57FA2">
            <w:pPr>
              <w:rPr>
                <w:bCs/>
                <w:iCs/>
                <w:sz w:val="24"/>
                <w:szCs w:val="24"/>
                <w:lang w:val="en-GB"/>
              </w:rPr>
            </w:pPr>
            <w:r w:rsidRPr="00EB68C7">
              <w:rPr>
                <w:bCs/>
                <w:iCs/>
                <w:sz w:val="24"/>
                <w:szCs w:val="24"/>
                <w:lang w:val="en-GB"/>
              </w:rPr>
              <w:t>-6.02 (1.18)</w:t>
            </w:r>
          </w:p>
        </w:tc>
      </w:tr>
      <w:tr w:rsidR="00E57FA2" w:rsidRPr="00EB68C7" w14:paraId="060C9D0C" w14:textId="77777777" w:rsidTr="00921084">
        <w:tc>
          <w:tcPr>
            <w:tcW w:w="1823" w:type="pct"/>
            <w:tcBorders>
              <w:top w:val="single" w:sz="4" w:space="0" w:color="auto"/>
              <w:left w:val="single" w:sz="4" w:space="0" w:color="auto"/>
              <w:bottom w:val="single" w:sz="4" w:space="0" w:color="auto"/>
              <w:right w:val="single" w:sz="4" w:space="0" w:color="auto"/>
            </w:tcBorders>
            <w:hideMark/>
          </w:tcPr>
          <w:p w14:paraId="30C38959" w14:textId="77777777" w:rsidR="00E57FA2" w:rsidRPr="00EB68C7" w:rsidRDefault="00E57FA2">
            <w:pPr>
              <w:rPr>
                <w:bCs/>
                <w:iCs/>
                <w:sz w:val="24"/>
                <w:szCs w:val="24"/>
                <w:lang w:val="en-GB"/>
              </w:rPr>
            </w:pPr>
            <w:r w:rsidRPr="00EB68C7">
              <w:rPr>
                <w:i/>
                <w:iCs/>
                <w:color w:val="000000"/>
                <w:sz w:val="24"/>
                <w:szCs w:val="24"/>
                <w:lang w:val="en-GB"/>
              </w:rPr>
              <w:t>p</w:t>
            </w:r>
            <w:r w:rsidRPr="00EB68C7">
              <w:rPr>
                <w:color w:val="000000"/>
                <w:sz w:val="24"/>
                <w:szCs w:val="24"/>
                <w:lang w:val="en-GB"/>
              </w:rPr>
              <w:t>-value vs. timolol</w:t>
            </w:r>
          </w:p>
        </w:tc>
        <w:tc>
          <w:tcPr>
            <w:tcW w:w="756" w:type="pct"/>
            <w:tcBorders>
              <w:top w:val="single" w:sz="4" w:space="0" w:color="auto"/>
              <w:left w:val="single" w:sz="4" w:space="0" w:color="auto"/>
              <w:bottom w:val="single" w:sz="4" w:space="0" w:color="auto"/>
              <w:right w:val="single" w:sz="4" w:space="0" w:color="auto"/>
            </w:tcBorders>
            <w:vAlign w:val="center"/>
            <w:hideMark/>
          </w:tcPr>
          <w:p w14:paraId="5878EE5A" w14:textId="77777777" w:rsidR="00E57FA2" w:rsidRPr="00EB68C7" w:rsidRDefault="00E57FA2">
            <w:pPr>
              <w:jc w:val="center"/>
              <w:rPr>
                <w:bCs/>
                <w:iCs/>
                <w:sz w:val="24"/>
                <w:szCs w:val="24"/>
                <w:lang w:val="en-GB"/>
              </w:rPr>
            </w:pPr>
            <w:r w:rsidRPr="00EB68C7">
              <w:rPr>
                <w:color w:val="000000"/>
                <w:sz w:val="24"/>
                <w:szCs w:val="24"/>
                <w:lang w:val="en-GB"/>
              </w:rPr>
              <w:t>0.6957</w:t>
            </w:r>
          </w:p>
        </w:tc>
        <w:tc>
          <w:tcPr>
            <w:tcW w:w="998" w:type="pct"/>
            <w:tcBorders>
              <w:top w:val="single" w:sz="4" w:space="0" w:color="auto"/>
              <w:left w:val="single" w:sz="4" w:space="0" w:color="auto"/>
              <w:bottom w:val="single" w:sz="4" w:space="0" w:color="auto"/>
              <w:right w:val="single" w:sz="4" w:space="0" w:color="auto"/>
            </w:tcBorders>
            <w:vAlign w:val="center"/>
            <w:hideMark/>
          </w:tcPr>
          <w:p w14:paraId="325CD66D" w14:textId="77777777" w:rsidR="00E57FA2" w:rsidRPr="00EB68C7" w:rsidRDefault="00E57FA2">
            <w:pPr>
              <w:jc w:val="center"/>
              <w:rPr>
                <w:bCs/>
                <w:iCs/>
                <w:sz w:val="24"/>
                <w:szCs w:val="24"/>
                <w:lang w:val="en-GB"/>
              </w:rPr>
            </w:pPr>
            <w:r w:rsidRPr="00EB68C7">
              <w:rPr>
                <w:color w:val="000000"/>
                <w:sz w:val="24"/>
                <w:szCs w:val="24"/>
                <w:lang w:val="en-GB"/>
              </w:rPr>
              <w:t>0.1317</w:t>
            </w:r>
          </w:p>
        </w:tc>
        <w:tc>
          <w:tcPr>
            <w:tcW w:w="682" w:type="pct"/>
            <w:tcBorders>
              <w:top w:val="single" w:sz="4" w:space="0" w:color="auto"/>
              <w:left w:val="single" w:sz="4" w:space="0" w:color="auto"/>
              <w:bottom w:val="single" w:sz="4" w:space="0" w:color="auto"/>
              <w:right w:val="single" w:sz="4" w:space="0" w:color="auto"/>
            </w:tcBorders>
            <w:vAlign w:val="center"/>
          </w:tcPr>
          <w:p w14:paraId="2E9AE45F" w14:textId="77777777" w:rsidR="00E57FA2" w:rsidRPr="00EB68C7" w:rsidRDefault="00E57FA2">
            <w:pPr>
              <w:rPr>
                <w:bCs/>
                <w:iCs/>
                <w:sz w:val="24"/>
                <w:szCs w:val="24"/>
                <w:lang w:val="en-GB"/>
              </w:rPr>
            </w:pPr>
          </w:p>
        </w:tc>
        <w:tc>
          <w:tcPr>
            <w:tcW w:w="741" w:type="pct"/>
            <w:tcBorders>
              <w:top w:val="single" w:sz="4" w:space="0" w:color="auto"/>
              <w:left w:val="single" w:sz="4" w:space="0" w:color="auto"/>
              <w:bottom w:val="single" w:sz="4" w:space="0" w:color="auto"/>
              <w:right w:val="single" w:sz="4" w:space="0" w:color="auto"/>
            </w:tcBorders>
          </w:tcPr>
          <w:p w14:paraId="0737E303" w14:textId="77777777" w:rsidR="00E57FA2" w:rsidRPr="00EB68C7" w:rsidRDefault="00E57FA2">
            <w:pPr>
              <w:rPr>
                <w:bCs/>
                <w:iCs/>
                <w:sz w:val="24"/>
                <w:szCs w:val="24"/>
                <w:lang w:val="en-GB"/>
              </w:rPr>
            </w:pPr>
          </w:p>
        </w:tc>
      </w:tr>
    </w:tbl>
    <w:p w14:paraId="2CF17641" w14:textId="77777777" w:rsidR="00E57FA2" w:rsidRPr="00EB68C7" w:rsidRDefault="00E57FA2" w:rsidP="00E57FA2">
      <w:pPr>
        <w:rPr>
          <w:bCs/>
          <w:iCs/>
          <w:sz w:val="24"/>
          <w:szCs w:val="24"/>
          <w:lang w:val="en-GB" w:eastAsia="en-US"/>
        </w:rPr>
      </w:pPr>
      <w:r w:rsidRPr="00EB68C7">
        <w:rPr>
          <w:bCs/>
          <w:iCs/>
          <w:sz w:val="24"/>
          <w:szCs w:val="24"/>
          <w:lang w:val="en-GB"/>
        </w:rPr>
        <w:t>SE: standard error.</w:t>
      </w:r>
    </w:p>
    <w:p w14:paraId="46526B7D" w14:textId="77777777" w:rsidR="00E57FA2" w:rsidRPr="00EB68C7" w:rsidRDefault="00E57FA2" w:rsidP="00E57FA2">
      <w:pPr>
        <w:rPr>
          <w:bCs/>
          <w:iCs/>
          <w:sz w:val="24"/>
          <w:szCs w:val="24"/>
          <w:lang w:val="en-GB"/>
        </w:rPr>
      </w:pPr>
      <w:r w:rsidRPr="00EB68C7">
        <w:rPr>
          <w:bCs/>
          <w:iCs/>
          <w:sz w:val="24"/>
          <w:szCs w:val="24"/>
          <w:vertAlign w:val="superscript"/>
          <w:lang w:val="en-GB"/>
        </w:rPr>
        <w:t>†</w:t>
      </w:r>
      <w:r w:rsidRPr="00EB68C7">
        <w:rPr>
          <w:bCs/>
          <w:iCs/>
          <w:sz w:val="24"/>
          <w:szCs w:val="24"/>
          <w:lang w:val="en-GB"/>
        </w:rPr>
        <w:t>Adjusted estimate based on an analysis of covariance (ANCOVA) model.</w:t>
      </w:r>
    </w:p>
    <w:p w14:paraId="31CF43DD" w14:textId="77777777" w:rsidR="007C5D2A" w:rsidRPr="00EB68C7" w:rsidRDefault="007C5D2A" w:rsidP="003E0341">
      <w:pPr>
        <w:tabs>
          <w:tab w:val="left" w:pos="851"/>
        </w:tabs>
        <w:ind w:left="851"/>
        <w:rPr>
          <w:sz w:val="24"/>
          <w:szCs w:val="24"/>
          <w:lang w:val="en-GB"/>
        </w:rPr>
      </w:pPr>
    </w:p>
    <w:p w14:paraId="1AA480F7" w14:textId="77777777" w:rsidR="007C5D2A" w:rsidRPr="00EB68C7" w:rsidRDefault="007C5D2A" w:rsidP="007C5D2A">
      <w:pPr>
        <w:tabs>
          <w:tab w:val="left" w:pos="851"/>
        </w:tabs>
        <w:ind w:left="851" w:hanging="851"/>
        <w:rPr>
          <w:b/>
          <w:sz w:val="24"/>
          <w:szCs w:val="24"/>
          <w:lang w:val="en-GB"/>
        </w:rPr>
      </w:pPr>
      <w:r w:rsidRPr="00EB68C7">
        <w:rPr>
          <w:b/>
          <w:sz w:val="24"/>
          <w:szCs w:val="24"/>
          <w:lang w:val="en-GB"/>
        </w:rPr>
        <w:t>5.2</w:t>
      </w:r>
      <w:r w:rsidRPr="00EB68C7">
        <w:rPr>
          <w:b/>
          <w:sz w:val="24"/>
          <w:szCs w:val="24"/>
          <w:lang w:val="en-GB"/>
        </w:rPr>
        <w:tab/>
        <w:t>Pharmacokinetic properties</w:t>
      </w:r>
      <w:r w:rsidRPr="00EB68C7">
        <w:rPr>
          <w:b/>
          <w:sz w:val="24"/>
          <w:szCs w:val="24"/>
          <w:lang w:val="en-GB"/>
        </w:rPr>
        <w:tab/>
      </w:r>
    </w:p>
    <w:p w14:paraId="21C088F7" w14:textId="77777777" w:rsidR="000453D0" w:rsidRPr="00EB68C7" w:rsidRDefault="000453D0" w:rsidP="00A64B35">
      <w:pPr>
        <w:ind w:left="851"/>
        <w:rPr>
          <w:sz w:val="24"/>
          <w:szCs w:val="24"/>
          <w:u w:val="single"/>
          <w:lang w:val="en-GB"/>
        </w:rPr>
      </w:pPr>
    </w:p>
    <w:p w14:paraId="7BBD3E53" w14:textId="561293E5" w:rsidR="00E57FA2" w:rsidRPr="00EB68C7" w:rsidRDefault="00E57FA2" w:rsidP="00A64B35">
      <w:pPr>
        <w:ind w:left="851"/>
        <w:rPr>
          <w:sz w:val="24"/>
          <w:szCs w:val="24"/>
          <w:u w:val="single"/>
          <w:lang w:val="en-GB"/>
        </w:rPr>
      </w:pPr>
      <w:r w:rsidRPr="00EB68C7">
        <w:rPr>
          <w:sz w:val="24"/>
          <w:szCs w:val="24"/>
          <w:u w:val="single"/>
          <w:lang w:val="en-GB"/>
        </w:rPr>
        <w:t>Absorption</w:t>
      </w:r>
    </w:p>
    <w:p w14:paraId="260CEA11" w14:textId="16E85CF0" w:rsidR="00E57FA2" w:rsidRPr="00EB68C7" w:rsidRDefault="00E57FA2" w:rsidP="00A64B35">
      <w:pPr>
        <w:ind w:left="851"/>
        <w:rPr>
          <w:sz w:val="24"/>
          <w:szCs w:val="24"/>
          <w:lang w:val="en-GB"/>
        </w:rPr>
      </w:pPr>
      <w:r w:rsidRPr="00EB68C7">
        <w:rPr>
          <w:sz w:val="24"/>
          <w:szCs w:val="24"/>
          <w:lang w:val="en-GB"/>
        </w:rPr>
        <w:t>Latanoprost (</w:t>
      </w:r>
      <w:r w:rsidR="00FB7EBC" w:rsidRPr="00EB68C7">
        <w:rPr>
          <w:szCs w:val="22"/>
          <w:lang w:val="en-GB"/>
        </w:rPr>
        <w:t>molecular weight</w:t>
      </w:r>
      <w:r w:rsidRPr="00EB68C7">
        <w:rPr>
          <w:sz w:val="24"/>
          <w:szCs w:val="24"/>
          <w:lang w:val="en-GB"/>
        </w:rPr>
        <w:t xml:space="preserve"> 432.58) is an isopropyl ester prodrug which per se is inactive, but, after hydrolysis to the acid of latanoprost, becomes biologically active.</w:t>
      </w:r>
    </w:p>
    <w:p w14:paraId="587C6803" w14:textId="77777777" w:rsidR="00E57FA2" w:rsidRPr="00EB68C7" w:rsidRDefault="00E57FA2" w:rsidP="00A64B35">
      <w:pPr>
        <w:ind w:left="851"/>
        <w:rPr>
          <w:sz w:val="24"/>
          <w:szCs w:val="24"/>
          <w:lang w:val="en-GB"/>
        </w:rPr>
      </w:pPr>
    </w:p>
    <w:p w14:paraId="37AF3320" w14:textId="77777777" w:rsidR="00E57FA2" w:rsidRPr="00EB68C7" w:rsidRDefault="00E57FA2" w:rsidP="00A64B35">
      <w:pPr>
        <w:ind w:left="851"/>
        <w:rPr>
          <w:sz w:val="24"/>
          <w:szCs w:val="24"/>
          <w:lang w:val="en-GB"/>
        </w:rPr>
      </w:pPr>
      <w:r w:rsidRPr="00EB68C7">
        <w:rPr>
          <w:sz w:val="24"/>
          <w:szCs w:val="24"/>
          <w:lang w:val="en-GB"/>
        </w:rPr>
        <w:t>The prodrug is well absorbed through the cornea and all active substance that enters the aqueous humour is hydrolysed during the passage through the cornea.</w:t>
      </w:r>
    </w:p>
    <w:p w14:paraId="6448618B" w14:textId="77777777" w:rsidR="00E57FA2" w:rsidRPr="00EB68C7" w:rsidRDefault="00E57FA2" w:rsidP="00A64B35">
      <w:pPr>
        <w:ind w:left="851"/>
        <w:rPr>
          <w:sz w:val="24"/>
          <w:szCs w:val="24"/>
          <w:lang w:val="en-GB"/>
        </w:rPr>
      </w:pPr>
    </w:p>
    <w:p w14:paraId="2D2A63AE" w14:textId="77777777" w:rsidR="00E57FA2" w:rsidRPr="00EB68C7" w:rsidRDefault="00E57FA2" w:rsidP="00A64B35">
      <w:pPr>
        <w:ind w:left="851"/>
        <w:rPr>
          <w:sz w:val="24"/>
          <w:szCs w:val="24"/>
          <w:u w:val="single"/>
          <w:lang w:val="en-GB"/>
        </w:rPr>
      </w:pPr>
      <w:r w:rsidRPr="00EB68C7">
        <w:rPr>
          <w:sz w:val="24"/>
          <w:szCs w:val="24"/>
          <w:u w:val="single"/>
          <w:lang w:val="en-GB"/>
        </w:rPr>
        <w:t>Distribution</w:t>
      </w:r>
    </w:p>
    <w:p w14:paraId="4E3ED5F7" w14:textId="77777777" w:rsidR="00E57FA2" w:rsidRPr="00EB68C7" w:rsidRDefault="00E57FA2" w:rsidP="00A64B35">
      <w:pPr>
        <w:ind w:left="851"/>
        <w:rPr>
          <w:sz w:val="24"/>
          <w:szCs w:val="24"/>
          <w:lang w:val="en-GB"/>
        </w:rPr>
      </w:pPr>
      <w:r w:rsidRPr="00EB68C7">
        <w:rPr>
          <w:sz w:val="24"/>
          <w:szCs w:val="24"/>
          <w:lang w:val="en-GB"/>
        </w:rPr>
        <w:t>Studies in man indicate that the peak concentration in the aqueous humour is reached about two hours after topical administration. After topical application in monkeys, latanoprost is distributed primarily in the anterior segment, the conjunctivae and the eyelids. Only minute quantities of the drug reach the posterior segment.</w:t>
      </w:r>
    </w:p>
    <w:p w14:paraId="5BA330B5" w14:textId="6B422B91" w:rsidR="00E57FA2" w:rsidRPr="00EB68C7" w:rsidRDefault="00E57FA2" w:rsidP="00FB7EBC">
      <w:pPr>
        <w:ind w:left="851"/>
        <w:rPr>
          <w:sz w:val="24"/>
          <w:szCs w:val="24"/>
          <w:lang w:val="en-GB"/>
        </w:rPr>
      </w:pPr>
    </w:p>
    <w:p w14:paraId="7D41DB3E" w14:textId="295E4951" w:rsidR="00FB7EBC" w:rsidRPr="00EB68C7" w:rsidRDefault="00FB7EBC" w:rsidP="00FB7EBC">
      <w:pPr>
        <w:ind w:left="851"/>
        <w:rPr>
          <w:sz w:val="24"/>
          <w:szCs w:val="24"/>
          <w:lang w:val="en-GB"/>
        </w:rPr>
      </w:pPr>
      <w:r w:rsidRPr="00EB68C7">
        <w:rPr>
          <w:sz w:val="24"/>
          <w:szCs w:val="24"/>
          <w:lang w:val="en-GB"/>
        </w:rPr>
        <w:t xml:space="preserve">The distribution volume in humans following an intravenous administration of latanoprost 50 </w:t>
      </w:r>
      <w:proofErr w:type="spellStart"/>
      <w:r w:rsidRPr="00EB68C7">
        <w:rPr>
          <w:sz w:val="24"/>
          <w:szCs w:val="24"/>
          <w:lang w:val="en-GB"/>
        </w:rPr>
        <w:t>μg</w:t>
      </w:r>
      <w:proofErr w:type="spellEnd"/>
      <w:r w:rsidRPr="00EB68C7">
        <w:rPr>
          <w:sz w:val="24"/>
          <w:szCs w:val="24"/>
          <w:lang w:val="en-GB"/>
        </w:rPr>
        <w:t xml:space="preserve">/ml eye drop product preserved with </w:t>
      </w:r>
      <w:proofErr w:type="spellStart"/>
      <w:r w:rsidRPr="00EB68C7">
        <w:rPr>
          <w:sz w:val="24"/>
          <w:szCs w:val="24"/>
          <w:lang w:val="en-GB"/>
        </w:rPr>
        <w:t>benzalkonioum</w:t>
      </w:r>
      <w:proofErr w:type="spellEnd"/>
      <w:r w:rsidRPr="00EB68C7">
        <w:rPr>
          <w:sz w:val="24"/>
          <w:szCs w:val="24"/>
          <w:lang w:val="en-GB"/>
        </w:rPr>
        <w:t xml:space="preserve"> chloride is 0.16 ± 0.02 L/kg, and 0.36 L/kg after ocular administration.</w:t>
      </w:r>
    </w:p>
    <w:p w14:paraId="648E4559" w14:textId="77777777" w:rsidR="00FB7EBC" w:rsidRPr="00EB68C7" w:rsidRDefault="00FB7EBC" w:rsidP="00FB7EBC">
      <w:pPr>
        <w:ind w:left="851"/>
        <w:rPr>
          <w:sz w:val="24"/>
          <w:szCs w:val="24"/>
          <w:lang w:val="en-GB"/>
        </w:rPr>
      </w:pPr>
    </w:p>
    <w:p w14:paraId="1E9070A3" w14:textId="77777777" w:rsidR="00E57FA2" w:rsidRPr="00EB68C7" w:rsidRDefault="00E57FA2" w:rsidP="00A64B35">
      <w:pPr>
        <w:ind w:left="851"/>
        <w:rPr>
          <w:sz w:val="24"/>
          <w:szCs w:val="24"/>
          <w:u w:val="single"/>
          <w:lang w:val="en-GB"/>
        </w:rPr>
      </w:pPr>
      <w:r w:rsidRPr="00EB68C7">
        <w:rPr>
          <w:sz w:val="24"/>
          <w:szCs w:val="24"/>
          <w:u w:val="single"/>
          <w:lang w:val="en-GB"/>
        </w:rPr>
        <w:t>Biotransformation and elimination</w:t>
      </w:r>
    </w:p>
    <w:p w14:paraId="263DF1BC" w14:textId="77777777" w:rsidR="00E57FA2" w:rsidRPr="00EB68C7" w:rsidRDefault="00E57FA2" w:rsidP="00A64B35">
      <w:pPr>
        <w:ind w:left="851"/>
        <w:rPr>
          <w:sz w:val="24"/>
          <w:szCs w:val="24"/>
          <w:lang w:val="en-GB"/>
        </w:rPr>
      </w:pPr>
      <w:r w:rsidRPr="00EB68C7">
        <w:rPr>
          <w:sz w:val="24"/>
          <w:szCs w:val="24"/>
          <w:lang w:val="en-GB"/>
        </w:rPr>
        <w:t>There is practically no metabolism of the acid of latanoprost in the eye. The main metabolism occurs in the liver. The half-life in plasma is 17 minutes in man. The main metabolites, the 1,2-dinor and 1,2,3,4-tetranor metabolites, exert no or only weak biological activity in animal studies and are excreted primarily in the urine.</w:t>
      </w:r>
    </w:p>
    <w:p w14:paraId="316F8EF1" w14:textId="77777777" w:rsidR="00E57FA2" w:rsidRPr="00EB68C7" w:rsidRDefault="00E57FA2" w:rsidP="00A64B35">
      <w:pPr>
        <w:ind w:left="851"/>
        <w:rPr>
          <w:i/>
          <w:sz w:val="24"/>
          <w:szCs w:val="24"/>
          <w:lang w:val="en-GB"/>
        </w:rPr>
      </w:pPr>
    </w:p>
    <w:p w14:paraId="1FCB7EA2" w14:textId="77777777" w:rsidR="00E57FA2" w:rsidRPr="00EB68C7" w:rsidRDefault="00E57FA2" w:rsidP="00A64B35">
      <w:pPr>
        <w:ind w:left="851"/>
        <w:rPr>
          <w:i/>
          <w:sz w:val="24"/>
          <w:szCs w:val="24"/>
          <w:lang w:val="en-GB"/>
        </w:rPr>
      </w:pPr>
      <w:r w:rsidRPr="00EB68C7">
        <w:rPr>
          <w:i/>
          <w:sz w:val="24"/>
          <w:szCs w:val="24"/>
          <w:lang w:val="en-GB"/>
        </w:rPr>
        <w:t xml:space="preserve">Paediatric population </w:t>
      </w:r>
    </w:p>
    <w:p w14:paraId="5CC5C07A" w14:textId="0B13E217" w:rsidR="00E57FA2" w:rsidRPr="00EB68C7" w:rsidRDefault="00E57FA2" w:rsidP="00A64B35">
      <w:pPr>
        <w:ind w:left="851"/>
        <w:rPr>
          <w:sz w:val="24"/>
          <w:szCs w:val="24"/>
          <w:lang w:val="en-GB"/>
        </w:rPr>
      </w:pPr>
      <w:r w:rsidRPr="00EB68C7">
        <w:rPr>
          <w:sz w:val="24"/>
          <w:szCs w:val="24"/>
          <w:lang w:val="en-GB"/>
        </w:rPr>
        <w:t>An open-label pharmacokinetic study of plasma latanoprost acid concentrations was undertaken in 22 adults and 25 paediatric patients (from birth to &lt; 18 years of age) with ocular hypertension and glaucoma. All age groups were treated with latanoprost 50</w:t>
      </w:r>
      <w:r w:rsidR="00921084">
        <w:rPr>
          <w:sz w:val="24"/>
          <w:szCs w:val="24"/>
          <w:lang w:val="en-GB"/>
        </w:rPr>
        <w:t> </w:t>
      </w:r>
      <w:r w:rsidR="00996EA1" w:rsidRPr="00EB68C7">
        <w:rPr>
          <w:lang w:val="en-GB"/>
        </w:rPr>
        <w:t>micrograms</w:t>
      </w:r>
      <w:r w:rsidRPr="00EB68C7">
        <w:rPr>
          <w:sz w:val="24"/>
          <w:szCs w:val="24"/>
          <w:lang w:val="en-GB"/>
        </w:rPr>
        <w:t xml:space="preserve">/mL, one drop daily in each eye for a minimum of 2 weeks. Latanoprost acid systemic exposure was approximately 2-fold higher in 3 to &lt; </w:t>
      </w:r>
      <w:proofErr w:type="gramStart"/>
      <w:r w:rsidRPr="00EB68C7">
        <w:rPr>
          <w:sz w:val="24"/>
          <w:szCs w:val="24"/>
          <w:lang w:val="en-GB"/>
        </w:rPr>
        <w:t>12 year old</w:t>
      </w:r>
      <w:proofErr w:type="gramEnd"/>
      <w:r w:rsidRPr="00EB68C7">
        <w:rPr>
          <w:sz w:val="24"/>
          <w:szCs w:val="24"/>
          <w:lang w:val="en-GB"/>
        </w:rPr>
        <w:t xml:space="preserve"> and 6-fold higher in children &lt; 3 years old compared with adults, but a wide safety margin for systemic adverse </w:t>
      </w:r>
      <w:r w:rsidR="00996EA1" w:rsidRPr="00EB68C7">
        <w:rPr>
          <w:sz w:val="24"/>
          <w:szCs w:val="24"/>
          <w:lang w:val="en-GB"/>
        </w:rPr>
        <w:t>effects</w:t>
      </w:r>
      <w:r w:rsidRPr="00EB68C7">
        <w:rPr>
          <w:sz w:val="24"/>
          <w:szCs w:val="24"/>
          <w:lang w:val="en-GB"/>
        </w:rPr>
        <w:t xml:space="preserve"> was maintained (</w:t>
      </w:r>
      <w:r w:rsidR="00996EA1" w:rsidRPr="00EB68C7">
        <w:rPr>
          <w:i/>
          <w:iCs/>
          <w:szCs w:val="22"/>
          <w:lang w:val="en-GB"/>
        </w:rPr>
        <w:t>see section 4.9 Overdose</w:t>
      </w:r>
      <w:r w:rsidRPr="00EB68C7">
        <w:rPr>
          <w:sz w:val="24"/>
          <w:szCs w:val="24"/>
          <w:lang w:val="en-GB"/>
        </w:rPr>
        <w:t>). Median time to reach peak plasma concentration was 5 minutes post-dose across all age groups. The median plasma elimination half-life was short (&lt; 20 minutes), similar for paediatric and adult patients, and resulted in no accumulation of latanoprost acid in the systemic circulation under steady-state conditions.</w:t>
      </w:r>
    </w:p>
    <w:p w14:paraId="3EA59382" w14:textId="77777777" w:rsidR="007C5D2A" w:rsidRPr="00EB68C7" w:rsidRDefault="007C5D2A" w:rsidP="003E0341">
      <w:pPr>
        <w:tabs>
          <w:tab w:val="left" w:pos="851"/>
        </w:tabs>
        <w:ind w:left="851"/>
        <w:rPr>
          <w:sz w:val="24"/>
          <w:szCs w:val="24"/>
          <w:lang w:val="en-GB"/>
        </w:rPr>
      </w:pPr>
    </w:p>
    <w:p w14:paraId="7118B29F" w14:textId="77777777" w:rsidR="007C5D2A" w:rsidRPr="00EB68C7" w:rsidRDefault="00180A12" w:rsidP="007C5D2A">
      <w:pPr>
        <w:tabs>
          <w:tab w:val="left" w:pos="851"/>
        </w:tabs>
        <w:ind w:left="851" w:hanging="851"/>
        <w:rPr>
          <w:b/>
          <w:sz w:val="24"/>
          <w:szCs w:val="24"/>
          <w:lang w:val="en-GB"/>
        </w:rPr>
      </w:pPr>
      <w:r w:rsidRPr="00EB68C7">
        <w:rPr>
          <w:b/>
          <w:sz w:val="24"/>
          <w:szCs w:val="24"/>
          <w:lang w:val="en-GB"/>
        </w:rPr>
        <w:t>5.3</w:t>
      </w:r>
      <w:r w:rsidRPr="00EB68C7">
        <w:rPr>
          <w:b/>
          <w:sz w:val="24"/>
          <w:szCs w:val="24"/>
          <w:lang w:val="en-GB"/>
        </w:rPr>
        <w:tab/>
        <w:t>Preclinical safety data</w:t>
      </w:r>
    </w:p>
    <w:p w14:paraId="056CA5CE" w14:textId="77777777" w:rsidR="00E57FA2" w:rsidRPr="00EB68C7" w:rsidRDefault="00E57FA2" w:rsidP="00A64B35">
      <w:pPr>
        <w:ind w:left="851"/>
        <w:rPr>
          <w:sz w:val="24"/>
          <w:szCs w:val="24"/>
          <w:lang w:val="en-GB"/>
        </w:rPr>
      </w:pPr>
      <w:r w:rsidRPr="00EB68C7">
        <w:rPr>
          <w:sz w:val="24"/>
          <w:szCs w:val="24"/>
          <w:lang w:val="en-GB"/>
        </w:rPr>
        <w:t>The ocular as well as systemic toxicity of latanoprost has been investigated in several animal species. Generally, latanoprost is well tolerated with a safety margin between clinical ocular dose and systemic toxicity of at least 1,000 times. High doses of latanoprost, approximately 100 times the clinical dose/kg body weight, administered intravenously to unanaesthetised monkeys have been shown to increase the respiration rate probably reflecting bronchoconstriction of short duration. In animal studies, latanoprost has not been found to have sensitising properties.</w:t>
      </w:r>
    </w:p>
    <w:p w14:paraId="342183C3" w14:textId="77777777" w:rsidR="00E57FA2" w:rsidRPr="00EB68C7" w:rsidRDefault="00E57FA2" w:rsidP="00A64B35">
      <w:pPr>
        <w:ind w:left="851"/>
        <w:rPr>
          <w:sz w:val="24"/>
          <w:szCs w:val="24"/>
          <w:lang w:val="en-GB"/>
        </w:rPr>
      </w:pPr>
    </w:p>
    <w:p w14:paraId="04C8A4F6" w14:textId="77777777" w:rsidR="00E57FA2" w:rsidRPr="00EB68C7" w:rsidRDefault="00E57FA2" w:rsidP="00A64B35">
      <w:pPr>
        <w:ind w:left="851"/>
        <w:rPr>
          <w:sz w:val="24"/>
          <w:szCs w:val="24"/>
          <w:lang w:val="en-GB"/>
        </w:rPr>
      </w:pPr>
      <w:r w:rsidRPr="00EB68C7">
        <w:rPr>
          <w:sz w:val="24"/>
          <w:szCs w:val="24"/>
          <w:lang w:val="en-GB"/>
        </w:rPr>
        <w:t>In the eye, no toxic effects have been detected with doses of up to 100 micrograms/eye/day in rabbits or monkeys (clinical dose is approximately 1.5 micrograms/eye/day). In monkeys, however, latanoprost has been shown to induce increased pigmentation of the iris.</w:t>
      </w:r>
    </w:p>
    <w:p w14:paraId="206D3208" w14:textId="77777777" w:rsidR="00E57FA2" w:rsidRPr="00EB68C7" w:rsidRDefault="00E57FA2" w:rsidP="00A64B35">
      <w:pPr>
        <w:ind w:left="851"/>
        <w:rPr>
          <w:sz w:val="24"/>
          <w:szCs w:val="24"/>
          <w:lang w:val="en-GB"/>
        </w:rPr>
      </w:pPr>
    </w:p>
    <w:p w14:paraId="18252D62" w14:textId="77777777" w:rsidR="00E57FA2" w:rsidRPr="00EB68C7" w:rsidRDefault="00E57FA2" w:rsidP="00A64B35">
      <w:pPr>
        <w:ind w:left="851"/>
        <w:rPr>
          <w:sz w:val="24"/>
          <w:szCs w:val="24"/>
          <w:lang w:val="en-GB"/>
        </w:rPr>
      </w:pPr>
      <w:r w:rsidRPr="00EB68C7">
        <w:rPr>
          <w:sz w:val="24"/>
          <w:szCs w:val="24"/>
          <w:lang w:val="en-GB"/>
        </w:rPr>
        <w:t>The mechanism of increased pigmentation seems to be stimulation of melanin production in melanocytes of the iris with no proliferative changes observed. The change in iris colour may be permanent.</w:t>
      </w:r>
    </w:p>
    <w:p w14:paraId="654ABF39" w14:textId="77777777" w:rsidR="00E57FA2" w:rsidRPr="00EB68C7" w:rsidRDefault="00E57FA2" w:rsidP="00A64B35">
      <w:pPr>
        <w:ind w:left="851"/>
        <w:rPr>
          <w:sz w:val="24"/>
          <w:szCs w:val="24"/>
          <w:lang w:val="en-GB"/>
        </w:rPr>
      </w:pPr>
    </w:p>
    <w:p w14:paraId="7F96D781" w14:textId="77777777" w:rsidR="00E57FA2" w:rsidRPr="00EB68C7" w:rsidRDefault="00E57FA2" w:rsidP="00A64B35">
      <w:pPr>
        <w:ind w:left="851"/>
        <w:rPr>
          <w:sz w:val="24"/>
          <w:szCs w:val="24"/>
          <w:lang w:val="en-GB"/>
        </w:rPr>
      </w:pPr>
      <w:r w:rsidRPr="00EB68C7">
        <w:rPr>
          <w:sz w:val="24"/>
          <w:szCs w:val="24"/>
          <w:lang w:val="en-GB"/>
        </w:rPr>
        <w:t>In chronic ocular toxicity studies, administration of latanoprost 6 micrograms/eye/day has also been shown to induce increased palpebral fissure. This effect is reversible and occurs at doses above the clinical dose level. The effect has not been seen in humans.</w:t>
      </w:r>
    </w:p>
    <w:p w14:paraId="58D65BFC" w14:textId="77777777" w:rsidR="00E57FA2" w:rsidRPr="00EB68C7" w:rsidRDefault="00E57FA2" w:rsidP="00A64B35">
      <w:pPr>
        <w:ind w:left="851"/>
        <w:rPr>
          <w:sz w:val="24"/>
          <w:szCs w:val="24"/>
          <w:lang w:val="en-GB"/>
        </w:rPr>
      </w:pPr>
    </w:p>
    <w:p w14:paraId="3293B095" w14:textId="77777777" w:rsidR="00E57FA2" w:rsidRPr="00EB68C7" w:rsidRDefault="00E57FA2" w:rsidP="00A64B35">
      <w:pPr>
        <w:ind w:left="851"/>
        <w:rPr>
          <w:sz w:val="24"/>
          <w:szCs w:val="24"/>
          <w:lang w:val="en-GB"/>
        </w:rPr>
      </w:pPr>
      <w:r w:rsidRPr="00EB68C7">
        <w:rPr>
          <w:sz w:val="24"/>
          <w:szCs w:val="24"/>
          <w:lang w:val="en-GB"/>
        </w:rPr>
        <w:t xml:space="preserve">Latanoprost was found negative in reverse mutation tests in bacteria, gene mutation in mouse lymphoma and mouse micronucleus test. Chromosome aberrations were observed </w:t>
      </w:r>
      <w:r w:rsidRPr="00EB68C7">
        <w:rPr>
          <w:i/>
          <w:sz w:val="24"/>
          <w:szCs w:val="24"/>
          <w:lang w:val="en-GB"/>
        </w:rPr>
        <w:t>in vitro</w:t>
      </w:r>
      <w:r w:rsidRPr="00EB68C7">
        <w:rPr>
          <w:sz w:val="24"/>
          <w:szCs w:val="24"/>
          <w:lang w:val="en-GB"/>
        </w:rPr>
        <w:t xml:space="preserve"> with human lymphocytes. Similar effects were observed with prostaglandin F</w:t>
      </w:r>
      <w:r w:rsidRPr="00EB68C7">
        <w:rPr>
          <w:sz w:val="24"/>
          <w:szCs w:val="24"/>
          <w:vertAlign w:val="subscript"/>
          <w:lang w:val="en-GB"/>
        </w:rPr>
        <w:t>2α</w:t>
      </w:r>
      <w:r w:rsidRPr="00EB68C7">
        <w:rPr>
          <w:sz w:val="24"/>
          <w:szCs w:val="24"/>
          <w:lang w:val="en-GB"/>
        </w:rPr>
        <w:t>, a naturally occurring prostaglandin, and indicates that this is a class effect.</w:t>
      </w:r>
    </w:p>
    <w:p w14:paraId="66EA1C64" w14:textId="77777777" w:rsidR="00E57FA2" w:rsidRPr="00EB68C7" w:rsidRDefault="00E57FA2" w:rsidP="00A64B35">
      <w:pPr>
        <w:ind w:left="851"/>
        <w:rPr>
          <w:sz w:val="24"/>
          <w:szCs w:val="24"/>
          <w:lang w:val="en-GB"/>
        </w:rPr>
      </w:pPr>
    </w:p>
    <w:p w14:paraId="3E50277B" w14:textId="77777777" w:rsidR="00E57FA2" w:rsidRPr="00EB68C7" w:rsidRDefault="00E57FA2" w:rsidP="00A64B35">
      <w:pPr>
        <w:ind w:left="851"/>
        <w:rPr>
          <w:sz w:val="24"/>
          <w:szCs w:val="24"/>
          <w:lang w:val="en-GB"/>
        </w:rPr>
      </w:pPr>
      <w:r w:rsidRPr="00EB68C7">
        <w:rPr>
          <w:sz w:val="24"/>
          <w:szCs w:val="24"/>
          <w:lang w:val="en-GB"/>
        </w:rPr>
        <w:t xml:space="preserve">Additional mutagenicity studies on </w:t>
      </w:r>
      <w:r w:rsidRPr="00EB68C7">
        <w:rPr>
          <w:i/>
          <w:sz w:val="24"/>
          <w:szCs w:val="24"/>
          <w:lang w:val="en-GB"/>
        </w:rPr>
        <w:t>in vitro/in vivo</w:t>
      </w:r>
      <w:r w:rsidRPr="00EB68C7">
        <w:rPr>
          <w:sz w:val="24"/>
          <w:szCs w:val="24"/>
          <w:lang w:val="en-GB"/>
        </w:rPr>
        <w:t xml:space="preserve"> unscheduled DNA synthesis in rats were negative and indicate that latanoprost does not have mutagenic potency. Carcinogenicity studies in mice and rats were negative.</w:t>
      </w:r>
    </w:p>
    <w:p w14:paraId="24077CE4" w14:textId="77777777" w:rsidR="00E57FA2" w:rsidRPr="00EB68C7" w:rsidRDefault="00E57FA2" w:rsidP="00A64B35">
      <w:pPr>
        <w:ind w:left="851"/>
        <w:rPr>
          <w:sz w:val="24"/>
          <w:szCs w:val="24"/>
          <w:lang w:val="en-GB"/>
        </w:rPr>
      </w:pPr>
    </w:p>
    <w:p w14:paraId="4E4EFD2F" w14:textId="77777777" w:rsidR="00E57FA2" w:rsidRPr="00EB68C7" w:rsidRDefault="00E57FA2" w:rsidP="00A64B35">
      <w:pPr>
        <w:ind w:left="851"/>
        <w:rPr>
          <w:sz w:val="24"/>
          <w:szCs w:val="24"/>
          <w:lang w:val="en-GB"/>
        </w:rPr>
      </w:pPr>
      <w:r w:rsidRPr="00EB68C7">
        <w:rPr>
          <w:sz w:val="24"/>
          <w:szCs w:val="24"/>
          <w:lang w:val="en-GB"/>
        </w:rPr>
        <w:t>Latanoprost has not been found to have any effect on male or female fertility</w:t>
      </w:r>
      <w:r w:rsidRPr="00EB68C7">
        <w:rPr>
          <w:b/>
          <w:bCs/>
          <w:sz w:val="24"/>
          <w:szCs w:val="24"/>
          <w:lang w:val="en-GB"/>
        </w:rPr>
        <w:t xml:space="preserve"> </w:t>
      </w:r>
      <w:r w:rsidRPr="00EB68C7">
        <w:rPr>
          <w:sz w:val="24"/>
          <w:szCs w:val="24"/>
          <w:lang w:val="en-GB"/>
        </w:rPr>
        <w:t xml:space="preserve">in animal studies. In the embryotoxicity study in rats, no embryotoxicity was observed at intravenous doses (5, 50 and 250 micrograms/kg/day) of latanoprost. However, latanoprost induced </w:t>
      </w:r>
      <w:proofErr w:type="spellStart"/>
      <w:r w:rsidRPr="00EB68C7">
        <w:rPr>
          <w:sz w:val="24"/>
          <w:szCs w:val="24"/>
          <w:lang w:val="en-GB"/>
        </w:rPr>
        <w:t>embryolethal</w:t>
      </w:r>
      <w:proofErr w:type="spellEnd"/>
      <w:r w:rsidRPr="00EB68C7">
        <w:rPr>
          <w:sz w:val="24"/>
          <w:szCs w:val="24"/>
          <w:lang w:val="en-GB"/>
        </w:rPr>
        <w:t xml:space="preserve"> effects in rabbits at doses of 5 micrograms/kg/day and above.</w:t>
      </w:r>
    </w:p>
    <w:p w14:paraId="4753E36B" w14:textId="77777777" w:rsidR="00E57FA2" w:rsidRPr="00EB68C7" w:rsidRDefault="00E57FA2" w:rsidP="00A64B35">
      <w:pPr>
        <w:ind w:left="851"/>
        <w:rPr>
          <w:sz w:val="24"/>
          <w:szCs w:val="24"/>
          <w:lang w:val="en-GB"/>
        </w:rPr>
      </w:pPr>
    </w:p>
    <w:p w14:paraId="7848568F" w14:textId="77777777" w:rsidR="00E57FA2" w:rsidRPr="00EB68C7" w:rsidRDefault="00E57FA2" w:rsidP="00A64B35">
      <w:pPr>
        <w:ind w:left="851"/>
        <w:rPr>
          <w:sz w:val="24"/>
          <w:szCs w:val="24"/>
          <w:lang w:val="en-GB"/>
        </w:rPr>
      </w:pPr>
      <w:r w:rsidRPr="00EB68C7">
        <w:rPr>
          <w:sz w:val="24"/>
          <w:szCs w:val="24"/>
          <w:lang w:val="en-GB"/>
        </w:rPr>
        <w:t>The dose of 5</w:t>
      </w:r>
      <w:bookmarkStart w:id="3" w:name="_Hlk41046467"/>
      <w:r w:rsidRPr="00EB68C7">
        <w:rPr>
          <w:sz w:val="24"/>
          <w:szCs w:val="24"/>
          <w:lang w:val="en-GB"/>
        </w:rPr>
        <w:t xml:space="preserve"> micrograms</w:t>
      </w:r>
      <w:bookmarkEnd w:id="3"/>
      <w:r w:rsidRPr="00EB68C7">
        <w:rPr>
          <w:sz w:val="24"/>
          <w:szCs w:val="24"/>
          <w:lang w:val="en-GB"/>
        </w:rPr>
        <w:t>/kg/day (approximately 100 times the clinical dose) caused significant embryofoetal toxicity characterised by increased incidence of late resorption and abortion and by reduced foetal weight.</w:t>
      </w:r>
    </w:p>
    <w:p w14:paraId="0A2DB239" w14:textId="77777777" w:rsidR="00E57FA2" w:rsidRPr="00EB68C7" w:rsidRDefault="00E57FA2" w:rsidP="00A64B35">
      <w:pPr>
        <w:ind w:left="851"/>
        <w:rPr>
          <w:sz w:val="24"/>
          <w:szCs w:val="24"/>
          <w:lang w:val="en-GB"/>
        </w:rPr>
      </w:pPr>
    </w:p>
    <w:p w14:paraId="161AFB5E" w14:textId="77777777" w:rsidR="00E57FA2" w:rsidRPr="00EB68C7" w:rsidRDefault="00E57FA2" w:rsidP="00A64B35">
      <w:pPr>
        <w:ind w:left="851"/>
        <w:rPr>
          <w:sz w:val="24"/>
          <w:szCs w:val="24"/>
          <w:lang w:val="en-GB"/>
        </w:rPr>
      </w:pPr>
      <w:r w:rsidRPr="00EB68C7">
        <w:rPr>
          <w:sz w:val="24"/>
          <w:szCs w:val="24"/>
          <w:lang w:val="en-GB"/>
        </w:rPr>
        <w:t>No teratogenic potential has been detected.</w:t>
      </w:r>
    </w:p>
    <w:p w14:paraId="0D09B663" w14:textId="1E8C6D39" w:rsidR="007C5D2A" w:rsidRPr="00EB68C7" w:rsidRDefault="007C5D2A" w:rsidP="003E0341">
      <w:pPr>
        <w:tabs>
          <w:tab w:val="left" w:pos="851"/>
        </w:tabs>
        <w:ind w:left="851"/>
        <w:rPr>
          <w:sz w:val="24"/>
          <w:szCs w:val="24"/>
          <w:lang w:val="en-GB"/>
        </w:rPr>
      </w:pPr>
    </w:p>
    <w:p w14:paraId="0C46F3A9" w14:textId="77777777" w:rsidR="000453D0" w:rsidRPr="00EB68C7" w:rsidRDefault="000453D0" w:rsidP="003E0341">
      <w:pPr>
        <w:tabs>
          <w:tab w:val="left" w:pos="851"/>
        </w:tabs>
        <w:ind w:left="851"/>
        <w:rPr>
          <w:sz w:val="24"/>
          <w:szCs w:val="24"/>
          <w:lang w:val="en-GB"/>
        </w:rPr>
      </w:pPr>
    </w:p>
    <w:p w14:paraId="48A6AF15" w14:textId="77777777" w:rsidR="007C5D2A" w:rsidRPr="00EB68C7" w:rsidRDefault="009925C9" w:rsidP="007C5D2A">
      <w:pPr>
        <w:ind w:left="851" w:hanging="851"/>
        <w:rPr>
          <w:b/>
          <w:sz w:val="24"/>
          <w:szCs w:val="24"/>
          <w:lang w:val="en-GB"/>
        </w:rPr>
      </w:pPr>
      <w:r w:rsidRPr="00EB68C7">
        <w:rPr>
          <w:b/>
          <w:sz w:val="24"/>
          <w:szCs w:val="24"/>
          <w:lang w:val="en-GB"/>
        </w:rPr>
        <w:t>6.</w:t>
      </w:r>
      <w:r w:rsidR="007C5D2A" w:rsidRPr="00EB68C7">
        <w:rPr>
          <w:b/>
          <w:sz w:val="24"/>
          <w:szCs w:val="24"/>
          <w:lang w:val="en-GB"/>
        </w:rPr>
        <w:tab/>
        <w:t>PHARMACEUTICAL PARTICULARS</w:t>
      </w:r>
    </w:p>
    <w:p w14:paraId="3D979E88" w14:textId="77777777" w:rsidR="007C5D2A" w:rsidRPr="00EB68C7" w:rsidRDefault="007C5D2A" w:rsidP="003E0341">
      <w:pPr>
        <w:tabs>
          <w:tab w:val="left" w:pos="851"/>
        </w:tabs>
        <w:ind w:left="851"/>
        <w:rPr>
          <w:sz w:val="24"/>
          <w:szCs w:val="24"/>
          <w:lang w:val="en-GB"/>
        </w:rPr>
      </w:pPr>
    </w:p>
    <w:p w14:paraId="7CA9A271" w14:textId="77777777" w:rsidR="007C5D2A" w:rsidRPr="00EB68C7" w:rsidRDefault="007C5D2A" w:rsidP="007C5D2A">
      <w:pPr>
        <w:ind w:left="851" w:hanging="851"/>
        <w:rPr>
          <w:b/>
          <w:sz w:val="24"/>
          <w:szCs w:val="24"/>
          <w:lang w:val="en-GB"/>
        </w:rPr>
      </w:pPr>
      <w:r w:rsidRPr="00EB68C7">
        <w:rPr>
          <w:b/>
          <w:sz w:val="24"/>
          <w:szCs w:val="24"/>
          <w:lang w:val="en-GB"/>
        </w:rPr>
        <w:t>6.1</w:t>
      </w:r>
      <w:r w:rsidRPr="00EB68C7">
        <w:rPr>
          <w:b/>
          <w:sz w:val="24"/>
          <w:szCs w:val="24"/>
          <w:lang w:val="en-GB"/>
        </w:rPr>
        <w:tab/>
        <w:t>List of excipients</w:t>
      </w:r>
    </w:p>
    <w:p w14:paraId="152431DB" w14:textId="77777777" w:rsidR="00E57FA2" w:rsidRPr="00EB68C7" w:rsidRDefault="00E57FA2" w:rsidP="00A64B35">
      <w:pPr>
        <w:ind w:left="851"/>
        <w:rPr>
          <w:sz w:val="24"/>
          <w:szCs w:val="24"/>
          <w:lang w:val="en-GB"/>
        </w:rPr>
      </w:pPr>
      <w:proofErr w:type="spellStart"/>
      <w:r w:rsidRPr="00EB68C7">
        <w:rPr>
          <w:sz w:val="24"/>
          <w:szCs w:val="24"/>
          <w:lang w:val="en-GB"/>
        </w:rPr>
        <w:t>Macrogolglycerol</w:t>
      </w:r>
      <w:proofErr w:type="spellEnd"/>
      <w:r w:rsidRPr="00EB68C7">
        <w:rPr>
          <w:sz w:val="24"/>
          <w:szCs w:val="24"/>
          <w:lang w:val="en-GB"/>
        </w:rPr>
        <w:t xml:space="preserve"> </w:t>
      </w:r>
      <w:proofErr w:type="spellStart"/>
      <w:r w:rsidRPr="00EB68C7">
        <w:rPr>
          <w:sz w:val="24"/>
          <w:szCs w:val="24"/>
          <w:lang w:val="en-GB"/>
        </w:rPr>
        <w:t>hydroxystearate</w:t>
      </w:r>
      <w:proofErr w:type="spellEnd"/>
      <w:r w:rsidRPr="00EB68C7">
        <w:rPr>
          <w:sz w:val="24"/>
          <w:szCs w:val="24"/>
          <w:lang w:val="en-GB"/>
        </w:rPr>
        <w:t xml:space="preserve"> 40</w:t>
      </w:r>
    </w:p>
    <w:p w14:paraId="28995EEC" w14:textId="77777777" w:rsidR="00E57FA2" w:rsidRPr="00F23A2B" w:rsidRDefault="00E57FA2" w:rsidP="00A64B35">
      <w:pPr>
        <w:ind w:left="851"/>
        <w:rPr>
          <w:sz w:val="24"/>
          <w:szCs w:val="24"/>
        </w:rPr>
      </w:pPr>
      <w:proofErr w:type="spellStart"/>
      <w:r w:rsidRPr="00F23A2B">
        <w:rPr>
          <w:sz w:val="24"/>
          <w:szCs w:val="24"/>
        </w:rPr>
        <w:t>Sodium</w:t>
      </w:r>
      <w:proofErr w:type="spellEnd"/>
      <w:r w:rsidRPr="00F23A2B">
        <w:rPr>
          <w:sz w:val="24"/>
          <w:szCs w:val="24"/>
        </w:rPr>
        <w:t xml:space="preserve"> </w:t>
      </w:r>
      <w:proofErr w:type="spellStart"/>
      <w:r w:rsidRPr="00F23A2B">
        <w:rPr>
          <w:sz w:val="24"/>
          <w:szCs w:val="24"/>
        </w:rPr>
        <w:t>chloride</w:t>
      </w:r>
      <w:proofErr w:type="spellEnd"/>
    </w:p>
    <w:p w14:paraId="1EDB5EB3" w14:textId="77777777" w:rsidR="00E57FA2" w:rsidRPr="00F23A2B" w:rsidRDefault="00E57FA2" w:rsidP="00A64B35">
      <w:pPr>
        <w:ind w:left="851"/>
        <w:rPr>
          <w:sz w:val="24"/>
          <w:szCs w:val="24"/>
        </w:rPr>
      </w:pPr>
      <w:proofErr w:type="spellStart"/>
      <w:r w:rsidRPr="00F23A2B">
        <w:rPr>
          <w:sz w:val="24"/>
          <w:szCs w:val="24"/>
        </w:rPr>
        <w:t>Disodium</w:t>
      </w:r>
      <w:proofErr w:type="spellEnd"/>
      <w:r w:rsidRPr="00F23A2B">
        <w:rPr>
          <w:sz w:val="24"/>
          <w:szCs w:val="24"/>
        </w:rPr>
        <w:t xml:space="preserve"> </w:t>
      </w:r>
      <w:proofErr w:type="spellStart"/>
      <w:r w:rsidRPr="00F23A2B">
        <w:rPr>
          <w:sz w:val="24"/>
          <w:szCs w:val="24"/>
        </w:rPr>
        <w:t>edetate</w:t>
      </w:r>
      <w:proofErr w:type="spellEnd"/>
      <w:r w:rsidRPr="00F23A2B">
        <w:rPr>
          <w:sz w:val="24"/>
          <w:szCs w:val="24"/>
        </w:rPr>
        <w:t xml:space="preserve"> </w:t>
      </w:r>
    </w:p>
    <w:p w14:paraId="60CCC022" w14:textId="77777777" w:rsidR="00E57FA2" w:rsidRPr="00F23A2B" w:rsidRDefault="00E57FA2" w:rsidP="00A64B35">
      <w:pPr>
        <w:ind w:left="851"/>
        <w:rPr>
          <w:sz w:val="24"/>
          <w:szCs w:val="24"/>
        </w:rPr>
      </w:pPr>
      <w:proofErr w:type="spellStart"/>
      <w:r w:rsidRPr="00F23A2B">
        <w:rPr>
          <w:sz w:val="24"/>
          <w:szCs w:val="24"/>
        </w:rPr>
        <w:t>Sodium</w:t>
      </w:r>
      <w:proofErr w:type="spellEnd"/>
      <w:r w:rsidRPr="00F23A2B">
        <w:rPr>
          <w:sz w:val="24"/>
          <w:szCs w:val="24"/>
        </w:rPr>
        <w:t xml:space="preserve"> </w:t>
      </w:r>
      <w:proofErr w:type="spellStart"/>
      <w:r w:rsidRPr="00F23A2B">
        <w:rPr>
          <w:sz w:val="24"/>
          <w:szCs w:val="24"/>
        </w:rPr>
        <w:t>dihydrogen</w:t>
      </w:r>
      <w:proofErr w:type="spellEnd"/>
      <w:r w:rsidRPr="00F23A2B">
        <w:rPr>
          <w:sz w:val="24"/>
          <w:szCs w:val="24"/>
        </w:rPr>
        <w:t xml:space="preserve"> </w:t>
      </w:r>
      <w:proofErr w:type="spellStart"/>
      <w:r w:rsidRPr="00F23A2B">
        <w:rPr>
          <w:sz w:val="24"/>
          <w:szCs w:val="24"/>
        </w:rPr>
        <w:t>phosphate</w:t>
      </w:r>
      <w:proofErr w:type="spellEnd"/>
      <w:r w:rsidRPr="00F23A2B">
        <w:rPr>
          <w:sz w:val="24"/>
          <w:szCs w:val="24"/>
        </w:rPr>
        <w:t xml:space="preserve"> </w:t>
      </w:r>
      <w:proofErr w:type="spellStart"/>
      <w:r w:rsidRPr="00F23A2B">
        <w:rPr>
          <w:sz w:val="24"/>
          <w:szCs w:val="24"/>
        </w:rPr>
        <w:t>dihydrate</w:t>
      </w:r>
      <w:proofErr w:type="spellEnd"/>
    </w:p>
    <w:p w14:paraId="29F3C0A7" w14:textId="77777777" w:rsidR="00E57FA2" w:rsidRPr="00EB68C7" w:rsidRDefault="00E57FA2" w:rsidP="00A64B35">
      <w:pPr>
        <w:ind w:left="851"/>
        <w:rPr>
          <w:sz w:val="24"/>
          <w:szCs w:val="24"/>
          <w:lang w:val="en-GB"/>
        </w:rPr>
      </w:pPr>
      <w:r w:rsidRPr="00EB68C7">
        <w:rPr>
          <w:sz w:val="24"/>
          <w:szCs w:val="24"/>
          <w:lang w:val="en-GB"/>
        </w:rPr>
        <w:t>Anhydrous disodium phosphate</w:t>
      </w:r>
    </w:p>
    <w:p w14:paraId="07329A84" w14:textId="77777777" w:rsidR="00E57FA2" w:rsidRPr="00EB68C7" w:rsidRDefault="00E57FA2" w:rsidP="00A64B35">
      <w:pPr>
        <w:ind w:left="851"/>
        <w:rPr>
          <w:sz w:val="24"/>
          <w:szCs w:val="24"/>
          <w:lang w:val="en-GB"/>
        </w:rPr>
      </w:pPr>
      <w:r w:rsidRPr="00EB68C7">
        <w:rPr>
          <w:sz w:val="24"/>
          <w:szCs w:val="24"/>
          <w:lang w:val="en-GB"/>
        </w:rPr>
        <w:t>Hydrochloric acid or/and Sodium hydroxide (</w:t>
      </w:r>
      <w:r w:rsidRPr="00EB68C7">
        <w:rPr>
          <w:sz w:val="24"/>
          <w:szCs w:val="24"/>
          <w:lang w:val="en-GB" w:eastAsia="en-GB"/>
        </w:rPr>
        <w:t>for pH adjustment)</w:t>
      </w:r>
    </w:p>
    <w:p w14:paraId="3B5E773F" w14:textId="77777777" w:rsidR="00E57FA2" w:rsidRPr="00EB68C7" w:rsidRDefault="00E57FA2" w:rsidP="00A64B35">
      <w:pPr>
        <w:ind w:left="851"/>
        <w:rPr>
          <w:sz w:val="24"/>
          <w:szCs w:val="24"/>
          <w:lang w:val="en-GB"/>
        </w:rPr>
      </w:pPr>
      <w:r w:rsidRPr="00EB68C7">
        <w:rPr>
          <w:sz w:val="24"/>
          <w:szCs w:val="24"/>
          <w:lang w:val="en-GB"/>
        </w:rPr>
        <w:t>Water for injections</w:t>
      </w:r>
    </w:p>
    <w:p w14:paraId="607748BD" w14:textId="77777777" w:rsidR="007C5D2A" w:rsidRPr="00EB68C7" w:rsidRDefault="007C5D2A" w:rsidP="003D727E">
      <w:pPr>
        <w:tabs>
          <w:tab w:val="left" w:pos="851"/>
        </w:tabs>
        <w:ind w:left="851"/>
        <w:rPr>
          <w:sz w:val="24"/>
          <w:szCs w:val="24"/>
          <w:lang w:val="en-GB"/>
        </w:rPr>
      </w:pPr>
    </w:p>
    <w:p w14:paraId="5B2E5CD1" w14:textId="77777777" w:rsidR="007C5D2A" w:rsidRPr="00EB68C7" w:rsidRDefault="007C5D2A" w:rsidP="007C5D2A">
      <w:pPr>
        <w:ind w:left="851" w:hanging="851"/>
        <w:rPr>
          <w:b/>
          <w:sz w:val="24"/>
          <w:szCs w:val="24"/>
          <w:lang w:val="en-GB"/>
        </w:rPr>
      </w:pPr>
      <w:r w:rsidRPr="00EB68C7">
        <w:rPr>
          <w:b/>
          <w:sz w:val="24"/>
          <w:szCs w:val="24"/>
          <w:lang w:val="en-GB"/>
        </w:rPr>
        <w:t>6.2</w:t>
      </w:r>
      <w:r w:rsidRPr="00EB68C7">
        <w:rPr>
          <w:b/>
          <w:sz w:val="24"/>
          <w:szCs w:val="24"/>
          <w:lang w:val="en-GB"/>
        </w:rPr>
        <w:tab/>
        <w:t>Incompatibilities</w:t>
      </w:r>
    </w:p>
    <w:p w14:paraId="1A79965C" w14:textId="77777777" w:rsidR="00E57FA2" w:rsidRPr="00EB68C7" w:rsidRDefault="00E57FA2" w:rsidP="00A64B35">
      <w:pPr>
        <w:ind w:left="851"/>
        <w:rPr>
          <w:sz w:val="24"/>
          <w:szCs w:val="24"/>
          <w:lang w:val="en-GB"/>
        </w:rPr>
      </w:pPr>
      <w:r w:rsidRPr="00EB68C7">
        <w:rPr>
          <w:i/>
          <w:sz w:val="24"/>
          <w:szCs w:val="24"/>
          <w:lang w:val="en-GB"/>
        </w:rPr>
        <w:t>In vitro</w:t>
      </w:r>
      <w:r w:rsidRPr="00EB68C7">
        <w:rPr>
          <w:sz w:val="24"/>
          <w:szCs w:val="24"/>
          <w:lang w:val="en-GB"/>
        </w:rPr>
        <w:t xml:space="preserve"> studies have shown that precipitation occurs when eye drops containing thiomersal are mixed with latanoprost. If such medicinal products are used, the eye drops should be administered with an interval of at least five minutes.</w:t>
      </w:r>
    </w:p>
    <w:p w14:paraId="7D9F4F3C" w14:textId="69F370A1" w:rsidR="00C1229C" w:rsidRDefault="00C1229C">
      <w:pPr>
        <w:rPr>
          <w:sz w:val="24"/>
          <w:szCs w:val="24"/>
          <w:lang w:val="en-GB"/>
        </w:rPr>
      </w:pPr>
      <w:r>
        <w:rPr>
          <w:sz w:val="24"/>
          <w:szCs w:val="24"/>
          <w:lang w:val="en-GB"/>
        </w:rPr>
        <w:br w:type="page"/>
      </w:r>
    </w:p>
    <w:p w14:paraId="3B34BF15" w14:textId="77777777" w:rsidR="007C5D2A" w:rsidRPr="00EB68C7" w:rsidRDefault="007C5D2A" w:rsidP="003E0341">
      <w:pPr>
        <w:tabs>
          <w:tab w:val="left" w:pos="851"/>
        </w:tabs>
        <w:ind w:left="851"/>
        <w:rPr>
          <w:sz w:val="24"/>
          <w:szCs w:val="24"/>
          <w:lang w:val="en-GB"/>
        </w:rPr>
      </w:pPr>
    </w:p>
    <w:p w14:paraId="63AFA89B" w14:textId="4C0F2E9B" w:rsidR="007C5D2A" w:rsidRPr="00EB68C7" w:rsidRDefault="007C5D2A" w:rsidP="007C5D2A">
      <w:pPr>
        <w:ind w:left="851" w:hanging="851"/>
        <w:rPr>
          <w:b/>
          <w:sz w:val="24"/>
          <w:szCs w:val="24"/>
          <w:lang w:val="en-GB"/>
        </w:rPr>
      </w:pPr>
      <w:r w:rsidRPr="00EB68C7">
        <w:rPr>
          <w:b/>
          <w:sz w:val="24"/>
          <w:szCs w:val="24"/>
          <w:lang w:val="en-GB"/>
        </w:rPr>
        <w:t>6.3</w:t>
      </w:r>
      <w:r w:rsidRPr="00EB68C7">
        <w:rPr>
          <w:b/>
          <w:sz w:val="24"/>
          <w:szCs w:val="24"/>
          <w:lang w:val="en-GB"/>
        </w:rPr>
        <w:tab/>
        <w:t>Shelf</w:t>
      </w:r>
      <w:r w:rsidR="00722998" w:rsidRPr="00EB68C7">
        <w:rPr>
          <w:b/>
          <w:sz w:val="24"/>
          <w:szCs w:val="24"/>
          <w:lang w:val="en-GB"/>
        </w:rPr>
        <w:t xml:space="preserve"> </w:t>
      </w:r>
      <w:r w:rsidRPr="00EB68C7">
        <w:rPr>
          <w:b/>
          <w:sz w:val="24"/>
          <w:szCs w:val="24"/>
          <w:lang w:val="en-GB"/>
        </w:rPr>
        <w:t>life</w:t>
      </w:r>
    </w:p>
    <w:p w14:paraId="45C1C466" w14:textId="77777777" w:rsidR="00E57FA2" w:rsidRPr="00EB68C7" w:rsidRDefault="00E57FA2" w:rsidP="00A64B35">
      <w:pPr>
        <w:ind w:left="851"/>
        <w:rPr>
          <w:sz w:val="24"/>
          <w:szCs w:val="24"/>
          <w:lang w:val="en-GB"/>
        </w:rPr>
      </w:pPr>
      <w:r w:rsidRPr="00EB68C7">
        <w:rPr>
          <w:sz w:val="24"/>
          <w:szCs w:val="24"/>
          <w:lang w:val="en-GB"/>
        </w:rPr>
        <w:t>2 years</w:t>
      </w:r>
    </w:p>
    <w:p w14:paraId="359866A1" w14:textId="77777777" w:rsidR="00E57FA2" w:rsidRPr="00EB68C7" w:rsidRDefault="00E57FA2" w:rsidP="00A64B35">
      <w:pPr>
        <w:ind w:left="851"/>
        <w:rPr>
          <w:sz w:val="24"/>
          <w:szCs w:val="24"/>
          <w:lang w:val="en-GB"/>
        </w:rPr>
      </w:pPr>
      <w:r w:rsidRPr="00EB68C7">
        <w:rPr>
          <w:sz w:val="24"/>
          <w:szCs w:val="24"/>
          <w:lang w:val="en-GB"/>
        </w:rPr>
        <w:t>4 weeks after first opening. No special storage conditions are required.</w:t>
      </w:r>
    </w:p>
    <w:p w14:paraId="20A811FE" w14:textId="77777777" w:rsidR="007C5D2A" w:rsidRPr="00EB68C7" w:rsidRDefault="007C5D2A" w:rsidP="003E0341">
      <w:pPr>
        <w:tabs>
          <w:tab w:val="left" w:pos="851"/>
        </w:tabs>
        <w:ind w:left="851"/>
        <w:rPr>
          <w:sz w:val="24"/>
          <w:szCs w:val="24"/>
          <w:lang w:val="en-GB"/>
        </w:rPr>
      </w:pPr>
    </w:p>
    <w:p w14:paraId="6AC703C7" w14:textId="77777777" w:rsidR="007C5D2A" w:rsidRPr="00EB68C7" w:rsidRDefault="007C5D2A" w:rsidP="007C5D2A">
      <w:pPr>
        <w:ind w:left="851" w:hanging="851"/>
        <w:rPr>
          <w:b/>
          <w:sz w:val="24"/>
          <w:szCs w:val="24"/>
          <w:lang w:val="en-GB"/>
        </w:rPr>
      </w:pPr>
      <w:r w:rsidRPr="00EB68C7">
        <w:rPr>
          <w:b/>
          <w:sz w:val="24"/>
          <w:szCs w:val="24"/>
          <w:lang w:val="en-GB"/>
        </w:rPr>
        <w:t>6.4</w:t>
      </w:r>
      <w:r w:rsidRPr="00EB68C7">
        <w:rPr>
          <w:b/>
          <w:sz w:val="24"/>
          <w:szCs w:val="24"/>
          <w:lang w:val="en-GB"/>
        </w:rPr>
        <w:tab/>
        <w:t>Special precautions for storage</w:t>
      </w:r>
    </w:p>
    <w:p w14:paraId="08DF6420" w14:textId="2A16532C" w:rsidR="00A17ED9" w:rsidRPr="00EB68C7" w:rsidRDefault="00A17ED9" w:rsidP="00A17ED9">
      <w:pPr>
        <w:ind w:left="851"/>
        <w:rPr>
          <w:sz w:val="24"/>
          <w:szCs w:val="24"/>
          <w:lang w:val="en-GB"/>
        </w:rPr>
      </w:pPr>
      <w:r w:rsidRPr="00EB68C7">
        <w:rPr>
          <w:sz w:val="24"/>
          <w:szCs w:val="24"/>
          <w:lang w:val="en-GB"/>
        </w:rPr>
        <w:t xml:space="preserve">Unopened bottles: </w:t>
      </w:r>
      <w:r w:rsidRPr="00EB68C7">
        <w:rPr>
          <w:color w:val="000000"/>
          <w:sz w:val="24"/>
          <w:szCs w:val="24"/>
          <w:lang w:val="en-GB"/>
        </w:rPr>
        <w:t>Store below 25 °C.</w:t>
      </w:r>
    </w:p>
    <w:p w14:paraId="2E1793F6" w14:textId="77777777" w:rsidR="00E57FA2" w:rsidRPr="00EB68C7" w:rsidRDefault="00E57FA2" w:rsidP="00A17ED9">
      <w:pPr>
        <w:ind w:left="851"/>
        <w:rPr>
          <w:i/>
          <w:iCs/>
          <w:sz w:val="24"/>
          <w:szCs w:val="24"/>
          <w:lang w:val="en-GB"/>
        </w:rPr>
      </w:pPr>
    </w:p>
    <w:p w14:paraId="5994063A" w14:textId="77777777" w:rsidR="00E57FA2" w:rsidRPr="00EB68C7" w:rsidRDefault="00E57FA2" w:rsidP="00A17ED9">
      <w:pPr>
        <w:ind w:left="851"/>
        <w:rPr>
          <w:noProof/>
          <w:sz w:val="24"/>
          <w:szCs w:val="24"/>
          <w:lang w:val="en-GB"/>
        </w:rPr>
      </w:pPr>
      <w:r w:rsidRPr="00EB68C7">
        <w:rPr>
          <w:noProof/>
          <w:sz w:val="24"/>
          <w:szCs w:val="24"/>
          <w:lang w:val="en-GB"/>
        </w:rPr>
        <w:t>For storage conditions after first opening of the medicinal product, see section 6.3.</w:t>
      </w:r>
    </w:p>
    <w:p w14:paraId="54E263DA" w14:textId="77777777" w:rsidR="007C5D2A" w:rsidRPr="00EB68C7" w:rsidRDefault="007C5D2A" w:rsidP="00A17ED9">
      <w:pPr>
        <w:ind w:left="851"/>
        <w:rPr>
          <w:sz w:val="24"/>
          <w:szCs w:val="24"/>
          <w:lang w:val="en-GB"/>
        </w:rPr>
      </w:pPr>
    </w:p>
    <w:p w14:paraId="0C1D82EE" w14:textId="77777777" w:rsidR="007C5D2A" w:rsidRPr="00EB68C7" w:rsidRDefault="007C5D2A" w:rsidP="007C5D2A">
      <w:pPr>
        <w:ind w:left="851" w:hanging="851"/>
        <w:rPr>
          <w:b/>
          <w:sz w:val="24"/>
          <w:szCs w:val="24"/>
          <w:lang w:val="en-GB"/>
        </w:rPr>
      </w:pPr>
      <w:r w:rsidRPr="00EB68C7">
        <w:rPr>
          <w:b/>
          <w:sz w:val="24"/>
          <w:szCs w:val="24"/>
          <w:lang w:val="en-GB"/>
        </w:rPr>
        <w:t>6.5</w:t>
      </w:r>
      <w:r w:rsidRPr="00EB68C7">
        <w:rPr>
          <w:b/>
          <w:sz w:val="24"/>
          <w:szCs w:val="24"/>
          <w:lang w:val="en-GB"/>
        </w:rPr>
        <w:tab/>
        <w:t>Nature and contents of container</w:t>
      </w:r>
    </w:p>
    <w:p w14:paraId="1E00480D" w14:textId="1941A5B6" w:rsidR="00E57FA2" w:rsidRPr="00EB68C7" w:rsidRDefault="007E759B" w:rsidP="00A64B35">
      <w:pPr>
        <w:ind w:left="851"/>
        <w:rPr>
          <w:sz w:val="24"/>
          <w:szCs w:val="24"/>
          <w:lang w:val="en-GB" w:eastAsia="en-US"/>
        </w:rPr>
      </w:pPr>
      <w:bookmarkStart w:id="4" w:name="_Hlk89683102"/>
      <w:proofErr w:type="spellStart"/>
      <w:r w:rsidRPr="00EB68C7">
        <w:rPr>
          <w:sz w:val="24"/>
          <w:szCs w:val="24"/>
          <w:lang w:val="en-GB"/>
        </w:rPr>
        <w:t>Vizilatan</w:t>
      </w:r>
      <w:proofErr w:type="spellEnd"/>
      <w:r w:rsidR="00E57FA2" w:rsidRPr="00EB68C7">
        <w:rPr>
          <w:sz w:val="24"/>
          <w:szCs w:val="24"/>
          <w:lang w:val="en-GB"/>
        </w:rPr>
        <w:t xml:space="preserve"> is presented as a 2.5 mL clear, </w:t>
      </w:r>
      <w:proofErr w:type="spellStart"/>
      <w:r w:rsidR="00E57FA2" w:rsidRPr="00EB68C7">
        <w:rPr>
          <w:sz w:val="24"/>
          <w:szCs w:val="24"/>
          <w:lang w:val="en-GB"/>
        </w:rPr>
        <w:t>colorless</w:t>
      </w:r>
      <w:proofErr w:type="spellEnd"/>
      <w:r w:rsidR="00E57FA2" w:rsidRPr="00EB68C7">
        <w:rPr>
          <w:sz w:val="24"/>
          <w:szCs w:val="24"/>
          <w:lang w:val="en-GB"/>
        </w:rPr>
        <w:t xml:space="preserve">, aqueous solution, corresponding to approximately 80 drops of solution, in a cardboard box containing a 5 mL white multidose container (HDPE) with pump (PP, HDPE, LDPE) and orange pressure cylinder and cap (HDPE). </w:t>
      </w:r>
    </w:p>
    <w:p w14:paraId="0BD8CA28" w14:textId="77777777" w:rsidR="00E57FA2" w:rsidRPr="00EB68C7" w:rsidRDefault="00E57FA2" w:rsidP="00A64B35">
      <w:pPr>
        <w:ind w:left="851"/>
        <w:rPr>
          <w:sz w:val="24"/>
          <w:szCs w:val="24"/>
          <w:lang w:val="en-GB"/>
        </w:rPr>
      </w:pPr>
    </w:p>
    <w:p w14:paraId="16D01330" w14:textId="77777777" w:rsidR="00E57FA2" w:rsidRPr="00EB68C7" w:rsidRDefault="00E57FA2" w:rsidP="00A64B35">
      <w:pPr>
        <w:ind w:left="851"/>
        <w:rPr>
          <w:sz w:val="24"/>
          <w:szCs w:val="24"/>
          <w:lang w:val="en-GB"/>
        </w:rPr>
      </w:pPr>
      <w:r w:rsidRPr="00EB68C7">
        <w:rPr>
          <w:sz w:val="24"/>
          <w:szCs w:val="24"/>
          <w:lang w:val="en-GB"/>
        </w:rPr>
        <w:t>Pack sizes: 1, 3 or 4 bottles of 2.5 mL solution</w:t>
      </w:r>
    </w:p>
    <w:bookmarkEnd w:id="4"/>
    <w:p w14:paraId="298C5ABE" w14:textId="77777777" w:rsidR="00E57FA2" w:rsidRPr="00EB68C7" w:rsidRDefault="00E57FA2" w:rsidP="00A64B35">
      <w:pPr>
        <w:ind w:left="851"/>
        <w:rPr>
          <w:sz w:val="24"/>
          <w:szCs w:val="24"/>
          <w:lang w:val="en-GB" w:eastAsia="en-US"/>
        </w:rPr>
      </w:pPr>
    </w:p>
    <w:p w14:paraId="0882016B" w14:textId="77777777" w:rsidR="00E57FA2" w:rsidRPr="00EB68C7" w:rsidRDefault="00E57FA2" w:rsidP="00A64B35">
      <w:pPr>
        <w:ind w:left="851"/>
        <w:rPr>
          <w:sz w:val="24"/>
          <w:szCs w:val="24"/>
          <w:lang w:val="en-GB"/>
        </w:rPr>
      </w:pPr>
      <w:r w:rsidRPr="00EB68C7">
        <w:rPr>
          <w:sz w:val="24"/>
          <w:szCs w:val="24"/>
          <w:lang w:val="en-GB"/>
        </w:rPr>
        <w:t>Not all pack sizes may be marketed.</w:t>
      </w:r>
    </w:p>
    <w:p w14:paraId="7692A2E1" w14:textId="77777777" w:rsidR="007C5D2A" w:rsidRPr="00EB68C7" w:rsidRDefault="007C5D2A" w:rsidP="003E0341">
      <w:pPr>
        <w:tabs>
          <w:tab w:val="left" w:pos="851"/>
        </w:tabs>
        <w:ind w:left="851"/>
        <w:rPr>
          <w:sz w:val="24"/>
          <w:szCs w:val="24"/>
          <w:lang w:val="en-GB"/>
        </w:rPr>
      </w:pPr>
    </w:p>
    <w:p w14:paraId="727F826D" w14:textId="77777777" w:rsidR="007C5D2A" w:rsidRPr="00EB68C7" w:rsidRDefault="007C5D2A" w:rsidP="007C5D2A">
      <w:pPr>
        <w:ind w:left="851" w:hanging="851"/>
        <w:rPr>
          <w:b/>
          <w:sz w:val="24"/>
          <w:szCs w:val="24"/>
          <w:lang w:val="en-GB"/>
        </w:rPr>
      </w:pPr>
      <w:r w:rsidRPr="00EB68C7">
        <w:rPr>
          <w:b/>
          <w:sz w:val="24"/>
          <w:szCs w:val="24"/>
          <w:lang w:val="en-GB"/>
        </w:rPr>
        <w:t>6.6</w:t>
      </w:r>
      <w:r w:rsidRPr="00EB68C7">
        <w:rPr>
          <w:b/>
          <w:sz w:val="24"/>
          <w:szCs w:val="24"/>
          <w:lang w:val="en-GB"/>
        </w:rPr>
        <w:tab/>
        <w:t>Special precautions for disposal and other handling</w:t>
      </w:r>
    </w:p>
    <w:p w14:paraId="3B52552E" w14:textId="77777777" w:rsidR="007C1ECF" w:rsidRPr="00EB68C7" w:rsidRDefault="007C1ECF" w:rsidP="007C1ECF">
      <w:pPr>
        <w:rPr>
          <w:szCs w:val="22"/>
          <w:lang w:val="en-GB"/>
        </w:rPr>
      </w:pPr>
    </w:p>
    <w:p w14:paraId="609AA910" w14:textId="77777777" w:rsidR="007C1ECF" w:rsidRPr="00EB68C7" w:rsidRDefault="007C1ECF" w:rsidP="00C85E84">
      <w:pPr>
        <w:autoSpaceDE w:val="0"/>
        <w:autoSpaceDN w:val="0"/>
        <w:adjustRightInd w:val="0"/>
        <w:ind w:left="851"/>
        <w:rPr>
          <w:b/>
          <w:bCs/>
          <w:color w:val="000000"/>
          <w:sz w:val="24"/>
          <w:szCs w:val="24"/>
          <w:lang w:val="en-GB" w:eastAsia="en-GB"/>
        </w:rPr>
      </w:pPr>
      <w:r w:rsidRPr="00EB68C7">
        <w:rPr>
          <w:b/>
          <w:bCs/>
          <w:color w:val="000000"/>
          <w:sz w:val="24"/>
          <w:szCs w:val="24"/>
          <w:lang w:val="en-GB" w:eastAsia="en-GB"/>
        </w:rPr>
        <w:t>Instructions for use</w:t>
      </w:r>
    </w:p>
    <w:p w14:paraId="2854C579" w14:textId="77777777" w:rsidR="007C1ECF" w:rsidRPr="00EB68C7" w:rsidRDefault="007C1ECF" w:rsidP="007C1ECF">
      <w:pPr>
        <w:numPr>
          <w:ilvl w:val="12"/>
          <w:numId w:val="0"/>
        </w:numPr>
        <w:ind w:right="-2"/>
        <w:rPr>
          <w:noProof/>
          <w:szCs w:val="22"/>
          <w:lang w:val="en-GB"/>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6209"/>
      </w:tblGrid>
      <w:tr w:rsidR="007C1ECF" w:rsidRPr="00C1229C" w14:paraId="71FC1CFF" w14:textId="77777777" w:rsidTr="00C85E84">
        <w:trPr>
          <w:trHeight w:val="5049"/>
        </w:trPr>
        <w:tc>
          <w:tcPr>
            <w:tcW w:w="2263" w:type="dxa"/>
            <w:shd w:val="clear" w:color="auto" w:fill="auto"/>
          </w:tcPr>
          <w:p w14:paraId="572873B2" w14:textId="45558764" w:rsidR="007C1ECF" w:rsidRPr="00EB68C7" w:rsidRDefault="008E1F60" w:rsidP="0028355B">
            <w:pPr>
              <w:numPr>
                <w:ilvl w:val="12"/>
                <w:numId w:val="0"/>
              </w:numPr>
              <w:tabs>
                <w:tab w:val="left" w:pos="426"/>
              </w:tabs>
              <w:ind w:right="-29"/>
              <w:rPr>
                <w:b/>
                <w:noProof/>
                <w:sz w:val="24"/>
                <w:szCs w:val="24"/>
                <w:lang w:val="en-GB"/>
              </w:rPr>
            </w:pPr>
            <w:bookmarkStart w:id="5" w:name="_Hlk89687060"/>
            <w:r w:rsidRPr="00EB68C7">
              <w:rPr>
                <w:noProof/>
                <w:szCs w:val="22"/>
                <w:lang w:val="en-GB" w:eastAsia="en-GB"/>
              </w:rPr>
              <w:drawing>
                <wp:inline distT="0" distB="0" distL="0" distR="0" wp14:anchorId="7D37DCF8" wp14:editId="63250789">
                  <wp:extent cx="662940" cy="1363980"/>
                  <wp:effectExtent l="0" t="0" r="0" b="0"/>
                  <wp:docPr id="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t="24207" r="71910" b="13962"/>
                          <a:stretch>
                            <a:fillRect/>
                          </a:stretch>
                        </pic:blipFill>
                        <pic:spPr bwMode="auto">
                          <a:xfrm>
                            <a:off x="0" y="0"/>
                            <a:ext cx="662940" cy="1363980"/>
                          </a:xfrm>
                          <a:prstGeom prst="rect">
                            <a:avLst/>
                          </a:prstGeom>
                          <a:noFill/>
                          <a:ln>
                            <a:noFill/>
                          </a:ln>
                        </pic:spPr>
                      </pic:pic>
                    </a:graphicData>
                  </a:graphic>
                </wp:inline>
              </w:drawing>
            </w:r>
          </w:p>
          <w:p w14:paraId="45EB4B1B" w14:textId="77777777" w:rsidR="007C1ECF" w:rsidRPr="00EB68C7" w:rsidRDefault="007C1ECF" w:rsidP="0028355B">
            <w:pPr>
              <w:numPr>
                <w:ilvl w:val="12"/>
                <w:numId w:val="0"/>
              </w:numPr>
              <w:tabs>
                <w:tab w:val="left" w:pos="426"/>
              </w:tabs>
              <w:ind w:right="-29"/>
              <w:rPr>
                <w:b/>
                <w:noProof/>
                <w:sz w:val="24"/>
                <w:szCs w:val="24"/>
                <w:lang w:val="en-GB"/>
              </w:rPr>
            </w:pPr>
            <w:r w:rsidRPr="00EB68C7">
              <w:rPr>
                <w:b/>
                <w:noProof/>
                <w:sz w:val="24"/>
                <w:szCs w:val="24"/>
                <w:lang w:val="en-GB"/>
              </w:rPr>
              <w:t>1a</w:t>
            </w:r>
          </w:p>
          <w:p w14:paraId="6EAD23AC" w14:textId="550ABD50" w:rsidR="007C1ECF" w:rsidRPr="00EB68C7" w:rsidRDefault="007C1ECF" w:rsidP="0028355B">
            <w:pPr>
              <w:numPr>
                <w:ilvl w:val="12"/>
                <w:numId w:val="0"/>
              </w:numPr>
              <w:tabs>
                <w:tab w:val="left" w:pos="426"/>
              </w:tabs>
              <w:ind w:right="-29"/>
              <w:rPr>
                <w:b/>
                <w:noProof/>
                <w:sz w:val="24"/>
                <w:szCs w:val="24"/>
                <w:lang w:val="en-GB"/>
              </w:rPr>
            </w:pPr>
          </w:p>
          <w:p w14:paraId="180D7F61" w14:textId="58DC737E" w:rsidR="008E1F60" w:rsidRPr="00EB68C7" w:rsidRDefault="008E1F60" w:rsidP="0028355B">
            <w:pPr>
              <w:numPr>
                <w:ilvl w:val="12"/>
                <w:numId w:val="0"/>
              </w:numPr>
              <w:tabs>
                <w:tab w:val="left" w:pos="426"/>
              </w:tabs>
              <w:ind w:right="-29"/>
              <w:rPr>
                <w:b/>
                <w:noProof/>
                <w:sz w:val="24"/>
                <w:szCs w:val="24"/>
                <w:lang w:val="en-GB"/>
              </w:rPr>
            </w:pPr>
            <w:r w:rsidRPr="00EB68C7">
              <w:rPr>
                <w:noProof/>
                <w:szCs w:val="22"/>
                <w:lang w:val="en-GB" w:eastAsia="en-GB"/>
              </w:rPr>
              <w:drawing>
                <wp:inline distT="0" distB="0" distL="0" distR="0" wp14:anchorId="1C479F03" wp14:editId="02AC01B2">
                  <wp:extent cx="1470660" cy="1897380"/>
                  <wp:effectExtent l="0" t="0" r="0" b="0"/>
                  <wp:docPr id="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l="27341"/>
                          <a:stretch>
                            <a:fillRect/>
                          </a:stretch>
                        </pic:blipFill>
                        <pic:spPr bwMode="auto">
                          <a:xfrm>
                            <a:off x="0" y="0"/>
                            <a:ext cx="1470660" cy="1897380"/>
                          </a:xfrm>
                          <a:prstGeom prst="rect">
                            <a:avLst/>
                          </a:prstGeom>
                          <a:noFill/>
                          <a:ln>
                            <a:noFill/>
                          </a:ln>
                        </pic:spPr>
                      </pic:pic>
                    </a:graphicData>
                  </a:graphic>
                </wp:inline>
              </w:drawing>
            </w:r>
          </w:p>
          <w:p w14:paraId="033E67A9" w14:textId="10274A23" w:rsidR="008E1F60" w:rsidRPr="00EB68C7" w:rsidRDefault="007C1ECF" w:rsidP="00FB7FE3">
            <w:pPr>
              <w:numPr>
                <w:ilvl w:val="12"/>
                <w:numId w:val="0"/>
              </w:numPr>
              <w:tabs>
                <w:tab w:val="left" w:pos="426"/>
              </w:tabs>
              <w:ind w:right="-29"/>
              <w:rPr>
                <w:b/>
                <w:noProof/>
                <w:sz w:val="24"/>
                <w:szCs w:val="24"/>
                <w:lang w:val="en-GB"/>
              </w:rPr>
            </w:pPr>
            <w:r w:rsidRPr="00EB68C7">
              <w:rPr>
                <w:b/>
                <w:noProof/>
                <w:sz w:val="24"/>
                <w:szCs w:val="24"/>
                <w:lang w:val="en-GB"/>
              </w:rPr>
              <w:t>1b</w:t>
            </w:r>
          </w:p>
        </w:tc>
        <w:tc>
          <w:tcPr>
            <w:tcW w:w="6209" w:type="dxa"/>
            <w:shd w:val="clear" w:color="auto" w:fill="auto"/>
          </w:tcPr>
          <w:p w14:paraId="0C1B80B6" w14:textId="77777777" w:rsidR="007C1ECF" w:rsidRPr="00EB68C7" w:rsidRDefault="007C1ECF" w:rsidP="007C1ECF">
            <w:pPr>
              <w:pStyle w:val="Listeafsnit"/>
              <w:keepNext/>
              <w:numPr>
                <w:ilvl w:val="0"/>
                <w:numId w:val="6"/>
              </w:numPr>
              <w:tabs>
                <w:tab w:val="clear" w:pos="567"/>
              </w:tabs>
              <w:autoSpaceDE w:val="0"/>
              <w:autoSpaceDN w:val="0"/>
              <w:adjustRightInd w:val="0"/>
              <w:spacing w:line="240" w:lineRule="auto"/>
              <w:rPr>
                <w:sz w:val="24"/>
                <w:szCs w:val="24"/>
              </w:rPr>
            </w:pPr>
            <w:r w:rsidRPr="00EB68C7">
              <w:rPr>
                <w:sz w:val="24"/>
                <w:szCs w:val="24"/>
              </w:rPr>
              <w:t xml:space="preserve">Take the bottle </w:t>
            </w:r>
            <w:r w:rsidRPr="00EB68C7">
              <w:rPr>
                <w:b/>
                <w:bCs/>
                <w:sz w:val="24"/>
                <w:szCs w:val="24"/>
              </w:rPr>
              <w:t xml:space="preserve">(picture 1a) </w:t>
            </w:r>
            <w:r w:rsidRPr="00EB68C7">
              <w:rPr>
                <w:sz w:val="24"/>
                <w:szCs w:val="24"/>
              </w:rPr>
              <w:t>out of the carton box</w:t>
            </w:r>
            <w:r w:rsidRPr="00EB68C7">
              <w:rPr>
                <w:b/>
                <w:bCs/>
                <w:sz w:val="24"/>
                <w:szCs w:val="24"/>
              </w:rPr>
              <w:t xml:space="preserve"> </w:t>
            </w:r>
            <w:r w:rsidRPr="00EB68C7">
              <w:rPr>
                <w:sz w:val="24"/>
                <w:szCs w:val="24"/>
              </w:rPr>
              <w:t>and write the date of opening on the carton box and the bottle in the space provided.</w:t>
            </w:r>
          </w:p>
          <w:p w14:paraId="16257015" w14:textId="77777777" w:rsidR="007C1ECF" w:rsidRPr="00EB68C7" w:rsidRDefault="007C1ECF" w:rsidP="007C1ECF">
            <w:pPr>
              <w:pStyle w:val="Listeafsnit"/>
              <w:keepNext/>
              <w:numPr>
                <w:ilvl w:val="0"/>
                <w:numId w:val="6"/>
              </w:numPr>
              <w:tabs>
                <w:tab w:val="clear" w:pos="567"/>
              </w:tabs>
              <w:autoSpaceDE w:val="0"/>
              <w:autoSpaceDN w:val="0"/>
              <w:adjustRightInd w:val="0"/>
              <w:spacing w:line="240" w:lineRule="auto"/>
              <w:rPr>
                <w:sz w:val="24"/>
                <w:szCs w:val="24"/>
              </w:rPr>
            </w:pPr>
            <w:r w:rsidRPr="00EB68C7">
              <w:rPr>
                <w:sz w:val="24"/>
                <w:szCs w:val="24"/>
              </w:rPr>
              <w:t xml:space="preserve">Get the </w:t>
            </w:r>
            <w:r w:rsidRPr="00EB68C7">
              <w:rPr>
                <w:bCs/>
                <w:sz w:val="24"/>
                <w:szCs w:val="24"/>
              </w:rPr>
              <w:t>medicine</w:t>
            </w:r>
            <w:r w:rsidRPr="00EB68C7">
              <w:rPr>
                <w:sz w:val="24"/>
                <w:szCs w:val="24"/>
              </w:rPr>
              <w:t xml:space="preserve"> bottle and a mirror.</w:t>
            </w:r>
          </w:p>
          <w:p w14:paraId="3549954F" w14:textId="77777777" w:rsidR="007C1ECF" w:rsidRPr="00EB68C7" w:rsidRDefault="007C1ECF" w:rsidP="007C1ECF">
            <w:pPr>
              <w:pStyle w:val="Listeafsnit"/>
              <w:keepNext/>
              <w:numPr>
                <w:ilvl w:val="0"/>
                <w:numId w:val="6"/>
              </w:numPr>
              <w:tabs>
                <w:tab w:val="clear" w:pos="567"/>
              </w:tabs>
              <w:autoSpaceDE w:val="0"/>
              <w:autoSpaceDN w:val="0"/>
              <w:adjustRightInd w:val="0"/>
              <w:spacing w:line="240" w:lineRule="auto"/>
              <w:rPr>
                <w:sz w:val="24"/>
                <w:szCs w:val="24"/>
              </w:rPr>
            </w:pPr>
            <w:r w:rsidRPr="00EB68C7">
              <w:rPr>
                <w:sz w:val="24"/>
                <w:szCs w:val="24"/>
              </w:rPr>
              <w:t>Wash your hands.</w:t>
            </w:r>
          </w:p>
          <w:p w14:paraId="62F1D16D" w14:textId="77777777" w:rsidR="007C1ECF" w:rsidRPr="00EB68C7" w:rsidRDefault="007C1ECF" w:rsidP="007C1ECF">
            <w:pPr>
              <w:pStyle w:val="Listeafsnit"/>
              <w:keepNext/>
              <w:numPr>
                <w:ilvl w:val="0"/>
                <w:numId w:val="6"/>
              </w:numPr>
              <w:tabs>
                <w:tab w:val="clear" w:pos="567"/>
              </w:tabs>
              <w:autoSpaceDE w:val="0"/>
              <w:autoSpaceDN w:val="0"/>
              <w:adjustRightInd w:val="0"/>
              <w:spacing w:line="240" w:lineRule="auto"/>
              <w:rPr>
                <w:sz w:val="24"/>
                <w:szCs w:val="24"/>
              </w:rPr>
            </w:pPr>
            <w:r w:rsidRPr="00EB68C7">
              <w:rPr>
                <w:sz w:val="24"/>
                <w:szCs w:val="24"/>
              </w:rPr>
              <w:t xml:space="preserve">Remove the cap </w:t>
            </w:r>
            <w:r w:rsidRPr="00EB68C7">
              <w:rPr>
                <w:b/>
                <w:bCs/>
                <w:sz w:val="24"/>
                <w:szCs w:val="24"/>
              </w:rPr>
              <w:t>(picture 1b)</w:t>
            </w:r>
            <w:r w:rsidRPr="00EB68C7">
              <w:rPr>
                <w:sz w:val="24"/>
                <w:szCs w:val="24"/>
              </w:rPr>
              <w:t>.</w:t>
            </w:r>
          </w:p>
        </w:tc>
      </w:tr>
      <w:tr w:rsidR="007C1ECF" w:rsidRPr="00C1229C" w14:paraId="57F7ED60" w14:textId="77777777" w:rsidTr="00C85E84">
        <w:trPr>
          <w:trHeight w:val="2330"/>
        </w:trPr>
        <w:tc>
          <w:tcPr>
            <w:tcW w:w="2263" w:type="dxa"/>
            <w:shd w:val="clear" w:color="auto" w:fill="auto"/>
          </w:tcPr>
          <w:p w14:paraId="7BE0B40D" w14:textId="76685C64" w:rsidR="008E1F60" w:rsidRPr="00EB68C7" w:rsidRDefault="008E1F60" w:rsidP="0028355B">
            <w:pPr>
              <w:numPr>
                <w:ilvl w:val="12"/>
                <w:numId w:val="0"/>
              </w:numPr>
              <w:tabs>
                <w:tab w:val="left" w:pos="426"/>
              </w:tabs>
              <w:ind w:right="-29"/>
              <w:rPr>
                <w:b/>
                <w:noProof/>
                <w:sz w:val="24"/>
                <w:szCs w:val="24"/>
                <w:lang w:val="en-GB"/>
              </w:rPr>
            </w:pPr>
            <w:r w:rsidRPr="00EB68C7">
              <w:rPr>
                <w:noProof/>
                <w:szCs w:val="22"/>
                <w:lang w:val="en-GB" w:eastAsia="en-GB"/>
              </w:rPr>
              <w:drawing>
                <wp:inline distT="0" distB="0" distL="0" distR="0" wp14:anchorId="1CAD6A55" wp14:editId="43D4F80D">
                  <wp:extent cx="1249680" cy="1074420"/>
                  <wp:effectExtent l="0" t="0" r="0" b="0"/>
                  <wp:docPr id="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49680" cy="1074420"/>
                          </a:xfrm>
                          <a:prstGeom prst="rect">
                            <a:avLst/>
                          </a:prstGeom>
                          <a:noFill/>
                          <a:ln>
                            <a:noFill/>
                          </a:ln>
                        </pic:spPr>
                      </pic:pic>
                    </a:graphicData>
                  </a:graphic>
                </wp:inline>
              </w:drawing>
            </w:r>
          </w:p>
          <w:p w14:paraId="6FF1556D" w14:textId="2D499B89" w:rsidR="007C1ECF" w:rsidRPr="00EB68C7" w:rsidRDefault="007C1ECF" w:rsidP="0028355B">
            <w:pPr>
              <w:numPr>
                <w:ilvl w:val="12"/>
                <w:numId w:val="0"/>
              </w:numPr>
              <w:tabs>
                <w:tab w:val="left" w:pos="426"/>
              </w:tabs>
              <w:ind w:right="-29"/>
              <w:rPr>
                <w:noProof/>
                <w:sz w:val="24"/>
                <w:szCs w:val="24"/>
                <w:lang w:val="en-GB" w:eastAsia="el-GR"/>
              </w:rPr>
            </w:pPr>
            <w:r w:rsidRPr="00EB68C7">
              <w:rPr>
                <w:b/>
                <w:noProof/>
                <w:sz w:val="24"/>
                <w:szCs w:val="24"/>
                <w:lang w:val="en-GB"/>
              </w:rPr>
              <w:t>2</w:t>
            </w:r>
          </w:p>
        </w:tc>
        <w:tc>
          <w:tcPr>
            <w:tcW w:w="6209" w:type="dxa"/>
            <w:shd w:val="clear" w:color="auto" w:fill="auto"/>
          </w:tcPr>
          <w:p w14:paraId="4680D854" w14:textId="08571758" w:rsidR="007C1ECF" w:rsidRPr="00EB68C7" w:rsidRDefault="007C1ECF" w:rsidP="00FB7FE3">
            <w:pPr>
              <w:pStyle w:val="Listeafsnit"/>
              <w:keepNext/>
              <w:numPr>
                <w:ilvl w:val="0"/>
                <w:numId w:val="6"/>
              </w:numPr>
              <w:tabs>
                <w:tab w:val="clear" w:pos="567"/>
              </w:tabs>
              <w:autoSpaceDE w:val="0"/>
              <w:autoSpaceDN w:val="0"/>
              <w:adjustRightInd w:val="0"/>
              <w:spacing w:line="240" w:lineRule="auto"/>
              <w:rPr>
                <w:sz w:val="24"/>
                <w:szCs w:val="24"/>
              </w:rPr>
            </w:pPr>
            <w:r w:rsidRPr="00EB68C7">
              <w:rPr>
                <w:sz w:val="24"/>
                <w:szCs w:val="24"/>
              </w:rPr>
              <w:t xml:space="preserve">Hold the bottle upside down with the thumb on the shoulder of the bottle and the other fingers on the bottom of the bottle. Before the first use, pump the bottle repeatedly 15 times </w:t>
            </w:r>
            <w:r w:rsidRPr="00EB68C7">
              <w:rPr>
                <w:b/>
                <w:bCs/>
                <w:sz w:val="24"/>
                <w:szCs w:val="24"/>
              </w:rPr>
              <w:t>(picture 2)</w:t>
            </w:r>
            <w:r w:rsidRPr="00EB68C7">
              <w:rPr>
                <w:sz w:val="24"/>
                <w:szCs w:val="24"/>
              </w:rPr>
              <w:t>. A possible whitish appearance of the drops should not cause concern.</w:t>
            </w:r>
          </w:p>
        </w:tc>
      </w:tr>
      <w:tr w:rsidR="007C1ECF" w:rsidRPr="00C1229C" w14:paraId="582147DA" w14:textId="77777777" w:rsidTr="00C85E84">
        <w:trPr>
          <w:trHeight w:val="2047"/>
        </w:trPr>
        <w:tc>
          <w:tcPr>
            <w:tcW w:w="2263" w:type="dxa"/>
            <w:shd w:val="clear" w:color="auto" w:fill="auto"/>
          </w:tcPr>
          <w:p w14:paraId="5D5A5410" w14:textId="4CA15BB1" w:rsidR="007C1ECF" w:rsidRPr="00EB68C7" w:rsidRDefault="00E7258D" w:rsidP="0028355B">
            <w:pPr>
              <w:numPr>
                <w:ilvl w:val="12"/>
                <w:numId w:val="0"/>
              </w:numPr>
              <w:tabs>
                <w:tab w:val="left" w:pos="426"/>
              </w:tabs>
              <w:ind w:right="-29"/>
              <w:rPr>
                <w:b/>
                <w:noProof/>
                <w:sz w:val="24"/>
                <w:szCs w:val="24"/>
                <w:lang w:val="en-GB"/>
              </w:rPr>
            </w:pPr>
            <w:r w:rsidRPr="00EB68C7">
              <w:rPr>
                <w:noProof/>
                <w:szCs w:val="22"/>
                <w:lang w:val="en-GB" w:eastAsia="en-GB"/>
              </w:rPr>
              <w:drawing>
                <wp:inline distT="0" distB="0" distL="0" distR="0" wp14:anchorId="65476E2A" wp14:editId="005A2B6F">
                  <wp:extent cx="944880" cy="12039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44880" cy="1203960"/>
                          </a:xfrm>
                          <a:prstGeom prst="rect">
                            <a:avLst/>
                          </a:prstGeom>
                          <a:noFill/>
                          <a:ln>
                            <a:noFill/>
                          </a:ln>
                        </pic:spPr>
                      </pic:pic>
                    </a:graphicData>
                  </a:graphic>
                </wp:inline>
              </w:drawing>
            </w:r>
          </w:p>
          <w:p w14:paraId="6D57E1FF" w14:textId="77777777" w:rsidR="007C1ECF" w:rsidRPr="00EB68C7" w:rsidRDefault="007C1ECF" w:rsidP="0028355B">
            <w:pPr>
              <w:numPr>
                <w:ilvl w:val="12"/>
                <w:numId w:val="0"/>
              </w:numPr>
              <w:tabs>
                <w:tab w:val="left" w:pos="426"/>
              </w:tabs>
              <w:ind w:right="-29"/>
              <w:rPr>
                <w:b/>
                <w:noProof/>
                <w:sz w:val="24"/>
                <w:szCs w:val="24"/>
                <w:lang w:val="en-GB"/>
              </w:rPr>
            </w:pPr>
            <w:r w:rsidRPr="00EB68C7">
              <w:rPr>
                <w:b/>
                <w:noProof/>
                <w:sz w:val="24"/>
                <w:szCs w:val="24"/>
                <w:lang w:val="en-GB"/>
              </w:rPr>
              <w:t>3</w:t>
            </w:r>
          </w:p>
        </w:tc>
        <w:tc>
          <w:tcPr>
            <w:tcW w:w="6209" w:type="dxa"/>
            <w:shd w:val="clear" w:color="auto" w:fill="auto"/>
          </w:tcPr>
          <w:p w14:paraId="5F85DAF6" w14:textId="77777777" w:rsidR="007C1ECF" w:rsidRPr="00EB68C7" w:rsidRDefault="007C1ECF" w:rsidP="007C1ECF">
            <w:pPr>
              <w:pStyle w:val="Listeafsnit"/>
              <w:numPr>
                <w:ilvl w:val="0"/>
                <w:numId w:val="7"/>
              </w:numPr>
              <w:tabs>
                <w:tab w:val="clear" w:pos="567"/>
              </w:tabs>
              <w:autoSpaceDE w:val="0"/>
              <w:autoSpaceDN w:val="0"/>
              <w:adjustRightInd w:val="0"/>
              <w:spacing w:line="240" w:lineRule="auto"/>
              <w:rPr>
                <w:sz w:val="24"/>
                <w:szCs w:val="24"/>
              </w:rPr>
            </w:pPr>
            <w:r w:rsidRPr="00EB68C7">
              <w:rPr>
                <w:sz w:val="24"/>
                <w:szCs w:val="24"/>
              </w:rPr>
              <w:t xml:space="preserve">Tilt your head </w:t>
            </w:r>
            <w:r w:rsidRPr="00EB68C7">
              <w:rPr>
                <w:sz w:val="24"/>
                <w:szCs w:val="24"/>
                <w:lang w:bidi="en-US"/>
              </w:rPr>
              <w:t xml:space="preserve">or your child’s head </w:t>
            </w:r>
            <w:r w:rsidRPr="00EB68C7">
              <w:rPr>
                <w:sz w:val="24"/>
                <w:szCs w:val="24"/>
              </w:rPr>
              <w:t xml:space="preserve">back. Pull down the eyelid with a clean finger, until there is a ‘pocket’ between the eyelid and the eye. The drop will go in here </w:t>
            </w:r>
            <w:r w:rsidRPr="00EB68C7">
              <w:rPr>
                <w:b/>
                <w:bCs/>
                <w:sz w:val="24"/>
                <w:szCs w:val="24"/>
              </w:rPr>
              <w:t>(picture 3)</w:t>
            </w:r>
            <w:r w:rsidRPr="00EB68C7">
              <w:rPr>
                <w:bCs/>
                <w:sz w:val="24"/>
                <w:szCs w:val="24"/>
              </w:rPr>
              <w:t>.</w:t>
            </w:r>
          </w:p>
          <w:p w14:paraId="2D2DFBCA" w14:textId="77777777" w:rsidR="007C1ECF" w:rsidRPr="00EB68C7" w:rsidRDefault="007C1ECF" w:rsidP="007C1ECF">
            <w:pPr>
              <w:pStyle w:val="Listeafsnit"/>
              <w:numPr>
                <w:ilvl w:val="0"/>
                <w:numId w:val="7"/>
              </w:numPr>
              <w:tabs>
                <w:tab w:val="clear" w:pos="567"/>
              </w:tabs>
              <w:autoSpaceDE w:val="0"/>
              <w:autoSpaceDN w:val="0"/>
              <w:adjustRightInd w:val="0"/>
              <w:spacing w:line="240" w:lineRule="auto"/>
              <w:rPr>
                <w:sz w:val="24"/>
                <w:szCs w:val="24"/>
              </w:rPr>
            </w:pPr>
            <w:r w:rsidRPr="00EB68C7">
              <w:rPr>
                <w:sz w:val="24"/>
                <w:szCs w:val="24"/>
              </w:rPr>
              <w:t>Bring the bottle tip close to the eye. Use the mirror if it helps.</w:t>
            </w:r>
          </w:p>
        </w:tc>
      </w:tr>
      <w:tr w:rsidR="007C1ECF" w:rsidRPr="00C1229C" w14:paraId="70B97915" w14:textId="77777777" w:rsidTr="00C85E84">
        <w:trPr>
          <w:trHeight w:val="274"/>
        </w:trPr>
        <w:tc>
          <w:tcPr>
            <w:tcW w:w="2263" w:type="dxa"/>
            <w:shd w:val="clear" w:color="auto" w:fill="auto"/>
          </w:tcPr>
          <w:p w14:paraId="0FCE5D60" w14:textId="7C8FCBC2" w:rsidR="007C1ECF" w:rsidRPr="00EB68C7" w:rsidRDefault="00E7258D" w:rsidP="0028355B">
            <w:pPr>
              <w:numPr>
                <w:ilvl w:val="12"/>
                <w:numId w:val="0"/>
              </w:numPr>
              <w:tabs>
                <w:tab w:val="left" w:pos="426"/>
              </w:tabs>
              <w:ind w:right="-29"/>
              <w:rPr>
                <w:b/>
                <w:noProof/>
                <w:sz w:val="24"/>
                <w:szCs w:val="24"/>
                <w:lang w:val="en-GB"/>
              </w:rPr>
            </w:pPr>
            <w:r w:rsidRPr="00EB68C7">
              <w:rPr>
                <w:noProof/>
                <w:szCs w:val="22"/>
                <w:lang w:val="en-GB" w:eastAsia="en-GB"/>
              </w:rPr>
              <w:drawing>
                <wp:inline distT="0" distB="0" distL="0" distR="0" wp14:anchorId="3388C64A" wp14:editId="212BE59E">
                  <wp:extent cx="1097280" cy="1120140"/>
                  <wp:effectExtent l="0" t="0" r="0" b="0"/>
                  <wp:docPr id="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97280" cy="1120140"/>
                          </a:xfrm>
                          <a:prstGeom prst="rect">
                            <a:avLst/>
                          </a:prstGeom>
                          <a:noFill/>
                          <a:ln>
                            <a:noFill/>
                          </a:ln>
                        </pic:spPr>
                      </pic:pic>
                    </a:graphicData>
                  </a:graphic>
                </wp:inline>
              </w:drawing>
            </w:r>
          </w:p>
          <w:p w14:paraId="023697F3" w14:textId="4CA2D647" w:rsidR="007C1ECF" w:rsidRPr="00EB68C7" w:rsidRDefault="007C1ECF" w:rsidP="003D374D">
            <w:pPr>
              <w:numPr>
                <w:ilvl w:val="12"/>
                <w:numId w:val="0"/>
              </w:numPr>
              <w:tabs>
                <w:tab w:val="left" w:pos="426"/>
              </w:tabs>
              <w:ind w:right="-29"/>
              <w:rPr>
                <w:b/>
                <w:noProof/>
                <w:sz w:val="24"/>
                <w:szCs w:val="24"/>
                <w:lang w:val="en-GB"/>
              </w:rPr>
            </w:pPr>
            <w:r w:rsidRPr="00EB68C7">
              <w:rPr>
                <w:b/>
                <w:noProof/>
                <w:sz w:val="24"/>
                <w:szCs w:val="24"/>
                <w:lang w:val="en-GB"/>
              </w:rPr>
              <w:t>4</w:t>
            </w:r>
          </w:p>
        </w:tc>
        <w:tc>
          <w:tcPr>
            <w:tcW w:w="6209" w:type="dxa"/>
            <w:shd w:val="clear" w:color="auto" w:fill="auto"/>
          </w:tcPr>
          <w:p w14:paraId="036FE49A" w14:textId="77777777" w:rsidR="007C1ECF" w:rsidRPr="00EB68C7" w:rsidRDefault="007C1ECF" w:rsidP="007C1ECF">
            <w:pPr>
              <w:pStyle w:val="Listeafsnit"/>
              <w:numPr>
                <w:ilvl w:val="0"/>
                <w:numId w:val="7"/>
              </w:numPr>
              <w:tabs>
                <w:tab w:val="clear" w:pos="567"/>
              </w:tabs>
              <w:autoSpaceDE w:val="0"/>
              <w:autoSpaceDN w:val="0"/>
              <w:adjustRightInd w:val="0"/>
              <w:spacing w:line="240" w:lineRule="auto"/>
              <w:rPr>
                <w:sz w:val="24"/>
                <w:szCs w:val="24"/>
              </w:rPr>
            </w:pPr>
            <w:r w:rsidRPr="00EB68C7">
              <w:rPr>
                <w:b/>
                <w:bCs/>
                <w:sz w:val="24"/>
                <w:szCs w:val="24"/>
              </w:rPr>
              <w:t xml:space="preserve">Do not touch the eye or eyelid, surrounding areas or other surfaces with the dropper. </w:t>
            </w:r>
            <w:r w:rsidRPr="00EB68C7">
              <w:rPr>
                <w:sz w:val="24"/>
                <w:szCs w:val="24"/>
              </w:rPr>
              <w:t>It could infect the drops.</w:t>
            </w:r>
          </w:p>
          <w:p w14:paraId="76A19893" w14:textId="77777777" w:rsidR="007C1ECF" w:rsidRPr="00EB68C7" w:rsidRDefault="007C1ECF" w:rsidP="007C1ECF">
            <w:pPr>
              <w:pStyle w:val="Listeafsnit"/>
              <w:numPr>
                <w:ilvl w:val="0"/>
                <w:numId w:val="7"/>
              </w:numPr>
              <w:tabs>
                <w:tab w:val="clear" w:pos="567"/>
              </w:tabs>
              <w:autoSpaceDE w:val="0"/>
              <w:autoSpaceDN w:val="0"/>
              <w:adjustRightInd w:val="0"/>
              <w:spacing w:line="240" w:lineRule="auto"/>
              <w:rPr>
                <w:b/>
                <w:noProof/>
                <w:sz w:val="24"/>
                <w:szCs w:val="24"/>
              </w:rPr>
            </w:pPr>
            <w:r w:rsidRPr="00EB68C7">
              <w:rPr>
                <w:bCs/>
                <w:sz w:val="24"/>
                <w:szCs w:val="24"/>
              </w:rPr>
              <w:t>Gently</w:t>
            </w:r>
            <w:r w:rsidRPr="00EB68C7">
              <w:rPr>
                <w:sz w:val="24"/>
                <w:szCs w:val="24"/>
              </w:rPr>
              <w:t xml:space="preserve"> press down on the bottom side of the bottle to release one drop of </w:t>
            </w:r>
            <w:r w:rsidRPr="00EB68C7">
              <w:rPr>
                <w:bCs/>
                <w:sz w:val="24"/>
                <w:szCs w:val="24"/>
              </w:rPr>
              <w:t>medicine</w:t>
            </w:r>
            <w:r w:rsidRPr="00EB68C7">
              <w:rPr>
                <w:sz w:val="24"/>
                <w:szCs w:val="24"/>
              </w:rPr>
              <w:t xml:space="preserve"> at a time </w:t>
            </w:r>
            <w:r w:rsidRPr="00EB68C7">
              <w:rPr>
                <w:b/>
                <w:bCs/>
                <w:sz w:val="24"/>
                <w:szCs w:val="24"/>
              </w:rPr>
              <w:t>(picture 4)</w:t>
            </w:r>
            <w:r w:rsidRPr="00EB68C7">
              <w:rPr>
                <w:sz w:val="24"/>
                <w:szCs w:val="24"/>
              </w:rPr>
              <w:t>.</w:t>
            </w:r>
          </w:p>
          <w:p w14:paraId="7385D7EC" w14:textId="1A629116" w:rsidR="007C1ECF" w:rsidRPr="00EB68C7" w:rsidRDefault="007C1ECF" w:rsidP="003D374D">
            <w:pPr>
              <w:pStyle w:val="Listeafsnit"/>
              <w:numPr>
                <w:ilvl w:val="0"/>
                <w:numId w:val="7"/>
              </w:numPr>
              <w:tabs>
                <w:tab w:val="clear" w:pos="567"/>
              </w:tabs>
              <w:autoSpaceDE w:val="0"/>
              <w:autoSpaceDN w:val="0"/>
              <w:adjustRightInd w:val="0"/>
              <w:spacing w:line="240" w:lineRule="auto"/>
              <w:rPr>
                <w:b/>
                <w:noProof/>
                <w:sz w:val="24"/>
                <w:szCs w:val="24"/>
              </w:rPr>
            </w:pPr>
            <w:r w:rsidRPr="00EB68C7">
              <w:rPr>
                <w:bCs/>
                <w:sz w:val="24"/>
                <w:szCs w:val="24"/>
              </w:rPr>
              <w:t xml:space="preserve">If a </w:t>
            </w:r>
            <w:r w:rsidRPr="00EB68C7">
              <w:rPr>
                <w:sz w:val="24"/>
                <w:szCs w:val="24"/>
              </w:rPr>
              <w:t>drop</w:t>
            </w:r>
            <w:r w:rsidRPr="00EB68C7">
              <w:rPr>
                <w:bCs/>
                <w:sz w:val="24"/>
                <w:szCs w:val="24"/>
              </w:rPr>
              <w:t xml:space="preserve"> misses the eye, </w:t>
            </w:r>
            <w:r w:rsidRPr="00EB68C7">
              <w:rPr>
                <w:sz w:val="24"/>
                <w:szCs w:val="24"/>
              </w:rPr>
              <w:t>try again.</w:t>
            </w:r>
          </w:p>
        </w:tc>
      </w:tr>
      <w:tr w:rsidR="007C1ECF" w:rsidRPr="00C1229C" w14:paraId="5C3D0377" w14:textId="77777777" w:rsidTr="00C85E84">
        <w:trPr>
          <w:trHeight w:val="274"/>
        </w:trPr>
        <w:tc>
          <w:tcPr>
            <w:tcW w:w="2263" w:type="dxa"/>
            <w:shd w:val="clear" w:color="auto" w:fill="auto"/>
          </w:tcPr>
          <w:p w14:paraId="166720AE" w14:textId="2A070DAB" w:rsidR="007C1ECF" w:rsidRPr="00EB68C7" w:rsidRDefault="00E7258D" w:rsidP="0028355B">
            <w:pPr>
              <w:numPr>
                <w:ilvl w:val="12"/>
                <w:numId w:val="0"/>
              </w:numPr>
              <w:tabs>
                <w:tab w:val="left" w:pos="426"/>
              </w:tabs>
              <w:ind w:right="-29"/>
              <w:rPr>
                <w:b/>
                <w:noProof/>
                <w:sz w:val="24"/>
                <w:szCs w:val="24"/>
                <w:lang w:val="en-GB"/>
              </w:rPr>
            </w:pPr>
            <w:r w:rsidRPr="00EB68C7">
              <w:rPr>
                <w:noProof/>
                <w:szCs w:val="22"/>
                <w:lang w:val="en-GB" w:eastAsia="en-GB"/>
              </w:rPr>
              <w:drawing>
                <wp:inline distT="0" distB="0" distL="0" distR="0" wp14:anchorId="6BA42685" wp14:editId="1366AE83">
                  <wp:extent cx="1074420" cy="1089660"/>
                  <wp:effectExtent l="0" t="0" r="0" b="0"/>
                  <wp:docPr id="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74420" cy="1089660"/>
                          </a:xfrm>
                          <a:prstGeom prst="rect">
                            <a:avLst/>
                          </a:prstGeom>
                          <a:noFill/>
                          <a:ln>
                            <a:noFill/>
                          </a:ln>
                        </pic:spPr>
                      </pic:pic>
                    </a:graphicData>
                  </a:graphic>
                </wp:inline>
              </w:drawing>
            </w:r>
          </w:p>
          <w:p w14:paraId="0D5D650B" w14:textId="77777777" w:rsidR="007C1ECF" w:rsidRPr="00EB68C7" w:rsidRDefault="007C1ECF" w:rsidP="0028355B">
            <w:pPr>
              <w:numPr>
                <w:ilvl w:val="12"/>
                <w:numId w:val="0"/>
              </w:numPr>
              <w:tabs>
                <w:tab w:val="left" w:pos="426"/>
              </w:tabs>
              <w:ind w:right="-29"/>
              <w:rPr>
                <w:noProof/>
                <w:sz w:val="24"/>
                <w:szCs w:val="24"/>
                <w:lang w:val="en-GB" w:eastAsia="en-GB"/>
              </w:rPr>
            </w:pPr>
            <w:r w:rsidRPr="00EB68C7">
              <w:rPr>
                <w:b/>
                <w:noProof/>
                <w:sz w:val="24"/>
                <w:szCs w:val="24"/>
                <w:lang w:val="en-GB"/>
              </w:rPr>
              <w:t>5</w:t>
            </w:r>
          </w:p>
        </w:tc>
        <w:tc>
          <w:tcPr>
            <w:tcW w:w="6209" w:type="dxa"/>
            <w:shd w:val="clear" w:color="auto" w:fill="auto"/>
          </w:tcPr>
          <w:p w14:paraId="52FA0274" w14:textId="77777777" w:rsidR="007C1ECF" w:rsidRPr="00EB68C7" w:rsidRDefault="007C1ECF" w:rsidP="007C1ECF">
            <w:pPr>
              <w:pStyle w:val="Listeafsnit"/>
              <w:numPr>
                <w:ilvl w:val="0"/>
                <w:numId w:val="7"/>
              </w:numPr>
              <w:tabs>
                <w:tab w:val="clear" w:pos="567"/>
              </w:tabs>
              <w:autoSpaceDE w:val="0"/>
              <w:autoSpaceDN w:val="0"/>
              <w:adjustRightInd w:val="0"/>
              <w:spacing w:line="240" w:lineRule="auto"/>
              <w:rPr>
                <w:b/>
                <w:bCs/>
                <w:sz w:val="24"/>
                <w:szCs w:val="24"/>
              </w:rPr>
            </w:pPr>
            <w:r w:rsidRPr="00EB68C7">
              <w:rPr>
                <w:sz w:val="24"/>
                <w:szCs w:val="24"/>
              </w:rPr>
              <w:t xml:space="preserve">After using </w:t>
            </w:r>
            <w:r w:rsidRPr="00EB68C7">
              <w:rPr>
                <w:bCs/>
                <w:sz w:val="24"/>
                <w:szCs w:val="24"/>
              </w:rPr>
              <w:t>the medicine</w:t>
            </w:r>
            <w:r w:rsidRPr="00EB68C7">
              <w:rPr>
                <w:sz w:val="24"/>
                <w:szCs w:val="24"/>
              </w:rPr>
              <w:t xml:space="preserve">, press a finger into the corner of the eye, by the nose, for 1 minute </w:t>
            </w:r>
            <w:r w:rsidRPr="00EB68C7">
              <w:rPr>
                <w:b/>
                <w:bCs/>
                <w:sz w:val="24"/>
                <w:szCs w:val="24"/>
              </w:rPr>
              <w:t>(picture 5)</w:t>
            </w:r>
            <w:r w:rsidRPr="00EB68C7">
              <w:rPr>
                <w:sz w:val="24"/>
                <w:szCs w:val="24"/>
              </w:rPr>
              <w:t xml:space="preserve">. This helps to stop </w:t>
            </w:r>
            <w:r w:rsidRPr="00EB68C7">
              <w:rPr>
                <w:bCs/>
                <w:sz w:val="24"/>
                <w:szCs w:val="24"/>
              </w:rPr>
              <w:t>the medicine</w:t>
            </w:r>
            <w:r w:rsidRPr="00EB68C7">
              <w:rPr>
                <w:sz w:val="24"/>
                <w:szCs w:val="24"/>
              </w:rPr>
              <w:t xml:space="preserve"> getting into the rest of the body.</w:t>
            </w:r>
          </w:p>
        </w:tc>
      </w:tr>
      <w:tr w:rsidR="007C1ECF" w:rsidRPr="00C1229C" w14:paraId="325E6628" w14:textId="77777777" w:rsidTr="00C85E84">
        <w:trPr>
          <w:trHeight w:val="2121"/>
        </w:trPr>
        <w:tc>
          <w:tcPr>
            <w:tcW w:w="2263" w:type="dxa"/>
            <w:shd w:val="clear" w:color="auto" w:fill="auto"/>
          </w:tcPr>
          <w:p w14:paraId="3A137245" w14:textId="77777777" w:rsidR="007C1ECF" w:rsidRPr="00EB68C7" w:rsidRDefault="007C1ECF" w:rsidP="0028355B">
            <w:pPr>
              <w:numPr>
                <w:ilvl w:val="12"/>
                <w:numId w:val="0"/>
              </w:numPr>
              <w:tabs>
                <w:tab w:val="left" w:pos="426"/>
              </w:tabs>
              <w:ind w:right="-29"/>
              <w:rPr>
                <w:b/>
                <w:noProof/>
                <w:sz w:val="24"/>
                <w:szCs w:val="24"/>
                <w:lang w:val="en-GB"/>
              </w:rPr>
            </w:pPr>
          </w:p>
        </w:tc>
        <w:tc>
          <w:tcPr>
            <w:tcW w:w="6209" w:type="dxa"/>
            <w:shd w:val="clear" w:color="auto" w:fill="auto"/>
          </w:tcPr>
          <w:p w14:paraId="17138601" w14:textId="77777777" w:rsidR="007C1ECF" w:rsidRPr="00EB68C7" w:rsidRDefault="007C1ECF" w:rsidP="007C1ECF">
            <w:pPr>
              <w:pStyle w:val="Listeafsnit"/>
              <w:numPr>
                <w:ilvl w:val="0"/>
                <w:numId w:val="8"/>
              </w:numPr>
              <w:tabs>
                <w:tab w:val="clear" w:pos="567"/>
              </w:tabs>
              <w:autoSpaceDE w:val="0"/>
              <w:autoSpaceDN w:val="0"/>
              <w:adjustRightInd w:val="0"/>
              <w:spacing w:line="240" w:lineRule="auto"/>
              <w:rPr>
                <w:sz w:val="24"/>
                <w:szCs w:val="24"/>
              </w:rPr>
            </w:pPr>
            <w:r w:rsidRPr="00EB68C7">
              <w:rPr>
                <w:sz w:val="24"/>
                <w:szCs w:val="24"/>
              </w:rPr>
              <w:t>If you use drops in both eyes, repeat these same steps for the other eye.</w:t>
            </w:r>
          </w:p>
          <w:p w14:paraId="63088C08" w14:textId="77777777" w:rsidR="007C1ECF" w:rsidRPr="00EB68C7" w:rsidRDefault="007C1ECF" w:rsidP="007C1ECF">
            <w:pPr>
              <w:pStyle w:val="Listeafsnit"/>
              <w:numPr>
                <w:ilvl w:val="0"/>
                <w:numId w:val="8"/>
              </w:numPr>
              <w:tabs>
                <w:tab w:val="clear" w:pos="567"/>
              </w:tabs>
              <w:autoSpaceDE w:val="0"/>
              <w:autoSpaceDN w:val="0"/>
              <w:adjustRightInd w:val="0"/>
              <w:spacing w:line="240" w:lineRule="auto"/>
              <w:rPr>
                <w:sz w:val="24"/>
                <w:szCs w:val="24"/>
              </w:rPr>
            </w:pPr>
            <w:r w:rsidRPr="00EB68C7">
              <w:rPr>
                <w:sz w:val="24"/>
                <w:szCs w:val="24"/>
              </w:rPr>
              <w:t>Close the bottle cap firmly immediately after use.</w:t>
            </w:r>
          </w:p>
          <w:p w14:paraId="59F10D89" w14:textId="77777777" w:rsidR="007C1ECF" w:rsidRPr="00EB68C7" w:rsidRDefault="007C1ECF" w:rsidP="007C1ECF">
            <w:pPr>
              <w:pStyle w:val="Listeafsnit"/>
              <w:numPr>
                <w:ilvl w:val="0"/>
                <w:numId w:val="8"/>
              </w:numPr>
              <w:tabs>
                <w:tab w:val="clear" w:pos="567"/>
              </w:tabs>
              <w:autoSpaceDE w:val="0"/>
              <w:autoSpaceDN w:val="0"/>
              <w:adjustRightInd w:val="0"/>
              <w:spacing w:line="240" w:lineRule="auto"/>
              <w:rPr>
                <w:sz w:val="24"/>
                <w:szCs w:val="24"/>
              </w:rPr>
            </w:pPr>
            <w:r w:rsidRPr="00EB68C7">
              <w:rPr>
                <w:sz w:val="24"/>
                <w:szCs w:val="24"/>
              </w:rPr>
              <w:t>Only use one bottle of medicine at a time. Do not open the cap until you need to use the bottle.</w:t>
            </w:r>
          </w:p>
          <w:p w14:paraId="0FA11990" w14:textId="77777777" w:rsidR="007C1ECF" w:rsidRPr="00EB68C7" w:rsidRDefault="007C1ECF" w:rsidP="007C1ECF">
            <w:pPr>
              <w:pStyle w:val="Listeafsnit"/>
              <w:numPr>
                <w:ilvl w:val="0"/>
                <w:numId w:val="8"/>
              </w:numPr>
              <w:tabs>
                <w:tab w:val="clear" w:pos="567"/>
              </w:tabs>
              <w:autoSpaceDE w:val="0"/>
              <w:autoSpaceDN w:val="0"/>
              <w:adjustRightInd w:val="0"/>
              <w:spacing w:line="240" w:lineRule="auto"/>
              <w:rPr>
                <w:sz w:val="24"/>
                <w:szCs w:val="24"/>
              </w:rPr>
            </w:pPr>
            <w:r w:rsidRPr="00EB68C7">
              <w:rPr>
                <w:b/>
                <w:bCs/>
                <w:sz w:val="24"/>
                <w:szCs w:val="24"/>
              </w:rPr>
              <w:t xml:space="preserve">You must throw away the bottle 4 weeks after you first opened it, </w:t>
            </w:r>
            <w:r w:rsidRPr="00EB68C7">
              <w:rPr>
                <w:sz w:val="24"/>
                <w:szCs w:val="24"/>
              </w:rPr>
              <w:t>to prevent infections, and use a new bottle.</w:t>
            </w:r>
          </w:p>
        </w:tc>
      </w:tr>
      <w:bookmarkEnd w:id="5"/>
    </w:tbl>
    <w:p w14:paraId="6BF24B28" w14:textId="77777777" w:rsidR="00C84C07" w:rsidRPr="00EB68C7" w:rsidRDefault="00C84C07" w:rsidP="00A64B35">
      <w:pPr>
        <w:ind w:left="851"/>
        <w:rPr>
          <w:sz w:val="24"/>
          <w:szCs w:val="24"/>
          <w:lang w:val="en-GB"/>
        </w:rPr>
      </w:pPr>
    </w:p>
    <w:p w14:paraId="493A32F2" w14:textId="77777777" w:rsidR="00C84C07" w:rsidRPr="00EB68C7" w:rsidRDefault="00C84C07" w:rsidP="00A64B35">
      <w:pPr>
        <w:ind w:left="851"/>
        <w:rPr>
          <w:sz w:val="24"/>
          <w:szCs w:val="24"/>
          <w:lang w:val="en-GB"/>
        </w:rPr>
      </w:pPr>
      <w:r w:rsidRPr="00EB68C7">
        <w:rPr>
          <w:sz w:val="24"/>
          <w:szCs w:val="24"/>
          <w:lang w:val="en-GB"/>
        </w:rPr>
        <w:t>Any unused medicinal product or waste material should be disposed of in accordance with local requirements</w:t>
      </w:r>
    </w:p>
    <w:p w14:paraId="579C70CE" w14:textId="77777777" w:rsidR="007C5D2A" w:rsidRPr="00EB68C7" w:rsidRDefault="007C5D2A" w:rsidP="00AB4376">
      <w:pPr>
        <w:tabs>
          <w:tab w:val="left" w:pos="851"/>
        </w:tabs>
        <w:ind w:left="851"/>
        <w:rPr>
          <w:sz w:val="24"/>
          <w:szCs w:val="24"/>
          <w:lang w:val="en-GB"/>
        </w:rPr>
      </w:pPr>
    </w:p>
    <w:p w14:paraId="27A06335" w14:textId="77777777" w:rsidR="007C5D2A" w:rsidRPr="00EB68C7" w:rsidRDefault="007C5D2A" w:rsidP="007C5D2A">
      <w:pPr>
        <w:tabs>
          <w:tab w:val="left" w:pos="851"/>
        </w:tabs>
        <w:ind w:left="851" w:hanging="851"/>
        <w:jc w:val="both"/>
        <w:rPr>
          <w:b/>
          <w:sz w:val="24"/>
          <w:szCs w:val="24"/>
          <w:lang w:val="en-GB"/>
        </w:rPr>
      </w:pPr>
      <w:r w:rsidRPr="00EB68C7">
        <w:rPr>
          <w:b/>
          <w:sz w:val="24"/>
          <w:szCs w:val="24"/>
          <w:lang w:val="en-GB"/>
        </w:rPr>
        <w:t>7.</w:t>
      </w:r>
      <w:r w:rsidRPr="00EB68C7">
        <w:rPr>
          <w:b/>
          <w:sz w:val="24"/>
          <w:szCs w:val="24"/>
          <w:lang w:val="en-GB"/>
        </w:rPr>
        <w:tab/>
        <w:t>MARKETING AUTHORISATION HOLDER</w:t>
      </w:r>
    </w:p>
    <w:p w14:paraId="55AF900D" w14:textId="002B8780" w:rsidR="00C84C07" w:rsidRPr="00EB68C7" w:rsidRDefault="00C84C07" w:rsidP="000453D0">
      <w:pPr>
        <w:ind w:left="851"/>
        <w:rPr>
          <w:sz w:val="24"/>
          <w:szCs w:val="24"/>
          <w:lang w:val="en-GB"/>
        </w:rPr>
      </w:pPr>
      <w:r w:rsidRPr="00EB68C7">
        <w:rPr>
          <w:sz w:val="24"/>
          <w:szCs w:val="24"/>
          <w:lang w:val="en-GB"/>
        </w:rPr>
        <w:t xml:space="preserve">Bausch </w:t>
      </w:r>
      <w:r w:rsidR="00996EA1" w:rsidRPr="00EB68C7">
        <w:rPr>
          <w:sz w:val="24"/>
          <w:szCs w:val="24"/>
          <w:lang w:val="en-GB"/>
        </w:rPr>
        <w:t>+</w:t>
      </w:r>
      <w:r w:rsidRPr="00EB68C7">
        <w:rPr>
          <w:sz w:val="24"/>
          <w:szCs w:val="24"/>
          <w:lang w:val="en-GB"/>
        </w:rPr>
        <w:t xml:space="preserve"> Lomb Ireland Limited</w:t>
      </w:r>
    </w:p>
    <w:p w14:paraId="4B3624CE" w14:textId="77777777" w:rsidR="00C84C07" w:rsidRPr="00EB68C7" w:rsidRDefault="00C84C07" w:rsidP="000453D0">
      <w:pPr>
        <w:ind w:left="851"/>
        <w:rPr>
          <w:sz w:val="24"/>
          <w:szCs w:val="24"/>
          <w:lang w:val="en-GB"/>
        </w:rPr>
      </w:pPr>
      <w:r w:rsidRPr="00EB68C7">
        <w:rPr>
          <w:sz w:val="24"/>
          <w:szCs w:val="24"/>
          <w:lang w:val="en-GB"/>
        </w:rPr>
        <w:t>3013 Lake Drive</w:t>
      </w:r>
    </w:p>
    <w:p w14:paraId="772EC3C1" w14:textId="77777777" w:rsidR="00C84C07" w:rsidRPr="00EB68C7" w:rsidRDefault="00C84C07" w:rsidP="000453D0">
      <w:pPr>
        <w:ind w:left="851"/>
        <w:rPr>
          <w:sz w:val="24"/>
          <w:szCs w:val="24"/>
          <w:lang w:val="en-GB"/>
        </w:rPr>
      </w:pPr>
      <w:r w:rsidRPr="00EB68C7">
        <w:rPr>
          <w:sz w:val="24"/>
          <w:szCs w:val="24"/>
          <w:lang w:val="en-GB"/>
        </w:rPr>
        <w:t>Citywest Business Campus</w:t>
      </w:r>
    </w:p>
    <w:p w14:paraId="5818C9E8" w14:textId="3FAEAB4E" w:rsidR="00C84C07" w:rsidRPr="00EB68C7" w:rsidRDefault="00C84C07" w:rsidP="000453D0">
      <w:pPr>
        <w:tabs>
          <w:tab w:val="left" w:pos="851"/>
        </w:tabs>
        <w:ind w:left="851"/>
        <w:rPr>
          <w:sz w:val="24"/>
          <w:szCs w:val="24"/>
          <w:lang w:val="en-GB"/>
        </w:rPr>
      </w:pPr>
      <w:r w:rsidRPr="00EB68C7">
        <w:rPr>
          <w:sz w:val="24"/>
          <w:szCs w:val="24"/>
          <w:lang w:val="en-GB"/>
        </w:rPr>
        <w:t>Dublin 24, D24PPT3</w:t>
      </w:r>
    </w:p>
    <w:p w14:paraId="4A06C0CB" w14:textId="20F9E4E3" w:rsidR="00C84C07" w:rsidRPr="00EB68C7" w:rsidRDefault="00C84C07" w:rsidP="000453D0">
      <w:pPr>
        <w:tabs>
          <w:tab w:val="left" w:pos="851"/>
        </w:tabs>
        <w:ind w:left="851"/>
        <w:rPr>
          <w:sz w:val="24"/>
          <w:szCs w:val="24"/>
          <w:lang w:val="en-GB"/>
        </w:rPr>
      </w:pPr>
      <w:r w:rsidRPr="00EB68C7">
        <w:rPr>
          <w:sz w:val="24"/>
          <w:szCs w:val="24"/>
          <w:lang w:val="en-GB"/>
        </w:rPr>
        <w:t>Ir</w:t>
      </w:r>
      <w:r w:rsidR="00996EA1" w:rsidRPr="00EB68C7">
        <w:rPr>
          <w:sz w:val="24"/>
          <w:szCs w:val="24"/>
          <w:lang w:val="en-GB"/>
        </w:rPr>
        <w:t>e</w:t>
      </w:r>
      <w:r w:rsidRPr="00EB68C7">
        <w:rPr>
          <w:sz w:val="24"/>
          <w:szCs w:val="24"/>
          <w:lang w:val="en-GB"/>
        </w:rPr>
        <w:t>land</w:t>
      </w:r>
    </w:p>
    <w:p w14:paraId="680D43AF" w14:textId="7193665D" w:rsidR="00C1229C" w:rsidRDefault="00C1229C">
      <w:pPr>
        <w:rPr>
          <w:sz w:val="24"/>
          <w:szCs w:val="24"/>
          <w:lang w:val="en-GB"/>
        </w:rPr>
      </w:pPr>
      <w:r>
        <w:rPr>
          <w:sz w:val="24"/>
          <w:szCs w:val="24"/>
          <w:lang w:val="en-GB"/>
        </w:rPr>
        <w:br w:type="page"/>
      </w:r>
    </w:p>
    <w:p w14:paraId="3ECAE08B" w14:textId="77777777" w:rsidR="007C5D2A" w:rsidRPr="00EB68C7" w:rsidRDefault="007C5D2A" w:rsidP="003E0341">
      <w:pPr>
        <w:tabs>
          <w:tab w:val="left" w:pos="851"/>
        </w:tabs>
        <w:ind w:left="851"/>
        <w:jc w:val="both"/>
        <w:rPr>
          <w:sz w:val="24"/>
          <w:szCs w:val="24"/>
          <w:lang w:val="en-GB"/>
        </w:rPr>
      </w:pPr>
      <w:bookmarkStart w:id="6" w:name="_GoBack"/>
      <w:bookmarkEnd w:id="6"/>
    </w:p>
    <w:p w14:paraId="5FEA902D" w14:textId="77777777" w:rsidR="007C5D2A" w:rsidRPr="00EB68C7" w:rsidRDefault="007C5D2A" w:rsidP="007C5D2A">
      <w:pPr>
        <w:ind w:left="851" w:hanging="851"/>
        <w:jc w:val="both"/>
        <w:rPr>
          <w:b/>
          <w:sz w:val="24"/>
          <w:szCs w:val="24"/>
          <w:lang w:val="en-GB"/>
        </w:rPr>
      </w:pPr>
      <w:r w:rsidRPr="00EB68C7">
        <w:rPr>
          <w:b/>
          <w:sz w:val="24"/>
          <w:szCs w:val="24"/>
          <w:lang w:val="en-GB"/>
        </w:rPr>
        <w:t>8.</w:t>
      </w:r>
      <w:r w:rsidRPr="00EB68C7">
        <w:rPr>
          <w:b/>
          <w:sz w:val="24"/>
          <w:szCs w:val="24"/>
          <w:lang w:val="en-GB"/>
        </w:rPr>
        <w:tab/>
        <w:t>MARKETING AUTHORISATION NUMBER(S)</w:t>
      </w:r>
    </w:p>
    <w:p w14:paraId="482E038D" w14:textId="77777777" w:rsidR="00C84C07" w:rsidRPr="00EB68C7" w:rsidRDefault="00C84C07" w:rsidP="00C84C07">
      <w:pPr>
        <w:tabs>
          <w:tab w:val="left" w:pos="851"/>
        </w:tabs>
        <w:ind w:left="851"/>
        <w:jc w:val="both"/>
        <w:rPr>
          <w:sz w:val="24"/>
          <w:szCs w:val="24"/>
          <w:lang w:val="en-GB"/>
        </w:rPr>
      </w:pPr>
      <w:r w:rsidRPr="00EB68C7">
        <w:rPr>
          <w:sz w:val="24"/>
          <w:szCs w:val="24"/>
          <w:lang w:val="en-GB"/>
        </w:rPr>
        <w:t>59505</w:t>
      </w:r>
    </w:p>
    <w:p w14:paraId="4728D4FF" w14:textId="77777777" w:rsidR="007C5D2A" w:rsidRPr="00EB68C7" w:rsidRDefault="007C5D2A" w:rsidP="00180A12">
      <w:pPr>
        <w:tabs>
          <w:tab w:val="left" w:pos="851"/>
        </w:tabs>
        <w:ind w:left="851"/>
        <w:jc w:val="both"/>
        <w:rPr>
          <w:sz w:val="24"/>
          <w:szCs w:val="24"/>
          <w:lang w:val="en-GB"/>
        </w:rPr>
      </w:pPr>
    </w:p>
    <w:p w14:paraId="048005DE" w14:textId="77777777" w:rsidR="007C5D2A" w:rsidRPr="00EB68C7" w:rsidRDefault="007C5D2A" w:rsidP="007C5D2A">
      <w:pPr>
        <w:tabs>
          <w:tab w:val="left" w:pos="851"/>
        </w:tabs>
        <w:jc w:val="both"/>
        <w:rPr>
          <w:sz w:val="24"/>
          <w:szCs w:val="24"/>
          <w:lang w:val="en-GB"/>
        </w:rPr>
      </w:pPr>
      <w:r w:rsidRPr="00EB68C7">
        <w:rPr>
          <w:b/>
          <w:sz w:val="24"/>
          <w:szCs w:val="24"/>
          <w:lang w:val="en-GB"/>
        </w:rPr>
        <w:t>9.</w:t>
      </w:r>
      <w:r w:rsidRPr="00EB68C7">
        <w:rPr>
          <w:b/>
          <w:sz w:val="24"/>
          <w:szCs w:val="24"/>
          <w:lang w:val="en-GB"/>
        </w:rPr>
        <w:tab/>
        <w:t>DATE OF FIRST AUTHORISATION</w:t>
      </w:r>
    </w:p>
    <w:p w14:paraId="3E6DD736" w14:textId="61F303F2" w:rsidR="007C5D2A" w:rsidRPr="00EB68C7" w:rsidRDefault="00C84C07" w:rsidP="00A85D26">
      <w:pPr>
        <w:ind w:left="851"/>
        <w:jc w:val="both"/>
        <w:rPr>
          <w:sz w:val="24"/>
          <w:szCs w:val="24"/>
          <w:lang w:val="en-GB"/>
        </w:rPr>
      </w:pPr>
      <w:r w:rsidRPr="00EB68C7">
        <w:rPr>
          <w:sz w:val="24"/>
          <w:szCs w:val="24"/>
          <w:lang w:val="en-GB"/>
        </w:rPr>
        <w:t>3 July 2018</w:t>
      </w:r>
    </w:p>
    <w:p w14:paraId="16E609FD" w14:textId="77777777" w:rsidR="007C5D2A" w:rsidRPr="00EB68C7" w:rsidRDefault="007C5D2A" w:rsidP="003E0341">
      <w:pPr>
        <w:tabs>
          <w:tab w:val="left" w:pos="851"/>
        </w:tabs>
        <w:ind w:left="851"/>
        <w:jc w:val="both"/>
        <w:rPr>
          <w:sz w:val="24"/>
          <w:szCs w:val="24"/>
          <w:lang w:val="en-GB"/>
        </w:rPr>
      </w:pPr>
    </w:p>
    <w:p w14:paraId="1219DA72" w14:textId="77777777" w:rsidR="007C5D2A" w:rsidRPr="00EB68C7" w:rsidRDefault="007C5D2A" w:rsidP="007C5D2A">
      <w:pPr>
        <w:tabs>
          <w:tab w:val="left" w:pos="851"/>
        </w:tabs>
        <w:jc w:val="both"/>
        <w:rPr>
          <w:sz w:val="24"/>
          <w:szCs w:val="24"/>
          <w:lang w:val="en-GB"/>
        </w:rPr>
      </w:pPr>
      <w:r w:rsidRPr="00EB68C7">
        <w:rPr>
          <w:b/>
          <w:sz w:val="24"/>
          <w:szCs w:val="24"/>
          <w:lang w:val="en-GB"/>
        </w:rPr>
        <w:t>10.</w:t>
      </w:r>
      <w:r w:rsidRPr="00EB68C7">
        <w:rPr>
          <w:b/>
          <w:sz w:val="24"/>
          <w:szCs w:val="24"/>
          <w:lang w:val="en-GB"/>
        </w:rPr>
        <w:tab/>
        <w:t>DATE OF REVISION OF THE TEXT</w:t>
      </w:r>
    </w:p>
    <w:p w14:paraId="04DE0F59" w14:textId="0059C9EE" w:rsidR="007C5D2A" w:rsidRPr="00EB68C7" w:rsidRDefault="00C1229C" w:rsidP="003E0341">
      <w:pPr>
        <w:tabs>
          <w:tab w:val="left" w:pos="851"/>
        </w:tabs>
        <w:ind w:left="851"/>
        <w:jc w:val="both"/>
        <w:rPr>
          <w:sz w:val="24"/>
          <w:szCs w:val="24"/>
          <w:lang w:val="en-GB"/>
        </w:rPr>
      </w:pPr>
      <w:r>
        <w:rPr>
          <w:sz w:val="24"/>
          <w:szCs w:val="24"/>
          <w:lang w:val="en-GB"/>
        </w:rPr>
        <w:t>8 November 2023</w:t>
      </w:r>
    </w:p>
    <w:sectPr w:rsidR="007C5D2A" w:rsidRPr="00EB68C7" w:rsidSect="004A3BF4">
      <w:headerReference w:type="even" r:id="rId14"/>
      <w:headerReference w:type="default" r:id="rId15"/>
      <w:footerReference w:type="even" r:id="rId16"/>
      <w:footerReference w:type="default" r:id="rId17"/>
      <w:headerReference w:type="first" r:id="rId18"/>
      <w:footerReference w:type="first" r:id="rId19"/>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D4E82C" w14:textId="77777777" w:rsidR="00AF2F84" w:rsidRDefault="00AF2F84">
      <w:r>
        <w:separator/>
      </w:r>
    </w:p>
  </w:endnote>
  <w:endnote w:type="continuationSeparator" w:id="0">
    <w:p w14:paraId="6FCEF1E2" w14:textId="77777777" w:rsidR="00AF2F84" w:rsidRDefault="00AF2F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7BCDD0" w14:textId="77777777" w:rsidR="00AC033C" w:rsidRDefault="00AC033C">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408252" w14:textId="77777777" w:rsidR="00864538" w:rsidRDefault="00864538">
    <w:pPr>
      <w:pStyle w:val="Sidefod"/>
      <w:pBdr>
        <w:bottom w:val="single" w:sz="6" w:space="1" w:color="auto"/>
      </w:pBdr>
    </w:pPr>
  </w:p>
  <w:p w14:paraId="47D464D3" w14:textId="77777777" w:rsidR="00864538" w:rsidRDefault="00864538">
    <w:pPr>
      <w:pStyle w:val="Sidefod"/>
      <w:tabs>
        <w:tab w:val="clear" w:pos="4819"/>
        <w:tab w:val="left" w:pos="8647"/>
      </w:tabs>
      <w:rPr>
        <w:i/>
        <w:snapToGrid w:val="0"/>
        <w:sz w:val="18"/>
      </w:rPr>
    </w:pPr>
  </w:p>
  <w:p w14:paraId="3A2CC5C0" w14:textId="7F27E01B" w:rsidR="00864538" w:rsidRDefault="00E36A80" w:rsidP="00AC033C">
    <w:pPr>
      <w:pStyle w:val="Sidefod"/>
      <w:tabs>
        <w:tab w:val="clear" w:pos="4819"/>
        <w:tab w:val="left" w:pos="8364"/>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832A34">
      <w:rPr>
        <w:i/>
        <w:noProof/>
        <w:snapToGrid w:val="0"/>
        <w:sz w:val="18"/>
      </w:rPr>
      <w:t>Vizilatan, øjendråber, opløsning 50 mikrogram-ml.docx</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AC033C">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AC033C">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623C5A" w14:textId="77777777" w:rsidR="00864538" w:rsidRDefault="00864538">
    <w:pPr>
      <w:pStyle w:val="Sidefod"/>
      <w:pBdr>
        <w:bottom w:val="single" w:sz="6" w:space="1" w:color="auto"/>
      </w:pBdr>
      <w:tabs>
        <w:tab w:val="clear" w:pos="4819"/>
        <w:tab w:val="left" w:pos="8789"/>
      </w:tabs>
      <w:rPr>
        <w:i/>
        <w:snapToGrid w:val="0"/>
        <w:sz w:val="18"/>
      </w:rPr>
    </w:pPr>
  </w:p>
  <w:p w14:paraId="26B24813" w14:textId="77777777" w:rsidR="00864538" w:rsidRDefault="00864538">
    <w:pPr>
      <w:pStyle w:val="Sidefod"/>
      <w:tabs>
        <w:tab w:val="clear" w:pos="4819"/>
        <w:tab w:val="left" w:pos="8789"/>
      </w:tabs>
      <w:rPr>
        <w:i/>
        <w:snapToGrid w:val="0"/>
        <w:sz w:val="18"/>
      </w:rPr>
    </w:pPr>
  </w:p>
  <w:p w14:paraId="2083D2A7" w14:textId="6000120A" w:rsidR="00864538" w:rsidRDefault="00E36A80">
    <w:pPr>
      <w:pStyle w:val="Sidefod"/>
      <w:tabs>
        <w:tab w:val="clear" w:pos="4819"/>
        <w:tab w:val="left" w:pos="8647"/>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832A34">
      <w:rPr>
        <w:i/>
        <w:noProof/>
        <w:snapToGrid w:val="0"/>
        <w:sz w:val="18"/>
      </w:rPr>
      <w:t>Vizilatan, øjendråber, opløsning 50 mikrogram-ml.docx</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D97B77">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E1290F">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49861E" w14:textId="77777777" w:rsidR="00AF2F84" w:rsidRDefault="00AF2F84">
      <w:r>
        <w:separator/>
      </w:r>
    </w:p>
  </w:footnote>
  <w:footnote w:type="continuationSeparator" w:id="0">
    <w:p w14:paraId="531CBC16" w14:textId="77777777" w:rsidR="00AF2F84" w:rsidRDefault="00AF2F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143CC2" w14:textId="77777777" w:rsidR="00AC033C" w:rsidRDefault="00AC033C">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76827E" w14:textId="77777777" w:rsidR="00864538" w:rsidRDefault="000D3C9D">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AE7A5" w14:textId="77777777" w:rsidR="00AC033C" w:rsidRDefault="00AC033C">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2D4B50E7"/>
    <w:multiLevelType w:val="hybridMultilevel"/>
    <w:tmpl w:val="C7B85CEC"/>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FCF598A"/>
    <w:multiLevelType w:val="hybridMultilevel"/>
    <w:tmpl w:val="7C6258A0"/>
    <w:lvl w:ilvl="0" w:tplc="257A206C">
      <w:start w:val="1"/>
      <w:numFmt w:val="bullet"/>
      <w:lvlText w:val=""/>
      <w:lvlJc w:val="left"/>
      <w:pPr>
        <w:ind w:left="360" w:hanging="360"/>
      </w:pPr>
      <w:rPr>
        <w:rFonts w:ascii="Symbol" w:hAnsi="Symbol" w:hint="default"/>
        <w:color w:val="auto"/>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5" w15:restartNumberingAfterBreak="0">
    <w:nsid w:val="4840158E"/>
    <w:multiLevelType w:val="hybridMultilevel"/>
    <w:tmpl w:val="4FACD230"/>
    <w:lvl w:ilvl="0" w:tplc="257A206C">
      <w:start w:val="1"/>
      <w:numFmt w:val="bullet"/>
      <w:lvlText w:val=""/>
      <w:lvlJc w:val="left"/>
      <w:pPr>
        <w:ind w:left="360" w:hanging="360"/>
      </w:pPr>
      <w:rPr>
        <w:rFonts w:ascii="Symbol" w:hAnsi="Symbol" w:hint="default"/>
        <w:color w:val="auto"/>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6" w15:restartNumberingAfterBreak="0">
    <w:nsid w:val="50BB5DF7"/>
    <w:multiLevelType w:val="hybridMultilevel"/>
    <w:tmpl w:val="DA78ACD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 w15:restartNumberingAfterBreak="0">
    <w:nsid w:val="51AD100F"/>
    <w:multiLevelType w:val="hybridMultilevel"/>
    <w:tmpl w:val="62082764"/>
    <w:lvl w:ilvl="0" w:tplc="257A206C">
      <w:start w:val="1"/>
      <w:numFmt w:val="bullet"/>
      <w:lvlText w:val=""/>
      <w:lvlJc w:val="left"/>
      <w:pPr>
        <w:ind w:left="360" w:hanging="360"/>
      </w:pPr>
      <w:rPr>
        <w:rFonts w:ascii="Symbol" w:hAnsi="Symbol" w:hint="default"/>
        <w:color w:val="auto"/>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8"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8"/>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4"/>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F84"/>
    <w:rsid w:val="0004453D"/>
    <w:rsid w:val="000453D0"/>
    <w:rsid w:val="0005454B"/>
    <w:rsid w:val="00056601"/>
    <w:rsid w:val="000B1C7E"/>
    <w:rsid w:val="000C3846"/>
    <w:rsid w:val="000C6218"/>
    <w:rsid w:val="000D3C9D"/>
    <w:rsid w:val="000D6B3D"/>
    <w:rsid w:val="000E1131"/>
    <w:rsid w:val="000F0D47"/>
    <w:rsid w:val="001178B0"/>
    <w:rsid w:val="001242DE"/>
    <w:rsid w:val="0015031F"/>
    <w:rsid w:val="00174999"/>
    <w:rsid w:val="00180A12"/>
    <w:rsid w:val="001C4AEC"/>
    <w:rsid w:val="00203726"/>
    <w:rsid w:val="002141DC"/>
    <w:rsid w:val="00214331"/>
    <w:rsid w:val="00214CF4"/>
    <w:rsid w:val="00254816"/>
    <w:rsid w:val="00273C71"/>
    <w:rsid w:val="00281F03"/>
    <w:rsid w:val="0029458A"/>
    <w:rsid w:val="002A1587"/>
    <w:rsid w:val="002B27C5"/>
    <w:rsid w:val="00303008"/>
    <w:rsid w:val="00373B55"/>
    <w:rsid w:val="003D374D"/>
    <w:rsid w:val="003D727E"/>
    <w:rsid w:val="003E0341"/>
    <w:rsid w:val="003E22ED"/>
    <w:rsid w:val="003E3402"/>
    <w:rsid w:val="003F4736"/>
    <w:rsid w:val="00401B49"/>
    <w:rsid w:val="0042292D"/>
    <w:rsid w:val="00440254"/>
    <w:rsid w:val="00453C51"/>
    <w:rsid w:val="004860D3"/>
    <w:rsid w:val="004A3BF4"/>
    <w:rsid w:val="004A5DB3"/>
    <w:rsid w:val="005152D9"/>
    <w:rsid w:val="00533AD4"/>
    <w:rsid w:val="00534849"/>
    <w:rsid w:val="00560102"/>
    <w:rsid w:val="00562EA1"/>
    <w:rsid w:val="005640AF"/>
    <w:rsid w:val="005A752C"/>
    <w:rsid w:val="00617BB8"/>
    <w:rsid w:val="00626A1F"/>
    <w:rsid w:val="00680052"/>
    <w:rsid w:val="00683267"/>
    <w:rsid w:val="006844E9"/>
    <w:rsid w:val="006B3847"/>
    <w:rsid w:val="006B4CE3"/>
    <w:rsid w:val="006F209F"/>
    <w:rsid w:val="00722998"/>
    <w:rsid w:val="007433C3"/>
    <w:rsid w:val="0075453D"/>
    <w:rsid w:val="007A4CC6"/>
    <w:rsid w:val="007C1ECF"/>
    <w:rsid w:val="007C3623"/>
    <w:rsid w:val="007C5D2A"/>
    <w:rsid w:val="007E759B"/>
    <w:rsid w:val="007F1E00"/>
    <w:rsid w:val="00815C59"/>
    <w:rsid w:val="00832A34"/>
    <w:rsid w:val="008400E3"/>
    <w:rsid w:val="00864538"/>
    <w:rsid w:val="00873B4F"/>
    <w:rsid w:val="008E1F60"/>
    <w:rsid w:val="008E51AE"/>
    <w:rsid w:val="008F2F8C"/>
    <w:rsid w:val="00921084"/>
    <w:rsid w:val="00956842"/>
    <w:rsid w:val="009925C9"/>
    <w:rsid w:val="00996EA1"/>
    <w:rsid w:val="009C1E37"/>
    <w:rsid w:val="00A179D0"/>
    <w:rsid w:val="00A17ED9"/>
    <w:rsid w:val="00A358A3"/>
    <w:rsid w:val="00A46747"/>
    <w:rsid w:val="00A64B35"/>
    <w:rsid w:val="00A80446"/>
    <w:rsid w:val="00A85D26"/>
    <w:rsid w:val="00A9153A"/>
    <w:rsid w:val="00AB4376"/>
    <w:rsid w:val="00AC033C"/>
    <w:rsid w:val="00AD2E36"/>
    <w:rsid w:val="00AE4FD1"/>
    <w:rsid w:val="00AF0151"/>
    <w:rsid w:val="00AF2F84"/>
    <w:rsid w:val="00B02943"/>
    <w:rsid w:val="00B13659"/>
    <w:rsid w:val="00B22013"/>
    <w:rsid w:val="00B31DCA"/>
    <w:rsid w:val="00B53D44"/>
    <w:rsid w:val="00BB207E"/>
    <w:rsid w:val="00BD3490"/>
    <w:rsid w:val="00C1229C"/>
    <w:rsid w:val="00C23DC9"/>
    <w:rsid w:val="00C26226"/>
    <w:rsid w:val="00C3571D"/>
    <w:rsid w:val="00C54F0B"/>
    <w:rsid w:val="00C82621"/>
    <w:rsid w:val="00C84C07"/>
    <w:rsid w:val="00C85E84"/>
    <w:rsid w:val="00CB1423"/>
    <w:rsid w:val="00D02508"/>
    <w:rsid w:val="00D50A72"/>
    <w:rsid w:val="00D778CC"/>
    <w:rsid w:val="00D82FE9"/>
    <w:rsid w:val="00D97B77"/>
    <w:rsid w:val="00DB6A85"/>
    <w:rsid w:val="00DC7350"/>
    <w:rsid w:val="00DE64A5"/>
    <w:rsid w:val="00E024B5"/>
    <w:rsid w:val="00E06B32"/>
    <w:rsid w:val="00E1290F"/>
    <w:rsid w:val="00E36A80"/>
    <w:rsid w:val="00E51ACB"/>
    <w:rsid w:val="00E57FA2"/>
    <w:rsid w:val="00E71CF9"/>
    <w:rsid w:val="00E7258D"/>
    <w:rsid w:val="00EB21D7"/>
    <w:rsid w:val="00EB68C7"/>
    <w:rsid w:val="00EE3EB7"/>
    <w:rsid w:val="00F0588E"/>
    <w:rsid w:val="00F23A2B"/>
    <w:rsid w:val="00F57E16"/>
    <w:rsid w:val="00F60336"/>
    <w:rsid w:val="00FA0CF8"/>
    <w:rsid w:val="00FB7EBC"/>
    <w:rsid w:val="00FB7FE3"/>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E459D5"/>
  <w15:chartTrackingRefBased/>
  <w15:docId w15:val="{6418A8FE-9D78-4962-81DD-37D24E8C7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character" w:styleId="Hyperlink">
    <w:name w:val="Hyperlink"/>
    <w:semiHidden/>
    <w:unhideWhenUsed/>
    <w:rsid w:val="00BB207E"/>
    <w:rPr>
      <w:color w:val="0000FF"/>
      <w:u w:val="single"/>
    </w:rPr>
  </w:style>
  <w:style w:type="paragraph" w:styleId="Listeafsnit">
    <w:name w:val="List Paragraph"/>
    <w:basedOn w:val="Normal"/>
    <w:uiPriority w:val="34"/>
    <w:qFormat/>
    <w:rsid w:val="007C1ECF"/>
    <w:pPr>
      <w:tabs>
        <w:tab w:val="left" w:pos="567"/>
      </w:tabs>
      <w:spacing w:line="260" w:lineRule="exact"/>
      <w:ind w:left="720"/>
      <w:contextualSpacing/>
    </w:pPr>
    <w:rPr>
      <w:sz w:val="22"/>
      <w:lang w:val="en-GB" w:eastAsia="en-US"/>
    </w:rPr>
  </w:style>
  <w:style w:type="paragraph" w:styleId="NormalWeb">
    <w:name w:val="Normal (Web)"/>
    <w:basedOn w:val="Normal"/>
    <w:uiPriority w:val="99"/>
    <w:unhideWhenUsed/>
    <w:rsid w:val="00A17ED9"/>
    <w:pPr>
      <w:spacing w:before="100" w:beforeAutospacing="1" w:after="100" w:afterAutospacing="1"/>
    </w:pPr>
    <w:rPr>
      <w:sz w:val="24"/>
      <w:szCs w:val="24"/>
      <w:lang w:val="en-GB" w:eastAsia="en-GB"/>
    </w:rPr>
  </w:style>
  <w:style w:type="paragraph" w:styleId="Korrektur">
    <w:name w:val="Revision"/>
    <w:hidden/>
    <w:uiPriority w:val="99"/>
    <w:semiHidden/>
    <w:rsid w:val="003E22ED"/>
    <w:rPr>
      <w:sz w:val="23"/>
    </w:rPr>
  </w:style>
  <w:style w:type="paragraph" w:styleId="Brdtekst">
    <w:name w:val="Body Text"/>
    <w:basedOn w:val="Normal"/>
    <w:link w:val="BrdtekstTegn"/>
    <w:semiHidden/>
    <w:unhideWhenUsed/>
    <w:rsid w:val="003E22ED"/>
    <w:rPr>
      <w:i/>
      <w:color w:val="008000"/>
      <w:sz w:val="22"/>
      <w:lang w:val="en-GB" w:eastAsia="en-US"/>
    </w:rPr>
  </w:style>
  <w:style w:type="character" w:customStyle="1" w:styleId="BrdtekstTegn">
    <w:name w:val="Brødtekst Tegn"/>
    <w:basedOn w:val="Standardskrifttypeiafsnit"/>
    <w:link w:val="Brdtekst"/>
    <w:semiHidden/>
    <w:rsid w:val="003E22ED"/>
    <w:rPr>
      <w:i/>
      <w:color w:val="008000"/>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456071">
      <w:bodyDiv w:val="1"/>
      <w:marLeft w:val="0"/>
      <w:marRight w:val="0"/>
      <w:marTop w:val="0"/>
      <w:marBottom w:val="0"/>
      <w:divBdr>
        <w:top w:val="none" w:sz="0" w:space="0" w:color="auto"/>
        <w:left w:val="none" w:sz="0" w:space="0" w:color="auto"/>
        <w:bottom w:val="none" w:sz="0" w:space="0" w:color="auto"/>
        <w:right w:val="none" w:sz="0" w:space="0" w:color="auto"/>
      </w:divBdr>
    </w:div>
    <w:div w:id="49422454">
      <w:bodyDiv w:val="1"/>
      <w:marLeft w:val="0"/>
      <w:marRight w:val="0"/>
      <w:marTop w:val="0"/>
      <w:marBottom w:val="0"/>
      <w:divBdr>
        <w:top w:val="none" w:sz="0" w:space="0" w:color="auto"/>
        <w:left w:val="none" w:sz="0" w:space="0" w:color="auto"/>
        <w:bottom w:val="none" w:sz="0" w:space="0" w:color="auto"/>
        <w:right w:val="none" w:sz="0" w:space="0" w:color="auto"/>
      </w:divBdr>
    </w:div>
    <w:div w:id="120997456">
      <w:bodyDiv w:val="1"/>
      <w:marLeft w:val="0"/>
      <w:marRight w:val="0"/>
      <w:marTop w:val="0"/>
      <w:marBottom w:val="0"/>
      <w:divBdr>
        <w:top w:val="none" w:sz="0" w:space="0" w:color="auto"/>
        <w:left w:val="none" w:sz="0" w:space="0" w:color="auto"/>
        <w:bottom w:val="none" w:sz="0" w:space="0" w:color="auto"/>
        <w:right w:val="none" w:sz="0" w:space="0" w:color="auto"/>
      </w:divBdr>
    </w:div>
    <w:div w:id="171454075">
      <w:bodyDiv w:val="1"/>
      <w:marLeft w:val="0"/>
      <w:marRight w:val="0"/>
      <w:marTop w:val="0"/>
      <w:marBottom w:val="0"/>
      <w:divBdr>
        <w:top w:val="none" w:sz="0" w:space="0" w:color="auto"/>
        <w:left w:val="none" w:sz="0" w:space="0" w:color="auto"/>
        <w:bottom w:val="none" w:sz="0" w:space="0" w:color="auto"/>
        <w:right w:val="none" w:sz="0" w:space="0" w:color="auto"/>
      </w:divBdr>
    </w:div>
    <w:div w:id="176889490">
      <w:bodyDiv w:val="1"/>
      <w:marLeft w:val="0"/>
      <w:marRight w:val="0"/>
      <w:marTop w:val="0"/>
      <w:marBottom w:val="0"/>
      <w:divBdr>
        <w:top w:val="none" w:sz="0" w:space="0" w:color="auto"/>
        <w:left w:val="none" w:sz="0" w:space="0" w:color="auto"/>
        <w:bottom w:val="none" w:sz="0" w:space="0" w:color="auto"/>
        <w:right w:val="none" w:sz="0" w:space="0" w:color="auto"/>
      </w:divBdr>
    </w:div>
    <w:div w:id="232206763">
      <w:bodyDiv w:val="1"/>
      <w:marLeft w:val="0"/>
      <w:marRight w:val="0"/>
      <w:marTop w:val="0"/>
      <w:marBottom w:val="0"/>
      <w:divBdr>
        <w:top w:val="none" w:sz="0" w:space="0" w:color="auto"/>
        <w:left w:val="none" w:sz="0" w:space="0" w:color="auto"/>
        <w:bottom w:val="none" w:sz="0" w:space="0" w:color="auto"/>
        <w:right w:val="none" w:sz="0" w:space="0" w:color="auto"/>
      </w:divBdr>
    </w:div>
    <w:div w:id="232547108">
      <w:bodyDiv w:val="1"/>
      <w:marLeft w:val="0"/>
      <w:marRight w:val="0"/>
      <w:marTop w:val="0"/>
      <w:marBottom w:val="0"/>
      <w:divBdr>
        <w:top w:val="none" w:sz="0" w:space="0" w:color="auto"/>
        <w:left w:val="none" w:sz="0" w:space="0" w:color="auto"/>
        <w:bottom w:val="none" w:sz="0" w:space="0" w:color="auto"/>
        <w:right w:val="none" w:sz="0" w:space="0" w:color="auto"/>
      </w:divBdr>
    </w:div>
    <w:div w:id="241717102">
      <w:bodyDiv w:val="1"/>
      <w:marLeft w:val="0"/>
      <w:marRight w:val="0"/>
      <w:marTop w:val="0"/>
      <w:marBottom w:val="0"/>
      <w:divBdr>
        <w:top w:val="none" w:sz="0" w:space="0" w:color="auto"/>
        <w:left w:val="none" w:sz="0" w:space="0" w:color="auto"/>
        <w:bottom w:val="none" w:sz="0" w:space="0" w:color="auto"/>
        <w:right w:val="none" w:sz="0" w:space="0" w:color="auto"/>
      </w:divBdr>
    </w:div>
    <w:div w:id="267741819">
      <w:bodyDiv w:val="1"/>
      <w:marLeft w:val="0"/>
      <w:marRight w:val="0"/>
      <w:marTop w:val="0"/>
      <w:marBottom w:val="0"/>
      <w:divBdr>
        <w:top w:val="none" w:sz="0" w:space="0" w:color="auto"/>
        <w:left w:val="none" w:sz="0" w:space="0" w:color="auto"/>
        <w:bottom w:val="none" w:sz="0" w:space="0" w:color="auto"/>
        <w:right w:val="none" w:sz="0" w:space="0" w:color="auto"/>
      </w:divBdr>
    </w:div>
    <w:div w:id="417333626">
      <w:bodyDiv w:val="1"/>
      <w:marLeft w:val="0"/>
      <w:marRight w:val="0"/>
      <w:marTop w:val="0"/>
      <w:marBottom w:val="0"/>
      <w:divBdr>
        <w:top w:val="none" w:sz="0" w:space="0" w:color="auto"/>
        <w:left w:val="none" w:sz="0" w:space="0" w:color="auto"/>
        <w:bottom w:val="none" w:sz="0" w:space="0" w:color="auto"/>
        <w:right w:val="none" w:sz="0" w:space="0" w:color="auto"/>
      </w:divBdr>
    </w:div>
    <w:div w:id="423654309">
      <w:bodyDiv w:val="1"/>
      <w:marLeft w:val="0"/>
      <w:marRight w:val="0"/>
      <w:marTop w:val="0"/>
      <w:marBottom w:val="0"/>
      <w:divBdr>
        <w:top w:val="none" w:sz="0" w:space="0" w:color="auto"/>
        <w:left w:val="none" w:sz="0" w:space="0" w:color="auto"/>
        <w:bottom w:val="none" w:sz="0" w:space="0" w:color="auto"/>
        <w:right w:val="none" w:sz="0" w:space="0" w:color="auto"/>
      </w:divBdr>
    </w:div>
    <w:div w:id="450587245">
      <w:bodyDiv w:val="1"/>
      <w:marLeft w:val="0"/>
      <w:marRight w:val="0"/>
      <w:marTop w:val="0"/>
      <w:marBottom w:val="0"/>
      <w:divBdr>
        <w:top w:val="none" w:sz="0" w:space="0" w:color="auto"/>
        <w:left w:val="none" w:sz="0" w:space="0" w:color="auto"/>
        <w:bottom w:val="none" w:sz="0" w:space="0" w:color="auto"/>
        <w:right w:val="none" w:sz="0" w:space="0" w:color="auto"/>
      </w:divBdr>
    </w:div>
    <w:div w:id="464353196">
      <w:bodyDiv w:val="1"/>
      <w:marLeft w:val="0"/>
      <w:marRight w:val="0"/>
      <w:marTop w:val="0"/>
      <w:marBottom w:val="0"/>
      <w:divBdr>
        <w:top w:val="none" w:sz="0" w:space="0" w:color="auto"/>
        <w:left w:val="none" w:sz="0" w:space="0" w:color="auto"/>
        <w:bottom w:val="none" w:sz="0" w:space="0" w:color="auto"/>
        <w:right w:val="none" w:sz="0" w:space="0" w:color="auto"/>
      </w:divBdr>
    </w:div>
    <w:div w:id="538906602">
      <w:bodyDiv w:val="1"/>
      <w:marLeft w:val="0"/>
      <w:marRight w:val="0"/>
      <w:marTop w:val="0"/>
      <w:marBottom w:val="0"/>
      <w:divBdr>
        <w:top w:val="none" w:sz="0" w:space="0" w:color="auto"/>
        <w:left w:val="none" w:sz="0" w:space="0" w:color="auto"/>
        <w:bottom w:val="none" w:sz="0" w:space="0" w:color="auto"/>
        <w:right w:val="none" w:sz="0" w:space="0" w:color="auto"/>
      </w:divBdr>
    </w:div>
    <w:div w:id="588318569">
      <w:bodyDiv w:val="1"/>
      <w:marLeft w:val="0"/>
      <w:marRight w:val="0"/>
      <w:marTop w:val="0"/>
      <w:marBottom w:val="0"/>
      <w:divBdr>
        <w:top w:val="none" w:sz="0" w:space="0" w:color="auto"/>
        <w:left w:val="none" w:sz="0" w:space="0" w:color="auto"/>
        <w:bottom w:val="none" w:sz="0" w:space="0" w:color="auto"/>
        <w:right w:val="none" w:sz="0" w:space="0" w:color="auto"/>
      </w:divBdr>
    </w:div>
    <w:div w:id="658928464">
      <w:bodyDiv w:val="1"/>
      <w:marLeft w:val="0"/>
      <w:marRight w:val="0"/>
      <w:marTop w:val="0"/>
      <w:marBottom w:val="0"/>
      <w:divBdr>
        <w:top w:val="none" w:sz="0" w:space="0" w:color="auto"/>
        <w:left w:val="none" w:sz="0" w:space="0" w:color="auto"/>
        <w:bottom w:val="none" w:sz="0" w:space="0" w:color="auto"/>
        <w:right w:val="none" w:sz="0" w:space="0" w:color="auto"/>
      </w:divBdr>
    </w:div>
    <w:div w:id="724718623">
      <w:bodyDiv w:val="1"/>
      <w:marLeft w:val="0"/>
      <w:marRight w:val="0"/>
      <w:marTop w:val="0"/>
      <w:marBottom w:val="0"/>
      <w:divBdr>
        <w:top w:val="none" w:sz="0" w:space="0" w:color="auto"/>
        <w:left w:val="none" w:sz="0" w:space="0" w:color="auto"/>
        <w:bottom w:val="none" w:sz="0" w:space="0" w:color="auto"/>
        <w:right w:val="none" w:sz="0" w:space="0" w:color="auto"/>
      </w:divBdr>
    </w:div>
    <w:div w:id="928192558">
      <w:bodyDiv w:val="1"/>
      <w:marLeft w:val="0"/>
      <w:marRight w:val="0"/>
      <w:marTop w:val="0"/>
      <w:marBottom w:val="0"/>
      <w:divBdr>
        <w:top w:val="none" w:sz="0" w:space="0" w:color="auto"/>
        <w:left w:val="none" w:sz="0" w:space="0" w:color="auto"/>
        <w:bottom w:val="none" w:sz="0" w:space="0" w:color="auto"/>
        <w:right w:val="none" w:sz="0" w:space="0" w:color="auto"/>
      </w:divBdr>
    </w:div>
    <w:div w:id="1125584092">
      <w:bodyDiv w:val="1"/>
      <w:marLeft w:val="0"/>
      <w:marRight w:val="0"/>
      <w:marTop w:val="0"/>
      <w:marBottom w:val="0"/>
      <w:divBdr>
        <w:top w:val="none" w:sz="0" w:space="0" w:color="auto"/>
        <w:left w:val="none" w:sz="0" w:space="0" w:color="auto"/>
        <w:bottom w:val="none" w:sz="0" w:space="0" w:color="auto"/>
        <w:right w:val="none" w:sz="0" w:space="0" w:color="auto"/>
      </w:divBdr>
    </w:div>
    <w:div w:id="1312370561">
      <w:bodyDiv w:val="1"/>
      <w:marLeft w:val="0"/>
      <w:marRight w:val="0"/>
      <w:marTop w:val="0"/>
      <w:marBottom w:val="0"/>
      <w:divBdr>
        <w:top w:val="none" w:sz="0" w:space="0" w:color="auto"/>
        <w:left w:val="none" w:sz="0" w:space="0" w:color="auto"/>
        <w:bottom w:val="none" w:sz="0" w:space="0" w:color="auto"/>
        <w:right w:val="none" w:sz="0" w:space="0" w:color="auto"/>
      </w:divBdr>
    </w:div>
    <w:div w:id="1320813317">
      <w:bodyDiv w:val="1"/>
      <w:marLeft w:val="0"/>
      <w:marRight w:val="0"/>
      <w:marTop w:val="0"/>
      <w:marBottom w:val="0"/>
      <w:divBdr>
        <w:top w:val="none" w:sz="0" w:space="0" w:color="auto"/>
        <w:left w:val="none" w:sz="0" w:space="0" w:color="auto"/>
        <w:bottom w:val="none" w:sz="0" w:space="0" w:color="auto"/>
        <w:right w:val="none" w:sz="0" w:space="0" w:color="auto"/>
      </w:divBdr>
    </w:div>
    <w:div w:id="1405183002">
      <w:bodyDiv w:val="1"/>
      <w:marLeft w:val="0"/>
      <w:marRight w:val="0"/>
      <w:marTop w:val="0"/>
      <w:marBottom w:val="0"/>
      <w:divBdr>
        <w:top w:val="none" w:sz="0" w:space="0" w:color="auto"/>
        <w:left w:val="none" w:sz="0" w:space="0" w:color="auto"/>
        <w:bottom w:val="none" w:sz="0" w:space="0" w:color="auto"/>
        <w:right w:val="none" w:sz="0" w:space="0" w:color="auto"/>
      </w:divBdr>
    </w:div>
    <w:div w:id="1514415609">
      <w:bodyDiv w:val="1"/>
      <w:marLeft w:val="0"/>
      <w:marRight w:val="0"/>
      <w:marTop w:val="0"/>
      <w:marBottom w:val="0"/>
      <w:divBdr>
        <w:top w:val="none" w:sz="0" w:space="0" w:color="auto"/>
        <w:left w:val="none" w:sz="0" w:space="0" w:color="auto"/>
        <w:bottom w:val="none" w:sz="0" w:space="0" w:color="auto"/>
        <w:right w:val="none" w:sz="0" w:space="0" w:color="auto"/>
      </w:divBdr>
    </w:div>
    <w:div w:id="1601179734">
      <w:bodyDiv w:val="1"/>
      <w:marLeft w:val="0"/>
      <w:marRight w:val="0"/>
      <w:marTop w:val="0"/>
      <w:marBottom w:val="0"/>
      <w:divBdr>
        <w:top w:val="none" w:sz="0" w:space="0" w:color="auto"/>
        <w:left w:val="none" w:sz="0" w:space="0" w:color="auto"/>
        <w:bottom w:val="none" w:sz="0" w:space="0" w:color="auto"/>
        <w:right w:val="none" w:sz="0" w:space="0" w:color="auto"/>
      </w:divBdr>
    </w:div>
    <w:div w:id="1641957616">
      <w:bodyDiv w:val="1"/>
      <w:marLeft w:val="0"/>
      <w:marRight w:val="0"/>
      <w:marTop w:val="0"/>
      <w:marBottom w:val="0"/>
      <w:divBdr>
        <w:top w:val="none" w:sz="0" w:space="0" w:color="auto"/>
        <w:left w:val="none" w:sz="0" w:space="0" w:color="auto"/>
        <w:bottom w:val="none" w:sz="0" w:space="0" w:color="auto"/>
        <w:right w:val="none" w:sz="0" w:space="0" w:color="auto"/>
      </w:divBdr>
    </w:div>
    <w:div w:id="1737586774">
      <w:bodyDiv w:val="1"/>
      <w:marLeft w:val="0"/>
      <w:marRight w:val="0"/>
      <w:marTop w:val="0"/>
      <w:marBottom w:val="0"/>
      <w:divBdr>
        <w:top w:val="none" w:sz="0" w:space="0" w:color="auto"/>
        <w:left w:val="none" w:sz="0" w:space="0" w:color="auto"/>
        <w:bottom w:val="none" w:sz="0" w:space="0" w:color="auto"/>
        <w:right w:val="none" w:sz="0" w:space="0" w:color="auto"/>
      </w:divBdr>
    </w:div>
    <w:div w:id="1770150968">
      <w:bodyDiv w:val="1"/>
      <w:marLeft w:val="0"/>
      <w:marRight w:val="0"/>
      <w:marTop w:val="0"/>
      <w:marBottom w:val="0"/>
      <w:divBdr>
        <w:top w:val="none" w:sz="0" w:space="0" w:color="auto"/>
        <w:left w:val="none" w:sz="0" w:space="0" w:color="auto"/>
        <w:bottom w:val="none" w:sz="0" w:space="0" w:color="auto"/>
        <w:right w:val="none" w:sz="0" w:space="0" w:color="auto"/>
      </w:divBdr>
    </w:div>
    <w:div w:id="1816096692">
      <w:bodyDiv w:val="1"/>
      <w:marLeft w:val="0"/>
      <w:marRight w:val="0"/>
      <w:marTop w:val="0"/>
      <w:marBottom w:val="0"/>
      <w:divBdr>
        <w:top w:val="none" w:sz="0" w:space="0" w:color="auto"/>
        <w:left w:val="none" w:sz="0" w:space="0" w:color="auto"/>
        <w:bottom w:val="none" w:sz="0" w:space="0" w:color="auto"/>
        <w:right w:val="none" w:sz="0" w:space="0" w:color="auto"/>
      </w:divBdr>
    </w:div>
    <w:div w:id="1969316794">
      <w:bodyDiv w:val="1"/>
      <w:marLeft w:val="0"/>
      <w:marRight w:val="0"/>
      <w:marTop w:val="0"/>
      <w:marBottom w:val="0"/>
      <w:divBdr>
        <w:top w:val="none" w:sz="0" w:space="0" w:color="auto"/>
        <w:left w:val="none" w:sz="0" w:space="0" w:color="auto"/>
        <w:bottom w:val="none" w:sz="0" w:space="0" w:color="auto"/>
        <w:right w:val="none" w:sz="0" w:space="0" w:color="auto"/>
      </w:divBdr>
    </w:div>
    <w:div w:id="202960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4.png"/><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13</Pages>
  <Words>3873</Words>
  <Characters>22143</Characters>
  <Application>Microsoft Office Word</Application>
  <DocSecurity>0</DocSecurity>
  <Lines>184</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2022021096, var. 12, rettelse i pkt. 4.8</dc:description>
  <cp:lastModifiedBy>Gitte Jørgensen</cp:lastModifiedBy>
  <cp:revision>4</cp:revision>
  <cp:lastPrinted>2006-02-24T09:31:00Z</cp:lastPrinted>
  <dcterms:created xsi:type="dcterms:W3CDTF">2023-11-08T14:11:00Z</dcterms:created>
  <dcterms:modified xsi:type="dcterms:W3CDTF">2023-11-08T14:19:00Z</dcterms:modified>
</cp:coreProperties>
</file>