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57D88">
        <w:rPr>
          <w:szCs w:val="24"/>
        </w:rPr>
        <w:t>13. marts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957D88" w:rsidRDefault="009260DE" w:rsidP="009260DE">
      <w:pPr>
        <w:jc w:val="center"/>
        <w:rPr>
          <w:b/>
          <w:sz w:val="24"/>
          <w:szCs w:val="24"/>
        </w:rPr>
      </w:pPr>
      <w:r w:rsidRPr="00957D88">
        <w:rPr>
          <w:b/>
          <w:sz w:val="24"/>
          <w:szCs w:val="24"/>
        </w:rPr>
        <w:t>PRODUKTRESUMÉ</w:t>
      </w:r>
    </w:p>
    <w:p w:rsidR="009260DE" w:rsidRPr="00957D88" w:rsidRDefault="009260DE" w:rsidP="009260DE">
      <w:pPr>
        <w:jc w:val="center"/>
        <w:rPr>
          <w:b/>
          <w:sz w:val="24"/>
          <w:szCs w:val="24"/>
        </w:rPr>
      </w:pPr>
    </w:p>
    <w:p w:rsidR="009260DE" w:rsidRPr="00957D88" w:rsidRDefault="009260DE" w:rsidP="009260DE">
      <w:pPr>
        <w:jc w:val="center"/>
        <w:rPr>
          <w:b/>
          <w:sz w:val="24"/>
          <w:szCs w:val="24"/>
        </w:rPr>
      </w:pPr>
      <w:r w:rsidRPr="00957D88">
        <w:rPr>
          <w:b/>
          <w:sz w:val="24"/>
          <w:szCs w:val="24"/>
        </w:rPr>
        <w:t>for</w:t>
      </w:r>
    </w:p>
    <w:p w:rsidR="000B058C" w:rsidRPr="00957D88" w:rsidRDefault="000B058C" w:rsidP="009260DE">
      <w:pPr>
        <w:jc w:val="center"/>
        <w:rPr>
          <w:b/>
          <w:sz w:val="24"/>
          <w:szCs w:val="24"/>
        </w:rPr>
      </w:pPr>
    </w:p>
    <w:p w:rsidR="009260DE" w:rsidRPr="00957D88" w:rsidRDefault="004E0132" w:rsidP="009260DE">
      <w:pPr>
        <w:jc w:val="center"/>
        <w:rPr>
          <w:b/>
          <w:sz w:val="24"/>
          <w:szCs w:val="24"/>
        </w:rPr>
      </w:pPr>
      <w:r w:rsidRPr="00957D88">
        <w:rPr>
          <w:b/>
          <w:sz w:val="24"/>
          <w:szCs w:val="24"/>
        </w:rPr>
        <w:t>Voriconazole "Accord Healthcare</w:t>
      </w:r>
      <w:r>
        <w:rPr>
          <w:b/>
          <w:sz w:val="24"/>
          <w:szCs w:val="24"/>
        </w:rPr>
        <w:t>", pulver til infusionsvæske, opløsning</w:t>
      </w:r>
    </w:p>
    <w:p w:rsidR="009260DE" w:rsidRPr="00957D88" w:rsidRDefault="009260DE" w:rsidP="009260DE">
      <w:pPr>
        <w:jc w:val="both"/>
        <w:rPr>
          <w:sz w:val="24"/>
          <w:szCs w:val="24"/>
        </w:rPr>
      </w:pPr>
    </w:p>
    <w:p w:rsidR="009260DE" w:rsidRPr="00957D88" w:rsidRDefault="009260DE" w:rsidP="009260DE">
      <w:pPr>
        <w:jc w:val="both"/>
        <w:rPr>
          <w:sz w:val="24"/>
          <w:szCs w:val="24"/>
        </w:rPr>
      </w:pPr>
    </w:p>
    <w:p w:rsidR="009260DE" w:rsidRPr="00957D88" w:rsidRDefault="009260DE" w:rsidP="009260DE">
      <w:pPr>
        <w:tabs>
          <w:tab w:val="left" w:pos="851"/>
        </w:tabs>
        <w:ind w:left="851" w:hanging="851"/>
        <w:rPr>
          <w:b/>
          <w:sz w:val="24"/>
          <w:szCs w:val="24"/>
        </w:rPr>
      </w:pPr>
      <w:r w:rsidRPr="00957D88">
        <w:rPr>
          <w:b/>
          <w:sz w:val="24"/>
          <w:szCs w:val="24"/>
        </w:rPr>
        <w:t>0.</w:t>
      </w:r>
      <w:r w:rsidRPr="00957D88">
        <w:rPr>
          <w:b/>
          <w:sz w:val="24"/>
          <w:szCs w:val="24"/>
        </w:rPr>
        <w:tab/>
        <w:t>D.SP.NR.</w:t>
      </w:r>
    </w:p>
    <w:p w:rsidR="009260DE" w:rsidRPr="00C84483" w:rsidRDefault="003E2E77" w:rsidP="009260DE">
      <w:pPr>
        <w:tabs>
          <w:tab w:val="left" w:pos="851"/>
        </w:tabs>
        <w:ind w:left="851"/>
        <w:rPr>
          <w:sz w:val="24"/>
          <w:szCs w:val="24"/>
        </w:rPr>
      </w:pPr>
      <w:r>
        <w:rPr>
          <w:sz w:val="24"/>
          <w:szCs w:val="24"/>
        </w:rPr>
        <w:t>33631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3E2E77" w:rsidP="009260DE">
      <w:pPr>
        <w:tabs>
          <w:tab w:val="left" w:pos="851"/>
        </w:tabs>
        <w:ind w:left="851"/>
        <w:rPr>
          <w:sz w:val="24"/>
          <w:szCs w:val="24"/>
        </w:rPr>
      </w:pPr>
      <w:r w:rsidRPr="003E2E77">
        <w:rPr>
          <w:sz w:val="24"/>
          <w:szCs w:val="24"/>
        </w:rPr>
        <w:t>Voriconazole "Accord Healthcare"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E2E77" w:rsidRPr="003E2E77" w:rsidRDefault="003E2E77" w:rsidP="003E2E77">
      <w:pPr>
        <w:tabs>
          <w:tab w:val="left" w:pos="851"/>
        </w:tabs>
        <w:ind w:left="851"/>
        <w:rPr>
          <w:sz w:val="24"/>
          <w:szCs w:val="24"/>
        </w:rPr>
      </w:pPr>
      <w:r w:rsidRPr="003E2E77">
        <w:rPr>
          <w:sz w:val="24"/>
          <w:szCs w:val="24"/>
        </w:rPr>
        <w:t>1 hætteglas indeholder 200 mg voriconazol.</w:t>
      </w:r>
    </w:p>
    <w:p w:rsidR="003E2E77" w:rsidRPr="003E2E77" w:rsidRDefault="003E2E77" w:rsidP="003E2E77">
      <w:pPr>
        <w:tabs>
          <w:tab w:val="left" w:pos="851"/>
        </w:tabs>
        <w:ind w:left="851"/>
        <w:rPr>
          <w:sz w:val="24"/>
          <w:szCs w:val="24"/>
        </w:rPr>
      </w:pPr>
    </w:p>
    <w:p w:rsidR="003E2E77" w:rsidRPr="003E2E77" w:rsidRDefault="003E2E77" w:rsidP="003E2E77">
      <w:pPr>
        <w:tabs>
          <w:tab w:val="left" w:pos="851"/>
        </w:tabs>
        <w:ind w:left="851"/>
        <w:rPr>
          <w:sz w:val="24"/>
          <w:szCs w:val="24"/>
        </w:rPr>
      </w:pPr>
      <w:r w:rsidRPr="003E2E77">
        <w:rPr>
          <w:sz w:val="24"/>
          <w:szCs w:val="24"/>
        </w:rPr>
        <w:t>Efter rekonstitution indeholder 1 ml 10 mg voriconazol. Efter rekonstitution skal der fortyndes yderligere før administration.</w:t>
      </w:r>
    </w:p>
    <w:p w:rsidR="003E2E77" w:rsidRPr="003E2E77" w:rsidRDefault="003E2E77" w:rsidP="003E2E77">
      <w:pPr>
        <w:tabs>
          <w:tab w:val="left" w:pos="851"/>
        </w:tabs>
        <w:ind w:left="851"/>
        <w:rPr>
          <w:sz w:val="24"/>
          <w:szCs w:val="24"/>
        </w:rPr>
      </w:pPr>
    </w:p>
    <w:p w:rsidR="003E2E77" w:rsidRPr="003E2E77" w:rsidRDefault="003E2E77" w:rsidP="003E2E77">
      <w:pPr>
        <w:tabs>
          <w:tab w:val="left" w:pos="851"/>
        </w:tabs>
        <w:ind w:left="851"/>
        <w:rPr>
          <w:sz w:val="24"/>
          <w:szCs w:val="24"/>
        </w:rPr>
      </w:pPr>
      <w:r w:rsidRPr="003E2E77">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E2E77" w:rsidRDefault="003E2E77" w:rsidP="003E2E77">
      <w:pPr>
        <w:tabs>
          <w:tab w:val="left" w:pos="851"/>
        </w:tabs>
        <w:ind w:left="851"/>
        <w:rPr>
          <w:sz w:val="24"/>
          <w:szCs w:val="24"/>
        </w:rPr>
      </w:pPr>
      <w:r w:rsidRPr="003E2E77">
        <w:rPr>
          <w:sz w:val="24"/>
          <w:szCs w:val="24"/>
        </w:rPr>
        <w:t>Pulver til infusionsvæske, opløsning</w:t>
      </w:r>
    </w:p>
    <w:p w:rsidR="003E2E77" w:rsidRPr="003E2E77" w:rsidRDefault="003E2E77" w:rsidP="003E2E77">
      <w:pPr>
        <w:tabs>
          <w:tab w:val="left" w:pos="851"/>
        </w:tabs>
        <w:ind w:left="851"/>
        <w:rPr>
          <w:sz w:val="24"/>
          <w:szCs w:val="24"/>
        </w:rPr>
      </w:pPr>
    </w:p>
    <w:p w:rsidR="003E2E77" w:rsidRPr="003E2E77" w:rsidRDefault="003E2E77" w:rsidP="003E2E77">
      <w:pPr>
        <w:tabs>
          <w:tab w:val="left" w:pos="851"/>
        </w:tabs>
        <w:ind w:left="851"/>
        <w:rPr>
          <w:sz w:val="24"/>
          <w:szCs w:val="24"/>
        </w:rPr>
      </w:pPr>
      <w:r w:rsidRPr="003E2E77">
        <w:rPr>
          <w:sz w:val="24"/>
          <w:szCs w:val="24"/>
        </w:rPr>
        <w:t>Hvidt, frysetørret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957DB" w:rsidRPr="00C957DB" w:rsidRDefault="00C957DB" w:rsidP="00C957DB">
      <w:pPr>
        <w:tabs>
          <w:tab w:val="left" w:pos="851"/>
        </w:tabs>
        <w:ind w:left="851"/>
        <w:rPr>
          <w:sz w:val="24"/>
          <w:szCs w:val="24"/>
        </w:rPr>
      </w:pPr>
      <w:r w:rsidRPr="00C957DB">
        <w:rPr>
          <w:sz w:val="24"/>
          <w:szCs w:val="24"/>
        </w:rPr>
        <w:t>Voriconazole "Accord Healthcare" er et bredspektret triazol-antimykotikum, som er indiceret til følgende hos voksne samt børn over 2 år:</w:t>
      </w:r>
    </w:p>
    <w:p w:rsidR="00C957DB" w:rsidRPr="00C957DB" w:rsidRDefault="00C957DB" w:rsidP="00C957DB">
      <w:pPr>
        <w:tabs>
          <w:tab w:val="left" w:pos="851"/>
        </w:tabs>
        <w:ind w:left="851"/>
        <w:rPr>
          <w:sz w:val="24"/>
          <w:szCs w:val="24"/>
        </w:rPr>
      </w:pPr>
      <w:r w:rsidRPr="00C957DB">
        <w:rPr>
          <w:sz w:val="24"/>
          <w:szCs w:val="24"/>
        </w:rPr>
        <w:t>Behandling af invasiv aspergillose.</w:t>
      </w:r>
    </w:p>
    <w:p w:rsidR="00C957DB" w:rsidRPr="00C957DB" w:rsidRDefault="00C957DB" w:rsidP="00C957DB">
      <w:pPr>
        <w:tabs>
          <w:tab w:val="left" w:pos="851"/>
        </w:tabs>
        <w:ind w:left="851"/>
        <w:rPr>
          <w:sz w:val="24"/>
          <w:szCs w:val="24"/>
        </w:rPr>
      </w:pPr>
      <w:r w:rsidRPr="00C957DB">
        <w:rPr>
          <w:sz w:val="24"/>
          <w:szCs w:val="24"/>
        </w:rPr>
        <w:t>Behandling af candidæmi hos ikke-neutropene patienter.</w:t>
      </w:r>
    </w:p>
    <w:p w:rsidR="00C957DB" w:rsidRPr="00C957DB" w:rsidRDefault="00C957DB" w:rsidP="00C957DB">
      <w:pPr>
        <w:tabs>
          <w:tab w:val="left" w:pos="851"/>
        </w:tabs>
        <w:ind w:left="851"/>
        <w:rPr>
          <w:sz w:val="24"/>
          <w:szCs w:val="24"/>
        </w:rPr>
      </w:pPr>
      <w:r w:rsidRPr="00C957DB">
        <w:rPr>
          <w:sz w:val="24"/>
          <w:szCs w:val="24"/>
        </w:rPr>
        <w:t xml:space="preserve">Behandling af fluconazol-resistente alvorlige invasive </w:t>
      </w:r>
      <w:r w:rsidRPr="00C957DB">
        <w:rPr>
          <w:i/>
          <w:iCs/>
          <w:sz w:val="24"/>
          <w:szCs w:val="24"/>
        </w:rPr>
        <w:t>Candida</w:t>
      </w:r>
      <w:r w:rsidRPr="00C957DB">
        <w:rPr>
          <w:sz w:val="24"/>
          <w:szCs w:val="24"/>
        </w:rPr>
        <w:t xml:space="preserve">-infektioner (herunder </w:t>
      </w:r>
      <w:r w:rsidRPr="00C957DB">
        <w:rPr>
          <w:i/>
          <w:iCs/>
          <w:sz w:val="24"/>
          <w:szCs w:val="24"/>
        </w:rPr>
        <w:t>C. krusei</w:t>
      </w:r>
      <w:r w:rsidRPr="00C957DB">
        <w:rPr>
          <w:sz w:val="24"/>
          <w:szCs w:val="24"/>
        </w:rPr>
        <w:t>).</w:t>
      </w:r>
    </w:p>
    <w:p w:rsidR="00C957DB" w:rsidRPr="00C957DB" w:rsidRDefault="00C957DB" w:rsidP="00C957DB">
      <w:pPr>
        <w:tabs>
          <w:tab w:val="left" w:pos="851"/>
        </w:tabs>
        <w:ind w:left="851"/>
        <w:rPr>
          <w:sz w:val="24"/>
          <w:szCs w:val="24"/>
        </w:rPr>
      </w:pPr>
      <w:r w:rsidRPr="00C957DB">
        <w:rPr>
          <w:sz w:val="24"/>
          <w:szCs w:val="24"/>
        </w:rPr>
        <w:t xml:space="preserve">Behandling af alvorlige svampeinfektioner forårsaget af </w:t>
      </w:r>
      <w:r w:rsidRPr="00C957DB">
        <w:rPr>
          <w:i/>
          <w:iCs/>
          <w:sz w:val="24"/>
          <w:szCs w:val="24"/>
        </w:rPr>
        <w:t>Scedosporium</w:t>
      </w:r>
      <w:r w:rsidRPr="00C957DB">
        <w:rPr>
          <w:sz w:val="24"/>
          <w:szCs w:val="24"/>
        </w:rPr>
        <w:t xml:space="preserve"> spp. og </w:t>
      </w:r>
      <w:r w:rsidRPr="00C957DB">
        <w:rPr>
          <w:i/>
          <w:iCs/>
          <w:sz w:val="24"/>
          <w:szCs w:val="24"/>
        </w:rPr>
        <w:t>Fusarium</w:t>
      </w:r>
      <w:r w:rsidRPr="00C957DB">
        <w:rPr>
          <w:sz w:val="24"/>
          <w:szCs w:val="24"/>
        </w:rPr>
        <w:t xml:space="preserve"> spp.</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Voriconazole "Accord Healthcare" bør fortrinsvis gives til patienter med fremadskridende, muligt livstruende infektioner.</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Profylakse mod invasive svampeinfektioner hos højrisikopatienter, der har fået allogen hæmatopoietisk stamcelletransplantation (HSCT).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C957DB" w:rsidRDefault="00C957DB" w:rsidP="00C957DB">
      <w:pPr>
        <w:tabs>
          <w:tab w:val="left" w:pos="851"/>
        </w:tabs>
        <w:ind w:left="851"/>
        <w:rPr>
          <w:sz w:val="24"/>
          <w:szCs w:val="24"/>
          <w:u w:val="single"/>
        </w:rPr>
      </w:pPr>
    </w:p>
    <w:p w:rsidR="00C957DB" w:rsidRPr="00C957DB" w:rsidRDefault="00C957DB" w:rsidP="00C957DB">
      <w:pPr>
        <w:tabs>
          <w:tab w:val="left" w:pos="851"/>
        </w:tabs>
        <w:ind w:left="851"/>
        <w:rPr>
          <w:sz w:val="24"/>
          <w:szCs w:val="24"/>
          <w:u w:val="single"/>
        </w:rPr>
      </w:pPr>
      <w:r w:rsidRPr="00C957DB">
        <w:rPr>
          <w:sz w:val="24"/>
          <w:szCs w:val="24"/>
          <w:u w:val="single"/>
        </w:rPr>
        <w:t>Dosering</w:t>
      </w:r>
    </w:p>
    <w:p w:rsidR="00C957DB" w:rsidRPr="00C957DB" w:rsidRDefault="00C957DB" w:rsidP="00C957DB">
      <w:pPr>
        <w:tabs>
          <w:tab w:val="left" w:pos="851"/>
        </w:tabs>
        <w:ind w:left="851"/>
        <w:rPr>
          <w:sz w:val="24"/>
          <w:szCs w:val="24"/>
        </w:rPr>
      </w:pPr>
      <w:r w:rsidRPr="00C957DB">
        <w:rPr>
          <w:sz w:val="24"/>
          <w:szCs w:val="24"/>
        </w:rPr>
        <w:t>Elektrolytforstyrrelser såsom hypokaliæmi, hypomagnesæmi og hypokalcæmi bør monitoreres og om</w:t>
      </w:r>
      <w:r>
        <w:rPr>
          <w:sz w:val="24"/>
          <w:szCs w:val="24"/>
        </w:rPr>
        <w:t xml:space="preserve"> </w:t>
      </w:r>
      <w:r w:rsidRPr="00C957DB">
        <w:rPr>
          <w:sz w:val="24"/>
          <w:szCs w:val="24"/>
        </w:rPr>
        <w:t>nødvendigt korrigeres, før voriconazolbehandling initieres og under behandlingen (se pkt. 4.4).</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Det anbefales, at Voriconazole "Accord Healthcare" indgives over 1-3 timer med en maksimal hastighed på 3 mg/kg/time.</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Voriconazole "Accord Healthcare" findes også som 50 mg filmovertrukne tabletter og 200 mg filmovertrukne tabletter.</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u w:val="single"/>
        </w:rPr>
      </w:pPr>
      <w:r w:rsidRPr="00C957DB">
        <w:rPr>
          <w:sz w:val="24"/>
          <w:szCs w:val="24"/>
          <w:u w:val="single"/>
        </w:rPr>
        <w:t>Behandling</w:t>
      </w:r>
    </w:p>
    <w:p w:rsidR="00C957DB" w:rsidRDefault="00C957DB" w:rsidP="00C957DB">
      <w:pPr>
        <w:tabs>
          <w:tab w:val="left" w:pos="851"/>
        </w:tabs>
        <w:ind w:left="851"/>
        <w:rPr>
          <w:i/>
          <w:iCs/>
          <w:sz w:val="24"/>
          <w:szCs w:val="24"/>
        </w:rPr>
      </w:pPr>
    </w:p>
    <w:p w:rsidR="00C957DB" w:rsidRPr="00C957DB" w:rsidRDefault="00C957DB" w:rsidP="00C957DB">
      <w:pPr>
        <w:tabs>
          <w:tab w:val="left" w:pos="851"/>
        </w:tabs>
        <w:ind w:left="851"/>
        <w:rPr>
          <w:i/>
          <w:iCs/>
          <w:sz w:val="24"/>
          <w:szCs w:val="24"/>
        </w:rPr>
      </w:pPr>
      <w:r w:rsidRPr="00C957DB">
        <w:rPr>
          <w:i/>
          <w:iCs/>
          <w:sz w:val="24"/>
          <w:szCs w:val="24"/>
        </w:rPr>
        <w:t>Voksne</w:t>
      </w:r>
    </w:p>
    <w:p w:rsidR="00C957DB" w:rsidRPr="00C957DB" w:rsidRDefault="00C957DB" w:rsidP="00C957DB">
      <w:pPr>
        <w:tabs>
          <w:tab w:val="left" w:pos="851"/>
        </w:tabs>
        <w:ind w:left="851"/>
        <w:rPr>
          <w:sz w:val="24"/>
          <w:szCs w:val="24"/>
        </w:rPr>
      </w:pPr>
      <w:r w:rsidRPr="00C957DB">
        <w:rPr>
          <w:sz w:val="24"/>
          <w:szCs w:val="24"/>
        </w:rPr>
        <w:t>Behandling skal initieres med den specifikke startdosis enten som intravenøs eller oral voriconazol for at opnå plasmakoncentrationer tæt på steady-state på Dag 1. På grund af den høje orale biotilgængelighed (96 %, se pkt. 5.2) kan der skiftes mellem intravenøs og oral administration, når det er klinisk indiceret.</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Detaljeret information om dosisanbefalinger ses i følgende skema:</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1598"/>
        <w:gridCol w:w="2160"/>
        <w:gridCol w:w="1980"/>
      </w:tblGrid>
      <w:tr w:rsidR="00C957DB" w:rsidRPr="00C957DB" w:rsidTr="00C957DB">
        <w:tc>
          <w:tcPr>
            <w:tcW w:w="2830" w:type="dxa"/>
            <w:vMerge w:val="restart"/>
            <w:tcBorders>
              <w:top w:val="single" w:sz="4" w:space="0" w:color="auto"/>
              <w:left w:val="single" w:sz="4" w:space="0" w:color="auto"/>
              <w:bottom w:val="single" w:sz="4" w:space="0" w:color="auto"/>
              <w:right w:val="single" w:sz="4" w:space="0" w:color="auto"/>
            </w:tcBorders>
          </w:tcPr>
          <w:p w:rsidR="00C957DB" w:rsidRPr="00C957DB" w:rsidRDefault="00C957DB" w:rsidP="00C957DB">
            <w:pPr>
              <w:ind w:left="33"/>
              <w:rPr>
                <w:sz w:val="24"/>
                <w:szCs w:val="24"/>
              </w:rPr>
            </w:pPr>
          </w:p>
        </w:tc>
        <w:tc>
          <w:tcPr>
            <w:tcW w:w="1598" w:type="dxa"/>
            <w:vMerge w:val="restart"/>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b/>
                <w:sz w:val="24"/>
                <w:szCs w:val="24"/>
              </w:rPr>
            </w:pPr>
            <w:r w:rsidRPr="00C957DB">
              <w:rPr>
                <w:b/>
                <w:sz w:val="24"/>
                <w:szCs w:val="24"/>
              </w:rPr>
              <w:t>Intravenøst</w:t>
            </w:r>
          </w:p>
        </w:tc>
        <w:tc>
          <w:tcPr>
            <w:tcW w:w="4140" w:type="dxa"/>
            <w:gridSpan w:val="2"/>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b/>
                <w:sz w:val="24"/>
                <w:szCs w:val="24"/>
              </w:rPr>
            </w:pPr>
            <w:r w:rsidRPr="00C957DB">
              <w:rPr>
                <w:b/>
                <w:sz w:val="24"/>
                <w:szCs w:val="24"/>
              </w:rPr>
              <w:t>Oralt</w:t>
            </w:r>
          </w:p>
        </w:tc>
      </w:tr>
      <w:tr w:rsidR="00C957DB" w:rsidRPr="00C957DB" w:rsidTr="00C957DB">
        <w:tc>
          <w:tcPr>
            <w:tcW w:w="2830" w:type="dxa"/>
            <w:vMerge/>
            <w:tcBorders>
              <w:top w:val="single" w:sz="4" w:space="0" w:color="auto"/>
              <w:left w:val="single" w:sz="4" w:space="0" w:color="auto"/>
              <w:bottom w:val="single" w:sz="4" w:space="0" w:color="auto"/>
              <w:right w:val="single" w:sz="4" w:space="0" w:color="auto"/>
            </w:tcBorders>
            <w:vAlign w:val="center"/>
            <w:hideMark/>
          </w:tcPr>
          <w:p w:rsidR="00C957DB" w:rsidRPr="00C957DB" w:rsidRDefault="00C957DB" w:rsidP="00C957DB">
            <w:pPr>
              <w:ind w:left="33"/>
              <w:rPr>
                <w:sz w:val="24"/>
                <w:szCs w:val="24"/>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C957DB" w:rsidRPr="00C957DB" w:rsidRDefault="00C957DB" w:rsidP="00C957DB">
            <w:pPr>
              <w:rPr>
                <w:b/>
                <w:sz w:val="24"/>
                <w:szCs w:val="24"/>
              </w:rPr>
            </w:pPr>
          </w:p>
        </w:tc>
        <w:tc>
          <w:tcPr>
            <w:tcW w:w="216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Patienter på 40 kg og derover*</w:t>
            </w:r>
          </w:p>
        </w:tc>
        <w:tc>
          <w:tcPr>
            <w:tcW w:w="198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Patienter under 40 kg*</w:t>
            </w:r>
          </w:p>
        </w:tc>
      </w:tr>
      <w:tr w:rsidR="00C957DB" w:rsidRPr="00C957DB" w:rsidTr="00C957DB">
        <w:tc>
          <w:tcPr>
            <w:tcW w:w="283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ind w:left="33"/>
              <w:rPr>
                <w:b/>
                <w:sz w:val="24"/>
                <w:szCs w:val="24"/>
              </w:rPr>
            </w:pPr>
            <w:r w:rsidRPr="00C957DB">
              <w:rPr>
                <w:b/>
                <w:sz w:val="24"/>
                <w:szCs w:val="24"/>
              </w:rPr>
              <w:t xml:space="preserve">Initialdosis </w:t>
            </w:r>
          </w:p>
          <w:p w:rsidR="00C957DB" w:rsidRPr="00C957DB" w:rsidRDefault="00C957DB" w:rsidP="00C957DB">
            <w:pPr>
              <w:ind w:left="33"/>
              <w:rPr>
                <w:b/>
                <w:sz w:val="24"/>
                <w:szCs w:val="24"/>
              </w:rPr>
            </w:pPr>
            <w:r w:rsidRPr="00C957DB">
              <w:rPr>
                <w:b/>
                <w:sz w:val="24"/>
                <w:szCs w:val="24"/>
              </w:rPr>
              <w:t>(første døgn)</w:t>
            </w:r>
          </w:p>
        </w:tc>
        <w:tc>
          <w:tcPr>
            <w:tcW w:w="1598"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6 mg/kg hver 12. time</w:t>
            </w:r>
          </w:p>
        </w:tc>
        <w:tc>
          <w:tcPr>
            <w:tcW w:w="216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400 mg hver 12. time</w:t>
            </w:r>
          </w:p>
        </w:tc>
        <w:tc>
          <w:tcPr>
            <w:tcW w:w="198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200 mg hver 12. time</w:t>
            </w:r>
          </w:p>
        </w:tc>
      </w:tr>
      <w:tr w:rsidR="00C957DB" w:rsidRPr="00C957DB" w:rsidTr="00C957DB">
        <w:tc>
          <w:tcPr>
            <w:tcW w:w="283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ind w:left="33"/>
              <w:rPr>
                <w:b/>
                <w:sz w:val="24"/>
                <w:szCs w:val="24"/>
              </w:rPr>
            </w:pPr>
            <w:r w:rsidRPr="00C957DB">
              <w:rPr>
                <w:b/>
                <w:sz w:val="24"/>
                <w:szCs w:val="24"/>
              </w:rPr>
              <w:t>Vedligeholdelsesdosis (efterfølgende døgn)</w:t>
            </w:r>
          </w:p>
        </w:tc>
        <w:tc>
          <w:tcPr>
            <w:tcW w:w="1598"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4 mg/kg to gange dagligt</w:t>
            </w:r>
          </w:p>
        </w:tc>
        <w:tc>
          <w:tcPr>
            <w:tcW w:w="216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200 mg to gange dagligt</w:t>
            </w:r>
          </w:p>
        </w:tc>
        <w:tc>
          <w:tcPr>
            <w:tcW w:w="198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100 mg to gange dagligt</w:t>
            </w:r>
          </w:p>
        </w:tc>
      </w:tr>
    </w:tbl>
    <w:p w:rsidR="00C957DB" w:rsidRPr="00C957DB" w:rsidRDefault="00C957DB" w:rsidP="00C957DB">
      <w:pPr>
        <w:tabs>
          <w:tab w:val="left" w:pos="851"/>
        </w:tabs>
        <w:ind w:left="851"/>
        <w:rPr>
          <w:sz w:val="24"/>
          <w:szCs w:val="24"/>
        </w:rPr>
      </w:pPr>
      <w:r w:rsidRPr="00C957DB">
        <w:rPr>
          <w:sz w:val="24"/>
          <w:szCs w:val="24"/>
        </w:rPr>
        <w:t>* Patienter på 15 år og derover</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Behandlingsvarighed</w:t>
      </w:r>
    </w:p>
    <w:p w:rsidR="00C957DB" w:rsidRPr="00C957DB" w:rsidRDefault="00C957DB" w:rsidP="00C957DB">
      <w:pPr>
        <w:tabs>
          <w:tab w:val="left" w:pos="851"/>
        </w:tabs>
        <w:ind w:left="851"/>
        <w:rPr>
          <w:sz w:val="24"/>
          <w:szCs w:val="24"/>
        </w:rPr>
      </w:pPr>
      <w:r w:rsidRPr="00C957DB">
        <w:rPr>
          <w:sz w:val="24"/>
          <w:szCs w:val="24"/>
        </w:rPr>
        <w:t>Behandlingen bør være så kortvarig som muligt afhængigt af patientens kliniske og mykologiske respons. Langtidseksponering for voriconazol i mere end 180 dage (6 måneder) kræver nøje vurdering af benefit/risk-forholdet (se pkt. 4.4 og 5.1).</w:t>
      </w:r>
    </w:p>
    <w:p w:rsidR="00C957DB" w:rsidRPr="00C957DB" w:rsidRDefault="00C957DB" w:rsidP="00C957DB">
      <w:pPr>
        <w:tabs>
          <w:tab w:val="left" w:pos="851"/>
        </w:tabs>
        <w:ind w:left="851"/>
        <w:rPr>
          <w:sz w:val="24"/>
          <w:szCs w:val="24"/>
        </w:rPr>
      </w:pPr>
      <w:r w:rsidRPr="00C957DB">
        <w:rPr>
          <w:sz w:val="24"/>
          <w:szCs w:val="24"/>
        </w:rPr>
        <w:t>Der er begrænsede kliniske data til at fastlægge sikkerheden ved intravenøst administreret hydroxypropylbetadex ved længerevarende behandling (se pkt. 5.2).</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Dosisjustering (voksne)</w:t>
      </w:r>
    </w:p>
    <w:p w:rsidR="00C957DB" w:rsidRPr="00C957DB" w:rsidRDefault="00C957DB" w:rsidP="00C957DB">
      <w:pPr>
        <w:tabs>
          <w:tab w:val="left" w:pos="851"/>
        </w:tabs>
        <w:ind w:left="851"/>
        <w:rPr>
          <w:sz w:val="24"/>
          <w:szCs w:val="24"/>
        </w:rPr>
      </w:pPr>
      <w:r w:rsidRPr="00C957DB">
        <w:rPr>
          <w:sz w:val="24"/>
          <w:szCs w:val="24"/>
        </w:rPr>
        <w:t>Hvis patienten ikke kan tåle intravenøs behandling med 4 mg/kg to gange dagligt, reduceres dosis til 3 mg/kg to gange dagligt.</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Hvis patientens respons på behandlingen er utilstrækkeligt, kan vedligeholdelsesdosis øges til 300 mg to gange dagligt ved oral administration. Hos patienter med en legemsvægt under 40 kg kan den orale dosis øges til 150 mg to gange dagligt.</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lastRenderedPageBreak/>
        <w:t>Hvis patienten ikke kan tåle behandling med den højere dosis, reduceres den orale dosis med 50 mg af gangen til en vedligeholdelsesdosis på 200 mg to gange dagligt (eller 100 mg to gange dagligt hos patienter med en legemsvægt under 40 kg).</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Se nedenfor for profylaktisk anvendelse.</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Børn (2 til &lt;12 år) og unge med lav legemsvægt (12-14 år &lt;50 kg)</w:t>
      </w:r>
    </w:p>
    <w:p w:rsidR="00C957DB" w:rsidRPr="00C957DB" w:rsidRDefault="00C957DB" w:rsidP="00C957DB">
      <w:pPr>
        <w:tabs>
          <w:tab w:val="left" w:pos="851"/>
        </w:tabs>
        <w:ind w:left="851"/>
        <w:rPr>
          <w:sz w:val="24"/>
          <w:szCs w:val="24"/>
        </w:rPr>
      </w:pPr>
      <w:r w:rsidRPr="00C957DB">
        <w:rPr>
          <w:sz w:val="24"/>
          <w:szCs w:val="24"/>
        </w:rPr>
        <w:t>Voriconazol bør doseres som til børn, da disse unge i højere grad metaboliserer voriconazol som børn end som voksne.</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Den anbefalede dosering er følgende: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260"/>
        <w:gridCol w:w="2761"/>
      </w:tblGrid>
      <w:tr w:rsidR="00C957DB" w:rsidRPr="00C957DB" w:rsidTr="00C957DB">
        <w:trPr>
          <w:trHeight w:val="249"/>
        </w:trPr>
        <w:tc>
          <w:tcPr>
            <w:tcW w:w="2547" w:type="dxa"/>
            <w:tcBorders>
              <w:top w:val="single" w:sz="4" w:space="0" w:color="auto"/>
              <w:left w:val="single" w:sz="4" w:space="0" w:color="auto"/>
              <w:bottom w:val="single" w:sz="4" w:space="0" w:color="auto"/>
              <w:right w:val="single" w:sz="4" w:space="0" w:color="auto"/>
            </w:tcBorders>
          </w:tcPr>
          <w:p w:rsidR="00C957DB" w:rsidRPr="00C957DB" w:rsidRDefault="00C957DB" w:rsidP="00C957DB">
            <w:pPr>
              <w:rPr>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b/>
                <w:sz w:val="24"/>
                <w:szCs w:val="24"/>
              </w:rPr>
            </w:pPr>
            <w:r w:rsidRPr="00C957DB">
              <w:rPr>
                <w:b/>
                <w:sz w:val="24"/>
                <w:szCs w:val="24"/>
              </w:rPr>
              <w:t>Intravenøst</w:t>
            </w:r>
          </w:p>
        </w:tc>
        <w:tc>
          <w:tcPr>
            <w:tcW w:w="2761"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b/>
                <w:sz w:val="24"/>
                <w:szCs w:val="24"/>
              </w:rPr>
            </w:pPr>
            <w:r w:rsidRPr="00C957DB">
              <w:rPr>
                <w:b/>
                <w:sz w:val="24"/>
                <w:szCs w:val="24"/>
              </w:rPr>
              <w:t>Oralt</w:t>
            </w:r>
          </w:p>
        </w:tc>
      </w:tr>
      <w:tr w:rsidR="00C957DB" w:rsidRPr="00C957DB" w:rsidTr="00C957DB">
        <w:trPr>
          <w:trHeight w:val="268"/>
        </w:trPr>
        <w:tc>
          <w:tcPr>
            <w:tcW w:w="2547"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b/>
                <w:sz w:val="24"/>
                <w:szCs w:val="24"/>
              </w:rPr>
            </w:pPr>
            <w:r w:rsidRPr="00C957DB">
              <w:rPr>
                <w:b/>
                <w:sz w:val="24"/>
                <w:szCs w:val="24"/>
              </w:rPr>
              <w:t>Initialdosis (i de første 24 timer)</w:t>
            </w:r>
          </w:p>
        </w:tc>
        <w:tc>
          <w:tcPr>
            <w:tcW w:w="326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9 mg/kg hver 12. time</w:t>
            </w:r>
          </w:p>
        </w:tc>
        <w:tc>
          <w:tcPr>
            <w:tcW w:w="2761"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Bør ikke anvendes</w:t>
            </w:r>
          </w:p>
        </w:tc>
      </w:tr>
      <w:tr w:rsidR="00C957DB" w:rsidRPr="00C957DB" w:rsidTr="00C957DB">
        <w:tc>
          <w:tcPr>
            <w:tcW w:w="2547"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b/>
                <w:sz w:val="24"/>
                <w:szCs w:val="24"/>
              </w:rPr>
            </w:pPr>
            <w:r w:rsidRPr="00C957DB">
              <w:rPr>
                <w:b/>
                <w:sz w:val="24"/>
                <w:szCs w:val="24"/>
              </w:rPr>
              <w:t>Vedligeholdelses</w:t>
            </w:r>
            <w:r w:rsidRPr="00C957DB">
              <w:rPr>
                <w:b/>
                <w:sz w:val="24"/>
                <w:szCs w:val="24"/>
              </w:rPr>
              <w:softHyphen/>
              <w:t>dosis (efter de første 24 timer)</w:t>
            </w:r>
          </w:p>
        </w:tc>
        <w:tc>
          <w:tcPr>
            <w:tcW w:w="3260"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8 mg/kg to gange dagligt</w:t>
            </w:r>
          </w:p>
        </w:tc>
        <w:tc>
          <w:tcPr>
            <w:tcW w:w="2761" w:type="dxa"/>
            <w:tcBorders>
              <w:top w:val="single" w:sz="4" w:space="0" w:color="auto"/>
              <w:left w:val="single" w:sz="4" w:space="0" w:color="auto"/>
              <w:bottom w:val="single" w:sz="4" w:space="0" w:color="auto"/>
              <w:right w:val="single" w:sz="4" w:space="0" w:color="auto"/>
            </w:tcBorders>
            <w:hideMark/>
          </w:tcPr>
          <w:p w:rsidR="00C957DB" w:rsidRPr="00C957DB" w:rsidRDefault="00C957DB" w:rsidP="00C957DB">
            <w:pPr>
              <w:rPr>
                <w:sz w:val="24"/>
                <w:szCs w:val="24"/>
              </w:rPr>
            </w:pPr>
            <w:r w:rsidRPr="00C957DB">
              <w:rPr>
                <w:sz w:val="24"/>
                <w:szCs w:val="24"/>
              </w:rPr>
              <w:t>9 mg/kg to gange dagligt (maksimalt 350 mg to gange dagligt)</w:t>
            </w:r>
          </w:p>
        </w:tc>
      </w:tr>
    </w:tbl>
    <w:p w:rsidR="00C957DB" w:rsidRPr="00C957DB" w:rsidRDefault="00C957DB" w:rsidP="00C957DB">
      <w:pPr>
        <w:tabs>
          <w:tab w:val="left" w:pos="851"/>
        </w:tabs>
        <w:ind w:left="851"/>
        <w:rPr>
          <w:sz w:val="24"/>
          <w:szCs w:val="24"/>
        </w:rPr>
      </w:pPr>
      <w:r w:rsidRPr="00C957DB">
        <w:rPr>
          <w:sz w:val="24"/>
          <w:szCs w:val="24"/>
        </w:rPr>
        <w:t>NB: Baseret på en farmakokinetisk populationsanalyse hos 112 immunkompromitterede pædiatriske patienter i alderen 2 til &lt;12 år, og 26 immunkompromitterede patienter i aldersgruppen 2 til &lt;17 år.</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Det anbefales, at behandling initieres med intravenøs behandling, og at oral behandling først overvejes efter signifikant klinisk bedring. Det bør bemærkes, at en dosis på 8 mg/kg intravenøst giver en voriconazol-eksponering, der er ca. 2 gange højere end den, der ses ved 9 mg/kg oralt.</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Øvrige unge (12-14 år og ≥50 kg. 15-17 år uanset legemsvægt)</w:t>
      </w:r>
    </w:p>
    <w:p w:rsidR="00C957DB" w:rsidRPr="00C957DB" w:rsidRDefault="00C957DB" w:rsidP="00C957DB">
      <w:pPr>
        <w:tabs>
          <w:tab w:val="left" w:pos="851"/>
        </w:tabs>
        <w:ind w:left="851"/>
        <w:rPr>
          <w:sz w:val="24"/>
          <w:szCs w:val="24"/>
        </w:rPr>
      </w:pPr>
      <w:r w:rsidRPr="00C957DB">
        <w:rPr>
          <w:sz w:val="24"/>
          <w:szCs w:val="24"/>
        </w:rPr>
        <w:t>Voriconazol doseres som til voksne.</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Dosisjustering (børn (2 år til &lt;12 år) og unge med lav legemsvægt (12-14 år og &lt;50 kg))</w:t>
      </w:r>
    </w:p>
    <w:p w:rsidR="00C957DB" w:rsidRPr="00C957DB" w:rsidRDefault="00C957DB" w:rsidP="00C957DB">
      <w:pPr>
        <w:tabs>
          <w:tab w:val="left" w:pos="851"/>
        </w:tabs>
        <w:ind w:left="851"/>
        <w:rPr>
          <w:sz w:val="24"/>
          <w:szCs w:val="24"/>
        </w:rPr>
      </w:pPr>
      <w:r w:rsidRPr="00C957DB">
        <w:rPr>
          <w:sz w:val="24"/>
          <w:szCs w:val="24"/>
        </w:rPr>
        <w:t>Ved utilstrækkeligt behandlingsrespons kan dosis øges i trin på 1 mg/kg. Hvis patienten ikke tåler behandlingen, kan dosis reduceres i trin på 1 mg/kg.</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Anvendelse til pædiatriske patienter i alderen 2 år til &lt;12 år med lever- eller nyreinsufficiens er ikke undersøgt (se pkt. 4.8 og 5.2).</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u w:val="single"/>
        </w:rPr>
      </w:pPr>
      <w:r w:rsidRPr="00C957DB">
        <w:rPr>
          <w:sz w:val="24"/>
          <w:szCs w:val="24"/>
          <w:u w:val="single"/>
        </w:rPr>
        <w:t>Profylakse hos voksne og børn</w:t>
      </w:r>
    </w:p>
    <w:p w:rsidR="00C957DB" w:rsidRPr="00C957DB" w:rsidRDefault="00C957DB" w:rsidP="00C957DB">
      <w:pPr>
        <w:tabs>
          <w:tab w:val="left" w:pos="851"/>
        </w:tabs>
        <w:ind w:left="851"/>
        <w:rPr>
          <w:sz w:val="24"/>
          <w:szCs w:val="24"/>
        </w:rPr>
      </w:pPr>
      <w:r w:rsidRPr="00C957DB">
        <w:rPr>
          <w:sz w:val="24"/>
          <w:szCs w:val="24"/>
        </w:rPr>
        <w:t>Profylakse bør påbegyndes på transplantationsdagen og kan administreres i op til 100 dage. Profylakse bør være så kortvarig som muligt afhængigt af risikoen for udvikling af invasiv svampeinfektion (IFI) som defineret ved neutropeni eller immunosuppression. Behandling må kun fortsættes i op til 180 dage efter transplantationen i tilfælde af vedvarende immunosuppression eller graft-versus-host sygdom (GvHD) (se pkt. 5.1).</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Dosering</w:t>
      </w:r>
    </w:p>
    <w:p w:rsidR="00C957DB" w:rsidRPr="00C957DB" w:rsidRDefault="00C957DB" w:rsidP="00C957DB">
      <w:pPr>
        <w:tabs>
          <w:tab w:val="left" w:pos="851"/>
        </w:tabs>
        <w:ind w:left="851"/>
        <w:rPr>
          <w:sz w:val="24"/>
          <w:szCs w:val="24"/>
        </w:rPr>
      </w:pPr>
      <w:r w:rsidRPr="00C957DB">
        <w:rPr>
          <w:sz w:val="24"/>
          <w:szCs w:val="24"/>
        </w:rPr>
        <w:t>Den anbefalede dosering til profylakse er den samme som til behandling i de respektive aldersgrupper.</w:t>
      </w:r>
    </w:p>
    <w:p w:rsidR="00C957DB" w:rsidRPr="00C957DB" w:rsidRDefault="00C957DB" w:rsidP="00C957DB">
      <w:pPr>
        <w:tabs>
          <w:tab w:val="left" w:pos="851"/>
        </w:tabs>
        <w:ind w:left="851"/>
        <w:rPr>
          <w:sz w:val="24"/>
          <w:szCs w:val="24"/>
        </w:rPr>
      </w:pPr>
      <w:r w:rsidRPr="00C957DB">
        <w:rPr>
          <w:sz w:val="24"/>
          <w:szCs w:val="24"/>
        </w:rPr>
        <w:t>Se doseringsskemaerne ovenfor.</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Profylaksevarighed</w:t>
      </w:r>
    </w:p>
    <w:p w:rsidR="00C957DB" w:rsidRPr="00C957DB" w:rsidRDefault="00C957DB" w:rsidP="00C957DB">
      <w:pPr>
        <w:tabs>
          <w:tab w:val="left" w:pos="851"/>
        </w:tabs>
        <w:ind w:left="851"/>
        <w:rPr>
          <w:sz w:val="24"/>
          <w:szCs w:val="24"/>
        </w:rPr>
      </w:pPr>
      <w:r w:rsidRPr="00C957DB">
        <w:rPr>
          <w:sz w:val="24"/>
          <w:szCs w:val="24"/>
        </w:rPr>
        <w:t>Voriconazols sikkerhed og virkning ved anvendelse i mere end 180 dage er ikke undersøgt tilstrækkeligt i kliniske forsøg.</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Profylaktisk anvendelse af voriconazol i mere end 180 dage (6 måneder) kræver nøje vurdering af benefit/risk-forholdet (se pkt. 4.4 og 5.1). Der er begrænsede kliniske data til at fastlægge sikkerheden ved intravenøst administreret hydroxypropylbetadex ved længerevarende behandling (se pkt. 5.2).</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u w:val="single"/>
        </w:rPr>
      </w:pPr>
      <w:r w:rsidRPr="00C957DB">
        <w:rPr>
          <w:sz w:val="24"/>
          <w:szCs w:val="24"/>
          <w:u w:val="single"/>
        </w:rPr>
        <w:t>Følgende instruktioner angår både behandling og profylakse</w:t>
      </w:r>
    </w:p>
    <w:p w:rsidR="00C957DB" w:rsidRPr="00C957DB" w:rsidRDefault="00C957DB" w:rsidP="00C957DB">
      <w:pPr>
        <w:tabs>
          <w:tab w:val="left" w:pos="851"/>
        </w:tabs>
        <w:ind w:left="851"/>
        <w:rPr>
          <w:i/>
          <w:iCs/>
          <w:sz w:val="24"/>
          <w:szCs w:val="24"/>
        </w:rPr>
      </w:pPr>
    </w:p>
    <w:p w:rsidR="00C957DB" w:rsidRPr="00C957DB" w:rsidRDefault="00C957DB" w:rsidP="00C957DB">
      <w:pPr>
        <w:tabs>
          <w:tab w:val="left" w:pos="851"/>
        </w:tabs>
        <w:ind w:left="851"/>
        <w:rPr>
          <w:i/>
          <w:iCs/>
          <w:sz w:val="24"/>
          <w:szCs w:val="24"/>
        </w:rPr>
      </w:pPr>
      <w:r w:rsidRPr="00C957DB">
        <w:rPr>
          <w:i/>
          <w:iCs/>
          <w:sz w:val="24"/>
          <w:szCs w:val="24"/>
        </w:rPr>
        <w:t>Dosisjustering</w:t>
      </w:r>
    </w:p>
    <w:p w:rsidR="00C957DB" w:rsidRPr="00C957DB" w:rsidRDefault="00C957DB" w:rsidP="00C957DB">
      <w:pPr>
        <w:tabs>
          <w:tab w:val="left" w:pos="851"/>
        </w:tabs>
        <w:ind w:left="851"/>
        <w:rPr>
          <w:sz w:val="24"/>
          <w:szCs w:val="24"/>
        </w:rPr>
      </w:pPr>
      <w:r w:rsidRPr="00C957DB">
        <w:rPr>
          <w:sz w:val="24"/>
          <w:szCs w:val="24"/>
        </w:rPr>
        <w:t>Dosisjusteringer bør ikke anvendes ved profylaktisk brug i tilfælde af manglende virkning eller behandlingsrelaterede bivirkninger. I tilfælde af behandlingsrelaterede bivirkninger skal seponering af voriconazol og anvendelse af alternative antimykotika overvejes (se pkt. 4.4 og 4.8).</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Dosisjusteringer i tilfælde af samtidig administration</w:t>
      </w:r>
    </w:p>
    <w:p w:rsidR="00C957DB" w:rsidRPr="00C957DB" w:rsidRDefault="00C957DB" w:rsidP="00C957DB">
      <w:pPr>
        <w:tabs>
          <w:tab w:val="left" w:pos="851"/>
        </w:tabs>
        <w:ind w:left="851"/>
        <w:rPr>
          <w:sz w:val="24"/>
          <w:szCs w:val="24"/>
        </w:rPr>
      </w:pPr>
      <w:r w:rsidRPr="00C957DB">
        <w:rPr>
          <w:sz w:val="24"/>
          <w:szCs w:val="24"/>
        </w:rPr>
        <w:t>Rifabutin eller phenytoin kan administreres sammen med voriconazol, hvis voriconazols vedligeholdelsesdosis øges til 5 mg/kg intravenøst to gange dagligt, se pkt. 4.4 og 4.5.</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Efavirenz kan administreres sammen med voriconazol, hvis voriconazols vedligeholdelsesdosis  øges til 400 mg hver 12. time, og efavirenz-dosis reduceres med 50 %, dvs. til 300 mg én gang dagligt. Når behandlingen med voriconazol stoppes, skal den initiale efavirenz-dosis genoptages (se pkt. 4.4 og 4.5).</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Ældre</w:t>
      </w:r>
    </w:p>
    <w:p w:rsidR="00C957DB" w:rsidRPr="00C957DB" w:rsidRDefault="00C957DB" w:rsidP="00C957DB">
      <w:pPr>
        <w:tabs>
          <w:tab w:val="left" w:pos="851"/>
        </w:tabs>
        <w:ind w:left="851"/>
        <w:rPr>
          <w:sz w:val="24"/>
          <w:szCs w:val="24"/>
        </w:rPr>
      </w:pPr>
      <w:r w:rsidRPr="00C957DB">
        <w:rPr>
          <w:sz w:val="24"/>
          <w:szCs w:val="24"/>
        </w:rPr>
        <w:t>Dosisjustering er ikke nødvendig hos ældre patienter (se pkt. 5.2).</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u w:val="single"/>
        </w:rPr>
      </w:pPr>
      <w:r w:rsidRPr="00C957DB">
        <w:rPr>
          <w:sz w:val="24"/>
          <w:szCs w:val="24"/>
          <w:u w:val="single"/>
        </w:rPr>
        <w:t>Nedsat nyrefunktion</w:t>
      </w:r>
    </w:p>
    <w:p w:rsidR="00C957DB" w:rsidRPr="00C957DB" w:rsidRDefault="00C957DB" w:rsidP="00C957DB">
      <w:pPr>
        <w:tabs>
          <w:tab w:val="left" w:pos="851"/>
        </w:tabs>
        <w:ind w:left="851"/>
        <w:rPr>
          <w:sz w:val="24"/>
          <w:szCs w:val="24"/>
        </w:rPr>
      </w:pPr>
      <w:r w:rsidRPr="00C957DB">
        <w:rPr>
          <w:sz w:val="24"/>
          <w:szCs w:val="24"/>
        </w:rPr>
        <w:t>Der kan hos patienter med moderat til svær nyreinsufficiens (kreatininclearance &lt;50 ml/min) forekomme akkumulering af det intravenøse hjælpestof hydroxypropylbetadex. Disse patienter bør have voriconazol oralt, medmindre fordelen ved administration af intravenøst voriconazol opvejer den potentielle risiko. Serumkreatininniveauer bør nøje følges hos disse patienter, og såfremt der opstår stigninger, bør det overvejes at skifte til oral behandling med voriconazol (se pkt. 5.2).</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Voriconazol hæmodialyseres med en clearance på 121 ml/min. En hæmodialysesession på 4 timer fjerner ikke en tilstrækkelig mængde voriconazol til at berettige en dosisjustering.</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Det intravenøse hjælpestof, hydroxypropylbetadex, hæmodialyseres med en clearance på 37,5 ± 24 ml/min.</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u w:val="single"/>
        </w:rPr>
      </w:pPr>
      <w:r w:rsidRPr="00C957DB">
        <w:rPr>
          <w:sz w:val="24"/>
          <w:szCs w:val="24"/>
          <w:u w:val="single"/>
        </w:rPr>
        <w:t>Nedsat leverfunktion</w:t>
      </w:r>
    </w:p>
    <w:p w:rsidR="00C957DB" w:rsidRPr="00C957DB" w:rsidRDefault="00C957DB" w:rsidP="00C957DB">
      <w:pPr>
        <w:tabs>
          <w:tab w:val="left" w:pos="851"/>
        </w:tabs>
        <w:ind w:left="851"/>
        <w:rPr>
          <w:sz w:val="24"/>
          <w:szCs w:val="24"/>
        </w:rPr>
      </w:pPr>
      <w:r w:rsidRPr="00C957DB">
        <w:rPr>
          <w:sz w:val="24"/>
          <w:szCs w:val="24"/>
        </w:rPr>
        <w:t>Hos patienter med let til moderat levercirrose (Child-Pugh klasse A og B), der får voriconazol, anbefales standard initialdosis, mens vedligeholdelsesdosis halveres (se pkt. 5.2).</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Voriconazol er ikke undersøgt hos patienter med svær kronisk levercirrose (Child-Pugh klasse C).</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Der findes begrænsede data om voriconazols sikkerhed til patienter med unormale levertal (aspartat-aminotransferase (ASAT), alanin-aminotransferase (ALAT), alkalisk fosfatase (AP) eller total-bilirubin &gt;5 gange den øvre normalgrænse).</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Voriconazol har været forbundet med forhøjede levertal og kliniske tegn på leverskade, såsom gulsot og må kun anvendes til patienter med svær leverinsufficiens, hvis fordelen opvejer den potentielle risiko. Patienter med svær leverinsufficiens skal omhyggeligt monitoreres for lægemiddeltoksicitet (se pkt. 4.8).</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i/>
          <w:iCs/>
          <w:sz w:val="24"/>
          <w:szCs w:val="24"/>
        </w:rPr>
      </w:pPr>
      <w:r w:rsidRPr="00C957DB">
        <w:rPr>
          <w:i/>
          <w:iCs/>
          <w:sz w:val="24"/>
          <w:szCs w:val="24"/>
        </w:rPr>
        <w:t>Pædiatrisk population</w:t>
      </w:r>
    </w:p>
    <w:p w:rsidR="00C957DB" w:rsidRPr="00C957DB" w:rsidRDefault="00C957DB" w:rsidP="00C957DB">
      <w:pPr>
        <w:tabs>
          <w:tab w:val="left" w:pos="851"/>
        </w:tabs>
        <w:ind w:left="851"/>
        <w:rPr>
          <w:sz w:val="24"/>
          <w:szCs w:val="24"/>
        </w:rPr>
      </w:pPr>
      <w:r w:rsidRPr="00C957DB">
        <w:rPr>
          <w:sz w:val="24"/>
          <w:szCs w:val="24"/>
        </w:rPr>
        <w:t>Voriconazols sikkerhed og virkning hos børn under 2 år er ikke klarlagt. De foreliggende data er beskrevet i pkt. 4.8 og 5.1, men der kan ikke gives nogen anbefalinger vedrørende dosering.</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rPr>
      </w:pPr>
      <w:r w:rsidRPr="00C957DB">
        <w:rPr>
          <w:sz w:val="24"/>
          <w:szCs w:val="24"/>
        </w:rPr>
        <w:t>Der er begrænsede kliniske data til at fastlægge sikkerheden ved intravenøst administreret hydroxypropylbetadex til den pædiatriske population.</w:t>
      </w:r>
    </w:p>
    <w:p w:rsidR="00C957DB" w:rsidRPr="00C957DB" w:rsidRDefault="00C957DB" w:rsidP="00C957DB">
      <w:pPr>
        <w:tabs>
          <w:tab w:val="left" w:pos="851"/>
        </w:tabs>
        <w:ind w:left="851"/>
        <w:rPr>
          <w:sz w:val="24"/>
          <w:szCs w:val="24"/>
        </w:rPr>
      </w:pPr>
    </w:p>
    <w:p w:rsidR="00C957DB" w:rsidRPr="00C957DB" w:rsidRDefault="00C957DB" w:rsidP="00C957DB">
      <w:pPr>
        <w:tabs>
          <w:tab w:val="left" w:pos="851"/>
        </w:tabs>
        <w:ind w:left="851"/>
        <w:rPr>
          <w:sz w:val="24"/>
          <w:szCs w:val="24"/>
          <w:u w:val="single"/>
        </w:rPr>
      </w:pPr>
      <w:r w:rsidRPr="00C957DB">
        <w:rPr>
          <w:sz w:val="24"/>
          <w:szCs w:val="24"/>
          <w:u w:val="single"/>
        </w:rPr>
        <w:t>Administration</w:t>
      </w:r>
    </w:p>
    <w:p w:rsidR="00C957DB" w:rsidRPr="00C957DB" w:rsidRDefault="00C957DB" w:rsidP="00C957DB">
      <w:pPr>
        <w:tabs>
          <w:tab w:val="left" w:pos="851"/>
        </w:tabs>
        <w:ind w:left="851"/>
        <w:rPr>
          <w:sz w:val="24"/>
          <w:szCs w:val="24"/>
        </w:rPr>
      </w:pPr>
      <w:r w:rsidRPr="00C957DB">
        <w:rPr>
          <w:sz w:val="24"/>
          <w:szCs w:val="24"/>
        </w:rPr>
        <w:t>Voriconazole "Accord Healthcare" kræver rekonstitution og fortynding (se pkt. 6.6) før administration som intravenøs infusion. Ikke til bolusinjektion.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B4B45" w:rsidRPr="000B4B45" w:rsidRDefault="000B4B45" w:rsidP="000B4B45">
      <w:pPr>
        <w:tabs>
          <w:tab w:val="left" w:pos="851"/>
        </w:tabs>
        <w:ind w:left="851"/>
        <w:rPr>
          <w:sz w:val="24"/>
          <w:szCs w:val="24"/>
        </w:rPr>
      </w:pPr>
      <w:r w:rsidRPr="000B4B45">
        <w:rPr>
          <w:sz w:val="24"/>
          <w:szCs w:val="24"/>
        </w:rPr>
        <w:t>Overfølsomhed over for det aktive stof eller over for et eller flere af hjælpestofferne anført i pkt. 6.1.</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Samtidig administration af CYP3A4-substraterne terfenadin, astemizol, cisaprid, pimozid, quinidin eller ivabradin, da øgede plasmakoncentrationer af disse lægemidler kan medføre QTc forlængelse og i sjældne tilfælde torsades de pointes (se pkt. 4.5).</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Samtidig administration af rifampicin, carbamazepin, phenobarbital og perikon, da disse lægemidler sandsynligvis reducerer plasmakoncentrationer af voriconazol signifikant (se pkt. 4.5).</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Administration af standarddoser af voriconazol sammen med efavirenz-doser på 400 mg én gang dagligt eller derover er kontraindiceret, da efavirenz ved disse doser reducerer plasmakoncentrationen af voriconazol signifikant hos raske forsøgspersoner. Voriconazol øger også plasmakoncentration af efavirenz signifikant (se pkt. 4.5, for lavere doser se pkt. 4.4).</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Samtidig administration af højdosis ritonavir (400 mg og derover to gange dagligt), da ritonavir ved denne dosis reducerer plasmakoncentrationen af voriconazol signifikant hos raske forsøgspersoner (se pkt. 4.5, for lavere doser se pkt. 4.4).</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Samtidig administration af sekalealkaloider (ergotamin, dihydroergotamin), som er CYP3A4-substrater, da øgede plasmakoncentrationer af disse lægemidler kan medføre ergotisme (se pkt. 4.5).</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Samtidig administration af sirolimus, da voriconazol sandsynligvis vil øge plasmakoncentrationer af sirolimus signifikant (se pkt. 4.5).</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Samtidig administration af voriconazol og naloxegol, et CYP3A4-substrat, eftersom øgede plasmakoncentrationer af naloxegol kan medføre opioidabstinenser (se pkt. 4.5).</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lastRenderedPageBreak/>
        <w:t>Samtidig administration af voriconazol og tolvaptan, eftersom stærke CYP3A4-hæmmere, som f.eks. voriconazol, øger plasmakoncentrationen af tolvaptan signifikant (se pkt. 4.5).</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Samtidig administration af voriconazol og lurasidon, eftersom signifikante stigninger i eksponeringen for lurasidon potentielt kan medføre alvorlige bivirkninger (se pkt. 4.5).</w:t>
      </w:r>
    </w:p>
    <w:p w:rsidR="000B4B45" w:rsidRPr="000B4B45" w:rsidRDefault="000B4B45" w:rsidP="000B4B45">
      <w:pPr>
        <w:tabs>
          <w:tab w:val="left" w:pos="851"/>
        </w:tabs>
        <w:ind w:left="851"/>
        <w:rPr>
          <w:sz w:val="24"/>
          <w:szCs w:val="24"/>
        </w:rPr>
      </w:pPr>
    </w:p>
    <w:p w:rsidR="000B4B45" w:rsidRPr="000B4B45" w:rsidRDefault="000B4B45" w:rsidP="000B4B45">
      <w:pPr>
        <w:tabs>
          <w:tab w:val="left" w:pos="851"/>
        </w:tabs>
        <w:ind w:left="851"/>
        <w:rPr>
          <w:sz w:val="24"/>
          <w:szCs w:val="24"/>
        </w:rPr>
      </w:pPr>
      <w:r w:rsidRPr="000B4B45">
        <w:rPr>
          <w:sz w:val="24"/>
          <w:szCs w:val="24"/>
        </w:rPr>
        <w:t>Samtidig administration af venetoclax ved initiering og under dosistitreringsfasen med ventoclax, da voriconazol sandsynligvis vil øge plasmakoncentrationen af venetoclax signifikant og øge risikoen for tumorlysesyndrom (se pkt. 4.5).</w:t>
      </w:r>
    </w:p>
    <w:p w:rsidR="000B4B45" w:rsidRPr="000B4B45" w:rsidRDefault="000B4B45" w:rsidP="000B4B4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Overfølsomhed</w:t>
      </w:r>
    </w:p>
    <w:p w:rsidR="00751B1D" w:rsidRPr="00751B1D" w:rsidRDefault="00751B1D" w:rsidP="00751B1D">
      <w:pPr>
        <w:tabs>
          <w:tab w:val="left" w:pos="851"/>
        </w:tabs>
        <w:ind w:left="851"/>
        <w:rPr>
          <w:sz w:val="24"/>
          <w:szCs w:val="24"/>
        </w:rPr>
      </w:pPr>
      <w:r w:rsidRPr="00751B1D">
        <w:rPr>
          <w:sz w:val="24"/>
          <w:szCs w:val="24"/>
        </w:rPr>
        <w:t>Forsigtighed tilrådes, når Voriconazole "Accord Healthcare" gives til patienter, der er overfølsomme over for andre azoler (se også pkt. 4.8).</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Behandlingsvarighed</w:t>
      </w:r>
    </w:p>
    <w:p w:rsidR="00751B1D" w:rsidRPr="00751B1D" w:rsidRDefault="00751B1D" w:rsidP="00751B1D">
      <w:pPr>
        <w:tabs>
          <w:tab w:val="left" w:pos="851"/>
        </w:tabs>
        <w:ind w:left="851"/>
        <w:rPr>
          <w:sz w:val="24"/>
          <w:szCs w:val="24"/>
        </w:rPr>
      </w:pPr>
      <w:r w:rsidRPr="00751B1D">
        <w:rPr>
          <w:sz w:val="24"/>
          <w:szCs w:val="24"/>
        </w:rPr>
        <w:t>Behandling med den intravenøse formulering bør ikke vare længere end 6 måneder (se pkt. 5.3).</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Kardiovaskulære forsigtighedsregler</w:t>
      </w:r>
    </w:p>
    <w:p w:rsidR="00751B1D" w:rsidRPr="00751B1D" w:rsidRDefault="00751B1D" w:rsidP="00751B1D">
      <w:pPr>
        <w:tabs>
          <w:tab w:val="left" w:pos="851"/>
        </w:tabs>
        <w:ind w:left="851"/>
        <w:rPr>
          <w:sz w:val="24"/>
          <w:szCs w:val="24"/>
        </w:rPr>
      </w:pPr>
      <w:r w:rsidRPr="00751B1D">
        <w:rPr>
          <w:sz w:val="24"/>
          <w:szCs w:val="24"/>
        </w:rPr>
        <w:t>Voriconazol har været forbundet med forlængelse af QTc-intervallet. Hos patienter med risikofaktorer,som f.eks. kardiotoksisk kemoterapi i anamnesen, kardiomyopati, hypokaliæmi og samtidig administration af lægemidler, der kan have været medvirkende årsag, er der set sjældne tilfælde af torsades de pointes, hvis de er i behandling med voriconazol. Voriconazol bør indgives med forsigtighed hos patienter med potentiel proarytmiske tilstande, såsom:</w:t>
      </w:r>
    </w:p>
    <w:p w:rsidR="00751B1D" w:rsidRPr="00751B1D" w:rsidRDefault="00751B1D" w:rsidP="00751B1D">
      <w:pPr>
        <w:numPr>
          <w:ilvl w:val="0"/>
          <w:numId w:val="6"/>
        </w:numPr>
        <w:tabs>
          <w:tab w:val="left" w:pos="851"/>
        </w:tabs>
        <w:ind w:left="1134" w:hanging="283"/>
        <w:rPr>
          <w:sz w:val="24"/>
          <w:szCs w:val="24"/>
        </w:rPr>
      </w:pPr>
      <w:r w:rsidRPr="00751B1D">
        <w:rPr>
          <w:sz w:val="24"/>
          <w:szCs w:val="24"/>
        </w:rPr>
        <w:t>Kongenital eller erhvervet QTc-forlængelse.</w:t>
      </w:r>
    </w:p>
    <w:p w:rsidR="00751B1D" w:rsidRPr="00751B1D" w:rsidRDefault="00751B1D" w:rsidP="00751B1D">
      <w:pPr>
        <w:numPr>
          <w:ilvl w:val="0"/>
          <w:numId w:val="6"/>
        </w:numPr>
        <w:tabs>
          <w:tab w:val="left" w:pos="851"/>
        </w:tabs>
        <w:ind w:left="1134" w:hanging="283"/>
        <w:rPr>
          <w:sz w:val="24"/>
          <w:szCs w:val="24"/>
        </w:rPr>
      </w:pPr>
      <w:r w:rsidRPr="00751B1D">
        <w:rPr>
          <w:sz w:val="24"/>
          <w:szCs w:val="24"/>
        </w:rPr>
        <w:t>Kardiomyopati, især hvis hjerteinsufficiens er til stede.</w:t>
      </w:r>
    </w:p>
    <w:p w:rsidR="00751B1D" w:rsidRPr="00751B1D" w:rsidRDefault="00751B1D" w:rsidP="00751B1D">
      <w:pPr>
        <w:numPr>
          <w:ilvl w:val="0"/>
          <w:numId w:val="6"/>
        </w:numPr>
        <w:tabs>
          <w:tab w:val="left" w:pos="851"/>
        </w:tabs>
        <w:ind w:left="1134" w:hanging="283"/>
        <w:rPr>
          <w:sz w:val="24"/>
          <w:szCs w:val="24"/>
        </w:rPr>
      </w:pPr>
      <w:r w:rsidRPr="00751B1D">
        <w:rPr>
          <w:sz w:val="24"/>
          <w:szCs w:val="24"/>
        </w:rPr>
        <w:t>Sinusbradykardi.</w:t>
      </w:r>
    </w:p>
    <w:p w:rsidR="00751B1D" w:rsidRPr="00751B1D" w:rsidRDefault="00751B1D" w:rsidP="00751B1D">
      <w:pPr>
        <w:numPr>
          <w:ilvl w:val="0"/>
          <w:numId w:val="6"/>
        </w:numPr>
        <w:tabs>
          <w:tab w:val="left" w:pos="851"/>
        </w:tabs>
        <w:ind w:left="1134" w:hanging="283"/>
        <w:rPr>
          <w:sz w:val="24"/>
          <w:szCs w:val="24"/>
        </w:rPr>
      </w:pPr>
      <w:r w:rsidRPr="00751B1D">
        <w:rPr>
          <w:sz w:val="24"/>
          <w:szCs w:val="24"/>
        </w:rPr>
        <w:t>Eksisterende symptomatiske arytmier.</w:t>
      </w:r>
    </w:p>
    <w:p w:rsidR="00751B1D" w:rsidRPr="00751B1D" w:rsidRDefault="00751B1D" w:rsidP="00751B1D">
      <w:pPr>
        <w:numPr>
          <w:ilvl w:val="0"/>
          <w:numId w:val="6"/>
        </w:numPr>
        <w:tabs>
          <w:tab w:val="left" w:pos="851"/>
        </w:tabs>
        <w:ind w:left="1134" w:hanging="283"/>
        <w:rPr>
          <w:sz w:val="24"/>
          <w:szCs w:val="24"/>
        </w:rPr>
      </w:pPr>
      <w:r w:rsidRPr="00751B1D">
        <w:rPr>
          <w:sz w:val="24"/>
          <w:szCs w:val="24"/>
        </w:rPr>
        <w:t>Samtidig administration af lægemiddel, der er kendt for at forlænge QTc-intervallet.</w:t>
      </w:r>
    </w:p>
    <w:p w:rsidR="00751B1D" w:rsidRPr="00751B1D" w:rsidRDefault="00751B1D" w:rsidP="00751B1D">
      <w:pPr>
        <w:numPr>
          <w:ilvl w:val="0"/>
          <w:numId w:val="6"/>
        </w:numPr>
        <w:tabs>
          <w:tab w:val="left" w:pos="851"/>
        </w:tabs>
        <w:ind w:left="1134" w:hanging="283"/>
        <w:rPr>
          <w:sz w:val="24"/>
          <w:szCs w:val="24"/>
        </w:rPr>
      </w:pPr>
      <w:r w:rsidRPr="00751B1D">
        <w:rPr>
          <w:sz w:val="24"/>
          <w:szCs w:val="24"/>
        </w:rPr>
        <w:t>Elektrolytforstyrrelser såsom hypokaliæmi, hypomagnesæmi og hypokalcæmi bør monitoreres og om nødvendigt korrigeres, før voriconazolbehandling initieres og under behandlingen (se pkt. 4.2). Der er udført et klinisk studie hos raske forsøgspersoner, hvor effekten af voriconazolbehandling med enkeltdoser op til 4 gange den sædvanlige daglige dosis blev undersøgt på QTc-intervallet. Ingen forsøgspersoner oplevede, at intervallet oversteg den potentielle kliniske relevante grænse på 500 msek. (se pkt. 5.1).</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Infusionsrelaterede reaktioner</w:t>
      </w:r>
    </w:p>
    <w:p w:rsidR="00751B1D" w:rsidRPr="00751B1D" w:rsidRDefault="00751B1D" w:rsidP="00751B1D">
      <w:pPr>
        <w:tabs>
          <w:tab w:val="left" w:pos="851"/>
        </w:tabs>
        <w:ind w:left="851"/>
        <w:rPr>
          <w:sz w:val="24"/>
          <w:szCs w:val="24"/>
        </w:rPr>
      </w:pPr>
      <w:r w:rsidRPr="00751B1D">
        <w:rPr>
          <w:sz w:val="24"/>
          <w:szCs w:val="24"/>
        </w:rPr>
        <w:t>Infusionsrelaterede reaktioner, overvejende rødmen (”flushing”) og kvalme, er set efter administration af intravenøs voriconazol. Afhængigt af sværhedsgraden af symptomerne, bør det overvejes at standse behandlingen (se pkt. 4.8).</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Levertoksicitet</w:t>
      </w:r>
    </w:p>
    <w:p w:rsidR="00751B1D" w:rsidRPr="00751B1D" w:rsidRDefault="00751B1D" w:rsidP="00751B1D">
      <w:pPr>
        <w:tabs>
          <w:tab w:val="left" w:pos="851"/>
        </w:tabs>
        <w:ind w:left="851"/>
        <w:rPr>
          <w:sz w:val="24"/>
          <w:szCs w:val="24"/>
        </w:rPr>
      </w:pPr>
      <w:r w:rsidRPr="00751B1D">
        <w:rPr>
          <w:sz w:val="24"/>
          <w:szCs w:val="24"/>
        </w:rPr>
        <w:t xml:space="preserve">Der har i kliniske studier været tilfælde af alvorlige hepatiske reaktioner under behandling med voriconazol (herunder klinisk hepatitis, cholestasis og fulminant leversvigt, som førte til dødsfald). Hepatiske reaktioner opstod primært hos patienter med andre alvorlige underliggende sygdomme (først og fremmest malign hæmatologisk sygdom). Forbigående hepatiske reaktioner, herunder hepatitis og gulsot, er set blandt patienter uden andre </w:t>
      </w:r>
      <w:r w:rsidRPr="00751B1D">
        <w:rPr>
          <w:sz w:val="24"/>
          <w:szCs w:val="24"/>
        </w:rPr>
        <w:lastRenderedPageBreak/>
        <w:t>erkendte risikofaktorer. Leverinsufficiens har som regel været reversibel ved seponering af behandling (se pkt. 4.8).</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Monitorering af leverfunktionen</w:t>
      </w:r>
    </w:p>
    <w:p w:rsidR="00751B1D" w:rsidRPr="00751B1D" w:rsidRDefault="00751B1D" w:rsidP="00751B1D">
      <w:pPr>
        <w:tabs>
          <w:tab w:val="left" w:pos="851"/>
        </w:tabs>
        <w:ind w:left="851"/>
        <w:rPr>
          <w:sz w:val="24"/>
          <w:szCs w:val="24"/>
        </w:rPr>
      </w:pPr>
      <w:r w:rsidRPr="00751B1D">
        <w:rPr>
          <w:sz w:val="24"/>
          <w:szCs w:val="24"/>
        </w:rPr>
        <w:t>Patienter, der behandles med Voriconazole "Accord Healthcare", skal monitoreres nøje for levertoksicitet. Den kliniske overvågning bør omfatte laboratorievurdering af leverfunktionen (specifikt ASAT og ALAT) ved initiering af Voriconazole "Accord Healthcare" -behandling og mindst én gang om ugen i den første behandlingsmåned. Behandlingsvarigheden bør være så kortvarig som muligt, men hvis behandlingen fortsættes på grundlag af en risk-benefit-vurdering (se pkt. 4.2), kan monitoreringshyppigheden reduceres til én gang om måneden, hvis der ikke er ændringer i leverfunktionsværdierne.</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rPr>
      </w:pPr>
      <w:r w:rsidRPr="00751B1D">
        <w:rPr>
          <w:sz w:val="24"/>
          <w:szCs w:val="24"/>
        </w:rPr>
        <w:t>Hvis leverfunktionsværdierne forhøjes mærkbart, bør Voriconazole "Accord Healthcare" seponeres, medmindre fortsat anvendelse kan forsvares på grundlag af en medicinsk vurdering af risk-benefit-forholdet for patienten.</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rPr>
      </w:pPr>
      <w:r w:rsidRPr="00751B1D">
        <w:rPr>
          <w:sz w:val="24"/>
          <w:szCs w:val="24"/>
        </w:rPr>
        <w:t>Leverfunktionen bør monitoreres hos både børn og voksne.</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Alvorlige dermatologiske bivirkninger</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Fototoksicitet</w:t>
      </w:r>
    </w:p>
    <w:p w:rsidR="00751B1D" w:rsidRPr="00751B1D" w:rsidRDefault="00751B1D" w:rsidP="00751B1D">
      <w:pPr>
        <w:tabs>
          <w:tab w:val="left" w:pos="851"/>
        </w:tabs>
        <w:ind w:left="851"/>
        <w:rPr>
          <w:sz w:val="24"/>
          <w:szCs w:val="24"/>
        </w:rPr>
      </w:pPr>
      <w:r w:rsidRPr="00751B1D">
        <w:rPr>
          <w:sz w:val="24"/>
          <w:szCs w:val="24"/>
        </w:rPr>
        <w:t>Derudover Voriconazole "Accord Healthcare" har været forbundet med fototoksicitet, herunder reaktioner som efelider, lentigo, aktinisk keratose og pseudoporfyri. Det anbefales, at alle patienter, herunder også børn, undgår udsættelse for direkte sollys under behandling med Voriconazole "Accord Healthcare". Beskyttelse i form af tøj og solcreme med høj solbeskyttelsesfaktor (SPF) bør anvendes.</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Planocellulært karcinom i huden (SCC)</w:t>
      </w:r>
    </w:p>
    <w:p w:rsidR="00751B1D" w:rsidRPr="00751B1D" w:rsidRDefault="00751B1D" w:rsidP="00751B1D">
      <w:pPr>
        <w:tabs>
          <w:tab w:val="left" w:pos="851"/>
        </w:tabs>
        <w:ind w:left="851"/>
        <w:rPr>
          <w:sz w:val="24"/>
          <w:szCs w:val="24"/>
        </w:rPr>
      </w:pPr>
      <w:r w:rsidRPr="00751B1D">
        <w:rPr>
          <w:sz w:val="24"/>
          <w:szCs w:val="24"/>
        </w:rPr>
        <w:t xml:space="preserve">Planocellulært karcinom i huden (herunder kutant SCC </w:t>
      </w:r>
      <w:r w:rsidRPr="00751B1D">
        <w:rPr>
          <w:i/>
          <w:iCs/>
          <w:sz w:val="24"/>
          <w:szCs w:val="24"/>
        </w:rPr>
        <w:t>in situ</w:t>
      </w:r>
      <w:r w:rsidRPr="00751B1D">
        <w:rPr>
          <w:sz w:val="24"/>
          <w:szCs w:val="24"/>
        </w:rPr>
        <w:t xml:space="preserve"> eller morbus Bowen) er rapporteret hos patienter, hvoraf nogle tidligere har rapporteret fototoksiske reaktioner. Hvis der opstår fototoksiske reaktioner, bør der søges multidisciplinær rådgivning, og patienten bør henvises til dermatolog. Seponering af Voriconazole "Accord Healthcare" og anvendelse af alternative antimykotika bør overvejes. Hvis behandling med Voriconazole "Accord Healthcare" fortsættes på trods af forekomsten af fototoksicitetsrelaterede læsioner, bør der udføres systematisk og regelmæssig dermatologisk evaluering med henblik på tidlig påvisning og behandling af præmaligne læsioner. Voriconazole "Accord Healthcare" bør seponeres, hvis der påvises præmaligne hudlæsioner eller planocellulært karcinom (se afsnittet ”Langtidsbehandling” nedenfor).</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Svære kutane bivirkninger</w:t>
      </w:r>
    </w:p>
    <w:p w:rsidR="00751B1D" w:rsidRPr="00751B1D" w:rsidRDefault="00751B1D" w:rsidP="00751B1D">
      <w:pPr>
        <w:tabs>
          <w:tab w:val="left" w:pos="851"/>
        </w:tabs>
        <w:ind w:left="851"/>
        <w:rPr>
          <w:sz w:val="24"/>
          <w:szCs w:val="24"/>
        </w:rPr>
      </w:pPr>
      <w:r w:rsidRPr="00751B1D">
        <w:rPr>
          <w:sz w:val="24"/>
          <w:szCs w:val="24"/>
        </w:rPr>
        <w:t>Der er rapporteret om svære kutane bivirkninger (SCAR), herunder Stevens-Johnsons syndrom (SJS), toksisk epidermal nekrolyse (TEN) og lægemiddelreaktion med eosinofili og systemiske symptomer (DRESS), som kan være livstruende eller fatale, ved brug af voriconazol. Hvis patienter udvikler udslæt, bør de monitoreres nøje, og Voriconazole "Accord Healthcare" seponeres, hvis læsionen progredierer.</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Bivirkninger i binyrerne</w:t>
      </w:r>
    </w:p>
    <w:p w:rsidR="00751B1D" w:rsidRPr="00751B1D" w:rsidRDefault="00751B1D" w:rsidP="00751B1D">
      <w:pPr>
        <w:tabs>
          <w:tab w:val="left" w:pos="851"/>
        </w:tabs>
        <w:ind w:left="851"/>
        <w:rPr>
          <w:sz w:val="24"/>
          <w:szCs w:val="24"/>
        </w:rPr>
      </w:pPr>
      <w:r w:rsidRPr="00751B1D">
        <w:rPr>
          <w:sz w:val="24"/>
          <w:szCs w:val="24"/>
        </w:rPr>
        <w:t xml:space="preserve">Reversible tilfælde af binyreinsufficiens er rapporteret hos patienter, der får azoler, herunder voriconazol. Binyreinsufficiens er rapporteret hos patienter, der fik azoler med eller uden samtidige kortikosteroider. Hos patienter, der får azoler uden kortikosteroider, er </w:t>
      </w:r>
      <w:r w:rsidRPr="00751B1D">
        <w:rPr>
          <w:sz w:val="24"/>
          <w:szCs w:val="24"/>
        </w:rPr>
        <w:lastRenderedPageBreak/>
        <w:t>binyreinsufficiens relateret til azolers direkte hæmning af steroidgenesen. Hos patienter, der tager kortikosteroider, kan voriconazolforbundet CYP3A4-hæmning af kortikosteroidmetabolismen medføre for høje kortikosteroidniveauer og binyresuppression (se pkt. 4.5). Der er også rapporteret om Cushings syndrom med og uden efterfølgende binyreinsufficiens hos patienter, der fik voriconazol samtidigt med kortikosteroider.</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rPr>
      </w:pPr>
      <w:r w:rsidRPr="00751B1D">
        <w:rPr>
          <w:sz w:val="24"/>
          <w:szCs w:val="24"/>
        </w:rPr>
        <w:t>Patienter, der er i langtidsbehandling med voriconazol og kortikosteroider (inklusive inhalerede kortikosteroider, f.eks. budesonid og intranasale kortikosteroider), skal omhyggeligt monitoreres for binyrebarkdysfunktion, både under behandling og når voriconazol seponeres (se pkt. 4.5). Patienterne bør instrueres i, at de skal søge øjeblikkelig lægehjælp, hvis de udvikler tegn og symptomer på Cushings syndrom eller binyreinsufficiens.</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Langtidsbehandling</w:t>
      </w:r>
    </w:p>
    <w:p w:rsidR="00751B1D" w:rsidRPr="00751B1D" w:rsidRDefault="00751B1D" w:rsidP="00751B1D">
      <w:pPr>
        <w:tabs>
          <w:tab w:val="left" w:pos="851"/>
        </w:tabs>
        <w:ind w:left="851"/>
        <w:rPr>
          <w:sz w:val="24"/>
          <w:szCs w:val="24"/>
        </w:rPr>
      </w:pPr>
      <w:r w:rsidRPr="00751B1D">
        <w:rPr>
          <w:sz w:val="24"/>
          <w:szCs w:val="24"/>
        </w:rPr>
        <w:t>Langtidseksponering (behandling eller profylakse) i mere end 180 dage (6 måneder) kræver nøje vurdering af benefit/risk-forholdet, og lægen bør derfor overveje at begrænse eksponeringen for Voriconazole "Accord Healthcare" (se pkt. 4.2 og 5.1).</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rPr>
      </w:pPr>
      <w:r w:rsidRPr="00751B1D">
        <w:rPr>
          <w:sz w:val="24"/>
          <w:szCs w:val="24"/>
        </w:rPr>
        <w:t xml:space="preserve">Planocellulært karcinom i huden (SCC) (herunder kutant SCC </w:t>
      </w:r>
      <w:r w:rsidRPr="00751B1D">
        <w:rPr>
          <w:i/>
          <w:iCs/>
          <w:sz w:val="24"/>
          <w:szCs w:val="24"/>
        </w:rPr>
        <w:t>in situ</w:t>
      </w:r>
      <w:r w:rsidRPr="00751B1D">
        <w:rPr>
          <w:sz w:val="24"/>
          <w:szCs w:val="24"/>
        </w:rPr>
        <w:t xml:space="preserve"> eller morbus Bowen) er blevet rapporteret i forbindelse med langtidsbehandling med Voriconazole "Accord Healthcare".</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rPr>
      </w:pPr>
      <w:r w:rsidRPr="00751B1D">
        <w:rPr>
          <w:sz w:val="24"/>
          <w:szCs w:val="24"/>
        </w:rPr>
        <w:t>Non-infektiøs periostitis med forhøjede fluoride og alkaliske fosfataseniveauer er indberettet hos transplanterede patienter. Hvis en patient oplever knoglesmerter, og radiologiske undersøgelser peger på periostitis, bør der søges multidisciplinær rådgivning og seponering af Voriconazole "Accord Healthcare" bør overvejes.</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Synsrelaterede bivirkninger</w:t>
      </w:r>
    </w:p>
    <w:p w:rsidR="00751B1D" w:rsidRPr="00751B1D" w:rsidRDefault="00751B1D" w:rsidP="00751B1D">
      <w:pPr>
        <w:tabs>
          <w:tab w:val="left" w:pos="851"/>
        </w:tabs>
        <w:ind w:left="851"/>
        <w:rPr>
          <w:sz w:val="24"/>
          <w:szCs w:val="24"/>
        </w:rPr>
      </w:pPr>
      <w:r w:rsidRPr="00751B1D">
        <w:rPr>
          <w:sz w:val="24"/>
          <w:szCs w:val="24"/>
        </w:rPr>
        <w:t>Der er rapporteret om langvarige synsrelaterede bivirkninger, herunder sløret syn, betændelse i synsnerven og papilødem (se pkt. 4.8).</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Nyrerelaterede bivirkninger</w:t>
      </w:r>
    </w:p>
    <w:p w:rsidR="00751B1D" w:rsidRPr="00751B1D" w:rsidRDefault="00751B1D" w:rsidP="00751B1D">
      <w:pPr>
        <w:tabs>
          <w:tab w:val="left" w:pos="851"/>
        </w:tabs>
        <w:ind w:left="851"/>
        <w:rPr>
          <w:sz w:val="24"/>
          <w:szCs w:val="24"/>
        </w:rPr>
      </w:pPr>
      <w:r w:rsidRPr="00751B1D">
        <w:rPr>
          <w:sz w:val="24"/>
          <w:szCs w:val="24"/>
        </w:rPr>
        <w:t>Der er observeret akut nyresvigt hos svært syge patienter i behandling med voriconazol. Patienter, der behandles med voriconazol, vil ofte samtidig være i behandling med nefrotoksiske lægemidler og have samtidige tilstande, der kan medføre nedsat nyrefunktion (se pkt. 4.8).</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Monitorering af nyrefunktionen</w:t>
      </w:r>
    </w:p>
    <w:p w:rsidR="00751B1D" w:rsidRPr="00751B1D" w:rsidRDefault="00751B1D" w:rsidP="00751B1D">
      <w:pPr>
        <w:tabs>
          <w:tab w:val="left" w:pos="851"/>
        </w:tabs>
        <w:ind w:left="851"/>
        <w:rPr>
          <w:sz w:val="24"/>
          <w:szCs w:val="24"/>
        </w:rPr>
      </w:pPr>
      <w:r w:rsidRPr="00751B1D">
        <w:rPr>
          <w:sz w:val="24"/>
          <w:szCs w:val="24"/>
        </w:rPr>
        <w:t>Patienter bør monitoreres med henblik på udvikling af abnorm nyrefunktion. Dette bør omfatte laboratorievurderinger, især serumkreatinin.</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Monitorering af pancreasfunktionen</w:t>
      </w:r>
    </w:p>
    <w:p w:rsidR="00751B1D" w:rsidRPr="00751B1D" w:rsidRDefault="00751B1D" w:rsidP="00751B1D">
      <w:pPr>
        <w:tabs>
          <w:tab w:val="left" w:pos="851"/>
        </w:tabs>
        <w:ind w:left="851"/>
        <w:rPr>
          <w:sz w:val="24"/>
          <w:szCs w:val="24"/>
        </w:rPr>
      </w:pPr>
      <w:r w:rsidRPr="00751B1D">
        <w:rPr>
          <w:sz w:val="24"/>
          <w:szCs w:val="24"/>
        </w:rPr>
        <w:t>Patienter, især børn, med risikofaktorer for akut pancreatitis (f.eks. nylig kemoterapi, hæmatopoietisk stamcelletransplantation (HSCT)) bør monitoreres tæt under behandling med Voriconazole "Accord Healthcare". Kontrol af serumamylase eller -lipase bør overvejes under disse forhold.</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Pædiatrisk population</w:t>
      </w:r>
    </w:p>
    <w:p w:rsidR="00751B1D" w:rsidRPr="00751B1D" w:rsidRDefault="00751B1D" w:rsidP="00751B1D">
      <w:pPr>
        <w:tabs>
          <w:tab w:val="left" w:pos="851"/>
        </w:tabs>
        <w:ind w:left="851"/>
        <w:rPr>
          <w:sz w:val="24"/>
          <w:szCs w:val="24"/>
        </w:rPr>
      </w:pPr>
      <w:r w:rsidRPr="00751B1D">
        <w:rPr>
          <w:sz w:val="24"/>
          <w:szCs w:val="24"/>
        </w:rPr>
        <w:t xml:space="preserve">Sikkerhed og virkning hos børn under 2 år er ikke fastlagt (se pkt. 4.8 og 5.1). Voriconazol er indiceret til pædiatriske patienter på 2 år eller ældre. Hos den pædiatriske population ses en højere hyppighed af leverenzymstigninger (se pkt. 4.8). Leverfunktionen bør </w:t>
      </w:r>
      <w:r w:rsidRPr="00751B1D">
        <w:rPr>
          <w:sz w:val="24"/>
          <w:szCs w:val="24"/>
        </w:rPr>
        <w:lastRenderedPageBreak/>
        <w:t>monitoreres hos både børn og voksne. Hos pædiatriske patienter i alderen 2 til &lt;12 år, med malabsorption og meget lav legemsvægt for deres alder, kan oral biotilgængelighed være begrænset. I dette tilfælde anbefales intravenøs administration af voriconazol.</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Alvorlige dermatologiske bivirkninger (herunder CSS)</w:t>
      </w:r>
    </w:p>
    <w:p w:rsidR="00751B1D" w:rsidRPr="00751B1D" w:rsidRDefault="00751B1D" w:rsidP="00751B1D">
      <w:pPr>
        <w:tabs>
          <w:tab w:val="left" w:pos="851"/>
        </w:tabs>
        <w:ind w:left="851"/>
        <w:rPr>
          <w:sz w:val="24"/>
          <w:szCs w:val="24"/>
        </w:rPr>
      </w:pPr>
      <w:r w:rsidRPr="00751B1D">
        <w:rPr>
          <w:sz w:val="24"/>
          <w:szCs w:val="24"/>
        </w:rPr>
        <w:t>Hyppigheden af fototoksiske reaktioner er højere hos den pædiatriske population. Da der er rapporteret en udvikling i retning af planocellulært karcinom (SCC), kan strenge beskyttelsesforanstaltninger mod lys være påkrævet for denne patientpopulation. Børn, der oplever fotoældningsskader som lentigines eller efelider, anbefales at undgå solen, ligesom dermatologisk opfølgning anbefales, også efter behandlingen er seponeret.</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Profylakse</w:t>
      </w:r>
    </w:p>
    <w:p w:rsidR="00751B1D" w:rsidRPr="00751B1D" w:rsidRDefault="00751B1D" w:rsidP="00751B1D">
      <w:pPr>
        <w:tabs>
          <w:tab w:val="left" w:pos="851"/>
        </w:tabs>
        <w:ind w:left="851"/>
        <w:rPr>
          <w:sz w:val="24"/>
          <w:szCs w:val="24"/>
        </w:rPr>
      </w:pPr>
      <w:r w:rsidRPr="00751B1D">
        <w:rPr>
          <w:sz w:val="24"/>
          <w:szCs w:val="24"/>
        </w:rPr>
        <w:t>I tilfælde af behandlingsrelaterede bivirkninger (hepatotoksicitet, alvorlige hudreaktioner, herunder fototoksicitet og planocellulært karcinom, alvorlige eller langvarige synsforstyrrelser og periostitis) skal seponering af voriconazol og anvendelse af alternative antimykotika overvejes.</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Phenytoin (CYP2C9-substrat og potent CYP450-induktor)</w:t>
      </w:r>
    </w:p>
    <w:p w:rsidR="00751B1D" w:rsidRPr="00751B1D" w:rsidRDefault="00751B1D" w:rsidP="00751B1D">
      <w:pPr>
        <w:tabs>
          <w:tab w:val="left" w:pos="851"/>
        </w:tabs>
        <w:ind w:left="851"/>
        <w:rPr>
          <w:sz w:val="24"/>
          <w:szCs w:val="24"/>
        </w:rPr>
      </w:pPr>
      <w:r w:rsidRPr="00751B1D">
        <w:rPr>
          <w:sz w:val="24"/>
          <w:szCs w:val="24"/>
        </w:rPr>
        <w:t>Omhyggelig monitorering af phenytoinniveauer anbefales ved samtidig administration af voriconazol. Samtidig behandling med voriconazol og phenytoin bør undgås, medmindre fordelen opvejer risikoen (se pkt. 4.5).</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Efavirenz (CYP450-induktor, CYP3A4-hæmmer og -substrat)</w:t>
      </w:r>
    </w:p>
    <w:p w:rsidR="00751B1D" w:rsidRPr="00751B1D" w:rsidRDefault="00751B1D" w:rsidP="00751B1D">
      <w:pPr>
        <w:tabs>
          <w:tab w:val="left" w:pos="851"/>
        </w:tabs>
        <w:ind w:left="851"/>
        <w:rPr>
          <w:sz w:val="24"/>
          <w:szCs w:val="24"/>
        </w:rPr>
      </w:pPr>
      <w:r w:rsidRPr="00751B1D">
        <w:rPr>
          <w:sz w:val="24"/>
          <w:szCs w:val="24"/>
        </w:rPr>
        <w:t>Når voriconazol anvendes samtidigt med efavirenz, bør voriconazol-dosis øges til 400 mg hver 12. time, og efavirenz-dosis bør nedsættes til 300 mg hvert 24. time (se pkt. 4.2, 4.3 og 4.5).</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Glasdegib (CYP3A4-substrat)</w:t>
      </w:r>
    </w:p>
    <w:p w:rsidR="00751B1D" w:rsidRPr="00751B1D" w:rsidRDefault="00751B1D" w:rsidP="00751B1D">
      <w:pPr>
        <w:tabs>
          <w:tab w:val="left" w:pos="851"/>
        </w:tabs>
        <w:ind w:left="851"/>
        <w:rPr>
          <w:sz w:val="24"/>
          <w:szCs w:val="24"/>
        </w:rPr>
      </w:pPr>
      <w:r w:rsidRPr="00751B1D">
        <w:rPr>
          <w:sz w:val="24"/>
          <w:szCs w:val="24"/>
        </w:rPr>
        <w:t>Samtidig administration af voriconazol forventes at medføre en øget plasmakoncentration af glasdegib og en forhøjet risiko for QTc-forlængelse (se pkt. 4.5). Hvis samtidig behandling ikke kan undgås, tilrådes hyppig EKG-monitorering.</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Tyrosinkinasehæmmere (CYP3A4-substrat)</w:t>
      </w:r>
    </w:p>
    <w:p w:rsidR="00751B1D" w:rsidRPr="00751B1D" w:rsidRDefault="00751B1D" w:rsidP="00751B1D">
      <w:pPr>
        <w:tabs>
          <w:tab w:val="left" w:pos="851"/>
        </w:tabs>
        <w:ind w:left="851"/>
        <w:rPr>
          <w:sz w:val="24"/>
          <w:szCs w:val="24"/>
        </w:rPr>
      </w:pPr>
      <w:r w:rsidRPr="00751B1D">
        <w:rPr>
          <w:sz w:val="24"/>
          <w:szCs w:val="24"/>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 4.5).</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Rifabutin (potent CYP450-induktor)</w:t>
      </w:r>
    </w:p>
    <w:p w:rsidR="00751B1D" w:rsidRPr="00751B1D" w:rsidRDefault="00751B1D" w:rsidP="00751B1D">
      <w:pPr>
        <w:tabs>
          <w:tab w:val="left" w:pos="851"/>
        </w:tabs>
        <w:ind w:left="851"/>
        <w:rPr>
          <w:sz w:val="24"/>
          <w:szCs w:val="24"/>
        </w:rPr>
      </w:pPr>
      <w:r w:rsidRPr="00751B1D">
        <w:rPr>
          <w:sz w:val="24"/>
          <w:szCs w:val="24"/>
        </w:rPr>
        <w:t>Omhyggelig monitorering af fuldt blodbillede og bivirkninger til rifabutin (f.eks. regnbuehindebetændelse) anbefales, når rifabutin administreres samtidigt med voriconazol. Samtidig behandling med voriconazol og rifabutin bør undgås, medmindre fordelen opvejer risikoen (se pkt. 4.5).</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lang w:val="en-US"/>
        </w:rPr>
      </w:pPr>
      <w:r w:rsidRPr="00751B1D">
        <w:rPr>
          <w:sz w:val="24"/>
          <w:szCs w:val="24"/>
          <w:u w:val="single"/>
          <w:lang w:val="en-US"/>
        </w:rPr>
        <w:t>Ritonavir (potent CYP450-induktor; CYP3A4-hæmmer og -substrat)</w:t>
      </w:r>
    </w:p>
    <w:p w:rsidR="00751B1D" w:rsidRPr="00751B1D" w:rsidRDefault="00751B1D" w:rsidP="00751B1D">
      <w:pPr>
        <w:tabs>
          <w:tab w:val="left" w:pos="851"/>
        </w:tabs>
        <w:ind w:left="851"/>
        <w:rPr>
          <w:sz w:val="24"/>
          <w:szCs w:val="24"/>
        </w:rPr>
      </w:pPr>
      <w:r w:rsidRPr="00751B1D">
        <w:rPr>
          <w:sz w:val="24"/>
          <w:szCs w:val="24"/>
        </w:rPr>
        <w:t>Samtidig administration af voriconazol og lavdosis ritonavir (100 mg to gange dagligt) bør undgås, medmindre en vurdering af benefit/risk forholdet for patienten retfærdiggør brugen af voriconazol (se pkt. 4.3 og 4.5).</w:t>
      </w:r>
    </w:p>
    <w:p w:rsidR="00751B1D" w:rsidRDefault="00751B1D">
      <w:pPr>
        <w:rPr>
          <w:sz w:val="24"/>
          <w:szCs w:val="24"/>
        </w:rPr>
      </w:pPr>
      <w:r>
        <w:rPr>
          <w:sz w:val="24"/>
          <w:szCs w:val="24"/>
        </w:rPr>
        <w:br w:type="page"/>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lang w:val="en-US"/>
        </w:rPr>
      </w:pPr>
      <w:r w:rsidRPr="00751B1D">
        <w:rPr>
          <w:sz w:val="24"/>
          <w:szCs w:val="24"/>
          <w:u w:val="single"/>
          <w:lang w:val="en-US"/>
        </w:rPr>
        <w:t>Everolimus (CYP3A4-substrat, P-glykoprotein (P-gp) substrat)</w:t>
      </w:r>
    </w:p>
    <w:p w:rsidR="00751B1D" w:rsidRPr="00751B1D" w:rsidRDefault="00751B1D" w:rsidP="00751B1D">
      <w:pPr>
        <w:tabs>
          <w:tab w:val="left" w:pos="851"/>
        </w:tabs>
        <w:ind w:left="851"/>
        <w:rPr>
          <w:sz w:val="24"/>
          <w:szCs w:val="24"/>
        </w:rPr>
      </w:pPr>
      <w:r w:rsidRPr="00751B1D">
        <w:rPr>
          <w:sz w:val="24"/>
          <w:szCs w:val="24"/>
        </w:rPr>
        <w:t>Samtidig administration af voriconazol og everolimus bør ikke anvendes, da voriconazol antages at øge koncentrationen af everolimus signifikant. Der foreligger ikke tilstrækkelige data til at give doseringsanbefalinger i denne situation (se punkt 4.5).</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Methadon (CYP3A4-substrat)</w:t>
      </w:r>
    </w:p>
    <w:p w:rsidR="00751B1D" w:rsidRPr="00751B1D" w:rsidRDefault="00751B1D" w:rsidP="00751B1D">
      <w:pPr>
        <w:tabs>
          <w:tab w:val="left" w:pos="851"/>
        </w:tabs>
        <w:ind w:left="851"/>
        <w:rPr>
          <w:sz w:val="24"/>
          <w:szCs w:val="24"/>
        </w:rPr>
      </w:pPr>
      <w:r w:rsidRPr="00751B1D">
        <w:rPr>
          <w:sz w:val="24"/>
          <w:szCs w:val="24"/>
        </w:rPr>
        <w:t>Hyppig monitorering af bivirkninger og toksicitet i forbindelse med methadon, herunder QTc-forlængelse, anbefales ved samtidig administration af voriconazol, da methadonniveauer stiger efter samtidig administration af voriconazol. Dosisreduktion af methadon kan være nødvendig (se pkt. 4.5).</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Korttidsvirkende opiater (CYP3A4-substrat)</w:t>
      </w:r>
    </w:p>
    <w:p w:rsidR="00751B1D" w:rsidRPr="00751B1D" w:rsidRDefault="00751B1D" w:rsidP="00751B1D">
      <w:pPr>
        <w:tabs>
          <w:tab w:val="left" w:pos="851"/>
        </w:tabs>
        <w:ind w:left="851"/>
        <w:rPr>
          <w:sz w:val="24"/>
          <w:szCs w:val="24"/>
        </w:rPr>
      </w:pPr>
      <w:r w:rsidRPr="00751B1D">
        <w:rPr>
          <w:sz w:val="24"/>
          <w:szCs w:val="24"/>
        </w:rPr>
        <w:t>Dosisreduktion af alfentanil, fentanyl og andre korttidsvirkende opiater, der har samme struktur som alfentanil, og som metaboliseres af CYP3A4 (f.eks. sufentanil) bør overvejes ved samtidig administration af voriconazol (se pkt. 4.5). Når alfentanil administreres samtidig med voriconazol, forlænges alfentanils halveringstid 4 gange, og i et uafhængigt, publiceret studie, resulterede samtidig behandling med voriconazol og fentanyl i en forhøjelse af gennemsnitligt AUC</w:t>
      </w:r>
      <w:r w:rsidRPr="00751B1D">
        <w:rPr>
          <w:sz w:val="24"/>
          <w:szCs w:val="24"/>
          <w:vertAlign w:val="subscript"/>
        </w:rPr>
        <w:t>0</w:t>
      </w:r>
      <w:r w:rsidRPr="00751B1D">
        <w:rPr>
          <w:sz w:val="24"/>
          <w:szCs w:val="24"/>
        </w:rPr>
        <w:t>-∞ for fentanyl. Hyppigere monitorering for opiat-relaterede bivirkninger (herunder længere monitorering af respirationen) kan derfor være nødvendig.</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Langtidsvirkende opiater (CYP3A4-substrat)</w:t>
      </w:r>
    </w:p>
    <w:p w:rsidR="00751B1D" w:rsidRPr="00751B1D" w:rsidRDefault="00751B1D" w:rsidP="00751B1D">
      <w:pPr>
        <w:tabs>
          <w:tab w:val="left" w:pos="851"/>
        </w:tabs>
        <w:ind w:left="851"/>
        <w:rPr>
          <w:sz w:val="24"/>
          <w:szCs w:val="24"/>
        </w:rPr>
      </w:pPr>
      <w:r w:rsidRPr="00751B1D">
        <w:rPr>
          <w:sz w:val="24"/>
          <w:szCs w:val="24"/>
        </w:rPr>
        <w:t>Dosisreduktion af oxycodon og andre langtidsvirkende opiater, som metaboliseres af CYP3A4 (f.eks. hydrocodon) bør overvejes ved samtidig administration af voriconazol. Hyppig monitorering for opiatrelaterede bivirkninger kan være nødvendig (se pkt. 4.5).</w:t>
      </w:r>
    </w:p>
    <w:p w:rsidR="00751B1D" w:rsidRPr="00751B1D" w:rsidRDefault="00751B1D" w:rsidP="00751B1D">
      <w:pPr>
        <w:tabs>
          <w:tab w:val="left" w:pos="851"/>
        </w:tabs>
        <w:ind w:left="851"/>
        <w:rPr>
          <w:sz w:val="24"/>
          <w:szCs w:val="24"/>
        </w:rPr>
      </w:pPr>
    </w:p>
    <w:p w:rsidR="00751B1D" w:rsidRPr="00751B1D" w:rsidRDefault="00751B1D" w:rsidP="00751B1D">
      <w:pPr>
        <w:tabs>
          <w:tab w:val="left" w:pos="851"/>
        </w:tabs>
        <w:ind w:left="851"/>
        <w:rPr>
          <w:sz w:val="24"/>
          <w:szCs w:val="24"/>
          <w:u w:val="single"/>
        </w:rPr>
      </w:pPr>
      <w:r w:rsidRPr="00751B1D">
        <w:rPr>
          <w:sz w:val="24"/>
          <w:szCs w:val="24"/>
          <w:u w:val="single"/>
        </w:rPr>
        <w:t>Fluconazol (CYP2C9-, CYP2C19- og CYP3A4-hæmmer)</w:t>
      </w:r>
    </w:p>
    <w:p w:rsidR="00751B1D" w:rsidRPr="00751B1D" w:rsidRDefault="00751B1D" w:rsidP="00751B1D">
      <w:pPr>
        <w:tabs>
          <w:tab w:val="left" w:pos="851"/>
        </w:tabs>
        <w:ind w:left="851"/>
        <w:rPr>
          <w:sz w:val="24"/>
          <w:szCs w:val="24"/>
        </w:rPr>
      </w:pPr>
      <w:r w:rsidRPr="00751B1D">
        <w:rPr>
          <w:sz w:val="24"/>
          <w:szCs w:val="24"/>
        </w:rPr>
        <w:t>Samtidig administration af oral voriconazol og oral fluconazol hos raske forsøgspersoner resulterede i en signifikant stigning i C</w:t>
      </w:r>
      <w:r w:rsidRPr="00751B1D">
        <w:rPr>
          <w:sz w:val="24"/>
          <w:szCs w:val="24"/>
          <w:vertAlign w:val="subscript"/>
        </w:rPr>
        <w:t>max</w:t>
      </w:r>
      <w:r w:rsidRPr="00751B1D">
        <w:rPr>
          <w:sz w:val="24"/>
          <w:szCs w:val="24"/>
        </w:rPr>
        <w:t xml:space="preserve"> og AUCτ for voriconazol. Hvilken dosisreduktion og/eller ændring i doseringshyppighed af voriconazol og fluconazol, der vil eliminere denne virkning, er ikke fastlagt. Monitorering for voriconazol-relaterede bivirkninger anbefales, hvis voriconazol anvendes sekventielt efter fluconazol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B3AF7" w:rsidRPr="000B3AF7" w:rsidRDefault="000B3AF7" w:rsidP="000B3AF7">
      <w:pPr>
        <w:ind w:left="851"/>
        <w:rPr>
          <w:sz w:val="24"/>
          <w:szCs w:val="24"/>
          <w:lang w:eastAsia="fr-LU"/>
        </w:rPr>
      </w:pPr>
      <w:r>
        <w:rPr>
          <w:sz w:val="22"/>
          <w:szCs w:val="22"/>
        </w:rPr>
        <w:t xml:space="preserve">Voriconazol metaboliseres af og hæmmer aktiviteten af cytochrom P450-isoenzymerne CYP2C19, CYP2C9 </w:t>
      </w:r>
      <w:r w:rsidRPr="000B3AF7">
        <w:rPr>
          <w:sz w:val="24"/>
          <w:szCs w:val="24"/>
        </w:rPr>
        <w:t>og CYP3A4. Hæmmere eller induktorer af disse isoenzymer kan give henholdsvis en stigning eller et fald i voriconazol-plasmakoncentrationerne og der er potentiale for, at voriconazol øger plasmaniveauerne for stoffer, der metaboliseres af disse CYP450-isoenzymer, især for stoffer, der metaboliseres af CYP3A4, da voriconazol er en kraftig CYP3A4-hæmmer, selv om stigningen i AUC er substratafhængig (se tabel nedenfor).</w:t>
      </w:r>
    </w:p>
    <w:p w:rsidR="000B3AF7" w:rsidRPr="000B3AF7" w:rsidRDefault="000B3AF7" w:rsidP="000B3AF7">
      <w:pPr>
        <w:ind w:left="851"/>
        <w:rPr>
          <w:sz w:val="24"/>
          <w:szCs w:val="24"/>
        </w:rPr>
      </w:pPr>
    </w:p>
    <w:p w:rsidR="000B3AF7" w:rsidRPr="000B3AF7" w:rsidRDefault="000B3AF7" w:rsidP="000B3AF7">
      <w:pPr>
        <w:ind w:left="851"/>
        <w:rPr>
          <w:sz w:val="24"/>
          <w:szCs w:val="24"/>
        </w:rPr>
      </w:pPr>
      <w:r w:rsidRPr="000B3AF7">
        <w:rPr>
          <w:sz w:val="24"/>
          <w:szCs w:val="24"/>
        </w:rPr>
        <w:t>Medmindre andet er specificeret, er lægemiddelinteraktionsstudierne udført hos raske voksne mandlige forsøgspersoner ved anvendelse af oral voriconazol på 200 mg to gange dagligt indtil steady-state. Disse resultater er relevante for andre populationer og administrationsveje.</w:t>
      </w:r>
    </w:p>
    <w:p w:rsidR="000B3AF7" w:rsidRPr="000B3AF7" w:rsidRDefault="000B3AF7" w:rsidP="000B3AF7">
      <w:pPr>
        <w:ind w:left="851"/>
        <w:rPr>
          <w:sz w:val="24"/>
          <w:szCs w:val="24"/>
        </w:rPr>
      </w:pPr>
      <w:r w:rsidRPr="000B3AF7">
        <w:rPr>
          <w:sz w:val="24"/>
          <w:szCs w:val="24"/>
        </w:rPr>
        <w:t xml:space="preserve"> </w:t>
      </w:r>
    </w:p>
    <w:p w:rsidR="000B3AF7" w:rsidRPr="000B3AF7" w:rsidRDefault="000B3AF7" w:rsidP="000B3AF7">
      <w:pPr>
        <w:ind w:left="851"/>
        <w:rPr>
          <w:sz w:val="24"/>
          <w:szCs w:val="24"/>
        </w:rPr>
      </w:pPr>
      <w:r w:rsidRPr="000B3AF7">
        <w:rPr>
          <w:sz w:val="24"/>
          <w:szCs w:val="24"/>
        </w:rPr>
        <w:t>Voriconazol bør anvendes med forsigtighed hos patienter, der samtidig tager lægemidler, som er kendt for at forlænge QTc-intervallet. Hvis der også er en mulighed for, at voriconazol øger plasmaniveauerne af substanser, der metaboliseres af CYP3A4-</w:t>
      </w:r>
      <w:r w:rsidRPr="000B3AF7">
        <w:rPr>
          <w:sz w:val="24"/>
          <w:szCs w:val="24"/>
        </w:rPr>
        <w:lastRenderedPageBreak/>
        <w:t>isoenzymer (visse antihistaminer, quinidin, cisaprid, pimozid og ivabradin), er samtidig administration kontraindiceret (se nedenfor og pkt. 4.3).</w:t>
      </w:r>
    </w:p>
    <w:p w:rsidR="000B3AF7" w:rsidRPr="000B3AF7" w:rsidRDefault="000B3AF7" w:rsidP="000B3AF7">
      <w:pPr>
        <w:ind w:left="851"/>
        <w:rPr>
          <w:sz w:val="24"/>
          <w:szCs w:val="24"/>
        </w:rPr>
      </w:pPr>
    </w:p>
    <w:p w:rsidR="000B3AF7" w:rsidRPr="000B3AF7" w:rsidRDefault="000B3AF7" w:rsidP="000B3AF7">
      <w:pPr>
        <w:ind w:left="851"/>
        <w:rPr>
          <w:sz w:val="24"/>
          <w:szCs w:val="24"/>
          <w:u w:val="single"/>
        </w:rPr>
      </w:pPr>
      <w:r w:rsidRPr="000B3AF7">
        <w:rPr>
          <w:sz w:val="24"/>
          <w:szCs w:val="24"/>
          <w:u w:val="single"/>
        </w:rPr>
        <w:t>Interaktionsskema</w:t>
      </w:r>
    </w:p>
    <w:p w:rsidR="000B3AF7" w:rsidRPr="000B3AF7" w:rsidRDefault="000B3AF7" w:rsidP="000B3AF7">
      <w:pPr>
        <w:ind w:left="851"/>
        <w:rPr>
          <w:sz w:val="24"/>
          <w:szCs w:val="24"/>
        </w:rPr>
      </w:pPr>
      <w:r w:rsidRPr="000B3AF7">
        <w:rPr>
          <w:sz w:val="24"/>
          <w:szCs w:val="24"/>
        </w:rPr>
        <w:t>Interaktionerne mellem voriconazol og andre lægemidler er anført i følgende skema (én gang dagligt som ”QD”, to gange dagligt som ”BID”, tre gange dagligt som ”TID” og ikke fastlagt som ”ND”). Pilens retning for hvert farmakokinetisk parameter er baseret på 90 % konfidensinterval af den geometriske gennemsnitlige ratio, inden for (↔), under (↓) eller over (↑) grænserne 80-125 %. En asterisk (*) indikerer en to-vejs interaktion. AUC</w:t>
      </w:r>
      <w:r w:rsidRPr="000B3AF7">
        <w:rPr>
          <w:sz w:val="24"/>
          <w:szCs w:val="24"/>
          <w:vertAlign w:val="subscript"/>
        </w:rPr>
        <w:t>τ</w:t>
      </w:r>
      <w:r w:rsidRPr="000B3AF7">
        <w:rPr>
          <w:sz w:val="24"/>
          <w:szCs w:val="24"/>
        </w:rPr>
        <w:t>, AUC</w:t>
      </w:r>
      <w:r w:rsidRPr="000B3AF7">
        <w:rPr>
          <w:sz w:val="24"/>
          <w:szCs w:val="24"/>
          <w:vertAlign w:val="subscript"/>
        </w:rPr>
        <w:t>t</w:t>
      </w:r>
      <w:r w:rsidRPr="000B3AF7">
        <w:rPr>
          <w:sz w:val="24"/>
          <w:szCs w:val="24"/>
        </w:rPr>
        <w:t xml:space="preserve"> og AUC</w:t>
      </w:r>
      <w:r w:rsidRPr="000B3AF7">
        <w:rPr>
          <w:sz w:val="24"/>
          <w:szCs w:val="24"/>
          <w:vertAlign w:val="subscript"/>
        </w:rPr>
        <w:t>0-∞</w:t>
      </w:r>
      <w:r w:rsidRPr="000B3AF7">
        <w:rPr>
          <w:sz w:val="24"/>
          <w:szCs w:val="24"/>
        </w:rPr>
        <w:t xml:space="preserve"> angiver de respektive arealer under plasmakoncentrationstidskurven inden for et dosisinterval, til den sidst kvantificerbare måling samt fra tiden 0 til uendelig.</w:t>
      </w:r>
    </w:p>
    <w:p w:rsidR="000B3AF7" w:rsidRPr="000B3AF7" w:rsidRDefault="000B3AF7" w:rsidP="000B3AF7">
      <w:pPr>
        <w:ind w:left="851"/>
        <w:rPr>
          <w:sz w:val="24"/>
          <w:szCs w:val="24"/>
        </w:rPr>
      </w:pPr>
    </w:p>
    <w:p w:rsidR="000B3AF7" w:rsidRDefault="000B3AF7" w:rsidP="000B3AF7">
      <w:pPr>
        <w:ind w:left="851"/>
        <w:rPr>
          <w:sz w:val="24"/>
          <w:szCs w:val="24"/>
        </w:rPr>
      </w:pPr>
      <w:r w:rsidRPr="000B3AF7">
        <w:rPr>
          <w:sz w:val="24"/>
          <w:szCs w:val="24"/>
        </w:rPr>
        <w:t>Interaktionerne i skemaet er anført i følgende orden: kontraindikationer, interaktioner, der kræver justering af dosis og omhyggelig klinisk og/eller biologisk monitorering, samt interaktioner, der ikke har farmakologisk relevans, men kan være af klinisk interesse.</w:t>
      </w:r>
    </w:p>
    <w:p w:rsidR="000B3AF7" w:rsidRDefault="000B3AF7" w:rsidP="000B3AF7">
      <w:pPr>
        <w:ind w:left="851"/>
        <w:rPr>
          <w:sz w:val="24"/>
          <w:szCs w:val="24"/>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1"/>
        <w:gridCol w:w="3262"/>
        <w:gridCol w:w="3009"/>
        <w:gridCol w:w="8"/>
      </w:tblGrid>
      <w:tr w:rsidR="00457C37" w:rsidRPr="00457C37" w:rsidTr="00457C37">
        <w:trPr>
          <w:tblHeader/>
        </w:trPr>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b/>
                <w:sz w:val="20"/>
                <w:lang w:eastAsia="fr-LU"/>
              </w:rPr>
            </w:pPr>
            <w:r w:rsidRPr="00457C37">
              <w:rPr>
                <w:b/>
                <w:bCs/>
                <w:sz w:val="20"/>
                <w:lang w:eastAsia="fr-LU"/>
              </w:rPr>
              <w:t>Lægemiddel</w:t>
            </w:r>
          </w:p>
          <w:p w:rsidR="00457C37" w:rsidRPr="00457C37" w:rsidRDefault="00457C37" w:rsidP="00457C37">
            <w:pPr>
              <w:autoSpaceDE w:val="0"/>
              <w:autoSpaceDN w:val="0"/>
              <w:adjustRightInd w:val="0"/>
              <w:rPr>
                <w:b/>
                <w:sz w:val="20"/>
                <w:lang w:eastAsia="fr-LU"/>
              </w:rPr>
            </w:pPr>
            <w:r w:rsidRPr="00457C37">
              <w:rPr>
                <w:b/>
                <w:bCs/>
                <w:sz w:val="20"/>
                <w:lang w:eastAsia="fr-LU"/>
              </w:rPr>
              <w:t>[interaktionsmekanisme]</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b/>
                <w:sz w:val="20"/>
                <w:lang w:eastAsia="fr-LU"/>
              </w:rPr>
            </w:pPr>
            <w:r w:rsidRPr="00457C37">
              <w:rPr>
                <w:b/>
                <w:bCs/>
                <w:sz w:val="20"/>
                <w:lang w:eastAsia="fr-LU"/>
              </w:rPr>
              <w:t>Interaktion</w:t>
            </w:r>
          </w:p>
          <w:p w:rsidR="00457C37" w:rsidRPr="00457C37" w:rsidRDefault="00457C37" w:rsidP="00457C37">
            <w:pPr>
              <w:autoSpaceDE w:val="0"/>
              <w:autoSpaceDN w:val="0"/>
              <w:adjustRightInd w:val="0"/>
              <w:rPr>
                <w:b/>
                <w:sz w:val="20"/>
                <w:lang w:eastAsia="fr-LU"/>
              </w:rPr>
            </w:pPr>
            <w:r w:rsidRPr="00457C37">
              <w:rPr>
                <w:b/>
                <w:bCs/>
                <w:sz w:val="20"/>
                <w:lang w:eastAsia="fr-LU"/>
              </w:rPr>
              <w:t>Geometrisk gennemsnitlig ændring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b/>
                <w:sz w:val="20"/>
                <w:lang w:eastAsia="fr-LU"/>
              </w:rPr>
            </w:pPr>
            <w:r w:rsidRPr="00457C37">
              <w:rPr>
                <w:b/>
                <w:bCs/>
                <w:sz w:val="20"/>
                <w:lang w:eastAsia="fr-LU"/>
              </w:rPr>
              <w:t>Anbefalinger vedrørende samtidig administration</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en-US" w:eastAsia="fr-LU"/>
              </w:rPr>
            </w:pPr>
            <w:r w:rsidRPr="00457C37">
              <w:rPr>
                <w:sz w:val="20"/>
                <w:lang w:val="en-US" w:eastAsia="fr-LU"/>
              </w:rPr>
              <w:t>Astemizol, cisaprid, pimozid, quinidin, terfenadin og ivabradin</w:t>
            </w:r>
          </w:p>
          <w:p w:rsidR="00457C37" w:rsidRPr="00457C37" w:rsidRDefault="00457C37" w:rsidP="00457C37">
            <w:pPr>
              <w:autoSpaceDE w:val="0"/>
              <w:autoSpaceDN w:val="0"/>
              <w:adjustRightInd w:val="0"/>
              <w:rPr>
                <w:sz w:val="20"/>
                <w:lang w:val="en-US" w:eastAsia="fr-LU"/>
              </w:rPr>
            </w:pPr>
            <w:r w:rsidRPr="00457C37">
              <w:rPr>
                <w:i/>
                <w:iCs/>
                <w:sz w:val="20"/>
                <w:lang w:val="en-US" w:eastAsia="fr-LU"/>
              </w:rPr>
              <w:t>[CYP3A4-substrater]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 xml:space="preserve">Selvom det ikke er undersøgt, kan disse lægemidlers forøgede plasmakoncentrationer føre til QTc-forlængelse og i sjældne tilfælde </w:t>
            </w:r>
            <w:r w:rsidRPr="00457C37">
              <w:rPr>
                <w:i/>
                <w:iCs/>
                <w:sz w:val="20"/>
                <w:lang w:eastAsia="fr-LU"/>
              </w:rPr>
              <w:t>torsades de pointes</w:t>
            </w:r>
            <w:r w:rsidRPr="00457C37">
              <w:rPr>
                <w:sz w:val="20"/>
                <w:lang w:eastAsia="fr-LU"/>
              </w:rPr>
              <w:t>.</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b/>
                <w:bCs/>
                <w:sz w:val="20"/>
                <w:lang w:eastAsia="fr-LU"/>
              </w:rPr>
              <w:t>Kontraindiceret</w:t>
            </w:r>
            <w:r w:rsidRPr="00457C37">
              <w:rPr>
                <w:sz w:val="20"/>
                <w:lang w:eastAsia="fr-LU"/>
              </w:rPr>
              <w:t xml:space="preserve"> (se pkt. 4.3)</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 xml:space="preserve">Carbamazepin og langtidsvirkende benzodiazepiner (f.eks. phenobarbital, mephobarbital) </w:t>
            </w:r>
            <w:r w:rsidRPr="00457C37">
              <w:rPr>
                <w:i/>
                <w:iCs/>
                <w:sz w:val="20"/>
                <w:lang w:eastAsia="fr-LU"/>
              </w:rPr>
              <w:t>[potente CYP450-induktorer]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er det sandsynligt, at carbamazepin og langtidsvirkende benzodiazepiner kan nedsætte voriconazols plasmakoncentrationer signifikant.</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b/>
                <w:bCs/>
                <w:sz w:val="20"/>
                <w:lang w:eastAsia="fr-LU"/>
              </w:rPr>
              <w:t>Kontraindiceret</w:t>
            </w:r>
            <w:r w:rsidRPr="00457C37">
              <w:rPr>
                <w:sz w:val="20"/>
                <w:lang w:eastAsia="fr-LU"/>
              </w:rPr>
              <w:t xml:space="preserve"> (se pkt. 4.3)</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i/>
                <w:sz w:val="20"/>
                <w:lang w:eastAsia="fr-LU"/>
              </w:rPr>
            </w:pPr>
            <w:r w:rsidRPr="00457C37">
              <w:rPr>
                <w:sz w:val="20"/>
                <w:lang w:eastAsia="fr-LU"/>
              </w:rPr>
              <w:t xml:space="preserve">Efavirenz (en non-nukleosid reverse transcriptase-hæmmer) </w:t>
            </w:r>
            <w:r w:rsidRPr="00457C37">
              <w:rPr>
                <w:i/>
                <w:iCs/>
                <w:sz w:val="20"/>
                <w:lang w:eastAsia="fr-LU"/>
              </w:rPr>
              <w:t>[CYP450-induktor; CYP3A4-hæmmer og -substrat]</w:t>
            </w:r>
          </w:p>
          <w:p w:rsidR="00457C37" w:rsidRPr="00457C37" w:rsidRDefault="00457C37" w:rsidP="00457C37">
            <w:pPr>
              <w:autoSpaceDE w:val="0"/>
              <w:autoSpaceDN w:val="0"/>
              <w:adjustRightInd w:val="0"/>
              <w:rPr>
                <w:i/>
                <w:iCs/>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 xml:space="preserve">Efavirenz 400 mg QD, administreret sammen med voriconazol 200 mg BID*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Efavirenz 300 mg QD, administreret sammen med voriconazol 400 mg BID*</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Efavirenz C</w:t>
            </w:r>
            <w:r w:rsidRPr="00457C37">
              <w:rPr>
                <w:sz w:val="20"/>
                <w:vertAlign w:val="subscript"/>
                <w:lang w:eastAsia="fr-LU"/>
              </w:rPr>
              <w:t>max</w:t>
            </w:r>
            <w:r w:rsidRPr="00457C37">
              <w:rPr>
                <w:sz w:val="20"/>
                <w:lang w:eastAsia="fr-LU"/>
              </w:rPr>
              <w:t xml:space="preserve"> ↑ 38 %</w:t>
            </w:r>
          </w:p>
          <w:p w:rsidR="00457C37" w:rsidRPr="00457C37" w:rsidRDefault="00457C37" w:rsidP="00457C37">
            <w:pPr>
              <w:autoSpaceDE w:val="0"/>
              <w:autoSpaceDN w:val="0"/>
              <w:adjustRightInd w:val="0"/>
              <w:rPr>
                <w:sz w:val="20"/>
                <w:lang w:eastAsia="fr-LU"/>
              </w:rPr>
            </w:pPr>
            <w:r w:rsidRPr="00457C37">
              <w:rPr>
                <w:sz w:val="20"/>
                <w:lang w:eastAsia="fr-LU"/>
              </w:rPr>
              <w:t>Efavirenz AUCτ ↑ 44 %</w:t>
            </w: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61 %</w:t>
            </w:r>
          </w:p>
          <w:p w:rsidR="00457C37" w:rsidRPr="00457C37" w:rsidRDefault="00457C37" w:rsidP="00457C37">
            <w:pPr>
              <w:autoSpaceDE w:val="0"/>
              <w:autoSpaceDN w:val="0"/>
              <w:adjustRightInd w:val="0"/>
              <w:rPr>
                <w:sz w:val="20"/>
                <w:lang w:eastAsia="fr-LU"/>
              </w:rPr>
            </w:pPr>
            <w:r w:rsidRPr="00457C37">
              <w:rPr>
                <w:sz w:val="20"/>
                <w:lang w:eastAsia="fr-LU"/>
              </w:rPr>
              <w:t>Voriconazol AUCτ ↓ 77 %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Sammenlignet med efavirenz 600 mg QD,</w:t>
            </w:r>
          </w:p>
          <w:p w:rsidR="00457C37" w:rsidRPr="00457C37" w:rsidRDefault="00457C37" w:rsidP="00457C37">
            <w:pPr>
              <w:autoSpaceDE w:val="0"/>
              <w:autoSpaceDN w:val="0"/>
              <w:adjustRightInd w:val="0"/>
              <w:rPr>
                <w:sz w:val="20"/>
                <w:lang w:eastAsia="fr-LU"/>
              </w:rPr>
            </w:pPr>
            <w:r w:rsidRPr="00457C37">
              <w:rPr>
                <w:sz w:val="20"/>
                <w:lang w:eastAsia="fr-LU"/>
              </w:rPr>
              <w:t>Efavirenz C</w:t>
            </w:r>
            <w:r w:rsidRPr="00457C37">
              <w:rPr>
                <w:sz w:val="20"/>
                <w:vertAlign w:val="subscript"/>
                <w:lang w:eastAsia="fr-LU"/>
              </w:rPr>
              <w:t>max</w:t>
            </w:r>
            <w:r w:rsidRPr="00457C37">
              <w:rPr>
                <w:sz w:val="20"/>
                <w:lang w:eastAsia="fr-LU"/>
              </w:rPr>
              <w:t xml:space="preserve"> ↔</w:t>
            </w:r>
          </w:p>
          <w:p w:rsidR="00457C37" w:rsidRPr="00457C37" w:rsidRDefault="00457C37" w:rsidP="00457C37">
            <w:pPr>
              <w:autoSpaceDE w:val="0"/>
              <w:autoSpaceDN w:val="0"/>
              <w:adjustRightInd w:val="0"/>
              <w:rPr>
                <w:sz w:val="20"/>
                <w:lang w:eastAsia="fr-LU"/>
              </w:rPr>
            </w:pPr>
            <w:r w:rsidRPr="00457C37">
              <w:rPr>
                <w:sz w:val="20"/>
                <w:lang w:eastAsia="fr-LU"/>
              </w:rPr>
              <w:t>Efavirenz AUCτ ↑ 17 %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Sammenlignet med voriconazol 200 mg BID,</w:t>
            </w: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23 %</w:t>
            </w:r>
          </w:p>
          <w:p w:rsidR="00457C37" w:rsidRPr="00457C37" w:rsidRDefault="00457C37" w:rsidP="00457C37">
            <w:pPr>
              <w:autoSpaceDE w:val="0"/>
              <w:autoSpaceDN w:val="0"/>
              <w:adjustRightInd w:val="0"/>
              <w:rPr>
                <w:sz w:val="20"/>
                <w:lang w:eastAsia="fr-LU"/>
              </w:rPr>
            </w:pPr>
            <w:r w:rsidRPr="00457C37">
              <w:rPr>
                <w:sz w:val="20"/>
                <w:lang w:eastAsia="fr-LU"/>
              </w:rPr>
              <w:t>Voriconazol AUCτ ↓7 %</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 xml:space="preserve">Brug af standarddoser af voriconazol med efavirenz-doser på 400 mg QD eller derover er </w:t>
            </w:r>
            <w:r w:rsidRPr="00457C37">
              <w:rPr>
                <w:b/>
                <w:bCs/>
                <w:sz w:val="20"/>
                <w:lang w:eastAsia="fr-LU"/>
              </w:rPr>
              <w:t xml:space="preserve">kontraindiceret </w:t>
            </w:r>
            <w:r w:rsidRPr="00457C37">
              <w:rPr>
                <w:sz w:val="20"/>
                <w:lang w:eastAsia="fr-LU"/>
              </w:rPr>
              <w:t>(se pkt. 4.3).</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Voriconazol kan administreres sammen med efavirenz, hvis voriconazol vedligeholdelses</w:t>
            </w:r>
            <w:r w:rsidRPr="00457C37">
              <w:rPr>
                <w:sz w:val="20"/>
                <w:lang w:eastAsia="fr-LU"/>
              </w:rPr>
              <w:softHyphen/>
              <w:t xml:space="preserve">dosis øges til 400 mg BID, og efavirenz dosis reduceres til 300 mg QD. </w:t>
            </w:r>
          </w:p>
          <w:p w:rsidR="00457C37" w:rsidRPr="00457C37" w:rsidRDefault="00457C37" w:rsidP="00457C37">
            <w:pPr>
              <w:autoSpaceDE w:val="0"/>
              <w:autoSpaceDN w:val="0"/>
              <w:adjustRightInd w:val="0"/>
              <w:rPr>
                <w:sz w:val="20"/>
                <w:lang w:eastAsia="fr-LU"/>
              </w:rPr>
            </w:pPr>
            <w:r w:rsidRPr="00457C37">
              <w:rPr>
                <w:sz w:val="20"/>
                <w:lang w:eastAsia="fr-LU"/>
              </w:rPr>
              <w:t>Når behandlingen med voriconazol standses, bør initialdosis af efavirenz genoptages (se pkt. 4.2 og 4.4).</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Sekalealkaloider (f.eks. ergotamin og dihydroergotamin)</w:t>
            </w:r>
          </w:p>
          <w:p w:rsidR="00457C37" w:rsidRPr="00457C37" w:rsidRDefault="00457C37" w:rsidP="00457C37">
            <w:pPr>
              <w:autoSpaceDE w:val="0"/>
              <w:autoSpaceDN w:val="0"/>
              <w:adjustRightInd w:val="0"/>
              <w:rPr>
                <w:sz w:val="20"/>
                <w:lang w:eastAsia="fr-LU"/>
              </w:rPr>
            </w:pPr>
            <w:r w:rsidRPr="00457C37">
              <w:rPr>
                <w:i/>
                <w:iCs/>
                <w:sz w:val="20"/>
                <w:lang w:eastAsia="fr-LU"/>
              </w:rPr>
              <w:t>[CYP3A4-substrater]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er det sandsynligt, at voriconazol øger plasmakoncentrationen af sekalealkaloider og medfører ergotisme.</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b/>
                <w:bCs/>
                <w:sz w:val="20"/>
                <w:lang w:eastAsia="fr-LU"/>
              </w:rPr>
              <w:t xml:space="preserve">Kontraindiceret </w:t>
            </w:r>
            <w:r w:rsidRPr="00457C37">
              <w:rPr>
                <w:sz w:val="20"/>
                <w:lang w:eastAsia="fr-LU"/>
              </w:rPr>
              <w:t>(se pkt. 4.3)</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tc>
      </w:tr>
      <w:tr w:rsidR="00457C37" w:rsidRPr="00457C37" w:rsidTr="00457C37">
        <w:trPr>
          <w:gridAfter w:val="1"/>
          <w:wAfter w:w="8" w:type="dxa"/>
        </w:trPr>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tabs>
                <w:tab w:val="left" w:pos="360"/>
              </w:tabs>
              <w:ind w:left="216" w:hanging="216"/>
              <w:rPr>
                <w:sz w:val="20"/>
                <w:lang w:eastAsia="fr-LU"/>
              </w:rPr>
            </w:pPr>
            <w:r w:rsidRPr="00457C37">
              <w:rPr>
                <w:sz w:val="20"/>
                <w:lang w:eastAsia="fr-LU"/>
              </w:rPr>
              <w:t xml:space="preserve">Lurasidon </w:t>
            </w:r>
          </w:p>
          <w:p w:rsidR="00457C37" w:rsidRPr="00457C37" w:rsidRDefault="00457C37" w:rsidP="00457C37">
            <w:pPr>
              <w:tabs>
                <w:tab w:val="left" w:pos="360"/>
              </w:tabs>
              <w:ind w:left="216" w:hanging="216"/>
              <w:rPr>
                <w:sz w:val="20"/>
                <w:lang w:eastAsia="fr-LU"/>
              </w:rPr>
            </w:pPr>
            <w:r w:rsidRPr="00457C37">
              <w:rPr>
                <w:i/>
                <w:iCs/>
                <w:sz w:val="20"/>
                <w:lang w:eastAsia="fr-LU"/>
              </w:rPr>
              <w:t>[CYP3A4-substrat]</w:t>
            </w:r>
          </w:p>
          <w:p w:rsidR="00457C37" w:rsidRPr="00457C37" w:rsidRDefault="00457C37" w:rsidP="00457C37">
            <w:pPr>
              <w:autoSpaceDE w:val="0"/>
              <w:autoSpaceDN w:val="0"/>
              <w:adjustRightInd w:val="0"/>
              <w:rPr>
                <w:sz w:val="20"/>
                <w:lang w:eastAsia="fr-LU"/>
              </w:rPr>
            </w:pP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tabs>
                <w:tab w:val="left" w:pos="216"/>
              </w:tabs>
              <w:overflowPunct w:val="0"/>
              <w:autoSpaceDE w:val="0"/>
              <w:autoSpaceDN w:val="0"/>
              <w:adjustRightInd w:val="0"/>
              <w:textAlignment w:val="baseline"/>
              <w:rPr>
                <w:sz w:val="20"/>
              </w:rPr>
            </w:pPr>
            <w:r w:rsidRPr="00457C37">
              <w:rPr>
                <w:sz w:val="20"/>
              </w:rPr>
              <w:t>Selvom det ikke er undersøgt, er det sandsynligt, at voriconazol øger lurasidons plasmakoncentration signifikant.</w:t>
            </w:r>
          </w:p>
          <w:p w:rsidR="00457C37" w:rsidRPr="00457C37" w:rsidRDefault="00457C37" w:rsidP="00457C37">
            <w:pPr>
              <w:autoSpaceDE w:val="0"/>
              <w:autoSpaceDN w:val="0"/>
              <w:adjustRightInd w:val="0"/>
              <w:rPr>
                <w:sz w:val="20"/>
                <w:lang w:eastAsia="fr-LU"/>
              </w:rPr>
            </w:pPr>
          </w:p>
        </w:tc>
        <w:tc>
          <w:tcPr>
            <w:tcW w:w="3009"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b/>
                <w:bCs/>
                <w:sz w:val="20"/>
                <w:lang w:eastAsia="fr-LU"/>
              </w:rPr>
              <w:t>Kontraindiceret</w:t>
            </w:r>
            <w:r w:rsidRPr="00457C37">
              <w:rPr>
                <w:sz w:val="20"/>
                <w:lang w:eastAsia="fr-LU"/>
              </w:rPr>
              <w:t xml:space="preserve"> (se pkt. 4.3)</w:t>
            </w:r>
          </w:p>
        </w:tc>
      </w:tr>
      <w:tr w:rsidR="00457C37" w:rsidRPr="00457C37" w:rsidTr="00457C37">
        <w:trPr>
          <w:gridAfter w:val="1"/>
          <w:wAfter w:w="8" w:type="dxa"/>
        </w:trPr>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tabs>
                <w:tab w:val="left" w:pos="360"/>
              </w:tabs>
              <w:ind w:left="216" w:hanging="216"/>
              <w:rPr>
                <w:sz w:val="20"/>
                <w:lang w:eastAsia="fr-LU"/>
              </w:rPr>
            </w:pPr>
            <w:r w:rsidRPr="00457C37">
              <w:rPr>
                <w:sz w:val="20"/>
                <w:lang w:eastAsia="fr-LU"/>
              </w:rPr>
              <w:lastRenderedPageBreak/>
              <w:t>Naloxegol</w:t>
            </w:r>
          </w:p>
          <w:p w:rsidR="00457C37" w:rsidRPr="00457C37" w:rsidRDefault="00457C37" w:rsidP="00457C37">
            <w:pPr>
              <w:autoSpaceDE w:val="0"/>
              <w:autoSpaceDN w:val="0"/>
              <w:adjustRightInd w:val="0"/>
              <w:rPr>
                <w:sz w:val="20"/>
                <w:lang w:eastAsia="fr-LU"/>
              </w:rPr>
            </w:pPr>
            <w:r w:rsidRPr="00457C37">
              <w:rPr>
                <w:i/>
                <w:iCs/>
                <w:sz w:val="20"/>
                <w:lang w:eastAsia="fr-LU"/>
              </w:rPr>
              <w:t>[CYP3A4-substrat]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er det sandsynligt, at voriconazol øger naloxegols plasmakoncentration signifikant.</w:t>
            </w:r>
          </w:p>
        </w:tc>
        <w:tc>
          <w:tcPr>
            <w:tcW w:w="3009"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b/>
                <w:bCs/>
                <w:sz w:val="20"/>
                <w:lang w:eastAsia="fr-LU"/>
              </w:rPr>
              <w:t>Kontraindiceret</w:t>
            </w:r>
            <w:r w:rsidRPr="00457C37">
              <w:rPr>
                <w:sz w:val="20"/>
                <w:lang w:eastAsia="fr-LU"/>
              </w:rPr>
              <w:t xml:space="preserve"> (se pkt. 4.3)</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val="en-US" w:eastAsia="fr-LU"/>
              </w:rPr>
            </w:pPr>
            <w:r w:rsidRPr="00457C37">
              <w:rPr>
                <w:sz w:val="20"/>
                <w:lang w:val="en-US" w:eastAsia="fr-LU"/>
              </w:rPr>
              <w:t>Rifabutin</w:t>
            </w:r>
          </w:p>
          <w:p w:rsidR="00457C37" w:rsidRPr="00457C37" w:rsidRDefault="00457C37" w:rsidP="00457C37">
            <w:pPr>
              <w:autoSpaceDE w:val="0"/>
              <w:autoSpaceDN w:val="0"/>
              <w:adjustRightInd w:val="0"/>
              <w:rPr>
                <w:i/>
                <w:iCs/>
                <w:sz w:val="20"/>
                <w:lang w:val="en-US" w:eastAsia="fr-LU"/>
              </w:rPr>
            </w:pPr>
            <w:r w:rsidRPr="00457C37">
              <w:rPr>
                <w:i/>
                <w:iCs/>
                <w:sz w:val="20"/>
                <w:lang w:val="en-US" w:eastAsia="fr-LU"/>
              </w:rPr>
              <w:t>[potent CYP450-induktor]</w:t>
            </w:r>
          </w:p>
          <w:p w:rsidR="00457C37" w:rsidRPr="00457C37" w:rsidRDefault="00457C37" w:rsidP="00457C37">
            <w:pPr>
              <w:autoSpaceDE w:val="0"/>
              <w:autoSpaceDN w:val="0"/>
              <w:adjustRightInd w:val="0"/>
              <w:rPr>
                <w:i/>
                <w:iCs/>
                <w:sz w:val="20"/>
                <w:lang w:val="en-US" w:eastAsia="fr-LU"/>
              </w:rPr>
            </w:pPr>
          </w:p>
          <w:p w:rsidR="00457C37" w:rsidRPr="00457C37" w:rsidRDefault="00457C37" w:rsidP="00457C37">
            <w:pPr>
              <w:autoSpaceDE w:val="0"/>
              <w:autoSpaceDN w:val="0"/>
              <w:adjustRightInd w:val="0"/>
              <w:rPr>
                <w:sz w:val="20"/>
                <w:lang w:val="en-US" w:eastAsia="fr-LU"/>
              </w:rPr>
            </w:pPr>
            <w:r w:rsidRPr="00457C37">
              <w:rPr>
                <w:sz w:val="20"/>
                <w:lang w:val="en-US" w:eastAsia="fr-LU"/>
              </w:rPr>
              <w:t>300 mg QD</w:t>
            </w:r>
          </w:p>
          <w:p w:rsidR="00457C37" w:rsidRPr="00457C37" w:rsidRDefault="00457C37" w:rsidP="00457C37">
            <w:pPr>
              <w:autoSpaceDE w:val="0"/>
              <w:autoSpaceDN w:val="0"/>
              <w:adjustRightInd w:val="0"/>
              <w:rPr>
                <w:sz w:val="20"/>
                <w:lang w:val="en-US" w:eastAsia="fr-LU"/>
              </w:rPr>
            </w:pPr>
          </w:p>
          <w:p w:rsidR="00457C37" w:rsidRPr="00457C37" w:rsidRDefault="00457C37" w:rsidP="00457C37">
            <w:pPr>
              <w:autoSpaceDE w:val="0"/>
              <w:autoSpaceDN w:val="0"/>
              <w:adjustRightInd w:val="0"/>
              <w:rPr>
                <w:sz w:val="20"/>
                <w:lang w:val="en-US" w:eastAsia="fr-LU"/>
              </w:rPr>
            </w:pPr>
          </w:p>
          <w:p w:rsidR="00457C37" w:rsidRPr="00457C37" w:rsidRDefault="00457C37" w:rsidP="00457C37">
            <w:pPr>
              <w:autoSpaceDE w:val="0"/>
              <w:autoSpaceDN w:val="0"/>
              <w:adjustRightInd w:val="0"/>
              <w:rPr>
                <w:sz w:val="20"/>
                <w:lang w:eastAsia="fr-LU"/>
              </w:rPr>
            </w:pPr>
            <w:r w:rsidRPr="00457C37">
              <w:rPr>
                <w:sz w:val="20"/>
                <w:lang w:eastAsia="fr-LU"/>
              </w:rPr>
              <w:t>300 mg QD (administreret sammen med voriconazol 350 mg BID)*</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300 mg QD (administreret sammen</w:t>
            </w:r>
          </w:p>
          <w:p w:rsidR="00457C37" w:rsidRPr="00457C37" w:rsidRDefault="00457C37" w:rsidP="00457C37">
            <w:pPr>
              <w:autoSpaceDE w:val="0"/>
              <w:autoSpaceDN w:val="0"/>
              <w:adjustRightInd w:val="0"/>
              <w:rPr>
                <w:sz w:val="20"/>
                <w:lang w:eastAsia="fr-LU"/>
              </w:rPr>
            </w:pPr>
            <w:r w:rsidRPr="00457C37">
              <w:rPr>
                <w:sz w:val="20"/>
                <w:lang w:eastAsia="fr-LU"/>
              </w:rPr>
              <w:t>med voriconazol 400 mg BID)*</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69 %</w:t>
            </w:r>
          </w:p>
          <w:p w:rsidR="00457C37" w:rsidRPr="00457C37" w:rsidRDefault="00457C37" w:rsidP="00457C37">
            <w:pPr>
              <w:autoSpaceDE w:val="0"/>
              <w:autoSpaceDN w:val="0"/>
              <w:adjustRightInd w:val="0"/>
              <w:rPr>
                <w:sz w:val="20"/>
                <w:lang w:eastAsia="fr-LU"/>
              </w:rPr>
            </w:pPr>
            <w:r w:rsidRPr="00457C37">
              <w:rPr>
                <w:sz w:val="20"/>
                <w:lang w:eastAsia="fr-LU"/>
              </w:rPr>
              <w:t>Voriconazol AUCτ ↓ 78 %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Sammenlignet med voriconazol 200 mg BID,</w:t>
            </w: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4 %</w:t>
            </w:r>
          </w:p>
          <w:p w:rsidR="00457C37" w:rsidRPr="00457C37" w:rsidRDefault="00457C37" w:rsidP="00457C37">
            <w:pPr>
              <w:autoSpaceDE w:val="0"/>
              <w:autoSpaceDN w:val="0"/>
              <w:adjustRightInd w:val="0"/>
              <w:rPr>
                <w:sz w:val="20"/>
                <w:lang w:eastAsia="fr-LU"/>
              </w:rPr>
            </w:pPr>
            <w:r w:rsidRPr="00457C37">
              <w:rPr>
                <w:sz w:val="20"/>
                <w:lang w:eastAsia="fr-LU"/>
              </w:rPr>
              <w:t>Voriconazol AUCτ ↓ 32 %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Rifabutin C</w:t>
            </w:r>
            <w:r w:rsidRPr="00457C37">
              <w:rPr>
                <w:sz w:val="20"/>
                <w:vertAlign w:val="subscript"/>
                <w:lang w:eastAsia="fr-LU"/>
              </w:rPr>
              <w:t>max</w:t>
            </w:r>
            <w:r w:rsidRPr="00457C37">
              <w:rPr>
                <w:sz w:val="20"/>
                <w:lang w:eastAsia="fr-LU"/>
              </w:rPr>
              <w:t xml:space="preserve"> ↑ 195 %</w:t>
            </w:r>
          </w:p>
          <w:p w:rsidR="00457C37" w:rsidRPr="00457C37" w:rsidRDefault="00457C37" w:rsidP="00457C37">
            <w:pPr>
              <w:autoSpaceDE w:val="0"/>
              <w:autoSpaceDN w:val="0"/>
              <w:adjustRightInd w:val="0"/>
              <w:rPr>
                <w:sz w:val="20"/>
                <w:lang w:eastAsia="fr-LU"/>
              </w:rPr>
            </w:pPr>
            <w:r w:rsidRPr="00457C37">
              <w:rPr>
                <w:sz w:val="20"/>
                <w:lang w:eastAsia="fr-LU"/>
              </w:rPr>
              <w:t>Rifabutin AUCτ ↑ 331 %</w:t>
            </w:r>
          </w:p>
          <w:p w:rsidR="00457C37" w:rsidRPr="00457C37" w:rsidRDefault="00457C37" w:rsidP="00457C37">
            <w:pPr>
              <w:autoSpaceDE w:val="0"/>
              <w:autoSpaceDN w:val="0"/>
              <w:adjustRightInd w:val="0"/>
              <w:rPr>
                <w:sz w:val="20"/>
                <w:lang w:eastAsia="fr-LU"/>
              </w:rPr>
            </w:pPr>
            <w:r w:rsidRPr="00457C37">
              <w:rPr>
                <w:sz w:val="20"/>
                <w:lang w:eastAsia="fr-LU"/>
              </w:rPr>
              <w:t>Sammenlignet med voriconazol 200 mg BID,</w:t>
            </w: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104 %</w:t>
            </w:r>
          </w:p>
          <w:p w:rsidR="00457C37" w:rsidRPr="00457C37" w:rsidRDefault="00457C37" w:rsidP="00457C37">
            <w:pPr>
              <w:autoSpaceDE w:val="0"/>
              <w:autoSpaceDN w:val="0"/>
              <w:adjustRightInd w:val="0"/>
              <w:rPr>
                <w:sz w:val="20"/>
                <w:lang w:eastAsia="fr-LU"/>
              </w:rPr>
            </w:pPr>
            <w:r w:rsidRPr="00457C37">
              <w:rPr>
                <w:sz w:val="20"/>
                <w:lang w:eastAsia="fr-LU"/>
              </w:rPr>
              <w:t>Voriconazol AUCτ ↑ 87 %</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Samtidig administration af voriconazol og rifabutin skal undgås, medmindre fordelen ved behandling opvejer risikoen.</w:t>
            </w:r>
          </w:p>
          <w:p w:rsidR="00457C37" w:rsidRPr="00457C37" w:rsidRDefault="00457C37" w:rsidP="00457C37">
            <w:pPr>
              <w:autoSpaceDE w:val="0"/>
              <w:autoSpaceDN w:val="0"/>
              <w:adjustRightInd w:val="0"/>
              <w:rPr>
                <w:sz w:val="20"/>
                <w:lang w:eastAsia="fr-LU"/>
              </w:rPr>
            </w:pPr>
            <w:r w:rsidRPr="00457C37">
              <w:rPr>
                <w:sz w:val="20"/>
                <w:lang w:eastAsia="fr-LU"/>
              </w:rPr>
              <w:t>Vedligeholdelsesdosis af voriconazol kan øges til 5 mg/kg i.v. BID eller fra 200 mg til 350 mg oralt BID (100 mg til 200 mg oralt BID til patienter, der vejer mindre end 40 kg) (se pkt. 4.2).</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Omhyggelig monitorering af alle blodværdier og bivirkninger over for rifabutin (f.eks. regnbuehindebetændelse) anbefales, når rifabutin administreres sammen med voriconazol.</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tc>
      </w:tr>
      <w:tr w:rsidR="00457C37" w:rsidRPr="00457C37" w:rsidTr="00457C37">
        <w:trPr>
          <w:tblHeader/>
        </w:trPr>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val="en-US" w:eastAsia="fr-LU"/>
              </w:rPr>
            </w:pPr>
            <w:r w:rsidRPr="00457C37">
              <w:rPr>
                <w:sz w:val="20"/>
                <w:lang w:val="en-US" w:eastAsia="fr-LU"/>
              </w:rPr>
              <w:t>Rifampicin (600 mg QD)</w:t>
            </w:r>
          </w:p>
          <w:p w:rsidR="00457C37" w:rsidRPr="00457C37" w:rsidRDefault="00457C37" w:rsidP="00457C37">
            <w:pPr>
              <w:autoSpaceDE w:val="0"/>
              <w:autoSpaceDN w:val="0"/>
              <w:adjustRightInd w:val="0"/>
              <w:rPr>
                <w:i/>
                <w:iCs/>
                <w:sz w:val="20"/>
                <w:lang w:val="en-US" w:eastAsia="fr-LU"/>
              </w:rPr>
            </w:pPr>
            <w:r w:rsidRPr="00457C37">
              <w:rPr>
                <w:i/>
                <w:iCs/>
                <w:sz w:val="20"/>
                <w:lang w:val="en-US" w:eastAsia="fr-LU"/>
              </w:rPr>
              <w:t>[potent CYP450-induktor]</w:t>
            </w:r>
          </w:p>
          <w:p w:rsidR="00457C37" w:rsidRPr="00457C37" w:rsidRDefault="00457C37" w:rsidP="00457C37">
            <w:pPr>
              <w:autoSpaceDE w:val="0"/>
              <w:autoSpaceDN w:val="0"/>
              <w:adjustRightInd w:val="0"/>
              <w:rPr>
                <w:sz w:val="20"/>
                <w:lang w:val="en-US" w:eastAsia="fr-LU"/>
              </w:rPr>
            </w:pP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93 %</w:t>
            </w:r>
          </w:p>
          <w:p w:rsidR="00457C37" w:rsidRPr="00457C37" w:rsidRDefault="00457C37" w:rsidP="00457C37">
            <w:pPr>
              <w:autoSpaceDE w:val="0"/>
              <w:autoSpaceDN w:val="0"/>
              <w:adjustRightInd w:val="0"/>
              <w:rPr>
                <w:sz w:val="20"/>
                <w:lang w:eastAsia="fr-LU"/>
              </w:rPr>
            </w:pPr>
            <w:r w:rsidRPr="00457C37">
              <w:rPr>
                <w:sz w:val="20"/>
                <w:lang w:eastAsia="fr-LU"/>
              </w:rPr>
              <w:t>Voriconazol AUCτ ↓ 96 %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b/>
                <w:bCs/>
                <w:sz w:val="20"/>
                <w:lang w:eastAsia="fr-LU"/>
              </w:rPr>
              <w:t>Kontraindiceret</w:t>
            </w:r>
            <w:r w:rsidRPr="00457C37">
              <w:rPr>
                <w:sz w:val="20"/>
                <w:lang w:eastAsia="fr-LU"/>
              </w:rPr>
              <w:t xml:space="preserve"> (se pkt. 4.3)</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val="en-US" w:eastAsia="fr-LU"/>
              </w:rPr>
            </w:pPr>
            <w:r w:rsidRPr="00457C37">
              <w:rPr>
                <w:sz w:val="20"/>
                <w:lang w:val="en-US" w:eastAsia="fr-LU"/>
              </w:rPr>
              <w:t>Ritonavir (proteasehæmmer)</w:t>
            </w:r>
          </w:p>
          <w:p w:rsidR="00457C37" w:rsidRPr="00457C37" w:rsidRDefault="00457C37" w:rsidP="00457C37">
            <w:pPr>
              <w:autoSpaceDE w:val="0"/>
              <w:autoSpaceDN w:val="0"/>
              <w:adjustRightInd w:val="0"/>
              <w:rPr>
                <w:i/>
                <w:iCs/>
                <w:sz w:val="20"/>
                <w:lang w:val="en-US" w:eastAsia="fr-LU"/>
              </w:rPr>
            </w:pPr>
            <w:r w:rsidRPr="00457C37">
              <w:rPr>
                <w:i/>
                <w:iCs/>
                <w:sz w:val="20"/>
                <w:lang w:val="en-US" w:eastAsia="fr-LU"/>
              </w:rPr>
              <w:t>[potent CYP450-induktor,</w:t>
            </w:r>
          </w:p>
          <w:p w:rsidR="00457C37" w:rsidRPr="00457C37" w:rsidRDefault="00457C37" w:rsidP="00457C37">
            <w:pPr>
              <w:autoSpaceDE w:val="0"/>
              <w:autoSpaceDN w:val="0"/>
              <w:adjustRightInd w:val="0"/>
              <w:rPr>
                <w:i/>
                <w:iCs/>
                <w:sz w:val="20"/>
                <w:lang w:eastAsia="fr-LU"/>
              </w:rPr>
            </w:pPr>
            <w:r w:rsidRPr="00457C37">
              <w:rPr>
                <w:i/>
                <w:iCs/>
                <w:sz w:val="20"/>
                <w:lang w:eastAsia="fr-LU"/>
              </w:rPr>
              <w:t>CYP3A4-hæmmer og -substrat]</w:t>
            </w:r>
          </w:p>
          <w:p w:rsidR="00457C37" w:rsidRPr="00457C37" w:rsidRDefault="00457C37" w:rsidP="00457C37">
            <w:pPr>
              <w:autoSpaceDE w:val="0"/>
              <w:autoSpaceDN w:val="0"/>
              <w:adjustRightInd w:val="0"/>
              <w:rPr>
                <w:i/>
                <w:iCs/>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Høj-dosis (400 mg BID)</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Lav-dosis (100 mg BID)*</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Ritonavir C</w:t>
            </w:r>
            <w:r w:rsidRPr="00457C37">
              <w:rPr>
                <w:sz w:val="20"/>
                <w:vertAlign w:val="subscript"/>
                <w:lang w:eastAsia="fr-LU"/>
              </w:rPr>
              <w:t>max</w:t>
            </w:r>
            <w:r w:rsidRPr="00457C37">
              <w:rPr>
                <w:sz w:val="20"/>
                <w:lang w:eastAsia="fr-LU"/>
              </w:rPr>
              <w:t xml:space="preserve"> og AUCτ ↔</w:t>
            </w: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66 %</w:t>
            </w:r>
          </w:p>
          <w:p w:rsidR="00457C37" w:rsidRPr="00457C37" w:rsidRDefault="00457C37" w:rsidP="00457C37">
            <w:pPr>
              <w:autoSpaceDE w:val="0"/>
              <w:autoSpaceDN w:val="0"/>
              <w:adjustRightInd w:val="0"/>
              <w:rPr>
                <w:sz w:val="20"/>
                <w:lang w:val="en-US" w:eastAsia="fr-LU"/>
              </w:rPr>
            </w:pPr>
            <w:r w:rsidRPr="00457C37">
              <w:rPr>
                <w:sz w:val="20"/>
                <w:lang w:val="en-US" w:eastAsia="fr-LU"/>
              </w:rPr>
              <w:t>Voriconazol AUC</w:t>
            </w:r>
            <w:r w:rsidRPr="00457C37">
              <w:rPr>
                <w:sz w:val="20"/>
                <w:lang w:eastAsia="fr-LU"/>
              </w:rPr>
              <w:t>τ</w:t>
            </w:r>
            <w:r w:rsidRPr="00457C37">
              <w:rPr>
                <w:sz w:val="20"/>
                <w:lang w:val="en-US" w:eastAsia="fr-LU"/>
              </w:rPr>
              <w:t xml:space="preserve"> ↓ 82 %</w:t>
            </w:r>
          </w:p>
          <w:p w:rsidR="00457C37" w:rsidRPr="00457C37" w:rsidRDefault="00457C37" w:rsidP="00457C37">
            <w:pPr>
              <w:autoSpaceDE w:val="0"/>
              <w:autoSpaceDN w:val="0"/>
              <w:adjustRightInd w:val="0"/>
              <w:rPr>
                <w:sz w:val="20"/>
                <w:lang w:val="en-US" w:eastAsia="fr-LU"/>
              </w:rPr>
            </w:pPr>
          </w:p>
          <w:p w:rsidR="00457C37" w:rsidRPr="00457C37" w:rsidRDefault="00457C37" w:rsidP="00457C37">
            <w:pPr>
              <w:autoSpaceDE w:val="0"/>
              <w:autoSpaceDN w:val="0"/>
              <w:adjustRightInd w:val="0"/>
              <w:rPr>
                <w:sz w:val="20"/>
                <w:lang w:val="en-US" w:eastAsia="fr-LU"/>
              </w:rPr>
            </w:pPr>
          </w:p>
          <w:p w:rsidR="00457C37" w:rsidRPr="00457C37" w:rsidRDefault="00457C37" w:rsidP="00457C37">
            <w:pPr>
              <w:autoSpaceDE w:val="0"/>
              <w:autoSpaceDN w:val="0"/>
              <w:adjustRightInd w:val="0"/>
              <w:rPr>
                <w:sz w:val="20"/>
                <w:lang w:val="en-US" w:eastAsia="fr-LU"/>
              </w:rPr>
            </w:pPr>
          </w:p>
          <w:p w:rsidR="00457C37" w:rsidRPr="00457C37" w:rsidRDefault="00457C37" w:rsidP="00457C37">
            <w:pPr>
              <w:autoSpaceDE w:val="0"/>
              <w:autoSpaceDN w:val="0"/>
              <w:adjustRightInd w:val="0"/>
              <w:rPr>
                <w:sz w:val="20"/>
                <w:lang w:val="en-US" w:eastAsia="fr-LU"/>
              </w:rPr>
            </w:pPr>
            <w:r w:rsidRPr="00457C37">
              <w:rPr>
                <w:sz w:val="20"/>
                <w:lang w:val="en-US" w:eastAsia="fr-LU"/>
              </w:rPr>
              <w:t>Ritonavir C</w:t>
            </w:r>
            <w:r w:rsidRPr="00457C37">
              <w:rPr>
                <w:sz w:val="20"/>
                <w:vertAlign w:val="subscript"/>
                <w:lang w:val="en-US" w:eastAsia="fr-LU"/>
              </w:rPr>
              <w:t>max</w:t>
            </w:r>
            <w:r w:rsidRPr="00457C37">
              <w:rPr>
                <w:sz w:val="20"/>
                <w:lang w:val="en-US" w:eastAsia="fr-LU"/>
              </w:rPr>
              <w:t xml:space="preserve"> ↓ 25 %</w:t>
            </w:r>
          </w:p>
          <w:p w:rsidR="00457C37" w:rsidRPr="00457C37" w:rsidRDefault="00457C37" w:rsidP="00457C37">
            <w:pPr>
              <w:autoSpaceDE w:val="0"/>
              <w:autoSpaceDN w:val="0"/>
              <w:adjustRightInd w:val="0"/>
              <w:rPr>
                <w:sz w:val="20"/>
                <w:lang w:val="en-US" w:eastAsia="fr-LU"/>
              </w:rPr>
            </w:pPr>
            <w:r w:rsidRPr="00457C37">
              <w:rPr>
                <w:sz w:val="20"/>
                <w:lang w:val="en-US" w:eastAsia="fr-LU"/>
              </w:rPr>
              <w:t>Ritonavir AUC</w:t>
            </w:r>
            <w:r w:rsidRPr="00457C37">
              <w:rPr>
                <w:sz w:val="20"/>
                <w:lang w:eastAsia="fr-LU"/>
              </w:rPr>
              <w:t>τ</w:t>
            </w:r>
            <w:r w:rsidRPr="00457C37">
              <w:rPr>
                <w:sz w:val="20"/>
                <w:lang w:val="en-US" w:eastAsia="fr-LU"/>
              </w:rPr>
              <w:t xml:space="preserve"> ↓ 13 %</w:t>
            </w: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24 %</w:t>
            </w:r>
          </w:p>
          <w:p w:rsidR="00457C37" w:rsidRPr="00457C37" w:rsidRDefault="00457C37" w:rsidP="00457C37">
            <w:pPr>
              <w:autoSpaceDE w:val="0"/>
              <w:autoSpaceDN w:val="0"/>
              <w:adjustRightInd w:val="0"/>
              <w:rPr>
                <w:sz w:val="20"/>
                <w:lang w:eastAsia="fr-LU"/>
              </w:rPr>
            </w:pPr>
            <w:r w:rsidRPr="00457C37">
              <w:rPr>
                <w:sz w:val="20"/>
                <w:lang w:eastAsia="fr-LU"/>
              </w:rPr>
              <w:t>Voriconazol AUCτ ↓ 39 %</w:t>
            </w:r>
          </w:p>
          <w:p w:rsidR="00457C37" w:rsidRPr="00457C37" w:rsidRDefault="00457C37" w:rsidP="00457C37">
            <w:pPr>
              <w:autoSpaceDE w:val="0"/>
              <w:autoSpaceDN w:val="0"/>
              <w:adjustRightInd w:val="0"/>
              <w:rPr>
                <w:sz w:val="20"/>
                <w:lang w:eastAsia="fr-LU"/>
              </w:rPr>
            </w:pP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 xml:space="preserve">Samtidig administration af voriconazol og høj-dosis ritonavir (400 mg og derover BID) er </w:t>
            </w:r>
            <w:r w:rsidRPr="00457C37">
              <w:rPr>
                <w:b/>
                <w:bCs/>
                <w:sz w:val="20"/>
                <w:lang w:eastAsia="fr-LU"/>
              </w:rPr>
              <w:t xml:space="preserve">kontraindiceret </w:t>
            </w:r>
            <w:r w:rsidRPr="00457C37">
              <w:rPr>
                <w:sz w:val="20"/>
                <w:lang w:eastAsia="fr-LU"/>
              </w:rPr>
              <w:t>(se pkt. 4.3).</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Samtidig administration af voriconazol og lav-dosis ritonavir (100 mg BID) bør undgås, medmindre en evaluering af fordele og ulemper for patienten retfærdiggør anvendelse af voriconazol.</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Perikon</w:t>
            </w:r>
          </w:p>
          <w:p w:rsidR="00457C37" w:rsidRPr="00457C37" w:rsidRDefault="00457C37" w:rsidP="00457C37">
            <w:pPr>
              <w:autoSpaceDE w:val="0"/>
              <w:autoSpaceDN w:val="0"/>
              <w:adjustRightInd w:val="0"/>
              <w:rPr>
                <w:sz w:val="20"/>
                <w:lang w:eastAsia="fr-LU"/>
              </w:rPr>
            </w:pPr>
            <w:r w:rsidRPr="00457C37">
              <w:rPr>
                <w:i/>
                <w:iCs/>
                <w:sz w:val="20"/>
                <w:lang w:eastAsia="fr-LU"/>
              </w:rPr>
              <w:t xml:space="preserve">[CYP450-induktor; Pgp-induktor] </w:t>
            </w:r>
            <w:r w:rsidRPr="00457C37">
              <w:rPr>
                <w:sz w:val="20"/>
                <w:lang w:eastAsia="fr-LU"/>
              </w:rPr>
              <w:t>300 mg TID (administreret sammen med voriconazol 400 mg enkeltdosis)</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 et uafhængigt, publiceret studie, voriconazol AUC</w:t>
            </w:r>
            <w:r w:rsidRPr="00457C37">
              <w:rPr>
                <w:sz w:val="20"/>
                <w:vertAlign w:val="subscript"/>
                <w:lang w:eastAsia="fr-LU"/>
              </w:rPr>
              <w:t>0-∞</w:t>
            </w:r>
            <w:r w:rsidRPr="00457C37">
              <w:rPr>
                <w:sz w:val="20"/>
                <w:lang w:eastAsia="fr-LU"/>
              </w:rPr>
              <w:t xml:space="preserve"> ↓ 59 %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b/>
                <w:bCs/>
                <w:sz w:val="20"/>
                <w:lang w:eastAsia="fr-LU"/>
              </w:rPr>
              <w:t>Kontraindiceret</w:t>
            </w:r>
            <w:r w:rsidRPr="00457C37">
              <w:rPr>
                <w:sz w:val="20"/>
                <w:lang w:eastAsia="fr-LU"/>
              </w:rPr>
              <w:t xml:space="preserve"> (se pkt. 4.3)</w:t>
            </w:r>
          </w:p>
        </w:tc>
      </w:tr>
      <w:tr w:rsidR="00457C37" w:rsidRPr="00457C37" w:rsidTr="00457C37">
        <w:trPr>
          <w:gridAfter w:val="1"/>
          <w:wAfter w:w="8" w:type="dxa"/>
        </w:trPr>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tabs>
                <w:tab w:val="left" w:pos="360"/>
              </w:tabs>
              <w:overflowPunct w:val="0"/>
              <w:autoSpaceDE w:val="0"/>
              <w:autoSpaceDN w:val="0"/>
              <w:adjustRightInd w:val="0"/>
              <w:textAlignment w:val="baseline"/>
              <w:rPr>
                <w:sz w:val="20"/>
              </w:rPr>
            </w:pPr>
            <w:r w:rsidRPr="00457C37">
              <w:rPr>
                <w:sz w:val="20"/>
              </w:rPr>
              <w:t xml:space="preserve">Tolvaptan </w:t>
            </w:r>
          </w:p>
          <w:p w:rsidR="00457C37" w:rsidRPr="00457C37" w:rsidRDefault="00457C37" w:rsidP="00457C37">
            <w:pPr>
              <w:autoSpaceDE w:val="0"/>
              <w:autoSpaceDN w:val="0"/>
              <w:adjustRightInd w:val="0"/>
              <w:rPr>
                <w:sz w:val="20"/>
                <w:lang w:eastAsia="fr-LU"/>
              </w:rPr>
            </w:pPr>
            <w:r w:rsidRPr="00457C37">
              <w:rPr>
                <w:i/>
                <w:iCs/>
                <w:sz w:val="20"/>
                <w:lang w:eastAsia="fr-LU"/>
              </w:rPr>
              <w:t>[CYP3A-substrat]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er det sandsynligt, at voriconazol øger tolvaptans plasmakoncentration signifikant.</w:t>
            </w:r>
          </w:p>
        </w:tc>
        <w:tc>
          <w:tcPr>
            <w:tcW w:w="3009"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b/>
                <w:bCs/>
                <w:sz w:val="20"/>
                <w:lang w:eastAsia="fr-LU"/>
              </w:rPr>
              <w:t>Kontraindiceret</w:t>
            </w:r>
            <w:r w:rsidRPr="00457C37">
              <w:rPr>
                <w:sz w:val="20"/>
                <w:lang w:eastAsia="fr-LU"/>
              </w:rPr>
              <w:t xml:space="preserve"> (se pkt. 4.3)</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tabs>
                <w:tab w:val="left" w:pos="360"/>
              </w:tabs>
              <w:overflowPunct w:val="0"/>
              <w:autoSpaceDE w:val="0"/>
              <w:autoSpaceDN w:val="0"/>
              <w:adjustRightInd w:val="0"/>
              <w:ind w:left="216" w:hanging="216"/>
              <w:textAlignment w:val="baseline"/>
              <w:rPr>
                <w:sz w:val="20"/>
              </w:rPr>
            </w:pPr>
            <w:r w:rsidRPr="00457C37">
              <w:rPr>
                <w:sz w:val="20"/>
              </w:rPr>
              <w:t xml:space="preserve">Venetoclax </w:t>
            </w:r>
          </w:p>
          <w:p w:rsidR="00457C37" w:rsidRPr="00457C37" w:rsidRDefault="00457C37" w:rsidP="00457C37">
            <w:pPr>
              <w:autoSpaceDE w:val="0"/>
              <w:autoSpaceDN w:val="0"/>
              <w:adjustRightInd w:val="0"/>
              <w:rPr>
                <w:sz w:val="20"/>
                <w:lang w:eastAsia="fr-LU"/>
              </w:rPr>
            </w:pPr>
            <w:r w:rsidRPr="00457C37">
              <w:rPr>
                <w:i/>
                <w:iCs/>
                <w:sz w:val="20"/>
                <w:lang w:eastAsia="fr-LU"/>
              </w:rPr>
              <w:t>[CYP3A-substrat]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øger voriconazol sandsynligvis venetoclax’ plasmakoncentrationer signifikant.</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 xml:space="preserve">Samtidig administration af voriconazol er </w:t>
            </w:r>
            <w:r w:rsidRPr="00457C37">
              <w:rPr>
                <w:b/>
                <w:bCs/>
                <w:sz w:val="20"/>
                <w:lang w:eastAsia="fr-LU"/>
              </w:rPr>
              <w:t>kontraindiceret</w:t>
            </w:r>
            <w:r w:rsidRPr="00457C37">
              <w:rPr>
                <w:sz w:val="20"/>
                <w:lang w:eastAsia="fr-LU"/>
              </w:rPr>
              <w:t xml:space="preserve"> ved initiering og under dosistitreringsfasen med venetoclax (se pkt. 4.3). </w:t>
            </w:r>
            <w:r w:rsidRPr="00457C37">
              <w:rPr>
                <w:sz w:val="20"/>
                <w:lang w:eastAsia="fr-LU"/>
              </w:rPr>
              <w:lastRenderedPageBreak/>
              <w:t>Dosisreduktion af venetoxlax er påkrævet som angivet i produktinformationen for venetoclax ved stabil, daglig dosering. Nøje monitorering for tegn på toksicitet anbefales.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fr-LU" w:eastAsia="fr-LU"/>
              </w:rPr>
            </w:pPr>
            <w:r w:rsidRPr="00457C37">
              <w:rPr>
                <w:sz w:val="20"/>
                <w:lang w:val="fr-LU" w:eastAsia="fr-LU"/>
              </w:rPr>
              <w:lastRenderedPageBreak/>
              <w:t xml:space="preserve">Fluconazol (200 mg QD) </w:t>
            </w:r>
            <w:r w:rsidRPr="00457C37">
              <w:rPr>
                <w:i/>
                <w:iCs/>
                <w:sz w:val="20"/>
                <w:lang w:val="fr-LU" w:eastAsia="fr-LU"/>
              </w:rPr>
              <w:t>[CYP2C9, CYP2C19 og CYP3A4-hæmmer]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fr-LU" w:eastAsia="fr-LU"/>
              </w:rPr>
            </w:pPr>
            <w:r w:rsidRPr="00457C37">
              <w:rPr>
                <w:sz w:val="20"/>
                <w:lang w:val="fr-LU" w:eastAsia="fr-LU"/>
              </w:rPr>
              <w:t>Voriconazol C</w:t>
            </w:r>
            <w:r w:rsidRPr="00457C37">
              <w:rPr>
                <w:sz w:val="20"/>
                <w:vertAlign w:val="subscript"/>
                <w:lang w:val="fr-LU" w:eastAsia="fr-LU"/>
              </w:rPr>
              <w:t>max</w:t>
            </w:r>
            <w:r w:rsidRPr="00457C37">
              <w:rPr>
                <w:sz w:val="20"/>
                <w:lang w:val="fr-LU" w:eastAsia="fr-LU"/>
              </w:rPr>
              <w:t xml:space="preserve"> ↑ 57 %</w:t>
            </w:r>
          </w:p>
          <w:p w:rsidR="00457C37" w:rsidRPr="00457C37" w:rsidRDefault="00457C37" w:rsidP="00457C37">
            <w:pPr>
              <w:autoSpaceDE w:val="0"/>
              <w:autoSpaceDN w:val="0"/>
              <w:adjustRightInd w:val="0"/>
              <w:rPr>
                <w:sz w:val="20"/>
                <w:lang w:val="fr-LU" w:eastAsia="fr-LU"/>
              </w:rPr>
            </w:pPr>
            <w:r w:rsidRPr="00457C37">
              <w:rPr>
                <w:sz w:val="20"/>
                <w:lang w:val="fr-LU" w:eastAsia="fr-LU"/>
              </w:rPr>
              <w:t>Voriconazol AUC</w:t>
            </w:r>
            <w:r w:rsidRPr="00457C37">
              <w:rPr>
                <w:sz w:val="20"/>
                <w:lang w:eastAsia="fr-LU"/>
              </w:rPr>
              <w:t>τ</w:t>
            </w:r>
            <w:r w:rsidRPr="00457C37">
              <w:rPr>
                <w:sz w:val="20"/>
                <w:lang w:val="fr-LU" w:eastAsia="fr-LU"/>
              </w:rPr>
              <w:t xml:space="preserve"> ↑ 79 %</w:t>
            </w:r>
          </w:p>
          <w:p w:rsidR="00457C37" w:rsidRPr="00457C37" w:rsidRDefault="00457C37" w:rsidP="00457C37">
            <w:pPr>
              <w:autoSpaceDE w:val="0"/>
              <w:autoSpaceDN w:val="0"/>
              <w:adjustRightInd w:val="0"/>
              <w:rPr>
                <w:sz w:val="20"/>
                <w:lang w:val="fr-LU" w:eastAsia="fr-LU"/>
              </w:rPr>
            </w:pPr>
            <w:r w:rsidRPr="00457C37">
              <w:rPr>
                <w:sz w:val="20"/>
                <w:lang w:val="fr-LU" w:eastAsia="fr-LU"/>
              </w:rPr>
              <w:t>Fluconazol C</w:t>
            </w:r>
            <w:r w:rsidRPr="00457C37">
              <w:rPr>
                <w:sz w:val="20"/>
                <w:vertAlign w:val="subscript"/>
                <w:lang w:val="fr-LU" w:eastAsia="fr-LU"/>
              </w:rPr>
              <w:t xml:space="preserve">max </w:t>
            </w:r>
            <w:r w:rsidRPr="00457C37">
              <w:rPr>
                <w:sz w:val="20"/>
                <w:lang w:val="fr-LU" w:eastAsia="fr-LU"/>
              </w:rPr>
              <w:t>ND</w:t>
            </w:r>
          </w:p>
          <w:p w:rsidR="00457C37" w:rsidRPr="00457C37" w:rsidRDefault="00457C37" w:rsidP="00457C37">
            <w:pPr>
              <w:autoSpaceDE w:val="0"/>
              <w:autoSpaceDN w:val="0"/>
              <w:adjustRightInd w:val="0"/>
              <w:rPr>
                <w:sz w:val="20"/>
                <w:lang w:eastAsia="fr-LU"/>
              </w:rPr>
            </w:pPr>
            <w:r w:rsidRPr="00457C37">
              <w:rPr>
                <w:sz w:val="20"/>
                <w:lang w:eastAsia="fr-LU"/>
              </w:rPr>
              <w:t>Fluconazol AUCτ ND</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Den reducerede dosis og/eller hyppighed af voriconazol og fluconazol, der ville eliminere denne virkning, er ikke fastlagt. Hvis voriconazol anvendes sekventielt efter fluconazol anbefales det, at der monitoreres for voriconazol</w:t>
            </w:r>
            <w:r w:rsidRPr="00457C37">
              <w:rPr>
                <w:sz w:val="20"/>
                <w:lang w:eastAsia="fr-LU"/>
              </w:rPr>
              <w:softHyphen/>
              <w:t>relaterede bivirkninger.</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 xml:space="preserve">Phenytoin </w:t>
            </w:r>
          </w:p>
          <w:p w:rsidR="00457C37" w:rsidRPr="00457C37" w:rsidRDefault="00457C37" w:rsidP="00457C37">
            <w:pPr>
              <w:autoSpaceDE w:val="0"/>
              <w:autoSpaceDN w:val="0"/>
              <w:adjustRightInd w:val="0"/>
              <w:rPr>
                <w:i/>
                <w:iCs/>
                <w:sz w:val="20"/>
                <w:lang w:eastAsia="fr-LU"/>
              </w:rPr>
            </w:pPr>
            <w:r w:rsidRPr="00457C37">
              <w:rPr>
                <w:i/>
                <w:iCs/>
                <w:sz w:val="20"/>
                <w:lang w:eastAsia="fr-LU"/>
              </w:rPr>
              <w:t>[CYP2C9-substrat og potent</w:t>
            </w:r>
          </w:p>
          <w:p w:rsidR="00457C37" w:rsidRPr="00457C37" w:rsidRDefault="00457C37" w:rsidP="00457C37">
            <w:pPr>
              <w:autoSpaceDE w:val="0"/>
              <w:autoSpaceDN w:val="0"/>
              <w:adjustRightInd w:val="0"/>
              <w:rPr>
                <w:i/>
                <w:iCs/>
                <w:sz w:val="20"/>
                <w:lang w:eastAsia="fr-LU"/>
              </w:rPr>
            </w:pPr>
            <w:r w:rsidRPr="00457C37">
              <w:rPr>
                <w:i/>
                <w:iCs/>
                <w:sz w:val="20"/>
                <w:lang w:eastAsia="fr-LU"/>
              </w:rPr>
              <w:t>CYP450-induktor]</w:t>
            </w:r>
          </w:p>
          <w:p w:rsidR="00457C37" w:rsidRPr="00457C37" w:rsidRDefault="00457C37" w:rsidP="00457C37">
            <w:pPr>
              <w:autoSpaceDE w:val="0"/>
              <w:autoSpaceDN w:val="0"/>
              <w:adjustRightInd w:val="0"/>
              <w:rPr>
                <w:i/>
                <w:iCs/>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300 mg QD</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300 mg QD (administreret sammen med voriconazol 400 mg BID)*</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49 %</w:t>
            </w:r>
          </w:p>
          <w:p w:rsidR="00457C37" w:rsidRPr="00457C37" w:rsidRDefault="00457C37" w:rsidP="00457C37">
            <w:pPr>
              <w:autoSpaceDE w:val="0"/>
              <w:autoSpaceDN w:val="0"/>
              <w:adjustRightInd w:val="0"/>
              <w:rPr>
                <w:sz w:val="20"/>
                <w:lang w:eastAsia="fr-LU"/>
              </w:rPr>
            </w:pPr>
            <w:r w:rsidRPr="00457C37">
              <w:rPr>
                <w:sz w:val="20"/>
                <w:lang w:eastAsia="fr-LU"/>
              </w:rPr>
              <w:t>Voriconazol AUCτ ↓ 69 %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Phenytoin C</w:t>
            </w:r>
            <w:r w:rsidRPr="00457C37">
              <w:rPr>
                <w:sz w:val="20"/>
                <w:vertAlign w:val="subscript"/>
                <w:lang w:eastAsia="fr-LU"/>
              </w:rPr>
              <w:t>max</w:t>
            </w:r>
            <w:r w:rsidRPr="00457C37">
              <w:rPr>
                <w:sz w:val="20"/>
                <w:lang w:eastAsia="fr-LU"/>
              </w:rPr>
              <w:t xml:space="preserve"> ↑ 67 %</w:t>
            </w:r>
          </w:p>
          <w:p w:rsidR="00457C37" w:rsidRPr="00457C37" w:rsidRDefault="00457C37" w:rsidP="00457C37">
            <w:pPr>
              <w:autoSpaceDE w:val="0"/>
              <w:autoSpaceDN w:val="0"/>
              <w:adjustRightInd w:val="0"/>
              <w:rPr>
                <w:sz w:val="20"/>
                <w:lang w:eastAsia="fr-LU"/>
              </w:rPr>
            </w:pPr>
            <w:r w:rsidRPr="00457C37">
              <w:rPr>
                <w:sz w:val="20"/>
                <w:lang w:eastAsia="fr-LU"/>
              </w:rPr>
              <w:t>Phenytoin AUCτ ↑ 81 %</w:t>
            </w:r>
          </w:p>
          <w:p w:rsidR="00457C37" w:rsidRPr="00457C37" w:rsidRDefault="00457C37" w:rsidP="00457C37">
            <w:pPr>
              <w:autoSpaceDE w:val="0"/>
              <w:autoSpaceDN w:val="0"/>
              <w:adjustRightInd w:val="0"/>
              <w:rPr>
                <w:sz w:val="20"/>
                <w:lang w:eastAsia="fr-LU"/>
              </w:rPr>
            </w:pPr>
            <w:r w:rsidRPr="00457C37">
              <w:rPr>
                <w:sz w:val="20"/>
                <w:lang w:eastAsia="fr-LU"/>
              </w:rPr>
              <w:t>Sammenlignet med voriconazol 200 mg BID,</w:t>
            </w: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34 %</w:t>
            </w:r>
          </w:p>
          <w:p w:rsidR="00457C37" w:rsidRPr="00457C37" w:rsidRDefault="00457C37" w:rsidP="00457C37">
            <w:pPr>
              <w:autoSpaceDE w:val="0"/>
              <w:autoSpaceDN w:val="0"/>
              <w:adjustRightInd w:val="0"/>
              <w:rPr>
                <w:sz w:val="20"/>
                <w:lang w:eastAsia="fr-LU"/>
              </w:rPr>
            </w:pPr>
            <w:r w:rsidRPr="00457C37">
              <w:rPr>
                <w:sz w:val="20"/>
                <w:lang w:eastAsia="fr-LU"/>
              </w:rPr>
              <w:t>Voriconazol AUCτ ↑ 39 %</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Samtidig administration af voriconazol og phenytoin bør undgås, medmindre fordelene opvejer ulemperne. Det anbefales, at phenytoins plasma-koncentrationer monitoreres omhyggeligt.</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Phenytoin kan gives samtidigt med voriconazol, hvis vedligeholdelsesdosis af voriconazol øges til 5 mg/kg i.v. BID eller fra 200 mg til 400 mg oralt BID, (100 mg til 200 mg oralt BID hos patienter, der vejer mindre end 40 kg) (se pkt. 4.2).</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Letermovir</w:t>
            </w:r>
          </w:p>
          <w:p w:rsidR="00457C37" w:rsidRPr="00457C37" w:rsidRDefault="00457C37" w:rsidP="00457C37">
            <w:pPr>
              <w:autoSpaceDE w:val="0"/>
              <w:autoSpaceDN w:val="0"/>
              <w:adjustRightInd w:val="0"/>
              <w:rPr>
                <w:sz w:val="20"/>
                <w:lang w:eastAsia="fr-LU"/>
              </w:rPr>
            </w:pPr>
            <w:r w:rsidRPr="00457C37">
              <w:rPr>
                <w:sz w:val="20"/>
                <w:lang w:eastAsia="fr-LU"/>
              </w:rPr>
              <w:t>[CYP2C9- og CYP2C19-induktor]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39 %</w:t>
            </w:r>
          </w:p>
          <w:p w:rsidR="00457C37" w:rsidRPr="00457C37" w:rsidRDefault="00457C37" w:rsidP="00457C37">
            <w:pPr>
              <w:autoSpaceDE w:val="0"/>
              <w:autoSpaceDN w:val="0"/>
              <w:adjustRightInd w:val="0"/>
              <w:rPr>
                <w:sz w:val="20"/>
                <w:lang w:eastAsia="fr-LU"/>
              </w:rPr>
            </w:pPr>
            <w:r w:rsidRPr="00457C37">
              <w:rPr>
                <w:sz w:val="20"/>
                <w:lang w:eastAsia="fr-LU"/>
              </w:rPr>
              <w:t>Voriconazol AUC0-12 ↓ 44 %</w:t>
            </w:r>
          </w:p>
          <w:p w:rsidR="00457C37" w:rsidRPr="00457C37" w:rsidRDefault="00457C37" w:rsidP="00457C37">
            <w:pPr>
              <w:autoSpaceDE w:val="0"/>
              <w:autoSpaceDN w:val="0"/>
              <w:adjustRightInd w:val="0"/>
              <w:rPr>
                <w:sz w:val="20"/>
                <w:lang w:eastAsia="fr-LU"/>
              </w:rPr>
            </w:pPr>
            <w:r w:rsidRPr="00457C37">
              <w:rPr>
                <w:sz w:val="20"/>
                <w:lang w:eastAsia="fr-LU"/>
              </w:rPr>
              <w:t>Voriconazol C12 ↓ 51 %</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Hvis samtidig administration af voriconazol og letermovir ikke kan undgås, skal der monitoreres for tab af voriconazols effektivitet.</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tc>
      </w:tr>
      <w:tr w:rsidR="00457C37" w:rsidRPr="00457C37" w:rsidTr="00457C37">
        <w:trPr>
          <w:gridAfter w:val="1"/>
          <w:wAfter w:w="8" w:type="dxa"/>
        </w:trPr>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Glasdegib</w:t>
            </w:r>
            <w:r w:rsidRPr="00457C37">
              <w:rPr>
                <w:sz w:val="20"/>
                <w:lang w:eastAsia="fr-LU"/>
              </w:rPr>
              <w:br/>
            </w:r>
            <w:r w:rsidRPr="00457C37">
              <w:rPr>
                <w:i/>
                <w:iCs/>
                <w:sz w:val="20"/>
                <w:lang w:eastAsia="fr-LU"/>
              </w:rPr>
              <w:t>[CYP3A4-substrat]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øger voriconazol sandsynligvis glasdegibs plasmakoncentrationer og dermed risikoen for QTc-forlængelse.</w:t>
            </w:r>
          </w:p>
        </w:tc>
        <w:tc>
          <w:tcPr>
            <w:tcW w:w="3009"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Hvis samtidig behandling ikke kan undgås, tilrådes hyppig EKG-monitorering (se pkt. 4.4).</w:t>
            </w:r>
          </w:p>
        </w:tc>
      </w:tr>
      <w:tr w:rsidR="00457C37" w:rsidRPr="00457C37" w:rsidTr="00457C37">
        <w:trPr>
          <w:gridAfter w:val="1"/>
          <w:wAfter w:w="8" w:type="dxa"/>
        </w:trPr>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rPr>
                <w:sz w:val="20"/>
                <w:lang w:val="fr-LU" w:eastAsia="fr-LU"/>
              </w:rPr>
            </w:pPr>
            <w:r w:rsidRPr="00457C37">
              <w:rPr>
                <w:sz w:val="20"/>
                <w:lang w:val="fr-LU" w:eastAsia="fr-LU"/>
              </w:rPr>
              <w:t>Tyrosinkinasehæmmere (f.eks. axitinib, bosutinib, cabozantinib, ceritinib, cobimetinib, dabrafenib, dasatinib, nilotinib, sunitinib, ibrutinib, ribociclib)</w:t>
            </w:r>
          </w:p>
          <w:p w:rsidR="00457C37" w:rsidRPr="00457C37" w:rsidRDefault="00457C37" w:rsidP="00457C37">
            <w:pPr>
              <w:autoSpaceDE w:val="0"/>
              <w:autoSpaceDN w:val="0"/>
              <w:adjustRightInd w:val="0"/>
              <w:rPr>
                <w:sz w:val="20"/>
                <w:lang w:eastAsia="fr-LU"/>
              </w:rPr>
            </w:pPr>
            <w:r w:rsidRPr="00457C37">
              <w:rPr>
                <w:i/>
                <w:iCs/>
                <w:sz w:val="20"/>
                <w:lang w:eastAsia="fr-LU"/>
              </w:rPr>
              <w:t>[CYP3A4-substrater]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kan voriconazol øge plasma</w:t>
            </w:r>
            <w:r w:rsidRPr="00457C37">
              <w:rPr>
                <w:sz w:val="20"/>
                <w:lang w:eastAsia="fr-LU"/>
              </w:rPr>
              <w:softHyphen/>
              <w:t>koncentrationerne af tyrosinkinasehæmmere, der metaboliseres af CYP3A4.</w:t>
            </w:r>
          </w:p>
        </w:tc>
        <w:tc>
          <w:tcPr>
            <w:tcW w:w="3009"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Hvis samtidig behandling ikke kan undgås, tilrådes dosisreduktion af tyrosin</w:t>
            </w:r>
            <w:r w:rsidRPr="00457C37">
              <w:rPr>
                <w:sz w:val="20"/>
                <w:lang w:eastAsia="fr-LU"/>
              </w:rPr>
              <w:softHyphen/>
              <w:t>kinasehæmmeren (se pkt. 4.4).</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Antikoagulantia</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Warfarin (30 mg enkelt-dosis, administreret sammen med 300 mg BID voriconazol)</w:t>
            </w:r>
          </w:p>
          <w:p w:rsidR="00457C37" w:rsidRPr="00457C37" w:rsidRDefault="00457C37" w:rsidP="00457C37">
            <w:pPr>
              <w:autoSpaceDE w:val="0"/>
              <w:autoSpaceDN w:val="0"/>
              <w:adjustRightInd w:val="0"/>
              <w:rPr>
                <w:i/>
                <w:iCs/>
                <w:sz w:val="20"/>
                <w:lang w:eastAsia="fr-LU"/>
              </w:rPr>
            </w:pPr>
            <w:r w:rsidRPr="00457C37">
              <w:rPr>
                <w:i/>
                <w:iCs/>
                <w:sz w:val="20"/>
                <w:lang w:eastAsia="fr-LU"/>
              </w:rPr>
              <w:t>[CYP2C9-substrat]</w:t>
            </w:r>
          </w:p>
          <w:p w:rsidR="00457C37" w:rsidRPr="00457C37" w:rsidRDefault="00457C37" w:rsidP="00457C37">
            <w:pPr>
              <w:autoSpaceDE w:val="0"/>
              <w:autoSpaceDN w:val="0"/>
              <w:adjustRightInd w:val="0"/>
              <w:rPr>
                <w:i/>
                <w:iCs/>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Andre orale coumariner (f.eks. phenprocoumon, acenocoumarol)</w:t>
            </w:r>
          </w:p>
          <w:p w:rsidR="00457C37" w:rsidRPr="00457C37" w:rsidRDefault="00457C37" w:rsidP="00457C37">
            <w:pPr>
              <w:autoSpaceDE w:val="0"/>
              <w:autoSpaceDN w:val="0"/>
              <w:adjustRightInd w:val="0"/>
              <w:rPr>
                <w:i/>
                <w:iCs/>
                <w:sz w:val="20"/>
                <w:lang w:eastAsia="fr-LU"/>
              </w:rPr>
            </w:pPr>
            <w:r w:rsidRPr="00457C37">
              <w:rPr>
                <w:i/>
                <w:iCs/>
                <w:sz w:val="20"/>
                <w:lang w:eastAsia="fr-LU"/>
              </w:rPr>
              <w:lastRenderedPageBreak/>
              <w:t>[CYP2C9- og CYP3A4-substrater]</w:t>
            </w:r>
          </w:p>
          <w:p w:rsidR="00457C37" w:rsidRPr="00457C37" w:rsidRDefault="00457C37" w:rsidP="00457C37">
            <w:pPr>
              <w:autoSpaceDE w:val="0"/>
              <w:autoSpaceDN w:val="0"/>
              <w:adjustRightInd w:val="0"/>
              <w:rPr>
                <w:sz w:val="20"/>
                <w:lang w:eastAsia="fr-LU"/>
              </w:rPr>
            </w:pP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Protrombintid blev maksimalt øget ca. 2 gange.</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 xml:space="preserve">Selvom det ikke er undersøgt, er der mulighed for, at voriconazol kan øge </w:t>
            </w:r>
            <w:r w:rsidRPr="00457C37">
              <w:rPr>
                <w:sz w:val="20"/>
                <w:lang w:eastAsia="fr-LU"/>
              </w:rPr>
              <w:lastRenderedPageBreak/>
              <w:t>coumariners plasmakoncentrationer, der kan medføre forlænget protrombintid.</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Tæt monitorering af protrombintid eller andre passende antikoagulationstest anbefales, og dosis af antikoagulantia bør tilsvarende justeres.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Ivacaftor</w:t>
            </w:r>
          </w:p>
          <w:p w:rsidR="00457C37" w:rsidRPr="00457C37" w:rsidRDefault="00457C37" w:rsidP="00457C37">
            <w:pPr>
              <w:autoSpaceDE w:val="0"/>
              <w:autoSpaceDN w:val="0"/>
              <w:adjustRightInd w:val="0"/>
              <w:rPr>
                <w:sz w:val="20"/>
                <w:lang w:eastAsia="fr-LU"/>
              </w:rPr>
            </w:pPr>
            <w:r w:rsidRPr="00457C37">
              <w:rPr>
                <w:sz w:val="20"/>
                <w:lang w:eastAsia="fr-LU"/>
              </w:rPr>
              <w:t>[CYP3A4-substrat]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øger voriconazol sandsynligvis ivacaftors plasmakoncentrationer med risiko for flere bivirkninger.</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Det anbefales at reducere dosis af ivacaftor.</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tabs>
                <w:tab w:val="left" w:pos="360"/>
              </w:tabs>
              <w:overflowPunct w:val="0"/>
              <w:autoSpaceDE w:val="0"/>
              <w:autoSpaceDN w:val="0"/>
              <w:adjustRightInd w:val="0"/>
              <w:textAlignment w:val="baseline"/>
              <w:rPr>
                <w:sz w:val="20"/>
                <w:lang w:val="fr-LU"/>
              </w:rPr>
            </w:pPr>
            <w:r w:rsidRPr="00457C37">
              <w:rPr>
                <w:sz w:val="20"/>
                <w:lang w:val="fr-LU"/>
              </w:rPr>
              <w:t xml:space="preserve">Benzodiazepiner [CYP3A4-substrater] Midazolam </w:t>
            </w:r>
          </w:p>
          <w:p w:rsidR="00457C37" w:rsidRPr="00457C37" w:rsidRDefault="00457C37" w:rsidP="00457C37">
            <w:pPr>
              <w:tabs>
                <w:tab w:val="left" w:pos="360"/>
              </w:tabs>
              <w:overflowPunct w:val="0"/>
              <w:autoSpaceDE w:val="0"/>
              <w:autoSpaceDN w:val="0"/>
              <w:adjustRightInd w:val="0"/>
              <w:textAlignment w:val="baseline"/>
              <w:rPr>
                <w:iCs/>
                <w:sz w:val="20"/>
                <w:lang w:val="fr-LU"/>
              </w:rPr>
            </w:pPr>
            <w:r w:rsidRPr="00457C37">
              <w:rPr>
                <w:sz w:val="20"/>
                <w:lang w:val="fr-LU"/>
              </w:rPr>
              <w:t>(0,05 mg/kg i.v. enkeltdosis)</w:t>
            </w:r>
          </w:p>
          <w:p w:rsidR="00457C37" w:rsidRPr="00457C37" w:rsidRDefault="00457C37" w:rsidP="00457C37">
            <w:pPr>
              <w:tabs>
                <w:tab w:val="left" w:pos="360"/>
              </w:tabs>
              <w:overflowPunct w:val="0"/>
              <w:autoSpaceDE w:val="0"/>
              <w:autoSpaceDN w:val="0"/>
              <w:adjustRightInd w:val="0"/>
              <w:textAlignment w:val="baseline"/>
              <w:rPr>
                <w:iCs/>
                <w:sz w:val="20"/>
                <w:lang w:val="fr-LU"/>
              </w:rPr>
            </w:pPr>
          </w:p>
          <w:p w:rsidR="00457C37" w:rsidRPr="00457C37" w:rsidRDefault="00457C37" w:rsidP="00457C37">
            <w:pPr>
              <w:tabs>
                <w:tab w:val="left" w:pos="360"/>
              </w:tabs>
              <w:overflowPunct w:val="0"/>
              <w:autoSpaceDE w:val="0"/>
              <w:autoSpaceDN w:val="0"/>
              <w:adjustRightInd w:val="0"/>
              <w:textAlignment w:val="baseline"/>
              <w:rPr>
                <w:iCs/>
                <w:sz w:val="20"/>
                <w:lang w:val="fr-LU"/>
              </w:rPr>
            </w:pPr>
            <w:r w:rsidRPr="00457C37">
              <w:rPr>
                <w:sz w:val="20"/>
                <w:lang w:val="fr-LU"/>
              </w:rPr>
              <w:t>Midazolam (7,5 mg oral enkeltdosis)</w:t>
            </w:r>
          </w:p>
          <w:p w:rsidR="00457C37" w:rsidRPr="00457C37" w:rsidRDefault="00457C37" w:rsidP="00457C37">
            <w:pPr>
              <w:tabs>
                <w:tab w:val="left" w:pos="360"/>
              </w:tabs>
              <w:overflowPunct w:val="0"/>
              <w:autoSpaceDE w:val="0"/>
              <w:autoSpaceDN w:val="0"/>
              <w:adjustRightInd w:val="0"/>
              <w:textAlignment w:val="baseline"/>
              <w:rPr>
                <w:iCs/>
                <w:sz w:val="20"/>
                <w:lang w:val="fr-LU"/>
              </w:rPr>
            </w:pPr>
          </w:p>
          <w:p w:rsidR="00457C37" w:rsidRPr="00457C37" w:rsidRDefault="00457C37" w:rsidP="00457C37">
            <w:pPr>
              <w:tabs>
                <w:tab w:val="left" w:pos="360"/>
              </w:tabs>
              <w:overflowPunct w:val="0"/>
              <w:autoSpaceDE w:val="0"/>
              <w:autoSpaceDN w:val="0"/>
              <w:adjustRightInd w:val="0"/>
              <w:textAlignment w:val="baseline"/>
              <w:rPr>
                <w:iCs/>
                <w:sz w:val="20"/>
                <w:lang w:val="fr-LU"/>
              </w:rPr>
            </w:pPr>
          </w:p>
          <w:p w:rsidR="00457C37" w:rsidRPr="00457C37" w:rsidRDefault="00457C37" w:rsidP="00457C37">
            <w:pPr>
              <w:tabs>
                <w:tab w:val="left" w:pos="360"/>
              </w:tabs>
              <w:overflowPunct w:val="0"/>
              <w:autoSpaceDE w:val="0"/>
              <w:autoSpaceDN w:val="0"/>
              <w:adjustRightInd w:val="0"/>
              <w:textAlignment w:val="baseline"/>
              <w:rPr>
                <w:sz w:val="20"/>
              </w:rPr>
            </w:pPr>
            <w:r w:rsidRPr="00457C37">
              <w:rPr>
                <w:sz w:val="20"/>
              </w:rPr>
              <w:t>Andre benzodiazepiner (f.eks. triazolam, alprazolam)</w:t>
            </w:r>
          </w:p>
          <w:p w:rsidR="00457C37" w:rsidRPr="00457C37" w:rsidRDefault="00457C37" w:rsidP="00457C37">
            <w:pPr>
              <w:autoSpaceDE w:val="0"/>
              <w:autoSpaceDN w:val="0"/>
              <w:adjustRightInd w:val="0"/>
              <w:rPr>
                <w:sz w:val="20"/>
                <w:lang w:eastAsia="fr-LU"/>
              </w:rPr>
            </w:pP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tabs>
                <w:tab w:val="left" w:pos="216"/>
              </w:tabs>
              <w:overflowPunct w:val="0"/>
              <w:autoSpaceDE w:val="0"/>
              <w:autoSpaceDN w:val="0"/>
              <w:adjustRightInd w:val="0"/>
              <w:textAlignment w:val="baseline"/>
              <w:rPr>
                <w:sz w:val="20"/>
              </w:rPr>
            </w:pPr>
            <w:r w:rsidRPr="00457C37">
              <w:rPr>
                <w:sz w:val="20"/>
              </w:rPr>
              <w:t xml:space="preserve">I et uafhængigt publiceret studie, </w:t>
            </w:r>
          </w:p>
          <w:p w:rsidR="00457C37" w:rsidRPr="00457C37" w:rsidRDefault="00457C37" w:rsidP="00457C37">
            <w:pPr>
              <w:tabs>
                <w:tab w:val="left" w:pos="216"/>
              </w:tabs>
              <w:overflowPunct w:val="0"/>
              <w:autoSpaceDE w:val="0"/>
              <w:autoSpaceDN w:val="0"/>
              <w:adjustRightInd w:val="0"/>
              <w:textAlignment w:val="baseline"/>
              <w:rPr>
                <w:sz w:val="20"/>
              </w:rPr>
            </w:pPr>
            <w:r w:rsidRPr="00457C37">
              <w:rPr>
                <w:sz w:val="20"/>
              </w:rPr>
              <w:t>Midazolam AUC</w:t>
            </w:r>
            <w:r w:rsidRPr="00457C37">
              <w:rPr>
                <w:sz w:val="20"/>
                <w:vertAlign w:val="subscript"/>
              </w:rPr>
              <w:t>0-</w:t>
            </w:r>
            <w:r w:rsidRPr="00457C37">
              <w:rPr>
                <w:sz w:val="20"/>
              </w:rPr>
              <w:sym w:font="Symbol" w:char="F0A5"/>
            </w:r>
            <w:r w:rsidRPr="00457C37">
              <w:rPr>
                <w:sz w:val="20"/>
              </w:rPr>
              <w:t xml:space="preserve"> </w:t>
            </w:r>
            <w:r w:rsidRPr="00457C37">
              <w:rPr>
                <w:sz w:val="20"/>
              </w:rPr>
              <w:sym w:font="Symbol" w:char="F0AD"/>
            </w:r>
            <w:r w:rsidRPr="00457C37">
              <w:rPr>
                <w:sz w:val="20"/>
              </w:rPr>
              <w:t xml:space="preserve"> 3,7 gange</w:t>
            </w:r>
          </w:p>
          <w:p w:rsidR="00457C37" w:rsidRPr="00457C37" w:rsidRDefault="00457C37" w:rsidP="00457C37">
            <w:pPr>
              <w:tabs>
                <w:tab w:val="left" w:pos="216"/>
              </w:tabs>
              <w:overflowPunct w:val="0"/>
              <w:autoSpaceDE w:val="0"/>
              <w:autoSpaceDN w:val="0"/>
              <w:adjustRightInd w:val="0"/>
              <w:textAlignment w:val="baseline"/>
              <w:rPr>
                <w:sz w:val="20"/>
              </w:rPr>
            </w:pPr>
          </w:p>
          <w:p w:rsidR="00457C37" w:rsidRPr="00457C37" w:rsidRDefault="00457C37" w:rsidP="00457C37">
            <w:pPr>
              <w:tabs>
                <w:tab w:val="left" w:pos="216"/>
              </w:tabs>
              <w:overflowPunct w:val="0"/>
              <w:autoSpaceDE w:val="0"/>
              <w:autoSpaceDN w:val="0"/>
              <w:adjustRightInd w:val="0"/>
              <w:textAlignment w:val="baseline"/>
              <w:rPr>
                <w:sz w:val="20"/>
              </w:rPr>
            </w:pPr>
          </w:p>
          <w:p w:rsidR="00457C37" w:rsidRPr="00457C37" w:rsidRDefault="00457C37" w:rsidP="00457C37">
            <w:pPr>
              <w:tabs>
                <w:tab w:val="left" w:pos="216"/>
              </w:tabs>
              <w:overflowPunct w:val="0"/>
              <w:autoSpaceDE w:val="0"/>
              <w:autoSpaceDN w:val="0"/>
              <w:adjustRightInd w:val="0"/>
              <w:textAlignment w:val="baseline"/>
              <w:rPr>
                <w:sz w:val="20"/>
              </w:rPr>
            </w:pPr>
            <w:r w:rsidRPr="00457C37">
              <w:rPr>
                <w:sz w:val="20"/>
              </w:rPr>
              <w:t xml:space="preserve">I et uafhængigt publiceret studie, </w:t>
            </w:r>
          </w:p>
          <w:p w:rsidR="00457C37" w:rsidRPr="00457C37" w:rsidRDefault="00457C37" w:rsidP="00457C37">
            <w:pPr>
              <w:tabs>
                <w:tab w:val="left" w:pos="216"/>
              </w:tabs>
              <w:overflowPunct w:val="0"/>
              <w:autoSpaceDE w:val="0"/>
              <w:autoSpaceDN w:val="0"/>
              <w:adjustRightInd w:val="0"/>
              <w:textAlignment w:val="baseline"/>
              <w:rPr>
                <w:sz w:val="20"/>
              </w:rPr>
            </w:pPr>
            <w:r w:rsidRPr="00457C37">
              <w:rPr>
                <w:sz w:val="20"/>
              </w:rPr>
              <w:t>Midazolam C</w:t>
            </w:r>
            <w:r w:rsidRPr="00457C37">
              <w:rPr>
                <w:sz w:val="20"/>
                <w:vertAlign w:val="subscript"/>
              </w:rPr>
              <w:t>max</w:t>
            </w:r>
            <w:r w:rsidRPr="00457C37">
              <w:rPr>
                <w:sz w:val="20"/>
              </w:rPr>
              <w:t xml:space="preserve"> </w:t>
            </w:r>
            <w:r w:rsidRPr="00457C37">
              <w:rPr>
                <w:sz w:val="20"/>
              </w:rPr>
              <w:sym w:font="Symbol" w:char="F0AD"/>
            </w:r>
            <w:r w:rsidRPr="00457C37">
              <w:rPr>
                <w:sz w:val="20"/>
              </w:rPr>
              <w:t xml:space="preserve"> 3,8 gange</w:t>
            </w:r>
          </w:p>
          <w:p w:rsidR="00457C37" w:rsidRPr="00457C37" w:rsidRDefault="00457C37" w:rsidP="00457C37">
            <w:pPr>
              <w:tabs>
                <w:tab w:val="left" w:pos="216"/>
              </w:tabs>
              <w:overflowPunct w:val="0"/>
              <w:autoSpaceDE w:val="0"/>
              <w:autoSpaceDN w:val="0"/>
              <w:adjustRightInd w:val="0"/>
              <w:textAlignment w:val="baseline"/>
              <w:rPr>
                <w:sz w:val="20"/>
              </w:rPr>
            </w:pPr>
            <w:r w:rsidRPr="00457C37">
              <w:rPr>
                <w:sz w:val="20"/>
              </w:rPr>
              <w:t>Midazolam AUC</w:t>
            </w:r>
            <w:r w:rsidRPr="00457C37">
              <w:rPr>
                <w:sz w:val="20"/>
                <w:vertAlign w:val="subscript"/>
              </w:rPr>
              <w:t>0-</w:t>
            </w:r>
            <w:r w:rsidRPr="00457C37">
              <w:rPr>
                <w:sz w:val="20"/>
              </w:rPr>
              <w:sym w:font="Symbol" w:char="F0A5"/>
            </w:r>
            <w:r w:rsidRPr="00457C37">
              <w:rPr>
                <w:sz w:val="20"/>
              </w:rPr>
              <w:t xml:space="preserve"> </w:t>
            </w:r>
            <w:r w:rsidRPr="00457C37">
              <w:rPr>
                <w:sz w:val="20"/>
              </w:rPr>
              <w:sym w:font="Symbol" w:char="F0AD"/>
            </w:r>
            <w:r w:rsidRPr="00457C37">
              <w:rPr>
                <w:sz w:val="20"/>
              </w:rPr>
              <w:t xml:space="preserve"> 10,3 gange</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Selvom det ikke er undersøgt, er det sandsynligt, at voriconazol kan øge andre benzodiazepiners plasma-koncentrationer, der metaboliseres af CYP3A4, og kan forlænge den sedative virkning.</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Dosisreduktion af benzodiazepiner bør overvejes.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Immunsupprimerende midler</w:t>
            </w:r>
          </w:p>
          <w:p w:rsidR="00457C37" w:rsidRPr="00457C37" w:rsidRDefault="00457C37" w:rsidP="00457C37">
            <w:pPr>
              <w:autoSpaceDE w:val="0"/>
              <w:autoSpaceDN w:val="0"/>
              <w:adjustRightInd w:val="0"/>
              <w:rPr>
                <w:i/>
                <w:iCs/>
                <w:sz w:val="20"/>
                <w:lang w:eastAsia="fr-LU"/>
              </w:rPr>
            </w:pPr>
            <w:r w:rsidRPr="00457C37">
              <w:rPr>
                <w:i/>
                <w:iCs/>
                <w:sz w:val="20"/>
                <w:lang w:eastAsia="fr-LU"/>
              </w:rPr>
              <w:t>[CYP3A4-substrater]</w:t>
            </w:r>
          </w:p>
          <w:p w:rsidR="00457C37" w:rsidRPr="00457C37" w:rsidRDefault="00457C37" w:rsidP="00457C37">
            <w:pPr>
              <w:autoSpaceDE w:val="0"/>
              <w:autoSpaceDN w:val="0"/>
              <w:adjustRightInd w:val="0"/>
              <w:rPr>
                <w:i/>
                <w:iCs/>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Sirolimus (2 mg enkeltdosis)</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rPr>
                <w:sz w:val="20"/>
              </w:rPr>
            </w:pPr>
            <w:r w:rsidRPr="00457C37">
              <w:rPr>
                <w:sz w:val="20"/>
              </w:rPr>
              <w:t>Everolimus</w:t>
            </w:r>
          </w:p>
          <w:p w:rsidR="00457C37" w:rsidRPr="00457C37" w:rsidRDefault="00457C37" w:rsidP="00457C37">
            <w:pPr>
              <w:tabs>
                <w:tab w:val="left" w:pos="360"/>
              </w:tabs>
              <w:overflowPunct w:val="0"/>
              <w:autoSpaceDE w:val="0"/>
              <w:autoSpaceDN w:val="0"/>
              <w:adjustRightInd w:val="0"/>
              <w:ind w:left="90" w:hanging="90"/>
              <w:textAlignment w:val="baseline"/>
              <w:rPr>
                <w:sz w:val="20"/>
              </w:rPr>
            </w:pPr>
            <w:r w:rsidRPr="00457C37">
              <w:rPr>
                <w:i/>
                <w:iCs/>
                <w:sz w:val="20"/>
              </w:rPr>
              <w:t>[også P</w:t>
            </w:r>
            <w:r w:rsidRPr="00457C37">
              <w:rPr>
                <w:i/>
                <w:iCs/>
                <w:sz w:val="20"/>
              </w:rPr>
              <w:noBreakHyphen/>
              <w:t>gP-substrat]</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Ciclosporin (hos stabile nyretransplanterede patienter, der er i kronisk ciclosporinbehandling)</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Tacrolimus (0,1 mg/kg enkeltdosis)</w:t>
            </w:r>
          </w:p>
          <w:p w:rsidR="00457C37" w:rsidRPr="00457C37" w:rsidRDefault="00457C37" w:rsidP="00457C37">
            <w:pPr>
              <w:autoSpaceDE w:val="0"/>
              <w:autoSpaceDN w:val="0"/>
              <w:adjustRightInd w:val="0"/>
              <w:rPr>
                <w:b/>
                <w:sz w:val="20"/>
                <w:lang w:eastAsia="fr-LU"/>
              </w:rPr>
            </w:pP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b/>
                <w:sz w:val="20"/>
                <w:lang w:eastAsia="fr-LU"/>
              </w:rPr>
            </w:pPr>
          </w:p>
          <w:p w:rsidR="00457C37" w:rsidRPr="00457C37" w:rsidRDefault="00457C37" w:rsidP="00457C37">
            <w:pPr>
              <w:autoSpaceDE w:val="0"/>
              <w:autoSpaceDN w:val="0"/>
              <w:adjustRightInd w:val="0"/>
              <w:rPr>
                <w:b/>
                <w:sz w:val="20"/>
                <w:lang w:eastAsia="fr-LU"/>
              </w:rPr>
            </w:pPr>
          </w:p>
          <w:p w:rsidR="00457C37" w:rsidRPr="00457C37" w:rsidRDefault="00457C37" w:rsidP="00457C37">
            <w:pPr>
              <w:autoSpaceDE w:val="0"/>
              <w:autoSpaceDN w:val="0"/>
              <w:adjustRightInd w:val="0"/>
              <w:rPr>
                <w:b/>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I et uafhængigt publiceret studie,</w:t>
            </w:r>
          </w:p>
          <w:p w:rsidR="00457C37" w:rsidRPr="00457C37" w:rsidRDefault="00457C37" w:rsidP="00457C37">
            <w:pPr>
              <w:autoSpaceDE w:val="0"/>
              <w:autoSpaceDN w:val="0"/>
              <w:adjustRightInd w:val="0"/>
              <w:rPr>
                <w:sz w:val="20"/>
                <w:lang w:eastAsia="fr-LU"/>
              </w:rPr>
            </w:pPr>
            <w:r w:rsidRPr="00457C37">
              <w:rPr>
                <w:sz w:val="20"/>
                <w:lang w:eastAsia="fr-LU"/>
              </w:rPr>
              <w:t>Sirolimus C</w:t>
            </w:r>
            <w:r w:rsidRPr="00457C37">
              <w:rPr>
                <w:sz w:val="20"/>
                <w:vertAlign w:val="subscript"/>
                <w:lang w:eastAsia="fr-LU"/>
              </w:rPr>
              <w:t>max</w:t>
            </w:r>
            <w:r w:rsidRPr="00457C37">
              <w:rPr>
                <w:sz w:val="20"/>
                <w:lang w:eastAsia="fr-LU"/>
              </w:rPr>
              <w:t xml:space="preserve"> ↑ 6,6 gange</w:t>
            </w:r>
          </w:p>
          <w:p w:rsidR="00457C37" w:rsidRPr="00457C37" w:rsidRDefault="00457C37" w:rsidP="00457C37">
            <w:pPr>
              <w:autoSpaceDE w:val="0"/>
              <w:autoSpaceDN w:val="0"/>
              <w:adjustRightInd w:val="0"/>
              <w:rPr>
                <w:sz w:val="20"/>
                <w:lang w:eastAsia="fr-LU"/>
              </w:rPr>
            </w:pPr>
            <w:r w:rsidRPr="00457C37">
              <w:rPr>
                <w:sz w:val="20"/>
                <w:lang w:eastAsia="fr-LU"/>
              </w:rPr>
              <w:t>Sirolimus AUC</w:t>
            </w:r>
            <w:r w:rsidRPr="00457C37">
              <w:rPr>
                <w:sz w:val="20"/>
                <w:vertAlign w:val="subscript"/>
                <w:lang w:eastAsia="fr-LU"/>
              </w:rPr>
              <w:t>0-∞</w:t>
            </w:r>
            <w:r w:rsidRPr="00457C37">
              <w:rPr>
                <w:sz w:val="20"/>
                <w:lang w:eastAsia="fr-LU"/>
              </w:rPr>
              <w:t xml:space="preserve"> ↑ 11 gange</w:t>
            </w:r>
          </w:p>
          <w:p w:rsidR="00457C37" w:rsidRPr="00457C37" w:rsidRDefault="00457C37" w:rsidP="00457C37">
            <w:pPr>
              <w:autoSpaceDE w:val="0"/>
              <w:autoSpaceDN w:val="0"/>
              <w:adjustRightInd w:val="0"/>
              <w:rPr>
                <w:sz w:val="20"/>
                <w:lang w:eastAsia="fr-LU"/>
              </w:rPr>
            </w:pPr>
          </w:p>
          <w:p w:rsidR="00457C37" w:rsidRPr="00457C37" w:rsidRDefault="00457C37" w:rsidP="00457C37">
            <w:pPr>
              <w:overflowPunct w:val="0"/>
              <w:autoSpaceDE w:val="0"/>
              <w:autoSpaceDN w:val="0"/>
              <w:adjustRightInd w:val="0"/>
              <w:textAlignment w:val="baseline"/>
              <w:rPr>
                <w:sz w:val="20"/>
              </w:rPr>
            </w:pPr>
            <w:r w:rsidRPr="00457C37">
              <w:rPr>
                <w:sz w:val="20"/>
              </w:rPr>
              <w:t>Selvom det ikke er undersøgt, er det sandsynligt, at voriconazol øger everolimus' plasmakoncentration signifikant.</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Ciclosporin C</w:t>
            </w:r>
            <w:r w:rsidRPr="00457C37">
              <w:rPr>
                <w:sz w:val="20"/>
                <w:vertAlign w:val="subscript"/>
                <w:lang w:eastAsia="fr-LU"/>
              </w:rPr>
              <w:t>max</w:t>
            </w:r>
            <w:r w:rsidRPr="00457C37">
              <w:rPr>
                <w:sz w:val="20"/>
                <w:lang w:eastAsia="fr-LU"/>
              </w:rPr>
              <w:t xml:space="preserve"> ↑ 13 %</w:t>
            </w:r>
          </w:p>
          <w:p w:rsidR="00457C37" w:rsidRPr="00457C37" w:rsidRDefault="00457C37" w:rsidP="00457C37">
            <w:pPr>
              <w:autoSpaceDE w:val="0"/>
              <w:autoSpaceDN w:val="0"/>
              <w:adjustRightInd w:val="0"/>
              <w:rPr>
                <w:sz w:val="20"/>
                <w:lang w:eastAsia="fr-LU"/>
              </w:rPr>
            </w:pPr>
            <w:r w:rsidRPr="00457C37">
              <w:rPr>
                <w:sz w:val="20"/>
                <w:lang w:eastAsia="fr-LU"/>
              </w:rPr>
              <w:t>Ciclosporin AUCτ ↑ 70 %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Tacrolimus C</w:t>
            </w:r>
            <w:r w:rsidRPr="00457C37">
              <w:rPr>
                <w:sz w:val="20"/>
                <w:vertAlign w:val="subscript"/>
                <w:lang w:eastAsia="fr-LU"/>
              </w:rPr>
              <w:t>max</w:t>
            </w:r>
            <w:r w:rsidRPr="00457C37">
              <w:rPr>
                <w:sz w:val="20"/>
                <w:lang w:eastAsia="fr-LU"/>
              </w:rPr>
              <w:t xml:space="preserve"> ↑ 117 %</w:t>
            </w:r>
          </w:p>
          <w:p w:rsidR="00457C37" w:rsidRPr="00457C37" w:rsidRDefault="00457C37" w:rsidP="00457C37">
            <w:pPr>
              <w:autoSpaceDE w:val="0"/>
              <w:autoSpaceDN w:val="0"/>
              <w:adjustRightInd w:val="0"/>
              <w:rPr>
                <w:b/>
                <w:sz w:val="20"/>
                <w:lang w:eastAsia="fr-LU"/>
              </w:rPr>
            </w:pPr>
            <w:r w:rsidRPr="00457C37">
              <w:rPr>
                <w:sz w:val="20"/>
                <w:lang w:eastAsia="fr-LU"/>
              </w:rPr>
              <w:t>Tacrolimus AUC</w:t>
            </w:r>
            <w:r w:rsidRPr="00457C37">
              <w:rPr>
                <w:sz w:val="20"/>
                <w:vertAlign w:val="subscript"/>
                <w:lang w:eastAsia="fr-LU"/>
              </w:rPr>
              <w:t>t</w:t>
            </w:r>
            <w:r w:rsidRPr="00457C37">
              <w:rPr>
                <w:sz w:val="20"/>
                <w:lang w:eastAsia="fr-LU"/>
              </w:rPr>
              <w:t xml:space="preserve"> ↑ 221 %</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 xml:space="preserve">Samtidig administration af voriconazol og sirolimus er </w:t>
            </w:r>
            <w:r w:rsidRPr="00457C37">
              <w:rPr>
                <w:b/>
                <w:bCs/>
                <w:sz w:val="20"/>
                <w:lang w:eastAsia="fr-LU"/>
              </w:rPr>
              <w:t>kontraindiceret</w:t>
            </w:r>
            <w:r w:rsidRPr="00457C37">
              <w:rPr>
                <w:sz w:val="20"/>
                <w:lang w:eastAsia="fr-LU"/>
              </w:rPr>
              <w:t xml:space="preserve"> (se pkt. 4.3).</w:t>
            </w:r>
          </w:p>
          <w:p w:rsidR="00457C37" w:rsidRPr="00457C37" w:rsidRDefault="00457C37" w:rsidP="00457C37">
            <w:pPr>
              <w:autoSpaceDE w:val="0"/>
              <w:autoSpaceDN w:val="0"/>
              <w:adjustRightInd w:val="0"/>
              <w:rPr>
                <w:sz w:val="20"/>
                <w:lang w:eastAsia="fr-LU"/>
              </w:rPr>
            </w:pPr>
          </w:p>
          <w:p w:rsidR="00457C37" w:rsidRPr="00457C37" w:rsidRDefault="00457C37" w:rsidP="00457C37">
            <w:pPr>
              <w:overflowPunct w:val="0"/>
              <w:autoSpaceDE w:val="0"/>
              <w:autoSpaceDN w:val="0"/>
              <w:adjustRightInd w:val="0"/>
              <w:textAlignment w:val="baseline"/>
              <w:rPr>
                <w:sz w:val="20"/>
              </w:rPr>
            </w:pPr>
            <w:r w:rsidRPr="00457C37">
              <w:rPr>
                <w:sz w:val="20"/>
              </w:rPr>
              <w:t>Samtidig administration af voriconazol og everolimus frarådes, eftersom voriconazol forventes at øge koncentrationen af everolimus signifikant (se pkt. 4.4).</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 xml:space="preserve">Når voriconazol-behandling startes hos patienter, der allerede får ciclosporin, anbefales det, at ciclosporin-dosis halveres, og at ciclosporin-koncentrationerne monitoreres nøje. Forhøjede ciclosporin-koncentrationer har været forbundet med nefrotoksicitet. </w:t>
            </w:r>
            <w:r w:rsidRPr="00457C37">
              <w:rPr>
                <w:sz w:val="20"/>
                <w:u w:val="single"/>
                <w:lang w:eastAsia="fr-LU"/>
              </w:rPr>
              <w:t>Når voriconazol seponeres, skal ciclosporin-koncentrationerne monitoreres nøje, og dosis skal om nødvendigt justeres.</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b/>
                <w:sz w:val="20"/>
                <w:lang w:eastAsia="fr-LU"/>
              </w:rPr>
            </w:pPr>
            <w:r w:rsidRPr="00457C37">
              <w:rPr>
                <w:sz w:val="20"/>
                <w:lang w:eastAsia="fr-LU"/>
              </w:rPr>
              <w:t xml:space="preserve">Når voriconazol-behandling startes hos patienter, der allerede får tacrolimus, anbefales det, at tacrolimus-dosis reduceres til en tredjedel af den oprindelige dosis, og at tacrolimus-koncentrationerne monitoreres nøje. Forhøjede tacrolimus-koncentrationer har været forbundet med </w:t>
            </w:r>
            <w:r w:rsidRPr="00457C37">
              <w:rPr>
                <w:sz w:val="20"/>
                <w:lang w:eastAsia="fr-LU"/>
              </w:rPr>
              <w:lastRenderedPageBreak/>
              <w:t xml:space="preserve">nefrotoksicitet. </w:t>
            </w:r>
            <w:r w:rsidRPr="00457C37">
              <w:rPr>
                <w:sz w:val="20"/>
                <w:u w:val="single"/>
                <w:lang w:eastAsia="fr-LU"/>
              </w:rPr>
              <w:t>Når voriconazol seponeres, skal tacrolimus-koncentrationerne monitoreres nøje, og dosis skal om nødvendigt justeres.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lastRenderedPageBreak/>
              <w:t>Langtidsvirkende opioider</w:t>
            </w:r>
          </w:p>
          <w:p w:rsidR="00457C37" w:rsidRPr="00457C37" w:rsidRDefault="00457C37" w:rsidP="00457C37">
            <w:pPr>
              <w:autoSpaceDE w:val="0"/>
              <w:autoSpaceDN w:val="0"/>
              <w:adjustRightInd w:val="0"/>
              <w:rPr>
                <w:i/>
                <w:iCs/>
                <w:sz w:val="20"/>
                <w:lang w:eastAsia="fr-LU"/>
              </w:rPr>
            </w:pPr>
            <w:r w:rsidRPr="00457C37">
              <w:rPr>
                <w:i/>
                <w:iCs/>
                <w:sz w:val="20"/>
                <w:lang w:eastAsia="fr-LU"/>
              </w:rPr>
              <w:t>[CYP3A4-substrater]</w:t>
            </w:r>
          </w:p>
          <w:p w:rsidR="00457C37" w:rsidRPr="00457C37" w:rsidRDefault="00457C37" w:rsidP="00457C37">
            <w:pPr>
              <w:autoSpaceDE w:val="0"/>
              <w:autoSpaceDN w:val="0"/>
              <w:adjustRightInd w:val="0"/>
              <w:rPr>
                <w:i/>
                <w:iCs/>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Oxycodon (10 mg enkeltdosis)</w:t>
            </w:r>
          </w:p>
          <w:p w:rsidR="00457C37" w:rsidRPr="00457C37" w:rsidRDefault="00457C37" w:rsidP="00457C37">
            <w:pPr>
              <w:autoSpaceDE w:val="0"/>
              <w:autoSpaceDN w:val="0"/>
              <w:adjustRightInd w:val="0"/>
              <w:rPr>
                <w:sz w:val="20"/>
                <w:lang w:eastAsia="fr-LU"/>
              </w:rPr>
            </w:pP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I et uafhængigt publiceret studie,</w:t>
            </w:r>
          </w:p>
          <w:p w:rsidR="00457C37" w:rsidRPr="00457C37" w:rsidRDefault="00457C37" w:rsidP="00457C37">
            <w:pPr>
              <w:autoSpaceDE w:val="0"/>
              <w:autoSpaceDN w:val="0"/>
              <w:adjustRightInd w:val="0"/>
              <w:rPr>
                <w:sz w:val="20"/>
                <w:lang w:eastAsia="fr-LU"/>
              </w:rPr>
            </w:pPr>
            <w:r w:rsidRPr="00457C37">
              <w:rPr>
                <w:sz w:val="20"/>
                <w:lang w:eastAsia="fr-LU"/>
              </w:rPr>
              <w:t>Oxycodon C</w:t>
            </w:r>
            <w:r w:rsidRPr="00457C37">
              <w:rPr>
                <w:sz w:val="20"/>
                <w:vertAlign w:val="subscript"/>
                <w:lang w:eastAsia="fr-LU"/>
              </w:rPr>
              <w:t>max</w:t>
            </w:r>
            <w:r w:rsidRPr="00457C37">
              <w:rPr>
                <w:sz w:val="20"/>
                <w:lang w:eastAsia="fr-LU"/>
              </w:rPr>
              <w:t xml:space="preserve"> ↑ 1,7 gange</w:t>
            </w:r>
          </w:p>
          <w:p w:rsidR="00457C37" w:rsidRPr="00457C37" w:rsidRDefault="00457C37" w:rsidP="00457C37">
            <w:pPr>
              <w:autoSpaceDE w:val="0"/>
              <w:autoSpaceDN w:val="0"/>
              <w:adjustRightInd w:val="0"/>
              <w:rPr>
                <w:b/>
                <w:sz w:val="20"/>
                <w:lang w:eastAsia="fr-LU"/>
              </w:rPr>
            </w:pPr>
            <w:r w:rsidRPr="00457C37">
              <w:rPr>
                <w:sz w:val="20"/>
                <w:lang w:eastAsia="fr-LU"/>
              </w:rPr>
              <w:t>Oxycodon AUC</w:t>
            </w:r>
            <w:r w:rsidRPr="00457C37">
              <w:rPr>
                <w:sz w:val="20"/>
                <w:vertAlign w:val="subscript"/>
                <w:lang w:eastAsia="fr-LU"/>
              </w:rPr>
              <w:t>0-∞</w:t>
            </w:r>
            <w:r w:rsidRPr="00457C37">
              <w:rPr>
                <w:sz w:val="20"/>
                <w:lang w:eastAsia="fr-LU"/>
              </w:rPr>
              <w:t xml:space="preserve"> ↑ 3,6 gange</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Dosisreduktion af oxycodon og andre langtidsvirkende opiater, der metaboliseres af CYP3A4 (f.eks. hydrocodon), bør overvejes. Hyppig monitorering for opioidrelaterede bivirkninger kan være nødvendig.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en-US" w:eastAsia="fr-LU"/>
              </w:rPr>
            </w:pPr>
            <w:r w:rsidRPr="00457C37">
              <w:rPr>
                <w:sz w:val="20"/>
                <w:lang w:val="en-US" w:eastAsia="fr-LU"/>
              </w:rPr>
              <w:t>Methadon (32-100 mg QD)</w:t>
            </w:r>
          </w:p>
          <w:p w:rsidR="00457C37" w:rsidRPr="00457C37" w:rsidRDefault="00457C37" w:rsidP="00457C37">
            <w:pPr>
              <w:autoSpaceDE w:val="0"/>
              <w:autoSpaceDN w:val="0"/>
              <w:adjustRightInd w:val="0"/>
              <w:rPr>
                <w:sz w:val="20"/>
                <w:lang w:val="en-US" w:eastAsia="fr-LU"/>
              </w:rPr>
            </w:pPr>
            <w:r w:rsidRPr="00457C37">
              <w:rPr>
                <w:i/>
                <w:iCs/>
                <w:sz w:val="20"/>
                <w:lang w:val="en-US" w:eastAsia="fr-LU"/>
              </w:rPr>
              <w:t>[CYP3A4-substrat]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en-US" w:eastAsia="fr-LU"/>
              </w:rPr>
            </w:pPr>
            <w:r w:rsidRPr="00457C37">
              <w:rPr>
                <w:sz w:val="20"/>
                <w:lang w:val="en-US" w:eastAsia="fr-LU"/>
              </w:rPr>
              <w:t>R-methadon (aktiv) C</w:t>
            </w:r>
            <w:r w:rsidRPr="00457C37">
              <w:rPr>
                <w:sz w:val="20"/>
                <w:vertAlign w:val="subscript"/>
                <w:lang w:val="en-US" w:eastAsia="fr-LU"/>
              </w:rPr>
              <w:t>max</w:t>
            </w:r>
            <w:r w:rsidRPr="00457C37">
              <w:rPr>
                <w:sz w:val="20"/>
                <w:lang w:val="en-US" w:eastAsia="fr-LU"/>
              </w:rPr>
              <w:t xml:space="preserve"> ↑ 31 %</w:t>
            </w:r>
          </w:p>
          <w:p w:rsidR="00457C37" w:rsidRPr="00457C37" w:rsidRDefault="00457C37" w:rsidP="00457C37">
            <w:pPr>
              <w:autoSpaceDE w:val="0"/>
              <w:autoSpaceDN w:val="0"/>
              <w:adjustRightInd w:val="0"/>
              <w:rPr>
                <w:sz w:val="20"/>
                <w:lang w:val="en-US" w:eastAsia="fr-LU"/>
              </w:rPr>
            </w:pPr>
            <w:r w:rsidRPr="00457C37">
              <w:rPr>
                <w:sz w:val="20"/>
                <w:lang w:val="en-US" w:eastAsia="fr-LU"/>
              </w:rPr>
              <w:t>R-methadon (aktiv) AUC</w:t>
            </w:r>
            <w:r w:rsidRPr="00457C37">
              <w:rPr>
                <w:sz w:val="20"/>
                <w:lang w:eastAsia="fr-LU"/>
              </w:rPr>
              <w:t>τ</w:t>
            </w:r>
            <w:r w:rsidRPr="00457C37">
              <w:rPr>
                <w:sz w:val="20"/>
                <w:lang w:val="en-US" w:eastAsia="fr-LU"/>
              </w:rPr>
              <w:t xml:space="preserve"> ↑ 47 %</w:t>
            </w:r>
          </w:p>
          <w:p w:rsidR="00457C37" w:rsidRPr="00457C37" w:rsidRDefault="00457C37" w:rsidP="00457C37">
            <w:pPr>
              <w:autoSpaceDE w:val="0"/>
              <w:autoSpaceDN w:val="0"/>
              <w:adjustRightInd w:val="0"/>
              <w:rPr>
                <w:sz w:val="20"/>
                <w:lang w:val="en-US" w:eastAsia="fr-LU"/>
              </w:rPr>
            </w:pPr>
            <w:r w:rsidRPr="00457C37">
              <w:rPr>
                <w:sz w:val="20"/>
                <w:lang w:val="en-US" w:eastAsia="fr-LU"/>
              </w:rPr>
              <w:t>S-methadon C</w:t>
            </w:r>
            <w:r w:rsidRPr="00457C37">
              <w:rPr>
                <w:sz w:val="20"/>
                <w:vertAlign w:val="subscript"/>
                <w:lang w:val="en-US" w:eastAsia="fr-LU"/>
              </w:rPr>
              <w:t>max</w:t>
            </w:r>
            <w:r w:rsidRPr="00457C37">
              <w:rPr>
                <w:sz w:val="20"/>
                <w:lang w:val="en-US" w:eastAsia="fr-LU"/>
              </w:rPr>
              <w:t xml:space="preserve"> ↑ 65 %</w:t>
            </w:r>
          </w:p>
          <w:p w:rsidR="00457C37" w:rsidRPr="00457C37" w:rsidRDefault="00457C37" w:rsidP="00457C37">
            <w:pPr>
              <w:autoSpaceDE w:val="0"/>
              <w:autoSpaceDN w:val="0"/>
              <w:adjustRightInd w:val="0"/>
              <w:rPr>
                <w:b/>
                <w:sz w:val="20"/>
                <w:lang w:val="en-US" w:eastAsia="fr-LU"/>
              </w:rPr>
            </w:pPr>
            <w:r w:rsidRPr="00457C37">
              <w:rPr>
                <w:sz w:val="20"/>
                <w:lang w:val="en-US" w:eastAsia="fr-LU"/>
              </w:rPr>
              <w:t>S-methadon AUC</w:t>
            </w:r>
            <w:r w:rsidRPr="00457C37">
              <w:rPr>
                <w:sz w:val="20"/>
                <w:lang w:eastAsia="fr-LU"/>
              </w:rPr>
              <w:t>τ</w:t>
            </w:r>
            <w:r w:rsidRPr="00457C37">
              <w:rPr>
                <w:sz w:val="20"/>
                <w:lang w:val="en-US" w:eastAsia="fr-LU"/>
              </w:rPr>
              <w:t xml:space="preserve"> ↑ 103 %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Hyppig monitorering for methadon-relaterede bivirkninger og toksicitet, herunder QTc-forlængelse, anbefales. Dosisreduktion af methadon kan være nødvendig.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i/>
                <w:iCs/>
                <w:sz w:val="20"/>
                <w:lang w:eastAsia="fr-LU"/>
              </w:rPr>
            </w:pPr>
            <w:r w:rsidRPr="00457C37">
              <w:rPr>
                <w:sz w:val="20"/>
                <w:lang w:eastAsia="fr-LU"/>
              </w:rPr>
              <w:t>Nonsteroide antiinflamma</w:t>
            </w:r>
            <w:r w:rsidRPr="00457C37">
              <w:rPr>
                <w:sz w:val="20"/>
                <w:lang w:eastAsia="fr-LU"/>
              </w:rPr>
              <w:softHyphen/>
              <w:t xml:space="preserve">toriske lægemidler (NSAIDs) </w:t>
            </w:r>
            <w:r w:rsidRPr="00457C37">
              <w:rPr>
                <w:i/>
                <w:iCs/>
                <w:sz w:val="20"/>
                <w:lang w:eastAsia="fr-LU"/>
              </w:rPr>
              <w:t>[CYP2C9-substrater]</w:t>
            </w:r>
          </w:p>
          <w:p w:rsidR="00457C37" w:rsidRPr="00457C37" w:rsidRDefault="00457C37" w:rsidP="00457C37">
            <w:pPr>
              <w:autoSpaceDE w:val="0"/>
              <w:autoSpaceDN w:val="0"/>
              <w:adjustRightInd w:val="0"/>
              <w:rPr>
                <w:i/>
                <w:iCs/>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Ibuprofen (400 mg enkeltdosis)</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Diclofenac (50 mg enkeltdosis)</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val="en-US" w:eastAsia="fr-LU"/>
              </w:rPr>
            </w:pPr>
            <w:r w:rsidRPr="00457C37">
              <w:rPr>
                <w:sz w:val="20"/>
                <w:lang w:val="en-US" w:eastAsia="fr-LU"/>
              </w:rPr>
              <w:t>S-Ibuprofen C</w:t>
            </w:r>
            <w:r w:rsidRPr="00457C37">
              <w:rPr>
                <w:sz w:val="20"/>
                <w:vertAlign w:val="subscript"/>
                <w:lang w:val="en-US" w:eastAsia="fr-LU"/>
              </w:rPr>
              <w:t>max</w:t>
            </w:r>
            <w:r w:rsidRPr="00457C37">
              <w:rPr>
                <w:sz w:val="20"/>
                <w:lang w:val="en-US" w:eastAsia="fr-LU"/>
              </w:rPr>
              <w:t xml:space="preserve"> ↑ 20 %</w:t>
            </w:r>
          </w:p>
          <w:p w:rsidR="00457C37" w:rsidRPr="00457C37" w:rsidRDefault="00457C37" w:rsidP="00457C37">
            <w:pPr>
              <w:autoSpaceDE w:val="0"/>
              <w:autoSpaceDN w:val="0"/>
              <w:adjustRightInd w:val="0"/>
              <w:rPr>
                <w:sz w:val="20"/>
                <w:lang w:val="en-US" w:eastAsia="fr-LU"/>
              </w:rPr>
            </w:pPr>
            <w:r w:rsidRPr="00457C37">
              <w:rPr>
                <w:sz w:val="20"/>
                <w:lang w:val="en-US" w:eastAsia="fr-LU"/>
              </w:rPr>
              <w:t>S-Ibuprofen AUC</w:t>
            </w:r>
            <w:r w:rsidRPr="00457C37">
              <w:rPr>
                <w:sz w:val="20"/>
                <w:vertAlign w:val="subscript"/>
                <w:lang w:val="en-US" w:eastAsia="fr-LU"/>
              </w:rPr>
              <w:t>0-∞</w:t>
            </w:r>
            <w:r w:rsidRPr="00457C37">
              <w:rPr>
                <w:sz w:val="20"/>
                <w:lang w:val="en-US" w:eastAsia="fr-LU"/>
              </w:rPr>
              <w:t xml:space="preserve"> ↑ 100 %</w:t>
            </w:r>
          </w:p>
          <w:p w:rsidR="00457C37" w:rsidRPr="00457C37" w:rsidRDefault="00457C37" w:rsidP="00457C37">
            <w:pPr>
              <w:autoSpaceDE w:val="0"/>
              <w:autoSpaceDN w:val="0"/>
              <w:adjustRightInd w:val="0"/>
              <w:rPr>
                <w:sz w:val="20"/>
                <w:lang w:val="en-US" w:eastAsia="fr-LU"/>
              </w:rPr>
            </w:pPr>
          </w:p>
          <w:p w:rsidR="00457C37" w:rsidRPr="00457C37" w:rsidRDefault="00457C37" w:rsidP="00457C37">
            <w:pPr>
              <w:autoSpaceDE w:val="0"/>
              <w:autoSpaceDN w:val="0"/>
              <w:adjustRightInd w:val="0"/>
              <w:rPr>
                <w:sz w:val="20"/>
                <w:lang w:eastAsia="fr-LU"/>
              </w:rPr>
            </w:pPr>
            <w:r w:rsidRPr="00457C37">
              <w:rPr>
                <w:sz w:val="20"/>
                <w:lang w:eastAsia="fr-LU"/>
              </w:rPr>
              <w:t>Diclofenac C</w:t>
            </w:r>
            <w:r w:rsidRPr="00457C37">
              <w:rPr>
                <w:sz w:val="20"/>
                <w:vertAlign w:val="subscript"/>
                <w:lang w:eastAsia="fr-LU"/>
              </w:rPr>
              <w:t>max</w:t>
            </w:r>
            <w:r w:rsidRPr="00457C37">
              <w:rPr>
                <w:sz w:val="20"/>
                <w:lang w:eastAsia="fr-LU"/>
              </w:rPr>
              <w:t xml:space="preserve"> ↑ 114 %</w:t>
            </w:r>
          </w:p>
          <w:p w:rsidR="00457C37" w:rsidRPr="00457C37" w:rsidRDefault="00457C37" w:rsidP="00457C37">
            <w:pPr>
              <w:autoSpaceDE w:val="0"/>
              <w:autoSpaceDN w:val="0"/>
              <w:adjustRightInd w:val="0"/>
              <w:rPr>
                <w:sz w:val="20"/>
                <w:lang w:eastAsia="fr-LU"/>
              </w:rPr>
            </w:pPr>
            <w:r w:rsidRPr="00457C37">
              <w:rPr>
                <w:sz w:val="20"/>
                <w:lang w:eastAsia="fr-LU"/>
              </w:rPr>
              <w:t>Diclofenac AUC</w:t>
            </w:r>
            <w:r w:rsidRPr="00457C37">
              <w:rPr>
                <w:sz w:val="20"/>
                <w:vertAlign w:val="subscript"/>
                <w:lang w:eastAsia="fr-LU"/>
              </w:rPr>
              <w:t>0-∞</w:t>
            </w:r>
            <w:r w:rsidRPr="00457C37">
              <w:rPr>
                <w:sz w:val="20"/>
                <w:lang w:eastAsia="fr-LU"/>
              </w:rPr>
              <w:t xml:space="preserve"> ↑ 78 %</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Hyppig monitorering for NSAID-relaterede bivirkninger og toksicitet anbefales. Dosisreduktion af NSAID kan blive nødvendig.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Omeprazol (40 mg QD)*</w:t>
            </w:r>
          </w:p>
          <w:p w:rsidR="00457C37" w:rsidRPr="00457C37" w:rsidRDefault="00457C37" w:rsidP="00457C37">
            <w:pPr>
              <w:autoSpaceDE w:val="0"/>
              <w:autoSpaceDN w:val="0"/>
              <w:adjustRightInd w:val="0"/>
              <w:rPr>
                <w:sz w:val="20"/>
                <w:lang w:eastAsia="fr-LU"/>
              </w:rPr>
            </w:pPr>
            <w:r w:rsidRPr="00457C37">
              <w:rPr>
                <w:i/>
                <w:iCs/>
                <w:sz w:val="20"/>
                <w:lang w:eastAsia="fr-LU"/>
              </w:rPr>
              <w:t>[CYP2C19-hæmmer, CYP2C19- og CYP3A4-substrat]</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Omeprazol C</w:t>
            </w:r>
            <w:r w:rsidRPr="00457C37">
              <w:rPr>
                <w:sz w:val="20"/>
                <w:vertAlign w:val="subscript"/>
                <w:lang w:eastAsia="fr-LU"/>
              </w:rPr>
              <w:t>max</w:t>
            </w:r>
            <w:r w:rsidRPr="00457C37">
              <w:rPr>
                <w:sz w:val="20"/>
                <w:lang w:eastAsia="fr-LU"/>
              </w:rPr>
              <w:t xml:space="preserve"> ↑ 116 %</w:t>
            </w:r>
          </w:p>
          <w:p w:rsidR="00457C37" w:rsidRPr="00457C37" w:rsidRDefault="00457C37" w:rsidP="00457C37">
            <w:pPr>
              <w:autoSpaceDE w:val="0"/>
              <w:autoSpaceDN w:val="0"/>
              <w:adjustRightInd w:val="0"/>
              <w:rPr>
                <w:sz w:val="20"/>
                <w:lang w:eastAsia="fr-LU"/>
              </w:rPr>
            </w:pPr>
            <w:r w:rsidRPr="00457C37">
              <w:rPr>
                <w:sz w:val="20"/>
                <w:lang w:eastAsia="fr-LU"/>
              </w:rPr>
              <w:t>Omeprazol AUCτ ↑ 280 %</w:t>
            </w: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15 %</w:t>
            </w:r>
          </w:p>
          <w:p w:rsidR="00457C37" w:rsidRPr="00457C37" w:rsidRDefault="00457C37" w:rsidP="00457C37">
            <w:pPr>
              <w:autoSpaceDE w:val="0"/>
              <w:autoSpaceDN w:val="0"/>
              <w:adjustRightInd w:val="0"/>
              <w:rPr>
                <w:sz w:val="20"/>
                <w:lang w:eastAsia="fr-LU"/>
              </w:rPr>
            </w:pPr>
            <w:r w:rsidRPr="00457C37">
              <w:rPr>
                <w:sz w:val="20"/>
                <w:lang w:eastAsia="fr-LU"/>
              </w:rPr>
              <w:t>Voriconazol AUCτ ↑ 41 %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Andre protonpumpehæmmere, som er CYP2C19-substrater kan også blive hæmmet af voriconazol og kan føre til forhøjede plasmakoncentrationer af disse lægemidler.</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Dosisjustering af voriconazol anbefales ikke.</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Når voriconazol-behandling startes hos patienter, der allerede får omeprazoldoser på 40 mg eller derover, anbefales det, at omeprazol-dosis halveres.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Orale kontraceptiva*</w:t>
            </w:r>
          </w:p>
          <w:p w:rsidR="00457C37" w:rsidRPr="00457C37" w:rsidRDefault="00457C37" w:rsidP="00457C37">
            <w:pPr>
              <w:autoSpaceDE w:val="0"/>
              <w:autoSpaceDN w:val="0"/>
              <w:adjustRightInd w:val="0"/>
              <w:rPr>
                <w:i/>
                <w:iCs/>
                <w:sz w:val="20"/>
                <w:lang w:eastAsia="fr-LU"/>
              </w:rPr>
            </w:pPr>
            <w:r w:rsidRPr="00457C37">
              <w:rPr>
                <w:i/>
                <w:iCs/>
                <w:sz w:val="20"/>
                <w:lang w:eastAsia="fr-LU"/>
              </w:rPr>
              <w:t>[CYP3A4-substrat; CYP2C19-</w:t>
            </w:r>
          </w:p>
          <w:p w:rsidR="00457C37" w:rsidRPr="00457C37" w:rsidRDefault="00457C37" w:rsidP="00457C37">
            <w:pPr>
              <w:autoSpaceDE w:val="0"/>
              <w:autoSpaceDN w:val="0"/>
              <w:adjustRightInd w:val="0"/>
              <w:rPr>
                <w:i/>
                <w:iCs/>
                <w:sz w:val="20"/>
                <w:lang w:eastAsia="fr-LU"/>
              </w:rPr>
            </w:pPr>
            <w:r w:rsidRPr="00457C37">
              <w:rPr>
                <w:i/>
                <w:iCs/>
                <w:sz w:val="20"/>
                <w:lang w:eastAsia="fr-LU"/>
              </w:rPr>
              <w:t>hæmmer]</w:t>
            </w:r>
          </w:p>
          <w:p w:rsidR="00457C37" w:rsidRPr="00457C37" w:rsidRDefault="00457C37" w:rsidP="00457C37">
            <w:pPr>
              <w:autoSpaceDE w:val="0"/>
              <w:autoSpaceDN w:val="0"/>
              <w:adjustRightInd w:val="0"/>
              <w:rPr>
                <w:sz w:val="20"/>
                <w:lang w:eastAsia="fr-LU"/>
              </w:rPr>
            </w:pPr>
            <w:r w:rsidRPr="00457C37">
              <w:rPr>
                <w:sz w:val="20"/>
                <w:lang w:eastAsia="fr-LU"/>
              </w:rPr>
              <w:t>Norethisteron/ethinylestradiol</w:t>
            </w:r>
          </w:p>
          <w:p w:rsidR="00457C37" w:rsidRPr="00457C37" w:rsidRDefault="00457C37" w:rsidP="00457C37">
            <w:pPr>
              <w:autoSpaceDE w:val="0"/>
              <w:autoSpaceDN w:val="0"/>
              <w:adjustRightInd w:val="0"/>
              <w:rPr>
                <w:sz w:val="20"/>
                <w:lang w:eastAsia="fr-LU"/>
              </w:rPr>
            </w:pPr>
            <w:r w:rsidRPr="00457C37">
              <w:rPr>
                <w:sz w:val="20"/>
                <w:lang w:eastAsia="fr-LU"/>
              </w:rPr>
              <w:t>(1 mg/0,035 mg QD)</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en-US" w:eastAsia="fr-LU"/>
              </w:rPr>
            </w:pPr>
            <w:r w:rsidRPr="00457C37">
              <w:rPr>
                <w:sz w:val="20"/>
                <w:lang w:val="en-US" w:eastAsia="fr-LU"/>
              </w:rPr>
              <w:t>Ethinylestradiol C</w:t>
            </w:r>
            <w:r w:rsidRPr="00457C37">
              <w:rPr>
                <w:sz w:val="20"/>
                <w:vertAlign w:val="subscript"/>
                <w:lang w:val="en-US" w:eastAsia="fr-LU"/>
              </w:rPr>
              <w:t>max</w:t>
            </w:r>
            <w:r w:rsidRPr="00457C37">
              <w:rPr>
                <w:sz w:val="20"/>
                <w:lang w:val="en-US" w:eastAsia="fr-LU"/>
              </w:rPr>
              <w:t xml:space="preserve"> ↑ 36 %</w:t>
            </w:r>
          </w:p>
          <w:p w:rsidR="00457C37" w:rsidRPr="00457C37" w:rsidRDefault="00457C37" w:rsidP="00457C37">
            <w:pPr>
              <w:autoSpaceDE w:val="0"/>
              <w:autoSpaceDN w:val="0"/>
              <w:adjustRightInd w:val="0"/>
              <w:rPr>
                <w:sz w:val="20"/>
                <w:lang w:val="en-US" w:eastAsia="fr-LU"/>
              </w:rPr>
            </w:pPr>
            <w:r w:rsidRPr="00457C37">
              <w:rPr>
                <w:sz w:val="20"/>
                <w:lang w:val="en-US" w:eastAsia="fr-LU"/>
              </w:rPr>
              <w:t>Ethinylestradiol AUC</w:t>
            </w:r>
            <w:r w:rsidRPr="00457C37">
              <w:rPr>
                <w:sz w:val="20"/>
                <w:lang w:eastAsia="fr-LU"/>
              </w:rPr>
              <w:t>τ</w:t>
            </w:r>
            <w:r w:rsidRPr="00457C37">
              <w:rPr>
                <w:sz w:val="20"/>
                <w:lang w:val="en-US" w:eastAsia="fr-LU"/>
              </w:rPr>
              <w:t xml:space="preserve"> ↑ 61 %</w:t>
            </w:r>
          </w:p>
          <w:p w:rsidR="00457C37" w:rsidRPr="00457C37" w:rsidRDefault="00457C37" w:rsidP="00457C37">
            <w:pPr>
              <w:autoSpaceDE w:val="0"/>
              <w:autoSpaceDN w:val="0"/>
              <w:adjustRightInd w:val="0"/>
              <w:rPr>
                <w:sz w:val="20"/>
                <w:lang w:val="en-US" w:eastAsia="fr-LU"/>
              </w:rPr>
            </w:pPr>
            <w:r w:rsidRPr="00457C37">
              <w:rPr>
                <w:sz w:val="20"/>
                <w:lang w:val="en-US" w:eastAsia="fr-LU"/>
              </w:rPr>
              <w:t>Norethisteron C</w:t>
            </w:r>
            <w:r w:rsidRPr="00457C37">
              <w:rPr>
                <w:sz w:val="20"/>
                <w:vertAlign w:val="subscript"/>
                <w:lang w:val="en-US" w:eastAsia="fr-LU"/>
              </w:rPr>
              <w:t>max</w:t>
            </w:r>
            <w:r w:rsidRPr="00457C37">
              <w:rPr>
                <w:sz w:val="20"/>
                <w:lang w:val="en-US" w:eastAsia="fr-LU"/>
              </w:rPr>
              <w:t xml:space="preserve"> ↑ 15 %</w:t>
            </w:r>
          </w:p>
          <w:p w:rsidR="00457C37" w:rsidRPr="00457C37" w:rsidRDefault="00457C37" w:rsidP="00457C37">
            <w:pPr>
              <w:autoSpaceDE w:val="0"/>
              <w:autoSpaceDN w:val="0"/>
              <w:adjustRightInd w:val="0"/>
              <w:rPr>
                <w:sz w:val="20"/>
                <w:lang w:val="en-US" w:eastAsia="fr-LU"/>
              </w:rPr>
            </w:pPr>
            <w:r w:rsidRPr="00457C37">
              <w:rPr>
                <w:sz w:val="20"/>
                <w:lang w:val="en-US" w:eastAsia="fr-LU"/>
              </w:rPr>
              <w:t>Norethisteron AUC</w:t>
            </w:r>
            <w:r w:rsidRPr="00457C37">
              <w:rPr>
                <w:sz w:val="20"/>
                <w:lang w:eastAsia="fr-LU"/>
              </w:rPr>
              <w:t>τ</w:t>
            </w:r>
            <w:r w:rsidRPr="00457C37">
              <w:rPr>
                <w:sz w:val="20"/>
                <w:lang w:val="en-US" w:eastAsia="fr-LU"/>
              </w:rPr>
              <w:t xml:space="preserve"> ↑ 53 %</w:t>
            </w:r>
          </w:p>
          <w:p w:rsidR="00457C37" w:rsidRPr="00457C37" w:rsidRDefault="00457C37" w:rsidP="00457C37">
            <w:pPr>
              <w:autoSpaceDE w:val="0"/>
              <w:autoSpaceDN w:val="0"/>
              <w:adjustRightInd w:val="0"/>
              <w:rPr>
                <w:sz w:val="20"/>
                <w:lang w:val="en-US" w:eastAsia="fr-LU"/>
              </w:rPr>
            </w:pPr>
            <w:r w:rsidRPr="00457C37">
              <w:rPr>
                <w:sz w:val="20"/>
                <w:lang w:val="en-US" w:eastAsia="fr-LU"/>
              </w:rPr>
              <w:t>Voriconazol C</w:t>
            </w:r>
            <w:r w:rsidRPr="00457C37">
              <w:rPr>
                <w:sz w:val="20"/>
                <w:vertAlign w:val="subscript"/>
                <w:lang w:val="en-US" w:eastAsia="fr-LU"/>
              </w:rPr>
              <w:t>max</w:t>
            </w:r>
            <w:r w:rsidRPr="00457C37">
              <w:rPr>
                <w:sz w:val="20"/>
                <w:lang w:val="en-US" w:eastAsia="fr-LU"/>
              </w:rPr>
              <w:t xml:space="preserve"> ↑ 14 %</w:t>
            </w:r>
          </w:p>
          <w:p w:rsidR="00457C37" w:rsidRPr="00457C37" w:rsidRDefault="00457C37" w:rsidP="00457C37">
            <w:pPr>
              <w:autoSpaceDE w:val="0"/>
              <w:autoSpaceDN w:val="0"/>
              <w:adjustRightInd w:val="0"/>
              <w:rPr>
                <w:sz w:val="20"/>
                <w:lang w:val="en-US" w:eastAsia="fr-LU"/>
              </w:rPr>
            </w:pPr>
            <w:r w:rsidRPr="00457C37">
              <w:rPr>
                <w:sz w:val="20"/>
                <w:lang w:val="en-US" w:eastAsia="fr-LU"/>
              </w:rPr>
              <w:t>Voriconazol AUC</w:t>
            </w:r>
            <w:r w:rsidRPr="00457C37">
              <w:rPr>
                <w:sz w:val="20"/>
                <w:lang w:eastAsia="fr-LU"/>
              </w:rPr>
              <w:t>τ</w:t>
            </w:r>
            <w:r w:rsidRPr="00457C37">
              <w:rPr>
                <w:sz w:val="20"/>
                <w:lang w:val="en-US" w:eastAsia="fr-LU"/>
              </w:rPr>
              <w:t xml:space="preserve"> ↑ 46 %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Monitorering af bivirkninger relateret til orale kontraceptiva ud over voriconazol-relaterede bivirkninger anbefales.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 xml:space="preserve">Korttidsvirkende opioider </w:t>
            </w:r>
          </w:p>
          <w:p w:rsidR="00457C37" w:rsidRPr="00457C37" w:rsidRDefault="00457C37" w:rsidP="00457C37">
            <w:pPr>
              <w:autoSpaceDE w:val="0"/>
              <w:autoSpaceDN w:val="0"/>
              <w:adjustRightInd w:val="0"/>
              <w:rPr>
                <w:i/>
                <w:iCs/>
                <w:sz w:val="20"/>
                <w:lang w:eastAsia="fr-LU"/>
              </w:rPr>
            </w:pPr>
            <w:r w:rsidRPr="00457C37">
              <w:rPr>
                <w:i/>
                <w:iCs/>
                <w:sz w:val="20"/>
                <w:lang w:eastAsia="fr-LU"/>
              </w:rPr>
              <w:t>[CYP3A4-substrater]</w:t>
            </w:r>
          </w:p>
          <w:p w:rsidR="00457C37" w:rsidRPr="00457C37" w:rsidRDefault="00457C37" w:rsidP="00457C37">
            <w:pPr>
              <w:autoSpaceDE w:val="0"/>
              <w:autoSpaceDN w:val="0"/>
              <w:adjustRightInd w:val="0"/>
              <w:rPr>
                <w:i/>
                <w:iCs/>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Alfentanil (20 μg/kg enkeltdosis, administreret samtidig med naloxon)</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Fentanyl (5 </w:t>
            </w:r>
            <w:r w:rsidRPr="00457C37">
              <w:rPr>
                <w:sz w:val="20"/>
                <w:lang w:eastAsia="fr-LU"/>
              </w:rPr>
              <w:sym w:font="Symbol" w:char="F06D"/>
            </w:r>
            <w:r w:rsidRPr="00457C37">
              <w:rPr>
                <w:sz w:val="20"/>
                <w:lang w:eastAsia="fr-LU"/>
              </w:rPr>
              <w:t>g/kg enkeltdosis)</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I et uafhængigt publiceret studie,</w:t>
            </w:r>
          </w:p>
          <w:p w:rsidR="00457C37" w:rsidRPr="00457C37" w:rsidRDefault="00457C37" w:rsidP="00457C37">
            <w:pPr>
              <w:autoSpaceDE w:val="0"/>
              <w:autoSpaceDN w:val="0"/>
              <w:adjustRightInd w:val="0"/>
              <w:rPr>
                <w:sz w:val="20"/>
                <w:lang w:eastAsia="fr-LU"/>
              </w:rPr>
            </w:pPr>
            <w:r w:rsidRPr="00457C37">
              <w:rPr>
                <w:sz w:val="20"/>
                <w:lang w:eastAsia="fr-LU"/>
              </w:rPr>
              <w:t>Alfentanil AUC</w:t>
            </w:r>
            <w:r w:rsidRPr="00457C37">
              <w:rPr>
                <w:sz w:val="20"/>
                <w:vertAlign w:val="subscript"/>
                <w:lang w:eastAsia="fr-LU"/>
              </w:rPr>
              <w:t>0-∞</w:t>
            </w:r>
            <w:r w:rsidRPr="00457C37">
              <w:rPr>
                <w:sz w:val="20"/>
                <w:lang w:eastAsia="fr-LU"/>
              </w:rPr>
              <w:t xml:space="preserve"> ↑ 6 gange</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I et uafhængigt publiceret studie,</w:t>
            </w:r>
          </w:p>
          <w:p w:rsidR="00457C37" w:rsidRPr="00457C37" w:rsidRDefault="00457C37" w:rsidP="00457C37">
            <w:pPr>
              <w:autoSpaceDE w:val="0"/>
              <w:autoSpaceDN w:val="0"/>
              <w:adjustRightInd w:val="0"/>
              <w:rPr>
                <w:sz w:val="20"/>
                <w:lang w:eastAsia="fr-LU"/>
              </w:rPr>
            </w:pPr>
            <w:r w:rsidRPr="00457C37">
              <w:rPr>
                <w:sz w:val="20"/>
                <w:lang w:eastAsia="fr-LU"/>
              </w:rPr>
              <w:t>Fentanyl AUC</w:t>
            </w:r>
            <w:r w:rsidRPr="00457C37">
              <w:rPr>
                <w:sz w:val="20"/>
                <w:vertAlign w:val="subscript"/>
                <w:lang w:eastAsia="fr-LU"/>
              </w:rPr>
              <w:t>0-∞</w:t>
            </w:r>
            <w:r w:rsidRPr="00457C37">
              <w:rPr>
                <w:sz w:val="20"/>
                <w:lang w:eastAsia="fr-LU"/>
              </w:rPr>
              <w:t xml:space="preserve"> ↑ 1,34 gange</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Det bør overvejes at reducere dosis af alfentanil, fentanyl samt andre korttidsvirkende opioider, hvis struktur ligner alfentanil og metaboliseres af CYP3A4 (f.eks. sufentanil).</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Udvidet og hyppig monitorering for vejrtrækningsdepression og andre opioid-relaterede bivirkninger anbefales.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en-US" w:eastAsia="fr-LU"/>
              </w:rPr>
            </w:pPr>
            <w:r w:rsidRPr="00457C37">
              <w:rPr>
                <w:sz w:val="20"/>
                <w:lang w:val="en-US" w:eastAsia="fr-LU"/>
              </w:rPr>
              <w:t>Statiner (f.eks. lovastatin)</w:t>
            </w:r>
          </w:p>
          <w:p w:rsidR="00457C37" w:rsidRPr="00457C37" w:rsidRDefault="00457C37" w:rsidP="00457C37">
            <w:pPr>
              <w:autoSpaceDE w:val="0"/>
              <w:autoSpaceDN w:val="0"/>
              <w:adjustRightInd w:val="0"/>
              <w:rPr>
                <w:sz w:val="20"/>
                <w:lang w:val="en-US" w:eastAsia="fr-LU"/>
              </w:rPr>
            </w:pPr>
            <w:r w:rsidRPr="00457C37">
              <w:rPr>
                <w:i/>
                <w:iCs/>
                <w:sz w:val="20"/>
                <w:lang w:val="en-US" w:eastAsia="fr-LU"/>
              </w:rPr>
              <w:t>[CYP3A4-substrater]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 xml:space="preserve">Selvom det ikke er undersøgt, er det sandsynligt, at voriconazol kan forøge statiners plasmakoncentrationer, der </w:t>
            </w:r>
            <w:r w:rsidRPr="00457C37">
              <w:rPr>
                <w:sz w:val="20"/>
                <w:lang w:eastAsia="fr-LU"/>
              </w:rPr>
              <w:lastRenderedPageBreak/>
              <w:t>metaboliseres af CYP3A4, og kan medføre rabdomyolyse.</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lastRenderedPageBreak/>
              <w:t>Hvis samtidig administration af voriconazol og statiner, der metaboliseres af CYP3A4, ikke kan undgås, bør det overvejes at reducere statindosis.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Sulfonylurinstoffer (f.eks. tolbutamid, glipizid og glyburid)</w:t>
            </w:r>
          </w:p>
          <w:p w:rsidR="00457C37" w:rsidRPr="00457C37" w:rsidRDefault="00457C37" w:rsidP="00457C37">
            <w:pPr>
              <w:autoSpaceDE w:val="0"/>
              <w:autoSpaceDN w:val="0"/>
              <w:adjustRightInd w:val="0"/>
              <w:rPr>
                <w:sz w:val="20"/>
                <w:lang w:eastAsia="fr-LU"/>
              </w:rPr>
            </w:pPr>
            <w:r w:rsidRPr="00457C37">
              <w:rPr>
                <w:i/>
                <w:iCs/>
                <w:sz w:val="20"/>
                <w:lang w:eastAsia="fr-LU"/>
              </w:rPr>
              <w:t>[CYP2C9-substrater]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er det sandsynligt, at voriconazol kan forøge sulfonylurinstoffers plasmakoncen</w:t>
            </w:r>
            <w:r w:rsidRPr="00457C37">
              <w:rPr>
                <w:sz w:val="20"/>
                <w:lang w:eastAsia="fr-LU"/>
              </w:rPr>
              <w:softHyphen/>
              <w:t>trationer og forårsage hypoglykæmi.</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Omhyggelig monitorering af blodglucose anbefales. Dosisreduktion af sulfonylurinstoffer bør overvejes.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Vinkaalkaloider (f.eks. vincristin og vinblastin)</w:t>
            </w:r>
          </w:p>
          <w:p w:rsidR="00457C37" w:rsidRPr="00457C37" w:rsidRDefault="00457C37" w:rsidP="00457C37">
            <w:pPr>
              <w:autoSpaceDE w:val="0"/>
              <w:autoSpaceDN w:val="0"/>
              <w:adjustRightInd w:val="0"/>
              <w:rPr>
                <w:sz w:val="20"/>
                <w:lang w:eastAsia="fr-LU"/>
              </w:rPr>
            </w:pPr>
            <w:r w:rsidRPr="00457C37">
              <w:rPr>
                <w:i/>
                <w:iCs/>
                <w:sz w:val="20"/>
                <w:lang w:eastAsia="fr-LU"/>
              </w:rPr>
              <w:t>[CYP3A4-substrater]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er det sandsynligt, at voriconazol kan forøge vinkaalkaloiders plasma-koncen</w:t>
            </w:r>
            <w:r w:rsidRPr="00457C37">
              <w:rPr>
                <w:sz w:val="20"/>
                <w:lang w:eastAsia="fr-LU"/>
              </w:rPr>
              <w:softHyphen/>
              <w:t>trationer og forårsage neurotoksicitet.</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Dosisreduktion af vinkaalkaloider bør overvejes.</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Andre hiv-proteasehæmmere (f.eks. saquinavir, amprenavir og nelfinavir)*</w:t>
            </w:r>
          </w:p>
          <w:p w:rsidR="00457C37" w:rsidRPr="00457C37" w:rsidRDefault="00457C37" w:rsidP="00457C37">
            <w:pPr>
              <w:autoSpaceDE w:val="0"/>
              <w:autoSpaceDN w:val="0"/>
              <w:adjustRightInd w:val="0"/>
              <w:rPr>
                <w:sz w:val="20"/>
                <w:lang w:eastAsia="fr-LU"/>
              </w:rPr>
            </w:pPr>
            <w:r w:rsidRPr="00457C37">
              <w:rPr>
                <w:i/>
                <w:iCs/>
                <w:sz w:val="20"/>
                <w:lang w:eastAsia="fr-LU"/>
              </w:rPr>
              <w:t>[CYP3A4-substrater og -hæmmere]</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 xml:space="preserve">Ikke undersøgt klinisk. Studier </w:t>
            </w:r>
            <w:r w:rsidRPr="00457C37">
              <w:rPr>
                <w:i/>
                <w:iCs/>
                <w:sz w:val="20"/>
                <w:lang w:eastAsia="fr-LU"/>
              </w:rPr>
              <w:t>in vitro</w:t>
            </w:r>
            <w:r w:rsidRPr="00457C37">
              <w:rPr>
                <w:sz w:val="20"/>
                <w:lang w:eastAsia="fr-LU"/>
              </w:rPr>
              <w:t xml:space="preserve"> viser, at voriconazol kan hæmme metaboliseringen af hiv-proteasehæmmere, og metaboliseringen af voriconazol kan også blive hæmmet af hiv-proteasehæmmere.</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Omhyggelig monitorering for tilfælde af lægemiddeltoksicitet og/eller mangel på virkning, og dosisjustering kan blive nødvendig.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Andre non-nukleosid revers transkriptasehæmmere (NNRTI) (f.eks. delavirdin, nevirapin)*</w:t>
            </w:r>
          </w:p>
          <w:p w:rsidR="00457C37" w:rsidRPr="00457C37" w:rsidRDefault="00457C37" w:rsidP="00457C37">
            <w:pPr>
              <w:autoSpaceDE w:val="0"/>
              <w:autoSpaceDN w:val="0"/>
              <w:adjustRightInd w:val="0"/>
              <w:rPr>
                <w:i/>
                <w:iCs/>
                <w:sz w:val="20"/>
                <w:lang w:eastAsia="fr-LU"/>
              </w:rPr>
            </w:pPr>
            <w:r w:rsidRPr="00457C37">
              <w:rPr>
                <w:i/>
                <w:iCs/>
                <w:sz w:val="20"/>
                <w:lang w:eastAsia="fr-LU"/>
              </w:rPr>
              <w:t>[CYP3A4-substrater, -hæmmere</w:t>
            </w:r>
          </w:p>
          <w:p w:rsidR="00457C37" w:rsidRPr="00457C37" w:rsidRDefault="00457C37" w:rsidP="00457C37">
            <w:pPr>
              <w:autoSpaceDE w:val="0"/>
              <w:autoSpaceDN w:val="0"/>
              <w:adjustRightInd w:val="0"/>
              <w:rPr>
                <w:sz w:val="20"/>
                <w:lang w:eastAsia="fr-LU"/>
              </w:rPr>
            </w:pPr>
            <w:r w:rsidRPr="00457C37">
              <w:rPr>
                <w:i/>
                <w:iCs/>
                <w:sz w:val="20"/>
                <w:lang w:eastAsia="fr-LU"/>
              </w:rPr>
              <w:t>eller CYP450-induktorer]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 xml:space="preserve">Ikke undersøgt klinisk. Studier </w:t>
            </w:r>
            <w:r w:rsidRPr="00457C37">
              <w:rPr>
                <w:i/>
                <w:iCs/>
                <w:sz w:val="20"/>
                <w:lang w:eastAsia="fr-LU"/>
              </w:rPr>
              <w:t>in vitro</w:t>
            </w:r>
            <w:r w:rsidRPr="00457C37">
              <w:rPr>
                <w:sz w:val="20"/>
                <w:lang w:eastAsia="fr-LU"/>
              </w:rPr>
              <w:t xml:space="preserve"> viser, at voriconazols metabolisering kan blive hæmmet af NNRTI, og voriconazol kan hæmme metaboliseringen af NNRTI.</w:t>
            </w:r>
          </w:p>
          <w:p w:rsidR="00457C37" w:rsidRPr="00457C37" w:rsidRDefault="00457C37" w:rsidP="00457C37">
            <w:pPr>
              <w:autoSpaceDE w:val="0"/>
              <w:autoSpaceDN w:val="0"/>
              <w:adjustRightInd w:val="0"/>
              <w:rPr>
                <w:sz w:val="20"/>
                <w:lang w:eastAsia="fr-LU"/>
              </w:rPr>
            </w:pPr>
            <w:r w:rsidRPr="00457C37">
              <w:rPr>
                <w:sz w:val="20"/>
                <w:lang w:eastAsia="fr-LU"/>
              </w:rPr>
              <w:t>Resultaterne fra efavirenz’ virkning på voriconazol tyder på at metaboliseringen af voriconazol kan blive induceret af NNRTI.</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Omhyggelig monitorering for tilfælde af lægemiddeltoksicitet og/eller mangel på virkning, og dosisjustering kan blive nødvendig.</w:t>
            </w:r>
          </w:p>
        </w:tc>
      </w:tr>
      <w:tr w:rsidR="00457C37" w:rsidRPr="00457C37" w:rsidTr="00457C37">
        <w:trPr>
          <w:gridAfter w:val="1"/>
          <w:wAfter w:w="8" w:type="dxa"/>
        </w:trPr>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rPr>
                <w:sz w:val="20"/>
                <w:lang w:eastAsia="fr-LU"/>
              </w:rPr>
            </w:pPr>
            <w:r w:rsidRPr="00457C37">
              <w:rPr>
                <w:sz w:val="20"/>
                <w:lang w:eastAsia="fr-LU"/>
              </w:rPr>
              <w:t>Tretinoin</w:t>
            </w:r>
          </w:p>
          <w:p w:rsidR="00457C37" w:rsidRPr="00457C37" w:rsidRDefault="00457C37" w:rsidP="00457C37">
            <w:pPr>
              <w:autoSpaceDE w:val="0"/>
              <w:autoSpaceDN w:val="0"/>
              <w:adjustRightInd w:val="0"/>
              <w:rPr>
                <w:sz w:val="20"/>
                <w:lang w:eastAsia="fr-LU"/>
              </w:rPr>
            </w:pPr>
            <w:r w:rsidRPr="00457C37">
              <w:rPr>
                <w:i/>
                <w:iCs/>
                <w:sz w:val="20"/>
                <w:lang w:eastAsia="fr-LU"/>
              </w:rPr>
              <w:t>[CYP3A4-substrat]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Selvom det ikke er undersøgt, kan voriconazol øge koncentrationerne af tretinoin og dermed risikoen for bivirkninger (pseudotumor cerebri, hypercalcæmi).</w:t>
            </w:r>
          </w:p>
        </w:tc>
        <w:tc>
          <w:tcPr>
            <w:tcW w:w="3009"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Det anbefales at justere dosis af tretinoin under behandling med voriconazol og efter seponeringen.</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Cimetidin (400 mg BID)</w:t>
            </w:r>
          </w:p>
          <w:p w:rsidR="00457C37" w:rsidRPr="00457C37" w:rsidRDefault="00457C37" w:rsidP="00457C37">
            <w:pPr>
              <w:autoSpaceDE w:val="0"/>
              <w:autoSpaceDN w:val="0"/>
              <w:adjustRightInd w:val="0"/>
              <w:rPr>
                <w:sz w:val="20"/>
                <w:lang w:eastAsia="fr-LU"/>
              </w:rPr>
            </w:pPr>
            <w:r w:rsidRPr="00457C37">
              <w:rPr>
                <w:i/>
                <w:iCs/>
                <w:sz w:val="20"/>
                <w:lang w:eastAsia="fr-LU"/>
              </w:rPr>
              <w:t>[non-specifik CYP450-hæmmer og øger gastrisk pH]</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 18 %</w:t>
            </w:r>
          </w:p>
          <w:p w:rsidR="00457C37" w:rsidRPr="00457C37" w:rsidRDefault="00457C37" w:rsidP="00457C37">
            <w:pPr>
              <w:autoSpaceDE w:val="0"/>
              <w:autoSpaceDN w:val="0"/>
              <w:adjustRightInd w:val="0"/>
              <w:rPr>
                <w:sz w:val="20"/>
                <w:lang w:eastAsia="fr-LU"/>
              </w:rPr>
            </w:pPr>
            <w:r w:rsidRPr="00457C37">
              <w:rPr>
                <w:sz w:val="20"/>
                <w:lang w:eastAsia="fr-LU"/>
              </w:rPr>
              <w:t>Voriconazol AUCτ ↑ 23 %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Ingen dosisjustering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en-US" w:eastAsia="fr-LU"/>
              </w:rPr>
            </w:pPr>
            <w:r w:rsidRPr="00457C37">
              <w:rPr>
                <w:sz w:val="20"/>
                <w:lang w:val="en-US" w:eastAsia="fr-LU"/>
              </w:rPr>
              <w:t>Digoxin (0,25 mg QD)</w:t>
            </w:r>
          </w:p>
          <w:p w:rsidR="00457C37" w:rsidRPr="00457C37" w:rsidRDefault="00457C37" w:rsidP="00457C37">
            <w:pPr>
              <w:autoSpaceDE w:val="0"/>
              <w:autoSpaceDN w:val="0"/>
              <w:adjustRightInd w:val="0"/>
              <w:rPr>
                <w:sz w:val="20"/>
                <w:lang w:val="en-US" w:eastAsia="fr-LU"/>
              </w:rPr>
            </w:pPr>
            <w:r w:rsidRPr="00457C37">
              <w:rPr>
                <w:i/>
                <w:iCs/>
                <w:sz w:val="20"/>
                <w:lang w:val="en-US" w:eastAsia="fr-LU"/>
              </w:rPr>
              <w:t>[P-gp-substrat]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Digoxin C</w:t>
            </w:r>
            <w:r w:rsidRPr="00457C37">
              <w:rPr>
                <w:sz w:val="20"/>
                <w:vertAlign w:val="subscript"/>
                <w:lang w:eastAsia="fr-LU"/>
              </w:rPr>
              <w:t>max</w:t>
            </w:r>
            <w:r w:rsidRPr="00457C37">
              <w:rPr>
                <w:sz w:val="20"/>
                <w:lang w:eastAsia="fr-LU"/>
              </w:rPr>
              <w:t xml:space="preserve"> ↔</w:t>
            </w:r>
          </w:p>
          <w:p w:rsidR="00457C37" w:rsidRPr="00457C37" w:rsidRDefault="00457C37" w:rsidP="00457C37">
            <w:pPr>
              <w:autoSpaceDE w:val="0"/>
              <w:autoSpaceDN w:val="0"/>
              <w:adjustRightInd w:val="0"/>
              <w:rPr>
                <w:sz w:val="20"/>
                <w:lang w:eastAsia="fr-LU"/>
              </w:rPr>
            </w:pPr>
            <w:r w:rsidRPr="00457C37">
              <w:rPr>
                <w:sz w:val="20"/>
                <w:lang w:eastAsia="fr-LU"/>
              </w:rPr>
              <w:t>Digoxin AUC</w:t>
            </w:r>
            <w:r w:rsidRPr="00457C37">
              <w:rPr>
                <w:sz w:val="20"/>
                <w:vertAlign w:val="subscript"/>
                <w:lang w:eastAsia="fr-LU"/>
              </w:rPr>
              <w:t>t</w:t>
            </w:r>
            <w:r w:rsidRPr="00457C37">
              <w:rPr>
                <w:sz w:val="20"/>
                <w:lang w:eastAsia="fr-LU"/>
              </w:rPr>
              <w:t xml:space="preserve">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Ingen dosisjustering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Indinavir (800 mg TID)</w:t>
            </w:r>
          </w:p>
          <w:p w:rsidR="00457C37" w:rsidRPr="00457C37" w:rsidRDefault="00457C37" w:rsidP="00457C37">
            <w:pPr>
              <w:autoSpaceDE w:val="0"/>
              <w:autoSpaceDN w:val="0"/>
              <w:adjustRightInd w:val="0"/>
              <w:rPr>
                <w:i/>
                <w:iCs/>
                <w:sz w:val="20"/>
                <w:lang w:eastAsia="fr-LU"/>
              </w:rPr>
            </w:pPr>
            <w:r w:rsidRPr="00457C37">
              <w:rPr>
                <w:i/>
                <w:iCs/>
                <w:sz w:val="20"/>
                <w:lang w:eastAsia="fr-LU"/>
              </w:rPr>
              <w:t>[CYP3A4-hæmmer og</w:t>
            </w:r>
          </w:p>
          <w:p w:rsidR="00457C37" w:rsidRPr="00457C37" w:rsidRDefault="00457C37" w:rsidP="00457C37">
            <w:pPr>
              <w:autoSpaceDE w:val="0"/>
              <w:autoSpaceDN w:val="0"/>
              <w:adjustRightInd w:val="0"/>
              <w:rPr>
                <w:sz w:val="20"/>
                <w:lang w:eastAsia="fr-LU"/>
              </w:rPr>
            </w:pPr>
            <w:r w:rsidRPr="00457C37">
              <w:rPr>
                <w:i/>
                <w:iCs/>
                <w:sz w:val="20"/>
                <w:lang w:eastAsia="fr-LU"/>
              </w:rPr>
              <w:t>-substrat]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val="en-US" w:eastAsia="fr-LU"/>
              </w:rPr>
            </w:pPr>
            <w:r w:rsidRPr="00457C37">
              <w:rPr>
                <w:sz w:val="20"/>
                <w:lang w:val="en-US" w:eastAsia="fr-LU"/>
              </w:rPr>
              <w:t>Indinavir C</w:t>
            </w:r>
            <w:r w:rsidRPr="00457C37">
              <w:rPr>
                <w:sz w:val="20"/>
                <w:vertAlign w:val="subscript"/>
                <w:lang w:val="en-US" w:eastAsia="fr-LU"/>
              </w:rPr>
              <w:t>max</w:t>
            </w:r>
            <w:r w:rsidRPr="00457C37">
              <w:rPr>
                <w:sz w:val="20"/>
                <w:lang w:val="en-US" w:eastAsia="fr-LU"/>
              </w:rPr>
              <w:t xml:space="preserve"> ↔</w:t>
            </w:r>
          </w:p>
          <w:p w:rsidR="00457C37" w:rsidRPr="00457C37" w:rsidRDefault="00457C37" w:rsidP="00457C37">
            <w:pPr>
              <w:autoSpaceDE w:val="0"/>
              <w:autoSpaceDN w:val="0"/>
              <w:adjustRightInd w:val="0"/>
              <w:rPr>
                <w:sz w:val="20"/>
                <w:lang w:val="en-US" w:eastAsia="fr-LU"/>
              </w:rPr>
            </w:pPr>
            <w:r w:rsidRPr="00457C37">
              <w:rPr>
                <w:sz w:val="20"/>
                <w:lang w:val="en-US" w:eastAsia="fr-LU"/>
              </w:rPr>
              <w:t>Indinavir AUC</w:t>
            </w:r>
            <w:r w:rsidRPr="00457C37">
              <w:rPr>
                <w:sz w:val="20"/>
                <w:lang w:eastAsia="fr-LU"/>
              </w:rPr>
              <w:t>τ</w:t>
            </w:r>
            <w:r w:rsidRPr="00457C37">
              <w:rPr>
                <w:sz w:val="20"/>
                <w:lang w:val="en-US" w:eastAsia="fr-LU"/>
              </w:rPr>
              <w:t xml:space="preserve"> ↔</w:t>
            </w:r>
          </w:p>
          <w:p w:rsidR="00457C37" w:rsidRPr="00457C37" w:rsidRDefault="00457C37" w:rsidP="00457C37">
            <w:pPr>
              <w:autoSpaceDE w:val="0"/>
              <w:autoSpaceDN w:val="0"/>
              <w:adjustRightInd w:val="0"/>
              <w:rPr>
                <w:sz w:val="20"/>
                <w:lang w:val="en-US" w:eastAsia="fr-LU"/>
              </w:rPr>
            </w:pPr>
            <w:r w:rsidRPr="00457C37">
              <w:rPr>
                <w:sz w:val="20"/>
                <w:lang w:val="en-US" w:eastAsia="fr-LU"/>
              </w:rPr>
              <w:t>Voriconazol C</w:t>
            </w:r>
            <w:r w:rsidRPr="00457C37">
              <w:rPr>
                <w:sz w:val="20"/>
                <w:vertAlign w:val="subscript"/>
                <w:lang w:val="en-US" w:eastAsia="fr-LU"/>
              </w:rPr>
              <w:t>max</w:t>
            </w:r>
            <w:r w:rsidRPr="00457C37">
              <w:rPr>
                <w:sz w:val="20"/>
                <w:lang w:val="en-US" w:eastAsia="fr-LU"/>
              </w:rPr>
              <w:t xml:space="preserve"> ↔</w:t>
            </w:r>
          </w:p>
          <w:p w:rsidR="00457C37" w:rsidRPr="00457C37" w:rsidRDefault="00457C37" w:rsidP="00457C37">
            <w:pPr>
              <w:autoSpaceDE w:val="0"/>
              <w:autoSpaceDN w:val="0"/>
              <w:adjustRightInd w:val="0"/>
              <w:rPr>
                <w:sz w:val="20"/>
                <w:lang w:eastAsia="fr-LU"/>
              </w:rPr>
            </w:pPr>
            <w:r w:rsidRPr="00457C37">
              <w:rPr>
                <w:sz w:val="20"/>
                <w:lang w:eastAsia="fr-LU"/>
              </w:rPr>
              <w:t>Voriconazol AUCτ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Ingen dosisjustering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val="en-US" w:eastAsia="fr-LU"/>
              </w:rPr>
            </w:pPr>
            <w:r w:rsidRPr="00457C37">
              <w:rPr>
                <w:sz w:val="20"/>
                <w:lang w:val="en-US" w:eastAsia="fr-LU"/>
              </w:rPr>
              <w:t>Macrolidantibiotika</w:t>
            </w:r>
          </w:p>
          <w:p w:rsidR="00457C37" w:rsidRPr="00457C37" w:rsidRDefault="00457C37" w:rsidP="00457C37">
            <w:pPr>
              <w:autoSpaceDE w:val="0"/>
              <w:autoSpaceDN w:val="0"/>
              <w:adjustRightInd w:val="0"/>
              <w:rPr>
                <w:sz w:val="20"/>
                <w:lang w:val="en-US" w:eastAsia="fr-LU"/>
              </w:rPr>
            </w:pPr>
          </w:p>
          <w:p w:rsidR="00457C37" w:rsidRPr="00457C37" w:rsidRDefault="00457C37" w:rsidP="00457C37">
            <w:pPr>
              <w:autoSpaceDE w:val="0"/>
              <w:autoSpaceDN w:val="0"/>
              <w:adjustRightInd w:val="0"/>
              <w:rPr>
                <w:sz w:val="20"/>
                <w:lang w:val="en-US" w:eastAsia="fr-LU"/>
              </w:rPr>
            </w:pPr>
            <w:r w:rsidRPr="00457C37">
              <w:rPr>
                <w:sz w:val="20"/>
                <w:lang w:val="en-US" w:eastAsia="fr-LU"/>
              </w:rPr>
              <w:t>Erythromycin (1 g BID)</w:t>
            </w:r>
          </w:p>
          <w:p w:rsidR="00457C37" w:rsidRPr="00457C37" w:rsidRDefault="00457C37" w:rsidP="00457C37">
            <w:pPr>
              <w:autoSpaceDE w:val="0"/>
              <w:autoSpaceDN w:val="0"/>
              <w:adjustRightInd w:val="0"/>
              <w:rPr>
                <w:i/>
                <w:iCs/>
                <w:sz w:val="20"/>
                <w:lang w:val="en-US" w:eastAsia="fr-LU"/>
              </w:rPr>
            </w:pPr>
            <w:r w:rsidRPr="00457C37">
              <w:rPr>
                <w:i/>
                <w:iCs/>
                <w:sz w:val="20"/>
                <w:lang w:val="en-US" w:eastAsia="fr-LU"/>
              </w:rPr>
              <w:t>[CYP3A4-hæmmer]</w:t>
            </w:r>
          </w:p>
          <w:p w:rsidR="00457C37" w:rsidRPr="00457C37" w:rsidRDefault="00457C37" w:rsidP="00457C37">
            <w:pPr>
              <w:autoSpaceDE w:val="0"/>
              <w:autoSpaceDN w:val="0"/>
              <w:adjustRightInd w:val="0"/>
              <w:rPr>
                <w:i/>
                <w:iCs/>
                <w:sz w:val="20"/>
                <w:lang w:val="en-US" w:eastAsia="fr-LU"/>
              </w:rPr>
            </w:pPr>
          </w:p>
          <w:p w:rsidR="00457C37" w:rsidRPr="00457C37" w:rsidRDefault="00457C37" w:rsidP="00457C37">
            <w:pPr>
              <w:autoSpaceDE w:val="0"/>
              <w:autoSpaceDN w:val="0"/>
              <w:adjustRightInd w:val="0"/>
              <w:rPr>
                <w:sz w:val="20"/>
                <w:lang w:eastAsia="fr-LU"/>
              </w:rPr>
            </w:pPr>
            <w:r w:rsidRPr="00457C37">
              <w:rPr>
                <w:sz w:val="20"/>
                <w:lang w:eastAsia="fr-LU"/>
              </w:rPr>
              <w:t>Azithromycin (500 mg QD)</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 xml:space="preserve">max </w:t>
            </w:r>
            <w:r w:rsidRPr="00457C37">
              <w:rPr>
                <w:sz w:val="20"/>
                <w:lang w:eastAsia="fr-LU"/>
              </w:rPr>
              <w:t>og AUCτ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og AUCτ ↔</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Voriconazols virkning på både erythromycin og azithromycin er ukendt.</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Ingen dosisjustering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Mycophenolsyre (1 g enkeltdosis)</w:t>
            </w:r>
          </w:p>
          <w:p w:rsidR="00457C37" w:rsidRPr="00457C37" w:rsidRDefault="00457C37" w:rsidP="00457C37">
            <w:pPr>
              <w:autoSpaceDE w:val="0"/>
              <w:autoSpaceDN w:val="0"/>
              <w:adjustRightInd w:val="0"/>
              <w:rPr>
                <w:i/>
                <w:iCs/>
                <w:sz w:val="20"/>
                <w:lang w:eastAsia="fr-LU"/>
              </w:rPr>
            </w:pPr>
            <w:r w:rsidRPr="00457C37">
              <w:rPr>
                <w:i/>
                <w:iCs/>
                <w:sz w:val="20"/>
                <w:lang w:eastAsia="fr-LU"/>
              </w:rPr>
              <w:t>[UDP-glucuronyltransferase-substrat]</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Mycophenolsyre C</w:t>
            </w:r>
            <w:r w:rsidRPr="00457C37">
              <w:rPr>
                <w:sz w:val="20"/>
                <w:vertAlign w:val="subscript"/>
                <w:lang w:eastAsia="fr-LU"/>
              </w:rPr>
              <w:t>max</w:t>
            </w:r>
            <w:r w:rsidRPr="00457C37">
              <w:rPr>
                <w:sz w:val="20"/>
                <w:lang w:eastAsia="fr-LU"/>
              </w:rPr>
              <w:t xml:space="preserve"> ↔</w:t>
            </w:r>
          </w:p>
          <w:p w:rsidR="00457C37" w:rsidRPr="00457C37" w:rsidRDefault="00457C37" w:rsidP="00457C37">
            <w:pPr>
              <w:autoSpaceDE w:val="0"/>
              <w:autoSpaceDN w:val="0"/>
              <w:adjustRightInd w:val="0"/>
              <w:rPr>
                <w:sz w:val="20"/>
                <w:lang w:eastAsia="fr-LU"/>
              </w:rPr>
            </w:pPr>
            <w:r w:rsidRPr="00457C37">
              <w:rPr>
                <w:sz w:val="20"/>
                <w:lang w:eastAsia="fr-LU"/>
              </w:rPr>
              <w:t>Mycophenolsyre AUC</w:t>
            </w:r>
            <w:r w:rsidRPr="00457C37">
              <w:rPr>
                <w:sz w:val="20"/>
                <w:vertAlign w:val="subscript"/>
                <w:lang w:eastAsia="fr-LU"/>
              </w:rPr>
              <w:t>t</w:t>
            </w:r>
            <w:r w:rsidRPr="00457C37">
              <w:rPr>
                <w:sz w:val="20"/>
                <w:lang w:eastAsia="fr-LU"/>
              </w:rPr>
              <w:t xml:space="preserve">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Ingen dosisjustering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r w:rsidRPr="00457C37">
              <w:rPr>
                <w:sz w:val="20"/>
                <w:lang w:eastAsia="fr-LU"/>
              </w:rPr>
              <w:t>Kortikosteroider</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Prednisolon (60 mg enkeltdosis)</w:t>
            </w:r>
          </w:p>
          <w:p w:rsidR="00457C37" w:rsidRPr="00457C37" w:rsidRDefault="00457C37" w:rsidP="00457C37">
            <w:pPr>
              <w:autoSpaceDE w:val="0"/>
              <w:autoSpaceDN w:val="0"/>
              <w:adjustRightInd w:val="0"/>
              <w:rPr>
                <w:i/>
                <w:iCs/>
                <w:sz w:val="20"/>
                <w:lang w:eastAsia="fr-LU"/>
              </w:rPr>
            </w:pPr>
            <w:r w:rsidRPr="00457C37">
              <w:rPr>
                <w:i/>
                <w:iCs/>
                <w:sz w:val="20"/>
                <w:lang w:eastAsia="fr-LU"/>
              </w:rPr>
              <w:lastRenderedPageBreak/>
              <w:t>[CYP3A4-substrat]</w:t>
            </w:r>
          </w:p>
        </w:tc>
        <w:tc>
          <w:tcPr>
            <w:tcW w:w="3262" w:type="dxa"/>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Prednisolon C</w:t>
            </w:r>
            <w:r w:rsidRPr="00457C37">
              <w:rPr>
                <w:sz w:val="20"/>
                <w:vertAlign w:val="subscript"/>
                <w:lang w:eastAsia="fr-LU"/>
              </w:rPr>
              <w:t>max</w:t>
            </w:r>
            <w:r w:rsidRPr="00457C37">
              <w:rPr>
                <w:sz w:val="20"/>
                <w:lang w:eastAsia="fr-LU"/>
              </w:rPr>
              <w:t xml:space="preserve"> ↑ 11 %</w:t>
            </w:r>
          </w:p>
          <w:p w:rsidR="00457C37" w:rsidRPr="00457C37" w:rsidRDefault="00457C37" w:rsidP="00457C37">
            <w:pPr>
              <w:autoSpaceDE w:val="0"/>
              <w:autoSpaceDN w:val="0"/>
              <w:adjustRightInd w:val="0"/>
              <w:rPr>
                <w:sz w:val="20"/>
                <w:lang w:eastAsia="fr-LU"/>
              </w:rPr>
            </w:pPr>
            <w:r w:rsidRPr="00457C37">
              <w:rPr>
                <w:sz w:val="20"/>
                <w:lang w:eastAsia="fr-LU"/>
              </w:rPr>
              <w:lastRenderedPageBreak/>
              <w:t>Prednisolon AUC</w:t>
            </w:r>
            <w:r w:rsidRPr="00457C37">
              <w:rPr>
                <w:sz w:val="20"/>
                <w:vertAlign w:val="subscript"/>
                <w:lang w:eastAsia="fr-LU"/>
              </w:rPr>
              <w:t>0-∞</w:t>
            </w:r>
            <w:r w:rsidRPr="00457C37">
              <w:rPr>
                <w:sz w:val="20"/>
                <w:lang w:eastAsia="fr-LU"/>
              </w:rPr>
              <w:t xml:space="preserve"> ↑ 34 %</w:t>
            </w:r>
          </w:p>
        </w:tc>
        <w:tc>
          <w:tcPr>
            <w:tcW w:w="3017" w:type="dxa"/>
            <w:gridSpan w:val="2"/>
            <w:tcBorders>
              <w:top w:val="single" w:sz="4" w:space="0" w:color="auto"/>
              <w:left w:val="single" w:sz="4" w:space="0" w:color="auto"/>
              <w:bottom w:val="single" w:sz="4" w:space="0" w:color="auto"/>
              <w:right w:val="single" w:sz="4" w:space="0" w:color="auto"/>
            </w:tcBorders>
          </w:tcPr>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Ingen dosisjustering</w:t>
            </w:r>
          </w:p>
          <w:p w:rsidR="00457C37" w:rsidRPr="00457C37" w:rsidRDefault="00457C37" w:rsidP="00457C37">
            <w:pPr>
              <w:autoSpaceDE w:val="0"/>
              <w:autoSpaceDN w:val="0"/>
              <w:adjustRightInd w:val="0"/>
              <w:rPr>
                <w:sz w:val="20"/>
                <w:lang w:eastAsia="fr-LU"/>
              </w:rPr>
            </w:pPr>
          </w:p>
          <w:p w:rsidR="00457C37" w:rsidRPr="00457C37" w:rsidRDefault="00457C37" w:rsidP="00457C37">
            <w:pPr>
              <w:autoSpaceDE w:val="0"/>
              <w:autoSpaceDN w:val="0"/>
              <w:adjustRightInd w:val="0"/>
              <w:rPr>
                <w:sz w:val="20"/>
                <w:lang w:eastAsia="fr-LU"/>
              </w:rPr>
            </w:pPr>
            <w:r w:rsidRPr="00457C37">
              <w:rPr>
                <w:sz w:val="20"/>
                <w:lang w:eastAsia="fr-LU"/>
              </w:rPr>
              <w:t>Patienter, der er i langtidsbehandling med voriconazol og kortikosteroider (inklusive inhalerede kortikosteroider, f.eks. budesonid og intranasale kortikosteroider), skal omhyggeligt monitoreres for binyrebarkdysfunktion, både under behandlingen, og når voriconazol seponeres (se pkt. 4.4).</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lastRenderedPageBreak/>
              <w:t>Ranitidin (150 mg BID)</w:t>
            </w:r>
          </w:p>
          <w:p w:rsidR="00457C37" w:rsidRPr="00457C37" w:rsidRDefault="00457C37" w:rsidP="00457C37">
            <w:pPr>
              <w:autoSpaceDE w:val="0"/>
              <w:autoSpaceDN w:val="0"/>
              <w:adjustRightInd w:val="0"/>
              <w:rPr>
                <w:i/>
                <w:iCs/>
                <w:sz w:val="20"/>
                <w:lang w:eastAsia="fr-LU"/>
              </w:rPr>
            </w:pPr>
            <w:r w:rsidRPr="00457C37">
              <w:rPr>
                <w:i/>
                <w:iCs/>
                <w:sz w:val="20"/>
                <w:lang w:eastAsia="fr-LU"/>
              </w:rPr>
              <w:t>[øger gastrisk pH]</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Voriconazol C</w:t>
            </w:r>
            <w:r w:rsidRPr="00457C37">
              <w:rPr>
                <w:sz w:val="20"/>
                <w:vertAlign w:val="subscript"/>
                <w:lang w:eastAsia="fr-LU"/>
              </w:rPr>
              <w:t>max</w:t>
            </w:r>
            <w:r w:rsidRPr="00457C37">
              <w:rPr>
                <w:sz w:val="20"/>
                <w:lang w:eastAsia="fr-LU"/>
              </w:rPr>
              <w:t xml:space="preserve"> og AUC</w:t>
            </w:r>
            <w:r w:rsidRPr="00457C37">
              <w:rPr>
                <w:sz w:val="20"/>
                <w:vertAlign w:val="subscript"/>
                <w:lang w:eastAsia="fr-LU"/>
              </w:rPr>
              <w:t>τ</w:t>
            </w:r>
            <w:r w:rsidRPr="00457C37">
              <w:rPr>
                <w:sz w:val="20"/>
                <w:lang w:eastAsia="fr-LU"/>
              </w:rPr>
              <w:t xml:space="preserve"> ↔</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Ingen dosisjustering</w:t>
            </w:r>
          </w:p>
        </w:tc>
      </w:tr>
      <w:tr w:rsidR="00457C37" w:rsidRPr="00457C37" w:rsidTr="00457C37">
        <w:tc>
          <w:tcPr>
            <w:tcW w:w="3080"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Flucloxacillin [CYP450-induktor]</w:t>
            </w:r>
          </w:p>
        </w:tc>
        <w:tc>
          <w:tcPr>
            <w:tcW w:w="3262" w:type="dxa"/>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Der er rapporteret signifikant reducerede plasmakoncentrationer af voriconazol.</w:t>
            </w:r>
          </w:p>
        </w:tc>
        <w:tc>
          <w:tcPr>
            <w:tcW w:w="3017" w:type="dxa"/>
            <w:gridSpan w:val="2"/>
            <w:tcBorders>
              <w:top w:val="single" w:sz="4" w:space="0" w:color="auto"/>
              <w:left w:val="single" w:sz="4" w:space="0" w:color="auto"/>
              <w:bottom w:val="single" w:sz="4" w:space="0" w:color="auto"/>
              <w:right w:val="single" w:sz="4" w:space="0" w:color="auto"/>
            </w:tcBorders>
            <w:hideMark/>
          </w:tcPr>
          <w:p w:rsidR="00457C37" w:rsidRPr="00457C37" w:rsidRDefault="00457C37" w:rsidP="00457C37">
            <w:pPr>
              <w:autoSpaceDE w:val="0"/>
              <w:autoSpaceDN w:val="0"/>
              <w:adjustRightInd w:val="0"/>
              <w:rPr>
                <w:sz w:val="20"/>
                <w:lang w:eastAsia="fr-LU"/>
              </w:rPr>
            </w:pPr>
            <w:r w:rsidRPr="00457C37">
              <w:rPr>
                <w:sz w:val="20"/>
                <w:lang w:eastAsia="fr-LU"/>
              </w:rPr>
              <w:t>Hvis samtidig administration af voriconazol og flucloxacillin ikke kan undgås, skal der monitoreres for potentielt tab af voriconazols virkning (f.eks. ved monitorering af terapeutisk lægemiddel). Det kan være nødvendigt at øge voriconazol-dosis</w:t>
            </w:r>
          </w:p>
        </w:tc>
      </w:tr>
    </w:tbl>
    <w:p w:rsidR="000B3AF7" w:rsidRPr="000B3AF7" w:rsidRDefault="000B3AF7" w:rsidP="000B3AF7">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460762" w:rsidRDefault="00460762" w:rsidP="00460762">
      <w:pPr>
        <w:tabs>
          <w:tab w:val="left" w:pos="851"/>
        </w:tabs>
        <w:ind w:left="851"/>
        <w:rPr>
          <w:sz w:val="24"/>
          <w:szCs w:val="24"/>
          <w:u w:val="single"/>
        </w:rPr>
      </w:pPr>
    </w:p>
    <w:p w:rsidR="00460762" w:rsidRPr="00460762" w:rsidRDefault="00460762" w:rsidP="00460762">
      <w:pPr>
        <w:tabs>
          <w:tab w:val="left" w:pos="851"/>
        </w:tabs>
        <w:ind w:left="851"/>
        <w:rPr>
          <w:sz w:val="24"/>
          <w:szCs w:val="24"/>
          <w:u w:val="single"/>
        </w:rPr>
      </w:pPr>
      <w:r w:rsidRPr="00460762">
        <w:rPr>
          <w:sz w:val="24"/>
          <w:szCs w:val="24"/>
          <w:u w:val="single"/>
        </w:rPr>
        <w:t>Graviditet</w:t>
      </w:r>
    </w:p>
    <w:p w:rsidR="00460762" w:rsidRPr="00460762" w:rsidRDefault="00460762" w:rsidP="00460762">
      <w:pPr>
        <w:tabs>
          <w:tab w:val="left" w:pos="851"/>
        </w:tabs>
        <w:ind w:left="851"/>
        <w:rPr>
          <w:sz w:val="24"/>
          <w:szCs w:val="24"/>
        </w:rPr>
      </w:pPr>
      <w:r w:rsidRPr="00460762">
        <w:rPr>
          <w:sz w:val="24"/>
          <w:szCs w:val="24"/>
        </w:rPr>
        <w:t xml:space="preserve">Der foreligger ikke tilstrækkelige data fra anvendelse af </w:t>
      </w:r>
      <w:r w:rsidR="00C561B1">
        <w:rPr>
          <w:sz w:val="24"/>
          <w:szCs w:val="24"/>
        </w:rPr>
        <w:t>Voriconazole "Accord Healthcare"</w:t>
      </w:r>
      <w:r w:rsidRPr="00460762">
        <w:rPr>
          <w:sz w:val="24"/>
          <w:szCs w:val="24"/>
        </w:rPr>
        <w:t xml:space="preserve"> til gravide kvinder.</w:t>
      </w:r>
    </w:p>
    <w:p w:rsidR="00460762" w:rsidRPr="00460762" w:rsidRDefault="00460762" w:rsidP="00460762">
      <w:pPr>
        <w:tabs>
          <w:tab w:val="left" w:pos="851"/>
        </w:tabs>
        <w:ind w:left="851"/>
        <w:rPr>
          <w:sz w:val="24"/>
          <w:szCs w:val="24"/>
        </w:rPr>
      </w:pPr>
    </w:p>
    <w:p w:rsidR="00460762" w:rsidRPr="00460762" w:rsidRDefault="00460762" w:rsidP="00460762">
      <w:pPr>
        <w:tabs>
          <w:tab w:val="left" w:pos="851"/>
        </w:tabs>
        <w:ind w:left="851"/>
        <w:rPr>
          <w:sz w:val="24"/>
          <w:szCs w:val="24"/>
        </w:rPr>
      </w:pPr>
      <w:r w:rsidRPr="00460762">
        <w:rPr>
          <w:sz w:val="24"/>
          <w:szCs w:val="24"/>
        </w:rPr>
        <w:t>Dyreforsøg har påvist reproduktionstoksicitet (se pkt. 5.3). Den potentielle risiko for mennesker er ukendt.</w:t>
      </w:r>
    </w:p>
    <w:p w:rsidR="00460762" w:rsidRPr="00460762" w:rsidRDefault="00460762" w:rsidP="00460762">
      <w:pPr>
        <w:tabs>
          <w:tab w:val="left" w:pos="851"/>
        </w:tabs>
        <w:ind w:left="851"/>
        <w:rPr>
          <w:sz w:val="24"/>
          <w:szCs w:val="24"/>
        </w:rPr>
      </w:pPr>
    </w:p>
    <w:p w:rsidR="00460762" w:rsidRPr="00460762" w:rsidRDefault="00C561B1" w:rsidP="00460762">
      <w:pPr>
        <w:tabs>
          <w:tab w:val="left" w:pos="851"/>
        </w:tabs>
        <w:ind w:left="851"/>
        <w:rPr>
          <w:sz w:val="24"/>
          <w:szCs w:val="24"/>
        </w:rPr>
      </w:pPr>
      <w:r>
        <w:rPr>
          <w:sz w:val="24"/>
          <w:szCs w:val="24"/>
        </w:rPr>
        <w:t>Voriconazole "Accord Healthcare"</w:t>
      </w:r>
      <w:r w:rsidR="00460762" w:rsidRPr="00460762">
        <w:rPr>
          <w:sz w:val="24"/>
          <w:szCs w:val="24"/>
        </w:rPr>
        <w:t xml:space="preserve"> må ikke anvendes under graviditet, medmindre den forventede fordel for moderen klart opvejer den potentielle risiko for fostret.</w:t>
      </w:r>
    </w:p>
    <w:p w:rsidR="00460762" w:rsidRPr="00460762" w:rsidRDefault="00460762" w:rsidP="00460762">
      <w:pPr>
        <w:tabs>
          <w:tab w:val="left" w:pos="851"/>
        </w:tabs>
        <w:ind w:left="851"/>
        <w:rPr>
          <w:sz w:val="24"/>
          <w:szCs w:val="24"/>
        </w:rPr>
      </w:pPr>
    </w:p>
    <w:p w:rsidR="00460762" w:rsidRPr="00460762" w:rsidRDefault="00460762" w:rsidP="00460762">
      <w:pPr>
        <w:tabs>
          <w:tab w:val="left" w:pos="851"/>
        </w:tabs>
        <w:ind w:left="851"/>
        <w:rPr>
          <w:sz w:val="24"/>
          <w:szCs w:val="24"/>
          <w:u w:val="single"/>
        </w:rPr>
      </w:pPr>
      <w:r w:rsidRPr="00460762">
        <w:rPr>
          <w:sz w:val="24"/>
          <w:szCs w:val="24"/>
          <w:u w:val="single"/>
        </w:rPr>
        <w:t>Kvinder i den fertile alder</w:t>
      </w:r>
    </w:p>
    <w:p w:rsidR="00460762" w:rsidRPr="00460762" w:rsidRDefault="00460762" w:rsidP="00460762">
      <w:pPr>
        <w:tabs>
          <w:tab w:val="left" w:pos="851"/>
        </w:tabs>
        <w:ind w:left="851"/>
        <w:rPr>
          <w:sz w:val="24"/>
          <w:szCs w:val="24"/>
        </w:rPr>
      </w:pPr>
      <w:r w:rsidRPr="00460762">
        <w:rPr>
          <w:sz w:val="24"/>
          <w:szCs w:val="24"/>
        </w:rPr>
        <w:t>Kvinder i den fertile alder bør altid anvende effektiv prævention under behandlingen.</w:t>
      </w:r>
    </w:p>
    <w:p w:rsidR="00460762" w:rsidRPr="00460762" w:rsidRDefault="00460762" w:rsidP="00460762">
      <w:pPr>
        <w:tabs>
          <w:tab w:val="left" w:pos="851"/>
        </w:tabs>
        <w:ind w:left="851"/>
        <w:rPr>
          <w:sz w:val="24"/>
          <w:szCs w:val="24"/>
        </w:rPr>
      </w:pPr>
    </w:p>
    <w:p w:rsidR="00460762" w:rsidRPr="00460762" w:rsidRDefault="00460762" w:rsidP="00460762">
      <w:pPr>
        <w:tabs>
          <w:tab w:val="left" w:pos="851"/>
        </w:tabs>
        <w:ind w:left="851"/>
        <w:rPr>
          <w:sz w:val="24"/>
          <w:szCs w:val="24"/>
          <w:u w:val="single"/>
        </w:rPr>
      </w:pPr>
      <w:r w:rsidRPr="00460762">
        <w:rPr>
          <w:sz w:val="24"/>
          <w:szCs w:val="24"/>
          <w:u w:val="single"/>
        </w:rPr>
        <w:t>Amning</w:t>
      </w:r>
    </w:p>
    <w:p w:rsidR="00460762" w:rsidRPr="00460762" w:rsidRDefault="00460762" w:rsidP="00460762">
      <w:pPr>
        <w:tabs>
          <w:tab w:val="left" w:pos="851"/>
        </w:tabs>
        <w:ind w:left="851"/>
        <w:rPr>
          <w:sz w:val="24"/>
          <w:szCs w:val="24"/>
        </w:rPr>
      </w:pPr>
      <w:r w:rsidRPr="00460762">
        <w:rPr>
          <w:sz w:val="24"/>
          <w:szCs w:val="24"/>
        </w:rPr>
        <w:t xml:space="preserve">Udskillelsen af voriconazol i modermælk er ikke undersøgt. Amning skal ophøre ved initiering af behandling med </w:t>
      </w:r>
      <w:r w:rsidR="00C561B1">
        <w:rPr>
          <w:sz w:val="24"/>
          <w:szCs w:val="24"/>
        </w:rPr>
        <w:t>Voriconazole "Accord Healthcare"</w:t>
      </w:r>
      <w:r w:rsidRPr="00460762">
        <w:rPr>
          <w:sz w:val="24"/>
          <w:szCs w:val="24"/>
        </w:rPr>
        <w:t>.</w:t>
      </w:r>
    </w:p>
    <w:p w:rsidR="00460762" w:rsidRPr="00460762" w:rsidRDefault="00460762" w:rsidP="00460762">
      <w:pPr>
        <w:tabs>
          <w:tab w:val="left" w:pos="851"/>
        </w:tabs>
        <w:ind w:left="851"/>
        <w:rPr>
          <w:sz w:val="24"/>
          <w:szCs w:val="24"/>
        </w:rPr>
      </w:pPr>
    </w:p>
    <w:p w:rsidR="00460762" w:rsidRPr="00460762" w:rsidRDefault="00460762" w:rsidP="00460762">
      <w:pPr>
        <w:tabs>
          <w:tab w:val="left" w:pos="851"/>
        </w:tabs>
        <w:ind w:left="851"/>
        <w:rPr>
          <w:sz w:val="24"/>
          <w:szCs w:val="24"/>
          <w:u w:val="single"/>
        </w:rPr>
      </w:pPr>
      <w:r w:rsidRPr="00460762">
        <w:rPr>
          <w:sz w:val="24"/>
          <w:szCs w:val="24"/>
          <w:u w:val="single"/>
        </w:rPr>
        <w:t>Fertilitet</w:t>
      </w:r>
    </w:p>
    <w:p w:rsidR="00460762" w:rsidRPr="00460762" w:rsidRDefault="00460762" w:rsidP="00460762">
      <w:pPr>
        <w:tabs>
          <w:tab w:val="left" w:pos="851"/>
        </w:tabs>
        <w:ind w:left="851"/>
        <w:rPr>
          <w:sz w:val="24"/>
          <w:szCs w:val="24"/>
        </w:rPr>
      </w:pPr>
      <w:r w:rsidRPr="00460762">
        <w:rPr>
          <w:sz w:val="24"/>
          <w:szCs w:val="24"/>
        </w:rPr>
        <w:t>Dyreforsøg viste ikke nedsat fertilitet hos på han- og hunrotter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460762" w:rsidRPr="00460762" w:rsidRDefault="00460762" w:rsidP="00460762">
      <w:pPr>
        <w:tabs>
          <w:tab w:val="left" w:pos="851"/>
        </w:tabs>
        <w:ind w:left="851"/>
        <w:rPr>
          <w:sz w:val="24"/>
          <w:szCs w:val="24"/>
        </w:rPr>
      </w:pPr>
      <w:r w:rsidRPr="00460762">
        <w:rPr>
          <w:sz w:val="24"/>
          <w:szCs w:val="24"/>
        </w:rPr>
        <w:t>Ikke mærkning.</w:t>
      </w:r>
    </w:p>
    <w:p w:rsidR="00460762" w:rsidRPr="00460762" w:rsidRDefault="00C561B1" w:rsidP="00460762">
      <w:pPr>
        <w:tabs>
          <w:tab w:val="left" w:pos="851"/>
        </w:tabs>
        <w:ind w:left="851"/>
        <w:rPr>
          <w:sz w:val="24"/>
          <w:szCs w:val="24"/>
        </w:rPr>
      </w:pPr>
      <w:r>
        <w:rPr>
          <w:sz w:val="24"/>
          <w:szCs w:val="24"/>
        </w:rPr>
        <w:t>Voriconazole "Accord Healthcare"</w:t>
      </w:r>
      <w:r w:rsidR="00460762" w:rsidRPr="00460762">
        <w:rPr>
          <w:sz w:val="24"/>
          <w:szCs w:val="24"/>
        </w:rPr>
        <w:t xml:space="preserve"> påvirker i moderat grad evnen til at føre motorkøretøj og betjene maskiner. Det kan forårsage forbigående og reversible ændringer af synet, herunder sløret syn, ændret/forøget visuel perception og/eller fotofobi. Patienter skal undgå mulige farlige handlinger, såsom at føre motorkøretøj eller betjene maskiner, mens de har disse symptomer.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60762" w:rsidRPr="00460762" w:rsidRDefault="00460762" w:rsidP="00460762">
      <w:pPr>
        <w:ind w:left="851"/>
        <w:rPr>
          <w:sz w:val="24"/>
          <w:szCs w:val="24"/>
          <w:lang w:eastAsia="fr-LU"/>
        </w:rPr>
      </w:pPr>
    </w:p>
    <w:p w:rsidR="00460762" w:rsidRPr="00460762" w:rsidRDefault="00460762" w:rsidP="00460762">
      <w:pPr>
        <w:ind w:left="851"/>
        <w:rPr>
          <w:sz w:val="24"/>
          <w:szCs w:val="24"/>
          <w:u w:val="single"/>
        </w:rPr>
      </w:pPr>
      <w:r w:rsidRPr="00460762">
        <w:rPr>
          <w:sz w:val="24"/>
          <w:szCs w:val="24"/>
          <w:u w:val="single"/>
        </w:rPr>
        <w:t>Sikkerhedsprofil</w:t>
      </w:r>
    </w:p>
    <w:p w:rsidR="00460762" w:rsidRPr="00460762" w:rsidRDefault="00460762" w:rsidP="00460762">
      <w:pPr>
        <w:ind w:left="851"/>
        <w:rPr>
          <w:sz w:val="24"/>
          <w:szCs w:val="24"/>
        </w:rPr>
      </w:pPr>
      <w:r w:rsidRPr="00460762">
        <w:rPr>
          <w:sz w:val="24"/>
          <w:szCs w:val="24"/>
        </w:rPr>
        <w:t>Sikkerhedsprofilen for voriconazol hos voksne er baseret på en integreret sikkerhedsdatabase med data fra mere end 2.000 personer (herunder 1.603 voksne patienter i terapeutiske studier) og yderligere 270 voksne i profylaksestudier. Databasen repræsenterer en heterogen population indeholdende patienter med maligne hæmatologiske sygdomme, hiv-inficerede patienter med øsofageal candidiasis og refraktære svampeinfektioner, non-neutropene patienter med candidæmi eller aspergillosis og raske forsøgspersoner.</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De hyppigst rapporterede bivirkninger var synsnedsættelse, pyreksi, udslæt, opkastning, kvalme, diarré, hovedpine, perifere ødemer, abnorme leverfunktionsværdier, åndedrætsbesvær og abdominalsmerter.</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Bivirkningernes sværhedsgrad var generelt mild til moderat. Der sås ikke klinisk signifikante forskelle, når sikkerhedsdata blev analyseret i relation til alder, race eller køn.</w:t>
      </w:r>
    </w:p>
    <w:p w:rsidR="00460762" w:rsidRPr="00460762" w:rsidRDefault="00460762" w:rsidP="00460762">
      <w:pPr>
        <w:ind w:left="851"/>
        <w:rPr>
          <w:sz w:val="24"/>
          <w:szCs w:val="24"/>
        </w:rPr>
      </w:pPr>
    </w:p>
    <w:p w:rsidR="00460762" w:rsidRPr="00460762" w:rsidRDefault="00460762" w:rsidP="00460762">
      <w:pPr>
        <w:ind w:left="851"/>
        <w:rPr>
          <w:sz w:val="24"/>
          <w:szCs w:val="24"/>
          <w:u w:val="single"/>
        </w:rPr>
      </w:pPr>
      <w:r w:rsidRPr="00460762">
        <w:rPr>
          <w:sz w:val="24"/>
          <w:szCs w:val="24"/>
          <w:u w:val="single"/>
        </w:rPr>
        <w:t>Bivirkningsskema</w:t>
      </w:r>
    </w:p>
    <w:p w:rsidR="00460762" w:rsidRPr="00460762" w:rsidRDefault="00460762" w:rsidP="00460762">
      <w:pPr>
        <w:ind w:left="851"/>
        <w:rPr>
          <w:sz w:val="24"/>
          <w:szCs w:val="24"/>
        </w:rPr>
      </w:pPr>
      <w:r w:rsidRPr="00460762">
        <w:rPr>
          <w:sz w:val="24"/>
          <w:szCs w:val="24"/>
        </w:rPr>
        <w:t>Da størstedelen af studierne var ublindede, er alle kausale bivirkninger og deres hyppighedskategorier hos 1.873 voksne fra sammenlagte terapeutiske studier (1.603) og profylaksestudier (270) anført efter systemorganklasse i skemaet nedenfor.</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 xml:space="preserve">Bivirkningshyppigheder er angivet som: </w:t>
      </w:r>
      <w:r>
        <w:rPr>
          <w:sz w:val="24"/>
          <w:szCs w:val="24"/>
        </w:rPr>
        <w:t>M</w:t>
      </w:r>
      <w:r w:rsidRPr="00460762">
        <w:rPr>
          <w:sz w:val="24"/>
          <w:szCs w:val="24"/>
        </w:rPr>
        <w:t>eget almindelig (≥1/10), almindelig (</w:t>
      </w:r>
      <w:r w:rsidRPr="00460762">
        <w:rPr>
          <w:rFonts w:ascii="Symbol" w:hAnsi="Symbol"/>
          <w:sz w:val="24"/>
          <w:szCs w:val="24"/>
        </w:rPr>
        <w:sym w:font="Symbol" w:char="F0B3"/>
      </w:r>
      <w:r w:rsidRPr="00460762">
        <w:rPr>
          <w:sz w:val="24"/>
          <w:szCs w:val="24"/>
        </w:rPr>
        <w:t>1/100 til &lt;1/10), ikke almindelig (</w:t>
      </w:r>
      <w:r w:rsidRPr="00460762">
        <w:rPr>
          <w:rFonts w:ascii="Symbol" w:hAnsi="Symbol"/>
          <w:sz w:val="24"/>
          <w:szCs w:val="24"/>
        </w:rPr>
        <w:sym w:font="Symbol" w:char="F0B3"/>
      </w:r>
      <w:r w:rsidRPr="00460762">
        <w:rPr>
          <w:sz w:val="24"/>
          <w:szCs w:val="24"/>
        </w:rPr>
        <w:t xml:space="preserve">1/1 000 til </w:t>
      </w:r>
      <w:r w:rsidRPr="00460762">
        <w:rPr>
          <w:rFonts w:ascii="Symbol" w:hAnsi="Symbol"/>
          <w:sz w:val="24"/>
          <w:szCs w:val="24"/>
        </w:rPr>
        <w:sym w:font="Symbol" w:char="F03C"/>
      </w:r>
      <w:r w:rsidRPr="00460762">
        <w:rPr>
          <w:sz w:val="24"/>
          <w:szCs w:val="24"/>
        </w:rPr>
        <w:t>1/100), sjælden (</w:t>
      </w:r>
      <w:r w:rsidRPr="00460762">
        <w:rPr>
          <w:rFonts w:ascii="Symbol" w:hAnsi="Symbol"/>
          <w:sz w:val="24"/>
          <w:szCs w:val="24"/>
        </w:rPr>
        <w:sym w:font="Symbol" w:char="F0B3"/>
      </w:r>
      <w:r w:rsidRPr="00460762">
        <w:rPr>
          <w:sz w:val="24"/>
          <w:szCs w:val="24"/>
        </w:rPr>
        <w:t xml:space="preserve">1/10 000 til </w:t>
      </w:r>
      <w:r w:rsidRPr="00460762">
        <w:rPr>
          <w:rFonts w:ascii="Symbol" w:hAnsi="Symbol"/>
          <w:sz w:val="24"/>
          <w:szCs w:val="24"/>
        </w:rPr>
        <w:sym w:font="Symbol" w:char="F03C"/>
      </w:r>
      <w:r w:rsidRPr="00460762">
        <w:rPr>
          <w:sz w:val="24"/>
          <w:szCs w:val="24"/>
        </w:rPr>
        <w:t>1/1.000), meget sjælden (</w:t>
      </w:r>
      <w:r w:rsidRPr="00460762">
        <w:rPr>
          <w:rFonts w:ascii="Symbol" w:hAnsi="Symbol"/>
          <w:sz w:val="24"/>
          <w:szCs w:val="24"/>
        </w:rPr>
        <w:sym w:font="Symbol" w:char="F03C"/>
      </w:r>
      <w:r w:rsidRPr="00460762">
        <w:rPr>
          <w:sz w:val="24"/>
          <w:szCs w:val="24"/>
        </w:rPr>
        <w:t>1/10.000) og ikke kendt (kan ikke estimeres ud fra forhåndenværende data).</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 xml:space="preserve">Inden for hver enkelt hyppighedsgruppe er bivirkningerne opstillet efter, hvor alvorlige de er. De alvorligste er anført først. </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Bivirkninger rapporteret hos personer, der fik voriconazol:</w:t>
      </w:r>
    </w:p>
    <w:p w:rsidR="00460762" w:rsidRDefault="00460762" w:rsidP="00460762">
      <w:pPr>
        <w:rPr>
          <w:sz w:val="22"/>
          <w:szCs w:val="22"/>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9"/>
        <w:gridCol w:w="1621"/>
        <w:gridCol w:w="1980"/>
        <w:gridCol w:w="1980"/>
        <w:gridCol w:w="1710"/>
        <w:gridCol w:w="1260"/>
      </w:tblGrid>
      <w:tr w:rsidR="00460762" w:rsidRPr="00460762" w:rsidTr="00460762">
        <w:trPr>
          <w:trHeight w:val="790"/>
          <w:tblHeader/>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keepNext/>
              <w:keepLines/>
              <w:rPr>
                <w:b/>
                <w:sz w:val="20"/>
              </w:rPr>
            </w:pPr>
            <w:r w:rsidRPr="00460762">
              <w:rPr>
                <w:b/>
                <w:bCs/>
                <w:sz w:val="20"/>
              </w:rPr>
              <w:t>Systemorgan</w:t>
            </w:r>
            <w:r w:rsidRPr="00460762">
              <w:rPr>
                <w:b/>
                <w:bCs/>
                <w:sz w:val="20"/>
              </w:rPr>
              <w:softHyphen/>
              <w:t>klasse</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b/>
                <w:sz w:val="20"/>
              </w:rPr>
            </w:pPr>
            <w:r w:rsidRPr="00460762">
              <w:rPr>
                <w:b/>
                <w:bCs/>
                <w:sz w:val="20"/>
              </w:rPr>
              <w:t>Meget almindelig</w:t>
            </w:r>
          </w:p>
          <w:p w:rsidR="00460762" w:rsidRPr="00460762" w:rsidRDefault="00460762">
            <w:pPr>
              <w:rPr>
                <w:b/>
                <w:sz w:val="20"/>
              </w:rPr>
            </w:pPr>
            <w:r w:rsidRPr="00460762">
              <w:rPr>
                <w:b/>
                <w:bCs/>
                <w:sz w:val="20"/>
              </w:rPr>
              <w:t>≥1/10</w:t>
            </w:r>
          </w:p>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b/>
                <w:sz w:val="20"/>
              </w:rPr>
            </w:pPr>
            <w:r w:rsidRPr="00460762">
              <w:rPr>
                <w:b/>
                <w:bCs/>
                <w:sz w:val="20"/>
              </w:rPr>
              <w:t>Almindelig</w:t>
            </w:r>
          </w:p>
          <w:p w:rsidR="00460762" w:rsidRPr="00460762" w:rsidRDefault="00460762">
            <w:pPr>
              <w:rPr>
                <w:b/>
                <w:sz w:val="20"/>
              </w:rPr>
            </w:pPr>
            <w:r w:rsidRPr="00460762">
              <w:rPr>
                <w:b/>
                <w:bCs/>
                <w:sz w:val="20"/>
              </w:rPr>
              <w:t>≥1/100</w:t>
            </w:r>
          </w:p>
          <w:p w:rsidR="00460762" w:rsidRPr="00460762" w:rsidRDefault="00460762">
            <w:pPr>
              <w:rPr>
                <w:b/>
                <w:sz w:val="20"/>
              </w:rPr>
            </w:pPr>
            <w:r w:rsidRPr="00460762">
              <w:rPr>
                <w:b/>
                <w:bCs/>
                <w:sz w:val="20"/>
              </w:rPr>
              <w:t>til &lt;1/10</w:t>
            </w:r>
          </w:p>
          <w:p w:rsidR="00460762" w:rsidRPr="00460762" w:rsidRDefault="00460762">
            <w:pPr>
              <w:rPr>
                <w:b/>
                <w:sz w:val="20"/>
              </w:rPr>
            </w:pP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b/>
                <w:sz w:val="20"/>
              </w:rPr>
            </w:pPr>
            <w:r w:rsidRPr="00460762">
              <w:rPr>
                <w:b/>
                <w:bCs/>
                <w:sz w:val="20"/>
              </w:rPr>
              <w:t>Ikke almindelig</w:t>
            </w:r>
          </w:p>
          <w:p w:rsidR="00460762" w:rsidRPr="00460762" w:rsidRDefault="00460762">
            <w:pPr>
              <w:rPr>
                <w:b/>
                <w:sz w:val="20"/>
              </w:rPr>
            </w:pPr>
            <w:r w:rsidRPr="00460762">
              <w:rPr>
                <w:b/>
                <w:bCs/>
                <w:sz w:val="20"/>
              </w:rPr>
              <w:t>≥1/1.000 til &lt;</w:t>
            </w:r>
          </w:p>
          <w:p w:rsidR="00460762" w:rsidRPr="00460762" w:rsidRDefault="00460762">
            <w:pPr>
              <w:rPr>
                <w:b/>
                <w:sz w:val="20"/>
              </w:rPr>
            </w:pPr>
            <w:r w:rsidRPr="00460762">
              <w:rPr>
                <w:b/>
                <w:bCs/>
                <w:sz w:val="20"/>
              </w:rPr>
              <w:t>1/100</w:t>
            </w:r>
          </w:p>
          <w:p w:rsidR="00460762" w:rsidRPr="00460762" w:rsidRDefault="00460762">
            <w:pPr>
              <w:rPr>
                <w:b/>
                <w:sz w:val="20"/>
              </w:rPr>
            </w:pP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b/>
                <w:sz w:val="20"/>
              </w:rPr>
            </w:pPr>
            <w:r w:rsidRPr="00460762">
              <w:rPr>
                <w:b/>
                <w:bCs/>
                <w:sz w:val="20"/>
              </w:rPr>
              <w:t>Sjælden</w:t>
            </w:r>
          </w:p>
          <w:p w:rsidR="00460762" w:rsidRPr="00460762" w:rsidRDefault="00460762">
            <w:pPr>
              <w:rPr>
                <w:b/>
                <w:sz w:val="20"/>
              </w:rPr>
            </w:pPr>
            <w:r w:rsidRPr="00460762">
              <w:rPr>
                <w:b/>
                <w:bCs/>
                <w:sz w:val="20"/>
              </w:rPr>
              <w:t>≥1/10.000 til &lt;</w:t>
            </w:r>
          </w:p>
          <w:p w:rsidR="00460762" w:rsidRPr="00460762" w:rsidRDefault="00460762">
            <w:pPr>
              <w:rPr>
                <w:b/>
                <w:sz w:val="20"/>
              </w:rPr>
            </w:pPr>
            <w:r w:rsidRPr="00460762">
              <w:rPr>
                <w:b/>
                <w:bCs/>
                <w:sz w:val="20"/>
              </w:rPr>
              <w:t>1/1.000</w:t>
            </w:r>
          </w:p>
          <w:p w:rsidR="00460762" w:rsidRPr="00460762" w:rsidRDefault="00460762">
            <w:pPr>
              <w:rPr>
                <w:b/>
                <w:sz w:val="20"/>
              </w:rPr>
            </w:pPr>
          </w:p>
        </w:tc>
        <w:tc>
          <w:tcPr>
            <w:tcW w:w="126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b/>
                <w:sz w:val="20"/>
              </w:rPr>
            </w:pPr>
            <w:r w:rsidRPr="00460762">
              <w:rPr>
                <w:b/>
                <w:bCs/>
                <w:sz w:val="20"/>
              </w:rPr>
              <w:t>Hyppighed ikke kendt (kan ikke estimeres ud fra forhånden</w:t>
            </w:r>
            <w:r>
              <w:rPr>
                <w:b/>
                <w:bCs/>
                <w:sz w:val="20"/>
              </w:rPr>
              <w:softHyphen/>
            </w:r>
            <w:r w:rsidRPr="00460762">
              <w:rPr>
                <w:b/>
                <w:bCs/>
                <w:sz w:val="20"/>
              </w:rPr>
              <w:t>værende data)</w:t>
            </w:r>
          </w:p>
        </w:tc>
      </w:tr>
      <w:tr w:rsidR="00460762" w:rsidRPr="00460762" w:rsidTr="00460762">
        <w:trPr>
          <w:trHeight w:val="589"/>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keepNext/>
              <w:keepLines/>
              <w:rPr>
                <w:sz w:val="20"/>
              </w:rPr>
            </w:pPr>
            <w:r w:rsidRPr="00460762">
              <w:rPr>
                <w:sz w:val="20"/>
              </w:rPr>
              <w:t>Infektioner og parasitære sygdomme</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sinusitis</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pseudomembranøs colitis</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Benigne, maligne og uspecificerede tumorer (inkl. cyster og polypper)</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planocellu</w:t>
            </w:r>
            <w:r w:rsidRPr="00460762">
              <w:rPr>
                <w:rStyle w:val="TableText12"/>
                <w:sz w:val="20"/>
              </w:rPr>
              <w:softHyphen/>
              <w:t xml:space="preserve">lært karcinom </w:t>
            </w:r>
            <w:r w:rsidRPr="00460762">
              <w:rPr>
                <w:sz w:val="20"/>
              </w:rPr>
              <w:t xml:space="preserve">(herunder kutant SCC </w:t>
            </w:r>
            <w:r w:rsidRPr="00460762">
              <w:rPr>
                <w:i/>
                <w:iCs/>
                <w:sz w:val="20"/>
              </w:rPr>
              <w:t>in situ</w:t>
            </w:r>
            <w:r w:rsidRPr="00460762">
              <w:rPr>
                <w:sz w:val="20"/>
              </w:rPr>
              <w:t xml:space="preserve"> eller morbus Bowen)*</w:t>
            </w:r>
          </w:p>
        </w:tc>
      </w:tr>
      <w:tr w:rsidR="00460762" w:rsidRPr="00460762" w:rsidTr="00460762">
        <w:trPr>
          <w:trHeight w:val="879"/>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lastRenderedPageBreak/>
              <w:t>Blod- og lymfesystem</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rPr>
            </w:pPr>
            <w:r w:rsidRPr="00460762">
              <w:rPr>
                <w:rStyle w:val="TableText12"/>
                <w:sz w:val="20"/>
              </w:rPr>
              <w:t>agranulocytose</w:t>
            </w:r>
            <w:r w:rsidRPr="00460762">
              <w:rPr>
                <w:rStyle w:val="TableText12"/>
                <w:sz w:val="20"/>
                <w:vertAlign w:val="superscript"/>
              </w:rPr>
              <w:t>1</w:t>
            </w:r>
            <w:r w:rsidRPr="00460762">
              <w:rPr>
                <w:rStyle w:val="TableText12"/>
                <w:sz w:val="20"/>
              </w:rPr>
              <w:t>, pancytopeni, trombocytopeni</w:t>
            </w:r>
            <w:r w:rsidRPr="00460762">
              <w:rPr>
                <w:rStyle w:val="TableText12"/>
                <w:sz w:val="20"/>
                <w:vertAlign w:val="superscript"/>
              </w:rPr>
              <w:t>2</w:t>
            </w:r>
            <w:r w:rsidRPr="00460762">
              <w:rPr>
                <w:rStyle w:val="TableText12"/>
                <w:sz w:val="20"/>
              </w:rPr>
              <w:t>, leukopeni, anæmi</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knoglemarvssvigt, lymfadenopati, eosinofili</w:t>
            </w:r>
          </w:p>
        </w:tc>
        <w:tc>
          <w:tcPr>
            <w:tcW w:w="171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dissemineret intravaskulær koagulation</w:t>
            </w: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457"/>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Immunsystemet</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Overfølsomheds</w:t>
            </w:r>
            <w:r w:rsidRPr="00460762">
              <w:rPr>
                <w:rStyle w:val="TableText12"/>
                <w:sz w:val="20"/>
                <w:lang w:val="da-DK"/>
              </w:rPr>
              <w:softHyphen/>
              <w:t>reaktioner</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pStyle w:val="TableText"/>
              <w:rPr>
                <w:rFonts w:ascii="Times New Roman" w:hAnsi="Times New Roman" w:cs="Times New Roman"/>
                <w:lang w:val="da-DK"/>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Det endokrine system</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binyrebark-insufficiens, hypotyreose</w:t>
            </w:r>
          </w:p>
        </w:tc>
        <w:tc>
          <w:tcPr>
            <w:tcW w:w="171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hypertyreose</w:t>
            </w: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Metabolisme og ernæring</w:t>
            </w:r>
          </w:p>
        </w:tc>
        <w:tc>
          <w:tcPr>
            <w:tcW w:w="1621"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perifert ødem</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hypoglykæmi, hypokaliæmi, hyponatriæmi</w:t>
            </w: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481"/>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Psykiske forstyrrelser</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depression, hallucinationer, angst, søvnløshed, agitation, konfusion</w:t>
            </w: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Nervesystemet </w:t>
            </w:r>
          </w:p>
        </w:tc>
        <w:tc>
          <w:tcPr>
            <w:tcW w:w="1621"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hovedpine</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krampeanfald, synkope, tremor, hypertoni</w:t>
            </w:r>
            <w:r w:rsidRPr="00460762">
              <w:rPr>
                <w:rStyle w:val="TableText12"/>
                <w:sz w:val="20"/>
                <w:vertAlign w:val="superscript"/>
                <w:lang w:val="da-DK"/>
              </w:rPr>
              <w:t>3</w:t>
            </w:r>
            <w:r w:rsidRPr="00460762">
              <w:rPr>
                <w:rStyle w:val="TableText12"/>
                <w:sz w:val="20"/>
                <w:lang w:val="da-DK"/>
              </w:rPr>
              <w:t>, paræstesi, søvnighed, svimmelhed</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hjerneødem, encefalopati</w:t>
            </w:r>
            <w:r w:rsidRPr="00460762">
              <w:rPr>
                <w:rStyle w:val="TableText12"/>
                <w:sz w:val="20"/>
                <w:vertAlign w:val="superscript"/>
                <w:lang w:val="da-DK"/>
              </w:rPr>
              <w:t>4</w:t>
            </w:r>
            <w:r w:rsidRPr="00460762">
              <w:rPr>
                <w:rStyle w:val="TableText12"/>
                <w:sz w:val="20"/>
                <w:lang w:val="da-DK"/>
              </w:rPr>
              <w:t>, ekstrapyramidal lidelse</w:t>
            </w:r>
            <w:r w:rsidRPr="00460762">
              <w:rPr>
                <w:rStyle w:val="TableText12"/>
                <w:sz w:val="20"/>
                <w:vertAlign w:val="superscript"/>
                <w:lang w:val="da-DK"/>
              </w:rPr>
              <w:t>5</w:t>
            </w:r>
            <w:r w:rsidRPr="00460762">
              <w:rPr>
                <w:rStyle w:val="TableText12"/>
                <w:sz w:val="20"/>
                <w:lang w:val="da-DK"/>
              </w:rPr>
              <w:t>, perifer neuropati, ataksi, hypæstesi, dysgeusi</w:t>
            </w:r>
          </w:p>
        </w:tc>
        <w:tc>
          <w:tcPr>
            <w:tcW w:w="171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hepatisk encefalopati, Guillain-Barrés syndrom, nystagmus</w:t>
            </w: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Øjne </w:t>
            </w:r>
          </w:p>
        </w:tc>
        <w:tc>
          <w:tcPr>
            <w:tcW w:w="1621"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synsnedsættelse</w:t>
            </w:r>
            <w:r w:rsidRPr="00460762">
              <w:rPr>
                <w:rStyle w:val="TableText12"/>
                <w:sz w:val="20"/>
                <w:vertAlign w:val="superscript"/>
              </w:rPr>
              <w:t>6</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retinablødning</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sygdom i synsnerven</w:t>
            </w:r>
            <w:r w:rsidRPr="00460762">
              <w:rPr>
                <w:rStyle w:val="TableText12"/>
                <w:sz w:val="20"/>
                <w:vertAlign w:val="superscript"/>
                <w:lang w:val="da-DK"/>
              </w:rPr>
              <w:t>7</w:t>
            </w:r>
            <w:r w:rsidRPr="00460762">
              <w:rPr>
                <w:rStyle w:val="TableText12"/>
                <w:sz w:val="20"/>
                <w:lang w:val="da-DK"/>
              </w:rPr>
              <w:t>, papilødem</w:t>
            </w:r>
            <w:r w:rsidRPr="00460762">
              <w:rPr>
                <w:rStyle w:val="TableText12"/>
                <w:sz w:val="20"/>
                <w:vertAlign w:val="superscript"/>
                <w:lang w:val="da-DK"/>
              </w:rPr>
              <w:t>8</w:t>
            </w:r>
            <w:r w:rsidRPr="00460762">
              <w:rPr>
                <w:rStyle w:val="TableText12"/>
                <w:sz w:val="20"/>
                <w:lang w:val="da-DK"/>
              </w:rPr>
              <w:t>, okulogyrisk krise, diplopi, skleritis, blefaritis</w:t>
            </w:r>
          </w:p>
        </w:tc>
        <w:tc>
          <w:tcPr>
            <w:tcW w:w="171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optisk atrofi, uklar hornhinde</w:t>
            </w: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465"/>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Øre og labyrint </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hypakusi, vertigo, tinnitus</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keepNext/>
              <w:keepLines/>
              <w:rPr>
                <w:sz w:val="20"/>
              </w:rPr>
            </w:pPr>
            <w:r w:rsidRPr="00460762">
              <w:rPr>
                <w:sz w:val="20"/>
              </w:rPr>
              <w:t xml:space="preserve">Hjerte </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keepNext/>
              <w:keepLines/>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keepNext/>
              <w:keepLines/>
              <w:rPr>
                <w:rFonts w:ascii="Times New Roman" w:hAnsi="Times New Roman" w:cs="Times New Roman"/>
                <w:lang w:val="da-DK"/>
              </w:rPr>
            </w:pPr>
            <w:r w:rsidRPr="00460762">
              <w:rPr>
                <w:rStyle w:val="TableText12"/>
                <w:sz w:val="20"/>
                <w:lang w:val="da-DK"/>
              </w:rPr>
              <w:t>supraventrikulær arytmi, takykardi, bradykardi</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keepNext/>
              <w:keepLines/>
              <w:rPr>
                <w:rFonts w:ascii="Times New Roman" w:hAnsi="Times New Roman" w:cs="Times New Roman"/>
                <w:lang w:val="da-DK"/>
              </w:rPr>
            </w:pPr>
            <w:r w:rsidRPr="00460762">
              <w:rPr>
                <w:rStyle w:val="TableText12"/>
                <w:sz w:val="20"/>
                <w:lang w:val="da-DK"/>
              </w:rPr>
              <w:t>ventrikulær flimren, ventrikulære ekstrasystoler, ventrikulær takykardi, forlænget QT-interval i ekg, supraventrikulær takykardi</w:t>
            </w:r>
          </w:p>
        </w:tc>
        <w:tc>
          <w:tcPr>
            <w:tcW w:w="171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keepNext/>
              <w:keepLines/>
              <w:rPr>
                <w:rFonts w:ascii="Times New Roman" w:hAnsi="Times New Roman" w:cs="Times New Roman"/>
                <w:lang w:val="da-DK"/>
              </w:rPr>
            </w:pPr>
            <w:r w:rsidRPr="00460762">
              <w:rPr>
                <w:rStyle w:val="TableText12"/>
                <w:i/>
                <w:iCs/>
                <w:sz w:val="20"/>
                <w:lang w:val="da-DK"/>
              </w:rPr>
              <w:t>torsades de pointes</w:t>
            </w:r>
            <w:r w:rsidRPr="00460762">
              <w:rPr>
                <w:rStyle w:val="TableText12"/>
                <w:sz w:val="20"/>
                <w:lang w:val="da-DK"/>
              </w:rPr>
              <w:t>, komplet AV-blok, grenblok, nodalrytme</w:t>
            </w: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413"/>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Vaskulære sygdomme </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hypotension, flebitis</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tromboflebitis, lymfangitis</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Luftveje, thorax og mediastinum </w:t>
            </w:r>
          </w:p>
        </w:tc>
        <w:tc>
          <w:tcPr>
            <w:tcW w:w="1621"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Åndedrætsbe</w:t>
            </w:r>
            <w:r>
              <w:rPr>
                <w:rStyle w:val="TableText12"/>
                <w:sz w:val="20"/>
              </w:rPr>
              <w:softHyphen/>
            </w:r>
            <w:r w:rsidRPr="00460762">
              <w:rPr>
                <w:rStyle w:val="TableText12"/>
                <w:sz w:val="20"/>
              </w:rPr>
              <w:t>svær</w:t>
            </w:r>
            <w:r w:rsidRPr="00460762">
              <w:rPr>
                <w:rStyle w:val="TableText12"/>
                <w:sz w:val="20"/>
                <w:vertAlign w:val="superscript"/>
              </w:rPr>
              <w:t>9</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akut lungesvigt (ARDS), lungeødem</w:t>
            </w:r>
          </w:p>
        </w:tc>
        <w:tc>
          <w:tcPr>
            <w:tcW w:w="198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Mave-tarm-kanalen </w:t>
            </w:r>
          </w:p>
        </w:tc>
        <w:tc>
          <w:tcPr>
            <w:tcW w:w="1621"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diarré, opkastning, abdominal</w:t>
            </w:r>
            <w:r w:rsidRPr="00460762">
              <w:rPr>
                <w:rStyle w:val="TableText12"/>
                <w:sz w:val="20"/>
                <w:lang w:val="da-DK"/>
              </w:rPr>
              <w:softHyphen/>
              <w:t>smerter, kvalme</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keilit, dyspepsi, obstipation, gingivitis</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peritonitis, pankreatitis, hævet tunge, duodenitis, gastroenteritis, glossitis</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Lever og galdeveje </w:t>
            </w:r>
          </w:p>
        </w:tc>
        <w:tc>
          <w:tcPr>
            <w:tcW w:w="1621"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abnorme levertal</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gulsot, kolestatisk gulsot, hepatitis</w:t>
            </w:r>
            <w:r w:rsidRPr="00460762">
              <w:rPr>
                <w:rStyle w:val="TableText12"/>
                <w:sz w:val="20"/>
                <w:vertAlign w:val="superscript"/>
                <w:lang w:val="da-DK"/>
              </w:rPr>
              <w:t>10</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leversvigt, hepatomegali, kolecystitis, cholelithiasis</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411"/>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lastRenderedPageBreak/>
              <w:t xml:space="preserve">Hud og subkutane væv </w:t>
            </w:r>
          </w:p>
        </w:tc>
        <w:tc>
          <w:tcPr>
            <w:tcW w:w="1621"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udslæt</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eksfoliativ dermatitis, alopeci, makulopapuløst hududslæt, pruritus, erytem</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Stevens-Johnsons syndrom</w:t>
            </w:r>
            <w:r w:rsidRPr="00460762">
              <w:rPr>
                <w:rStyle w:val="TableText12"/>
                <w:sz w:val="20"/>
                <w:vertAlign w:val="superscript"/>
                <w:lang w:val="da-DK"/>
              </w:rPr>
              <w:t>8</w:t>
            </w:r>
            <w:r w:rsidRPr="00460762">
              <w:rPr>
                <w:rStyle w:val="TableText12"/>
                <w:sz w:val="20"/>
                <w:lang w:val="da-DK"/>
              </w:rPr>
              <w:t>, fototoksicitet, purpura, urticaria, allergisk dermatitis, papuløst hududslæt, makuløst hududslæt, eksem</w:t>
            </w:r>
          </w:p>
        </w:tc>
        <w:tc>
          <w:tcPr>
            <w:tcW w:w="171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vertAlign w:val="superscript"/>
                <w:lang w:val="da-DK"/>
              </w:rPr>
            </w:pPr>
            <w:r w:rsidRPr="00460762">
              <w:rPr>
                <w:rStyle w:val="TableText12"/>
                <w:sz w:val="20"/>
                <w:lang w:val="da-DK"/>
              </w:rPr>
              <w:t>toksisk epidermal nekrolyse</w:t>
            </w:r>
            <w:r w:rsidRPr="00460762">
              <w:rPr>
                <w:rStyle w:val="TableText12"/>
                <w:sz w:val="20"/>
                <w:vertAlign w:val="superscript"/>
                <w:lang w:val="da-DK"/>
              </w:rPr>
              <w:t>8</w:t>
            </w:r>
            <w:r w:rsidRPr="00460762">
              <w:rPr>
                <w:rStyle w:val="TableText12"/>
                <w:sz w:val="20"/>
                <w:lang w:val="da-DK"/>
              </w:rPr>
              <w:t xml:space="preserve">, angioødem, </w:t>
            </w:r>
            <w:r w:rsidRPr="00460762">
              <w:rPr>
                <w:rFonts w:ascii="Times New Roman" w:hAnsi="Times New Roman" w:cs="Times New Roman"/>
                <w:lang w:val="da-DK"/>
              </w:rPr>
              <w:t xml:space="preserve">aktinisk keratose*, </w:t>
            </w:r>
            <w:r w:rsidRPr="00460762">
              <w:rPr>
                <w:rStyle w:val="TableText12"/>
                <w:sz w:val="20"/>
                <w:lang w:val="da-DK"/>
              </w:rPr>
              <w:t>pseudoporphyria erythema multiforme, psoriasis, lægemiddel</w:t>
            </w:r>
            <w:r w:rsidRPr="00460762">
              <w:rPr>
                <w:rStyle w:val="TableText12"/>
                <w:sz w:val="20"/>
                <w:lang w:val="da-DK"/>
              </w:rPr>
              <w:softHyphen/>
              <w:t>udslæt, lægemiddel</w:t>
            </w:r>
            <w:r w:rsidRPr="00460762">
              <w:rPr>
                <w:rStyle w:val="TableText12"/>
                <w:sz w:val="20"/>
                <w:lang w:val="da-DK"/>
              </w:rPr>
              <w:softHyphen/>
              <w:t>reaktion med eosinofili og systemiske symptomer (DRESS)</w:t>
            </w:r>
            <w:r w:rsidRPr="00460762">
              <w:rPr>
                <w:rStyle w:val="TableText12"/>
                <w:sz w:val="20"/>
                <w:vertAlign w:val="superscript"/>
                <w:lang w:val="da-DK"/>
              </w:rPr>
              <w:t>8</w:t>
            </w:r>
          </w:p>
        </w:tc>
        <w:tc>
          <w:tcPr>
            <w:tcW w:w="126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kutan lupus erythema</w:t>
            </w:r>
            <w:r w:rsidRPr="00460762">
              <w:rPr>
                <w:sz w:val="20"/>
              </w:rPr>
              <w:softHyphen/>
              <w:t>tosus*, efelider*, lentigo*</w:t>
            </w:r>
          </w:p>
        </w:tc>
      </w:tr>
      <w:tr w:rsidR="00460762" w:rsidRPr="00460762" w:rsidTr="00460762">
        <w:trPr>
          <w:trHeight w:val="645"/>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Knogler, led, muskler og bindevæv </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rygsmerter</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artritis</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periostitis*</w:t>
            </w:r>
          </w:p>
        </w:tc>
      </w:tr>
      <w:tr w:rsidR="00460762" w:rsidRPr="00460762" w:rsidTr="00460762">
        <w:trPr>
          <w:trHeight w:val="513"/>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 xml:space="preserve">Nyrer og urinveje </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akut nyresvigt, hæmaturi</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nekrose i nyretubuli, proteinuri, nefritis</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790"/>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sz w:val="20"/>
              </w:rPr>
              <w:t>Almene symptomer og reaktioner på administra</w:t>
            </w:r>
            <w:r w:rsidRPr="00460762">
              <w:rPr>
                <w:sz w:val="20"/>
              </w:rPr>
              <w:softHyphen/>
              <w:t xml:space="preserve">tionsstedet </w:t>
            </w:r>
          </w:p>
        </w:tc>
        <w:tc>
          <w:tcPr>
            <w:tcW w:w="1621" w:type="dxa"/>
            <w:tcBorders>
              <w:top w:val="single" w:sz="4" w:space="0" w:color="auto"/>
              <w:left w:val="single" w:sz="4" w:space="0" w:color="auto"/>
              <w:bottom w:val="single" w:sz="4" w:space="0" w:color="auto"/>
              <w:right w:val="single" w:sz="4" w:space="0" w:color="auto"/>
            </w:tcBorders>
            <w:hideMark/>
          </w:tcPr>
          <w:p w:rsidR="00460762" w:rsidRPr="00460762" w:rsidRDefault="00460762">
            <w:pPr>
              <w:rPr>
                <w:sz w:val="20"/>
              </w:rPr>
            </w:pPr>
            <w:r w:rsidRPr="00460762">
              <w:rPr>
                <w:rStyle w:val="TableText12"/>
                <w:sz w:val="20"/>
              </w:rPr>
              <w:t>pyreksi</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brystsmerter, ansigtsødem</w:t>
            </w:r>
            <w:r w:rsidRPr="00460762">
              <w:rPr>
                <w:rStyle w:val="TableText12"/>
                <w:sz w:val="20"/>
                <w:vertAlign w:val="superscript"/>
                <w:lang w:val="da-DK"/>
              </w:rPr>
              <w:t>11</w:t>
            </w:r>
            <w:r w:rsidRPr="00460762">
              <w:rPr>
                <w:rStyle w:val="TableText12"/>
                <w:sz w:val="20"/>
                <w:lang w:val="da-DK"/>
              </w:rPr>
              <w:t>, asteni, kulderystelser</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rPr>
                <w:rFonts w:ascii="Times New Roman" w:hAnsi="Times New Roman" w:cs="Times New Roman"/>
                <w:lang w:val="da-DK"/>
              </w:rPr>
            </w:pPr>
            <w:r w:rsidRPr="00460762">
              <w:rPr>
                <w:rStyle w:val="TableText12"/>
                <w:sz w:val="20"/>
                <w:lang w:val="da-DK"/>
              </w:rPr>
              <w:t>reaktioner på infusionsstedet, influenzalignende sygdom</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r w:rsidR="00460762" w:rsidRPr="00460762" w:rsidTr="00460762">
        <w:trPr>
          <w:trHeight w:val="665"/>
        </w:trPr>
        <w:tc>
          <w:tcPr>
            <w:tcW w:w="1529" w:type="dxa"/>
            <w:tcBorders>
              <w:top w:val="single" w:sz="4" w:space="0" w:color="auto"/>
              <w:left w:val="single" w:sz="4" w:space="0" w:color="auto"/>
              <w:bottom w:val="single" w:sz="4" w:space="0" w:color="auto"/>
              <w:right w:val="single" w:sz="4" w:space="0" w:color="auto"/>
            </w:tcBorders>
            <w:hideMark/>
          </w:tcPr>
          <w:p w:rsidR="00460762" w:rsidRPr="00460762" w:rsidRDefault="00460762">
            <w:pPr>
              <w:keepNext/>
              <w:keepLines/>
              <w:rPr>
                <w:sz w:val="20"/>
              </w:rPr>
            </w:pPr>
            <w:r w:rsidRPr="00460762">
              <w:rPr>
                <w:sz w:val="20"/>
              </w:rPr>
              <w:t>Undersøgelser</w:t>
            </w:r>
          </w:p>
        </w:tc>
        <w:tc>
          <w:tcPr>
            <w:tcW w:w="1621" w:type="dxa"/>
            <w:tcBorders>
              <w:top w:val="single" w:sz="4" w:space="0" w:color="auto"/>
              <w:left w:val="single" w:sz="4" w:space="0" w:color="auto"/>
              <w:bottom w:val="single" w:sz="4" w:space="0" w:color="auto"/>
              <w:right w:val="single" w:sz="4" w:space="0" w:color="auto"/>
            </w:tcBorders>
          </w:tcPr>
          <w:p w:rsidR="00460762" w:rsidRPr="00460762" w:rsidRDefault="00460762">
            <w:pPr>
              <w:keepNext/>
              <w:keepLines/>
              <w:rPr>
                <w:sz w:val="20"/>
              </w:rPr>
            </w:pP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keepNext/>
              <w:keepLines/>
              <w:rPr>
                <w:rFonts w:ascii="Times New Roman" w:hAnsi="Times New Roman" w:cs="Times New Roman"/>
                <w:lang w:val="da-DK"/>
              </w:rPr>
            </w:pPr>
            <w:r w:rsidRPr="00460762">
              <w:rPr>
                <w:rStyle w:val="TableText12"/>
                <w:sz w:val="20"/>
                <w:lang w:val="da-DK"/>
              </w:rPr>
              <w:t>forhøjet serum</w:t>
            </w:r>
            <w:r w:rsidRPr="00460762">
              <w:rPr>
                <w:rStyle w:val="TableText12"/>
                <w:sz w:val="20"/>
                <w:lang w:val="da-DK"/>
              </w:rPr>
              <w:softHyphen/>
              <w:t>kreatinin</w:t>
            </w:r>
          </w:p>
        </w:tc>
        <w:tc>
          <w:tcPr>
            <w:tcW w:w="1980" w:type="dxa"/>
            <w:tcBorders>
              <w:top w:val="single" w:sz="4" w:space="0" w:color="auto"/>
              <w:left w:val="single" w:sz="4" w:space="0" w:color="auto"/>
              <w:bottom w:val="single" w:sz="4" w:space="0" w:color="auto"/>
              <w:right w:val="single" w:sz="4" w:space="0" w:color="auto"/>
            </w:tcBorders>
            <w:hideMark/>
          </w:tcPr>
          <w:p w:rsidR="00460762" w:rsidRPr="00460762" w:rsidRDefault="00460762">
            <w:pPr>
              <w:pStyle w:val="TableText"/>
              <w:keepNext/>
              <w:keepLines/>
              <w:rPr>
                <w:rFonts w:ascii="Times New Roman" w:hAnsi="Times New Roman" w:cs="Times New Roman"/>
                <w:lang w:val="da-DK"/>
              </w:rPr>
            </w:pPr>
            <w:r w:rsidRPr="00460762">
              <w:rPr>
                <w:rStyle w:val="TableText12"/>
                <w:sz w:val="20"/>
                <w:lang w:val="da-DK"/>
              </w:rPr>
              <w:t>forhøjet serum-carbamid, forhøjet kolesterol i blodet</w:t>
            </w:r>
          </w:p>
        </w:tc>
        <w:tc>
          <w:tcPr>
            <w:tcW w:w="171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c>
          <w:tcPr>
            <w:tcW w:w="1260" w:type="dxa"/>
            <w:tcBorders>
              <w:top w:val="single" w:sz="4" w:space="0" w:color="auto"/>
              <w:left w:val="single" w:sz="4" w:space="0" w:color="auto"/>
              <w:bottom w:val="single" w:sz="4" w:space="0" w:color="auto"/>
              <w:right w:val="single" w:sz="4" w:space="0" w:color="auto"/>
            </w:tcBorders>
          </w:tcPr>
          <w:p w:rsidR="00460762" w:rsidRPr="00460762" w:rsidRDefault="00460762">
            <w:pPr>
              <w:rPr>
                <w:sz w:val="20"/>
              </w:rPr>
            </w:pPr>
          </w:p>
        </w:tc>
      </w:tr>
    </w:tbl>
    <w:p w:rsidR="00460762" w:rsidRPr="00460762" w:rsidRDefault="00460762" w:rsidP="00460762">
      <w:pPr>
        <w:ind w:left="284"/>
        <w:rPr>
          <w:sz w:val="20"/>
          <w:lang w:eastAsia="fr-LU"/>
        </w:rPr>
      </w:pPr>
      <w:r w:rsidRPr="00460762">
        <w:rPr>
          <w:sz w:val="20"/>
        </w:rPr>
        <w:t>* Bivirkninger set efter markedsføring</w:t>
      </w:r>
    </w:p>
    <w:p w:rsidR="00460762" w:rsidRPr="00460762" w:rsidRDefault="00460762" w:rsidP="00460762">
      <w:pPr>
        <w:ind w:left="284"/>
        <w:rPr>
          <w:sz w:val="20"/>
        </w:rPr>
      </w:pPr>
      <w:r w:rsidRPr="00460762">
        <w:rPr>
          <w:sz w:val="20"/>
          <w:vertAlign w:val="superscript"/>
        </w:rPr>
        <w:t>1</w:t>
      </w:r>
      <w:r w:rsidRPr="00460762">
        <w:rPr>
          <w:sz w:val="20"/>
        </w:rPr>
        <w:t xml:space="preserve"> Inkluderer febril neutropeni og neutropeni.</w:t>
      </w:r>
    </w:p>
    <w:p w:rsidR="00460762" w:rsidRPr="00460762" w:rsidRDefault="00460762" w:rsidP="00460762">
      <w:pPr>
        <w:ind w:left="284"/>
        <w:rPr>
          <w:sz w:val="20"/>
        </w:rPr>
      </w:pPr>
      <w:r w:rsidRPr="00460762">
        <w:rPr>
          <w:sz w:val="20"/>
          <w:vertAlign w:val="superscript"/>
        </w:rPr>
        <w:t>2</w:t>
      </w:r>
      <w:r w:rsidRPr="00460762">
        <w:rPr>
          <w:sz w:val="20"/>
        </w:rPr>
        <w:t xml:space="preserve"> Inkluderer immun trombocytopenisk purpura.</w:t>
      </w:r>
    </w:p>
    <w:p w:rsidR="00460762" w:rsidRPr="00460762" w:rsidRDefault="00460762" w:rsidP="00460762">
      <w:pPr>
        <w:ind w:left="284"/>
        <w:rPr>
          <w:sz w:val="20"/>
        </w:rPr>
      </w:pPr>
      <w:r w:rsidRPr="00460762">
        <w:rPr>
          <w:sz w:val="20"/>
          <w:vertAlign w:val="superscript"/>
        </w:rPr>
        <w:t>3</w:t>
      </w:r>
      <w:r w:rsidRPr="00460762">
        <w:rPr>
          <w:sz w:val="20"/>
        </w:rPr>
        <w:t xml:space="preserve"> Inkluderer nakkestivhed og tetani.</w:t>
      </w:r>
    </w:p>
    <w:p w:rsidR="00460762" w:rsidRPr="00460762" w:rsidRDefault="00460762" w:rsidP="00460762">
      <w:pPr>
        <w:ind w:left="284"/>
        <w:rPr>
          <w:sz w:val="20"/>
        </w:rPr>
      </w:pPr>
      <w:r w:rsidRPr="00460762">
        <w:rPr>
          <w:sz w:val="20"/>
          <w:vertAlign w:val="superscript"/>
        </w:rPr>
        <w:t>4</w:t>
      </w:r>
      <w:r w:rsidRPr="00460762">
        <w:rPr>
          <w:sz w:val="20"/>
        </w:rPr>
        <w:t xml:space="preserve"> Inkluderer hypoksisk-iskæmisk encefalopati og metabolisk encefalopati.</w:t>
      </w:r>
    </w:p>
    <w:p w:rsidR="00460762" w:rsidRPr="00460762" w:rsidRDefault="00460762" w:rsidP="00460762">
      <w:pPr>
        <w:ind w:left="284"/>
        <w:rPr>
          <w:sz w:val="20"/>
        </w:rPr>
      </w:pPr>
      <w:r w:rsidRPr="00460762">
        <w:rPr>
          <w:sz w:val="20"/>
          <w:vertAlign w:val="superscript"/>
        </w:rPr>
        <w:t>5</w:t>
      </w:r>
      <w:r w:rsidRPr="00460762">
        <w:rPr>
          <w:sz w:val="20"/>
        </w:rPr>
        <w:t xml:space="preserve"> Inkluderer akatisi og parkinsonisme.</w:t>
      </w:r>
    </w:p>
    <w:p w:rsidR="00460762" w:rsidRPr="00460762" w:rsidRDefault="00460762" w:rsidP="00460762">
      <w:pPr>
        <w:ind w:left="284"/>
        <w:rPr>
          <w:sz w:val="20"/>
        </w:rPr>
      </w:pPr>
      <w:r w:rsidRPr="00460762">
        <w:rPr>
          <w:sz w:val="20"/>
          <w:vertAlign w:val="superscript"/>
        </w:rPr>
        <w:t>6</w:t>
      </w:r>
      <w:r w:rsidRPr="00460762">
        <w:rPr>
          <w:sz w:val="20"/>
        </w:rPr>
        <w:t xml:space="preserve"> Se afsnittet ”Synsnedsættelse” i pkt. 4.8.</w:t>
      </w:r>
    </w:p>
    <w:p w:rsidR="00460762" w:rsidRPr="00460762" w:rsidRDefault="00460762" w:rsidP="00460762">
      <w:pPr>
        <w:ind w:left="284"/>
        <w:rPr>
          <w:sz w:val="20"/>
        </w:rPr>
      </w:pPr>
      <w:r w:rsidRPr="00460762">
        <w:rPr>
          <w:sz w:val="20"/>
          <w:vertAlign w:val="superscript"/>
        </w:rPr>
        <w:t>7</w:t>
      </w:r>
      <w:r w:rsidRPr="00460762">
        <w:rPr>
          <w:sz w:val="20"/>
        </w:rPr>
        <w:t xml:space="preserve"> Længerevarende optisk neuritis er rapporteret efter markedsføringen. Se pkt. 4.4.</w:t>
      </w:r>
    </w:p>
    <w:p w:rsidR="00460762" w:rsidRPr="00460762" w:rsidRDefault="00460762" w:rsidP="00460762">
      <w:pPr>
        <w:ind w:left="284"/>
        <w:rPr>
          <w:sz w:val="20"/>
        </w:rPr>
      </w:pPr>
      <w:r w:rsidRPr="00460762">
        <w:rPr>
          <w:sz w:val="20"/>
          <w:vertAlign w:val="superscript"/>
        </w:rPr>
        <w:t>8</w:t>
      </w:r>
      <w:r w:rsidRPr="00460762">
        <w:rPr>
          <w:sz w:val="20"/>
        </w:rPr>
        <w:t xml:space="preserve"> Se pkt. 4.4.</w:t>
      </w:r>
    </w:p>
    <w:p w:rsidR="00460762" w:rsidRPr="00460762" w:rsidRDefault="00460762" w:rsidP="00460762">
      <w:pPr>
        <w:ind w:left="284"/>
        <w:rPr>
          <w:sz w:val="20"/>
        </w:rPr>
      </w:pPr>
      <w:r w:rsidRPr="00460762">
        <w:rPr>
          <w:sz w:val="20"/>
          <w:vertAlign w:val="superscript"/>
        </w:rPr>
        <w:t>9</w:t>
      </w:r>
      <w:r w:rsidRPr="00460762">
        <w:rPr>
          <w:sz w:val="20"/>
        </w:rPr>
        <w:t xml:space="preserve"> Inkluderer dyspnø og belastningsdyspnø.</w:t>
      </w:r>
    </w:p>
    <w:p w:rsidR="00460762" w:rsidRPr="00460762" w:rsidRDefault="00460762" w:rsidP="00460762">
      <w:pPr>
        <w:ind w:left="284"/>
        <w:rPr>
          <w:sz w:val="20"/>
        </w:rPr>
      </w:pPr>
      <w:r w:rsidRPr="00460762">
        <w:rPr>
          <w:sz w:val="20"/>
          <w:vertAlign w:val="superscript"/>
        </w:rPr>
        <w:t>10</w:t>
      </w:r>
      <w:r w:rsidRPr="00460762">
        <w:rPr>
          <w:sz w:val="20"/>
        </w:rPr>
        <w:t xml:space="preserve"> Inkluderer lægemiddeludløst leverskade, toksisk hepatitis, hepatocellulær skade og hepatotoksicitet.</w:t>
      </w:r>
    </w:p>
    <w:p w:rsidR="00460762" w:rsidRPr="00460762" w:rsidRDefault="00460762" w:rsidP="00460762">
      <w:pPr>
        <w:ind w:left="284"/>
        <w:rPr>
          <w:sz w:val="20"/>
        </w:rPr>
      </w:pPr>
      <w:r w:rsidRPr="00460762">
        <w:rPr>
          <w:sz w:val="20"/>
          <w:vertAlign w:val="superscript"/>
        </w:rPr>
        <w:t>11</w:t>
      </w:r>
      <w:r w:rsidRPr="00460762">
        <w:rPr>
          <w:sz w:val="20"/>
        </w:rPr>
        <w:t xml:space="preserve"> Inkluderer periorbitalt ødem, læbeødem og ødem i munden.</w:t>
      </w:r>
    </w:p>
    <w:p w:rsidR="00460762" w:rsidRPr="00460762" w:rsidRDefault="00460762" w:rsidP="00460762">
      <w:pPr>
        <w:ind w:left="851"/>
        <w:rPr>
          <w:sz w:val="24"/>
          <w:szCs w:val="24"/>
        </w:rPr>
      </w:pPr>
    </w:p>
    <w:p w:rsidR="00460762" w:rsidRPr="00460762" w:rsidRDefault="00460762" w:rsidP="00460762">
      <w:pPr>
        <w:ind w:left="851"/>
        <w:rPr>
          <w:sz w:val="24"/>
          <w:szCs w:val="24"/>
          <w:u w:val="single"/>
        </w:rPr>
      </w:pPr>
      <w:r w:rsidRPr="00460762">
        <w:rPr>
          <w:sz w:val="24"/>
          <w:szCs w:val="24"/>
          <w:u w:val="single"/>
        </w:rPr>
        <w:t>Beskrivelse af udvalgte bivirkninger</w:t>
      </w:r>
    </w:p>
    <w:p w:rsidR="00460762" w:rsidRPr="00460762" w:rsidRDefault="00460762" w:rsidP="00460762">
      <w:pPr>
        <w:ind w:left="851"/>
        <w:rPr>
          <w:sz w:val="24"/>
          <w:szCs w:val="24"/>
        </w:rPr>
      </w:pPr>
    </w:p>
    <w:p w:rsidR="00460762" w:rsidRPr="00460762" w:rsidRDefault="00460762" w:rsidP="00460762">
      <w:pPr>
        <w:ind w:left="851"/>
        <w:rPr>
          <w:i/>
          <w:iCs/>
          <w:sz w:val="24"/>
          <w:szCs w:val="24"/>
        </w:rPr>
      </w:pPr>
      <w:r w:rsidRPr="00460762">
        <w:rPr>
          <w:i/>
          <w:iCs/>
          <w:sz w:val="24"/>
          <w:szCs w:val="24"/>
        </w:rPr>
        <w:t>Synsnedsættelse</w:t>
      </w:r>
    </w:p>
    <w:p w:rsidR="00460762" w:rsidRPr="00460762" w:rsidRDefault="00460762" w:rsidP="00460762">
      <w:pPr>
        <w:ind w:left="851"/>
        <w:rPr>
          <w:sz w:val="24"/>
          <w:szCs w:val="24"/>
        </w:rPr>
      </w:pPr>
      <w:r w:rsidRPr="00460762">
        <w:rPr>
          <w:sz w:val="24"/>
          <w:szCs w:val="24"/>
        </w:rPr>
        <w:t xml:space="preserve">I kliniske studier med voriconazol er nedsat syn (herunder sløret syn, fotofobi, kloropsi, kromatopsi, farveblindhed, cyanopsi, øjensygdom, aura, natteblindhed, oscillopsi, fotopsi, scintillerende scotom, nedsat synsskarphed, synsklarhed, synsfeltdefekt, øjenflydere og xanthopsi) meget almindeligt. Disse former for synsnedsættelse er forbigående og fuldt reversible og er for størstedelen spontant gået over inden for 60 minutter, og der ses ingen </w:t>
      </w:r>
      <w:r w:rsidRPr="00460762">
        <w:rPr>
          <w:sz w:val="24"/>
          <w:szCs w:val="24"/>
        </w:rPr>
        <w:lastRenderedPageBreak/>
        <w:t>klinisk betydende visuelle langtidsvirkninger. Der er bevis for, at synsændringerne mindskes ved gentagne doser af voriconazol. Synsnedsættelsen er generelt mild, og resulterer sjældent i seponering, og har ikke været forbundet med langtidsvirkninger. Synsnedsættelse kan være forbundet med højere plasmakoncentrationer og/eller doser.</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Virkningsmekanismen er ukendt, skønt reaktionen med stor sandsynlighed sker i retina. I et studie med raske frivillige, der undersøgte voriconazols betydning for retinafunktionen, forårsagede voriconazol et fald i elektroretinogrammet (ERG) bølgeformamplituden. ERG måler elektriske strømninger i retina. ERG-ændringerne progredierede ikke over 29 dages behandling, og var fuldt reversible ved seponering af voriconazol.</w:t>
      </w:r>
    </w:p>
    <w:p w:rsidR="00460762" w:rsidRPr="00460762" w:rsidRDefault="00460762" w:rsidP="00460762">
      <w:pPr>
        <w:ind w:left="851"/>
        <w:rPr>
          <w:sz w:val="24"/>
          <w:szCs w:val="24"/>
        </w:rPr>
      </w:pPr>
      <w:r w:rsidRPr="00460762">
        <w:rPr>
          <w:sz w:val="24"/>
          <w:szCs w:val="24"/>
        </w:rPr>
        <w:t>Der er efter markedsføring rapporteret om langvarige synsrelaterede bivirkninger (se pkt. 4.4).</w:t>
      </w:r>
    </w:p>
    <w:p w:rsidR="00460762" w:rsidRPr="00460762" w:rsidRDefault="00460762" w:rsidP="00460762">
      <w:pPr>
        <w:ind w:left="851"/>
        <w:rPr>
          <w:sz w:val="24"/>
          <w:szCs w:val="24"/>
        </w:rPr>
      </w:pPr>
    </w:p>
    <w:p w:rsidR="00460762" w:rsidRPr="00460762" w:rsidRDefault="00460762" w:rsidP="00460762">
      <w:pPr>
        <w:ind w:left="851"/>
        <w:rPr>
          <w:i/>
          <w:iCs/>
          <w:sz w:val="24"/>
          <w:szCs w:val="24"/>
        </w:rPr>
      </w:pPr>
      <w:r w:rsidRPr="00460762">
        <w:rPr>
          <w:i/>
          <w:iCs/>
          <w:sz w:val="24"/>
          <w:szCs w:val="24"/>
        </w:rPr>
        <w:t>Dermatologiske reaktioner</w:t>
      </w:r>
    </w:p>
    <w:p w:rsidR="00460762" w:rsidRPr="00460762" w:rsidRDefault="00460762" w:rsidP="00460762">
      <w:pPr>
        <w:ind w:left="851"/>
        <w:rPr>
          <w:sz w:val="24"/>
          <w:szCs w:val="24"/>
        </w:rPr>
      </w:pPr>
      <w:r w:rsidRPr="00460762">
        <w:rPr>
          <w:sz w:val="24"/>
          <w:szCs w:val="24"/>
        </w:rPr>
        <w:t>Dermatologiske reaktioner var meget almindelige hos patienter behandlet med voriconazol i kliniske studier, men disse patienter havde alvorlige underliggende sygdomme, og fik samtidig behandling med andre lægemidler. Sværhedsgraden af størstedelen af udslættene var let til moderat. Patienterne har udviklet svære kutane bivirkninger (SCAR), herunder Stevens-Johnsons syndrom (SJS) (ikke almindelig), toksisk epidermal nekrolyse (TEN) (sjælden), lægemiddelreaktion med eosinofili og systemiske symptomer (DRESS) (sjælden) og erythema multiforme (sjælden) under behandling med voriconazol (se pkt. 4.4).</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 xml:space="preserve">Hvis patienter udvikler udslæt, bør de monitoreres nøje, og </w:t>
      </w:r>
      <w:r w:rsidR="00C561B1">
        <w:rPr>
          <w:sz w:val="24"/>
          <w:szCs w:val="24"/>
        </w:rPr>
        <w:t>Voriconazole "Accord Healthcare"</w:t>
      </w:r>
      <w:r w:rsidRPr="00460762">
        <w:rPr>
          <w:sz w:val="24"/>
          <w:szCs w:val="24"/>
        </w:rPr>
        <w:t xml:space="preserve"> seponeres, hvis læsionen progredierer. Lysfølsomhedsreaktioner som efelider, lentigo og aktinisk keratose er rapporteret, især under langtidsbehandling (se pkt. 4.4).</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 xml:space="preserve">Der er rapporteret om planocellulært karcinom i huden (herunder kutant SCC </w:t>
      </w:r>
      <w:r w:rsidRPr="00460762">
        <w:rPr>
          <w:i/>
          <w:iCs/>
          <w:sz w:val="24"/>
          <w:szCs w:val="24"/>
        </w:rPr>
        <w:t>in situ</w:t>
      </w:r>
      <w:r w:rsidRPr="00460762">
        <w:rPr>
          <w:sz w:val="24"/>
          <w:szCs w:val="24"/>
        </w:rPr>
        <w:t xml:space="preserve"> eller morbus Bowen) hos patienter, der blev behandlet med voriconazol igennem længere tid. Mekanismen er ikke klarlagt (se pkt. 4.4).</w:t>
      </w:r>
    </w:p>
    <w:p w:rsidR="00460762" w:rsidRPr="00460762" w:rsidRDefault="00460762" w:rsidP="00460762">
      <w:pPr>
        <w:ind w:left="851"/>
        <w:rPr>
          <w:sz w:val="24"/>
          <w:szCs w:val="24"/>
        </w:rPr>
      </w:pPr>
    </w:p>
    <w:p w:rsidR="00460762" w:rsidRPr="00460762" w:rsidRDefault="00460762" w:rsidP="00460762">
      <w:pPr>
        <w:ind w:left="851"/>
        <w:rPr>
          <w:i/>
          <w:iCs/>
          <w:sz w:val="24"/>
          <w:szCs w:val="24"/>
        </w:rPr>
      </w:pPr>
      <w:r w:rsidRPr="00460762">
        <w:rPr>
          <w:i/>
          <w:iCs/>
          <w:sz w:val="24"/>
          <w:szCs w:val="24"/>
        </w:rPr>
        <w:t>Leverfunktionsprøver</w:t>
      </w:r>
    </w:p>
    <w:p w:rsidR="00460762" w:rsidRPr="00460762" w:rsidRDefault="00460762" w:rsidP="00460762">
      <w:pPr>
        <w:ind w:left="851"/>
        <w:rPr>
          <w:sz w:val="24"/>
          <w:szCs w:val="24"/>
        </w:rPr>
      </w:pPr>
      <w:r w:rsidRPr="00460762">
        <w:rPr>
          <w:sz w:val="24"/>
          <w:szCs w:val="24"/>
        </w:rPr>
        <w:t>I voriconazols kliniske program var den samlede incidens af transferase-stigninger &gt;3 ×ULN (ikke nødvendigvis med bivirkninger) 18,0 % (319/1.768) hos voksne og 25,8 % (73/283) hos pædiatriske forsøgspersoner, der blev behandlet med voriconazol til samlet terapeutisk og profylaktisk brug. Leverfunktionsafvigelserne kan associeres med højere plasmakoncentrationer og/eller doser. Størstedelen af de abnorme leverfunktionsprøver blev normale igen under behandlingen enten med eller uden dosisjustering, herunder seponering af behandling.</w:t>
      </w:r>
    </w:p>
    <w:p w:rsidR="00460762" w:rsidRPr="00460762" w:rsidRDefault="00460762" w:rsidP="00460762">
      <w:pPr>
        <w:ind w:left="851"/>
        <w:rPr>
          <w:sz w:val="24"/>
          <w:szCs w:val="24"/>
        </w:rPr>
      </w:pPr>
    </w:p>
    <w:p w:rsidR="00460762" w:rsidRPr="00460762" w:rsidRDefault="00460762" w:rsidP="00460762">
      <w:pPr>
        <w:ind w:left="851"/>
        <w:rPr>
          <w:sz w:val="24"/>
          <w:szCs w:val="24"/>
        </w:rPr>
      </w:pPr>
      <w:r w:rsidRPr="00460762">
        <w:rPr>
          <w:sz w:val="24"/>
          <w:szCs w:val="24"/>
        </w:rPr>
        <w:t>Hos patienter med andre alvorlige underliggende sygdomme er voriconazol blevet forbundet med svær levertoksicitet. Dette omfatter tilfælde af ikterus, hepatitis og leversvigt, der førte til dødsfald (se pkt. 4.4).</w:t>
      </w:r>
    </w:p>
    <w:p w:rsidR="00460762" w:rsidRPr="00460762" w:rsidRDefault="00460762" w:rsidP="00460762">
      <w:pPr>
        <w:ind w:left="851"/>
        <w:rPr>
          <w:sz w:val="24"/>
          <w:szCs w:val="24"/>
        </w:rPr>
      </w:pPr>
    </w:p>
    <w:p w:rsidR="00460762" w:rsidRPr="00460762" w:rsidRDefault="00460762" w:rsidP="00460762">
      <w:pPr>
        <w:ind w:left="851"/>
        <w:rPr>
          <w:i/>
          <w:iCs/>
          <w:sz w:val="24"/>
          <w:szCs w:val="24"/>
        </w:rPr>
      </w:pPr>
      <w:r w:rsidRPr="00460762">
        <w:rPr>
          <w:i/>
          <w:iCs/>
          <w:sz w:val="24"/>
          <w:szCs w:val="24"/>
        </w:rPr>
        <w:t>Infusionsrelaterede reaktioner</w:t>
      </w:r>
    </w:p>
    <w:p w:rsidR="00460762" w:rsidRPr="00460762" w:rsidRDefault="00460762" w:rsidP="00460762">
      <w:pPr>
        <w:ind w:left="851"/>
        <w:rPr>
          <w:sz w:val="24"/>
          <w:szCs w:val="24"/>
        </w:rPr>
      </w:pPr>
      <w:r w:rsidRPr="00460762">
        <w:rPr>
          <w:sz w:val="24"/>
          <w:szCs w:val="24"/>
        </w:rPr>
        <w:t>Under intravenøs infusion af voriconozol hos raske forsøgspersoner er der set tilfælde af anafylaktoid-lignende reaktioner, der omfatter rødmen (”flushing”), feber, svedtendens, takykardi, trykken for brystet, dyspnø, mathedsfølelse, kvalme, kløe og udslæt. Symptomerne opstod umiddelbart efter påbegyndt infusion (se pkt. 4.4).</w:t>
      </w:r>
    </w:p>
    <w:p w:rsidR="00460762" w:rsidRDefault="00460762">
      <w:pPr>
        <w:rPr>
          <w:sz w:val="24"/>
          <w:szCs w:val="24"/>
        </w:rPr>
      </w:pPr>
      <w:r>
        <w:rPr>
          <w:sz w:val="24"/>
          <w:szCs w:val="24"/>
        </w:rPr>
        <w:br w:type="page"/>
      </w:r>
    </w:p>
    <w:p w:rsidR="00460762" w:rsidRPr="00460762" w:rsidRDefault="00460762" w:rsidP="00460762">
      <w:pPr>
        <w:ind w:left="851"/>
        <w:rPr>
          <w:sz w:val="24"/>
          <w:szCs w:val="24"/>
        </w:rPr>
      </w:pPr>
    </w:p>
    <w:p w:rsidR="00460762" w:rsidRPr="00460762" w:rsidRDefault="00460762" w:rsidP="00460762">
      <w:pPr>
        <w:ind w:left="851"/>
        <w:rPr>
          <w:i/>
          <w:iCs/>
          <w:sz w:val="24"/>
          <w:szCs w:val="24"/>
        </w:rPr>
      </w:pPr>
      <w:r w:rsidRPr="00460762">
        <w:rPr>
          <w:i/>
          <w:iCs/>
          <w:sz w:val="24"/>
          <w:szCs w:val="24"/>
        </w:rPr>
        <w:t>Profylakse</w:t>
      </w:r>
    </w:p>
    <w:p w:rsidR="00460762" w:rsidRPr="00460762" w:rsidRDefault="00460762" w:rsidP="00460762">
      <w:pPr>
        <w:ind w:left="851"/>
        <w:rPr>
          <w:sz w:val="24"/>
          <w:szCs w:val="24"/>
        </w:rPr>
      </w:pPr>
      <w:r w:rsidRPr="00460762">
        <w:rPr>
          <w:sz w:val="24"/>
          <w:szCs w:val="24"/>
        </w:rPr>
        <w:t>I et åbent, komparativt multicenterstudie, der sammenlignede voriconazol med itraconazol til primær profylakse hos voksne og unge, der har fået allogen HSCT, uden forudgående påvist eller sandsynlig invasiv svampeinfektion, blev der rapporteret permanent seponering af voriconazol på grund af bivirkninger hos 39,3 % af forsøgspersonerne i forhold til 39,6 % af forsøgspersonerne i itraconazolarmen. Uønskede hepatiske hændelser, der skyldtes behandlingen, medførte permanent seponering af forsøgslægemidlet hos 50 forsøgspersoner (21,4 %) i voriconazol-armen, og hos 18 forsøgspersoner (7,1 %) i itraconazolarmen.</w:t>
      </w:r>
    </w:p>
    <w:p w:rsidR="00460762" w:rsidRPr="00460762" w:rsidRDefault="00460762" w:rsidP="00460762">
      <w:pPr>
        <w:ind w:left="851"/>
        <w:rPr>
          <w:sz w:val="24"/>
          <w:szCs w:val="24"/>
        </w:rPr>
      </w:pPr>
    </w:p>
    <w:p w:rsidR="00460762" w:rsidRPr="00460762" w:rsidRDefault="00460762" w:rsidP="00460762">
      <w:pPr>
        <w:ind w:left="851"/>
        <w:rPr>
          <w:i/>
          <w:iCs/>
          <w:sz w:val="24"/>
          <w:szCs w:val="24"/>
        </w:rPr>
      </w:pPr>
      <w:r w:rsidRPr="00460762">
        <w:rPr>
          <w:i/>
          <w:iCs/>
          <w:sz w:val="24"/>
          <w:szCs w:val="24"/>
        </w:rPr>
        <w:t>Pædiatrisk population</w:t>
      </w:r>
    </w:p>
    <w:p w:rsidR="00460762" w:rsidRPr="00460762" w:rsidRDefault="00460762" w:rsidP="00460762">
      <w:pPr>
        <w:ind w:left="851"/>
        <w:rPr>
          <w:sz w:val="24"/>
          <w:szCs w:val="24"/>
        </w:rPr>
      </w:pPr>
      <w:r w:rsidRPr="00460762">
        <w:rPr>
          <w:sz w:val="24"/>
          <w:szCs w:val="24"/>
        </w:rPr>
        <w:t xml:space="preserve">Sikkerheden af voriconazol blev undersøgt hos 288 pædiatriske patienter i alderen 2 til &lt;12 år (169) og 12 til &lt;18 år (119), som fik voriconazol-profylakse (183) og til terapeutisk brug (105) i kliniske studier. Sikkerheden af voriconazol er undersøgt hos yderligere 158 pædiatriske patienter i alderen 2 til &lt;12 år i </w:t>
      </w:r>
      <w:r w:rsidRPr="00460762">
        <w:rPr>
          <w:i/>
          <w:sz w:val="24"/>
          <w:szCs w:val="24"/>
        </w:rPr>
        <w:t>compassionate use</w:t>
      </w:r>
      <w:r w:rsidRPr="00460762">
        <w:rPr>
          <w:sz w:val="24"/>
          <w:szCs w:val="24"/>
        </w:rPr>
        <w:t xml:space="preserve"> programmer. Generelt er bivirkningsprofilen for voriconazol den samme hos den pædiatriske population som hos voksne. Der er dog observeret en tendens til en højere hyppighed af leverenzymstigninger, der blev rapporteret som bivirkninger i kliniske studier hos pædiatriske patienter, sammenlignet med voksne (14,2 % forhøjet transaminase hos pædiatriske patienter sammenlignet med 5,3 % hos voksne). Data efter markedsføring tyder på, at der kan være en højere forekomst af hudreaktioner (især erytem) hos børn end hos voksne. Hos de 22 patienter under 2 år, som blev behandlet med voriconazol i et </w:t>
      </w:r>
      <w:r w:rsidRPr="00460762">
        <w:rPr>
          <w:i/>
          <w:sz w:val="24"/>
          <w:szCs w:val="24"/>
        </w:rPr>
        <w:t>compassionate use</w:t>
      </w:r>
      <w:r w:rsidRPr="00460762">
        <w:rPr>
          <w:sz w:val="24"/>
          <w:szCs w:val="24"/>
        </w:rPr>
        <w:t xml:space="preserve"> program, er følgende bivirkninger (for hvilke en sammenhæng med voriconazol ikke kan udelukkes) rapporteret: Lysoverfølsomhedsreaktioner (1), arytmi (1), pankreatitis (1), forhøjet serum-bilirubin (1), forhøjet antal leverenzymer (1), udslæt (1) og papilødem (1). Efter markedsføring er der set tilfælde af pankreatitis hos børn.</w:t>
      </w:r>
    </w:p>
    <w:p w:rsidR="00460762" w:rsidRPr="00460762" w:rsidRDefault="00460762" w:rsidP="00460762">
      <w:pPr>
        <w:ind w:left="851"/>
        <w:rPr>
          <w:sz w:val="24"/>
          <w:szCs w:val="24"/>
        </w:rPr>
      </w:pPr>
    </w:p>
    <w:p w:rsidR="00460762" w:rsidRPr="00460762" w:rsidRDefault="00460762" w:rsidP="00460762">
      <w:pPr>
        <w:autoSpaceDE w:val="0"/>
        <w:autoSpaceDN w:val="0"/>
        <w:adjustRightInd w:val="0"/>
        <w:ind w:left="851"/>
        <w:rPr>
          <w:sz w:val="24"/>
          <w:szCs w:val="24"/>
          <w:u w:val="single"/>
        </w:rPr>
      </w:pPr>
      <w:r w:rsidRPr="00460762">
        <w:rPr>
          <w:sz w:val="24"/>
          <w:szCs w:val="24"/>
          <w:u w:val="single"/>
        </w:rPr>
        <w:t>Indberetning af formodede bivirkninger</w:t>
      </w:r>
    </w:p>
    <w:p w:rsidR="00460762" w:rsidRPr="00460762" w:rsidRDefault="00460762" w:rsidP="00460762">
      <w:pPr>
        <w:tabs>
          <w:tab w:val="left" w:pos="567"/>
        </w:tabs>
        <w:autoSpaceDE w:val="0"/>
        <w:autoSpaceDN w:val="0"/>
        <w:adjustRightInd w:val="0"/>
        <w:ind w:left="851"/>
        <w:rPr>
          <w:sz w:val="24"/>
          <w:szCs w:val="24"/>
        </w:rPr>
      </w:pPr>
      <w:r w:rsidRPr="00460762">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460762" w:rsidRPr="00460762" w:rsidRDefault="00460762" w:rsidP="00460762">
      <w:pPr>
        <w:tabs>
          <w:tab w:val="left" w:pos="567"/>
        </w:tabs>
        <w:autoSpaceDE w:val="0"/>
        <w:autoSpaceDN w:val="0"/>
        <w:adjustRightInd w:val="0"/>
        <w:ind w:left="851"/>
        <w:rPr>
          <w:sz w:val="24"/>
          <w:szCs w:val="24"/>
        </w:rPr>
      </w:pPr>
    </w:p>
    <w:p w:rsidR="00460762" w:rsidRPr="00460762" w:rsidRDefault="00460762" w:rsidP="00460762">
      <w:pPr>
        <w:tabs>
          <w:tab w:val="left" w:pos="567"/>
        </w:tabs>
        <w:autoSpaceDE w:val="0"/>
        <w:autoSpaceDN w:val="0"/>
        <w:adjustRightInd w:val="0"/>
        <w:ind w:left="851"/>
        <w:rPr>
          <w:sz w:val="24"/>
          <w:szCs w:val="24"/>
        </w:rPr>
      </w:pPr>
      <w:r w:rsidRPr="00460762">
        <w:rPr>
          <w:sz w:val="24"/>
          <w:szCs w:val="24"/>
        </w:rPr>
        <w:t>Lægemiddelstyrelsen</w:t>
      </w:r>
    </w:p>
    <w:p w:rsidR="00460762" w:rsidRPr="00460762" w:rsidRDefault="00460762" w:rsidP="00460762">
      <w:pPr>
        <w:tabs>
          <w:tab w:val="left" w:pos="567"/>
        </w:tabs>
        <w:autoSpaceDE w:val="0"/>
        <w:autoSpaceDN w:val="0"/>
        <w:adjustRightInd w:val="0"/>
        <w:ind w:left="851"/>
        <w:rPr>
          <w:sz w:val="24"/>
          <w:szCs w:val="24"/>
        </w:rPr>
      </w:pPr>
      <w:r w:rsidRPr="00460762">
        <w:rPr>
          <w:sz w:val="24"/>
          <w:szCs w:val="24"/>
        </w:rPr>
        <w:t>Axel Heides Gade 1</w:t>
      </w:r>
    </w:p>
    <w:p w:rsidR="00460762" w:rsidRPr="00460762" w:rsidRDefault="00460762" w:rsidP="00460762">
      <w:pPr>
        <w:tabs>
          <w:tab w:val="left" w:pos="567"/>
        </w:tabs>
        <w:autoSpaceDE w:val="0"/>
        <w:autoSpaceDN w:val="0"/>
        <w:adjustRightInd w:val="0"/>
        <w:ind w:left="851"/>
        <w:rPr>
          <w:sz w:val="24"/>
          <w:szCs w:val="24"/>
        </w:rPr>
      </w:pPr>
      <w:r w:rsidRPr="00460762">
        <w:rPr>
          <w:sz w:val="24"/>
          <w:szCs w:val="24"/>
        </w:rPr>
        <w:t>DK-2300 København S</w:t>
      </w:r>
    </w:p>
    <w:p w:rsidR="00460762" w:rsidRPr="00460762" w:rsidRDefault="00460762" w:rsidP="00460762">
      <w:pPr>
        <w:tabs>
          <w:tab w:val="left" w:pos="567"/>
        </w:tabs>
        <w:autoSpaceDE w:val="0"/>
        <w:autoSpaceDN w:val="0"/>
        <w:adjustRightInd w:val="0"/>
        <w:ind w:left="851"/>
        <w:rPr>
          <w:sz w:val="24"/>
          <w:szCs w:val="24"/>
        </w:rPr>
      </w:pPr>
      <w:r w:rsidRPr="00460762">
        <w:rPr>
          <w:sz w:val="24"/>
          <w:szCs w:val="24"/>
        </w:rPr>
        <w:t>Websted: www.meldenbivirkning.dk</w:t>
      </w:r>
    </w:p>
    <w:p w:rsidR="009260DE" w:rsidRPr="00460762" w:rsidRDefault="009260DE" w:rsidP="0046076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01010" w:rsidRPr="00201010" w:rsidRDefault="00201010" w:rsidP="00201010">
      <w:pPr>
        <w:tabs>
          <w:tab w:val="left" w:pos="851"/>
        </w:tabs>
        <w:ind w:left="851"/>
        <w:rPr>
          <w:sz w:val="24"/>
          <w:szCs w:val="24"/>
        </w:rPr>
      </w:pPr>
      <w:r w:rsidRPr="00201010">
        <w:rPr>
          <w:sz w:val="24"/>
          <w:szCs w:val="24"/>
        </w:rPr>
        <w:t>I kliniske studier var der 3 tilfælde af utilsigtet overdosering. De opstod alle hos pædiatriske patienter, som fik op til 5 gange den anbefalede intravenøse dosis af voriconazol. En enkelt bivirkning af fotofobi, der varede 10 minutter, blev rapporteret.</w:t>
      </w:r>
    </w:p>
    <w:p w:rsidR="00201010" w:rsidRPr="00201010" w:rsidRDefault="00201010" w:rsidP="00201010">
      <w:pPr>
        <w:tabs>
          <w:tab w:val="left" w:pos="851"/>
        </w:tabs>
        <w:ind w:left="851"/>
        <w:rPr>
          <w:sz w:val="24"/>
          <w:szCs w:val="24"/>
        </w:rPr>
      </w:pPr>
    </w:p>
    <w:p w:rsidR="00201010" w:rsidRPr="00201010" w:rsidRDefault="00201010" w:rsidP="00201010">
      <w:pPr>
        <w:tabs>
          <w:tab w:val="left" w:pos="851"/>
        </w:tabs>
        <w:ind w:left="851"/>
        <w:rPr>
          <w:sz w:val="24"/>
          <w:szCs w:val="24"/>
        </w:rPr>
      </w:pPr>
      <w:r w:rsidRPr="00201010">
        <w:rPr>
          <w:sz w:val="24"/>
          <w:szCs w:val="24"/>
        </w:rPr>
        <w:t>Der er ingen kendt antidot mod voriconazol.</w:t>
      </w:r>
    </w:p>
    <w:p w:rsidR="00201010" w:rsidRPr="00201010" w:rsidRDefault="00201010" w:rsidP="00201010">
      <w:pPr>
        <w:tabs>
          <w:tab w:val="left" w:pos="851"/>
        </w:tabs>
        <w:ind w:left="851"/>
        <w:rPr>
          <w:sz w:val="24"/>
          <w:szCs w:val="24"/>
        </w:rPr>
      </w:pPr>
    </w:p>
    <w:p w:rsidR="00201010" w:rsidRPr="00201010" w:rsidRDefault="00201010" w:rsidP="00201010">
      <w:pPr>
        <w:tabs>
          <w:tab w:val="left" w:pos="851"/>
        </w:tabs>
        <w:ind w:left="851"/>
        <w:rPr>
          <w:sz w:val="24"/>
          <w:szCs w:val="24"/>
        </w:rPr>
      </w:pPr>
      <w:r w:rsidRPr="00201010">
        <w:rPr>
          <w:sz w:val="24"/>
          <w:szCs w:val="24"/>
        </w:rPr>
        <w:t>Voriconazol hæmodialyseres med en clearance på 121 ml/min. Hjælpestoffet hydroxypropylbetadex hæmodialyseres med en clearance på 37,5±24 ml/min. Ved overdosering kan hæmodialyse muligvis medvirke til af fjerne voriconazol og hydroxypropylbetadex fra kroppen.</w:t>
      </w:r>
    </w:p>
    <w:p w:rsidR="00201010" w:rsidRDefault="00201010">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01010"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A1268" w:rsidRPr="00AA1268" w:rsidRDefault="00AA1268" w:rsidP="00AA1268">
      <w:pPr>
        <w:ind w:left="851"/>
        <w:rPr>
          <w:sz w:val="24"/>
          <w:szCs w:val="24"/>
          <w:lang w:eastAsia="fr-LU"/>
        </w:rPr>
      </w:pPr>
      <w:r w:rsidRPr="00AA1268">
        <w:rPr>
          <w:sz w:val="24"/>
          <w:szCs w:val="24"/>
        </w:rPr>
        <w:t>Farmakoterapeutisk klassifikation: Antimykotika til systemisk anvendelse, triazol- og tetrazolderivater, ATC-kode: J02AC03</w:t>
      </w:r>
      <w:r>
        <w:rPr>
          <w:sz w:val="24"/>
          <w:szCs w:val="24"/>
        </w:rPr>
        <w:t>.</w:t>
      </w:r>
    </w:p>
    <w:p w:rsidR="00AA1268" w:rsidRPr="00AA1268" w:rsidRDefault="00AA1268" w:rsidP="00AA1268">
      <w:pPr>
        <w:suppressAutoHyphens/>
        <w:ind w:left="851"/>
        <w:rPr>
          <w:b/>
          <w:sz w:val="24"/>
          <w:szCs w:val="24"/>
        </w:rPr>
      </w:pPr>
    </w:p>
    <w:p w:rsidR="00AA1268" w:rsidRPr="00AA1268" w:rsidRDefault="00AA1268" w:rsidP="00AA1268">
      <w:pPr>
        <w:suppressAutoHyphens/>
        <w:ind w:left="851"/>
        <w:rPr>
          <w:sz w:val="24"/>
          <w:szCs w:val="24"/>
          <w:u w:val="single"/>
        </w:rPr>
      </w:pPr>
      <w:r w:rsidRPr="00AA1268">
        <w:rPr>
          <w:sz w:val="24"/>
          <w:szCs w:val="24"/>
          <w:u w:val="single"/>
        </w:rPr>
        <w:t>Virkningsmekanisme</w:t>
      </w:r>
    </w:p>
    <w:p w:rsidR="00AA1268" w:rsidRPr="00AA1268" w:rsidRDefault="00AA1268" w:rsidP="00AA1268">
      <w:pPr>
        <w:suppressAutoHyphens/>
        <w:ind w:left="851"/>
        <w:rPr>
          <w:sz w:val="24"/>
          <w:szCs w:val="24"/>
        </w:rPr>
      </w:pPr>
      <w:r w:rsidRPr="00AA1268">
        <w:rPr>
          <w:sz w:val="24"/>
          <w:szCs w:val="24"/>
        </w:rPr>
        <w:t>Voriconazol er et antimykotikum af triazolgruppen. Voriconazols primære virkningsmåde er hæmning af fungal cytochrom P450-medieret 14-α-lanosteroldemethylering, der er et vigtigt trin i biosyntesen af fungal ergosterol. Akkumulering af 14-α-methylsteroler er korreleret med det efterfølgende tab af ergosterol i den fungale cellemembran og kan være ansvarlig for den antifungale virkning af voriconazol. Det er påvist, at voriconazol er mere selektiv for fungale cytochrom P450-enzymsystemer end over for forskellige mammale cytochrom P450-enzymsystemer.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Farmakokinetiske-farmakodynamiske relationer</w:t>
      </w:r>
    </w:p>
    <w:p w:rsidR="00AA1268" w:rsidRPr="00AA1268" w:rsidRDefault="00AA1268" w:rsidP="00AA1268">
      <w:pPr>
        <w:suppressAutoHyphens/>
        <w:ind w:left="851"/>
        <w:rPr>
          <w:sz w:val="24"/>
          <w:szCs w:val="24"/>
        </w:rPr>
      </w:pPr>
      <w:r w:rsidRPr="00AA1268">
        <w:rPr>
          <w:sz w:val="24"/>
          <w:szCs w:val="24"/>
        </w:rPr>
        <w:t>I 10 kliniske studier var medianen for gennemsnitlige og maksimale plasmakoncentrationer hos individuelle forsøgspersoner på tværs af studierne henholdsvis 2.425 ng/ml (interkvartil fra 1.193-4.380 ng/ml) og 3.742 ng/ml (interkvartil fra 2.027-6.302 ng/ml). En positiv sammenhæng mellem middel, maksimum og minimum plasmavoriconazolkoncentration og effekt i kliniske studier blev ikke fundet, og dette forhold er ikke undersøgt i profylaksestudier.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Farmakokinetiske-farmakodynamiske analyser af kliniske forsøgsdata identificerede positiv forbindelse mellem plasmavoriconazolkoncentrationer og både abnorme leverfunktionsværdier og synsforstyrrelser. Dosisjustering er ikke undersøgt i profylaksestudier.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Klinisk virkning og sikkerhed</w:t>
      </w:r>
    </w:p>
    <w:p w:rsidR="00AA1268" w:rsidRPr="00AA1268" w:rsidRDefault="00AA1268" w:rsidP="00AA1268">
      <w:pPr>
        <w:suppressAutoHyphens/>
        <w:ind w:left="851"/>
        <w:rPr>
          <w:sz w:val="24"/>
          <w:szCs w:val="24"/>
        </w:rPr>
      </w:pPr>
      <w:r w:rsidRPr="00AA1268">
        <w:rPr>
          <w:sz w:val="24"/>
          <w:szCs w:val="24"/>
        </w:rPr>
        <w:t xml:space="preserve">Voriconazol udviser bredspektret antimykotisk aktivitet </w:t>
      </w:r>
      <w:r w:rsidRPr="00AA1268">
        <w:rPr>
          <w:i/>
          <w:iCs/>
          <w:sz w:val="24"/>
          <w:szCs w:val="24"/>
        </w:rPr>
        <w:t>in vitro</w:t>
      </w:r>
      <w:r w:rsidRPr="00AA1268">
        <w:rPr>
          <w:sz w:val="24"/>
          <w:szCs w:val="24"/>
        </w:rPr>
        <w:t xml:space="preserve"> med antimykotisk styrke over for </w:t>
      </w:r>
      <w:r w:rsidRPr="00AA1268">
        <w:rPr>
          <w:i/>
          <w:iCs/>
          <w:sz w:val="24"/>
          <w:szCs w:val="24"/>
        </w:rPr>
        <w:t>Candida</w:t>
      </w:r>
      <w:r w:rsidRPr="00AA1268">
        <w:rPr>
          <w:sz w:val="24"/>
          <w:szCs w:val="24"/>
        </w:rPr>
        <w:t xml:space="preserve">-arter (herunder fluconazol resistente </w:t>
      </w:r>
      <w:r w:rsidRPr="00AA1268">
        <w:rPr>
          <w:i/>
          <w:iCs/>
          <w:sz w:val="24"/>
          <w:szCs w:val="24"/>
        </w:rPr>
        <w:t>C. krusei</w:t>
      </w:r>
      <w:r w:rsidRPr="00AA1268">
        <w:rPr>
          <w:sz w:val="24"/>
          <w:szCs w:val="24"/>
        </w:rPr>
        <w:t xml:space="preserve"> og resistente stammer af </w:t>
      </w:r>
      <w:r w:rsidRPr="00AA1268">
        <w:rPr>
          <w:i/>
          <w:iCs/>
          <w:sz w:val="24"/>
          <w:szCs w:val="24"/>
        </w:rPr>
        <w:t>C. glabrata</w:t>
      </w:r>
      <w:r w:rsidRPr="00AA1268">
        <w:rPr>
          <w:sz w:val="24"/>
          <w:szCs w:val="24"/>
        </w:rPr>
        <w:t xml:space="preserve"> og </w:t>
      </w:r>
      <w:r w:rsidRPr="00AA1268">
        <w:rPr>
          <w:i/>
          <w:iCs/>
          <w:sz w:val="24"/>
          <w:szCs w:val="24"/>
        </w:rPr>
        <w:t>C. albicans</w:t>
      </w:r>
      <w:r w:rsidRPr="00AA1268">
        <w:rPr>
          <w:sz w:val="24"/>
          <w:szCs w:val="24"/>
        </w:rPr>
        <w:t xml:space="preserve">) og fungicid aktivitet over for alle undersøgte </w:t>
      </w:r>
      <w:r w:rsidRPr="00AA1268">
        <w:rPr>
          <w:i/>
          <w:iCs/>
          <w:sz w:val="24"/>
          <w:szCs w:val="24"/>
        </w:rPr>
        <w:t>Aspergillus</w:t>
      </w:r>
      <w:r w:rsidRPr="00AA1268">
        <w:rPr>
          <w:sz w:val="24"/>
          <w:szCs w:val="24"/>
        </w:rPr>
        <w:t xml:space="preserve">-arter. Derudover viser voriconazol fungicid aktivitet </w:t>
      </w:r>
      <w:r w:rsidRPr="00AA1268">
        <w:rPr>
          <w:i/>
          <w:iCs/>
          <w:sz w:val="24"/>
          <w:szCs w:val="24"/>
        </w:rPr>
        <w:t>in vitro</w:t>
      </w:r>
      <w:r w:rsidRPr="00AA1268">
        <w:rPr>
          <w:sz w:val="24"/>
          <w:szCs w:val="24"/>
        </w:rPr>
        <w:t xml:space="preserve"> over for pludseligt opstående patogene svampe, herunder </w:t>
      </w:r>
      <w:r w:rsidRPr="00AA1268">
        <w:rPr>
          <w:i/>
          <w:iCs/>
          <w:sz w:val="24"/>
          <w:szCs w:val="24"/>
        </w:rPr>
        <w:t>Scedosporium</w:t>
      </w:r>
      <w:r w:rsidRPr="00AA1268">
        <w:rPr>
          <w:sz w:val="24"/>
          <w:szCs w:val="24"/>
        </w:rPr>
        <w:t xml:space="preserve"> eller </w:t>
      </w:r>
      <w:r w:rsidRPr="00AA1268">
        <w:rPr>
          <w:i/>
          <w:iCs/>
          <w:sz w:val="24"/>
          <w:szCs w:val="24"/>
        </w:rPr>
        <w:t>Fusarium</w:t>
      </w:r>
      <w:r w:rsidRPr="00AA1268">
        <w:rPr>
          <w:sz w:val="24"/>
          <w:szCs w:val="24"/>
        </w:rPr>
        <w:t>, som har begrænset følsomhed over for eksisterende svampemidler.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 xml:space="preserve">Klinisk virkning (defineret som delvist eller fuldstændigt respons) er påvist over for </w:t>
      </w:r>
      <w:r w:rsidRPr="00AA1268">
        <w:rPr>
          <w:i/>
          <w:iCs/>
          <w:sz w:val="24"/>
          <w:szCs w:val="24"/>
        </w:rPr>
        <w:t>Aspergillus spp.</w:t>
      </w:r>
      <w:r w:rsidRPr="00AA1268">
        <w:rPr>
          <w:sz w:val="24"/>
          <w:szCs w:val="24"/>
        </w:rPr>
        <w:t xml:space="preserve">, herunder </w:t>
      </w:r>
      <w:r w:rsidRPr="00AA1268">
        <w:rPr>
          <w:i/>
          <w:iCs/>
          <w:sz w:val="24"/>
          <w:szCs w:val="24"/>
        </w:rPr>
        <w:t>A. flavus</w:t>
      </w:r>
      <w:r w:rsidRPr="00AA1268">
        <w:rPr>
          <w:sz w:val="24"/>
          <w:szCs w:val="24"/>
        </w:rPr>
        <w:t xml:space="preserve">, </w:t>
      </w:r>
      <w:r w:rsidRPr="00AA1268">
        <w:rPr>
          <w:i/>
          <w:iCs/>
          <w:sz w:val="24"/>
          <w:szCs w:val="24"/>
        </w:rPr>
        <w:t>A. fumigatus</w:t>
      </w:r>
      <w:r w:rsidRPr="00AA1268">
        <w:rPr>
          <w:sz w:val="24"/>
          <w:szCs w:val="24"/>
        </w:rPr>
        <w:t xml:space="preserve">, </w:t>
      </w:r>
      <w:r w:rsidRPr="00AA1268">
        <w:rPr>
          <w:i/>
          <w:iCs/>
          <w:sz w:val="24"/>
          <w:szCs w:val="24"/>
        </w:rPr>
        <w:t>A. terreus</w:t>
      </w:r>
      <w:r w:rsidRPr="00AA1268">
        <w:rPr>
          <w:sz w:val="24"/>
          <w:szCs w:val="24"/>
        </w:rPr>
        <w:t xml:space="preserve">, </w:t>
      </w:r>
      <w:r w:rsidRPr="00AA1268">
        <w:rPr>
          <w:i/>
          <w:iCs/>
          <w:sz w:val="24"/>
          <w:szCs w:val="24"/>
        </w:rPr>
        <w:t>A. niger</w:t>
      </w:r>
      <w:r w:rsidRPr="00AA1268">
        <w:rPr>
          <w:sz w:val="24"/>
          <w:szCs w:val="24"/>
        </w:rPr>
        <w:t xml:space="preserve">, </w:t>
      </w:r>
      <w:r w:rsidRPr="00AA1268">
        <w:rPr>
          <w:i/>
          <w:iCs/>
          <w:sz w:val="24"/>
          <w:szCs w:val="24"/>
        </w:rPr>
        <w:t>A. nidulans</w:t>
      </w:r>
      <w:r w:rsidRPr="00AA1268">
        <w:rPr>
          <w:sz w:val="24"/>
          <w:szCs w:val="24"/>
        </w:rPr>
        <w:t xml:space="preserve">, </w:t>
      </w:r>
      <w:r w:rsidRPr="00AA1268">
        <w:rPr>
          <w:i/>
          <w:iCs/>
          <w:sz w:val="24"/>
          <w:szCs w:val="24"/>
        </w:rPr>
        <w:t>Candida spp.</w:t>
      </w:r>
      <w:r w:rsidRPr="00AA1268">
        <w:rPr>
          <w:sz w:val="24"/>
          <w:szCs w:val="24"/>
        </w:rPr>
        <w:t xml:space="preserve">, herunder </w:t>
      </w:r>
      <w:r w:rsidRPr="00AA1268">
        <w:rPr>
          <w:i/>
          <w:iCs/>
          <w:sz w:val="24"/>
          <w:szCs w:val="24"/>
        </w:rPr>
        <w:t>C. albicans</w:t>
      </w:r>
      <w:r w:rsidRPr="00AA1268">
        <w:rPr>
          <w:sz w:val="24"/>
          <w:szCs w:val="24"/>
        </w:rPr>
        <w:t xml:space="preserve">, </w:t>
      </w:r>
      <w:r w:rsidRPr="00AA1268">
        <w:rPr>
          <w:i/>
          <w:iCs/>
          <w:sz w:val="24"/>
          <w:szCs w:val="24"/>
        </w:rPr>
        <w:t>C. glabrata</w:t>
      </w:r>
      <w:r w:rsidRPr="00AA1268">
        <w:rPr>
          <w:sz w:val="24"/>
          <w:szCs w:val="24"/>
        </w:rPr>
        <w:t xml:space="preserve">, </w:t>
      </w:r>
      <w:r w:rsidRPr="00AA1268">
        <w:rPr>
          <w:i/>
          <w:iCs/>
          <w:sz w:val="24"/>
          <w:szCs w:val="24"/>
        </w:rPr>
        <w:t>C. krusei</w:t>
      </w:r>
      <w:r w:rsidRPr="00AA1268">
        <w:rPr>
          <w:sz w:val="24"/>
          <w:szCs w:val="24"/>
        </w:rPr>
        <w:t xml:space="preserve">, </w:t>
      </w:r>
      <w:r w:rsidRPr="00AA1268">
        <w:rPr>
          <w:i/>
          <w:iCs/>
          <w:sz w:val="24"/>
          <w:szCs w:val="24"/>
        </w:rPr>
        <w:t>C. parapsilosis</w:t>
      </w:r>
      <w:r w:rsidRPr="00AA1268">
        <w:rPr>
          <w:sz w:val="24"/>
          <w:szCs w:val="24"/>
        </w:rPr>
        <w:t xml:space="preserve">, </w:t>
      </w:r>
      <w:r w:rsidRPr="00AA1268">
        <w:rPr>
          <w:i/>
          <w:iCs/>
          <w:sz w:val="24"/>
          <w:szCs w:val="24"/>
        </w:rPr>
        <w:t>C. tropicalis</w:t>
      </w:r>
      <w:r w:rsidRPr="00AA1268">
        <w:rPr>
          <w:sz w:val="24"/>
          <w:szCs w:val="24"/>
        </w:rPr>
        <w:t xml:space="preserve"> samt et begrænset antal af </w:t>
      </w:r>
      <w:r w:rsidRPr="00AA1268">
        <w:rPr>
          <w:i/>
          <w:iCs/>
          <w:sz w:val="24"/>
          <w:szCs w:val="24"/>
        </w:rPr>
        <w:t>C. dubliniensis</w:t>
      </w:r>
      <w:r w:rsidRPr="00AA1268">
        <w:rPr>
          <w:sz w:val="24"/>
          <w:szCs w:val="24"/>
        </w:rPr>
        <w:t xml:space="preserve">, </w:t>
      </w:r>
      <w:r w:rsidRPr="00AA1268">
        <w:rPr>
          <w:i/>
          <w:iCs/>
          <w:sz w:val="24"/>
          <w:szCs w:val="24"/>
        </w:rPr>
        <w:t>C. inconspicua</w:t>
      </w:r>
      <w:r w:rsidRPr="00AA1268">
        <w:rPr>
          <w:sz w:val="24"/>
          <w:szCs w:val="24"/>
        </w:rPr>
        <w:t xml:space="preserve"> og </w:t>
      </w:r>
      <w:r w:rsidRPr="00AA1268">
        <w:rPr>
          <w:i/>
          <w:iCs/>
          <w:sz w:val="24"/>
          <w:szCs w:val="24"/>
        </w:rPr>
        <w:t>C. guilliermondii</w:t>
      </w:r>
      <w:r w:rsidRPr="00AA1268">
        <w:rPr>
          <w:sz w:val="24"/>
          <w:szCs w:val="24"/>
        </w:rPr>
        <w:t xml:space="preserve">, </w:t>
      </w:r>
      <w:r w:rsidRPr="00AA1268">
        <w:rPr>
          <w:i/>
          <w:iCs/>
          <w:sz w:val="24"/>
          <w:szCs w:val="24"/>
        </w:rPr>
        <w:t>Scedosporium spp.</w:t>
      </w:r>
      <w:r w:rsidRPr="00AA1268">
        <w:rPr>
          <w:sz w:val="24"/>
          <w:szCs w:val="24"/>
        </w:rPr>
        <w:t xml:space="preserve">, herunder </w:t>
      </w:r>
      <w:r w:rsidRPr="00AA1268">
        <w:rPr>
          <w:i/>
          <w:iCs/>
          <w:sz w:val="24"/>
          <w:szCs w:val="24"/>
        </w:rPr>
        <w:t>S. apiospermum</w:t>
      </w:r>
      <w:r w:rsidRPr="00AA1268">
        <w:rPr>
          <w:sz w:val="24"/>
          <w:szCs w:val="24"/>
        </w:rPr>
        <w:t xml:space="preserve">, </w:t>
      </w:r>
      <w:r w:rsidRPr="00AA1268">
        <w:rPr>
          <w:i/>
          <w:iCs/>
          <w:sz w:val="24"/>
          <w:szCs w:val="24"/>
        </w:rPr>
        <w:t>S. prolificans</w:t>
      </w:r>
      <w:r w:rsidRPr="00AA1268">
        <w:rPr>
          <w:sz w:val="24"/>
          <w:szCs w:val="24"/>
        </w:rPr>
        <w:t xml:space="preserve"> og </w:t>
      </w:r>
      <w:r w:rsidRPr="00AA1268">
        <w:rPr>
          <w:i/>
          <w:iCs/>
          <w:sz w:val="24"/>
          <w:szCs w:val="24"/>
        </w:rPr>
        <w:t>Fusarium spp.</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 xml:space="preserve">Andre behandlede svampeinfektioner (ofte med delvist eller fuldstændigt respons) omfatter isolerede tilfælde af </w:t>
      </w:r>
      <w:r w:rsidRPr="00AA1268">
        <w:rPr>
          <w:i/>
          <w:iCs/>
          <w:sz w:val="24"/>
          <w:szCs w:val="24"/>
        </w:rPr>
        <w:t>Alternaria spp.</w:t>
      </w:r>
      <w:r w:rsidRPr="00AA1268">
        <w:rPr>
          <w:sz w:val="24"/>
          <w:szCs w:val="24"/>
        </w:rPr>
        <w:t xml:space="preserve">, </w:t>
      </w:r>
      <w:r w:rsidRPr="00AA1268">
        <w:rPr>
          <w:i/>
          <w:iCs/>
          <w:sz w:val="24"/>
          <w:szCs w:val="24"/>
        </w:rPr>
        <w:t>Blastomyces dermatitidis</w:t>
      </w:r>
      <w:r w:rsidRPr="00AA1268">
        <w:rPr>
          <w:sz w:val="24"/>
          <w:szCs w:val="24"/>
        </w:rPr>
        <w:t xml:space="preserve">, </w:t>
      </w:r>
      <w:r w:rsidRPr="00AA1268">
        <w:rPr>
          <w:i/>
          <w:iCs/>
          <w:sz w:val="24"/>
          <w:szCs w:val="24"/>
        </w:rPr>
        <w:t>Blastoschizomyces capitatus</w:t>
      </w:r>
      <w:r w:rsidRPr="00AA1268">
        <w:rPr>
          <w:sz w:val="24"/>
          <w:szCs w:val="24"/>
        </w:rPr>
        <w:t xml:space="preserve">, </w:t>
      </w:r>
      <w:r w:rsidRPr="00AA1268">
        <w:rPr>
          <w:i/>
          <w:iCs/>
          <w:sz w:val="24"/>
          <w:szCs w:val="24"/>
        </w:rPr>
        <w:t>Cladosporium spp.</w:t>
      </w:r>
      <w:r w:rsidRPr="00AA1268">
        <w:rPr>
          <w:sz w:val="24"/>
          <w:szCs w:val="24"/>
        </w:rPr>
        <w:t xml:space="preserve">, </w:t>
      </w:r>
      <w:r w:rsidRPr="00AA1268">
        <w:rPr>
          <w:i/>
          <w:iCs/>
          <w:sz w:val="24"/>
          <w:szCs w:val="24"/>
        </w:rPr>
        <w:t>Coccidioides immitis</w:t>
      </w:r>
      <w:r w:rsidRPr="00AA1268">
        <w:rPr>
          <w:sz w:val="24"/>
          <w:szCs w:val="24"/>
        </w:rPr>
        <w:t xml:space="preserve">, </w:t>
      </w:r>
      <w:r w:rsidRPr="00AA1268">
        <w:rPr>
          <w:i/>
          <w:iCs/>
          <w:sz w:val="24"/>
          <w:szCs w:val="24"/>
        </w:rPr>
        <w:t>Conidiobolus coronatus</w:t>
      </w:r>
      <w:r w:rsidRPr="00AA1268">
        <w:rPr>
          <w:sz w:val="24"/>
          <w:szCs w:val="24"/>
        </w:rPr>
        <w:t xml:space="preserve">, </w:t>
      </w:r>
      <w:r w:rsidRPr="00AA1268">
        <w:rPr>
          <w:i/>
          <w:iCs/>
          <w:sz w:val="24"/>
          <w:szCs w:val="24"/>
        </w:rPr>
        <w:t>Cryptococcus neoformans</w:t>
      </w:r>
      <w:r w:rsidRPr="00AA1268">
        <w:rPr>
          <w:sz w:val="24"/>
          <w:szCs w:val="24"/>
        </w:rPr>
        <w:t xml:space="preserve">, </w:t>
      </w:r>
      <w:r w:rsidRPr="00AA1268">
        <w:rPr>
          <w:i/>
          <w:iCs/>
          <w:sz w:val="24"/>
          <w:szCs w:val="24"/>
        </w:rPr>
        <w:t>Exserohlium rostratum</w:t>
      </w:r>
      <w:r w:rsidRPr="00AA1268">
        <w:rPr>
          <w:sz w:val="24"/>
          <w:szCs w:val="24"/>
        </w:rPr>
        <w:t xml:space="preserve">, </w:t>
      </w:r>
      <w:r w:rsidRPr="00AA1268">
        <w:rPr>
          <w:i/>
          <w:iCs/>
          <w:sz w:val="24"/>
          <w:szCs w:val="24"/>
        </w:rPr>
        <w:t>Exophiala spinifera</w:t>
      </w:r>
      <w:r w:rsidRPr="00AA1268">
        <w:rPr>
          <w:sz w:val="24"/>
          <w:szCs w:val="24"/>
        </w:rPr>
        <w:t xml:space="preserve">, </w:t>
      </w:r>
      <w:r w:rsidRPr="00AA1268">
        <w:rPr>
          <w:i/>
          <w:iCs/>
          <w:sz w:val="24"/>
          <w:szCs w:val="24"/>
        </w:rPr>
        <w:t xml:space="preserve">Fonsecaea </w:t>
      </w:r>
      <w:r w:rsidRPr="00AA1268">
        <w:rPr>
          <w:i/>
          <w:iCs/>
          <w:sz w:val="24"/>
          <w:szCs w:val="24"/>
        </w:rPr>
        <w:lastRenderedPageBreak/>
        <w:t>pedrosoi</w:t>
      </w:r>
      <w:r w:rsidRPr="00AA1268">
        <w:rPr>
          <w:sz w:val="24"/>
          <w:szCs w:val="24"/>
        </w:rPr>
        <w:t xml:space="preserve">, </w:t>
      </w:r>
      <w:r w:rsidRPr="00AA1268">
        <w:rPr>
          <w:i/>
          <w:iCs/>
          <w:sz w:val="24"/>
          <w:szCs w:val="24"/>
        </w:rPr>
        <w:t>Madurella mycetomatis</w:t>
      </w:r>
      <w:r w:rsidRPr="00AA1268">
        <w:rPr>
          <w:sz w:val="24"/>
          <w:szCs w:val="24"/>
        </w:rPr>
        <w:t xml:space="preserve">, </w:t>
      </w:r>
      <w:r w:rsidRPr="00AA1268">
        <w:rPr>
          <w:i/>
          <w:iCs/>
          <w:sz w:val="24"/>
          <w:szCs w:val="24"/>
        </w:rPr>
        <w:t>Paecilomyces lilacinus</w:t>
      </w:r>
      <w:r w:rsidRPr="00AA1268">
        <w:rPr>
          <w:sz w:val="24"/>
          <w:szCs w:val="24"/>
        </w:rPr>
        <w:t xml:space="preserve">, </w:t>
      </w:r>
      <w:r w:rsidRPr="00AA1268">
        <w:rPr>
          <w:i/>
          <w:iCs/>
          <w:sz w:val="24"/>
          <w:szCs w:val="24"/>
        </w:rPr>
        <w:t>Penicillium spp.</w:t>
      </w:r>
      <w:r w:rsidRPr="00AA1268">
        <w:rPr>
          <w:sz w:val="24"/>
          <w:szCs w:val="24"/>
        </w:rPr>
        <w:t xml:space="preserve">, herunder </w:t>
      </w:r>
      <w:r w:rsidRPr="00AA1268">
        <w:rPr>
          <w:i/>
          <w:iCs/>
          <w:sz w:val="24"/>
          <w:szCs w:val="24"/>
        </w:rPr>
        <w:t>P. marneffei</w:t>
      </w:r>
      <w:r w:rsidRPr="00AA1268">
        <w:rPr>
          <w:sz w:val="24"/>
          <w:szCs w:val="24"/>
        </w:rPr>
        <w:t xml:space="preserve">, </w:t>
      </w:r>
      <w:r w:rsidRPr="00AA1268">
        <w:rPr>
          <w:i/>
          <w:iCs/>
          <w:sz w:val="24"/>
          <w:szCs w:val="24"/>
        </w:rPr>
        <w:t>Phialophora richardsiae</w:t>
      </w:r>
      <w:r w:rsidRPr="00AA1268">
        <w:rPr>
          <w:sz w:val="24"/>
          <w:szCs w:val="24"/>
        </w:rPr>
        <w:t xml:space="preserve">, </w:t>
      </w:r>
      <w:r w:rsidRPr="00AA1268">
        <w:rPr>
          <w:i/>
          <w:iCs/>
          <w:sz w:val="24"/>
          <w:szCs w:val="24"/>
        </w:rPr>
        <w:t>Scopulariopsis brevicaulis</w:t>
      </w:r>
      <w:r w:rsidRPr="00AA1268">
        <w:rPr>
          <w:sz w:val="24"/>
          <w:szCs w:val="24"/>
        </w:rPr>
        <w:t xml:space="preserve"> og </w:t>
      </w:r>
      <w:r w:rsidRPr="00AA1268">
        <w:rPr>
          <w:i/>
          <w:iCs/>
          <w:sz w:val="24"/>
          <w:szCs w:val="24"/>
        </w:rPr>
        <w:t>Trichosporon spp.</w:t>
      </w:r>
      <w:r w:rsidRPr="00AA1268">
        <w:rPr>
          <w:sz w:val="24"/>
          <w:szCs w:val="24"/>
        </w:rPr>
        <w:t xml:space="preserve">, herunder </w:t>
      </w:r>
      <w:r w:rsidRPr="00AA1268">
        <w:rPr>
          <w:i/>
          <w:iCs/>
          <w:sz w:val="24"/>
          <w:szCs w:val="24"/>
        </w:rPr>
        <w:t>T. beigelii</w:t>
      </w:r>
      <w:r w:rsidRPr="00AA1268">
        <w:rPr>
          <w:sz w:val="24"/>
          <w:szCs w:val="24"/>
        </w:rPr>
        <w:t>-infektioner.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i/>
          <w:iCs/>
          <w:sz w:val="24"/>
          <w:szCs w:val="24"/>
        </w:rPr>
        <w:t>In vitro</w:t>
      </w:r>
      <w:r w:rsidRPr="00AA1268">
        <w:rPr>
          <w:sz w:val="24"/>
          <w:szCs w:val="24"/>
        </w:rPr>
        <w:t xml:space="preserve"> aktivitet over for kliniske isolater er set over for </w:t>
      </w:r>
      <w:r w:rsidRPr="00AA1268">
        <w:rPr>
          <w:i/>
          <w:iCs/>
          <w:sz w:val="24"/>
          <w:szCs w:val="24"/>
        </w:rPr>
        <w:t>Acremonium spp.</w:t>
      </w:r>
      <w:r w:rsidRPr="00AA1268">
        <w:rPr>
          <w:sz w:val="24"/>
          <w:szCs w:val="24"/>
        </w:rPr>
        <w:t xml:space="preserve">, </w:t>
      </w:r>
      <w:r w:rsidRPr="00AA1268">
        <w:rPr>
          <w:i/>
          <w:iCs/>
          <w:sz w:val="24"/>
          <w:szCs w:val="24"/>
        </w:rPr>
        <w:t>Alternaria spp.</w:t>
      </w:r>
      <w:r w:rsidRPr="00AA1268">
        <w:rPr>
          <w:sz w:val="24"/>
          <w:szCs w:val="24"/>
        </w:rPr>
        <w:t xml:space="preserve">, </w:t>
      </w:r>
      <w:r w:rsidRPr="00AA1268">
        <w:rPr>
          <w:i/>
          <w:iCs/>
          <w:sz w:val="24"/>
          <w:szCs w:val="24"/>
        </w:rPr>
        <w:t>Bipolaris spp.</w:t>
      </w:r>
      <w:r w:rsidRPr="00AA1268">
        <w:rPr>
          <w:sz w:val="24"/>
          <w:szCs w:val="24"/>
        </w:rPr>
        <w:t xml:space="preserve">, </w:t>
      </w:r>
      <w:r w:rsidRPr="00AA1268">
        <w:rPr>
          <w:i/>
          <w:iCs/>
          <w:sz w:val="24"/>
          <w:szCs w:val="24"/>
        </w:rPr>
        <w:t>Cladophialophora spp.</w:t>
      </w:r>
      <w:r w:rsidRPr="00AA1268">
        <w:rPr>
          <w:sz w:val="24"/>
          <w:szCs w:val="24"/>
        </w:rPr>
        <w:t xml:space="preserve">, </w:t>
      </w:r>
      <w:r w:rsidRPr="00AA1268">
        <w:rPr>
          <w:i/>
          <w:iCs/>
          <w:sz w:val="24"/>
          <w:szCs w:val="24"/>
        </w:rPr>
        <w:t>Histoplasma capsulatum</w:t>
      </w:r>
      <w:r w:rsidRPr="00AA1268">
        <w:rPr>
          <w:sz w:val="24"/>
          <w:szCs w:val="24"/>
        </w:rPr>
        <w:t xml:space="preserve">, hvor de fleste stammer bliver hæmmet af voriconazolkoncentrationer i området fra 0,05 til 2 </w:t>
      </w:r>
      <w:r w:rsidRPr="00AA1268">
        <w:rPr>
          <w:rFonts w:eastAsia="TimesNewRoman"/>
          <w:sz w:val="24"/>
          <w:szCs w:val="24"/>
        </w:rPr>
        <w:t>μ</w:t>
      </w:r>
      <w:r w:rsidRPr="00AA1268">
        <w:rPr>
          <w:sz w:val="24"/>
          <w:szCs w:val="24"/>
        </w:rPr>
        <w:t>g/ml.</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i/>
          <w:iCs/>
          <w:sz w:val="24"/>
          <w:szCs w:val="24"/>
        </w:rPr>
        <w:t>In vitro</w:t>
      </w:r>
      <w:r w:rsidRPr="00AA1268">
        <w:rPr>
          <w:sz w:val="24"/>
          <w:szCs w:val="24"/>
        </w:rPr>
        <w:t xml:space="preserve"> aktivitet over for følgende patogener er påvist, men den kliniske betydning er ukendt: </w:t>
      </w:r>
      <w:r w:rsidRPr="00AA1268">
        <w:rPr>
          <w:i/>
          <w:iCs/>
          <w:sz w:val="24"/>
          <w:szCs w:val="24"/>
        </w:rPr>
        <w:t>Curvularia spp.</w:t>
      </w:r>
      <w:r w:rsidRPr="00AA1268">
        <w:rPr>
          <w:sz w:val="24"/>
          <w:szCs w:val="24"/>
        </w:rPr>
        <w:t xml:space="preserve"> og </w:t>
      </w:r>
      <w:r w:rsidRPr="00AA1268">
        <w:rPr>
          <w:i/>
          <w:iCs/>
          <w:sz w:val="24"/>
          <w:szCs w:val="24"/>
        </w:rPr>
        <w:t>Sporothrix spp.</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Grænseværdier</w:t>
      </w:r>
    </w:p>
    <w:p w:rsidR="00AA1268" w:rsidRPr="00AA1268" w:rsidRDefault="00AA1268" w:rsidP="00AA1268">
      <w:pPr>
        <w:suppressAutoHyphens/>
        <w:ind w:left="851"/>
        <w:rPr>
          <w:sz w:val="24"/>
          <w:szCs w:val="24"/>
        </w:rPr>
      </w:pPr>
      <w:r w:rsidRPr="00AA1268">
        <w:rPr>
          <w:sz w:val="24"/>
          <w:szCs w:val="24"/>
        </w:rPr>
        <w:t>Artsbestemmelse af svampekultur og andre relevante laboratorieundersøgelser (serologi, histopatologi) bør foretages før behandling for at isolere og identificere de sygdomsfremkaldende mikroorganismer. Behandling kan startes, før resultaterne af kulturbestemmelsen og andre laboratorieundersøgelser foreligger; imidlertid skal den antiinfektive behandling justeres i overensstemmelse med disse resultater, når de foreligger.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 xml:space="preserve">De arter, der oftest forårsager infektioner hos mennesker, omfatter </w:t>
      </w:r>
      <w:r w:rsidRPr="00AA1268">
        <w:rPr>
          <w:i/>
          <w:iCs/>
          <w:sz w:val="24"/>
          <w:szCs w:val="24"/>
        </w:rPr>
        <w:t>C. albicans</w:t>
      </w:r>
      <w:r w:rsidRPr="00AA1268">
        <w:rPr>
          <w:sz w:val="24"/>
          <w:szCs w:val="24"/>
        </w:rPr>
        <w:t xml:space="preserve">, </w:t>
      </w:r>
      <w:r w:rsidRPr="00AA1268">
        <w:rPr>
          <w:i/>
          <w:iCs/>
          <w:sz w:val="24"/>
          <w:szCs w:val="24"/>
        </w:rPr>
        <w:t>C. parapsilosis</w:t>
      </w:r>
      <w:r w:rsidRPr="00AA1268">
        <w:rPr>
          <w:sz w:val="24"/>
          <w:szCs w:val="24"/>
        </w:rPr>
        <w:t xml:space="preserve">, </w:t>
      </w:r>
      <w:r w:rsidRPr="00AA1268">
        <w:rPr>
          <w:i/>
          <w:iCs/>
          <w:sz w:val="24"/>
          <w:szCs w:val="24"/>
        </w:rPr>
        <w:t>C. tropicalis</w:t>
      </w:r>
      <w:r w:rsidRPr="00AA1268">
        <w:rPr>
          <w:sz w:val="24"/>
          <w:szCs w:val="24"/>
        </w:rPr>
        <w:t xml:space="preserve">, </w:t>
      </w:r>
      <w:r w:rsidRPr="00AA1268">
        <w:rPr>
          <w:i/>
          <w:iCs/>
          <w:sz w:val="24"/>
          <w:szCs w:val="24"/>
        </w:rPr>
        <w:t>C. glabrata</w:t>
      </w:r>
      <w:r w:rsidRPr="00AA1268">
        <w:rPr>
          <w:sz w:val="24"/>
          <w:szCs w:val="24"/>
        </w:rPr>
        <w:t xml:space="preserve"> og </w:t>
      </w:r>
      <w:r w:rsidRPr="00AA1268">
        <w:rPr>
          <w:i/>
          <w:iCs/>
          <w:sz w:val="24"/>
          <w:szCs w:val="24"/>
        </w:rPr>
        <w:t>C. krusei</w:t>
      </w:r>
      <w:r w:rsidRPr="00AA1268">
        <w:rPr>
          <w:sz w:val="24"/>
          <w:szCs w:val="24"/>
        </w:rPr>
        <w:t>, der alle typisk har mindste hæmmende koncentrationsværdier (MIC) på mindre end 1 mg/l for voriconazol.</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i/>
          <w:iCs/>
          <w:sz w:val="24"/>
          <w:szCs w:val="24"/>
        </w:rPr>
        <w:t>In vitro</w:t>
      </w:r>
      <w:r w:rsidRPr="00AA1268">
        <w:rPr>
          <w:sz w:val="24"/>
          <w:szCs w:val="24"/>
        </w:rPr>
        <w:t xml:space="preserve"> aktiviteten af voriconazol over for </w:t>
      </w:r>
      <w:r w:rsidRPr="00AA1268">
        <w:rPr>
          <w:i/>
          <w:iCs/>
          <w:sz w:val="24"/>
          <w:szCs w:val="24"/>
        </w:rPr>
        <w:t>Candida</w:t>
      </w:r>
      <w:r w:rsidRPr="00AA1268">
        <w:rPr>
          <w:sz w:val="24"/>
          <w:szCs w:val="24"/>
        </w:rPr>
        <w:t xml:space="preserve">-arter er dog ikke ensartet. Dette ses især hos fluconazol-resistente isolater af </w:t>
      </w:r>
      <w:r w:rsidRPr="00AA1268">
        <w:rPr>
          <w:i/>
          <w:iCs/>
          <w:sz w:val="24"/>
          <w:szCs w:val="24"/>
        </w:rPr>
        <w:t>C. glabrata</w:t>
      </w:r>
      <w:r w:rsidRPr="00AA1268">
        <w:rPr>
          <w:sz w:val="24"/>
          <w:szCs w:val="24"/>
        </w:rPr>
        <w:t xml:space="preserve">, hvor MIC-værdierne for voriconazol er forholdsmæssigt højere end hos fluconazol-følsomme isolater. Alle forsøg på at bestemme </w:t>
      </w:r>
      <w:r w:rsidRPr="00AA1268">
        <w:rPr>
          <w:i/>
          <w:iCs/>
          <w:sz w:val="24"/>
          <w:szCs w:val="24"/>
        </w:rPr>
        <w:t>Candida</w:t>
      </w:r>
      <w:r w:rsidRPr="00AA1268">
        <w:rPr>
          <w:sz w:val="24"/>
          <w:szCs w:val="24"/>
        </w:rPr>
        <w:t xml:space="preserve"> til artsniveau skal derfor foretages. Hvis resistensbestemmelse af svampe er muligt, kan MIC-værdierne tolkes ved at anvende de grænseværdikriterier, der er fastlagt af EUCAST (European Committee on Antimicrobial Susceptibility Testing).</w:t>
      </w:r>
    </w:p>
    <w:p w:rsidR="00AA1268" w:rsidRPr="00AA1268" w:rsidRDefault="00AA1268" w:rsidP="00AA1268">
      <w:pPr>
        <w:suppressAutoHyphens/>
        <w:ind w:left="851"/>
        <w:rPr>
          <w:sz w:val="24"/>
          <w:szCs w:val="24"/>
        </w:rPr>
      </w:pPr>
    </w:p>
    <w:p w:rsidR="00AA1268" w:rsidRDefault="00AA1268" w:rsidP="00AA1268">
      <w:pPr>
        <w:suppressAutoHyphens/>
        <w:ind w:left="851"/>
        <w:rPr>
          <w:sz w:val="24"/>
          <w:szCs w:val="24"/>
          <w:u w:val="single"/>
        </w:rPr>
      </w:pPr>
      <w:r w:rsidRPr="00AA1268">
        <w:rPr>
          <w:sz w:val="24"/>
          <w:szCs w:val="24"/>
          <w:u w:val="single"/>
        </w:rPr>
        <w:t>EUCAST-grænseværdier</w:t>
      </w:r>
    </w:p>
    <w:p w:rsidR="007F30B8" w:rsidRPr="00AA1268" w:rsidRDefault="007F30B8" w:rsidP="00AA1268">
      <w:pPr>
        <w:suppressAutoHyphens/>
        <w:ind w:left="851"/>
        <w:rPr>
          <w:sz w:val="24"/>
          <w:szCs w:val="24"/>
          <w:u w:val="single"/>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55"/>
        <w:gridCol w:w="2420"/>
        <w:gridCol w:w="2182"/>
      </w:tblGrid>
      <w:tr w:rsidR="00AA1268" w:rsidTr="00AA1268">
        <w:trPr>
          <w:trHeight w:hRule="exact" w:val="243"/>
        </w:trPr>
        <w:tc>
          <w:tcPr>
            <w:tcW w:w="4655" w:type="dxa"/>
            <w:vMerge w:val="restart"/>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b/>
                <w:spacing w:val="-1"/>
                <w:w w:val="105"/>
                <w:sz w:val="20"/>
                <w:lang w:val="da-DK"/>
              </w:rPr>
              <w:t>Candida- og Aspergillus-arter</w:t>
            </w:r>
          </w:p>
        </w:tc>
        <w:tc>
          <w:tcPr>
            <w:tcW w:w="4602" w:type="dxa"/>
            <w:gridSpan w:val="2"/>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1477" w:right="463" w:hanging="1013"/>
              <w:rPr>
                <w:lang w:val="da-DK"/>
              </w:rPr>
            </w:pPr>
            <w:r>
              <w:rPr>
                <w:b/>
                <w:spacing w:val="-1"/>
                <w:w w:val="105"/>
                <w:sz w:val="20"/>
                <w:lang w:val="da-DK"/>
              </w:rPr>
              <w:t>MIC</w:t>
            </w:r>
            <w:r>
              <w:rPr>
                <w:b/>
                <w:spacing w:val="29"/>
                <w:w w:val="103"/>
                <w:sz w:val="20"/>
                <w:lang w:val="da-DK"/>
              </w:rPr>
              <w:t xml:space="preserve"> </w:t>
            </w:r>
            <w:r>
              <w:rPr>
                <w:b/>
                <w:spacing w:val="-1"/>
                <w:w w:val="105"/>
                <w:sz w:val="20"/>
                <w:lang w:val="da-DK"/>
              </w:rPr>
              <w:t>grænseværdi (mg/l)</w:t>
            </w:r>
          </w:p>
        </w:tc>
      </w:tr>
      <w:tr w:rsidR="00AA1268" w:rsidTr="00AA1268">
        <w:trPr>
          <w:trHeight w:hRule="exact" w:val="248"/>
        </w:trPr>
        <w:tc>
          <w:tcPr>
            <w:tcW w:w="9257" w:type="dxa"/>
            <w:vMerge/>
            <w:tcBorders>
              <w:top w:val="single" w:sz="4" w:space="0" w:color="auto"/>
              <w:left w:val="single" w:sz="4" w:space="0" w:color="auto"/>
              <w:bottom w:val="single" w:sz="4" w:space="0" w:color="auto"/>
              <w:right w:val="single" w:sz="4" w:space="0" w:color="auto"/>
            </w:tcBorders>
            <w:vAlign w:val="center"/>
            <w:hideMark/>
          </w:tcPr>
          <w:p w:rsidR="00AA1268" w:rsidRDefault="00AA1268">
            <w:pPr>
              <w:rPr>
                <w:sz w:val="24"/>
                <w:szCs w:val="24"/>
                <w:lang w:eastAsia="en-IN"/>
              </w:rPr>
            </w:pP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495"/>
              <w:rPr>
                <w:lang w:val="da-DK"/>
              </w:rPr>
            </w:pPr>
            <w:r>
              <w:rPr>
                <w:b/>
                <w:w w:val="105"/>
                <w:sz w:val="20"/>
                <w:lang w:val="da-DK"/>
              </w:rPr>
              <w:t>≤S</w:t>
            </w:r>
            <w:r>
              <w:rPr>
                <w:b/>
                <w:spacing w:val="-26"/>
                <w:w w:val="105"/>
                <w:sz w:val="20"/>
                <w:lang w:val="da-DK"/>
              </w:rPr>
              <w:t xml:space="preserve"> </w:t>
            </w:r>
            <w:r>
              <w:rPr>
                <w:b/>
                <w:spacing w:val="-1"/>
                <w:w w:val="105"/>
                <w:sz w:val="20"/>
                <w:lang w:val="da-DK"/>
              </w:rPr>
              <w:t>(følsom)</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447"/>
              <w:rPr>
                <w:lang w:val="da-DK"/>
              </w:rPr>
            </w:pPr>
            <w:r>
              <w:rPr>
                <w:b/>
                <w:spacing w:val="-1"/>
                <w:w w:val="105"/>
                <w:sz w:val="20"/>
                <w:lang w:val="da-DK"/>
              </w:rPr>
              <w:t>&gt;R</w:t>
            </w:r>
            <w:r>
              <w:rPr>
                <w:b/>
                <w:spacing w:val="-26"/>
                <w:w w:val="105"/>
                <w:sz w:val="20"/>
                <w:lang w:val="da-DK"/>
              </w:rPr>
              <w:t xml:space="preserve"> </w:t>
            </w:r>
            <w:r>
              <w:rPr>
                <w:b/>
                <w:spacing w:val="-1"/>
                <w:w w:val="105"/>
                <w:sz w:val="20"/>
                <w:lang w:val="da-DK"/>
              </w:rPr>
              <w:t>(resistent)</w:t>
            </w:r>
          </w:p>
        </w:tc>
      </w:tr>
      <w:tr w:rsidR="00AA1268" w:rsidTr="00AA1268">
        <w:trPr>
          <w:trHeight w:hRule="exact" w:val="245"/>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w w:val="105"/>
                <w:sz w:val="20"/>
                <w:lang w:val="da-DK"/>
              </w:rPr>
              <w:t>Candida</w:t>
            </w:r>
            <w:r>
              <w:rPr>
                <w:i/>
                <w:spacing w:val="-31"/>
                <w:w w:val="105"/>
                <w:sz w:val="20"/>
                <w:lang w:val="da-DK"/>
              </w:rPr>
              <w:t xml:space="preserve"> </w:t>
            </w:r>
            <w:r>
              <w:rPr>
                <w:i/>
                <w:spacing w:val="-1"/>
                <w:w w:val="105"/>
                <w:sz w:val="20"/>
                <w:lang w:val="da-DK"/>
              </w:rPr>
              <w:t>albicans</w:t>
            </w:r>
            <w:r>
              <w:rPr>
                <w:i/>
                <w:spacing w:val="-2"/>
                <w:w w:val="105"/>
                <w:position w:val="9"/>
                <w:sz w:val="13"/>
                <w:lang w:val="da-DK"/>
              </w:rPr>
              <w:t>1</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0,06</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0,25</w:t>
            </w:r>
          </w:p>
        </w:tc>
      </w:tr>
      <w:tr w:rsidR="00AA1268" w:rsidTr="00AA1268">
        <w:trPr>
          <w:trHeight w:hRule="exact" w:val="250"/>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sz w:val="20"/>
                <w:lang w:val="da-DK"/>
              </w:rPr>
              <w:t>Candida</w:t>
            </w:r>
            <w:r>
              <w:rPr>
                <w:i/>
                <w:sz w:val="20"/>
                <w:lang w:val="da-DK"/>
              </w:rPr>
              <w:t xml:space="preserve"> </w:t>
            </w:r>
            <w:r>
              <w:rPr>
                <w:i/>
                <w:iCs/>
                <w:spacing w:val="1"/>
                <w:sz w:val="20"/>
                <w:szCs w:val="20"/>
                <w:lang w:val="da-DK"/>
              </w:rPr>
              <w:t xml:space="preserve"> </w:t>
            </w:r>
            <w:r>
              <w:rPr>
                <w:i/>
                <w:spacing w:val="-1"/>
                <w:sz w:val="20"/>
                <w:lang w:val="da-DK"/>
              </w:rPr>
              <w:t>dubliniensis</w:t>
            </w:r>
            <w:r>
              <w:rPr>
                <w:i/>
                <w:spacing w:val="-1"/>
                <w:position w:val="9"/>
                <w:sz w:val="13"/>
                <w:lang w:val="da-DK"/>
              </w:rPr>
              <w:t>1</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0,06</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0,25</w:t>
            </w:r>
          </w:p>
        </w:tc>
      </w:tr>
      <w:tr w:rsidR="00AA1268" w:rsidTr="00AA1268">
        <w:trPr>
          <w:trHeight w:hRule="exact" w:val="247"/>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w w:val="105"/>
                <w:sz w:val="20"/>
                <w:lang w:val="da-DK"/>
              </w:rPr>
              <w:t>Candida</w:t>
            </w:r>
            <w:r>
              <w:rPr>
                <w:i/>
                <w:spacing w:val="-29"/>
                <w:w w:val="105"/>
                <w:sz w:val="20"/>
                <w:lang w:val="da-DK"/>
              </w:rPr>
              <w:t xml:space="preserve"> </w:t>
            </w:r>
            <w:r>
              <w:rPr>
                <w:i/>
                <w:spacing w:val="-1"/>
                <w:w w:val="105"/>
                <w:sz w:val="20"/>
                <w:lang w:val="da-DK"/>
              </w:rPr>
              <w:t>glabrata</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143"/>
              <w:rPr>
                <w:lang w:val="da-DK"/>
              </w:rPr>
            </w:pPr>
            <w:r>
              <w:rPr>
                <w:spacing w:val="-1"/>
                <w:w w:val="105"/>
                <w:sz w:val="20"/>
                <w:lang w:val="da-DK"/>
              </w:rPr>
              <w:t>Utilstrækkelig evidens</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Utilstrækkelig evidens</w:t>
            </w:r>
          </w:p>
        </w:tc>
      </w:tr>
      <w:tr w:rsidR="00AA1268" w:rsidTr="00AA1268">
        <w:trPr>
          <w:trHeight w:hRule="exact" w:val="246"/>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w w:val="105"/>
                <w:sz w:val="20"/>
                <w:lang w:val="da-DK"/>
              </w:rPr>
              <w:t>Candida</w:t>
            </w:r>
            <w:r>
              <w:rPr>
                <w:i/>
                <w:spacing w:val="-28"/>
                <w:w w:val="105"/>
                <w:sz w:val="20"/>
                <w:lang w:val="da-DK"/>
              </w:rPr>
              <w:t xml:space="preserve"> </w:t>
            </w:r>
            <w:r>
              <w:rPr>
                <w:i/>
                <w:spacing w:val="-1"/>
                <w:w w:val="105"/>
                <w:sz w:val="20"/>
                <w:lang w:val="da-DK"/>
              </w:rPr>
              <w:t>krusei</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Utilstrækkelig evidens</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Utilstrækkelig evidens</w:t>
            </w:r>
          </w:p>
        </w:tc>
      </w:tr>
      <w:tr w:rsidR="00AA1268" w:rsidTr="00AA1268">
        <w:trPr>
          <w:trHeight w:hRule="exact" w:val="248"/>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sz w:val="20"/>
                <w:lang w:val="da-DK"/>
              </w:rPr>
              <w:t>Candida</w:t>
            </w:r>
            <w:r>
              <w:rPr>
                <w:i/>
                <w:sz w:val="20"/>
                <w:lang w:val="da-DK"/>
              </w:rPr>
              <w:t xml:space="preserve"> </w:t>
            </w:r>
            <w:r>
              <w:rPr>
                <w:i/>
                <w:iCs/>
                <w:spacing w:val="2"/>
                <w:sz w:val="20"/>
                <w:szCs w:val="20"/>
                <w:lang w:val="da-DK"/>
              </w:rPr>
              <w:t xml:space="preserve"> </w:t>
            </w:r>
            <w:r>
              <w:rPr>
                <w:i/>
                <w:spacing w:val="-1"/>
                <w:sz w:val="20"/>
                <w:lang w:val="da-DK"/>
              </w:rPr>
              <w:t>parapsilosis</w:t>
            </w:r>
            <w:r>
              <w:rPr>
                <w:i/>
                <w:spacing w:val="-1"/>
                <w:position w:val="8"/>
                <w:sz w:val="13"/>
                <w:lang w:val="da-DK"/>
              </w:rPr>
              <w:t>1</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2"/>
              <w:rPr>
                <w:lang w:val="da-DK"/>
              </w:rPr>
            </w:pPr>
            <w:r>
              <w:rPr>
                <w:spacing w:val="-1"/>
                <w:w w:val="105"/>
                <w:sz w:val="20"/>
                <w:lang w:val="da-DK"/>
              </w:rPr>
              <w:t>0,125</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0,25</w:t>
            </w:r>
          </w:p>
        </w:tc>
      </w:tr>
      <w:tr w:rsidR="00AA1268" w:rsidTr="00AA1268">
        <w:trPr>
          <w:trHeight w:hRule="exact" w:val="246"/>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w w:val="105"/>
                <w:sz w:val="20"/>
                <w:lang w:val="da-DK"/>
              </w:rPr>
              <w:t>Candida</w:t>
            </w:r>
            <w:r>
              <w:rPr>
                <w:i/>
                <w:spacing w:val="-35"/>
                <w:w w:val="105"/>
                <w:sz w:val="20"/>
                <w:lang w:val="da-DK"/>
              </w:rPr>
              <w:t xml:space="preserve"> </w:t>
            </w:r>
            <w:r>
              <w:rPr>
                <w:b/>
                <w:bCs/>
                <w:i/>
                <w:iCs/>
                <w:sz w:val="22"/>
                <w:szCs w:val="22"/>
                <w:vertAlign w:val="superscript"/>
                <w:lang w:val="da-DK"/>
              </w:rPr>
              <w:t xml:space="preserve"> </w:t>
            </w:r>
            <w:r>
              <w:rPr>
                <w:i/>
                <w:spacing w:val="-1"/>
                <w:w w:val="105"/>
                <w:sz w:val="20"/>
                <w:lang w:val="da-DK"/>
              </w:rPr>
              <w:t>tropicalis</w:t>
            </w:r>
            <w:r>
              <w:rPr>
                <w:i/>
                <w:spacing w:val="-2"/>
                <w:w w:val="105"/>
                <w:position w:val="9"/>
                <w:sz w:val="13"/>
                <w:lang w:val="da-DK"/>
              </w:rPr>
              <w:t>1</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2"/>
              <w:rPr>
                <w:lang w:val="da-DK"/>
              </w:rPr>
            </w:pPr>
            <w:r>
              <w:rPr>
                <w:spacing w:val="-1"/>
                <w:w w:val="105"/>
                <w:sz w:val="20"/>
                <w:lang w:val="da-DK"/>
              </w:rPr>
              <w:t>0,125</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1"/>
                <w:w w:val="105"/>
                <w:sz w:val="20"/>
                <w:lang w:val="da-DK"/>
              </w:rPr>
              <w:t>0,25</w:t>
            </w:r>
          </w:p>
        </w:tc>
      </w:tr>
      <w:tr w:rsidR="00AA1268" w:rsidTr="00AA1268">
        <w:trPr>
          <w:trHeight w:hRule="exact" w:val="248"/>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sz w:val="20"/>
                <w:lang w:val="da-DK"/>
              </w:rPr>
              <w:t>Candida</w:t>
            </w:r>
            <w:r>
              <w:rPr>
                <w:i/>
                <w:sz w:val="20"/>
                <w:lang w:val="da-DK"/>
              </w:rPr>
              <w:t xml:space="preserve"> </w:t>
            </w:r>
            <w:r>
              <w:rPr>
                <w:i/>
                <w:iCs/>
                <w:spacing w:val="7"/>
                <w:sz w:val="20"/>
                <w:szCs w:val="20"/>
                <w:lang w:val="da-DK"/>
              </w:rPr>
              <w:t xml:space="preserve"> </w:t>
            </w:r>
            <w:r>
              <w:rPr>
                <w:i/>
                <w:spacing w:val="-1"/>
                <w:sz w:val="20"/>
                <w:lang w:val="da-DK"/>
              </w:rPr>
              <w:t>guilliermondii</w:t>
            </w:r>
            <w:r>
              <w:rPr>
                <w:i/>
                <w:spacing w:val="-1"/>
                <w:position w:val="9"/>
                <w:sz w:val="13"/>
                <w:lang w:val="da-DK"/>
              </w:rPr>
              <w:t>2</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3"/>
                <w:w w:val="105"/>
                <w:sz w:val="20"/>
                <w:lang w:val="da-DK"/>
              </w:rPr>
              <w:t>Utilstrækkelig evidens</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3"/>
                <w:w w:val="105"/>
                <w:sz w:val="20"/>
                <w:lang w:val="da-DK"/>
              </w:rPr>
              <w:t>Utilstrækkelig evidens</w:t>
            </w:r>
          </w:p>
        </w:tc>
      </w:tr>
      <w:tr w:rsidR="00AA1268" w:rsidTr="00AA1268">
        <w:trPr>
          <w:trHeight w:hRule="exact" w:val="247"/>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spacing w:val="-1"/>
                <w:w w:val="105"/>
                <w:sz w:val="20"/>
                <w:lang w:val="da-DK"/>
              </w:rPr>
              <w:t>Ikke-artsrelaterede grænseværdier for</w:t>
            </w:r>
            <w:r>
              <w:rPr>
                <w:spacing w:val="-17"/>
                <w:w w:val="105"/>
                <w:sz w:val="20"/>
                <w:lang w:val="da-DK"/>
              </w:rPr>
              <w:t xml:space="preserve"> </w:t>
            </w:r>
            <w:r>
              <w:rPr>
                <w:i/>
                <w:spacing w:val="-1"/>
                <w:w w:val="105"/>
                <w:sz w:val="20"/>
                <w:lang w:val="da-DK"/>
              </w:rPr>
              <w:t>Candida</w:t>
            </w:r>
            <w:r>
              <w:rPr>
                <w:i/>
                <w:spacing w:val="-2"/>
                <w:w w:val="105"/>
                <w:position w:val="9"/>
                <w:sz w:val="13"/>
                <w:lang w:val="da-DK"/>
              </w:rPr>
              <w:t>3</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3"/>
                <w:w w:val="105"/>
                <w:sz w:val="20"/>
                <w:lang w:val="da-DK"/>
              </w:rPr>
              <w:t>Utilstrækkelig evidens</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3"/>
                <w:w w:val="105"/>
                <w:sz w:val="20"/>
                <w:lang w:val="da-DK"/>
              </w:rPr>
              <w:t>Utilstrækkelig evidens</w:t>
            </w:r>
          </w:p>
        </w:tc>
      </w:tr>
      <w:tr w:rsidR="00AA1268" w:rsidTr="00AA1268">
        <w:trPr>
          <w:trHeight w:hRule="exact" w:val="247"/>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sz w:val="20"/>
                <w:lang w:val="da-DK"/>
              </w:rPr>
              <w:t>Aspergillus</w:t>
            </w:r>
            <w:r>
              <w:rPr>
                <w:i/>
                <w:spacing w:val="49"/>
                <w:sz w:val="20"/>
                <w:lang w:val="da-DK"/>
              </w:rPr>
              <w:t xml:space="preserve"> </w:t>
            </w:r>
            <w:r>
              <w:rPr>
                <w:i/>
                <w:spacing w:val="-1"/>
                <w:sz w:val="20"/>
                <w:lang w:val="da-DK"/>
              </w:rPr>
              <w:t>fumigatus</w:t>
            </w:r>
            <w:r>
              <w:rPr>
                <w:i/>
                <w:spacing w:val="-1"/>
                <w:position w:val="9"/>
                <w:sz w:val="13"/>
                <w:lang w:val="da-DK"/>
              </w:rPr>
              <w:t>4</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w w:val="105"/>
                <w:sz w:val="20"/>
                <w:lang w:val="da-DK"/>
              </w:rPr>
              <w:t>1</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w w:val="105"/>
                <w:sz w:val="20"/>
                <w:lang w:val="da-DK"/>
              </w:rPr>
              <w:t>1</w:t>
            </w:r>
          </w:p>
        </w:tc>
      </w:tr>
      <w:tr w:rsidR="00AA1268" w:rsidTr="00AA1268">
        <w:trPr>
          <w:trHeight w:hRule="exact" w:val="247"/>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sz w:val="20"/>
                <w:lang w:val="da-DK"/>
              </w:rPr>
              <w:t>Aspergillus</w:t>
            </w:r>
            <w:r>
              <w:rPr>
                <w:i/>
                <w:spacing w:val="46"/>
                <w:sz w:val="20"/>
                <w:lang w:val="da-DK"/>
              </w:rPr>
              <w:t xml:space="preserve"> </w:t>
            </w:r>
            <w:r>
              <w:rPr>
                <w:i/>
                <w:spacing w:val="-1"/>
                <w:sz w:val="20"/>
                <w:lang w:val="da-DK"/>
              </w:rPr>
              <w:t>nidulans</w:t>
            </w:r>
            <w:r>
              <w:rPr>
                <w:i/>
                <w:spacing w:val="-1"/>
                <w:position w:val="8"/>
                <w:sz w:val="13"/>
                <w:lang w:val="da-DK"/>
              </w:rPr>
              <w:t>4</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w w:val="105"/>
                <w:sz w:val="20"/>
                <w:lang w:val="da-DK"/>
              </w:rPr>
              <w:t>1</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w w:val="105"/>
                <w:sz w:val="20"/>
                <w:lang w:val="da-DK"/>
              </w:rPr>
              <w:t>1</w:t>
            </w:r>
          </w:p>
        </w:tc>
      </w:tr>
      <w:tr w:rsidR="00AA1268" w:rsidTr="00AA1268">
        <w:trPr>
          <w:trHeight w:hRule="exact" w:val="246"/>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w w:val="105"/>
                <w:sz w:val="20"/>
                <w:lang w:val="da-DK"/>
              </w:rPr>
              <w:t>Aspergillus</w:t>
            </w:r>
            <w:r>
              <w:rPr>
                <w:i/>
                <w:spacing w:val="-33"/>
                <w:w w:val="105"/>
                <w:sz w:val="20"/>
                <w:lang w:val="da-DK"/>
              </w:rPr>
              <w:t xml:space="preserve"> </w:t>
            </w:r>
            <w:r>
              <w:rPr>
                <w:i/>
                <w:spacing w:val="-1"/>
                <w:w w:val="105"/>
                <w:sz w:val="20"/>
                <w:lang w:val="da-DK"/>
              </w:rPr>
              <w:t>flavus</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right="1"/>
              <w:rPr>
                <w:lang w:val="da-DK"/>
              </w:rPr>
            </w:pPr>
            <w:r>
              <w:rPr>
                <w:spacing w:val="-1"/>
                <w:sz w:val="20"/>
                <w:lang w:val="da-DK"/>
              </w:rPr>
              <w:t>Utilstrækkelig evidens</w:t>
            </w:r>
            <w:r>
              <w:rPr>
                <w:spacing w:val="-1"/>
                <w:position w:val="7"/>
                <w:sz w:val="13"/>
                <w:lang w:val="da-DK"/>
              </w:rPr>
              <w:t>5</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right="2"/>
              <w:rPr>
                <w:lang w:val="da-DK"/>
              </w:rPr>
            </w:pPr>
            <w:r>
              <w:rPr>
                <w:spacing w:val="-2"/>
                <w:sz w:val="20"/>
                <w:lang w:val="da-DK"/>
              </w:rPr>
              <w:t>Utilstrækkelig evidens</w:t>
            </w:r>
            <w:r>
              <w:rPr>
                <w:spacing w:val="-2"/>
                <w:position w:val="7"/>
                <w:sz w:val="13"/>
                <w:lang w:val="da-DK"/>
              </w:rPr>
              <w:t>5</w:t>
            </w:r>
          </w:p>
        </w:tc>
      </w:tr>
      <w:tr w:rsidR="00AA1268" w:rsidTr="00AA1268">
        <w:trPr>
          <w:trHeight w:hRule="exact" w:val="248"/>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w w:val="105"/>
                <w:sz w:val="20"/>
                <w:lang w:val="da-DK"/>
              </w:rPr>
              <w:t>Aspergillus</w:t>
            </w:r>
            <w:r>
              <w:rPr>
                <w:i/>
                <w:spacing w:val="-32"/>
                <w:w w:val="105"/>
                <w:sz w:val="20"/>
                <w:lang w:val="da-DK"/>
              </w:rPr>
              <w:t xml:space="preserve"> </w:t>
            </w:r>
            <w:r>
              <w:rPr>
                <w:i/>
                <w:spacing w:val="-1"/>
                <w:w w:val="105"/>
                <w:sz w:val="20"/>
                <w:lang w:val="da-DK"/>
              </w:rPr>
              <w:t>niger</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right="1"/>
              <w:rPr>
                <w:lang w:val="da-DK"/>
              </w:rPr>
            </w:pPr>
            <w:r>
              <w:rPr>
                <w:spacing w:val="-1"/>
                <w:sz w:val="20"/>
                <w:lang w:val="da-DK"/>
              </w:rPr>
              <w:t>Utilstrækkelig evidens</w:t>
            </w:r>
            <w:r>
              <w:rPr>
                <w:spacing w:val="-1"/>
                <w:position w:val="7"/>
                <w:sz w:val="13"/>
                <w:lang w:val="da-DK"/>
              </w:rPr>
              <w:t>5</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right="2"/>
              <w:rPr>
                <w:lang w:val="da-DK"/>
              </w:rPr>
            </w:pPr>
            <w:r>
              <w:rPr>
                <w:spacing w:val="-2"/>
                <w:sz w:val="20"/>
                <w:lang w:val="da-DK"/>
              </w:rPr>
              <w:t>Utilstrækkelig evidens</w:t>
            </w:r>
            <w:r>
              <w:rPr>
                <w:spacing w:val="-2"/>
                <w:position w:val="7"/>
                <w:sz w:val="13"/>
                <w:lang w:val="da-DK"/>
              </w:rPr>
              <w:t>5</w:t>
            </w:r>
          </w:p>
        </w:tc>
      </w:tr>
      <w:tr w:rsidR="00AA1268" w:rsidTr="00AA1268">
        <w:trPr>
          <w:trHeight w:hRule="exact" w:val="246"/>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i/>
                <w:spacing w:val="-1"/>
                <w:w w:val="105"/>
                <w:sz w:val="20"/>
                <w:lang w:val="da-DK"/>
              </w:rPr>
              <w:t>Aspergillus</w:t>
            </w:r>
            <w:r>
              <w:rPr>
                <w:i/>
                <w:spacing w:val="-35"/>
                <w:w w:val="105"/>
                <w:sz w:val="20"/>
                <w:lang w:val="da-DK"/>
              </w:rPr>
              <w:t xml:space="preserve"> </w:t>
            </w:r>
            <w:r>
              <w:rPr>
                <w:i/>
                <w:spacing w:val="-1"/>
                <w:w w:val="105"/>
                <w:sz w:val="20"/>
                <w:lang w:val="da-DK"/>
              </w:rPr>
              <w:t>terreus</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right="1"/>
              <w:rPr>
                <w:lang w:val="da-DK"/>
              </w:rPr>
            </w:pPr>
            <w:r>
              <w:rPr>
                <w:spacing w:val="-1"/>
                <w:sz w:val="20"/>
                <w:lang w:val="da-DK"/>
              </w:rPr>
              <w:t>Utilstrækkelig evidens</w:t>
            </w:r>
            <w:r>
              <w:rPr>
                <w:spacing w:val="-1"/>
                <w:position w:val="7"/>
                <w:sz w:val="13"/>
                <w:lang w:val="da-DK"/>
              </w:rPr>
              <w:t>5</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right="2"/>
              <w:rPr>
                <w:lang w:val="da-DK"/>
              </w:rPr>
            </w:pPr>
            <w:r>
              <w:rPr>
                <w:spacing w:val="-2"/>
                <w:sz w:val="20"/>
                <w:lang w:val="da-DK"/>
              </w:rPr>
              <w:t>Utilstrækkelig evidens</w:t>
            </w:r>
            <w:r>
              <w:rPr>
                <w:spacing w:val="-2"/>
                <w:position w:val="7"/>
                <w:sz w:val="13"/>
                <w:lang w:val="da-DK"/>
              </w:rPr>
              <w:t>5</w:t>
            </w:r>
          </w:p>
        </w:tc>
      </w:tr>
      <w:tr w:rsidR="00AA1268" w:rsidTr="00AA1268">
        <w:trPr>
          <w:trHeight w:hRule="exact" w:val="248"/>
        </w:trPr>
        <w:tc>
          <w:tcPr>
            <w:tcW w:w="4655"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ind w:left="97"/>
              <w:rPr>
                <w:lang w:val="da-DK"/>
              </w:rPr>
            </w:pPr>
            <w:r>
              <w:rPr>
                <w:spacing w:val="-1"/>
                <w:w w:val="105"/>
                <w:sz w:val="20"/>
                <w:lang w:val="da-DK"/>
              </w:rPr>
              <w:t>Ikke-artsrelaterede grænseværdier</w:t>
            </w:r>
            <w:r>
              <w:rPr>
                <w:spacing w:val="-2"/>
                <w:w w:val="105"/>
                <w:position w:val="7"/>
                <w:sz w:val="13"/>
                <w:lang w:val="da-DK"/>
              </w:rPr>
              <w:t>6</w:t>
            </w:r>
          </w:p>
        </w:tc>
        <w:tc>
          <w:tcPr>
            <w:tcW w:w="2420"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3"/>
                <w:w w:val="105"/>
                <w:sz w:val="20"/>
                <w:lang w:val="da-DK"/>
              </w:rPr>
              <w:t>Utilstrækkelig evidens</w:t>
            </w:r>
          </w:p>
        </w:tc>
        <w:tc>
          <w:tcPr>
            <w:tcW w:w="2182" w:type="dxa"/>
            <w:tcBorders>
              <w:top w:val="single" w:sz="4" w:space="0" w:color="auto"/>
              <w:left w:val="single" w:sz="4" w:space="0" w:color="auto"/>
              <w:bottom w:val="single" w:sz="4" w:space="0" w:color="auto"/>
              <w:right w:val="single" w:sz="4" w:space="0" w:color="auto"/>
            </w:tcBorders>
            <w:hideMark/>
          </w:tcPr>
          <w:p w:rsidR="00AA1268" w:rsidRDefault="00AA1268">
            <w:pPr>
              <w:pStyle w:val="TableParagraph"/>
              <w:kinsoku w:val="0"/>
              <w:overflowPunct w:val="0"/>
              <w:rPr>
                <w:lang w:val="da-DK"/>
              </w:rPr>
            </w:pPr>
            <w:r>
              <w:rPr>
                <w:spacing w:val="-3"/>
                <w:w w:val="105"/>
                <w:sz w:val="20"/>
                <w:lang w:val="da-DK"/>
              </w:rPr>
              <w:t>Utilstrækkelig evidens</w:t>
            </w:r>
          </w:p>
        </w:tc>
      </w:tr>
      <w:tr w:rsidR="00AA1268" w:rsidTr="00AA1268">
        <w:trPr>
          <w:trHeight w:val="3992"/>
        </w:trPr>
        <w:tc>
          <w:tcPr>
            <w:tcW w:w="9257" w:type="dxa"/>
            <w:gridSpan w:val="3"/>
            <w:tcBorders>
              <w:top w:val="single" w:sz="4" w:space="0" w:color="auto"/>
              <w:left w:val="single" w:sz="4" w:space="0" w:color="auto"/>
              <w:bottom w:val="single" w:sz="4" w:space="0" w:color="auto"/>
              <w:right w:val="single" w:sz="4" w:space="0" w:color="auto"/>
            </w:tcBorders>
            <w:hideMark/>
          </w:tcPr>
          <w:p w:rsidR="00AA1268" w:rsidRDefault="00AA1268">
            <w:pPr>
              <w:pStyle w:val="TableParagraph"/>
              <w:ind w:left="107" w:right="109"/>
              <w:rPr>
                <w:spacing w:val="-1"/>
                <w:w w:val="105"/>
                <w:sz w:val="20"/>
                <w:szCs w:val="20"/>
                <w:lang w:val="da-DK"/>
              </w:rPr>
            </w:pPr>
            <w:r>
              <w:rPr>
                <w:w w:val="105"/>
                <w:position w:val="7"/>
                <w:sz w:val="20"/>
                <w:szCs w:val="20"/>
                <w:lang w:val="da-DK"/>
              </w:rPr>
              <w:lastRenderedPageBreak/>
              <w:t>1</w:t>
            </w:r>
            <w:r>
              <w:rPr>
                <w:spacing w:val="5"/>
                <w:w w:val="105"/>
                <w:position w:val="7"/>
                <w:sz w:val="20"/>
                <w:szCs w:val="20"/>
                <w:lang w:val="da-DK"/>
              </w:rPr>
              <w:t xml:space="preserve"> </w:t>
            </w:r>
            <w:r>
              <w:rPr>
                <w:spacing w:val="-1"/>
                <w:w w:val="105"/>
                <w:sz w:val="20"/>
                <w:szCs w:val="20"/>
                <w:lang w:val="da-DK"/>
              </w:rPr>
              <w:t xml:space="preserve">Stammer med MIC-værdier højere end følsomheds-/intermediær-grænseværdien er sjældne eller endnu ikke rapporteret. Identifikationstests og antimykotiske følsomhedstests på disse isolater skal gentages, og såfremt resultatet bekræftes, skal isolatet sendes til et referencelaboratorium. Indtil der er evidens vedrørende klinisk respons for bekræftede isolater med MIC-værdier over den aktuelle grænseværdi for resistens, bør de rapporteres som værende resistente. Der blev opnået et klinisk respons på 76 % for infektioner forårsaget af nedennævnte arter, når MIC-værdierne var lavere end eller lig med de epidemiologiske cut-off-værdier. Vildtype-populationer af </w:t>
            </w:r>
            <w:r>
              <w:rPr>
                <w:i/>
                <w:iCs/>
                <w:spacing w:val="-1"/>
                <w:w w:val="105"/>
                <w:sz w:val="20"/>
                <w:szCs w:val="20"/>
                <w:lang w:val="da-DK"/>
              </w:rPr>
              <w:t>C. albicans</w:t>
            </w:r>
            <w:r>
              <w:rPr>
                <w:spacing w:val="-1"/>
                <w:w w:val="105"/>
                <w:sz w:val="20"/>
                <w:szCs w:val="20"/>
                <w:lang w:val="da-DK"/>
              </w:rPr>
              <w:t xml:space="preserve">, </w:t>
            </w:r>
            <w:r>
              <w:rPr>
                <w:i/>
                <w:iCs/>
                <w:spacing w:val="-1"/>
                <w:w w:val="105"/>
                <w:sz w:val="20"/>
                <w:szCs w:val="20"/>
                <w:lang w:val="da-DK"/>
              </w:rPr>
              <w:t>C. dubliniensis</w:t>
            </w:r>
            <w:r>
              <w:rPr>
                <w:spacing w:val="-1"/>
                <w:w w:val="105"/>
                <w:sz w:val="20"/>
                <w:szCs w:val="20"/>
                <w:lang w:val="da-DK"/>
              </w:rPr>
              <w:t xml:space="preserve">, </w:t>
            </w:r>
            <w:r>
              <w:rPr>
                <w:i/>
                <w:iCs/>
                <w:spacing w:val="-1"/>
                <w:w w:val="105"/>
                <w:sz w:val="20"/>
                <w:szCs w:val="20"/>
                <w:lang w:val="da-DK"/>
              </w:rPr>
              <w:t>C. parapsilosis</w:t>
            </w:r>
            <w:r>
              <w:rPr>
                <w:spacing w:val="-1"/>
                <w:w w:val="105"/>
                <w:sz w:val="20"/>
                <w:szCs w:val="20"/>
                <w:lang w:val="da-DK"/>
              </w:rPr>
              <w:t xml:space="preserve"> og </w:t>
            </w:r>
            <w:r>
              <w:rPr>
                <w:i/>
                <w:iCs/>
                <w:spacing w:val="-1"/>
                <w:w w:val="105"/>
                <w:sz w:val="20"/>
                <w:szCs w:val="20"/>
                <w:lang w:val="da-DK"/>
              </w:rPr>
              <w:t>C. tropicalis</w:t>
            </w:r>
            <w:r>
              <w:rPr>
                <w:spacing w:val="-1"/>
                <w:w w:val="105"/>
                <w:sz w:val="20"/>
                <w:szCs w:val="20"/>
                <w:lang w:val="da-DK"/>
              </w:rPr>
              <w:t xml:space="preserve"> anses derfor for følsomme.</w:t>
            </w:r>
          </w:p>
          <w:p w:rsidR="00AA1268" w:rsidRDefault="00AA1268">
            <w:pPr>
              <w:pStyle w:val="TableParagraph"/>
              <w:ind w:left="107" w:right="109"/>
              <w:rPr>
                <w:spacing w:val="-1"/>
                <w:w w:val="105"/>
                <w:sz w:val="20"/>
                <w:szCs w:val="20"/>
                <w:lang w:val="da-DK"/>
              </w:rPr>
            </w:pPr>
            <w:r>
              <w:rPr>
                <w:spacing w:val="-1"/>
                <w:w w:val="105"/>
                <w:sz w:val="20"/>
                <w:szCs w:val="20"/>
                <w:vertAlign w:val="superscript"/>
                <w:lang w:val="da-DK"/>
              </w:rPr>
              <w:t>2</w:t>
            </w:r>
            <w:r>
              <w:rPr>
                <w:spacing w:val="-1"/>
                <w:w w:val="105"/>
                <w:sz w:val="20"/>
                <w:szCs w:val="20"/>
                <w:lang w:val="da-DK"/>
              </w:rPr>
              <w:t xml:space="preserve"> De epidemiologiske cut-off-værdier (ECOFF) for disse arter er generelt højere end for </w:t>
            </w:r>
            <w:r>
              <w:rPr>
                <w:i/>
                <w:iCs/>
                <w:spacing w:val="-1"/>
                <w:w w:val="105"/>
                <w:sz w:val="20"/>
                <w:szCs w:val="20"/>
                <w:lang w:val="da-DK"/>
              </w:rPr>
              <w:t>C. albicans</w:t>
            </w:r>
            <w:r>
              <w:rPr>
                <w:spacing w:val="-1"/>
                <w:w w:val="105"/>
                <w:sz w:val="20"/>
                <w:szCs w:val="20"/>
                <w:lang w:val="da-DK"/>
              </w:rPr>
              <w:t>.</w:t>
            </w:r>
          </w:p>
          <w:p w:rsidR="00AA1268" w:rsidRDefault="00AA1268">
            <w:pPr>
              <w:pStyle w:val="TableParagraph"/>
              <w:ind w:left="107" w:right="109"/>
              <w:rPr>
                <w:spacing w:val="-1"/>
                <w:w w:val="105"/>
                <w:sz w:val="20"/>
                <w:szCs w:val="20"/>
                <w:lang w:val="da-DK"/>
              </w:rPr>
            </w:pPr>
            <w:r>
              <w:rPr>
                <w:spacing w:val="-1"/>
                <w:w w:val="105"/>
                <w:sz w:val="20"/>
                <w:szCs w:val="20"/>
                <w:vertAlign w:val="superscript"/>
                <w:lang w:val="da-DK"/>
              </w:rPr>
              <w:t>3</w:t>
            </w:r>
            <w:r>
              <w:rPr>
                <w:spacing w:val="-1"/>
                <w:w w:val="105"/>
                <w:sz w:val="20"/>
                <w:szCs w:val="20"/>
                <w:lang w:val="da-DK"/>
              </w:rPr>
              <w:t xml:space="preserve"> Ikke-artsrelaterede grænseværdier er primært bestemt på basis af de farmakokinetiske/farmakodynamiske data, og er uafhængige af MIC-fordelingerne af specifikke </w:t>
            </w:r>
            <w:r>
              <w:rPr>
                <w:i/>
                <w:iCs/>
                <w:spacing w:val="-1"/>
                <w:w w:val="105"/>
                <w:sz w:val="20"/>
                <w:szCs w:val="20"/>
                <w:lang w:val="da-DK"/>
              </w:rPr>
              <w:t>Candida</w:t>
            </w:r>
            <w:r>
              <w:rPr>
                <w:spacing w:val="-1"/>
                <w:w w:val="105"/>
                <w:sz w:val="20"/>
                <w:szCs w:val="20"/>
                <w:lang w:val="da-DK"/>
              </w:rPr>
              <w:t>-arter. De skal kun anvendes for organismer, der ikke har specifikke grænseværdier.</w:t>
            </w:r>
          </w:p>
          <w:p w:rsidR="00AA1268" w:rsidRDefault="00AA1268">
            <w:pPr>
              <w:pStyle w:val="TableParagraph"/>
              <w:ind w:left="107" w:right="109"/>
              <w:rPr>
                <w:spacing w:val="-1"/>
                <w:w w:val="105"/>
                <w:sz w:val="20"/>
                <w:szCs w:val="20"/>
                <w:lang w:val="da-DK"/>
              </w:rPr>
            </w:pPr>
            <w:r>
              <w:rPr>
                <w:spacing w:val="-1"/>
                <w:w w:val="105"/>
                <w:sz w:val="20"/>
                <w:szCs w:val="20"/>
                <w:vertAlign w:val="superscript"/>
                <w:lang w:val="en-US"/>
              </w:rPr>
              <w:t>4</w:t>
            </w:r>
            <w:r>
              <w:rPr>
                <w:spacing w:val="-1"/>
                <w:w w:val="105"/>
                <w:sz w:val="20"/>
                <w:szCs w:val="20"/>
                <w:lang w:val="en-US"/>
              </w:rPr>
              <w:t xml:space="preserve"> ATU (Area of Technical Uncertainty) er 2. </w:t>
            </w:r>
            <w:r>
              <w:rPr>
                <w:spacing w:val="-1"/>
                <w:w w:val="105"/>
                <w:sz w:val="20"/>
                <w:szCs w:val="20"/>
                <w:lang w:val="da-DK"/>
              </w:rPr>
              <w:t>Rapporteres som R med følgende kommentar: "I nogle kliniske situationer (ikke-invasive infektionsformer) kan voriconazol anvendes, såfremt der sikres tilstrækkelig eksponering".</w:t>
            </w:r>
          </w:p>
          <w:p w:rsidR="00AA1268" w:rsidRDefault="00AA1268">
            <w:pPr>
              <w:pStyle w:val="TableParagraph"/>
              <w:ind w:left="107" w:right="109"/>
              <w:rPr>
                <w:spacing w:val="-1"/>
                <w:w w:val="105"/>
                <w:sz w:val="20"/>
                <w:szCs w:val="20"/>
                <w:lang w:val="da-DK"/>
              </w:rPr>
            </w:pPr>
            <w:r>
              <w:rPr>
                <w:spacing w:val="-1"/>
                <w:w w:val="105"/>
                <w:sz w:val="20"/>
                <w:szCs w:val="20"/>
                <w:vertAlign w:val="superscript"/>
                <w:lang w:val="da-DK"/>
              </w:rPr>
              <w:t>5</w:t>
            </w:r>
            <w:r>
              <w:rPr>
                <w:spacing w:val="-1"/>
                <w:w w:val="105"/>
                <w:sz w:val="20"/>
                <w:szCs w:val="20"/>
                <w:lang w:val="da-DK"/>
              </w:rPr>
              <w:t xml:space="preserve"> ECOFF-værdierne for disse arter er generelt en tofolds fortynding højere end for </w:t>
            </w:r>
            <w:r>
              <w:rPr>
                <w:i/>
                <w:iCs/>
                <w:spacing w:val="-1"/>
                <w:w w:val="105"/>
                <w:sz w:val="20"/>
                <w:szCs w:val="20"/>
                <w:lang w:val="da-DK"/>
              </w:rPr>
              <w:t>A. fumigatus</w:t>
            </w:r>
            <w:r>
              <w:rPr>
                <w:spacing w:val="-1"/>
                <w:w w:val="105"/>
                <w:sz w:val="20"/>
                <w:szCs w:val="20"/>
                <w:lang w:val="da-DK"/>
              </w:rPr>
              <w:t>.</w:t>
            </w:r>
          </w:p>
          <w:p w:rsidR="00AA1268" w:rsidRDefault="00AA1268">
            <w:pPr>
              <w:pStyle w:val="TableParagraph"/>
              <w:kinsoku w:val="0"/>
              <w:overflowPunct w:val="0"/>
              <w:ind w:left="97"/>
              <w:rPr>
                <w:szCs w:val="22"/>
                <w:lang w:val="da-DK"/>
              </w:rPr>
            </w:pPr>
            <w:r>
              <w:rPr>
                <w:spacing w:val="-1"/>
                <w:w w:val="105"/>
                <w:sz w:val="20"/>
                <w:szCs w:val="20"/>
                <w:vertAlign w:val="superscript"/>
                <w:lang w:val="da-DK"/>
              </w:rPr>
              <w:t>6</w:t>
            </w:r>
            <w:r>
              <w:rPr>
                <w:spacing w:val="-1"/>
                <w:w w:val="105"/>
                <w:sz w:val="20"/>
                <w:szCs w:val="20"/>
                <w:lang w:val="da-DK"/>
              </w:rPr>
              <w:t xml:space="preserve"> Der er ikke fastlagt ikke-artsrelaterede grænseværdier.</w:t>
            </w:r>
          </w:p>
        </w:tc>
      </w:tr>
    </w:tbl>
    <w:p w:rsidR="00AA1268" w:rsidRPr="00AA1268" w:rsidRDefault="00AA1268" w:rsidP="00AA1268">
      <w:pPr>
        <w:suppressAutoHyphens/>
        <w:ind w:left="851"/>
        <w:rPr>
          <w:sz w:val="24"/>
          <w:szCs w:val="24"/>
          <w:lang w:eastAsia="fr-LU"/>
        </w:rPr>
      </w:pPr>
    </w:p>
    <w:p w:rsidR="00AA1268" w:rsidRPr="00AA1268" w:rsidRDefault="00AA1268" w:rsidP="00AA1268">
      <w:pPr>
        <w:suppressAutoHyphens/>
        <w:ind w:left="851"/>
        <w:rPr>
          <w:sz w:val="24"/>
          <w:szCs w:val="24"/>
        </w:rPr>
      </w:pPr>
      <w:r w:rsidRPr="00AA1268">
        <w:rPr>
          <w:sz w:val="24"/>
          <w:szCs w:val="24"/>
          <w:u w:val="single"/>
        </w:rPr>
        <w:t>Klinisk erfaring</w:t>
      </w:r>
    </w:p>
    <w:p w:rsidR="00AA1268" w:rsidRPr="00AA1268" w:rsidRDefault="00AA1268" w:rsidP="00AA1268">
      <w:pPr>
        <w:suppressAutoHyphens/>
        <w:ind w:left="851"/>
        <w:rPr>
          <w:sz w:val="24"/>
          <w:szCs w:val="24"/>
        </w:rPr>
      </w:pPr>
      <w:r w:rsidRPr="00AA1268">
        <w:rPr>
          <w:sz w:val="24"/>
          <w:szCs w:val="24"/>
        </w:rPr>
        <w:t>Positivt resultat defineres i dette afsnit som fuldstændigt eller delvist respons.</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i/>
          <w:iCs/>
          <w:sz w:val="24"/>
          <w:szCs w:val="24"/>
          <w:u w:val="single"/>
        </w:rPr>
        <w:t>Aspergillus</w:t>
      </w:r>
      <w:r w:rsidRPr="00AA1268">
        <w:rPr>
          <w:sz w:val="24"/>
          <w:szCs w:val="24"/>
          <w:u w:val="single"/>
        </w:rPr>
        <w:t>-infektioner – effekt hos aspergillose-patienter med dårlig prognose</w:t>
      </w:r>
    </w:p>
    <w:p w:rsidR="00AA1268" w:rsidRPr="00AA1268" w:rsidRDefault="00AA1268" w:rsidP="00AA1268">
      <w:pPr>
        <w:suppressAutoHyphens/>
        <w:ind w:left="851"/>
        <w:rPr>
          <w:sz w:val="24"/>
          <w:szCs w:val="24"/>
        </w:rPr>
      </w:pPr>
      <w:r w:rsidRPr="00AA1268">
        <w:rPr>
          <w:sz w:val="24"/>
          <w:szCs w:val="24"/>
        </w:rPr>
        <w:t xml:space="preserve">Voriconazol har </w:t>
      </w:r>
      <w:r w:rsidRPr="00AA1268">
        <w:rPr>
          <w:i/>
          <w:iCs/>
          <w:sz w:val="24"/>
          <w:szCs w:val="24"/>
        </w:rPr>
        <w:t>in vitro</w:t>
      </w:r>
      <w:r w:rsidRPr="00AA1268">
        <w:rPr>
          <w:sz w:val="24"/>
          <w:szCs w:val="24"/>
        </w:rPr>
        <w:t xml:space="preserve"> fungicid aktivitet over for Aspergillus spp. Effekt og overlevelse ved voriconazol versus en konventionel amphotericin B i primær behandling af akut invasiv aspergillose blev vist i et åbent, randomiseret multicenterstudie med 277 immunkompromitterede patienter, der blev behandlet i 12 uger. Initialdosis af voriconazol var 6 mg/kg i.v. hver 12. time det første døgn efterfulgt af en vedligeholdelsesdosis på 4 mg/kg hver 12. time i minimum 7 døgn. Behandlingen kunne derefter skiftes til orale doser på 200 mg hver 12. time. Den mediane varighed af i.v.-voriconazolbehandling var 10 dage (interval 2-85 dage). Efter i.v.-voriconazolbehandling var den mediane varighed af oral voriconazolbehandling 76 dage (interval 2-232 dage).</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Der blev set tilfredsstillende globalt respons (fuldstændig eller delvis resolution af alle tilhørende symptomer, radiografiske/bronkoskopiske abnormaliteter ved baseline) hos 53 % af de voriconazolbehandlede patienter sammenlignet med 31 % af patienterne behandlet med komparator. Overlevelsesraten efter 84 dage var for voriconazol statistisk signifikant højere end for komparator, og der blev set klinisk og statistisk signifikant fordel ved brug af voriconazol, både med hensyn til tid til død og tid til seponering på grund af toksicitet.</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Dette studie bekræftede fund fra et tidligere prospektivt studie, hvor der blev set positivt resultat hos patienter med risikofaktorer for dårlig prognose, herunder graft-versus-host sygdom og i særdeleshed cerebrale infektioner (normalt forbundet med næsten 100 % mortalitet).</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Disse studier omfatter cerebral, sinusrelateret, pulmonal og dissemineret aspergillose hos knoglemarvs- og organtransplanterede patienter, patienter med maligne hæmatologiske lidelser, cancer og AIDS.</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Behandling af candidæmi hos non-neutropene patienter</w:t>
      </w:r>
    </w:p>
    <w:p w:rsidR="00AA1268" w:rsidRPr="00AA1268" w:rsidRDefault="00AA1268" w:rsidP="00AA1268">
      <w:pPr>
        <w:suppressAutoHyphens/>
        <w:ind w:left="851"/>
        <w:rPr>
          <w:sz w:val="24"/>
          <w:szCs w:val="24"/>
        </w:rPr>
      </w:pPr>
      <w:r w:rsidRPr="00AA1268">
        <w:rPr>
          <w:sz w:val="24"/>
          <w:szCs w:val="24"/>
        </w:rPr>
        <w:t xml:space="preserve">Virkningen af voriconazol sammenlignet med behandling med amphotericin B efterfulgt af fluconazol i primær behandling af candidæmi blev påvist i et åbent komparativt studie. 370 non-neutropene patienter (over 12 år) med dokumenteret candidæmi blev inkluderet i studiet. Heraf blev 248 behandlet med voriconazol. Ni forsøgspersoner i </w:t>
      </w:r>
      <w:r w:rsidRPr="00AA1268">
        <w:rPr>
          <w:sz w:val="24"/>
          <w:szCs w:val="24"/>
        </w:rPr>
        <w:lastRenderedPageBreak/>
        <w:t xml:space="preserve">voriconazolgruppen og fem forsøgspersoner i amphotericin B efterfulgt af fluconazolgruppen havde også mykologisk påvist infektion i dybtliggende væv. Patienter med nyresvigt blev udelukket fra studiet. Den mediane behandlingsvarighed var 15 dage i begge behandlingsarme. I den primære analyse var succesfuld respons, i følge en ”Data Review Committee” (DRC), der var blindet over for forsøgslægemidlet, defineret som resolution/forbedring i alle kliniske tegn og symptomer på infektion med eradikation af </w:t>
      </w:r>
      <w:r w:rsidRPr="00AA1268">
        <w:rPr>
          <w:i/>
          <w:iCs/>
          <w:sz w:val="24"/>
          <w:szCs w:val="24"/>
        </w:rPr>
        <w:t>Candida</w:t>
      </w:r>
      <w:r w:rsidRPr="00AA1268">
        <w:rPr>
          <w:sz w:val="24"/>
          <w:szCs w:val="24"/>
        </w:rPr>
        <w:t xml:space="preserve"> fra blodet og infektion i dybtliggende vævssteder ved 12 uger efter endt behandling. Patienter, som ikke blev vurderet 12 uger efter endt behandling, blev talt som behandlingssvigt. I denne analyse var der succesfuld respons hos 41 % af patienterne i begge behandlingsarme.</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I en anden analyse, hvor DRCs vurderinger anvendes ved det seneste evaluerbare tidspunkt (efter endt behandling eller 2, 6 eller 12 uger efter endt behandling) havde voriconazol og amphotericin B efterfulgt af fluconazol en succesfuld responsrate på henholdsvis 65 % og 71 %.</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Den forsøgsansvarliges vurdering af succesfuldt resultat på et hvilket som helst af disse tidspunkter er vist i skemaet nedenfor:</w:t>
      </w:r>
    </w:p>
    <w:tbl>
      <w:tblPr>
        <w:tblW w:w="91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239"/>
        <w:gridCol w:w="3969"/>
      </w:tblGrid>
      <w:tr w:rsidR="00AA1268" w:rsidTr="007708FD">
        <w:tc>
          <w:tcPr>
            <w:tcW w:w="2972" w:type="dxa"/>
            <w:tcBorders>
              <w:top w:val="single" w:sz="4" w:space="0" w:color="auto"/>
              <w:left w:val="single" w:sz="4" w:space="0" w:color="auto"/>
              <w:bottom w:val="single" w:sz="4" w:space="0" w:color="auto"/>
              <w:right w:val="single" w:sz="4" w:space="0" w:color="auto"/>
            </w:tcBorders>
            <w:hideMark/>
          </w:tcPr>
          <w:p w:rsidR="00AA1268" w:rsidRDefault="00AA1268">
            <w:pPr>
              <w:rPr>
                <w:b/>
                <w:sz w:val="22"/>
                <w:lang w:eastAsia="es-ES"/>
              </w:rPr>
            </w:pPr>
            <w:r>
              <w:rPr>
                <w:b/>
                <w:sz w:val="22"/>
                <w:lang w:eastAsia="es-ES"/>
              </w:rPr>
              <w:t>Tidspunkt</w:t>
            </w:r>
          </w:p>
        </w:tc>
        <w:tc>
          <w:tcPr>
            <w:tcW w:w="2239" w:type="dxa"/>
            <w:tcBorders>
              <w:top w:val="single" w:sz="4" w:space="0" w:color="auto"/>
              <w:left w:val="single" w:sz="4" w:space="0" w:color="auto"/>
              <w:bottom w:val="single" w:sz="4" w:space="0" w:color="auto"/>
              <w:right w:val="single" w:sz="4" w:space="0" w:color="auto"/>
            </w:tcBorders>
            <w:hideMark/>
          </w:tcPr>
          <w:p w:rsidR="00AA1268" w:rsidRDefault="00AA1268">
            <w:pPr>
              <w:rPr>
                <w:b/>
                <w:sz w:val="22"/>
                <w:lang w:eastAsia="es-ES"/>
              </w:rPr>
            </w:pPr>
            <w:r>
              <w:rPr>
                <w:b/>
                <w:sz w:val="22"/>
                <w:lang w:eastAsia="en-IN"/>
              </w:rPr>
              <w:t>Voriconazol</w:t>
            </w:r>
            <w:r>
              <w:rPr>
                <w:b/>
                <w:sz w:val="22"/>
                <w:szCs w:val="22"/>
              </w:rPr>
              <w:t xml:space="preserve"> </w:t>
            </w:r>
            <w:r>
              <w:rPr>
                <w:b/>
                <w:sz w:val="22"/>
                <w:lang w:eastAsia="es-ES"/>
              </w:rPr>
              <w:t>(N=248)</w:t>
            </w:r>
          </w:p>
        </w:tc>
        <w:tc>
          <w:tcPr>
            <w:tcW w:w="3969" w:type="dxa"/>
            <w:tcBorders>
              <w:top w:val="single" w:sz="4" w:space="0" w:color="auto"/>
              <w:left w:val="single" w:sz="4" w:space="0" w:color="auto"/>
              <w:bottom w:val="single" w:sz="4" w:space="0" w:color="auto"/>
              <w:right w:val="single" w:sz="4" w:space="0" w:color="auto"/>
            </w:tcBorders>
            <w:hideMark/>
          </w:tcPr>
          <w:p w:rsidR="00AA1268" w:rsidRDefault="00AA1268">
            <w:pPr>
              <w:rPr>
                <w:b/>
                <w:sz w:val="22"/>
                <w:lang w:eastAsia="es-ES"/>
              </w:rPr>
            </w:pPr>
            <w:r>
              <w:rPr>
                <w:b/>
                <w:sz w:val="22"/>
                <w:lang w:eastAsia="en-IN"/>
              </w:rPr>
              <w:t>Amphotericin B→ fluconazol</w:t>
            </w:r>
            <w:r>
              <w:rPr>
                <w:b/>
                <w:sz w:val="22"/>
                <w:szCs w:val="22"/>
              </w:rPr>
              <w:t xml:space="preserve"> </w:t>
            </w:r>
            <w:r>
              <w:rPr>
                <w:b/>
                <w:sz w:val="22"/>
                <w:lang w:eastAsia="es-ES"/>
              </w:rPr>
              <w:t>(N=122)</w:t>
            </w:r>
          </w:p>
        </w:tc>
      </w:tr>
      <w:tr w:rsidR="00AA1268" w:rsidTr="007708FD">
        <w:trPr>
          <w:trHeight w:val="255"/>
        </w:trPr>
        <w:tc>
          <w:tcPr>
            <w:tcW w:w="2972"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Efter endt behandling</w:t>
            </w:r>
          </w:p>
        </w:tc>
        <w:tc>
          <w:tcPr>
            <w:tcW w:w="2239"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178 (72 %)</w:t>
            </w:r>
          </w:p>
        </w:tc>
        <w:tc>
          <w:tcPr>
            <w:tcW w:w="3969"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88 (72 %)</w:t>
            </w:r>
          </w:p>
        </w:tc>
      </w:tr>
      <w:tr w:rsidR="00AA1268" w:rsidTr="007708FD">
        <w:tc>
          <w:tcPr>
            <w:tcW w:w="2972"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2 uger efter endt behandling</w:t>
            </w:r>
          </w:p>
        </w:tc>
        <w:tc>
          <w:tcPr>
            <w:tcW w:w="2239"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125 (50 %)</w:t>
            </w:r>
          </w:p>
        </w:tc>
        <w:tc>
          <w:tcPr>
            <w:tcW w:w="3969"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62 (51 %)</w:t>
            </w:r>
          </w:p>
        </w:tc>
      </w:tr>
      <w:tr w:rsidR="00AA1268" w:rsidTr="007708FD">
        <w:tc>
          <w:tcPr>
            <w:tcW w:w="2972"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6 uger efter endt behandling</w:t>
            </w:r>
          </w:p>
        </w:tc>
        <w:tc>
          <w:tcPr>
            <w:tcW w:w="2239"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104 (42 %)</w:t>
            </w:r>
          </w:p>
        </w:tc>
        <w:tc>
          <w:tcPr>
            <w:tcW w:w="3969"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55 (45 %)</w:t>
            </w:r>
          </w:p>
        </w:tc>
      </w:tr>
      <w:tr w:rsidR="00AA1268" w:rsidTr="007708FD">
        <w:tc>
          <w:tcPr>
            <w:tcW w:w="2972"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12 uger efter endt behandling</w:t>
            </w:r>
          </w:p>
        </w:tc>
        <w:tc>
          <w:tcPr>
            <w:tcW w:w="2239"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104 (42 %)</w:t>
            </w:r>
          </w:p>
        </w:tc>
        <w:tc>
          <w:tcPr>
            <w:tcW w:w="3969" w:type="dxa"/>
            <w:tcBorders>
              <w:top w:val="single" w:sz="4" w:space="0" w:color="auto"/>
              <w:left w:val="single" w:sz="4" w:space="0" w:color="auto"/>
              <w:bottom w:val="single" w:sz="4" w:space="0" w:color="auto"/>
              <w:right w:val="single" w:sz="4" w:space="0" w:color="auto"/>
            </w:tcBorders>
            <w:hideMark/>
          </w:tcPr>
          <w:p w:rsidR="00AA1268" w:rsidRDefault="00AA1268">
            <w:pPr>
              <w:rPr>
                <w:sz w:val="22"/>
                <w:lang w:eastAsia="es-ES"/>
              </w:rPr>
            </w:pPr>
            <w:r>
              <w:rPr>
                <w:sz w:val="22"/>
                <w:lang w:eastAsia="es-ES"/>
              </w:rPr>
              <w:t>51 (42 %)</w:t>
            </w:r>
          </w:p>
        </w:tc>
      </w:tr>
    </w:tbl>
    <w:p w:rsidR="00AA1268" w:rsidRPr="00AA1268" w:rsidRDefault="00AA1268" w:rsidP="00AA1268">
      <w:pPr>
        <w:suppressAutoHyphens/>
        <w:ind w:left="851"/>
        <w:rPr>
          <w:sz w:val="24"/>
          <w:szCs w:val="24"/>
          <w:lang w:eastAsia="fr-LU"/>
        </w:rPr>
      </w:pPr>
    </w:p>
    <w:p w:rsidR="00AA1268" w:rsidRPr="00AA1268" w:rsidRDefault="00AA1268" w:rsidP="00AA1268">
      <w:pPr>
        <w:suppressAutoHyphens/>
        <w:ind w:left="851"/>
        <w:rPr>
          <w:sz w:val="24"/>
          <w:szCs w:val="24"/>
          <w:u w:val="single"/>
        </w:rPr>
      </w:pPr>
      <w:r w:rsidRPr="00AA1268">
        <w:rPr>
          <w:sz w:val="24"/>
          <w:szCs w:val="24"/>
          <w:u w:val="single"/>
        </w:rPr>
        <w:t xml:space="preserve">Alvorlige refraktære </w:t>
      </w:r>
      <w:r w:rsidRPr="00AA1268">
        <w:rPr>
          <w:i/>
          <w:iCs/>
          <w:sz w:val="24"/>
          <w:szCs w:val="24"/>
          <w:u w:val="single"/>
        </w:rPr>
        <w:t>Candida</w:t>
      </w:r>
      <w:r w:rsidRPr="00AA1268">
        <w:rPr>
          <w:sz w:val="24"/>
          <w:szCs w:val="24"/>
          <w:u w:val="single"/>
        </w:rPr>
        <w:t>-infektioner</w:t>
      </w:r>
    </w:p>
    <w:p w:rsidR="00AA1268" w:rsidRPr="00AA1268" w:rsidRDefault="00AA1268" w:rsidP="00AA1268">
      <w:pPr>
        <w:suppressAutoHyphens/>
        <w:ind w:left="851"/>
        <w:rPr>
          <w:sz w:val="24"/>
          <w:szCs w:val="24"/>
        </w:rPr>
      </w:pPr>
      <w:r w:rsidRPr="00AA1268">
        <w:rPr>
          <w:sz w:val="24"/>
          <w:szCs w:val="24"/>
        </w:rPr>
        <w:t xml:space="preserve">Studiet omfatter 55 patienter med alvorlige refraktære systemiske </w:t>
      </w:r>
      <w:r w:rsidRPr="00AA1268">
        <w:rPr>
          <w:i/>
          <w:iCs/>
          <w:sz w:val="24"/>
          <w:szCs w:val="24"/>
        </w:rPr>
        <w:t>Candida</w:t>
      </w:r>
      <w:r w:rsidRPr="00AA1268">
        <w:rPr>
          <w:sz w:val="24"/>
          <w:szCs w:val="24"/>
        </w:rPr>
        <w:t>-infektioner (herunder candidæmi, dissemineret og andre invasive candidiasis), hvor tidligere antimykotisk behandling, især med fluconazol ikke har været effektiv. Succesrigt respons er set hos 24 patienter (15 med fuldstændigt, 9 med delvist respons). I fluconazol-resistente non-</w:t>
      </w:r>
      <w:r w:rsidRPr="00AA1268">
        <w:rPr>
          <w:i/>
          <w:iCs/>
          <w:sz w:val="24"/>
          <w:szCs w:val="24"/>
        </w:rPr>
        <w:t>albicans</w:t>
      </w:r>
      <w:r w:rsidRPr="00AA1268">
        <w:rPr>
          <w:sz w:val="24"/>
          <w:szCs w:val="24"/>
        </w:rPr>
        <w:t xml:space="preserve">-arter er et succesfuldt resultat set hos 3/3 </w:t>
      </w:r>
      <w:r w:rsidRPr="00AA1268">
        <w:rPr>
          <w:i/>
          <w:iCs/>
          <w:sz w:val="24"/>
          <w:szCs w:val="24"/>
        </w:rPr>
        <w:t>C. krusei</w:t>
      </w:r>
      <w:r w:rsidRPr="00AA1268">
        <w:rPr>
          <w:sz w:val="24"/>
          <w:szCs w:val="24"/>
        </w:rPr>
        <w:t xml:space="preserve">-infektioner (fuldstændigt respons) og 6/8 </w:t>
      </w:r>
      <w:r w:rsidRPr="00AA1268">
        <w:rPr>
          <w:i/>
          <w:iCs/>
          <w:sz w:val="24"/>
          <w:szCs w:val="24"/>
        </w:rPr>
        <w:t>C. glabrata</w:t>
      </w:r>
      <w:r w:rsidRPr="00AA1268">
        <w:rPr>
          <w:sz w:val="24"/>
          <w:szCs w:val="24"/>
        </w:rPr>
        <w:t>-infektioner (5 med fuldstændigt, 1 med delvist respons). Data vedrørende klinisk virkning bliver understøttet af begrænsede data for følsomhed.</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i/>
          <w:iCs/>
          <w:sz w:val="24"/>
          <w:szCs w:val="24"/>
          <w:u w:val="single"/>
        </w:rPr>
        <w:t>Scedosporium</w:t>
      </w:r>
      <w:r w:rsidRPr="00AA1268">
        <w:rPr>
          <w:sz w:val="24"/>
          <w:szCs w:val="24"/>
          <w:u w:val="single"/>
        </w:rPr>
        <w:t xml:space="preserve">- og </w:t>
      </w:r>
      <w:r w:rsidRPr="00AA1268">
        <w:rPr>
          <w:i/>
          <w:iCs/>
          <w:sz w:val="24"/>
          <w:szCs w:val="24"/>
          <w:u w:val="single"/>
        </w:rPr>
        <w:t>Fusarium</w:t>
      </w:r>
      <w:r w:rsidRPr="00AA1268">
        <w:rPr>
          <w:sz w:val="24"/>
          <w:szCs w:val="24"/>
          <w:u w:val="single"/>
        </w:rPr>
        <w:t>-infektioner</w:t>
      </w:r>
    </w:p>
    <w:p w:rsidR="00AA1268" w:rsidRPr="00AA1268" w:rsidRDefault="00AA1268" w:rsidP="00AA1268">
      <w:pPr>
        <w:suppressAutoHyphens/>
        <w:ind w:left="851"/>
        <w:rPr>
          <w:sz w:val="24"/>
          <w:szCs w:val="24"/>
        </w:rPr>
      </w:pPr>
      <w:r w:rsidRPr="00AA1268">
        <w:rPr>
          <w:sz w:val="24"/>
          <w:szCs w:val="24"/>
        </w:rPr>
        <w:t>Voriconazol har vist sig effektivt over for følgende sjældne patogene svampe:</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i/>
          <w:iCs/>
          <w:sz w:val="24"/>
          <w:szCs w:val="24"/>
        </w:rPr>
        <w:t>Scedosporium</w:t>
      </w:r>
      <w:r w:rsidRPr="00AA1268">
        <w:rPr>
          <w:sz w:val="24"/>
          <w:szCs w:val="24"/>
        </w:rPr>
        <w:t xml:space="preserve"> spp.: Succesrigt respons på voriconazolbehandling blev set hos 16 (6 med fuldstændigt, 10 med delvist respons) ud af 28 patienter med </w:t>
      </w:r>
      <w:r w:rsidRPr="00AA1268">
        <w:rPr>
          <w:i/>
          <w:iCs/>
          <w:sz w:val="24"/>
          <w:szCs w:val="24"/>
        </w:rPr>
        <w:t>S. apiospermum</w:t>
      </w:r>
      <w:r w:rsidRPr="00AA1268">
        <w:rPr>
          <w:sz w:val="24"/>
          <w:szCs w:val="24"/>
        </w:rPr>
        <w:t xml:space="preserve"> og hos 2 (begge med delvist respons) ud af 7 patienter med </w:t>
      </w:r>
      <w:r w:rsidRPr="00AA1268">
        <w:rPr>
          <w:i/>
          <w:iCs/>
          <w:sz w:val="24"/>
          <w:szCs w:val="24"/>
        </w:rPr>
        <w:t>S. prolificans</w:t>
      </w:r>
      <w:r w:rsidRPr="00AA1268">
        <w:rPr>
          <w:sz w:val="24"/>
          <w:szCs w:val="24"/>
        </w:rPr>
        <w:t xml:space="preserve">-infektion. Derudover blev et succesrigt respons set hos 1 ud af 3 patienter med infektioner, forårsaget af mere end en organisme, herunder </w:t>
      </w:r>
      <w:r w:rsidRPr="00AA1268">
        <w:rPr>
          <w:i/>
          <w:iCs/>
          <w:sz w:val="24"/>
          <w:szCs w:val="24"/>
        </w:rPr>
        <w:t>Scedosporium</w:t>
      </w:r>
      <w:r w:rsidRPr="00AA1268">
        <w:rPr>
          <w:sz w:val="24"/>
          <w:szCs w:val="24"/>
        </w:rPr>
        <w:t xml:space="preserve"> spp.</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i/>
          <w:iCs/>
          <w:sz w:val="24"/>
          <w:szCs w:val="24"/>
        </w:rPr>
        <w:t>Fusarium</w:t>
      </w:r>
      <w:r w:rsidRPr="00AA1268">
        <w:rPr>
          <w:sz w:val="24"/>
          <w:szCs w:val="24"/>
        </w:rPr>
        <w:t xml:space="preserve"> spp.: 7 (3 med fuldstændigt, 4 med delvist respons) ud af 17 patienter blev succesrigt behandlet med voriconazol. Af disse 7 patienter havde 3 patienter øjeninfektion, 1 havde sinusinfektion og 3 havde dissemineret infektion. Yderligere 4 patienter havde en fusarium-infektion forårsaget af adskillige organismer; 2 af dem havde et succesrigt resultat.</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Størstedelen af patienterne, der fik voriconazolbehandling for ovennævnte sjældne infektioner, var intolerante over for, eller responderede ikke på tidligere antimykotisk behandling.</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Primær profylakse af invasive svampeinfektioner – virkning hos HSCT-recipienter uden forudgående påvist eller sandsynlig invasiv svampeinfektion</w:t>
      </w:r>
    </w:p>
    <w:p w:rsidR="00AA1268" w:rsidRPr="00AA1268" w:rsidRDefault="00AA1268" w:rsidP="00AA1268">
      <w:pPr>
        <w:suppressAutoHyphens/>
        <w:ind w:left="851"/>
        <w:rPr>
          <w:sz w:val="24"/>
          <w:szCs w:val="24"/>
        </w:rPr>
      </w:pPr>
      <w:r w:rsidRPr="00AA1268">
        <w:rPr>
          <w:sz w:val="24"/>
          <w:szCs w:val="24"/>
        </w:rPr>
        <w:t>Voriconazol blev sammenlignet med itraconazol som primær profylakse i et åbent, komparativt multicenterstudie hos voksne og unge allogene HSCT-recipienter uden forudgående påvist eller sandsynlig invasiv svampeinfektion. Succeskriteriet blev defineret som evnen til at fortsætte profylakse med forsøgslægemidlet i 100 dage efter HSCT (uden at stoppe i &gt;14 dage) og til at overleve uden påvist eller sandsynlig invasiv svampeinfektion i 180 dage efter HSCT. Den modificerede intent-to-treat-gruppe (MITT-gruppe) omfattede 465 HSCT-recipienter, hvoraf 45 % havde akut myeloid leukæmi (AML). 58 % af alle patienter blev underlagt myeloablative konditioneringsregimer. Profylakse med forsøgslægemiddel blev påbegyndt umiddelbart efter HSCT: 224 fik voriconazol, og 241 fik itraconazol. Medianvarigheden af profylaksen med forsøgslægemidlet var 96 dage for voriconazol og 68 dage for itraconazol i MITT-gruppen.</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bookmarkStart w:id="1" w:name="_Hlk192080269"/>
      <w:r w:rsidRPr="00AA1268">
        <w:rPr>
          <w:sz w:val="24"/>
          <w:szCs w:val="24"/>
        </w:rPr>
        <w:t>Tabellen nedenfor viser succesrater og andre sekundære effektmål:</w:t>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89"/>
        <w:gridCol w:w="1391"/>
        <w:gridCol w:w="1440"/>
        <w:gridCol w:w="2430"/>
        <w:gridCol w:w="1080"/>
      </w:tblGrid>
      <w:tr w:rsidR="00AA1268" w:rsidTr="00AA1268">
        <w:tc>
          <w:tcPr>
            <w:tcW w:w="3289"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lang w:val="da-DK"/>
              </w:rPr>
            </w:pPr>
            <w:r>
              <w:rPr>
                <w:b/>
                <w:sz w:val="22"/>
                <w:lang w:val="da-DK"/>
              </w:rPr>
              <w:t>Studiets effektmål</w:t>
            </w:r>
          </w:p>
        </w:tc>
        <w:tc>
          <w:tcPr>
            <w:tcW w:w="1391"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lang w:val="da-DK"/>
              </w:rPr>
            </w:pPr>
            <w:r>
              <w:rPr>
                <w:b/>
                <w:sz w:val="22"/>
                <w:lang w:val="da-DK"/>
              </w:rPr>
              <w:t>Voriconazol</w:t>
            </w:r>
            <w:r>
              <w:rPr>
                <w:b/>
                <w:sz w:val="22"/>
                <w:szCs w:val="22"/>
                <w:lang w:val="da-DK"/>
              </w:rPr>
              <w:br/>
            </w:r>
            <w:r>
              <w:rPr>
                <w:b/>
                <w:sz w:val="22"/>
                <w:lang w:val="da-DK"/>
              </w:rPr>
              <w:t>N=224</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lang w:val="da-DK"/>
              </w:rPr>
            </w:pPr>
            <w:r>
              <w:rPr>
                <w:b/>
                <w:sz w:val="22"/>
                <w:lang w:val="da-DK"/>
              </w:rPr>
              <w:t>Itraconazol</w:t>
            </w:r>
            <w:r>
              <w:rPr>
                <w:b/>
                <w:sz w:val="22"/>
                <w:szCs w:val="22"/>
                <w:lang w:val="da-DK"/>
              </w:rPr>
              <w:br/>
            </w:r>
            <w:r>
              <w:rPr>
                <w:b/>
                <w:sz w:val="22"/>
                <w:lang w:val="da-DK"/>
              </w:rPr>
              <w:t>N=241</w:t>
            </w:r>
          </w:p>
        </w:tc>
        <w:tc>
          <w:tcPr>
            <w:tcW w:w="243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lang w:val="da-DK"/>
              </w:rPr>
            </w:pPr>
            <w:r>
              <w:rPr>
                <w:b/>
                <w:sz w:val="22"/>
                <w:lang w:val="da-DK"/>
              </w:rPr>
              <w:t>Forskel i andele og 95 % konfidensinterval (CI)</w:t>
            </w:r>
            <w:r>
              <w:rPr>
                <w:b/>
                <w:sz w:val="22"/>
                <w:szCs w:val="22"/>
                <w:lang w:val="da-DK"/>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lang w:val="da-DK"/>
              </w:rPr>
            </w:pPr>
            <w:r>
              <w:rPr>
                <w:b/>
                <w:sz w:val="22"/>
                <w:lang w:val="da-DK"/>
              </w:rPr>
              <w:t>P-værdi</w:t>
            </w:r>
          </w:p>
        </w:tc>
      </w:tr>
      <w:tr w:rsidR="00AA1268" w:rsidTr="00AA1268">
        <w:tc>
          <w:tcPr>
            <w:tcW w:w="3289"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Succes efter 180 dage*</w:t>
            </w:r>
          </w:p>
        </w:tc>
        <w:tc>
          <w:tcPr>
            <w:tcW w:w="1391"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109 (48,7 %)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80 (33,2 %)</w:t>
            </w:r>
          </w:p>
        </w:tc>
        <w:tc>
          <w:tcPr>
            <w:tcW w:w="243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16,4 % (7,7 %; 25,1 %)**</w:t>
            </w:r>
          </w:p>
        </w:tc>
        <w:tc>
          <w:tcPr>
            <w:tcW w:w="10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0,0002**</w:t>
            </w:r>
          </w:p>
        </w:tc>
      </w:tr>
      <w:tr w:rsidR="00AA1268" w:rsidTr="00AA1268">
        <w:tc>
          <w:tcPr>
            <w:tcW w:w="3289"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Succes efter 100 dage</w:t>
            </w:r>
            <w:r>
              <w:rPr>
                <w:sz w:val="22"/>
                <w:szCs w:val="22"/>
                <w:lang w:val="da-DK"/>
              </w:rPr>
              <w:t xml:space="preserve"> </w:t>
            </w:r>
          </w:p>
        </w:tc>
        <w:tc>
          <w:tcPr>
            <w:tcW w:w="1391"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121 (54,0 %)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96 (39,8 %)</w:t>
            </w:r>
          </w:p>
        </w:tc>
        <w:tc>
          <w:tcPr>
            <w:tcW w:w="243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15,4 % (6,6 %; 24,2 %)**</w:t>
            </w:r>
          </w:p>
        </w:tc>
        <w:tc>
          <w:tcPr>
            <w:tcW w:w="10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0,0006**</w:t>
            </w:r>
          </w:p>
        </w:tc>
      </w:tr>
      <w:tr w:rsidR="00AA1268" w:rsidTr="00AA1268">
        <w:tc>
          <w:tcPr>
            <w:tcW w:w="3289"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Afsluttet mindst 100 dage profylakse med forsøgslægemiddel</w:t>
            </w:r>
            <w:r>
              <w:rPr>
                <w:sz w:val="22"/>
                <w:szCs w:val="22"/>
                <w:lang w:val="da-DK"/>
              </w:rPr>
              <w:t xml:space="preserve"> </w:t>
            </w:r>
          </w:p>
        </w:tc>
        <w:tc>
          <w:tcPr>
            <w:tcW w:w="1391"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120 (53,6 %)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94 (39,0 %)</w:t>
            </w:r>
          </w:p>
        </w:tc>
        <w:tc>
          <w:tcPr>
            <w:tcW w:w="243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14,6 % (5,6 %; 23,5 %)</w:t>
            </w:r>
          </w:p>
        </w:tc>
        <w:tc>
          <w:tcPr>
            <w:tcW w:w="10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0,0015</w:t>
            </w:r>
          </w:p>
        </w:tc>
      </w:tr>
      <w:tr w:rsidR="00AA1268" w:rsidTr="00AA1268">
        <w:tc>
          <w:tcPr>
            <w:tcW w:w="3289"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Overlevet til dag 180</w:t>
            </w:r>
          </w:p>
        </w:tc>
        <w:tc>
          <w:tcPr>
            <w:tcW w:w="1391"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184 (82,1 %)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197 (81,7 %)</w:t>
            </w:r>
          </w:p>
        </w:tc>
        <w:tc>
          <w:tcPr>
            <w:tcW w:w="243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0,4 % (-6,6 %; 7,4 %)</w:t>
            </w:r>
          </w:p>
        </w:tc>
        <w:tc>
          <w:tcPr>
            <w:tcW w:w="10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0,9107</w:t>
            </w:r>
          </w:p>
        </w:tc>
      </w:tr>
      <w:tr w:rsidR="00AA1268" w:rsidTr="00AA1268">
        <w:tc>
          <w:tcPr>
            <w:tcW w:w="3289"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Udviklet påvist eller sandsynlig invasiv svampeinfektion til dag 180</w:t>
            </w:r>
          </w:p>
        </w:tc>
        <w:tc>
          <w:tcPr>
            <w:tcW w:w="1391"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3 (1,3 %)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5 (2,1 %)</w:t>
            </w:r>
          </w:p>
        </w:tc>
        <w:tc>
          <w:tcPr>
            <w:tcW w:w="243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-0,7 % (-3,1 %; 1,6 %)</w:t>
            </w:r>
          </w:p>
        </w:tc>
        <w:tc>
          <w:tcPr>
            <w:tcW w:w="10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0,5390</w:t>
            </w:r>
          </w:p>
        </w:tc>
      </w:tr>
      <w:tr w:rsidR="00AA1268" w:rsidTr="00AA1268">
        <w:tc>
          <w:tcPr>
            <w:tcW w:w="3289"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Udviklet påvist eller sandsynlig invasiv svampeinfektion til dag 100</w:t>
            </w:r>
          </w:p>
        </w:tc>
        <w:tc>
          <w:tcPr>
            <w:tcW w:w="1391"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2 (0,9 %)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4 (1,7 %)</w:t>
            </w:r>
          </w:p>
        </w:tc>
        <w:tc>
          <w:tcPr>
            <w:tcW w:w="243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-0,8 % (-2,8 %; 1,3 %)</w:t>
            </w:r>
          </w:p>
        </w:tc>
        <w:tc>
          <w:tcPr>
            <w:tcW w:w="10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0,4589</w:t>
            </w:r>
          </w:p>
        </w:tc>
      </w:tr>
      <w:tr w:rsidR="00AA1268" w:rsidTr="00AA1268">
        <w:tc>
          <w:tcPr>
            <w:tcW w:w="3289"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Udviklet påvist eller sandsynlig invasiv svampeinfektion under behandling med forsøgs</w:t>
            </w:r>
            <w:r>
              <w:rPr>
                <w:sz w:val="22"/>
                <w:szCs w:val="22"/>
                <w:lang w:val="da-DK"/>
              </w:rPr>
              <w:t>lægemiddel</w:t>
            </w:r>
          </w:p>
        </w:tc>
        <w:tc>
          <w:tcPr>
            <w:tcW w:w="1391"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3 (1,2 %)</w:t>
            </w:r>
          </w:p>
        </w:tc>
        <w:tc>
          <w:tcPr>
            <w:tcW w:w="243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-1,2 % (-2,6 %; 0,2 %)</w:t>
            </w:r>
          </w:p>
        </w:tc>
        <w:tc>
          <w:tcPr>
            <w:tcW w:w="10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0,0813</w:t>
            </w:r>
          </w:p>
        </w:tc>
      </w:tr>
    </w:tbl>
    <w:p w:rsidR="00AA1268" w:rsidRDefault="00AA1268" w:rsidP="007708FD">
      <w:pPr>
        <w:suppressAutoHyphens/>
        <w:ind w:left="142"/>
        <w:rPr>
          <w:sz w:val="20"/>
          <w:lang w:eastAsia="fr-LU"/>
        </w:rPr>
      </w:pPr>
      <w:r>
        <w:t>* Studiets primære effektmål</w:t>
      </w:r>
    </w:p>
    <w:p w:rsidR="00AA1268" w:rsidRDefault="00AA1268" w:rsidP="007708FD">
      <w:pPr>
        <w:suppressAutoHyphens/>
        <w:ind w:left="142"/>
      </w:pPr>
      <w:r>
        <w:t>** Forskel i andele, 95 % konfidensinterval og opnåede p-værdier efter justering for randomisering</w:t>
      </w:r>
    </w:p>
    <w:p w:rsidR="00AA1268" w:rsidRDefault="00AA1268" w:rsidP="00AA1268">
      <w:pPr>
        <w:suppressAutoHyphens/>
        <w:rPr>
          <w:sz w:val="22"/>
          <w:szCs w:val="22"/>
        </w:rPr>
      </w:pPr>
    </w:p>
    <w:p w:rsidR="00AA1268" w:rsidRPr="00AA1268" w:rsidRDefault="00AA1268" w:rsidP="00AA1268">
      <w:pPr>
        <w:suppressAutoHyphens/>
        <w:ind w:left="851"/>
        <w:rPr>
          <w:sz w:val="24"/>
          <w:szCs w:val="24"/>
        </w:rPr>
      </w:pPr>
      <w:r w:rsidRPr="00AA1268">
        <w:rPr>
          <w:sz w:val="24"/>
          <w:szCs w:val="24"/>
        </w:rPr>
        <w:t>Tabellen nedenfor viser gennembrudsraten for invasiv svampeinfektion til dag 180 og studiets primære effektmål, som er succes efter 180 dage, hos patienter med henholdsvis AML og myeloablative konditioneringsregimer:</w:t>
      </w:r>
    </w:p>
    <w:p w:rsidR="00AA1268" w:rsidRDefault="00AA1268" w:rsidP="00AA1268">
      <w:pPr>
        <w:suppressAutoHyphens/>
        <w:rPr>
          <w:sz w:val="22"/>
          <w:szCs w:val="22"/>
        </w:rPr>
      </w:pPr>
    </w:p>
    <w:p w:rsidR="00AA1268" w:rsidRDefault="00AA1268" w:rsidP="007708FD">
      <w:pPr>
        <w:suppressAutoHyphens/>
        <w:ind w:left="142"/>
        <w:rPr>
          <w:b/>
          <w:bCs/>
          <w:sz w:val="22"/>
          <w:szCs w:val="22"/>
        </w:rPr>
      </w:pPr>
      <w:r>
        <w:rPr>
          <w:b/>
          <w:bCs/>
          <w:sz w:val="22"/>
          <w:szCs w:val="22"/>
        </w:rPr>
        <w:t>AML</w:t>
      </w:r>
    </w:p>
    <w:tbl>
      <w:tblPr>
        <w:tblW w:w="8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620"/>
        <w:gridCol w:w="1440"/>
        <w:gridCol w:w="2880"/>
      </w:tblGrid>
      <w:tr w:rsidR="00AA1268" w:rsidTr="00AA1268">
        <w:tc>
          <w:tcPr>
            <w:tcW w:w="279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lang w:val="da-DK"/>
              </w:rPr>
            </w:pPr>
            <w:r>
              <w:rPr>
                <w:b/>
                <w:sz w:val="22"/>
                <w:lang w:val="da-DK"/>
              </w:rPr>
              <w:t>Studiets effektmål</w:t>
            </w:r>
          </w:p>
        </w:tc>
        <w:tc>
          <w:tcPr>
            <w:tcW w:w="162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szCs w:val="22"/>
                <w:lang w:val="da-DK"/>
              </w:rPr>
            </w:pPr>
            <w:r>
              <w:rPr>
                <w:b/>
                <w:sz w:val="22"/>
                <w:lang w:val="da-DK"/>
              </w:rPr>
              <w:t>Voriconazol</w:t>
            </w:r>
          </w:p>
          <w:p w:rsidR="00AA1268" w:rsidRDefault="00AA1268">
            <w:pPr>
              <w:pStyle w:val="Default"/>
              <w:rPr>
                <w:b/>
                <w:sz w:val="22"/>
                <w:lang w:val="da-DK"/>
              </w:rPr>
            </w:pPr>
            <w:r>
              <w:rPr>
                <w:b/>
                <w:sz w:val="22"/>
                <w:lang w:val="da-DK"/>
              </w:rPr>
              <w:t>(N=98)</w:t>
            </w:r>
            <w:r>
              <w:rPr>
                <w:b/>
                <w:sz w:val="22"/>
                <w:szCs w:val="22"/>
                <w:lang w:val="da-DK"/>
              </w:rPr>
              <w:t xml:space="preserve">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lang w:val="da-DK"/>
              </w:rPr>
            </w:pPr>
            <w:r>
              <w:rPr>
                <w:b/>
                <w:sz w:val="22"/>
                <w:lang w:val="da-DK"/>
              </w:rPr>
              <w:t>Itraconazol</w:t>
            </w:r>
          </w:p>
          <w:p w:rsidR="00AA1268" w:rsidRDefault="00AA1268">
            <w:pPr>
              <w:pStyle w:val="Default"/>
              <w:rPr>
                <w:b/>
                <w:sz w:val="22"/>
                <w:lang w:val="da-DK"/>
              </w:rPr>
            </w:pPr>
            <w:r>
              <w:rPr>
                <w:b/>
                <w:sz w:val="22"/>
                <w:lang w:val="da-DK"/>
              </w:rPr>
              <w:t>(N=109)</w:t>
            </w:r>
          </w:p>
        </w:tc>
        <w:tc>
          <w:tcPr>
            <w:tcW w:w="28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b/>
                <w:sz w:val="22"/>
                <w:lang w:val="da-DK"/>
              </w:rPr>
            </w:pPr>
            <w:r>
              <w:rPr>
                <w:b/>
                <w:sz w:val="22"/>
                <w:lang w:val="da-DK" w:eastAsia="en-IN"/>
              </w:rPr>
              <w:t>Forskel i andele og 95 % konfidensinterval</w:t>
            </w:r>
            <w:r>
              <w:rPr>
                <w:b/>
                <w:sz w:val="22"/>
                <w:szCs w:val="22"/>
                <w:lang w:val="da-DK"/>
              </w:rPr>
              <w:t xml:space="preserve"> </w:t>
            </w:r>
            <w:r>
              <w:rPr>
                <w:b/>
                <w:sz w:val="22"/>
                <w:lang w:val="da-DK"/>
              </w:rPr>
              <w:t>(CI)</w:t>
            </w:r>
          </w:p>
        </w:tc>
      </w:tr>
      <w:tr w:rsidR="00AA1268" w:rsidTr="00AA1268">
        <w:tc>
          <w:tcPr>
            <w:tcW w:w="279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Gennembrud invasiv svampeinfektion – dag 180</w:t>
            </w:r>
          </w:p>
        </w:tc>
        <w:tc>
          <w:tcPr>
            <w:tcW w:w="162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1 (1,0 %)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szCs w:val="22"/>
                <w:lang w:val="da-DK"/>
              </w:rPr>
              <w:t xml:space="preserve"> </w:t>
            </w:r>
            <w:r>
              <w:rPr>
                <w:sz w:val="22"/>
                <w:lang w:val="da-DK"/>
              </w:rPr>
              <w:t>2 (1,8 %)</w:t>
            </w:r>
          </w:p>
        </w:tc>
        <w:tc>
          <w:tcPr>
            <w:tcW w:w="28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Paragraph"/>
              <w:spacing w:after="0"/>
              <w:rPr>
                <w:sz w:val="22"/>
                <w:lang w:val="da-DK"/>
              </w:rPr>
            </w:pPr>
            <w:r>
              <w:rPr>
                <w:sz w:val="22"/>
                <w:lang w:val="da-DK"/>
              </w:rPr>
              <w:t>-0,8 % (-4,0 %; 2,4 %) **</w:t>
            </w:r>
          </w:p>
        </w:tc>
      </w:tr>
      <w:tr w:rsidR="00AA1268" w:rsidTr="00AA1268">
        <w:tc>
          <w:tcPr>
            <w:tcW w:w="279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Succes efter 180 dage*</w:t>
            </w:r>
          </w:p>
        </w:tc>
        <w:tc>
          <w:tcPr>
            <w:tcW w:w="162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55 (56,1 %)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rPr>
                <w:sz w:val="22"/>
                <w:lang w:val="da-DK"/>
              </w:rPr>
            </w:pPr>
            <w:r>
              <w:rPr>
                <w:sz w:val="22"/>
                <w:lang w:val="da-DK"/>
              </w:rPr>
              <w:t>45 (41,3 %)</w:t>
            </w:r>
          </w:p>
        </w:tc>
        <w:tc>
          <w:tcPr>
            <w:tcW w:w="288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Paragraph"/>
              <w:widowControl w:val="0"/>
              <w:autoSpaceDE w:val="0"/>
              <w:autoSpaceDN w:val="0"/>
              <w:adjustRightInd w:val="0"/>
              <w:spacing w:after="0"/>
              <w:rPr>
                <w:sz w:val="22"/>
                <w:lang w:val="da-DK"/>
              </w:rPr>
            </w:pPr>
            <w:r>
              <w:rPr>
                <w:sz w:val="22"/>
                <w:lang w:val="da-DK"/>
              </w:rPr>
              <w:t>14,7 % (1,7 %; 27,7 %)***</w:t>
            </w:r>
          </w:p>
        </w:tc>
      </w:tr>
    </w:tbl>
    <w:p w:rsidR="00AA1268" w:rsidRDefault="00AA1268" w:rsidP="007708FD">
      <w:pPr>
        <w:suppressAutoHyphens/>
        <w:ind w:left="142"/>
        <w:rPr>
          <w:sz w:val="20"/>
          <w:lang w:eastAsia="fr-LU"/>
        </w:rPr>
      </w:pPr>
      <w:r>
        <w:t>* Studiets primære effektmål</w:t>
      </w:r>
    </w:p>
    <w:p w:rsidR="00AA1268" w:rsidRDefault="00AA1268" w:rsidP="007708FD">
      <w:pPr>
        <w:suppressAutoHyphens/>
        <w:ind w:left="142"/>
      </w:pPr>
      <w:r>
        <w:t>** Der påvises non-inferioritet med en margin på 5 %</w:t>
      </w:r>
    </w:p>
    <w:p w:rsidR="00AA1268" w:rsidRDefault="00AA1268" w:rsidP="007708FD">
      <w:pPr>
        <w:suppressAutoHyphens/>
        <w:ind w:left="142"/>
      </w:pPr>
      <w:r>
        <w:t>***Forskel i andele, 95 % konfidensinterval efter justering for randomisering</w:t>
      </w:r>
    </w:p>
    <w:p w:rsidR="00AA1268" w:rsidRDefault="00AA1268" w:rsidP="00AA1268">
      <w:pPr>
        <w:suppressAutoHyphens/>
        <w:rPr>
          <w:sz w:val="22"/>
          <w:szCs w:val="22"/>
        </w:rPr>
      </w:pPr>
    </w:p>
    <w:p w:rsidR="00AA1268" w:rsidRDefault="00AA1268" w:rsidP="007708FD">
      <w:pPr>
        <w:suppressAutoHyphens/>
        <w:ind w:left="142"/>
        <w:rPr>
          <w:b/>
          <w:bCs/>
          <w:sz w:val="22"/>
          <w:szCs w:val="22"/>
        </w:rPr>
      </w:pPr>
      <w:r>
        <w:rPr>
          <w:b/>
          <w:bCs/>
          <w:sz w:val="22"/>
          <w:szCs w:val="22"/>
        </w:rPr>
        <w:lastRenderedPageBreak/>
        <w:t>Myeloablative konditioneringsregimer</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0"/>
        <w:gridCol w:w="1620"/>
        <w:gridCol w:w="1440"/>
        <w:gridCol w:w="2970"/>
      </w:tblGrid>
      <w:tr w:rsidR="00AA1268" w:rsidTr="00AA1268">
        <w:tc>
          <w:tcPr>
            <w:tcW w:w="2790" w:type="dxa"/>
            <w:tcBorders>
              <w:top w:val="single" w:sz="4" w:space="0" w:color="auto"/>
              <w:left w:val="single" w:sz="4" w:space="0" w:color="000000"/>
              <w:bottom w:val="single" w:sz="4" w:space="0" w:color="000000"/>
              <w:right w:val="single" w:sz="4" w:space="0" w:color="000000"/>
            </w:tcBorders>
            <w:hideMark/>
          </w:tcPr>
          <w:p w:rsidR="00AA1268" w:rsidRDefault="00AA1268">
            <w:pPr>
              <w:pStyle w:val="Default"/>
              <w:keepNext/>
              <w:keepLines/>
              <w:rPr>
                <w:b/>
                <w:sz w:val="22"/>
                <w:lang w:val="da-DK"/>
              </w:rPr>
            </w:pPr>
            <w:r>
              <w:rPr>
                <w:b/>
                <w:sz w:val="22"/>
                <w:lang w:val="da-DK"/>
              </w:rPr>
              <w:t>Studiets effektmål</w:t>
            </w:r>
          </w:p>
        </w:tc>
        <w:tc>
          <w:tcPr>
            <w:tcW w:w="1620" w:type="dxa"/>
            <w:tcBorders>
              <w:top w:val="single" w:sz="4" w:space="0" w:color="auto"/>
              <w:left w:val="single" w:sz="4" w:space="0" w:color="000000"/>
              <w:bottom w:val="single" w:sz="4" w:space="0" w:color="000000"/>
              <w:right w:val="single" w:sz="4" w:space="0" w:color="000000"/>
            </w:tcBorders>
            <w:hideMark/>
          </w:tcPr>
          <w:p w:rsidR="00AA1268" w:rsidRDefault="00AA1268">
            <w:pPr>
              <w:pStyle w:val="Default"/>
              <w:keepNext/>
              <w:keepLines/>
              <w:rPr>
                <w:b/>
                <w:sz w:val="22"/>
                <w:szCs w:val="22"/>
                <w:lang w:val="da-DK"/>
              </w:rPr>
            </w:pPr>
            <w:r>
              <w:rPr>
                <w:b/>
                <w:sz w:val="22"/>
                <w:lang w:val="da-DK"/>
              </w:rPr>
              <w:t xml:space="preserve">Voriconazol </w:t>
            </w:r>
          </w:p>
          <w:p w:rsidR="00AA1268" w:rsidRDefault="00AA1268">
            <w:pPr>
              <w:pStyle w:val="Default"/>
              <w:keepNext/>
              <w:keepLines/>
              <w:rPr>
                <w:b/>
                <w:sz w:val="22"/>
                <w:lang w:val="da-DK"/>
              </w:rPr>
            </w:pPr>
            <w:r>
              <w:rPr>
                <w:b/>
                <w:sz w:val="22"/>
                <w:lang w:val="da-DK"/>
              </w:rPr>
              <w:t>(N=125)</w:t>
            </w:r>
            <w:r>
              <w:rPr>
                <w:b/>
                <w:sz w:val="22"/>
                <w:szCs w:val="22"/>
                <w:lang w:val="da-DK"/>
              </w:rPr>
              <w:t xml:space="preserve">  </w:t>
            </w:r>
          </w:p>
        </w:tc>
        <w:tc>
          <w:tcPr>
            <w:tcW w:w="1440" w:type="dxa"/>
            <w:tcBorders>
              <w:top w:val="single" w:sz="4" w:space="0" w:color="auto"/>
              <w:left w:val="single" w:sz="4" w:space="0" w:color="000000"/>
              <w:bottom w:val="single" w:sz="4" w:space="0" w:color="000000"/>
              <w:right w:val="single" w:sz="4" w:space="0" w:color="000000"/>
            </w:tcBorders>
            <w:hideMark/>
          </w:tcPr>
          <w:p w:rsidR="00AA1268" w:rsidRDefault="00AA1268">
            <w:pPr>
              <w:pStyle w:val="Default"/>
              <w:keepNext/>
              <w:keepLines/>
              <w:rPr>
                <w:b/>
                <w:sz w:val="22"/>
                <w:szCs w:val="22"/>
                <w:lang w:val="da-DK"/>
              </w:rPr>
            </w:pPr>
            <w:r>
              <w:rPr>
                <w:b/>
                <w:sz w:val="22"/>
                <w:lang w:val="da-DK"/>
              </w:rPr>
              <w:t>Itraconazol</w:t>
            </w:r>
          </w:p>
          <w:p w:rsidR="00AA1268" w:rsidRDefault="00AA1268">
            <w:pPr>
              <w:pStyle w:val="Default"/>
              <w:keepNext/>
              <w:keepLines/>
              <w:rPr>
                <w:b/>
                <w:sz w:val="22"/>
                <w:lang w:val="da-DK"/>
              </w:rPr>
            </w:pPr>
            <w:r>
              <w:rPr>
                <w:b/>
                <w:sz w:val="22"/>
                <w:lang w:val="da-DK"/>
              </w:rPr>
              <w:t>(N=143)</w:t>
            </w:r>
          </w:p>
        </w:tc>
        <w:tc>
          <w:tcPr>
            <w:tcW w:w="2970" w:type="dxa"/>
            <w:tcBorders>
              <w:top w:val="single" w:sz="4" w:space="0" w:color="auto"/>
              <w:left w:val="single" w:sz="4" w:space="0" w:color="000000"/>
              <w:bottom w:val="single" w:sz="4" w:space="0" w:color="000000"/>
              <w:right w:val="single" w:sz="4" w:space="0" w:color="000000"/>
            </w:tcBorders>
            <w:hideMark/>
          </w:tcPr>
          <w:p w:rsidR="00AA1268" w:rsidRDefault="00AA1268">
            <w:pPr>
              <w:pStyle w:val="Default"/>
              <w:keepNext/>
              <w:keepLines/>
              <w:rPr>
                <w:b/>
                <w:sz w:val="22"/>
                <w:lang w:val="da-DK"/>
              </w:rPr>
            </w:pPr>
            <w:r>
              <w:rPr>
                <w:b/>
                <w:sz w:val="22"/>
                <w:lang w:val="da-DK" w:eastAsia="en-IN"/>
              </w:rPr>
              <w:t>Forskel i andele og 95 % konfidensinterval</w:t>
            </w:r>
            <w:r>
              <w:rPr>
                <w:b/>
                <w:sz w:val="22"/>
                <w:szCs w:val="22"/>
                <w:lang w:val="da-DK"/>
              </w:rPr>
              <w:t xml:space="preserve"> </w:t>
            </w:r>
            <w:r>
              <w:rPr>
                <w:b/>
                <w:sz w:val="22"/>
                <w:lang w:val="da-DK"/>
              </w:rPr>
              <w:t>(CI)</w:t>
            </w:r>
          </w:p>
        </w:tc>
      </w:tr>
      <w:tr w:rsidR="00AA1268" w:rsidTr="00AA1268">
        <w:tc>
          <w:tcPr>
            <w:tcW w:w="279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keepNext/>
              <w:keepLines/>
              <w:rPr>
                <w:sz w:val="22"/>
                <w:lang w:val="da-DK"/>
              </w:rPr>
            </w:pPr>
            <w:r>
              <w:rPr>
                <w:sz w:val="22"/>
                <w:lang w:val="da-DK"/>
              </w:rPr>
              <w:t>Gennembrud invasiv svampeinfektion – dag 180</w:t>
            </w:r>
          </w:p>
        </w:tc>
        <w:tc>
          <w:tcPr>
            <w:tcW w:w="162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keepNext/>
              <w:keepLines/>
              <w:rPr>
                <w:sz w:val="22"/>
                <w:lang w:val="da-DK"/>
              </w:rPr>
            </w:pPr>
            <w:r>
              <w:rPr>
                <w:sz w:val="22"/>
                <w:lang w:val="da-DK"/>
              </w:rPr>
              <w:t>2 (1,6 %)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keepNext/>
              <w:keepLines/>
              <w:rPr>
                <w:sz w:val="22"/>
                <w:lang w:val="da-DK"/>
              </w:rPr>
            </w:pPr>
            <w:r>
              <w:rPr>
                <w:sz w:val="22"/>
                <w:lang w:val="da-DK"/>
              </w:rPr>
              <w:t>3 (2,1 %)</w:t>
            </w:r>
            <w:r>
              <w:rPr>
                <w:sz w:val="22"/>
                <w:szCs w:val="22"/>
                <w:lang w:val="da-DK"/>
              </w:rPr>
              <w:t xml:space="preserve"> </w:t>
            </w:r>
          </w:p>
        </w:tc>
        <w:tc>
          <w:tcPr>
            <w:tcW w:w="297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Paragraph"/>
              <w:keepNext/>
              <w:keepLines/>
              <w:spacing w:after="0"/>
              <w:rPr>
                <w:sz w:val="22"/>
                <w:lang w:val="da-DK"/>
              </w:rPr>
            </w:pPr>
            <w:r>
              <w:rPr>
                <w:sz w:val="22"/>
                <w:lang w:val="da-DK"/>
              </w:rPr>
              <w:t>-0,5 % (-3,7 %; 2,7 %) **</w:t>
            </w:r>
          </w:p>
        </w:tc>
      </w:tr>
      <w:tr w:rsidR="00AA1268" w:rsidTr="00AA1268">
        <w:tc>
          <w:tcPr>
            <w:tcW w:w="279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keepNext/>
              <w:keepLines/>
              <w:rPr>
                <w:sz w:val="22"/>
                <w:lang w:val="da-DK"/>
              </w:rPr>
            </w:pPr>
            <w:r>
              <w:rPr>
                <w:sz w:val="22"/>
                <w:lang w:val="da-DK"/>
              </w:rPr>
              <w:t>Succes efter 180 dage*</w:t>
            </w:r>
          </w:p>
        </w:tc>
        <w:tc>
          <w:tcPr>
            <w:tcW w:w="162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keepNext/>
              <w:keepLines/>
              <w:rPr>
                <w:sz w:val="22"/>
                <w:lang w:val="da-DK"/>
              </w:rPr>
            </w:pPr>
            <w:r>
              <w:rPr>
                <w:sz w:val="22"/>
                <w:lang w:val="da-DK"/>
              </w:rPr>
              <w:t>70 (56,0 %)</w:t>
            </w:r>
          </w:p>
        </w:tc>
        <w:tc>
          <w:tcPr>
            <w:tcW w:w="144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Default"/>
              <w:keepNext/>
              <w:keepLines/>
              <w:rPr>
                <w:sz w:val="22"/>
                <w:lang w:val="da-DK"/>
              </w:rPr>
            </w:pPr>
            <w:r>
              <w:rPr>
                <w:sz w:val="22"/>
                <w:lang w:val="da-DK"/>
              </w:rPr>
              <w:t>53 (37,1 %)</w:t>
            </w:r>
          </w:p>
        </w:tc>
        <w:tc>
          <w:tcPr>
            <w:tcW w:w="2970" w:type="dxa"/>
            <w:tcBorders>
              <w:top w:val="single" w:sz="4" w:space="0" w:color="000000"/>
              <w:left w:val="single" w:sz="4" w:space="0" w:color="000000"/>
              <w:bottom w:val="single" w:sz="4" w:space="0" w:color="000000"/>
              <w:right w:val="single" w:sz="4" w:space="0" w:color="000000"/>
            </w:tcBorders>
            <w:hideMark/>
          </w:tcPr>
          <w:p w:rsidR="00AA1268" w:rsidRDefault="00AA1268">
            <w:pPr>
              <w:pStyle w:val="Paragraph"/>
              <w:keepNext/>
              <w:keepLines/>
              <w:spacing w:after="0"/>
              <w:rPr>
                <w:sz w:val="22"/>
                <w:lang w:val="da-DK"/>
              </w:rPr>
            </w:pPr>
            <w:r>
              <w:rPr>
                <w:sz w:val="22"/>
                <w:lang w:val="da-DK"/>
              </w:rPr>
              <w:t>20,1 % (8,5 %; 31,7 %)***</w:t>
            </w:r>
          </w:p>
        </w:tc>
      </w:tr>
    </w:tbl>
    <w:p w:rsidR="00AA1268" w:rsidRDefault="00AA1268" w:rsidP="007708FD">
      <w:pPr>
        <w:suppressAutoHyphens/>
        <w:ind w:left="142"/>
        <w:rPr>
          <w:sz w:val="20"/>
          <w:lang w:eastAsia="fr-LU"/>
        </w:rPr>
      </w:pPr>
      <w:r>
        <w:t>* Studiets primære effektmål</w:t>
      </w:r>
    </w:p>
    <w:p w:rsidR="00AA1268" w:rsidRDefault="00AA1268" w:rsidP="007708FD">
      <w:pPr>
        <w:suppressAutoHyphens/>
        <w:ind w:left="142"/>
      </w:pPr>
      <w:r>
        <w:t>** Der påvises non-inferioritet med en margin på 5 %</w:t>
      </w:r>
    </w:p>
    <w:p w:rsidR="00AA1268" w:rsidRDefault="00AA1268" w:rsidP="007708FD">
      <w:pPr>
        <w:suppressAutoHyphens/>
        <w:ind w:left="142"/>
      </w:pPr>
      <w:r>
        <w:t>*** Forskel i andele, 95% konfidensinterval efter justering for randomisering</w:t>
      </w:r>
    </w:p>
    <w:bookmarkEnd w:id="1"/>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Sekundær profylakse af invasiv svampeinfektion – virkning hos HSCT-recipienter med forudgående påvist eller sandsynlig invasiv svampeinfektion</w:t>
      </w:r>
    </w:p>
    <w:p w:rsidR="00AA1268" w:rsidRPr="00AA1268" w:rsidRDefault="00AA1268" w:rsidP="00AA1268">
      <w:pPr>
        <w:suppressAutoHyphens/>
        <w:ind w:left="851"/>
        <w:rPr>
          <w:sz w:val="24"/>
          <w:szCs w:val="24"/>
        </w:rPr>
      </w:pPr>
      <w:r w:rsidRPr="00AA1268">
        <w:rPr>
          <w:sz w:val="24"/>
          <w:szCs w:val="24"/>
        </w:rPr>
        <w:t>Voriconazol blev undersøgt som sekundær profylakse i et åbent, ikke-komparativt multicenterstudie hos voksne allogene HSCT-recipienter med forudgående påvist eller sandsynlig invasiv svampeinfektion. Det primære effektmål var forekomsten af påvist og sandsynlig invasiv svampeinfektion i det første år efter HSCT. MITT-gruppen omfattede 40 patienter med forudgående invasiv svampeinfektion, herunder 31 med aspergillose, 5 med candidiasis og 4 med andre former for invasiv svampeinfektion. Medianvarigheden af profylaksen med forsøgslægemidlet var 95,5 dage i MITT-gruppen.</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rPr>
      </w:pPr>
      <w:r w:rsidRPr="00AA1268">
        <w:rPr>
          <w:sz w:val="24"/>
          <w:szCs w:val="24"/>
        </w:rPr>
        <w:t>7,5 % (3/40) af patienterne udviklede påvist eller sandsynlig svampeinfektion i løbet af det første år efter HSCT, herunder 1 candidæmi, 1 scedosporiose (begge remission af forudgående invasiv svampeinfektion) og 1 zygomycose. Overlevelsesraten var 80,0 % (32/40) efter 180 dage og 70,0 % (28/40) efter 1 år.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Varighed af behandlingen</w:t>
      </w:r>
    </w:p>
    <w:p w:rsidR="00AA1268" w:rsidRPr="00AA1268" w:rsidRDefault="00AA1268" w:rsidP="00AA1268">
      <w:pPr>
        <w:suppressAutoHyphens/>
        <w:ind w:left="851"/>
        <w:rPr>
          <w:sz w:val="24"/>
          <w:szCs w:val="24"/>
        </w:rPr>
      </w:pPr>
      <w:r w:rsidRPr="00AA1268">
        <w:rPr>
          <w:sz w:val="24"/>
          <w:szCs w:val="24"/>
        </w:rPr>
        <w:t>I kliniske studier fik 705 patienter voriconazolbehandling i mere end 12 uger, hvoraf 164 patienter fik voriconazol i over 6 måneder.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Pædiatrisk population</w:t>
      </w:r>
    </w:p>
    <w:p w:rsidR="00AA1268" w:rsidRPr="00AA1268" w:rsidRDefault="00AA1268" w:rsidP="00AA1268">
      <w:pPr>
        <w:suppressAutoHyphens/>
        <w:ind w:left="851"/>
        <w:rPr>
          <w:sz w:val="24"/>
          <w:szCs w:val="24"/>
        </w:rPr>
      </w:pPr>
      <w:r w:rsidRPr="00AA1268">
        <w:rPr>
          <w:sz w:val="24"/>
          <w:szCs w:val="24"/>
        </w:rPr>
        <w:t>53 pædiatriske patienter i alderen 2 til &lt;18 år blev behandlet med voriconazol i 2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uger 64,3 % (9/14), procentsatsten for det globale respons var 40 % (2/5) for patienter på 2 til &lt;12 år og 77,8 % (7/9) for patienter på 12 til &lt;18 år. For patienter med ICC var procentsatsen for det globale respons efter endt behandling 85,7 % (6/7), og for patienter med EC var procentsatsen for det globale respons efter endt behandling 70 % (7/10). Den samlede procentsats for respons (ICC sammenlagt med EC) var 88,9 % (8/9) for 2 til &lt;12 år og 62,5 % (5/8) for 12 til &lt;18 år.</w:t>
      </w:r>
    </w:p>
    <w:p w:rsidR="00AA1268" w:rsidRPr="00AA1268" w:rsidRDefault="00AA1268" w:rsidP="00AA1268">
      <w:pPr>
        <w:suppressAutoHyphens/>
        <w:ind w:left="851"/>
        <w:rPr>
          <w:sz w:val="24"/>
          <w:szCs w:val="24"/>
        </w:rPr>
      </w:pPr>
    </w:p>
    <w:p w:rsidR="00AA1268" w:rsidRPr="00AA1268" w:rsidRDefault="00AA1268" w:rsidP="00AA1268">
      <w:pPr>
        <w:suppressAutoHyphens/>
        <w:ind w:left="851"/>
        <w:rPr>
          <w:sz w:val="24"/>
          <w:szCs w:val="24"/>
          <w:u w:val="single"/>
        </w:rPr>
      </w:pPr>
      <w:r w:rsidRPr="00AA1268">
        <w:rPr>
          <w:sz w:val="24"/>
          <w:szCs w:val="24"/>
          <w:u w:val="single"/>
        </w:rPr>
        <w:t>Kliniske studier, der undersøger QTc-intervallet</w:t>
      </w:r>
    </w:p>
    <w:p w:rsidR="00AA1268" w:rsidRPr="00AA1268" w:rsidRDefault="00AA1268" w:rsidP="00AA1268">
      <w:pPr>
        <w:suppressAutoHyphens/>
        <w:ind w:left="851"/>
        <w:rPr>
          <w:sz w:val="24"/>
          <w:szCs w:val="24"/>
        </w:rPr>
      </w:pPr>
      <w:r w:rsidRPr="00AA1268">
        <w:rPr>
          <w:sz w:val="24"/>
          <w:szCs w:val="24"/>
        </w:rPr>
        <w:t xml:space="preserve">Et placebokontrolleret, randomiseret, enkeltdosis, crossover studie, der undersøgte effekten på QTcintervallet hos raske frivillige forsøgspersoner, blev udført med 3 orale doser af voriconazol og ketoconazol. De placebo-justerede gennemsnitlige maksimale stigninger i QTc i forhold til baseline efter 800 mg, 1200 mg og 1600 mg voriconazol var henholdsvis 5,1 msek., 4,8 msek. og 8,2 msek. og 7,0 msek. for ketoconazol 800 mg. Ingen forsøgspersoner i nogen af grupperne havde en stigning iQTc på ≥60 msek. i forhold til </w:t>
      </w:r>
      <w:r w:rsidRPr="00AA1268">
        <w:rPr>
          <w:sz w:val="24"/>
          <w:szCs w:val="24"/>
        </w:rPr>
        <w:lastRenderedPageBreak/>
        <w:t>baseline. Ingen forsøgspersoner oplevede et interval, der oversteg den potentielle kliniske relevante grænse på 500 msek.</w:t>
      </w:r>
    </w:p>
    <w:p w:rsidR="009260DE" w:rsidRPr="00AA1268" w:rsidRDefault="009260DE" w:rsidP="00AA126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Generelle farmakokinetiske karakteristika</w:t>
      </w:r>
    </w:p>
    <w:p w:rsidR="007934B1" w:rsidRPr="007934B1" w:rsidRDefault="007934B1" w:rsidP="007934B1">
      <w:pPr>
        <w:tabs>
          <w:tab w:val="left" w:pos="851"/>
        </w:tabs>
        <w:ind w:left="851"/>
        <w:rPr>
          <w:bCs/>
          <w:sz w:val="24"/>
          <w:szCs w:val="24"/>
        </w:rPr>
      </w:pPr>
      <w:r w:rsidRPr="007934B1">
        <w:rPr>
          <w:bCs/>
          <w:sz w:val="24"/>
          <w:szCs w:val="24"/>
        </w:rPr>
        <w:t>Voriconazols farmakokinetik er beskrevet hos raske forsøgspersoner, specielle populationer og patienter. Ved oral administration af 200 mg eller 300 mg to gange dagligt i 14 dage hos patienter med risiko for aspergillose (hovedsageligt patienter med ondartede svulster i det lymfatiske eller hæmatopoetiske væv) svarede de observerede farmakokinetiske karakteristika af hurtig og ensartet absorption, akkumulering og ikke-lineær farmakokinetik til, hvad man har observeret hos raske forsøgspersoner.</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Voriconazols farmakokinetik er ikke-lineær på grund af mætning af dets metabolisme. En forholdsmæssig større stigning i eksponering er set med stigende dosis. Det er skønnet, at en gennemsnitlig stigning i den orale dosis fra 200 mg to gange dagligt til 300 mg to gange dagligt fører til en 2,5 gange stigning i eksponering (AUC</w:t>
      </w:r>
      <w:r w:rsidRPr="007934B1">
        <w:rPr>
          <w:sz w:val="24"/>
          <w:szCs w:val="24"/>
        </w:rPr>
        <w:t>τ</w:t>
      </w:r>
      <w:r w:rsidRPr="007934B1">
        <w:rPr>
          <w:bCs/>
          <w:sz w:val="24"/>
          <w:szCs w:val="24"/>
        </w:rPr>
        <w:t>). Oral vedligeholdelsesdosis på 200 mg (eller 100 mg for patienter &lt;40 kg) resulterer i eksponering svarende til 3 mg/kg i.v. En oral vedligeholdelsesdosis på 300 mg (eller 150 mg for patienter &lt;40 kg) resulterer i eksponering svarende til 4 mg/kg i.v. Når den anbefalede intravenøse eller orale initialdosis gives, opnås plasmakoncentrationer tæt på steady-state inden for det første døgn. Uden initialdosis forekommer akkumulering ved dosering to gange dagligt indtil steady-state plasmavoriconazolkoncentrationer, som hos de fleste forsøgspersoner er opnået på dag 6.</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Hydroxypropylbetadex’ langsigtede sikkerhed hos mennesker er begrænset til 21 dage (250 mg/kg/dag).</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Absorption</w:t>
      </w:r>
    </w:p>
    <w:p w:rsidR="007934B1" w:rsidRPr="007934B1" w:rsidRDefault="007934B1" w:rsidP="007934B1">
      <w:pPr>
        <w:tabs>
          <w:tab w:val="left" w:pos="851"/>
        </w:tabs>
        <w:ind w:left="851"/>
        <w:rPr>
          <w:bCs/>
          <w:sz w:val="24"/>
          <w:szCs w:val="24"/>
        </w:rPr>
      </w:pPr>
      <w:r w:rsidRPr="007934B1">
        <w:rPr>
          <w:bCs/>
          <w:sz w:val="24"/>
          <w:szCs w:val="24"/>
        </w:rPr>
        <w:t>Voriconazol absorberes hurtigt og næsten fuldstændigt efter oral administration med maksimale plasmakoncentrationer (C</w:t>
      </w:r>
      <w:r w:rsidRPr="007934B1">
        <w:rPr>
          <w:bCs/>
          <w:sz w:val="24"/>
          <w:szCs w:val="24"/>
          <w:vertAlign w:val="subscript"/>
        </w:rPr>
        <w:t>max</w:t>
      </w:r>
      <w:r w:rsidRPr="007934B1">
        <w:rPr>
          <w:bCs/>
          <w:sz w:val="24"/>
          <w:szCs w:val="24"/>
        </w:rPr>
        <w:t>) 1-2 timer efter dosisindtagelse. Voriconazols absolutte biotilgængelighed efter oral administration er anslået til 96 %. Hvis flere doser voriconazol indtages sammen med meget fedtholdige måltider, vil C</w:t>
      </w:r>
      <w:r w:rsidRPr="007934B1">
        <w:rPr>
          <w:bCs/>
          <w:sz w:val="24"/>
          <w:szCs w:val="24"/>
          <w:vertAlign w:val="subscript"/>
        </w:rPr>
        <w:t>max</w:t>
      </w:r>
      <w:r w:rsidRPr="007934B1">
        <w:rPr>
          <w:bCs/>
          <w:sz w:val="24"/>
          <w:szCs w:val="24"/>
        </w:rPr>
        <w:t xml:space="preserve"> og AUC</w:t>
      </w:r>
      <w:r w:rsidRPr="007934B1">
        <w:rPr>
          <w:sz w:val="24"/>
          <w:szCs w:val="24"/>
        </w:rPr>
        <w:t>τ</w:t>
      </w:r>
      <w:r w:rsidRPr="007934B1">
        <w:rPr>
          <w:bCs/>
          <w:sz w:val="24"/>
          <w:szCs w:val="24"/>
        </w:rPr>
        <w:t xml:space="preserve"> blive reduceret med hhv. 34 % og 24 %. Absorptionen af voriconazol påvirkes ikke af ændringer i mavesyrens pH.</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Fordeling</w:t>
      </w:r>
    </w:p>
    <w:p w:rsidR="007934B1" w:rsidRPr="007934B1" w:rsidRDefault="007934B1" w:rsidP="007934B1">
      <w:pPr>
        <w:tabs>
          <w:tab w:val="left" w:pos="851"/>
        </w:tabs>
        <w:ind w:left="851"/>
        <w:rPr>
          <w:bCs/>
          <w:sz w:val="24"/>
          <w:szCs w:val="24"/>
        </w:rPr>
      </w:pPr>
      <w:r w:rsidRPr="007934B1">
        <w:rPr>
          <w:bCs/>
          <w:sz w:val="24"/>
          <w:szCs w:val="24"/>
        </w:rPr>
        <w:t>Voriconazols steady-state fordelingsvolumen er anslået til at være 4,6 l/kg, hvilket indikerer udbredt fordeling ud i vævene. Plasmaproteinbindingen anslås til 58 %. Prøver af cerebrospinalvæsken fra 8 patienter i et særligt klinisk program (”compassionate use”) viste målbare voriconazol-koncentrationer hos alle patienter.</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Biotransformation</w:t>
      </w:r>
    </w:p>
    <w:p w:rsidR="007934B1" w:rsidRPr="007934B1" w:rsidRDefault="007934B1" w:rsidP="007934B1">
      <w:pPr>
        <w:tabs>
          <w:tab w:val="left" w:pos="851"/>
        </w:tabs>
        <w:ind w:left="851"/>
        <w:rPr>
          <w:bCs/>
          <w:sz w:val="24"/>
          <w:szCs w:val="24"/>
        </w:rPr>
      </w:pPr>
      <w:r w:rsidRPr="007934B1">
        <w:rPr>
          <w:bCs/>
          <w:i/>
          <w:iCs/>
          <w:sz w:val="24"/>
          <w:szCs w:val="24"/>
        </w:rPr>
        <w:t>In vitro</w:t>
      </w:r>
      <w:r w:rsidRPr="007934B1">
        <w:rPr>
          <w:bCs/>
          <w:sz w:val="24"/>
          <w:szCs w:val="24"/>
        </w:rPr>
        <w:t xml:space="preserve"> studier har vist, at voriconazol metaboliseres via leverens cytochrom P450-isoenzymer CYP2C19, CYP2C9 og CYP3A4.</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Den inter-individuelle variabilitet af voriconazols farmakokinetik er høj.</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i/>
          <w:iCs/>
          <w:sz w:val="24"/>
          <w:szCs w:val="24"/>
        </w:rPr>
        <w:t>In vivo</w:t>
      </w:r>
      <w:r w:rsidRPr="007934B1">
        <w:rPr>
          <w:bCs/>
          <w:sz w:val="24"/>
          <w:szCs w:val="24"/>
        </w:rPr>
        <w:t xml:space="preserve"> studier tyder på, at CYP2C19 signifikant medvirker til voriconazols metabolisme. Dette enzym viser genetisk polymorfi. For eksempel forventes det, at det hos 15-20 % af de asiatiske populationer metaboliseres dårligt. Blandt kaukasiere og personer af negroid </w:t>
      </w:r>
      <w:r w:rsidRPr="007934B1">
        <w:rPr>
          <w:bCs/>
          <w:sz w:val="24"/>
          <w:szCs w:val="24"/>
        </w:rPr>
        <w:lastRenderedPageBreak/>
        <w:t>afstamning er prævalensen af personer med dårlig metaboliseringsevne 3-5 %. Studier hos kaukasiske og japanske raske personer har vist, at personer med dårlig metaboliseringsevne gennemsnitligt har 4 gange højere voriconazol-eksponering (AUC</w:t>
      </w:r>
      <w:r w:rsidRPr="007934B1">
        <w:rPr>
          <w:sz w:val="24"/>
          <w:szCs w:val="24"/>
        </w:rPr>
        <w:t>τ</w:t>
      </w:r>
      <w:r w:rsidRPr="007934B1">
        <w:rPr>
          <w:bCs/>
          <w:sz w:val="24"/>
          <w:szCs w:val="24"/>
        </w:rPr>
        <w:t>), end deres homozygotisk kraftigt metaboliserende modparter. Personer, som er heterozygotisk kraftigt metaboliserende, har gennemsnitligt fordoblet voriconazol-eksponering i forhold til deres homozygotisk kraftigt metaboliserende modparter.</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Hovedmetabolitten af voriconazol er N-oxid, der står for 72 % af de cirkulerende radioaktivt mærkede metabolitter i plasma. Denne metabolit har minimal antimykotisk effekt, og den bidrager ikke til voriconazols samlede effekt.</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Elimination</w:t>
      </w:r>
    </w:p>
    <w:p w:rsidR="007934B1" w:rsidRPr="007934B1" w:rsidRDefault="007934B1" w:rsidP="007934B1">
      <w:pPr>
        <w:tabs>
          <w:tab w:val="left" w:pos="851"/>
        </w:tabs>
        <w:ind w:left="851"/>
        <w:rPr>
          <w:bCs/>
          <w:sz w:val="24"/>
          <w:szCs w:val="24"/>
        </w:rPr>
      </w:pPr>
      <w:r w:rsidRPr="007934B1">
        <w:rPr>
          <w:bCs/>
          <w:sz w:val="24"/>
          <w:szCs w:val="24"/>
        </w:rPr>
        <w:t>Voriconazol udskilles ved levermetabolisme, hvor mindre end 2 % af dosis udskilles uforandret i urinen.</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Efter administration af en radioaktivt mærket dosis af voriconazol bliver næsten 80 % af radioaktiviteten genfundet i urinen efter gentagne intravenøse doser, og 83 % i urinen efter gentagne orale doser. Størstedelen (&gt;94 %) af den totale radioaktivitet bliver udskilt i de første 3 døgn efter både oral og intravenøs dosering.</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Voriconazols terminale halveringstid afhænger af dosis og er ca. 6 timer ved 200 mg (oralt). Grundet ikke-lineær farmakokinetik er halveringstiden ikke anvendelig i forudsigelsen af akkumuleringen eller eliminationen af voriconazol.</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Farmakokinetik i særlige patientgrupper</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Køn</w:t>
      </w:r>
    </w:p>
    <w:p w:rsidR="007934B1" w:rsidRPr="007934B1" w:rsidRDefault="007934B1" w:rsidP="007934B1">
      <w:pPr>
        <w:tabs>
          <w:tab w:val="left" w:pos="851"/>
        </w:tabs>
        <w:ind w:left="851"/>
        <w:rPr>
          <w:bCs/>
          <w:sz w:val="24"/>
          <w:szCs w:val="24"/>
        </w:rPr>
      </w:pPr>
      <w:r w:rsidRPr="007934B1">
        <w:rPr>
          <w:bCs/>
          <w:sz w:val="24"/>
          <w:szCs w:val="24"/>
        </w:rPr>
        <w:t>I et oralt flerdosisstudie med raske, unge kvinder var C</w:t>
      </w:r>
      <w:r w:rsidRPr="007934B1">
        <w:rPr>
          <w:bCs/>
          <w:sz w:val="24"/>
          <w:szCs w:val="24"/>
          <w:vertAlign w:val="subscript"/>
        </w:rPr>
        <w:t>max</w:t>
      </w:r>
      <w:r w:rsidRPr="007934B1">
        <w:rPr>
          <w:bCs/>
          <w:sz w:val="24"/>
          <w:szCs w:val="24"/>
        </w:rPr>
        <w:t xml:space="preserve"> og AUC</w:t>
      </w:r>
      <w:r w:rsidRPr="007934B1">
        <w:rPr>
          <w:sz w:val="24"/>
          <w:szCs w:val="24"/>
        </w:rPr>
        <w:t>τ</w:t>
      </w:r>
      <w:r w:rsidRPr="007934B1">
        <w:rPr>
          <w:bCs/>
          <w:sz w:val="24"/>
          <w:szCs w:val="24"/>
        </w:rPr>
        <w:t xml:space="preserve"> henholdsvis 83 % og 113 % højere, end hos raske, unge mænd (18-45 år). I samme studie blev der ikke observeret signifikante ændringer i C</w:t>
      </w:r>
      <w:r w:rsidRPr="007934B1">
        <w:rPr>
          <w:bCs/>
          <w:sz w:val="24"/>
          <w:szCs w:val="24"/>
          <w:vertAlign w:val="subscript"/>
        </w:rPr>
        <w:t>max</w:t>
      </w:r>
      <w:r w:rsidRPr="007934B1">
        <w:rPr>
          <w:bCs/>
          <w:sz w:val="24"/>
          <w:szCs w:val="24"/>
        </w:rPr>
        <w:t xml:space="preserve"> og AUC</w:t>
      </w:r>
      <w:r w:rsidRPr="007934B1">
        <w:rPr>
          <w:sz w:val="24"/>
          <w:szCs w:val="24"/>
        </w:rPr>
        <w:t>τ</w:t>
      </w:r>
      <w:r w:rsidRPr="007934B1">
        <w:rPr>
          <w:bCs/>
          <w:sz w:val="24"/>
          <w:szCs w:val="24"/>
        </w:rPr>
        <w:t xml:space="preserve"> mellem raske, ældre mænd og raske, ældre, kvinder (</w:t>
      </w:r>
      <w:r w:rsidRPr="007934B1">
        <w:rPr>
          <w:sz w:val="24"/>
          <w:szCs w:val="24"/>
        </w:rPr>
        <w:t>≥</w:t>
      </w:r>
      <w:r w:rsidRPr="007934B1">
        <w:rPr>
          <w:bCs/>
          <w:sz w:val="24"/>
          <w:szCs w:val="24"/>
        </w:rPr>
        <w:t>65 år).</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Der var ingen kønsbaserede dosisjusteringer i det kliniske program. Sikkerhedsprofilen og plasmakoncentrationerne, der blev observeret, var ens for såvel de mandlige som kvindelige patienter. Derfor er det ikke nødvendigt med dosisjustering på baggrund af køn.</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Ældre</w:t>
      </w:r>
    </w:p>
    <w:p w:rsidR="007934B1" w:rsidRPr="007934B1" w:rsidRDefault="007934B1" w:rsidP="007934B1">
      <w:pPr>
        <w:tabs>
          <w:tab w:val="left" w:pos="851"/>
        </w:tabs>
        <w:ind w:left="851"/>
        <w:rPr>
          <w:bCs/>
          <w:sz w:val="24"/>
          <w:szCs w:val="24"/>
        </w:rPr>
      </w:pPr>
      <w:r w:rsidRPr="007934B1">
        <w:rPr>
          <w:bCs/>
          <w:sz w:val="24"/>
          <w:szCs w:val="24"/>
        </w:rPr>
        <w:t>I et oralt flerdosisstudie med raske, ældre mænd (</w:t>
      </w:r>
      <w:r w:rsidRPr="007934B1">
        <w:rPr>
          <w:sz w:val="24"/>
          <w:szCs w:val="24"/>
        </w:rPr>
        <w:t>≥</w:t>
      </w:r>
      <w:r w:rsidRPr="007934B1">
        <w:rPr>
          <w:bCs/>
          <w:sz w:val="24"/>
          <w:szCs w:val="24"/>
        </w:rPr>
        <w:t>65 år) var C</w:t>
      </w:r>
      <w:r w:rsidRPr="007934B1">
        <w:rPr>
          <w:bCs/>
          <w:sz w:val="24"/>
          <w:szCs w:val="24"/>
          <w:vertAlign w:val="subscript"/>
        </w:rPr>
        <w:t>max</w:t>
      </w:r>
      <w:r w:rsidRPr="007934B1">
        <w:rPr>
          <w:bCs/>
          <w:sz w:val="24"/>
          <w:szCs w:val="24"/>
        </w:rPr>
        <w:t xml:space="preserve"> og AUC</w:t>
      </w:r>
      <w:r w:rsidRPr="007934B1">
        <w:rPr>
          <w:sz w:val="24"/>
          <w:szCs w:val="24"/>
        </w:rPr>
        <w:t>τ</w:t>
      </w:r>
      <w:r w:rsidRPr="007934B1">
        <w:rPr>
          <w:bCs/>
          <w:sz w:val="24"/>
          <w:szCs w:val="24"/>
        </w:rPr>
        <w:t xml:space="preserve"> henholdsvis 61% og 86 % højere end hos raske, unge mænd (18-45 år). Der blev ikke observeret nogen signifikante forskelle i C</w:t>
      </w:r>
      <w:r w:rsidRPr="007934B1">
        <w:rPr>
          <w:bCs/>
          <w:sz w:val="24"/>
          <w:szCs w:val="24"/>
          <w:vertAlign w:val="subscript"/>
        </w:rPr>
        <w:t>max</w:t>
      </w:r>
      <w:r w:rsidRPr="007934B1">
        <w:rPr>
          <w:bCs/>
          <w:sz w:val="24"/>
          <w:szCs w:val="24"/>
        </w:rPr>
        <w:t xml:space="preserve"> og AUC</w:t>
      </w:r>
      <w:r w:rsidRPr="007934B1">
        <w:rPr>
          <w:sz w:val="24"/>
          <w:szCs w:val="24"/>
        </w:rPr>
        <w:t>τ</w:t>
      </w:r>
      <w:r w:rsidRPr="007934B1">
        <w:rPr>
          <w:bCs/>
          <w:sz w:val="24"/>
          <w:szCs w:val="24"/>
        </w:rPr>
        <w:t xml:space="preserve"> mellem raske, ældre kvinder (</w:t>
      </w:r>
      <w:r w:rsidRPr="007934B1">
        <w:rPr>
          <w:sz w:val="24"/>
          <w:szCs w:val="24"/>
        </w:rPr>
        <w:t>≥</w:t>
      </w:r>
      <w:r w:rsidRPr="007934B1">
        <w:rPr>
          <w:bCs/>
          <w:sz w:val="24"/>
          <w:szCs w:val="24"/>
        </w:rPr>
        <w:t>65 år) og raske, unge kvinder (18-45 år).</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I behandlingsstudierne blev der ikke foretaget dosisjusteringer på baggrund af alder. Der blev observeret en sammenhæng mellem plasmakoncentrationer og alder. Voriconazols sikkerhedsprofil var ens hos både unge og ældre patienter, hvorfor en dosisjustering hos de ældre ikke er nødvendig (se pkt. 4.2).</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Pædiatrisk population</w:t>
      </w:r>
    </w:p>
    <w:p w:rsidR="007934B1" w:rsidRPr="007934B1" w:rsidRDefault="007934B1" w:rsidP="007934B1">
      <w:pPr>
        <w:tabs>
          <w:tab w:val="left" w:pos="851"/>
        </w:tabs>
        <w:ind w:left="851"/>
        <w:rPr>
          <w:bCs/>
          <w:sz w:val="24"/>
          <w:szCs w:val="24"/>
        </w:rPr>
      </w:pPr>
      <w:r w:rsidRPr="007934B1">
        <w:rPr>
          <w:bCs/>
          <w:sz w:val="24"/>
          <w:szCs w:val="24"/>
        </w:rPr>
        <w:t xml:space="preserve">De anbefalede doser til børn og unge er baseret på en farmakokinetisk populationsanalyse af data fra 112 immunkompromitterede pædiatriske patienter i alderen 2 til &lt;12 år og 26 immunkompromitterede unge i alderen 12 til &lt;17 år. Multiple intravenøse doser på 3, 4, 6, </w:t>
      </w:r>
      <w:r w:rsidRPr="007934B1">
        <w:rPr>
          <w:bCs/>
          <w:sz w:val="24"/>
          <w:szCs w:val="24"/>
        </w:rPr>
        <w:lastRenderedPageBreak/>
        <w:t>7 og 8 mg/kg to gange dagligt og multiple orale doser (pulver til oral suspension) på 4 mg/kg, 6 mg/kg samt 200 mg to gange dagligt, blev evalueret i 3 pædiatriske farmakokinetik-studier. Intravenøs mætningsdosis på 6 mg/kg to gange dagligt på dag 1 efterfulgt af 4 mg/kg i.v. to gange dagligt eller oralt 300 mg tabletter to gange dagligt blev evalueret i et farmakokinetik-studie med unge. Der blev set større inter-individuel variation mellem de pædiatriske patienter sammenlignet med voksne.</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En sammenligning af de farmakokinetiske populationsdata fra børn og voksne indikerer, at den forventede totale eksponering (AUC</w:t>
      </w:r>
      <w:r w:rsidRPr="007934B1">
        <w:rPr>
          <w:sz w:val="24"/>
          <w:szCs w:val="24"/>
        </w:rPr>
        <w:t>τ</w:t>
      </w:r>
      <w:r w:rsidRPr="007934B1">
        <w:rPr>
          <w:bCs/>
          <w:sz w:val="24"/>
          <w:szCs w:val="24"/>
        </w:rPr>
        <w:t xml:space="preserve"> hos børn efter administration af intravenøs mætningsdosis på 9 mg/kg var sammenlignelig med den for voksne efter en intravenøs mætningsdosis på 6 mg/kg. Den forventede totale eksponering hos børn efter intravenøse vedligeholdelsesdoser på 4 mg/kg og 8 mg/kg to gange dagligt var sammenlignelig med den for voksne efter intravenøse doser på hhv. 3 mg/kg og 4 mg/kg to gange dagligt. Den forventede totale eksponering hos børn efter oral vedligeholdelses</w:t>
      </w:r>
      <w:r w:rsidRPr="007934B1">
        <w:rPr>
          <w:bCs/>
          <w:sz w:val="24"/>
          <w:szCs w:val="24"/>
        </w:rPr>
        <w:softHyphen/>
        <w:t>behandling på 9 mg/kg (maksimalt 350 mg) to gange dagligt var sammenlignelig med den for voksne efter oral behandling med 200 mg to gange dagligt. En 8 mg/kg intravenøs dosis giver en voriconazol-eksponering, der er ca. 2 gange højere end den, der ses ved en 9 mg/kg oral dosis.</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Den højere intravenøse vedligeholdelsesdosis hos pædiatriske patienter sammenlignet med voksne skyldes højere eliminationskapacitet hos pædiatriske patienter pga. større levermasse i forhold til legemsvægt. Hos pædiatriske patienter med malabsorption og meget lav legemsvægt i forhold deres alder kan den orale biotilgængelighed imidlertid være begrænset. I disse tilfælde anbefales intravenøs administration af voriconazol.</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Hos størstedelen af de unge patienter var voriconazol-eksponering sammenlignelig med den for voksne i samme dosisregime. Sammenlignet med voksne blev der dog set lavere voriconazol-eksponering hos nogle unge med lav legemsvægt. Det er sandsynligt, at disse patienters metabolisering af voriconazol mere ligner børns end voksnes. Baseret på den farmakokinetiske populationsanalyse skal 12-14-årige unge, der vejer &lt;50 kg, have børnedosis (se pkt. 4.2).</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Nedsat nyrefunktion</w:t>
      </w:r>
    </w:p>
    <w:p w:rsidR="007934B1" w:rsidRPr="007934B1" w:rsidRDefault="007934B1" w:rsidP="007934B1">
      <w:pPr>
        <w:tabs>
          <w:tab w:val="left" w:pos="851"/>
        </w:tabs>
        <w:ind w:left="851"/>
        <w:rPr>
          <w:bCs/>
          <w:sz w:val="24"/>
          <w:szCs w:val="24"/>
        </w:rPr>
      </w:pPr>
      <w:r w:rsidRPr="007934B1">
        <w:rPr>
          <w:bCs/>
          <w:sz w:val="24"/>
          <w:szCs w:val="24"/>
        </w:rPr>
        <w:t xml:space="preserve">Hos patienter med normal nyrefunktion har den farmakokinetiske profil af hydroxypropylbetadex, en ingrediens i voriconazol 200 mg i.v., en kort halveringstid på 1-2 timer og udviser ingen akkumulering efter på hinanden følgende daglige doser. Hos raske personer og hos patienter med let til svært nedsat nyrefunktion elimineres størstedelen (&gt;85 %) af en dosis på 8 g hydroxypropylbetadex i urinen. Hos personer med let, moderat og svært nedsat nyrefunktion blev halveringstiderne øget over de normale værdier med hhv. ca. 2, 4 og 6 gange. Hos disse patienter kan på hinanden følgende infusioner medføre akkumulering af hydroxypropylbetadex, indtil steady-state er nået. Hydroxypropylbetadex fjernes ved hæmodialyse med en clearance på 37,5 </w:t>
      </w:r>
      <w:r w:rsidRPr="007934B1">
        <w:rPr>
          <w:sz w:val="24"/>
          <w:szCs w:val="24"/>
        </w:rPr>
        <w:t>±</w:t>
      </w:r>
      <w:r w:rsidRPr="007934B1">
        <w:rPr>
          <w:bCs/>
          <w:sz w:val="24"/>
          <w:szCs w:val="24"/>
        </w:rPr>
        <w:t xml:space="preserve"> 24 ml/min. </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u w:val="single"/>
        </w:rPr>
      </w:pPr>
      <w:r w:rsidRPr="007934B1">
        <w:rPr>
          <w:bCs/>
          <w:sz w:val="24"/>
          <w:szCs w:val="24"/>
          <w:u w:val="single"/>
        </w:rPr>
        <w:t>Nedsat leverfunktion</w:t>
      </w:r>
    </w:p>
    <w:p w:rsidR="007934B1" w:rsidRPr="007934B1" w:rsidRDefault="007934B1" w:rsidP="007934B1">
      <w:pPr>
        <w:tabs>
          <w:tab w:val="left" w:pos="851"/>
        </w:tabs>
        <w:ind w:left="851"/>
        <w:rPr>
          <w:bCs/>
          <w:sz w:val="24"/>
          <w:szCs w:val="24"/>
        </w:rPr>
      </w:pPr>
      <w:r w:rsidRPr="007934B1">
        <w:rPr>
          <w:bCs/>
          <w:sz w:val="24"/>
          <w:szCs w:val="24"/>
        </w:rPr>
        <w:t>Efter en oral enkeltdosis (200 mg) var AUC 233 % højere hos personer med let til moderat levercirrose (Child-Pugh klasse A og B) sammenlignet med personer med normal leverfunktion. Proteinbindingen af voriconazol var ikke påvirket af nedsat leverfunktion.</w:t>
      </w:r>
    </w:p>
    <w:p w:rsidR="007934B1" w:rsidRPr="007934B1" w:rsidRDefault="007934B1" w:rsidP="007934B1">
      <w:pPr>
        <w:tabs>
          <w:tab w:val="left" w:pos="851"/>
        </w:tabs>
        <w:ind w:left="851"/>
        <w:rPr>
          <w:bCs/>
          <w:sz w:val="24"/>
          <w:szCs w:val="24"/>
        </w:rPr>
      </w:pPr>
    </w:p>
    <w:p w:rsidR="007934B1" w:rsidRPr="007934B1" w:rsidRDefault="007934B1" w:rsidP="007934B1">
      <w:pPr>
        <w:tabs>
          <w:tab w:val="left" w:pos="851"/>
        </w:tabs>
        <w:ind w:left="851"/>
        <w:rPr>
          <w:bCs/>
          <w:sz w:val="24"/>
          <w:szCs w:val="24"/>
        </w:rPr>
      </w:pPr>
      <w:r w:rsidRPr="007934B1">
        <w:rPr>
          <w:bCs/>
          <w:sz w:val="24"/>
          <w:szCs w:val="24"/>
        </w:rPr>
        <w:t>I et oralt flerdosisstudie var AUC</w:t>
      </w:r>
      <w:r w:rsidRPr="007934B1">
        <w:rPr>
          <w:sz w:val="24"/>
          <w:szCs w:val="24"/>
          <w:vertAlign w:val="subscript"/>
        </w:rPr>
        <w:t>τ</w:t>
      </w:r>
      <w:r w:rsidRPr="007934B1">
        <w:rPr>
          <w:bCs/>
          <w:sz w:val="24"/>
          <w:szCs w:val="24"/>
        </w:rPr>
        <w:t xml:space="preserve"> ens for personer med moderat levercirrose (Child-Pugh klasse B), der fik en vedligeholdelsesdosis på 100 mg to gange dagligt, og personer med normal leverfunktion, der fik 200 mg to gange dagligt. Der er ingen tilgængelige </w:t>
      </w:r>
      <w:r w:rsidRPr="007934B1">
        <w:rPr>
          <w:bCs/>
          <w:sz w:val="24"/>
          <w:szCs w:val="24"/>
        </w:rPr>
        <w:lastRenderedPageBreak/>
        <w:t>farmakokinetiske data på patienter med svær levercirrose (Child-Pugh klasse C) (se pkt. 4.2 og 4.4).</w:t>
      </w:r>
    </w:p>
    <w:p w:rsidR="007934B1" w:rsidRPr="007934B1" w:rsidRDefault="007934B1" w:rsidP="007934B1">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7934B1" w:rsidRPr="007934B1" w:rsidRDefault="007934B1" w:rsidP="007934B1">
      <w:pPr>
        <w:tabs>
          <w:tab w:val="left" w:pos="851"/>
        </w:tabs>
        <w:ind w:left="851"/>
        <w:rPr>
          <w:sz w:val="24"/>
          <w:szCs w:val="24"/>
        </w:rPr>
      </w:pPr>
      <w:r w:rsidRPr="007934B1">
        <w:rPr>
          <w:sz w:val="24"/>
          <w:szCs w:val="24"/>
        </w:rPr>
        <w:t>Studier vedrørende toksicitet efter gentagne doser voriconazol tyder på, at leveren er målorganet. Der ses, ligesom ved andre antimykotiske midler, hepatotoksicitet ved plasmaoptagelse svarende til den, der ses ved terapeutiske doser hos mennesker. Hos rotter, mus og hunde inducerede voriconazol også minimale adrenale forandringer. Konventionelle studier af sikkerhedsfarmakologi, genotoksicitet og karcinogent potentiale viser ingen speciel risiko for mennesker.</w:t>
      </w:r>
    </w:p>
    <w:p w:rsidR="007934B1" w:rsidRPr="007934B1" w:rsidRDefault="007934B1" w:rsidP="007934B1">
      <w:pPr>
        <w:tabs>
          <w:tab w:val="left" w:pos="851"/>
        </w:tabs>
        <w:ind w:left="851"/>
        <w:rPr>
          <w:sz w:val="24"/>
          <w:szCs w:val="24"/>
        </w:rPr>
      </w:pPr>
    </w:p>
    <w:p w:rsidR="007934B1" w:rsidRPr="007934B1" w:rsidRDefault="007934B1" w:rsidP="007934B1">
      <w:pPr>
        <w:tabs>
          <w:tab w:val="left" w:pos="851"/>
        </w:tabs>
        <w:ind w:left="851"/>
        <w:rPr>
          <w:sz w:val="24"/>
          <w:szCs w:val="24"/>
        </w:rPr>
      </w:pPr>
      <w:r w:rsidRPr="007934B1">
        <w:rPr>
          <w:sz w:val="24"/>
          <w:szCs w:val="24"/>
        </w:rPr>
        <w:t>I reproduktionsforsøg har voriconazol vist sig at være teratogent hos rotter og embryotoksisk hos kaniner ved systemisk optagelse svarende til den, der ses ved terapeutiske doser hos mennesker. I undersøgelser af den præ- og postnatale udvikling hos rotter, forlængede voriconazol, ved en mindre optagelse end den, der ses ved terapeutiske doser hos mennesker, gestations- og fødselsvarigheden, medførte dystoci med heraf følgende maternel mortalitet, og reducerede den perinatale overlevelse af afkommet. Effekten på fødslen er sandsynligvis medieret af artsspecifikke mekanismer, der omfatter fald i østradiolniveuaer, og svarer til det, der er observeret ved andre azol-antimykotika. Dyreforsøg viste ikke nedsat fertilitet hos han- og hunrotter efter eksponeringer svarende til dem, der opnås hos mennesker ved terapeutiske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934B1" w:rsidRPr="007934B1" w:rsidRDefault="007934B1" w:rsidP="007934B1">
      <w:pPr>
        <w:tabs>
          <w:tab w:val="left" w:pos="851"/>
        </w:tabs>
        <w:ind w:left="851"/>
        <w:rPr>
          <w:sz w:val="24"/>
          <w:szCs w:val="24"/>
        </w:rPr>
      </w:pPr>
      <w:r w:rsidRPr="007934B1">
        <w:rPr>
          <w:sz w:val="24"/>
          <w:szCs w:val="24"/>
        </w:rPr>
        <w:t>Hydroxypropylbetadex (HPBCD) MS: 0,58-0,68</w:t>
      </w:r>
    </w:p>
    <w:p w:rsidR="007934B1" w:rsidRPr="007934B1" w:rsidRDefault="007934B1" w:rsidP="007934B1">
      <w:pPr>
        <w:tabs>
          <w:tab w:val="left" w:pos="851"/>
        </w:tabs>
        <w:ind w:left="851"/>
        <w:rPr>
          <w:sz w:val="24"/>
          <w:szCs w:val="24"/>
        </w:rPr>
      </w:pPr>
      <w:r w:rsidRPr="007934B1">
        <w:rPr>
          <w:sz w:val="24"/>
          <w:szCs w:val="24"/>
        </w:rPr>
        <w:t>Lactosemonohydrat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7934B1" w:rsidRPr="007934B1" w:rsidRDefault="00C561B1" w:rsidP="007934B1">
      <w:pPr>
        <w:tabs>
          <w:tab w:val="left" w:pos="851"/>
        </w:tabs>
        <w:ind w:left="851"/>
        <w:rPr>
          <w:sz w:val="24"/>
          <w:szCs w:val="24"/>
        </w:rPr>
      </w:pPr>
      <w:r>
        <w:rPr>
          <w:sz w:val="24"/>
          <w:szCs w:val="24"/>
        </w:rPr>
        <w:t>Voriconazole "Accord Healthcare"</w:t>
      </w:r>
      <w:r w:rsidR="007934B1" w:rsidRPr="007934B1">
        <w:rPr>
          <w:sz w:val="24"/>
          <w:szCs w:val="24"/>
        </w:rPr>
        <w:t xml:space="preserve"> må ikke infunderes i samme dropslange eller kanyle samtidigt med andre intravenøse produkter. Posen skal kontrolleres for at sikre, at infusionen er tilendebragt. Når </w:t>
      </w:r>
      <w:r>
        <w:rPr>
          <w:sz w:val="24"/>
          <w:szCs w:val="24"/>
        </w:rPr>
        <w:t>Voriconazole "Accord Healthcare"</w:t>
      </w:r>
      <w:r w:rsidR="007934B1" w:rsidRPr="007934B1">
        <w:rPr>
          <w:sz w:val="24"/>
          <w:szCs w:val="24"/>
        </w:rPr>
        <w:t>-infusionen er tilendebragt, kan dropslangen anvendes til administration af andre intravenøse produkter.</w:t>
      </w:r>
    </w:p>
    <w:p w:rsidR="007934B1" w:rsidRPr="007934B1" w:rsidRDefault="007934B1" w:rsidP="007934B1">
      <w:pPr>
        <w:tabs>
          <w:tab w:val="left" w:pos="851"/>
        </w:tabs>
        <w:ind w:left="851"/>
        <w:rPr>
          <w:sz w:val="24"/>
          <w:szCs w:val="24"/>
        </w:rPr>
      </w:pPr>
    </w:p>
    <w:p w:rsidR="007934B1" w:rsidRPr="007934B1" w:rsidRDefault="007934B1" w:rsidP="007934B1">
      <w:pPr>
        <w:tabs>
          <w:tab w:val="left" w:pos="851"/>
        </w:tabs>
        <w:ind w:left="851"/>
        <w:rPr>
          <w:sz w:val="24"/>
          <w:szCs w:val="24"/>
          <w:u w:val="single"/>
        </w:rPr>
      </w:pPr>
      <w:r w:rsidRPr="007934B1">
        <w:rPr>
          <w:sz w:val="24"/>
          <w:szCs w:val="24"/>
          <w:u w:val="single"/>
        </w:rPr>
        <w:t>Blodprodukter og korttidsinfusioner af elektrolytter</w:t>
      </w:r>
    </w:p>
    <w:p w:rsidR="007934B1" w:rsidRPr="007934B1" w:rsidRDefault="007934B1" w:rsidP="007934B1">
      <w:pPr>
        <w:tabs>
          <w:tab w:val="left" w:pos="851"/>
        </w:tabs>
        <w:ind w:left="851"/>
        <w:rPr>
          <w:sz w:val="24"/>
          <w:szCs w:val="24"/>
        </w:rPr>
      </w:pPr>
      <w:r w:rsidRPr="007934B1">
        <w:rPr>
          <w:sz w:val="24"/>
          <w:szCs w:val="24"/>
        </w:rPr>
        <w:t xml:space="preserve">Elektrolytforstyrrelser såsom hypokaliæmi, hypomagnesæmi og hypokalcæmi bør korrigeres før voriconazolbehandling initieres (se pkt. 4.2 og 4.4). </w:t>
      </w:r>
      <w:r w:rsidR="00C561B1">
        <w:rPr>
          <w:sz w:val="24"/>
          <w:szCs w:val="24"/>
        </w:rPr>
        <w:t>Voriconazole "Accord Healthcare"</w:t>
      </w:r>
      <w:r w:rsidRPr="007934B1">
        <w:rPr>
          <w:sz w:val="24"/>
          <w:szCs w:val="24"/>
        </w:rPr>
        <w:t xml:space="preserve"> må ikke gives samtidigt med andre blodprodukter eller andre korttidsinfusioner af elektrolytter, selv om de to infusioner gives i hver sin dropslange.</w:t>
      </w:r>
    </w:p>
    <w:p w:rsidR="007934B1" w:rsidRPr="007934B1" w:rsidRDefault="007934B1" w:rsidP="007934B1">
      <w:pPr>
        <w:tabs>
          <w:tab w:val="left" w:pos="851"/>
        </w:tabs>
        <w:ind w:left="851"/>
        <w:rPr>
          <w:sz w:val="24"/>
          <w:szCs w:val="24"/>
        </w:rPr>
      </w:pPr>
    </w:p>
    <w:p w:rsidR="007934B1" w:rsidRPr="007934B1" w:rsidRDefault="007934B1" w:rsidP="007934B1">
      <w:pPr>
        <w:tabs>
          <w:tab w:val="left" w:pos="851"/>
        </w:tabs>
        <w:ind w:left="851"/>
        <w:rPr>
          <w:sz w:val="24"/>
          <w:szCs w:val="24"/>
          <w:u w:val="single"/>
        </w:rPr>
      </w:pPr>
      <w:r w:rsidRPr="007934B1">
        <w:rPr>
          <w:sz w:val="24"/>
          <w:szCs w:val="24"/>
          <w:u w:val="single"/>
        </w:rPr>
        <w:t>Total parenteral ernæring</w:t>
      </w:r>
    </w:p>
    <w:p w:rsidR="007934B1" w:rsidRPr="007934B1" w:rsidRDefault="007934B1" w:rsidP="007934B1">
      <w:pPr>
        <w:tabs>
          <w:tab w:val="left" w:pos="851"/>
        </w:tabs>
        <w:ind w:left="851"/>
        <w:rPr>
          <w:sz w:val="24"/>
          <w:szCs w:val="24"/>
        </w:rPr>
      </w:pPr>
      <w:r w:rsidRPr="007934B1">
        <w:rPr>
          <w:sz w:val="24"/>
          <w:szCs w:val="24"/>
        </w:rPr>
        <w:t xml:space="preserve">Total parenteral ernæring (TPN) behøver </w:t>
      </w:r>
      <w:r w:rsidRPr="007934B1">
        <w:rPr>
          <w:i/>
          <w:iCs/>
          <w:sz w:val="24"/>
          <w:szCs w:val="24"/>
        </w:rPr>
        <w:t>ikke</w:t>
      </w:r>
      <w:r w:rsidRPr="007934B1">
        <w:rPr>
          <w:sz w:val="24"/>
          <w:szCs w:val="24"/>
        </w:rPr>
        <w:t xml:space="preserve"> at blive seponeret, når der udskrives </w:t>
      </w:r>
      <w:r w:rsidR="00C561B1">
        <w:rPr>
          <w:sz w:val="24"/>
          <w:szCs w:val="24"/>
        </w:rPr>
        <w:t>Voriconazole "Accord Healthcare"</w:t>
      </w:r>
      <w:r w:rsidRPr="007934B1">
        <w:rPr>
          <w:sz w:val="24"/>
          <w:szCs w:val="24"/>
        </w:rPr>
        <w:t xml:space="preserve">, men de skal infunderes i hver sin dropslange. Hvis det infunderes gennem et multi-lumen kateter, skal TPN administreres i en anden port end den, der benyttes til </w:t>
      </w:r>
      <w:r w:rsidR="00C561B1">
        <w:rPr>
          <w:sz w:val="24"/>
          <w:szCs w:val="24"/>
        </w:rPr>
        <w:t>Voriconazole "Accord Healthcare"</w:t>
      </w:r>
      <w:r w:rsidRPr="007934B1">
        <w:rPr>
          <w:sz w:val="24"/>
          <w:szCs w:val="24"/>
        </w:rPr>
        <w:t xml:space="preserve">. </w:t>
      </w:r>
      <w:r w:rsidR="00C561B1">
        <w:rPr>
          <w:sz w:val="24"/>
          <w:szCs w:val="24"/>
        </w:rPr>
        <w:t>Voriconazole "Accord Healthcare"</w:t>
      </w:r>
      <w:r w:rsidRPr="007934B1">
        <w:rPr>
          <w:sz w:val="24"/>
          <w:szCs w:val="24"/>
        </w:rPr>
        <w:t xml:space="preserve"> må ikke fortyndes med 4,2 % natriumcarbonat infusionsvæske. Forligelighed med andre koncentrationer er ikke kendt.</w:t>
      </w:r>
    </w:p>
    <w:p w:rsidR="007934B1" w:rsidRPr="007934B1" w:rsidRDefault="007934B1" w:rsidP="007934B1">
      <w:pPr>
        <w:tabs>
          <w:tab w:val="left" w:pos="851"/>
        </w:tabs>
        <w:ind w:left="851"/>
        <w:rPr>
          <w:sz w:val="24"/>
          <w:szCs w:val="24"/>
        </w:rPr>
      </w:pPr>
    </w:p>
    <w:p w:rsidR="007934B1" w:rsidRPr="007934B1" w:rsidRDefault="007934B1" w:rsidP="007934B1">
      <w:pPr>
        <w:tabs>
          <w:tab w:val="left" w:pos="851"/>
        </w:tabs>
        <w:ind w:left="851"/>
        <w:rPr>
          <w:sz w:val="24"/>
          <w:szCs w:val="24"/>
        </w:rPr>
      </w:pPr>
      <w:r w:rsidRPr="007934B1">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934B1" w:rsidRPr="007934B1" w:rsidRDefault="007934B1" w:rsidP="007934B1">
      <w:pPr>
        <w:tabs>
          <w:tab w:val="left" w:pos="851"/>
        </w:tabs>
        <w:ind w:left="851"/>
        <w:rPr>
          <w:sz w:val="24"/>
          <w:szCs w:val="24"/>
        </w:rPr>
      </w:pPr>
      <w:r w:rsidRPr="007934B1">
        <w:rPr>
          <w:sz w:val="24"/>
          <w:szCs w:val="24"/>
        </w:rPr>
        <w:t>3 år.</w:t>
      </w:r>
    </w:p>
    <w:p w:rsidR="007934B1" w:rsidRPr="007934B1" w:rsidRDefault="007934B1" w:rsidP="007934B1">
      <w:pPr>
        <w:tabs>
          <w:tab w:val="left" w:pos="851"/>
        </w:tabs>
        <w:ind w:left="851"/>
        <w:rPr>
          <w:sz w:val="24"/>
          <w:szCs w:val="24"/>
        </w:rPr>
      </w:pPr>
    </w:p>
    <w:p w:rsidR="007934B1" w:rsidRDefault="007934B1" w:rsidP="007934B1">
      <w:pPr>
        <w:tabs>
          <w:tab w:val="left" w:pos="851"/>
        </w:tabs>
        <w:ind w:left="851"/>
        <w:rPr>
          <w:sz w:val="24"/>
          <w:szCs w:val="24"/>
        </w:rPr>
      </w:pPr>
      <w:r w:rsidRPr="007934B1">
        <w:rPr>
          <w:sz w:val="24"/>
          <w:szCs w:val="24"/>
        </w:rPr>
        <w:t>Efter rekonstitution er kemisk og fysisk stabilitet i brug dokumenteret i 24 timer ved</w:t>
      </w:r>
    </w:p>
    <w:p w:rsidR="007934B1" w:rsidRPr="007934B1" w:rsidRDefault="007934B1" w:rsidP="007934B1">
      <w:pPr>
        <w:tabs>
          <w:tab w:val="left" w:pos="851"/>
        </w:tabs>
        <w:ind w:left="851"/>
        <w:rPr>
          <w:sz w:val="24"/>
          <w:szCs w:val="24"/>
        </w:rPr>
      </w:pPr>
      <w:r w:rsidRPr="007934B1">
        <w:rPr>
          <w:sz w:val="24"/>
          <w:szCs w:val="24"/>
        </w:rPr>
        <w:t>2-8 °C. Ud fra et mikrobiologisk synspunkt skal præparatet bruges med det samme. Anvendelse af andre opbevaringstider og -betingelser er på brugerens eget ansvar.</w:t>
      </w:r>
    </w:p>
    <w:p w:rsidR="007934B1" w:rsidRPr="007934B1" w:rsidRDefault="007934B1" w:rsidP="007934B1">
      <w:pPr>
        <w:tabs>
          <w:tab w:val="left" w:pos="851"/>
        </w:tabs>
        <w:ind w:left="851"/>
        <w:rPr>
          <w:sz w:val="24"/>
          <w:szCs w:val="24"/>
        </w:rPr>
      </w:pPr>
    </w:p>
    <w:p w:rsidR="007934B1" w:rsidRPr="007934B1" w:rsidRDefault="007934B1" w:rsidP="007934B1">
      <w:pPr>
        <w:tabs>
          <w:tab w:val="left" w:pos="851"/>
        </w:tabs>
        <w:ind w:left="851"/>
        <w:rPr>
          <w:sz w:val="24"/>
          <w:szCs w:val="24"/>
        </w:rPr>
      </w:pPr>
      <w:r w:rsidRPr="007934B1">
        <w:rPr>
          <w:sz w:val="24"/>
          <w:szCs w:val="24"/>
        </w:rPr>
        <w:t>Efter fortynding er kemisk og fysisk stabilitet i brug dokumenteret i 6 timer ved 25 °C. Ud fra et mikrobiologisk synspunkt skal præparatet bruges med det samme. Anvendelse af andre opbevaringstider og -betingelser er på brugerens eget ansvar.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934B1" w:rsidRPr="007934B1" w:rsidRDefault="007934B1" w:rsidP="007934B1">
      <w:pPr>
        <w:tabs>
          <w:tab w:val="left" w:pos="851"/>
        </w:tabs>
        <w:ind w:left="851"/>
        <w:rPr>
          <w:sz w:val="24"/>
          <w:szCs w:val="24"/>
        </w:rPr>
      </w:pPr>
      <w:r w:rsidRPr="007934B1">
        <w:rPr>
          <w:sz w:val="24"/>
          <w:szCs w:val="24"/>
        </w:rPr>
        <w:t>Dette lægemiddel kræver ingen særlige forholdsregler vedrørende opbevaring.</w:t>
      </w:r>
    </w:p>
    <w:p w:rsidR="007934B1" w:rsidRPr="007934B1" w:rsidRDefault="007934B1" w:rsidP="007934B1">
      <w:pPr>
        <w:tabs>
          <w:tab w:val="left" w:pos="851"/>
        </w:tabs>
        <w:ind w:left="851"/>
        <w:rPr>
          <w:sz w:val="24"/>
          <w:szCs w:val="24"/>
        </w:rPr>
      </w:pPr>
    </w:p>
    <w:p w:rsidR="007934B1" w:rsidRPr="007934B1" w:rsidRDefault="007934B1" w:rsidP="007934B1">
      <w:pPr>
        <w:tabs>
          <w:tab w:val="left" w:pos="851"/>
        </w:tabs>
        <w:ind w:left="851"/>
        <w:rPr>
          <w:sz w:val="24"/>
          <w:szCs w:val="24"/>
        </w:rPr>
      </w:pPr>
      <w:r w:rsidRPr="007934B1">
        <w:rPr>
          <w:sz w:val="24"/>
          <w:szCs w:val="24"/>
        </w:rPr>
        <w:t>Opbevaringsforhold efter rekonstitution af lægemidlet, se pkt. 6.3.</w:t>
      </w:r>
    </w:p>
    <w:p w:rsidR="007934B1" w:rsidRPr="007934B1" w:rsidRDefault="007934B1" w:rsidP="007934B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934B1" w:rsidRPr="007934B1" w:rsidRDefault="007934B1" w:rsidP="007934B1">
      <w:pPr>
        <w:tabs>
          <w:tab w:val="left" w:pos="851"/>
        </w:tabs>
        <w:ind w:left="851"/>
        <w:rPr>
          <w:sz w:val="24"/>
          <w:szCs w:val="24"/>
        </w:rPr>
      </w:pPr>
      <w:r w:rsidRPr="007934B1">
        <w:rPr>
          <w:sz w:val="24"/>
          <w:szCs w:val="24"/>
        </w:rPr>
        <w:t>Klart type I hætteglas med type I chlorobutylprop og forseglet med blå ”flip-off” aluminiumslåg.</w:t>
      </w:r>
    </w:p>
    <w:p w:rsidR="007934B1" w:rsidRDefault="007934B1" w:rsidP="007934B1">
      <w:pPr>
        <w:tabs>
          <w:tab w:val="left" w:pos="851"/>
        </w:tabs>
        <w:ind w:left="851"/>
        <w:rPr>
          <w:sz w:val="24"/>
          <w:szCs w:val="24"/>
        </w:rPr>
      </w:pPr>
    </w:p>
    <w:p w:rsidR="007934B1" w:rsidRDefault="007934B1" w:rsidP="007934B1">
      <w:pPr>
        <w:tabs>
          <w:tab w:val="left" w:pos="851"/>
        </w:tabs>
        <w:ind w:left="851"/>
        <w:rPr>
          <w:sz w:val="24"/>
          <w:szCs w:val="24"/>
        </w:rPr>
      </w:pPr>
      <w:r>
        <w:rPr>
          <w:sz w:val="24"/>
          <w:szCs w:val="24"/>
        </w:rPr>
        <w:t xml:space="preserve">Pakningsstørrelser: </w:t>
      </w:r>
      <w:r w:rsidRPr="007934B1">
        <w:rPr>
          <w:sz w:val="24"/>
          <w:szCs w:val="24"/>
        </w:rPr>
        <w:t>1 hætteglas.</w:t>
      </w:r>
    </w:p>
    <w:p w:rsidR="007934B1" w:rsidRPr="007934B1" w:rsidRDefault="007934B1" w:rsidP="007934B1">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C561B1" w:rsidRPr="00C561B1" w:rsidRDefault="00C561B1" w:rsidP="00C561B1">
      <w:pPr>
        <w:ind w:left="851"/>
        <w:rPr>
          <w:sz w:val="24"/>
          <w:szCs w:val="24"/>
          <w:lang w:eastAsia="fr-LU"/>
        </w:rPr>
      </w:pPr>
      <w:r w:rsidRPr="00C561B1">
        <w:rPr>
          <w:sz w:val="24"/>
          <w:szCs w:val="24"/>
        </w:rPr>
        <w:t>Ikke anvendt lægemiddel samt affald heraf skal bortskaffes i henhold til lokale retningslinjer.</w:t>
      </w:r>
    </w:p>
    <w:p w:rsidR="00C561B1" w:rsidRPr="00C561B1" w:rsidRDefault="00C561B1" w:rsidP="00C561B1">
      <w:pPr>
        <w:ind w:left="851"/>
        <w:rPr>
          <w:sz w:val="24"/>
          <w:szCs w:val="24"/>
        </w:rPr>
      </w:pPr>
    </w:p>
    <w:p w:rsidR="00C561B1" w:rsidRPr="00C561B1" w:rsidRDefault="00C561B1" w:rsidP="00C561B1">
      <w:pPr>
        <w:ind w:left="851"/>
        <w:rPr>
          <w:sz w:val="24"/>
          <w:szCs w:val="24"/>
          <w:u w:val="single"/>
        </w:rPr>
      </w:pPr>
      <w:r>
        <w:rPr>
          <w:sz w:val="24"/>
          <w:szCs w:val="24"/>
          <w:u w:val="single"/>
        </w:rPr>
        <w:t>Voriconazole "Accord Healthcare"</w:t>
      </w:r>
      <w:r w:rsidRPr="00C561B1">
        <w:rPr>
          <w:sz w:val="24"/>
          <w:szCs w:val="24"/>
          <w:u w:val="single"/>
        </w:rPr>
        <w:t xml:space="preserve"> 200 mg pulver til infusionsvæske, opløsning</w:t>
      </w:r>
    </w:p>
    <w:p w:rsidR="00C561B1" w:rsidRPr="00C561B1" w:rsidRDefault="00C561B1" w:rsidP="00C561B1">
      <w:pPr>
        <w:ind w:left="851"/>
        <w:rPr>
          <w:sz w:val="24"/>
          <w:szCs w:val="24"/>
        </w:rPr>
      </w:pPr>
      <w:r w:rsidRPr="00C561B1">
        <w:rPr>
          <w:sz w:val="24"/>
          <w:szCs w:val="24"/>
        </w:rPr>
        <w:t xml:space="preserve">Pulveret skal rekonstitueres med enten 19 ml vand til injektionsvæsker eller 19 ml 9 mg/ml (0,9 %) natriumchlorid infusionsvæske for at opnå et klart koncentrat, hvorfra der kan trækkes et volumen på 20 ml, der indeholder 10 mg/ml voriconazol. Rekonstitutionen kan være op til 4 minutter. </w:t>
      </w:r>
      <w:r>
        <w:rPr>
          <w:sz w:val="24"/>
          <w:szCs w:val="24"/>
        </w:rPr>
        <w:t>Voriconazole "Accord Healthcare"</w:t>
      </w:r>
      <w:r w:rsidRPr="00C561B1">
        <w:rPr>
          <w:sz w:val="24"/>
          <w:szCs w:val="24"/>
        </w:rPr>
        <w:t>-hætteglasset kasseres, hvis vakuum ikke kan trække fortyndingsmidlet op i hætteglasset. Det anbefales at anvende en standard 20 ml (ikke-automatiseret) sprøjte for at sikre, at det præcise volumen (19,0 ml) vand til injektionsvæsker eller natriumchlorid infusionsvæske (9 mg/ml (0,9 %)) tilsættes. Dette lægemiddel er udelukkende til éngangsbrug, og ubrugt opløsning skal kasseres, og kun klare opløsninger uden partikler må anvendes.</w:t>
      </w:r>
    </w:p>
    <w:p w:rsidR="00C561B1" w:rsidRPr="00C561B1" w:rsidRDefault="00C561B1" w:rsidP="00C561B1">
      <w:pPr>
        <w:ind w:left="851"/>
        <w:rPr>
          <w:sz w:val="24"/>
          <w:szCs w:val="24"/>
        </w:rPr>
      </w:pPr>
    </w:p>
    <w:p w:rsidR="00C561B1" w:rsidRPr="00C561B1" w:rsidRDefault="00C561B1" w:rsidP="00C561B1">
      <w:pPr>
        <w:ind w:left="851"/>
        <w:rPr>
          <w:sz w:val="24"/>
          <w:szCs w:val="24"/>
        </w:rPr>
      </w:pPr>
      <w:r w:rsidRPr="00C561B1">
        <w:rPr>
          <w:sz w:val="24"/>
          <w:szCs w:val="24"/>
        </w:rPr>
        <w:t>Ved administration tilsættes det krævede volumen af det rekonstituerede koncentrat til en anbefalet forligelig infusionsopløsning (detaljer i tabellen nedenfor) for at opnå en endelig voriconazol opløsning på 0,5-5 mg/ml.</w:t>
      </w:r>
    </w:p>
    <w:p w:rsidR="00C561B1" w:rsidRPr="00C561B1" w:rsidRDefault="00C561B1" w:rsidP="00C561B1">
      <w:pPr>
        <w:ind w:left="851"/>
        <w:rPr>
          <w:sz w:val="24"/>
          <w:szCs w:val="24"/>
        </w:rPr>
      </w:pPr>
    </w:p>
    <w:p w:rsidR="00C561B1" w:rsidRDefault="00C561B1" w:rsidP="00C561B1">
      <w:pPr>
        <w:ind w:left="851"/>
        <w:rPr>
          <w:sz w:val="24"/>
          <w:szCs w:val="24"/>
          <w:u w:val="single"/>
        </w:rPr>
      </w:pPr>
      <w:r w:rsidRPr="00C561B1">
        <w:rPr>
          <w:sz w:val="24"/>
          <w:szCs w:val="24"/>
          <w:u w:val="single"/>
        </w:rPr>
        <w:t xml:space="preserve">Nødvendig mængde af 10 mg/ml </w:t>
      </w:r>
      <w:r>
        <w:rPr>
          <w:sz w:val="24"/>
          <w:szCs w:val="24"/>
          <w:u w:val="single"/>
        </w:rPr>
        <w:t>Voriconazole "Accord Healthcare"</w:t>
      </w:r>
      <w:r w:rsidRPr="00C561B1">
        <w:rPr>
          <w:sz w:val="24"/>
          <w:szCs w:val="24"/>
        </w:rPr>
        <w:t xml:space="preserve"> </w:t>
      </w:r>
      <w:r w:rsidRPr="00C561B1">
        <w:rPr>
          <w:sz w:val="24"/>
          <w:szCs w:val="24"/>
          <w:u w:val="single"/>
        </w:rPr>
        <w:t>koncentrat</w:t>
      </w:r>
    </w:p>
    <w:p w:rsidR="00C561B1" w:rsidRPr="00C561B1" w:rsidRDefault="00C561B1" w:rsidP="00C561B1">
      <w:pPr>
        <w:ind w:left="851"/>
        <w:rPr>
          <w:sz w:val="24"/>
          <w:szCs w:val="24"/>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1629"/>
        <w:gridCol w:w="1630"/>
        <w:gridCol w:w="1630"/>
        <w:gridCol w:w="1630"/>
        <w:gridCol w:w="1630"/>
      </w:tblGrid>
      <w:tr w:rsidR="00C561B1" w:rsidTr="00C561B1">
        <w:tc>
          <w:tcPr>
            <w:tcW w:w="1629" w:type="dxa"/>
            <w:vMerge w:val="restart"/>
            <w:tcBorders>
              <w:top w:val="single" w:sz="4" w:space="0" w:color="auto"/>
              <w:left w:val="single" w:sz="4" w:space="0" w:color="auto"/>
              <w:bottom w:val="single" w:sz="4" w:space="0" w:color="auto"/>
              <w:right w:val="single" w:sz="4" w:space="0" w:color="auto"/>
            </w:tcBorders>
          </w:tcPr>
          <w:p w:rsidR="00C561B1" w:rsidRDefault="00C561B1">
            <w:pPr>
              <w:autoSpaceDE w:val="0"/>
              <w:autoSpaceDN w:val="0"/>
              <w:adjustRightInd w:val="0"/>
              <w:rPr>
                <w:b/>
                <w:iCs/>
                <w:sz w:val="22"/>
                <w:szCs w:val="22"/>
              </w:rPr>
            </w:pPr>
            <w:bookmarkStart w:id="2" w:name="_Hlk192080150"/>
          </w:p>
          <w:p w:rsidR="00C561B1" w:rsidRDefault="00C561B1">
            <w:pPr>
              <w:autoSpaceDE w:val="0"/>
              <w:autoSpaceDN w:val="0"/>
              <w:adjustRightInd w:val="0"/>
              <w:rPr>
                <w:b/>
                <w:iCs/>
                <w:sz w:val="22"/>
                <w:szCs w:val="22"/>
              </w:rPr>
            </w:pPr>
            <w:r>
              <w:rPr>
                <w:b/>
                <w:iCs/>
                <w:sz w:val="22"/>
                <w:szCs w:val="22"/>
              </w:rPr>
              <w:t>Legemsvægt</w:t>
            </w:r>
          </w:p>
          <w:p w:rsidR="00C561B1" w:rsidRDefault="00C561B1">
            <w:pPr>
              <w:autoSpaceDE w:val="0"/>
              <w:autoSpaceDN w:val="0"/>
              <w:adjustRightInd w:val="0"/>
              <w:rPr>
                <w:b/>
                <w:iCs/>
                <w:sz w:val="22"/>
                <w:szCs w:val="22"/>
              </w:rPr>
            </w:pPr>
            <w:r>
              <w:rPr>
                <w:b/>
                <w:iCs/>
                <w:sz w:val="22"/>
                <w:szCs w:val="22"/>
              </w:rPr>
              <w:t>(kg)</w:t>
            </w:r>
          </w:p>
        </w:tc>
        <w:tc>
          <w:tcPr>
            <w:tcW w:w="8149" w:type="dxa"/>
            <w:gridSpan w:val="5"/>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b/>
                <w:iCs/>
                <w:sz w:val="22"/>
                <w:szCs w:val="22"/>
              </w:rPr>
            </w:pPr>
            <w:r>
              <w:rPr>
                <w:b/>
                <w:bCs/>
                <w:sz w:val="22"/>
                <w:szCs w:val="22"/>
              </w:rPr>
              <w:t>Nødvendig mængde Voriconazole "Accord Healthcare" koncentrat (10 mg/ml</w:t>
            </w:r>
          </w:p>
        </w:tc>
      </w:tr>
      <w:tr w:rsidR="00C561B1" w:rsidTr="00C561B1">
        <w:tc>
          <w:tcPr>
            <w:tcW w:w="1629" w:type="dxa"/>
            <w:vMerge/>
            <w:tcBorders>
              <w:top w:val="single" w:sz="4" w:space="0" w:color="auto"/>
              <w:left w:val="single" w:sz="4" w:space="0" w:color="auto"/>
              <w:bottom w:val="single" w:sz="4" w:space="0" w:color="auto"/>
              <w:right w:val="single" w:sz="4" w:space="0" w:color="auto"/>
            </w:tcBorders>
            <w:vAlign w:val="center"/>
            <w:hideMark/>
          </w:tcPr>
          <w:p w:rsidR="00C561B1" w:rsidRDefault="00C561B1">
            <w:pPr>
              <w:rPr>
                <w:b/>
                <w:iCs/>
                <w:sz w:val="22"/>
                <w:szCs w:val="22"/>
                <w:lang w:eastAsia="fr-LU"/>
              </w:rPr>
            </w:pP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b/>
                <w:iCs/>
                <w:sz w:val="22"/>
                <w:szCs w:val="22"/>
              </w:rPr>
            </w:pPr>
            <w:r>
              <w:rPr>
                <w:b/>
                <w:iCs/>
                <w:sz w:val="22"/>
                <w:szCs w:val="22"/>
              </w:rPr>
              <w:t>3 mg/kg</w:t>
            </w:r>
          </w:p>
          <w:p w:rsidR="00C561B1" w:rsidRDefault="00C561B1">
            <w:pPr>
              <w:autoSpaceDE w:val="0"/>
              <w:autoSpaceDN w:val="0"/>
              <w:adjustRightInd w:val="0"/>
              <w:rPr>
                <w:b/>
                <w:iCs/>
                <w:sz w:val="22"/>
                <w:szCs w:val="22"/>
              </w:rPr>
            </w:pPr>
            <w:r>
              <w:rPr>
                <w:b/>
                <w:iCs/>
                <w:sz w:val="22"/>
                <w:szCs w:val="22"/>
              </w:rPr>
              <w:t>dosis</w:t>
            </w:r>
          </w:p>
          <w:p w:rsidR="00C561B1" w:rsidRDefault="00C561B1">
            <w:pPr>
              <w:autoSpaceDE w:val="0"/>
              <w:autoSpaceDN w:val="0"/>
              <w:adjustRightInd w:val="0"/>
              <w:rPr>
                <w:b/>
                <w:iCs/>
                <w:sz w:val="22"/>
                <w:szCs w:val="22"/>
              </w:rPr>
            </w:pPr>
            <w:r>
              <w:rPr>
                <w:b/>
                <w:iCs/>
                <w:sz w:val="22"/>
                <w:szCs w:val="22"/>
              </w:rPr>
              <w:t>(antal hætteglas)</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b/>
                <w:iCs/>
                <w:sz w:val="22"/>
                <w:szCs w:val="22"/>
              </w:rPr>
            </w:pPr>
            <w:r>
              <w:rPr>
                <w:b/>
                <w:iCs/>
                <w:sz w:val="22"/>
                <w:szCs w:val="22"/>
              </w:rPr>
              <w:t>4 mg/kg</w:t>
            </w:r>
          </w:p>
          <w:p w:rsidR="00C561B1" w:rsidRDefault="00C561B1">
            <w:pPr>
              <w:autoSpaceDE w:val="0"/>
              <w:autoSpaceDN w:val="0"/>
              <w:adjustRightInd w:val="0"/>
              <w:rPr>
                <w:b/>
                <w:iCs/>
                <w:sz w:val="22"/>
                <w:szCs w:val="22"/>
              </w:rPr>
            </w:pPr>
            <w:r>
              <w:rPr>
                <w:b/>
                <w:iCs/>
                <w:sz w:val="22"/>
                <w:szCs w:val="22"/>
              </w:rPr>
              <w:t>dosis</w:t>
            </w:r>
          </w:p>
          <w:p w:rsidR="00C561B1" w:rsidRDefault="00C561B1">
            <w:pPr>
              <w:autoSpaceDE w:val="0"/>
              <w:autoSpaceDN w:val="0"/>
              <w:adjustRightInd w:val="0"/>
              <w:rPr>
                <w:b/>
                <w:iCs/>
                <w:sz w:val="22"/>
                <w:szCs w:val="22"/>
              </w:rPr>
            </w:pPr>
            <w:r>
              <w:rPr>
                <w:b/>
                <w:iCs/>
                <w:sz w:val="22"/>
                <w:szCs w:val="22"/>
              </w:rPr>
              <w:t>(antal hætteglas)</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b/>
                <w:iCs/>
                <w:sz w:val="22"/>
                <w:szCs w:val="22"/>
              </w:rPr>
            </w:pPr>
            <w:r>
              <w:rPr>
                <w:b/>
                <w:iCs/>
                <w:sz w:val="22"/>
                <w:szCs w:val="22"/>
              </w:rPr>
              <w:t>6 mg/kg</w:t>
            </w:r>
          </w:p>
          <w:p w:rsidR="00C561B1" w:rsidRDefault="00C561B1">
            <w:pPr>
              <w:autoSpaceDE w:val="0"/>
              <w:autoSpaceDN w:val="0"/>
              <w:adjustRightInd w:val="0"/>
              <w:rPr>
                <w:b/>
                <w:iCs/>
                <w:sz w:val="22"/>
                <w:szCs w:val="22"/>
              </w:rPr>
            </w:pPr>
            <w:r>
              <w:rPr>
                <w:b/>
                <w:iCs/>
                <w:sz w:val="22"/>
                <w:szCs w:val="22"/>
              </w:rPr>
              <w:t>dosis</w:t>
            </w:r>
          </w:p>
          <w:p w:rsidR="00C561B1" w:rsidRDefault="00C561B1">
            <w:pPr>
              <w:autoSpaceDE w:val="0"/>
              <w:autoSpaceDN w:val="0"/>
              <w:adjustRightInd w:val="0"/>
              <w:rPr>
                <w:b/>
                <w:iCs/>
                <w:sz w:val="22"/>
                <w:szCs w:val="22"/>
              </w:rPr>
            </w:pPr>
            <w:r>
              <w:rPr>
                <w:b/>
                <w:iCs/>
                <w:sz w:val="22"/>
                <w:szCs w:val="22"/>
              </w:rPr>
              <w:t>(antal hætteglas)</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b/>
                <w:iCs/>
                <w:sz w:val="22"/>
                <w:szCs w:val="22"/>
              </w:rPr>
            </w:pPr>
            <w:r>
              <w:rPr>
                <w:b/>
                <w:iCs/>
                <w:sz w:val="22"/>
                <w:szCs w:val="22"/>
              </w:rPr>
              <w:t>8 mg/kg</w:t>
            </w:r>
          </w:p>
          <w:p w:rsidR="00C561B1" w:rsidRDefault="00C561B1">
            <w:pPr>
              <w:autoSpaceDE w:val="0"/>
              <w:autoSpaceDN w:val="0"/>
              <w:adjustRightInd w:val="0"/>
              <w:rPr>
                <w:b/>
                <w:iCs/>
                <w:sz w:val="22"/>
                <w:szCs w:val="22"/>
              </w:rPr>
            </w:pPr>
            <w:r>
              <w:rPr>
                <w:b/>
                <w:iCs/>
                <w:sz w:val="22"/>
                <w:szCs w:val="22"/>
              </w:rPr>
              <w:t>dosis</w:t>
            </w:r>
          </w:p>
          <w:p w:rsidR="00C561B1" w:rsidRDefault="00C561B1">
            <w:pPr>
              <w:autoSpaceDE w:val="0"/>
              <w:autoSpaceDN w:val="0"/>
              <w:adjustRightInd w:val="0"/>
              <w:rPr>
                <w:b/>
                <w:iCs/>
                <w:sz w:val="22"/>
                <w:szCs w:val="22"/>
              </w:rPr>
            </w:pPr>
            <w:r>
              <w:rPr>
                <w:b/>
                <w:iCs/>
                <w:sz w:val="22"/>
                <w:szCs w:val="22"/>
              </w:rPr>
              <w:t>(antal hætteglas)</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b/>
                <w:iCs/>
                <w:sz w:val="22"/>
                <w:szCs w:val="22"/>
              </w:rPr>
            </w:pPr>
            <w:r>
              <w:rPr>
                <w:b/>
                <w:iCs/>
                <w:sz w:val="22"/>
                <w:szCs w:val="22"/>
              </w:rPr>
              <w:t>9 mg/kg</w:t>
            </w:r>
          </w:p>
          <w:p w:rsidR="00C561B1" w:rsidRDefault="00C561B1">
            <w:pPr>
              <w:autoSpaceDE w:val="0"/>
              <w:autoSpaceDN w:val="0"/>
              <w:adjustRightInd w:val="0"/>
              <w:rPr>
                <w:b/>
                <w:iCs/>
                <w:sz w:val="22"/>
                <w:szCs w:val="22"/>
              </w:rPr>
            </w:pPr>
            <w:r>
              <w:rPr>
                <w:b/>
                <w:iCs/>
                <w:sz w:val="22"/>
                <w:szCs w:val="22"/>
              </w:rPr>
              <w:t>dosis</w:t>
            </w:r>
          </w:p>
          <w:p w:rsidR="00C561B1" w:rsidRDefault="00C561B1">
            <w:pPr>
              <w:autoSpaceDE w:val="0"/>
              <w:autoSpaceDN w:val="0"/>
              <w:adjustRightInd w:val="0"/>
              <w:rPr>
                <w:b/>
                <w:iCs/>
                <w:sz w:val="22"/>
                <w:szCs w:val="22"/>
              </w:rPr>
            </w:pPr>
            <w:r>
              <w:rPr>
                <w:b/>
                <w:iCs/>
                <w:sz w:val="22"/>
                <w:szCs w:val="22"/>
              </w:rPr>
              <w:t>(antal hætteglas)</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8,0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9,0 ml (1)</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6,0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12,0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13,5 ml (1)</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lastRenderedPageBreak/>
              <w:t>20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8,0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16,0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18,0 ml (1)</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10,0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20,0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22,5 ml (2)</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9,0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12,0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18,0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24,0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27,0 ml (2)</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10,5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14,0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21,0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28,0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31,5 ml (2)</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12,0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16,0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24,0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32,0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36,0 ml (2)</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13,5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18,0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27,0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36,0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40,5 ml (3)</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50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15,0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20,0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30,0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40,0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45,0 ml (3)</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55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16,5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22,0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33,0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44,0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49,5 ml (3)</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60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18,0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24,0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36,0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48,0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54,0 ml (3)</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65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19,5 ml (1)</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26,0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39,0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52,0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58,5 ml (3)</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70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21,0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28,0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42,0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75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22,5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30,0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45,0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80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24,0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32,0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48,0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85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25,5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34,0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51,0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90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27,0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36,0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54,0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95</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28,5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38,0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57,0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r>
      <w:tr w:rsidR="00C561B1" w:rsidTr="00C561B1">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100</w:t>
            </w:r>
          </w:p>
        </w:tc>
        <w:tc>
          <w:tcPr>
            <w:tcW w:w="1629"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30,0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40,0 ml (2)</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60,0 ml (3)</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c>
          <w:tcPr>
            <w:tcW w:w="1630" w:type="dxa"/>
            <w:tcBorders>
              <w:top w:val="single" w:sz="4" w:space="0" w:color="auto"/>
              <w:left w:val="single" w:sz="4" w:space="0" w:color="auto"/>
              <w:bottom w:val="single" w:sz="4" w:space="0" w:color="auto"/>
              <w:right w:val="single" w:sz="4" w:space="0" w:color="auto"/>
            </w:tcBorders>
            <w:hideMark/>
          </w:tcPr>
          <w:p w:rsidR="00C561B1" w:rsidRDefault="00C561B1">
            <w:pPr>
              <w:autoSpaceDE w:val="0"/>
              <w:autoSpaceDN w:val="0"/>
              <w:adjustRightInd w:val="0"/>
              <w:rPr>
                <w:sz w:val="22"/>
                <w:lang w:eastAsia="es-ES"/>
              </w:rPr>
            </w:pPr>
            <w:r>
              <w:rPr>
                <w:sz w:val="22"/>
                <w:lang w:eastAsia="es-ES"/>
              </w:rPr>
              <w:t>-</w:t>
            </w:r>
          </w:p>
        </w:tc>
      </w:tr>
      <w:bookmarkEnd w:id="2"/>
    </w:tbl>
    <w:p w:rsidR="00C561B1" w:rsidRDefault="00C561B1" w:rsidP="00C561B1">
      <w:pPr>
        <w:rPr>
          <w:sz w:val="22"/>
          <w:szCs w:val="22"/>
          <w:lang w:eastAsia="fr-LU"/>
        </w:rPr>
      </w:pPr>
    </w:p>
    <w:p w:rsidR="00C561B1" w:rsidRPr="00C561B1" w:rsidRDefault="00C561B1" w:rsidP="00C561B1">
      <w:pPr>
        <w:ind w:left="851"/>
        <w:rPr>
          <w:sz w:val="24"/>
          <w:szCs w:val="24"/>
        </w:rPr>
      </w:pPr>
      <w:r w:rsidRPr="00C561B1">
        <w:rPr>
          <w:sz w:val="24"/>
          <w:szCs w:val="24"/>
        </w:rPr>
        <w:t>Den rekonstituerede opløsning kan fortyndes med:</w:t>
      </w:r>
    </w:p>
    <w:p w:rsidR="00C561B1" w:rsidRPr="00C561B1" w:rsidRDefault="00C561B1" w:rsidP="00C561B1">
      <w:pPr>
        <w:ind w:left="851"/>
        <w:rPr>
          <w:sz w:val="24"/>
          <w:szCs w:val="24"/>
        </w:rPr>
      </w:pPr>
    </w:p>
    <w:p w:rsidR="00C561B1" w:rsidRPr="00C561B1" w:rsidRDefault="00C561B1" w:rsidP="00C561B1">
      <w:pPr>
        <w:ind w:left="851"/>
        <w:rPr>
          <w:sz w:val="24"/>
          <w:szCs w:val="24"/>
        </w:rPr>
      </w:pPr>
      <w:r w:rsidRPr="00C561B1">
        <w:rPr>
          <w:sz w:val="24"/>
          <w:szCs w:val="24"/>
        </w:rPr>
        <w:t>Natriumchlorid 9 mg/ml (0,9 %) injektionsvæske, opløsning</w:t>
      </w:r>
    </w:p>
    <w:p w:rsidR="00C561B1" w:rsidRPr="00C561B1" w:rsidRDefault="00C561B1" w:rsidP="00C561B1">
      <w:pPr>
        <w:ind w:left="851"/>
        <w:rPr>
          <w:sz w:val="24"/>
          <w:szCs w:val="24"/>
        </w:rPr>
      </w:pPr>
      <w:r w:rsidRPr="00C561B1">
        <w:rPr>
          <w:sz w:val="24"/>
          <w:szCs w:val="24"/>
        </w:rPr>
        <w:t>Natriumlaktat infusionsvæske</w:t>
      </w:r>
    </w:p>
    <w:p w:rsidR="00C561B1" w:rsidRPr="00C561B1" w:rsidRDefault="00C561B1" w:rsidP="00C561B1">
      <w:pPr>
        <w:ind w:left="851"/>
        <w:rPr>
          <w:sz w:val="24"/>
          <w:szCs w:val="24"/>
        </w:rPr>
      </w:pPr>
      <w:r w:rsidRPr="00C561B1">
        <w:rPr>
          <w:sz w:val="24"/>
          <w:szCs w:val="24"/>
        </w:rPr>
        <w:t>5 % glucose og Ringer-laktat infusionsvæske</w:t>
      </w:r>
    </w:p>
    <w:p w:rsidR="00C561B1" w:rsidRPr="00C561B1" w:rsidRDefault="00C561B1" w:rsidP="00C561B1">
      <w:pPr>
        <w:ind w:left="851"/>
        <w:rPr>
          <w:sz w:val="24"/>
          <w:szCs w:val="24"/>
        </w:rPr>
      </w:pPr>
      <w:r w:rsidRPr="00C561B1">
        <w:rPr>
          <w:sz w:val="24"/>
          <w:szCs w:val="24"/>
        </w:rPr>
        <w:t>5 % glucose og 0,45 % natriumchlorid infusionsvæske</w:t>
      </w:r>
    </w:p>
    <w:p w:rsidR="00C561B1" w:rsidRPr="00C561B1" w:rsidRDefault="00C561B1" w:rsidP="00C561B1">
      <w:pPr>
        <w:ind w:left="851"/>
        <w:rPr>
          <w:sz w:val="24"/>
          <w:szCs w:val="24"/>
        </w:rPr>
      </w:pPr>
      <w:r w:rsidRPr="00C561B1">
        <w:rPr>
          <w:sz w:val="24"/>
          <w:szCs w:val="24"/>
        </w:rPr>
        <w:t>5 % glucose infusionsvæske</w:t>
      </w:r>
    </w:p>
    <w:p w:rsidR="00C561B1" w:rsidRPr="00C561B1" w:rsidRDefault="00C561B1" w:rsidP="00C561B1">
      <w:pPr>
        <w:ind w:left="851"/>
        <w:rPr>
          <w:sz w:val="24"/>
          <w:szCs w:val="24"/>
        </w:rPr>
      </w:pPr>
      <w:r w:rsidRPr="00C561B1">
        <w:rPr>
          <w:sz w:val="24"/>
          <w:szCs w:val="24"/>
        </w:rPr>
        <w:t>5 % glucose i 20 milliækvivalenter kaliumchlorid infusionsvæske</w:t>
      </w:r>
    </w:p>
    <w:p w:rsidR="00C561B1" w:rsidRPr="00C561B1" w:rsidRDefault="00C561B1" w:rsidP="00C561B1">
      <w:pPr>
        <w:ind w:left="851"/>
        <w:rPr>
          <w:sz w:val="24"/>
          <w:szCs w:val="24"/>
        </w:rPr>
      </w:pPr>
      <w:r w:rsidRPr="00C561B1">
        <w:rPr>
          <w:sz w:val="24"/>
          <w:szCs w:val="24"/>
        </w:rPr>
        <w:t>0,45 % natriumchlorid infusionsvæske</w:t>
      </w:r>
    </w:p>
    <w:p w:rsidR="00C561B1" w:rsidRPr="00C561B1" w:rsidRDefault="00C561B1" w:rsidP="00C561B1">
      <w:pPr>
        <w:ind w:left="851"/>
        <w:rPr>
          <w:sz w:val="24"/>
          <w:szCs w:val="24"/>
        </w:rPr>
      </w:pPr>
      <w:r w:rsidRPr="00C561B1">
        <w:rPr>
          <w:sz w:val="24"/>
          <w:szCs w:val="24"/>
        </w:rPr>
        <w:t>5 % glucose og 0,9 % natriumchlorid infusionsvæske</w:t>
      </w:r>
    </w:p>
    <w:p w:rsidR="00C561B1" w:rsidRPr="00C561B1" w:rsidRDefault="00C561B1" w:rsidP="00C561B1">
      <w:pPr>
        <w:ind w:left="851"/>
        <w:rPr>
          <w:sz w:val="24"/>
          <w:szCs w:val="24"/>
        </w:rPr>
      </w:pPr>
      <w:r w:rsidRPr="00C561B1">
        <w:rPr>
          <w:sz w:val="24"/>
          <w:szCs w:val="24"/>
        </w:rPr>
        <w:t>Ringer-laktat infusionsvæske</w:t>
      </w:r>
    </w:p>
    <w:p w:rsidR="00C561B1" w:rsidRPr="00C561B1" w:rsidRDefault="00C561B1" w:rsidP="00C561B1">
      <w:pPr>
        <w:ind w:left="851"/>
        <w:rPr>
          <w:sz w:val="24"/>
          <w:szCs w:val="24"/>
        </w:rPr>
      </w:pPr>
    </w:p>
    <w:p w:rsidR="00C561B1" w:rsidRPr="00C561B1" w:rsidRDefault="00C561B1" w:rsidP="00C561B1">
      <w:pPr>
        <w:ind w:left="851"/>
        <w:rPr>
          <w:sz w:val="24"/>
          <w:szCs w:val="24"/>
        </w:rPr>
      </w:pPr>
      <w:r>
        <w:rPr>
          <w:sz w:val="24"/>
          <w:szCs w:val="24"/>
        </w:rPr>
        <w:t>Voriconazole "Accord Healthcare"</w:t>
      </w:r>
      <w:r w:rsidRPr="00C561B1">
        <w:rPr>
          <w:sz w:val="24"/>
          <w:szCs w:val="24"/>
        </w:rPr>
        <w:t xml:space="preserve"> forligelighed med andre fortyndingsmidler end dem, der er nævnt ovenfor eller i pkt. 6.2, er ikke kendt.</w:t>
      </w:r>
    </w:p>
    <w:p w:rsidR="009260DE" w:rsidRPr="00C561B1" w:rsidRDefault="009260DE" w:rsidP="00C561B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B26C4" w:rsidRPr="001B26C4" w:rsidRDefault="001B26C4" w:rsidP="001B26C4">
      <w:pPr>
        <w:tabs>
          <w:tab w:val="left" w:pos="851"/>
        </w:tabs>
        <w:ind w:left="851"/>
        <w:rPr>
          <w:sz w:val="24"/>
          <w:szCs w:val="24"/>
          <w:lang w:val="fr-LU"/>
        </w:rPr>
      </w:pPr>
      <w:r w:rsidRPr="001B26C4">
        <w:rPr>
          <w:sz w:val="24"/>
          <w:szCs w:val="24"/>
          <w:lang w:val="fr-LU"/>
        </w:rPr>
        <w:t xml:space="preserve">Accord Healthcare B.V. </w:t>
      </w:r>
    </w:p>
    <w:p w:rsidR="001B26C4" w:rsidRPr="001B26C4" w:rsidRDefault="001B26C4" w:rsidP="001B26C4">
      <w:pPr>
        <w:tabs>
          <w:tab w:val="left" w:pos="851"/>
        </w:tabs>
        <w:ind w:left="851"/>
        <w:rPr>
          <w:sz w:val="24"/>
          <w:szCs w:val="24"/>
          <w:lang w:val="fr-LU"/>
        </w:rPr>
      </w:pPr>
      <w:r w:rsidRPr="001B26C4">
        <w:rPr>
          <w:sz w:val="24"/>
          <w:szCs w:val="24"/>
          <w:lang w:val="fr-LU"/>
        </w:rPr>
        <w:t xml:space="preserve">Winthontlaan 200 </w:t>
      </w:r>
    </w:p>
    <w:p w:rsidR="001B26C4" w:rsidRPr="001B26C4" w:rsidRDefault="001B26C4" w:rsidP="001B26C4">
      <w:pPr>
        <w:tabs>
          <w:tab w:val="left" w:pos="851"/>
        </w:tabs>
        <w:ind w:left="851"/>
        <w:rPr>
          <w:sz w:val="24"/>
          <w:szCs w:val="24"/>
          <w:lang w:val="nb-NO"/>
        </w:rPr>
      </w:pPr>
      <w:r w:rsidRPr="001B26C4">
        <w:rPr>
          <w:sz w:val="24"/>
          <w:szCs w:val="24"/>
          <w:lang w:val="nb-NO"/>
        </w:rPr>
        <w:t xml:space="preserve">3526 KV Utrecht </w:t>
      </w:r>
    </w:p>
    <w:p w:rsidR="001B26C4" w:rsidRPr="001B26C4" w:rsidRDefault="001B26C4" w:rsidP="001B26C4">
      <w:pPr>
        <w:tabs>
          <w:tab w:val="left" w:pos="851"/>
        </w:tabs>
        <w:ind w:left="851"/>
        <w:rPr>
          <w:sz w:val="24"/>
          <w:szCs w:val="24"/>
          <w:lang w:val="nb-NO"/>
        </w:rPr>
      </w:pPr>
      <w:r w:rsidRPr="001B26C4">
        <w:rPr>
          <w:sz w:val="24"/>
          <w:szCs w:val="24"/>
          <w:lang w:val="nb-NO"/>
        </w:rPr>
        <w:t>Holland</w:t>
      </w:r>
    </w:p>
    <w:p w:rsidR="00641C65" w:rsidRPr="00641C65" w:rsidRDefault="00641C65" w:rsidP="001B26C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1B26C4" w:rsidP="009260DE">
      <w:pPr>
        <w:tabs>
          <w:tab w:val="left" w:pos="851"/>
        </w:tabs>
        <w:ind w:left="851"/>
        <w:rPr>
          <w:sz w:val="24"/>
          <w:szCs w:val="24"/>
        </w:rPr>
      </w:pPr>
      <w:r>
        <w:rPr>
          <w:sz w:val="24"/>
          <w:szCs w:val="24"/>
        </w:rPr>
        <w:t>70330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57D88" w:rsidP="009260DE">
      <w:pPr>
        <w:tabs>
          <w:tab w:val="left" w:pos="851"/>
        </w:tabs>
        <w:ind w:left="851"/>
        <w:rPr>
          <w:sz w:val="24"/>
          <w:szCs w:val="24"/>
        </w:rPr>
      </w:pPr>
      <w:r>
        <w:rPr>
          <w:sz w:val="24"/>
          <w:szCs w:val="24"/>
        </w:rPr>
        <w:t>13. marts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B26C4"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0B8" w:rsidRDefault="007F30B8">
      <w:r>
        <w:separator/>
      </w:r>
    </w:p>
  </w:endnote>
  <w:endnote w:type="continuationSeparator" w:id="0">
    <w:p w:rsidR="007F30B8" w:rsidRDefault="007F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auto"/>
    <w:notTrueType/>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0B8" w:rsidRDefault="007F30B8">
    <w:pPr>
      <w:pStyle w:val="Sidefod"/>
      <w:pBdr>
        <w:bottom w:val="single" w:sz="6" w:space="1" w:color="auto"/>
      </w:pBdr>
    </w:pPr>
  </w:p>
  <w:p w:rsidR="007F30B8" w:rsidRDefault="007F30B8" w:rsidP="00C42586">
    <w:pPr>
      <w:pStyle w:val="Sidefod"/>
      <w:tabs>
        <w:tab w:val="clear" w:pos="4819"/>
        <w:tab w:val="left" w:pos="8505"/>
      </w:tabs>
      <w:rPr>
        <w:i/>
        <w:sz w:val="18"/>
        <w:szCs w:val="18"/>
      </w:rPr>
    </w:pPr>
  </w:p>
  <w:p w:rsidR="007F30B8" w:rsidRPr="00B373D7" w:rsidRDefault="007F30B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Voriconazole Accord Healthcare, pulver til infusionsvæske, opløsning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0B8" w:rsidRDefault="007F30B8">
      <w:r>
        <w:separator/>
      </w:r>
    </w:p>
  </w:footnote>
  <w:footnote w:type="continuationSeparator" w:id="0">
    <w:p w:rsidR="007F30B8" w:rsidRDefault="007F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14E2D75"/>
    <w:multiLevelType w:val="hybridMultilevel"/>
    <w:tmpl w:val="302A1BE8"/>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32"/>
    <w:rsid w:val="000259B9"/>
    <w:rsid w:val="00041491"/>
    <w:rsid w:val="00050D16"/>
    <w:rsid w:val="000730CA"/>
    <w:rsid w:val="00074F2A"/>
    <w:rsid w:val="000A1CA8"/>
    <w:rsid w:val="000A466B"/>
    <w:rsid w:val="000B058C"/>
    <w:rsid w:val="000B3AF7"/>
    <w:rsid w:val="000B4B45"/>
    <w:rsid w:val="000D68B0"/>
    <w:rsid w:val="000E4EE6"/>
    <w:rsid w:val="001454E2"/>
    <w:rsid w:val="001B26C4"/>
    <w:rsid w:val="00201010"/>
    <w:rsid w:val="00206CE8"/>
    <w:rsid w:val="0021526C"/>
    <w:rsid w:val="00283A2B"/>
    <w:rsid w:val="002B30AD"/>
    <w:rsid w:val="002C1EC0"/>
    <w:rsid w:val="002C2C01"/>
    <w:rsid w:val="003A29AE"/>
    <w:rsid w:val="003A32D7"/>
    <w:rsid w:val="003B4074"/>
    <w:rsid w:val="003C769A"/>
    <w:rsid w:val="003D3A90"/>
    <w:rsid w:val="003E2E77"/>
    <w:rsid w:val="003F1838"/>
    <w:rsid w:val="004251C1"/>
    <w:rsid w:val="0045746C"/>
    <w:rsid w:val="00457C37"/>
    <w:rsid w:val="00460762"/>
    <w:rsid w:val="0049104B"/>
    <w:rsid w:val="004E0132"/>
    <w:rsid w:val="004E3B12"/>
    <w:rsid w:val="00532310"/>
    <w:rsid w:val="00565F0F"/>
    <w:rsid w:val="00594A86"/>
    <w:rsid w:val="00596D86"/>
    <w:rsid w:val="005B2231"/>
    <w:rsid w:val="00637F5A"/>
    <w:rsid w:val="00641C65"/>
    <w:rsid w:val="006560B1"/>
    <w:rsid w:val="006756DD"/>
    <w:rsid w:val="0071241E"/>
    <w:rsid w:val="00737275"/>
    <w:rsid w:val="00740EEC"/>
    <w:rsid w:val="00751B1D"/>
    <w:rsid w:val="007708FD"/>
    <w:rsid w:val="0078011A"/>
    <w:rsid w:val="00782AF4"/>
    <w:rsid w:val="00790EE7"/>
    <w:rsid w:val="007934B1"/>
    <w:rsid w:val="007B6649"/>
    <w:rsid w:val="007F30B8"/>
    <w:rsid w:val="0082576E"/>
    <w:rsid w:val="0089346F"/>
    <w:rsid w:val="00907F75"/>
    <w:rsid w:val="009260DE"/>
    <w:rsid w:val="0093258A"/>
    <w:rsid w:val="00957D88"/>
    <w:rsid w:val="009C7BA3"/>
    <w:rsid w:val="009D1F5A"/>
    <w:rsid w:val="00A10294"/>
    <w:rsid w:val="00AA1268"/>
    <w:rsid w:val="00B003BF"/>
    <w:rsid w:val="00B373D7"/>
    <w:rsid w:val="00B55271"/>
    <w:rsid w:val="00BD7931"/>
    <w:rsid w:val="00BF6243"/>
    <w:rsid w:val="00C26C08"/>
    <w:rsid w:val="00C36276"/>
    <w:rsid w:val="00C42586"/>
    <w:rsid w:val="00C45F6B"/>
    <w:rsid w:val="00C561B1"/>
    <w:rsid w:val="00C60CCD"/>
    <w:rsid w:val="00C84483"/>
    <w:rsid w:val="00C95551"/>
    <w:rsid w:val="00C957DB"/>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B6AF7"/>
  <w15:chartTrackingRefBased/>
  <w15:docId w15:val="{D984D33F-B5A2-4EA7-BA9A-CBDD9731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ableTextChar">
    <w:name w:val="TableText Char"/>
    <w:link w:val="TableText"/>
    <w:locked/>
    <w:rsid w:val="000B3AF7"/>
    <w:rPr>
      <w:rFonts w:ascii="Arial" w:hAnsi="Arial" w:cs="Arial"/>
      <w:lang w:val="en-US" w:eastAsia="en-US"/>
    </w:rPr>
  </w:style>
  <w:style w:type="paragraph" w:customStyle="1" w:styleId="TableText">
    <w:name w:val="TableText"/>
    <w:link w:val="TableTextChar"/>
    <w:rsid w:val="000B3AF7"/>
    <w:rPr>
      <w:rFonts w:ascii="Arial" w:hAnsi="Arial" w:cs="Arial"/>
      <w:lang w:val="en-US" w:eastAsia="en-US"/>
    </w:rPr>
  </w:style>
  <w:style w:type="character" w:customStyle="1" w:styleId="TableText12">
    <w:name w:val="TableText 12"/>
    <w:rsid w:val="00460762"/>
    <w:rPr>
      <w:rFonts w:ascii="Times New Roman" w:hAnsi="Times New Roman" w:cs="Times New Roman" w:hint="default"/>
      <w:sz w:val="24"/>
    </w:rPr>
  </w:style>
  <w:style w:type="paragraph" w:customStyle="1" w:styleId="TableParagraph">
    <w:name w:val="Table Paragraph"/>
    <w:basedOn w:val="Normal"/>
    <w:uiPriority w:val="1"/>
    <w:qFormat/>
    <w:rsid w:val="00AA1268"/>
    <w:pPr>
      <w:widowControl w:val="0"/>
      <w:autoSpaceDE w:val="0"/>
      <w:autoSpaceDN w:val="0"/>
      <w:adjustRightInd w:val="0"/>
    </w:pPr>
    <w:rPr>
      <w:sz w:val="24"/>
      <w:szCs w:val="24"/>
      <w:lang w:val="en-IN" w:eastAsia="en-IN"/>
    </w:rPr>
  </w:style>
  <w:style w:type="paragraph" w:customStyle="1" w:styleId="Default">
    <w:name w:val="Default"/>
    <w:rsid w:val="00AA1268"/>
    <w:pPr>
      <w:widowControl w:val="0"/>
      <w:autoSpaceDE w:val="0"/>
      <w:autoSpaceDN w:val="0"/>
      <w:adjustRightInd w:val="0"/>
    </w:pPr>
    <w:rPr>
      <w:color w:val="000000"/>
      <w:sz w:val="24"/>
      <w:szCs w:val="24"/>
      <w:lang w:val="en-GB" w:eastAsia="en-GB"/>
    </w:rPr>
  </w:style>
  <w:style w:type="character" w:customStyle="1" w:styleId="ParagraphChar1">
    <w:name w:val="Paragraph Char1"/>
    <w:link w:val="Paragraph"/>
    <w:locked/>
    <w:rsid w:val="00AA1268"/>
    <w:rPr>
      <w:sz w:val="24"/>
      <w:szCs w:val="24"/>
      <w:lang w:val="en-US" w:eastAsia="en-US"/>
    </w:rPr>
  </w:style>
  <w:style w:type="paragraph" w:customStyle="1" w:styleId="Paragraph">
    <w:name w:val="Paragraph"/>
    <w:link w:val="ParagraphChar1"/>
    <w:qFormat/>
    <w:rsid w:val="00AA1268"/>
    <w:pPr>
      <w:spacing w:after="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2117">
      <w:bodyDiv w:val="1"/>
      <w:marLeft w:val="0"/>
      <w:marRight w:val="0"/>
      <w:marTop w:val="0"/>
      <w:marBottom w:val="0"/>
      <w:divBdr>
        <w:top w:val="none" w:sz="0" w:space="0" w:color="auto"/>
        <w:left w:val="none" w:sz="0" w:space="0" w:color="auto"/>
        <w:bottom w:val="none" w:sz="0" w:space="0" w:color="auto"/>
        <w:right w:val="none" w:sz="0" w:space="0" w:color="auto"/>
      </w:divBdr>
    </w:div>
    <w:div w:id="136844364">
      <w:bodyDiv w:val="1"/>
      <w:marLeft w:val="0"/>
      <w:marRight w:val="0"/>
      <w:marTop w:val="0"/>
      <w:marBottom w:val="0"/>
      <w:divBdr>
        <w:top w:val="none" w:sz="0" w:space="0" w:color="auto"/>
        <w:left w:val="none" w:sz="0" w:space="0" w:color="auto"/>
        <w:bottom w:val="none" w:sz="0" w:space="0" w:color="auto"/>
        <w:right w:val="none" w:sz="0" w:space="0" w:color="auto"/>
      </w:divBdr>
    </w:div>
    <w:div w:id="1628620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767443">
      <w:bodyDiv w:val="1"/>
      <w:marLeft w:val="0"/>
      <w:marRight w:val="0"/>
      <w:marTop w:val="0"/>
      <w:marBottom w:val="0"/>
      <w:divBdr>
        <w:top w:val="none" w:sz="0" w:space="0" w:color="auto"/>
        <w:left w:val="none" w:sz="0" w:space="0" w:color="auto"/>
        <w:bottom w:val="none" w:sz="0" w:space="0" w:color="auto"/>
        <w:right w:val="none" w:sz="0" w:space="0" w:color="auto"/>
      </w:divBdr>
    </w:div>
    <w:div w:id="266011171">
      <w:bodyDiv w:val="1"/>
      <w:marLeft w:val="0"/>
      <w:marRight w:val="0"/>
      <w:marTop w:val="0"/>
      <w:marBottom w:val="0"/>
      <w:divBdr>
        <w:top w:val="none" w:sz="0" w:space="0" w:color="auto"/>
        <w:left w:val="none" w:sz="0" w:space="0" w:color="auto"/>
        <w:bottom w:val="none" w:sz="0" w:space="0" w:color="auto"/>
        <w:right w:val="none" w:sz="0" w:space="0" w:color="auto"/>
      </w:divBdr>
    </w:div>
    <w:div w:id="320543143">
      <w:bodyDiv w:val="1"/>
      <w:marLeft w:val="0"/>
      <w:marRight w:val="0"/>
      <w:marTop w:val="0"/>
      <w:marBottom w:val="0"/>
      <w:divBdr>
        <w:top w:val="none" w:sz="0" w:space="0" w:color="auto"/>
        <w:left w:val="none" w:sz="0" w:space="0" w:color="auto"/>
        <w:bottom w:val="none" w:sz="0" w:space="0" w:color="auto"/>
        <w:right w:val="none" w:sz="0" w:space="0" w:color="auto"/>
      </w:divBdr>
    </w:div>
    <w:div w:id="353073913">
      <w:bodyDiv w:val="1"/>
      <w:marLeft w:val="0"/>
      <w:marRight w:val="0"/>
      <w:marTop w:val="0"/>
      <w:marBottom w:val="0"/>
      <w:divBdr>
        <w:top w:val="none" w:sz="0" w:space="0" w:color="auto"/>
        <w:left w:val="none" w:sz="0" w:space="0" w:color="auto"/>
        <w:bottom w:val="none" w:sz="0" w:space="0" w:color="auto"/>
        <w:right w:val="none" w:sz="0" w:space="0" w:color="auto"/>
      </w:divBdr>
    </w:div>
    <w:div w:id="447822994">
      <w:bodyDiv w:val="1"/>
      <w:marLeft w:val="0"/>
      <w:marRight w:val="0"/>
      <w:marTop w:val="0"/>
      <w:marBottom w:val="0"/>
      <w:divBdr>
        <w:top w:val="none" w:sz="0" w:space="0" w:color="auto"/>
        <w:left w:val="none" w:sz="0" w:space="0" w:color="auto"/>
        <w:bottom w:val="none" w:sz="0" w:space="0" w:color="auto"/>
        <w:right w:val="none" w:sz="0" w:space="0" w:color="auto"/>
      </w:divBdr>
    </w:div>
    <w:div w:id="480849526">
      <w:bodyDiv w:val="1"/>
      <w:marLeft w:val="0"/>
      <w:marRight w:val="0"/>
      <w:marTop w:val="0"/>
      <w:marBottom w:val="0"/>
      <w:divBdr>
        <w:top w:val="none" w:sz="0" w:space="0" w:color="auto"/>
        <w:left w:val="none" w:sz="0" w:space="0" w:color="auto"/>
        <w:bottom w:val="none" w:sz="0" w:space="0" w:color="auto"/>
        <w:right w:val="none" w:sz="0" w:space="0" w:color="auto"/>
      </w:divBdr>
    </w:div>
    <w:div w:id="502011610">
      <w:bodyDiv w:val="1"/>
      <w:marLeft w:val="0"/>
      <w:marRight w:val="0"/>
      <w:marTop w:val="0"/>
      <w:marBottom w:val="0"/>
      <w:divBdr>
        <w:top w:val="none" w:sz="0" w:space="0" w:color="auto"/>
        <w:left w:val="none" w:sz="0" w:space="0" w:color="auto"/>
        <w:bottom w:val="none" w:sz="0" w:space="0" w:color="auto"/>
        <w:right w:val="none" w:sz="0" w:space="0" w:color="auto"/>
      </w:divBdr>
    </w:div>
    <w:div w:id="550507031">
      <w:bodyDiv w:val="1"/>
      <w:marLeft w:val="0"/>
      <w:marRight w:val="0"/>
      <w:marTop w:val="0"/>
      <w:marBottom w:val="0"/>
      <w:divBdr>
        <w:top w:val="none" w:sz="0" w:space="0" w:color="auto"/>
        <w:left w:val="none" w:sz="0" w:space="0" w:color="auto"/>
        <w:bottom w:val="none" w:sz="0" w:space="0" w:color="auto"/>
        <w:right w:val="none" w:sz="0" w:space="0" w:color="auto"/>
      </w:divBdr>
    </w:div>
    <w:div w:id="558781986">
      <w:bodyDiv w:val="1"/>
      <w:marLeft w:val="0"/>
      <w:marRight w:val="0"/>
      <w:marTop w:val="0"/>
      <w:marBottom w:val="0"/>
      <w:divBdr>
        <w:top w:val="none" w:sz="0" w:space="0" w:color="auto"/>
        <w:left w:val="none" w:sz="0" w:space="0" w:color="auto"/>
        <w:bottom w:val="none" w:sz="0" w:space="0" w:color="auto"/>
        <w:right w:val="none" w:sz="0" w:space="0" w:color="auto"/>
      </w:divBdr>
    </w:div>
    <w:div w:id="595476756">
      <w:bodyDiv w:val="1"/>
      <w:marLeft w:val="0"/>
      <w:marRight w:val="0"/>
      <w:marTop w:val="0"/>
      <w:marBottom w:val="0"/>
      <w:divBdr>
        <w:top w:val="none" w:sz="0" w:space="0" w:color="auto"/>
        <w:left w:val="none" w:sz="0" w:space="0" w:color="auto"/>
        <w:bottom w:val="none" w:sz="0" w:space="0" w:color="auto"/>
        <w:right w:val="none" w:sz="0" w:space="0" w:color="auto"/>
      </w:divBdr>
    </w:div>
    <w:div w:id="617294193">
      <w:bodyDiv w:val="1"/>
      <w:marLeft w:val="0"/>
      <w:marRight w:val="0"/>
      <w:marTop w:val="0"/>
      <w:marBottom w:val="0"/>
      <w:divBdr>
        <w:top w:val="none" w:sz="0" w:space="0" w:color="auto"/>
        <w:left w:val="none" w:sz="0" w:space="0" w:color="auto"/>
        <w:bottom w:val="none" w:sz="0" w:space="0" w:color="auto"/>
        <w:right w:val="none" w:sz="0" w:space="0" w:color="auto"/>
      </w:divBdr>
    </w:div>
    <w:div w:id="668827234">
      <w:bodyDiv w:val="1"/>
      <w:marLeft w:val="0"/>
      <w:marRight w:val="0"/>
      <w:marTop w:val="0"/>
      <w:marBottom w:val="0"/>
      <w:divBdr>
        <w:top w:val="none" w:sz="0" w:space="0" w:color="auto"/>
        <w:left w:val="none" w:sz="0" w:space="0" w:color="auto"/>
        <w:bottom w:val="none" w:sz="0" w:space="0" w:color="auto"/>
        <w:right w:val="none" w:sz="0" w:space="0" w:color="auto"/>
      </w:divBdr>
    </w:div>
    <w:div w:id="671370863">
      <w:bodyDiv w:val="1"/>
      <w:marLeft w:val="0"/>
      <w:marRight w:val="0"/>
      <w:marTop w:val="0"/>
      <w:marBottom w:val="0"/>
      <w:divBdr>
        <w:top w:val="none" w:sz="0" w:space="0" w:color="auto"/>
        <w:left w:val="none" w:sz="0" w:space="0" w:color="auto"/>
        <w:bottom w:val="none" w:sz="0" w:space="0" w:color="auto"/>
        <w:right w:val="none" w:sz="0" w:space="0" w:color="auto"/>
      </w:divBdr>
    </w:div>
    <w:div w:id="889338826">
      <w:bodyDiv w:val="1"/>
      <w:marLeft w:val="0"/>
      <w:marRight w:val="0"/>
      <w:marTop w:val="0"/>
      <w:marBottom w:val="0"/>
      <w:divBdr>
        <w:top w:val="none" w:sz="0" w:space="0" w:color="auto"/>
        <w:left w:val="none" w:sz="0" w:space="0" w:color="auto"/>
        <w:bottom w:val="none" w:sz="0" w:space="0" w:color="auto"/>
        <w:right w:val="none" w:sz="0" w:space="0" w:color="auto"/>
      </w:divBdr>
    </w:div>
    <w:div w:id="931813779">
      <w:bodyDiv w:val="1"/>
      <w:marLeft w:val="0"/>
      <w:marRight w:val="0"/>
      <w:marTop w:val="0"/>
      <w:marBottom w:val="0"/>
      <w:divBdr>
        <w:top w:val="none" w:sz="0" w:space="0" w:color="auto"/>
        <w:left w:val="none" w:sz="0" w:space="0" w:color="auto"/>
        <w:bottom w:val="none" w:sz="0" w:space="0" w:color="auto"/>
        <w:right w:val="none" w:sz="0" w:space="0" w:color="auto"/>
      </w:divBdr>
    </w:div>
    <w:div w:id="966204584">
      <w:bodyDiv w:val="1"/>
      <w:marLeft w:val="0"/>
      <w:marRight w:val="0"/>
      <w:marTop w:val="0"/>
      <w:marBottom w:val="0"/>
      <w:divBdr>
        <w:top w:val="none" w:sz="0" w:space="0" w:color="auto"/>
        <w:left w:val="none" w:sz="0" w:space="0" w:color="auto"/>
        <w:bottom w:val="none" w:sz="0" w:space="0" w:color="auto"/>
        <w:right w:val="none" w:sz="0" w:space="0" w:color="auto"/>
      </w:divBdr>
    </w:div>
    <w:div w:id="979461823">
      <w:bodyDiv w:val="1"/>
      <w:marLeft w:val="0"/>
      <w:marRight w:val="0"/>
      <w:marTop w:val="0"/>
      <w:marBottom w:val="0"/>
      <w:divBdr>
        <w:top w:val="none" w:sz="0" w:space="0" w:color="auto"/>
        <w:left w:val="none" w:sz="0" w:space="0" w:color="auto"/>
        <w:bottom w:val="none" w:sz="0" w:space="0" w:color="auto"/>
        <w:right w:val="none" w:sz="0" w:space="0" w:color="auto"/>
      </w:divBdr>
    </w:div>
    <w:div w:id="988823377">
      <w:bodyDiv w:val="1"/>
      <w:marLeft w:val="0"/>
      <w:marRight w:val="0"/>
      <w:marTop w:val="0"/>
      <w:marBottom w:val="0"/>
      <w:divBdr>
        <w:top w:val="none" w:sz="0" w:space="0" w:color="auto"/>
        <w:left w:val="none" w:sz="0" w:space="0" w:color="auto"/>
        <w:bottom w:val="none" w:sz="0" w:space="0" w:color="auto"/>
        <w:right w:val="none" w:sz="0" w:space="0" w:color="auto"/>
      </w:divBdr>
    </w:div>
    <w:div w:id="1035234933">
      <w:bodyDiv w:val="1"/>
      <w:marLeft w:val="0"/>
      <w:marRight w:val="0"/>
      <w:marTop w:val="0"/>
      <w:marBottom w:val="0"/>
      <w:divBdr>
        <w:top w:val="none" w:sz="0" w:space="0" w:color="auto"/>
        <w:left w:val="none" w:sz="0" w:space="0" w:color="auto"/>
        <w:bottom w:val="none" w:sz="0" w:space="0" w:color="auto"/>
        <w:right w:val="none" w:sz="0" w:space="0" w:color="auto"/>
      </w:divBdr>
    </w:div>
    <w:div w:id="1042904803">
      <w:bodyDiv w:val="1"/>
      <w:marLeft w:val="0"/>
      <w:marRight w:val="0"/>
      <w:marTop w:val="0"/>
      <w:marBottom w:val="0"/>
      <w:divBdr>
        <w:top w:val="none" w:sz="0" w:space="0" w:color="auto"/>
        <w:left w:val="none" w:sz="0" w:space="0" w:color="auto"/>
        <w:bottom w:val="none" w:sz="0" w:space="0" w:color="auto"/>
        <w:right w:val="none" w:sz="0" w:space="0" w:color="auto"/>
      </w:divBdr>
    </w:div>
    <w:div w:id="1043942939">
      <w:bodyDiv w:val="1"/>
      <w:marLeft w:val="0"/>
      <w:marRight w:val="0"/>
      <w:marTop w:val="0"/>
      <w:marBottom w:val="0"/>
      <w:divBdr>
        <w:top w:val="none" w:sz="0" w:space="0" w:color="auto"/>
        <w:left w:val="none" w:sz="0" w:space="0" w:color="auto"/>
        <w:bottom w:val="none" w:sz="0" w:space="0" w:color="auto"/>
        <w:right w:val="none" w:sz="0" w:space="0" w:color="auto"/>
      </w:divBdr>
    </w:div>
    <w:div w:id="1099179324">
      <w:bodyDiv w:val="1"/>
      <w:marLeft w:val="0"/>
      <w:marRight w:val="0"/>
      <w:marTop w:val="0"/>
      <w:marBottom w:val="0"/>
      <w:divBdr>
        <w:top w:val="none" w:sz="0" w:space="0" w:color="auto"/>
        <w:left w:val="none" w:sz="0" w:space="0" w:color="auto"/>
        <w:bottom w:val="none" w:sz="0" w:space="0" w:color="auto"/>
        <w:right w:val="none" w:sz="0" w:space="0" w:color="auto"/>
      </w:divBdr>
    </w:div>
    <w:div w:id="1136795739">
      <w:bodyDiv w:val="1"/>
      <w:marLeft w:val="0"/>
      <w:marRight w:val="0"/>
      <w:marTop w:val="0"/>
      <w:marBottom w:val="0"/>
      <w:divBdr>
        <w:top w:val="none" w:sz="0" w:space="0" w:color="auto"/>
        <w:left w:val="none" w:sz="0" w:space="0" w:color="auto"/>
        <w:bottom w:val="none" w:sz="0" w:space="0" w:color="auto"/>
        <w:right w:val="none" w:sz="0" w:space="0" w:color="auto"/>
      </w:divBdr>
    </w:div>
    <w:div w:id="1205292135">
      <w:bodyDiv w:val="1"/>
      <w:marLeft w:val="0"/>
      <w:marRight w:val="0"/>
      <w:marTop w:val="0"/>
      <w:marBottom w:val="0"/>
      <w:divBdr>
        <w:top w:val="none" w:sz="0" w:space="0" w:color="auto"/>
        <w:left w:val="none" w:sz="0" w:space="0" w:color="auto"/>
        <w:bottom w:val="none" w:sz="0" w:space="0" w:color="auto"/>
        <w:right w:val="none" w:sz="0" w:space="0" w:color="auto"/>
      </w:divBdr>
    </w:div>
    <w:div w:id="1222593862">
      <w:bodyDiv w:val="1"/>
      <w:marLeft w:val="0"/>
      <w:marRight w:val="0"/>
      <w:marTop w:val="0"/>
      <w:marBottom w:val="0"/>
      <w:divBdr>
        <w:top w:val="none" w:sz="0" w:space="0" w:color="auto"/>
        <w:left w:val="none" w:sz="0" w:space="0" w:color="auto"/>
        <w:bottom w:val="none" w:sz="0" w:space="0" w:color="auto"/>
        <w:right w:val="none" w:sz="0" w:space="0" w:color="auto"/>
      </w:divBdr>
    </w:div>
    <w:div w:id="1323116855">
      <w:bodyDiv w:val="1"/>
      <w:marLeft w:val="0"/>
      <w:marRight w:val="0"/>
      <w:marTop w:val="0"/>
      <w:marBottom w:val="0"/>
      <w:divBdr>
        <w:top w:val="none" w:sz="0" w:space="0" w:color="auto"/>
        <w:left w:val="none" w:sz="0" w:space="0" w:color="auto"/>
        <w:bottom w:val="none" w:sz="0" w:space="0" w:color="auto"/>
        <w:right w:val="none" w:sz="0" w:space="0" w:color="auto"/>
      </w:divBdr>
    </w:div>
    <w:div w:id="1371689161">
      <w:bodyDiv w:val="1"/>
      <w:marLeft w:val="0"/>
      <w:marRight w:val="0"/>
      <w:marTop w:val="0"/>
      <w:marBottom w:val="0"/>
      <w:divBdr>
        <w:top w:val="none" w:sz="0" w:space="0" w:color="auto"/>
        <w:left w:val="none" w:sz="0" w:space="0" w:color="auto"/>
        <w:bottom w:val="none" w:sz="0" w:space="0" w:color="auto"/>
        <w:right w:val="none" w:sz="0" w:space="0" w:color="auto"/>
      </w:divBdr>
    </w:div>
    <w:div w:id="1431006603">
      <w:bodyDiv w:val="1"/>
      <w:marLeft w:val="0"/>
      <w:marRight w:val="0"/>
      <w:marTop w:val="0"/>
      <w:marBottom w:val="0"/>
      <w:divBdr>
        <w:top w:val="none" w:sz="0" w:space="0" w:color="auto"/>
        <w:left w:val="none" w:sz="0" w:space="0" w:color="auto"/>
        <w:bottom w:val="none" w:sz="0" w:space="0" w:color="auto"/>
        <w:right w:val="none" w:sz="0" w:space="0" w:color="auto"/>
      </w:divBdr>
    </w:div>
    <w:div w:id="1487893184">
      <w:bodyDiv w:val="1"/>
      <w:marLeft w:val="0"/>
      <w:marRight w:val="0"/>
      <w:marTop w:val="0"/>
      <w:marBottom w:val="0"/>
      <w:divBdr>
        <w:top w:val="none" w:sz="0" w:space="0" w:color="auto"/>
        <w:left w:val="none" w:sz="0" w:space="0" w:color="auto"/>
        <w:bottom w:val="none" w:sz="0" w:space="0" w:color="auto"/>
        <w:right w:val="none" w:sz="0" w:space="0" w:color="auto"/>
      </w:divBdr>
    </w:div>
    <w:div w:id="1512405378">
      <w:bodyDiv w:val="1"/>
      <w:marLeft w:val="0"/>
      <w:marRight w:val="0"/>
      <w:marTop w:val="0"/>
      <w:marBottom w:val="0"/>
      <w:divBdr>
        <w:top w:val="none" w:sz="0" w:space="0" w:color="auto"/>
        <w:left w:val="none" w:sz="0" w:space="0" w:color="auto"/>
        <w:bottom w:val="none" w:sz="0" w:space="0" w:color="auto"/>
        <w:right w:val="none" w:sz="0" w:space="0" w:color="auto"/>
      </w:divBdr>
    </w:div>
    <w:div w:id="1535194920">
      <w:bodyDiv w:val="1"/>
      <w:marLeft w:val="0"/>
      <w:marRight w:val="0"/>
      <w:marTop w:val="0"/>
      <w:marBottom w:val="0"/>
      <w:divBdr>
        <w:top w:val="none" w:sz="0" w:space="0" w:color="auto"/>
        <w:left w:val="none" w:sz="0" w:space="0" w:color="auto"/>
        <w:bottom w:val="none" w:sz="0" w:space="0" w:color="auto"/>
        <w:right w:val="none" w:sz="0" w:space="0" w:color="auto"/>
      </w:divBdr>
    </w:div>
    <w:div w:id="1649751254">
      <w:bodyDiv w:val="1"/>
      <w:marLeft w:val="0"/>
      <w:marRight w:val="0"/>
      <w:marTop w:val="0"/>
      <w:marBottom w:val="0"/>
      <w:divBdr>
        <w:top w:val="none" w:sz="0" w:space="0" w:color="auto"/>
        <w:left w:val="none" w:sz="0" w:space="0" w:color="auto"/>
        <w:bottom w:val="none" w:sz="0" w:space="0" w:color="auto"/>
        <w:right w:val="none" w:sz="0" w:space="0" w:color="auto"/>
      </w:divBdr>
    </w:div>
    <w:div w:id="1725518565">
      <w:bodyDiv w:val="1"/>
      <w:marLeft w:val="0"/>
      <w:marRight w:val="0"/>
      <w:marTop w:val="0"/>
      <w:marBottom w:val="0"/>
      <w:divBdr>
        <w:top w:val="none" w:sz="0" w:space="0" w:color="auto"/>
        <w:left w:val="none" w:sz="0" w:space="0" w:color="auto"/>
        <w:bottom w:val="none" w:sz="0" w:space="0" w:color="auto"/>
        <w:right w:val="none" w:sz="0" w:space="0" w:color="auto"/>
      </w:divBdr>
    </w:div>
    <w:div w:id="1775244319">
      <w:bodyDiv w:val="1"/>
      <w:marLeft w:val="0"/>
      <w:marRight w:val="0"/>
      <w:marTop w:val="0"/>
      <w:marBottom w:val="0"/>
      <w:divBdr>
        <w:top w:val="none" w:sz="0" w:space="0" w:color="auto"/>
        <w:left w:val="none" w:sz="0" w:space="0" w:color="auto"/>
        <w:bottom w:val="none" w:sz="0" w:space="0" w:color="auto"/>
        <w:right w:val="none" w:sz="0" w:space="0" w:color="auto"/>
      </w:divBdr>
    </w:div>
    <w:div w:id="1776974340">
      <w:bodyDiv w:val="1"/>
      <w:marLeft w:val="0"/>
      <w:marRight w:val="0"/>
      <w:marTop w:val="0"/>
      <w:marBottom w:val="0"/>
      <w:divBdr>
        <w:top w:val="none" w:sz="0" w:space="0" w:color="auto"/>
        <w:left w:val="none" w:sz="0" w:space="0" w:color="auto"/>
        <w:bottom w:val="none" w:sz="0" w:space="0" w:color="auto"/>
        <w:right w:val="none" w:sz="0" w:space="0" w:color="auto"/>
      </w:divBdr>
    </w:div>
    <w:div w:id="2004508367">
      <w:bodyDiv w:val="1"/>
      <w:marLeft w:val="0"/>
      <w:marRight w:val="0"/>
      <w:marTop w:val="0"/>
      <w:marBottom w:val="0"/>
      <w:divBdr>
        <w:top w:val="none" w:sz="0" w:space="0" w:color="auto"/>
        <w:left w:val="none" w:sz="0" w:space="0" w:color="auto"/>
        <w:bottom w:val="none" w:sz="0" w:space="0" w:color="auto"/>
        <w:right w:val="none" w:sz="0" w:space="0" w:color="auto"/>
      </w:divBdr>
    </w:div>
    <w:div w:id="21068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45</TotalTime>
  <Pages>34</Pages>
  <Words>11959</Words>
  <Characters>79064</Characters>
  <Application>Microsoft Office Word</Application>
  <DocSecurity>0</DocSecurity>
  <Lines>658</Lines>
  <Paragraphs>181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2023092760 mt</dc:description>
  <cp:lastModifiedBy>Hanne Thy Iversen</cp:lastModifiedBy>
  <cp:revision>14</cp:revision>
  <cp:lastPrinted>2012-08-22T08:53:00Z</cp:lastPrinted>
  <dcterms:created xsi:type="dcterms:W3CDTF">2025-03-12T13:00:00Z</dcterms:created>
  <dcterms:modified xsi:type="dcterms:W3CDTF">2025-03-13T11:37:00Z</dcterms:modified>
</cp:coreProperties>
</file>