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C7" w:rsidRDefault="00EE0DC7" w:rsidP="00EE0DC7">
      <w:r>
        <w:rPr>
          <w:noProof/>
          <w:lang w:eastAsia="da-DK"/>
        </w:rPr>
        <w:drawing>
          <wp:inline distT="0" distB="0" distL="0" distR="0" wp14:anchorId="4A1CD07B" wp14:editId="4E76E569">
            <wp:extent cx="2466975" cy="685800"/>
            <wp:effectExtent l="0" t="0" r="9525"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E0DC7" w:rsidRPr="00907F75" w:rsidRDefault="00EE0DC7" w:rsidP="00EE0DC7">
      <w:pPr>
        <w:pStyle w:val="Titel"/>
        <w:tabs>
          <w:tab w:val="right" w:pos="9356"/>
        </w:tabs>
        <w:jc w:val="left"/>
        <w:rPr>
          <w:b w:val="0"/>
          <w:sz w:val="23"/>
          <w:lang w:eastAsia="en-US"/>
        </w:rPr>
      </w:pPr>
      <w:r>
        <w:rPr>
          <w:b w:val="0"/>
          <w:sz w:val="23"/>
          <w:lang w:eastAsia="en-US"/>
        </w:rPr>
        <w:tab/>
      </w:r>
      <w:r w:rsidR="00BE64F8">
        <w:rPr>
          <w:szCs w:val="24"/>
        </w:rPr>
        <w:t>2</w:t>
      </w:r>
      <w:r w:rsidR="00AD4947">
        <w:rPr>
          <w:szCs w:val="24"/>
        </w:rPr>
        <w:t>3</w:t>
      </w:r>
      <w:r w:rsidR="00BE64F8">
        <w:rPr>
          <w:szCs w:val="24"/>
        </w:rPr>
        <w:t xml:space="preserve">. april </w:t>
      </w:r>
      <w:r w:rsidR="00D6284D">
        <w:rPr>
          <w:szCs w:val="24"/>
        </w:rPr>
        <w:t>2025</w:t>
      </w:r>
    </w:p>
    <w:p w:rsidR="0024704F" w:rsidRDefault="0024704F" w:rsidP="006F4E33">
      <w:pPr>
        <w:rPr>
          <w:b/>
          <w:sz w:val="24"/>
          <w:szCs w:val="24"/>
        </w:rPr>
      </w:pPr>
    </w:p>
    <w:p w:rsidR="00C44E2D" w:rsidRDefault="00C44E2D" w:rsidP="006F4E33">
      <w:pPr>
        <w:rPr>
          <w:b/>
          <w:sz w:val="24"/>
          <w:szCs w:val="24"/>
        </w:rPr>
      </w:pPr>
    </w:p>
    <w:p w:rsidR="00EE0DC7" w:rsidRPr="00EC0B9B" w:rsidRDefault="00EE0DC7" w:rsidP="00EE0DC7">
      <w:pPr>
        <w:jc w:val="center"/>
        <w:rPr>
          <w:b/>
          <w:sz w:val="24"/>
          <w:szCs w:val="24"/>
        </w:rPr>
      </w:pPr>
      <w:r w:rsidRPr="00EC0B9B">
        <w:rPr>
          <w:b/>
          <w:sz w:val="24"/>
          <w:szCs w:val="24"/>
        </w:rPr>
        <w:t>PRODUKTRESUMÉ</w:t>
      </w:r>
    </w:p>
    <w:p w:rsidR="00EE0DC7" w:rsidRPr="00EC0B9B" w:rsidRDefault="00EE0DC7" w:rsidP="00EE0DC7">
      <w:pPr>
        <w:jc w:val="center"/>
        <w:rPr>
          <w:b/>
          <w:sz w:val="24"/>
          <w:szCs w:val="24"/>
        </w:rPr>
      </w:pPr>
    </w:p>
    <w:p w:rsidR="00EE0DC7" w:rsidRPr="00EC0B9B" w:rsidRDefault="00EE0DC7" w:rsidP="00EE0DC7">
      <w:pPr>
        <w:jc w:val="center"/>
        <w:rPr>
          <w:b/>
          <w:sz w:val="24"/>
          <w:szCs w:val="24"/>
        </w:rPr>
      </w:pPr>
      <w:r w:rsidRPr="00EC0B9B">
        <w:rPr>
          <w:b/>
          <w:sz w:val="24"/>
          <w:szCs w:val="24"/>
        </w:rPr>
        <w:t>for</w:t>
      </w:r>
    </w:p>
    <w:p w:rsidR="00EE0DC7" w:rsidRPr="00EC0B9B" w:rsidRDefault="00EE0DC7" w:rsidP="00EE0DC7">
      <w:pPr>
        <w:jc w:val="center"/>
        <w:rPr>
          <w:b/>
          <w:sz w:val="24"/>
          <w:szCs w:val="24"/>
        </w:rPr>
      </w:pPr>
    </w:p>
    <w:p w:rsidR="00EE0DC7" w:rsidRPr="0049104B" w:rsidRDefault="00EE0DC7" w:rsidP="00EE0DC7">
      <w:pPr>
        <w:jc w:val="center"/>
        <w:rPr>
          <w:b/>
          <w:sz w:val="24"/>
          <w:szCs w:val="24"/>
        </w:rPr>
      </w:pPr>
      <w:r>
        <w:rPr>
          <w:b/>
          <w:sz w:val="24"/>
          <w:szCs w:val="24"/>
        </w:rPr>
        <w:t>Voriconazole ”Sandoz”, filmovertrukne tabletter</w:t>
      </w:r>
    </w:p>
    <w:p w:rsidR="00EE0DC7" w:rsidRPr="00EC0B9B" w:rsidRDefault="00EE0DC7" w:rsidP="00EE0DC7">
      <w:pPr>
        <w:jc w:val="both"/>
        <w:rPr>
          <w:sz w:val="24"/>
          <w:szCs w:val="24"/>
        </w:rPr>
      </w:pPr>
    </w:p>
    <w:p w:rsidR="00EE0DC7" w:rsidRPr="007C61BD" w:rsidRDefault="00EE0DC7" w:rsidP="00EE0DC7">
      <w:pPr>
        <w:ind w:left="851" w:hanging="851"/>
        <w:jc w:val="both"/>
        <w:rPr>
          <w:sz w:val="24"/>
          <w:szCs w:val="24"/>
        </w:rPr>
      </w:pPr>
    </w:p>
    <w:p w:rsidR="00EE0DC7" w:rsidRPr="007C61BD" w:rsidRDefault="00EE0DC7" w:rsidP="00EE0DC7">
      <w:pPr>
        <w:ind w:left="851" w:hanging="851"/>
        <w:rPr>
          <w:b/>
          <w:sz w:val="24"/>
          <w:szCs w:val="24"/>
        </w:rPr>
      </w:pPr>
      <w:r w:rsidRPr="007C61BD">
        <w:rPr>
          <w:b/>
          <w:sz w:val="24"/>
          <w:szCs w:val="24"/>
        </w:rPr>
        <w:t>0.</w:t>
      </w:r>
      <w:r w:rsidRPr="007C61BD">
        <w:rPr>
          <w:b/>
          <w:sz w:val="24"/>
          <w:szCs w:val="24"/>
        </w:rPr>
        <w:tab/>
        <w:t>D.SP.NR.</w:t>
      </w:r>
    </w:p>
    <w:p w:rsidR="00EE0DC7" w:rsidRPr="007C61BD" w:rsidRDefault="00EE0DC7" w:rsidP="00EE0DC7">
      <w:pPr>
        <w:ind w:left="851" w:hanging="851"/>
        <w:rPr>
          <w:sz w:val="24"/>
          <w:szCs w:val="24"/>
        </w:rPr>
      </w:pPr>
      <w:r w:rsidRPr="007C61BD">
        <w:rPr>
          <w:sz w:val="24"/>
          <w:szCs w:val="24"/>
        </w:rPr>
        <w:tab/>
        <w:t>28321</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1.</w:t>
      </w:r>
      <w:r w:rsidRPr="007C61BD">
        <w:rPr>
          <w:b/>
          <w:sz w:val="24"/>
          <w:szCs w:val="24"/>
        </w:rPr>
        <w:tab/>
        <w:t>LÆGEMIDLETS NAVN</w:t>
      </w:r>
    </w:p>
    <w:p w:rsidR="00EE0DC7" w:rsidRPr="007C61BD" w:rsidRDefault="00EE0DC7" w:rsidP="00EE0DC7">
      <w:pPr>
        <w:ind w:left="851" w:hanging="851"/>
        <w:rPr>
          <w:sz w:val="24"/>
          <w:szCs w:val="24"/>
        </w:rPr>
      </w:pPr>
      <w:r w:rsidRPr="007C61BD">
        <w:rPr>
          <w:sz w:val="24"/>
          <w:szCs w:val="24"/>
        </w:rPr>
        <w:tab/>
        <w:t>Voriconazole ”Sandoz”</w:t>
      </w:r>
    </w:p>
    <w:p w:rsidR="00EE0DC7" w:rsidRPr="007C61BD" w:rsidRDefault="00EE0DC7" w:rsidP="00EE0DC7">
      <w:pPr>
        <w:ind w:left="851" w:hanging="851"/>
        <w:rPr>
          <w:sz w:val="24"/>
          <w:szCs w:val="24"/>
        </w:rPr>
      </w:pPr>
      <w:r w:rsidRPr="007C61BD">
        <w:rPr>
          <w:sz w:val="24"/>
          <w:szCs w:val="24"/>
        </w:rPr>
        <w:tab/>
      </w:r>
    </w:p>
    <w:p w:rsidR="00EE0DC7" w:rsidRPr="007C61BD" w:rsidRDefault="00EE0DC7" w:rsidP="00EE0DC7">
      <w:pPr>
        <w:ind w:left="851" w:hanging="851"/>
        <w:rPr>
          <w:b/>
          <w:sz w:val="24"/>
          <w:szCs w:val="24"/>
        </w:rPr>
      </w:pPr>
      <w:r w:rsidRPr="007C61BD">
        <w:rPr>
          <w:b/>
          <w:sz w:val="24"/>
          <w:szCs w:val="24"/>
        </w:rPr>
        <w:t>2.</w:t>
      </w:r>
      <w:r w:rsidRPr="007C61BD">
        <w:rPr>
          <w:b/>
          <w:sz w:val="24"/>
          <w:szCs w:val="24"/>
        </w:rPr>
        <w:tab/>
        <w:t>KVALITATIV OG KVANTITATIV SAMMENSÆTNING</w:t>
      </w:r>
    </w:p>
    <w:p w:rsidR="009601E5" w:rsidRDefault="00EE0DC7" w:rsidP="009601E5">
      <w:pPr>
        <w:ind w:left="851" w:hanging="851"/>
        <w:rPr>
          <w:sz w:val="24"/>
          <w:szCs w:val="24"/>
        </w:rPr>
      </w:pPr>
      <w:r w:rsidRPr="0092348C">
        <w:rPr>
          <w:i/>
          <w:sz w:val="24"/>
          <w:szCs w:val="24"/>
        </w:rPr>
        <w:tab/>
      </w:r>
      <w:r w:rsidR="009601E5">
        <w:rPr>
          <w:sz w:val="24"/>
          <w:szCs w:val="24"/>
        </w:rPr>
        <w:t>Hver filmovertrukken tablet indeholder 50 mg voriconazol.</w:t>
      </w:r>
    </w:p>
    <w:p w:rsidR="009601E5" w:rsidRDefault="009601E5" w:rsidP="009601E5">
      <w:pPr>
        <w:ind w:left="851" w:hanging="851"/>
        <w:rPr>
          <w:sz w:val="24"/>
          <w:szCs w:val="24"/>
        </w:rPr>
      </w:pPr>
    </w:p>
    <w:p w:rsidR="009601E5" w:rsidRDefault="009601E5" w:rsidP="009601E5">
      <w:pPr>
        <w:ind w:left="851" w:hanging="851"/>
        <w:rPr>
          <w:sz w:val="24"/>
          <w:szCs w:val="24"/>
          <w:u w:val="single"/>
        </w:rPr>
      </w:pPr>
      <w:r>
        <w:rPr>
          <w:sz w:val="24"/>
          <w:szCs w:val="24"/>
        </w:rPr>
        <w:tab/>
      </w:r>
      <w:r>
        <w:rPr>
          <w:sz w:val="24"/>
          <w:szCs w:val="24"/>
          <w:u w:val="single"/>
        </w:rPr>
        <w:t xml:space="preserve">Hjælpestof, som behandleren skal være opmærksom på: </w:t>
      </w:r>
    </w:p>
    <w:p w:rsidR="009601E5" w:rsidRDefault="009601E5" w:rsidP="009601E5">
      <w:pPr>
        <w:ind w:left="851"/>
        <w:rPr>
          <w:sz w:val="24"/>
          <w:szCs w:val="24"/>
        </w:rPr>
      </w:pPr>
      <w:r>
        <w:rPr>
          <w:sz w:val="24"/>
          <w:szCs w:val="24"/>
        </w:rPr>
        <w:t>Hver tablet indeholder 61,1 mg lactose (som monohydrat).</w:t>
      </w:r>
    </w:p>
    <w:p w:rsidR="009601E5" w:rsidRDefault="009601E5" w:rsidP="009601E5">
      <w:pPr>
        <w:ind w:left="851" w:hanging="851"/>
        <w:rPr>
          <w:sz w:val="24"/>
          <w:szCs w:val="24"/>
        </w:rPr>
      </w:pPr>
    </w:p>
    <w:p w:rsidR="009601E5" w:rsidRDefault="009601E5" w:rsidP="009601E5">
      <w:pPr>
        <w:ind w:left="851" w:hanging="851"/>
        <w:rPr>
          <w:sz w:val="24"/>
          <w:szCs w:val="24"/>
        </w:rPr>
      </w:pPr>
      <w:r>
        <w:rPr>
          <w:i/>
          <w:sz w:val="24"/>
          <w:szCs w:val="24"/>
        </w:rPr>
        <w:t xml:space="preserve"> </w:t>
      </w:r>
      <w:r>
        <w:rPr>
          <w:sz w:val="24"/>
          <w:szCs w:val="24"/>
        </w:rPr>
        <w:tab/>
        <w:t>Hver filmovertrukken tablet indeholder 200 mg voriconazol.</w:t>
      </w:r>
    </w:p>
    <w:p w:rsidR="009601E5" w:rsidRDefault="009601E5" w:rsidP="009601E5">
      <w:pPr>
        <w:ind w:left="851" w:hanging="851"/>
        <w:rPr>
          <w:sz w:val="24"/>
          <w:szCs w:val="24"/>
        </w:rPr>
      </w:pPr>
    </w:p>
    <w:p w:rsidR="009601E5" w:rsidRDefault="009601E5" w:rsidP="009601E5">
      <w:pPr>
        <w:ind w:left="851" w:hanging="851"/>
        <w:rPr>
          <w:sz w:val="24"/>
          <w:szCs w:val="24"/>
          <w:u w:val="single"/>
        </w:rPr>
      </w:pPr>
      <w:r>
        <w:rPr>
          <w:sz w:val="24"/>
          <w:szCs w:val="24"/>
        </w:rPr>
        <w:tab/>
      </w:r>
      <w:r>
        <w:rPr>
          <w:sz w:val="24"/>
          <w:szCs w:val="24"/>
          <w:u w:val="single"/>
        </w:rPr>
        <w:t xml:space="preserve">Hjælpestof, som behandleren skal være opmærksom på: </w:t>
      </w:r>
    </w:p>
    <w:p w:rsidR="009601E5" w:rsidRDefault="009601E5" w:rsidP="009601E5">
      <w:pPr>
        <w:ind w:left="851"/>
        <w:rPr>
          <w:sz w:val="24"/>
          <w:szCs w:val="24"/>
        </w:rPr>
      </w:pPr>
      <w:r>
        <w:rPr>
          <w:sz w:val="24"/>
          <w:szCs w:val="24"/>
        </w:rPr>
        <w:t>Hver tablet indeholder 244,2 mg lactose (som monohydrat).</w:t>
      </w:r>
    </w:p>
    <w:p w:rsidR="009601E5" w:rsidRDefault="009601E5" w:rsidP="009601E5">
      <w:pPr>
        <w:ind w:left="851" w:hanging="851"/>
        <w:rPr>
          <w:sz w:val="24"/>
          <w:szCs w:val="24"/>
        </w:rPr>
      </w:pPr>
    </w:p>
    <w:p w:rsidR="009601E5" w:rsidRDefault="009601E5" w:rsidP="009601E5">
      <w:pPr>
        <w:ind w:left="851" w:hanging="851"/>
        <w:rPr>
          <w:sz w:val="24"/>
          <w:szCs w:val="24"/>
        </w:rPr>
      </w:pPr>
      <w:r>
        <w:rPr>
          <w:sz w:val="24"/>
          <w:szCs w:val="24"/>
        </w:rPr>
        <w:tab/>
        <w:t>Alle hjælpestoffer er anført under pkt. 6.1.</w:t>
      </w:r>
    </w:p>
    <w:p w:rsidR="00EE0DC7" w:rsidRPr="007C61BD" w:rsidRDefault="00EE0DC7" w:rsidP="009601E5">
      <w:pPr>
        <w:ind w:left="851" w:hanging="851"/>
        <w:rPr>
          <w:sz w:val="24"/>
          <w:szCs w:val="24"/>
        </w:rPr>
      </w:pPr>
    </w:p>
    <w:p w:rsidR="00EE0DC7" w:rsidRPr="007C61BD" w:rsidRDefault="00EE0DC7" w:rsidP="00EE0DC7">
      <w:pPr>
        <w:ind w:left="851" w:hanging="851"/>
        <w:rPr>
          <w:b/>
          <w:sz w:val="24"/>
          <w:szCs w:val="24"/>
        </w:rPr>
      </w:pPr>
      <w:r w:rsidRPr="007C61BD">
        <w:rPr>
          <w:b/>
          <w:sz w:val="24"/>
          <w:szCs w:val="24"/>
        </w:rPr>
        <w:t>3.</w:t>
      </w:r>
      <w:r w:rsidRPr="007C61BD">
        <w:rPr>
          <w:b/>
          <w:sz w:val="24"/>
          <w:szCs w:val="24"/>
        </w:rPr>
        <w:tab/>
        <w:t>LÆGEMIDDELFORM</w:t>
      </w:r>
    </w:p>
    <w:p w:rsidR="009601E5" w:rsidRDefault="00EE0DC7" w:rsidP="009601E5">
      <w:pPr>
        <w:ind w:left="851" w:hanging="851"/>
        <w:rPr>
          <w:sz w:val="24"/>
          <w:szCs w:val="24"/>
        </w:rPr>
      </w:pPr>
      <w:r w:rsidRPr="007C61BD">
        <w:rPr>
          <w:sz w:val="24"/>
          <w:szCs w:val="24"/>
        </w:rPr>
        <w:tab/>
      </w:r>
      <w:r w:rsidR="009601E5">
        <w:rPr>
          <w:sz w:val="24"/>
          <w:szCs w:val="24"/>
        </w:rPr>
        <w:t>Filmovertrukne tabletter.</w:t>
      </w:r>
    </w:p>
    <w:p w:rsidR="009601E5" w:rsidRDefault="009601E5" w:rsidP="009601E5">
      <w:pPr>
        <w:ind w:left="851" w:hanging="851"/>
        <w:rPr>
          <w:sz w:val="24"/>
          <w:szCs w:val="24"/>
        </w:rPr>
      </w:pPr>
    </w:p>
    <w:p w:rsidR="009601E5" w:rsidRDefault="009601E5" w:rsidP="009601E5">
      <w:pPr>
        <w:ind w:left="851" w:hanging="851"/>
        <w:rPr>
          <w:i/>
          <w:sz w:val="24"/>
          <w:szCs w:val="24"/>
        </w:rPr>
      </w:pPr>
      <w:r>
        <w:rPr>
          <w:i/>
          <w:sz w:val="24"/>
          <w:szCs w:val="24"/>
        </w:rPr>
        <w:tab/>
        <w:t>50 mg filmovertrukne tabletter:</w:t>
      </w:r>
    </w:p>
    <w:p w:rsidR="009601E5" w:rsidRDefault="009601E5" w:rsidP="009601E5">
      <w:pPr>
        <w:ind w:left="851" w:hanging="851"/>
        <w:rPr>
          <w:sz w:val="24"/>
          <w:szCs w:val="24"/>
        </w:rPr>
      </w:pPr>
      <w:r>
        <w:rPr>
          <w:sz w:val="24"/>
          <w:szCs w:val="24"/>
        </w:rPr>
        <w:tab/>
        <w:t>Hvide til råhvide, runde, bikonvekse, filmovertrukne tabletter, der er mærket med ’50’ på den ene side og er glatte på den anden side.</w:t>
      </w:r>
    </w:p>
    <w:p w:rsidR="009601E5" w:rsidRDefault="009601E5" w:rsidP="009601E5">
      <w:pPr>
        <w:ind w:left="851" w:hanging="851"/>
        <w:rPr>
          <w:sz w:val="24"/>
          <w:szCs w:val="24"/>
        </w:rPr>
      </w:pPr>
      <w:r>
        <w:rPr>
          <w:sz w:val="24"/>
          <w:szCs w:val="24"/>
        </w:rPr>
        <w:tab/>
        <w:t>Længde: 7,1 ± 0,3 mm</w:t>
      </w:r>
    </w:p>
    <w:p w:rsidR="009601E5" w:rsidRDefault="009601E5" w:rsidP="009601E5">
      <w:pPr>
        <w:ind w:left="851" w:hanging="851"/>
        <w:rPr>
          <w:sz w:val="24"/>
          <w:szCs w:val="24"/>
        </w:rPr>
      </w:pPr>
      <w:r>
        <w:rPr>
          <w:sz w:val="24"/>
          <w:szCs w:val="24"/>
        </w:rPr>
        <w:tab/>
        <w:t>Tykkelse: 3,5 mm ± 0,30 mm</w:t>
      </w:r>
    </w:p>
    <w:p w:rsidR="009601E5" w:rsidRDefault="009601E5" w:rsidP="009601E5">
      <w:pPr>
        <w:ind w:left="851" w:hanging="851"/>
        <w:rPr>
          <w:sz w:val="24"/>
          <w:szCs w:val="24"/>
        </w:rPr>
      </w:pPr>
    </w:p>
    <w:p w:rsidR="009601E5" w:rsidRDefault="009601E5" w:rsidP="009601E5">
      <w:pPr>
        <w:ind w:left="851" w:hanging="851"/>
        <w:rPr>
          <w:i/>
          <w:sz w:val="24"/>
          <w:szCs w:val="24"/>
        </w:rPr>
      </w:pPr>
      <w:r>
        <w:rPr>
          <w:i/>
          <w:sz w:val="24"/>
          <w:szCs w:val="24"/>
        </w:rPr>
        <w:tab/>
        <w:t>200 mg filmovertrukne tabletter:</w:t>
      </w:r>
    </w:p>
    <w:p w:rsidR="009601E5" w:rsidRDefault="009601E5" w:rsidP="009601E5">
      <w:pPr>
        <w:ind w:left="851" w:hanging="851"/>
        <w:rPr>
          <w:sz w:val="24"/>
          <w:szCs w:val="24"/>
        </w:rPr>
      </w:pPr>
      <w:r>
        <w:rPr>
          <w:sz w:val="24"/>
          <w:szCs w:val="24"/>
        </w:rPr>
        <w:tab/>
        <w:t>Hvide til råhvide, bikonvekse, kapselformede, filmovertrukne tabletter, der er mærket med ’200’ på den ene side og er glatte på den anden side.</w:t>
      </w:r>
    </w:p>
    <w:p w:rsidR="009601E5" w:rsidRDefault="009601E5" w:rsidP="009601E5">
      <w:pPr>
        <w:ind w:left="851" w:hanging="851"/>
        <w:rPr>
          <w:sz w:val="24"/>
          <w:szCs w:val="24"/>
        </w:rPr>
      </w:pPr>
      <w:r>
        <w:rPr>
          <w:sz w:val="24"/>
          <w:szCs w:val="24"/>
        </w:rPr>
        <w:tab/>
        <w:t>Længde: 15,9 ± 0,3 mm</w:t>
      </w:r>
    </w:p>
    <w:p w:rsidR="009601E5" w:rsidRDefault="009601E5" w:rsidP="009601E5">
      <w:pPr>
        <w:ind w:left="851" w:hanging="851"/>
        <w:rPr>
          <w:sz w:val="24"/>
          <w:szCs w:val="24"/>
        </w:rPr>
      </w:pPr>
      <w:r>
        <w:rPr>
          <w:sz w:val="24"/>
          <w:szCs w:val="24"/>
        </w:rPr>
        <w:tab/>
        <w:t>Tykkelse: 6,20 mm ± 0,30 mm</w:t>
      </w:r>
    </w:p>
    <w:p w:rsidR="00EE0DC7" w:rsidRPr="007C61BD" w:rsidRDefault="00EE0DC7" w:rsidP="009601E5">
      <w:pPr>
        <w:ind w:left="851" w:hanging="851"/>
        <w:rPr>
          <w:sz w:val="24"/>
          <w:szCs w:val="24"/>
        </w:rPr>
      </w:pPr>
    </w:p>
    <w:p w:rsidR="00EE0DC7" w:rsidRPr="007C61BD" w:rsidRDefault="00EE0DC7" w:rsidP="00EE0DC7">
      <w:pPr>
        <w:rPr>
          <w:sz w:val="24"/>
          <w:szCs w:val="24"/>
        </w:rPr>
      </w:pPr>
    </w:p>
    <w:p w:rsidR="00EE0DC7" w:rsidRPr="007C61BD" w:rsidRDefault="00EE0DC7" w:rsidP="009601E5">
      <w:pPr>
        <w:keepNext/>
        <w:ind w:left="851" w:hanging="851"/>
        <w:rPr>
          <w:b/>
          <w:sz w:val="24"/>
          <w:szCs w:val="24"/>
        </w:rPr>
      </w:pPr>
      <w:r w:rsidRPr="007C61BD">
        <w:rPr>
          <w:b/>
          <w:sz w:val="24"/>
          <w:szCs w:val="24"/>
        </w:rPr>
        <w:lastRenderedPageBreak/>
        <w:t>4.</w:t>
      </w:r>
      <w:r w:rsidRPr="007C61BD">
        <w:rPr>
          <w:b/>
          <w:sz w:val="24"/>
          <w:szCs w:val="24"/>
        </w:rPr>
        <w:tab/>
        <w:t>KLINISKE OPLYSNINGER</w:t>
      </w:r>
    </w:p>
    <w:p w:rsidR="00EE0DC7" w:rsidRPr="007C61BD" w:rsidRDefault="00EE0DC7" w:rsidP="009601E5">
      <w:pPr>
        <w:keepNext/>
        <w:ind w:left="851" w:hanging="851"/>
        <w:rPr>
          <w:b/>
          <w:sz w:val="24"/>
          <w:szCs w:val="24"/>
        </w:rPr>
      </w:pPr>
    </w:p>
    <w:p w:rsidR="00EE0DC7" w:rsidRPr="007C61BD" w:rsidRDefault="00EE0DC7" w:rsidP="00EE0DC7">
      <w:pPr>
        <w:ind w:left="851" w:hanging="851"/>
        <w:rPr>
          <w:b/>
          <w:sz w:val="24"/>
          <w:szCs w:val="24"/>
          <w:u w:val="single"/>
        </w:rPr>
      </w:pPr>
      <w:r w:rsidRPr="007C61BD">
        <w:rPr>
          <w:b/>
          <w:sz w:val="24"/>
          <w:szCs w:val="24"/>
        </w:rPr>
        <w:t>4.1</w:t>
      </w:r>
      <w:r w:rsidRPr="007C61BD">
        <w:rPr>
          <w:b/>
          <w:sz w:val="24"/>
          <w:szCs w:val="24"/>
        </w:rPr>
        <w:tab/>
        <w:t>Terapeutiske indikationer</w:t>
      </w:r>
    </w:p>
    <w:p w:rsidR="00EE0DC7" w:rsidRPr="007C61BD" w:rsidRDefault="00EE0DC7" w:rsidP="00EE0DC7">
      <w:pPr>
        <w:ind w:left="851" w:hanging="851"/>
        <w:rPr>
          <w:sz w:val="24"/>
          <w:szCs w:val="24"/>
        </w:rPr>
      </w:pPr>
      <w:r w:rsidRPr="007C61BD">
        <w:rPr>
          <w:sz w:val="24"/>
          <w:szCs w:val="24"/>
        </w:rPr>
        <w:tab/>
        <w:t>Voriconazol er et bredspektret triazol-antimykotikum, som er indiceret til følgende hos voksne samt børn over 2 år:</w:t>
      </w:r>
    </w:p>
    <w:p w:rsidR="00EE0DC7" w:rsidRPr="007C61BD" w:rsidRDefault="00EE0DC7" w:rsidP="00EE0DC7">
      <w:pPr>
        <w:ind w:left="851" w:hanging="851"/>
        <w:rPr>
          <w:sz w:val="24"/>
          <w:szCs w:val="24"/>
        </w:rPr>
      </w:pPr>
    </w:p>
    <w:p w:rsidR="00EE0DC7" w:rsidRPr="007C61BD" w:rsidRDefault="00EE0DC7" w:rsidP="00EE0DC7">
      <w:pPr>
        <w:numPr>
          <w:ilvl w:val="0"/>
          <w:numId w:val="9"/>
        </w:numPr>
        <w:tabs>
          <w:tab w:val="clear" w:pos="360"/>
        </w:tabs>
        <w:ind w:left="1276" w:hanging="425"/>
        <w:rPr>
          <w:sz w:val="24"/>
          <w:szCs w:val="24"/>
        </w:rPr>
      </w:pPr>
      <w:r w:rsidRPr="007C61BD">
        <w:rPr>
          <w:sz w:val="24"/>
          <w:szCs w:val="24"/>
        </w:rPr>
        <w:t>Behandling af invasiv aspergillose</w:t>
      </w:r>
    </w:p>
    <w:p w:rsidR="00EE0DC7" w:rsidRPr="007C61BD" w:rsidRDefault="00EE0DC7" w:rsidP="00EE0DC7">
      <w:pPr>
        <w:numPr>
          <w:ilvl w:val="0"/>
          <w:numId w:val="9"/>
        </w:numPr>
        <w:tabs>
          <w:tab w:val="clear" w:pos="360"/>
        </w:tabs>
        <w:ind w:left="1276" w:hanging="425"/>
        <w:rPr>
          <w:sz w:val="24"/>
          <w:szCs w:val="24"/>
        </w:rPr>
      </w:pPr>
      <w:r w:rsidRPr="007C61BD">
        <w:rPr>
          <w:sz w:val="24"/>
          <w:szCs w:val="24"/>
        </w:rPr>
        <w:t>Behandling af candidæmi hos non-neutropene patienter</w:t>
      </w:r>
    </w:p>
    <w:p w:rsidR="00EE0DC7" w:rsidRPr="007C61BD" w:rsidRDefault="00EE0DC7" w:rsidP="00EE0DC7">
      <w:pPr>
        <w:numPr>
          <w:ilvl w:val="0"/>
          <w:numId w:val="9"/>
        </w:numPr>
        <w:tabs>
          <w:tab w:val="clear" w:pos="360"/>
        </w:tabs>
        <w:ind w:left="1276" w:hanging="425"/>
        <w:rPr>
          <w:sz w:val="24"/>
          <w:szCs w:val="24"/>
        </w:rPr>
      </w:pPr>
      <w:r w:rsidRPr="007C61BD">
        <w:rPr>
          <w:sz w:val="24"/>
          <w:szCs w:val="24"/>
        </w:rPr>
        <w:t xml:space="preserve">Behandling af fluconazol-resistente alvorlige invasive </w:t>
      </w:r>
      <w:r w:rsidRPr="007C61BD">
        <w:rPr>
          <w:i/>
          <w:sz w:val="24"/>
          <w:szCs w:val="24"/>
        </w:rPr>
        <w:t>Candida</w:t>
      </w:r>
      <w:r w:rsidRPr="007C61BD">
        <w:rPr>
          <w:sz w:val="24"/>
          <w:szCs w:val="24"/>
        </w:rPr>
        <w:t xml:space="preserve">-infektioner (herunder </w:t>
      </w:r>
      <w:r w:rsidRPr="007C61BD">
        <w:rPr>
          <w:i/>
          <w:sz w:val="24"/>
          <w:szCs w:val="24"/>
        </w:rPr>
        <w:t>C. krusei</w:t>
      </w:r>
      <w:r w:rsidRPr="007C61BD">
        <w:rPr>
          <w:sz w:val="24"/>
          <w:szCs w:val="24"/>
        </w:rPr>
        <w:t xml:space="preserve">) </w:t>
      </w:r>
    </w:p>
    <w:p w:rsidR="00EE0DC7" w:rsidRPr="007C61BD" w:rsidRDefault="00EE0DC7" w:rsidP="00EE0DC7">
      <w:pPr>
        <w:numPr>
          <w:ilvl w:val="0"/>
          <w:numId w:val="9"/>
        </w:numPr>
        <w:tabs>
          <w:tab w:val="clear" w:pos="360"/>
        </w:tabs>
        <w:ind w:left="1276" w:hanging="425"/>
        <w:rPr>
          <w:sz w:val="24"/>
          <w:szCs w:val="24"/>
        </w:rPr>
      </w:pPr>
      <w:r w:rsidRPr="007C61BD">
        <w:rPr>
          <w:sz w:val="24"/>
          <w:szCs w:val="24"/>
        </w:rPr>
        <w:t xml:space="preserve">Behandling af alvorlige svampeinfektioner forårsaget af </w:t>
      </w:r>
      <w:r w:rsidRPr="007C61BD">
        <w:rPr>
          <w:i/>
          <w:sz w:val="24"/>
          <w:szCs w:val="24"/>
        </w:rPr>
        <w:t xml:space="preserve">Scedosporium </w:t>
      </w:r>
      <w:r w:rsidRPr="007C61BD">
        <w:rPr>
          <w:sz w:val="24"/>
          <w:szCs w:val="24"/>
        </w:rPr>
        <w:t xml:space="preserve">spp. og </w:t>
      </w:r>
      <w:r w:rsidRPr="007C61BD">
        <w:rPr>
          <w:i/>
          <w:sz w:val="24"/>
          <w:szCs w:val="24"/>
        </w:rPr>
        <w:t xml:space="preserve">Fusarium </w:t>
      </w:r>
      <w:r w:rsidRPr="007C61BD">
        <w:rPr>
          <w:sz w:val="24"/>
          <w:szCs w:val="24"/>
        </w:rPr>
        <w:t>spp.</w:t>
      </w:r>
    </w:p>
    <w:p w:rsidR="00EE0DC7" w:rsidRPr="007C61BD" w:rsidRDefault="00EE0DC7" w:rsidP="00EE0DC7">
      <w:pPr>
        <w:ind w:left="851" w:hanging="851"/>
        <w:rPr>
          <w:sz w:val="24"/>
          <w:szCs w:val="24"/>
        </w:rPr>
      </w:pPr>
    </w:p>
    <w:p w:rsidR="00EE0DC7" w:rsidRDefault="00EE0DC7" w:rsidP="00EE0DC7">
      <w:pPr>
        <w:ind w:left="851" w:hanging="851"/>
        <w:rPr>
          <w:sz w:val="24"/>
          <w:szCs w:val="24"/>
        </w:rPr>
      </w:pPr>
      <w:r>
        <w:rPr>
          <w:sz w:val="24"/>
          <w:szCs w:val="24"/>
        </w:rPr>
        <w:tab/>
      </w:r>
      <w:r w:rsidRPr="007C61BD">
        <w:rPr>
          <w:sz w:val="24"/>
          <w:szCs w:val="24"/>
        </w:rPr>
        <w:t xml:space="preserve">Voriconazole </w:t>
      </w:r>
      <w:r>
        <w:rPr>
          <w:sz w:val="24"/>
          <w:szCs w:val="24"/>
        </w:rPr>
        <w:t>”Sandoz”</w:t>
      </w:r>
      <w:r w:rsidRPr="007C61BD">
        <w:rPr>
          <w:sz w:val="24"/>
          <w:szCs w:val="24"/>
        </w:rPr>
        <w:t xml:space="preserve"> bør fortrinsvis gives til patienter med fremadskridende, muligt livstruende infektioner.</w:t>
      </w:r>
    </w:p>
    <w:p w:rsidR="00EE0DC7" w:rsidRDefault="00EE0DC7" w:rsidP="00EE0DC7">
      <w:pPr>
        <w:ind w:left="851"/>
        <w:rPr>
          <w:sz w:val="24"/>
          <w:szCs w:val="24"/>
        </w:rPr>
      </w:pPr>
    </w:p>
    <w:p w:rsidR="00EE0DC7" w:rsidRDefault="00EE0DC7" w:rsidP="00EE0DC7">
      <w:pPr>
        <w:ind w:left="851"/>
        <w:rPr>
          <w:sz w:val="24"/>
          <w:szCs w:val="24"/>
        </w:rPr>
      </w:pPr>
      <w:r>
        <w:rPr>
          <w:sz w:val="24"/>
          <w:szCs w:val="24"/>
        </w:rPr>
        <w:t>Profylakse af invasive svampeinfektioner hos højrisikopatienter, der har fået allogen hæmatopoietisk stamcelletransplantation [HSCT].</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4.2</w:t>
      </w:r>
      <w:r w:rsidRPr="007C61BD">
        <w:rPr>
          <w:b/>
          <w:sz w:val="24"/>
          <w:szCs w:val="24"/>
        </w:rPr>
        <w:tab/>
        <w:t xml:space="preserve">Dosering og </w:t>
      </w:r>
      <w:r w:rsidR="00C44E2D">
        <w:rPr>
          <w:b/>
          <w:sz w:val="24"/>
          <w:szCs w:val="24"/>
        </w:rPr>
        <w:t>administration</w:t>
      </w:r>
    </w:p>
    <w:p w:rsidR="00EE0DC7" w:rsidRPr="007C61BD" w:rsidRDefault="00EE0DC7" w:rsidP="00EE0DC7">
      <w:pPr>
        <w:ind w:left="851" w:hanging="851"/>
        <w:rPr>
          <w:sz w:val="24"/>
          <w:szCs w:val="24"/>
          <w:u w:val="single"/>
        </w:rPr>
      </w:pPr>
      <w:r w:rsidRPr="007C61BD">
        <w:rPr>
          <w:sz w:val="24"/>
          <w:szCs w:val="24"/>
        </w:rPr>
        <w:tab/>
      </w:r>
      <w:r w:rsidRPr="007C61BD">
        <w:rPr>
          <w:sz w:val="24"/>
          <w:szCs w:val="24"/>
          <w:u w:val="single"/>
        </w:rPr>
        <w:t>Dosering</w:t>
      </w:r>
    </w:p>
    <w:p w:rsidR="00EE0DC7" w:rsidRDefault="00EE0DC7" w:rsidP="00EE0DC7">
      <w:pPr>
        <w:ind w:left="851" w:hanging="851"/>
        <w:rPr>
          <w:sz w:val="24"/>
          <w:szCs w:val="24"/>
        </w:rPr>
      </w:pPr>
      <w:r>
        <w:rPr>
          <w:sz w:val="24"/>
          <w:szCs w:val="24"/>
        </w:rPr>
        <w:tab/>
        <w:t>Elektrolytforstyrrelser, såsom hypokaliæmi, hypomagnesiæmi og hypocalciæmi, bør monitoreres og om nødvendigt korrigeres, før voriconazolbehandling initieres samt under behandlingen (se pkt. 4.4).</w:t>
      </w:r>
    </w:p>
    <w:p w:rsidR="00EE0DC7" w:rsidRDefault="00EE0DC7" w:rsidP="00EE0DC7">
      <w:pPr>
        <w:ind w:left="851" w:hanging="851"/>
        <w:rPr>
          <w:sz w:val="24"/>
          <w:szCs w:val="24"/>
        </w:rPr>
      </w:pPr>
    </w:p>
    <w:p w:rsidR="00EE0DC7" w:rsidRDefault="00EE0DC7" w:rsidP="00EE0DC7">
      <w:pPr>
        <w:ind w:left="851" w:hanging="851"/>
        <w:rPr>
          <w:sz w:val="24"/>
          <w:szCs w:val="24"/>
        </w:rPr>
      </w:pPr>
      <w:r>
        <w:rPr>
          <w:sz w:val="24"/>
          <w:szCs w:val="24"/>
        </w:rPr>
        <w:tab/>
        <w:t>Voriconazole ”Sandoz” findes også som 50 mg og 200 mg filmovertrukne tabletter. Voriconazol findes også som 200 mg pulver til infusionsvæske, opløsning eller som 40 mg/ml pulver til oral suspension, dog ikke med dette handelsnavn.</w:t>
      </w:r>
    </w:p>
    <w:p w:rsidR="00EE0DC7" w:rsidRDefault="00EE0DC7" w:rsidP="00EE0DC7">
      <w:pPr>
        <w:ind w:left="851" w:hanging="851"/>
        <w:rPr>
          <w:sz w:val="24"/>
          <w:szCs w:val="24"/>
        </w:rPr>
      </w:pPr>
    </w:p>
    <w:p w:rsidR="00EE0DC7" w:rsidRDefault="00EE0DC7" w:rsidP="00EE0DC7">
      <w:pPr>
        <w:ind w:left="851" w:hanging="851"/>
        <w:rPr>
          <w:sz w:val="24"/>
          <w:szCs w:val="24"/>
          <w:u w:val="single"/>
        </w:rPr>
      </w:pPr>
      <w:r>
        <w:rPr>
          <w:i/>
          <w:sz w:val="24"/>
          <w:szCs w:val="24"/>
        </w:rPr>
        <w:tab/>
      </w:r>
      <w:r>
        <w:rPr>
          <w:sz w:val="24"/>
          <w:szCs w:val="24"/>
          <w:u w:val="single"/>
        </w:rPr>
        <w:t>Behandling</w:t>
      </w:r>
    </w:p>
    <w:p w:rsidR="00EE0DC7" w:rsidRDefault="00EE0DC7" w:rsidP="00EE0DC7">
      <w:pPr>
        <w:ind w:left="851"/>
        <w:rPr>
          <w:i/>
          <w:sz w:val="24"/>
          <w:szCs w:val="24"/>
        </w:rPr>
      </w:pPr>
      <w:r>
        <w:rPr>
          <w:i/>
          <w:sz w:val="24"/>
          <w:szCs w:val="24"/>
        </w:rPr>
        <w:t>Voksne</w:t>
      </w:r>
    </w:p>
    <w:p w:rsidR="00EE0DC7" w:rsidRDefault="00EE0DC7" w:rsidP="00EE0DC7">
      <w:pPr>
        <w:ind w:left="851"/>
        <w:rPr>
          <w:sz w:val="24"/>
          <w:szCs w:val="24"/>
        </w:rPr>
      </w:pPr>
      <w:r>
        <w:rPr>
          <w:sz w:val="24"/>
          <w:szCs w:val="24"/>
        </w:rPr>
        <w:t>Behandling skal initieres med den specifikke startdosis af enten intravenøs eller oral Voriconazole ”Sandoz” for at opnå plasmakoncentrationer tæt på steady state på dag 1. På grund af den høje orale biotilgængelighed (96 %; se pkt. 5.2) kan man skifte mellem intravenøs og oral administration, når det er klinisk indiceret.</w:t>
      </w:r>
    </w:p>
    <w:p w:rsidR="00EE0DC7" w:rsidRPr="007C61BD" w:rsidRDefault="00EE0DC7" w:rsidP="00EE0DC7">
      <w:pPr>
        <w:ind w:left="851" w:hanging="851"/>
        <w:rPr>
          <w:sz w:val="24"/>
          <w:szCs w:val="24"/>
        </w:rPr>
      </w:pPr>
    </w:p>
    <w:p w:rsidR="00EE0DC7" w:rsidRPr="007C61BD" w:rsidRDefault="00EE0DC7" w:rsidP="00EE0DC7">
      <w:pPr>
        <w:ind w:left="851" w:hanging="851"/>
        <w:rPr>
          <w:sz w:val="24"/>
          <w:szCs w:val="24"/>
        </w:rPr>
      </w:pPr>
      <w:r>
        <w:rPr>
          <w:sz w:val="24"/>
          <w:szCs w:val="24"/>
        </w:rPr>
        <w:tab/>
      </w:r>
      <w:r w:rsidRPr="007C61BD">
        <w:rPr>
          <w:sz w:val="24"/>
          <w:szCs w:val="24"/>
        </w:rPr>
        <w:t>Detaljeret information om dosisanbefalinger ses i følgende skema:</w:t>
      </w:r>
    </w:p>
    <w:p w:rsidR="00EE0DC7" w:rsidRPr="007C61BD" w:rsidRDefault="00EE0DC7" w:rsidP="00EE0DC7">
      <w:pPr>
        <w:ind w:left="851" w:hanging="851"/>
        <w:rPr>
          <w:sz w:val="24"/>
          <w:szCs w:val="24"/>
        </w:rPr>
      </w:pPr>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2239"/>
        <w:gridCol w:w="2231"/>
        <w:gridCol w:w="1990"/>
      </w:tblGrid>
      <w:tr w:rsidR="00EE0DC7" w:rsidRPr="007C61BD" w:rsidTr="00E67E76">
        <w:tc>
          <w:tcPr>
            <w:tcW w:w="1151" w:type="pct"/>
            <w:vMerge w:val="restart"/>
            <w:tcBorders>
              <w:top w:val="single" w:sz="4" w:space="0" w:color="auto"/>
              <w:left w:val="single" w:sz="4" w:space="0" w:color="auto"/>
              <w:bottom w:val="single" w:sz="4" w:space="0" w:color="auto"/>
              <w:right w:val="single" w:sz="4" w:space="0" w:color="auto"/>
            </w:tcBorders>
            <w:shd w:val="clear" w:color="auto" w:fill="F2F2F2"/>
          </w:tcPr>
          <w:p w:rsidR="00EE0DC7" w:rsidRPr="007C61BD" w:rsidRDefault="00EE0DC7" w:rsidP="00E67E76">
            <w:pPr>
              <w:rPr>
                <w:sz w:val="24"/>
                <w:szCs w:val="24"/>
              </w:rPr>
            </w:pPr>
          </w:p>
        </w:tc>
        <w:tc>
          <w:tcPr>
            <w:tcW w:w="1334" w:type="pct"/>
            <w:vMerge w:val="restart"/>
            <w:tcBorders>
              <w:top w:val="single" w:sz="4" w:space="0" w:color="auto"/>
              <w:left w:val="single" w:sz="4" w:space="0" w:color="auto"/>
              <w:bottom w:val="single" w:sz="4" w:space="0" w:color="auto"/>
              <w:right w:val="single" w:sz="4" w:space="0" w:color="auto"/>
            </w:tcBorders>
            <w:shd w:val="clear" w:color="auto" w:fill="F2F2F2"/>
            <w:hideMark/>
          </w:tcPr>
          <w:p w:rsidR="00EE0DC7" w:rsidRPr="007C61BD" w:rsidRDefault="00EE0DC7" w:rsidP="00E67E76">
            <w:pPr>
              <w:rPr>
                <w:sz w:val="24"/>
                <w:szCs w:val="24"/>
              </w:rPr>
            </w:pPr>
            <w:r w:rsidRPr="007C61BD">
              <w:rPr>
                <w:b/>
                <w:sz w:val="24"/>
                <w:szCs w:val="24"/>
              </w:rPr>
              <w:t>Intravenøst</w:t>
            </w:r>
          </w:p>
        </w:tc>
        <w:tc>
          <w:tcPr>
            <w:tcW w:w="2515" w:type="pct"/>
            <w:gridSpan w:val="2"/>
            <w:tcBorders>
              <w:top w:val="single" w:sz="4" w:space="0" w:color="auto"/>
              <w:left w:val="single" w:sz="4" w:space="0" w:color="auto"/>
              <w:bottom w:val="single" w:sz="4" w:space="0" w:color="auto"/>
              <w:right w:val="single" w:sz="4" w:space="0" w:color="auto"/>
            </w:tcBorders>
            <w:shd w:val="clear" w:color="auto" w:fill="F2F2F2"/>
            <w:hideMark/>
          </w:tcPr>
          <w:p w:rsidR="00EE0DC7" w:rsidRPr="007C61BD" w:rsidRDefault="00EE0DC7" w:rsidP="00E67E76">
            <w:pPr>
              <w:rPr>
                <w:sz w:val="24"/>
                <w:szCs w:val="24"/>
              </w:rPr>
            </w:pPr>
            <w:r w:rsidRPr="007C61BD">
              <w:rPr>
                <w:b/>
                <w:sz w:val="24"/>
                <w:szCs w:val="24"/>
              </w:rPr>
              <w:t>Oralt</w:t>
            </w:r>
          </w:p>
        </w:tc>
      </w:tr>
      <w:tr w:rsidR="00EE0DC7" w:rsidRPr="007C61BD" w:rsidTr="00E67E76">
        <w:tc>
          <w:tcPr>
            <w:tcW w:w="1151" w:type="pct"/>
            <w:vMerge/>
            <w:tcBorders>
              <w:top w:val="single" w:sz="4" w:space="0" w:color="auto"/>
              <w:left w:val="single" w:sz="4" w:space="0" w:color="auto"/>
              <w:bottom w:val="single" w:sz="4" w:space="0" w:color="auto"/>
              <w:right w:val="single" w:sz="4" w:space="0" w:color="auto"/>
            </w:tcBorders>
            <w:vAlign w:val="center"/>
            <w:hideMark/>
          </w:tcPr>
          <w:p w:rsidR="00EE0DC7" w:rsidRPr="007C61BD" w:rsidRDefault="00EE0DC7" w:rsidP="00E67E76">
            <w:pPr>
              <w:rPr>
                <w:sz w:val="24"/>
                <w:szCs w:val="24"/>
              </w:rPr>
            </w:pPr>
          </w:p>
        </w:tc>
        <w:tc>
          <w:tcPr>
            <w:tcW w:w="1334" w:type="pct"/>
            <w:vMerge/>
            <w:tcBorders>
              <w:top w:val="single" w:sz="4" w:space="0" w:color="auto"/>
              <w:left w:val="single" w:sz="4" w:space="0" w:color="auto"/>
              <w:bottom w:val="single" w:sz="4" w:space="0" w:color="auto"/>
              <w:right w:val="single" w:sz="4" w:space="0" w:color="auto"/>
            </w:tcBorders>
            <w:vAlign w:val="center"/>
            <w:hideMark/>
          </w:tcPr>
          <w:p w:rsidR="00EE0DC7" w:rsidRPr="007C61BD" w:rsidRDefault="00EE0DC7" w:rsidP="00E67E76">
            <w:pPr>
              <w:rPr>
                <w:sz w:val="24"/>
                <w:szCs w:val="24"/>
              </w:rPr>
            </w:pPr>
          </w:p>
        </w:tc>
        <w:tc>
          <w:tcPr>
            <w:tcW w:w="1329" w:type="pct"/>
            <w:tcBorders>
              <w:top w:val="single" w:sz="4" w:space="0" w:color="auto"/>
              <w:left w:val="single" w:sz="4" w:space="0" w:color="auto"/>
              <w:bottom w:val="single" w:sz="4" w:space="0" w:color="auto"/>
              <w:right w:val="single" w:sz="4" w:space="0" w:color="auto"/>
            </w:tcBorders>
            <w:shd w:val="clear" w:color="auto" w:fill="F2F2F2"/>
            <w:hideMark/>
          </w:tcPr>
          <w:p w:rsidR="00EE0DC7" w:rsidRPr="007C61BD" w:rsidRDefault="00EE0DC7" w:rsidP="00E67E76">
            <w:pPr>
              <w:rPr>
                <w:sz w:val="24"/>
                <w:szCs w:val="24"/>
              </w:rPr>
            </w:pPr>
            <w:r w:rsidRPr="007C61BD">
              <w:rPr>
                <w:sz w:val="24"/>
                <w:szCs w:val="24"/>
              </w:rPr>
              <w:t>Patienter, der vejer 40 kg og derover</w:t>
            </w:r>
            <w:r>
              <w:rPr>
                <w:sz w:val="24"/>
                <w:szCs w:val="24"/>
              </w:rPr>
              <w:t>*</w:t>
            </w:r>
          </w:p>
        </w:tc>
        <w:tc>
          <w:tcPr>
            <w:tcW w:w="1186" w:type="pct"/>
            <w:tcBorders>
              <w:top w:val="single" w:sz="4" w:space="0" w:color="auto"/>
              <w:left w:val="single" w:sz="4" w:space="0" w:color="auto"/>
              <w:bottom w:val="single" w:sz="4" w:space="0" w:color="auto"/>
              <w:right w:val="single" w:sz="4" w:space="0" w:color="auto"/>
            </w:tcBorders>
            <w:shd w:val="clear" w:color="auto" w:fill="F2F2F2"/>
            <w:hideMark/>
          </w:tcPr>
          <w:p w:rsidR="00EE0DC7" w:rsidRDefault="00EE0DC7" w:rsidP="00E67E76">
            <w:pPr>
              <w:rPr>
                <w:sz w:val="24"/>
                <w:szCs w:val="24"/>
              </w:rPr>
            </w:pPr>
            <w:r w:rsidRPr="007C61BD">
              <w:rPr>
                <w:sz w:val="24"/>
                <w:szCs w:val="24"/>
              </w:rPr>
              <w:t xml:space="preserve">Patienter under </w:t>
            </w:r>
          </w:p>
          <w:p w:rsidR="00EE0DC7" w:rsidRPr="007C61BD" w:rsidRDefault="00EE0DC7" w:rsidP="00E67E76">
            <w:pPr>
              <w:rPr>
                <w:sz w:val="24"/>
                <w:szCs w:val="24"/>
              </w:rPr>
            </w:pPr>
            <w:r w:rsidRPr="007C61BD">
              <w:rPr>
                <w:sz w:val="24"/>
                <w:szCs w:val="24"/>
              </w:rPr>
              <w:t>40 kg*</w:t>
            </w:r>
          </w:p>
        </w:tc>
      </w:tr>
      <w:tr w:rsidR="00EE0DC7" w:rsidRPr="007C61BD" w:rsidTr="00E67E76">
        <w:trPr>
          <w:trHeight w:val="797"/>
        </w:trPr>
        <w:tc>
          <w:tcPr>
            <w:tcW w:w="1151"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sz w:val="24"/>
                <w:szCs w:val="24"/>
              </w:rPr>
              <w:t xml:space="preserve">Initialdosis  </w:t>
            </w:r>
          </w:p>
          <w:p w:rsidR="00EE0DC7" w:rsidRPr="007C61BD" w:rsidRDefault="00EE0DC7" w:rsidP="00E67E76">
            <w:pPr>
              <w:rPr>
                <w:sz w:val="24"/>
                <w:szCs w:val="24"/>
              </w:rPr>
            </w:pPr>
            <w:r w:rsidRPr="007C61BD">
              <w:rPr>
                <w:b/>
                <w:sz w:val="24"/>
                <w:szCs w:val="24"/>
              </w:rPr>
              <w:t>(i de første 24 timer)</w:t>
            </w:r>
          </w:p>
        </w:tc>
        <w:tc>
          <w:tcPr>
            <w:tcW w:w="1334" w:type="pct"/>
            <w:tcBorders>
              <w:top w:val="single" w:sz="4" w:space="0" w:color="auto"/>
              <w:left w:val="single" w:sz="4" w:space="0" w:color="auto"/>
              <w:bottom w:val="single" w:sz="4" w:space="0" w:color="auto"/>
              <w:right w:val="single" w:sz="4" w:space="0" w:color="auto"/>
            </w:tcBorders>
            <w:vAlign w:val="center"/>
            <w:hideMark/>
          </w:tcPr>
          <w:p w:rsidR="00EE0DC7" w:rsidRPr="007C61BD" w:rsidRDefault="00EE0DC7" w:rsidP="00E67E76">
            <w:pPr>
              <w:rPr>
                <w:sz w:val="24"/>
                <w:szCs w:val="24"/>
              </w:rPr>
            </w:pPr>
            <w:r w:rsidRPr="007C61BD">
              <w:rPr>
                <w:sz w:val="24"/>
                <w:szCs w:val="24"/>
              </w:rPr>
              <w:t>6 mg/kg</w:t>
            </w:r>
          </w:p>
          <w:p w:rsidR="00EE0DC7" w:rsidRPr="007C61BD" w:rsidRDefault="00EE0DC7" w:rsidP="00E67E76">
            <w:pPr>
              <w:rPr>
                <w:sz w:val="24"/>
                <w:szCs w:val="24"/>
              </w:rPr>
            </w:pPr>
            <w:r w:rsidRPr="007C61BD">
              <w:rPr>
                <w:sz w:val="24"/>
                <w:szCs w:val="24"/>
              </w:rPr>
              <w:t>hver 12. time</w:t>
            </w:r>
          </w:p>
        </w:tc>
        <w:tc>
          <w:tcPr>
            <w:tcW w:w="1329" w:type="pct"/>
            <w:tcBorders>
              <w:top w:val="single" w:sz="4" w:space="0" w:color="auto"/>
              <w:left w:val="single" w:sz="4" w:space="0" w:color="auto"/>
              <w:bottom w:val="single" w:sz="4" w:space="0" w:color="auto"/>
              <w:right w:val="single" w:sz="4" w:space="0" w:color="auto"/>
            </w:tcBorders>
            <w:vAlign w:val="center"/>
            <w:hideMark/>
          </w:tcPr>
          <w:p w:rsidR="00EE0DC7" w:rsidRPr="007C61BD" w:rsidRDefault="00EE0DC7" w:rsidP="00E67E76">
            <w:pPr>
              <w:rPr>
                <w:sz w:val="24"/>
                <w:szCs w:val="24"/>
              </w:rPr>
            </w:pPr>
            <w:r w:rsidRPr="007C61BD">
              <w:rPr>
                <w:sz w:val="24"/>
                <w:szCs w:val="24"/>
              </w:rPr>
              <w:t>400 mg</w:t>
            </w:r>
          </w:p>
          <w:p w:rsidR="00EE0DC7" w:rsidRPr="007C61BD" w:rsidRDefault="00EE0DC7" w:rsidP="00E67E76">
            <w:pPr>
              <w:rPr>
                <w:sz w:val="24"/>
                <w:szCs w:val="24"/>
              </w:rPr>
            </w:pPr>
            <w:r w:rsidRPr="007C61BD">
              <w:rPr>
                <w:sz w:val="24"/>
                <w:szCs w:val="24"/>
              </w:rPr>
              <w:t>hver 12. time</w:t>
            </w:r>
          </w:p>
        </w:tc>
        <w:tc>
          <w:tcPr>
            <w:tcW w:w="1186" w:type="pct"/>
            <w:tcBorders>
              <w:top w:val="single" w:sz="4" w:space="0" w:color="auto"/>
              <w:left w:val="single" w:sz="4" w:space="0" w:color="auto"/>
              <w:bottom w:val="single" w:sz="4" w:space="0" w:color="auto"/>
              <w:right w:val="single" w:sz="4" w:space="0" w:color="auto"/>
            </w:tcBorders>
            <w:vAlign w:val="center"/>
            <w:hideMark/>
          </w:tcPr>
          <w:p w:rsidR="00EE0DC7" w:rsidRPr="007C61BD" w:rsidRDefault="00EE0DC7" w:rsidP="00E67E76">
            <w:pPr>
              <w:rPr>
                <w:sz w:val="24"/>
                <w:szCs w:val="24"/>
              </w:rPr>
            </w:pPr>
            <w:r w:rsidRPr="007C61BD">
              <w:rPr>
                <w:sz w:val="24"/>
                <w:szCs w:val="24"/>
              </w:rPr>
              <w:t>200 mg</w:t>
            </w:r>
          </w:p>
          <w:p w:rsidR="00EE0DC7" w:rsidRPr="007C61BD" w:rsidRDefault="00EE0DC7" w:rsidP="00E67E76">
            <w:pPr>
              <w:rPr>
                <w:sz w:val="24"/>
                <w:szCs w:val="24"/>
              </w:rPr>
            </w:pPr>
            <w:r w:rsidRPr="007C61BD">
              <w:rPr>
                <w:sz w:val="24"/>
                <w:szCs w:val="24"/>
              </w:rPr>
              <w:t>hver 12. time</w:t>
            </w:r>
          </w:p>
        </w:tc>
      </w:tr>
      <w:tr w:rsidR="00EE0DC7" w:rsidRPr="007C61BD" w:rsidTr="00E67E76">
        <w:tc>
          <w:tcPr>
            <w:tcW w:w="1151"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b/>
                <w:sz w:val="24"/>
                <w:szCs w:val="24"/>
              </w:rPr>
            </w:pPr>
            <w:r w:rsidRPr="007C61BD">
              <w:rPr>
                <w:b/>
                <w:sz w:val="24"/>
                <w:szCs w:val="24"/>
              </w:rPr>
              <w:t>Vedligeholdelses-dosis</w:t>
            </w:r>
          </w:p>
          <w:p w:rsidR="00EE0DC7" w:rsidRPr="007C61BD" w:rsidRDefault="00EE0DC7" w:rsidP="00E67E76">
            <w:pPr>
              <w:rPr>
                <w:sz w:val="24"/>
                <w:szCs w:val="24"/>
              </w:rPr>
            </w:pPr>
            <w:r w:rsidRPr="007C61BD">
              <w:rPr>
                <w:b/>
                <w:sz w:val="24"/>
                <w:szCs w:val="24"/>
              </w:rPr>
              <w:t>(efter de første 24 timer)</w:t>
            </w:r>
          </w:p>
        </w:tc>
        <w:tc>
          <w:tcPr>
            <w:tcW w:w="1334" w:type="pct"/>
            <w:tcBorders>
              <w:top w:val="single" w:sz="4" w:space="0" w:color="auto"/>
              <w:left w:val="single" w:sz="4" w:space="0" w:color="auto"/>
              <w:bottom w:val="single" w:sz="4" w:space="0" w:color="auto"/>
              <w:right w:val="single" w:sz="4" w:space="0" w:color="auto"/>
            </w:tcBorders>
            <w:vAlign w:val="center"/>
            <w:hideMark/>
          </w:tcPr>
          <w:p w:rsidR="00EE0DC7" w:rsidRPr="007C61BD" w:rsidRDefault="00EE0DC7" w:rsidP="00E67E76">
            <w:pPr>
              <w:rPr>
                <w:sz w:val="24"/>
                <w:szCs w:val="24"/>
              </w:rPr>
            </w:pPr>
            <w:r w:rsidRPr="007C61BD">
              <w:rPr>
                <w:sz w:val="24"/>
                <w:szCs w:val="24"/>
              </w:rPr>
              <w:t xml:space="preserve">4 mg/kg </w:t>
            </w:r>
          </w:p>
          <w:p w:rsidR="00EE0DC7" w:rsidRPr="007C61BD" w:rsidRDefault="00EE0DC7" w:rsidP="00E67E76">
            <w:pPr>
              <w:rPr>
                <w:sz w:val="24"/>
                <w:szCs w:val="24"/>
              </w:rPr>
            </w:pPr>
            <w:r w:rsidRPr="007C61BD">
              <w:rPr>
                <w:sz w:val="24"/>
                <w:szCs w:val="24"/>
              </w:rPr>
              <w:t>to gange dagligt</w:t>
            </w:r>
          </w:p>
        </w:tc>
        <w:tc>
          <w:tcPr>
            <w:tcW w:w="1329" w:type="pct"/>
            <w:tcBorders>
              <w:top w:val="single" w:sz="4" w:space="0" w:color="auto"/>
              <w:left w:val="single" w:sz="4" w:space="0" w:color="auto"/>
              <w:bottom w:val="single" w:sz="4" w:space="0" w:color="auto"/>
              <w:right w:val="single" w:sz="4" w:space="0" w:color="auto"/>
            </w:tcBorders>
            <w:vAlign w:val="center"/>
            <w:hideMark/>
          </w:tcPr>
          <w:p w:rsidR="00EE0DC7" w:rsidRPr="007C61BD" w:rsidRDefault="00EE0DC7" w:rsidP="00E67E76">
            <w:pPr>
              <w:rPr>
                <w:sz w:val="24"/>
                <w:szCs w:val="24"/>
              </w:rPr>
            </w:pPr>
            <w:r w:rsidRPr="007C61BD">
              <w:rPr>
                <w:sz w:val="24"/>
                <w:szCs w:val="24"/>
              </w:rPr>
              <w:t xml:space="preserve">200 mg </w:t>
            </w:r>
          </w:p>
          <w:p w:rsidR="00EE0DC7" w:rsidRPr="007C61BD" w:rsidRDefault="00EE0DC7" w:rsidP="00E67E76">
            <w:pPr>
              <w:rPr>
                <w:sz w:val="24"/>
                <w:szCs w:val="24"/>
              </w:rPr>
            </w:pPr>
            <w:r w:rsidRPr="007C61BD">
              <w:rPr>
                <w:sz w:val="24"/>
                <w:szCs w:val="24"/>
              </w:rPr>
              <w:t>to gange dagligt</w:t>
            </w:r>
          </w:p>
        </w:tc>
        <w:tc>
          <w:tcPr>
            <w:tcW w:w="1186" w:type="pct"/>
            <w:tcBorders>
              <w:top w:val="single" w:sz="4" w:space="0" w:color="auto"/>
              <w:left w:val="single" w:sz="4" w:space="0" w:color="auto"/>
              <w:bottom w:val="single" w:sz="4" w:space="0" w:color="auto"/>
              <w:right w:val="single" w:sz="4" w:space="0" w:color="auto"/>
            </w:tcBorders>
            <w:vAlign w:val="center"/>
            <w:hideMark/>
          </w:tcPr>
          <w:p w:rsidR="00EE0DC7" w:rsidRPr="007C61BD" w:rsidRDefault="00EE0DC7" w:rsidP="00E67E76">
            <w:pPr>
              <w:rPr>
                <w:sz w:val="24"/>
                <w:szCs w:val="24"/>
              </w:rPr>
            </w:pPr>
            <w:r w:rsidRPr="007C61BD">
              <w:rPr>
                <w:sz w:val="24"/>
                <w:szCs w:val="24"/>
              </w:rPr>
              <w:t xml:space="preserve">100 mg </w:t>
            </w:r>
          </w:p>
          <w:p w:rsidR="00EE0DC7" w:rsidRPr="007C61BD" w:rsidRDefault="00EE0DC7" w:rsidP="00E67E76">
            <w:pPr>
              <w:rPr>
                <w:sz w:val="24"/>
                <w:szCs w:val="24"/>
              </w:rPr>
            </w:pPr>
            <w:r w:rsidRPr="007C61BD">
              <w:rPr>
                <w:sz w:val="24"/>
                <w:szCs w:val="24"/>
              </w:rPr>
              <w:t>to gange dagligt</w:t>
            </w:r>
          </w:p>
        </w:tc>
      </w:tr>
    </w:tbl>
    <w:p w:rsidR="00EE0DC7" w:rsidRPr="007C61BD" w:rsidRDefault="00EE0DC7" w:rsidP="00EE0DC7">
      <w:pPr>
        <w:ind w:left="851" w:hanging="851"/>
        <w:rPr>
          <w:sz w:val="24"/>
          <w:szCs w:val="24"/>
        </w:rPr>
      </w:pPr>
      <w:r>
        <w:rPr>
          <w:sz w:val="24"/>
          <w:szCs w:val="24"/>
        </w:rPr>
        <w:tab/>
      </w:r>
      <w:r w:rsidRPr="007C61BD">
        <w:rPr>
          <w:sz w:val="24"/>
          <w:szCs w:val="24"/>
        </w:rPr>
        <w:t xml:space="preserve">* </w:t>
      </w:r>
      <w:r>
        <w:rPr>
          <w:sz w:val="24"/>
          <w:szCs w:val="24"/>
        </w:rPr>
        <w:t>Dette gælder også patienter på 15 år og ældre.</w:t>
      </w:r>
    </w:p>
    <w:p w:rsidR="00EE0DC7" w:rsidRPr="007C61BD" w:rsidRDefault="00EE0DC7" w:rsidP="00EE0DC7">
      <w:pPr>
        <w:rPr>
          <w:sz w:val="24"/>
          <w:szCs w:val="24"/>
        </w:rPr>
      </w:pPr>
      <w:r>
        <w:rPr>
          <w:sz w:val="24"/>
          <w:szCs w:val="24"/>
        </w:rPr>
        <w:br w:type="page"/>
      </w:r>
    </w:p>
    <w:p w:rsidR="00EE0DC7" w:rsidRDefault="00EE0DC7" w:rsidP="00EE0DC7">
      <w:pPr>
        <w:ind w:left="851" w:hanging="851"/>
        <w:rPr>
          <w:i/>
          <w:sz w:val="24"/>
          <w:szCs w:val="24"/>
        </w:rPr>
      </w:pPr>
      <w:r w:rsidRPr="007C61BD">
        <w:rPr>
          <w:sz w:val="24"/>
          <w:szCs w:val="24"/>
        </w:rPr>
        <w:lastRenderedPageBreak/>
        <w:tab/>
      </w:r>
      <w:r>
        <w:rPr>
          <w:i/>
          <w:sz w:val="24"/>
          <w:szCs w:val="24"/>
        </w:rPr>
        <w:t>Behandlingsvarighed</w:t>
      </w:r>
    </w:p>
    <w:p w:rsidR="00EE0DC7" w:rsidRDefault="00EE0DC7" w:rsidP="00EE0DC7">
      <w:pPr>
        <w:ind w:left="851"/>
        <w:rPr>
          <w:sz w:val="24"/>
          <w:szCs w:val="24"/>
        </w:rPr>
      </w:pPr>
      <w:r>
        <w:rPr>
          <w:sz w:val="24"/>
          <w:szCs w:val="24"/>
        </w:rPr>
        <w:t>Behandlingen bør være så kortvarig som mulig afhængigt af patientens kliniske og mykologiske respons. Langvarig eksponering for voriconazol i mere end 180 dage (6 måneder) kræver nøje afvejning af fordele og risici (se pkt. 4.4 og 5.1).</w:t>
      </w:r>
    </w:p>
    <w:p w:rsidR="00EE0DC7" w:rsidRDefault="00EE0DC7" w:rsidP="00EE0DC7">
      <w:pPr>
        <w:ind w:left="851"/>
        <w:rPr>
          <w:sz w:val="24"/>
          <w:szCs w:val="24"/>
        </w:rPr>
      </w:pPr>
    </w:p>
    <w:p w:rsidR="00EE0DC7" w:rsidRDefault="00EE0DC7" w:rsidP="00EE0DC7">
      <w:pPr>
        <w:ind w:left="851"/>
        <w:rPr>
          <w:i/>
          <w:sz w:val="24"/>
          <w:szCs w:val="24"/>
        </w:rPr>
      </w:pPr>
      <w:r>
        <w:rPr>
          <w:i/>
          <w:sz w:val="24"/>
          <w:szCs w:val="24"/>
        </w:rPr>
        <w:t>Dosisjustering (voksne)</w:t>
      </w:r>
    </w:p>
    <w:p w:rsidR="00EE0DC7" w:rsidRDefault="00EE0DC7" w:rsidP="00EE0DC7">
      <w:pPr>
        <w:ind w:left="851"/>
        <w:rPr>
          <w:sz w:val="24"/>
          <w:szCs w:val="24"/>
        </w:rPr>
      </w:pPr>
      <w:r>
        <w:rPr>
          <w:sz w:val="24"/>
          <w:szCs w:val="24"/>
        </w:rPr>
        <w:t>Hvis patientens respons på behandlingen er utilstrækkeligt, bør vedligeholdelsesdosis ved oral administration øges til 300 mg to gange dagligt. Hos patienter med en legemsvægt under 40 kg bør den orale dosis øges til 150 mg to gange dagligt.</w:t>
      </w:r>
    </w:p>
    <w:p w:rsidR="00EE0DC7" w:rsidRDefault="00EE0DC7" w:rsidP="00EE0DC7">
      <w:pPr>
        <w:ind w:left="851" w:hanging="851"/>
        <w:rPr>
          <w:sz w:val="24"/>
          <w:szCs w:val="24"/>
        </w:rPr>
      </w:pPr>
    </w:p>
    <w:p w:rsidR="00EE0DC7" w:rsidRDefault="00EE0DC7" w:rsidP="00EE0DC7">
      <w:pPr>
        <w:ind w:left="851" w:hanging="851"/>
        <w:rPr>
          <w:sz w:val="24"/>
          <w:szCs w:val="24"/>
        </w:rPr>
      </w:pPr>
      <w:r>
        <w:rPr>
          <w:sz w:val="24"/>
          <w:szCs w:val="24"/>
        </w:rPr>
        <w:tab/>
        <w:t>Hvis patienterne ikke kan tåle behandling med en højere dosis, reduceres den orale dosis med 50 mg ad gangen til en vedligeholdelsesdosis på 200 mg to gange dagligt (eller 100 mg to gange dagligt hos patienter med en legemsvægt under 40 kg).</w:t>
      </w:r>
    </w:p>
    <w:p w:rsidR="00EE0DC7" w:rsidRDefault="00EE0DC7" w:rsidP="00EE0DC7">
      <w:pPr>
        <w:ind w:left="851" w:hanging="851"/>
        <w:rPr>
          <w:sz w:val="24"/>
          <w:szCs w:val="24"/>
        </w:rPr>
      </w:pPr>
    </w:p>
    <w:p w:rsidR="00EE0DC7" w:rsidRDefault="00EE0DC7" w:rsidP="00EE0DC7">
      <w:pPr>
        <w:ind w:left="851"/>
        <w:rPr>
          <w:sz w:val="24"/>
          <w:szCs w:val="24"/>
        </w:rPr>
      </w:pPr>
      <w:r>
        <w:rPr>
          <w:sz w:val="24"/>
          <w:szCs w:val="24"/>
        </w:rPr>
        <w:t>Profylaktisk brug: Se nedenfor.</w:t>
      </w:r>
    </w:p>
    <w:p w:rsidR="00EE0DC7" w:rsidRDefault="00EE0DC7" w:rsidP="00EE0DC7">
      <w:pPr>
        <w:rPr>
          <w:sz w:val="24"/>
          <w:szCs w:val="24"/>
        </w:rPr>
      </w:pPr>
    </w:p>
    <w:p w:rsidR="00EE0DC7" w:rsidRDefault="00EE0DC7" w:rsidP="00EE0DC7">
      <w:pPr>
        <w:ind w:left="851" w:hanging="851"/>
        <w:rPr>
          <w:i/>
          <w:sz w:val="24"/>
          <w:szCs w:val="24"/>
        </w:rPr>
      </w:pPr>
      <w:r>
        <w:rPr>
          <w:i/>
          <w:sz w:val="24"/>
          <w:szCs w:val="24"/>
        </w:rPr>
        <w:tab/>
        <w:t>Børn (2 til &lt; 12 år) og unge med lav legemsvægt (12 til 14 år og &lt; 50 kg)</w:t>
      </w:r>
    </w:p>
    <w:p w:rsidR="00EE0DC7" w:rsidRDefault="00EE0DC7" w:rsidP="00EE0DC7">
      <w:pPr>
        <w:ind w:left="851"/>
        <w:rPr>
          <w:i/>
          <w:sz w:val="24"/>
          <w:szCs w:val="24"/>
        </w:rPr>
      </w:pPr>
      <w:r>
        <w:rPr>
          <w:color w:val="000000"/>
          <w:sz w:val="24"/>
          <w:szCs w:val="24"/>
        </w:rPr>
        <w:t>Der bør anvendes samme dosering af voriconazol hos disse unge som hos børn, da metaboliseringen af voriconazol kan være mere lig metaboliseringen hos børn end hos voksne.</w:t>
      </w:r>
    </w:p>
    <w:p w:rsidR="00EE0DC7" w:rsidRPr="007C61BD" w:rsidRDefault="00EE0DC7" w:rsidP="00EE0DC7">
      <w:pPr>
        <w:ind w:left="851" w:hanging="851"/>
        <w:rPr>
          <w:i/>
          <w:sz w:val="24"/>
          <w:szCs w:val="24"/>
        </w:rPr>
      </w:pPr>
    </w:p>
    <w:p w:rsidR="00EE0DC7" w:rsidRPr="007C61BD" w:rsidRDefault="00EE0DC7" w:rsidP="00EE0DC7">
      <w:pPr>
        <w:ind w:left="851" w:hanging="851"/>
        <w:rPr>
          <w:sz w:val="24"/>
          <w:szCs w:val="24"/>
        </w:rPr>
      </w:pPr>
      <w:r>
        <w:rPr>
          <w:sz w:val="24"/>
          <w:szCs w:val="24"/>
        </w:rPr>
        <w:tab/>
      </w:r>
      <w:r w:rsidRPr="007C61BD">
        <w:rPr>
          <w:sz w:val="24"/>
          <w:szCs w:val="24"/>
        </w:rPr>
        <w:t>Den anbefalede dosering er følgende:</w:t>
      </w:r>
    </w:p>
    <w:p w:rsidR="00EE0DC7" w:rsidRPr="007C61BD" w:rsidRDefault="00EE0DC7" w:rsidP="00EE0DC7">
      <w:pPr>
        <w:ind w:left="851" w:hanging="851"/>
        <w:rPr>
          <w:sz w:val="24"/>
          <w:szCs w:val="24"/>
        </w:rPr>
      </w:pPr>
    </w:p>
    <w:tbl>
      <w:tblPr>
        <w:tblW w:w="4388"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3138"/>
        <w:gridCol w:w="2895"/>
      </w:tblGrid>
      <w:tr w:rsidR="00EE0DC7" w:rsidRPr="007C61BD" w:rsidTr="00E67E76">
        <w:trPr>
          <w:trHeight w:val="167"/>
        </w:trPr>
        <w:tc>
          <w:tcPr>
            <w:tcW w:w="1398" w:type="pct"/>
            <w:tcBorders>
              <w:top w:val="single" w:sz="4" w:space="0" w:color="auto"/>
              <w:left w:val="single" w:sz="4" w:space="0" w:color="auto"/>
              <w:bottom w:val="single" w:sz="4" w:space="0" w:color="auto"/>
              <w:right w:val="single" w:sz="4" w:space="0" w:color="auto"/>
            </w:tcBorders>
            <w:shd w:val="clear" w:color="auto" w:fill="F2F2F2"/>
          </w:tcPr>
          <w:p w:rsidR="00EE0DC7" w:rsidRPr="007C61BD" w:rsidRDefault="00EE0DC7" w:rsidP="00E67E76">
            <w:pPr>
              <w:rPr>
                <w:sz w:val="24"/>
                <w:szCs w:val="24"/>
              </w:rPr>
            </w:pPr>
          </w:p>
        </w:tc>
        <w:tc>
          <w:tcPr>
            <w:tcW w:w="1873" w:type="pct"/>
            <w:tcBorders>
              <w:top w:val="single" w:sz="4" w:space="0" w:color="auto"/>
              <w:left w:val="single" w:sz="4" w:space="0" w:color="auto"/>
              <w:bottom w:val="single" w:sz="4" w:space="0" w:color="auto"/>
              <w:right w:val="single" w:sz="4" w:space="0" w:color="auto"/>
            </w:tcBorders>
            <w:shd w:val="clear" w:color="auto" w:fill="F2F2F2"/>
            <w:hideMark/>
          </w:tcPr>
          <w:p w:rsidR="00EE0DC7" w:rsidRPr="007C61BD" w:rsidRDefault="00EE0DC7" w:rsidP="00E67E76">
            <w:pPr>
              <w:rPr>
                <w:sz w:val="24"/>
                <w:szCs w:val="24"/>
              </w:rPr>
            </w:pPr>
            <w:r w:rsidRPr="007C61BD">
              <w:rPr>
                <w:b/>
                <w:sz w:val="24"/>
                <w:szCs w:val="24"/>
              </w:rPr>
              <w:t>Intravenøst</w:t>
            </w:r>
          </w:p>
        </w:tc>
        <w:tc>
          <w:tcPr>
            <w:tcW w:w="1729" w:type="pct"/>
            <w:tcBorders>
              <w:top w:val="single" w:sz="4" w:space="0" w:color="auto"/>
              <w:left w:val="single" w:sz="4" w:space="0" w:color="auto"/>
              <w:bottom w:val="single" w:sz="4" w:space="0" w:color="auto"/>
              <w:right w:val="single" w:sz="4" w:space="0" w:color="auto"/>
            </w:tcBorders>
            <w:shd w:val="clear" w:color="auto" w:fill="F2F2F2"/>
            <w:hideMark/>
          </w:tcPr>
          <w:p w:rsidR="00EE0DC7" w:rsidRPr="007C61BD" w:rsidRDefault="00EE0DC7" w:rsidP="00E67E76">
            <w:pPr>
              <w:rPr>
                <w:sz w:val="24"/>
                <w:szCs w:val="24"/>
              </w:rPr>
            </w:pPr>
            <w:r w:rsidRPr="007C61BD">
              <w:rPr>
                <w:b/>
                <w:sz w:val="24"/>
                <w:szCs w:val="24"/>
              </w:rPr>
              <w:t>Oralt</w:t>
            </w:r>
          </w:p>
        </w:tc>
      </w:tr>
      <w:tr w:rsidR="00EE0DC7" w:rsidRPr="007C61BD" w:rsidTr="00E67E76">
        <w:tc>
          <w:tcPr>
            <w:tcW w:w="1398"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b/>
                <w:sz w:val="24"/>
                <w:szCs w:val="24"/>
              </w:rPr>
            </w:pPr>
            <w:r w:rsidRPr="007C61BD">
              <w:rPr>
                <w:b/>
                <w:sz w:val="24"/>
                <w:szCs w:val="24"/>
              </w:rPr>
              <w:t xml:space="preserve">Initialdosis </w:t>
            </w:r>
          </w:p>
          <w:p w:rsidR="00EE0DC7" w:rsidRPr="007C61BD" w:rsidRDefault="00EE0DC7" w:rsidP="00E67E76">
            <w:pPr>
              <w:rPr>
                <w:sz w:val="24"/>
                <w:szCs w:val="24"/>
              </w:rPr>
            </w:pPr>
            <w:r w:rsidRPr="007C61BD">
              <w:rPr>
                <w:b/>
                <w:sz w:val="24"/>
                <w:szCs w:val="24"/>
              </w:rPr>
              <w:t>(første 24 timer)</w:t>
            </w:r>
          </w:p>
        </w:tc>
        <w:tc>
          <w:tcPr>
            <w:tcW w:w="1873"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sz w:val="24"/>
                <w:szCs w:val="24"/>
              </w:rPr>
              <w:t>9 mg/kg hver 12. time</w:t>
            </w:r>
          </w:p>
        </w:tc>
        <w:tc>
          <w:tcPr>
            <w:tcW w:w="1729"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sz w:val="24"/>
                <w:szCs w:val="24"/>
              </w:rPr>
              <w:t>Anbefales ikke</w:t>
            </w:r>
          </w:p>
        </w:tc>
      </w:tr>
      <w:tr w:rsidR="00EE0DC7" w:rsidRPr="007C61BD" w:rsidTr="00E67E76">
        <w:tc>
          <w:tcPr>
            <w:tcW w:w="1398"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b/>
                <w:sz w:val="24"/>
                <w:szCs w:val="24"/>
              </w:rPr>
            </w:pPr>
            <w:r w:rsidRPr="007C61BD">
              <w:rPr>
                <w:b/>
                <w:sz w:val="24"/>
                <w:szCs w:val="24"/>
              </w:rPr>
              <w:t>Vedligeholdelsesdosis</w:t>
            </w:r>
          </w:p>
          <w:p w:rsidR="00EE0DC7" w:rsidRPr="007C61BD" w:rsidRDefault="00EE0DC7" w:rsidP="00E67E76">
            <w:pPr>
              <w:rPr>
                <w:sz w:val="24"/>
                <w:szCs w:val="24"/>
              </w:rPr>
            </w:pPr>
            <w:r w:rsidRPr="007C61BD">
              <w:rPr>
                <w:b/>
                <w:sz w:val="24"/>
                <w:szCs w:val="24"/>
              </w:rPr>
              <w:t>(efter de første 24 timer)</w:t>
            </w:r>
          </w:p>
        </w:tc>
        <w:tc>
          <w:tcPr>
            <w:tcW w:w="1873"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sz w:val="24"/>
                <w:szCs w:val="24"/>
              </w:rPr>
              <w:t>8 mg/kg to gange dagligt</w:t>
            </w:r>
          </w:p>
        </w:tc>
        <w:tc>
          <w:tcPr>
            <w:tcW w:w="1729"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sz w:val="24"/>
                <w:szCs w:val="24"/>
              </w:rPr>
              <w:t>9 mg/kg to gange dagligt (maksimalt 350 mg to gange dagligt)</w:t>
            </w:r>
          </w:p>
        </w:tc>
      </w:tr>
    </w:tbl>
    <w:p w:rsidR="00EE0DC7" w:rsidRDefault="00EE0DC7" w:rsidP="00EE0DC7">
      <w:pPr>
        <w:ind w:left="851" w:hanging="851"/>
        <w:rPr>
          <w:sz w:val="24"/>
          <w:szCs w:val="24"/>
        </w:rPr>
      </w:pPr>
      <w:r>
        <w:rPr>
          <w:sz w:val="24"/>
          <w:szCs w:val="24"/>
        </w:rPr>
        <w:tab/>
      </w:r>
    </w:p>
    <w:p w:rsidR="00EE0DC7" w:rsidRPr="007C61BD" w:rsidRDefault="00EE0DC7" w:rsidP="00EE0DC7">
      <w:pPr>
        <w:ind w:left="851"/>
        <w:rPr>
          <w:sz w:val="24"/>
          <w:szCs w:val="24"/>
        </w:rPr>
      </w:pPr>
      <w:r w:rsidRPr="007C61BD">
        <w:rPr>
          <w:sz w:val="24"/>
          <w:szCs w:val="24"/>
        </w:rPr>
        <w:t>NB: Baseret på en farmakokinetisk populationsanalyse hos 112 immunkompromitterede pædiatriske patienter i alderen 2 til &lt; 12 år og 26 immunkompromitterede unge patienter i aldersgruppen 12 til &lt; 17 år.</w:t>
      </w:r>
    </w:p>
    <w:p w:rsidR="00EE0DC7" w:rsidRPr="007C61BD" w:rsidRDefault="00EE0DC7" w:rsidP="00EE0DC7">
      <w:pPr>
        <w:ind w:left="851" w:hanging="851"/>
        <w:rPr>
          <w:sz w:val="24"/>
          <w:szCs w:val="24"/>
        </w:rPr>
      </w:pPr>
    </w:p>
    <w:p w:rsidR="00EE0DC7" w:rsidRPr="007C61BD" w:rsidRDefault="00EE0DC7" w:rsidP="00EE0DC7">
      <w:pPr>
        <w:ind w:left="851" w:hanging="851"/>
        <w:rPr>
          <w:sz w:val="24"/>
          <w:szCs w:val="24"/>
        </w:rPr>
      </w:pPr>
      <w:r>
        <w:rPr>
          <w:sz w:val="24"/>
          <w:szCs w:val="24"/>
        </w:rPr>
        <w:tab/>
      </w:r>
      <w:r w:rsidRPr="007C61BD">
        <w:rPr>
          <w:sz w:val="24"/>
          <w:szCs w:val="24"/>
        </w:rPr>
        <w:t>Det anbefales, at behandling initieres med intravenøs behandling, og at oral behandling først overvejes efter signifikant klinisk bedring. Det bør bemærkes, at en dosis på 8 mg/kg intravenøst giver en voriconazoleksponering, der er ca. 2 gange højere end den, der ses ved 9 mg/kg oralt.</w:t>
      </w:r>
    </w:p>
    <w:p w:rsidR="00EE0DC7" w:rsidRPr="007C61BD" w:rsidRDefault="00EE0DC7" w:rsidP="00EE0DC7">
      <w:pPr>
        <w:ind w:left="851" w:hanging="851"/>
        <w:rPr>
          <w:sz w:val="24"/>
          <w:szCs w:val="24"/>
        </w:rPr>
      </w:pPr>
    </w:p>
    <w:p w:rsidR="00EE0DC7" w:rsidRDefault="00EE0DC7" w:rsidP="00EE0DC7">
      <w:pPr>
        <w:ind w:left="851" w:hanging="851"/>
        <w:rPr>
          <w:sz w:val="24"/>
          <w:szCs w:val="24"/>
        </w:rPr>
      </w:pPr>
      <w:r>
        <w:rPr>
          <w:sz w:val="24"/>
          <w:szCs w:val="24"/>
        </w:rPr>
        <w:tab/>
        <w:t>De anbefalede orale børnedoseringer er baseret på studier, hvor voriconazol blev givet som pulver til oral suspension. Bioækvivalens mellem pulver til oral suspension og tabletter er ikke undersøgt i en børnepopulation. Tages den formodede, begrænsede gastroenteriske transittid hos pædiatriske patienter i betragtning, kan absorptionen af tabletter være anderledes hos børn end hos voksne. Derfor anbefales det at bruge den orale suspension til børn i alderen 2 til &lt; 12 år.</w:t>
      </w:r>
    </w:p>
    <w:p w:rsidR="00EE0DC7" w:rsidRDefault="00EE0DC7" w:rsidP="00EE0DC7">
      <w:pPr>
        <w:ind w:left="851" w:hanging="851"/>
        <w:rPr>
          <w:sz w:val="24"/>
          <w:szCs w:val="24"/>
        </w:rPr>
      </w:pPr>
    </w:p>
    <w:p w:rsidR="00EE0DC7" w:rsidRDefault="00EE0DC7" w:rsidP="00EE0DC7">
      <w:pPr>
        <w:autoSpaceDE w:val="0"/>
        <w:autoSpaceDN w:val="0"/>
        <w:adjustRightInd w:val="0"/>
        <w:ind w:left="851"/>
        <w:rPr>
          <w:i/>
          <w:color w:val="000000"/>
          <w:sz w:val="24"/>
          <w:szCs w:val="24"/>
          <w:lang w:eastAsia="da-DK"/>
        </w:rPr>
      </w:pPr>
      <w:r>
        <w:rPr>
          <w:i/>
          <w:color w:val="000000"/>
          <w:sz w:val="24"/>
          <w:lang w:eastAsia="da-DK"/>
        </w:rPr>
        <w:t xml:space="preserve">Alle andre unge (12 til 14 år og ≥ 50 kg; 15 til 17 år uanset legemsvægt) </w:t>
      </w:r>
    </w:p>
    <w:p w:rsidR="00EE0DC7" w:rsidRDefault="00EE0DC7" w:rsidP="00EE0DC7">
      <w:pPr>
        <w:autoSpaceDE w:val="0"/>
        <w:autoSpaceDN w:val="0"/>
        <w:adjustRightInd w:val="0"/>
        <w:ind w:left="851"/>
        <w:rPr>
          <w:color w:val="000000"/>
          <w:sz w:val="24"/>
          <w:szCs w:val="24"/>
          <w:lang w:eastAsia="da-DK"/>
        </w:rPr>
      </w:pPr>
      <w:r>
        <w:rPr>
          <w:color w:val="000000"/>
          <w:sz w:val="24"/>
          <w:lang w:eastAsia="da-DK"/>
        </w:rPr>
        <w:t>Voriconazol bør doseres som hos voksne.</w:t>
      </w:r>
    </w:p>
    <w:p w:rsidR="00EE0DC7" w:rsidRDefault="00EE0DC7" w:rsidP="00EE0DC7">
      <w:pPr>
        <w:rPr>
          <w:sz w:val="24"/>
          <w:szCs w:val="24"/>
        </w:rPr>
      </w:pPr>
    </w:p>
    <w:p w:rsidR="00EE0DC7" w:rsidRDefault="00EE0DC7" w:rsidP="00EE0DC7">
      <w:pPr>
        <w:ind w:left="851" w:hanging="851"/>
        <w:rPr>
          <w:sz w:val="24"/>
          <w:szCs w:val="24"/>
        </w:rPr>
      </w:pPr>
      <w:r>
        <w:rPr>
          <w:sz w:val="24"/>
          <w:szCs w:val="24"/>
        </w:rPr>
        <w:tab/>
      </w:r>
    </w:p>
    <w:p w:rsidR="00EE0DC7" w:rsidRDefault="00EE0DC7" w:rsidP="00EE0DC7">
      <w:pPr>
        <w:ind w:left="851" w:hanging="851"/>
        <w:rPr>
          <w:sz w:val="24"/>
          <w:szCs w:val="24"/>
        </w:rPr>
      </w:pPr>
    </w:p>
    <w:p w:rsidR="00EE0DC7" w:rsidRDefault="00EE0DC7" w:rsidP="00EE0DC7">
      <w:pPr>
        <w:ind w:left="851"/>
        <w:rPr>
          <w:i/>
          <w:sz w:val="24"/>
          <w:szCs w:val="24"/>
          <w:u w:val="single"/>
        </w:rPr>
      </w:pPr>
      <w:r w:rsidRPr="00164D26">
        <w:rPr>
          <w:i/>
          <w:sz w:val="24"/>
          <w:szCs w:val="24"/>
        </w:rPr>
        <w:lastRenderedPageBreak/>
        <w:t>Dosisjustering</w:t>
      </w:r>
      <w:r>
        <w:rPr>
          <w:i/>
        </w:rPr>
        <w:t xml:space="preserve"> </w:t>
      </w:r>
      <w:r>
        <w:rPr>
          <w:i/>
          <w:color w:val="000000"/>
          <w:sz w:val="24"/>
          <w:szCs w:val="24"/>
        </w:rPr>
        <w:t>(Børn [2 til &lt; 12 år] og unge med lav legemsvægt [12 til 14 år og &lt; 50 kg])</w:t>
      </w:r>
    </w:p>
    <w:p w:rsidR="00EE0DC7" w:rsidRDefault="00EE0DC7" w:rsidP="00EE0DC7">
      <w:pPr>
        <w:ind w:left="851" w:hanging="851"/>
        <w:rPr>
          <w:sz w:val="24"/>
          <w:szCs w:val="24"/>
        </w:rPr>
      </w:pPr>
      <w:r>
        <w:rPr>
          <w:sz w:val="24"/>
          <w:szCs w:val="24"/>
        </w:rPr>
        <w:tab/>
        <w:t>Ved utilstrækkeligt patientrespons på behandlingen kan dosis øges i trin på 1 mg/kg (eller 50 mg/trin, hvis den maksimale orale dosis på 350 mg blev anvendt). Hvis patienten ikke tåler behandlingen, kan dosis reduceres i trin på 1 mg/kg (eller 50 mg/trin, hvis den maksimale orale dosis på 350 mg blev anvendt).</w:t>
      </w:r>
    </w:p>
    <w:p w:rsidR="00EE0DC7" w:rsidRDefault="00EE0DC7" w:rsidP="00EE0DC7">
      <w:pPr>
        <w:ind w:left="851" w:hanging="851"/>
        <w:rPr>
          <w:sz w:val="24"/>
          <w:szCs w:val="24"/>
        </w:rPr>
      </w:pPr>
    </w:p>
    <w:p w:rsidR="00EE0DC7" w:rsidRDefault="00EE0DC7" w:rsidP="00EE0DC7">
      <w:pPr>
        <w:ind w:left="851"/>
        <w:rPr>
          <w:sz w:val="24"/>
          <w:szCs w:val="24"/>
        </w:rPr>
      </w:pPr>
      <w:r>
        <w:rPr>
          <w:sz w:val="24"/>
          <w:szCs w:val="24"/>
        </w:rPr>
        <w:t>Der er ikke foretaget studier af brug hos pædiatriske patienter i alderen 2 til &lt; 12 år med nedsat lever- eller nyrefunktion (se pkt. 4.8 og 5.2).</w:t>
      </w:r>
    </w:p>
    <w:p w:rsidR="00EE0DC7" w:rsidRDefault="00EE0DC7" w:rsidP="00EE0DC7">
      <w:pPr>
        <w:ind w:left="851"/>
        <w:rPr>
          <w:sz w:val="24"/>
          <w:szCs w:val="24"/>
        </w:rPr>
      </w:pPr>
    </w:p>
    <w:p w:rsidR="00EE0DC7" w:rsidRDefault="00EE0DC7" w:rsidP="00EE0DC7">
      <w:pPr>
        <w:ind w:left="851"/>
        <w:rPr>
          <w:sz w:val="24"/>
          <w:szCs w:val="24"/>
          <w:u w:val="single"/>
        </w:rPr>
      </w:pPr>
      <w:r>
        <w:rPr>
          <w:sz w:val="24"/>
          <w:szCs w:val="24"/>
          <w:u w:val="single"/>
        </w:rPr>
        <w:t>Profylakse hos voksne og børn</w:t>
      </w:r>
    </w:p>
    <w:p w:rsidR="00EE0DC7" w:rsidRDefault="00EE0DC7" w:rsidP="00EE0DC7">
      <w:pPr>
        <w:ind w:left="851"/>
        <w:rPr>
          <w:sz w:val="24"/>
          <w:szCs w:val="24"/>
        </w:rPr>
      </w:pPr>
      <w:r>
        <w:rPr>
          <w:sz w:val="24"/>
          <w:szCs w:val="24"/>
        </w:rPr>
        <w:t>Profylaktisk behandling bør iværksættes på dagen for transplantationen og kan administreres i op til 100 dage.</w:t>
      </w:r>
    </w:p>
    <w:p w:rsidR="00EE0DC7" w:rsidRDefault="00EE0DC7" w:rsidP="00EE0DC7">
      <w:pPr>
        <w:ind w:left="851"/>
        <w:rPr>
          <w:sz w:val="24"/>
          <w:szCs w:val="24"/>
        </w:rPr>
      </w:pPr>
      <w:r>
        <w:rPr>
          <w:sz w:val="24"/>
          <w:szCs w:val="24"/>
        </w:rPr>
        <w:t xml:space="preserve">Profylaktisk behandling bør være så kortvarig som mulig med udgangspunkt i risikoen for udvikling af invasive svampeinfektioner (IFI), som defineret ved neutropeni eller immunosuppression. Den må kun fortsættes i op til 180 dage efter transplantationen i tilfælde af fortsat immunosuppression eller </w:t>
      </w:r>
      <w:r>
        <w:rPr>
          <w:i/>
          <w:sz w:val="24"/>
          <w:szCs w:val="24"/>
        </w:rPr>
        <w:t>graft versus host</w:t>
      </w:r>
      <w:r>
        <w:rPr>
          <w:sz w:val="24"/>
          <w:szCs w:val="24"/>
        </w:rPr>
        <w:t>-sygdom (GVHD) (se pkt. 5.1).</w:t>
      </w:r>
    </w:p>
    <w:p w:rsidR="00EE0DC7" w:rsidRDefault="00EE0DC7" w:rsidP="00EE0DC7">
      <w:pPr>
        <w:ind w:left="851"/>
        <w:rPr>
          <w:sz w:val="24"/>
          <w:szCs w:val="24"/>
        </w:rPr>
      </w:pPr>
    </w:p>
    <w:p w:rsidR="00EE0DC7" w:rsidRDefault="00EE0DC7" w:rsidP="00EE0DC7">
      <w:pPr>
        <w:ind w:left="851"/>
        <w:rPr>
          <w:i/>
          <w:sz w:val="24"/>
          <w:szCs w:val="24"/>
        </w:rPr>
      </w:pPr>
      <w:r>
        <w:rPr>
          <w:i/>
          <w:sz w:val="24"/>
          <w:szCs w:val="24"/>
        </w:rPr>
        <w:t>Dosering</w:t>
      </w:r>
    </w:p>
    <w:p w:rsidR="00EE0DC7" w:rsidRDefault="00EE0DC7" w:rsidP="00EE0DC7">
      <w:pPr>
        <w:ind w:left="851"/>
        <w:rPr>
          <w:sz w:val="24"/>
          <w:szCs w:val="24"/>
        </w:rPr>
      </w:pPr>
      <w:r>
        <w:rPr>
          <w:sz w:val="24"/>
          <w:szCs w:val="24"/>
        </w:rPr>
        <w:t>Der anbefales samme doseringsregime til profylakse som til behandling i de respektive aldersgrupper.</w:t>
      </w:r>
    </w:p>
    <w:p w:rsidR="00EE0DC7" w:rsidRDefault="00EE0DC7" w:rsidP="00EE0DC7">
      <w:pPr>
        <w:ind w:left="851"/>
        <w:rPr>
          <w:sz w:val="24"/>
          <w:szCs w:val="24"/>
        </w:rPr>
      </w:pPr>
      <w:r>
        <w:rPr>
          <w:sz w:val="24"/>
          <w:szCs w:val="24"/>
        </w:rPr>
        <w:t>Se venligst behandlingstabellerne ovenfor.</w:t>
      </w:r>
    </w:p>
    <w:p w:rsidR="00EE0DC7" w:rsidRDefault="00EE0DC7" w:rsidP="00EE0DC7">
      <w:pPr>
        <w:ind w:left="851"/>
        <w:rPr>
          <w:sz w:val="24"/>
          <w:szCs w:val="24"/>
        </w:rPr>
      </w:pPr>
    </w:p>
    <w:p w:rsidR="00EE0DC7" w:rsidRDefault="00EE0DC7" w:rsidP="00EE0DC7">
      <w:pPr>
        <w:ind w:left="851"/>
        <w:rPr>
          <w:i/>
          <w:sz w:val="24"/>
          <w:szCs w:val="24"/>
        </w:rPr>
      </w:pPr>
      <w:r>
        <w:rPr>
          <w:i/>
          <w:sz w:val="24"/>
          <w:szCs w:val="24"/>
        </w:rPr>
        <w:t>Varighed af profylaktisk behandling</w:t>
      </w:r>
    </w:p>
    <w:p w:rsidR="00EE0DC7" w:rsidRDefault="00EE0DC7" w:rsidP="00EE0DC7">
      <w:pPr>
        <w:ind w:left="851"/>
        <w:rPr>
          <w:sz w:val="24"/>
          <w:szCs w:val="24"/>
        </w:rPr>
      </w:pPr>
      <w:r>
        <w:rPr>
          <w:sz w:val="24"/>
          <w:szCs w:val="24"/>
        </w:rPr>
        <w:t>Der er ikke foretaget tilstrækkelige undersøgelser af sikkerheden og virkningen af brug af voriconazol i mere end 180 dage i kliniske forsøg.</w:t>
      </w:r>
    </w:p>
    <w:p w:rsidR="00EE0DC7" w:rsidRDefault="00EE0DC7" w:rsidP="00EE0DC7">
      <w:pPr>
        <w:ind w:left="851"/>
        <w:rPr>
          <w:sz w:val="24"/>
          <w:szCs w:val="24"/>
        </w:rPr>
      </w:pPr>
      <w:r>
        <w:rPr>
          <w:sz w:val="24"/>
          <w:szCs w:val="24"/>
        </w:rPr>
        <w:t>Profylaktisk brug af voriconazol i mere end 180 age (6 måneder) kræver nøje afvejning af fordele og risici (se pkt. 4.4 og 5.1).</w:t>
      </w:r>
    </w:p>
    <w:p w:rsidR="00EE0DC7" w:rsidRDefault="00EE0DC7" w:rsidP="00EE0DC7">
      <w:pPr>
        <w:ind w:left="851"/>
        <w:rPr>
          <w:sz w:val="24"/>
          <w:szCs w:val="24"/>
        </w:rPr>
      </w:pPr>
    </w:p>
    <w:p w:rsidR="00EE0DC7" w:rsidRDefault="00EE0DC7" w:rsidP="00EE0DC7">
      <w:pPr>
        <w:ind w:left="851"/>
        <w:rPr>
          <w:sz w:val="24"/>
          <w:szCs w:val="24"/>
          <w:u w:val="single"/>
        </w:rPr>
      </w:pPr>
      <w:r>
        <w:rPr>
          <w:sz w:val="24"/>
          <w:szCs w:val="24"/>
          <w:u w:val="single"/>
        </w:rPr>
        <w:t>Følgende vejledning gælder både behandling og profylakse</w:t>
      </w:r>
    </w:p>
    <w:p w:rsidR="00EE0DC7" w:rsidRDefault="00EE0DC7" w:rsidP="00EE0DC7">
      <w:pPr>
        <w:ind w:left="851"/>
        <w:rPr>
          <w:i/>
          <w:sz w:val="24"/>
          <w:szCs w:val="24"/>
        </w:rPr>
      </w:pPr>
      <w:r>
        <w:rPr>
          <w:i/>
          <w:sz w:val="24"/>
          <w:szCs w:val="24"/>
        </w:rPr>
        <w:t>Dosisjustering</w:t>
      </w:r>
    </w:p>
    <w:p w:rsidR="00EE0DC7" w:rsidRDefault="00EE0DC7" w:rsidP="00EE0DC7">
      <w:pPr>
        <w:ind w:left="851"/>
        <w:rPr>
          <w:i/>
          <w:sz w:val="24"/>
          <w:szCs w:val="24"/>
        </w:rPr>
      </w:pPr>
      <w:r>
        <w:rPr>
          <w:sz w:val="24"/>
          <w:szCs w:val="24"/>
        </w:rPr>
        <w:t>Ved profylaktisk brug frarådes det at justere dosis i tilfælde af manglende effekt eller forekomst af behandlingsrelaterede bivirkninger. I tilfælde af behandlingsrelaterede bivirkninger bør det overvejes at seponere voriconazol og anvende andre antimykotika</w:t>
      </w:r>
      <w:r w:rsidR="00D6284D">
        <w:rPr>
          <w:sz w:val="24"/>
          <w:szCs w:val="24"/>
        </w:rPr>
        <w:t xml:space="preserve"> (</w:t>
      </w:r>
      <w:r>
        <w:rPr>
          <w:sz w:val="24"/>
          <w:szCs w:val="24"/>
        </w:rPr>
        <w:t>se pkt. 4.4 og 4.8</w:t>
      </w:r>
      <w:r w:rsidR="00D6284D">
        <w:rPr>
          <w:sz w:val="24"/>
          <w:szCs w:val="24"/>
        </w:rPr>
        <w:t>)</w:t>
      </w:r>
      <w:r>
        <w:rPr>
          <w:sz w:val="24"/>
          <w:szCs w:val="24"/>
        </w:rPr>
        <w:t>.</w:t>
      </w:r>
    </w:p>
    <w:p w:rsidR="00EE0DC7" w:rsidRDefault="00EE0DC7" w:rsidP="00EE0DC7">
      <w:pPr>
        <w:ind w:left="851"/>
        <w:rPr>
          <w:i/>
          <w:sz w:val="24"/>
          <w:szCs w:val="24"/>
        </w:rPr>
      </w:pPr>
    </w:p>
    <w:p w:rsidR="00EE0DC7" w:rsidRDefault="00EE0DC7" w:rsidP="00EE0DC7">
      <w:pPr>
        <w:ind w:left="851"/>
        <w:rPr>
          <w:i/>
          <w:sz w:val="24"/>
          <w:szCs w:val="24"/>
        </w:rPr>
      </w:pPr>
      <w:r>
        <w:rPr>
          <w:i/>
          <w:sz w:val="24"/>
          <w:szCs w:val="24"/>
        </w:rPr>
        <w:t>Dosisjusteringer i tilfælde af samtidig administration af andre lægemidler</w:t>
      </w:r>
    </w:p>
    <w:p w:rsidR="00EE0DC7" w:rsidRDefault="00EE0DC7" w:rsidP="00EE0DC7">
      <w:pPr>
        <w:ind w:left="851"/>
        <w:rPr>
          <w:sz w:val="24"/>
          <w:szCs w:val="24"/>
        </w:rPr>
      </w:pPr>
      <w:r>
        <w:rPr>
          <w:sz w:val="24"/>
          <w:szCs w:val="24"/>
        </w:rPr>
        <w:t>Phenytoin kan administreres sammen med voriconazol, hvis vedligeholdelsesdosen af oral voriconazol øges fra 200 mg til 400 mg to gange dagligt (100 mg til 200 mg oralt to gange dagligt hos patienter, der vejer under 40 kg), se pkt. 4.4 og 4.5.</w:t>
      </w:r>
    </w:p>
    <w:p w:rsidR="00EE0DC7" w:rsidRDefault="00EE0DC7" w:rsidP="00EE0DC7">
      <w:pPr>
        <w:ind w:left="851"/>
        <w:rPr>
          <w:sz w:val="24"/>
          <w:szCs w:val="24"/>
        </w:rPr>
      </w:pPr>
    </w:p>
    <w:p w:rsidR="00EE0DC7" w:rsidRDefault="00EE0DC7" w:rsidP="00EE0DC7">
      <w:pPr>
        <w:ind w:left="851"/>
        <w:rPr>
          <w:sz w:val="24"/>
          <w:szCs w:val="24"/>
        </w:rPr>
      </w:pPr>
      <w:r>
        <w:rPr>
          <w:sz w:val="24"/>
          <w:szCs w:val="24"/>
        </w:rPr>
        <w:t>Samtidig brug af voriconazol og rifabutin bør så vidt muligt undgås. Hvis der er tvingende behov for denne kombination, kan vedligeholdelsesdosen af oral voriconazol øges fra 200 mg til 350 mg to gange dagligt (100 mg til 200 mg oralt to gange dagligt hos patienter, der vejer under 40 kg), se pkt. 4.4 og 4.5.</w:t>
      </w:r>
    </w:p>
    <w:p w:rsidR="00EE0DC7" w:rsidRDefault="00EE0DC7" w:rsidP="00EE0DC7">
      <w:pPr>
        <w:ind w:left="851"/>
        <w:rPr>
          <w:sz w:val="24"/>
          <w:szCs w:val="24"/>
        </w:rPr>
      </w:pPr>
    </w:p>
    <w:p w:rsidR="00EE0DC7" w:rsidRDefault="00EE0DC7" w:rsidP="00EE0DC7">
      <w:pPr>
        <w:ind w:left="851"/>
        <w:rPr>
          <w:sz w:val="24"/>
          <w:szCs w:val="24"/>
        </w:rPr>
      </w:pPr>
      <w:r>
        <w:rPr>
          <w:sz w:val="24"/>
          <w:szCs w:val="24"/>
        </w:rPr>
        <w:t>Efavirenz kan administreres sammen med voriconazol, hvis vedligeholdelsesdosen af voriconazol øges til 400 mg hver 12. time, og efavirenz-dosen reduceres med 50 %, dvs. til 300 mg én gang dagligt. Når behandlingen med voriconazol seponeres, bør den oprindelige dosis af efavirenz genoptages (se pkt. 4.4 og 4.5).</w:t>
      </w:r>
    </w:p>
    <w:p w:rsidR="00EE0DC7" w:rsidRDefault="00EE0DC7" w:rsidP="00EE0DC7">
      <w:pPr>
        <w:ind w:left="851"/>
        <w:rPr>
          <w:i/>
          <w:sz w:val="24"/>
          <w:szCs w:val="24"/>
        </w:rPr>
      </w:pPr>
    </w:p>
    <w:p w:rsidR="008F70D2" w:rsidRDefault="008F70D2" w:rsidP="008F70D2">
      <w:pPr>
        <w:ind w:left="851"/>
        <w:rPr>
          <w:i/>
          <w:sz w:val="24"/>
          <w:szCs w:val="24"/>
        </w:rPr>
      </w:pPr>
      <w:r>
        <w:rPr>
          <w:i/>
          <w:sz w:val="24"/>
          <w:szCs w:val="24"/>
        </w:rPr>
        <w:lastRenderedPageBreak/>
        <w:t>Ældre</w:t>
      </w:r>
    </w:p>
    <w:p w:rsidR="008F70D2" w:rsidRDefault="008F70D2" w:rsidP="008F70D2">
      <w:pPr>
        <w:ind w:left="851"/>
        <w:rPr>
          <w:sz w:val="24"/>
          <w:szCs w:val="24"/>
        </w:rPr>
      </w:pPr>
      <w:r>
        <w:rPr>
          <w:sz w:val="24"/>
          <w:szCs w:val="24"/>
        </w:rPr>
        <w:t>Det er ikke nødvendigt at justere dosis hos ældre patienter (se pkt. 5.2).</w:t>
      </w:r>
    </w:p>
    <w:p w:rsidR="008F70D2" w:rsidRDefault="008F70D2" w:rsidP="008F70D2">
      <w:pPr>
        <w:ind w:left="851"/>
        <w:rPr>
          <w:i/>
          <w:sz w:val="24"/>
          <w:szCs w:val="24"/>
        </w:rPr>
      </w:pPr>
    </w:p>
    <w:p w:rsidR="008F70D2" w:rsidRDefault="008F70D2" w:rsidP="008F70D2">
      <w:pPr>
        <w:ind w:left="851"/>
        <w:rPr>
          <w:i/>
          <w:sz w:val="24"/>
          <w:szCs w:val="24"/>
        </w:rPr>
      </w:pPr>
      <w:r>
        <w:rPr>
          <w:i/>
          <w:sz w:val="24"/>
          <w:szCs w:val="24"/>
        </w:rPr>
        <w:t>Nedsat nyrefunktion</w:t>
      </w:r>
    </w:p>
    <w:p w:rsidR="008F70D2" w:rsidRDefault="008F70D2" w:rsidP="008F70D2">
      <w:pPr>
        <w:ind w:left="851"/>
        <w:rPr>
          <w:sz w:val="24"/>
          <w:szCs w:val="24"/>
        </w:rPr>
      </w:pPr>
      <w:r>
        <w:rPr>
          <w:sz w:val="24"/>
          <w:szCs w:val="24"/>
        </w:rPr>
        <w:t>Nedsat nyrefunktion påvirker ikke farmakokinetikken af oralt administreret voriconazol. Det er derfor ikke nødvendigt at justere orale doser hos patienter med mild til svær nyreinsufficiens (se pkt. 5.2).</w:t>
      </w:r>
    </w:p>
    <w:p w:rsidR="008F70D2" w:rsidRDefault="008F70D2" w:rsidP="008F70D2">
      <w:pPr>
        <w:ind w:left="851"/>
        <w:rPr>
          <w:sz w:val="24"/>
          <w:szCs w:val="24"/>
        </w:rPr>
      </w:pPr>
    </w:p>
    <w:p w:rsidR="008F70D2" w:rsidRDefault="008F70D2" w:rsidP="008F70D2">
      <w:pPr>
        <w:ind w:left="851"/>
        <w:rPr>
          <w:sz w:val="24"/>
          <w:szCs w:val="24"/>
        </w:rPr>
      </w:pPr>
      <w:r>
        <w:rPr>
          <w:sz w:val="24"/>
          <w:szCs w:val="24"/>
        </w:rPr>
        <w:t>Voriconazol kan fjernes ved hæmodialyse med en clearance på 121 ml/min. En hæmodialysebehandling af 4 timers varighed fjerner ikke så store mængder voriconazol, at det er nødvendigt at justere dosis.</w:t>
      </w:r>
    </w:p>
    <w:p w:rsidR="008F70D2" w:rsidRDefault="008F70D2" w:rsidP="008F70D2">
      <w:pPr>
        <w:ind w:left="851"/>
        <w:rPr>
          <w:i/>
          <w:sz w:val="24"/>
          <w:szCs w:val="24"/>
        </w:rPr>
      </w:pPr>
    </w:p>
    <w:p w:rsidR="008F70D2" w:rsidRDefault="008F70D2" w:rsidP="008F70D2">
      <w:pPr>
        <w:ind w:left="851"/>
        <w:rPr>
          <w:i/>
          <w:sz w:val="24"/>
          <w:szCs w:val="24"/>
        </w:rPr>
      </w:pPr>
      <w:r>
        <w:rPr>
          <w:i/>
          <w:sz w:val="24"/>
          <w:szCs w:val="24"/>
        </w:rPr>
        <w:t>Nedsat leverfunktion</w:t>
      </w:r>
    </w:p>
    <w:p w:rsidR="008F70D2" w:rsidRDefault="008F70D2" w:rsidP="008F70D2">
      <w:pPr>
        <w:ind w:left="851"/>
        <w:rPr>
          <w:sz w:val="24"/>
          <w:szCs w:val="24"/>
        </w:rPr>
      </w:pPr>
      <w:r>
        <w:rPr>
          <w:sz w:val="24"/>
          <w:szCs w:val="24"/>
        </w:rPr>
        <w:t>Hos patienter med mild til moderat levercirrose (Child-Pugh A og B) anbefales det at anvende de normale støddoser, hvorimod vedligeholdelsesdosis bør halveres (se pkt. 5.2).</w:t>
      </w:r>
    </w:p>
    <w:p w:rsidR="008F70D2" w:rsidRDefault="008F70D2" w:rsidP="008F70D2">
      <w:pPr>
        <w:ind w:left="851"/>
        <w:rPr>
          <w:sz w:val="24"/>
          <w:szCs w:val="24"/>
        </w:rPr>
      </w:pPr>
    </w:p>
    <w:p w:rsidR="008F70D2" w:rsidRDefault="008F70D2" w:rsidP="008F70D2">
      <w:pPr>
        <w:ind w:left="851"/>
        <w:rPr>
          <w:sz w:val="24"/>
          <w:szCs w:val="24"/>
        </w:rPr>
      </w:pPr>
      <w:r>
        <w:rPr>
          <w:sz w:val="24"/>
          <w:szCs w:val="24"/>
        </w:rPr>
        <w:t>Voriconazole er ikke undersøgt hos patienter med svær kronisk levercirrose (Child-Pugh C).</w:t>
      </w:r>
    </w:p>
    <w:p w:rsidR="008F70D2" w:rsidRDefault="008F70D2" w:rsidP="008F70D2">
      <w:pPr>
        <w:ind w:left="851"/>
        <w:rPr>
          <w:sz w:val="24"/>
          <w:szCs w:val="24"/>
        </w:rPr>
      </w:pPr>
    </w:p>
    <w:p w:rsidR="008F70D2" w:rsidRDefault="008F70D2" w:rsidP="008F70D2">
      <w:pPr>
        <w:ind w:left="851"/>
        <w:rPr>
          <w:sz w:val="24"/>
          <w:szCs w:val="24"/>
        </w:rPr>
      </w:pPr>
      <w:r>
        <w:rPr>
          <w:sz w:val="24"/>
          <w:szCs w:val="24"/>
        </w:rPr>
        <w:t>Der er begrænsede data vedrørende sikkerheden af voriconazol hos patienter med abnorme leverfunktionsværdier (aspartattransaminase [ASAT], alanintransaminase [ALAT], basisk fosfatase [ALP] eller total bilirubin &gt; 5 gang den øvre normalgrænse).</w:t>
      </w:r>
    </w:p>
    <w:p w:rsidR="008F70D2" w:rsidRDefault="008F70D2" w:rsidP="008F70D2">
      <w:pPr>
        <w:ind w:left="851"/>
        <w:rPr>
          <w:sz w:val="24"/>
          <w:szCs w:val="24"/>
        </w:rPr>
      </w:pPr>
    </w:p>
    <w:p w:rsidR="008F70D2" w:rsidRDefault="008F70D2" w:rsidP="008F70D2">
      <w:pPr>
        <w:ind w:left="851"/>
        <w:rPr>
          <w:sz w:val="24"/>
          <w:szCs w:val="24"/>
        </w:rPr>
      </w:pPr>
      <w:r>
        <w:rPr>
          <w:sz w:val="24"/>
          <w:szCs w:val="24"/>
        </w:rPr>
        <w:t>Voriconazole er blevet forbundet med øgede leverfunktionsværdier og kliniske tegn på leverskade, såsom gulsot, og må kun anvendes hos patienter med svær leverinsufficiens, hvis fordelene opvejer den potentielle risiko. Patienter med svær leverinsufficiens skal monitoreres nøje for lægemiddeltoksicitet (se pkt. 4.8).</w:t>
      </w:r>
    </w:p>
    <w:p w:rsidR="00EE0DC7" w:rsidRDefault="00EE0DC7" w:rsidP="00EE0DC7">
      <w:pPr>
        <w:ind w:left="851"/>
        <w:rPr>
          <w:sz w:val="24"/>
          <w:szCs w:val="24"/>
        </w:rPr>
      </w:pPr>
    </w:p>
    <w:p w:rsidR="00EE0DC7" w:rsidRDefault="00EE0DC7" w:rsidP="00EE0DC7">
      <w:pPr>
        <w:ind w:left="851"/>
        <w:rPr>
          <w:i/>
          <w:sz w:val="24"/>
          <w:szCs w:val="24"/>
        </w:rPr>
      </w:pPr>
      <w:r>
        <w:rPr>
          <w:i/>
          <w:sz w:val="24"/>
          <w:szCs w:val="24"/>
        </w:rPr>
        <w:t>Pædiatrisk population</w:t>
      </w:r>
    </w:p>
    <w:p w:rsidR="00EE0DC7" w:rsidRDefault="00EE0DC7" w:rsidP="00EE0DC7">
      <w:pPr>
        <w:ind w:left="851"/>
        <w:rPr>
          <w:sz w:val="24"/>
          <w:szCs w:val="24"/>
        </w:rPr>
      </w:pPr>
      <w:r>
        <w:rPr>
          <w:sz w:val="24"/>
          <w:szCs w:val="24"/>
        </w:rPr>
        <w:t>Voriconazole ”Sandoz”' sikkerhed og virkning hos børn under 2 år er ikke klarlagt. De foreliggende data er beskrevet i pkt. 4.8 og 5.1, men der kan ikke gives nogen anbefalinger vedrørende dosering.</w:t>
      </w:r>
    </w:p>
    <w:p w:rsidR="00EE0DC7" w:rsidRDefault="00EE0DC7" w:rsidP="00EE0DC7">
      <w:pPr>
        <w:ind w:left="851"/>
        <w:rPr>
          <w:sz w:val="24"/>
          <w:szCs w:val="24"/>
        </w:rPr>
      </w:pPr>
    </w:p>
    <w:p w:rsidR="00EE0DC7" w:rsidRDefault="00EE0DC7" w:rsidP="00EE0DC7">
      <w:pPr>
        <w:ind w:left="851" w:hanging="851"/>
        <w:rPr>
          <w:sz w:val="24"/>
          <w:szCs w:val="24"/>
          <w:u w:val="single"/>
        </w:rPr>
      </w:pPr>
      <w:r>
        <w:rPr>
          <w:i/>
          <w:sz w:val="24"/>
          <w:szCs w:val="24"/>
        </w:rPr>
        <w:tab/>
      </w:r>
      <w:r>
        <w:rPr>
          <w:sz w:val="24"/>
          <w:szCs w:val="24"/>
          <w:u w:val="single"/>
        </w:rPr>
        <w:t>Administration</w:t>
      </w:r>
    </w:p>
    <w:p w:rsidR="00EE0DC7" w:rsidRDefault="00EE0DC7" w:rsidP="00EE0DC7">
      <w:pPr>
        <w:ind w:left="851" w:hanging="851"/>
        <w:rPr>
          <w:sz w:val="24"/>
          <w:szCs w:val="24"/>
        </w:rPr>
      </w:pPr>
      <w:r>
        <w:rPr>
          <w:sz w:val="24"/>
          <w:szCs w:val="24"/>
        </w:rPr>
        <w:tab/>
        <w:t>Voriconazole ”Sandoz” filmovertrukne tabletter skal tages mindst 1 time før eller 1 time efter et måltid.</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4.3</w:t>
      </w:r>
      <w:r w:rsidRPr="007C61BD">
        <w:rPr>
          <w:b/>
          <w:sz w:val="24"/>
          <w:szCs w:val="24"/>
        </w:rPr>
        <w:tab/>
        <w:t>Kontraindikationer</w:t>
      </w:r>
    </w:p>
    <w:p w:rsidR="008F70D2" w:rsidRPr="007C61BD" w:rsidRDefault="00EE0DC7" w:rsidP="008F70D2">
      <w:pPr>
        <w:ind w:left="851" w:hanging="851"/>
        <w:rPr>
          <w:sz w:val="24"/>
          <w:szCs w:val="24"/>
        </w:rPr>
      </w:pPr>
      <w:r w:rsidRPr="007C61BD">
        <w:rPr>
          <w:sz w:val="24"/>
          <w:szCs w:val="24"/>
        </w:rPr>
        <w:tab/>
      </w:r>
      <w:r w:rsidR="008F70D2" w:rsidRPr="007C61BD">
        <w:rPr>
          <w:sz w:val="24"/>
          <w:szCs w:val="24"/>
        </w:rPr>
        <w:t>Overfølsomhed over for det aktive stof eller over for et eller flere af hjælpestofferne anført i pkt. 6.1.</w:t>
      </w:r>
    </w:p>
    <w:p w:rsidR="008F70D2" w:rsidRPr="007C61BD" w:rsidRDefault="008F70D2" w:rsidP="008F70D2">
      <w:pPr>
        <w:ind w:left="851" w:hanging="851"/>
        <w:rPr>
          <w:sz w:val="24"/>
          <w:szCs w:val="24"/>
        </w:rPr>
      </w:pPr>
    </w:p>
    <w:p w:rsidR="008F70D2" w:rsidRPr="007C61BD" w:rsidRDefault="008F70D2" w:rsidP="008F70D2">
      <w:pPr>
        <w:ind w:left="851" w:hanging="851"/>
        <w:rPr>
          <w:sz w:val="24"/>
          <w:szCs w:val="24"/>
        </w:rPr>
      </w:pPr>
      <w:r>
        <w:rPr>
          <w:sz w:val="24"/>
          <w:szCs w:val="24"/>
        </w:rPr>
        <w:tab/>
      </w:r>
      <w:r w:rsidRPr="007C61BD">
        <w:rPr>
          <w:sz w:val="24"/>
          <w:szCs w:val="24"/>
        </w:rPr>
        <w:t>Samtidig administration af CYP3A4-substraterne terfenadin, astemizol, cisaprid, pimozid</w:t>
      </w:r>
      <w:r>
        <w:rPr>
          <w:sz w:val="24"/>
          <w:szCs w:val="24"/>
        </w:rPr>
        <w:t>,</w:t>
      </w:r>
      <w:r w:rsidRPr="007C61BD">
        <w:rPr>
          <w:sz w:val="24"/>
          <w:szCs w:val="24"/>
        </w:rPr>
        <w:t xml:space="preserve"> quinidin</w:t>
      </w:r>
      <w:r>
        <w:rPr>
          <w:sz w:val="24"/>
          <w:szCs w:val="24"/>
        </w:rPr>
        <w:t xml:space="preserve"> eller ivabradin</w:t>
      </w:r>
      <w:r w:rsidRPr="007C61BD">
        <w:rPr>
          <w:sz w:val="24"/>
          <w:szCs w:val="24"/>
        </w:rPr>
        <w:t>, da øgede plasmakoncentrationer af disse lægemidler kan medføre forlænget QTc og i sjældne tilfælde torsades de pointes</w:t>
      </w:r>
      <w:r w:rsidRPr="007C61BD">
        <w:rPr>
          <w:i/>
          <w:sz w:val="24"/>
          <w:szCs w:val="24"/>
        </w:rPr>
        <w:t xml:space="preserve"> </w:t>
      </w:r>
      <w:r w:rsidRPr="007C61BD">
        <w:rPr>
          <w:sz w:val="24"/>
          <w:szCs w:val="24"/>
        </w:rPr>
        <w:t>(se pkt. 4.5).</w:t>
      </w:r>
    </w:p>
    <w:p w:rsidR="008F70D2" w:rsidRPr="007C61BD" w:rsidRDefault="008F70D2" w:rsidP="008F70D2">
      <w:pPr>
        <w:ind w:left="851" w:hanging="851"/>
        <w:rPr>
          <w:sz w:val="24"/>
          <w:szCs w:val="24"/>
        </w:rPr>
      </w:pPr>
    </w:p>
    <w:p w:rsidR="008F70D2" w:rsidRPr="007C61BD" w:rsidRDefault="008F70D2" w:rsidP="008F70D2">
      <w:pPr>
        <w:ind w:left="851" w:hanging="851"/>
        <w:rPr>
          <w:sz w:val="24"/>
          <w:szCs w:val="24"/>
        </w:rPr>
      </w:pPr>
      <w:r>
        <w:rPr>
          <w:sz w:val="24"/>
          <w:szCs w:val="24"/>
        </w:rPr>
        <w:tab/>
      </w:r>
      <w:r w:rsidRPr="007C61BD">
        <w:rPr>
          <w:sz w:val="24"/>
          <w:szCs w:val="24"/>
        </w:rPr>
        <w:t>Samtidig administration af rifampicin, carbamazepin og phenobarbital, da disse lægemidler sandsynligvis reducerer plasmakoncentrationerne af voriconazol signifikant (se pkt. 4.5).</w:t>
      </w:r>
    </w:p>
    <w:p w:rsidR="008F70D2" w:rsidRPr="007C61BD" w:rsidRDefault="008F70D2" w:rsidP="008F70D2">
      <w:pPr>
        <w:ind w:left="851" w:hanging="851"/>
        <w:rPr>
          <w:sz w:val="24"/>
          <w:szCs w:val="24"/>
        </w:rPr>
      </w:pPr>
    </w:p>
    <w:p w:rsidR="008F70D2" w:rsidRPr="007C61BD" w:rsidRDefault="008F70D2" w:rsidP="008F70D2">
      <w:pPr>
        <w:ind w:left="851" w:hanging="851"/>
        <w:rPr>
          <w:sz w:val="24"/>
          <w:szCs w:val="24"/>
        </w:rPr>
      </w:pPr>
      <w:r>
        <w:rPr>
          <w:sz w:val="24"/>
          <w:szCs w:val="24"/>
        </w:rPr>
        <w:tab/>
        <w:t xml:space="preserve">Samtidig administration af standarddoser af voriconazol og efavirenz-doser på 400 mg eller højere én gang dagligt er kontraindiceret, da efavirenz i disse doser reducerer plasmakoncentrationen af voriconazol signifikant hos raske forsøgspersoner. Voriconazol </w:t>
      </w:r>
      <w:r>
        <w:rPr>
          <w:sz w:val="24"/>
          <w:szCs w:val="24"/>
        </w:rPr>
        <w:lastRenderedPageBreak/>
        <w:t>forårsager også signifikante stigninger i plasmakoncentrationen af efavirenz (se pkt. 4.5, for lavere doser se pkt. 4.4).</w:t>
      </w:r>
    </w:p>
    <w:p w:rsidR="008F70D2" w:rsidRPr="007C61BD" w:rsidRDefault="008F70D2" w:rsidP="008F70D2">
      <w:pPr>
        <w:ind w:left="851" w:hanging="851"/>
        <w:rPr>
          <w:sz w:val="24"/>
          <w:szCs w:val="24"/>
        </w:rPr>
      </w:pPr>
    </w:p>
    <w:p w:rsidR="008F70D2" w:rsidRPr="007C61BD" w:rsidRDefault="008F70D2" w:rsidP="008F70D2">
      <w:pPr>
        <w:ind w:left="851" w:hanging="851"/>
        <w:rPr>
          <w:sz w:val="24"/>
          <w:szCs w:val="24"/>
        </w:rPr>
      </w:pPr>
      <w:r>
        <w:rPr>
          <w:sz w:val="24"/>
          <w:szCs w:val="24"/>
        </w:rPr>
        <w:tab/>
      </w:r>
      <w:r w:rsidRPr="007C61BD">
        <w:rPr>
          <w:sz w:val="24"/>
          <w:szCs w:val="24"/>
        </w:rPr>
        <w:t>Samtidig administration af højdosis-ritonavir (400 mg og derover to gange dagligt), da ritonavir i denne dosis reducerer plasmakoncentrationen af voriconazol signifikant hos raske forsøgspersoner (se pkt. 4.5, for lavere doser se pkt. 4.4).</w:t>
      </w:r>
    </w:p>
    <w:p w:rsidR="008F70D2" w:rsidRPr="007C61BD" w:rsidRDefault="008F70D2" w:rsidP="008F70D2">
      <w:pPr>
        <w:ind w:left="851" w:hanging="851"/>
        <w:rPr>
          <w:sz w:val="24"/>
          <w:szCs w:val="24"/>
        </w:rPr>
      </w:pPr>
    </w:p>
    <w:p w:rsidR="008F70D2" w:rsidRPr="007C61BD" w:rsidRDefault="008F70D2" w:rsidP="008F70D2">
      <w:pPr>
        <w:ind w:left="851" w:hanging="851"/>
        <w:rPr>
          <w:sz w:val="24"/>
          <w:szCs w:val="24"/>
        </w:rPr>
      </w:pPr>
      <w:r>
        <w:rPr>
          <w:sz w:val="24"/>
          <w:szCs w:val="24"/>
        </w:rPr>
        <w:tab/>
      </w:r>
      <w:r w:rsidRPr="007C61BD">
        <w:rPr>
          <w:sz w:val="24"/>
          <w:szCs w:val="24"/>
        </w:rPr>
        <w:t>Samtidig administration af sekalealkaloider (ergotamin, dihydroergotamin), som er CYP3A4- substrater, da øgede plasmakoncentrationer af disse lægemidler kan medføre ergotisme (se pkt. 4.5).</w:t>
      </w:r>
    </w:p>
    <w:p w:rsidR="008F70D2" w:rsidRPr="007C61BD" w:rsidRDefault="008F70D2" w:rsidP="008F70D2">
      <w:pPr>
        <w:ind w:left="851" w:hanging="851"/>
        <w:rPr>
          <w:sz w:val="24"/>
          <w:szCs w:val="24"/>
        </w:rPr>
      </w:pPr>
    </w:p>
    <w:p w:rsidR="008F70D2" w:rsidRPr="007C61BD" w:rsidRDefault="008F70D2" w:rsidP="008F70D2">
      <w:pPr>
        <w:ind w:left="851" w:hanging="851"/>
        <w:rPr>
          <w:sz w:val="24"/>
          <w:szCs w:val="24"/>
        </w:rPr>
      </w:pPr>
      <w:r>
        <w:rPr>
          <w:sz w:val="24"/>
          <w:szCs w:val="24"/>
        </w:rPr>
        <w:tab/>
      </w:r>
      <w:r w:rsidRPr="007C61BD">
        <w:rPr>
          <w:sz w:val="24"/>
          <w:szCs w:val="24"/>
        </w:rPr>
        <w:t>Samtidig administration af sirolimus, da voriconazol sandsynligvis vil øge plasmakoncentrationer af sirolimus signifikant (se pkt. 4.5).</w:t>
      </w:r>
    </w:p>
    <w:p w:rsidR="008F70D2" w:rsidRPr="007C61BD" w:rsidRDefault="008F70D2" w:rsidP="008F70D2">
      <w:pPr>
        <w:ind w:left="851" w:hanging="851"/>
        <w:rPr>
          <w:sz w:val="24"/>
          <w:szCs w:val="24"/>
        </w:rPr>
      </w:pPr>
    </w:p>
    <w:p w:rsidR="00B973E4" w:rsidRDefault="008F70D2" w:rsidP="00B973E4">
      <w:pPr>
        <w:ind w:left="851" w:hanging="851"/>
        <w:rPr>
          <w:sz w:val="24"/>
          <w:szCs w:val="24"/>
        </w:rPr>
      </w:pPr>
      <w:r>
        <w:rPr>
          <w:sz w:val="24"/>
          <w:szCs w:val="24"/>
        </w:rPr>
        <w:tab/>
      </w:r>
      <w:r w:rsidR="00B973E4">
        <w:rPr>
          <w:sz w:val="24"/>
          <w:szCs w:val="24"/>
        </w:rPr>
        <w:t>Samtidig administration af voriconazol og naloxegol, et CYP3A4-substrat, eftersom øgede plasmakoncentrationer af naloxegol kan medføre opioidabstinenser (se pkt. 4.5).</w:t>
      </w:r>
    </w:p>
    <w:p w:rsidR="00B973E4" w:rsidRDefault="00B973E4" w:rsidP="00B973E4">
      <w:pPr>
        <w:ind w:left="851" w:hanging="851"/>
        <w:rPr>
          <w:sz w:val="24"/>
          <w:szCs w:val="24"/>
        </w:rPr>
      </w:pPr>
    </w:p>
    <w:p w:rsidR="00B973E4" w:rsidRDefault="00B973E4" w:rsidP="00B973E4">
      <w:pPr>
        <w:ind w:left="851"/>
        <w:rPr>
          <w:sz w:val="24"/>
          <w:szCs w:val="24"/>
        </w:rPr>
      </w:pPr>
      <w:r>
        <w:rPr>
          <w:sz w:val="24"/>
          <w:szCs w:val="24"/>
        </w:rPr>
        <w:t>Samtidig administration af voriconazol og tolvaptan, eftersom stærke CYP3A4-hæmmere, som f.eks. voriconazol, øger plasmakoncentrationen af tolvaptan signifikant (se pkt. 4.5).</w:t>
      </w:r>
    </w:p>
    <w:p w:rsidR="00B973E4" w:rsidRDefault="00B973E4" w:rsidP="00B973E4">
      <w:pPr>
        <w:ind w:left="851"/>
        <w:rPr>
          <w:sz w:val="24"/>
          <w:szCs w:val="24"/>
        </w:rPr>
      </w:pPr>
    </w:p>
    <w:p w:rsidR="00B973E4" w:rsidRDefault="00B973E4" w:rsidP="00B973E4">
      <w:pPr>
        <w:ind w:left="851"/>
        <w:rPr>
          <w:sz w:val="24"/>
          <w:szCs w:val="24"/>
        </w:rPr>
      </w:pPr>
      <w:r>
        <w:rPr>
          <w:sz w:val="24"/>
          <w:szCs w:val="24"/>
        </w:rPr>
        <w:t>Samtidig administration af voriconazol og lurasidon, eftersom signifikante stigninger i eksponeringen for lurasidon potentielt kan medføre alvorlige bivirkninger (se pkt. 4.5).</w:t>
      </w:r>
    </w:p>
    <w:p w:rsidR="008F70D2" w:rsidRDefault="008F70D2" w:rsidP="008F70D2">
      <w:pPr>
        <w:ind w:left="851" w:hanging="851"/>
        <w:rPr>
          <w:sz w:val="24"/>
          <w:szCs w:val="24"/>
        </w:rPr>
      </w:pPr>
    </w:p>
    <w:p w:rsidR="008F70D2" w:rsidRPr="007C61BD" w:rsidRDefault="008F70D2" w:rsidP="008F70D2">
      <w:pPr>
        <w:ind w:left="851" w:hanging="851"/>
        <w:rPr>
          <w:sz w:val="24"/>
          <w:szCs w:val="24"/>
        </w:rPr>
      </w:pPr>
      <w:r>
        <w:rPr>
          <w:sz w:val="24"/>
          <w:szCs w:val="24"/>
        </w:rPr>
        <w:tab/>
        <w:t>Samtidig administ</w:t>
      </w:r>
      <w:r w:rsidR="00B973E4">
        <w:rPr>
          <w:sz w:val="24"/>
          <w:szCs w:val="24"/>
        </w:rPr>
        <w:t>r</w:t>
      </w:r>
      <w:r>
        <w:rPr>
          <w:sz w:val="24"/>
          <w:szCs w:val="24"/>
        </w:rPr>
        <w:t>ation af venetoclax ved initiering og under dosistitreringsfasen med ventoclax, da voriconazol sandsynligvis vil øge plasmakoncentrationen af venetoclax signifikant og øge risikoen for tumorlysesyndrom (se pkt. 4.5).</w:t>
      </w:r>
    </w:p>
    <w:p w:rsidR="00EE0DC7" w:rsidRPr="007C61BD" w:rsidRDefault="00EE0DC7" w:rsidP="008F70D2">
      <w:pPr>
        <w:ind w:left="851" w:hanging="851"/>
        <w:rPr>
          <w:sz w:val="24"/>
          <w:szCs w:val="24"/>
        </w:rPr>
      </w:pPr>
    </w:p>
    <w:p w:rsidR="00EE0DC7" w:rsidRPr="007C61BD" w:rsidRDefault="00EE0DC7" w:rsidP="00EE0DC7">
      <w:pPr>
        <w:ind w:left="851" w:hanging="851"/>
        <w:rPr>
          <w:b/>
          <w:sz w:val="24"/>
          <w:szCs w:val="24"/>
        </w:rPr>
      </w:pPr>
      <w:r w:rsidRPr="007C61BD">
        <w:rPr>
          <w:b/>
          <w:sz w:val="24"/>
          <w:szCs w:val="24"/>
        </w:rPr>
        <w:t>4.4</w:t>
      </w:r>
      <w:r w:rsidRPr="007C61BD">
        <w:rPr>
          <w:b/>
          <w:sz w:val="24"/>
          <w:szCs w:val="24"/>
        </w:rPr>
        <w:tab/>
        <w:t>Særlige advarsler og forsigtighedsregler vedrørende brugen</w:t>
      </w:r>
    </w:p>
    <w:p w:rsidR="009601E5" w:rsidRDefault="00EE0DC7" w:rsidP="009601E5">
      <w:pPr>
        <w:ind w:left="851" w:hanging="851"/>
        <w:rPr>
          <w:sz w:val="24"/>
          <w:szCs w:val="24"/>
        </w:rPr>
      </w:pPr>
      <w:r w:rsidRPr="007C61BD">
        <w:rPr>
          <w:sz w:val="24"/>
          <w:szCs w:val="24"/>
        </w:rPr>
        <w:tab/>
      </w:r>
      <w:r w:rsidR="009601E5">
        <w:rPr>
          <w:sz w:val="24"/>
          <w:szCs w:val="24"/>
          <w:u w:val="single"/>
        </w:rPr>
        <w:t>Overfølsomhed</w:t>
      </w:r>
    </w:p>
    <w:p w:rsidR="009601E5" w:rsidRDefault="009601E5" w:rsidP="009601E5">
      <w:pPr>
        <w:ind w:left="851" w:hanging="851"/>
        <w:rPr>
          <w:sz w:val="24"/>
          <w:szCs w:val="24"/>
        </w:rPr>
      </w:pPr>
      <w:r>
        <w:rPr>
          <w:sz w:val="24"/>
          <w:szCs w:val="24"/>
        </w:rPr>
        <w:tab/>
        <w:t>Forsigtighed tilrådes, når Voriconazole ”Sandoz” gives til patienter, der er overfølsomme over for andre azoler (se også pkt. 4.8).</w:t>
      </w:r>
    </w:p>
    <w:p w:rsidR="009601E5" w:rsidRDefault="009601E5" w:rsidP="009601E5">
      <w:pPr>
        <w:ind w:left="851" w:hanging="851"/>
        <w:rPr>
          <w:sz w:val="24"/>
          <w:szCs w:val="24"/>
        </w:rPr>
      </w:pPr>
    </w:p>
    <w:p w:rsidR="009601E5" w:rsidRDefault="009601E5" w:rsidP="009601E5">
      <w:pPr>
        <w:ind w:left="851" w:hanging="851"/>
        <w:rPr>
          <w:sz w:val="24"/>
          <w:szCs w:val="24"/>
          <w:u w:val="single"/>
        </w:rPr>
      </w:pPr>
      <w:r>
        <w:rPr>
          <w:sz w:val="24"/>
          <w:szCs w:val="24"/>
        </w:rPr>
        <w:tab/>
      </w:r>
      <w:r>
        <w:rPr>
          <w:sz w:val="24"/>
          <w:szCs w:val="24"/>
          <w:u w:val="single"/>
        </w:rPr>
        <w:t>Kardiovaskulære forsigtighedsregler</w:t>
      </w:r>
    </w:p>
    <w:p w:rsidR="009601E5" w:rsidRDefault="009601E5" w:rsidP="009601E5">
      <w:pPr>
        <w:ind w:left="851" w:hanging="851"/>
        <w:rPr>
          <w:sz w:val="24"/>
          <w:szCs w:val="24"/>
        </w:rPr>
      </w:pPr>
      <w:r>
        <w:rPr>
          <w:sz w:val="24"/>
          <w:szCs w:val="24"/>
        </w:rPr>
        <w:tab/>
        <w:t xml:space="preserve">Voriconazol har været forbundet med forlængelse af QTc-intervallet. Hos patienter med risikofaktorer, som f.eks. kardiotoksisk kemoterapi i anamnesen, kardiomyopati, hypokaliæmi og samtidig administration af lægemidler, der kan have været medvirkende årsag, er der set sjældne tilfælde af </w:t>
      </w:r>
      <w:r>
        <w:rPr>
          <w:i/>
          <w:sz w:val="24"/>
          <w:szCs w:val="24"/>
        </w:rPr>
        <w:t xml:space="preserve">torsades de pointes, </w:t>
      </w:r>
      <w:r>
        <w:rPr>
          <w:sz w:val="24"/>
          <w:szCs w:val="24"/>
        </w:rPr>
        <w:t>hvis de er i behandling med voriconazol. Voriconazol bør indgives med forsigtighed hos patienter med potentielt proarytmiske tilstande, såsom</w:t>
      </w:r>
    </w:p>
    <w:p w:rsidR="009601E5" w:rsidRDefault="009601E5" w:rsidP="009601E5">
      <w:pPr>
        <w:ind w:left="851" w:hanging="851"/>
        <w:rPr>
          <w:sz w:val="24"/>
          <w:szCs w:val="24"/>
        </w:rPr>
      </w:pPr>
    </w:p>
    <w:p w:rsidR="009601E5" w:rsidRDefault="009601E5" w:rsidP="009601E5">
      <w:pPr>
        <w:numPr>
          <w:ilvl w:val="0"/>
          <w:numId w:val="14"/>
        </w:numPr>
        <w:ind w:left="1276" w:hanging="425"/>
        <w:rPr>
          <w:sz w:val="24"/>
          <w:szCs w:val="24"/>
        </w:rPr>
      </w:pPr>
      <w:r>
        <w:rPr>
          <w:sz w:val="24"/>
          <w:szCs w:val="24"/>
        </w:rPr>
        <w:t>Kongenital eller erhvervet QTc-forlængelse</w:t>
      </w:r>
    </w:p>
    <w:p w:rsidR="009601E5" w:rsidRDefault="009601E5" w:rsidP="009601E5">
      <w:pPr>
        <w:numPr>
          <w:ilvl w:val="0"/>
          <w:numId w:val="14"/>
        </w:numPr>
        <w:ind w:left="1276" w:hanging="425"/>
        <w:rPr>
          <w:sz w:val="24"/>
          <w:szCs w:val="24"/>
        </w:rPr>
      </w:pPr>
      <w:r>
        <w:rPr>
          <w:sz w:val="24"/>
          <w:szCs w:val="24"/>
        </w:rPr>
        <w:t>Kardiomyopati, især hvis hjerteinsufficiens er til stede</w:t>
      </w:r>
    </w:p>
    <w:p w:rsidR="009601E5" w:rsidRDefault="009601E5" w:rsidP="009601E5">
      <w:pPr>
        <w:numPr>
          <w:ilvl w:val="0"/>
          <w:numId w:val="14"/>
        </w:numPr>
        <w:ind w:left="1276" w:hanging="425"/>
        <w:rPr>
          <w:sz w:val="24"/>
          <w:szCs w:val="24"/>
        </w:rPr>
      </w:pPr>
      <w:r>
        <w:rPr>
          <w:sz w:val="24"/>
          <w:szCs w:val="24"/>
        </w:rPr>
        <w:t>Sinusbradykardi</w:t>
      </w:r>
    </w:p>
    <w:p w:rsidR="009601E5" w:rsidRDefault="009601E5" w:rsidP="009601E5">
      <w:pPr>
        <w:numPr>
          <w:ilvl w:val="0"/>
          <w:numId w:val="14"/>
        </w:numPr>
        <w:ind w:left="1276" w:hanging="425"/>
        <w:rPr>
          <w:sz w:val="24"/>
          <w:szCs w:val="24"/>
        </w:rPr>
      </w:pPr>
      <w:r>
        <w:rPr>
          <w:sz w:val="24"/>
          <w:szCs w:val="24"/>
        </w:rPr>
        <w:t>Eksisterende symptomatiske arytmier</w:t>
      </w:r>
    </w:p>
    <w:p w:rsidR="009601E5" w:rsidRDefault="009601E5" w:rsidP="009601E5">
      <w:pPr>
        <w:numPr>
          <w:ilvl w:val="0"/>
          <w:numId w:val="14"/>
        </w:numPr>
        <w:ind w:left="1276" w:hanging="425"/>
        <w:rPr>
          <w:sz w:val="24"/>
          <w:szCs w:val="24"/>
        </w:rPr>
      </w:pPr>
      <w:r>
        <w:rPr>
          <w:sz w:val="24"/>
          <w:szCs w:val="24"/>
        </w:rPr>
        <w:t xml:space="preserve">Samtidig administration af medicin, der er kendt for at forlænge QTc-intervallet. Elektrolytforstyrrelser såsom hypokaliæmi, hypomagnesiæmi og hypocalciæmi bør monitoreres og om nødvendigt korrigeres, før voriconazolbehandling initieres og under behandlingen (se pkt. 4.2). Der er udført et studie hos raske frivillige forsøgspersoner, hvor effekten af voriconazol i enkeltdoser op til 4 gange den sædvanlige daglige dosis på QTc-intervallet blev undersøgt. Ingen forsøgspersoner </w:t>
      </w:r>
      <w:r>
        <w:rPr>
          <w:sz w:val="24"/>
          <w:szCs w:val="24"/>
        </w:rPr>
        <w:lastRenderedPageBreak/>
        <w:t>oplevede, at intervallet oversteg den potentielt klinisk relevante grænse på 500 msek. (se pkt. 5.1).</w:t>
      </w:r>
    </w:p>
    <w:p w:rsidR="009601E5" w:rsidRDefault="009601E5" w:rsidP="009601E5">
      <w:pPr>
        <w:ind w:left="851" w:hanging="851"/>
        <w:rPr>
          <w:sz w:val="24"/>
          <w:szCs w:val="24"/>
        </w:rPr>
      </w:pPr>
    </w:p>
    <w:p w:rsidR="009601E5" w:rsidRDefault="009601E5" w:rsidP="009601E5">
      <w:pPr>
        <w:ind w:left="851" w:hanging="851"/>
        <w:rPr>
          <w:sz w:val="24"/>
          <w:szCs w:val="24"/>
        </w:rPr>
      </w:pPr>
      <w:r>
        <w:rPr>
          <w:sz w:val="24"/>
          <w:szCs w:val="24"/>
        </w:rPr>
        <w:tab/>
      </w:r>
      <w:r>
        <w:rPr>
          <w:sz w:val="24"/>
          <w:szCs w:val="24"/>
          <w:u w:val="single"/>
        </w:rPr>
        <w:t>Levertoksicitet</w:t>
      </w:r>
    </w:p>
    <w:p w:rsidR="009601E5" w:rsidRDefault="009601E5" w:rsidP="009601E5">
      <w:pPr>
        <w:ind w:left="851" w:hanging="851"/>
        <w:rPr>
          <w:sz w:val="24"/>
          <w:szCs w:val="24"/>
        </w:rPr>
      </w:pPr>
      <w:r>
        <w:rPr>
          <w:sz w:val="24"/>
          <w:szCs w:val="24"/>
        </w:rPr>
        <w:tab/>
        <w:t>Der har i kliniske studier været sjældne tilfælde af alvorlige hepatiske reaktioner under behandling med voriconazol (herunder klinisk hepatitis, cholestasis og fulminant leversvigt, som førte til dødsfald). Hepatiske reaktioner opstod primært hos patienter med alvorlige tilgrundliggende sygdomme (først og fremmest malign hæmatologisk sygdom). Forbigående hepatiske reaktioner, herunder hepatitis og gulsot, er set blandt patienter uden andre erkendte risikofaktorer. Leverinsufficiens har som regel været reversibel ved seponering af behandling (se pkt. 4.8).</w:t>
      </w:r>
    </w:p>
    <w:p w:rsidR="009601E5" w:rsidRDefault="009601E5" w:rsidP="009601E5">
      <w:pPr>
        <w:ind w:left="851" w:hanging="851"/>
        <w:rPr>
          <w:sz w:val="24"/>
          <w:szCs w:val="24"/>
        </w:rPr>
      </w:pPr>
      <w:r>
        <w:rPr>
          <w:sz w:val="24"/>
          <w:szCs w:val="24"/>
        </w:rPr>
        <w:tab/>
      </w:r>
    </w:p>
    <w:p w:rsidR="009601E5" w:rsidRDefault="009601E5" w:rsidP="009601E5">
      <w:pPr>
        <w:ind w:left="851"/>
        <w:rPr>
          <w:sz w:val="24"/>
          <w:szCs w:val="24"/>
        </w:rPr>
      </w:pPr>
      <w:r>
        <w:rPr>
          <w:sz w:val="24"/>
          <w:szCs w:val="24"/>
          <w:u w:val="single"/>
        </w:rPr>
        <w:t>Monitorering af leverfunktionen</w:t>
      </w:r>
    </w:p>
    <w:p w:rsidR="009601E5" w:rsidRDefault="009601E5" w:rsidP="009601E5">
      <w:pPr>
        <w:ind w:left="851" w:hanging="851"/>
        <w:rPr>
          <w:sz w:val="24"/>
          <w:szCs w:val="24"/>
        </w:rPr>
      </w:pPr>
      <w:r>
        <w:rPr>
          <w:sz w:val="24"/>
          <w:szCs w:val="24"/>
        </w:rPr>
        <w:tab/>
        <w:t xml:space="preserve">Patienter, der får Voriconazole ”Sandoz”, skal monitoreres nøje for hepatotoksicitet. Den kliniske behandling bør omfatte laboratorievurdering af leverfunktionen (især ASAT og ALAT) ved opstart af behandling med Voriconazole ”Sandoz” og mindst en gang om ugen i den første behandlingsmåned. Behandlingsvarigheden bør være så kort som mulig. Hvis det med udgangspunkt i benefit/risk-forholdet besluttes at fortsætte behandlingen (se pkt. 4.2), kan der dog reduceres til månedlig kontrol, hvis der ikke er ændringer i leverfunktionsprøverne. </w:t>
      </w:r>
    </w:p>
    <w:p w:rsidR="009601E5" w:rsidRDefault="009601E5" w:rsidP="009601E5">
      <w:pPr>
        <w:ind w:left="851" w:hanging="851"/>
        <w:rPr>
          <w:sz w:val="24"/>
          <w:szCs w:val="24"/>
        </w:rPr>
      </w:pPr>
    </w:p>
    <w:p w:rsidR="009601E5" w:rsidRDefault="009601E5" w:rsidP="009601E5">
      <w:pPr>
        <w:ind w:left="851"/>
        <w:rPr>
          <w:sz w:val="24"/>
          <w:szCs w:val="24"/>
        </w:rPr>
      </w:pPr>
      <w:r>
        <w:rPr>
          <w:sz w:val="24"/>
          <w:szCs w:val="24"/>
        </w:rPr>
        <w:t>I tilfælde af markant øgede leverfunktionsværdier bør Voriconazole ”Sandoz” seponeres, medmindre lægen vurderer, at benefit/risk-forholdet tillader fortsat brug.</w:t>
      </w:r>
    </w:p>
    <w:p w:rsidR="009601E5" w:rsidRDefault="009601E5" w:rsidP="009601E5">
      <w:pPr>
        <w:ind w:left="851" w:hanging="851"/>
        <w:rPr>
          <w:sz w:val="24"/>
          <w:szCs w:val="24"/>
        </w:rPr>
      </w:pPr>
    </w:p>
    <w:p w:rsidR="009601E5" w:rsidRDefault="009601E5" w:rsidP="009601E5">
      <w:pPr>
        <w:ind w:left="851" w:hanging="851"/>
        <w:rPr>
          <w:sz w:val="24"/>
          <w:szCs w:val="24"/>
        </w:rPr>
      </w:pPr>
      <w:r>
        <w:rPr>
          <w:sz w:val="24"/>
          <w:szCs w:val="24"/>
        </w:rPr>
        <w:tab/>
        <w:t>Leverfunktionen bør monitoreres hos både børn og voksne.</w:t>
      </w:r>
    </w:p>
    <w:p w:rsidR="009601E5" w:rsidRDefault="009601E5" w:rsidP="009601E5">
      <w:pPr>
        <w:ind w:left="851" w:hanging="851"/>
        <w:rPr>
          <w:sz w:val="24"/>
          <w:szCs w:val="24"/>
        </w:rPr>
      </w:pPr>
    </w:p>
    <w:p w:rsidR="009601E5" w:rsidRDefault="009601E5" w:rsidP="009601E5">
      <w:pPr>
        <w:ind w:left="851"/>
        <w:rPr>
          <w:sz w:val="24"/>
          <w:szCs w:val="24"/>
          <w:u w:val="single"/>
        </w:rPr>
      </w:pPr>
      <w:r>
        <w:rPr>
          <w:sz w:val="24"/>
          <w:szCs w:val="24"/>
          <w:u w:val="single"/>
        </w:rPr>
        <w:t>Alvorlige dermatologiske bivirkninger</w:t>
      </w:r>
    </w:p>
    <w:p w:rsidR="009601E5" w:rsidRDefault="009601E5" w:rsidP="009601E5">
      <w:pPr>
        <w:pStyle w:val="Listeafsnit"/>
        <w:numPr>
          <w:ilvl w:val="0"/>
          <w:numId w:val="15"/>
        </w:numPr>
      </w:pPr>
      <w:r>
        <w:rPr>
          <w:sz w:val="24"/>
          <w:szCs w:val="24"/>
          <w:u w:val="single"/>
        </w:rPr>
        <w:t>Fototoksicitet</w:t>
      </w:r>
    </w:p>
    <w:p w:rsidR="00D6284D" w:rsidRPr="00D6284D" w:rsidRDefault="00D6284D" w:rsidP="00D6284D">
      <w:pPr>
        <w:ind w:left="851"/>
        <w:rPr>
          <w:sz w:val="24"/>
          <w:szCs w:val="24"/>
        </w:rPr>
      </w:pPr>
      <w:r w:rsidRPr="00D6284D">
        <w:rPr>
          <w:sz w:val="24"/>
          <w:szCs w:val="24"/>
        </w:rPr>
        <w:t xml:space="preserve">Derudover har voriconazole været forbundet med fototoksicitet, herunder reaktioner som efelider, lentigo og aktinisk keratose samt pseudoporfyri. Der er en mulig øget risiko for </w:t>
      </w:r>
    </w:p>
    <w:p w:rsidR="00D6284D" w:rsidRPr="00D6284D" w:rsidRDefault="00D6284D" w:rsidP="00D6284D">
      <w:pPr>
        <w:ind w:firstLine="851"/>
        <w:rPr>
          <w:sz w:val="24"/>
          <w:szCs w:val="24"/>
        </w:rPr>
      </w:pPr>
      <w:r w:rsidRPr="00D6284D">
        <w:rPr>
          <w:sz w:val="24"/>
          <w:szCs w:val="24"/>
        </w:rPr>
        <w:t xml:space="preserve">hudreaktioner/toksicitet ved samtidig brug af fotosensibiliserende lægemidler (f.eks. </w:t>
      </w:r>
    </w:p>
    <w:p w:rsidR="00D6284D" w:rsidRPr="00D6284D" w:rsidRDefault="00D6284D" w:rsidP="00D6284D">
      <w:pPr>
        <w:ind w:left="851"/>
        <w:rPr>
          <w:sz w:val="24"/>
          <w:szCs w:val="24"/>
        </w:rPr>
      </w:pPr>
      <w:r w:rsidRPr="00D6284D">
        <w:rPr>
          <w:sz w:val="24"/>
          <w:szCs w:val="24"/>
        </w:rPr>
        <w:t>methotrexat, etc.). Det anbefales, at alle patienter, herunder børn, undgår udsættelse for direkte sollys under behandling med voriconazole. Beskyttelse i form af tøj og solcreme med høj solbeskyttelses</w:t>
      </w:r>
      <w:r w:rsidRPr="00D6284D">
        <w:rPr>
          <w:sz w:val="24"/>
          <w:szCs w:val="24"/>
        </w:rPr>
        <w:softHyphen/>
        <w:t xml:space="preserve">faktor (SPF) bør anvendes ved behov. </w:t>
      </w:r>
    </w:p>
    <w:p w:rsidR="009601E5" w:rsidRDefault="009601E5" w:rsidP="009601E5">
      <w:pPr>
        <w:ind w:left="851"/>
        <w:rPr>
          <w:sz w:val="24"/>
          <w:szCs w:val="24"/>
        </w:rPr>
      </w:pPr>
    </w:p>
    <w:p w:rsidR="00E67E76" w:rsidRDefault="00E67E76" w:rsidP="00E67E76">
      <w:pPr>
        <w:pStyle w:val="Listeafsnit"/>
        <w:numPr>
          <w:ilvl w:val="0"/>
          <w:numId w:val="16"/>
        </w:numPr>
        <w:autoSpaceDE w:val="0"/>
        <w:autoSpaceDN w:val="0"/>
        <w:adjustRightInd w:val="0"/>
        <w:rPr>
          <w:iCs/>
          <w:sz w:val="24"/>
          <w:szCs w:val="24"/>
          <w:u w:val="single"/>
          <w:lang w:eastAsia="da-DK"/>
        </w:rPr>
      </w:pPr>
      <w:r>
        <w:rPr>
          <w:iCs/>
          <w:sz w:val="24"/>
          <w:szCs w:val="24"/>
          <w:u w:val="single"/>
          <w:lang w:eastAsia="da-DK"/>
        </w:rPr>
        <w:t>Planocellulært karcinom i huden (SCC)</w:t>
      </w:r>
    </w:p>
    <w:p w:rsidR="00E67E76" w:rsidRDefault="00E67E76" w:rsidP="00E67E76">
      <w:pPr>
        <w:ind w:left="851"/>
        <w:rPr>
          <w:sz w:val="24"/>
          <w:szCs w:val="24"/>
          <w:lang w:eastAsia="da-DK"/>
        </w:rPr>
      </w:pPr>
      <w:r>
        <w:rPr>
          <w:sz w:val="24"/>
          <w:szCs w:val="24"/>
          <w:lang w:eastAsia="da-DK"/>
        </w:rPr>
        <w:t>Planocellulært karcinom i huden</w:t>
      </w:r>
      <w:r w:rsidR="00086785">
        <w:rPr>
          <w:sz w:val="24"/>
          <w:szCs w:val="24"/>
          <w:lang w:eastAsia="da-DK"/>
        </w:rPr>
        <w:t xml:space="preserve"> (herunder kutant SCC </w:t>
      </w:r>
      <w:r w:rsidR="00086785">
        <w:rPr>
          <w:i/>
          <w:iCs/>
          <w:sz w:val="24"/>
          <w:szCs w:val="24"/>
          <w:lang w:eastAsia="da-DK"/>
        </w:rPr>
        <w:t>in situ</w:t>
      </w:r>
      <w:r w:rsidR="00086785">
        <w:rPr>
          <w:sz w:val="24"/>
          <w:szCs w:val="24"/>
          <w:lang w:eastAsia="da-DK"/>
        </w:rPr>
        <w:t xml:space="preserve"> eller morbus Bowen)</w:t>
      </w:r>
      <w:r>
        <w:rPr>
          <w:sz w:val="24"/>
          <w:szCs w:val="24"/>
          <w:lang w:eastAsia="da-DK"/>
        </w:rPr>
        <w:t xml:space="preserve"> er rapporteret hos patienter, hvoraf nogle tidligere har rapporteret fototoksiske reaktioner. Hvis der opstår fototoksiske reaktioner, bør der søges multidisciplinær rådgivning, seponering af voriconazole og anvendelse af alternative antimykotika bør overvejes og patienten bør henvises til dermatolog. Hvis behandling med voriconazole fortsættes, bør der udføres systematisk og regelmæssig dermatologisk evaluering med henblik på tidlig påvisning og behandling af præmaligne læsioner. Voriconazole bør seponeres, hvis der påvises præmaligne hudlæsioner eller planocellulært karcinom (se afsnittet ”Langtidsbehandling” nedenfor).</w:t>
      </w:r>
    </w:p>
    <w:p w:rsidR="009601E5" w:rsidRDefault="009601E5" w:rsidP="009601E5">
      <w:pPr>
        <w:ind w:left="851"/>
        <w:rPr>
          <w:sz w:val="24"/>
          <w:szCs w:val="24"/>
          <w:lang w:eastAsia="da-DK"/>
        </w:rPr>
      </w:pPr>
    </w:p>
    <w:p w:rsidR="00E67E76" w:rsidRDefault="00E67E76" w:rsidP="00E67E76">
      <w:pPr>
        <w:pStyle w:val="Listeafsnit"/>
        <w:numPr>
          <w:ilvl w:val="0"/>
          <w:numId w:val="16"/>
        </w:numPr>
        <w:rPr>
          <w:sz w:val="24"/>
          <w:szCs w:val="24"/>
          <w:u w:val="single"/>
          <w:lang w:eastAsia="da-DK"/>
        </w:rPr>
      </w:pPr>
      <w:r>
        <w:rPr>
          <w:iCs/>
          <w:sz w:val="24"/>
          <w:szCs w:val="24"/>
          <w:u w:val="single"/>
          <w:lang w:eastAsia="da-DK"/>
        </w:rPr>
        <w:t>Svære kutane bivirkninger</w:t>
      </w:r>
    </w:p>
    <w:p w:rsidR="00E67E76" w:rsidRDefault="00E67E76" w:rsidP="00E67E76">
      <w:pPr>
        <w:ind w:left="851"/>
        <w:rPr>
          <w:sz w:val="24"/>
          <w:szCs w:val="24"/>
          <w:lang w:eastAsia="da-DK"/>
        </w:rPr>
      </w:pPr>
      <w:r>
        <w:rPr>
          <w:sz w:val="24"/>
          <w:szCs w:val="24"/>
          <w:lang w:eastAsia="da-DK"/>
        </w:rPr>
        <w:t xml:space="preserve">Der er rapporteret om svære kutane bivirkninger (SCAR), såsom Stevens-Johnsons syndrom (SJS), toksisk epidermal nekrolyse (TEN), lægemiddelreaktion med eosinofili og systemiske symptomer (DRESS), som kan være livstruende eller fatale, ved brug af </w:t>
      </w:r>
      <w:r>
        <w:rPr>
          <w:sz w:val="24"/>
          <w:szCs w:val="24"/>
          <w:lang w:eastAsia="da-DK"/>
        </w:rPr>
        <w:lastRenderedPageBreak/>
        <w:t xml:space="preserve">voriconazol. Hvis patienter udvikler udslæt, bør de monitoreres nøje, og voriconazole afbrydes, hvis læsionen progredierer. </w:t>
      </w:r>
    </w:p>
    <w:p w:rsidR="00E67E76" w:rsidRDefault="00E67E76" w:rsidP="00E67E76">
      <w:pPr>
        <w:ind w:left="851"/>
        <w:rPr>
          <w:sz w:val="24"/>
          <w:szCs w:val="24"/>
          <w:lang w:eastAsia="da-DK"/>
        </w:rPr>
      </w:pPr>
    </w:p>
    <w:p w:rsidR="00E67E76" w:rsidRDefault="00E67E76" w:rsidP="00E67E76">
      <w:pPr>
        <w:ind w:left="851"/>
        <w:rPr>
          <w:sz w:val="24"/>
          <w:szCs w:val="24"/>
          <w:u w:val="single"/>
        </w:rPr>
      </w:pPr>
      <w:r>
        <w:rPr>
          <w:sz w:val="24"/>
          <w:szCs w:val="24"/>
          <w:u w:val="single"/>
        </w:rPr>
        <w:t>Bivirkninger i binyrerne</w:t>
      </w:r>
    </w:p>
    <w:p w:rsidR="00B973E4" w:rsidRDefault="00B973E4" w:rsidP="00B973E4">
      <w:pPr>
        <w:ind w:left="851"/>
        <w:rPr>
          <w:sz w:val="24"/>
          <w:szCs w:val="24"/>
        </w:rPr>
      </w:pPr>
      <w:r>
        <w:rPr>
          <w:sz w:val="24"/>
          <w:szCs w:val="24"/>
        </w:rPr>
        <w:t>Reversible tilfælde af binyreinsufficiens er rapporteret hos patienter, der får azoler, herunder voriconazol. Binyreinsufficiens er rapporteret hos patienter, der fik azoler med eller uden samtidige kortikosteroider. Hos patienter, der får azoler uden kortikosteroider, er binyreinsufficiens relateret til azolers direkte hæmning af steroidgenesen. Hos patienter, der tager kortikosteroider, kan voriconazolforbundet CYP3A4-hæmning af kortikosteroidmetabolismen medføre for høje kortikosteroidniveauer og binyresuppression (se pkt. 4.5). Der er også rapporteret om Cushings syndrom med og uden efterfølgende binyreinsufficiens hos patienter, der fik voriconazol samtidigt med kortikosteroider.</w:t>
      </w:r>
    </w:p>
    <w:p w:rsidR="00B973E4" w:rsidRDefault="00B973E4" w:rsidP="00B973E4">
      <w:pPr>
        <w:ind w:left="851"/>
        <w:rPr>
          <w:sz w:val="24"/>
          <w:szCs w:val="24"/>
        </w:rPr>
      </w:pPr>
    </w:p>
    <w:p w:rsidR="00E67E76" w:rsidRDefault="00B973E4" w:rsidP="00B973E4">
      <w:pPr>
        <w:ind w:left="851"/>
        <w:rPr>
          <w:sz w:val="24"/>
          <w:szCs w:val="24"/>
        </w:rPr>
      </w:pPr>
      <w:r>
        <w:rPr>
          <w:sz w:val="24"/>
          <w:szCs w:val="24"/>
        </w:rPr>
        <w:t>Patienter, der er i langtidsbehandling med voriconazol og kortikosteroider (inklusive inhalerede kortikosteroider, f.eks. budesonid og intranasale kortikosteroider), skal omhyggeligt monitoreres for binyrebarkdysfunktion, både under behandlingen, og når voriconazol seponeres (se pkt. 4.5). Patienterne bør instrueres i, at de skal søge øjeblikkelig lægehjælp, hvis de udvikler tegn og symptomer på Cushings syndrom eller binyreinsufficiens.</w:t>
      </w:r>
    </w:p>
    <w:p w:rsidR="00E67E76" w:rsidRDefault="00E67E76" w:rsidP="00E67E76">
      <w:pPr>
        <w:ind w:left="851"/>
        <w:rPr>
          <w:sz w:val="24"/>
          <w:szCs w:val="24"/>
        </w:rPr>
      </w:pPr>
    </w:p>
    <w:p w:rsidR="00E67E76" w:rsidRDefault="00E67E76" w:rsidP="00E67E76">
      <w:pPr>
        <w:ind w:left="851"/>
        <w:rPr>
          <w:sz w:val="24"/>
          <w:szCs w:val="24"/>
          <w:u w:val="single"/>
        </w:rPr>
      </w:pPr>
      <w:r>
        <w:rPr>
          <w:sz w:val="24"/>
          <w:szCs w:val="24"/>
          <w:u w:val="single"/>
        </w:rPr>
        <w:t>Langtidsbehandling</w:t>
      </w:r>
    </w:p>
    <w:p w:rsidR="00E67E76" w:rsidRDefault="00E67E76" w:rsidP="00E67E76">
      <w:pPr>
        <w:ind w:left="851"/>
        <w:rPr>
          <w:sz w:val="24"/>
          <w:szCs w:val="24"/>
        </w:rPr>
      </w:pPr>
      <w:r>
        <w:rPr>
          <w:sz w:val="24"/>
          <w:szCs w:val="24"/>
        </w:rPr>
        <w:t xml:space="preserve">Langtidseksponering (behandling eller profylakse) i mere end 180 dage (6 måneder) kræver nøje vurdering af benefit/risk-forholdet, og lægen bør derfor overveje at begrænse eksponeringen for voriconazol (se pkt. 4.2 og 5.1). </w:t>
      </w:r>
    </w:p>
    <w:p w:rsidR="00E67E76" w:rsidRDefault="00E67E76" w:rsidP="00E67E76">
      <w:pPr>
        <w:ind w:left="851"/>
        <w:rPr>
          <w:sz w:val="24"/>
          <w:szCs w:val="24"/>
        </w:rPr>
      </w:pPr>
    </w:p>
    <w:p w:rsidR="00E67E76" w:rsidRDefault="00E67E76" w:rsidP="00E67E76">
      <w:pPr>
        <w:ind w:left="851"/>
        <w:rPr>
          <w:sz w:val="24"/>
          <w:szCs w:val="24"/>
          <w:lang w:eastAsia="da-DK"/>
        </w:rPr>
      </w:pPr>
      <w:r>
        <w:rPr>
          <w:sz w:val="24"/>
          <w:szCs w:val="24"/>
          <w:lang w:eastAsia="da-DK"/>
        </w:rPr>
        <w:t>Planocellulært karcinom i huden (SCC)</w:t>
      </w:r>
      <w:r w:rsidR="00086785">
        <w:rPr>
          <w:sz w:val="24"/>
          <w:szCs w:val="24"/>
          <w:lang w:eastAsia="da-DK"/>
        </w:rPr>
        <w:t xml:space="preserve"> (herunder kutant SCC </w:t>
      </w:r>
      <w:r w:rsidR="00086785">
        <w:rPr>
          <w:i/>
          <w:iCs/>
          <w:sz w:val="24"/>
          <w:szCs w:val="24"/>
          <w:lang w:eastAsia="da-DK"/>
        </w:rPr>
        <w:t>in situ</w:t>
      </w:r>
      <w:r w:rsidR="00086785">
        <w:rPr>
          <w:sz w:val="24"/>
          <w:szCs w:val="24"/>
          <w:lang w:eastAsia="da-DK"/>
        </w:rPr>
        <w:t xml:space="preserve"> eller morbus Bowen) </w:t>
      </w:r>
      <w:r>
        <w:rPr>
          <w:sz w:val="24"/>
          <w:szCs w:val="24"/>
          <w:lang w:eastAsia="da-DK"/>
        </w:rPr>
        <w:t xml:space="preserve">er blevet rapporteret i forbindelse med langtidsbehandling med </w:t>
      </w:r>
      <w:r w:rsidR="00D6284D">
        <w:rPr>
          <w:sz w:val="24"/>
          <w:szCs w:val="24"/>
          <w:lang w:eastAsia="da-DK"/>
        </w:rPr>
        <w:t>voriconazol (se pkt. 4.8).</w:t>
      </w:r>
    </w:p>
    <w:p w:rsidR="009601E5" w:rsidRDefault="009601E5" w:rsidP="009601E5">
      <w:pPr>
        <w:rPr>
          <w:sz w:val="24"/>
          <w:szCs w:val="24"/>
        </w:rPr>
      </w:pPr>
    </w:p>
    <w:p w:rsidR="009601E5" w:rsidRDefault="009601E5" w:rsidP="009601E5">
      <w:pPr>
        <w:ind w:left="851"/>
        <w:rPr>
          <w:sz w:val="24"/>
          <w:szCs w:val="24"/>
        </w:rPr>
      </w:pPr>
      <w:r>
        <w:rPr>
          <w:sz w:val="24"/>
          <w:szCs w:val="24"/>
        </w:rPr>
        <w:t xml:space="preserve">Non-infektiøs periostitis med forhøjede fluorid- og alkalisk fosfataseniveauer er set hos transplanterede patienter. Hvis en patient oplever knoglesmerter, og radiologiske undersøgelser peger på periostitis, bør der søges multidisciplinær rådgivning, og seponering af Voriconazole ”Sandoz” bør </w:t>
      </w:r>
      <w:r w:rsidR="00D6284D">
        <w:rPr>
          <w:sz w:val="24"/>
          <w:szCs w:val="24"/>
        </w:rPr>
        <w:t>overvejes (se pkt. 4.8)</w:t>
      </w:r>
      <w:r>
        <w:rPr>
          <w:sz w:val="24"/>
          <w:szCs w:val="24"/>
        </w:rPr>
        <w:t>.</w:t>
      </w:r>
    </w:p>
    <w:p w:rsidR="009601E5" w:rsidRDefault="009601E5" w:rsidP="009601E5">
      <w:pPr>
        <w:ind w:left="851"/>
        <w:rPr>
          <w:sz w:val="24"/>
          <w:szCs w:val="24"/>
        </w:rPr>
      </w:pPr>
    </w:p>
    <w:p w:rsidR="009601E5" w:rsidRDefault="009601E5" w:rsidP="009601E5">
      <w:pPr>
        <w:ind w:left="851"/>
        <w:rPr>
          <w:sz w:val="24"/>
          <w:szCs w:val="24"/>
        </w:rPr>
      </w:pPr>
      <w:r>
        <w:rPr>
          <w:sz w:val="24"/>
          <w:szCs w:val="24"/>
          <w:u w:val="single"/>
        </w:rPr>
        <w:t>Synsrelaterede bivirkninger</w:t>
      </w:r>
    </w:p>
    <w:p w:rsidR="009601E5" w:rsidRDefault="009601E5" w:rsidP="009601E5">
      <w:pPr>
        <w:ind w:left="851"/>
        <w:rPr>
          <w:sz w:val="24"/>
          <w:szCs w:val="24"/>
        </w:rPr>
      </w:pPr>
      <w:r>
        <w:rPr>
          <w:sz w:val="24"/>
          <w:szCs w:val="24"/>
        </w:rPr>
        <w:t xml:space="preserve">Der er rapporteret om langvarige synsrelaterede bivirkninger, herunder sløret syn, betændelse i synsnerven og papilødem (se pkt. 4.8). </w:t>
      </w:r>
    </w:p>
    <w:p w:rsidR="009601E5" w:rsidRDefault="009601E5" w:rsidP="009601E5">
      <w:pPr>
        <w:ind w:left="851"/>
        <w:rPr>
          <w:sz w:val="24"/>
          <w:szCs w:val="24"/>
        </w:rPr>
      </w:pPr>
    </w:p>
    <w:p w:rsidR="009601E5" w:rsidRDefault="009601E5" w:rsidP="009601E5">
      <w:pPr>
        <w:ind w:left="851"/>
        <w:rPr>
          <w:sz w:val="24"/>
          <w:szCs w:val="24"/>
          <w:u w:val="single"/>
        </w:rPr>
      </w:pPr>
      <w:r>
        <w:rPr>
          <w:sz w:val="24"/>
          <w:szCs w:val="24"/>
          <w:u w:val="single"/>
        </w:rPr>
        <w:t>Nyrerelaterede bivirkninger</w:t>
      </w:r>
    </w:p>
    <w:p w:rsidR="009601E5" w:rsidRDefault="009601E5" w:rsidP="009601E5">
      <w:pPr>
        <w:ind w:left="851"/>
        <w:rPr>
          <w:sz w:val="24"/>
          <w:szCs w:val="24"/>
        </w:rPr>
      </w:pPr>
      <w:r>
        <w:rPr>
          <w:sz w:val="24"/>
          <w:szCs w:val="24"/>
        </w:rPr>
        <w:t>Der er observeret akut nyresvigt hos svært syge patienter i behandling med Voriconazole ”Sandoz”. Patienter, der behandles med voriconazol, vil ofte være i samtidig behandling med nefrotoksisk medicin og have samtidige tilstande, der kan medføre nedsat nyrefunktion (se pkt. 4.8).</w:t>
      </w:r>
    </w:p>
    <w:p w:rsidR="009601E5" w:rsidRDefault="009601E5" w:rsidP="009601E5">
      <w:pPr>
        <w:ind w:left="851"/>
        <w:rPr>
          <w:sz w:val="24"/>
          <w:szCs w:val="24"/>
        </w:rPr>
      </w:pPr>
    </w:p>
    <w:p w:rsidR="009601E5" w:rsidRDefault="009601E5" w:rsidP="009601E5">
      <w:pPr>
        <w:ind w:left="851"/>
        <w:rPr>
          <w:sz w:val="24"/>
          <w:szCs w:val="24"/>
          <w:u w:val="single"/>
        </w:rPr>
      </w:pPr>
      <w:r>
        <w:rPr>
          <w:sz w:val="24"/>
          <w:szCs w:val="24"/>
          <w:u w:val="single"/>
        </w:rPr>
        <w:t>Monitorering af nyrefunktionen</w:t>
      </w:r>
    </w:p>
    <w:p w:rsidR="009601E5" w:rsidRDefault="009601E5" w:rsidP="009601E5">
      <w:pPr>
        <w:ind w:left="851"/>
        <w:rPr>
          <w:sz w:val="24"/>
          <w:szCs w:val="24"/>
        </w:rPr>
      </w:pPr>
      <w:r>
        <w:rPr>
          <w:sz w:val="24"/>
          <w:szCs w:val="24"/>
        </w:rPr>
        <w:t>Patienter bør monitoreres med henblik på udvikling af abnorm nyrefunktion. Dette bør omfatte laboratorievurderinger, især serumkreatinin.</w:t>
      </w:r>
    </w:p>
    <w:p w:rsidR="009601E5" w:rsidRDefault="009601E5" w:rsidP="009601E5">
      <w:pPr>
        <w:ind w:left="851"/>
        <w:rPr>
          <w:sz w:val="24"/>
          <w:szCs w:val="24"/>
        </w:rPr>
      </w:pPr>
    </w:p>
    <w:p w:rsidR="009601E5" w:rsidRDefault="009601E5" w:rsidP="009601E5">
      <w:pPr>
        <w:ind w:left="851"/>
        <w:rPr>
          <w:sz w:val="24"/>
          <w:szCs w:val="24"/>
          <w:u w:val="single"/>
        </w:rPr>
      </w:pPr>
      <w:r>
        <w:rPr>
          <w:sz w:val="24"/>
          <w:szCs w:val="24"/>
          <w:u w:val="single"/>
        </w:rPr>
        <w:t>Monitorering af pancreasfunktionen</w:t>
      </w:r>
    </w:p>
    <w:p w:rsidR="009601E5" w:rsidRDefault="009601E5" w:rsidP="009601E5">
      <w:pPr>
        <w:ind w:left="851"/>
      </w:pPr>
      <w:r>
        <w:rPr>
          <w:sz w:val="24"/>
          <w:szCs w:val="24"/>
        </w:rPr>
        <w:t xml:space="preserve">Patienter, især børn med risikofaktorer for akut pancreatitis (f.eks. nylig kemoterapi, hæmatopoietisk stamcelletransplantation [HSCT]), bør monitoreres tæt under behandling </w:t>
      </w:r>
      <w:r>
        <w:rPr>
          <w:sz w:val="24"/>
          <w:szCs w:val="24"/>
        </w:rPr>
        <w:lastRenderedPageBreak/>
        <w:t>med Voriconazole ”Sandoz”. Kontrol af serumamylase eller -lipase kan overvejes i denne kliniske situation</w:t>
      </w:r>
      <w:r>
        <w:t>.</w:t>
      </w:r>
    </w:p>
    <w:p w:rsidR="009601E5" w:rsidRDefault="009601E5" w:rsidP="009601E5">
      <w:pPr>
        <w:ind w:left="851"/>
      </w:pPr>
    </w:p>
    <w:p w:rsidR="009601E5" w:rsidRDefault="009601E5" w:rsidP="009601E5">
      <w:pPr>
        <w:ind w:left="851"/>
        <w:rPr>
          <w:sz w:val="24"/>
          <w:szCs w:val="24"/>
        </w:rPr>
      </w:pPr>
      <w:r>
        <w:rPr>
          <w:sz w:val="24"/>
          <w:szCs w:val="24"/>
          <w:u w:val="single"/>
        </w:rPr>
        <w:t>Pædiatrisk population</w:t>
      </w:r>
    </w:p>
    <w:p w:rsidR="009601E5" w:rsidRDefault="009601E5" w:rsidP="009601E5">
      <w:pPr>
        <w:ind w:left="851"/>
        <w:rPr>
          <w:sz w:val="24"/>
          <w:szCs w:val="24"/>
        </w:rPr>
      </w:pPr>
      <w:r>
        <w:rPr>
          <w:sz w:val="24"/>
          <w:szCs w:val="24"/>
        </w:rPr>
        <w:t>Sikkerhed og effekt hos pædiatriske patienter under 2 år er ikke fastlagt (se pkt. 4.8 og 5.1). Voriconazol er indiceret til pædiatriske patienter på 2 år eller ældre. Hos den pædiatriske population ses en højere hyppighed af leverenzymstigninger (se pkt. 4.8). Leverfunktionen bør monitoreres hos både børn og voksne. Hos pædiatriske patienter i alderen 2 til &lt; 12 år med malabsorption og meget lav legemsvægt for deres alder kan den orale biotilgængelighed være begrænset. I så tilfælde anbefales intravenøs administration af voriconazol.</w:t>
      </w:r>
    </w:p>
    <w:p w:rsidR="009601E5" w:rsidRDefault="009601E5" w:rsidP="009601E5">
      <w:pPr>
        <w:ind w:left="851"/>
        <w:rPr>
          <w:sz w:val="24"/>
          <w:szCs w:val="24"/>
        </w:rPr>
      </w:pPr>
    </w:p>
    <w:p w:rsidR="009601E5" w:rsidRDefault="009601E5" w:rsidP="009601E5">
      <w:pPr>
        <w:pStyle w:val="Listeafsnit"/>
        <w:numPr>
          <w:ilvl w:val="0"/>
          <w:numId w:val="15"/>
        </w:numPr>
        <w:rPr>
          <w:sz w:val="24"/>
          <w:szCs w:val="24"/>
        </w:rPr>
      </w:pPr>
      <w:r>
        <w:rPr>
          <w:sz w:val="24"/>
          <w:szCs w:val="24"/>
          <w:lang w:eastAsia="da-DK"/>
        </w:rPr>
        <w:t>Alvorlige dermatologiske bivirkninger (herunder CSS)</w:t>
      </w:r>
    </w:p>
    <w:p w:rsidR="009601E5" w:rsidRDefault="009601E5" w:rsidP="009601E5">
      <w:pPr>
        <w:ind w:left="851"/>
        <w:rPr>
          <w:sz w:val="24"/>
          <w:szCs w:val="24"/>
        </w:rPr>
      </w:pPr>
      <w:r>
        <w:rPr>
          <w:sz w:val="24"/>
          <w:szCs w:val="24"/>
        </w:rPr>
        <w:t xml:space="preserve">Der er en øget hyppighed af fototoksicitetsreaktioner i den pædiatriske population. Da der er rapporteret om udvikling til planocellulære karcinomer, skal der iværksættes skærpede lysbeskyttende tiltag i denne patientpopulation. Børn, der får lysældningsskader, såsom lentigo eller ephelis, bør undgå solen og gå til dermatologisk kontrol, også efter ophør af behandlingen. </w:t>
      </w:r>
    </w:p>
    <w:p w:rsidR="009601E5" w:rsidRDefault="009601E5" w:rsidP="009601E5">
      <w:pPr>
        <w:ind w:left="851"/>
        <w:rPr>
          <w:sz w:val="24"/>
          <w:szCs w:val="24"/>
        </w:rPr>
      </w:pPr>
    </w:p>
    <w:p w:rsidR="009601E5" w:rsidRDefault="009601E5" w:rsidP="00D21C6F">
      <w:pPr>
        <w:keepNext/>
        <w:ind w:left="851"/>
        <w:rPr>
          <w:sz w:val="24"/>
          <w:szCs w:val="24"/>
          <w:u w:val="single"/>
        </w:rPr>
      </w:pPr>
      <w:r>
        <w:rPr>
          <w:sz w:val="24"/>
          <w:szCs w:val="24"/>
          <w:u w:val="single"/>
        </w:rPr>
        <w:t>Profylaktisk behandling</w:t>
      </w:r>
    </w:p>
    <w:p w:rsidR="009601E5" w:rsidRDefault="009601E5" w:rsidP="009601E5">
      <w:pPr>
        <w:ind w:left="851"/>
        <w:rPr>
          <w:sz w:val="24"/>
          <w:szCs w:val="24"/>
        </w:rPr>
      </w:pPr>
      <w:r>
        <w:rPr>
          <w:sz w:val="24"/>
          <w:szCs w:val="24"/>
        </w:rPr>
        <w:t>I tilfælde af behandlingsrelaterede bivirkninger (hepatotoksicitet, svære hudreaktioner inklusive fototoksicitet og planocellulære karcinomer, svære eller langvarige synsforstyrrelser og periostitis) skal det overvejes at seponere voriconazol og anvende andre antimykotika.</w:t>
      </w:r>
    </w:p>
    <w:p w:rsidR="009601E5" w:rsidRDefault="009601E5" w:rsidP="009601E5">
      <w:pPr>
        <w:ind w:left="851"/>
        <w:rPr>
          <w:sz w:val="24"/>
          <w:szCs w:val="24"/>
        </w:rPr>
      </w:pPr>
    </w:p>
    <w:p w:rsidR="009601E5" w:rsidRDefault="009601E5" w:rsidP="009601E5">
      <w:pPr>
        <w:ind w:left="851"/>
        <w:rPr>
          <w:sz w:val="24"/>
          <w:szCs w:val="24"/>
        </w:rPr>
      </w:pPr>
      <w:r>
        <w:rPr>
          <w:sz w:val="24"/>
          <w:szCs w:val="24"/>
          <w:u w:val="single"/>
        </w:rPr>
        <w:t>Phenytoin (CYP2C9-substrat og potent CYP450-induktor)</w:t>
      </w:r>
    </w:p>
    <w:p w:rsidR="009601E5" w:rsidRDefault="009601E5" w:rsidP="009601E5">
      <w:pPr>
        <w:ind w:left="851"/>
        <w:rPr>
          <w:sz w:val="24"/>
          <w:szCs w:val="24"/>
        </w:rPr>
      </w:pPr>
      <w:r>
        <w:rPr>
          <w:sz w:val="24"/>
          <w:szCs w:val="24"/>
        </w:rPr>
        <w:t>Omhyggelig monitorering af phenytoinniveauerne anbefales ved samtidig administration af phenytoin og voriconazol. Samtidig behandling med voriconazol og phenytoin bør undgås, medmindre fordelen opvejer risikoen (se pkt. 4.5).</w:t>
      </w:r>
    </w:p>
    <w:p w:rsidR="009601E5" w:rsidRDefault="009601E5" w:rsidP="009601E5">
      <w:pPr>
        <w:ind w:left="851"/>
        <w:rPr>
          <w:sz w:val="24"/>
          <w:szCs w:val="24"/>
        </w:rPr>
      </w:pPr>
    </w:p>
    <w:p w:rsidR="009601E5" w:rsidRDefault="009601E5" w:rsidP="009601E5">
      <w:pPr>
        <w:keepNext/>
        <w:ind w:left="851"/>
        <w:rPr>
          <w:sz w:val="24"/>
          <w:szCs w:val="24"/>
          <w:u w:val="single"/>
        </w:rPr>
      </w:pPr>
      <w:r>
        <w:rPr>
          <w:sz w:val="24"/>
          <w:szCs w:val="24"/>
          <w:u w:val="single"/>
        </w:rPr>
        <w:t>Efavirenz (CYP450-induktor; CYP3A4-hæmmer og -substrat)</w:t>
      </w:r>
    </w:p>
    <w:p w:rsidR="009601E5" w:rsidRDefault="009601E5" w:rsidP="009601E5">
      <w:pPr>
        <w:ind w:left="851"/>
        <w:rPr>
          <w:sz w:val="24"/>
          <w:szCs w:val="24"/>
        </w:rPr>
      </w:pPr>
      <w:r>
        <w:rPr>
          <w:sz w:val="24"/>
          <w:szCs w:val="24"/>
        </w:rPr>
        <w:t>Når voriconazol anvendes samtidigt med efavirenz, bør dosis af voriconazol øges til 400 mg hver 12. time, og efavirenz-dosis bør nedsættes til 300 mg hver 24. time (se pkt. 4.2, 4.3 og 4.5).</w:t>
      </w:r>
    </w:p>
    <w:p w:rsidR="00B973E4" w:rsidRDefault="00B973E4" w:rsidP="00B973E4">
      <w:pPr>
        <w:ind w:left="851"/>
        <w:rPr>
          <w:sz w:val="24"/>
          <w:szCs w:val="24"/>
          <w:u w:val="single"/>
        </w:rPr>
      </w:pPr>
    </w:p>
    <w:p w:rsidR="00B973E4" w:rsidRDefault="00B973E4" w:rsidP="00B973E4">
      <w:pPr>
        <w:ind w:left="851"/>
        <w:rPr>
          <w:sz w:val="24"/>
          <w:szCs w:val="24"/>
          <w:u w:val="single"/>
        </w:rPr>
      </w:pPr>
      <w:r>
        <w:rPr>
          <w:sz w:val="24"/>
          <w:szCs w:val="24"/>
          <w:u w:val="single"/>
        </w:rPr>
        <w:t>Glasdegib (CYP3A4-substrat)</w:t>
      </w:r>
    </w:p>
    <w:p w:rsidR="00B973E4" w:rsidRDefault="00B973E4" w:rsidP="00B973E4">
      <w:pPr>
        <w:ind w:left="851"/>
        <w:rPr>
          <w:sz w:val="24"/>
          <w:szCs w:val="24"/>
        </w:rPr>
      </w:pPr>
      <w:r>
        <w:rPr>
          <w:sz w:val="24"/>
          <w:szCs w:val="24"/>
        </w:rPr>
        <w:t>Samtidig administration af voriconazol forventes at medføre en øget plasmakoncentration af glasdegib og en forhøjet risiko for QTc-forlængelse (se pkt. 4.5). Hvis samtidig behandling ikke kan undgås, tilrådes hyppig EKG-monitorering.</w:t>
      </w:r>
    </w:p>
    <w:p w:rsidR="00B973E4" w:rsidRDefault="00B973E4" w:rsidP="00B973E4">
      <w:pPr>
        <w:ind w:left="851"/>
        <w:rPr>
          <w:sz w:val="24"/>
          <w:szCs w:val="24"/>
          <w:u w:val="single"/>
        </w:rPr>
      </w:pPr>
    </w:p>
    <w:p w:rsidR="00B973E4" w:rsidRDefault="00B973E4" w:rsidP="00B973E4">
      <w:pPr>
        <w:ind w:left="851"/>
        <w:rPr>
          <w:sz w:val="24"/>
          <w:szCs w:val="24"/>
          <w:u w:val="single"/>
        </w:rPr>
      </w:pPr>
      <w:r>
        <w:rPr>
          <w:sz w:val="24"/>
          <w:szCs w:val="24"/>
          <w:u w:val="single"/>
        </w:rPr>
        <w:t>Tyrosinkinasehæmmere (CYP3A4-substrat)</w:t>
      </w:r>
    </w:p>
    <w:p w:rsidR="00B973E4" w:rsidRDefault="00B973E4" w:rsidP="00B973E4">
      <w:pPr>
        <w:ind w:left="851"/>
        <w:rPr>
          <w:sz w:val="24"/>
          <w:szCs w:val="24"/>
        </w:rPr>
      </w:pPr>
      <w:r>
        <w:rPr>
          <w:sz w:val="24"/>
          <w:szCs w:val="24"/>
        </w:rPr>
        <w:t>Samtidig administration af voriconazol og tyrosinkinasehæmmere, der metaboliseres af CYP3A4, forventes at medføre en øget plasmakoncentration af tyrosinkinasehæmmer og en forhøjet risiko for bivirkninger. Hvis samtidig behandling ikke kan undgås, tilrådes dosisreduktion af tyrosinkinasehæmmeren samt tæt klinisk monitorering (se pkt. 4.5).</w:t>
      </w:r>
    </w:p>
    <w:p w:rsidR="00B973E4" w:rsidRDefault="00B973E4" w:rsidP="00B973E4">
      <w:pPr>
        <w:ind w:left="851"/>
        <w:rPr>
          <w:sz w:val="24"/>
          <w:szCs w:val="24"/>
          <w:u w:val="single"/>
        </w:rPr>
      </w:pPr>
    </w:p>
    <w:p w:rsidR="009601E5" w:rsidRDefault="009601E5" w:rsidP="009601E5">
      <w:pPr>
        <w:ind w:left="851"/>
        <w:rPr>
          <w:sz w:val="24"/>
          <w:szCs w:val="24"/>
        </w:rPr>
      </w:pPr>
      <w:r>
        <w:rPr>
          <w:sz w:val="24"/>
          <w:szCs w:val="24"/>
          <w:u w:val="single"/>
        </w:rPr>
        <w:t>Rifabutin (potent CYP450-induktor)</w:t>
      </w:r>
    </w:p>
    <w:p w:rsidR="009601E5" w:rsidRDefault="009601E5" w:rsidP="009601E5">
      <w:pPr>
        <w:ind w:left="851"/>
        <w:rPr>
          <w:sz w:val="24"/>
          <w:szCs w:val="24"/>
        </w:rPr>
      </w:pPr>
      <w:r>
        <w:rPr>
          <w:sz w:val="24"/>
          <w:szCs w:val="24"/>
        </w:rPr>
        <w:t>Omhyggelig monitorering af fuldt blodbillede og bivirkninger ved rifabutin (f.eks. regnbuehindebetændelse) anbefales, når rifabutin administreres samtidigt med voriconazol. Samtidig behandling med voriconazol og rifabutin bør undgås, medmindre fordelen opvejer risikoen (se pkt. 4.5).</w:t>
      </w:r>
    </w:p>
    <w:p w:rsidR="009601E5" w:rsidRDefault="009601E5" w:rsidP="009601E5">
      <w:pPr>
        <w:ind w:left="851"/>
        <w:rPr>
          <w:sz w:val="24"/>
          <w:szCs w:val="24"/>
        </w:rPr>
      </w:pPr>
    </w:p>
    <w:p w:rsidR="009601E5" w:rsidRDefault="009601E5" w:rsidP="00305F28">
      <w:pPr>
        <w:keepNext/>
        <w:ind w:left="851"/>
        <w:rPr>
          <w:sz w:val="24"/>
          <w:szCs w:val="24"/>
          <w:u w:val="single"/>
          <w:lang w:val="en-US"/>
        </w:rPr>
      </w:pPr>
      <w:r>
        <w:rPr>
          <w:sz w:val="24"/>
          <w:szCs w:val="24"/>
          <w:u w:val="single"/>
          <w:lang w:val="en-US"/>
        </w:rPr>
        <w:t>Ritonavir (potent CYP450-induktor; CYP3A4-hæmmer og -substrat)</w:t>
      </w:r>
    </w:p>
    <w:p w:rsidR="009601E5" w:rsidRDefault="009601E5" w:rsidP="009601E5">
      <w:pPr>
        <w:ind w:left="851"/>
        <w:rPr>
          <w:sz w:val="24"/>
          <w:szCs w:val="24"/>
        </w:rPr>
      </w:pPr>
      <w:r>
        <w:rPr>
          <w:sz w:val="24"/>
          <w:szCs w:val="24"/>
        </w:rPr>
        <w:t>Samtidig administration af voriconazol og lavdosis-ritonavir (100 mg to gange dagligt) bør undgås, medmindre en vurdering af benefit/risk-forholdet for patienten retfærdiggør brugen af voriconazol (se pkt. 4.3 og 4.5).</w:t>
      </w:r>
    </w:p>
    <w:p w:rsidR="009601E5" w:rsidRDefault="009601E5" w:rsidP="009601E5">
      <w:pPr>
        <w:ind w:left="851"/>
        <w:rPr>
          <w:sz w:val="24"/>
          <w:szCs w:val="24"/>
          <w:u w:val="single"/>
        </w:rPr>
      </w:pPr>
    </w:p>
    <w:p w:rsidR="00E67E76" w:rsidRDefault="00E67E76" w:rsidP="00E67E76">
      <w:pPr>
        <w:ind w:left="851"/>
        <w:rPr>
          <w:sz w:val="24"/>
          <w:szCs w:val="24"/>
          <w:u w:val="single"/>
          <w:lang w:val="en-US"/>
        </w:rPr>
      </w:pPr>
      <w:r>
        <w:rPr>
          <w:sz w:val="24"/>
          <w:szCs w:val="24"/>
          <w:u w:val="single"/>
          <w:lang w:val="en-US"/>
        </w:rPr>
        <w:t>Everolimus (CYP3A4-substrat, P-gp-substrat)</w:t>
      </w:r>
    </w:p>
    <w:p w:rsidR="00E67E76" w:rsidRDefault="00E67E76" w:rsidP="00E67E76">
      <w:pPr>
        <w:ind w:left="851"/>
        <w:rPr>
          <w:sz w:val="24"/>
          <w:szCs w:val="24"/>
        </w:rPr>
      </w:pPr>
      <w:r>
        <w:rPr>
          <w:sz w:val="24"/>
          <w:szCs w:val="24"/>
        </w:rPr>
        <w:t>Samtidig administration af voriconazol og everolimus anbefales ikke, fordi voriconazol antages at øge koncentrationen af everolimus signifikant. På nuværende tidspunkt foreligger der ikke tilstrækkelige data til at give doseringsanbefalinger i denne situation (se pkt. 4.5).</w:t>
      </w:r>
    </w:p>
    <w:p w:rsidR="00E67E76" w:rsidRDefault="00E67E76" w:rsidP="00E67E76">
      <w:pPr>
        <w:ind w:left="851"/>
        <w:rPr>
          <w:sz w:val="24"/>
          <w:szCs w:val="24"/>
        </w:rPr>
      </w:pPr>
    </w:p>
    <w:p w:rsidR="00E67E76" w:rsidRDefault="00E67E76" w:rsidP="00E67E76">
      <w:pPr>
        <w:ind w:left="851"/>
        <w:rPr>
          <w:sz w:val="24"/>
          <w:szCs w:val="24"/>
          <w:u w:val="single"/>
        </w:rPr>
      </w:pPr>
      <w:r>
        <w:rPr>
          <w:sz w:val="24"/>
          <w:szCs w:val="24"/>
          <w:u w:val="single"/>
        </w:rPr>
        <w:t>Methadon (CYP3A4-substrat)</w:t>
      </w:r>
    </w:p>
    <w:p w:rsidR="00E67E76" w:rsidRDefault="00E67E76" w:rsidP="00E67E76">
      <w:pPr>
        <w:ind w:left="851"/>
        <w:rPr>
          <w:sz w:val="24"/>
          <w:szCs w:val="24"/>
        </w:rPr>
      </w:pPr>
      <w:r>
        <w:rPr>
          <w:sz w:val="24"/>
          <w:szCs w:val="24"/>
        </w:rPr>
        <w:t>Hyppig monitorering af bivirkninger og toksicitet i forbindelse med methadon, herunder QTc-forlængelse, anbefales ved samtidig administration af voriconazol, da methadon</w:t>
      </w:r>
      <w:r>
        <w:rPr>
          <w:sz w:val="24"/>
          <w:szCs w:val="24"/>
        </w:rPr>
        <w:softHyphen/>
        <w:t>niveauerne stiger efter samtidig administration af voriconazol. Dosisreduktion af methadon kan være nødvendig (se pkt. 4.5).</w:t>
      </w:r>
    </w:p>
    <w:p w:rsidR="009601E5" w:rsidRDefault="009601E5" w:rsidP="009601E5">
      <w:pPr>
        <w:ind w:left="851"/>
        <w:rPr>
          <w:sz w:val="24"/>
          <w:szCs w:val="24"/>
        </w:rPr>
      </w:pPr>
    </w:p>
    <w:p w:rsidR="009601E5" w:rsidRDefault="009601E5" w:rsidP="009601E5">
      <w:pPr>
        <w:ind w:left="851"/>
        <w:rPr>
          <w:sz w:val="24"/>
          <w:szCs w:val="24"/>
          <w:u w:val="single"/>
        </w:rPr>
      </w:pPr>
      <w:r>
        <w:rPr>
          <w:sz w:val="24"/>
          <w:szCs w:val="24"/>
          <w:u w:val="single"/>
        </w:rPr>
        <w:t>Korttidsvirkende opiater (CYP3A4-substrat)</w:t>
      </w:r>
    </w:p>
    <w:p w:rsidR="009601E5" w:rsidRDefault="009601E5" w:rsidP="009601E5">
      <w:pPr>
        <w:ind w:left="851"/>
        <w:rPr>
          <w:sz w:val="24"/>
          <w:szCs w:val="24"/>
        </w:rPr>
      </w:pPr>
      <w:r>
        <w:rPr>
          <w:sz w:val="24"/>
          <w:szCs w:val="24"/>
        </w:rPr>
        <w:t>Dosisreduktion af alfentanil, fentanyl og andre korttidsvirkende opiater, der har samme struktur som alfentanil, og som metaboliseres af CYP3A4 (f.eks. sufentanil), bør overvejes ved samtidig administration af voriconazol (se pkt. 4.5). Når alfentanil administreres samtidig med voriconazol, forlænges alfentanils halveringstid 4 gange, og i et uafhængigt, publiceret studie resulterede samtidig behandling med voriconazol og fentanyl i en forhøjelse af gennemsnitligt AUC</w:t>
      </w:r>
      <w:r>
        <w:rPr>
          <w:sz w:val="24"/>
          <w:szCs w:val="24"/>
          <w:vertAlign w:val="subscript"/>
        </w:rPr>
        <w:t>0-∞</w:t>
      </w:r>
      <w:r>
        <w:rPr>
          <w:sz w:val="24"/>
          <w:szCs w:val="24"/>
        </w:rPr>
        <w:t xml:space="preserve"> for fentanyl. Hyppig monitorering for opiat-relaterede bivirkninger (herunder monitorering af respirationen i en længere periode) kan derfor være nødvendig.</w:t>
      </w:r>
    </w:p>
    <w:p w:rsidR="009601E5" w:rsidRDefault="009601E5" w:rsidP="009601E5">
      <w:pPr>
        <w:ind w:left="851"/>
        <w:rPr>
          <w:sz w:val="24"/>
          <w:szCs w:val="24"/>
        </w:rPr>
      </w:pPr>
    </w:p>
    <w:p w:rsidR="009601E5" w:rsidRDefault="009601E5" w:rsidP="009601E5">
      <w:pPr>
        <w:ind w:left="851"/>
        <w:rPr>
          <w:sz w:val="24"/>
          <w:szCs w:val="24"/>
        </w:rPr>
      </w:pPr>
      <w:r>
        <w:rPr>
          <w:sz w:val="24"/>
          <w:szCs w:val="24"/>
          <w:u w:val="single"/>
        </w:rPr>
        <w:t>Langtidsvirkende opiater (CYP3A4-substrat)</w:t>
      </w:r>
    </w:p>
    <w:p w:rsidR="009601E5" w:rsidRDefault="009601E5" w:rsidP="009601E5">
      <w:pPr>
        <w:ind w:left="851"/>
        <w:rPr>
          <w:sz w:val="24"/>
          <w:szCs w:val="24"/>
        </w:rPr>
      </w:pPr>
      <w:r>
        <w:rPr>
          <w:sz w:val="24"/>
          <w:szCs w:val="24"/>
        </w:rPr>
        <w:t>Dosisreduktion af oxycodon og andre langtidsvirkende opiater, som metaboliseres af CYP3A4 (f.eks. hydrocodon), bør overvejes ved samtidig administration af voriconazol. Hyppig monitorering for opiat-relaterede bivirkninger kan være nødvendig (se pkt. 4.5).</w:t>
      </w:r>
    </w:p>
    <w:p w:rsidR="009601E5" w:rsidRDefault="009601E5" w:rsidP="009601E5">
      <w:pPr>
        <w:ind w:left="851"/>
        <w:rPr>
          <w:sz w:val="24"/>
          <w:szCs w:val="24"/>
        </w:rPr>
      </w:pPr>
    </w:p>
    <w:p w:rsidR="009601E5" w:rsidRDefault="009601E5" w:rsidP="009601E5">
      <w:pPr>
        <w:ind w:left="851"/>
        <w:rPr>
          <w:b/>
          <w:sz w:val="24"/>
          <w:szCs w:val="24"/>
          <w:u w:val="single"/>
        </w:rPr>
      </w:pPr>
      <w:r>
        <w:rPr>
          <w:sz w:val="24"/>
          <w:szCs w:val="24"/>
          <w:u w:val="single"/>
        </w:rPr>
        <w:t>Fluconazol (CYP2C9-, CYP2C19- og CYP3A4-hæmmer)</w:t>
      </w:r>
    </w:p>
    <w:p w:rsidR="009601E5" w:rsidRDefault="009601E5" w:rsidP="009601E5">
      <w:pPr>
        <w:ind w:left="851"/>
        <w:rPr>
          <w:sz w:val="24"/>
          <w:szCs w:val="24"/>
        </w:rPr>
      </w:pPr>
      <w:r>
        <w:rPr>
          <w:sz w:val="24"/>
          <w:szCs w:val="24"/>
        </w:rPr>
        <w:t>Samtidig administration af oral voriconazol og oral fluconazol hos raske forsøgspersoner resulterede i en signifikant stigning i C</w:t>
      </w:r>
      <w:r>
        <w:rPr>
          <w:sz w:val="24"/>
          <w:szCs w:val="24"/>
          <w:vertAlign w:val="subscript"/>
        </w:rPr>
        <w:t>max</w:t>
      </w:r>
      <w:r>
        <w:rPr>
          <w:sz w:val="24"/>
          <w:szCs w:val="24"/>
        </w:rPr>
        <w:t xml:space="preserve"> og AUC</w:t>
      </w:r>
      <w:r>
        <w:rPr>
          <w:sz w:val="24"/>
          <w:szCs w:val="24"/>
          <w:vertAlign w:val="subscript"/>
          <w:lang w:val="en-US"/>
        </w:rPr>
        <w:t>τ</w:t>
      </w:r>
      <w:r>
        <w:rPr>
          <w:sz w:val="24"/>
          <w:szCs w:val="24"/>
        </w:rPr>
        <w:t xml:space="preserve"> af voriconazol. Hvilken dosisreduktion og/eller ændring i doseringsfrekvens af voriconazol og fluconazol, der vil eliminere denne virkning, er ikke fastlagt. Monitorering for voriconazol-relaterede bivirkninger anbefales, hvis voriconazol anvendes sekventielt efter fluconazol (se pkt. 4.5).</w:t>
      </w:r>
    </w:p>
    <w:p w:rsidR="009601E5" w:rsidRDefault="009601E5" w:rsidP="009601E5">
      <w:pPr>
        <w:ind w:left="851"/>
        <w:rPr>
          <w:sz w:val="24"/>
          <w:szCs w:val="24"/>
        </w:rPr>
      </w:pPr>
    </w:p>
    <w:p w:rsidR="009601E5" w:rsidRDefault="009601E5" w:rsidP="009601E5">
      <w:pPr>
        <w:ind w:left="851"/>
        <w:rPr>
          <w:sz w:val="24"/>
          <w:szCs w:val="24"/>
        </w:rPr>
      </w:pPr>
      <w:r>
        <w:rPr>
          <w:sz w:val="24"/>
          <w:szCs w:val="24"/>
        </w:rPr>
        <w:t>Voriconazole ”Sandoz” indeholder lactose og natrium</w:t>
      </w:r>
    </w:p>
    <w:p w:rsidR="009601E5" w:rsidRDefault="009601E5" w:rsidP="009601E5">
      <w:pPr>
        <w:ind w:left="851"/>
        <w:rPr>
          <w:sz w:val="24"/>
          <w:szCs w:val="24"/>
        </w:rPr>
      </w:pPr>
      <w:r>
        <w:rPr>
          <w:sz w:val="24"/>
          <w:szCs w:val="24"/>
        </w:rPr>
        <w:t>Bør ikke anvendes til patienter med hereditær galactoseintolerans, total lactasemangel eller glucose/galactosemalabsorption.</w:t>
      </w:r>
    </w:p>
    <w:p w:rsidR="009601E5" w:rsidRDefault="009601E5" w:rsidP="009601E5">
      <w:pPr>
        <w:ind w:left="851"/>
        <w:rPr>
          <w:sz w:val="24"/>
          <w:szCs w:val="24"/>
        </w:rPr>
      </w:pPr>
      <w:r>
        <w:rPr>
          <w:sz w:val="24"/>
          <w:szCs w:val="24"/>
        </w:rPr>
        <w:t>Dette lægemiddel indeholder mindre end 1 mmol (23 mg) natrium pr. filmovertrukken tablet, dvs. det er i det væsentlige natriumfrit.</w:t>
      </w:r>
    </w:p>
    <w:p w:rsidR="00EE0DC7" w:rsidRPr="007C61BD" w:rsidRDefault="00EE0DC7" w:rsidP="009601E5">
      <w:pPr>
        <w:ind w:left="851" w:hanging="851"/>
        <w:rPr>
          <w:sz w:val="24"/>
          <w:szCs w:val="24"/>
        </w:rPr>
      </w:pPr>
    </w:p>
    <w:p w:rsidR="00EE0DC7" w:rsidRPr="007C61BD" w:rsidRDefault="00EE0DC7" w:rsidP="00EE0DC7">
      <w:pPr>
        <w:ind w:left="851" w:hanging="851"/>
        <w:rPr>
          <w:b/>
          <w:sz w:val="24"/>
          <w:szCs w:val="24"/>
        </w:rPr>
      </w:pPr>
      <w:r w:rsidRPr="007C61BD">
        <w:rPr>
          <w:b/>
          <w:sz w:val="24"/>
          <w:szCs w:val="24"/>
        </w:rPr>
        <w:t>4.5</w:t>
      </w:r>
      <w:r w:rsidRPr="007C61BD">
        <w:rPr>
          <w:b/>
          <w:sz w:val="24"/>
          <w:szCs w:val="24"/>
        </w:rPr>
        <w:tab/>
        <w:t>Interaktion med andre lægemidler og andre former for interaktion</w:t>
      </w:r>
    </w:p>
    <w:p w:rsidR="008F70D2" w:rsidRDefault="00EE0DC7" w:rsidP="008F70D2">
      <w:pPr>
        <w:ind w:left="851" w:hanging="851"/>
        <w:rPr>
          <w:sz w:val="24"/>
          <w:szCs w:val="24"/>
        </w:rPr>
      </w:pPr>
      <w:r w:rsidRPr="007C61BD">
        <w:rPr>
          <w:sz w:val="24"/>
          <w:szCs w:val="24"/>
        </w:rPr>
        <w:tab/>
      </w:r>
      <w:r w:rsidR="008F70D2" w:rsidRPr="007C61BD">
        <w:rPr>
          <w:sz w:val="24"/>
          <w:szCs w:val="24"/>
        </w:rPr>
        <w:t xml:space="preserve">Voriconazol metaboliseres af og hæmmer aktiviteten af cytochrom P450-isoenzymerne CYP2C19, CYP2C9 og CYP3A4. Hæmmere eller induktorer af disse isoenzymer kan give henholdsvis en stigning eller et fald i plasmakoncentrationerne af voriconazol, og der er potentiale for, at voriconazol øger plasmaniveauerne af stoffer, der metaboliseres af disse </w:t>
      </w:r>
      <w:r w:rsidR="008F70D2" w:rsidRPr="007C61BD">
        <w:rPr>
          <w:sz w:val="24"/>
          <w:szCs w:val="24"/>
        </w:rPr>
        <w:lastRenderedPageBreak/>
        <w:t>CYP450-isoenzymer</w:t>
      </w:r>
      <w:r w:rsidR="00BF2CA8">
        <w:rPr>
          <w:sz w:val="24"/>
          <w:szCs w:val="24"/>
        </w:rPr>
        <w:t xml:space="preserve">, </w:t>
      </w:r>
      <w:r w:rsidR="00BF2CA8" w:rsidRPr="00CC2EC4">
        <w:rPr>
          <w:sz w:val="24"/>
          <w:szCs w:val="24"/>
        </w:rPr>
        <w:t>især for stoffer, der</w:t>
      </w:r>
      <w:r w:rsidR="00BF2CA8">
        <w:rPr>
          <w:sz w:val="24"/>
          <w:szCs w:val="24"/>
        </w:rPr>
        <w:t xml:space="preserve"> </w:t>
      </w:r>
      <w:r w:rsidR="00BF2CA8" w:rsidRPr="00CC2EC4">
        <w:rPr>
          <w:sz w:val="24"/>
          <w:szCs w:val="24"/>
        </w:rPr>
        <w:t>metaboliseres af CYP3A4, da voriconazol er en</w:t>
      </w:r>
      <w:r w:rsidR="00BF2CA8">
        <w:rPr>
          <w:sz w:val="24"/>
          <w:szCs w:val="24"/>
        </w:rPr>
        <w:t xml:space="preserve"> </w:t>
      </w:r>
      <w:r w:rsidR="00BF2CA8" w:rsidRPr="00CC2EC4">
        <w:rPr>
          <w:sz w:val="24"/>
          <w:szCs w:val="24"/>
        </w:rPr>
        <w:t>kraftig CYP3A4-hæmmer, selv om stigningen i AUC</w:t>
      </w:r>
      <w:r w:rsidR="00BF2CA8">
        <w:rPr>
          <w:sz w:val="24"/>
          <w:szCs w:val="24"/>
        </w:rPr>
        <w:t xml:space="preserve"> </w:t>
      </w:r>
      <w:r w:rsidR="00BF2CA8" w:rsidRPr="00CC2EC4">
        <w:rPr>
          <w:sz w:val="24"/>
          <w:szCs w:val="24"/>
        </w:rPr>
        <w:t>er substratafhængig (se tabel nedenfor).</w:t>
      </w:r>
    </w:p>
    <w:p w:rsidR="00BF2CA8" w:rsidRPr="007C61BD" w:rsidRDefault="00BF2CA8" w:rsidP="008F70D2">
      <w:pPr>
        <w:ind w:left="851" w:hanging="851"/>
        <w:rPr>
          <w:sz w:val="24"/>
          <w:szCs w:val="24"/>
        </w:rPr>
      </w:pPr>
    </w:p>
    <w:p w:rsidR="008F70D2" w:rsidRPr="007C61BD" w:rsidRDefault="008F70D2" w:rsidP="008F70D2">
      <w:pPr>
        <w:ind w:left="851" w:hanging="851"/>
        <w:rPr>
          <w:sz w:val="24"/>
          <w:szCs w:val="24"/>
        </w:rPr>
      </w:pPr>
      <w:r>
        <w:rPr>
          <w:sz w:val="24"/>
          <w:szCs w:val="24"/>
        </w:rPr>
        <w:tab/>
      </w:r>
      <w:r w:rsidRPr="007C61BD">
        <w:rPr>
          <w:sz w:val="24"/>
          <w:szCs w:val="24"/>
        </w:rPr>
        <w:t>Medmindre andet er specificeret, er lægemiddelinteraktionsstudierne udført hos raske voksne mandlige forsøgspersoner ved anvendelse af gentagen dosering af oral voriconazol 200 mg to gange dagligt indtil steady state. Disse resultater er relevante for andre populationer og administrationsveje.</w:t>
      </w:r>
    </w:p>
    <w:p w:rsidR="008F70D2" w:rsidRPr="007C61BD" w:rsidRDefault="008F70D2" w:rsidP="008F70D2">
      <w:pPr>
        <w:ind w:left="851" w:hanging="851"/>
        <w:rPr>
          <w:sz w:val="24"/>
          <w:szCs w:val="24"/>
        </w:rPr>
      </w:pPr>
    </w:p>
    <w:p w:rsidR="008F70D2" w:rsidRPr="007C61BD" w:rsidRDefault="008F70D2" w:rsidP="008F70D2">
      <w:pPr>
        <w:ind w:left="851" w:hanging="851"/>
        <w:rPr>
          <w:sz w:val="24"/>
          <w:szCs w:val="24"/>
        </w:rPr>
      </w:pPr>
      <w:r>
        <w:rPr>
          <w:sz w:val="24"/>
          <w:szCs w:val="24"/>
        </w:rPr>
        <w:tab/>
      </w:r>
      <w:r w:rsidRPr="007C61BD">
        <w:rPr>
          <w:sz w:val="24"/>
          <w:szCs w:val="24"/>
        </w:rPr>
        <w:t>Voriconazol bør anvendes med forsigtighed hos patienter, der samtidig tager medicin, som er kendt for at forlænge QT-intervallet. Hvis der også er en mulighed for, at voriconazol øger plasmaniveauerne af substanser, der metaboliseres af CYP3A4-isoenzymer (visse antihistaminer, quinidin, cisaprid, pimozid</w:t>
      </w:r>
      <w:r>
        <w:rPr>
          <w:sz w:val="24"/>
          <w:szCs w:val="24"/>
        </w:rPr>
        <w:t xml:space="preserve"> og ivabradin</w:t>
      </w:r>
      <w:r w:rsidRPr="007C61BD">
        <w:rPr>
          <w:sz w:val="24"/>
          <w:szCs w:val="24"/>
        </w:rPr>
        <w:t>), er samtidig administration kontraindiceret (se nedenfor og pkt. 4.3).</w:t>
      </w:r>
    </w:p>
    <w:p w:rsidR="00EE0DC7" w:rsidRPr="007C61BD" w:rsidRDefault="00EE0DC7" w:rsidP="008F70D2">
      <w:pPr>
        <w:ind w:left="851" w:hanging="851"/>
        <w:rPr>
          <w:sz w:val="24"/>
          <w:szCs w:val="24"/>
        </w:rPr>
      </w:pPr>
    </w:p>
    <w:p w:rsidR="00EE0DC7" w:rsidRPr="00E454E5" w:rsidRDefault="00EE0DC7" w:rsidP="00EE0DC7">
      <w:pPr>
        <w:ind w:left="851" w:hanging="851"/>
        <w:rPr>
          <w:sz w:val="24"/>
          <w:szCs w:val="24"/>
          <w:u w:val="single"/>
        </w:rPr>
      </w:pPr>
      <w:r w:rsidRPr="00A8780F">
        <w:rPr>
          <w:sz w:val="24"/>
          <w:szCs w:val="24"/>
        </w:rPr>
        <w:tab/>
      </w:r>
      <w:r w:rsidRPr="007C61BD">
        <w:rPr>
          <w:sz w:val="24"/>
          <w:szCs w:val="24"/>
          <w:u w:val="single"/>
        </w:rPr>
        <w:t>Interaktionsskema</w:t>
      </w:r>
    </w:p>
    <w:p w:rsidR="00EE0DC7" w:rsidRPr="007C61BD" w:rsidRDefault="00EE0DC7" w:rsidP="00EE0DC7">
      <w:pPr>
        <w:ind w:left="851" w:hanging="851"/>
        <w:rPr>
          <w:sz w:val="24"/>
          <w:szCs w:val="24"/>
        </w:rPr>
      </w:pPr>
      <w:r>
        <w:rPr>
          <w:sz w:val="24"/>
          <w:szCs w:val="24"/>
        </w:rPr>
        <w:tab/>
      </w:r>
      <w:r w:rsidRPr="007C61BD">
        <w:rPr>
          <w:sz w:val="24"/>
          <w:szCs w:val="24"/>
        </w:rPr>
        <w:t>Interaktionerne mellem voriconazol og andre lægemidler er anført i følgende skema (1 gang daglig som ”QD”, 2 gange daglig som ”BID”, 3 gange daglig som ”TID” og ikke fastlagt som ”ND”). Pilens retning for hvert farmakokinetisk parameter er baseret på 90 % konfidensinterval af den geometriske gennemsnitlige ratio inden for (↔), under (↓) eller over (↑) grænserne 80-125 %. En asterisk (*) indikerer en tovejs interaktion. AUC</w:t>
      </w:r>
      <w:r w:rsidRPr="007C61BD">
        <w:rPr>
          <w:sz w:val="24"/>
          <w:szCs w:val="24"/>
          <w:vertAlign w:val="subscript"/>
          <w:lang w:val="en-US"/>
        </w:rPr>
        <w:t>τ</w:t>
      </w:r>
      <w:r w:rsidRPr="007C61BD">
        <w:rPr>
          <w:sz w:val="24"/>
          <w:szCs w:val="24"/>
        </w:rPr>
        <w:t>, AUC</w:t>
      </w:r>
      <w:r w:rsidRPr="007C61BD">
        <w:rPr>
          <w:sz w:val="24"/>
          <w:szCs w:val="24"/>
          <w:vertAlign w:val="subscript"/>
        </w:rPr>
        <w:t>t</w:t>
      </w:r>
      <w:r w:rsidRPr="007C61BD">
        <w:rPr>
          <w:sz w:val="24"/>
          <w:szCs w:val="24"/>
        </w:rPr>
        <w:t xml:space="preserve"> og AUC</w:t>
      </w:r>
      <w:r w:rsidRPr="007C61BD">
        <w:rPr>
          <w:sz w:val="24"/>
          <w:szCs w:val="24"/>
          <w:vertAlign w:val="subscript"/>
        </w:rPr>
        <w:t>0-∞</w:t>
      </w:r>
      <w:r w:rsidRPr="007C61BD">
        <w:rPr>
          <w:sz w:val="24"/>
          <w:szCs w:val="24"/>
        </w:rPr>
        <w:t xml:space="preserve"> repræsenterer arealet under kurven over et doseringsinterval hhv. fra nultidspunktet til detekterbare målinger og fra nultidspunktet til uendelighed.</w:t>
      </w:r>
    </w:p>
    <w:p w:rsidR="00EE0DC7" w:rsidRPr="007C61BD" w:rsidRDefault="00EE0DC7" w:rsidP="00EE0DC7">
      <w:pPr>
        <w:ind w:left="851" w:hanging="851"/>
        <w:rPr>
          <w:sz w:val="24"/>
          <w:szCs w:val="24"/>
        </w:rPr>
      </w:pPr>
    </w:p>
    <w:p w:rsidR="008F70D2" w:rsidRDefault="00EE0DC7" w:rsidP="008F70D2">
      <w:pPr>
        <w:ind w:left="851" w:hanging="851"/>
        <w:rPr>
          <w:sz w:val="24"/>
          <w:szCs w:val="24"/>
        </w:rPr>
      </w:pPr>
      <w:r>
        <w:rPr>
          <w:sz w:val="24"/>
          <w:szCs w:val="24"/>
        </w:rPr>
        <w:tab/>
      </w:r>
      <w:r w:rsidRPr="007C61BD">
        <w:rPr>
          <w:sz w:val="24"/>
          <w:szCs w:val="24"/>
        </w:rPr>
        <w:t>Interaktionerne i skemaet er listet i følgende orden: kontraindikationer, interaktioner, der kræver justering af dosis og omhyggelig klinisk og/eller biologisk monitorering, og slutteligt interaktioner, der ikke har farmakologisk relevans, men som kan være af klinisk interesse på det terapeutiske felt.</w:t>
      </w:r>
      <w:r w:rsidR="008F70D2" w:rsidRPr="008F70D2">
        <w:rPr>
          <w:sz w:val="24"/>
          <w:szCs w:val="24"/>
        </w:rPr>
        <w:t xml:space="preserve"> </w:t>
      </w:r>
    </w:p>
    <w:p w:rsidR="00B973E4" w:rsidRDefault="00B973E4" w:rsidP="00B973E4">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3208"/>
        <w:gridCol w:w="3208"/>
      </w:tblGrid>
      <w:tr w:rsidR="00B973E4" w:rsidTr="00B973E4">
        <w:trPr>
          <w:tblHeader/>
        </w:trPr>
        <w:tc>
          <w:tcPr>
            <w:tcW w:w="1668" w:type="pct"/>
            <w:tcBorders>
              <w:top w:val="single" w:sz="4" w:space="0" w:color="auto"/>
              <w:left w:val="single" w:sz="4" w:space="0" w:color="auto"/>
              <w:bottom w:val="single" w:sz="4" w:space="0" w:color="auto"/>
              <w:right w:val="single" w:sz="4" w:space="0" w:color="auto"/>
            </w:tcBorders>
            <w:shd w:val="clear" w:color="auto" w:fill="F2F2F2"/>
            <w:hideMark/>
          </w:tcPr>
          <w:p w:rsidR="00B973E4" w:rsidRDefault="00B973E4">
            <w:pPr>
              <w:rPr>
                <w:b/>
                <w:sz w:val="24"/>
                <w:szCs w:val="24"/>
              </w:rPr>
            </w:pPr>
            <w:r>
              <w:rPr>
                <w:b/>
                <w:sz w:val="24"/>
                <w:szCs w:val="24"/>
              </w:rPr>
              <w:t>Lægemiddel</w:t>
            </w:r>
          </w:p>
          <w:p w:rsidR="00B973E4" w:rsidRDefault="00B973E4">
            <w:pPr>
              <w:rPr>
                <w:sz w:val="24"/>
                <w:szCs w:val="24"/>
              </w:rPr>
            </w:pPr>
            <w:r>
              <w:rPr>
                <w:b/>
                <w:i/>
                <w:sz w:val="24"/>
                <w:szCs w:val="24"/>
              </w:rPr>
              <w:t>[Interaktionsmekanisme]</w:t>
            </w:r>
          </w:p>
        </w:tc>
        <w:tc>
          <w:tcPr>
            <w:tcW w:w="1666" w:type="pct"/>
            <w:tcBorders>
              <w:top w:val="single" w:sz="4" w:space="0" w:color="auto"/>
              <w:left w:val="single" w:sz="4" w:space="0" w:color="auto"/>
              <w:bottom w:val="single" w:sz="4" w:space="0" w:color="auto"/>
              <w:right w:val="single" w:sz="4" w:space="0" w:color="auto"/>
            </w:tcBorders>
            <w:shd w:val="clear" w:color="auto" w:fill="F2F2F2"/>
            <w:hideMark/>
          </w:tcPr>
          <w:p w:rsidR="00B973E4" w:rsidRDefault="00B973E4">
            <w:pPr>
              <w:rPr>
                <w:b/>
                <w:sz w:val="24"/>
                <w:szCs w:val="24"/>
              </w:rPr>
            </w:pPr>
            <w:r>
              <w:rPr>
                <w:b/>
                <w:sz w:val="24"/>
                <w:szCs w:val="24"/>
              </w:rPr>
              <w:t>Interaktion</w:t>
            </w:r>
          </w:p>
          <w:p w:rsidR="00B973E4" w:rsidRDefault="00B973E4">
            <w:pPr>
              <w:rPr>
                <w:sz w:val="24"/>
                <w:szCs w:val="24"/>
              </w:rPr>
            </w:pPr>
            <w:r>
              <w:rPr>
                <w:b/>
                <w:sz w:val="24"/>
                <w:szCs w:val="24"/>
              </w:rPr>
              <w:t>Geometrisk gennemsnitlig ændring (%)</w:t>
            </w:r>
          </w:p>
        </w:tc>
        <w:tc>
          <w:tcPr>
            <w:tcW w:w="1666" w:type="pct"/>
            <w:tcBorders>
              <w:top w:val="single" w:sz="4" w:space="0" w:color="auto"/>
              <w:left w:val="single" w:sz="4" w:space="0" w:color="auto"/>
              <w:bottom w:val="single" w:sz="4" w:space="0" w:color="auto"/>
              <w:right w:val="single" w:sz="4" w:space="0" w:color="auto"/>
            </w:tcBorders>
            <w:shd w:val="clear" w:color="auto" w:fill="F2F2F2"/>
            <w:hideMark/>
          </w:tcPr>
          <w:p w:rsidR="00B973E4" w:rsidRDefault="00B973E4">
            <w:pPr>
              <w:rPr>
                <w:sz w:val="24"/>
                <w:szCs w:val="24"/>
              </w:rPr>
            </w:pPr>
            <w:r>
              <w:rPr>
                <w:b/>
                <w:sz w:val="24"/>
                <w:szCs w:val="24"/>
              </w:rPr>
              <w:t>Anbefalinger vedrørende samtidig administration</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lang w:val="en-US"/>
              </w:rPr>
            </w:pPr>
            <w:r>
              <w:rPr>
                <w:sz w:val="24"/>
                <w:szCs w:val="24"/>
                <w:lang w:val="en-US"/>
              </w:rPr>
              <w:t>Astemizol, cisaprid, pimozid, quinidin og terfenadin</w:t>
            </w:r>
          </w:p>
          <w:p w:rsidR="00B973E4" w:rsidRDefault="00B973E4">
            <w:pPr>
              <w:rPr>
                <w:sz w:val="24"/>
                <w:szCs w:val="24"/>
                <w:lang w:val="en-US"/>
              </w:rPr>
            </w:pPr>
            <w:r>
              <w:rPr>
                <w:i/>
                <w:sz w:val="24"/>
                <w:szCs w:val="24"/>
                <w:lang w:val="en-US"/>
              </w:rPr>
              <w:t>[CYP3A4-substrater]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 kan forøgede plasmakoncentrationer af disse lægemidler føre til QTc-forlængelse og i sjældne tilfælde torsades de pointes.</w:t>
            </w:r>
          </w:p>
        </w:tc>
        <w:tc>
          <w:tcPr>
            <w:tcW w:w="1666" w:type="pct"/>
            <w:tcBorders>
              <w:top w:val="single" w:sz="4" w:space="0" w:color="auto"/>
              <w:left w:val="single" w:sz="4" w:space="0" w:color="auto"/>
              <w:bottom w:val="single" w:sz="4" w:space="0" w:color="auto"/>
              <w:right w:val="single" w:sz="4" w:space="0" w:color="auto"/>
            </w:tcBorders>
            <w:vAlign w:val="center"/>
            <w:hideMark/>
          </w:tcPr>
          <w:p w:rsidR="00B973E4" w:rsidRDefault="00B973E4">
            <w:pPr>
              <w:rPr>
                <w:sz w:val="24"/>
                <w:szCs w:val="24"/>
              </w:rPr>
            </w:pPr>
            <w:r>
              <w:rPr>
                <w:b/>
                <w:sz w:val="24"/>
                <w:szCs w:val="24"/>
              </w:rPr>
              <w:t xml:space="preserve">Kontraindiceret </w:t>
            </w:r>
            <w:r>
              <w:rPr>
                <w:sz w:val="24"/>
                <w:szCs w:val="24"/>
              </w:rPr>
              <w:t>(se pkt. 4.3).</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D6284D" w:rsidRDefault="00B973E4" w:rsidP="00D6284D">
            <w:pPr>
              <w:rPr>
                <w:sz w:val="24"/>
                <w:szCs w:val="24"/>
              </w:rPr>
            </w:pPr>
            <w:r>
              <w:rPr>
                <w:sz w:val="24"/>
                <w:szCs w:val="24"/>
              </w:rPr>
              <w:t xml:space="preserve">Carbamazepin og langtidsvirkende benzodiazepiner </w:t>
            </w:r>
            <w:r w:rsidR="00D6284D">
              <w:rPr>
                <w:sz w:val="24"/>
                <w:szCs w:val="24"/>
              </w:rPr>
              <w:t xml:space="preserve">(herunder, men ikke begrænset </w:t>
            </w:r>
          </w:p>
          <w:p w:rsidR="00B973E4" w:rsidRDefault="00D6284D" w:rsidP="00D6284D">
            <w:pPr>
              <w:rPr>
                <w:sz w:val="24"/>
                <w:szCs w:val="24"/>
              </w:rPr>
            </w:pPr>
            <w:r>
              <w:rPr>
                <w:sz w:val="24"/>
                <w:szCs w:val="24"/>
              </w:rPr>
              <w:t>til: phenobarbital,</w:t>
            </w:r>
            <w:r w:rsidR="00B973E4">
              <w:rPr>
                <w:sz w:val="24"/>
                <w:szCs w:val="24"/>
              </w:rPr>
              <w:t xml:space="preserve"> mephobarbital) </w:t>
            </w:r>
            <w:r w:rsidR="00B973E4">
              <w:rPr>
                <w:i/>
                <w:sz w:val="24"/>
                <w:szCs w:val="24"/>
              </w:rPr>
              <w:t>[potente CYP450-induktorer]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 er det sandsynligt, at carbamazepin og langtidsvirkende benzodiazepiner kan nedsætte plasmakoncentrationen af voriconazol signifikant.</w:t>
            </w:r>
          </w:p>
        </w:tc>
        <w:tc>
          <w:tcPr>
            <w:tcW w:w="1666" w:type="pct"/>
            <w:tcBorders>
              <w:top w:val="single" w:sz="4" w:space="0" w:color="auto"/>
              <w:left w:val="single" w:sz="4" w:space="0" w:color="auto"/>
              <w:bottom w:val="single" w:sz="4" w:space="0" w:color="auto"/>
              <w:right w:val="single" w:sz="4" w:space="0" w:color="auto"/>
            </w:tcBorders>
            <w:vAlign w:val="center"/>
            <w:hideMark/>
          </w:tcPr>
          <w:p w:rsidR="00B973E4" w:rsidRDefault="00B973E4">
            <w:pPr>
              <w:rPr>
                <w:sz w:val="24"/>
                <w:szCs w:val="24"/>
              </w:rPr>
            </w:pPr>
            <w:r>
              <w:rPr>
                <w:b/>
                <w:sz w:val="24"/>
                <w:szCs w:val="24"/>
              </w:rPr>
              <w:t xml:space="preserve">Kontraindiceret </w:t>
            </w:r>
            <w:r>
              <w:rPr>
                <w:sz w:val="24"/>
                <w:szCs w:val="24"/>
              </w:rPr>
              <w:t>(se pkt. 4.3).</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t xml:space="preserve">Efavirenz (en non-nukleosid revers transkriptasehæmmer) </w:t>
            </w:r>
            <w:r>
              <w:rPr>
                <w:i/>
                <w:sz w:val="24"/>
                <w:szCs w:val="24"/>
              </w:rPr>
              <w:t>[CYP450-induktor; CYP3A4- hæmmer og -substrat]</w:t>
            </w:r>
          </w:p>
          <w:p w:rsidR="00B973E4" w:rsidRDefault="00B973E4">
            <w:pPr>
              <w:rPr>
                <w:sz w:val="24"/>
                <w:szCs w:val="24"/>
              </w:rPr>
            </w:pPr>
          </w:p>
          <w:p w:rsidR="00B973E4" w:rsidRDefault="00B973E4">
            <w:pPr>
              <w:rPr>
                <w:sz w:val="24"/>
                <w:szCs w:val="24"/>
              </w:rPr>
            </w:pPr>
            <w:r>
              <w:rPr>
                <w:sz w:val="24"/>
                <w:szCs w:val="24"/>
              </w:rPr>
              <w:t>Efavirenz 400 mg QD,</w:t>
            </w:r>
          </w:p>
          <w:p w:rsidR="00B973E4" w:rsidRDefault="00B973E4">
            <w:pPr>
              <w:rPr>
                <w:sz w:val="24"/>
                <w:szCs w:val="24"/>
              </w:rPr>
            </w:pPr>
            <w:r>
              <w:rPr>
                <w:sz w:val="24"/>
                <w:szCs w:val="24"/>
              </w:rPr>
              <w:lastRenderedPageBreak/>
              <w:t>administreret samtidig med voriconazol 200 mg BID*</w:t>
            </w: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Efavirenz 300 mg QD administreret samtidig med voriconazol 400 mg BID*</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Efavirenz C</w:t>
            </w:r>
            <w:r>
              <w:rPr>
                <w:sz w:val="24"/>
                <w:szCs w:val="24"/>
                <w:vertAlign w:val="subscript"/>
              </w:rPr>
              <w:t xml:space="preserve">max </w:t>
            </w:r>
            <w:r>
              <w:rPr>
                <w:sz w:val="24"/>
                <w:szCs w:val="24"/>
              </w:rPr>
              <w:t>↑ 38 %</w:t>
            </w:r>
          </w:p>
          <w:p w:rsidR="00B973E4" w:rsidRDefault="00B973E4">
            <w:pPr>
              <w:rPr>
                <w:sz w:val="24"/>
                <w:szCs w:val="24"/>
              </w:rPr>
            </w:pPr>
            <w:r>
              <w:rPr>
                <w:sz w:val="24"/>
                <w:szCs w:val="24"/>
              </w:rPr>
              <w:lastRenderedPageBreak/>
              <w:t>Efavirenz AUC</w:t>
            </w:r>
            <w:r>
              <w:rPr>
                <w:sz w:val="24"/>
                <w:szCs w:val="24"/>
                <w:vertAlign w:val="subscript"/>
                <w:lang w:val="en-US"/>
              </w:rPr>
              <w:t>τ</w:t>
            </w:r>
            <w:r>
              <w:rPr>
                <w:sz w:val="24"/>
                <w:szCs w:val="24"/>
              </w:rPr>
              <w:t xml:space="preserve"> ↑ 44 %</w:t>
            </w:r>
          </w:p>
          <w:p w:rsidR="00B973E4" w:rsidRDefault="00B973E4">
            <w:pPr>
              <w:rPr>
                <w:sz w:val="24"/>
                <w:szCs w:val="24"/>
              </w:rPr>
            </w:pPr>
            <w:r>
              <w:rPr>
                <w:sz w:val="24"/>
                <w:szCs w:val="24"/>
              </w:rPr>
              <w:t>Voriconazol C</w:t>
            </w:r>
            <w:r>
              <w:rPr>
                <w:sz w:val="24"/>
                <w:szCs w:val="24"/>
                <w:vertAlign w:val="subscript"/>
              </w:rPr>
              <w:t xml:space="preserve">max </w:t>
            </w:r>
            <w:r>
              <w:rPr>
                <w:sz w:val="24"/>
                <w:szCs w:val="24"/>
              </w:rPr>
              <w:t>↓ 61 % Voriconazol AUC</w:t>
            </w:r>
            <w:r>
              <w:rPr>
                <w:sz w:val="24"/>
                <w:szCs w:val="24"/>
                <w:vertAlign w:val="subscript"/>
                <w:lang w:val="en-US"/>
              </w:rPr>
              <w:t>τ</w:t>
            </w:r>
            <w:r>
              <w:rPr>
                <w:sz w:val="24"/>
                <w:szCs w:val="24"/>
              </w:rPr>
              <w:t xml:space="preserve"> ↓ 77 %</w:t>
            </w:r>
          </w:p>
          <w:p w:rsidR="00B973E4" w:rsidRDefault="00B973E4">
            <w:pPr>
              <w:rPr>
                <w:sz w:val="24"/>
                <w:szCs w:val="24"/>
              </w:rPr>
            </w:pPr>
          </w:p>
          <w:p w:rsidR="00B973E4" w:rsidRDefault="00B973E4">
            <w:pPr>
              <w:rPr>
                <w:sz w:val="24"/>
                <w:szCs w:val="24"/>
              </w:rPr>
            </w:pPr>
            <w:r>
              <w:rPr>
                <w:sz w:val="24"/>
                <w:szCs w:val="24"/>
              </w:rPr>
              <w:t>Sammenlignet med efavirenz 600 mg QD,</w:t>
            </w:r>
          </w:p>
          <w:p w:rsidR="00B973E4" w:rsidRDefault="00B973E4">
            <w:pPr>
              <w:rPr>
                <w:sz w:val="24"/>
                <w:szCs w:val="24"/>
              </w:rPr>
            </w:pPr>
            <w:r>
              <w:rPr>
                <w:sz w:val="24"/>
                <w:szCs w:val="24"/>
              </w:rPr>
              <w:t>Efavirenz C</w:t>
            </w:r>
            <w:r>
              <w:rPr>
                <w:sz w:val="24"/>
                <w:szCs w:val="24"/>
                <w:vertAlign w:val="subscript"/>
              </w:rPr>
              <w:t>max</w:t>
            </w:r>
            <w:r>
              <w:rPr>
                <w:sz w:val="24"/>
                <w:szCs w:val="24"/>
              </w:rPr>
              <w:t xml:space="preserve"> ↔</w:t>
            </w:r>
          </w:p>
          <w:p w:rsidR="00B973E4" w:rsidRDefault="00B973E4">
            <w:pPr>
              <w:rPr>
                <w:sz w:val="24"/>
                <w:szCs w:val="24"/>
              </w:rPr>
            </w:pPr>
            <w:r>
              <w:rPr>
                <w:sz w:val="24"/>
                <w:szCs w:val="24"/>
              </w:rPr>
              <w:t>Efavirenz AUC</w:t>
            </w:r>
            <w:r>
              <w:rPr>
                <w:sz w:val="24"/>
                <w:szCs w:val="24"/>
                <w:vertAlign w:val="subscript"/>
                <w:lang w:val="en-US"/>
              </w:rPr>
              <w:t>τ</w:t>
            </w:r>
            <w:r>
              <w:rPr>
                <w:sz w:val="24"/>
                <w:szCs w:val="24"/>
              </w:rPr>
              <w:t xml:space="preserve"> ↑ 17 %</w:t>
            </w:r>
          </w:p>
          <w:p w:rsidR="00B973E4" w:rsidRDefault="00B973E4">
            <w:pPr>
              <w:rPr>
                <w:sz w:val="24"/>
                <w:szCs w:val="24"/>
              </w:rPr>
            </w:pPr>
          </w:p>
          <w:p w:rsidR="00B973E4" w:rsidRDefault="00B973E4">
            <w:pPr>
              <w:rPr>
                <w:sz w:val="24"/>
                <w:szCs w:val="24"/>
              </w:rPr>
            </w:pPr>
            <w:r>
              <w:rPr>
                <w:sz w:val="24"/>
                <w:szCs w:val="24"/>
              </w:rPr>
              <w:t xml:space="preserve">Sammenlignet med voriconazol 200 mg BID, </w:t>
            </w:r>
          </w:p>
          <w:p w:rsidR="00B973E4" w:rsidRDefault="00B973E4">
            <w:pPr>
              <w:rPr>
                <w:sz w:val="24"/>
                <w:szCs w:val="24"/>
              </w:rPr>
            </w:pPr>
            <w:r>
              <w:rPr>
                <w:sz w:val="24"/>
                <w:szCs w:val="24"/>
              </w:rPr>
              <w:t>Voriconazol C</w:t>
            </w:r>
            <w:r>
              <w:rPr>
                <w:sz w:val="24"/>
                <w:szCs w:val="24"/>
                <w:vertAlign w:val="subscript"/>
              </w:rPr>
              <w:t xml:space="preserve">max </w:t>
            </w:r>
            <w:r>
              <w:rPr>
                <w:sz w:val="24"/>
                <w:szCs w:val="24"/>
              </w:rPr>
              <w:t>↑ 23 % Voriconazol AUC</w:t>
            </w:r>
            <w:r>
              <w:rPr>
                <w:sz w:val="24"/>
                <w:szCs w:val="24"/>
                <w:vertAlign w:val="subscript"/>
                <w:lang w:val="en-US"/>
              </w:rPr>
              <w:t>τ</w:t>
            </w:r>
            <w:r>
              <w:rPr>
                <w:sz w:val="24"/>
                <w:szCs w:val="24"/>
              </w:rPr>
              <w:t xml:space="preserve"> ↓ 7 %</w:t>
            </w:r>
          </w:p>
          <w:p w:rsidR="00B973E4" w:rsidRDefault="00B973E4">
            <w:pPr>
              <w:rPr>
                <w:sz w:val="24"/>
                <w:szCs w:val="24"/>
              </w:rPr>
            </w:pP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lastRenderedPageBreak/>
              <w:t xml:space="preserve">Brug af standarddoser af voriconazol med af efavirenz-doser på 400 mg QD eller højere er </w:t>
            </w:r>
            <w:r>
              <w:rPr>
                <w:b/>
                <w:sz w:val="24"/>
                <w:szCs w:val="24"/>
              </w:rPr>
              <w:t xml:space="preserve">kontraindiceret </w:t>
            </w:r>
            <w:r>
              <w:rPr>
                <w:sz w:val="24"/>
                <w:szCs w:val="24"/>
              </w:rPr>
              <w:t>(se pkt. 4.3).</w:t>
            </w: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Voriconazol kan administreres sammen med efavirenz, hvis vedligeholdelsesdosis af voriconazol øges til 400 mg BID, og efavirenz-dosis reduceres til 300 mg QD. Når behandling med voriconazol standses, bør den initiale dosis af efavirenz genoptages (se pkt. 4.2 og 4.4).</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D6284D" w:rsidRDefault="00B973E4" w:rsidP="00D6284D">
            <w:pPr>
              <w:rPr>
                <w:sz w:val="24"/>
                <w:szCs w:val="24"/>
              </w:rPr>
            </w:pPr>
            <w:r>
              <w:rPr>
                <w:sz w:val="24"/>
                <w:szCs w:val="24"/>
              </w:rPr>
              <w:lastRenderedPageBreak/>
              <w:t xml:space="preserve">Sekalealkaloider </w:t>
            </w:r>
            <w:r w:rsidR="00D6284D">
              <w:rPr>
                <w:sz w:val="24"/>
                <w:szCs w:val="24"/>
              </w:rPr>
              <w:t xml:space="preserve">(herunder, men ikke begrænset </w:t>
            </w:r>
          </w:p>
          <w:p w:rsidR="00B973E4" w:rsidRDefault="00D6284D" w:rsidP="00D6284D">
            <w:pPr>
              <w:rPr>
                <w:sz w:val="24"/>
                <w:szCs w:val="24"/>
              </w:rPr>
            </w:pPr>
            <w:r>
              <w:rPr>
                <w:sz w:val="24"/>
                <w:szCs w:val="24"/>
              </w:rPr>
              <w:t xml:space="preserve">til: ergotamin og </w:t>
            </w:r>
            <w:r w:rsidR="00B973E4">
              <w:rPr>
                <w:sz w:val="24"/>
                <w:szCs w:val="24"/>
              </w:rPr>
              <w:t xml:space="preserve">dihydroergotamin) </w:t>
            </w:r>
            <w:r w:rsidR="00B973E4">
              <w:rPr>
                <w:i/>
                <w:sz w:val="24"/>
                <w:szCs w:val="24"/>
              </w:rPr>
              <w:t>[CYP3A4- substrater]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 er det sandsynligt, at voriconazol øger plasmakoncentrationen af sekalealkaloider og medfører ergotisme.</w:t>
            </w:r>
          </w:p>
        </w:tc>
        <w:tc>
          <w:tcPr>
            <w:tcW w:w="1666" w:type="pct"/>
            <w:tcBorders>
              <w:top w:val="single" w:sz="4" w:space="0" w:color="auto"/>
              <w:left w:val="single" w:sz="4" w:space="0" w:color="auto"/>
              <w:bottom w:val="single" w:sz="4" w:space="0" w:color="auto"/>
              <w:right w:val="single" w:sz="4" w:space="0" w:color="auto"/>
            </w:tcBorders>
            <w:vAlign w:val="center"/>
            <w:hideMark/>
          </w:tcPr>
          <w:p w:rsidR="00B973E4" w:rsidRDefault="00B973E4">
            <w:pPr>
              <w:rPr>
                <w:sz w:val="24"/>
                <w:szCs w:val="24"/>
              </w:rPr>
            </w:pPr>
            <w:r>
              <w:rPr>
                <w:b/>
                <w:sz w:val="24"/>
                <w:szCs w:val="24"/>
              </w:rPr>
              <w:t xml:space="preserve">Kontraindiceret </w:t>
            </w:r>
            <w:r>
              <w:rPr>
                <w:sz w:val="24"/>
                <w:szCs w:val="24"/>
              </w:rPr>
              <w:t>(se pkt. 4.3).</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Lurasidon</w:t>
            </w:r>
          </w:p>
          <w:p w:rsidR="00B973E4" w:rsidRDefault="00B973E4">
            <w:pPr>
              <w:rPr>
                <w:i/>
                <w:iCs/>
                <w:sz w:val="24"/>
                <w:szCs w:val="24"/>
              </w:rPr>
            </w:pPr>
            <w:r>
              <w:rPr>
                <w:i/>
                <w:iCs/>
                <w:sz w:val="24"/>
                <w:szCs w:val="24"/>
              </w:rPr>
              <w:t>[CYP3A4-substrat]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w:t>
            </w:r>
          </w:p>
          <w:p w:rsidR="00B973E4" w:rsidRDefault="00B973E4">
            <w:pPr>
              <w:rPr>
                <w:sz w:val="24"/>
                <w:szCs w:val="24"/>
              </w:rPr>
            </w:pPr>
            <w:r>
              <w:rPr>
                <w:sz w:val="24"/>
                <w:szCs w:val="24"/>
              </w:rPr>
              <w:t>er det sandsynligt, at voriconazol øger plasmakoncentrationen af lurasidon signifikant.</w:t>
            </w:r>
          </w:p>
        </w:tc>
        <w:tc>
          <w:tcPr>
            <w:tcW w:w="1666" w:type="pct"/>
            <w:tcBorders>
              <w:top w:val="single" w:sz="4" w:space="0" w:color="auto"/>
              <w:left w:val="single" w:sz="4" w:space="0" w:color="auto"/>
              <w:bottom w:val="single" w:sz="4" w:space="0" w:color="auto"/>
              <w:right w:val="single" w:sz="4" w:space="0" w:color="auto"/>
            </w:tcBorders>
            <w:vAlign w:val="center"/>
            <w:hideMark/>
          </w:tcPr>
          <w:p w:rsidR="00B973E4" w:rsidRDefault="00B973E4">
            <w:pPr>
              <w:rPr>
                <w:b/>
                <w:sz w:val="24"/>
                <w:szCs w:val="24"/>
              </w:rPr>
            </w:pPr>
            <w:r>
              <w:rPr>
                <w:b/>
                <w:sz w:val="24"/>
                <w:szCs w:val="24"/>
              </w:rPr>
              <w:t xml:space="preserve">Kontraindiceret </w:t>
            </w:r>
            <w:r>
              <w:rPr>
                <w:sz w:val="24"/>
                <w:szCs w:val="24"/>
              </w:rPr>
              <w:t>(se pkt. 4.3).</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Naloxegol</w:t>
            </w:r>
          </w:p>
          <w:p w:rsidR="00B973E4" w:rsidRDefault="00B973E4">
            <w:pPr>
              <w:rPr>
                <w:i/>
                <w:iCs/>
                <w:sz w:val="24"/>
                <w:szCs w:val="24"/>
              </w:rPr>
            </w:pPr>
            <w:r>
              <w:rPr>
                <w:i/>
                <w:iCs/>
                <w:sz w:val="24"/>
                <w:szCs w:val="24"/>
              </w:rPr>
              <w:t>[CYP3A4-substrat]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w:t>
            </w:r>
          </w:p>
          <w:p w:rsidR="00B973E4" w:rsidRDefault="00B973E4">
            <w:pPr>
              <w:rPr>
                <w:sz w:val="24"/>
                <w:szCs w:val="24"/>
              </w:rPr>
            </w:pPr>
            <w:r>
              <w:rPr>
                <w:sz w:val="24"/>
                <w:szCs w:val="24"/>
              </w:rPr>
              <w:t>er det sandsynligt, at voriconazol øger plasmakoncentrationen af naloxegol signifikant.</w:t>
            </w:r>
          </w:p>
        </w:tc>
        <w:tc>
          <w:tcPr>
            <w:tcW w:w="1666" w:type="pct"/>
            <w:tcBorders>
              <w:top w:val="single" w:sz="4" w:space="0" w:color="auto"/>
              <w:left w:val="single" w:sz="4" w:space="0" w:color="auto"/>
              <w:bottom w:val="single" w:sz="4" w:space="0" w:color="auto"/>
              <w:right w:val="single" w:sz="4" w:space="0" w:color="auto"/>
            </w:tcBorders>
            <w:vAlign w:val="center"/>
            <w:hideMark/>
          </w:tcPr>
          <w:p w:rsidR="00B973E4" w:rsidRDefault="00B973E4">
            <w:pPr>
              <w:rPr>
                <w:b/>
                <w:sz w:val="24"/>
                <w:szCs w:val="24"/>
              </w:rPr>
            </w:pPr>
            <w:r>
              <w:rPr>
                <w:b/>
                <w:sz w:val="24"/>
                <w:szCs w:val="24"/>
              </w:rPr>
              <w:t xml:space="preserve">Kontraindiceret </w:t>
            </w:r>
            <w:r>
              <w:rPr>
                <w:sz w:val="24"/>
                <w:szCs w:val="24"/>
              </w:rPr>
              <w:t>(se pkt. 4.3).</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lang w:val="en-US"/>
              </w:rPr>
            </w:pPr>
            <w:r>
              <w:rPr>
                <w:sz w:val="24"/>
                <w:szCs w:val="24"/>
                <w:lang w:val="en-US"/>
              </w:rPr>
              <w:t>Rifabutin</w:t>
            </w:r>
          </w:p>
          <w:p w:rsidR="00B973E4" w:rsidRDefault="00B973E4">
            <w:pPr>
              <w:rPr>
                <w:i/>
                <w:sz w:val="24"/>
                <w:szCs w:val="24"/>
                <w:lang w:val="en-US"/>
              </w:rPr>
            </w:pPr>
            <w:r>
              <w:rPr>
                <w:i/>
                <w:sz w:val="24"/>
                <w:szCs w:val="24"/>
                <w:lang w:val="en-US"/>
              </w:rPr>
              <w:t>[potent CYP450-induktor]</w:t>
            </w:r>
          </w:p>
          <w:p w:rsidR="00B973E4" w:rsidRDefault="00B973E4">
            <w:pPr>
              <w:rPr>
                <w:sz w:val="24"/>
                <w:szCs w:val="24"/>
                <w:lang w:val="en-US"/>
              </w:rPr>
            </w:pPr>
          </w:p>
          <w:p w:rsidR="00B973E4" w:rsidRDefault="00B973E4">
            <w:pPr>
              <w:rPr>
                <w:sz w:val="24"/>
                <w:szCs w:val="24"/>
                <w:lang w:val="en-US"/>
              </w:rPr>
            </w:pPr>
            <w:r>
              <w:rPr>
                <w:sz w:val="24"/>
                <w:szCs w:val="24"/>
                <w:lang w:val="en-US"/>
              </w:rPr>
              <w:t>300 mg QD</w:t>
            </w:r>
          </w:p>
          <w:p w:rsidR="00B973E4" w:rsidRDefault="00B973E4">
            <w:pPr>
              <w:rPr>
                <w:sz w:val="24"/>
                <w:szCs w:val="24"/>
                <w:lang w:val="en-US"/>
              </w:rPr>
            </w:pPr>
          </w:p>
          <w:p w:rsidR="00B973E4" w:rsidRDefault="00B973E4">
            <w:pPr>
              <w:rPr>
                <w:sz w:val="24"/>
                <w:szCs w:val="24"/>
                <w:lang w:val="en-US"/>
              </w:rPr>
            </w:pPr>
          </w:p>
          <w:p w:rsidR="00B973E4" w:rsidRDefault="00B973E4">
            <w:pPr>
              <w:rPr>
                <w:sz w:val="24"/>
                <w:szCs w:val="24"/>
              </w:rPr>
            </w:pPr>
            <w:r>
              <w:rPr>
                <w:sz w:val="24"/>
                <w:szCs w:val="24"/>
              </w:rPr>
              <w:t xml:space="preserve">300 mg QD (administreret samtidig med voriconazol 350 mg </w:t>
            </w:r>
            <w:proofErr w:type="gramStart"/>
            <w:r>
              <w:rPr>
                <w:sz w:val="24"/>
                <w:szCs w:val="24"/>
              </w:rPr>
              <w:t>BID)*</w:t>
            </w:r>
            <w:proofErr w:type="gramEnd"/>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lastRenderedPageBreak/>
              <w:t xml:space="preserve">300 mg QD (administreret samtidig med voriconazol 400 mg </w:t>
            </w:r>
            <w:proofErr w:type="gramStart"/>
            <w:r>
              <w:rPr>
                <w:sz w:val="24"/>
                <w:szCs w:val="24"/>
              </w:rPr>
              <w:t>BID)*</w:t>
            </w:r>
            <w:proofErr w:type="gramEnd"/>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Voriconazol C</w:t>
            </w:r>
            <w:r>
              <w:rPr>
                <w:sz w:val="24"/>
                <w:szCs w:val="24"/>
                <w:vertAlign w:val="subscript"/>
              </w:rPr>
              <w:t>max</w:t>
            </w:r>
            <w:r>
              <w:rPr>
                <w:sz w:val="24"/>
                <w:szCs w:val="24"/>
              </w:rPr>
              <w:t xml:space="preserve"> ↓ 69 % Voriconazol AUC</w:t>
            </w:r>
            <w:r>
              <w:rPr>
                <w:sz w:val="24"/>
                <w:szCs w:val="24"/>
                <w:vertAlign w:val="subscript"/>
                <w:lang w:val="en-US"/>
              </w:rPr>
              <w:t>τ</w:t>
            </w:r>
            <w:r>
              <w:rPr>
                <w:sz w:val="24"/>
                <w:szCs w:val="24"/>
              </w:rPr>
              <w:t xml:space="preserve"> ↓ 78 %</w:t>
            </w:r>
          </w:p>
          <w:p w:rsidR="00B973E4" w:rsidRDefault="00B973E4">
            <w:pPr>
              <w:rPr>
                <w:sz w:val="24"/>
                <w:szCs w:val="24"/>
              </w:rPr>
            </w:pPr>
          </w:p>
          <w:p w:rsidR="00B973E4" w:rsidRDefault="00B973E4">
            <w:pPr>
              <w:rPr>
                <w:sz w:val="24"/>
                <w:szCs w:val="24"/>
              </w:rPr>
            </w:pPr>
            <w:r>
              <w:rPr>
                <w:sz w:val="24"/>
                <w:szCs w:val="24"/>
              </w:rPr>
              <w:t>Sammenlignet med voriconazol 200 mg BID,</w:t>
            </w:r>
          </w:p>
          <w:p w:rsidR="00B973E4" w:rsidRDefault="00B973E4">
            <w:pPr>
              <w:rPr>
                <w:sz w:val="24"/>
                <w:szCs w:val="24"/>
              </w:rPr>
            </w:pPr>
            <w:r>
              <w:rPr>
                <w:sz w:val="24"/>
                <w:szCs w:val="24"/>
              </w:rPr>
              <w:t>Voriconazol C</w:t>
            </w:r>
            <w:r>
              <w:rPr>
                <w:sz w:val="24"/>
                <w:szCs w:val="24"/>
                <w:vertAlign w:val="subscript"/>
              </w:rPr>
              <w:t xml:space="preserve">max </w:t>
            </w:r>
            <w:r>
              <w:rPr>
                <w:sz w:val="24"/>
                <w:szCs w:val="24"/>
              </w:rPr>
              <w:t>↓ 4 % Voriconazol AUC</w:t>
            </w:r>
            <w:r>
              <w:rPr>
                <w:sz w:val="24"/>
                <w:szCs w:val="24"/>
                <w:vertAlign w:val="subscript"/>
                <w:lang w:val="en-US"/>
              </w:rPr>
              <w:t>τ</w:t>
            </w:r>
            <w:r>
              <w:rPr>
                <w:sz w:val="24"/>
                <w:szCs w:val="24"/>
              </w:rPr>
              <w:t xml:space="preserve"> ↓ 32 %</w:t>
            </w:r>
          </w:p>
          <w:p w:rsidR="00B973E4" w:rsidRDefault="00B973E4">
            <w:pPr>
              <w:rPr>
                <w:sz w:val="24"/>
                <w:szCs w:val="24"/>
              </w:rPr>
            </w:pPr>
          </w:p>
          <w:p w:rsidR="00B973E4" w:rsidRDefault="00B973E4">
            <w:pPr>
              <w:rPr>
                <w:sz w:val="24"/>
                <w:szCs w:val="24"/>
              </w:rPr>
            </w:pPr>
            <w:r>
              <w:rPr>
                <w:sz w:val="24"/>
                <w:szCs w:val="24"/>
              </w:rPr>
              <w:t>Rifabutin C</w:t>
            </w:r>
            <w:r>
              <w:rPr>
                <w:sz w:val="24"/>
                <w:szCs w:val="24"/>
                <w:vertAlign w:val="subscript"/>
              </w:rPr>
              <w:t xml:space="preserve">max </w:t>
            </w:r>
            <w:r>
              <w:rPr>
                <w:sz w:val="24"/>
                <w:szCs w:val="24"/>
              </w:rPr>
              <w:t>↑ 195 %</w:t>
            </w:r>
          </w:p>
          <w:p w:rsidR="00B973E4" w:rsidRDefault="00B973E4">
            <w:pPr>
              <w:rPr>
                <w:sz w:val="24"/>
                <w:szCs w:val="24"/>
              </w:rPr>
            </w:pPr>
            <w:r>
              <w:rPr>
                <w:sz w:val="24"/>
                <w:szCs w:val="24"/>
              </w:rPr>
              <w:lastRenderedPageBreak/>
              <w:t>Rifabutin AUC</w:t>
            </w:r>
            <w:r>
              <w:rPr>
                <w:sz w:val="24"/>
                <w:szCs w:val="24"/>
                <w:vertAlign w:val="subscript"/>
                <w:lang w:val="en-US"/>
              </w:rPr>
              <w:t>τ</w:t>
            </w:r>
            <w:r>
              <w:rPr>
                <w:sz w:val="24"/>
                <w:szCs w:val="24"/>
              </w:rPr>
              <w:t xml:space="preserve"> ↑ 331 %</w:t>
            </w:r>
          </w:p>
          <w:p w:rsidR="00B973E4" w:rsidRDefault="00B973E4">
            <w:pPr>
              <w:rPr>
                <w:sz w:val="24"/>
                <w:szCs w:val="24"/>
              </w:rPr>
            </w:pPr>
            <w:r>
              <w:rPr>
                <w:sz w:val="24"/>
                <w:szCs w:val="24"/>
              </w:rPr>
              <w:t xml:space="preserve">Sammenlignet med voriconazol 200 mg BID, </w:t>
            </w:r>
          </w:p>
          <w:p w:rsidR="00B973E4" w:rsidRDefault="00B973E4">
            <w:pPr>
              <w:rPr>
                <w:sz w:val="24"/>
                <w:szCs w:val="24"/>
              </w:rPr>
            </w:pPr>
            <w:r>
              <w:rPr>
                <w:sz w:val="24"/>
                <w:szCs w:val="24"/>
              </w:rPr>
              <w:t>Voriconazol C</w:t>
            </w:r>
            <w:r>
              <w:rPr>
                <w:sz w:val="24"/>
                <w:szCs w:val="24"/>
                <w:vertAlign w:val="subscript"/>
              </w:rPr>
              <w:t xml:space="preserve">max </w:t>
            </w:r>
            <w:r>
              <w:rPr>
                <w:sz w:val="24"/>
                <w:szCs w:val="24"/>
              </w:rPr>
              <w:t>↑ 104 % Voriconazol AUC</w:t>
            </w:r>
            <w:r>
              <w:rPr>
                <w:sz w:val="24"/>
                <w:szCs w:val="24"/>
                <w:vertAlign w:val="subscript"/>
                <w:lang w:val="en-US"/>
              </w:rPr>
              <w:t>τ</w:t>
            </w:r>
            <w:r>
              <w:rPr>
                <w:sz w:val="24"/>
                <w:szCs w:val="24"/>
              </w:rPr>
              <w:t xml:space="preserve"> ↑ 87 %</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Samtidig administration af voriconazol og rifabutin skal undgås, medmindre fordelen ved behandling opvejer risikoen.</w:t>
            </w:r>
          </w:p>
          <w:p w:rsidR="00B973E4" w:rsidRDefault="00B973E4">
            <w:pPr>
              <w:rPr>
                <w:sz w:val="24"/>
                <w:szCs w:val="24"/>
              </w:rPr>
            </w:pPr>
            <w:r>
              <w:rPr>
                <w:sz w:val="24"/>
                <w:szCs w:val="24"/>
              </w:rPr>
              <w:t xml:space="preserve">Vedligeholdelsesdosis af voriconazol kan øges til 5 mg/kg i.v. BID eller fra 200 mg til 350 mg oralt BID (100 mg til 200 mg oralt BID hos </w:t>
            </w:r>
            <w:r>
              <w:rPr>
                <w:sz w:val="24"/>
                <w:szCs w:val="24"/>
              </w:rPr>
              <w:lastRenderedPageBreak/>
              <w:t>patienter, der vejer mindre end 40 kg) (se pkt. 4.2).</w:t>
            </w:r>
          </w:p>
          <w:p w:rsidR="00B973E4" w:rsidRDefault="00B973E4">
            <w:pPr>
              <w:rPr>
                <w:sz w:val="24"/>
                <w:szCs w:val="24"/>
              </w:rPr>
            </w:pPr>
            <w:r>
              <w:rPr>
                <w:sz w:val="24"/>
                <w:szCs w:val="24"/>
              </w:rPr>
              <w:t>Omhyggelig monitorering af alle blodværdier og bivirkninger ved rifabutin (f.eks. regnbuehindebetændelse) anbefales, når rifabutin administreres sammen med voriconazol.</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lang w:val="en-US"/>
              </w:rPr>
            </w:pPr>
            <w:r>
              <w:rPr>
                <w:sz w:val="24"/>
                <w:szCs w:val="24"/>
                <w:lang w:val="en-US"/>
              </w:rPr>
              <w:lastRenderedPageBreak/>
              <w:t xml:space="preserve">Rifampicin (600 mg QD) </w:t>
            </w:r>
            <w:r>
              <w:rPr>
                <w:i/>
                <w:sz w:val="24"/>
                <w:szCs w:val="24"/>
                <w:lang w:val="en-US"/>
              </w:rPr>
              <w:t>[potent CYP450-induktor]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Voriconazol C</w:t>
            </w:r>
            <w:r>
              <w:rPr>
                <w:sz w:val="24"/>
                <w:szCs w:val="24"/>
                <w:vertAlign w:val="subscript"/>
              </w:rPr>
              <w:t>max</w:t>
            </w:r>
            <w:r>
              <w:rPr>
                <w:sz w:val="24"/>
                <w:szCs w:val="24"/>
              </w:rPr>
              <w:t xml:space="preserve"> ↓ 93 % Voriconazol AUC</w:t>
            </w:r>
            <w:r>
              <w:rPr>
                <w:sz w:val="24"/>
                <w:szCs w:val="24"/>
                <w:vertAlign w:val="subscript"/>
                <w:lang w:val="en-US"/>
              </w:rPr>
              <w:t>τ</w:t>
            </w:r>
            <w:r>
              <w:rPr>
                <w:sz w:val="24"/>
                <w:szCs w:val="24"/>
              </w:rPr>
              <w:t xml:space="preserve"> ↓ 96 %</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b/>
                <w:sz w:val="24"/>
                <w:szCs w:val="24"/>
              </w:rPr>
              <w:t xml:space="preserve">Kontraindiceret </w:t>
            </w:r>
            <w:r>
              <w:rPr>
                <w:sz w:val="24"/>
                <w:szCs w:val="24"/>
              </w:rPr>
              <w:t>(se pkt. 4.3).</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t xml:space="preserve">Ritonavir (proteasehæmmer) </w:t>
            </w:r>
            <w:r>
              <w:rPr>
                <w:i/>
                <w:sz w:val="24"/>
                <w:szCs w:val="24"/>
              </w:rPr>
              <w:t>[potent CYP450-induktor; CYP3A4-hæmmer og -substrat]</w:t>
            </w:r>
          </w:p>
          <w:p w:rsidR="00B973E4" w:rsidRDefault="00B973E4">
            <w:pPr>
              <w:rPr>
                <w:sz w:val="24"/>
                <w:szCs w:val="24"/>
              </w:rPr>
            </w:pPr>
          </w:p>
          <w:p w:rsidR="00B973E4" w:rsidRDefault="00B973E4">
            <w:pPr>
              <w:rPr>
                <w:sz w:val="24"/>
                <w:szCs w:val="24"/>
              </w:rPr>
            </w:pPr>
            <w:r>
              <w:rPr>
                <w:sz w:val="24"/>
                <w:szCs w:val="24"/>
              </w:rPr>
              <w:t>Høj dosis (400 mg BID)</w:t>
            </w: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 xml:space="preserve">Lav dosis (100 mg </w:t>
            </w:r>
            <w:proofErr w:type="gramStart"/>
            <w:r>
              <w:rPr>
                <w:sz w:val="24"/>
                <w:szCs w:val="24"/>
              </w:rPr>
              <w:t>BID)*</w:t>
            </w:r>
            <w:proofErr w:type="gramEnd"/>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Ritonavir C</w:t>
            </w:r>
            <w:r>
              <w:rPr>
                <w:sz w:val="24"/>
                <w:szCs w:val="24"/>
                <w:vertAlign w:val="subscript"/>
              </w:rPr>
              <w:t>max</w:t>
            </w:r>
            <w:r>
              <w:rPr>
                <w:sz w:val="24"/>
                <w:szCs w:val="24"/>
              </w:rPr>
              <w:t xml:space="preserve"> og AUC</w:t>
            </w:r>
            <w:r>
              <w:rPr>
                <w:sz w:val="24"/>
                <w:szCs w:val="24"/>
                <w:vertAlign w:val="subscript"/>
                <w:lang w:val="en-US"/>
              </w:rPr>
              <w:t>τ</w:t>
            </w:r>
            <w:r>
              <w:rPr>
                <w:sz w:val="24"/>
                <w:szCs w:val="24"/>
              </w:rPr>
              <w:t xml:space="preserve"> ↔ Voriconazol C</w:t>
            </w:r>
            <w:r>
              <w:rPr>
                <w:sz w:val="24"/>
                <w:szCs w:val="24"/>
                <w:vertAlign w:val="subscript"/>
              </w:rPr>
              <w:t>max</w:t>
            </w:r>
            <w:r>
              <w:rPr>
                <w:sz w:val="24"/>
                <w:szCs w:val="24"/>
              </w:rPr>
              <w:t xml:space="preserve"> ↓ 66 % Voriconazol AUC</w:t>
            </w:r>
            <w:r>
              <w:rPr>
                <w:sz w:val="24"/>
                <w:szCs w:val="24"/>
                <w:vertAlign w:val="subscript"/>
                <w:lang w:val="en-US"/>
              </w:rPr>
              <w:t>τ</w:t>
            </w:r>
            <w:r>
              <w:rPr>
                <w:sz w:val="24"/>
                <w:szCs w:val="24"/>
              </w:rPr>
              <w:t xml:space="preserve"> ↓ 82 %</w:t>
            </w: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Ritonavir C</w:t>
            </w:r>
            <w:r>
              <w:rPr>
                <w:sz w:val="24"/>
                <w:szCs w:val="24"/>
                <w:vertAlign w:val="subscript"/>
              </w:rPr>
              <w:t>max</w:t>
            </w:r>
            <w:r>
              <w:rPr>
                <w:sz w:val="24"/>
                <w:szCs w:val="24"/>
              </w:rPr>
              <w:t xml:space="preserve"> ↓ 25 %</w:t>
            </w:r>
          </w:p>
          <w:p w:rsidR="00B973E4" w:rsidRDefault="00B973E4">
            <w:pPr>
              <w:rPr>
                <w:sz w:val="24"/>
                <w:szCs w:val="24"/>
              </w:rPr>
            </w:pPr>
            <w:r>
              <w:rPr>
                <w:sz w:val="24"/>
                <w:szCs w:val="24"/>
              </w:rPr>
              <w:t>Ritonavir AUC</w:t>
            </w:r>
            <w:r>
              <w:rPr>
                <w:sz w:val="24"/>
                <w:szCs w:val="24"/>
                <w:vertAlign w:val="subscript"/>
                <w:lang w:val="en-US"/>
              </w:rPr>
              <w:t>τ</w:t>
            </w:r>
            <w:r>
              <w:rPr>
                <w:sz w:val="24"/>
                <w:szCs w:val="24"/>
              </w:rPr>
              <w:t xml:space="preserve"> ↓13 % Voriconazol C</w:t>
            </w:r>
            <w:r>
              <w:rPr>
                <w:sz w:val="24"/>
                <w:szCs w:val="24"/>
                <w:vertAlign w:val="subscript"/>
              </w:rPr>
              <w:t>max</w:t>
            </w:r>
            <w:r>
              <w:rPr>
                <w:sz w:val="24"/>
                <w:szCs w:val="24"/>
              </w:rPr>
              <w:t xml:space="preserve"> ↓ 24 % Voriconazol AUC</w:t>
            </w:r>
            <w:r>
              <w:rPr>
                <w:sz w:val="24"/>
                <w:szCs w:val="24"/>
                <w:vertAlign w:val="subscript"/>
                <w:lang w:val="en-US"/>
              </w:rPr>
              <w:t>τ</w:t>
            </w:r>
            <w:r>
              <w:rPr>
                <w:sz w:val="24"/>
                <w:szCs w:val="24"/>
              </w:rPr>
              <w:t xml:space="preserve"> ↓ 39 %</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 xml:space="preserve">Samtidig administration af voriconazol og højdosis-ritonavir (400 mg og derover BID) er </w:t>
            </w:r>
            <w:r>
              <w:rPr>
                <w:b/>
                <w:sz w:val="24"/>
                <w:szCs w:val="24"/>
              </w:rPr>
              <w:t xml:space="preserve">kontraindiceret </w:t>
            </w:r>
            <w:r>
              <w:rPr>
                <w:sz w:val="24"/>
                <w:szCs w:val="24"/>
              </w:rPr>
              <w:t>(se pkt. 4.3).</w:t>
            </w:r>
          </w:p>
          <w:p w:rsidR="00B973E4" w:rsidRDefault="00B973E4">
            <w:pPr>
              <w:rPr>
                <w:sz w:val="24"/>
                <w:szCs w:val="24"/>
              </w:rPr>
            </w:pPr>
          </w:p>
          <w:p w:rsidR="00B973E4" w:rsidRDefault="00B973E4">
            <w:pPr>
              <w:rPr>
                <w:sz w:val="24"/>
                <w:szCs w:val="24"/>
              </w:rPr>
            </w:pPr>
            <w:r>
              <w:rPr>
                <w:sz w:val="24"/>
                <w:szCs w:val="24"/>
              </w:rPr>
              <w:t>Samtidig administration af voriconazol og lavdosis-ritonavir (100 mg BID) bør undgås, medmindre en evaluering af fordele og risici for patienten retfærdiggør anvendelse af voriconazol.</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Perikon</w:t>
            </w:r>
          </w:p>
          <w:p w:rsidR="00B973E4" w:rsidRDefault="00B973E4">
            <w:pPr>
              <w:rPr>
                <w:i/>
                <w:sz w:val="24"/>
                <w:szCs w:val="24"/>
              </w:rPr>
            </w:pPr>
            <w:r>
              <w:rPr>
                <w:i/>
                <w:sz w:val="24"/>
                <w:szCs w:val="24"/>
              </w:rPr>
              <w:t>[CYP450-induktor; P-gp-induktor]</w:t>
            </w:r>
          </w:p>
          <w:p w:rsidR="00B973E4" w:rsidRDefault="00B973E4">
            <w:pPr>
              <w:rPr>
                <w:sz w:val="24"/>
                <w:szCs w:val="24"/>
              </w:rPr>
            </w:pPr>
            <w:r>
              <w:rPr>
                <w:sz w:val="24"/>
                <w:szCs w:val="24"/>
              </w:rPr>
              <w:t>300 mg TID (administreret samtidig med voriconazol 400 mg som enkeltdosis)</w:t>
            </w:r>
          </w:p>
        </w:tc>
        <w:tc>
          <w:tcPr>
            <w:tcW w:w="1666" w:type="pct"/>
            <w:tcBorders>
              <w:top w:val="single" w:sz="4" w:space="0" w:color="auto"/>
              <w:left w:val="single" w:sz="4" w:space="0" w:color="auto"/>
              <w:bottom w:val="single" w:sz="4" w:space="0" w:color="auto"/>
              <w:right w:val="single" w:sz="4" w:space="0" w:color="auto"/>
            </w:tcBorders>
            <w:vAlign w:val="center"/>
            <w:hideMark/>
          </w:tcPr>
          <w:p w:rsidR="00B973E4" w:rsidRDefault="00B973E4">
            <w:pPr>
              <w:rPr>
                <w:sz w:val="24"/>
                <w:szCs w:val="24"/>
              </w:rPr>
            </w:pPr>
            <w:r>
              <w:rPr>
                <w:sz w:val="24"/>
                <w:szCs w:val="24"/>
              </w:rPr>
              <w:t>I et uafhængigt publiceret studie,</w:t>
            </w:r>
          </w:p>
          <w:p w:rsidR="00B973E4" w:rsidRDefault="00B973E4">
            <w:pPr>
              <w:rPr>
                <w:sz w:val="24"/>
                <w:szCs w:val="24"/>
              </w:rPr>
            </w:pPr>
            <w:r>
              <w:rPr>
                <w:sz w:val="24"/>
                <w:szCs w:val="24"/>
              </w:rPr>
              <w:t>voriconazol AUC</w:t>
            </w:r>
            <w:r>
              <w:rPr>
                <w:sz w:val="24"/>
                <w:szCs w:val="24"/>
                <w:vertAlign w:val="subscript"/>
              </w:rPr>
              <w:t xml:space="preserve">0−∞ </w:t>
            </w:r>
            <w:r>
              <w:rPr>
                <w:sz w:val="24"/>
                <w:szCs w:val="24"/>
              </w:rPr>
              <w:t>↓ 59 %</w:t>
            </w:r>
          </w:p>
        </w:tc>
        <w:tc>
          <w:tcPr>
            <w:tcW w:w="1666" w:type="pct"/>
            <w:tcBorders>
              <w:top w:val="single" w:sz="4" w:space="0" w:color="auto"/>
              <w:left w:val="single" w:sz="4" w:space="0" w:color="auto"/>
              <w:bottom w:val="single" w:sz="4" w:space="0" w:color="auto"/>
              <w:right w:val="single" w:sz="4" w:space="0" w:color="auto"/>
            </w:tcBorders>
            <w:vAlign w:val="center"/>
            <w:hideMark/>
          </w:tcPr>
          <w:p w:rsidR="00B973E4" w:rsidRDefault="00B973E4">
            <w:pPr>
              <w:rPr>
                <w:sz w:val="24"/>
                <w:szCs w:val="24"/>
              </w:rPr>
            </w:pPr>
            <w:r>
              <w:rPr>
                <w:b/>
                <w:sz w:val="24"/>
                <w:szCs w:val="24"/>
              </w:rPr>
              <w:t xml:space="preserve">Kontraindiceret </w:t>
            </w:r>
            <w:r>
              <w:rPr>
                <w:sz w:val="24"/>
                <w:szCs w:val="24"/>
              </w:rPr>
              <w:t>(se pkt. 4.3).</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Tolvaptan</w:t>
            </w:r>
          </w:p>
          <w:p w:rsidR="00B973E4" w:rsidRDefault="00B973E4">
            <w:pPr>
              <w:rPr>
                <w:i/>
                <w:iCs/>
                <w:sz w:val="24"/>
                <w:szCs w:val="24"/>
              </w:rPr>
            </w:pPr>
            <w:r>
              <w:rPr>
                <w:i/>
                <w:iCs/>
                <w:sz w:val="24"/>
                <w:szCs w:val="24"/>
              </w:rPr>
              <w:t>[CYP3A-substrat]</w:t>
            </w:r>
          </w:p>
        </w:tc>
        <w:tc>
          <w:tcPr>
            <w:tcW w:w="1666" w:type="pct"/>
            <w:tcBorders>
              <w:top w:val="single" w:sz="4" w:space="0" w:color="auto"/>
              <w:left w:val="single" w:sz="4" w:space="0" w:color="auto"/>
              <w:bottom w:val="single" w:sz="4" w:space="0" w:color="auto"/>
              <w:right w:val="single" w:sz="4" w:space="0" w:color="auto"/>
            </w:tcBorders>
            <w:vAlign w:val="center"/>
            <w:hideMark/>
          </w:tcPr>
          <w:p w:rsidR="00B973E4" w:rsidRDefault="00B973E4">
            <w:pPr>
              <w:rPr>
                <w:sz w:val="24"/>
                <w:szCs w:val="24"/>
              </w:rPr>
            </w:pPr>
            <w:r>
              <w:rPr>
                <w:sz w:val="24"/>
                <w:szCs w:val="24"/>
              </w:rPr>
              <w:t>Selvom det ikke er undersøgt,</w:t>
            </w:r>
          </w:p>
          <w:p w:rsidR="00B973E4" w:rsidRDefault="00B973E4">
            <w:pPr>
              <w:rPr>
                <w:sz w:val="24"/>
                <w:szCs w:val="24"/>
              </w:rPr>
            </w:pPr>
            <w:r>
              <w:rPr>
                <w:sz w:val="24"/>
                <w:szCs w:val="24"/>
              </w:rPr>
              <w:t>er det sandsynligt, at voriconazol øger plasmakoncentrationen af tolvaptan signifikant.</w:t>
            </w:r>
          </w:p>
        </w:tc>
        <w:tc>
          <w:tcPr>
            <w:tcW w:w="1666" w:type="pct"/>
            <w:tcBorders>
              <w:top w:val="single" w:sz="4" w:space="0" w:color="auto"/>
              <w:left w:val="single" w:sz="4" w:space="0" w:color="auto"/>
              <w:bottom w:val="single" w:sz="4" w:space="0" w:color="auto"/>
              <w:right w:val="single" w:sz="4" w:space="0" w:color="auto"/>
            </w:tcBorders>
            <w:vAlign w:val="center"/>
            <w:hideMark/>
          </w:tcPr>
          <w:p w:rsidR="00B973E4" w:rsidRDefault="00B973E4">
            <w:pPr>
              <w:rPr>
                <w:b/>
                <w:sz w:val="24"/>
                <w:szCs w:val="24"/>
              </w:rPr>
            </w:pPr>
            <w:r>
              <w:rPr>
                <w:b/>
                <w:sz w:val="24"/>
                <w:szCs w:val="24"/>
              </w:rPr>
              <w:t xml:space="preserve">Kontraindiceret </w:t>
            </w:r>
            <w:r>
              <w:rPr>
                <w:sz w:val="24"/>
                <w:szCs w:val="24"/>
              </w:rPr>
              <w:t>(se pkt. 4.3).</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 xml:space="preserve">Fluconazol (200 mg QD) </w:t>
            </w:r>
            <w:r>
              <w:rPr>
                <w:i/>
                <w:sz w:val="24"/>
                <w:szCs w:val="24"/>
              </w:rPr>
              <w:t>[CYP2C9-, CYP2C19- og CYP3A4-hæmmer]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Voriconazol C</w:t>
            </w:r>
            <w:r>
              <w:rPr>
                <w:sz w:val="24"/>
                <w:szCs w:val="24"/>
                <w:vertAlign w:val="subscript"/>
              </w:rPr>
              <w:t>max</w:t>
            </w:r>
            <w:r>
              <w:rPr>
                <w:sz w:val="24"/>
                <w:szCs w:val="24"/>
              </w:rPr>
              <w:t xml:space="preserve"> ↑ 57 %</w:t>
            </w:r>
          </w:p>
          <w:p w:rsidR="00B973E4" w:rsidRDefault="00B973E4">
            <w:pPr>
              <w:rPr>
                <w:sz w:val="24"/>
                <w:szCs w:val="24"/>
              </w:rPr>
            </w:pPr>
            <w:r>
              <w:rPr>
                <w:sz w:val="24"/>
                <w:szCs w:val="24"/>
              </w:rPr>
              <w:t>Voriconazol AUC</w:t>
            </w:r>
            <w:r>
              <w:rPr>
                <w:sz w:val="24"/>
                <w:szCs w:val="24"/>
                <w:vertAlign w:val="subscript"/>
                <w:lang w:val="en-US"/>
              </w:rPr>
              <w:t>τ</w:t>
            </w:r>
            <w:r>
              <w:rPr>
                <w:sz w:val="24"/>
                <w:szCs w:val="24"/>
              </w:rPr>
              <w:t xml:space="preserve"> ↑ 79 %</w:t>
            </w:r>
          </w:p>
          <w:p w:rsidR="00B973E4" w:rsidRDefault="00B973E4">
            <w:pPr>
              <w:rPr>
                <w:sz w:val="24"/>
                <w:szCs w:val="24"/>
              </w:rPr>
            </w:pPr>
            <w:r>
              <w:rPr>
                <w:sz w:val="24"/>
                <w:szCs w:val="24"/>
              </w:rPr>
              <w:t>Fluconazol C</w:t>
            </w:r>
            <w:r>
              <w:rPr>
                <w:sz w:val="24"/>
                <w:szCs w:val="24"/>
                <w:vertAlign w:val="subscript"/>
              </w:rPr>
              <w:t>max</w:t>
            </w:r>
            <w:r>
              <w:rPr>
                <w:sz w:val="24"/>
                <w:szCs w:val="24"/>
              </w:rPr>
              <w:t xml:space="preserve"> ND Fluconazol AUC</w:t>
            </w:r>
            <w:r>
              <w:rPr>
                <w:sz w:val="24"/>
                <w:szCs w:val="24"/>
                <w:vertAlign w:val="subscript"/>
                <w:lang w:val="en-US"/>
              </w:rPr>
              <w:t>τ</w:t>
            </w:r>
            <w:r>
              <w:rPr>
                <w:sz w:val="24"/>
                <w:szCs w:val="24"/>
              </w:rPr>
              <w:t xml:space="preserve"> ND</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 xml:space="preserve">Hvilken dosisreduktion og/eller ændring i doseringsfrekvens af voriconazol og fluconazol, der vil eliminere denne virkning, er ikke fastlagt. Hvis voriconazol anvendes sekventielt efter fluconazol, anbefales det, at der </w:t>
            </w:r>
            <w:r>
              <w:rPr>
                <w:sz w:val="24"/>
                <w:szCs w:val="24"/>
              </w:rPr>
              <w:lastRenderedPageBreak/>
              <w:t>monitoreres for voriconazol-relaterede bivirkninger.</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lastRenderedPageBreak/>
              <w:t>Phenytoin</w:t>
            </w:r>
          </w:p>
          <w:p w:rsidR="00B973E4" w:rsidRDefault="00B973E4">
            <w:pPr>
              <w:rPr>
                <w:i/>
                <w:sz w:val="24"/>
                <w:szCs w:val="24"/>
              </w:rPr>
            </w:pPr>
            <w:r>
              <w:rPr>
                <w:i/>
                <w:sz w:val="24"/>
                <w:szCs w:val="24"/>
              </w:rPr>
              <w:t>[CYP2C9-substrat og potent CYP450-induktor)</w:t>
            </w:r>
          </w:p>
          <w:p w:rsidR="00B973E4" w:rsidRDefault="00B973E4">
            <w:pPr>
              <w:rPr>
                <w:i/>
                <w:sz w:val="24"/>
                <w:szCs w:val="24"/>
              </w:rPr>
            </w:pPr>
          </w:p>
          <w:p w:rsidR="00B973E4" w:rsidRDefault="00B973E4">
            <w:pPr>
              <w:rPr>
                <w:sz w:val="24"/>
                <w:szCs w:val="24"/>
              </w:rPr>
            </w:pPr>
          </w:p>
          <w:p w:rsidR="00B973E4" w:rsidRDefault="00B973E4">
            <w:pPr>
              <w:rPr>
                <w:sz w:val="24"/>
                <w:szCs w:val="24"/>
              </w:rPr>
            </w:pPr>
            <w:r>
              <w:rPr>
                <w:sz w:val="24"/>
                <w:szCs w:val="24"/>
              </w:rPr>
              <w:t>300 mg QD</w:t>
            </w: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 xml:space="preserve">300 mg QD (administreret samtidig med voriconazol 400 mg </w:t>
            </w:r>
            <w:proofErr w:type="gramStart"/>
            <w:r>
              <w:rPr>
                <w:sz w:val="24"/>
                <w:szCs w:val="24"/>
              </w:rPr>
              <w:t>BID)*</w:t>
            </w:r>
            <w:proofErr w:type="gramEnd"/>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Voriconazol C</w:t>
            </w:r>
            <w:r>
              <w:rPr>
                <w:sz w:val="24"/>
                <w:szCs w:val="24"/>
                <w:vertAlign w:val="subscript"/>
              </w:rPr>
              <w:t>max</w:t>
            </w:r>
            <w:r>
              <w:rPr>
                <w:sz w:val="24"/>
                <w:szCs w:val="24"/>
              </w:rPr>
              <w:t xml:space="preserve"> ↓ 49 % Voriconazol AUC</w:t>
            </w:r>
            <w:r>
              <w:rPr>
                <w:sz w:val="24"/>
                <w:szCs w:val="24"/>
                <w:vertAlign w:val="subscript"/>
                <w:lang w:val="en-US"/>
              </w:rPr>
              <w:t>τ</w:t>
            </w:r>
            <w:r>
              <w:rPr>
                <w:sz w:val="24"/>
                <w:szCs w:val="24"/>
              </w:rPr>
              <w:t xml:space="preserve"> ↓ 69 %</w:t>
            </w:r>
          </w:p>
          <w:p w:rsidR="00B973E4" w:rsidRDefault="00B973E4">
            <w:pPr>
              <w:rPr>
                <w:sz w:val="24"/>
                <w:szCs w:val="24"/>
              </w:rPr>
            </w:pPr>
          </w:p>
          <w:p w:rsidR="00B973E4" w:rsidRDefault="00B973E4">
            <w:pPr>
              <w:rPr>
                <w:sz w:val="24"/>
                <w:szCs w:val="24"/>
              </w:rPr>
            </w:pPr>
            <w:r>
              <w:rPr>
                <w:sz w:val="24"/>
                <w:szCs w:val="24"/>
              </w:rPr>
              <w:t>Phenytoin C</w:t>
            </w:r>
            <w:r>
              <w:rPr>
                <w:sz w:val="24"/>
                <w:szCs w:val="24"/>
                <w:vertAlign w:val="subscript"/>
              </w:rPr>
              <w:t>max</w:t>
            </w:r>
            <w:r>
              <w:rPr>
                <w:sz w:val="24"/>
                <w:szCs w:val="24"/>
              </w:rPr>
              <w:t xml:space="preserve"> ↑ 67 %</w:t>
            </w:r>
          </w:p>
          <w:p w:rsidR="00B973E4" w:rsidRDefault="00B973E4">
            <w:pPr>
              <w:rPr>
                <w:sz w:val="24"/>
                <w:szCs w:val="24"/>
              </w:rPr>
            </w:pPr>
            <w:r>
              <w:rPr>
                <w:sz w:val="24"/>
                <w:szCs w:val="24"/>
              </w:rPr>
              <w:t>Phenytoin AUC</w:t>
            </w:r>
            <w:r>
              <w:rPr>
                <w:sz w:val="24"/>
                <w:szCs w:val="24"/>
                <w:vertAlign w:val="subscript"/>
                <w:lang w:val="en-US"/>
              </w:rPr>
              <w:t>τ</w:t>
            </w:r>
            <w:r>
              <w:rPr>
                <w:sz w:val="24"/>
                <w:szCs w:val="24"/>
              </w:rPr>
              <w:t xml:space="preserve"> ↑ 81 %</w:t>
            </w:r>
          </w:p>
          <w:p w:rsidR="00B973E4" w:rsidRDefault="00B973E4">
            <w:pPr>
              <w:rPr>
                <w:sz w:val="24"/>
                <w:szCs w:val="24"/>
              </w:rPr>
            </w:pPr>
            <w:r>
              <w:rPr>
                <w:sz w:val="24"/>
                <w:szCs w:val="24"/>
              </w:rPr>
              <w:t xml:space="preserve">Sammenlignet med voriconazol 200 mg BID, </w:t>
            </w:r>
          </w:p>
          <w:p w:rsidR="00B973E4" w:rsidRDefault="00B973E4">
            <w:pPr>
              <w:rPr>
                <w:sz w:val="24"/>
                <w:szCs w:val="24"/>
              </w:rPr>
            </w:pPr>
            <w:r>
              <w:rPr>
                <w:sz w:val="24"/>
                <w:szCs w:val="24"/>
              </w:rPr>
              <w:t>Voriconazol C</w:t>
            </w:r>
            <w:r>
              <w:rPr>
                <w:sz w:val="24"/>
                <w:szCs w:val="24"/>
                <w:vertAlign w:val="subscript"/>
              </w:rPr>
              <w:t>max</w:t>
            </w:r>
            <w:r>
              <w:rPr>
                <w:sz w:val="24"/>
                <w:szCs w:val="24"/>
              </w:rPr>
              <w:t xml:space="preserve"> ↑ 34 % Voriconazol AUC</w:t>
            </w:r>
            <w:r>
              <w:rPr>
                <w:sz w:val="24"/>
                <w:szCs w:val="24"/>
                <w:vertAlign w:val="subscript"/>
                <w:lang w:val="en-US"/>
              </w:rPr>
              <w:t>τ</w:t>
            </w:r>
            <w:r>
              <w:rPr>
                <w:sz w:val="24"/>
                <w:szCs w:val="24"/>
              </w:rPr>
              <w:t xml:space="preserve"> ↑ 39 %</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t>Samtidig anvendelse af voriconazol og phenytoin bør undgås, medmindre fordelene opvejer risiciene. Det anbefales, at plasmakoncentrationerne af phenytoin monitoreres omhyggeligt.</w:t>
            </w:r>
          </w:p>
          <w:p w:rsidR="00B973E4" w:rsidRDefault="00B973E4">
            <w:pPr>
              <w:rPr>
                <w:sz w:val="24"/>
                <w:szCs w:val="24"/>
              </w:rPr>
            </w:pPr>
          </w:p>
          <w:p w:rsidR="00B973E4" w:rsidRDefault="00B973E4">
            <w:pPr>
              <w:rPr>
                <w:sz w:val="24"/>
                <w:szCs w:val="24"/>
              </w:rPr>
            </w:pPr>
            <w:r>
              <w:rPr>
                <w:sz w:val="24"/>
                <w:szCs w:val="24"/>
              </w:rPr>
              <w:t>Phenytoin kan gives samtidigt med voriconazol, hvis vedligeholdelsesdosis af voriconazol øges til 5 mg/kg i.v. BID eller fra 200 mg til 400 mg oralt BID, (100 mg til 200 mg oralt BID hos patienter, der vejer mindre end 40 kg) (se pkt. 4.2).</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Letermovir</w:t>
            </w:r>
          </w:p>
          <w:p w:rsidR="00B973E4" w:rsidRDefault="00B973E4">
            <w:pPr>
              <w:rPr>
                <w:sz w:val="24"/>
                <w:szCs w:val="24"/>
              </w:rPr>
            </w:pPr>
            <w:r>
              <w:rPr>
                <w:sz w:val="24"/>
                <w:szCs w:val="24"/>
              </w:rPr>
              <w:t>[CYP2C9- og CYP2C19-</w:t>
            </w:r>
          </w:p>
          <w:p w:rsidR="00B973E4" w:rsidRDefault="00B973E4">
            <w:pPr>
              <w:rPr>
                <w:sz w:val="24"/>
                <w:szCs w:val="24"/>
              </w:rPr>
            </w:pPr>
            <w:r>
              <w:rPr>
                <w:sz w:val="24"/>
                <w:szCs w:val="24"/>
              </w:rPr>
              <w:t>induktor]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Voriconazol C</w:t>
            </w:r>
            <w:r>
              <w:rPr>
                <w:sz w:val="24"/>
                <w:szCs w:val="24"/>
                <w:vertAlign w:val="subscript"/>
              </w:rPr>
              <w:t>max</w:t>
            </w:r>
            <w:r>
              <w:rPr>
                <w:sz w:val="24"/>
                <w:szCs w:val="24"/>
              </w:rPr>
              <w:t xml:space="preserve"> ↓ 39%</w:t>
            </w:r>
          </w:p>
          <w:p w:rsidR="00B973E4" w:rsidRDefault="00B973E4">
            <w:pPr>
              <w:rPr>
                <w:sz w:val="24"/>
                <w:szCs w:val="24"/>
              </w:rPr>
            </w:pPr>
            <w:r>
              <w:rPr>
                <w:sz w:val="24"/>
                <w:szCs w:val="24"/>
              </w:rPr>
              <w:t>Voriconazol AUC</w:t>
            </w:r>
            <w:r>
              <w:rPr>
                <w:sz w:val="24"/>
                <w:szCs w:val="24"/>
                <w:vertAlign w:val="subscript"/>
              </w:rPr>
              <w:t>0-12</w:t>
            </w:r>
            <w:r>
              <w:rPr>
                <w:sz w:val="24"/>
                <w:szCs w:val="24"/>
              </w:rPr>
              <w:t xml:space="preserve"> ↓ 44%</w:t>
            </w:r>
          </w:p>
          <w:p w:rsidR="00B973E4" w:rsidRDefault="00B973E4">
            <w:pPr>
              <w:rPr>
                <w:sz w:val="24"/>
                <w:szCs w:val="24"/>
              </w:rPr>
            </w:pPr>
            <w:r>
              <w:rPr>
                <w:sz w:val="24"/>
                <w:szCs w:val="24"/>
              </w:rPr>
              <w:t>Voriconazol C</w:t>
            </w:r>
            <w:r>
              <w:rPr>
                <w:sz w:val="24"/>
                <w:szCs w:val="24"/>
                <w:vertAlign w:val="subscript"/>
              </w:rPr>
              <w:t>12</w:t>
            </w:r>
            <w:r>
              <w:rPr>
                <w:sz w:val="24"/>
                <w:szCs w:val="24"/>
              </w:rPr>
              <w:t xml:space="preserve"> ↓ 51%</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Hvis samtidig administration</w:t>
            </w:r>
          </w:p>
          <w:p w:rsidR="00B973E4" w:rsidRDefault="00B973E4">
            <w:pPr>
              <w:rPr>
                <w:sz w:val="24"/>
                <w:szCs w:val="24"/>
              </w:rPr>
            </w:pPr>
            <w:r>
              <w:rPr>
                <w:sz w:val="24"/>
                <w:szCs w:val="24"/>
              </w:rPr>
              <w:t>af voriconazol og letermovir</w:t>
            </w:r>
          </w:p>
          <w:p w:rsidR="00B973E4" w:rsidRDefault="00B973E4">
            <w:pPr>
              <w:rPr>
                <w:sz w:val="24"/>
                <w:szCs w:val="24"/>
              </w:rPr>
            </w:pPr>
            <w:r>
              <w:rPr>
                <w:sz w:val="24"/>
                <w:szCs w:val="24"/>
              </w:rPr>
              <w:t>ikke kan undgås, skal der</w:t>
            </w:r>
          </w:p>
          <w:p w:rsidR="00B973E4" w:rsidRDefault="00B973E4">
            <w:pPr>
              <w:rPr>
                <w:sz w:val="24"/>
                <w:szCs w:val="24"/>
              </w:rPr>
            </w:pPr>
            <w:r>
              <w:rPr>
                <w:sz w:val="24"/>
                <w:szCs w:val="24"/>
              </w:rPr>
              <w:t>monitoreres for tab af effekt af</w:t>
            </w:r>
          </w:p>
          <w:p w:rsidR="00B973E4" w:rsidRDefault="00B973E4">
            <w:pPr>
              <w:rPr>
                <w:sz w:val="24"/>
                <w:szCs w:val="24"/>
              </w:rPr>
            </w:pPr>
            <w:r>
              <w:rPr>
                <w:sz w:val="24"/>
                <w:szCs w:val="24"/>
              </w:rPr>
              <w:t>voriconazol.</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Glasdegib</w:t>
            </w:r>
          </w:p>
          <w:p w:rsidR="00B973E4" w:rsidRDefault="00B973E4">
            <w:pPr>
              <w:rPr>
                <w:i/>
                <w:iCs/>
                <w:sz w:val="24"/>
                <w:szCs w:val="24"/>
              </w:rPr>
            </w:pPr>
            <w:r>
              <w:rPr>
                <w:i/>
                <w:iCs/>
                <w:sz w:val="24"/>
                <w:szCs w:val="24"/>
              </w:rPr>
              <w:t>[CYP3A4-substrat]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w:t>
            </w:r>
          </w:p>
          <w:p w:rsidR="00B973E4" w:rsidRDefault="00B973E4">
            <w:pPr>
              <w:rPr>
                <w:sz w:val="24"/>
                <w:szCs w:val="24"/>
              </w:rPr>
            </w:pPr>
            <w:r>
              <w:rPr>
                <w:sz w:val="24"/>
                <w:szCs w:val="24"/>
              </w:rPr>
              <w:t>øger voriconazol sandsynligvis</w:t>
            </w:r>
          </w:p>
          <w:p w:rsidR="00B973E4" w:rsidRDefault="00B973E4">
            <w:pPr>
              <w:rPr>
                <w:sz w:val="24"/>
                <w:szCs w:val="24"/>
              </w:rPr>
            </w:pPr>
            <w:r>
              <w:rPr>
                <w:sz w:val="24"/>
                <w:szCs w:val="24"/>
              </w:rPr>
              <w:t>plasmakoncentrationerne af</w:t>
            </w:r>
          </w:p>
          <w:p w:rsidR="00B973E4" w:rsidRDefault="00B973E4">
            <w:pPr>
              <w:rPr>
                <w:sz w:val="24"/>
                <w:szCs w:val="24"/>
              </w:rPr>
            </w:pPr>
            <w:r>
              <w:rPr>
                <w:sz w:val="24"/>
                <w:szCs w:val="24"/>
              </w:rPr>
              <w:t>glasdegib og dermed risikoen</w:t>
            </w:r>
          </w:p>
          <w:p w:rsidR="00B973E4" w:rsidRDefault="00B973E4">
            <w:pPr>
              <w:rPr>
                <w:sz w:val="24"/>
                <w:szCs w:val="24"/>
              </w:rPr>
            </w:pPr>
            <w:r>
              <w:rPr>
                <w:sz w:val="24"/>
                <w:szCs w:val="24"/>
              </w:rPr>
              <w:t>for QTc-forlængelse.</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Hvis samtidig behandling ikke kan undgås, tilrådes hyppig EKG-monitorering (se pkt 4.4).</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D6284D" w:rsidRDefault="00D6284D" w:rsidP="00D6284D">
            <w:pPr>
              <w:rPr>
                <w:sz w:val="24"/>
                <w:szCs w:val="24"/>
              </w:rPr>
            </w:pPr>
            <w:r>
              <w:rPr>
                <w:sz w:val="24"/>
                <w:szCs w:val="24"/>
              </w:rPr>
              <w:t>Tyrosinkinasehæmmere (</w:t>
            </w:r>
            <w:r>
              <w:t>herunder, men ikke begrænset til:</w:t>
            </w:r>
            <w:r>
              <w:rPr>
                <w:sz w:val="24"/>
                <w:szCs w:val="24"/>
              </w:rPr>
              <w:t xml:space="preserve"> axitinib, bosutinib, cabozantinib, ceritinib, cobimetinib, dabrafenib, dasatinib, nilotinib,</w:t>
            </w:r>
          </w:p>
          <w:p w:rsidR="00D6284D" w:rsidRDefault="00D6284D" w:rsidP="00D6284D">
            <w:pPr>
              <w:rPr>
                <w:sz w:val="24"/>
                <w:szCs w:val="24"/>
                <w:lang w:val="en-US"/>
              </w:rPr>
            </w:pPr>
            <w:r>
              <w:rPr>
                <w:sz w:val="24"/>
                <w:szCs w:val="24"/>
                <w:lang w:val="en-US"/>
              </w:rPr>
              <w:t>sunitinib, ibrutinib, ribociclib)</w:t>
            </w:r>
          </w:p>
          <w:p w:rsidR="00B973E4" w:rsidRPr="00B973E4" w:rsidRDefault="00D6284D" w:rsidP="00D6284D">
            <w:pPr>
              <w:rPr>
                <w:i/>
                <w:iCs/>
                <w:sz w:val="24"/>
                <w:szCs w:val="24"/>
                <w:lang w:val="en-US"/>
              </w:rPr>
            </w:pPr>
            <w:r>
              <w:rPr>
                <w:i/>
                <w:iCs/>
                <w:sz w:val="24"/>
                <w:szCs w:val="24"/>
                <w:lang w:val="en-US"/>
              </w:rPr>
              <w:t>[CYP3A4-substrater]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w:t>
            </w:r>
          </w:p>
          <w:p w:rsidR="00B973E4" w:rsidRDefault="00B973E4">
            <w:pPr>
              <w:rPr>
                <w:sz w:val="24"/>
                <w:szCs w:val="24"/>
              </w:rPr>
            </w:pPr>
            <w:r>
              <w:rPr>
                <w:sz w:val="24"/>
                <w:szCs w:val="24"/>
              </w:rPr>
              <w:t>kan voriconazol øge plasmakoncentrationerne</w:t>
            </w:r>
          </w:p>
          <w:p w:rsidR="00B973E4" w:rsidRDefault="00B973E4">
            <w:pPr>
              <w:rPr>
                <w:sz w:val="24"/>
                <w:szCs w:val="24"/>
              </w:rPr>
            </w:pPr>
            <w:r>
              <w:rPr>
                <w:sz w:val="24"/>
                <w:szCs w:val="24"/>
              </w:rPr>
              <w:t>af tyrosinkinasehæmmere,</w:t>
            </w:r>
          </w:p>
          <w:p w:rsidR="00B973E4" w:rsidRDefault="00B973E4">
            <w:pPr>
              <w:rPr>
                <w:sz w:val="24"/>
                <w:szCs w:val="24"/>
              </w:rPr>
            </w:pPr>
            <w:r>
              <w:rPr>
                <w:sz w:val="24"/>
                <w:szCs w:val="24"/>
              </w:rPr>
              <w:t>der metaboliseres af CYP3A4.</w:t>
            </w:r>
          </w:p>
        </w:tc>
        <w:tc>
          <w:tcPr>
            <w:tcW w:w="1666" w:type="pct"/>
            <w:tcBorders>
              <w:top w:val="single" w:sz="4" w:space="0" w:color="auto"/>
              <w:left w:val="single" w:sz="4" w:space="0" w:color="auto"/>
              <w:bottom w:val="single" w:sz="4" w:space="0" w:color="auto"/>
              <w:right w:val="single" w:sz="4" w:space="0" w:color="auto"/>
            </w:tcBorders>
            <w:hideMark/>
          </w:tcPr>
          <w:p w:rsidR="00D6284D" w:rsidRDefault="00D6284D" w:rsidP="00D6284D">
            <w:pPr>
              <w:rPr>
                <w:sz w:val="24"/>
                <w:szCs w:val="24"/>
              </w:rPr>
            </w:pPr>
            <w:r>
              <w:rPr>
                <w:sz w:val="24"/>
                <w:szCs w:val="24"/>
              </w:rPr>
              <w:t>Hvis samtidig behandling ikke kan undgås, anbefales det at reducere dosis af tyrosinkinasehæmmeren samt tæt klinisk monitorering (se</w:t>
            </w:r>
          </w:p>
          <w:p w:rsidR="00B973E4" w:rsidRDefault="00D6284D" w:rsidP="00D6284D">
            <w:pPr>
              <w:rPr>
                <w:sz w:val="24"/>
                <w:szCs w:val="24"/>
              </w:rPr>
            </w:pPr>
            <w:r>
              <w:rPr>
                <w:sz w:val="24"/>
                <w:szCs w:val="24"/>
              </w:rPr>
              <w:t>pkt 4.4).</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D6284D" w:rsidRDefault="00D6284D" w:rsidP="00D6284D">
            <w:pPr>
              <w:rPr>
                <w:sz w:val="24"/>
                <w:szCs w:val="24"/>
              </w:rPr>
            </w:pPr>
            <w:r>
              <w:rPr>
                <w:sz w:val="24"/>
                <w:szCs w:val="24"/>
              </w:rPr>
              <w:t>Antikoagulantia</w:t>
            </w:r>
          </w:p>
          <w:p w:rsidR="00D6284D" w:rsidRDefault="00D6284D" w:rsidP="00D6284D">
            <w:pPr>
              <w:rPr>
                <w:sz w:val="24"/>
                <w:szCs w:val="24"/>
              </w:rPr>
            </w:pPr>
          </w:p>
          <w:p w:rsidR="00D6284D" w:rsidRDefault="00D6284D" w:rsidP="00D6284D">
            <w:pPr>
              <w:rPr>
                <w:sz w:val="24"/>
                <w:szCs w:val="24"/>
              </w:rPr>
            </w:pPr>
            <w:r>
              <w:rPr>
                <w:sz w:val="24"/>
                <w:szCs w:val="24"/>
              </w:rPr>
              <w:t xml:space="preserve">Warfarin (30 mg enkeltdosis, administreret sammen med 300 mg BID voriconazol) </w:t>
            </w:r>
          </w:p>
          <w:p w:rsidR="00D6284D" w:rsidRDefault="00D6284D" w:rsidP="00D6284D">
            <w:pPr>
              <w:rPr>
                <w:i/>
                <w:sz w:val="24"/>
                <w:szCs w:val="24"/>
              </w:rPr>
            </w:pPr>
            <w:r>
              <w:rPr>
                <w:i/>
                <w:sz w:val="24"/>
                <w:szCs w:val="24"/>
              </w:rPr>
              <w:t>[CYP2C9-substrat]</w:t>
            </w:r>
          </w:p>
          <w:p w:rsidR="00D6284D" w:rsidRDefault="00D6284D" w:rsidP="00D6284D">
            <w:pPr>
              <w:rPr>
                <w:sz w:val="24"/>
                <w:szCs w:val="24"/>
              </w:rPr>
            </w:pPr>
          </w:p>
          <w:p w:rsidR="00D6284D" w:rsidRDefault="00D6284D" w:rsidP="00D6284D">
            <w:pPr>
              <w:rPr>
                <w:sz w:val="24"/>
                <w:szCs w:val="24"/>
              </w:rPr>
            </w:pPr>
            <w:r>
              <w:rPr>
                <w:sz w:val="24"/>
                <w:szCs w:val="24"/>
              </w:rPr>
              <w:t xml:space="preserve">Andre orale coumariner (herunder, men ikke begrænset </w:t>
            </w:r>
          </w:p>
          <w:p w:rsidR="00D6284D" w:rsidRDefault="00D6284D" w:rsidP="00D6284D">
            <w:pPr>
              <w:rPr>
                <w:sz w:val="24"/>
                <w:szCs w:val="24"/>
                <w:lang w:val="en-US"/>
              </w:rPr>
            </w:pPr>
            <w:r>
              <w:rPr>
                <w:sz w:val="24"/>
                <w:szCs w:val="24"/>
                <w:lang w:val="en-US"/>
              </w:rPr>
              <w:lastRenderedPageBreak/>
              <w:t xml:space="preserve">til: phenprocoumon, acenocoumarol) </w:t>
            </w:r>
          </w:p>
          <w:p w:rsidR="00B973E4" w:rsidRPr="00D6284D" w:rsidRDefault="00D6284D" w:rsidP="00D6284D">
            <w:pPr>
              <w:rPr>
                <w:sz w:val="24"/>
                <w:szCs w:val="24"/>
                <w:lang w:val="en-US"/>
              </w:rPr>
            </w:pPr>
            <w:r>
              <w:rPr>
                <w:i/>
                <w:sz w:val="24"/>
                <w:szCs w:val="24"/>
                <w:lang w:val="en-US"/>
              </w:rPr>
              <w:t>[CYP2C9- og CYP3A4-substrater]</w:t>
            </w:r>
          </w:p>
        </w:tc>
        <w:tc>
          <w:tcPr>
            <w:tcW w:w="1666" w:type="pct"/>
            <w:tcBorders>
              <w:top w:val="single" w:sz="4" w:space="0" w:color="auto"/>
              <w:left w:val="single" w:sz="4" w:space="0" w:color="auto"/>
              <w:bottom w:val="single" w:sz="4" w:space="0" w:color="auto"/>
              <w:right w:val="single" w:sz="4" w:space="0" w:color="auto"/>
            </w:tcBorders>
          </w:tcPr>
          <w:p w:rsidR="00B973E4" w:rsidRPr="00D6284D" w:rsidRDefault="00B973E4">
            <w:pPr>
              <w:rPr>
                <w:sz w:val="24"/>
                <w:szCs w:val="24"/>
                <w:lang w:val="en-US"/>
              </w:rPr>
            </w:pPr>
          </w:p>
          <w:p w:rsidR="00B973E4" w:rsidRPr="00D6284D" w:rsidRDefault="00B973E4">
            <w:pPr>
              <w:rPr>
                <w:sz w:val="24"/>
                <w:szCs w:val="24"/>
                <w:lang w:val="en-US"/>
              </w:rPr>
            </w:pPr>
          </w:p>
          <w:p w:rsidR="00B973E4" w:rsidRDefault="00B973E4">
            <w:pPr>
              <w:rPr>
                <w:sz w:val="24"/>
                <w:szCs w:val="24"/>
              </w:rPr>
            </w:pPr>
            <w:r>
              <w:rPr>
                <w:sz w:val="24"/>
                <w:szCs w:val="24"/>
              </w:rPr>
              <w:t>Protrombintid blev maksimalt øget ca. 2 gange.</w:t>
            </w: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 xml:space="preserve">Selvom det ikke er undersøgt, er der mulighed for, at voriconazol kan øge </w:t>
            </w:r>
            <w:r>
              <w:rPr>
                <w:sz w:val="24"/>
                <w:szCs w:val="24"/>
              </w:rPr>
              <w:lastRenderedPageBreak/>
              <w:t>plasmakoncentrationerne af coumariner, der kan medføre forlænget protrombintid.</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Tæt monitorering af protrombintid eller andre passende antikoagulationstest anbefales, og dosis af antikoagulantia bør tilsvarende justeres.</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Ivacaftor</w:t>
            </w:r>
          </w:p>
          <w:p w:rsidR="00B973E4" w:rsidRDefault="00B973E4">
            <w:pPr>
              <w:rPr>
                <w:sz w:val="24"/>
                <w:szCs w:val="24"/>
              </w:rPr>
            </w:pPr>
            <w:r>
              <w:rPr>
                <w:sz w:val="24"/>
                <w:szCs w:val="24"/>
              </w:rPr>
              <w:t>[CYP3A4-</w:t>
            </w:r>
            <w:r>
              <w:rPr>
                <w:i/>
                <w:sz w:val="24"/>
                <w:szCs w:val="24"/>
              </w:rPr>
              <w:t>substrat</w:t>
            </w:r>
            <w:r>
              <w:rPr>
                <w:sz w:val="24"/>
                <w:szCs w:val="24"/>
              </w:rPr>
              <w: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 om det ikke er undersøgt, øger voriconazol sandsynligvis plasmakoncentrationerne</w:t>
            </w:r>
          </w:p>
          <w:p w:rsidR="00B973E4" w:rsidRDefault="00B973E4">
            <w:pPr>
              <w:rPr>
                <w:sz w:val="24"/>
                <w:szCs w:val="24"/>
              </w:rPr>
            </w:pPr>
            <w:r>
              <w:rPr>
                <w:sz w:val="24"/>
                <w:szCs w:val="24"/>
              </w:rPr>
              <w:t>af ivacaftor med risiko for flere bivirkninger.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Det anbefales at reducere dosis</w:t>
            </w:r>
          </w:p>
          <w:p w:rsidR="00B973E4" w:rsidRDefault="00B973E4">
            <w:pPr>
              <w:rPr>
                <w:sz w:val="24"/>
                <w:szCs w:val="24"/>
              </w:rPr>
            </w:pPr>
            <w:r>
              <w:rPr>
                <w:sz w:val="24"/>
                <w:szCs w:val="24"/>
              </w:rPr>
              <w:t>af ivacaftor.</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Pr="00B973E4" w:rsidRDefault="00B973E4">
            <w:pPr>
              <w:rPr>
                <w:sz w:val="24"/>
                <w:szCs w:val="24"/>
                <w:lang w:val="en-US"/>
              </w:rPr>
            </w:pPr>
            <w:r w:rsidRPr="00B973E4">
              <w:rPr>
                <w:sz w:val="24"/>
                <w:szCs w:val="24"/>
                <w:lang w:val="en-US"/>
              </w:rPr>
              <w:t xml:space="preserve">Benzodiazepiner </w:t>
            </w:r>
          </w:p>
          <w:p w:rsidR="00B973E4" w:rsidRPr="00B973E4" w:rsidRDefault="00B973E4">
            <w:pPr>
              <w:rPr>
                <w:i/>
                <w:iCs/>
                <w:sz w:val="24"/>
                <w:szCs w:val="24"/>
                <w:lang w:val="en-US"/>
              </w:rPr>
            </w:pPr>
            <w:r w:rsidRPr="00B973E4">
              <w:rPr>
                <w:i/>
                <w:iCs/>
                <w:sz w:val="24"/>
                <w:szCs w:val="24"/>
                <w:lang w:val="en-US"/>
              </w:rPr>
              <w:t>[CYP3A4-substrater]</w:t>
            </w:r>
          </w:p>
          <w:p w:rsidR="00B973E4" w:rsidRPr="00B973E4" w:rsidRDefault="00B973E4">
            <w:pPr>
              <w:rPr>
                <w:sz w:val="24"/>
                <w:szCs w:val="24"/>
                <w:lang w:val="en-US"/>
              </w:rPr>
            </w:pPr>
          </w:p>
          <w:p w:rsidR="00B973E4" w:rsidRPr="00B973E4" w:rsidRDefault="00B973E4">
            <w:pPr>
              <w:rPr>
                <w:sz w:val="24"/>
                <w:szCs w:val="24"/>
                <w:lang w:val="en-US"/>
              </w:rPr>
            </w:pPr>
            <w:r w:rsidRPr="00B973E4">
              <w:rPr>
                <w:sz w:val="24"/>
                <w:szCs w:val="24"/>
                <w:lang w:val="en-US"/>
              </w:rPr>
              <w:t>Midazolam (0,05 mg/kg</w:t>
            </w:r>
          </w:p>
          <w:p w:rsidR="00B973E4" w:rsidRDefault="00B973E4">
            <w:pPr>
              <w:rPr>
                <w:sz w:val="24"/>
                <w:szCs w:val="24"/>
              </w:rPr>
            </w:pPr>
            <w:r>
              <w:rPr>
                <w:sz w:val="24"/>
                <w:szCs w:val="24"/>
              </w:rPr>
              <w:t>i.v. enkeltdosis)</w:t>
            </w: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Midazolam (7,5 mg oral</w:t>
            </w:r>
          </w:p>
          <w:p w:rsidR="00B973E4" w:rsidRDefault="00B973E4">
            <w:pPr>
              <w:rPr>
                <w:sz w:val="24"/>
                <w:szCs w:val="24"/>
              </w:rPr>
            </w:pPr>
            <w:r>
              <w:rPr>
                <w:sz w:val="24"/>
                <w:szCs w:val="24"/>
              </w:rPr>
              <w:t>enkeltdosis)</w:t>
            </w: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D6284D" w:rsidRDefault="00D6284D" w:rsidP="00D6284D">
            <w:pPr>
              <w:rPr>
                <w:sz w:val="24"/>
                <w:szCs w:val="24"/>
              </w:rPr>
            </w:pPr>
            <w:r>
              <w:rPr>
                <w:sz w:val="24"/>
                <w:szCs w:val="24"/>
              </w:rPr>
              <w:t xml:space="preserve">Andre benzodiazepiner (herunder, men ikke begrænset </w:t>
            </w:r>
          </w:p>
          <w:p w:rsidR="00B973E4" w:rsidRDefault="00D6284D" w:rsidP="00D6284D">
            <w:pPr>
              <w:rPr>
                <w:sz w:val="24"/>
                <w:szCs w:val="24"/>
              </w:rPr>
            </w:pPr>
            <w:r>
              <w:rPr>
                <w:sz w:val="24"/>
                <w:szCs w:val="24"/>
              </w:rPr>
              <w:t>til: triazolam, alprazolam)</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I et uafhængigt, publiceret</w:t>
            </w:r>
          </w:p>
          <w:p w:rsidR="00B973E4" w:rsidRDefault="00B973E4">
            <w:pPr>
              <w:rPr>
                <w:sz w:val="24"/>
                <w:szCs w:val="24"/>
              </w:rPr>
            </w:pPr>
            <w:r>
              <w:rPr>
                <w:sz w:val="24"/>
                <w:szCs w:val="24"/>
              </w:rPr>
              <w:t>studie,</w:t>
            </w:r>
          </w:p>
          <w:p w:rsidR="00B973E4" w:rsidRDefault="00B973E4">
            <w:pPr>
              <w:rPr>
                <w:sz w:val="24"/>
                <w:szCs w:val="24"/>
              </w:rPr>
            </w:pPr>
            <w:r>
              <w:rPr>
                <w:sz w:val="24"/>
                <w:szCs w:val="24"/>
              </w:rPr>
              <w:t>Midazolam AUC</w:t>
            </w:r>
            <w:r>
              <w:rPr>
                <w:sz w:val="24"/>
                <w:szCs w:val="24"/>
                <w:vertAlign w:val="subscript"/>
              </w:rPr>
              <w:t xml:space="preserve">0−∞ </w:t>
            </w:r>
            <w:r>
              <w:rPr>
                <w:sz w:val="24"/>
                <w:szCs w:val="24"/>
              </w:rPr>
              <w:t>↑ 3,7 gange</w:t>
            </w:r>
          </w:p>
          <w:p w:rsidR="00B973E4" w:rsidRDefault="00B973E4">
            <w:pPr>
              <w:rPr>
                <w:sz w:val="24"/>
                <w:szCs w:val="24"/>
              </w:rPr>
            </w:pPr>
          </w:p>
          <w:p w:rsidR="00B973E4" w:rsidRDefault="00B973E4">
            <w:pPr>
              <w:rPr>
                <w:sz w:val="24"/>
                <w:szCs w:val="24"/>
              </w:rPr>
            </w:pPr>
            <w:r>
              <w:rPr>
                <w:sz w:val="24"/>
                <w:szCs w:val="24"/>
              </w:rPr>
              <w:t>I et uafhængigt, publiceret</w:t>
            </w:r>
          </w:p>
          <w:p w:rsidR="00B973E4" w:rsidRDefault="00B973E4">
            <w:pPr>
              <w:rPr>
                <w:sz w:val="24"/>
                <w:szCs w:val="24"/>
              </w:rPr>
            </w:pPr>
            <w:r>
              <w:rPr>
                <w:sz w:val="24"/>
                <w:szCs w:val="24"/>
              </w:rPr>
              <w:t>studie,</w:t>
            </w:r>
          </w:p>
          <w:p w:rsidR="00B973E4" w:rsidRDefault="00B973E4">
            <w:pPr>
              <w:rPr>
                <w:sz w:val="24"/>
                <w:szCs w:val="24"/>
              </w:rPr>
            </w:pPr>
            <w:r>
              <w:rPr>
                <w:sz w:val="24"/>
                <w:szCs w:val="24"/>
              </w:rPr>
              <w:t>Midazolam C</w:t>
            </w:r>
            <w:r>
              <w:rPr>
                <w:sz w:val="24"/>
                <w:szCs w:val="24"/>
                <w:vertAlign w:val="subscript"/>
              </w:rPr>
              <w:t>max</w:t>
            </w:r>
            <w:r>
              <w:rPr>
                <w:sz w:val="24"/>
                <w:szCs w:val="24"/>
              </w:rPr>
              <w:t xml:space="preserve"> ↑ 3,8 gange</w:t>
            </w:r>
          </w:p>
          <w:p w:rsidR="00B973E4" w:rsidRDefault="00B973E4">
            <w:pPr>
              <w:rPr>
                <w:sz w:val="24"/>
                <w:szCs w:val="24"/>
              </w:rPr>
            </w:pPr>
            <w:r>
              <w:rPr>
                <w:sz w:val="24"/>
                <w:szCs w:val="24"/>
              </w:rPr>
              <w:t>Midazolam AUC</w:t>
            </w:r>
            <w:r>
              <w:rPr>
                <w:sz w:val="24"/>
                <w:szCs w:val="24"/>
                <w:vertAlign w:val="subscript"/>
              </w:rPr>
              <w:t xml:space="preserve">0−∞ </w:t>
            </w:r>
            <w:r>
              <w:rPr>
                <w:sz w:val="24"/>
                <w:szCs w:val="24"/>
              </w:rPr>
              <w:t>↑ 10,3 gange</w:t>
            </w:r>
          </w:p>
          <w:p w:rsidR="00B973E4" w:rsidRDefault="00B973E4">
            <w:pPr>
              <w:rPr>
                <w:sz w:val="24"/>
                <w:szCs w:val="24"/>
              </w:rPr>
            </w:pPr>
          </w:p>
          <w:p w:rsidR="00B973E4" w:rsidRDefault="00B973E4">
            <w:pPr>
              <w:rPr>
                <w:sz w:val="24"/>
                <w:szCs w:val="24"/>
              </w:rPr>
            </w:pPr>
            <w:r>
              <w:rPr>
                <w:sz w:val="24"/>
                <w:szCs w:val="24"/>
              </w:rPr>
              <w:t>Selvom det ikke er undersøgt klinisk, øger voriconazol sandsynligvis plasmakoncentrationerne af benzodiazepiner, der metaboliseres af CYP3A4, hvilket medfører forlænget sedativ virkning.</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Dosisreduktion af benzodiazepiner bør overvejes.</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lang w:val="en-US"/>
              </w:rPr>
            </w:pPr>
            <w:r>
              <w:rPr>
                <w:sz w:val="24"/>
                <w:szCs w:val="24"/>
                <w:lang w:val="en-US"/>
              </w:rPr>
              <w:t>Immunosuppressiva</w:t>
            </w:r>
          </w:p>
          <w:p w:rsidR="00B973E4" w:rsidRDefault="00B973E4">
            <w:pPr>
              <w:rPr>
                <w:i/>
                <w:sz w:val="24"/>
                <w:szCs w:val="24"/>
                <w:lang w:val="en-US"/>
              </w:rPr>
            </w:pPr>
            <w:r>
              <w:rPr>
                <w:i/>
                <w:sz w:val="24"/>
                <w:szCs w:val="24"/>
                <w:lang w:val="en-US"/>
              </w:rPr>
              <w:t>[CYP3A4-substrater]</w:t>
            </w:r>
          </w:p>
          <w:p w:rsidR="00B973E4" w:rsidRDefault="00B973E4">
            <w:pPr>
              <w:rPr>
                <w:sz w:val="24"/>
                <w:szCs w:val="24"/>
                <w:lang w:val="en-US"/>
              </w:rPr>
            </w:pPr>
          </w:p>
          <w:p w:rsidR="00B973E4" w:rsidRDefault="00B973E4">
            <w:pPr>
              <w:rPr>
                <w:sz w:val="24"/>
                <w:szCs w:val="24"/>
                <w:lang w:val="en-US"/>
              </w:rPr>
            </w:pPr>
            <w:r>
              <w:rPr>
                <w:sz w:val="24"/>
                <w:szCs w:val="24"/>
                <w:lang w:val="en-US"/>
              </w:rPr>
              <w:t>Sirolimus (2 mg enkeltdosis)</w:t>
            </w:r>
          </w:p>
          <w:p w:rsidR="00B973E4" w:rsidRDefault="00B973E4">
            <w:pPr>
              <w:rPr>
                <w:sz w:val="24"/>
                <w:szCs w:val="24"/>
                <w:lang w:val="en-US"/>
              </w:rPr>
            </w:pPr>
          </w:p>
          <w:p w:rsidR="00B973E4" w:rsidRDefault="00B973E4">
            <w:pPr>
              <w:rPr>
                <w:sz w:val="24"/>
                <w:szCs w:val="24"/>
                <w:lang w:val="en-US"/>
              </w:rPr>
            </w:pPr>
          </w:p>
          <w:p w:rsidR="00B973E4" w:rsidRDefault="00B973E4">
            <w:pPr>
              <w:rPr>
                <w:sz w:val="24"/>
                <w:szCs w:val="24"/>
                <w:lang w:val="en-US"/>
              </w:rPr>
            </w:pPr>
          </w:p>
          <w:p w:rsidR="00B973E4" w:rsidRDefault="00B973E4">
            <w:pPr>
              <w:rPr>
                <w:sz w:val="24"/>
                <w:szCs w:val="24"/>
                <w:lang w:val="en-US"/>
              </w:rPr>
            </w:pPr>
          </w:p>
          <w:p w:rsidR="00B973E4" w:rsidRPr="00B973E4" w:rsidRDefault="00B973E4">
            <w:pPr>
              <w:rPr>
                <w:sz w:val="24"/>
                <w:szCs w:val="24"/>
              </w:rPr>
            </w:pPr>
            <w:r w:rsidRPr="00B973E4">
              <w:rPr>
                <w:sz w:val="24"/>
                <w:szCs w:val="24"/>
              </w:rPr>
              <w:t>Everolimus</w:t>
            </w:r>
          </w:p>
          <w:p w:rsidR="00B973E4" w:rsidRPr="00B973E4" w:rsidRDefault="00B973E4">
            <w:pPr>
              <w:rPr>
                <w:i/>
                <w:iCs/>
                <w:sz w:val="24"/>
                <w:szCs w:val="24"/>
              </w:rPr>
            </w:pPr>
            <w:r w:rsidRPr="00B973E4">
              <w:rPr>
                <w:i/>
                <w:iCs/>
                <w:sz w:val="24"/>
                <w:szCs w:val="24"/>
              </w:rPr>
              <w:t>[også P-gP-substrat]</w:t>
            </w:r>
          </w:p>
          <w:p w:rsidR="00B973E4" w:rsidRP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 xml:space="preserve">Ciclosporin (hos stabile nyretransplanterede patienter, </w:t>
            </w:r>
            <w:r>
              <w:rPr>
                <w:sz w:val="24"/>
                <w:szCs w:val="24"/>
              </w:rPr>
              <w:lastRenderedPageBreak/>
              <w:t>der er i kronisk ciclosporinbehandling)</w:t>
            </w: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Tacrolimus (0,1 mg/kg enkeltdosis)</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I et uafhængigt publiceret studie,</w:t>
            </w:r>
          </w:p>
          <w:p w:rsidR="00B973E4" w:rsidRDefault="00B973E4">
            <w:pPr>
              <w:rPr>
                <w:sz w:val="24"/>
                <w:szCs w:val="24"/>
              </w:rPr>
            </w:pPr>
            <w:r>
              <w:rPr>
                <w:sz w:val="24"/>
                <w:szCs w:val="24"/>
              </w:rPr>
              <w:t>Sirolimus C</w:t>
            </w:r>
            <w:r>
              <w:rPr>
                <w:sz w:val="24"/>
                <w:szCs w:val="24"/>
                <w:vertAlign w:val="subscript"/>
              </w:rPr>
              <w:t>max</w:t>
            </w:r>
            <w:r>
              <w:rPr>
                <w:sz w:val="24"/>
                <w:szCs w:val="24"/>
              </w:rPr>
              <w:t xml:space="preserve"> ↑ 6,6 gange </w:t>
            </w:r>
          </w:p>
          <w:p w:rsidR="00B973E4" w:rsidRDefault="00B973E4">
            <w:pPr>
              <w:rPr>
                <w:sz w:val="24"/>
                <w:szCs w:val="24"/>
              </w:rPr>
            </w:pPr>
            <w:r>
              <w:rPr>
                <w:sz w:val="24"/>
                <w:szCs w:val="24"/>
              </w:rPr>
              <w:t>Sirolimus AUC</w:t>
            </w:r>
            <w:r>
              <w:rPr>
                <w:sz w:val="24"/>
                <w:szCs w:val="24"/>
                <w:vertAlign w:val="subscript"/>
              </w:rPr>
              <w:t xml:space="preserve">0−∞ </w:t>
            </w:r>
            <w:r>
              <w:rPr>
                <w:sz w:val="24"/>
                <w:szCs w:val="24"/>
              </w:rPr>
              <w:t>↑ 11 gange</w:t>
            </w:r>
          </w:p>
          <w:p w:rsidR="00B973E4" w:rsidRDefault="00B973E4">
            <w:pPr>
              <w:rPr>
                <w:sz w:val="24"/>
                <w:szCs w:val="24"/>
              </w:rPr>
            </w:pPr>
          </w:p>
          <w:p w:rsidR="00B973E4" w:rsidRDefault="00B973E4">
            <w:pPr>
              <w:rPr>
                <w:sz w:val="24"/>
                <w:szCs w:val="24"/>
              </w:rPr>
            </w:pPr>
            <w:r>
              <w:rPr>
                <w:sz w:val="24"/>
                <w:szCs w:val="24"/>
              </w:rPr>
              <w:t>Selvom det ikke er undersøgt,</w:t>
            </w:r>
          </w:p>
          <w:p w:rsidR="00B973E4" w:rsidRDefault="00B973E4">
            <w:pPr>
              <w:rPr>
                <w:sz w:val="24"/>
                <w:szCs w:val="24"/>
              </w:rPr>
            </w:pPr>
            <w:r>
              <w:rPr>
                <w:sz w:val="24"/>
                <w:szCs w:val="24"/>
              </w:rPr>
              <w:t>er det sandsynligt, at voriconazol øger plasmakoncentrationen af everolimus signifikant.</w:t>
            </w: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Ciclosporin C</w:t>
            </w:r>
            <w:r>
              <w:rPr>
                <w:sz w:val="24"/>
                <w:szCs w:val="24"/>
                <w:vertAlign w:val="subscript"/>
              </w:rPr>
              <w:t>max</w:t>
            </w:r>
            <w:r>
              <w:rPr>
                <w:sz w:val="24"/>
                <w:szCs w:val="24"/>
              </w:rPr>
              <w:t xml:space="preserve"> ↑ 13 % Ciclosporin AUC</w:t>
            </w:r>
            <w:r>
              <w:rPr>
                <w:sz w:val="24"/>
                <w:szCs w:val="24"/>
                <w:vertAlign w:val="subscript"/>
                <w:lang w:val="en-US"/>
              </w:rPr>
              <w:t>τ</w:t>
            </w:r>
            <w:r>
              <w:rPr>
                <w:sz w:val="24"/>
                <w:szCs w:val="24"/>
              </w:rPr>
              <w:t xml:space="preserve"> ↑ 70 %</w:t>
            </w: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Tacrolimus C</w:t>
            </w:r>
            <w:r>
              <w:rPr>
                <w:sz w:val="24"/>
                <w:szCs w:val="24"/>
                <w:vertAlign w:val="subscript"/>
              </w:rPr>
              <w:t xml:space="preserve">max </w:t>
            </w:r>
            <w:r>
              <w:rPr>
                <w:sz w:val="24"/>
                <w:szCs w:val="24"/>
              </w:rPr>
              <w:t>↑ 117 % Tacrolimus AUC</w:t>
            </w:r>
            <w:r>
              <w:rPr>
                <w:sz w:val="24"/>
                <w:szCs w:val="24"/>
                <w:vertAlign w:val="subscript"/>
                <w:lang w:val="en-US"/>
              </w:rPr>
              <w:t>τ</w:t>
            </w:r>
            <w:r>
              <w:rPr>
                <w:sz w:val="24"/>
                <w:szCs w:val="24"/>
              </w:rPr>
              <w:t xml:space="preserve"> ↑ 221 %</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 xml:space="preserve">Samtidig administration af voriconazol og sirolimus er </w:t>
            </w:r>
            <w:r>
              <w:rPr>
                <w:b/>
                <w:sz w:val="24"/>
                <w:szCs w:val="24"/>
              </w:rPr>
              <w:t xml:space="preserve">kontraindiceret </w:t>
            </w:r>
            <w:r>
              <w:rPr>
                <w:sz w:val="24"/>
                <w:szCs w:val="24"/>
              </w:rPr>
              <w:t>(se pkt. 4.3).</w:t>
            </w: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Samtidig administration af</w:t>
            </w:r>
          </w:p>
          <w:p w:rsidR="00B973E4" w:rsidRDefault="00B973E4">
            <w:pPr>
              <w:rPr>
                <w:sz w:val="24"/>
                <w:szCs w:val="24"/>
              </w:rPr>
            </w:pPr>
            <w:r>
              <w:rPr>
                <w:sz w:val="24"/>
                <w:szCs w:val="24"/>
              </w:rPr>
              <w:t>voriconazol og everolimus frarådes, eftersom voriconazol forventes at øge</w:t>
            </w:r>
          </w:p>
          <w:p w:rsidR="00B973E4" w:rsidRDefault="00B973E4">
            <w:pPr>
              <w:rPr>
                <w:sz w:val="24"/>
                <w:szCs w:val="24"/>
              </w:rPr>
            </w:pPr>
            <w:r>
              <w:rPr>
                <w:sz w:val="24"/>
                <w:szCs w:val="24"/>
              </w:rPr>
              <w:t>koncentrationen af everolimus</w:t>
            </w:r>
          </w:p>
          <w:p w:rsidR="00B973E4" w:rsidRDefault="00B973E4">
            <w:pPr>
              <w:rPr>
                <w:sz w:val="24"/>
                <w:szCs w:val="24"/>
              </w:rPr>
            </w:pPr>
            <w:r>
              <w:rPr>
                <w:sz w:val="24"/>
                <w:szCs w:val="24"/>
              </w:rPr>
              <w:t>signifikant (se pkt. 4.4).</w:t>
            </w:r>
          </w:p>
          <w:p w:rsidR="00B973E4" w:rsidRDefault="00B973E4">
            <w:pPr>
              <w:rPr>
                <w:sz w:val="24"/>
                <w:szCs w:val="24"/>
              </w:rPr>
            </w:pPr>
          </w:p>
          <w:p w:rsidR="00B973E4" w:rsidRDefault="00B973E4">
            <w:pPr>
              <w:rPr>
                <w:sz w:val="24"/>
                <w:szCs w:val="24"/>
              </w:rPr>
            </w:pPr>
            <w:r>
              <w:rPr>
                <w:sz w:val="24"/>
                <w:szCs w:val="24"/>
              </w:rPr>
              <w:t xml:space="preserve">Når voriconazolbehandling startes hos patienter, der </w:t>
            </w:r>
            <w:r>
              <w:rPr>
                <w:sz w:val="24"/>
                <w:szCs w:val="24"/>
              </w:rPr>
              <w:lastRenderedPageBreak/>
              <w:t xml:space="preserve">allerede får ciclosporin, anbefales det, at ciclosporindosis halveres, og at ciclosporinkoncentrationerne monitoreres nøje. Forhøjede ciclosporinkoncentrationer har været forbundet med nefrotoksicitet. </w:t>
            </w:r>
            <w:r>
              <w:rPr>
                <w:sz w:val="24"/>
                <w:szCs w:val="24"/>
                <w:u w:val="single"/>
              </w:rPr>
              <w:t>Når voriconazol seponeres, skal ciclosporin</w:t>
            </w:r>
            <w:r>
              <w:rPr>
                <w:sz w:val="24"/>
                <w:szCs w:val="24"/>
                <w:u w:val="single"/>
              </w:rPr>
              <w:softHyphen/>
              <w:t>koncentrationerne monitoreres nøje, og dosis om nødvendigt justeres.</w:t>
            </w:r>
          </w:p>
          <w:p w:rsidR="00B973E4" w:rsidRDefault="00B973E4">
            <w:pPr>
              <w:rPr>
                <w:sz w:val="24"/>
                <w:szCs w:val="24"/>
              </w:rPr>
            </w:pPr>
          </w:p>
          <w:p w:rsidR="00B973E4" w:rsidRDefault="00B973E4">
            <w:pPr>
              <w:rPr>
                <w:sz w:val="24"/>
                <w:szCs w:val="24"/>
              </w:rPr>
            </w:pPr>
            <w:r>
              <w:rPr>
                <w:sz w:val="24"/>
                <w:szCs w:val="24"/>
              </w:rPr>
              <w:t xml:space="preserve">Når voriconazolbehandling startes hos patienter, der allerede får tacrolimus, anbefales det, at tacrolimusdosis reduceres til en tredjedel af den oprindelige dosis, og at tacrolimuskoncentrationerne monitoreres nøje. Forhøjede tacrolimuskoncentrationer har været forbundet med nefrotoksicitet. </w:t>
            </w:r>
            <w:r>
              <w:rPr>
                <w:sz w:val="24"/>
                <w:szCs w:val="24"/>
                <w:u w:val="single"/>
              </w:rPr>
              <w:t>Når voriconazol seponeres, skal tacrolimus</w:t>
            </w:r>
            <w:r>
              <w:rPr>
                <w:sz w:val="24"/>
                <w:szCs w:val="24"/>
                <w:u w:val="single"/>
              </w:rPr>
              <w:softHyphen/>
              <w:t>koncentrationerne monitoreres nøje, og dosis om nødvendigt justeres.</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lastRenderedPageBreak/>
              <w:t>Langtidsvirkende opiater</w:t>
            </w:r>
          </w:p>
          <w:p w:rsidR="00B973E4" w:rsidRDefault="00B973E4">
            <w:pPr>
              <w:rPr>
                <w:i/>
                <w:sz w:val="24"/>
                <w:szCs w:val="24"/>
              </w:rPr>
            </w:pPr>
            <w:r>
              <w:rPr>
                <w:i/>
                <w:sz w:val="24"/>
                <w:szCs w:val="24"/>
              </w:rPr>
              <w:t>[CYP3A4-substrater]</w:t>
            </w:r>
          </w:p>
          <w:p w:rsidR="00B973E4" w:rsidRDefault="00B973E4">
            <w:pPr>
              <w:rPr>
                <w:sz w:val="24"/>
                <w:szCs w:val="24"/>
              </w:rPr>
            </w:pPr>
          </w:p>
          <w:p w:rsidR="00B973E4" w:rsidRDefault="00B973E4">
            <w:pPr>
              <w:rPr>
                <w:sz w:val="24"/>
                <w:szCs w:val="24"/>
              </w:rPr>
            </w:pPr>
            <w:r>
              <w:rPr>
                <w:sz w:val="24"/>
                <w:szCs w:val="24"/>
              </w:rPr>
              <w:t>Oxycodon (10 mg enkeltdosis)</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I et uafhængigt publiceret studie,</w:t>
            </w:r>
          </w:p>
          <w:p w:rsidR="00B973E4" w:rsidRDefault="00B973E4">
            <w:pPr>
              <w:rPr>
                <w:sz w:val="24"/>
                <w:szCs w:val="24"/>
              </w:rPr>
            </w:pPr>
            <w:r>
              <w:rPr>
                <w:sz w:val="24"/>
                <w:szCs w:val="24"/>
              </w:rPr>
              <w:t>Oxycodon C</w:t>
            </w:r>
            <w:r>
              <w:rPr>
                <w:sz w:val="24"/>
                <w:szCs w:val="24"/>
                <w:vertAlign w:val="subscript"/>
              </w:rPr>
              <w:t>max</w:t>
            </w:r>
            <w:r>
              <w:rPr>
                <w:sz w:val="24"/>
                <w:szCs w:val="24"/>
              </w:rPr>
              <w:t xml:space="preserve"> ↑ 1,7 gange Oxycodon AUC</w:t>
            </w:r>
            <w:r>
              <w:rPr>
                <w:sz w:val="24"/>
                <w:szCs w:val="24"/>
                <w:vertAlign w:val="subscript"/>
              </w:rPr>
              <w:t>0−∞</w:t>
            </w:r>
            <w:r>
              <w:rPr>
                <w:sz w:val="24"/>
                <w:szCs w:val="24"/>
              </w:rPr>
              <w:t xml:space="preserve"> ↑ 3,6 gange</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 xml:space="preserve">Dosisreduktion af oxycodon og andre langtidsvirkende opiater, der metaboliseres af CYP3A4 (f.eks. hydrocodon), bør overvejes. Hyppig monitorering for opiatrelaterede bivirkninger kan være nødvendig. </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lang w:val="en-GB"/>
              </w:rPr>
            </w:pPr>
            <w:r>
              <w:rPr>
                <w:sz w:val="24"/>
                <w:szCs w:val="24"/>
                <w:lang w:val="en-GB"/>
              </w:rPr>
              <w:t>Methadon (32-100 mg QD)</w:t>
            </w:r>
          </w:p>
          <w:p w:rsidR="00B973E4" w:rsidRDefault="00B973E4">
            <w:pPr>
              <w:rPr>
                <w:sz w:val="24"/>
                <w:szCs w:val="24"/>
                <w:lang w:val="en-GB"/>
              </w:rPr>
            </w:pPr>
            <w:r>
              <w:rPr>
                <w:i/>
                <w:sz w:val="24"/>
                <w:szCs w:val="24"/>
                <w:lang w:val="en-GB"/>
              </w:rPr>
              <w:t>[CYP3A4-substrat]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lang w:val="de-DE"/>
              </w:rPr>
            </w:pPr>
            <w:r>
              <w:rPr>
                <w:sz w:val="24"/>
                <w:szCs w:val="24"/>
                <w:lang w:val="de-DE"/>
              </w:rPr>
              <w:t>R-methadon (aktiv) C</w:t>
            </w:r>
            <w:r>
              <w:rPr>
                <w:sz w:val="24"/>
                <w:szCs w:val="24"/>
                <w:vertAlign w:val="subscript"/>
                <w:lang w:val="de-DE"/>
              </w:rPr>
              <w:t>max</w:t>
            </w:r>
            <w:r>
              <w:rPr>
                <w:sz w:val="24"/>
                <w:szCs w:val="24"/>
                <w:lang w:val="de-DE"/>
              </w:rPr>
              <w:t xml:space="preserve"> ↑ 31 %</w:t>
            </w:r>
          </w:p>
          <w:p w:rsidR="00B973E4" w:rsidRDefault="00B973E4">
            <w:pPr>
              <w:rPr>
                <w:sz w:val="24"/>
                <w:szCs w:val="24"/>
                <w:lang w:val="de-DE"/>
              </w:rPr>
            </w:pPr>
            <w:r>
              <w:rPr>
                <w:sz w:val="24"/>
                <w:szCs w:val="24"/>
                <w:lang w:val="de-DE"/>
              </w:rPr>
              <w:t>R-methadon (aktiv) AUC</w:t>
            </w:r>
            <w:r>
              <w:rPr>
                <w:sz w:val="24"/>
                <w:szCs w:val="24"/>
                <w:vertAlign w:val="subscript"/>
                <w:lang w:val="en-US"/>
              </w:rPr>
              <w:t>τ</w:t>
            </w:r>
            <w:r>
              <w:rPr>
                <w:sz w:val="24"/>
                <w:szCs w:val="24"/>
                <w:lang w:val="de-DE"/>
              </w:rPr>
              <w:t xml:space="preserve"> ↑ 47 %</w:t>
            </w:r>
          </w:p>
          <w:p w:rsidR="00B973E4" w:rsidRDefault="00B973E4">
            <w:pPr>
              <w:rPr>
                <w:sz w:val="24"/>
                <w:szCs w:val="24"/>
                <w:lang w:val="en-US"/>
              </w:rPr>
            </w:pPr>
            <w:r>
              <w:rPr>
                <w:sz w:val="24"/>
                <w:szCs w:val="24"/>
                <w:lang w:val="en-US"/>
              </w:rPr>
              <w:t>S-methadon C</w:t>
            </w:r>
            <w:r>
              <w:rPr>
                <w:sz w:val="24"/>
                <w:szCs w:val="24"/>
                <w:vertAlign w:val="subscript"/>
                <w:lang w:val="en-US"/>
              </w:rPr>
              <w:t>max</w:t>
            </w:r>
            <w:r>
              <w:rPr>
                <w:sz w:val="24"/>
                <w:szCs w:val="24"/>
                <w:lang w:val="en-US"/>
              </w:rPr>
              <w:t xml:space="preserve"> ↑ 65 %</w:t>
            </w:r>
          </w:p>
          <w:p w:rsidR="00B973E4" w:rsidRDefault="00B973E4">
            <w:pPr>
              <w:rPr>
                <w:sz w:val="24"/>
                <w:szCs w:val="24"/>
                <w:lang w:val="en-GB"/>
              </w:rPr>
            </w:pPr>
            <w:r>
              <w:rPr>
                <w:sz w:val="24"/>
                <w:szCs w:val="24"/>
                <w:lang w:val="en-US"/>
              </w:rPr>
              <w:t>S-methadon AUC</w:t>
            </w:r>
            <w:r>
              <w:rPr>
                <w:sz w:val="24"/>
                <w:szCs w:val="24"/>
                <w:vertAlign w:val="subscript"/>
                <w:lang w:val="en-US"/>
              </w:rPr>
              <w:t>τ</w:t>
            </w:r>
            <w:r>
              <w:rPr>
                <w:sz w:val="24"/>
                <w:szCs w:val="24"/>
                <w:lang w:val="en-GB"/>
              </w:rPr>
              <w:t xml:space="preserve"> ↑ 103 %</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Hyppig monitorering for methadonrelaterede bivirkninger og toksicitet, herunder forlængelse af QTc- intervallet, anbefales. Dosisreduktion af methadon kan være nødvendig.</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t xml:space="preserve">Non-steroide anti-inflammatoriske lægemidler </w:t>
            </w:r>
            <w:r>
              <w:rPr>
                <w:sz w:val="24"/>
                <w:szCs w:val="24"/>
              </w:rPr>
              <w:lastRenderedPageBreak/>
              <w:t xml:space="preserve">(NSAID’er) </w:t>
            </w:r>
            <w:r>
              <w:rPr>
                <w:i/>
                <w:iCs/>
                <w:sz w:val="24"/>
                <w:szCs w:val="24"/>
              </w:rPr>
              <w:t>[CYP2C9-substrater]</w:t>
            </w:r>
          </w:p>
          <w:p w:rsidR="00B973E4" w:rsidRDefault="00B973E4">
            <w:pPr>
              <w:rPr>
                <w:sz w:val="24"/>
                <w:szCs w:val="24"/>
              </w:rPr>
            </w:pPr>
          </w:p>
          <w:p w:rsidR="00B973E4" w:rsidRDefault="00B973E4">
            <w:pPr>
              <w:rPr>
                <w:sz w:val="24"/>
                <w:szCs w:val="24"/>
              </w:rPr>
            </w:pPr>
            <w:r>
              <w:rPr>
                <w:sz w:val="24"/>
                <w:szCs w:val="24"/>
              </w:rPr>
              <w:t>Ibuprofen (400 mg enkeltdosis)</w:t>
            </w: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Diclofenac (50 mg enkeltdosis)</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Pr="00B973E4" w:rsidRDefault="00B973E4">
            <w:pPr>
              <w:rPr>
                <w:sz w:val="24"/>
                <w:szCs w:val="24"/>
              </w:rPr>
            </w:pPr>
          </w:p>
          <w:p w:rsidR="00B973E4" w:rsidRPr="00B973E4" w:rsidRDefault="00B973E4">
            <w:pPr>
              <w:rPr>
                <w:sz w:val="24"/>
                <w:szCs w:val="24"/>
              </w:rPr>
            </w:pPr>
          </w:p>
          <w:p w:rsidR="00B973E4" w:rsidRDefault="00B973E4">
            <w:pPr>
              <w:rPr>
                <w:sz w:val="24"/>
                <w:szCs w:val="24"/>
                <w:lang w:val="en-US"/>
              </w:rPr>
            </w:pPr>
            <w:r>
              <w:rPr>
                <w:sz w:val="24"/>
                <w:szCs w:val="24"/>
                <w:lang w:val="en-US"/>
              </w:rPr>
              <w:t>S-Ibuprofen C</w:t>
            </w:r>
            <w:r>
              <w:rPr>
                <w:sz w:val="24"/>
                <w:szCs w:val="24"/>
                <w:vertAlign w:val="subscript"/>
                <w:lang w:val="en-US"/>
              </w:rPr>
              <w:t>max</w:t>
            </w:r>
            <w:r>
              <w:rPr>
                <w:sz w:val="24"/>
                <w:szCs w:val="24"/>
                <w:lang w:val="en-US"/>
              </w:rPr>
              <w:t xml:space="preserve"> ↑ 20 % </w:t>
            </w:r>
          </w:p>
          <w:p w:rsidR="00B973E4" w:rsidRDefault="00B973E4">
            <w:pPr>
              <w:rPr>
                <w:sz w:val="24"/>
                <w:szCs w:val="24"/>
                <w:lang w:val="en-US"/>
              </w:rPr>
            </w:pPr>
            <w:r>
              <w:rPr>
                <w:sz w:val="24"/>
                <w:szCs w:val="24"/>
                <w:lang w:val="en-US"/>
              </w:rPr>
              <w:t>S-Ibuprofen AUC</w:t>
            </w:r>
            <w:r>
              <w:rPr>
                <w:sz w:val="24"/>
                <w:szCs w:val="24"/>
                <w:vertAlign w:val="subscript"/>
                <w:lang w:val="en-US"/>
              </w:rPr>
              <w:t>0−∞</w:t>
            </w:r>
            <w:r>
              <w:rPr>
                <w:sz w:val="24"/>
                <w:szCs w:val="24"/>
                <w:lang w:val="en-US"/>
              </w:rPr>
              <w:t xml:space="preserve"> ↑ 100 %</w:t>
            </w:r>
          </w:p>
          <w:p w:rsidR="00B973E4" w:rsidRDefault="00B973E4">
            <w:pPr>
              <w:rPr>
                <w:sz w:val="24"/>
                <w:szCs w:val="24"/>
                <w:lang w:val="en-US"/>
              </w:rPr>
            </w:pPr>
          </w:p>
          <w:p w:rsidR="00B973E4" w:rsidRDefault="00B973E4">
            <w:pPr>
              <w:rPr>
                <w:sz w:val="24"/>
                <w:szCs w:val="24"/>
                <w:lang w:val="en-US"/>
              </w:rPr>
            </w:pPr>
          </w:p>
          <w:p w:rsidR="00B973E4" w:rsidRDefault="00B973E4">
            <w:pPr>
              <w:rPr>
                <w:sz w:val="24"/>
                <w:szCs w:val="24"/>
              </w:rPr>
            </w:pPr>
            <w:r>
              <w:rPr>
                <w:sz w:val="24"/>
                <w:szCs w:val="24"/>
              </w:rPr>
              <w:t>Diclofenac C</w:t>
            </w:r>
            <w:r>
              <w:rPr>
                <w:sz w:val="24"/>
                <w:szCs w:val="24"/>
                <w:vertAlign w:val="subscript"/>
              </w:rPr>
              <w:t>max</w:t>
            </w:r>
            <w:r>
              <w:rPr>
                <w:sz w:val="24"/>
                <w:szCs w:val="24"/>
              </w:rPr>
              <w:t xml:space="preserve"> ↑ 114 % Diclofenac AUC</w:t>
            </w:r>
            <w:r>
              <w:rPr>
                <w:sz w:val="24"/>
                <w:szCs w:val="24"/>
                <w:vertAlign w:val="subscript"/>
              </w:rPr>
              <w:t>0−∞</w:t>
            </w:r>
            <w:r>
              <w:rPr>
                <w:sz w:val="24"/>
                <w:szCs w:val="24"/>
              </w:rPr>
              <w:t>↑ 78 %</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lastRenderedPageBreak/>
              <w:t>Hyppig monitorering for NSAID-relaterede bivirkninger og toksicitet anbefales. Dosisreduktion af NSAID’er kan være nødvendig.</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lastRenderedPageBreak/>
              <w:t xml:space="preserve">Omeprazol (40 mg </w:t>
            </w:r>
            <w:proofErr w:type="gramStart"/>
            <w:r>
              <w:rPr>
                <w:sz w:val="24"/>
                <w:szCs w:val="24"/>
              </w:rPr>
              <w:t>QD)*</w:t>
            </w:r>
            <w:proofErr w:type="gramEnd"/>
          </w:p>
          <w:p w:rsidR="00B973E4" w:rsidRDefault="00B973E4">
            <w:pPr>
              <w:rPr>
                <w:sz w:val="24"/>
                <w:szCs w:val="24"/>
              </w:rPr>
            </w:pPr>
            <w:r>
              <w:rPr>
                <w:i/>
                <w:sz w:val="24"/>
                <w:szCs w:val="24"/>
              </w:rPr>
              <w:t>[CYP2C19-hæmmer; CYP2C19- og CYP3A4-substrat]</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t>Omeprazol C</w:t>
            </w:r>
            <w:r>
              <w:rPr>
                <w:sz w:val="24"/>
                <w:szCs w:val="24"/>
                <w:vertAlign w:val="subscript"/>
              </w:rPr>
              <w:t>max</w:t>
            </w:r>
            <w:r>
              <w:rPr>
                <w:sz w:val="24"/>
                <w:szCs w:val="24"/>
              </w:rPr>
              <w:t xml:space="preserve"> ↑ 116 %</w:t>
            </w:r>
          </w:p>
          <w:p w:rsidR="00B973E4" w:rsidRDefault="00B973E4">
            <w:pPr>
              <w:rPr>
                <w:sz w:val="24"/>
                <w:szCs w:val="24"/>
              </w:rPr>
            </w:pPr>
            <w:r>
              <w:rPr>
                <w:sz w:val="24"/>
                <w:szCs w:val="24"/>
              </w:rPr>
              <w:t>Omeprazol AUC</w:t>
            </w:r>
            <w:r>
              <w:rPr>
                <w:sz w:val="24"/>
                <w:szCs w:val="24"/>
                <w:vertAlign w:val="subscript"/>
                <w:lang w:val="en-US"/>
              </w:rPr>
              <w:t>τ</w:t>
            </w:r>
            <w:r>
              <w:rPr>
                <w:sz w:val="24"/>
                <w:szCs w:val="24"/>
              </w:rPr>
              <w:t xml:space="preserve"> ↑ 280 %</w:t>
            </w:r>
          </w:p>
          <w:p w:rsidR="00B973E4" w:rsidRDefault="00B973E4">
            <w:pPr>
              <w:rPr>
                <w:sz w:val="24"/>
                <w:szCs w:val="24"/>
              </w:rPr>
            </w:pPr>
            <w:r>
              <w:rPr>
                <w:sz w:val="24"/>
                <w:szCs w:val="24"/>
              </w:rPr>
              <w:t>Voriconazol C</w:t>
            </w:r>
            <w:r>
              <w:rPr>
                <w:sz w:val="24"/>
                <w:szCs w:val="24"/>
                <w:vertAlign w:val="subscript"/>
              </w:rPr>
              <w:t>max</w:t>
            </w:r>
            <w:r>
              <w:rPr>
                <w:sz w:val="24"/>
                <w:szCs w:val="24"/>
              </w:rPr>
              <w:t xml:space="preserve"> ↑ 15 % Voriconazol AUC</w:t>
            </w:r>
            <w:r>
              <w:rPr>
                <w:sz w:val="24"/>
                <w:szCs w:val="24"/>
                <w:vertAlign w:val="subscript"/>
                <w:lang w:val="en-US"/>
              </w:rPr>
              <w:t>τ</w:t>
            </w:r>
            <w:r>
              <w:rPr>
                <w:sz w:val="24"/>
                <w:szCs w:val="24"/>
              </w:rPr>
              <w:t xml:space="preserve"> ↑ 41 %</w:t>
            </w:r>
          </w:p>
          <w:p w:rsidR="00B973E4" w:rsidRDefault="00B973E4">
            <w:pPr>
              <w:rPr>
                <w:sz w:val="24"/>
                <w:szCs w:val="24"/>
              </w:rPr>
            </w:pPr>
          </w:p>
          <w:p w:rsidR="00B973E4" w:rsidRDefault="00B973E4">
            <w:pPr>
              <w:rPr>
                <w:sz w:val="24"/>
                <w:szCs w:val="24"/>
              </w:rPr>
            </w:pPr>
            <w:r>
              <w:rPr>
                <w:sz w:val="24"/>
                <w:szCs w:val="24"/>
              </w:rPr>
              <w:t>Andre protonpumpehæmmere, som er CYP2C19-substrater, kan også blive hæmmet af voriconazol og kan medføre forhøjede plasmakoncentrationer af disse lægemidler.</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t>Dosisjustering af voriconazol anbefales ikke.</w:t>
            </w:r>
          </w:p>
          <w:p w:rsidR="00B973E4" w:rsidRDefault="00B973E4">
            <w:pPr>
              <w:rPr>
                <w:sz w:val="24"/>
                <w:szCs w:val="24"/>
              </w:rPr>
            </w:pPr>
          </w:p>
          <w:p w:rsidR="00B973E4" w:rsidRDefault="00B973E4">
            <w:pPr>
              <w:rPr>
                <w:sz w:val="24"/>
                <w:szCs w:val="24"/>
              </w:rPr>
            </w:pPr>
            <w:r>
              <w:rPr>
                <w:sz w:val="24"/>
                <w:szCs w:val="24"/>
              </w:rPr>
              <w:t>Når voriconazolbehandling startes hos patienter, der allerede får omeprazoldoser på 40 mg eller derover, anbefales det, at omeprazoldosis halveres.</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lang w:val="en-US"/>
              </w:rPr>
            </w:pPr>
            <w:r>
              <w:rPr>
                <w:sz w:val="24"/>
                <w:szCs w:val="24"/>
                <w:lang w:val="en-US"/>
              </w:rPr>
              <w:t>Oral antikonception</w:t>
            </w:r>
          </w:p>
          <w:p w:rsidR="00B973E4" w:rsidRDefault="00B973E4">
            <w:pPr>
              <w:rPr>
                <w:i/>
                <w:sz w:val="24"/>
                <w:szCs w:val="24"/>
                <w:lang w:val="en-US"/>
              </w:rPr>
            </w:pPr>
            <w:r>
              <w:rPr>
                <w:i/>
                <w:sz w:val="24"/>
                <w:szCs w:val="24"/>
                <w:lang w:val="en-US"/>
              </w:rPr>
              <w:t>[CYP3A4-substrat; CYP2C19-hæmmer]</w:t>
            </w:r>
          </w:p>
          <w:p w:rsidR="00B973E4" w:rsidRDefault="00B973E4">
            <w:pPr>
              <w:rPr>
                <w:sz w:val="24"/>
                <w:szCs w:val="24"/>
                <w:lang w:val="en-US"/>
              </w:rPr>
            </w:pPr>
          </w:p>
          <w:p w:rsidR="00B973E4" w:rsidRDefault="00B973E4">
            <w:pPr>
              <w:rPr>
                <w:sz w:val="24"/>
                <w:szCs w:val="24"/>
                <w:lang w:val="en-US"/>
              </w:rPr>
            </w:pPr>
            <w:r>
              <w:rPr>
                <w:sz w:val="24"/>
                <w:szCs w:val="24"/>
                <w:lang w:val="en-US"/>
              </w:rPr>
              <w:t>Norethisteron/ethinylestradiol (1 mg/0,035 mg QD)</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lang w:val="en-US"/>
              </w:rPr>
            </w:pPr>
            <w:r>
              <w:rPr>
                <w:sz w:val="24"/>
                <w:szCs w:val="24"/>
                <w:lang w:val="en-US"/>
              </w:rPr>
              <w:t>Ethinylestradiol C</w:t>
            </w:r>
            <w:r>
              <w:rPr>
                <w:sz w:val="24"/>
                <w:szCs w:val="24"/>
                <w:vertAlign w:val="subscript"/>
                <w:lang w:val="en-US"/>
              </w:rPr>
              <w:t>max</w:t>
            </w:r>
            <w:r>
              <w:rPr>
                <w:sz w:val="24"/>
                <w:szCs w:val="24"/>
                <w:lang w:val="en-US"/>
              </w:rPr>
              <w:t xml:space="preserve"> ↑ 36 %</w:t>
            </w:r>
          </w:p>
          <w:p w:rsidR="00B973E4" w:rsidRDefault="00B973E4">
            <w:pPr>
              <w:rPr>
                <w:sz w:val="24"/>
                <w:szCs w:val="24"/>
                <w:lang w:val="en-US"/>
              </w:rPr>
            </w:pPr>
            <w:r>
              <w:rPr>
                <w:sz w:val="24"/>
                <w:szCs w:val="24"/>
                <w:lang w:val="en-US"/>
              </w:rPr>
              <w:t>Ethinylestradiol AUC</w:t>
            </w:r>
            <w:r>
              <w:rPr>
                <w:sz w:val="24"/>
                <w:szCs w:val="24"/>
                <w:vertAlign w:val="subscript"/>
                <w:lang w:val="en-US"/>
              </w:rPr>
              <w:t>τ</w:t>
            </w:r>
            <w:r>
              <w:rPr>
                <w:sz w:val="24"/>
                <w:szCs w:val="24"/>
                <w:lang w:val="en-US"/>
              </w:rPr>
              <w:t xml:space="preserve"> ↑ 61 %</w:t>
            </w:r>
          </w:p>
          <w:p w:rsidR="00B973E4" w:rsidRDefault="00B973E4">
            <w:pPr>
              <w:rPr>
                <w:sz w:val="24"/>
                <w:szCs w:val="24"/>
                <w:lang w:val="en-US"/>
              </w:rPr>
            </w:pPr>
            <w:r>
              <w:rPr>
                <w:sz w:val="24"/>
                <w:szCs w:val="24"/>
                <w:lang w:val="en-US"/>
              </w:rPr>
              <w:t>Norethisteron C</w:t>
            </w:r>
            <w:r>
              <w:rPr>
                <w:sz w:val="24"/>
                <w:szCs w:val="24"/>
                <w:vertAlign w:val="subscript"/>
                <w:lang w:val="en-US"/>
              </w:rPr>
              <w:t>max</w:t>
            </w:r>
            <w:r>
              <w:rPr>
                <w:sz w:val="24"/>
                <w:szCs w:val="24"/>
                <w:lang w:val="en-US"/>
              </w:rPr>
              <w:t xml:space="preserve"> ↑ 15 %</w:t>
            </w:r>
          </w:p>
          <w:p w:rsidR="00B973E4" w:rsidRDefault="00B973E4">
            <w:pPr>
              <w:rPr>
                <w:sz w:val="24"/>
                <w:szCs w:val="24"/>
                <w:lang w:val="en-US"/>
              </w:rPr>
            </w:pPr>
            <w:r>
              <w:rPr>
                <w:sz w:val="24"/>
                <w:szCs w:val="24"/>
                <w:lang w:val="en-US"/>
              </w:rPr>
              <w:t>Norethisteron AUC</w:t>
            </w:r>
            <w:r>
              <w:rPr>
                <w:sz w:val="24"/>
                <w:szCs w:val="24"/>
                <w:vertAlign w:val="subscript"/>
                <w:lang w:val="en-US"/>
              </w:rPr>
              <w:t>τ</w:t>
            </w:r>
            <w:r>
              <w:rPr>
                <w:sz w:val="24"/>
                <w:szCs w:val="24"/>
                <w:lang w:val="en-US"/>
              </w:rPr>
              <w:t xml:space="preserve"> ↑ 53 %</w:t>
            </w:r>
          </w:p>
          <w:p w:rsidR="00B973E4" w:rsidRDefault="00B973E4">
            <w:pPr>
              <w:rPr>
                <w:sz w:val="24"/>
                <w:szCs w:val="24"/>
                <w:lang w:val="en-US"/>
              </w:rPr>
            </w:pPr>
            <w:r>
              <w:rPr>
                <w:sz w:val="24"/>
                <w:szCs w:val="24"/>
                <w:lang w:val="en-US"/>
              </w:rPr>
              <w:t>Voriconazol C</w:t>
            </w:r>
            <w:r>
              <w:rPr>
                <w:sz w:val="24"/>
                <w:szCs w:val="24"/>
                <w:vertAlign w:val="subscript"/>
                <w:lang w:val="en-US"/>
              </w:rPr>
              <w:t>max</w:t>
            </w:r>
            <w:r>
              <w:rPr>
                <w:sz w:val="24"/>
                <w:szCs w:val="24"/>
                <w:lang w:val="en-US"/>
              </w:rPr>
              <w:t xml:space="preserve"> ↑ 14 % Voriconazol AUC</w:t>
            </w:r>
            <w:r>
              <w:rPr>
                <w:sz w:val="24"/>
                <w:szCs w:val="24"/>
                <w:vertAlign w:val="subscript"/>
                <w:lang w:val="en-US"/>
              </w:rPr>
              <w:t>τ</w:t>
            </w:r>
            <w:r>
              <w:rPr>
                <w:sz w:val="24"/>
                <w:szCs w:val="24"/>
                <w:lang w:val="en-US"/>
              </w:rPr>
              <w:t xml:space="preserve"> ↑ 46 %</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Monitorering for bivirkninger relateret til oral antikonception udover bivirkninger relateret til voriconazol anbefales.</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t>Korttidsvirkende opiater</w:t>
            </w:r>
          </w:p>
          <w:p w:rsidR="00B973E4" w:rsidRDefault="00B973E4">
            <w:pPr>
              <w:rPr>
                <w:i/>
                <w:sz w:val="24"/>
                <w:szCs w:val="24"/>
              </w:rPr>
            </w:pPr>
            <w:r>
              <w:rPr>
                <w:i/>
                <w:sz w:val="24"/>
                <w:szCs w:val="24"/>
              </w:rPr>
              <w:t>[CYP3A4-substrater]</w:t>
            </w:r>
          </w:p>
          <w:p w:rsidR="00B973E4" w:rsidRDefault="00B973E4">
            <w:pPr>
              <w:rPr>
                <w:sz w:val="24"/>
                <w:szCs w:val="24"/>
              </w:rPr>
            </w:pPr>
          </w:p>
          <w:p w:rsidR="00B973E4" w:rsidRDefault="00B973E4">
            <w:pPr>
              <w:rPr>
                <w:sz w:val="24"/>
                <w:szCs w:val="24"/>
              </w:rPr>
            </w:pPr>
            <w:r>
              <w:rPr>
                <w:sz w:val="24"/>
                <w:szCs w:val="24"/>
              </w:rPr>
              <w:t>Alfentanil (20 μg/kg enkeltdosis samtidig med naloxon)</w:t>
            </w: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Fentanyl (5 μg/kg enkeltdosis)</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I et uafhængigt publiceret studie,</w:t>
            </w:r>
          </w:p>
          <w:p w:rsidR="00B973E4" w:rsidRDefault="00B973E4">
            <w:pPr>
              <w:rPr>
                <w:sz w:val="24"/>
                <w:szCs w:val="24"/>
              </w:rPr>
            </w:pPr>
            <w:r>
              <w:rPr>
                <w:sz w:val="24"/>
                <w:szCs w:val="24"/>
              </w:rPr>
              <w:t>Alfentanil AUC</w:t>
            </w:r>
            <w:r>
              <w:rPr>
                <w:sz w:val="24"/>
                <w:szCs w:val="24"/>
                <w:vertAlign w:val="subscript"/>
              </w:rPr>
              <w:t>0−∞</w:t>
            </w:r>
            <w:r>
              <w:rPr>
                <w:sz w:val="24"/>
                <w:szCs w:val="24"/>
              </w:rPr>
              <w:t xml:space="preserve"> ↑ 6 gange</w:t>
            </w:r>
          </w:p>
          <w:p w:rsidR="00B973E4" w:rsidRDefault="00B973E4">
            <w:pPr>
              <w:rPr>
                <w:sz w:val="24"/>
                <w:szCs w:val="24"/>
              </w:rPr>
            </w:pPr>
          </w:p>
          <w:p w:rsidR="00B973E4" w:rsidRDefault="00B973E4">
            <w:pPr>
              <w:rPr>
                <w:sz w:val="24"/>
                <w:szCs w:val="24"/>
              </w:rPr>
            </w:pPr>
            <w:r>
              <w:rPr>
                <w:sz w:val="24"/>
                <w:szCs w:val="24"/>
              </w:rPr>
              <w:t>I et uafhængigt publiceret studie,</w:t>
            </w:r>
          </w:p>
          <w:p w:rsidR="00B973E4" w:rsidRDefault="00B973E4">
            <w:pPr>
              <w:rPr>
                <w:sz w:val="24"/>
                <w:szCs w:val="24"/>
              </w:rPr>
            </w:pPr>
            <w:r>
              <w:rPr>
                <w:sz w:val="24"/>
                <w:szCs w:val="24"/>
              </w:rPr>
              <w:t>Fentanyl AUC</w:t>
            </w:r>
            <w:r>
              <w:rPr>
                <w:sz w:val="24"/>
                <w:szCs w:val="24"/>
                <w:vertAlign w:val="subscript"/>
              </w:rPr>
              <w:t>0−∞</w:t>
            </w:r>
            <w:r>
              <w:rPr>
                <w:sz w:val="24"/>
                <w:szCs w:val="24"/>
              </w:rPr>
              <w:t xml:space="preserve"> ↑ 1,34 gange</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Det bør overvejes at reducere dosis af alfentanil, fentanyl samt andre korttidsvirkende opiater, hvis struktur ligner alfentanils, og som metaboliseres af CYP3A4 (f.eks. sufentanil). Udvidet og hyppig monitorering for vejrtrækningsdepression og andre opiatrelaterede bivirkninger anbefales.</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lang w:val="en-GB"/>
              </w:rPr>
            </w:pPr>
            <w:r>
              <w:rPr>
                <w:sz w:val="24"/>
                <w:szCs w:val="24"/>
                <w:lang w:val="en-GB"/>
              </w:rPr>
              <w:t xml:space="preserve">Statiner (f.eks. lovastatin) </w:t>
            </w:r>
            <w:r>
              <w:rPr>
                <w:i/>
                <w:sz w:val="24"/>
                <w:szCs w:val="24"/>
                <w:lang w:val="en-GB"/>
              </w:rPr>
              <w:t>[CYP3A4-substrater]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 klinisk, er det sandsynligt, at voriconazol kan forøge plasmakoncentrationerne af statiner, der metaboliseres af CYP3A4, og føre til rabdomyolyse.</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Hvis samtidig administration af voriconazol og statiner, der</w:t>
            </w:r>
          </w:p>
          <w:p w:rsidR="00B973E4" w:rsidRDefault="00B973E4">
            <w:pPr>
              <w:rPr>
                <w:sz w:val="24"/>
                <w:szCs w:val="24"/>
              </w:rPr>
            </w:pPr>
            <w:r>
              <w:rPr>
                <w:sz w:val="24"/>
                <w:szCs w:val="24"/>
              </w:rPr>
              <w:t>metaboliseres af CYP3A4, ikke kan undgås, det bør overvejes at reducere statindosis.</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D6284D" w:rsidRDefault="00D6284D" w:rsidP="00D6284D">
            <w:pPr>
              <w:rPr>
                <w:sz w:val="24"/>
                <w:szCs w:val="24"/>
              </w:rPr>
            </w:pPr>
            <w:bookmarkStart w:id="0" w:name="_Hlk193191871"/>
            <w:r>
              <w:rPr>
                <w:sz w:val="24"/>
                <w:szCs w:val="24"/>
              </w:rPr>
              <w:t xml:space="preserve">Sulfonylurinstoffer </w:t>
            </w:r>
            <w:bookmarkEnd w:id="0"/>
            <w:r>
              <w:rPr>
                <w:sz w:val="24"/>
                <w:szCs w:val="24"/>
              </w:rPr>
              <w:t xml:space="preserve">(herunder, men ikke begrænset </w:t>
            </w:r>
          </w:p>
          <w:p w:rsidR="00D6284D" w:rsidRDefault="00D6284D" w:rsidP="00D6284D">
            <w:pPr>
              <w:rPr>
                <w:sz w:val="24"/>
                <w:szCs w:val="24"/>
              </w:rPr>
            </w:pPr>
            <w:r>
              <w:rPr>
                <w:sz w:val="24"/>
                <w:szCs w:val="24"/>
              </w:rPr>
              <w:lastRenderedPageBreak/>
              <w:t xml:space="preserve">til: tolbutamid, glipizid, glyburid) </w:t>
            </w:r>
          </w:p>
          <w:p w:rsidR="00B973E4" w:rsidRDefault="00D6284D" w:rsidP="00D6284D">
            <w:pPr>
              <w:rPr>
                <w:sz w:val="24"/>
                <w:szCs w:val="24"/>
                <w:lang w:val="en-US"/>
              </w:rPr>
            </w:pPr>
            <w:r>
              <w:rPr>
                <w:i/>
                <w:sz w:val="24"/>
                <w:szCs w:val="24"/>
                <w:lang w:val="en-US"/>
              </w:rPr>
              <w:t>[CYP2C9-substrater]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lastRenderedPageBreak/>
              <w:t xml:space="preserve">Selvom det ikke er undersøgt, er det sandsynligt, at voriconazol kan forøge </w:t>
            </w:r>
            <w:r>
              <w:rPr>
                <w:sz w:val="24"/>
                <w:szCs w:val="24"/>
              </w:rPr>
              <w:lastRenderedPageBreak/>
              <w:t>plasmakoncentrationerne af sulfonylurinstoffer og forårsage hypoglykæmi.</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lastRenderedPageBreak/>
              <w:t xml:space="preserve">Omhyggelig monitorering af blodglucose anbefales. Dosisreduktion af </w:t>
            </w:r>
            <w:r>
              <w:rPr>
                <w:sz w:val="24"/>
                <w:szCs w:val="24"/>
              </w:rPr>
              <w:lastRenderedPageBreak/>
              <w:t>sulfonylurinstoffer bør overvejes.</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D6284D" w:rsidRDefault="00D6284D" w:rsidP="00D6284D">
            <w:pPr>
              <w:rPr>
                <w:sz w:val="24"/>
                <w:szCs w:val="24"/>
              </w:rPr>
            </w:pPr>
            <w:r>
              <w:rPr>
                <w:sz w:val="24"/>
                <w:szCs w:val="24"/>
              </w:rPr>
              <w:lastRenderedPageBreak/>
              <w:t xml:space="preserve">Vinkaalkaloider (herunder, men ikke begrænset </w:t>
            </w:r>
          </w:p>
          <w:p w:rsidR="00D6284D" w:rsidRDefault="00D6284D" w:rsidP="00D6284D">
            <w:pPr>
              <w:rPr>
                <w:sz w:val="24"/>
                <w:szCs w:val="24"/>
              </w:rPr>
            </w:pPr>
            <w:r>
              <w:rPr>
                <w:sz w:val="24"/>
                <w:szCs w:val="24"/>
              </w:rPr>
              <w:t>til: vincristin og vinblastin)</w:t>
            </w:r>
          </w:p>
          <w:p w:rsidR="00B973E4" w:rsidRDefault="00D6284D" w:rsidP="00D6284D">
            <w:pPr>
              <w:rPr>
                <w:sz w:val="24"/>
                <w:szCs w:val="24"/>
              </w:rPr>
            </w:pPr>
            <w:r>
              <w:rPr>
                <w:i/>
                <w:sz w:val="24"/>
                <w:szCs w:val="24"/>
              </w:rPr>
              <w:t>[CYP3A4-substrater]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 øger voriconazol sandsynligvis plasmakoncentrationen af vinkaalkaloider og forårsager neurotoksicitet.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Dosisreduktion af vinkaalkaloider bør overvejes.</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D6284D" w:rsidRDefault="00D6284D" w:rsidP="00D6284D">
            <w:pPr>
              <w:rPr>
                <w:sz w:val="24"/>
                <w:szCs w:val="24"/>
              </w:rPr>
            </w:pPr>
            <w:r>
              <w:rPr>
                <w:sz w:val="24"/>
                <w:szCs w:val="24"/>
              </w:rPr>
              <w:t xml:space="preserve">Andre hiv-proteasehæmmere (herunder, men ikke begrænset </w:t>
            </w:r>
          </w:p>
          <w:p w:rsidR="00D6284D" w:rsidRDefault="00D6284D" w:rsidP="00D6284D">
            <w:pPr>
              <w:rPr>
                <w:sz w:val="24"/>
                <w:szCs w:val="24"/>
              </w:rPr>
            </w:pPr>
            <w:r>
              <w:rPr>
                <w:sz w:val="24"/>
                <w:szCs w:val="24"/>
              </w:rPr>
              <w:t>til: saquinavir, amprenavir og nelfinavir) *</w:t>
            </w:r>
          </w:p>
          <w:p w:rsidR="00B973E4" w:rsidRDefault="00D6284D" w:rsidP="00D6284D">
            <w:pPr>
              <w:rPr>
                <w:sz w:val="24"/>
                <w:szCs w:val="24"/>
              </w:rPr>
            </w:pPr>
            <w:r>
              <w:rPr>
                <w:i/>
                <w:sz w:val="24"/>
                <w:szCs w:val="24"/>
              </w:rPr>
              <w:t>[CYP3A4-substrater og -hæmmere]</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 xml:space="preserve">Ikke undersøgt klinisk. Studier </w:t>
            </w:r>
            <w:r>
              <w:rPr>
                <w:i/>
                <w:sz w:val="24"/>
                <w:szCs w:val="24"/>
              </w:rPr>
              <w:t>in vitro</w:t>
            </w:r>
            <w:r>
              <w:rPr>
                <w:sz w:val="24"/>
                <w:szCs w:val="24"/>
              </w:rPr>
              <w:t xml:space="preserve"> viser, at voriconazol kan hæmme metaboliseringen af hiv-proteasehæmmere, og metaboliseringen af voriconazol kan også blive hæmmet af hiv-proteasehæmmere.</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Omhyggelig monitorering for enhver forekomst af lægemiddeltoksicitet og/eller mangel på effekt og dosisjustering kan blive nødvendig.</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D6284D" w:rsidRDefault="00D6284D" w:rsidP="00D6284D">
            <w:pPr>
              <w:rPr>
                <w:sz w:val="24"/>
                <w:szCs w:val="24"/>
              </w:rPr>
            </w:pPr>
            <w:r>
              <w:rPr>
                <w:sz w:val="24"/>
                <w:szCs w:val="24"/>
              </w:rPr>
              <w:t>Andre non-nukleoiside revers transkriptasehæmmere (NNRTI’er) (herunder, men ikke begrænset til: delavirdin, nevirapin) *</w:t>
            </w:r>
          </w:p>
          <w:p w:rsidR="00B973E4" w:rsidRDefault="00D6284D" w:rsidP="00D6284D">
            <w:pPr>
              <w:rPr>
                <w:sz w:val="24"/>
                <w:szCs w:val="24"/>
              </w:rPr>
            </w:pPr>
            <w:r>
              <w:rPr>
                <w:i/>
                <w:sz w:val="24"/>
                <w:szCs w:val="24"/>
              </w:rPr>
              <w:t>[CYP3A4-substrater og -hæmmere eller CYP450-induktorer]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 xml:space="preserve">Ikke undersøgt klinisk. Studier </w:t>
            </w:r>
            <w:r>
              <w:rPr>
                <w:i/>
                <w:sz w:val="24"/>
                <w:szCs w:val="24"/>
              </w:rPr>
              <w:t xml:space="preserve">in vitro </w:t>
            </w:r>
            <w:r>
              <w:rPr>
                <w:sz w:val="24"/>
                <w:szCs w:val="24"/>
              </w:rPr>
              <w:t>viser, at metaboliseringen af voriconazol kan blive hæmmet af NNRTI’er, og voriconazol kan hæmme metaboliseringen af NNRTI’er. Disse fund vedrørende efavirenz’ virkning på voriconazol tyder på, at metaboliseringen af voriconazol kan blive induceret af NNRTI’er.</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Omhyggelig monitorering for enhver forekomst af lægemiddeltoksicitet og/eller mangel på effekt og dosisjustering kan blive nødvendig.</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Tretinoin</w:t>
            </w:r>
          </w:p>
          <w:p w:rsidR="00B973E4" w:rsidRDefault="00B973E4">
            <w:pPr>
              <w:rPr>
                <w:i/>
                <w:iCs/>
                <w:sz w:val="24"/>
                <w:szCs w:val="24"/>
              </w:rPr>
            </w:pPr>
            <w:r>
              <w:rPr>
                <w:i/>
                <w:iCs/>
                <w:sz w:val="24"/>
                <w:szCs w:val="24"/>
              </w:rPr>
              <w:t>[CYP3A4-substrat]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Selvom det ikke er undersøgt,</w:t>
            </w:r>
          </w:p>
          <w:p w:rsidR="00B973E4" w:rsidRDefault="00B973E4">
            <w:pPr>
              <w:rPr>
                <w:sz w:val="24"/>
                <w:szCs w:val="24"/>
              </w:rPr>
            </w:pPr>
            <w:r>
              <w:rPr>
                <w:sz w:val="24"/>
                <w:szCs w:val="24"/>
              </w:rPr>
              <w:t>kan voriconazol øge koncentrationerne</w:t>
            </w:r>
          </w:p>
          <w:p w:rsidR="00B973E4" w:rsidRDefault="00B973E4">
            <w:pPr>
              <w:rPr>
                <w:sz w:val="24"/>
                <w:szCs w:val="24"/>
              </w:rPr>
            </w:pPr>
            <w:r>
              <w:rPr>
                <w:sz w:val="24"/>
                <w:szCs w:val="24"/>
              </w:rPr>
              <w:t>af tretinoin og dermed</w:t>
            </w:r>
          </w:p>
          <w:p w:rsidR="00B973E4" w:rsidRDefault="00B973E4">
            <w:pPr>
              <w:rPr>
                <w:sz w:val="24"/>
                <w:szCs w:val="24"/>
              </w:rPr>
            </w:pPr>
            <w:r>
              <w:rPr>
                <w:sz w:val="24"/>
                <w:szCs w:val="24"/>
              </w:rPr>
              <w:t>risikoen for bivirkninger (pseudotumor cerebri, hypercalcæmi).</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Det anbefales at justere dosis af tretinoin under behandling med voriconazol og efter seponeringen.</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Cimetidin (400 mg BID)</w:t>
            </w:r>
          </w:p>
          <w:p w:rsidR="00B973E4" w:rsidRDefault="00B973E4">
            <w:pPr>
              <w:rPr>
                <w:sz w:val="24"/>
                <w:szCs w:val="24"/>
              </w:rPr>
            </w:pPr>
            <w:r>
              <w:rPr>
                <w:i/>
                <w:sz w:val="24"/>
                <w:szCs w:val="24"/>
              </w:rPr>
              <w:t>[non-specifik CYP450-hæmmer, der øger gastrisk pH]</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Voriconazol C</w:t>
            </w:r>
            <w:r>
              <w:rPr>
                <w:sz w:val="24"/>
                <w:szCs w:val="24"/>
                <w:vertAlign w:val="subscript"/>
              </w:rPr>
              <w:t>max</w:t>
            </w:r>
            <w:r>
              <w:rPr>
                <w:sz w:val="24"/>
                <w:szCs w:val="24"/>
              </w:rPr>
              <w:t xml:space="preserve"> ↑ 18 % Voriconazol AUC</w:t>
            </w:r>
            <w:r>
              <w:rPr>
                <w:sz w:val="24"/>
                <w:szCs w:val="24"/>
                <w:vertAlign w:val="subscript"/>
                <w:lang w:val="en-US"/>
              </w:rPr>
              <w:t>τ</w:t>
            </w:r>
            <w:r>
              <w:rPr>
                <w:sz w:val="24"/>
                <w:szCs w:val="24"/>
              </w:rPr>
              <w:t xml:space="preserve"> ↑ 23 %</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Ingen dosisjustering</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lang w:val="fr-FR"/>
              </w:rPr>
            </w:pPr>
            <w:r>
              <w:rPr>
                <w:sz w:val="24"/>
                <w:szCs w:val="24"/>
                <w:lang w:val="fr-FR"/>
              </w:rPr>
              <w:t>Digoxin (0,25 mg QD)</w:t>
            </w:r>
          </w:p>
          <w:p w:rsidR="00B973E4" w:rsidRDefault="00B973E4">
            <w:pPr>
              <w:rPr>
                <w:sz w:val="24"/>
                <w:szCs w:val="24"/>
                <w:lang w:val="fr-FR"/>
              </w:rPr>
            </w:pPr>
            <w:r>
              <w:rPr>
                <w:i/>
                <w:sz w:val="24"/>
                <w:szCs w:val="24"/>
                <w:lang w:val="fr-FR"/>
              </w:rPr>
              <w:t>[P-gp-substrat]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Digoxin C</w:t>
            </w:r>
            <w:r>
              <w:rPr>
                <w:sz w:val="24"/>
                <w:szCs w:val="24"/>
                <w:vertAlign w:val="subscript"/>
              </w:rPr>
              <w:t>max</w:t>
            </w:r>
            <w:r>
              <w:rPr>
                <w:sz w:val="24"/>
                <w:szCs w:val="24"/>
              </w:rPr>
              <w:t xml:space="preserve"> ↔</w:t>
            </w:r>
          </w:p>
          <w:p w:rsidR="00B973E4" w:rsidRDefault="00B973E4">
            <w:pPr>
              <w:rPr>
                <w:sz w:val="24"/>
                <w:szCs w:val="24"/>
              </w:rPr>
            </w:pPr>
            <w:r>
              <w:rPr>
                <w:sz w:val="24"/>
                <w:szCs w:val="24"/>
              </w:rPr>
              <w:t>Digoxin AUC</w:t>
            </w:r>
            <w:r>
              <w:rPr>
                <w:sz w:val="24"/>
                <w:szCs w:val="24"/>
                <w:vertAlign w:val="subscript"/>
                <w:lang w:val="en-US"/>
              </w:rPr>
              <w:t>τ</w:t>
            </w:r>
            <w:r>
              <w:rPr>
                <w:sz w:val="24"/>
                <w:szCs w:val="24"/>
              </w:rPr>
              <w:t xml:space="preserve"> ↔</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Ingen dosisjustering</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 xml:space="preserve">Indinavir (800 mg TID) </w:t>
            </w:r>
            <w:r>
              <w:rPr>
                <w:i/>
                <w:sz w:val="24"/>
                <w:szCs w:val="24"/>
              </w:rPr>
              <w:t>[CYP3A4-hæmmer og -substrat]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lang w:val="en-US"/>
              </w:rPr>
            </w:pPr>
            <w:r>
              <w:rPr>
                <w:sz w:val="24"/>
                <w:szCs w:val="24"/>
                <w:lang w:val="en-US"/>
              </w:rPr>
              <w:t>Indinavir C</w:t>
            </w:r>
            <w:r>
              <w:rPr>
                <w:sz w:val="24"/>
                <w:szCs w:val="24"/>
                <w:vertAlign w:val="subscript"/>
                <w:lang w:val="en-US"/>
              </w:rPr>
              <w:t>max</w:t>
            </w:r>
            <w:r>
              <w:rPr>
                <w:sz w:val="24"/>
                <w:szCs w:val="24"/>
                <w:lang w:val="en-US"/>
              </w:rPr>
              <w:t xml:space="preserve"> ↔</w:t>
            </w:r>
          </w:p>
          <w:p w:rsidR="00B973E4" w:rsidRDefault="00B973E4">
            <w:pPr>
              <w:rPr>
                <w:sz w:val="24"/>
                <w:szCs w:val="24"/>
                <w:lang w:val="en-US"/>
              </w:rPr>
            </w:pPr>
            <w:r>
              <w:rPr>
                <w:sz w:val="24"/>
                <w:szCs w:val="24"/>
                <w:lang w:val="en-US"/>
              </w:rPr>
              <w:t>Indinavir AUC</w:t>
            </w:r>
            <w:r>
              <w:rPr>
                <w:sz w:val="24"/>
                <w:szCs w:val="24"/>
                <w:vertAlign w:val="subscript"/>
                <w:lang w:val="en-US"/>
              </w:rPr>
              <w:t>τ</w:t>
            </w:r>
            <w:r>
              <w:rPr>
                <w:sz w:val="24"/>
                <w:szCs w:val="24"/>
                <w:lang w:val="en-US"/>
              </w:rPr>
              <w:t xml:space="preserve"> ↔</w:t>
            </w:r>
          </w:p>
          <w:p w:rsidR="00B973E4" w:rsidRDefault="00B973E4">
            <w:pPr>
              <w:rPr>
                <w:sz w:val="24"/>
                <w:szCs w:val="24"/>
                <w:lang w:val="en-US"/>
              </w:rPr>
            </w:pPr>
            <w:r>
              <w:rPr>
                <w:sz w:val="24"/>
                <w:szCs w:val="24"/>
                <w:lang w:val="en-US"/>
              </w:rPr>
              <w:t>Voriconazol C</w:t>
            </w:r>
            <w:r>
              <w:rPr>
                <w:sz w:val="24"/>
                <w:szCs w:val="24"/>
                <w:vertAlign w:val="subscript"/>
                <w:lang w:val="en-US"/>
              </w:rPr>
              <w:t>max</w:t>
            </w:r>
            <w:r>
              <w:rPr>
                <w:sz w:val="24"/>
                <w:szCs w:val="24"/>
                <w:lang w:val="en-US"/>
              </w:rPr>
              <w:t xml:space="preserve"> ↔ </w:t>
            </w:r>
          </w:p>
          <w:p w:rsidR="00B973E4" w:rsidRDefault="00B973E4">
            <w:pPr>
              <w:rPr>
                <w:sz w:val="24"/>
                <w:szCs w:val="24"/>
              </w:rPr>
            </w:pPr>
            <w:r>
              <w:rPr>
                <w:sz w:val="24"/>
                <w:szCs w:val="24"/>
              </w:rPr>
              <w:t>Voriconazol AUC</w:t>
            </w:r>
            <w:r>
              <w:rPr>
                <w:sz w:val="24"/>
                <w:szCs w:val="24"/>
                <w:vertAlign w:val="subscript"/>
                <w:lang w:val="en-US"/>
              </w:rPr>
              <w:t>τ</w:t>
            </w:r>
            <w:r>
              <w:rPr>
                <w:sz w:val="24"/>
                <w:szCs w:val="24"/>
              </w:rPr>
              <w:t xml:space="preserve"> ↔</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Ingen dosisjustering</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lang w:val="en-US"/>
              </w:rPr>
            </w:pPr>
            <w:r>
              <w:rPr>
                <w:sz w:val="24"/>
                <w:szCs w:val="24"/>
                <w:lang w:val="en-US"/>
              </w:rPr>
              <w:t>Makrolidantibiotika</w:t>
            </w:r>
          </w:p>
          <w:p w:rsidR="00B973E4" w:rsidRDefault="00B973E4">
            <w:pPr>
              <w:rPr>
                <w:sz w:val="24"/>
                <w:szCs w:val="24"/>
                <w:lang w:val="en-US"/>
              </w:rPr>
            </w:pPr>
          </w:p>
          <w:p w:rsidR="00B973E4" w:rsidRDefault="00B973E4">
            <w:pPr>
              <w:rPr>
                <w:i/>
                <w:sz w:val="24"/>
                <w:szCs w:val="24"/>
                <w:lang w:val="en-US"/>
              </w:rPr>
            </w:pPr>
            <w:r>
              <w:rPr>
                <w:sz w:val="24"/>
                <w:szCs w:val="24"/>
                <w:lang w:val="en-US"/>
              </w:rPr>
              <w:lastRenderedPageBreak/>
              <w:t xml:space="preserve">Erythromycin (1 g BID) </w:t>
            </w:r>
            <w:r>
              <w:rPr>
                <w:i/>
                <w:sz w:val="24"/>
                <w:szCs w:val="24"/>
                <w:lang w:val="en-US"/>
              </w:rPr>
              <w:t>[CYP3A4-hæmmer]</w:t>
            </w:r>
          </w:p>
          <w:p w:rsidR="00B973E4" w:rsidRDefault="00B973E4">
            <w:pPr>
              <w:rPr>
                <w:sz w:val="24"/>
                <w:szCs w:val="24"/>
                <w:lang w:val="en-US"/>
              </w:rPr>
            </w:pPr>
          </w:p>
          <w:p w:rsidR="00B973E4" w:rsidRDefault="00B973E4">
            <w:pPr>
              <w:rPr>
                <w:sz w:val="24"/>
                <w:szCs w:val="24"/>
              </w:rPr>
            </w:pPr>
            <w:r>
              <w:rPr>
                <w:sz w:val="24"/>
                <w:szCs w:val="24"/>
              </w:rPr>
              <w:t>Azithromycin (500 mg QD)</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Voriconazol C</w:t>
            </w:r>
            <w:r>
              <w:rPr>
                <w:sz w:val="24"/>
                <w:szCs w:val="24"/>
                <w:vertAlign w:val="subscript"/>
              </w:rPr>
              <w:t>max</w:t>
            </w:r>
            <w:r>
              <w:rPr>
                <w:sz w:val="24"/>
                <w:szCs w:val="24"/>
              </w:rPr>
              <w:t xml:space="preserve"> og AUC</w:t>
            </w:r>
            <w:r>
              <w:rPr>
                <w:sz w:val="24"/>
                <w:szCs w:val="24"/>
                <w:vertAlign w:val="subscript"/>
                <w:lang w:val="en-US"/>
              </w:rPr>
              <w:t>τ</w:t>
            </w:r>
            <w:r>
              <w:rPr>
                <w:sz w:val="24"/>
                <w:szCs w:val="24"/>
              </w:rPr>
              <w:t xml:space="preserve"> ↔</w:t>
            </w:r>
          </w:p>
          <w:p w:rsidR="00B973E4" w:rsidRDefault="00B973E4">
            <w:pPr>
              <w:rPr>
                <w:sz w:val="24"/>
                <w:szCs w:val="24"/>
              </w:rPr>
            </w:pPr>
          </w:p>
          <w:p w:rsidR="00B973E4" w:rsidRDefault="00B973E4">
            <w:pPr>
              <w:rPr>
                <w:sz w:val="24"/>
                <w:szCs w:val="24"/>
              </w:rPr>
            </w:pPr>
            <w:r>
              <w:rPr>
                <w:sz w:val="24"/>
                <w:szCs w:val="24"/>
              </w:rPr>
              <w:t>Voriconazol C</w:t>
            </w:r>
            <w:r>
              <w:rPr>
                <w:sz w:val="24"/>
                <w:szCs w:val="24"/>
                <w:vertAlign w:val="subscript"/>
              </w:rPr>
              <w:t>max</w:t>
            </w:r>
            <w:r>
              <w:rPr>
                <w:sz w:val="24"/>
                <w:szCs w:val="24"/>
              </w:rPr>
              <w:t xml:space="preserve"> og AUC</w:t>
            </w:r>
            <w:r>
              <w:rPr>
                <w:sz w:val="24"/>
                <w:szCs w:val="24"/>
                <w:vertAlign w:val="subscript"/>
                <w:lang w:val="en-US"/>
              </w:rPr>
              <w:t>τ</w:t>
            </w:r>
            <w:r>
              <w:rPr>
                <w:sz w:val="24"/>
                <w:szCs w:val="24"/>
              </w:rPr>
              <w:t xml:space="preserve"> ↔</w:t>
            </w:r>
          </w:p>
          <w:p w:rsidR="00B973E4" w:rsidRDefault="00B973E4">
            <w:pPr>
              <w:rPr>
                <w:sz w:val="24"/>
                <w:szCs w:val="24"/>
              </w:rPr>
            </w:pPr>
          </w:p>
          <w:p w:rsidR="00B973E4" w:rsidRDefault="00B973E4">
            <w:pPr>
              <w:rPr>
                <w:sz w:val="24"/>
                <w:szCs w:val="24"/>
              </w:rPr>
            </w:pPr>
            <w:r>
              <w:rPr>
                <w:sz w:val="24"/>
                <w:szCs w:val="24"/>
              </w:rPr>
              <w:t>Voriconazols virkning på både erythromycin og azithromycin er ukendt.</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r>
              <w:rPr>
                <w:sz w:val="24"/>
                <w:szCs w:val="24"/>
              </w:rPr>
              <w:t>Ingen dosisjustering</w:t>
            </w:r>
          </w:p>
        </w:tc>
      </w:tr>
      <w:tr w:rsidR="00B973E4" w:rsidTr="00B973E4">
        <w:tc>
          <w:tcPr>
            <w:tcW w:w="1668"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Mycophenolsyre (1 g enkeltdosis)</w:t>
            </w:r>
          </w:p>
          <w:p w:rsidR="00B973E4" w:rsidRDefault="00B973E4">
            <w:pPr>
              <w:rPr>
                <w:sz w:val="24"/>
                <w:szCs w:val="24"/>
              </w:rPr>
            </w:pPr>
            <w:r>
              <w:rPr>
                <w:i/>
                <w:sz w:val="24"/>
                <w:szCs w:val="24"/>
              </w:rPr>
              <w:t>[UDP-glucuronyl-transferasesubstrat]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Mycophenolsyre C</w:t>
            </w:r>
            <w:r>
              <w:rPr>
                <w:sz w:val="24"/>
                <w:szCs w:val="24"/>
                <w:vertAlign w:val="subscript"/>
              </w:rPr>
              <w:t>max</w:t>
            </w:r>
            <w:r>
              <w:rPr>
                <w:sz w:val="24"/>
                <w:szCs w:val="24"/>
              </w:rPr>
              <w:t xml:space="preserve"> ↔ Mycophenolsyre AUC</w:t>
            </w:r>
            <w:r>
              <w:rPr>
                <w:sz w:val="24"/>
                <w:szCs w:val="24"/>
                <w:vertAlign w:val="subscript"/>
              </w:rPr>
              <w:t xml:space="preserve">t </w:t>
            </w:r>
            <w:r>
              <w:rPr>
                <w:sz w:val="24"/>
                <w:szCs w:val="24"/>
              </w:rPr>
              <w:t>↔</w:t>
            </w:r>
          </w:p>
        </w:tc>
        <w:tc>
          <w:tcPr>
            <w:tcW w:w="1666" w:type="pct"/>
            <w:tcBorders>
              <w:top w:val="single" w:sz="4" w:space="0" w:color="auto"/>
              <w:left w:val="single" w:sz="4" w:space="0" w:color="auto"/>
              <w:bottom w:val="single" w:sz="4" w:space="0" w:color="auto"/>
              <w:right w:val="single" w:sz="4" w:space="0" w:color="auto"/>
            </w:tcBorders>
            <w:hideMark/>
          </w:tcPr>
          <w:p w:rsidR="00B973E4" w:rsidRDefault="00B973E4">
            <w:pPr>
              <w:rPr>
                <w:sz w:val="24"/>
                <w:szCs w:val="24"/>
              </w:rPr>
            </w:pPr>
            <w:r>
              <w:rPr>
                <w:sz w:val="24"/>
                <w:szCs w:val="24"/>
              </w:rPr>
              <w:t>Ingen dosisjustering</w:t>
            </w:r>
          </w:p>
        </w:tc>
      </w:tr>
      <w:tr w:rsidR="00B973E4" w:rsidTr="00B973E4">
        <w:tc>
          <w:tcPr>
            <w:tcW w:w="1668"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r>
              <w:rPr>
                <w:sz w:val="24"/>
                <w:szCs w:val="24"/>
              </w:rPr>
              <w:t>Kortikosteroider</w:t>
            </w:r>
          </w:p>
          <w:p w:rsidR="00B973E4" w:rsidRDefault="00B973E4">
            <w:pPr>
              <w:rPr>
                <w:sz w:val="24"/>
                <w:szCs w:val="24"/>
                <w:lang w:val="sv-SE"/>
              </w:rPr>
            </w:pPr>
          </w:p>
          <w:p w:rsidR="00B973E4" w:rsidRDefault="00B973E4">
            <w:pPr>
              <w:rPr>
                <w:sz w:val="24"/>
                <w:szCs w:val="24"/>
                <w:lang w:val="sv-SE"/>
              </w:rPr>
            </w:pPr>
            <w:r>
              <w:rPr>
                <w:sz w:val="24"/>
                <w:szCs w:val="24"/>
                <w:lang w:val="sv-SE"/>
              </w:rPr>
              <w:t>Prednisolon (60 mg enkeltdosis)</w:t>
            </w:r>
          </w:p>
          <w:p w:rsidR="00B973E4" w:rsidRDefault="00B973E4">
            <w:pPr>
              <w:rPr>
                <w:sz w:val="24"/>
                <w:szCs w:val="24"/>
                <w:lang w:val="sv-SE"/>
              </w:rPr>
            </w:pPr>
            <w:r>
              <w:rPr>
                <w:i/>
                <w:sz w:val="24"/>
                <w:szCs w:val="24"/>
                <w:lang w:val="sv-SE"/>
              </w:rPr>
              <w:t>[CYP3A4-substrat]</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Prednisolon C</w:t>
            </w:r>
            <w:r>
              <w:rPr>
                <w:sz w:val="24"/>
                <w:szCs w:val="24"/>
                <w:vertAlign w:val="subscript"/>
              </w:rPr>
              <w:t>max</w:t>
            </w:r>
            <w:r>
              <w:rPr>
                <w:sz w:val="24"/>
                <w:szCs w:val="24"/>
              </w:rPr>
              <w:t xml:space="preserve"> ↑ 11 % Prednisolon AUC</w:t>
            </w:r>
            <w:r>
              <w:rPr>
                <w:sz w:val="24"/>
                <w:szCs w:val="24"/>
                <w:vertAlign w:val="subscript"/>
              </w:rPr>
              <w:t xml:space="preserve">0−∞ </w:t>
            </w:r>
            <w:r>
              <w:rPr>
                <w:sz w:val="24"/>
                <w:szCs w:val="24"/>
              </w:rPr>
              <w:t>↑ 34 %</w:t>
            </w:r>
          </w:p>
        </w:tc>
        <w:tc>
          <w:tcPr>
            <w:tcW w:w="1666" w:type="pct"/>
            <w:tcBorders>
              <w:top w:val="single" w:sz="4" w:space="0" w:color="auto"/>
              <w:left w:val="single" w:sz="4" w:space="0" w:color="auto"/>
              <w:bottom w:val="single" w:sz="4" w:space="0" w:color="auto"/>
              <w:right w:val="single" w:sz="4" w:space="0" w:color="auto"/>
            </w:tcBorders>
          </w:tcPr>
          <w:p w:rsidR="00B973E4" w:rsidRDefault="00B973E4">
            <w:pPr>
              <w:rPr>
                <w:sz w:val="24"/>
                <w:szCs w:val="24"/>
              </w:rPr>
            </w:pPr>
          </w:p>
          <w:p w:rsidR="00B973E4" w:rsidRDefault="00B973E4">
            <w:pPr>
              <w:rPr>
                <w:sz w:val="24"/>
                <w:szCs w:val="24"/>
              </w:rPr>
            </w:pPr>
          </w:p>
          <w:p w:rsidR="00B973E4" w:rsidRDefault="00B973E4">
            <w:pPr>
              <w:rPr>
                <w:sz w:val="24"/>
                <w:szCs w:val="24"/>
              </w:rPr>
            </w:pPr>
            <w:r>
              <w:rPr>
                <w:sz w:val="24"/>
                <w:szCs w:val="24"/>
              </w:rPr>
              <w:t>Ingen dosisjustering</w:t>
            </w:r>
          </w:p>
          <w:p w:rsidR="00B973E4" w:rsidRDefault="00B973E4">
            <w:pPr>
              <w:rPr>
                <w:sz w:val="24"/>
                <w:szCs w:val="24"/>
              </w:rPr>
            </w:pPr>
          </w:p>
          <w:p w:rsidR="00B973E4" w:rsidRDefault="00B973E4">
            <w:pPr>
              <w:rPr>
                <w:sz w:val="24"/>
                <w:szCs w:val="24"/>
              </w:rPr>
            </w:pPr>
            <w:r>
              <w:rPr>
                <w:sz w:val="24"/>
                <w:szCs w:val="24"/>
              </w:rPr>
              <w:t>Patienter, der er i</w:t>
            </w:r>
          </w:p>
          <w:p w:rsidR="00B973E4" w:rsidRDefault="00B973E4">
            <w:pPr>
              <w:rPr>
                <w:sz w:val="24"/>
                <w:szCs w:val="24"/>
              </w:rPr>
            </w:pPr>
            <w:r>
              <w:rPr>
                <w:sz w:val="24"/>
                <w:szCs w:val="24"/>
              </w:rPr>
              <w:t>langtidsbehandling med</w:t>
            </w:r>
          </w:p>
          <w:p w:rsidR="00B973E4" w:rsidRDefault="00B973E4">
            <w:pPr>
              <w:rPr>
                <w:sz w:val="24"/>
                <w:szCs w:val="24"/>
              </w:rPr>
            </w:pPr>
            <w:r>
              <w:rPr>
                <w:sz w:val="24"/>
                <w:szCs w:val="24"/>
              </w:rPr>
              <w:t>voriconazol og</w:t>
            </w:r>
          </w:p>
          <w:p w:rsidR="00B973E4" w:rsidRDefault="00B973E4">
            <w:pPr>
              <w:rPr>
                <w:sz w:val="24"/>
                <w:szCs w:val="24"/>
              </w:rPr>
            </w:pPr>
            <w:r>
              <w:rPr>
                <w:sz w:val="24"/>
                <w:szCs w:val="24"/>
              </w:rPr>
              <w:t>kortikosteroider (inklusive</w:t>
            </w:r>
          </w:p>
          <w:p w:rsidR="00B973E4" w:rsidRDefault="00B973E4">
            <w:pPr>
              <w:rPr>
                <w:sz w:val="24"/>
                <w:szCs w:val="24"/>
              </w:rPr>
            </w:pPr>
            <w:r>
              <w:rPr>
                <w:sz w:val="24"/>
                <w:szCs w:val="24"/>
              </w:rPr>
              <w:t>inhalerede kortikosteroider,</w:t>
            </w:r>
          </w:p>
          <w:p w:rsidR="00B973E4" w:rsidRDefault="00B973E4">
            <w:pPr>
              <w:rPr>
                <w:sz w:val="24"/>
                <w:szCs w:val="24"/>
              </w:rPr>
            </w:pPr>
            <w:r>
              <w:rPr>
                <w:sz w:val="24"/>
                <w:szCs w:val="24"/>
              </w:rPr>
              <w:t>f.eks. budesonid og intranasale</w:t>
            </w:r>
          </w:p>
          <w:p w:rsidR="00B973E4" w:rsidRDefault="00B973E4">
            <w:pPr>
              <w:rPr>
                <w:sz w:val="24"/>
                <w:szCs w:val="24"/>
              </w:rPr>
            </w:pPr>
            <w:r>
              <w:rPr>
                <w:sz w:val="24"/>
                <w:szCs w:val="24"/>
              </w:rPr>
              <w:t>kortikosteroider), skal</w:t>
            </w:r>
          </w:p>
          <w:p w:rsidR="00B973E4" w:rsidRDefault="00B973E4">
            <w:pPr>
              <w:rPr>
                <w:sz w:val="24"/>
                <w:szCs w:val="24"/>
              </w:rPr>
            </w:pPr>
            <w:r>
              <w:rPr>
                <w:sz w:val="24"/>
                <w:szCs w:val="24"/>
              </w:rPr>
              <w:t>omhyggeligt monitoreres for</w:t>
            </w:r>
          </w:p>
          <w:p w:rsidR="00B973E4" w:rsidRDefault="00B973E4">
            <w:pPr>
              <w:rPr>
                <w:sz w:val="24"/>
                <w:szCs w:val="24"/>
              </w:rPr>
            </w:pPr>
            <w:r>
              <w:rPr>
                <w:sz w:val="24"/>
                <w:szCs w:val="24"/>
              </w:rPr>
              <w:t>binyrebarkdysfunktion, både</w:t>
            </w:r>
          </w:p>
          <w:p w:rsidR="00B973E4" w:rsidRDefault="00B973E4">
            <w:pPr>
              <w:rPr>
                <w:sz w:val="24"/>
                <w:szCs w:val="24"/>
              </w:rPr>
            </w:pPr>
            <w:r>
              <w:rPr>
                <w:sz w:val="24"/>
                <w:szCs w:val="24"/>
              </w:rPr>
              <w:t>under behandlingen, og når</w:t>
            </w:r>
          </w:p>
          <w:p w:rsidR="00B973E4" w:rsidRDefault="00B973E4">
            <w:pPr>
              <w:rPr>
                <w:sz w:val="24"/>
                <w:szCs w:val="24"/>
              </w:rPr>
            </w:pPr>
            <w:r>
              <w:rPr>
                <w:sz w:val="24"/>
                <w:szCs w:val="24"/>
              </w:rPr>
              <w:t>voriconazol seponeres (se pkt.</w:t>
            </w:r>
          </w:p>
          <w:p w:rsidR="00B973E4" w:rsidRDefault="00B973E4">
            <w:pPr>
              <w:rPr>
                <w:sz w:val="24"/>
                <w:szCs w:val="24"/>
              </w:rPr>
            </w:pPr>
            <w:r>
              <w:rPr>
                <w:sz w:val="24"/>
                <w:szCs w:val="24"/>
              </w:rPr>
              <w:t>4.4).</w:t>
            </w:r>
          </w:p>
        </w:tc>
      </w:tr>
      <w:tr w:rsidR="00C44E2D" w:rsidTr="00B973E4">
        <w:tc>
          <w:tcPr>
            <w:tcW w:w="1668" w:type="pct"/>
            <w:tcBorders>
              <w:top w:val="single" w:sz="4" w:space="0" w:color="auto"/>
              <w:left w:val="single" w:sz="4" w:space="0" w:color="auto"/>
              <w:bottom w:val="single" w:sz="4" w:space="0" w:color="auto"/>
              <w:right w:val="single" w:sz="4" w:space="0" w:color="auto"/>
            </w:tcBorders>
            <w:hideMark/>
          </w:tcPr>
          <w:p w:rsidR="00C44E2D" w:rsidRDefault="00C44E2D" w:rsidP="00C44E2D">
            <w:pPr>
              <w:rPr>
                <w:sz w:val="24"/>
                <w:szCs w:val="24"/>
              </w:rPr>
            </w:pPr>
            <w:r>
              <w:rPr>
                <w:sz w:val="24"/>
                <w:szCs w:val="24"/>
              </w:rPr>
              <w:t xml:space="preserve">Ranitidin (150 mg BID) </w:t>
            </w:r>
            <w:r>
              <w:rPr>
                <w:i/>
                <w:sz w:val="24"/>
                <w:szCs w:val="24"/>
              </w:rPr>
              <w:t>[øger gastrisk pH]</w:t>
            </w:r>
          </w:p>
        </w:tc>
        <w:tc>
          <w:tcPr>
            <w:tcW w:w="1666" w:type="pct"/>
            <w:tcBorders>
              <w:top w:val="single" w:sz="4" w:space="0" w:color="auto"/>
              <w:left w:val="single" w:sz="4" w:space="0" w:color="auto"/>
              <w:bottom w:val="single" w:sz="4" w:space="0" w:color="auto"/>
              <w:right w:val="single" w:sz="4" w:space="0" w:color="auto"/>
            </w:tcBorders>
            <w:hideMark/>
          </w:tcPr>
          <w:p w:rsidR="00C44E2D" w:rsidRDefault="00C44E2D" w:rsidP="00C44E2D">
            <w:pPr>
              <w:rPr>
                <w:sz w:val="24"/>
                <w:szCs w:val="24"/>
              </w:rPr>
            </w:pPr>
            <w:r>
              <w:rPr>
                <w:sz w:val="24"/>
                <w:szCs w:val="24"/>
              </w:rPr>
              <w:t>Voriconazol C</w:t>
            </w:r>
            <w:r>
              <w:rPr>
                <w:sz w:val="24"/>
                <w:szCs w:val="24"/>
                <w:vertAlign w:val="subscript"/>
              </w:rPr>
              <w:t xml:space="preserve">max </w:t>
            </w:r>
            <w:r>
              <w:rPr>
                <w:sz w:val="24"/>
                <w:szCs w:val="24"/>
              </w:rPr>
              <w:t>og AUC</w:t>
            </w:r>
            <w:r>
              <w:rPr>
                <w:sz w:val="24"/>
                <w:szCs w:val="24"/>
                <w:vertAlign w:val="subscript"/>
                <w:lang w:val="en-US"/>
              </w:rPr>
              <w:t>τ</w:t>
            </w:r>
            <w:r>
              <w:rPr>
                <w:sz w:val="24"/>
                <w:szCs w:val="24"/>
              </w:rPr>
              <w:t>↔</w:t>
            </w:r>
          </w:p>
        </w:tc>
        <w:tc>
          <w:tcPr>
            <w:tcW w:w="1666" w:type="pct"/>
            <w:tcBorders>
              <w:top w:val="single" w:sz="4" w:space="0" w:color="auto"/>
              <w:left w:val="single" w:sz="4" w:space="0" w:color="auto"/>
              <w:bottom w:val="single" w:sz="4" w:space="0" w:color="auto"/>
              <w:right w:val="single" w:sz="4" w:space="0" w:color="auto"/>
            </w:tcBorders>
            <w:hideMark/>
          </w:tcPr>
          <w:p w:rsidR="00C44E2D" w:rsidRDefault="00C44E2D" w:rsidP="00C44E2D">
            <w:pPr>
              <w:rPr>
                <w:sz w:val="24"/>
                <w:szCs w:val="24"/>
              </w:rPr>
            </w:pPr>
            <w:r>
              <w:rPr>
                <w:sz w:val="24"/>
                <w:szCs w:val="24"/>
              </w:rPr>
              <w:t>Ingen dosisjustering</w:t>
            </w:r>
          </w:p>
        </w:tc>
      </w:tr>
      <w:tr w:rsidR="00C44E2D" w:rsidTr="00C44E2D">
        <w:tc>
          <w:tcPr>
            <w:tcW w:w="1668" w:type="pct"/>
            <w:tcBorders>
              <w:top w:val="single" w:sz="4" w:space="0" w:color="auto"/>
              <w:left w:val="single" w:sz="4" w:space="0" w:color="auto"/>
              <w:bottom w:val="single" w:sz="4" w:space="0" w:color="auto"/>
              <w:right w:val="single" w:sz="4" w:space="0" w:color="auto"/>
            </w:tcBorders>
            <w:hideMark/>
          </w:tcPr>
          <w:p w:rsidR="00C44E2D" w:rsidRDefault="00C44E2D" w:rsidP="00D6284D">
            <w:pPr>
              <w:rPr>
                <w:sz w:val="24"/>
                <w:szCs w:val="24"/>
              </w:rPr>
            </w:pPr>
            <w:r w:rsidRPr="00D17181">
              <w:rPr>
                <w:sz w:val="24"/>
                <w:szCs w:val="24"/>
              </w:rPr>
              <w:t xml:space="preserve">Flucloxacillin </w:t>
            </w:r>
            <w:r w:rsidRPr="00D6284D">
              <w:rPr>
                <w:i/>
                <w:sz w:val="24"/>
                <w:szCs w:val="24"/>
              </w:rPr>
              <w:t>[CYP450-induktor]</w:t>
            </w:r>
          </w:p>
        </w:tc>
        <w:tc>
          <w:tcPr>
            <w:tcW w:w="1666" w:type="pct"/>
            <w:tcBorders>
              <w:top w:val="single" w:sz="4" w:space="0" w:color="auto"/>
              <w:left w:val="single" w:sz="4" w:space="0" w:color="auto"/>
              <w:bottom w:val="single" w:sz="4" w:space="0" w:color="auto"/>
              <w:right w:val="single" w:sz="4" w:space="0" w:color="auto"/>
            </w:tcBorders>
            <w:hideMark/>
          </w:tcPr>
          <w:p w:rsidR="00C44E2D" w:rsidRDefault="00C44E2D" w:rsidP="00D6284D">
            <w:pPr>
              <w:rPr>
                <w:sz w:val="24"/>
                <w:szCs w:val="24"/>
              </w:rPr>
            </w:pPr>
            <w:r w:rsidRPr="00D17181">
              <w:rPr>
                <w:sz w:val="24"/>
                <w:szCs w:val="24"/>
              </w:rPr>
              <w:t>Der er rapporteret om signifikant lavere plasmakoncentrationer af voriconazol.</w:t>
            </w:r>
          </w:p>
        </w:tc>
        <w:tc>
          <w:tcPr>
            <w:tcW w:w="1666" w:type="pct"/>
            <w:tcBorders>
              <w:top w:val="single" w:sz="4" w:space="0" w:color="auto"/>
              <w:left w:val="single" w:sz="4" w:space="0" w:color="auto"/>
              <w:bottom w:val="single" w:sz="4" w:space="0" w:color="auto"/>
              <w:right w:val="single" w:sz="4" w:space="0" w:color="auto"/>
            </w:tcBorders>
            <w:hideMark/>
          </w:tcPr>
          <w:p w:rsidR="00C44E2D" w:rsidRDefault="00C44E2D" w:rsidP="00D6284D">
            <w:pPr>
              <w:rPr>
                <w:sz w:val="24"/>
                <w:szCs w:val="24"/>
              </w:rPr>
            </w:pPr>
            <w:r w:rsidRPr="00D17181">
              <w:rPr>
                <w:sz w:val="24"/>
                <w:szCs w:val="24"/>
              </w:rPr>
              <w:t>Hvis samtidig administration af voriconazol og flucloxacillin ikke kan undgås, skal der kontrolleres for potentielt nedsat virkning af voriconazol (f.eks. ved terapistyring). Det kan være nødvendigt at øge dosis af voriconazol.</w:t>
            </w:r>
          </w:p>
        </w:tc>
      </w:tr>
    </w:tbl>
    <w:p w:rsidR="00B973E4" w:rsidRDefault="00B973E4" w:rsidP="00B973E4">
      <w:pPr>
        <w:ind w:left="851" w:hanging="851"/>
        <w:rPr>
          <w:sz w:val="24"/>
          <w:szCs w:val="24"/>
        </w:rPr>
      </w:pPr>
    </w:p>
    <w:p w:rsidR="00EE0DC7" w:rsidRPr="007C61BD" w:rsidRDefault="00EE0DC7" w:rsidP="008F70D2">
      <w:pPr>
        <w:ind w:left="851" w:hanging="851"/>
        <w:rPr>
          <w:b/>
          <w:sz w:val="24"/>
          <w:szCs w:val="24"/>
        </w:rPr>
      </w:pPr>
      <w:r w:rsidRPr="007C61BD">
        <w:rPr>
          <w:b/>
          <w:sz w:val="24"/>
          <w:szCs w:val="24"/>
        </w:rPr>
        <w:t>4.6</w:t>
      </w:r>
      <w:r w:rsidRPr="007C61BD">
        <w:rPr>
          <w:b/>
          <w:sz w:val="24"/>
          <w:szCs w:val="24"/>
        </w:rPr>
        <w:tab/>
      </w:r>
      <w:r w:rsidR="00C44E2D">
        <w:rPr>
          <w:b/>
          <w:sz w:val="24"/>
          <w:szCs w:val="24"/>
        </w:rPr>
        <w:t>Fertilitet, g</w:t>
      </w:r>
      <w:r w:rsidRPr="007C61BD">
        <w:rPr>
          <w:b/>
          <w:sz w:val="24"/>
          <w:szCs w:val="24"/>
        </w:rPr>
        <w:t>raviditet og amning</w:t>
      </w:r>
    </w:p>
    <w:p w:rsidR="00EE0DC7" w:rsidRDefault="00EE0DC7" w:rsidP="00EE0DC7">
      <w:pPr>
        <w:keepNext/>
        <w:ind w:left="851"/>
        <w:rPr>
          <w:sz w:val="24"/>
          <w:szCs w:val="24"/>
          <w:u w:val="single"/>
        </w:rPr>
      </w:pPr>
      <w:r>
        <w:rPr>
          <w:sz w:val="24"/>
          <w:szCs w:val="24"/>
          <w:u w:val="single"/>
        </w:rPr>
        <w:t>Graviditet</w:t>
      </w:r>
    </w:p>
    <w:p w:rsidR="00EE0DC7" w:rsidRDefault="00EE0DC7" w:rsidP="00EE0DC7">
      <w:pPr>
        <w:ind w:left="851"/>
        <w:rPr>
          <w:sz w:val="24"/>
          <w:szCs w:val="24"/>
        </w:rPr>
      </w:pPr>
      <w:r>
        <w:rPr>
          <w:sz w:val="24"/>
          <w:szCs w:val="24"/>
        </w:rPr>
        <w:t>Der er utilstrækkelige data fra anvendelse af Voriconazole ”Sandoz” til gravide kvinder.</w:t>
      </w:r>
    </w:p>
    <w:p w:rsidR="00EE0DC7" w:rsidRDefault="00EE0DC7" w:rsidP="00EE0DC7">
      <w:pPr>
        <w:ind w:left="851"/>
        <w:rPr>
          <w:sz w:val="24"/>
          <w:szCs w:val="24"/>
        </w:rPr>
      </w:pPr>
    </w:p>
    <w:p w:rsidR="00EE0DC7" w:rsidRDefault="00EE0DC7" w:rsidP="00EE0DC7">
      <w:pPr>
        <w:ind w:left="851"/>
        <w:rPr>
          <w:sz w:val="24"/>
          <w:szCs w:val="24"/>
        </w:rPr>
      </w:pPr>
      <w:r>
        <w:rPr>
          <w:sz w:val="24"/>
          <w:szCs w:val="24"/>
        </w:rPr>
        <w:t>Dyreforsøg har påvist reproduktionstoksicitet (se pkt. 5.3). Den potentielle risiko for mennesker er ukendt.</w:t>
      </w:r>
    </w:p>
    <w:p w:rsidR="00EE0DC7" w:rsidRDefault="00EE0DC7" w:rsidP="00EE0DC7">
      <w:pPr>
        <w:ind w:left="851"/>
        <w:rPr>
          <w:sz w:val="24"/>
          <w:szCs w:val="24"/>
        </w:rPr>
      </w:pPr>
    </w:p>
    <w:p w:rsidR="00EE0DC7" w:rsidRDefault="00EE0DC7" w:rsidP="00EE0DC7">
      <w:pPr>
        <w:ind w:left="851"/>
        <w:rPr>
          <w:sz w:val="24"/>
          <w:szCs w:val="24"/>
          <w:u w:val="single"/>
        </w:rPr>
      </w:pPr>
      <w:r>
        <w:rPr>
          <w:sz w:val="24"/>
          <w:szCs w:val="24"/>
        </w:rPr>
        <w:t>Voriconazole ”Sandoz” må ikke anvendes under graviditet, medmindre den forventede fordel for moderen klart opvejer den potentielle risiko for fostret.</w:t>
      </w:r>
      <w:r>
        <w:rPr>
          <w:sz w:val="24"/>
          <w:szCs w:val="24"/>
          <w:u w:val="single"/>
        </w:rPr>
        <w:t xml:space="preserve"> </w:t>
      </w:r>
    </w:p>
    <w:p w:rsidR="00EE0DC7" w:rsidRDefault="00EE0DC7" w:rsidP="00EE0DC7">
      <w:pPr>
        <w:ind w:left="851"/>
        <w:rPr>
          <w:sz w:val="24"/>
          <w:szCs w:val="24"/>
          <w:u w:val="single"/>
        </w:rPr>
      </w:pPr>
      <w:r>
        <w:rPr>
          <w:sz w:val="24"/>
          <w:szCs w:val="24"/>
          <w:u w:val="single"/>
        </w:rPr>
        <w:t>Kvinder i den fertile alder</w:t>
      </w:r>
    </w:p>
    <w:p w:rsidR="00EE0DC7" w:rsidRDefault="00EE0DC7" w:rsidP="00EE0DC7">
      <w:pPr>
        <w:ind w:left="851"/>
        <w:rPr>
          <w:sz w:val="24"/>
          <w:szCs w:val="24"/>
          <w:u w:val="single"/>
        </w:rPr>
      </w:pPr>
      <w:r>
        <w:rPr>
          <w:sz w:val="24"/>
          <w:szCs w:val="24"/>
        </w:rPr>
        <w:lastRenderedPageBreak/>
        <w:t>Kvinder i den fertile alder skal altid anvende sikker kontraception under behandlingen.</w:t>
      </w:r>
      <w:r>
        <w:rPr>
          <w:sz w:val="24"/>
          <w:szCs w:val="24"/>
          <w:u w:val="single"/>
        </w:rPr>
        <w:t xml:space="preserve"> </w:t>
      </w:r>
    </w:p>
    <w:p w:rsidR="00EE0DC7" w:rsidRDefault="00EE0DC7" w:rsidP="00EE0DC7">
      <w:pPr>
        <w:ind w:left="851"/>
        <w:rPr>
          <w:sz w:val="24"/>
          <w:szCs w:val="24"/>
          <w:u w:val="single"/>
        </w:rPr>
      </w:pPr>
    </w:p>
    <w:p w:rsidR="00C44E2D" w:rsidRDefault="00C44E2D" w:rsidP="00EE0DC7">
      <w:pPr>
        <w:ind w:left="851"/>
        <w:rPr>
          <w:sz w:val="24"/>
          <w:szCs w:val="24"/>
          <w:u w:val="single"/>
        </w:rPr>
      </w:pPr>
    </w:p>
    <w:p w:rsidR="00EE0DC7" w:rsidRDefault="00EE0DC7" w:rsidP="00EE0DC7">
      <w:pPr>
        <w:ind w:left="851"/>
        <w:rPr>
          <w:sz w:val="24"/>
          <w:szCs w:val="24"/>
          <w:u w:val="single"/>
        </w:rPr>
      </w:pPr>
      <w:r>
        <w:rPr>
          <w:sz w:val="24"/>
          <w:szCs w:val="24"/>
          <w:u w:val="single"/>
        </w:rPr>
        <w:t>Amning</w:t>
      </w:r>
    </w:p>
    <w:p w:rsidR="00EE0DC7" w:rsidRDefault="00EE0DC7" w:rsidP="00EE0DC7">
      <w:pPr>
        <w:ind w:left="851" w:hanging="851"/>
        <w:rPr>
          <w:sz w:val="24"/>
          <w:szCs w:val="24"/>
        </w:rPr>
      </w:pPr>
      <w:r>
        <w:rPr>
          <w:sz w:val="24"/>
          <w:szCs w:val="24"/>
        </w:rPr>
        <w:tab/>
        <w:t>Udskillelsen af voriconazol i modermælk er ikke undersøgt. Amning skal ophøre ved initiering af behandling med Voriconazole ”Sandoz”.</w:t>
      </w:r>
    </w:p>
    <w:p w:rsidR="00EE0DC7" w:rsidRDefault="00EE0DC7" w:rsidP="00EE0DC7">
      <w:pPr>
        <w:ind w:left="851"/>
        <w:rPr>
          <w:sz w:val="24"/>
          <w:szCs w:val="24"/>
          <w:u w:val="single"/>
        </w:rPr>
      </w:pPr>
    </w:p>
    <w:p w:rsidR="00EE0DC7" w:rsidRDefault="00EE0DC7" w:rsidP="00EE0DC7">
      <w:pPr>
        <w:ind w:left="851"/>
        <w:rPr>
          <w:sz w:val="24"/>
          <w:szCs w:val="24"/>
          <w:u w:val="single"/>
        </w:rPr>
      </w:pPr>
      <w:r>
        <w:rPr>
          <w:sz w:val="24"/>
          <w:szCs w:val="24"/>
          <w:u w:val="single"/>
        </w:rPr>
        <w:t>Fertilitet</w:t>
      </w:r>
    </w:p>
    <w:p w:rsidR="00EE0DC7" w:rsidRDefault="00EE0DC7" w:rsidP="00EE0DC7">
      <w:pPr>
        <w:ind w:left="851"/>
        <w:rPr>
          <w:sz w:val="24"/>
          <w:szCs w:val="24"/>
        </w:rPr>
      </w:pPr>
      <w:r>
        <w:rPr>
          <w:sz w:val="24"/>
          <w:szCs w:val="24"/>
        </w:rPr>
        <w:t>Dyrestudier viste ikke nedsat fertilitet hos han- og hunrotter (se pkt. 5.3).</w:t>
      </w:r>
    </w:p>
    <w:p w:rsidR="00EE0DC7" w:rsidRPr="007C61BD" w:rsidRDefault="00EE0DC7" w:rsidP="00EE0DC7">
      <w:pPr>
        <w:rPr>
          <w:sz w:val="24"/>
          <w:szCs w:val="24"/>
        </w:rPr>
      </w:pPr>
    </w:p>
    <w:p w:rsidR="00EE0DC7" w:rsidRPr="007C61BD" w:rsidRDefault="00EE0DC7" w:rsidP="00EE0DC7">
      <w:pPr>
        <w:ind w:left="851" w:hanging="851"/>
        <w:rPr>
          <w:b/>
          <w:sz w:val="24"/>
          <w:szCs w:val="24"/>
        </w:rPr>
      </w:pPr>
      <w:r w:rsidRPr="007C61BD">
        <w:rPr>
          <w:b/>
          <w:sz w:val="24"/>
          <w:szCs w:val="24"/>
        </w:rPr>
        <w:t>4.7</w:t>
      </w:r>
      <w:r w:rsidRPr="007C61BD">
        <w:rPr>
          <w:b/>
          <w:sz w:val="24"/>
          <w:szCs w:val="24"/>
        </w:rPr>
        <w:tab/>
        <w:t xml:space="preserve">Virkninger på evnen til at føre motorkøretøj </w:t>
      </w:r>
      <w:r w:rsidR="00C44E2D">
        <w:rPr>
          <w:b/>
          <w:sz w:val="24"/>
          <w:szCs w:val="24"/>
        </w:rPr>
        <w:t>og</w:t>
      </w:r>
      <w:r w:rsidRPr="007C61BD">
        <w:rPr>
          <w:b/>
          <w:sz w:val="24"/>
          <w:szCs w:val="24"/>
        </w:rPr>
        <w:t xml:space="preserve"> betjene maskiner</w:t>
      </w:r>
    </w:p>
    <w:p w:rsidR="00EE0DC7" w:rsidRDefault="00EE0DC7" w:rsidP="00EE0DC7">
      <w:pPr>
        <w:ind w:left="851" w:hanging="851"/>
        <w:rPr>
          <w:sz w:val="24"/>
          <w:szCs w:val="24"/>
        </w:rPr>
      </w:pPr>
      <w:r w:rsidRPr="007C61BD">
        <w:rPr>
          <w:sz w:val="24"/>
          <w:szCs w:val="24"/>
        </w:rPr>
        <w:tab/>
      </w:r>
      <w:r>
        <w:rPr>
          <w:sz w:val="24"/>
          <w:szCs w:val="24"/>
        </w:rPr>
        <w:t>Ingen mærkning</w:t>
      </w:r>
    </w:p>
    <w:p w:rsidR="00EE0DC7" w:rsidRDefault="00EE0DC7" w:rsidP="00EE0DC7">
      <w:pPr>
        <w:ind w:left="851" w:hanging="851"/>
        <w:rPr>
          <w:sz w:val="24"/>
          <w:szCs w:val="24"/>
        </w:rPr>
      </w:pPr>
      <w:r>
        <w:rPr>
          <w:sz w:val="24"/>
          <w:szCs w:val="24"/>
        </w:rPr>
        <w:tab/>
        <w:t>Voriconazole ”Sandoz” påvirker i moderat grad evnen til at føre motorkøretøj og betjene maskiner. Det kan forårsage forbigående og reversible ændringer af synet, herunder sløret, ændret/forøget visuel perception og/eller fotofobi. Patienter skal undgå potentielt risikofyldte aktiviteter, såsom at føre motorkøretøj og betjene maskiner, mens de har disse symptomer.</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4.8</w:t>
      </w:r>
      <w:r w:rsidRPr="007C61BD">
        <w:rPr>
          <w:b/>
          <w:sz w:val="24"/>
          <w:szCs w:val="24"/>
        </w:rPr>
        <w:tab/>
        <w:t>Bivirkninger</w:t>
      </w:r>
    </w:p>
    <w:p w:rsidR="00EE0DC7" w:rsidRDefault="00EE0DC7" w:rsidP="00EE0DC7">
      <w:pPr>
        <w:ind w:left="851" w:hanging="851"/>
        <w:rPr>
          <w:sz w:val="24"/>
          <w:szCs w:val="24"/>
          <w:u w:val="single"/>
        </w:rPr>
      </w:pPr>
      <w:r w:rsidRPr="007C61BD">
        <w:rPr>
          <w:sz w:val="24"/>
          <w:szCs w:val="24"/>
        </w:rPr>
        <w:tab/>
      </w:r>
      <w:r>
        <w:rPr>
          <w:sz w:val="24"/>
          <w:szCs w:val="24"/>
          <w:u w:val="single"/>
        </w:rPr>
        <w:t>Sammendrag af sikkerhedsprofilen</w:t>
      </w:r>
    </w:p>
    <w:p w:rsidR="00EE0DC7" w:rsidRDefault="00EE0DC7" w:rsidP="00EE0DC7">
      <w:pPr>
        <w:ind w:left="851" w:hanging="851"/>
        <w:rPr>
          <w:sz w:val="24"/>
          <w:szCs w:val="24"/>
        </w:rPr>
      </w:pPr>
      <w:r>
        <w:rPr>
          <w:sz w:val="24"/>
          <w:szCs w:val="24"/>
        </w:rPr>
        <w:tab/>
        <w:t>Sikkerhedsprofilen for voriconazol hos voksne er baseret på en integreret sikkerhedsdatabase med data fra mere end 2.000 personer (inklusive 1.603 voksne patienter i terapeutiske studier) og yderligere 270 voksne patienter i profylaktiske studier. Dette repræsenterer en heterogen population bestående af patienter med maligne hæmatologiske sygdomme, hiv-inficerede patienter med øsofageal candidiasis og refraktære svampeinfektioner, non-neutropene patienter med candidæmi eller aspergillosis og raske frivillige.</w:t>
      </w:r>
    </w:p>
    <w:p w:rsidR="00EE0DC7" w:rsidRDefault="00EE0DC7" w:rsidP="00EE0DC7">
      <w:pPr>
        <w:ind w:left="851" w:hanging="851"/>
        <w:rPr>
          <w:sz w:val="24"/>
          <w:szCs w:val="24"/>
        </w:rPr>
      </w:pPr>
    </w:p>
    <w:p w:rsidR="00EE0DC7" w:rsidRDefault="00EE0DC7" w:rsidP="00EE0DC7">
      <w:pPr>
        <w:ind w:left="851" w:hanging="851"/>
        <w:rPr>
          <w:sz w:val="24"/>
          <w:szCs w:val="24"/>
        </w:rPr>
      </w:pPr>
      <w:r>
        <w:rPr>
          <w:sz w:val="24"/>
          <w:szCs w:val="24"/>
        </w:rPr>
        <w:tab/>
        <w:t>De hyppigst rapporterede bivirkninger var synsnedsættelse, pyreksi, udslæt, opkastning, kvalme, diarré, hovedpine, perifere ødemer, abnorme leverfunktionsværdier, åndenød og abdominalsmerter.</w:t>
      </w:r>
    </w:p>
    <w:p w:rsidR="00EE0DC7" w:rsidRDefault="00EE0DC7" w:rsidP="00EE0DC7">
      <w:pPr>
        <w:ind w:left="851" w:hanging="851"/>
        <w:rPr>
          <w:sz w:val="24"/>
          <w:szCs w:val="24"/>
        </w:rPr>
      </w:pPr>
    </w:p>
    <w:p w:rsidR="00EE0DC7" w:rsidRDefault="00EE0DC7" w:rsidP="00EE0DC7">
      <w:pPr>
        <w:ind w:left="851" w:hanging="851"/>
        <w:rPr>
          <w:sz w:val="24"/>
          <w:szCs w:val="24"/>
        </w:rPr>
      </w:pPr>
      <w:r>
        <w:rPr>
          <w:sz w:val="24"/>
          <w:szCs w:val="24"/>
        </w:rPr>
        <w:tab/>
        <w:t>Bivirkningernes sværhedsgrad var generelt mild til moderat. Der sås ikke klinisk signifikante forskelle, når sikkerhedsdataene blev analyseret i relation til alder, race eller køn.</w:t>
      </w:r>
    </w:p>
    <w:p w:rsidR="00EE0DC7" w:rsidRDefault="00EE0DC7" w:rsidP="00EE0DC7">
      <w:pPr>
        <w:ind w:left="851" w:hanging="851"/>
        <w:rPr>
          <w:sz w:val="24"/>
          <w:szCs w:val="24"/>
        </w:rPr>
      </w:pPr>
    </w:p>
    <w:p w:rsidR="00EE0DC7" w:rsidRDefault="00EE0DC7" w:rsidP="00EE0DC7">
      <w:pPr>
        <w:ind w:left="851" w:hanging="851"/>
        <w:rPr>
          <w:sz w:val="24"/>
          <w:szCs w:val="24"/>
          <w:u w:val="single"/>
        </w:rPr>
      </w:pPr>
      <w:r>
        <w:rPr>
          <w:sz w:val="24"/>
          <w:szCs w:val="24"/>
        </w:rPr>
        <w:tab/>
      </w:r>
      <w:r>
        <w:rPr>
          <w:sz w:val="24"/>
          <w:szCs w:val="24"/>
          <w:u w:val="single"/>
        </w:rPr>
        <w:t>Liste over bivirkninger i tabelform</w:t>
      </w:r>
    </w:p>
    <w:p w:rsidR="00EE0DC7" w:rsidRDefault="00EE0DC7" w:rsidP="00EE0DC7">
      <w:pPr>
        <w:ind w:left="851" w:hanging="851"/>
        <w:rPr>
          <w:sz w:val="24"/>
          <w:szCs w:val="24"/>
        </w:rPr>
      </w:pPr>
      <w:r>
        <w:rPr>
          <w:sz w:val="24"/>
          <w:szCs w:val="24"/>
        </w:rPr>
        <w:tab/>
        <w:t>Da størstedelen af studierne var ublindede, er alle kausale bivirkninger, hvor der er en mulig årsagssammenhæng, og deres hyppighedskategorier hos 1.873 voksne fra sammenlagte terapeutiske studier (1.603) og profylaksestudier (270) anført efter systemorganklasse i skemaet nedenfor.</w:t>
      </w:r>
    </w:p>
    <w:p w:rsidR="00EE0DC7" w:rsidRDefault="00EE0DC7" w:rsidP="00EE0DC7">
      <w:pPr>
        <w:ind w:left="851" w:hanging="851"/>
        <w:rPr>
          <w:sz w:val="24"/>
          <w:szCs w:val="24"/>
        </w:rPr>
      </w:pPr>
    </w:p>
    <w:p w:rsidR="00EE0DC7" w:rsidRDefault="00EE0DC7" w:rsidP="00EE0DC7">
      <w:pPr>
        <w:ind w:left="851" w:hanging="851"/>
        <w:rPr>
          <w:sz w:val="24"/>
          <w:szCs w:val="24"/>
        </w:rPr>
      </w:pPr>
      <w:r>
        <w:rPr>
          <w:sz w:val="24"/>
          <w:szCs w:val="24"/>
        </w:rPr>
        <w:tab/>
        <w:t>Hyppighedskategorierne er angivet som: Meget almindelig (≥ 1/10), almindelig (≥ 1/100 til &lt; 1/10), ikke almindelig (≥ 1/1.000 til &lt; 1/100), sjælden (≥ 1/10.000 til &lt; 1/1.000), meget sjælden (&lt; 1/10.000), ikke kendt (kan ikke estimeres ud fra forhåndenværende data).</w:t>
      </w:r>
    </w:p>
    <w:p w:rsidR="00EE0DC7" w:rsidRDefault="00EE0DC7" w:rsidP="00EE0DC7">
      <w:pPr>
        <w:ind w:left="851" w:hanging="851"/>
        <w:rPr>
          <w:sz w:val="24"/>
          <w:szCs w:val="24"/>
        </w:rPr>
      </w:pPr>
    </w:p>
    <w:p w:rsidR="00EE0DC7" w:rsidRDefault="00EE0DC7" w:rsidP="00EE0DC7">
      <w:pPr>
        <w:ind w:left="851" w:hanging="851"/>
        <w:rPr>
          <w:sz w:val="24"/>
          <w:szCs w:val="24"/>
        </w:rPr>
      </w:pPr>
      <w:r>
        <w:rPr>
          <w:sz w:val="24"/>
          <w:szCs w:val="24"/>
        </w:rPr>
        <w:tab/>
        <w:t xml:space="preserve">Inden for hver enkelt frekvensgruppe er bivirkningerne opstillet efter, hvor alvorlige de er. De alvorligste bivirkninger er anført først. </w:t>
      </w:r>
    </w:p>
    <w:p w:rsidR="00EE0DC7" w:rsidRDefault="00EE0DC7" w:rsidP="00EE0DC7">
      <w:pPr>
        <w:ind w:left="851" w:hanging="851"/>
        <w:rPr>
          <w:sz w:val="24"/>
          <w:szCs w:val="24"/>
        </w:rPr>
      </w:pPr>
    </w:p>
    <w:p w:rsidR="00EE0DC7" w:rsidRDefault="00EE0DC7" w:rsidP="00EE0DC7">
      <w:pPr>
        <w:ind w:left="851" w:hanging="851"/>
        <w:rPr>
          <w:sz w:val="24"/>
          <w:szCs w:val="24"/>
        </w:rPr>
      </w:pPr>
      <w:r>
        <w:rPr>
          <w:sz w:val="24"/>
          <w:szCs w:val="24"/>
        </w:rPr>
        <w:tab/>
        <w:t>Bivirkninger rapporteret hos personer, der fik voriconazol:</w:t>
      </w:r>
    </w:p>
    <w:p w:rsidR="00EE0DC7" w:rsidRDefault="00EE0DC7" w:rsidP="00EE0DC7">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5796"/>
      </w:tblGrid>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lastRenderedPageBreak/>
              <w:t>Systemorganklasse</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Bivirkninger</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Infektioner og parasitære sygdomme</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Sinuitis</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Pseudomembranøs colitis</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Benigne, maligne og uspecificerede tumorer (</w:t>
            </w:r>
            <w:proofErr w:type="gramStart"/>
            <w:r>
              <w:rPr>
                <w:b/>
                <w:sz w:val="24"/>
                <w:szCs w:val="24"/>
              </w:rPr>
              <w:t>inkl.cyster</w:t>
            </w:r>
            <w:proofErr w:type="gramEnd"/>
            <w:r>
              <w:rPr>
                <w:b/>
                <w:sz w:val="24"/>
                <w:szCs w:val="24"/>
              </w:rPr>
              <w:t xml:space="preserve"> og polypper)</w:t>
            </w:r>
          </w:p>
        </w:tc>
      </w:tr>
      <w:tr w:rsidR="00CC7CD0" w:rsidTr="00E67E76">
        <w:tc>
          <w:tcPr>
            <w:tcW w:w="1990" w:type="pct"/>
            <w:tcBorders>
              <w:top w:val="single" w:sz="4" w:space="0" w:color="auto"/>
              <w:left w:val="single" w:sz="4" w:space="0" w:color="auto"/>
              <w:bottom w:val="single" w:sz="4" w:space="0" w:color="auto"/>
              <w:right w:val="single" w:sz="4" w:space="0" w:color="auto"/>
            </w:tcBorders>
            <w:hideMark/>
          </w:tcPr>
          <w:p w:rsidR="00CC7CD0" w:rsidRDefault="00CC7CD0" w:rsidP="00CC7CD0">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CC7CD0" w:rsidRDefault="00CC7CD0" w:rsidP="00CC7CD0">
            <w:pPr>
              <w:rPr>
                <w:sz w:val="24"/>
                <w:szCs w:val="24"/>
              </w:rPr>
            </w:pPr>
            <w:r>
              <w:rPr>
                <w:sz w:val="24"/>
                <w:szCs w:val="24"/>
              </w:rPr>
              <w:t xml:space="preserve">Planocellulært karcinom (herunder kutant SCC in situ eller morbus </w:t>
            </w:r>
            <w:proofErr w:type="gramStart"/>
            <w:r>
              <w:rPr>
                <w:sz w:val="24"/>
                <w:szCs w:val="24"/>
              </w:rPr>
              <w:t>Bowen)*</w:t>
            </w:r>
            <w:proofErr w:type="gramEnd"/>
            <w:r>
              <w:rPr>
                <w:sz w:val="24"/>
                <w:szCs w:val="24"/>
              </w:rPr>
              <w:t>,**</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Blod og lymfesystem</w:t>
            </w:r>
          </w:p>
        </w:tc>
      </w:tr>
      <w:tr w:rsidR="00EE0DC7" w:rsidRPr="00AD494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lang w:val="en-US"/>
              </w:rPr>
            </w:pPr>
            <w:r>
              <w:rPr>
                <w:sz w:val="24"/>
                <w:szCs w:val="24"/>
                <w:lang w:val="en-US"/>
              </w:rPr>
              <w:t>Agranulocytose</w:t>
            </w:r>
            <w:r>
              <w:rPr>
                <w:sz w:val="24"/>
                <w:szCs w:val="24"/>
                <w:vertAlign w:val="superscript"/>
                <w:lang w:val="en-US"/>
              </w:rPr>
              <w:t>1</w:t>
            </w:r>
            <w:r>
              <w:rPr>
                <w:sz w:val="24"/>
                <w:szCs w:val="24"/>
                <w:lang w:val="en-US"/>
              </w:rPr>
              <w:t>, pancytopeni, thrombocytopeni</w:t>
            </w:r>
            <w:r>
              <w:rPr>
                <w:sz w:val="24"/>
                <w:szCs w:val="24"/>
                <w:vertAlign w:val="superscript"/>
                <w:lang w:val="en-US"/>
              </w:rPr>
              <w:t>2</w:t>
            </w:r>
            <w:r>
              <w:rPr>
                <w:sz w:val="24"/>
                <w:szCs w:val="24"/>
                <w:lang w:val="en-US"/>
              </w:rPr>
              <w:t>, leukopeni, anæmi</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Knoglemarvssvigt, lymfadenopati, eosinofili</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Sjælden</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Dissemineret intravaskulær koagulation</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Immunsystemet</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Overfølsomhed</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Sjælden</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Anafylaktoid reaktion</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887F6F">
            <w:pPr>
              <w:keepNext/>
              <w:rPr>
                <w:sz w:val="24"/>
                <w:szCs w:val="24"/>
              </w:rPr>
            </w:pPr>
            <w:r>
              <w:rPr>
                <w:b/>
                <w:sz w:val="24"/>
                <w:szCs w:val="24"/>
              </w:rPr>
              <w:t>Det endokrine system</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lang w:val="en-US"/>
              </w:rPr>
            </w:pPr>
            <w:r>
              <w:rPr>
                <w:sz w:val="24"/>
                <w:szCs w:val="24"/>
              </w:rPr>
              <w:t>Binyrebarkinsufficiens, hypotyreose</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Sjælden</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Hypertyreose</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Metabolisme og ernæring</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Meget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Perifere ødemer</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Hypoglykæmi, hypokaliæmi, hyponatriæmi</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Psykiske forstyrrelser</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Depression, hallucinationer, angst, søvnløshed, agitation,</w:t>
            </w:r>
          </w:p>
          <w:p w:rsidR="00EE0DC7" w:rsidRDefault="00EE0DC7" w:rsidP="00E67E76">
            <w:pPr>
              <w:rPr>
                <w:sz w:val="24"/>
                <w:szCs w:val="24"/>
              </w:rPr>
            </w:pPr>
            <w:r>
              <w:rPr>
                <w:sz w:val="24"/>
                <w:szCs w:val="24"/>
              </w:rPr>
              <w:t>konfusion</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Nervesystemet</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Meget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Hovedpine</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Kramper, tremor, paræstesi, hypertoni</w:t>
            </w:r>
            <w:r>
              <w:rPr>
                <w:sz w:val="24"/>
                <w:szCs w:val="24"/>
                <w:vertAlign w:val="superscript"/>
              </w:rPr>
              <w:t>3</w:t>
            </w:r>
            <w:r>
              <w:rPr>
                <w:sz w:val="24"/>
                <w:szCs w:val="24"/>
              </w:rPr>
              <w:t>, døsighed, synkope, svimmelhed</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Hjerneødem, encefalopati</w:t>
            </w:r>
            <w:r>
              <w:rPr>
                <w:sz w:val="24"/>
                <w:szCs w:val="24"/>
                <w:vertAlign w:val="superscript"/>
              </w:rPr>
              <w:t>4</w:t>
            </w:r>
            <w:r>
              <w:rPr>
                <w:sz w:val="24"/>
                <w:szCs w:val="24"/>
              </w:rPr>
              <w:t>, ekstrapyramidale forstyrrelser</w:t>
            </w:r>
            <w:r>
              <w:rPr>
                <w:sz w:val="24"/>
                <w:szCs w:val="24"/>
                <w:vertAlign w:val="superscript"/>
              </w:rPr>
              <w:t>5</w:t>
            </w:r>
            <w:r>
              <w:rPr>
                <w:sz w:val="24"/>
                <w:szCs w:val="24"/>
              </w:rPr>
              <w:t>, perifer neuropati, ataksi, hypæstesi, dysgeusi</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Sjælden</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Hepatisk encefalopati, Guillain-Barrés syndrom, nystagmus</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Øjne</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Meget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Synsnedsættelse</w:t>
            </w:r>
            <w:r>
              <w:rPr>
                <w:sz w:val="24"/>
                <w:szCs w:val="24"/>
                <w:vertAlign w:val="superscript"/>
              </w:rPr>
              <w:t>6</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Retinablødning</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Okulogyrisk krise, sygdom i synsnerven</w:t>
            </w:r>
            <w:r>
              <w:rPr>
                <w:sz w:val="24"/>
                <w:szCs w:val="24"/>
                <w:vertAlign w:val="superscript"/>
              </w:rPr>
              <w:t>7</w:t>
            </w:r>
            <w:r>
              <w:rPr>
                <w:sz w:val="24"/>
                <w:szCs w:val="24"/>
              </w:rPr>
              <w:t>, papilødem</w:t>
            </w:r>
            <w:r>
              <w:rPr>
                <w:sz w:val="24"/>
                <w:szCs w:val="24"/>
                <w:vertAlign w:val="superscript"/>
              </w:rPr>
              <w:t>8</w:t>
            </w:r>
            <w:r>
              <w:rPr>
                <w:sz w:val="24"/>
                <w:szCs w:val="24"/>
              </w:rPr>
              <w:t>, skleritis, blefaritis, diplopi</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Sjælden</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lang w:val="en-US"/>
              </w:rPr>
            </w:pPr>
            <w:r>
              <w:rPr>
                <w:sz w:val="24"/>
                <w:szCs w:val="24"/>
              </w:rPr>
              <w:t>Optisk atrofi, opacitas corneae</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Øre og labyrint</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Hypoacusis, vertigo, tinnitus</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Hjerte</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Supraventrikulær arytmi, takykardi, bradykardi</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autoSpaceDE w:val="0"/>
              <w:autoSpaceDN w:val="0"/>
              <w:adjustRightInd w:val="0"/>
              <w:rPr>
                <w:sz w:val="24"/>
                <w:szCs w:val="24"/>
              </w:rPr>
            </w:pPr>
            <w:r>
              <w:rPr>
                <w:sz w:val="24"/>
                <w:szCs w:val="24"/>
              </w:rPr>
              <w:t>Ventrikelflimren, ventrikulære ekstrasystoler, supraventrikulær takykardi, ventrikulær takykardi, forlænget QT-interval i EKG</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Sjælden</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Torsades de pointes, komplet AV-blok, grenblok, nodal arytmi</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Vaskulære sygdomme</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Hypotension, flebitis</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lastRenderedPageBreak/>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Tromboflebitis, lymfangitis</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Luftveje, thorax og mediastinum</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Meget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Åndedrætsbesvær</w:t>
            </w:r>
            <w:r>
              <w:rPr>
                <w:sz w:val="24"/>
                <w:szCs w:val="24"/>
                <w:vertAlign w:val="superscript"/>
              </w:rPr>
              <w:t>9</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lang w:val="sv-SE"/>
              </w:rPr>
              <w:t>Akut respiratorisk distress-syndrom, lungeødem</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Mave-tarm-kanalen</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Meget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Abdominalsmerter, kvalme, opkastning, diarré</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 xml:space="preserve">Dyspepsi, obstipation, cheilitis, </w:t>
            </w:r>
            <w:r>
              <w:rPr>
                <w:sz w:val="24"/>
                <w:szCs w:val="24"/>
                <w:lang w:val="en-US"/>
              </w:rPr>
              <w:t>gingivitis</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lang w:val="sv-SE"/>
              </w:rPr>
            </w:pPr>
            <w:r>
              <w:rPr>
                <w:sz w:val="24"/>
                <w:szCs w:val="24"/>
                <w:lang w:val="sv-SE"/>
              </w:rPr>
              <w:t>Pancreatitis, duodenitis, glossitis, tungeødem, gastroenteritis, peritonitis</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Lever og galdeveje</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Meget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Abnorme leverfunktionsværdier</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Ikterus, kolestatisk ikterus, hepatitis</w:t>
            </w:r>
            <w:r>
              <w:rPr>
                <w:sz w:val="24"/>
                <w:szCs w:val="24"/>
                <w:vertAlign w:val="superscript"/>
              </w:rPr>
              <w:t>10</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Leversvigt, hepatomegali, cholecystitis, cholethiasis</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887F6F">
            <w:pPr>
              <w:keepNext/>
              <w:rPr>
                <w:sz w:val="24"/>
                <w:szCs w:val="24"/>
              </w:rPr>
            </w:pPr>
            <w:r>
              <w:rPr>
                <w:b/>
                <w:sz w:val="24"/>
                <w:szCs w:val="24"/>
              </w:rPr>
              <w:t>Hud og subkutane væv</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887F6F">
            <w:pPr>
              <w:keepNext/>
              <w:rPr>
                <w:sz w:val="24"/>
                <w:szCs w:val="24"/>
              </w:rPr>
            </w:pPr>
            <w:r>
              <w:rPr>
                <w:sz w:val="24"/>
                <w:szCs w:val="24"/>
              </w:rPr>
              <w:t>Meget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887F6F">
            <w:pPr>
              <w:keepNext/>
              <w:rPr>
                <w:sz w:val="24"/>
                <w:szCs w:val="24"/>
              </w:rPr>
            </w:pPr>
            <w:r>
              <w:rPr>
                <w:sz w:val="24"/>
                <w:szCs w:val="24"/>
              </w:rPr>
              <w:t>Udslæt</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CC7CD0" w:rsidP="00E67E76">
            <w:pPr>
              <w:rPr>
                <w:sz w:val="24"/>
                <w:szCs w:val="24"/>
              </w:rPr>
            </w:pPr>
            <w:r>
              <w:rPr>
                <w:sz w:val="24"/>
                <w:szCs w:val="24"/>
              </w:rPr>
              <w:t>Eksfoliativ dermatitis, makulopapuløst hududslæt, pruritus, alopeci, erytem, fototoksicitet**</w:t>
            </w:r>
          </w:p>
        </w:tc>
      </w:tr>
      <w:tr w:rsidR="00D94293" w:rsidTr="00E67E76">
        <w:tc>
          <w:tcPr>
            <w:tcW w:w="1990" w:type="pct"/>
            <w:tcBorders>
              <w:top w:val="single" w:sz="4" w:space="0" w:color="auto"/>
              <w:left w:val="single" w:sz="4" w:space="0" w:color="auto"/>
              <w:bottom w:val="single" w:sz="4" w:space="0" w:color="auto"/>
              <w:right w:val="single" w:sz="4" w:space="0" w:color="auto"/>
            </w:tcBorders>
            <w:hideMark/>
          </w:tcPr>
          <w:p w:rsidR="00D94293" w:rsidRDefault="00D94293" w:rsidP="00D94293">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D94293" w:rsidRDefault="00CC7CD0" w:rsidP="00D94293">
            <w:pPr>
              <w:rPr>
                <w:sz w:val="24"/>
                <w:szCs w:val="24"/>
              </w:rPr>
            </w:pPr>
            <w:r>
              <w:rPr>
                <w:sz w:val="24"/>
                <w:szCs w:val="24"/>
              </w:rPr>
              <w:t>Stevens-Johnsons syndrom</w:t>
            </w:r>
            <w:r>
              <w:rPr>
                <w:sz w:val="24"/>
                <w:szCs w:val="24"/>
                <w:vertAlign w:val="superscript"/>
              </w:rPr>
              <w:t>8</w:t>
            </w:r>
            <w:r>
              <w:rPr>
                <w:sz w:val="24"/>
                <w:szCs w:val="24"/>
              </w:rPr>
              <w:t>, urticaria, allergisk dermatitis, makuløst hududslæt, papuløst hududslæt, purpura, eksem</w:t>
            </w:r>
          </w:p>
        </w:tc>
      </w:tr>
      <w:tr w:rsidR="00D94293" w:rsidTr="00E67E76">
        <w:tc>
          <w:tcPr>
            <w:tcW w:w="1990" w:type="pct"/>
            <w:tcBorders>
              <w:top w:val="single" w:sz="4" w:space="0" w:color="auto"/>
              <w:left w:val="single" w:sz="4" w:space="0" w:color="auto"/>
              <w:bottom w:val="single" w:sz="4" w:space="0" w:color="auto"/>
              <w:right w:val="single" w:sz="4" w:space="0" w:color="auto"/>
            </w:tcBorders>
            <w:hideMark/>
          </w:tcPr>
          <w:p w:rsidR="00D94293" w:rsidRDefault="00D94293" w:rsidP="00D94293">
            <w:pPr>
              <w:rPr>
                <w:sz w:val="24"/>
                <w:szCs w:val="24"/>
              </w:rPr>
            </w:pPr>
            <w:r>
              <w:rPr>
                <w:sz w:val="24"/>
                <w:szCs w:val="24"/>
              </w:rPr>
              <w:t>Sjælden</w:t>
            </w:r>
          </w:p>
        </w:tc>
        <w:tc>
          <w:tcPr>
            <w:tcW w:w="3010" w:type="pct"/>
            <w:tcBorders>
              <w:top w:val="single" w:sz="4" w:space="0" w:color="auto"/>
              <w:left w:val="single" w:sz="4" w:space="0" w:color="auto"/>
              <w:bottom w:val="single" w:sz="4" w:space="0" w:color="auto"/>
              <w:right w:val="single" w:sz="4" w:space="0" w:color="auto"/>
            </w:tcBorders>
            <w:hideMark/>
          </w:tcPr>
          <w:p w:rsidR="00D94293" w:rsidRDefault="00D94293" w:rsidP="00D94293">
            <w:pPr>
              <w:rPr>
                <w:sz w:val="24"/>
                <w:szCs w:val="24"/>
              </w:rPr>
            </w:pPr>
            <w:r>
              <w:rPr>
                <w:sz w:val="24"/>
                <w:szCs w:val="24"/>
              </w:rPr>
              <w:t>Toksisk epidermal nekrolyse</w:t>
            </w:r>
            <w:r>
              <w:rPr>
                <w:sz w:val="24"/>
                <w:szCs w:val="24"/>
                <w:vertAlign w:val="superscript"/>
              </w:rPr>
              <w:t>8</w:t>
            </w:r>
            <w:r>
              <w:rPr>
                <w:sz w:val="24"/>
                <w:szCs w:val="24"/>
              </w:rPr>
              <w:t>, erythema multiforme, lægemiddelreaktion med eosinofili og systemiske symptomer (DRESS)</w:t>
            </w:r>
            <w:r>
              <w:rPr>
                <w:sz w:val="24"/>
                <w:szCs w:val="24"/>
                <w:vertAlign w:val="superscript"/>
              </w:rPr>
              <w:t>8</w:t>
            </w:r>
            <w:r>
              <w:rPr>
                <w:sz w:val="24"/>
                <w:szCs w:val="24"/>
              </w:rPr>
              <w:t>, angioødem, psoriasis, aktinisk keratose*, pseudoporfyri, medicinudslæt</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kendt</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lang w:val="es-ES"/>
              </w:rPr>
            </w:pPr>
            <w:r>
              <w:rPr>
                <w:sz w:val="24"/>
                <w:szCs w:val="24"/>
                <w:lang w:val="es-ES"/>
              </w:rPr>
              <w:t>Kutan lupus erythematosus*, efelider*, lentigo*</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9601E5">
            <w:pPr>
              <w:keepNext/>
              <w:rPr>
                <w:sz w:val="24"/>
                <w:szCs w:val="24"/>
              </w:rPr>
            </w:pPr>
            <w:r>
              <w:rPr>
                <w:b/>
                <w:sz w:val="24"/>
                <w:szCs w:val="24"/>
              </w:rPr>
              <w:t>Knogler, led, muskler og bindevæv</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Rygsmerter</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CC7CD0" w:rsidP="00E67E76">
            <w:pPr>
              <w:rPr>
                <w:sz w:val="24"/>
                <w:szCs w:val="24"/>
              </w:rPr>
            </w:pPr>
            <w:r>
              <w:rPr>
                <w:sz w:val="24"/>
                <w:szCs w:val="24"/>
              </w:rPr>
              <w:t>Artritis, periostitis</w:t>
            </w:r>
            <w:proofErr w:type="gramStart"/>
            <w:r>
              <w:rPr>
                <w:sz w:val="24"/>
                <w:szCs w:val="24"/>
              </w:rPr>
              <w:t>*,*</w:t>
            </w:r>
            <w:proofErr w:type="gramEnd"/>
            <w:r>
              <w:rPr>
                <w:sz w:val="24"/>
                <w:szCs w:val="24"/>
              </w:rPr>
              <w:t>*</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Nyrer og urinveje</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Akut nyresvigt, hæmaturi</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lang w:val="nb-NO"/>
              </w:rPr>
            </w:pPr>
            <w:r>
              <w:rPr>
                <w:sz w:val="24"/>
                <w:szCs w:val="24"/>
                <w:lang w:val="nb-NO"/>
              </w:rPr>
              <w:t>Nekrose i nyretubuli, proteinuri, nefritis</w:t>
            </w:r>
          </w:p>
        </w:tc>
      </w:tr>
      <w:tr w:rsidR="00EE0DC7" w:rsidTr="00E67E76">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Almene symptomer og reaktioner på administrationsstedet</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Meget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Pyreksi</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Brystsmerter, ansigtsødem</w:t>
            </w:r>
            <w:r>
              <w:rPr>
                <w:sz w:val="24"/>
                <w:szCs w:val="24"/>
                <w:vertAlign w:val="superscript"/>
              </w:rPr>
              <w:t>11</w:t>
            </w:r>
            <w:r>
              <w:rPr>
                <w:sz w:val="24"/>
                <w:szCs w:val="24"/>
              </w:rPr>
              <w:t>, asteni, kulderystelser</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 xml:space="preserve">Influenzalignende sygdom, </w:t>
            </w:r>
            <w:r>
              <w:rPr>
                <w:sz w:val="24"/>
                <w:szCs w:val="24"/>
                <w:lang w:eastAsia="da-DK"/>
              </w:rPr>
              <w:t>reaktioner på infusionsstedet</w:t>
            </w:r>
          </w:p>
        </w:tc>
      </w:tr>
      <w:tr w:rsidR="00EE0DC7" w:rsidTr="00E67E76">
        <w:trPr>
          <w:trHeight w:val="271"/>
        </w:trPr>
        <w:tc>
          <w:tcPr>
            <w:tcW w:w="5000" w:type="pct"/>
            <w:gridSpan w:val="2"/>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b/>
                <w:sz w:val="24"/>
                <w:szCs w:val="24"/>
              </w:rPr>
              <w:t>Undersøgelser</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Forhøjet serumkreatinin</w:t>
            </w:r>
          </w:p>
        </w:tc>
      </w:tr>
      <w:tr w:rsidR="00EE0DC7" w:rsidTr="00E67E76">
        <w:tc>
          <w:tcPr>
            <w:tcW w:w="199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Ikke almindelig</w:t>
            </w:r>
          </w:p>
        </w:tc>
        <w:tc>
          <w:tcPr>
            <w:tcW w:w="3010" w:type="pct"/>
            <w:tcBorders>
              <w:top w:val="single" w:sz="4" w:space="0" w:color="auto"/>
              <w:left w:val="single" w:sz="4" w:space="0" w:color="auto"/>
              <w:bottom w:val="single" w:sz="4" w:space="0" w:color="auto"/>
              <w:right w:val="single" w:sz="4" w:space="0" w:color="auto"/>
            </w:tcBorders>
            <w:hideMark/>
          </w:tcPr>
          <w:p w:rsidR="00EE0DC7" w:rsidRDefault="00EE0DC7" w:rsidP="00E67E76">
            <w:pPr>
              <w:rPr>
                <w:sz w:val="24"/>
                <w:szCs w:val="24"/>
              </w:rPr>
            </w:pPr>
            <w:r>
              <w:rPr>
                <w:sz w:val="24"/>
                <w:szCs w:val="24"/>
              </w:rPr>
              <w:t>Forhøjet serumcarbamid, forhøjet kolesterol i blodet</w:t>
            </w:r>
          </w:p>
        </w:tc>
      </w:tr>
    </w:tbl>
    <w:p w:rsidR="00D94293" w:rsidRDefault="00D94293" w:rsidP="00CC7CD0">
      <w:pPr>
        <w:tabs>
          <w:tab w:val="left" w:pos="4055"/>
        </w:tabs>
        <w:ind w:left="851" w:hanging="851"/>
        <w:rPr>
          <w:bCs/>
          <w:sz w:val="24"/>
          <w:szCs w:val="24"/>
          <w:lang w:val="nb-NO"/>
        </w:rPr>
      </w:pPr>
      <w:r>
        <w:rPr>
          <w:bCs/>
          <w:sz w:val="24"/>
          <w:szCs w:val="24"/>
          <w:lang w:val="nb-NO"/>
        </w:rPr>
        <w:t>*Bivirkninger set efter markedsføring</w:t>
      </w:r>
      <w:r w:rsidR="00CC7CD0">
        <w:rPr>
          <w:bCs/>
          <w:sz w:val="24"/>
          <w:szCs w:val="24"/>
          <w:lang w:val="nb-NO"/>
        </w:rPr>
        <w:tab/>
      </w:r>
    </w:p>
    <w:p w:rsidR="00CC7CD0" w:rsidRDefault="00CC7CD0" w:rsidP="00CC7CD0">
      <w:pPr>
        <w:ind w:left="851" w:hanging="851"/>
        <w:rPr>
          <w:bCs/>
          <w:sz w:val="24"/>
          <w:szCs w:val="24"/>
          <w:lang w:val="nb-NO"/>
        </w:rPr>
      </w:pPr>
      <w:r>
        <w:rPr>
          <w:bCs/>
          <w:sz w:val="24"/>
          <w:szCs w:val="24"/>
          <w:lang w:val="nb-NO"/>
        </w:rPr>
        <w:t xml:space="preserve">** Hyppighedskategorien er baseret på et observationsstudie med anvendelse af faktiske data fra </w:t>
      </w:r>
    </w:p>
    <w:p w:rsidR="00CC7CD0" w:rsidRDefault="00CC7CD0" w:rsidP="00CC7CD0">
      <w:pPr>
        <w:ind w:left="851" w:hanging="851"/>
        <w:rPr>
          <w:bCs/>
          <w:sz w:val="24"/>
          <w:szCs w:val="24"/>
          <w:lang w:val="nb-NO"/>
        </w:rPr>
      </w:pPr>
      <w:r>
        <w:rPr>
          <w:bCs/>
          <w:sz w:val="24"/>
          <w:szCs w:val="24"/>
          <w:lang w:val="nb-NO"/>
        </w:rPr>
        <w:t>sekundære datakilder i Sverige</w:t>
      </w:r>
    </w:p>
    <w:p w:rsidR="00D94293" w:rsidRDefault="00D94293" w:rsidP="00D94293">
      <w:pPr>
        <w:ind w:left="851" w:hanging="851"/>
        <w:rPr>
          <w:bCs/>
          <w:sz w:val="24"/>
          <w:szCs w:val="24"/>
          <w:lang w:val="nb-NO"/>
        </w:rPr>
      </w:pPr>
      <w:r>
        <w:rPr>
          <w:bCs/>
          <w:sz w:val="24"/>
          <w:szCs w:val="24"/>
          <w:lang w:val="nb-NO"/>
        </w:rPr>
        <w:t>1 Inkluderer febril neutropeni og neutropeni.</w:t>
      </w:r>
    </w:p>
    <w:p w:rsidR="00D94293" w:rsidRDefault="00D94293" w:rsidP="00D94293">
      <w:pPr>
        <w:ind w:left="851" w:hanging="851"/>
        <w:rPr>
          <w:bCs/>
          <w:sz w:val="24"/>
          <w:szCs w:val="24"/>
          <w:lang w:val="nb-NO"/>
        </w:rPr>
      </w:pPr>
      <w:r>
        <w:rPr>
          <w:bCs/>
          <w:sz w:val="24"/>
          <w:szCs w:val="24"/>
          <w:lang w:val="nb-NO"/>
        </w:rPr>
        <w:t>2 Inkluderer immun trombocytopenisk purpura.</w:t>
      </w:r>
    </w:p>
    <w:p w:rsidR="00D94293" w:rsidRDefault="00D94293" w:rsidP="00D94293">
      <w:pPr>
        <w:ind w:left="851" w:hanging="851"/>
        <w:rPr>
          <w:bCs/>
          <w:sz w:val="24"/>
          <w:szCs w:val="24"/>
          <w:lang w:val="nb-NO"/>
        </w:rPr>
      </w:pPr>
      <w:r>
        <w:rPr>
          <w:bCs/>
          <w:sz w:val="24"/>
          <w:szCs w:val="24"/>
          <w:lang w:val="nb-NO"/>
        </w:rPr>
        <w:t>3 Inkluderer nakkestivhed og tetani.</w:t>
      </w:r>
    </w:p>
    <w:p w:rsidR="00D94293" w:rsidRDefault="00D94293" w:rsidP="00D94293">
      <w:pPr>
        <w:ind w:left="851" w:hanging="851"/>
        <w:rPr>
          <w:bCs/>
          <w:sz w:val="24"/>
          <w:szCs w:val="24"/>
          <w:lang w:val="nb-NO"/>
        </w:rPr>
      </w:pPr>
      <w:r>
        <w:rPr>
          <w:bCs/>
          <w:sz w:val="24"/>
          <w:szCs w:val="24"/>
          <w:lang w:val="nb-NO"/>
        </w:rPr>
        <w:t>4 Inkluderer hypoksisk-iskæmisk encefalopati og metabolisk encefalopati.</w:t>
      </w:r>
    </w:p>
    <w:p w:rsidR="00D94293" w:rsidRDefault="00D94293" w:rsidP="00D94293">
      <w:pPr>
        <w:ind w:left="851" w:hanging="851"/>
        <w:rPr>
          <w:bCs/>
          <w:sz w:val="24"/>
          <w:szCs w:val="24"/>
          <w:lang w:val="nb-NO"/>
        </w:rPr>
      </w:pPr>
      <w:r>
        <w:rPr>
          <w:bCs/>
          <w:sz w:val="24"/>
          <w:szCs w:val="24"/>
          <w:lang w:val="nb-NO"/>
        </w:rPr>
        <w:t>5 Inkluderer akatisi og parkinsonisme.</w:t>
      </w:r>
    </w:p>
    <w:p w:rsidR="00D94293" w:rsidRDefault="00D94293" w:rsidP="00D94293">
      <w:pPr>
        <w:ind w:left="851" w:hanging="851"/>
        <w:rPr>
          <w:bCs/>
          <w:sz w:val="24"/>
          <w:szCs w:val="24"/>
          <w:lang w:val="nb-NO"/>
        </w:rPr>
      </w:pPr>
      <w:r>
        <w:rPr>
          <w:bCs/>
          <w:sz w:val="24"/>
          <w:szCs w:val="24"/>
          <w:lang w:val="nb-NO"/>
        </w:rPr>
        <w:t>6 Se afsnittet ”Synsnedsættelse” i pkt. 4.8.</w:t>
      </w:r>
    </w:p>
    <w:p w:rsidR="00D94293" w:rsidRDefault="00D94293" w:rsidP="00D94293">
      <w:pPr>
        <w:ind w:left="851" w:hanging="851"/>
        <w:rPr>
          <w:bCs/>
          <w:sz w:val="24"/>
          <w:szCs w:val="24"/>
          <w:lang w:val="nb-NO"/>
        </w:rPr>
      </w:pPr>
      <w:r>
        <w:rPr>
          <w:bCs/>
          <w:sz w:val="24"/>
          <w:szCs w:val="24"/>
          <w:lang w:val="nb-NO"/>
        </w:rPr>
        <w:t>7 Længerevarende optisk neuritis er rapporteret efter markedsføringen. Se pkt. 4.4.</w:t>
      </w:r>
    </w:p>
    <w:p w:rsidR="00D94293" w:rsidRDefault="00D94293" w:rsidP="00D94293">
      <w:pPr>
        <w:ind w:left="851" w:hanging="851"/>
        <w:rPr>
          <w:bCs/>
          <w:sz w:val="24"/>
          <w:szCs w:val="24"/>
          <w:lang w:val="nb-NO"/>
        </w:rPr>
      </w:pPr>
      <w:r>
        <w:rPr>
          <w:bCs/>
          <w:sz w:val="24"/>
          <w:szCs w:val="24"/>
          <w:lang w:val="nb-NO"/>
        </w:rPr>
        <w:t>8 Se pkt. 4.4.</w:t>
      </w:r>
    </w:p>
    <w:p w:rsidR="00D94293" w:rsidRDefault="00D94293" w:rsidP="00D94293">
      <w:pPr>
        <w:ind w:left="851" w:hanging="851"/>
        <w:rPr>
          <w:bCs/>
          <w:sz w:val="24"/>
          <w:szCs w:val="24"/>
          <w:lang w:val="nb-NO"/>
        </w:rPr>
      </w:pPr>
      <w:r>
        <w:rPr>
          <w:bCs/>
          <w:sz w:val="24"/>
          <w:szCs w:val="24"/>
          <w:lang w:val="nb-NO"/>
        </w:rPr>
        <w:t>9 Inkluderer dyspnø og belastningsdyspnø.</w:t>
      </w:r>
    </w:p>
    <w:p w:rsidR="00D94293" w:rsidRDefault="00D94293" w:rsidP="00D94293">
      <w:pPr>
        <w:ind w:left="851" w:hanging="851"/>
        <w:rPr>
          <w:bCs/>
          <w:sz w:val="24"/>
          <w:szCs w:val="24"/>
          <w:lang w:val="nb-NO"/>
        </w:rPr>
      </w:pPr>
      <w:r>
        <w:rPr>
          <w:bCs/>
          <w:sz w:val="24"/>
          <w:szCs w:val="24"/>
          <w:lang w:val="nb-NO"/>
        </w:rPr>
        <w:lastRenderedPageBreak/>
        <w:t>10 Inkluderer medicinudløst leverskade, toksisk hepatitis, hepatocellulær skade og hepatotoksicitet.</w:t>
      </w:r>
    </w:p>
    <w:p w:rsidR="00D94293" w:rsidRDefault="00D94293" w:rsidP="00D94293">
      <w:pPr>
        <w:ind w:left="851" w:hanging="851"/>
        <w:rPr>
          <w:bCs/>
          <w:sz w:val="24"/>
          <w:szCs w:val="24"/>
          <w:lang w:val="nb-NO"/>
        </w:rPr>
      </w:pPr>
      <w:r>
        <w:rPr>
          <w:bCs/>
          <w:sz w:val="24"/>
          <w:szCs w:val="24"/>
          <w:lang w:val="nb-NO"/>
        </w:rPr>
        <w:t>11 Inkluderer periorbitalt ødem, læbeødem og ødem i munden.</w:t>
      </w:r>
    </w:p>
    <w:p w:rsidR="00EE0DC7" w:rsidRPr="00D94293" w:rsidRDefault="00EE0DC7" w:rsidP="00EE0DC7">
      <w:pPr>
        <w:ind w:left="851" w:hanging="851"/>
        <w:rPr>
          <w:bCs/>
          <w:sz w:val="24"/>
          <w:szCs w:val="24"/>
          <w:lang w:val="nb-NO"/>
        </w:rPr>
      </w:pPr>
    </w:p>
    <w:p w:rsidR="00EE0DC7" w:rsidRDefault="00EE0DC7" w:rsidP="00EE0DC7">
      <w:pPr>
        <w:ind w:left="851"/>
        <w:rPr>
          <w:sz w:val="24"/>
          <w:szCs w:val="24"/>
          <w:u w:val="single"/>
        </w:rPr>
      </w:pPr>
      <w:r>
        <w:rPr>
          <w:sz w:val="24"/>
          <w:szCs w:val="24"/>
          <w:u w:val="single"/>
        </w:rPr>
        <w:t>Beskrivelse af udvalgte bivirkninger</w:t>
      </w:r>
    </w:p>
    <w:p w:rsidR="00EE0DC7" w:rsidRDefault="00EE0DC7" w:rsidP="00EE0DC7">
      <w:pPr>
        <w:ind w:left="851"/>
        <w:rPr>
          <w:sz w:val="24"/>
          <w:szCs w:val="24"/>
          <w:u w:val="single"/>
        </w:rPr>
      </w:pPr>
    </w:p>
    <w:p w:rsidR="00EE0DC7" w:rsidRDefault="00EE0DC7" w:rsidP="00EE0DC7">
      <w:pPr>
        <w:ind w:left="851"/>
        <w:rPr>
          <w:i/>
          <w:sz w:val="24"/>
          <w:szCs w:val="24"/>
        </w:rPr>
      </w:pPr>
      <w:r>
        <w:rPr>
          <w:i/>
          <w:sz w:val="24"/>
          <w:szCs w:val="24"/>
        </w:rPr>
        <w:t>Synsnedsættelse</w:t>
      </w:r>
    </w:p>
    <w:p w:rsidR="00EE0DC7" w:rsidRDefault="00EE0DC7" w:rsidP="00EE0DC7">
      <w:pPr>
        <w:ind w:left="851"/>
        <w:rPr>
          <w:sz w:val="24"/>
          <w:szCs w:val="24"/>
        </w:rPr>
      </w:pPr>
      <w:r>
        <w:rPr>
          <w:sz w:val="24"/>
          <w:szCs w:val="24"/>
        </w:rPr>
        <w:t>I kliniske studier med voriconazol er nedsat syn (herunder sløret syn, fotofobi, kloropsi, kromatopsi, farveblindhed, cyanopsi, øjensygdom, lyscirkler, natteblindhed, oscillopsi, fotopsi, scintillerende scotom, nedsat synsskarphed, synsklarhed, synsfeltdefekt, øjenflydere og xanthopsi) meget almindeligt. Disse former for synsnedsættelse er forbigående og fuldt reversible og er for størstedelen spontant gået over inden for 60 minutter, og der ses ingen klinisk betydende visuelle langtidsvirkninger. Der er bevis for, at synsændringerne mindskes ved gentagne doser af voriconazol. Synsnedsættelsen er generelt mild, og resulterer sjældent i afbrydelse af behandling og har ikke været forbundet med langtidsvirkninger. Synsnedsættelse kan være forbundet med højere plasmakoncentrationer og/eller doser.</w:t>
      </w:r>
    </w:p>
    <w:p w:rsidR="00EE0DC7" w:rsidRDefault="00EE0DC7" w:rsidP="00EE0DC7">
      <w:pPr>
        <w:ind w:left="851"/>
        <w:rPr>
          <w:sz w:val="24"/>
          <w:szCs w:val="24"/>
        </w:rPr>
      </w:pPr>
    </w:p>
    <w:p w:rsidR="00EE0DC7" w:rsidRDefault="00EE0DC7" w:rsidP="00EE0DC7">
      <w:pPr>
        <w:ind w:left="851"/>
        <w:rPr>
          <w:sz w:val="24"/>
          <w:szCs w:val="24"/>
        </w:rPr>
      </w:pPr>
      <w:r>
        <w:rPr>
          <w:sz w:val="24"/>
          <w:szCs w:val="24"/>
        </w:rPr>
        <w:t>Virkningsmekanismen er ukendt, skønt reaktionen med stor sandsynlighed sker i retina. I et studie med raske frivillige, der undersøgte voriconazols indvirkning på retinafunktionen, forårsagede voriconazol nedsat svingningsbredde af kurveformerne på elektroretinografi (ERG). ERG måler elektriske impulser i retina. ERG-ændringerne progredierede ikke i løbet af 29 dages behandling og var fuldt reversible ved seponering af voriconazol.</w:t>
      </w:r>
    </w:p>
    <w:p w:rsidR="00EE0DC7" w:rsidRDefault="00EE0DC7" w:rsidP="00EE0DC7">
      <w:pPr>
        <w:ind w:left="851"/>
        <w:rPr>
          <w:sz w:val="24"/>
          <w:szCs w:val="24"/>
        </w:rPr>
      </w:pPr>
    </w:p>
    <w:p w:rsidR="00EE0DC7" w:rsidRDefault="00EE0DC7" w:rsidP="00EE0DC7">
      <w:pPr>
        <w:autoSpaceDE w:val="0"/>
        <w:autoSpaceDN w:val="0"/>
        <w:adjustRightInd w:val="0"/>
        <w:ind w:left="851"/>
        <w:rPr>
          <w:color w:val="000000"/>
          <w:sz w:val="24"/>
          <w:szCs w:val="24"/>
          <w:lang w:eastAsia="da-DK"/>
        </w:rPr>
      </w:pPr>
      <w:r>
        <w:rPr>
          <w:color w:val="000000"/>
          <w:sz w:val="24"/>
          <w:lang w:eastAsia="da-DK"/>
        </w:rPr>
        <w:t>Efter markedsføringen er der rapporteret om langvarige synsrelaterede bivirkninger (se pkt. 4.4).</w:t>
      </w:r>
    </w:p>
    <w:p w:rsidR="00EE0DC7" w:rsidRDefault="00EE0DC7" w:rsidP="00EE0DC7">
      <w:pPr>
        <w:ind w:left="851"/>
        <w:rPr>
          <w:sz w:val="24"/>
          <w:szCs w:val="24"/>
        </w:rPr>
      </w:pPr>
    </w:p>
    <w:p w:rsidR="00EE0DC7" w:rsidRDefault="00EE0DC7" w:rsidP="009601E5">
      <w:pPr>
        <w:keepNext/>
        <w:ind w:left="851"/>
        <w:rPr>
          <w:i/>
          <w:sz w:val="24"/>
          <w:szCs w:val="24"/>
        </w:rPr>
      </w:pPr>
      <w:r>
        <w:rPr>
          <w:i/>
          <w:sz w:val="24"/>
          <w:szCs w:val="24"/>
        </w:rPr>
        <w:t>Dermatologiske reaktioner</w:t>
      </w:r>
    </w:p>
    <w:p w:rsidR="00EE0DC7" w:rsidRDefault="00EE0DC7" w:rsidP="00EE0DC7">
      <w:pPr>
        <w:ind w:left="851"/>
        <w:rPr>
          <w:sz w:val="24"/>
          <w:szCs w:val="24"/>
        </w:rPr>
      </w:pPr>
      <w:r>
        <w:rPr>
          <w:sz w:val="24"/>
          <w:szCs w:val="24"/>
        </w:rPr>
        <w:t>Dermatologiske reaktioner var meget almindelige hos patienter behandlet med voriconazol i kliniske studier, men disse patienter havde alvorlige tilgrundliggende sygdomme og fik samtidig behandling med flere andre lægemidler. Sværhedsgraden af størstedelen af udslættene var mild til moderat. Patienterne har udviklet svære kutane bivirkninger (SCARs), herunder Stevens-Johnsons syndrom (SJS) (ikke almindelig), toksisk epidermal nekrolyse (TEN) (sjælden), lægemiddelreaktion med eosinofili og systemiske symptomer (DRESS) (sjælden) og erythema multiforme (sjælden) under behandling med Voriconazole ”Sandoz” (se pkt. 4.4).</w:t>
      </w:r>
    </w:p>
    <w:p w:rsidR="00EE0DC7" w:rsidRDefault="00EE0DC7" w:rsidP="00EE0DC7">
      <w:pPr>
        <w:ind w:left="851"/>
        <w:rPr>
          <w:sz w:val="24"/>
          <w:szCs w:val="24"/>
        </w:rPr>
      </w:pPr>
    </w:p>
    <w:p w:rsidR="00EE0DC7" w:rsidRDefault="00EE0DC7" w:rsidP="00EE0DC7">
      <w:pPr>
        <w:ind w:left="851"/>
        <w:rPr>
          <w:sz w:val="24"/>
          <w:szCs w:val="24"/>
        </w:rPr>
      </w:pPr>
      <w:r>
        <w:rPr>
          <w:sz w:val="24"/>
          <w:szCs w:val="24"/>
        </w:rPr>
        <w:t>Hvis en patient udvikler udslæt, bør vedkommende monitoreres nøje, og Voriconazole ”Sandoz” bør seponeres, hvis læsionen progredierer. Lysfølsomhedsreaktioner som efelider, lentigo og aktinisk keratose er rapporteret, især under langtidsbehandling (se pkt. 4.4).</w:t>
      </w:r>
    </w:p>
    <w:p w:rsidR="00EE0DC7" w:rsidRDefault="00EE0DC7" w:rsidP="00EE0DC7">
      <w:pPr>
        <w:ind w:left="851"/>
        <w:rPr>
          <w:sz w:val="24"/>
          <w:szCs w:val="24"/>
        </w:rPr>
      </w:pPr>
    </w:p>
    <w:p w:rsidR="00EE0DC7" w:rsidRDefault="00EE0DC7" w:rsidP="00EE0DC7">
      <w:pPr>
        <w:ind w:left="851"/>
        <w:rPr>
          <w:sz w:val="24"/>
          <w:szCs w:val="24"/>
        </w:rPr>
      </w:pPr>
      <w:r>
        <w:rPr>
          <w:color w:val="000000"/>
          <w:sz w:val="24"/>
          <w:szCs w:val="24"/>
        </w:rPr>
        <w:t>Der er rapporteret om planocellulære hudkarcinomer</w:t>
      </w:r>
      <w:r w:rsidR="00086785">
        <w:rPr>
          <w:color w:val="000000"/>
          <w:sz w:val="24"/>
          <w:szCs w:val="24"/>
        </w:rPr>
        <w:t xml:space="preserve"> </w:t>
      </w:r>
      <w:r w:rsidR="00086785">
        <w:rPr>
          <w:sz w:val="24"/>
          <w:szCs w:val="24"/>
          <w:lang w:eastAsia="da-DK"/>
        </w:rPr>
        <w:t xml:space="preserve">(herunder kutant SCC </w:t>
      </w:r>
      <w:r w:rsidR="00086785">
        <w:rPr>
          <w:i/>
          <w:iCs/>
          <w:sz w:val="24"/>
          <w:szCs w:val="24"/>
          <w:lang w:eastAsia="da-DK"/>
        </w:rPr>
        <w:t>in situ</w:t>
      </w:r>
      <w:r w:rsidR="00086785">
        <w:rPr>
          <w:sz w:val="24"/>
          <w:szCs w:val="24"/>
          <w:lang w:eastAsia="da-DK"/>
        </w:rPr>
        <w:t xml:space="preserve"> eller morbus Bowen)</w:t>
      </w:r>
      <w:r w:rsidR="00086785">
        <w:rPr>
          <w:color w:val="000000"/>
          <w:sz w:val="24"/>
          <w:szCs w:val="24"/>
        </w:rPr>
        <w:t xml:space="preserve"> </w:t>
      </w:r>
      <w:r>
        <w:rPr>
          <w:color w:val="000000"/>
          <w:sz w:val="24"/>
          <w:szCs w:val="24"/>
        </w:rPr>
        <w:t>hos patienter, der var i langvarig behandling med voriconazol. Mekanismen bag denne reaktion er ikke fastlagt (se pkt. 4.4).</w:t>
      </w:r>
    </w:p>
    <w:p w:rsidR="00EE0DC7" w:rsidRDefault="00EE0DC7" w:rsidP="00EE0DC7">
      <w:pPr>
        <w:ind w:left="851"/>
        <w:rPr>
          <w:sz w:val="24"/>
          <w:szCs w:val="24"/>
        </w:rPr>
      </w:pPr>
    </w:p>
    <w:p w:rsidR="00EE0DC7" w:rsidRDefault="00EE0DC7" w:rsidP="00EE0DC7">
      <w:pPr>
        <w:keepNext/>
        <w:ind w:left="851"/>
        <w:rPr>
          <w:i/>
          <w:sz w:val="24"/>
          <w:szCs w:val="24"/>
        </w:rPr>
      </w:pPr>
      <w:r>
        <w:rPr>
          <w:i/>
          <w:sz w:val="24"/>
          <w:szCs w:val="24"/>
        </w:rPr>
        <w:t>Leverfunktionsprøver</w:t>
      </w:r>
    </w:p>
    <w:p w:rsidR="00D94293" w:rsidRDefault="00D94293" w:rsidP="00D94293">
      <w:pPr>
        <w:ind w:left="851"/>
        <w:rPr>
          <w:sz w:val="24"/>
          <w:szCs w:val="24"/>
        </w:rPr>
      </w:pPr>
      <w:r>
        <w:rPr>
          <w:sz w:val="24"/>
          <w:szCs w:val="24"/>
        </w:rPr>
        <w:t xml:space="preserve">I voriconazols kliniske program var den samlede incidens af transaminase stigninger &gt;3 ×ULN (ikke nødvendigvis med bivirkninger) 18,0 % (319/1.768) hos voksne og 25,8 % (73/283) hos pædiatriske forsøgspersoner, der blev behandlet med voriconazol til samlet terapeutisk og profylaktisk brug. Leverfunktionsafvigelserne kan associeres med højere plasmakoncentrationer og/eller doser. Størstedelen af abnorme leverfunktionsprøver blev </w:t>
      </w:r>
      <w:r>
        <w:rPr>
          <w:sz w:val="24"/>
          <w:szCs w:val="24"/>
        </w:rPr>
        <w:lastRenderedPageBreak/>
        <w:t>normale igen under behandlingen enten med eller uden dosisjustering, herunder afbrydelse af behandling.</w:t>
      </w:r>
    </w:p>
    <w:p w:rsidR="00EE0DC7" w:rsidRDefault="00EE0DC7" w:rsidP="00EE0DC7">
      <w:pPr>
        <w:ind w:left="851"/>
        <w:rPr>
          <w:sz w:val="24"/>
          <w:szCs w:val="24"/>
        </w:rPr>
      </w:pPr>
    </w:p>
    <w:p w:rsidR="00EE0DC7" w:rsidRDefault="00EE0DC7" w:rsidP="00EE0DC7">
      <w:pPr>
        <w:ind w:left="851"/>
        <w:rPr>
          <w:sz w:val="24"/>
          <w:szCs w:val="24"/>
        </w:rPr>
      </w:pPr>
      <w:r>
        <w:rPr>
          <w:sz w:val="24"/>
          <w:szCs w:val="24"/>
        </w:rPr>
        <w:t>Hos patienter med andre alvorlige tilgrundliggende sygdomme er voriconazol i sjældne tilfælde blevet forbundet med alvorlig levertoksicitet. Dette omfatter tilfælde af icterus, hepatitis og leversvigt, der førte til dødsfald (se pkt. 4.4).</w:t>
      </w:r>
    </w:p>
    <w:p w:rsidR="00EE0DC7" w:rsidRDefault="00EE0DC7" w:rsidP="00EE0DC7">
      <w:pPr>
        <w:autoSpaceDE w:val="0"/>
        <w:autoSpaceDN w:val="0"/>
        <w:adjustRightInd w:val="0"/>
        <w:ind w:left="851"/>
        <w:rPr>
          <w:i/>
          <w:color w:val="000000"/>
          <w:sz w:val="24"/>
          <w:lang w:eastAsia="da-DK"/>
        </w:rPr>
      </w:pPr>
    </w:p>
    <w:p w:rsidR="00EE0DC7" w:rsidRDefault="00EE0DC7" w:rsidP="00EE0DC7">
      <w:pPr>
        <w:autoSpaceDE w:val="0"/>
        <w:autoSpaceDN w:val="0"/>
        <w:adjustRightInd w:val="0"/>
        <w:ind w:left="851"/>
        <w:rPr>
          <w:i/>
          <w:color w:val="000000"/>
          <w:sz w:val="24"/>
          <w:szCs w:val="24"/>
          <w:lang w:eastAsia="da-DK"/>
        </w:rPr>
      </w:pPr>
      <w:r>
        <w:rPr>
          <w:i/>
          <w:color w:val="000000"/>
          <w:sz w:val="24"/>
          <w:lang w:eastAsia="da-DK"/>
        </w:rPr>
        <w:t>Profylaktisk behandling</w:t>
      </w:r>
    </w:p>
    <w:p w:rsidR="00EE0DC7" w:rsidRDefault="00EE0DC7" w:rsidP="00EE0DC7">
      <w:pPr>
        <w:autoSpaceDE w:val="0"/>
        <w:autoSpaceDN w:val="0"/>
        <w:adjustRightInd w:val="0"/>
        <w:ind w:left="851"/>
        <w:rPr>
          <w:color w:val="000000"/>
          <w:sz w:val="24"/>
          <w:szCs w:val="24"/>
          <w:lang w:eastAsia="da-DK"/>
        </w:rPr>
      </w:pPr>
      <w:r>
        <w:rPr>
          <w:color w:val="000000"/>
          <w:sz w:val="24"/>
          <w:lang w:eastAsia="da-DK"/>
        </w:rPr>
        <w:t>I et komparativt multicenterstudie med åben behandling mhp. en sammenligning af voriconazol og itraconazol som primær profylakse i forbindelse med allogen HSCT hos voksne og unge uden forinden påvist eller formodet IFI, blev der rapporteret om permanent seponering af voriconazol på grund af uønskede hændelser (AE'er) hos 39,3 % af de forsøgsdeltagere, der fik voriconazol, og hos 39,6 % af forsøgsdeltagerne i itraconazol-armen. Under behandlingen opstod der leverrelaterede AE’er, som resulterede i permanent seponering af studielægemidlet hos 50 voriconazolbehandlede forsøgsdeltagere (21,4 %) og hos 18 itraconazolbehandlede forsøgsdeltagere (7,1 %),</w:t>
      </w:r>
    </w:p>
    <w:p w:rsidR="00EE0DC7" w:rsidRDefault="00EE0DC7" w:rsidP="00EE0DC7">
      <w:pPr>
        <w:ind w:left="851"/>
        <w:rPr>
          <w:sz w:val="24"/>
          <w:szCs w:val="24"/>
        </w:rPr>
      </w:pPr>
    </w:p>
    <w:p w:rsidR="00EE0DC7" w:rsidRDefault="00EE0DC7" w:rsidP="00EE0DC7">
      <w:pPr>
        <w:ind w:left="851"/>
        <w:rPr>
          <w:i/>
          <w:sz w:val="24"/>
          <w:szCs w:val="24"/>
        </w:rPr>
      </w:pPr>
      <w:r>
        <w:rPr>
          <w:i/>
          <w:sz w:val="24"/>
          <w:szCs w:val="24"/>
        </w:rPr>
        <w:t>Pædiatrisk population</w:t>
      </w:r>
    </w:p>
    <w:p w:rsidR="00EE0DC7" w:rsidRDefault="00EE0DC7" w:rsidP="00EE0DC7">
      <w:pPr>
        <w:ind w:left="851"/>
        <w:rPr>
          <w:sz w:val="24"/>
          <w:szCs w:val="24"/>
        </w:rPr>
      </w:pPr>
      <w:r>
        <w:rPr>
          <w:sz w:val="24"/>
          <w:szCs w:val="24"/>
        </w:rPr>
        <w:t xml:space="preserve">Sikkerheden af voriconazol er undersøgt hos 288 pædiatriske patienter i alderen 2 til &lt;12 år (169) og 12 til &lt;18 år (119), som fik voriconazol-profylakse (183) og til terapeutisk brug (105) i kliniske studier. Sikkerheden af voriconazol er undersøgt hos yderligere 158 pædiatriske patienter i alderen 2 til &lt;12 år, i compassionate use-programmer. Generelt er bivirkningsprofilen for voriconazol den samme hos den pædiatriske population som hos voksne. Der er dog observeret en tendens til en højere frekvens af leverenzymstigninger, der blev rapporteret som bivirkninger i kliniske studier hos pædiatriske patienter, sammenlignet med voksne (14,2 % forhøjet transaminase hos pædiatriske patienter sammenlignet med 5,3 % hos voksne). Data efter markedsføring tyder på, at der kan være en højere forekomst af hudreaktioner (især erytem) hos børn end hos voksne. Hos de 22 patienter under 2 år, som blev behandlet med voriconazol i et </w:t>
      </w:r>
      <w:r>
        <w:rPr>
          <w:i/>
          <w:sz w:val="24"/>
          <w:szCs w:val="24"/>
        </w:rPr>
        <w:t>compassionate use</w:t>
      </w:r>
      <w:r>
        <w:rPr>
          <w:sz w:val="24"/>
          <w:szCs w:val="24"/>
        </w:rPr>
        <w:t>-program, er følgende bivirkninger (for hvilke en sammenhæng med voriconazol ikke kan udelukkes) rapporteret: Lysoverfølsomhedsreaktion (1), arytmi (1), pancreatitis (1), forhøjet serumbilirubin (1), forhøjet antal leverenzymer (1), udslæt (1) og papilødem (1). Efter markedsføring er der set tilfælde af pancreatitis hos børn.</w:t>
      </w:r>
    </w:p>
    <w:p w:rsidR="00EE0DC7" w:rsidRDefault="00EE0DC7" w:rsidP="00EE0DC7">
      <w:pPr>
        <w:ind w:left="851"/>
        <w:rPr>
          <w:sz w:val="24"/>
          <w:szCs w:val="24"/>
        </w:rPr>
      </w:pPr>
    </w:p>
    <w:p w:rsidR="00EE0DC7" w:rsidRDefault="00EE0DC7" w:rsidP="00EE0DC7">
      <w:pPr>
        <w:ind w:left="851"/>
        <w:rPr>
          <w:sz w:val="24"/>
          <w:szCs w:val="24"/>
          <w:u w:val="single"/>
        </w:rPr>
      </w:pPr>
      <w:r>
        <w:rPr>
          <w:sz w:val="24"/>
          <w:szCs w:val="24"/>
          <w:u w:val="single"/>
        </w:rPr>
        <w:t>Indberetning af formodede bivirkninger</w:t>
      </w:r>
    </w:p>
    <w:p w:rsidR="009601E5" w:rsidRDefault="00EE0DC7" w:rsidP="00EE0DC7">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9601E5">
        <w:rPr>
          <w:sz w:val="24"/>
          <w:szCs w:val="24"/>
        </w:rPr>
        <w:t>S</w:t>
      </w:r>
      <w:r>
        <w:rPr>
          <w:sz w:val="24"/>
          <w:szCs w:val="24"/>
        </w:rPr>
        <w:t>undhedsperson</w:t>
      </w:r>
      <w:r w:rsidR="009601E5">
        <w:rPr>
          <w:sz w:val="24"/>
          <w:szCs w:val="24"/>
        </w:rPr>
        <w:t>er</w:t>
      </w:r>
      <w:r>
        <w:rPr>
          <w:sz w:val="24"/>
          <w:szCs w:val="24"/>
        </w:rPr>
        <w:t xml:space="preserve"> anmodes om at indberette alle formodede bivirkninger via: </w:t>
      </w:r>
    </w:p>
    <w:p w:rsidR="009601E5" w:rsidRDefault="009601E5" w:rsidP="00EE0DC7">
      <w:pPr>
        <w:ind w:left="851"/>
        <w:rPr>
          <w:sz w:val="24"/>
          <w:szCs w:val="24"/>
        </w:rPr>
      </w:pPr>
    </w:p>
    <w:p w:rsidR="00EE0DC7" w:rsidRPr="009601E5" w:rsidRDefault="00EE0DC7" w:rsidP="00EE0DC7">
      <w:pPr>
        <w:ind w:left="851"/>
        <w:rPr>
          <w:sz w:val="24"/>
          <w:szCs w:val="24"/>
        </w:rPr>
      </w:pPr>
      <w:r w:rsidRPr="009601E5">
        <w:rPr>
          <w:sz w:val="24"/>
          <w:szCs w:val="24"/>
        </w:rPr>
        <w:t xml:space="preserve">Lægemiddelstyrelsen </w:t>
      </w:r>
    </w:p>
    <w:p w:rsidR="00EE0DC7" w:rsidRPr="009601E5" w:rsidRDefault="00EE0DC7" w:rsidP="00EE0DC7">
      <w:pPr>
        <w:ind w:left="851"/>
        <w:rPr>
          <w:sz w:val="24"/>
          <w:szCs w:val="24"/>
        </w:rPr>
      </w:pPr>
      <w:r w:rsidRPr="009601E5">
        <w:rPr>
          <w:sz w:val="24"/>
          <w:szCs w:val="24"/>
        </w:rPr>
        <w:t xml:space="preserve">Axel Heides Gade 1 </w:t>
      </w:r>
    </w:p>
    <w:p w:rsidR="00EE0DC7" w:rsidRPr="009601E5" w:rsidRDefault="00EE0DC7" w:rsidP="00EE0DC7">
      <w:pPr>
        <w:ind w:left="851"/>
        <w:rPr>
          <w:sz w:val="24"/>
          <w:szCs w:val="24"/>
        </w:rPr>
      </w:pPr>
      <w:r w:rsidRPr="009601E5">
        <w:rPr>
          <w:sz w:val="24"/>
          <w:szCs w:val="24"/>
        </w:rPr>
        <w:t xml:space="preserve">DK-2300 København S. </w:t>
      </w:r>
    </w:p>
    <w:p w:rsidR="00EE0DC7" w:rsidRPr="009601E5" w:rsidRDefault="00EE0DC7" w:rsidP="00EE0DC7">
      <w:pPr>
        <w:ind w:left="851"/>
        <w:rPr>
          <w:sz w:val="24"/>
          <w:szCs w:val="24"/>
        </w:rPr>
      </w:pPr>
      <w:r w:rsidRPr="009601E5">
        <w:rPr>
          <w:sz w:val="24"/>
          <w:szCs w:val="24"/>
        </w:rPr>
        <w:t xml:space="preserve">Websted: </w:t>
      </w:r>
      <w:hyperlink r:id="rId8" w:history="1">
        <w:r w:rsidRPr="009601E5">
          <w:rPr>
            <w:rStyle w:val="Hyperlink"/>
            <w:sz w:val="24"/>
            <w:szCs w:val="24"/>
          </w:rPr>
          <w:t>www.meldenbivirkning.dk</w:t>
        </w:r>
      </w:hyperlink>
      <w:r w:rsidRPr="009601E5">
        <w:rPr>
          <w:sz w:val="24"/>
          <w:szCs w:val="24"/>
        </w:rPr>
        <w:t xml:space="preserve">  </w:t>
      </w:r>
    </w:p>
    <w:p w:rsidR="00EE0DC7" w:rsidRPr="009152E1" w:rsidRDefault="00EE0DC7" w:rsidP="00EE0DC7">
      <w:pPr>
        <w:pStyle w:val="Sidehoved"/>
        <w:tabs>
          <w:tab w:val="clear" w:pos="4819"/>
          <w:tab w:val="clear" w:pos="9638"/>
        </w:tabs>
        <w:ind w:left="851" w:hanging="851"/>
        <w:rPr>
          <w:szCs w:val="24"/>
          <w:lang w:val="it-IT"/>
        </w:rPr>
      </w:pPr>
    </w:p>
    <w:p w:rsidR="00EE0DC7" w:rsidRPr="007C61BD" w:rsidRDefault="00EE0DC7" w:rsidP="00EE0DC7">
      <w:pPr>
        <w:keepNext/>
        <w:ind w:left="851" w:hanging="851"/>
        <w:rPr>
          <w:b/>
          <w:sz w:val="24"/>
          <w:szCs w:val="24"/>
        </w:rPr>
      </w:pPr>
      <w:r w:rsidRPr="007C61BD">
        <w:rPr>
          <w:b/>
          <w:sz w:val="24"/>
          <w:szCs w:val="24"/>
        </w:rPr>
        <w:t>4.9</w:t>
      </w:r>
      <w:r w:rsidRPr="007C61BD">
        <w:rPr>
          <w:b/>
          <w:sz w:val="24"/>
          <w:szCs w:val="24"/>
        </w:rPr>
        <w:tab/>
        <w:t>Overdosering</w:t>
      </w:r>
    </w:p>
    <w:p w:rsidR="00EE0DC7" w:rsidRPr="007C61BD" w:rsidRDefault="00EE0DC7" w:rsidP="00EE0DC7">
      <w:pPr>
        <w:ind w:left="851" w:hanging="851"/>
        <w:rPr>
          <w:sz w:val="24"/>
          <w:szCs w:val="24"/>
        </w:rPr>
      </w:pPr>
      <w:r w:rsidRPr="007C61BD">
        <w:rPr>
          <w:sz w:val="24"/>
          <w:szCs w:val="24"/>
        </w:rPr>
        <w:tab/>
        <w:t>I kliniske studier var der 3 tilfælde af uforsætlig overdosering. De opstod alle hos pædiatriske patienter, som fik op til 5 gange den anbefalede intravenøse dosis af voriconazol. En enkelt bivirkning i form af fotofobi, der varede 10 minutter, blev rapporteret.</w:t>
      </w:r>
    </w:p>
    <w:p w:rsidR="00EE0DC7" w:rsidRPr="007C61BD" w:rsidRDefault="00EE0DC7" w:rsidP="00EE0DC7">
      <w:pPr>
        <w:ind w:left="851" w:hanging="851"/>
        <w:rPr>
          <w:sz w:val="24"/>
          <w:szCs w:val="24"/>
        </w:rPr>
      </w:pPr>
    </w:p>
    <w:p w:rsidR="00EE0DC7" w:rsidRPr="007C61BD" w:rsidRDefault="00EE0DC7" w:rsidP="00EE0DC7">
      <w:pPr>
        <w:ind w:left="851" w:hanging="851"/>
        <w:rPr>
          <w:sz w:val="24"/>
          <w:szCs w:val="24"/>
        </w:rPr>
      </w:pPr>
      <w:r>
        <w:rPr>
          <w:sz w:val="24"/>
          <w:szCs w:val="24"/>
        </w:rPr>
        <w:tab/>
      </w:r>
      <w:r w:rsidRPr="007C61BD">
        <w:rPr>
          <w:sz w:val="24"/>
          <w:szCs w:val="24"/>
        </w:rPr>
        <w:t>Der er ingen kendt antidot mod voriconazol.</w:t>
      </w:r>
    </w:p>
    <w:p w:rsidR="00EE0DC7" w:rsidRPr="007C61BD" w:rsidRDefault="00EE0DC7" w:rsidP="00EE0DC7">
      <w:pPr>
        <w:ind w:left="851" w:hanging="851"/>
        <w:rPr>
          <w:sz w:val="24"/>
          <w:szCs w:val="24"/>
        </w:rPr>
      </w:pPr>
    </w:p>
    <w:p w:rsidR="00EE0DC7" w:rsidRPr="007C61BD" w:rsidRDefault="00EE0DC7" w:rsidP="00EE0DC7">
      <w:pPr>
        <w:ind w:left="851" w:hanging="851"/>
        <w:rPr>
          <w:sz w:val="24"/>
          <w:szCs w:val="24"/>
        </w:rPr>
      </w:pPr>
      <w:r>
        <w:rPr>
          <w:sz w:val="24"/>
          <w:szCs w:val="24"/>
        </w:rPr>
        <w:tab/>
      </w:r>
      <w:r w:rsidRPr="007C61BD">
        <w:rPr>
          <w:sz w:val="24"/>
          <w:szCs w:val="24"/>
        </w:rPr>
        <w:t>Voriconazol hæmodialyseres med en clearance på 121 ml/min. Ved overdosering kan hæmodialyse muligvis medvirke til af fjerne voriconazol fra kroppen.</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4.10</w:t>
      </w:r>
      <w:r w:rsidRPr="007C61BD">
        <w:rPr>
          <w:b/>
          <w:sz w:val="24"/>
          <w:szCs w:val="24"/>
        </w:rPr>
        <w:tab/>
        <w:t>Udlevering</w:t>
      </w:r>
    </w:p>
    <w:p w:rsidR="00EE0DC7" w:rsidRPr="007C61BD" w:rsidRDefault="00EE0DC7" w:rsidP="00EE0DC7">
      <w:pPr>
        <w:ind w:left="851" w:hanging="851"/>
        <w:rPr>
          <w:sz w:val="24"/>
          <w:szCs w:val="24"/>
        </w:rPr>
      </w:pPr>
      <w:r w:rsidRPr="007C61BD">
        <w:rPr>
          <w:sz w:val="24"/>
          <w:szCs w:val="24"/>
        </w:rPr>
        <w:tab/>
        <w:t>A</w:t>
      </w:r>
    </w:p>
    <w:p w:rsidR="00EE0DC7" w:rsidRDefault="00EE0DC7" w:rsidP="00EE0DC7">
      <w:pPr>
        <w:ind w:left="851" w:hanging="851"/>
        <w:rPr>
          <w:sz w:val="24"/>
          <w:szCs w:val="24"/>
        </w:rPr>
      </w:pPr>
    </w:p>
    <w:p w:rsidR="00EE0DC7" w:rsidRPr="007C61BD" w:rsidRDefault="00EE0DC7" w:rsidP="00EE0DC7">
      <w:pPr>
        <w:ind w:left="851" w:hanging="851"/>
        <w:rPr>
          <w:sz w:val="24"/>
          <w:szCs w:val="24"/>
        </w:rPr>
      </w:pPr>
    </w:p>
    <w:p w:rsidR="00EE0DC7" w:rsidRPr="00C44E2D" w:rsidRDefault="00EE0DC7" w:rsidP="00C44E2D">
      <w:pPr>
        <w:ind w:left="851" w:hanging="851"/>
        <w:rPr>
          <w:b/>
          <w:sz w:val="24"/>
          <w:szCs w:val="24"/>
        </w:rPr>
      </w:pPr>
      <w:r w:rsidRPr="007C61BD">
        <w:rPr>
          <w:b/>
          <w:sz w:val="24"/>
          <w:szCs w:val="24"/>
        </w:rPr>
        <w:t>5.</w:t>
      </w:r>
      <w:r w:rsidRPr="007C61BD">
        <w:rPr>
          <w:b/>
          <w:sz w:val="24"/>
          <w:szCs w:val="24"/>
        </w:rPr>
        <w:tab/>
        <w:t>FARMAKOLOGISKE EGENSKABER</w:t>
      </w:r>
    </w:p>
    <w:p w:rsidR="00EE0DC7" w:rsidRPr="007C61BD" w:rsidRDefault="00EE0DC7" w:rsidP="00EE0DC7">
      <w:pPr>
        <w:ind w:left="851" w:hanging="851"/>
        <w:rPr>
          <w:sz w:val="24"/>
          <w:szCs w:val="24"/>
        </w:rPr>
      </w:pPr>
    </w:p>
    <w:p w:rsidR="00EE0DC7" w:rsidRDefault="00EE0DC7" w:rsidP="00D21C6F">
      <w:pPr>
        <w:keepNext/>
        <w:ind w:left="851" w:hanging="851"/>
        <w:rPr>
          <w:b/>
          <w:sz w:val="24"/>
          <w:szCs w:val="24"/>
        </w:rPr>
      </w:pPr>
      <w:r w:rsidRPr="007C61BD">
        <w:rPr>
          <w:b/>
          <w:sz w:val="24"/>
          <w:szCs w:val="24"/>
        </w:rPr>
        <w:t>5.1</w:t>
      </w:r>
      <w:r w:rsidRPr="007C61BD">
        <w:rPr>
          <w:b/>
          <w:sz w:val="24"/>
          <w:szCs w:val="24"/>
        </w:rPr>
        <w:tab/>
        <w:t>Farmakodynamiske egenskaber</w:t>
      </w:r>
    </w:p>
    <w:p w:rsidR="00C44E2D" w:rsidRDefault="00C44E2D" w:rsidP="00D21C6F">
      <w:pPr>
        <w:keepNext/>
        <w:ind w:left="851" w:hanging="851"/>
        <w:rPr>
          <w:sz w:val="24"/>
          <w:szCs w:val="24"/>
        </w:rPr>
      </w:pPr>
      <w:r>
        <w:rPr>
          <w:b/>
          <w:sz w:val="24"/>
          <w:szCs w:val="24"/>
        </w:rPr>
        <w:tab/>
      </w:r>
      <w:r w:rsidRPr="00C922B2">
        <w:rPr>
          <w:sz w:val="24"/>
          <w:szCs w:val="24"/>
        </w:rPr>
        <w:t>Farmakoterapeutisk klassifikation</w:t>
      </w:r>
      <w:r>
        <w:rPr>
          <w:sz w:val="24"/>
          <w:szCs w:val="24"/>
        </w:rPr>
        <w:t>: Antimykotika til systemisk anvendelse – triazolderivater. ATC-kode: J02AC03.</w:t>
      </w:r>
    </w:p>
    <w:p w:rsidR="00C44E2D" w:rsidRPr="007C61BD" w:rsidRDefault="00C44E2D" w:rsidP="00D21C6F">
      <w:pPr>
        <w:keepNext/>
        <w:ind w:left="851" w:hanging="851"/>
        <w:rPr>
          <w:b/>
          <w:sz w:val="24"/>
          <w:szCs w:val="24"/>
        </w:rPr>
      </w:pPr>
    </w:p>
    <w:p w:rsidR="00EE0DC7" w:rsidRDefault="00EE0DC7" w:rsidP="00EE0DC7">
      <w:pPr>
        <w:ind w:left="851" w:hanging="851"/>
        <w:rPr>
          <w:sz w:val="24"/>
          <w:szCs w:val="24"/>
          <w:u w:val="single"/>
        </w:rPr>
      </w:pPr>
      <w:r w:rsidRPr="007C61BD">
        <w:rPr>
          <w:sz w:val="24"/>
          <w:szCs w:val="24"/>
        </w:rPr>
        <w:tab/>
      </w:r>
      <w:r>
        <w:rPr>
          <w:sz w:val="24"/>
          <w:szCs w:val="24"/>
          <w:u w:val="single"/>
        </w:rPr>
        <w:t>Virkningsmekanisme</w:t>
      </w:r>
    </w:p>
    <w:p w:rsidR="00EE0DC7" w:rsidRDefault="00EE0DC7" w:rsidP="00EE0DC7">
      <w:pPr>
        <w:ind w:left="851"/>
        <w:rPr>
          <w:sz w:val="24"/>
          <w:szCs w:val="24"/>
        </w:rPr>
      </w:pPr>
      <w:r>
        <w:rPr>
          <w:sz w:val="24"/>
          <w:szCs w:val="24"/>
        </w:rPr>
        <w:t>Voriconazol er et antimykotikum af triazolgruppen. Voriconazols primære virkningsmekanisme er hæmning af fungal cytochrom P-450-medieret 14-α-lanosteroldemethylering, der er et vigtigt trin i biosyntesen af fungal ergosterol. Akkumulering af 14-α-methylsteroler korrelerer med det efterfølgende tab af ergosterol i den fungale cellemembran og kan være ansvarlig for den antifungale virkning af voriconazol. Voriconazol har vist sig mere selektiv over for fungale cytochrom P-450-enzymsystemer end over for forskellige mammale cytochrom P-450-enzymsystemer.</w:t>
      </w:r>
    </w:p>
    <w:p w:rsidR="00EE0DC7" w:rsidRDefault="00EE0DC7" w:rsidP="00EE0DC7">
      <w:pPr>
        <w:ind w:left="851"/>
        <w:rPr>
          <w:sz w:val="24"/>
          <w:szCs w:val="24"/>
        </w:rPr>
      </w:pPr>
    </w:p>
    <w:p w:rsidR="00EE0DC7" w:rsidRDefault="00EE0DC7" w:rsidP="00EE0DC7">
      <w:pPr>
        <w:ind w:left="851"/>
        <w:rPr>
          <w:sz w:val="24"/>
          <w:szCs w:val="24"/>
          <w:u w:val="single"/>
        </w:rPr>
      </w:pPr>
      <w:r>
        <w:rPr>
          <w:sz w:val="24"/>
          <w:szCs w:val="24"/>
          <w:u w:val="single"/>
        </w:rPr>
        <w:t>Farmakokinetiske/farmakodynamiske forhold</w:t>
      </w:r>
    </w:p>
    <w:p w:rsidR="00EE0DC7" w:rsidRDefault="00EE0DC7" w:rsidP="00EE0DC7">
      <w:pPr>
        <w:ind w:left="851"/>
        <w:rPr>
          <w:sz w:val="24"/>
          <w:szCs w:val="24"/>
        </w:rPr>
      </w:pPr>
      <w:r>
        <w:rPr>
          <w:sz w:val="24"/>
          <w:szCs w:val="24"/>
        </w:rPr>
        <w:t>I 10 kliniske studier var medianen for gennemsnitlige og maksimale plasmakoncentrationer hos individuelle forsøgspersoner på tværs af studierne henholdsvis 2.425 ng/ml (inter-kvartil fra 1.193 til 4.380 ng/ml) og 3.742 ng/ml (inter-kvartil fra 2.027 til 6.302 ng/ml). En positiv sammenhæng mellem middel, maksimal og minimal plasmavoriconazolkoncentration og effekt i kliniske studier blev ikke fundet, og dette forhold er ikke undersøgt i profylaktiske studier.</w:t>
      </w:r>
    </w:p>
    <w:p w:rsidR="00EE0DC7" w:rsidRDefault="00EE0DC7" w:rsidP="00EE0DC7">
      <w:pPr>
        <w:ind w:left="851"/>
        <w:rPr>
          <w:sz w:val="24"/>
          <w:szCs w:val="24"/>
        </w:rPr>
      </w:pPr>
    </w:p>
    <w:p w:rsidR="00EE0DC7" w:rsidRDefault="00EE0DC7" w:rsidP="00EE0DC7">
      <w:pPr>
        <w:ind w:left="851"/>
        <w:rPr>
          <w:sz w:val="24"/>
          <w:szCs w:val="24"/>
        </w:rPr>
      </w:pPr>
      <w:r>
        <w:rPr>
          <w:sz w:val="24"/>
          <w:szCs w:val="24"/>
        </w:rPr>
        <w:t xml:space="preserve">Farmakokinetiske-farmakodynamiske analyser af data fra kliniske forsøg identificerede positiv forbindelse mellem plasmavoriconazolkoncentrationer og både abnorme leverfunktionsværdier og synsforstyrrelser. Dosisjustering er ikke blevet undersøgt i profylaktiske studier. </w:t>
      </w:r>
    </w:p>
    <w:p w:rsidR="00EE0DC7" w:rsidRDefault="00EE0DC7" w:rsidP="00EE0DC7">
      <w:pPr>
        <w:ind w:left="851"/>
        <w:rPr>
          <w:sz w:val="24"/>
          <w:szCs w:val="24"/>
        </w:rPr>
      </w:pPr>
    </w:p>
    <w:p w:rsidR="00EE0DC7" w:rsidRDefault="00EE0DC7" w:rsidP="00EE0DC7">
      <w:pPr>
        <w:ind w:left="851"/>
        <w:rPr>
          <w:sz w:val="24"/>
          <w:szCs w:val="24"/>
          <w:u w:val="single"/>
        </w:rPr>
      </w:pPr>
      <w:r>
        <w:rPr>
          <w:sz w:val="24"/>
          <w:szCs w:val="24"/>
          <w:u w:val="single"/>
        </w:rPr>
        <w:t>Klinisk virkning og sikkerhed</w:t>
      </w:r>
    </w:p>
    <w:p w:rsidR="00EE0DC7" w:rsidRDefault="00EE0DC7" w:rsidP="00EE0DC7">
      <w:pPr>
        <w:ind w:left="851"/>
        <w:rPr>
          <w:sz w:val="24"/>
          <w:szCs w:val="24"/>
        </w:rPr>
      </w:pPr>
      <w:r>
        <w:rPr>
          <w:sz w:val="24"/>
          <w:szCs w:val="24"/>
        </w:rPr>
        <w:t xml:space="preserve">Voriconazol udviser bredspektret antimykotisk aktivitet </w:t>
      </w:r>
      <w:r>
        <w:rPr>
          <w:i/>
          <w:sz w:val="24"/>
          <w:szCs w:val="24"/>
        </w:rPr>
        <w:t xml:space="preserve">in vitro </w:t>
      </w:r>
      <w:r>
        <w:rPr>
          <w:sz w:val="24"/>
          <w:szCs w:val="24"/>
        </w:rPr>
        <w:t xml:space="preserve">med antimykotisk styrke over for </w:t>
      </w:r>
      <w:r>
        <w:rPr>
          <w:i/>
          <w:sz w:val="24"/>
          <w:szCs w:val="24"/>
        </w:rPr>
        <w:t>Candida-</w:t>
      </w:r>
      <w:r>
        <w:rPr>
          <w:sz w:val="24"/>
          <w:szCs w:val="24"/>
        </w:rPr>
        <w:t xml:space="preserve">arter (herunder fluconazolresistent </w:t>
      </w:r>
      <w:r>
        <w:rPr>
          <w:i/>
          <w:sz w:val="24"/>
          <w:szCs w:val="24"/>
        </w:rPr>
        <w:t xml:space="preserve">C. krusei </w:t>
      </w:r>
      <w:r>
        <w:rPr>
          <w:sz w:val="24"/>
          <w:szCs w:val="24"/>
        </w:rPr>
        <w:t xml:space="preserve">og resistente stammer af </w:t>
      </w:r>
      <w:r>
        <w:rPr>
          <w:i/>
          <w:sz w:val="24"/>
          <w:szCs w:val="24"/>
        </w:rPr>
        <w:t xml:space="preserve">C. glabrata </w:t>
      </w:r>
      <w:r>
        <w:rPr>
          <w:sz w:val="24"/>
          <w:szCs w:val="24"/>
        </w:rPr>
        <w:t xml:space="preserve">og </w:t>
      </w:r>
      <w:r>
        <w:rPr>
          <w:i/>
          <w:sz w:val="24"/>
          <w:szCs w:val="24"/>
        </w:rPr>
        <w:t xml:space="preserve">C. albicans) </w:t>
      </w:r>
      <w:r>
        <w:rPr>
          <w:sz w:val="24"/>
          <w:szCs w:val="24"/>
        </w:rPr>
        <w:t xml:space="preserve">og fungicid aktivitet over for alle undersøgte </w:t>
      </w:r>
      <w:r>
        <w:rPr>
          <w:i/>
          <w:sz w:val="24"/>
          <w:szCs w:val="24"/>
        </w:rPr>
        <w:t>Aspergillus-</w:t>
      </w:r>
      <w:r>
        <w:rPr>
          <w:sz w:val="24"/>
          <w:szCs w:val="24"/>
        </w:rPr>
        <w:t xml:space="preserve">arter. Derudover viser voriconazol fungicid aktivitet </w:t>
      </w:r>
      <w:r>
        <w:rPr>
          <w:i/>
          <w:sz w:val="24"/>
          <w:szCs w:val="24"/>
        </w:rPr>
        <w:t xml:space="preserve">in vitro </w:t>
      </w:r>
      <w:r>
        <w:rPr>
          <w:sz w:val="24"/>
          <w:szCs w:val="24"/>
        </w:rPr>
        <w:t xml:space="preserve">over for fremkommende svampepatogener, herunder </w:t>
      </w:r>
      <w:r>
        <w:rPr>
          <w:i/>
          <w:sz w:val="24"/>
          <w:szCs w:val="24"/>
        </w:rPr>
        <w:t xml:space="preserve">Scedosporium </w:t>
      </w:r>
      <w:r>
        <w:rPr>
          <w:sz w:val="24"/>
          <w:szCs w:val="24"/>
        </w:rPr>
        <w:t xml:space="preserve">eller </w:t>
      </w:r>
      <w:r>
        <w:rPr>
          <w:i/>
          <w:sz w:val="24"/>
          <w:szCs w:val="24"/>
        </w:rPr>
        <w:t xml:space="preserve">Fusarium, </w:t>
      </w:r>
      <w:r>
        <w:rPr>
          <w:sz w:val="24"/>
          <w:szCs w:val="24"/>
        </w:rPr>
        <w:t xml:space="preserve">som har begrænset følsomhed over for eksisterende svampemidler. </w:t>
      </w:r>
    </w:p>
    <w:p w:rsidR="00EE0DC7" w:rsidRDefault="00EE0DC7" w:rsidP="00EE0DC7">
      <w:pPr>
        <w:ind w:left="851"/>
        <w:rPr>
          <w:sz w:val="24"/>
          <w:szCs w:val="24"/>
        </w:rPr>
      </w:pPr>
    </w:p>
    <w:p w:rsidR="00EE0DC7" w:rsidRDefault="00EE0DC7" w:rsidP="00EE0DC7">
      <w:pPr>
        <w:ind w:left="851"/>
        <w:rPr>
          <w:sz w:val="24"/>
          <w:szCs w:val="24"/>
        </w:rPr>
      </w:pPr>
      <w:r>
        <w:rPr>
          <w:sz w:val="24"/>
          <w:szCs w:val="24"/>
        </w:rPr>
        <w:t xml:space="preserve">Der er påvist klinisk virkning (defineret som delvist eller fuldstændigt respons) over for </w:t>
      </w:r>
      <w:r>
        <w:rPr>
          <w:i/>
          <w:sz w:val="24"/>
          <w:szCs w:val="24"/>
        </w:rPr>
        <w:t xml:space="preserve">Aspergillus </w:t>
      </w:r>
      <w:r>
        <w:rPr>
          <w:sz w:val="24"/>
          <w:szCs w:val="24"/>
        </w:rPr>
        <w:t xml:space="preserve">spp. herunder </w:t>
      </w:r>
      <w:r>
        <w:rPr>
          <w:i/>
          <w:sz w:val="24"/>
          <w:szCs w:val="24"/>
        </w:rPr>
        <w:t xml:space="preserve">A. flavus, A. fumigatus, A. terreus, A. niger, A. nidulans, Candida </w:t>
      </w:r>
      <w:r>
        <w:rPr>
          <w:sz w:val="24"/>
          <w:szCs w:val="24"/>
        </w:rPr>
        <w:t>spp.</w:t>
      </w:r>
      <w:r>
        <w:rPr>
          <w:i/>
          <w:sz w:val="24"/>
          <w:szCs w:val="24"/>
        </w:rPr>
        <w:t xml:space="preserve">, </w:t>
      </w:r>
      <w:r>
        <w:rPr>
          <w:sz w:val="24"/>
          <w:szCs w:val="24"/>
        </w:rPr>
        <w:t xml:space="preserve">herunder </w:t>
      </w:r>
      <w:r>
        <w:rPr>
          <w:i/>
          <w:sz w:val="24"/>
          <w:szCs w:val="24"/>
        </w:rPr>
        <w:t xml:space="preserve">C. albicans C. glabrata, C. krusei, C. parapsilosis, C. tropicalis </w:t>
      </w:r>
      <w:r>
        <w:rPr>
          <w:sz w:val="24"/>
          <w:szCs w:val="24"/>
        </w:rPr>
        <w:t xml:space="preserve">samt et begrænset antal af </w:t>
      </w:r>
      <w:r>
        <w:rPr>
          <w:i/>
          <w:sz w:val="24"/>
          <w:szCs w:val="24"/>
        </w:rPr>
        <w:t xml:space="preserve">C. dubliniensis, C. inconspicua </w:t>
      </w:r>
      <w:r>
        <w:rPr>
          <w:sz w:val="24"/>
          <w:szCs w:val="24"/>
        </w:rPr>
        <w:t xml:space="preserve">og </w:t>
      </w:r>
      <w:r>
        <w:rPr>
          <w:i/>
          <w:sz w:val="24"/>
          <w:szCs w:val="24"/>
        </w:rPr>
        <w:t xml:space="preserve">C. guilliermondii, Scedosporium </w:t>
      </w:r>
      <w:r>
        <w:rPr>
          <w:sz w:val="24"/>
          <w:szCs w:val="24"/>
        </w:rPr>
        <w:t xml:space="preserve">spp., herunder </w:t>
      </w:r>
      <w:r>
        <w:rPr>
          <w:i/>
          <w:sz w:val="24"/>
          <w:szCs w:val="24"/>
        </w:rPr>
        <w:t xml:space="preserve">S. apiospermum, S. prolificans </w:t>
      </w:r>
      <w:r>
        <w:rPr>
          <w:sz w:val="24"/>
          <w:szCs w:val="24"/>
        </w:rPr>
        <w:t xml:space="preserve">og </w:t>
      </w:r>
      <w:r>
        <w:rPr>
          <w:i/>
          <w:sz w:val="24"/>
          <w:szCs w:val="24"/>
        </w:rPr>
        <w:t xml:space="preserve">Fusarium </w:t>
      </w:r>
      <w:r>
        <w:rPr>
          <w:sz w:val="24"/>
          <w:szCs w:val="24"/>
        </w:rPr>
        <w:t>spp.</w:t>
      </w:r>
    </w:p>
    <w:p w:rsidR="00EE0DC7" w:rsidRDefault="00EE0DC7" w:rsidP="00EE0DC7">
      <w:pPr>
        <w:ind w:left="851"/>
        <w:rPr>
          <w:sz w:val="24"/>
          <w:szCs w:val="24"/>
        </w:rPr>
      </w:pPr>
    </w:p>
    <w:p w:rsidR="00EE0DC7" w:rsidRDefault="00EE0DC7" w:rsidP="00EE0DC7">
      <w:pPr>
        <w:ind w:left="851"/>
        <w:rPr>
          <w:sz w:val="24"/>
          <w:szCs w:val="24"/>
        </w:rPr>
      </w:pPr>
      <w:r>
        <w:rPr>
          <w:sz w:val="24"/>
          <w:szCs w:val="24"/>
        </w:rPr>
        <w:lastRenderedPageBreak/>
        <w:t xml:space="preserve">Andre behandlede svampeinfektioner (ofte med enten delvist eller fuldstændigt respons) omfatter isolerede tilfælde af </w:t>
      </w:r>
      <w:r>
        <w:rPr>
          <w:i/>
          <w:sz w:val="24"/>
          <w:szCs w:val="24"/>
        </w:rPr>
        <w:t xml:space="preserve">Alternaria </w:t>
      </w:r>
      <w:r>
        <w:rPr>
          <w:sz w:val="24"/>
          <w:szCs w:val="24"/>
        </w:rPr>
        <w:t xml:space="preserve">spp., </w:t>
      </w:r>
      <w:r>
        <w:rPr>
          <w:i/>
          <w:sz w:val="24"/>
          <w:szCs w:val="24"/>
        </w:rPr>
        <w:t xml:space="preserve">Blastomyces dermatitidis, Blastoschizomyces capitatus, Cladosporium </w:t>
      </w:r>
      <w:r>
        <w:rPr>
          <w:sz w:val="24"/>
          <w:szCs w:val="24"/>
        </w:rPr>
        <w:t>spp</w:t>
      </w:r>
      <w:r>
        <w:rPr>
          <w:i/>
          <w:sz w:val="24"/>
          <w:szCs w:val="24"/>
        </w:rPr>
        <w:t xml:space="preserve">., Coccidioides immitis, Conidiobolus coronatus, Cryptococcus neoformans, Exserholium rostratum, Exophiala spinifera, Fonsecaea pedrosoi, Madurella mycetomatis, Paecilomyces lilacinus, Penicillium spp., </w:t>
      </w:r>
      <w:r>
        <w:rPr>
          <w:sz w:val="24"/>
          <w:szCs w:val="24"/>
        </w:rPr>
        <w:t xml:space="preserve">herunder </w:t>
      </w:r>
      <w:r>
        <w:rPr>
          <w:i/>
          <w:sz w:val="24"/>
          <w:szCs w:val="24"/>
        </w:rPr>
        <w:t xml:space="preserve">P. marneffei, Phialophora richardsiae, Scopulariopsis brevicaulis </w:t>
      </w:r>
      <w:r>
        <w:rPr>
          <w:sz w:val="24"/>
          <w:szCs w:val="24"/>
        </w:rPr>
        <w:t xml:space="preserve">og </w:t>
      </w:r>
      <w:r>
        <w:rPr>
          <w:i/>
          <w:sz w:val="24"/>
          <w:szCs w:val="24"/>
        </w:rPr>
        <w:t xml:space="preserve">Trichosporon </w:t>
      </w:r>
      <w:r>
        <w:rPr>
          <w:sz w:val="24"/>
          <w:szCs w:val="24"/>
        </w:rPr>
        <w:t xml:space="preserve">spp., herunder </w:t>
      </w:r>
      <w:r>
        <w:rPr>
          <w:i/>
          <w:sz w:val="24"/>
          <w:szCs w:val="24"/>
        </w:rPr>
        <w:t>T. beigelii-</w:t>
      </w:r>
      <w:r>
        <w:rPr>
          <w:sz w:val="24"/>
          <w:szCs w:val="24"/>
        </w:rPr>
        <w:t>infektioner.</w:t>
      </w:r>
    </w:p>
    <w:p w:rsidR="00EE0DC7" w:rsidRDefault="00EE0DC7" w:rsidP="00EE0DC7">
      <w:pPr>
        <w:ind w:left="851"/>
        <w:rPr>
          <w:sz w:val="24"/>
          <w:szCs w:val="24"/>
        </w:rPr>
      </w:pPr>
    </w:p>
    <w:p w:rsidR="00EE0DC7" w:rsidRDefault="00EE0DC7" w:rsidP="00EE0DC7">
      <w:pPr>
        <w:ind w:left="851"/>
        <w:rPr>
          <w:sz w:val="24"/>
          <w:szCs w:val="24"/>
        </w:rPr>
      </w:pPr>
      <w:r>
        <w:rPr>
          <w:i/>
          <w:sz w:val="24"/>
          <w:szCs w:val="24"/>
        </w:rPr>
        <w:t>In vitro-</w:t>
      </w:r>
      <w:r>
        <w:rPr>
          <w:sz w:val="24"/>
          <w:szCs w:val="24"/>
        </w:rPr>
        <w:t xml:space="preserve">aktivitet over for kliniske isolater er set over for </w:t>
      </w:r>
      <w:r>
        <w:rPr>
          <w:i/>
          <w:sz w:val="24"/>
          <w:szCs w:val="24"/>
        </w:rPr>
        <w:t xml:space="preserve">Acremonium </w:t>
      </w:r>
      <w:r>
        <w:rPr>
          <w:sz w:val="24"/>
          <w:szCs w:val="24"/>
        </w:rPr>
        <w:t xml:space="preserve">spp., </w:t>
      </w:r>
      <w:r>
        <w:rPr>
          <w:i/>
          <w:sz w:val="24"/>
          <w:szCs w:val="24"/>
        </w:rPr>
        <w:t xml:space="preserve">Alternaria </w:t>
      </w:r>
      <w:r>
        <w:rPr>
          <w:sz w:val="24"/>
          <w:szCs w:val="24"/>
        </w:rPr>
        <w:t xml:space="preserve">spp., </w:t>
      </w:r>
      <w:r>
        <w:rPr>
          <w:i/>
          <w:sz w:val="24"/>
          <w:szCs w:val="24"/>
        </w:rPr>
        <w:t xml:space="preserve">Bipolaris </w:t>
      </w:r>
      <w:r>
        <w:rPr>
          <w:sz w:val="24"/>
          <w:szCs w:val="24"/>
        </w:rPr>
        <w:t>spp</w:t>
      </w:r>
      <w:r>
        <w:rPr>
          <w:i/>
          <w:sz w:val="24"/>
          <w:szCs w:val="24"/>
        </w:rPr>
        <w:t>.</w:t>
      </w:r>
      <w:r>
        <w:rPr>
          <w:sz w:val="24"/>
          <w:szCs w:val="24"/>
        </w:rPr>
        <w:t xml:space="preserve">, </w:t>
      </w:r>
      <w:r>
        <w:rPr>
          <w:i/>
          <w:sz w:val="24"/>
          <w:szCs w:val="24"/>
        </w:rPr>
        <w:t xml:space="preserve">Cladophialophora </w:t>
      </w:r>
      <w:r>
        <w:rPr>
          <w:sz w:val="24"/>
          <w:szCs w:val="24"/>
        </w:rPr>
        <w:t xml:space="preserve">spp. og </w:t>
      </w:r>
      <w:r>
        <w:rPr>
          <w:i/>
          <w:sz w:val="24"/>
          <w:szCs w:val="24"/>
        </w:rPr>
        <w:t>Histoplasma capsulatum</w:t>
      </w:r>
      <w:r>
        <w:rPr>
          <w:sz w:val="24"/>
          <w:szCs w:val="24"/>
        </w:rPr>
        <w:t>, hvor de fleste stammer bliver hæmmet af voriconazolkoncentrationer i området fra 0,05 til 2 μg/ml.</w:t>
      </w:r>
    </w:p>
    <w:p w:rsidR="00EE0DC7" w:rsidRDefault="00EE0DC7" w:rsidP="00EE0DC7">
      <w:pPr>
        <w:ind w:left="851"/>
        <w:rPr>
          <w:sz w:val="24"/>
          <w:szCs w:val="24"/>
        </w:rPr>
      </w:pPr>
    </w:p>
    <w:p w:rsidR="00EE0DC7" w:rsidRDefault="00EE0DC7" w:rsidP="00EE0DC7">
      <w:pPr>
        <w:ind w:left="851"/>
        <w:rPr>
          <w:sz w:val="24"/>
          <w:szCs w:val="24"/>
        </w:rPr>
      </w:pPr>
      <w:r>
        <w:rPr>
          <w:sz w:val="24"/>
          <w:szCs w:val="24"/>
        </w:rPr>
        <w:t xml:space="preserve">Der er påvist </w:t>
      </w:r>
      <w:r>
        <w:rPr>
          <w:i/>
          <w:sz w:val="24"/>
          <w:szCs w:val="24"/>
        </w:rPr>
        <w:t>in vitro-</w:t>
      </w:r>
      <w:r>
        <w:rPr>
          <w:sz w:val="24"/>
          <w:szCs w:val="24"/>
        </w:rPr>
        <w:t xml:space="preserve">aktivitet over for følgende patogener, men den kliniske betydning er ukendt: </w:t>
      </w:r>
      <w:r>
        <w:rPr>
          <w:i/>
          <w:iCs/>
          <w:sz w:val="24"/>
          <w:szCs w:val="24"/>
        </w:rPr>
        <w:t xml:space="preserve">Curvularia </w:t>
      </w:r>
      <w:r>
        <w:rPr>
          <w:sz w:val="24"/>
          <w:szCs w:val="24"/>
        </w:rPr>
        <w:t xml:space="preserve">spp. og </w:t>
      </w:r>
      <w:r>
        <w:rPr>
          <w:i/>
          <w:sz w:val="24"/>
          <w:szCs w:val="24"/>
        </w:rPr>
        <w:t>Sporothrix</w:t>
      </w:r>
      <w:r>
        <w:rPr>
          <w:sz w:val="24"/>
          <w:szCs w:val="24"/>
        </w:rPr>
        <w:t xml:space="preserve"> spp.</w:t>
      </w:r>
    </w:p>
    <w:p w:rsidR="00EE0DC7" w:rsidRDefault="00EE0DC7" w:rsidP="00EE0DC7">
      <w:pPr>
        <w:ind w:left="851"/>
        <w:rPr>
          <w:sz w:val="24"/>
          <w:szCs w:val="24"/>
        </w:rPr>
      </w:pPr>
    </w:p>
    <w:p w:rsidR="00EE0DC7" w:rsidRDefault="00EE0DC7" w:rsidP="00EE0DC7">
      <w:pPr>
        <w:ind w:left="851"/>
        <w:rPr>
          <w:sz w:val="24"/>
          <w:szCs w:val="24"/>
          <w:u w:val="single"/>
        </w:rPr>
      </w:pPr>
      <w:r>
        <w:rPr>
          <w:sz w:val="24"/>
          <w:szCs w:val="24"/>
          <w:u w:val="single"/>
        </w:rPr>
        <w:t>Grænseværdier</w:t>
      </w:r>
    </w:p>
    <w:p w:rsidR="00EE0DC7" w:rsidRDefault="00EE0DC7" w:rsidP="00EE0DC7">
      <w:pPr>
        <w:ind w:left="851"/>
        <w:rPr>
          <w:sz w:val="24"/>
          <w:szCs w:val="24"/>
        </w:rPr>
      </w:pPr>
      <w:r>
        <w:rPr>
          <w:sz w:val="24"/>
          <w:szCs w:val="24"/>
        </w:rPr>
        <w:t>Der bør indhentes prøver til svampekultur og andre relevante laboratorieprøver (serologi, histopatologi) før behandling for at isolere og identificere de kausative organismer. Behandling kan startes, før resultaterne af kulturbestemmelsen og andre laboratorieundersøgelser foreligger; imidlertid skal den antiinfektive behandling justeres i overensstemmelse med disse resultater, når de bliver tilgængelige.</w:t>
      </w:r>
    </w:p>
    <w:p w:rsidR="00EE0DC7" w:rsidRDefault="00EE0DC7" w:rsidP="00EE0DC7">
      <w:pPr>
        <w:ind w:left="851"/>
        <w:rPr>
          <w:sz w:val="24"/>
          <w:szCs w:val="24"/>
        </w:rPr>
      </w:pPr>
    </w:p>
    <w:p w:rsidR="00EE0DC7" w:rsidRDefault="00EE0DC7" w:rsidP="00EE0DC7">
      <w:pPr>
        <w:ind w:left="851"/>
        <w:rPr>
          <w:sz w:val="24"/>
          <w:szCs w:val="24"/>
        </w:rPr>
      </w:pPr>
      <w:r>
        <w:rPr>
          <w:sz w:val="24"/>
          <w:szCs w:val="24"/>
        </w:rPr>
        <w:t xml:space="preserve">De arter, der oftest forårsager infektioner hos mennesker, omfatter </w:t>
      </w:r>
      <w:r>
        <w:rPr>
          <w:i/>
          <w:sz w:val="24"/>
          <w:szCs w:val="24"/>
        </w:rPr>
        <w:t>C. albicans</w:t>
      </w:r>
      <w:r>
        <w:rPr>
          <w:sz w:val="24"/>
          <w:szCs w:val="24"/>
        </w:rPr>
        <w:t xml:space="preserve">, </w:t>
      </w:r>
      <w:r>
        <w:rPr>
          <w:i/>
          <w:sz w:val="24"/>
          <w:szCs w:val="24"/>
        </w:rPr>
        <w:t>C. parapsilosis</w:t>
      </w:r>
      <w:r>
        <w:rPr>
          <w:sz w:val="24"/>
          <w:szCs w:val="24"/>
        </w:rPr>
        <w:t xml:space="preserve">, </w:t>
      </w:r>
      <w:r>
        <w:rPr>
          <w:i/>
          <w:sz w:val="24"/>
          <w:szCs w:val="24"/>
        </w:rPr>
        <w:t>C. tropicalis</w:t>
      </w:r>
      <w:r>
        <w:rPr>
          <w:sz w:val="24"/>
          <w:szCs w:val="24"/>
        </w:rPr>
        <w:t xml:space="preserve">, </w:t>
      </w:r>
      <w:r>
        <w:rPr>
          <w:i/>
          <w:sz w:val="24"/>
          <w:szCs w:val="24"/>
        </w:rPr>
        <w:t xml:space="preserve">C. glabrata </w:t>
      </w:r>
      <w:r>
        <w:rPr>
          <w:sz w:val="24"/>
          <w:szCs w:val="24"/>
        </w:rPr>
        <w:t xml:space="preserve">og </w:t>
      </w:r>
      <w:r>
        <w:rPr>
          <w:i/>
          <w:sz w:val="24"/>
          <w:szCs w:val="24"/>
        </w:rPr>
        <w:t>C. krusei</w:t>
      </w:r>
      <w:r>
        <w:rPr>
          <w:sz w:val="24"/>
          <w:szCs w:val="24"/>
        </w:rPr>
        <w:t>, der alle typisk hæmmes ved MIC-værdier (minimal inhibitory concentration) under 1 mg/l voriconazol.</w:t>
      </w:r>
    </w:p>
    <w:p w:rsidR="00EE0DC7" w:rsidRDefault="00EE0DC7" w:rsidP="00EE0DC7">
      <w:pPr>
        <w:ind w:left="851"/>
        <w:rPr>
          <w:sz w:val="24"/>
          <w:szCs w:val="24"/>
        </w:rPr>
      </w:pPr>
    </w:p>
    <w:p w:rsidR="008F70D2" w:rsidRDefault="008F70D2" w:rsidP="008F70D2">
      <w:pPr>
        <w:ind w:left="851"/>
        <w:rPr>
          <w:sz w:val="24"/>
          <w:szCs w:val="24"/>
        </w:rPr>
      </w:pPr>
      <w:r>
        <w:rPr>
          <w:i/>
          <w:sz w:val="24"/>
          <w:szCs w:val="24"/>
        </w:rPr>
        <w:t>In vitro-</w:t>
      </w:r>
      <w:r>
        <w:rPr>
          <w:sz w:val="24"/>
          <w:szCs w:val="24"/>
        </w:rPr>
        <w:t xml:space="preserve">aktiviteten af voriconazol over for </w:t>
      </w:r>
      <w:r>
        <w:rPr>
          <w:i/>
          <w:sz w:val="24"/>
          <w:szCs w:val="24"/>
        </w:rPr>
        <w:t>Candida</w:t>
      </w:r>
      <w:r>
        <w:rPr>
          <w:sz w:val="24"/>
          <w:szCs w:val="24"/>
        </w:rPr>
        <w:t xml:space="preserve">-arter er dog ikke ensartet. For fluconazol-resistente isolater af </w:t>
      </w:r>
      <w:r>
        <w:rPr>
          <w:i/>
          <w:sz w:val="24"/>
          <w:szCs w:val="24"/>
        </w:rPr>
        <w:t xml:space="preserve">C. glabrata </w:t>
      </w:r>
      <w:r>
        <w:rPr>
          <w:sz w:val="24"/>
          <w:szCs w:val="24"/>
        </w:rPr>
        <w:t xml:space="preserve">gælder specifikt, at MIC-værdierne af voriconazol er proportionelt højere end ved fluconazol-følsomme isolater. Alle forsøg på at identificere </w:t>
      </w:r>
      <w:r>
        <w:rPr>
          <w:i/>
          <w:sz w:val="24"/>
          <w:szCs w:val="24"/>
        </w:rPr>
        <w:t xml:space="preserve">Candida </w:t>
      </w:r>
      <w:r>
        <w:rPr>
          <w:sz w:val="24"/>
          <w:szCs w:val="24"/>
        </w:rPr>
        <w:t xml:space="preserve">på artsniveau skal derfor gøres. Hvis der foreligger en antimykotisk følsomhedstest, kan MIC-værdierne tolkes ved at anvende de grænseværdikriterier, der er fastlagt af </w:t>
      </w:r>
      <w:r>
        <w:rPr>
          <w:iCs/>
          <w:sz w:val="24"/>
          <w:szCs w:val="24"/>
        </w:rPr>
        <w:t>European Committee on Antimicrobial Susceptibility Testing</w:t>
      </w:r>
      <w:r>
        <w:rPr>
          <w:i/>
          <w:sz w:val="24"/>
          <w:szCs w:val="24"/>
        </w:rPr>
        <w:t xml:space="preserve"> </w:t>
      </w:r>
      <w:r>
        <w:rPr>
          <w:sz w:val="24"/>
          <w:szCs w:val="24"/>
        </w:rPr>
        <w:t>(EUCAST).</w:t>
      </w:r>
    </w:p>
    <w:p w:rsidR="008F70D2" w:rsidRDefault="008F70D2" w:rsidP="008F70D2">
      <w:pPr>
        <w:ind w:left="851"/>
        <w:rPr>
          <w:sz w:val="24"/>
          <w:szCs w:val="24"/>
          <w:u w:val="single"/>
        </w:rPr>
      </w:pPr>
      <w:r>
        <w:rPr>
          <w:sz w:val="24"/>
          <w:szCs w:val="24"/>
          <w:u w:val="single"/>
        </w:rPr>
        <w:br/>
      </w:r>
      <w:r w:rsidRPr="007C61BD">
        <w:rPr>
          <w:sz w:val="24"/>
          <w:szCs w:val="24"/>
          <w:u w:val="single"/>
        </w:rPr>
        <w:t>EUCAST-grænseværdier</w:t>
      </w:r>
    </w:p>
    <w:p w:rsidR="008F70D2" w:rsidRDefault="008F70D2" w:rsidP="008F70D2">
      <w:pPr>
        <w:ind w:left="851"/>
        <w:rPr>
          <w:sz w:val="24"/>
          <w:szCs w:val="24"/>
          <w:u w:val="single"/>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2549"/>
        <w:gridCol w:w="2553"/>
      </w:tblGrid>
      <w:tr w:rsidR="008F70D2" w:rsidRPr="007C61BD" w:rsidTr="008F70D2">
        <w:tc>
          <w:tcPr>
            <w:tcW w:w="2428" w:type="pct"/>
            <w:vMerge w:val="restart"/>
            <w:tcBorders>
              <w:top w:val="single" w:sz="4" w:space="0" w:color="auto"/>
              <w:left w:val="single" w:sz="4" w:space="0" w:color="auto"/>
              <w:right w:val="single" w:sz="4" w:space="0" w:color="auto"/>
            </w:tcBorders>
            <w:hideMark/>
          </w:tcPr>
          <w:p w:rsidR="008F70D2" w:rsidRPr="007C61BD" w:rsidRDefault="008F70D2" w:rsidP="008F70D2">
            <w:pPr>
              <w:rPr>
                <w:sz w:val="24"/>
                <w:szCs w:val="24"/>
              </w:rPr>
            </w:pPr>
            <w:r w:rsidRPr="00FE59A0">
              <w:rPr>
                <w:b/>
                <w:iCs/>
                <w:sz w:val="24"/>
                <w:szCs w:val="24"/>
              </w:rPr>
              <w:t>Candida-</w:t>
            </w:r>
            <w:r>
              <w:rPr>
                <w:b/>
                <w:sz w:val="24"/>
                <w:szCs w:val="24"/>
              </w:rPr>
              <w:t xml:space="preserve"> og Aspergillus-</w:t>
            </w:r>
            <w:r w:rsidRPr="007C61BD">
              <w:rPr>
                <w:b/>
                <w:sz w:val="24"/>
                <w:szCs w:val="24"/>
              </w:rPr>
              <w:t>arter</w:t>
            </w:r>
          </w:p>
        </w:tc>
        <w:tc>
          <w:tcPr>
            <w:tcW w:w="2572" w:type="pct"/>
            <w:gridSpan w:val="2"/>
            <w:tcBorders>
              <w:top w:val="single" w:sz="4" w:space="0" w:color="auto"/>
              <w:left w:val="single" w:sz="4" w:space="0" w:color="auto"/>
              <w:bottom w:val="single" w:sz="4" w:space="0" w:color="auto"/>
              <w:right w:val="single" w:sz="4" w:space="0" w:color="auto"/>
            </w:tcBorders>
            <w:vAlign w:val="center"/>
            <w:hideMark/>
          </w:tcPr>
          <w:p w:rsidR="008F70D2" w:rsidRPr="007C61BD" w:rsidRDefault="008F70D2" w:rsidP="008F70D2">
            <w:pPr>
              <w:jc w:val="center"/>
              <w:rPr>
                <w:sz w:val="24"/>
                <w:szCs w:val="24"/>
              </w:rPr>
            </w:pPr>
            <w:r w:rsidRPr="007C61BD">
              <w:rPr>
                <w:b/>
                <w:sz w:val="24"/>
                <w:szCs w:val="24"/>
              </w:rPr>
              <w:t>MIC-grænseværdi (mg/l)</w:t>
            </w:r>
          </w:p>
        </w:tc>
      </w:tr>
      <w:tr w:rsidR="008F70D2" w:rsidRPr="007C61BD" w:rsidTr="008F70D2">
        <w:tc>
          <w:tcPr>
            <w:tcW w:w="2428" w:type="pct"/>
            <w:vMerge/>
            <w:tcBorders>
              <w:left w:val="single" w:sz="4" w:space="0" w:color="auto"/>
              <w:bottom w:val="single" w:sz="4" w:space="0" w:color="auto"/>
              <w:right w:val="single" w:sz="4" w:space="0" w:color="auto"/>
            </w:tcBorders>
          </w:tcPr>
          <w:p w:rsidR="008F70D2" w:rsidRPr="007C61BD" w:rsidRDefault="008F70D2" w:rsidP="008F70D2">
            <w:pPr>
              <w:rPr>
                <w:sz w:val="24"/>
                <w:szCs w:val="24"/>
              </w:rPr>
            </w:pPr>
          </w:p>
        </w:tc>
        <w:tc>
          <w:tcPr>
            <w:tcW w:w="1285" w:type="pct"/>
            <w:tcBorders>
              <w:top w:val="single" w:sz="4" w:space="0" w:color="auto"/>
              <w:left w:val="single" w:sz="4" w:space="0" w:color="auto"/>
              <w:bottom w:val="single" w:sz="4" w:space="0" w:color="auto"/>
              <w:right w:val="single" w:sz="4" w:space="0" w:color="auto"/>
            </w:tcBorders>
            <w:vAlign w:val="center"/>
            <w:hideMark/>
          </w:tcPr>
          <w:p w:rsidR="008F70D2" w:rsidRPr="007C61BD" w:rsidRDefault="008F70D2" w:rsidP="008F70D2">
            <w:pPr>
              <w:jc w:val="center"/>
              <w:rPr>
                <w:sz w:val="24"/>
                <w:szCs w:val="24"/>
              </w:rPr>
            </w:pPr>
            <w:r w:rsidRPr="007C61BD">
              <w:rPr>
                <w:b/>
                <w:sz w:val="24"/>
                <w:szCs w:val="24"/>
              </w:rPr>
              <w:t>≤ S (følsom)</w:t>
            </w:r>
          </w:p>
        </w:tc>
        <w:tc>
          <w:tcPr>
            <w:tcW w:w="1287" w:type="pct"/>
            <w:tcBorders>
              <w:top w:val="single" w:sz="4" w:space="0" w:color="auto"/>
              <w:left w:val="single" w:sz="4" w:space="0" w:color="auto"/>
              <w:bottom w:val="single" w:sz="4" w:space="0" w:color="auto"/>
              <w:right w:val="single" w:sz="4" w:space="0" w:color="auto"/>
            </w:tcBorders>
            <w:vAlign w:val="center"/>
            <w:hideMark/>
          </w:tcPr>
          <w:p w:rsidR="008F70D2" w:rsidRPr="007C61BD" w:rsidRDefault="008F70D2" w:rsidP="008F70D2">
            <w:pPr>
              <w:jc w:val="center"/>
              <w:rPr>
                <w:sz w:val="24"/>
                <w:szCs w:val="24"/>
              </w:rPr>
            </w:pPr>
            <w:r w:rsidRPr="007C61BD">
              <w:rPr>
                <w:b/>
                <w:sz w:val="24"/>
                <w:szCs w:val="24"/>
              </w:rPr>
              <w:t>&gt; R (resistent)</w:t>
            </w:r>
          </w:p>
        </w:tc>
      </w:tr>
      <w:tr w:rsidR="008F70D2" w:rsidRPr="007C61BD" w:rsidTr="008F70D2">
        <w:tc>
          <w:tcPr>
            <w:tcW w:w="2428" w:type="pct"/>
            <w:tcBorders>
              <w:top w:val="single" w:sz="4" w:space="0" w:color="auto"/>
              <w:left w:val="single" w:sz="4" w:space="0" w:color="auto"/>
              <w:bottom w:val="single" w:sz="4" w:space="0" w:color="auto"/>
              <w:right w:val="single" w:sz="4" w:space="0" w:color="auto"/>
            </w:tcBorders>
            <w:hideMark/>
          </w:tcPr>
          <w:p w:rsidR="008F70D2" w:rsidRPr="007C61BD" w:rsidRDefault="008F70D2" w:rsidP="008F70D2">
            <w:pPr>
              <w:rPr>
                <w:sz w:val="24"/>
                <w:szCs w:val="24"/>
              </w:rPr>
            </w:pPr>
            <w:r w:rsidRPr="007C61BD">
              <w:rPr>
                <w:i/>
                <w:sz w:val="24"/>
                <w:szCs w:val="24"/>
              </w:rPr>
              <w:t>Candida albicans</w:t>
            </w:r>
            <w:r w:rsidRPr="007C61BD">
              <w:rPr>
                <w:i/>
                <w:sz w:val="24"/>
                <w:szCs w:val="24"/>
                <w:vertAlign w:val="superscript"/>
              </w:rPr>
              <w:t>1</w:t>
            </w:r>
          </w:p>
        </w:tc>
        <w:tc>
          <w:tcPr>
            <w:tcW w:w="1285" w:type="pct"/>
            <w:tcBorders>
              <w:top w:val="single" w:sz="4" w:space="0" w:color="auto"/>
              <w:left w:val="single" w:sz="4" w:space="0" w:color="auto"/>
              <w:bottom w:val="single" w:sz="4" w:space="0" w:color="auto"/>
              <w:right w:val="single" w:sz="4" w:space="0" w:color="auto"/>
            </w:tcBorders>
            <w:vAlign w:val="center"/>
            <w:hideMark/>
          </w:tcPr>
          <w:p w:rsidR="008F70D2" w:rsidRPr="007C61BD" w:rsidRDefault="008F70D2" w:rsidP="008F70D2">
            <w:pPr>
              <w:jc w:val="center"/>
              <w:rPr>
                <w:sz w:val="24"/>
                <w:szCs w:val="24"/>
              </w:rPr>
            </w:pPr>
            <w:r w:rsidRPr="007C61BD">
              <w:rPr>
                <w:sz w:val="24"/>
                <w:szCs w:val="24"/>
              </w:rPr>
              <w:t>0,</w:t>
            </w:r>
            <w:r>
              <w:rPr>
                <w:sz w:val="24"/>
                <w:szCs w:val="24"/>
              </w:rPr>
              <w:t>06</w:t>
            </w:r>
          </w:p>
        </w:tc>
        <w:tc>
          <w:tcPr>
            <w:tcW w:w="1287" w:type="pct"/>
            <w:tcBorders>
              <w:top w:val="single" w:sz="4" w:space="0" w:color="auto"/>
              <w:left w:val="single" w:sz="4" w:space="0" w:color="auto"/>
              <w:bottom w:val="single" w:sz="4" w:space="0" w:color="auto"/>
              <w:right w:val="single" w:sz="4" w:space="0" w:color="auto"/>
            </w:tcBorders>
            <w:vAlign w:val="center"/>
            <w:hideMark/>
          </w:tcPr>
          <w:p w:rsidR="008F70D2" w:rsidRPr="007C61BD" w:rsidRDefault="008F70D2" w:rsidP="008F70D2">
            <w:pPr>
              <w:jc w:val="center"/>
              <w:rPr>
                <w:sz w:val="24"/>
                <w:szCs w:val="24"/>
              </w:rPr>
            </w:pPr>
            <w:r w:rsidRPr="007C61BD">
              <w:rPr>
                <w:sz w:val="24"/>
                <w:szCs w:val="24"/>
              </w:rPr>
              <w:t>0,25</w:t>
            </w:r>
          </w:p>
        </w:tc>
      </w:tr>
      <w:tr w:rsidR="008F70D2" w:rsidRPr="007C61BD" w:rsidTr="008F70D2">
        <w:tc>
          <w:tcPr>
            <w:tcW w:w="2428" w:type="pct"/>
            <w:tcBorders>
              <w:top w:val="single" w:sz="4" w:space="0" w:color="auto"/>
              <w:left w:val="single" w:sz="4" w:space="0" w:color="auto"/>
              <w:bottom w:val="single" w:sz="4" w:space="0" w:color="auto"/>
              <w:right w:val="single" w:sz="4" w:space="0" w:color="auto"/>
            </w:tcBorders>
          </w:tcPr>
          <w:p w:rsidR="008F70D2" w:rsidRPr="007C61BD" w:rsidRDefault="008F70D2" w:rsidP="008F70D2">
            <w:pPr>
              <w:rPr>
                <w:i/>
                <w:sz w:val="24"/>
                <w:szCs w:val="24"/>
              </w:rPr>
            </w:pPr>
            <w:r w:rsidRPr="007C61BD">
              <w:rPr>
                <w:i/>
                <w:sz w:val="24"/>
                <w:szCs w:val="24"/>
              </w:rPr>
              <w:t>Candida</w:t>
            </w:r>
            <w:r>
              <w:rPr>
                <w:i/>
                <w:sz w:val="24"/>
                <w:szCs w:val="24"/>
              </w:rPr>
              <w:t xml:space="preserve"> dubliniensis</w:t>
            </w:r>
            <w:r w:rsidRPr="007C61BD">
              <w:rPr>
                <w:i/>
                <w:iCs/>
                <w:sz w:val="24"/>
                <w:szCs w:val="24"/>
                <w:vertAlign w:val="superscript"/>
              </w:rPr>
              <w:t>1</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Pr="007C61BD" w:rsidRDefault="008F70D2" w:rsidP="008F70D2">
            <w:pPr>
              <w:jc w:val="center"/>
              <w:rPr>
                <w:sz w:val="24"/>
                <w:szCs w:val="24"/>
              </w:rPr>
            </w:pPr>
            <w:r>
              <w:rPr>
                <w:sz w:val="24"/>
                <w:szCs w:val="24"/>
              </w:rPr>
              <w:t>0,06</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Pr="007C61BD" w:rsidRDefault="008F70D2" w:rsidP="008F70D2">
            <w:pPr>
              <w:jc w:val="center"/>
              <w:rPr>
                <w:sz w:val="24"/>
                <w:szCs w:val="24"/>
              </w:rPr>
            </w:pPr>
            <w:r>
              <w:rPr>
                <w:sz w:val="24"/>
                <w:szCs w:val="24"/>
              </w:rPr>
              <w:t>0,25</w:t>
            </w:r>
          </w:p>
        </w:tc>
      </w:tr>
      <w:tr w:rsidR="008F70D2" w:rsidTr="008F70D2">
        <w:tc>
          <w:tcPr>
            <w:tcW w:w="2428" w:type="pct"/>
            <w:tcBorders>
              <w:top w:val="single" w:sz="4" w:space="0" w:color="auto"/>
              <w:left w:val="single" w:sz="4" w:space="0" w:color="auto"/>
              <w:bottom w:val="single" w:sz="4" w:space="0" w:color="auto"/>
              <w:right w:val="single" w:sz="4" w:space="0" w:color="auto"/>
            </w:tcBorders>
          </w:tcPr>
          <w:p w:rsidR="008F70D2" w:rsidRPr="007C61BD" w:rsidRDefault="008F70D2" w:rsidP="008F70D2">
            <w:pPr>
              <w:rPr>
                <w:i/>
                <w:sz w:val="24"/>
                <w:szCs w:val="24"/>
              </w:rPr>
            </w:pPr>
            <w:r>
              <w:rPr>
                <w:i/>
                <w:iCs/>
                <w:sz w:val="24"/>
                <w:szCs w:val="24"/>
              </w:rPr>
              <w:t>Candida glabrata</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p>
        </w:tc>
      </w:tr>
      <w:tr w:rsidR="008F70D2" w:rsidTr="008F70D2">
        <w:tc>
          <w:tcPr>
            <w:tcW w:w="2428" w:type="pct"/>
            <w:tcBorders>
              <w:top w:val="single" w:sz="4" w:space="0" w:color="auto"/>
              <w:left w:val="single" w:sz="4" w:space="0" w:color="auto"/>
              <w:bottom w:val="single" w:sz="4" w:space="0" w:color="auto"/>
              <w:right w:val="single" w:sz="4" w:space="0" w:color="auto"/>
            </w:tcBorders>
          </w:tcPr>
          <w:p w:rsidR="008F70D2" w:rsidRDefault="008F70D2" w:rsidP="008F70D2">
            <w:pPr>
              <w:rPr>
                <w:i/>
                <w:iCs/>
                <w:sz w:val="24"/>
                <w:szCs w:val="24"/>
              </w:rPr>
            </w:pPr>
            <w:r>
              <w:rPr>
                <w:i/>
                <w:iCs/>
                <w:sz w:val="24"/>
                <w:szCs w:val="24"/>
              </w:rPr>
              <w:t>Candida krusei</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p>
        </w:tc>
      </w:tr>
      <w:tr w:rsidR="008F70D2" w:rsidRPr="007C61BD" w:rsidTr="008F70D2">
        <w:tc>
          <w:tcPr>
            <w:tcW w:w="2428" w:type="pct"/>
            <w:tcBorders>
              <w:top w:val="single" w:sz="4" w:space="0" w:color="auto"/>
              <w:left w:val="single" w:sz="4" w:space="0" w:color="auto"/>
              <w:bottom w:val="single" w:sz="4" w:space="0" w:color="auto"/>
              <w:right w:val="single" w:sz="4" w:space="0" w:color="auto"/>
            </w:tcBorders>
            <w:hideMark/>
          </w:tcPr>
          <w:p w:rsidR="008F70D2" w:rsidRPr="007C61BD" w:rsidRDefault="008F70D2" w:rsidP="008F70D2">
            <w:pPr>
              <w:rPr>
                <w:sz w:val="24"/>
                <w:szCs w:val="24"/>
              </w:rPr>
            </w:pPr>
            <w:r w:rsidRPr="007C61BD">
              <w:rPr>
                <w:i/>
                <w:iCs/>
                <w:sz w:val="24"/>
                <w:szCs w:val="24"/>
              </w:rPr>
              <w:t>Candida parapsilosis</w:t>
            </w:r>
            <w:r w:rsidRPr="007C61BD">
              <w:rPr>
                <w:i/>
                <w:iCs/>
                <w:sz w:val="24"/>
                <w:szCs w:val="24"/>
                <w:vertAlign w:val="superscript"/>
              </w:rPr>
              <w:t>1</w:t>
            </w:r>
          </w:p>
        </w:tc>
        <w:tc>
          <w:tcPr>
            <w:tcW w:w="1285" w:type="pct"/>
            <w:tcBorders>
              <w:top w:val="single" w:sz="4" w:space="0" w:color="auto"/>
              <w:left w:val="single" w:sz="4" w:space="0" w:color="auto"/>
              <w:bottom w:val="single" w:sz="4" w:space="0" w:color="auto"/>
              <w:right w:val="single" w:sz="4" w:space="0" w:color="auto"/>
            </w:tcBorders>
            <w:vAlign w:val="center"/>
            <w:hideMark/>
          </w:tcPr>
          <w:p w:rsidR="008F70D2" w:rsidRPr="007C61BD" w:rsidRDefault="008F70D2" w:rsidP="008F70D2">
            <w:pPr>
              <w:jc w:val="center"/>
              <w:rPr>
                <w:sz w:val="24"/>
                <w:szCs w:val="24"/>
              </w:rPr>
            </w:pPr>
            <w:r w:rsidRPr="007C61BD">
              <w:rPr>
                <w:sz w:val="24"/>
                <w:szCs w:val="24"/>
              </w:rPr>
              <w:t>0,125</w:t>
            </w:r>
          </w:p>
        </w:tc>
        <w:tc>
          <w:tcPr>
            <w:tcW w:w="1287" w:type="pct"/>
            <w:tcBorders>
              <w:top w:val="single" w:sz="4" w:space="0" w:color="auto"/>
              <w:left w:val="single" w:sz="4" w:space="0" w:color="auto"/>
              <w:bottom w:val="single" w:sz="4" w:space="0" w:color="auto"/>
              <w:right w:val="single" w:sz="4" w:space="0" w:color="auto"/>
            </w:tcBorders>
            <w:vAlign w:val="center"/>
            <w:hideMark/>
          </w:tcPr>
          <w:p w:rsidR="008F70D2" w:rsidRPr="007C61BD" w:rsidRDefault="008F70D2" w:rsidP="008F70D2">
            <w:pPr>
              <w:jc w:val="center"/>
              <w:rPr>
                <w:sz w:val="24"/>
                <w:szCs w:val="24"/>
              </w:rPr>
            </w:pPr>
            <w:r w:rsidRPr="007C61BD">
              <w:rPr>
                <w:sz w:val="24"/>
                <w:szCs w:val="24"/>
              </w:rPr>
              <w:t>0,25</w:t>
            </w:r>
          </w:p>
        </w:tc>
      </w:tr>
      <w:tr w:rsidR="008F70D2" w:rsidRPr="007C61BD" w:rsidTr="008F70D2">
        <w:tc>
          <w:tcPr>
            <w:tcW w:w="2428" w:type="pct"/>
            <w:tcBorders>
              <w:top w:val="single" w:sz="4" w:space="0" w:color="auto"/>
              <w:left w:val="single" w:sz="4" w:space="0" w:color="auto"/>
              <w:bottom w:val="single" w:sz="4" w:space="0" w:color="auto"/>
              <w:right w:val="single" w:sz="4" w:space="0" w:color="auto"/>
            </w:tcBorders>
            <w:hideMark/>
          </w:tcPr>
          <w:p w:rsidR="008F70D2" w:rsidRPr="007C61BD" w:rsidRDefault="008F70D2" w:rsidP="008F70D2">
            <w:pPr>
              <w:rPr>
                <w:sz w:val="24"/>
                <w:szCs w:val="24"/>
              </w:rPr>
            </w:pPr>
            <w:r w:rsidRPr="007C61BD">
              <w:rPr>
                <w:i/>
                <w:iCs/>
                <w:sz w:val="24"/>
                <w:szCs w:val="24"/>
              </w:rPr>
              <w:t>Candida tropicalis</w:t>
            </w:r>
            <w:r w:rsidRPr="007C61BD">
              <w:rPr>
                <w:i/>
                <w:iCs/>
                <w:sz w:val="24"/>
                <w:szCs w:val="24"/>
                <w:vertAlign w:val="superscript"/>
              </w:rPr>
              <w:t>1</w:t>
            </w:r>
          </w:p>
        </w:tc>
        <w:tc>
          <w:tcPr>
            <w:tcW w:w="1285" w:type="pct"/>
            <w:tcBorders>
              <w:top w:val="single" w:sz="4" w:space="0" w:color="auto"/>
              <w:left w:val="single" w:sz="4" w:space="0" w:color="auto"/>
              <w:bottom w:val="single" w:sz="4" w:space="0" w:color="auto"/>
              <w:right w:val="single" w:sz="4" w:space="0" w:color="auto"/>
            </w:tcBorders>
            <w:vAlign w:val="center"/>
            <w:hideMark/>
          </w:tcPr>
          <w:p w:rsidR="008F70D2" w:rsidRPr="007C61BD" w:rsidRDefault="008F70D2" w:rsidP="008F70D2">
            <w:pPr>
              <w:jc w:val="center"/>
              <w:rPr>
                <w:sz w:val="24"/>
                <w:szCs w:val="24"/>
              </w:rPr>
            </w:pPr>
            <w:r w:rsidRPr="007C61BD">
              <w:rPr>
                <w:sz w:val="24"/>
                <w:szCs w:val="24"/>
              </w:rPr>
              <w:t>0,125</w:t>
            </w:r>
          </w:p>
        </w:tc>
        <w:tc>
          <w:tcPr>
            <w:tcW w:w="1287" w:type="pct"/>
            <w:tcBorders>
              <w:top w:val="single" w:sz="4" w:space="0" w:color="auto"/>
              <w:left w:val="single" w:sz="4" w:space="0" w:color="auto"/>
              <w:bottom w:val="single" w:sz="4" w:space="0" w:color="auto"/>
              <w:right w:val="single" w:sz="4" w:space="0" w:color="auto"/>
            </w:tcBorders>
            <w:vAlign w:val="center"/>
            <w:hideMark/>
          </w:tcPr>
          <w:p w:rsidR="008F70D2" w:rsidRPr="007C61BD" w:rsidRDefault="008F70D2" w:rsidP="008F70D2">
            <w:pPr>
              <w:jc w:val="center"/>
              <w:rPr>
                <w:sz w:val="24"/>
                <w:szCs w:val="24"/>
              </w:rPr>
            </w:pPr>
            <w:r w:rsidRPr="007C61BD">
              <w:rPr>
                <w:sz w:val="24"/>
                <w:szCs w:val="24"/>
              </w:rPr>
              <w:t>0,25</w:t>
            </w:r>
          </w:p>
        </w:tc>
      </w:tr>
      <w:tr w:rsidR="008F70D2" w:rsidRPr="007C61BD" w:rsidTr="008F70D2">
        <w:tc>
          <w:tcPr>
            <w:tcW w:w="2428" w:type="pct"/>
            <w:tcBorders>
              <w:top w:val="single" w:sz="4" w:space="0" w:color="auto"/>
              <w:left w:val="single" w:sz="4" w:space="0" w:color="auto"/>
              <w:bottom w:val="single" w:sz="4" w:space="0" w:color="auto"/>
              <w:right w:val="single" w:sz="4" w:space="0" w:color="auto"/>
            </w:tcBorders>
          </w:tcPr>
          <w:p w:rsidR="008F70D2" w:rsidRPr="007C61BD" w:rsidRDefault="008F70D2" w:rsidP="008F70D2">
            <w:pPr>
              <w:rPr>
                <w:i/>
                <w:iCs/>
                <w:sz w:val="24"/>
                <w:szCs w:val="24"/>
              </w:rPr>
            </w:pPr>
            <w:r w:rsidRPr="007C61BD">
              <w:rPr>
                <w:i/>
                <w:iCs/>
                <w:sz w:val="24"/>
                <w:szCs w:val="24"/>
              </w:rPr>
              <w:t>Candida</w:t>
            </w:r>
            <w:r>
              <w:rPr>
                <w:i/>
                <w:iCs/>
                <w:sz w:val="24"/>
                <w:szCs w:val="24"/>
              </w:rPr>
              <w:t xml:space="preserve"> guilliermondii</w:t>
            </w:r>
            <w:r w:rsidRPr="00FE59A0">
              <w:rPr>
                <w:i/>
                <w:iCs/>
                <w:sz w:val="24"/>
                <w:szCs w:val="24"/>
                <w:vertAlign w:val="superscript"/>
              </w:rPr>
              <w:t>2</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Pr="007C61BD" w:rsidRDefault="008F70D2" w:rsidP="008F70D2">
            <w:pPr>
              <w:jc w:val="center"/>
              <w:rPr>
                <w:sz w:val="24"/>
                <w:szCs w:val="24"/>
              </w:rPr>
            </w:pPr>
            <w:r>
              <w:rPr>
                <w:sz w:val="24"/>
                <w:szCs w:val="24"/>
              </w:rPr>
              <w:t>Utilstrækkelig evidens</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Pr="007C61BD" w:rsidRDefault="008F70D2" w:rsidP="008F70D2">
            <w:pPr>
              <w:jc w:val="center"/>
              <w:rPr>
                <w:sz w:val="24"/>
                <w:szCs w:val="24"/>
              </w:rPr>
            </w:pPr>
            <w:r>
              <w:rPr>
                <w:sz w:val="24"/>
                <w:szCs w:val="24"/>
              </w:rPr>
              <w:t>Utilstrækkelig evidens</w:t>
            </w:r>
          </w:p>
        </w:tc>
      </w:tr>
      <w:tr w:rsidR="008F70D2" w:rsidRPr="007C61BD" w:rsidTr="008F70D2">
        <w:tc>
          <w:tcPr>
            <w:tcW w:w="2428" w:type="pct"/>
            <w:tcBorders>
              <w:top w:val="single" w:sz="4" w:space="0" w:color="auto"/>
              <w:left w:val="single" w:sz="4" w:space="0" w:color="auto"/>
              <w:bottom w:val="single" w:sz="4" w:space="0" w:color="auto"/>
              <w:right w:val="single" w:sz="4" w:space="0" w:color="auto"/>
            </w:tcBorders>
          </w:tcPr>
          <w:p w:rsidR="008F70D2" w:rsidRPr="00FE59A0" w:rsidRDefault="008F70D2" w:rsidP="008F70D2">
            <w:pPr>
              <w:rPr>
                <w:sz w:val="24"/>
                <w:szCs w:val="24"/>
              </w:rPr>
            </w:pPr>
            <w:r>
              <w:rPr>
                <w:sz w:val="24"/>
                <w:szCs w:val="24"/>
              </w:rPr>
              <w:t xml:space="preserve">Ikke artsrelaterede grænseværdier for </w:t>
            </w:r>
            <w:r w:rsidRPr="007C61BD">
              <w:rPr>
                <w:i/>
                <w:iCs/>
                <w:sz w:val="24"/>
                <w:szCs w:val="24"/>
              </w:rPr>
              <w:t>Candid</w:t>
            </w:r>
            <w:r>
              <w:rPr>
                <w:i/>
                <w:iCs/>
                <w:sz w:val="24"/>
                <w:szCs w:val="24"/>
              </w:rPr>
              <w:t>a</w:t>
            </w:r>
            <w:r w:rsidRPr="00FE59A0">
              <w:rPr>
                <w:i/>
                <w:iCs/>
                <w:sz w:val="24"/>
                <w:szCs w:val="24"/>
                <w:vertAlign w:val="superscript"/>
              </w:rPr>
              <w:t>3</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Pr="007C61BD" w:rsidRDefault="008F70D2" w:rsidP="008F70D2">
            <w:pPr>
              <w:jc w:val="center"/>
              <w:rPr>
                <w:sz w:val="24"/>
                <w:szCs w:val="24"/>
              </w:rPr>
            </w:pPr>
            <w:r>
              <w:rPr>
                <w:sz w:val="24"/>
                <w:szCs w:val="24"/>
              </w:rPr>
              <w:t>Utilstrækkelig evidens</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Pr="007C61BD" w:rsidRDefault="008F70D2" w:rsidP="008F70D2">
            <w:pPr>
              <w:jc w:val="center"/>
              <w:rPr>
                <w:sz w:val="24"/>
                <w:szCs w:val="24"/>
              </w:rPr>
            </w:pPr>
            <w:r>
              <w:rPr>
                <w:sz w:val="24"/>
                <w:szCs w:val="24"/>
              </w:rPr>
              <w:t>Utilstrækkelig evidens</w:t>
            </w:r>
          </w:p>
        </w:tc>
      </w:tr>
      <w:tr w:rsidR="008F70D2" w:rsidRPr="007C61BD" w:rsidTr="008F70D2">
        <w:tc>
          <w:tcPr>
            <w:tcW w:w="2428" w:type="pct"/>
            <w:tcBorders>
              <w:top w:val="single" w:sz="4" w:space="0" w:color="auto"/>
              <w:left w:val="single" w:sz="4" w:space="0" w:color="auto"/>
              <w:bottom w:val="single" w:sz="4" w:space="0" w:color="auto"/>
              <w:right w:val="single" w:sz="4" w:space="0" w:color="auto"/>
            </w:tcBorders>
          </w:tcPr>
          <w:p w:rsidR="008F70D2" w:rsidRPr="007C61BD" w:rsidRDefault="008F70D2" w:rsidP="008F70D2">
            <w:pPr>
              <w:rPr>
                <w:i/>
                <w:iCs/>
                <w:sz w:val="24"/>
                <w:szCs w:val="24"/>
              </w:rPr>
            </w:pPr>
            <w:r>
              <w:rPr>
                <w:i/>
                <w:iCs/>
                <w:sz w:val="24"/>
                <w:szCs w:val="24"/>
              </w:rPr>
              <w:t>Aspergillus fumigatus</w:t>
            </w:r>
            <w:r w:rsidRPr="00FE59A0">
              <w:rPr>
                <w:i/>
                <w:iCs/>
                <w:sz w:val="24"/>
                <w:szCs w:val="24"/>
                <w:vertAlign w:val="superscript"/>
              </w:rPr>
              <w:t>4</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Pr="007C61BD" w:rsidRDefault="008F70D2" w:rsidP="008F70D2">
            <w:pPr>
              <w:jc w:val="center"/>
              <w:rPr>
                <w:sz w:val="24"/>
                <w:szCs w:val="24"/>
              </w:rPr>
            </w:pPr>
            <w:r>
              <w:rPr>
                <w:sz w:val="24"/>
                <w:szCs w:val="24"/>
              </w:rPr>
              <w:t>1</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Pr="007C61BD" w:rsidRDefault="008F70D2" w:rsidP="008F70D2">
            <w:pPr>
              <w:jc w:val="center"/>
              <w:rPr>
                <w:sz w:val="24"/>
                <w:szCs w:val="24"/>
              </w:rPr>
            </w:pPr>
            <w:r>
              <w:rPr>
                <w:sz w:val="24"/>
                <w:szCs w:val="24"/>
              </w:rPr>
              <w:t>1</w:t>
            </w:r>
          </w:p>
        </w:tc>
      </w:tr>
      <w:tr w:rsidR="008F70D2" w:rsidTr="008F70D2">
        <w:tc>
          <w:tcPr>
            <w:tcW w:w="2428" w:type="pct"/>
            <w:tcBorders>
              <w:top w:val="single" w:sz="4" w:space="0" w:color="auto"/>
              <w:left w:val="single" w:sz="4" w:space="0" w:color="auto"/>
              <w:bottom w:val="single" w:sz="4" w:space="0" w:color="auto"/>
              <w:right w:val="single" w:sz="4" w:space="0" w:color="auto"/>
            </w:tcBorders>
          </w:tcPr>
          <w:p w:rsidR="008F70D2" w:rsidRDefault="008F70D2" w:rsidP="008F70D2">
            <w:pPr>
              <w:rPr>
                <w:i/>
                <w:iCs/>
                <w:sz w:val="24"/>
                <w:szCs w:val="24"/>
              </w:rPr>
            </w:pPr>
            <w:r>
              <w:rPr>
                <w:i/>
                <w:iCs/>
                <w:sz w:val="24"/>
                <w:szCs w:val="24"/>
              </w:rPr>
              <w:t>Aspergillus nidulans</w:t>
            </w:r>
            <w:r w:rsidRPr="00FE59A0">
              <w:rPr>
                <w:i/>
                <w:iCs/>
                <w:sz w:val="24"/>
                <w:szCs w:val="24"/>
                <w:vertAlign w:val="superscript"/>
              </w:rPr>
              <w:t>4</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1</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1</w:t>
            </w:r>
          </w:p>
        </w:tc>
      </w:tr>
      <w:tr w:rsidR="008F70D2" w:rsidTr="008F70D2">
        <w:tc>
          <w:tcPr>
            <w:tcW w:w="2428" w:type="pct"/>
            <w:tcBorders>
              <w:top w:val="single" w:sz="4" w:space="0" w:color="auto"/>
              <w:left w:val="single" w:sz="4" w:space="0" w:color="auto"/>
              <w:bottom w:val="single" w:sz="4" w:space="0" w:color="auto"/>
              <w:right w:val="single" w:sz="4" w:space="0" w:color="auto"/>
            </w:tcBorders>
          </w:tcPr>
          <w:p w:rsidR="008F70D2" w:rsidRDefault="008F70D2" w:rsidP="008F70D2">
            <w:pPr>
              <w:rPr>
                <w:i/>
                <w:iCs/>
                <w:sz w:val="24"/>
                <w:szCs w:val="24"/>
              </w:rPr>
            </w:pPr>
            <w:r>
              <w:rPr>
                <w:i/>
                <w:iCs/>
                <w:sz w:val="24"/>
                <w:szCs w:val="24"/>
              </w:rPr>
              <w:t>Aspergillus flavus</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r w:rsidRPr="00FE59A0">
              <w:rPr>
                <w:sz w:val="24"/>
                <w:szCs w:val="24"/>
                <w:vertAlign w:val="superscript"/>
              </w:rPr>
              <w:t>5</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r w:rsidRPr="00FE59A0">
              <w:rPr>
                <w:sz w:val="24"/>
                <w:szCs w:val="24"/>
                <w:vertAlign w:val="superscript"/>
              </w:rPr>
              <w:t>5</w:t>
            </w:r>
          </w:p>
        </w:tc>
      </w:tr>
      <w:tr w:rsidR="008F70D2" w:rsidTr="008F70D2">
        <w:tc>
          <w:tcPr>
            <w:tcW w:w="2428" w:type="pct"/>
            <w:tcBorders>
              <w:top w:val="single" w:sz="4" w:space="0" w:color="auto"/>
              <w:left w:val="single" w:sz="4" w:space="0" w:color="auto"/>
              <w:bottom w:val="single" w:sz="4" w:space="0" w:color="auto"/>
              <w:right w:val="single" w:sz="4" w:space="0" w:color="auto"/>
            </w:tcBorders>
          </w:tcPr>
          <w:p w:rsidR="008F70D2" w:rsidRDefault="008F70D2" w:rsidP="008F70D2">
            <w:pPr>
              <w:rPr>
                <w:i/>
                <w:iCs/>
                <w:sz w:val="24"/>
                <w:szCs w:val="24"/>
              </w:rPr>
            </w:pPr>
            <w:r>
              <w:rPr>
                <w:i/>
                <w:iCs/>
                <w:sz w:val="24"/>
                <w:szCs w:val="24"/>
              </w:rPr>
              <w:t>Aspergillus niger</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r w:rsidRPr="00FE59A0">
              <w:rPr>
                <w:sz w:val="24"/>
                <w:szCs w:val="24"/>
                <w:vertAlign w:val="superscript"/>
              </w:rPr>
              <w:t>5</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r w:rsidRPr="00FE59A0">
              <w:rPr>
                <w:sz w:val="24"/>
                <w:szCs w:val="24"/>
                <w:vertAlign w:val="superscript"/>
              </w:rPr>
              <w:t>5</w:t>
            </w:r>
          </w:p>
        </w:tc>
      </w:tr>
      <w:tr w:rsidR="008F70D2" w:rsidTr="008F70D2">
        <w:tc>
          <w:tcPr>
            <w:tcW w:w="2428" w:type="pct"/>
            <w:tcBorders>
              <w:top w:val="single" w:sz="4" w:space="0" w:color="auto"/>
              <w:left w:val="single" w:sz="4" w:space="0" w:color="auto"/>
              <w:bottom w:val="single" w:sz="4" w:space="0" w:color="auto"/>
              <w:right w:val="single" w:sz="4" w:space="0" w:color="auto"/>
            </w:tcBorders>
          </w:tcPr>
          <w:p w:rsidR="008F70D2" w:rsidRDefault="008F70D2" w:rsidP="008F70D2">
            <w:pPr>
              <w:rPr>
                <w:i/>
                <w:iCs/>
                <w:sz w:val="24"/>
                <w:szCs w:val="24"/>
              </w:rPr>
            </w:pPr>
            <w:r>
              <w:rPr>
                <w:i/>
                <w:iCs/>
                <w:sz w:val="24"/>
                <w:szCs w:val="24"/>
              </w:rPr>
              <w:t>Aspergillus terreus</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r w:rsidRPr="00FE59A0">
              <w:rPr>
                <w:sz w:val="24"/>
                <w:szCs w:val="24"/>
                <w:vertAlign w:val="superscript"/>
              </w:rPr>
              <w:t>5</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r w:rsidRPr="00FE59A0">
              <w:rPr>
                <w:sz w:val="24"/>
                <w:szCs w:val="24"/>
                <w:vertAlign w:val="superscript"/>
              </w:rPr>
              <w:t>5</w:t>
            </w:r>
          </w:p>
        </w:tc>
      </w:tr>
      <w:tr w:rsidR="008F70D2" w:rsidTr="008F70D2">
        <w:tc>
          <w:tcPr>
            <w:tcW w:w="2428" w:type="pct"/>
            <w:tcBorders>
              <w:top w:val="single" w:sz="4" w:space="0" w:color="auto"/>
              <w:left w:val="single" w:sz="4" w:space="0" w:color="auto"/>
              <w:bottom w:val="single" w:sz="4" w:space="0" w:color="auto"/>
              <w:right w:val="single" w:sz="4" w:space="0" w:color="auto"/>
            </w:tcBorders>
          </w:tcPr>
          <w:p w:rsidR="008F70D2" w:rsidRDefault="008F70D2" w:rsidP="008F70D2">
            <w:pPr>
              <w:rPr>
                <w:i/>
                <w:iCs/>
                <w:sz w:val="24"/>
                <w:szCs w:val="24"/>
              </w:rPr>
            </w:pPr>
            <w:r>
              <w:rPr>
                <w:i/>
                <w:iCs/>
                <w:sz w:val="24"/>
                <w:szCs w:val="24"/>
              </w:rPr>
              <w:t>Ikke-artsrelaterede grænseværdier</w:t>
            </w:r>
            <w:r w:rsidRPr="00FE59A0">
              <w:rPr>
                <w:i/>
                <w:iCs/>
                <w:sz w:val="24"/>
                <w:szCs w:val="24"/>
                <w:vertAlign w:val="superscript"/>
              </w:rPr>
              <w:t>6</w:t>
            </w:r>
          </w:p>
        </w:tc>
        <w:tc>
          <w:tcPr>
            <w:tcW w:w="1285"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p>
        </w:tc>
        <w:tc>
          <w:tcPr>
            <w:tcW w:w="1287" w:type="pct"/>
            <w:tcBorders>
              <w:top w:val="single" w:sz="4" w:space="0" w:color="auto"/>
              <w:left w:val="single" w:sz="4" w:space="0" w:color="auto"/>
              <w:bottom w:val="single" w:sz="4" w:space="0" w:color="auto"/>
              <w:right w:val="single" w:sz="4" w:space="0" w:color="auto"/>
            </w:tcBorders>
            <w:vAlign w:val="center"/>
          </w:tcPr>
          <w:p w:rsidR="008F70D2" w:rsidRDefault="008F70D2" w:rsidP="008F70D2">
            <w:pPr>
              <w:jc w:val="center"/>
              <w:rPr>
                <w:sz w:val="24"/>
                <w:szCs w:val="24"/>
              </w:rPr>
            </w:pPr>
            <w:r>
              <w:rPr>
                <w:sz w:val="24"/>
                <w:szCs w:val="24"/>
              </w:rPr>
              <w:t>Utilstrækkelig evidens</w:t>
            </w:r>
          </w:p>
        </w:tc>
      </w:tr>
      <w:tr w:rsidR="008F70D2" w:rsidRPr="007C61BD" w:rsidTr="008F70D2">
        <w:trPr>
          <w:trHeight w:val="5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8F70D2" w:rsidRDefault="008F70D2" w:rsidP="008F70D2">
            <w:pPr>
              <w:rPr>
                <w:sz w:val="24"/>
                <w:szCs w:val="24"/>
              </w:rPr>
            </w:pPr>
            <w:r>
              <w:rPr>
                <w:sz w:val="24"/>
                <w:szCs w:val="24"/>
                <w:vertAlign w:val="superscript"/>
              </w:rPr>
              <w:lastRenderedPageBreak/>
              <w:t>1</w:t>
            </w:r>
            <w:r>
              <w:rPr>
                <w:sz w:val="24"/>
                <w:szCs w:val="24"/>
              </w:rPr>
              <w:t xml:space="preserve"> Stammer med MIC-værdier højere end følsomheds-/intermediær-grænseværdien er sjældne eller endnu ikke rapporteret. Identifikationtests og antimykotiske følsomhedstests på disse isolater skal gentages, og såfremt resultatet bekræftes, skal isolatet sendes til et referencelaboratorium. Indtil der er evidens vedrørende klinisk respons for bekræftede isolater med MIC over den aktuelle grænseværdi for resistens, bør de rapporteres som værende resistente. Der blev opnået et klinisk respons på 76% for infektioner forårsaget af nedennævnte arter, når MIC-værdierne var lavere eller lig med de epidemiologiske cut-off-værdier. Vildtype populationer af </w:t>
            </w:r>
            <w:r w:rsidRPr="00FE59A0">
              <w:rPr>
                <w:i/>
                <w:iCs/>
                <w:sz w:val="24"/>
                <w:szCs w:val="24"/>
              </w:rPr>
              <w:t>C.</w:t>
            </w:r>
            <w:r w:rsidRPr="009837E8">
              <w:rPr>
                <w:i/>
                <w:iCs/>
                <w:sz w:val="24"/>
                <w:szCs w:val="24"/>
              </w:rPr>
              <w:t xml:space="preserve"> </w:t>
            </w:r>
            <w:r w:rsidRPr="007C61BD">
              <w:rPr>
                <w:i/>
                <w:sz w:val="24"/>
                <w:szCs w:val="24"/>
              </w:rPr>
              <w:t>albicans</w:t>
            </w:r>
            <w:r>
              <w:rPr>
                <w:sz w:val="24"/>
                <w:szCs w:val="24"/>
              </w:rPr>
              <w:t xml:space="preserve">, </w:t>
            </w:r>
            <w:r w:rsidRPr="00FE59A0">
              <w:rPr>
                <w:i/>
                <w:iCs/>
                <w:sz w:val="24"/>
                <w:szCs w:val="24"/>
              </w:rPr>
              <w:t>C.</w:t>
            </w:r>
            <w:r w:rsidRPr="009837E8">
              <w:rPr>
                <w:i/>
                <w:iCs/>
                <w:sz w:val="24"/>
                <w:szCs w:val="24"/>
              </w:rPr>
              <w:t xml:space="preserve"> </w:t>
            </w:r>
            <w:r>
              <w:rPr>
                <w:i/>
                <w:sz w:val="24"/>
                <w:szCs w:val="24"/>
              </w:rPr>
              <w:t>dubliniensis, C. p</w:t>
            </w:r>
            <w:r w:rsidRPr="007C61BD">
              <w:rPr>
                <w:i/>
                <w:iCs/>
                <w:sz w:val="24"/>
                <w:szCs w:val="24"/>
              </w:rPr>
              <w:t>arapsilosi</w:t>
            </w:r>
            <w:r>
              <w:rPr>
                <w:i/>
                <w:iCs/>
                <w:sz w:val="24"/>
                <w:szCs w:val="24"/>
              </w:rPr>
              <w:t>s og C. t</w:t>
            </w:r>
            <w:r w:rsidRPr="007C61BD">
              <w:rPr>
                <w:i/>
                <w:iCs/>
                <w:sz w:val="24"/>
                <w:szCs w:val="24"/>
              </w:rPr>
              <w:t>ropicalis</w:t>
            </w:r>
            <w:r>
              <w:rPr>
                <w:i/>
                <w:iCs/>
                <w:sz w:val="24"/>
                <w:szCs w:val="24"/>
              </w:rPr>
              <w:t xml:space="preserve"> </w:t>
            </w:r>
            <w:r w:rsidRPr="00FE59A0">
              <w:rPr>
                <w:sz w:val="24"/>
                <w:szCs w:val="24"/>
              </w:rPr>
              <w:t>anses derfor for følsomme.</w:t>
            </w:r>
          </w:p>
          <w:p w:rsidR="008F70D2" w:rsidRDefault="008F70D2" w:rsidP="008F70D2">
            <w:pPr>
              <w:rPr>
                <w:sz w:val="24"/>
                <w:szCs w:val="24"/>
              </w:rPr>
            </w:pPr>
            <w:r>
              <w:rPr>
                <w:sz w:val="24"/>
                <w:szCs w:val="24"/>
                <w:vertAlign w:val="superscript"/>
              </w:rPr>
              <w:t xml:space="preserve">2 </w:t>
            </w:r>
            <w:r>
              <w:rPr>
                <w:sz w:val="24"/>
                <w:szCs w:val="24"/>
              </w:rPr>
              <w:t>Ikke-artsrelaterede grænseværdier er primært blevet bestemt på baggrund af farmakokinetiske/farmakodynamiske data og er uafhængige af fordelingen af MIC for specifikke arter. De skal kun anvendes for organismer, som ikke har specifikke grænseværdier.</w:t>
            </w:r>
          </w:p>
          <w:p w:rsidR="008F70D2" w:rsidRDefault="008F70D2" w:rsidP="008F70D2">
            <w:pPr>
              <w:rPr>
                <w:sz w:val="24"/>
                <w:szCs w:val="24"/>
              </w:rPr>
            </w:pPr>
            <w:r w:rsidRPr="00FE59A0">
              <w:rPr>
                <w:sz w:val="24"/>
                <w:szCs w:val="24"/>
                <w:vertAlign w:val="superscript"/>
              </w:rPr>
              <w:t>2</w:t>
            </w:r>
            <w:r>
              <w:rPr>
                <w:sz w:val="24"/>
                <w:szCs w:val="24"/>
              </w:rPr>
              <w:t xml:space="preserve"> </w:t>
            </w:r>
            <w:r w:rsidRPr="00FE59A0">
              <w:rPr>
                <w:sz w:val="24"/>
                <w:szCs w:val="24"/>
              </w:rPr>
              <w:t>De epidemiologiske cut-off-v</w:t>
            </w:r>
            <w:r w:rsidRPr="00FE59A0">
              <w:rPr>
                <w:rFonts w:hint="eastAsia"/>
                <w:sz w:val="24"/>
                <w:szCs w:val="24"/>
              </w:rPr>
              <w:t>æ</w:t>
            </w:r>
            <w:r w:rsidRPr="00FE59A0">
              <w:rPr>
                <w:sz w:val="24"/>
                <w:szCs w:val="24"/>
              </w:rPr>
              <w:t>rdier (ECOFF) for disse arter er generelt h</w:t>
            </w:r>
            <w:r w:rsidRPr="00FE59A0">
              <w:rPr>
                <w:rFonts w:hint="eastAsia"/>
                <w:sz w:val="24"/>
                <w:szCs w:val="24"/>
              </w:rPr>
              <w:t>ø</w:t>
            </w:r>
            <w:r w:rsidRPr="00FE59A0">
              <w:rPr>
                <w:sz w:val="24"/>
                <w:szCs w:val="24"/>
              </w:rPr>
              <w:t xml:space="preserve">jere end for </w:t>
            </w:r>
            <w:r w:rsidRPr="00FE59A0">
              <w:rPr>
                <w:i/>
                <w:iCs/>
                <w:sz w:val="24"/>
                <w:szCs w:val="24"/>
              </w:rPr>
              <w:t>C. albicans.</w:t>
            </w:r>
          </w:p>
          <w:p w:rsidR="008F70D2" w:rsidRPr="00FE59A0" w:rsidRDefault="008F70D2" w:rsidP="008F70D2">
            <w:pPr>
              <w:rPr>
                <w:sz w:val="24"/>
                <w:szCs w:val="24"/>
              </w:rPr>
            </w:pPr>
            <w:r w:rsidRPr="00FE59A0">
              <w:rPr>
                <w:sz w:val="24"/>
                <w:szCs w:val="24"/>
                <w:vertAlign w:val="superscript"/>
              </w:rPr>
              <w:t>3</w:t>
            </w:r>
            <w:r w:rsidRPr="00FE59A0">
              <w:rPr>
                <w:sz w:val="24"/>
                <w:szCs w:val="24"/>
              </w:rPr>
              <w:t xml:space="preserve"> Ikke-artsrelaterede gr</w:t>
            </w:r>
            <w:r w:rsidRPr="00FE59A0">
              <w:rPr>
                <w:rFonts w:hint="eastAsia"/>
                <w:sz w:val="24"/>
                <w:szCs w:val="24"/>
              </w:rPr>
              <w:t>æ</w:t>
            </w:r>
            <w:r w:rsidRPr="00FE59A0">
              <w:rPr>
                <w:sz w:val="24"/>
                <w:szCs w:val="24"/>
              </w:rPr>
              <w:t>nsev</w:t>
            </w:r>
            <w:r w:rsidRPr="00FE59A0">
              <w:rPr>
                <w:rFonts w:hint="eastAsia"/>
                <w:sz w:val="24"/>
                <w:szCs w:val="24"/>
              </w:rPr>
              <w:t>æ</w:t>
            </w:r>
            <w:r w:rsidRPr="00FE59A0">
              <w:rPr>
                <w:sz w:val="24"/>
                <w:szCs w:val="24"/>
              </w:rPr>
              <w:t>rdier er prim</w:t>
            </w:r>
            <w:r w:rsidRPr="00FE59A0">
              <w:rPr>
                <w:rFonts w:hint="eastAsia"/>
                <w:sz w:val="24"/>
                <w:szCs w:val="24"/>
              </w:rPr>
              <w:t>æ</w:t>
            </w:r>
            <w:r w:rsidRPr="00FE59A0">
              <w:rPr>
                <w:sz w:val="24"/>
                <w:szCs w:val="24"/>
              </w:rPr>
              <w:t>rt bestemt p</w:t>
            </w:r>
            <w:r w:rsidRPr="00FE59A0">
              <w:rPr>
                <w:rFonts w:hint="eastAsia"/>
                <w:sz w:val="24"/>
                <w:szCs w:val="24"/>
              </w:rPr>
              <w:t>å</w:t>
            </w:r>
            <w:r w:rsidRPr="00FE59A0">
              <w:rPr>
                <w:sz w:val="24"/>
                <w:szCs w:val="24"/>
              </w:rPr>
              <w:t xml:space="preserve"> basis af de farmakokinetiske/farmakodynamiske</w:t>
            </w:r>
          </w:p>
          <w:p w:rsidR="008F70D2" w:rsidRPr="00FE59A0" w:rsidRDefault="008F70D2" w:rsidP="008F70D2">
            <w:pPr>
              <w:autoSpaceDE w:val="0"/>
              <w:autoSpaceDN w:val="0"/>
              <w:adjustRightInd w:val="0"/>
              <w:rPr>
                <w:sz w:val="24"/>
                <w:szCs w:val="24"/>
              </w:rPr>
            </w:pPr>
            <w:r w:rsidRPr="00FE59A0">
              <w:rPr>
                <w:sz w:val="24"/>
                <w:szCs w:val="24"/>
              </w:rPr>
              <w:t>data, og er uafh</w:t>
            </w:r>
            <w:r w:rsidRPr="00FE59A0">
              <w:rPr>
                <w:rFonts w:hint="eastAsia"/>
                <w:sz w:val="24"/>
                <w:szCs w:val="24"/>
              </w:rPr>
              <w:t>æ</w:t>
            </w:r>
            <w:r w:rsidRPr="00FE59A0">
              <w:rPr>
                <w:sz w:val="24"/>
                <w:szCs w:val="24"/>
              </w:rPr>
              <w:t xml:space="preserve">ngige af MIC-fordelingerne af specifikke </w:t>
            </w:r>
            <w:r w:rsidRPr="00FE59A0">
              <w:rPr>
                <w:i/>
                <w:iCs/>
                <w:sz w:val="24"/>
                <w:szCs w:val="24"/>
              </w:rPr>
              <w:t>Candida</w:t>
            </w:r>
            <w:r w:rsidRPr="00FE59A0">
              <w:rPr>
                <w:sz w:val="24"/>
                <w:szCs w:val="24"/>
              </w:rPr>
              <w:t>-arter. De skal kun anvendes for</w:t>
            </w:r>
          </w:p>
          <w:p w:rsidR="008F70D2" w:rsidRPr="00FE59A0" w:rsidRDefault="008F70D2" w:rsidP="008F70D2">
            <w:pPr>
              <w:autoSpaceDE w:val="0"/>
              <w:autoSpaceDN w:val="0"/>
              <w:adjustRightInd w:val="0"/>
              <w:rPr>
                <w:sz w:val="24"/>
                <w:szCs w:val="24"/>
              </w:rPr>
            </w:pPr>
            <w:r w:rsidRPr="00FE59A0">
              <w:rPr>
                <w:sz w:val="24"/>
                <w:szCs w:val="24"/>
              </w:rPr>
              <w:t>organismer, der ikke har specifikke gr</w:t>
            </w:r>
            <w:r w:rsidRPr="00FE59A0">
              <w:rPr>
                <w:rFonts w:hint="eastAsia"/>
                <w:sz w:val="24"/>
                <w:szCs w:val="24"/>
              </w:rPr>
              <w:t>æ</w:t>
            </w:r>
            <w:r w:rsidRPr="00FE59A0">
              <w:rPr>
                <w:sz w:val="24"/>
                <w:szCs w:val="24"/>
              </w:rPr>
              <w:t>nsev</w:t>
            </w:r>
            <w:r w:rsidRPr="00FE59A0">
              <w:rPr>
                <w:rFonts w:hint="eastAsia"/>
                <w:sz w:val="24"/>
                <w:szCs w:val="24"/>
              </w:rPr>
              <w:t>æ</w:t>
            </w:r>
            <w:r w:rsidRPr="00FE59A0">
              <w:rPr>
                <w:sz w:val="24"/>
                <w:szCs w:val="24"/>
              </w:rPr>
              <w:t>rdier.</w:t>
            </w:r>
          </w:p>
          <w:p w:rsidR="008F70D2" w:rsidRPr="00FE59A0" w:rsidRDefault="008F70D2" w:rsidP="008F70D2">
            <w:pPr>
              <w:autoSpaceDE w:val="0"/>
              <w:autoSpaceDN w:val="0"/>
              <w:adjustRightInd w:val="0"/>
              <w:rPr>
                <w:sz w:val="24"/>
                <w:szCs w:val="24"/>
              </w:rPr>
            </w:pPr>
            <w:r w:rsidRPr="001A08CF">
              <w:rPr>
                <w:sz w:val="24"/>
                <w:szCs w:val="24"/>
                <w:vertAlign w:val="superscript"/>
                <w:lang w:val="en-US"/>
              </w:rPr>
              <w:t>4</w:t>
            </w:r>
            <w:r w:rsidRPr="001A08CF">
              <w:rPr>
                <w:sz w:val="24"/>
                <w:szCs w:val="24"/>
                <w:lang w:val="en-US"/>
              </w:rPr>
              <w:t xml:space="preserve"> ATU (Area of Technical Uncertainty) er 2. </w:t>
            </w:r>
            <w:r w:rsidRPr="00FE59A0">
              <w:rPr>
                <w:sz w:val="24"/>
                <w:szCs w:val="24"/>
              </w:rPr>
              <w:t>Rapporteres som R med f</w:t>
            </w:r>
            <w:r w:rsidRPr="00FE59A0">
              <w:rPr>
                <w:rFonts w:hint="eastAsia"/>
                <w:sz w:val="24"/>
                <w:szCs w:val="24"/>
              </w:rPr>
              <w:t>ø</w:t>
            </w:r>
            <w:r w:rsidRPr="00FE59A0">
              <w:rPr>
                <w:sz w:val="24"/>
                <w:szCs w:val="24"/>
              </w:rPr>
              <w:t>lgende kommentar: "I nogle</w:t>
            </w:r>
          </w:p>
          <w:p w:rsidR="008F70D2" w:rsidRPr="00FE59A0" w:rsidRDefault="008F70D2" w:rsidP="008F70D2">
            <w:pPr>
              <w:autoSpaceDE w:val="0"/>
              <w:autoSpaceDN w:val="0"/>
              <w:adjustRightInd w:val="0"/>
              <w:rPr>
                <w:sz w:val="24"/>
                <w:szCs w:val="24"/>
              </w:rPr>
            </w:pPr>
            <w:r w:rsidRPr="00FE59A0">
              <w:rPr>
                <w:sz w:val="24"/>
                <w:szCs w:val="24"/>
              </w:rPr>
              <w:t>kliniske situationer (ikke-invasive infektionsformer) kan voriconazol anvendes, s</w:t>
            </w:r>
            <w:r w:rsidRPr="00FE59A0">
              <w:rPr>
                <w:rFonts w:hint="eastAsia"/>
                <w:sz w:val="24"/>
                <w:szCs w:val="24"/>
              </w:rPr>
              <w:t>å</w:t>
            </w:r>
            <w:r w:rsidRPr="00FE59A0">
              <w:rPr>
                <w:sz w:val="24"/>
                <w:szCs w:val="24"/>
              </w:rPr>
              <w:t>fremt der sikres</w:t>
            </w:r>
          </w:p>
          <w:p w:rsidR="008F70D2" w:rsidRPr="00FE59A0" w:rsidRDefault="008F70D2" w:rsidP="008F70D2">
            <w:pPr>
              <w:autoSpaceDE w:val="0"/>
              <w:autoSpaceDN w:val="0"/>
              <w:adjustRightInd w:val="0"/>
              <w:rPr>
                <w:sz w:val="24"/>
                <w:szCs w:val="24"/>
              </w:rPr>
            </w:pPr>
            <w:r w:rsidRPr="00FE59A0">
              <w:rPr>
                <w:sz w:val="24"/>
                <w:szCs w:val="24"/>
              </w:rPr>
              <w:t>tilstr</w:t>
            </w:r>
            <w:r w:rsidRPr="00FE59A0">
              <w:rPr>
                <w:rFonts w:hint="eastAsia"/>
                <w:sz w:val="24"/>
                <w:szCs w:val="24"/>
              </w:rPr>
              <w:t>æ</w:t>
            </w:r>
            <w:r w:rsidRPr="00FE59A0">
              <w:rPr>
                <w:sz w:val="24"/>
                <w:szCs w:val="24"/>
              </w:rPr>
              <w:t>kkelig eksponering".</w:t>
            </w:r>
          </w:p>
          <w:p w:rsidR="008F70D2" w:rsidRPr="00FE59A0" w:rsidRDefault="008F70D2" w:rsidP="008F70D2">
            <w:pPr>
              <w:autoSpaceDE w:val="0"/>
              <w:autoSpaceDN w:val="0"/>
              <w:adjustRightInd w:val="0"/>
              <w:rPr>
                <w:sz w:val="24"/>
                <w:szCs w:val="24"/>
              </w:rPr>
            </w:pPr>
            <w:r w:rsidRPr="00FE59A0">
              <w:rPr>
                <w:sz w:val="24"/>
                <w:szCs w:val="24"/>
                <w:vertAlign w:val="superscript"/>
              </w:rPr>
              <w:t>5</w:t>
            </w:r>
            <w:r w:rsidRPr="00FE59A0">
              <w:rPr>
                <w:sz w:val="24"/>
                <w:szCs w:val="24"/>
              </w:rPr>
              <w:t xml:space="preserve"> ECOFF-v</w:t>
            </w:r>
            <w:r w:rsidRPr="00FE59A0">
              <w:rPr>
                <w:rFonts w:hint="eastAsia"/>
                <w:sz w:val="24"/>
                <w:szCs w:val="24"/>
              </w:rPr>
              <w:t>æ</w:t>
            </w:r>
            <w:r w:rsidRPr="00FE59A0">
              <w:rPr>
                <w:sz w:val="24"/>
                <w:szCs w:val="24"/>
              </w:rPr>
              <w:t>rdierne for disse arter er generelt en tofolds fortynding h</w:t>
            </w:r>
            <w:r w:rsidRPr="00FE59A0">
              <w:rPr>
                <w:rFonts w:hint="eastAsia"/>
                <w:sz w:val="24"/>
                <w:szCs w:val="24"/>
              </w:rPr>
              <w:t>ø</w:t>
            </w:r>
            <w:r w:rsidRPr="00FE59A0">
              <w:rPr>
                <w:sz w:val="24"/>
                <w:szCs w:val="24"/>
              </w:rPr>
              <w:t xml:space="preserve">jere end for </w:t>
            </w:r>
            <w:r w:rsidRPr="00FE59A0">
              <w:rPr>
                <w:i/>
                <w:iCs/>
                <w:sz w:val="24"/>
                <w:szCs w:val="24"/>
              </w:rPr>
              <w:t>A. fumigatus.</w:t>
            </w:r>
          </w:p>
          <w:p w:rsidR="008F70D2" w:rsidRPr="007C61BD" w:rsidRDefault="008F70D2" w:rsidP="008F70D2">
            <w:pPr>
              <w:rPr>
                <w:sz w:val="24"/>
                <w:szCs w:val="24"/>
              </w:rPr>
            </w:pPr>
            <w:r w:rsidRPr="00FE59A0">
              <w:rPr>
                <w:sz w:val="24"/>
                <w:szCs w:val="24"/>
                <w:vertAlign w:val="superscript"/>
              </w:rPr>
              <w:t>6</w:t>
            </w:r>
            <w:r w:rsidRPr="00FE59A0">
              <w:rPr>
                <w:sz w:val="24"/>
                <w:szCs w:val="24"/>
              </w:rPr>
              <w:t xml:space="preserve"> Der er ikke fastlagt ikke-artsrelaterede gr</w:t>
            </w:r>
            <w:r w:rsidRPr="00FE59A0">
              <w:rPr>
                <w:rFonts w:hint="eastAsia"/>
                <w:sz w:val="24"/>
                <w:szCs w:val="24"/>
              </w:rPr>
              <w:t>æ</w:t>
            </w:r>
            <w:r w:rsidRPr="00FE59A0">
              <w:rPr>
                <w:sz w:val="24"/>
                <w:szCs w:val="24"/>
              </w:rPr>
              <w:t>nsev</w:t>
            </w:r>
            <w:r w:rsidRPr="00FE59A0">
              <w:rPr>
                <w:rFonts w:hint="eastAsia"/>
                <w:sz w:val="24"/>
                <w:szCs w:val="24"/>
              </w:rPr>
              <w:t>æ</w:t>
            </w:r>
            <w:r w:rsidRPr="00FE59A0">
              <w:rPr>
                <w:sz w:val="24"/>
                <w:szCs w:val="24"/>
              </w:rPr>
              <w:t>rdier.</w:t>
            </w:r>
          </w:p>
        </w:tc>
      </w:tr>
    </w:tbl>
    <w:p w:rsidR="008F70D2" w:rsidRDefault="008F70D2" w:rsidP="008F70D2">
      <w:pPr>
        <w:ind w:left="851"/>
        <w:rPr>
          <w:sz w:val="24"/>
          <w:szCs w:val="24"/>
          <w:u w:val="single"/>
        </w:rPr>
      </w:pPr>
    </w:p>
    <w:p w:rsidR="008F70D2" w:rsidRPr="007C61BD" w:rsidRDefault="008F70D2" w:rsidP="008F70D2">
      <w:pPr>
        <w:ind w:left="851"/>
        <w:rPr>
          <w:sz w:val="24"/>
          <w:szCs w:val="24"/>
          <w:u w:val="single"/>
        </w:rPr>
      </w:pPr>
      <w:r w:rsidRPr="007C61BD">
        <w:rPr>
          <w:sz w:val="24"/>
          <w:szCs w:val="24"/>
          <w:u w:val="single"/>
        </w:rPr>
        <w:t>Klinisk erfaring</w:t>
      </w:r>
    </w:p>
    <w:p w:rsidR="008F70D2" w:rsidRPr="007C61BD" w:rsidRDefault="008F70D2" w:rsidP="008F70D2">
      <w:pPr>
        <w:ind w:left="851"/>
        <w:rPr>
          <w:sz w:val="24"/>
          <w:szCs w:val="24"/>
        </w:rPr>
      </w:pPr>
      <w:r w:rsidRPr="007C61BD">
        <w:rPr>
          <w:sz w:val="24"/>
          <w:szCs w:val="24"/>
        </w:rPr>
        <w:t>Positivt resultat defineres i dette afsnit som fuldstændigt eller delvist respons.</w:t>
      </w:r>
    </w:p>
    <w:p w:rsidR="00EE0DC7" w:rsidRPr="007C61BD" w:rsidRDefault="00EE0DC7" w:rsidP="00EE0DC7">
      <w:pPr>
        <w:ind w:left="851"/>
        <w:rPr>
          <w:sz w:val="24"/>
          <w:szCs w:val="24"/>
        </w:rPr>
      </w:pPr>
    </w:p>
    <w:p w:rsidR="00EE0DC7" w:rsidRPr="007C61BD" w:rsidRDefault="00EE0DC7" w:rsidP="00EE0DC7">
      <w:pPr>
        <w:ind w:left="851"/>
        <w:rPr>
          <w:sz w:val="24"/>
          <w:szCs w:val="24"/>
          <w:u w:val="single"/>
        </w:rPr>
      </w:pPr>
      <w:r w:rsidRPr="007C61BD">
        <w:rPr>
          <w:i/>
          <w:sz w:val="24"/>
          <w:szCs w:val="24"/>
          <w:u w:val="single"/>
        </w:rPr>
        <w:t>Aspergillus</w:t>
      </w:r>
      <w:r w:rsidRPr="007C61BD">
        <w:rPr>
          <w:sz w:val="24"/>
          <w:szCs w:val="24"/>
          <w:u w:val="single"/>
        </w:rPr>
        <w:t xml:space="preserve">-infektioner – effekt hos aspergillose-patienter med dårlig prognose </w:t>
      </w:r>
    </w:p>
    <w:p w:rsidR="00EE0DC7" w:rsidRPr="007C61BD" w:rsidRDefault="00EE0DC7" w:rsidP="00EE0DC7">
      <w:pPr>
        <w:ind w:left="851"/>
        <w:rPr>
          <w:sz w:val="24"/>
          <w:szCs w:val="24"/>
        </w:rPr>
      </w:pPr>
      <w:r w:rsidRPr="007C61BD">
        <w:rPr>
          <w:sz w:val="24"/>
          <w:szCs w:val="24"/>
        </w:rPr>
        <w:t xml:space="preserve">Voriconazol har fungicid </w:t>
      </w:r>
      <w:r w:rsidRPr="007C61BD">
        <w:rPr>
          <w:i/>
          <w:sz w:val="24"/>
          <w:szCs w:val="24"/>
        </w:rPr>
        <w:t>in vitro-</w:t>
      </w:r>
      <w:r w:rsidRPr="007C61BD">
        <w:rPr>
          <w:sz w:val="24"/>
          <w:szCs w:val="24"/>
        </w:rPr>
        <w:t xml:space="preserve">aktivitet over for </w:t>
      </w:r>
      <w:r w:rsidRPr="007C61BD">
        <w:rPr>
          <w:i/>
          <w:sz w:val="24"/>
          <w:szCs w:val="24"/>
        </w:rPr>
        <w:t xml:space="preserve">Aspergillus </w:t>
      </w:r>
      <w:r w:rsidRPr="007C61BD">
        <w:rPr>
          <w:sz w:val="24"/>
          <w:szCs w:val="24"/>
        </w:rPr>
        <w:t>spp. Der er påvist bedre effekt og overlevelse med voriconazol versus konventionel amphotericin B til primær behandling af akut invasiv aspergillose i et åbent, randomiseret multicenterstudie med 277 immunkompromitterede patienter behandlet i 12 uger. Voriconazol blev administreret i.v. med en initialdosis på 6 mg/kg hver 12. time i de første 24 timer efterfulgt af en vedligeholdelsesdosis på 4 mg/kg hver 12. time i minimum 7 dage. Behandlingen kunne derefter skiftes til orale doser på 200 mg hver 12. time. Den mediane varighed af i.v. voriconazolbehandling var 10 dage (interval 2-85 dage). Efter i.v. voriconazolbehandling var den mediane varighed af oral voriconazolbehandling 76 dage (interval 2-232 dage).</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Der sås tilfredsstillende globalt respons (fuldstændigt eller delvis resolution af alle tilhørende symptomer, radiografiske/bronkoskopiske abnormaliteter ved baseline) hos 53 % af de voriconazolbehandlede patienter sammenlignet med 31 % af de patienter, der blev behandlet med komparatoren. Overlevelsesraten efter 84 dage var statistisk signifikant højere med voriconazol end med komparatoren, og der blev påvist en klinisk og statistisk signifikant fordel ved brug af voriconazol, både med hensyn til tid til død og tid til seponering på grund af toksicitet.</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Dette studie bekræftede fund fra et tidligere prospektivt studie, hvor der sås positivt resultat hos patienter med risikofaktorer for dårlig prognose, herunder graft versus host-sygdom og i særdeleshed cerebrale infektioner (normalt forbundet med næsten 100 % mortalitet).</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lastRenderedPageBreak/>
        <w:t>Disse studier omfattede cerebral, sinusrelateret, pulmonal og dissemineret aspergillose hos knoglemarvs- og organtransplanterede patienter, patienter med maligne hæmatologiske lidelser, cancer og aids.</w:t>
      </w:r>
    </w:p>
    <w:p w:rsidR="00EE0DC7" w:rsidRPr="007C61BD" w:rsidRDefault="00EE0DC7" w:rsidP="00EE0DC7">
      <w:pPr>
        <w:ind w:left="851"/>
        <w:rPr>
          <w:sz w:val="24"/>
          <w:szCs w:val="24"/>
        </w:rPr>
      </w:pPr>
    </w:p>
    <w:p w:rsidR="00EE0DC7" w:rsidRPr="007C61BD" w:rsidRDefault="00EE0DC7" w:rsidP="00EE0DC7">
      <w:pPr>
        <w:ind w:left="851"/>
        <w:rPr>
          <w:sz w:val="24"/>
          <w:szCs w:val="24"/>
          <w:u w:val="single"/>
        </w:rPr>
      </w:pPr>
      <w:r w:rsidRPr="007C61BD">
        <w:rPr>
          <w:sz w:val="24"/>
          <w:szCs w:val="24"/>
          <w:u w:val="single"/>
        </w:rPr>
        <w:t>Candidæmi hos non-neutropene patienter</w:t>
      </w:r>
    </w:p>
    <w:p w:rsidR="00EE0DC7" w:rsidRDefault="00EE0DC7" w:rsidP="00EE0DC7">
      <w:pPr>
        <w:ind w:left="851"/>
        <w:rPr>
          <w:sz w:val="24"/>
          <w:szCs w:val="24"/>
        </w:rPr>
      </w:pPr>
      <w:r>
        <w:rPr>
          <w:sz w:val="24"/>
          <w:szCs w:val="24"/>
        </w:rPr>
        <w:t xml:space="preserve">Effekten af voriconazol sammenlignet med behandling med amphotericin B efterfulgt af fluconazol i primær behandling af candidæmi blev vist i et åbent komparativt studie. 370 non-neutropene patienter (over 12 år) med påvist candidæmi blev inkluderet i studiet. Heraf blev 248 behandlet med voriconazol. 9 forsøgspersoner i voriconazolgruppen og 5 forsøgspersoner i gruppen med amphotericin B efterfulgt af fluconazol havde også mykologisk påvist infektion i dybtliggende væv. Patienter med nyresvigt blev udelukket fra dette studie. Den gennemsnitlige behandlingsvarighed var 15 dage i begge behandlingsarme. I den primære analyse var positiv respons ifølge en datamonitoreringskomité (DRC), der var blindet over for studielægemidlet, defineret som resolution/forbedring af alle kliniske tegn og symptomer på infektion med eradikation af </w:t>
      </w:r>
      <w:r>
        <w:rPr>
          <w:i/>
          <w:sz w:val="24"/>
          <w:szCs w:val="24"/>
        </w:rPr>
        <w:t xml:space="preserve">Candida </w:t>
      </w:r>
      <w:r>
        <w:rPr>
          <w:sz w:val="24"/>
          <w:szCs w:val="24"/>
        </w:rPr>
        <w:t>fra blodet og inficerede dybtliggende vævssteder 12 uger efter endt behandling (EOT). Patienter, som ikke blev vurderet 12 uger efter endt behandling (EOT), blev medregnet i opgørelsen af behandlingssvigt. I denne analyse var der positiv respons hos 41 % af patienterne i begge behandlingsarme.</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I en sekundær analyse, hvor DRCs vurderinger blev anvendt på det seneste evaluerbare tidspunkt (EOT eller 2, 6 eller 12 uger efter EOT), havde voriconazol og amphotericin B efterfulgt af fluconazol en positiv responsrate på henholdsvis 65 % og 71 %.</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Investigatorens vurdering af positivt resultat på et hvilket som helst af disse tidspunkter er vist i skemaet nedenfor:</w:t>
      </w:r>
    </w:p>
    <w:p w:rsidR="00EE0DC7" w:rsidRPr="007C61BD" w:rsidRDefault="00EE0DC7" w:rsidP="00EE0DC7">
      <w:pPr>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3210"/>
        <w:gridCol w:w="3207"/>
      </w:tblGrid>
      <w:tr w:rsidR="00EE0DC7" w:rsidRPr="007C61BD" w:rsidTr="00E67E76">
        <w:tc>
          <w:tcPr>
            <w:tcW w:w="1308"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i/>
                <w:sz w:val="24"/>
                <w:szCs w:val="24"/>
              </w:rPr>
              <w:t>Tidspunkt</w:t>
            </w:r>
          </w:p>
        </w:tc>
        <w:tc>
          <w:tcPr>
            <w:tcW w:w="1847"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b/>
                <w:i/>
                <w:sz w:val="24"/>
                <w:szCs w:val="24"/>
              </w:rPr>
            </w:pPr>
            <w:r w:rsidRPr="007C61BD">
              <w:rPr>
                <w:b/>
                <w:i/>
                <w:sz w:val="24"/>
                <w:szCs w:val="24"/>
              </w:rPr>
              <w:t>Voriconazol</w:t>
            </w:r>
          </w:p>
          <w:p w:rsidR="00EE0DC7" w:rsidRPr="007C61BD" w:rsidRDefault="00EE0DC7" w:rsidP="00E67E76">
            <w:pPr>
              <w:rPr>
                <w:sz w:val="24"/>
                <w:szCs w:val="24"/>
              </w:rPr>
            </w:pPr>
            <w:r w:rsidRPr="007C61BD">
              <w:rPr>
                <w:b/>
                <w:i/>
                <w:sz w:val="24"/>
                <w:szCs w:val="24"/>
              </w:rPr>
              <w:t>(N=248)</w:t>
            </w:r>
          </w:p>
        </w:tc>
        <w:tc>
          <w:tcPr>
            <w:tcW w:w="1845"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b/>
                <w:i/>
                <w:sz w:val="24"/>
                <w:szCs w:val="24"/>
              </w:rPr>
            </w:pPr>
            <w:r w:rsidRPr="007C61BD">
              <w:rPr>
                <w:b/>
                <w:i/>
                <w:sz w:val="24"/>
                <w:szCs w:val="24"/>
              </w:rPr>
              <w:t>Amphotericin B</w:t>
            </w:r>
          </w:p>
          <w:p w:rsidR="00EE0DC7" w:rsidRPr="007C61BD" w:rsidRDefault="00EE0DC7" w:rsidP="00E67E76">
            <w:pPr>
              <w:rPr>
                <w:b/>
                <w:i/>
                <w:sz w:val="24"/>
                <w:szCs w:val="24"/>
              </w:rPr>
            </w:pPr>
            <w:r w:rsidRPr="007C61BD">
              <w:rPr>
                <w:b/>
                <w:i/>
                <w:sz w:val="24"/>
                <w:szCs w:val="24"/>
              </w:rPr>
              <w:t>→ fluconazol</w:t>
            </w:r>
          </w:p>
          <w:p w:rsidR="00EE0DC7" w:rsidRPr="007C61BD" w:rsidRDefault="00EE0DC7" w:rsidP="00E67E76">
            <w:pPr>
              <w:rPr>
                <w:sz w:val="24"/>
                <w:szCs w:val="24"/>
              </w:rPr>
            </w:pPr>
            <w:r w:rsidRPr="007C61BD">
              <w:rPr>
                <w:b/>
                <w:i/>
                <w:sz w:val="24"/>
                <w:szCs w:val="24"/>
              </w:rPr>
              <w:t>(N=122)</w:t>
            </w:r>
          </w:p>
        </w:tc>
      </w:tr>
      <w:tr w:rsidR="00EE0DC7" w:rsidRPr="007C61BD" w:rsidTr="00E67E76">
        <w:tc>
          <w:tcPr>
            <w:tcW w:w="1308"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i/>
                <w:sz w:val="24"/>
                <w:szCs w:val="24"/>
              </w:rPr>
              <w:t>EOT</w:t>
            </w:r>
          </w:p>
        </w:tc>
        <w:tc>
          <w:tcPr>
            <w:tcW w:w="1847"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bCs/>
                <w:i/>
                <w:iCs/>
                <w:sz w:val="24"/>
                <w:szCs w:val="24"/>
              </w:rPr>
              <w:t>178 (72 %)</w:t>
            </w:r>
          </w:p>
        </w:tc>
        <w:tc>
          <w:tcPr>
            <w:tcW w:w="1845"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bCs/>
                <w:i/>
                <w:iCs/>
                <w:sz w:val="24"/>
                <w:szCs w:val="24"/>
              </w:rPr>
              <w:t>88 (72 %)</w:t>
            </w:r>
          </w:p>
        </w:tc>
      </w:tr>
      <w:tr w:rsidR="00EE0DC7" w:rsidRPr="007C61BD" w:rsidTr="00E67E76">
        <w:tc>
          <w:tcPr>
            <w:tcW w:w="1308"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i/>
                <w:sz w:val="24"/>
                <w:szCs w:val="24"/>
              </w:rPr>
              <w:t xml:space="preserve">2 uger efter </w:t>
            </w:r>
          </w:p>
          <w:p w:rsidR="00EE0DC7" w:rsidRPr="007C61BD" w:rsidRDefault="00EE0DC7" w:rsidP="00E67E76">
            <w:pPr>
              <w:rPr>
                <w:sz w:val="24"/>
                <w:szCs w:val="24"/>
              </w:rPr>
            </w:pPr>
            <w:r w:rsidRPr="007C61BD">
              <w:rPr>
                <w:b/>
                <w:i/>
                <w:sz w:val="24"/>
                <w:szCs w:val="24"/>
              </w:rPr>
              <w:t>EOT</w:t>
            </w:r>
          </w:p>
        </w:tc>
        <w:tc>
          <w:tcPr>
            <w:tcW w:w="1847"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bCs/>
                <w:i/>
                <w:iCs/>
                <w:sz w:val="24"/>
                <w:szCs w:val="24"/>
              </w:rPr>
              <w:t>125 (50 %)</w:t>
            </w:r>
          </w:p>
        </w:tc>
        <w:tc>
          <w:tcPr>
            <w:tcW w:w="1845"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bCs/>
                <w:i/>
                <w:iCs/>
                <w:sz w:val="24"/>
                <w:szCs w:val="24"/>
              </w:rPr>
              <w:t>62 (51 %)</w:t>
            </w:r>
          </w:p>
        </w:tc>
      </w:tr>
      <w:tr w:rsidR="00EE0DC7" w:rsidRPr="007C61BD" w:rsidTr="00E67E76">
        <w:tc>
          <w:tcPr>
            <w:tcW w:w="1308"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i/>
                <w:sz w:val="24"/>
                <w:szCs w:val="24"/>
              </w:rPr>
              <w:t xml:space="preserve">6 uger efter </w:t>
            </w:r>
          </w:p>
          <w:p w:rsidR="00EE0DC7" w:rsidRPr="007C61BD" w:rsidRDefault="00EE0DC7" w:rsidP="00E67E76">
            <w:pPr>
              <w:rPr>
                <w:sz w:val="24"/>
                <w:szCs w:val="24"/>
              </w:rPr>
            </w:pPr>
            <w:r w:rsidRPr="007C61BD">
              <w:rPr>
                <w:b/>
                <w:i/>
                <w:sz w:val="24"/>
                <w:szCs w:val="24"/>
              </w:rPr>
              <w:t>EOT</w:t>
            </w:r>
          </w:p>
        </w:tc>
        <w:tc>
          <w:tcPr>
            <w:tcW w:w="1847"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bCs/>
                <w:i/>
                <w:iCs/>
                <w:sz w:val="24"/>
                <w:szCs w:val="24"/>
              </w:rPr>
              <w:t>104 (42 %)</w:t>
            </w:r>
          </w:p>
        </w:tc>
        <w:tc>
          <w:tcPr>
            <w:tcW w:w="1845"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bCs/>
                <w:i/>
                <w:iCs/>
                <w:sz w:val="24"/>
                <w:szCs w:val="24"/>
              </w:rPr>
              <w:t>55 (45 %)</w:t>
            </w:r>
          </w:p>
        </w:tc>
      </w:tr>
      <w:tr w:rsidR="00EE0DC7" w:rsidRPr="007C61BD" w:rsidTr="00E67E76">
        <w:tc>
          <w:tcPr>
            <w:tcW w:w="1308"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i/>
                <w:sz w:val="24"/>
                <w:szCs w:val="24"/>
              </w:rPr>
              <w:t xml:space="preserve">12 uger efter </w:t>
            </w:r>
          </w:p>
          <w:p w:rsidR="00EE0DC7" w:rsidRPr="007C61BD" w:rsidRDefault="00EE0DC7" w:rsidP="00E67E76">
            <w:pPr>
              <w:rPr>
                <w:sz w:val="24"/>
                <w:szCs w:val="24"/>
              </w:rPr>
            </w:pPr>
            <w:r w:rsidRPr="007C61BD">
              <w:rPr>
                <w:b/>
                <w:i/>
                <w:sz w:val="24"/>
                <w:szCs w:val="24"/>
              </w:rPr>
              <w:t>EOT</w:t>
            </w:r>
          </w:p>
        </w:tc>
        <w:tc>
          <w:tcPr>
            <w:tcW w:w="1847"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bCs/>
                <w:i/>
                <w:iCs/>
                <w:sz w:val="24"/>
                <w:szCs w:val="24"/>
              </w:rPr>
              <w:t>104 (42 %)</w:t>
            </w:r>
          </w:p>
        </w:tc>
        <w:tc>
          <w:tcPr>
            <w:tcW w:w="1845" w:type="pct"/>
            <w:tcBorders>
              <w:top w:val="single" w:sz="4" w:space="0" w:color="auto"/>
              <w:left w:val="single" w:sz="4" w:space="0" w:color="auto"/>
              <w:bottom w:val="single" w:sz="4" w:space="0" w:color="auto"/>
              <w:right w:val="single" w:sz="4" w:space="0" w:color="auto"/>
            </w:tcBorders>
            <w:hideMark/>
          </w:tcPr>
          <w:p w:rsidR="00EE0DC7" w:rsidRPr="007C61BD" w:rsidRDefault="00EE0DC7" w:rsidP="00E67E76">
            <w:pPr>
              <w:rPr>
                <w:sz w:val="24"/>
                <w:szCs w:val="24"/>
              </w:rPr>
            </w:pPr>
            <w:r w:rsidRPr="007C61BD">
              <w:rPr>
                <w:b/>
                <w:bCs/>
                <w:i/>
                <w:iCs/>
                <w:sz w:val="24"/>
                <w:szCs w:val="24"/>
              </w:rPr>
              <w:t>51 (42 %)</w:t>
            </w:r>
          </w:p>
        </w:tc>
      </w:tr>
    </w:tbl>
    <w:p w:rsidR="00EE0DC7" w:rsidRPr="007C61BD" w:rsidRDefault="00EE0DC7" w:rsidP="00EE0DC7">
      <w:pPr>
        <w:ind w:left="851" w:hanging="851"/>
        <w:rPr>
          <w:sz w:val="24"/>
          <w:szCs w:val="24"/>
        </w:rPr>
      </w:pPr>
    </w:p>
    <w:p w:rsidR="00EE0DC7" w:rsidRPr="007C61BD" w:rsidRDefault="00EE0DC7" w:rsidP="00EE0DC7">
      <w:pPr>
        <w:ind w:left="851"/>
        <w:rPr>
          <w:sz w:val="24"/>
          <w:szCs w:val="24"/>
          <w:u w:val="single"/>
        </w:rPr>
      </w:pPr>
      <w:r w:rsidRPr="007C61BD">
        <w:rPr>
          <w:sz w:val="24"/>
          <w:szCs w:val="24"/>
          <w:u w:val="single"/>
        </w:rPr>
        <w:t xml:space="preserve">Alvorlige refraktære </w:t>
      </w:r>
      <w:r w:rsidRPr="007C61BD">
        <w:rPr>
          <w:i/>
          <w:sz w:val="24"/>
          <w:szCs w:val="24"/>
          <w:u w:val="single"/>
        </w:rPr>
        <w:t>Candida</w:t>
      </w:r>
      <w:r w:rsidRPr="007C61BD">
        <w:rPr>
          <w:sz w:val="24"/>
          <w:szCs w:val="24"/>
          <w:u w:val="single"/>
        </w:rPr>
        <w:t>-infektioner</w:t>
      </w:r>
    </w:p>
    <w:p w:rsidR="00EE0DC7" w:rsidRPr="007C61BD" w:rsidRDefault="00EE0DC7" w:rsidP="00EE0DC7">
      <w:pPr>
        <w:ind w:left="851"/>
        <w:rPr>
          <w:sz w:val="24"/>
          <w:szCs w:val="24"/>
        </w:rPr>
      </w:pPr>
      <w:r w:rsidRPr="007C61BD">
        <w:rPr>
          <w:sz w:val="24"/>
          <w:szCs w:val="24"/>
        </w:rPr>
        <w:t xml:space="preserve">Studiet omfattede 55 patienter med alvorlige refraktære systemiske </w:t>
      </w:r>
      <w:r w:rsidRPr="007C61BD">
        <w:rPr>
          <w:i/>
          <w:sz w:val="24"/>
          <w:szCs w:val="24"/>
        </w:rPr>
        <w:t>Candida</w:t>
      </w:r>
      <w:r w:rsidRPr="007C61BD">
        <w:rPr>
          <w:sz w:val="24"/>
          <w:szCs w:val="24"/>
        </w:rPr>
        <w:t>-infektioner (herunder candidæmi, dissemineret og anden invasiv candidiasis), hvor tidligere antimykotisk behandling, især med fluconazol, ikke havde været effektiv. Positivt respons blev set hos 24 patienter (15 med fuldstændigt respons, 9 med delvist respons). I fluconazol-resistente ikke-</w:t>
      </w:r>
      <w:r w:rsidRPr="007C61BD">
        <w:rPr>
          <w:i/>
          <w:sz w:val="24"/>
          <w:szCs w:val="24"/>
        </w:rPr>
        <w:t>albicans-</w:t>
      </w:r>
      <w:r w:rsidRPr="007C61BD">
        <w:rPr>
          <w:sz w:val="24"/>
          <w:szCs w:val="24"/>
        </w:rPr>
        <w:t xml:space="preserve">arter blev der set et positivt resultat ved 3/3 infektioner med </w:t>
      </w:r>
      <w:r w:rsidRPr="007C61BD">
        <w:rPr>
          <w:i/>
          <w:sz w:val="24"/>
          <w:szCs w:val="24"/>
        </w:rPr>
        <w:t xml:space="preserve">C. krusei </w:t>
      </w:r>
      <w:r w:rsidRPr="007C61BD">
        <w:rPr>
          <w:sz w:val="24"/>
          <w:szCs w:val="24"/>
        </w:rPr>
        <w:t xml:space="preserve">(fuldstændigt respons) og 6/8 infektioner med </w:t>
      </w:r>
      <w:r w:rsidRPr="007C61BD">
        <w:rPr>
          <w:i/>
          <w:sz w:val="24"/>
          <w:szCs w:val="24"/>
        </w:rPr>
        <w:t xml:space="preserve">C. glabrata </w:t>
      </w:r>
      <w:r w:rsidRPr="007C61BD">
        <w:rPr>
          <w:sz w:val="24"/>
          <w:szCs w:val="24"/>
        </w:rPr>
        <w:t>(5 med fuldstændigt respons, 1 med delvist respons). Dataene vedrørende klinisk virkning blev understøttet af begrænsede følsomhedsdata.</w:t>
      </w:r>
    </w:p>
    <w:p w:rsidR="00EE0DC7" w:rsidRPr="007C61BD" w:rsidRDefault="00EE0DC7" w:rsidP="00EE0DC7">
      <w:pPr>
        <w:ind w:left="851"/>
        <w:rPr>
          <w:sz w:val="24"/>
          <w:szCs w:val="24"/>
        </w:rPr>
      </w:pPr>
    </w:p>
    <w:p w:rsidR="00EE0DC7" w:rsidRPr="007C61BD" w:rsidRDefault="00EE0DC7" w:rsidP="00EE0DC7">
      <w:pPr>
        <w:ind w:left="851"/>
        <w:rPr>
          <w:sz w:val="24"/>
          <w:szCs w:val="24"/>
          <w:u w:val="single"/>
        </w:rPr>
      </w:pPr>
      <w:r w:rsidRPr="007C61BD">
        <w:rPr>
          <w:i/>
          <w:sz w:val="24"/>
          <w:szCs w:val="24"/>
          <w:u w:val="single"/>
        </w:rPr>
        <w:t xml:space="preserve">Scedosporium- </w:t>
      </w:r>
      <w:r w:rsidRPr="007C61BD">
        <w:rPr>
          <w:iCs/>
          <w:sz w:val="24"/>
          <w:szCs w:val="24"/>
          <w:u w:val="single"/>
        </w:rPr>
        <w:t>og</w:t>
      </w:r>
      <w:r w:rsidRPr="007C61BD">
        <w:rPr>
          <w:i/>
          <w:sz w:val="24"/>
          <w:szCs w:val="24"/>
          <w:u w:val="single"/>
        </w:rPr>
        <w:t xml:space="preserve"> Fusarium</w:t>
      </w:r>
      <w:r w:rsidRPr="007C61BD">
        <w:rPr>
          <w:sz w:val="24"/>
          <w:szCs w:val="24"/>
          <w:u w:val="single"/>
        </w:rPr>
        <w:t>-infektioner</w:t>
      </w:r>
    </w:p>
    <w:p w:rsidR="00EE0DC7" w:rsidRPr="007C61BD" w:rsidRDefault="00EE0DC7" w:rsidP="00EE0DC7">
      <w:pPr>
        <w:ind w:left="851"/>
        <w:rPr>
          <w:sz w:val="24"/>
          <w:szCs w:val="24"/>
        </w:rPr>
      </w:pPr>
      <w:r w:rsidRPr="007C61BD">
        <w:rPr>
          <w:sz w:val="24"/>
          <w:szCs w:val="24"/>
        </w:rPr>
        <w:t>Voriconazol blev påvist at være effektivt over for følgende sjældne svampepatogener:</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i/>
          <w:sz w:val="24"/>
          <w:szCs w:val="24"/>
        </w:rPr>
        <w:lastRenderedPageBreak/>
        <w:t xml:space="preserve">Scedosporium </w:t>
      </w:r>
      <w:r w:rsidRPr="007C61BD">
        <w:rPr>
          <w:sz w:val="24"/>
          <w:szCs w:val="24"/>
        </w:rPr>
        <w:t xml:space="preserve">spp: Positivt respons på voriconazolbehandling blev set hos 16 (6 med fuldstændigt respons, 10 med delvist respons) ud af 28 patienter med </w:t>
      </w:r>
      <w:r w:rsidRPr="007C61BD">
        <w:rPr>
          <w:i/>
          <w:sz w:val="24"/>
          <w:szCs w:val="24"/>
        </w:rPr>
        <w:t xml:space="preserve">S. apiospermum </w:t>
      </w:r>
      <w:r w:rsidRPr="007C61BD">
        <w:rPr>
          <w:sz w:val="24"/>
          <w:szCs w:val="24"/>
        </w:rPr>
        <w:t xml:space="preserve">og hos 2 (begge med delvist respons) ud af 7 patienter med </w:t>
      </w:r>
      <w:r w:rsidRPr="007C61BD">
        <w:rPr>
          <w:i/>
          <w:sz w:val="24"/>
          <w:szCs w:val="24"/>
        </w:rPr>
        <w:t>S. prolificans-</w:t>
      </w:r>
      <w:r w:rsidRPr="007C61BD">
        <w:rPr>
          <w:sz w:val="24"/>
          <w:szCs w:val="24"/>
        </w:rPr>
        <w:t xml:space="preserve">infektion. Derudover blev der set et positivt respons hos 1 ud af 3 patienter med infektioner forårsaget af mere end en organisme, herunder </w:t>
      </w:r>
      <w:r w:rsidRPr="007C61BD">
        <w:rPr>
          <w:i/>
          <w:sz w:val="24"/>
          <w:szCs w:val="24"/>
        </w:rPr>
        <w:t xml:space="preserve">Scedosporium </w:t>
      </w:r>
      <w:r w:rsidRPr="007C61BD">
        <w:rPr>
          <w:sz w:val="24"/>
          <w:szCs w:val="24"/>
        </w:rPr>
        <w:t>spp.</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i/>
          <w:sz w:val="24"/>
          <w:szCs w:val="24"/>
        </w:rPr>
        <w:t xml:space="preserve">Fusarium </w:t>
      </w:r>
      <w:r w:rsidRPr="007C61BD">
        <w:rPr>
          <w:sz w:val="24"/>
          <w:szCs w:val="24"/>
        </w:rPr>
        <w:t>spp.</w:t>
      </w:r>
      <w:r>
        <w:rPr>
          <w:sz w:val="24"/>
          <w:szCs w:val="24"/>
        </w:rPr>
        <w:t>:</w:t>
      </w:r>
      <w:r w:rsidRPr="007C61BD">
        <w:rPr>
          <w:sz w:val="24"/>
          <w:szCs w:val="24"/>
        </w:rPr>
        <w:t xml:space="preserve"> Behandlingen med voriconazol var vellykket hos 7 (3 med fuldstændigt respons, 4 med delvist respons) ud af 17 patienter. Af disse 7 patienter havde 3 patienter øjeninfektion, 1 havde sinusinfektion, og 3 havde dissemineret infektion. Yderligere 4 patienter havde en </w:t>
      </w:r>
      <w:r w:rsidRPr="007C61BD">
        <w:rPr>
          <w:i/>
          <w:sz w:val="24"/>
          <w:szCs w:val="24"/>
        </w:rPr>
        <w:t>fusarium-</w:t>
      </w:r>
      <w:r w:rsidRPr="007C61BD">
        <w:rPr>
          <w:sz w:val="24"/>
          <w:szCs w:val="24"/>
        </w:rPr>
        <w:t>infektion forårsaget af adskillige organismer; 2 af dem opnåede et positivt resultat.</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Størstedelen af de patienter, der fik voriconazolbehandling for ovennævnte sjældne infektioner, var intolerante eller refraktære over for tidligere antimykotisk behandling.</w:t>
      </w:r>
    </w:p>
    <w:p w:rsidR="00EE0DC7" w:rsidRDefault="00EE0DC7" w:rsidP="00EE0DC7">
      <w:pPr>
        <w:ind w:left="851"/>
        <w:rPr>
          <w:sz w:val="24"/>
          <w:szCs w:val="24"/>
          <w:u w:val="single"/>
        </w:rPr>
      </w:pPr>
    </w:p>
    <w:p w:rsidR="00EE0DC7" w:rsidRDefault="00EE0DC7" w:rsidP="00EE0DC7">
      <w:pPr>
        <w:ind w:left="851"/>
        <w:rPr>
          <w:sz w:val="24"/>
          <w:szCs w:val="24"/>
          <w:u w:val="single"/>
        </w:rPr>
      </w:pPr>
      <w:r>
        <w:rPr>
          <w:sz w:val="24"/>
          <w:szCs w:val="24"/>
          <w:u w:val="single"/>
        </w:rPr>
        <w:t>Primær profylakse af invasive svampeinfektioner - Virkning hos HSCT-modtagere, som ikke forinden har fået påvist eller formodet IFI</w:t>
      </w:r>
    </w:p>
    <w:p w:rsidR="00EE0DC7" w:rsidRDefault="00EE0DC7" w:rsidP="00EE0DC7">
      <w:pPr>
        <w:ind w:left="851"/>
        <w:rPr>
          <w:sz w:val="24"/>
          <w:szCs w:val="24"/>
        </w:rPr>
      </w:pPr>
      <w:r>
        <w:rPr>
          <w:sz w:val="24"/>
          <w:szCs w:val="24"/>
        </w:rPr>
        <w:t>Voriconazol og itraconazol er blevet sammenlignet som primær profylakse i et komparativt multicenterstudie med åben behandling af voksne og unge modtagere af allogen HSCT uden forudgående påvisning af eller formodning om IFI. 'Succes' var defineret som 'evnen til at fortsætte profylakse med studielægemidlet i 100 dage efter HSCT (uden at stoppe i &gt; 14 dage) og overlevelse uden påvist eller formodet IFI i 180 dage efter HSCT'. Den modificerede intent-to-treat-gruppe (MITT) omfattede 465 modtagere af allogen HSCT, hvoraf 45 % havde AML. 58 % af alle patienterne fik myeloblative konditionsregimer. Den profylaktiske behandling med studielægemidlet blev startet umiddelbart efter HSCT: 224 fik voriconazol, og 241 fik itraconazol. Den gennemsnitlige varighed af profylaktisk behandling med studielægemidlet i MITT-gruppen var 96 dage med voriconazol og 68 dage med itraconazol.</w:t>
      </w:r>
    </w:p>
    <w:p w:rsidR="00EE0DC7" w:rsidRDefault="00EE0DC7" w:rsidP="00EE0DC7">
      <w:pPr>
        <w:ind w:left="851"/>
        <w:rPr>
          <w:sz w:val="24"/>
          <w:szCs w:val="24"/>
        </w:rPr>
      </w:pPr>
    </w:p>
    <w:p w:rsidR="00EE0DC7" w:rsidRDefault="00EE0DC7" w:rsidP="00EE0DC7">
      <w:pPr>
        <w:ind w:left="851"/>
        <w:rPr>
          <w:sz w:val="24"/>
          <w:szCs w:val="24"/>
        </w:rPr>
      </w:pPr>
      <w:r>
        <w:rPr>
          <w:sz w:val="24"/>
          <w:szCs w:val="24"/>
        </w:rPr>
        <w:t>Succesrater og andre sekundære endepunkter er angivet i tabellen nedenfor:</w:t>
      </w:r>
    </w:p>
    <w:p w:rsidR="00EE0DC7" w:rsidRDefault="00EE0DC7" w:rsidP="00EE0DC7">
      <w:pPr>
        <w:ind w:left="851"/>
        <w:rPr>
          <w:sz w:val="24"/>
          <w:szCs w:val="24"/>
        </w:rPr>
      </w:pPr>
    </w:p>
    <w:tbl>
      <w:tblPr>
        <w:tblW w:w="4500" w:type="pct"/>
        <w:tblInd w:w="879" w:type="dxa"/>
        <w:tblLayout w:type="fixed"/>
        <w:tblCellMar>
          <w:top w:w="28" w:type="dxa"/>
          <w:left w:w="28" w:type="dxa"/>
          <w:bottom w:w="28" w:type="dxa"/>
          <w:right w:w="28" w:type="dxa"/>
        </w:tblCellMar>
        <w:tblLook w:val="01E0" w:firstRow="1" w:lastRow="1" w:firstColumn="1" w:lastColumn="1" w:noHBand="0" w:noVBand="0"/>
      </w:tblPr>
      <w:tblGrid>
        <w:gridCol w:w="1684"/>
        <w:gridCol w:w="1554"/>
        <w:gridCol w:w="1555"/>
        <w:gridCol w:w="2169"/>
        <w:gridCol w:w="1703"/>
      </w:tblGrid>
      <w:tr w:rsidR="00EE0DC7" w:rsidTr="00E67E76">
        <w:tc>
          <w:tcPr>
            <w:tcW w:w="1684"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114"/>
              <w:rPr>
                <w:sz w:val="24"/>
                <w:szCs w:val="24"/>
              </w:rPr>
            </w:pPr>
            <w:r>
              <w:rPr>
                <w:b/>
                <w:sz w:val="24"/>
                <w:szCs w:val="24"/>
              </w:rPr>
              <w:t>Studiets endepunkter</w:t>
            </w:r>
          </w:p>
        </w:tc>
        <w:tc>
          <w:tcPr>
            <w:tcW w:w="1554"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101"/>
              <w:rPr>
                <w:sz w:val="24"/>
                <w:szCs w:val="24"/>
              </w:rPr>
            </w:pPr>
            <w:r>
              <w:rPr>
                <w:b/>
                <w:sz w:val="24"/>
                <w:szCs w:val="24"/>
              </w:rPr>
              <w:t>Voriconazol</w:t>
            </w:r>
          </w:p>
          <w:p w:rsidR="00EE0DC7" w:rsidRDefault="00EE0DC7" w:rsidP="00E67E76">
            <w:pPr>
              <w:ind w:left="101"/>
              <w:rPr>
                <w:sz w:val="24"/>
                <w:szCs w:val="24"/>
              </w:rPr>
            </w:pPr>
            <w:r>
              <w:rPr>
                <w:b/>
                <w:sz w:val="24"/>
                <w:szCs w:val="24"/>
              </w:rPr>
              <w:t>N=224</w:t>
            </w:r>
          </w:p>
        </w:tc>
        <w:tc>
          <w:tcPr>
            <w:tcW w:w="1555"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220"/>
              <w:rPr>
                <w:sz w:val="24"/>
                <w:szCs w:val="24"/>
              </w:rPr>
            </w:pPr>
            <w:r>
              <w:rPr>
                <w:b/>
                <w:sz w:val="24"/>
                <w:szCs w:val="24"/>
              </w:rPr>
              <w:t>Itraconazol</w:t>
            </w:r>
          </w:p>
          <w:p w:rsidR="00EE0DC7" w:rsidRDefault="00EE0DC7" w:rsidP="00E67E76">
            <w:pPr>
              <w:ind w:left="220"/>
              <w:rPr>
                <w:sz w:val="24"/>
                <w:szCs w:val="24"/>
              </w:rPr>
            </w:pPr>
            <w:r>
              <w:rPr>
                <w:b/>
                <w:sz w:val="24"/>
                <w:szCs w:val="24"/>
              </w:rPr>
              <w:t>N=241</w:t>
            </w:r>
          </w:p>
        </w:tc>
        <w:tc>
          <w:tcPr>
            <w:tcW w:w="2169"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196"/>
              <w:rPr>
                <w:sz w:val="24"/>
                <w:szCs w:val="24"/>
              </w:rPr>
            </w:pPr>
            <w:r>
              <w:rPr>
                <w:b/>
                <w:sz w:val="24"/>
                <w:szCs w:val="24"/>
              </w:rPr>
              <w:t>Forskel i procentdele og 95 % konfidensinterval (CI)</w:t>
            </w:r>
          </w:p>
        </w:tc>
        <w:tc>
          <w:tcPr>
            <w:tcW w:w="1703"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114"/>
              <w:rPr>
                <w:sz w:val="24"/>
                <w:szCs w:val="24"/>
              </w:rPr>
            </w:pPr>
            <w:r>
              <w:rPr>
                <w:b/>
                <w:sz w:val="24"/>
                <w:szCs w:val="24"/>
              </w:rPr>
              <w:t>P-værdi</w:t>
            </w:r>
          </w:p>
        </w:tc>
      </w:tr>
      <w:tr w:rsidR="00EE0DC7" w:rsidTr="00E67E76">
        <w:tc>
          <w:tcPr>
            <w:tcW w:w="168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Succes på dag 180*</w:t>
            </w:r>
          </w:p>
        </w:tc>
        <w:tc>
          <w:tcPr>
            <w:tcW w:w="155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01"/>
              <w:rPr>
                <w:sz w:val="24"/>
                <w:szCs w:val="24"/>
              </w:rPr>
            </w:pPr>
            <w:r>
              <w:rPr>
                <w:sz w:val="24"/>
                <w:szCs w:val="24"/>
              </w:rPr>
              <w:t>109 (48,7 %)</w:t>
            </w:r>
          </w:p>
        </w:tc>
        <w:tc>
          <w:tcPr>
            <w:tcW w:w="1555"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220"/>
              <w:rPr>
                <w:sz w:val="24"/>
                <w:szCs w:val="24"/>
              </w:rPr>
            </w:pPr>
            <w:r>
              <w:rPr>
                <w:sz w:val="24"/>
                <w:szCs w:val="24"/>
              </w:rPr>
              <w:t>80 (33,2 %)</w:t>
            </w:r>
          </w:p>
        </w:tc>
        <w:tc>
          <w:tcPr>
            <w:tcW w:w="2169"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96"/>
              <w:rPr>
                <w:sz w:val="24"/>
                <w:szCs w:val="24"/>
              </w:rPr>
            </w:pPr>
            <w:r>
              <w:rPr>
                <w:sz w:val="24"/>
                <w:szCs w:val="24"/>
              </w:rPr>
              <w:t>16,4 % (7,7 %, 25,1 </w:t>
            </w:r>
            <w:proofErr w:type="gramStart"/>
            <w:r>
              <w:rPr>
                <w:sz w:val="24"/>
                <w:szCs w:val="24"/>
              </w:rPr>
              <w:t>%)*</w:t>
            </w:r>
            <w:proofErr w:type="gramEnd"/>
            <w:r>
              <w:rPr>
                <w:sz w:val="24"/>
                <w:szCs w:val="24"/>
              </w:rPr>
              <w:t>*</w:t>
            </w:r>
          </w:p>
        </w:tc>
        <w:tc>
          <w:tcPr>
            <w:tcW w:w="170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0,0002**</w:t>
            </w:r>
          </w:p>
        </w:tc>
      </w:tr>
      <w:tr w:rsidR="00EE0DC7" w:rsidTr="00E67E76">
        <w:tc>
          <w:tcPr>
            <w:tcW w:w="168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Succes på dag 100</w:t>
            </w:r>
          </w:p>
        </w:tc>
        <w:tc>
          <w:tcPr>
            <w:tcW w:w="155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01"/>
              <w:rPr>
                <w:sz w:val="24"/>
                <w:szCs w:val="24"/>
              </w:rPr>
            </w:pPr>
            <w:r>
              <w:rPr>
                <w:sz w:val="24"/>
                <w:szCs w:val="24"/>
              </w:rPr>
              <w:t>121 (54,0 %)</w:t>
            </w:r>
          </w:p>
        </w:tc>
        <w:tc>
          <w:tcPr>
            <w:tcW w:w="1555"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220"/>
              <w:rPr>
                <w:sz w:val="24"/>
                <w:szCs w:val="24"/>
              </w:rPr>
            </w:pPr>
            <w:r>
              <w:rPr>
                <w:sz w:val="24"/>
                <w:szCs w:val="24"/>
              </w:rPr>
              <w:t>96 (39,8 %)</w:t>
            </w:r>
          </w:p>
        </w:tc>
        <w:tc>
          <w:tcPr>
            <w:tcW w:w="2169"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96"/>
              <w:rPr>
                <w:sz w:val="24"/>
                <w:szCs w:val="24"/>
              </w:rPr>
            </w:pPr>
            <w:r>
              <w:rPr>
                <w:sz w:val="24"/>
                <w:szCs w:val="24"/>
              </w:rPr>
              <w:t>15,4 % (6,6 %, 24,2 </w:t>
            </w:r>
            <w:proofErr w:type="gramStart"/>
            <w:r>
              <w:rPr>
                <w:sz w:val="24"/>
                <w:szCs w:val="24"/>
              </w:rPr>
              <w:t>%)*</w:t>
            </w:r>
            <w:proofErr w:type="gramEnd"/>
            <w:r>
              <w:rPr>
                <w:sz w:val="24"/>
                <w:szCs w:val="24"/>
              </w:rPr>
              <w:t>*</w:t>
            </w:r>
          </w:p>
        </w:tc>
        <w:tc>
          <w:tcPr>
            <w:tcW w:w="170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0,0006**</w:t>
            </w:r>
          </w:p>
        </w:tc>
      </w:tr>
      <w:tr w:rsidR="00EE0DC7" w:rsidTr="00E67E76">
        <w:tc>
          <w:tcPr>
            <w:tcW w:w="168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Fuldførte mindst 100 dage med profylaktisk behandling med studie-lægemidlet</w:t>
            </w:r>
          </w:p>
        </w:tc>
        <w:tc>
          <w:tcPr>
            <w:tcW w:w="155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01"/>
              <w:rPr>
                <w:sz w:val="24"/>
                <w:szCs w:val="24"/>
              </w:rPr>
            </w:pPr>
            <w:r>
              <w:rPr>
                <w:sz w:val="24"/>
                <w:szCs w:val="24"/>
              </w:rPr>
              <w:t>120 (53,6 %)</w:t>
            </w:r>
          </w:p>
        </w:tc>
        <w:tc>
          <w:tcPr>
            <w:tcW w:w="1555"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220"/>
              <w:rPr>
                <w:sz w:val="24"/>
                <w:szCs w:val="24"/>
              </w:rPr>
            </w:pPr>
            <w:r>
              <w:rPr>
                <w:sz w:val="24"/>
                <w:szCs w:val="24"/>
              </w:rPr>
              <w:t>94 (39,0 %)</w:t>
            </w:r>
          </w:p>
        </w:tc>
        <w:tc>
          <w:tcPr>
            <w:tcW w:w="2169"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96"/>
              <w:rPr>
                <w:sz w:val="24"/>
                <w:szCs w:val="24"/>
              </w:rPr>
            </w:pPr>
            <w:r>
              <w:rPr>
                <w:sz w:val="24"/>
                <w:szCs w:val="24"/>
              </w:rPr>
              <w:t>14,6 % (5,6 %, 23,5 %)</w:t>
            </w:r>
          </w:p>
        </w:tc>
        <w:tc>
          <w:tcPr>
            <w:tcW w:w="170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0,0015</w:t>
            </w:r>
          </w:p>
        </w:tc>
      </w:tr>
      <w:tr w:rsidR="00EE0DC7" w:rsidTr="00E67E76">
        <w:tc>
          <w:tcPr>
            <w:tcW w:w="168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Overlevede til dag 180</w:t>
            </w:r>
          </w:p>
        </w:tc>
        <w:tc>
          <w:tcPr>
            <w:tcW w:w="155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01"/>
              <w:rPr>
                <w:sz w:val="24"/>
                <w:szCs w:val="24"/>
              </w:rPr>
            </w:pPr>
            <w:r>
              <w:rPr>
                <w:sz w:val="24"/>
                <w:szCs w:val="24"/>
              </w:rPr>
              <w:t>184 (82,1 %)</w:t>
            </w:r>
          </w:p>
        </w:tc>
        <w:tc>
          <w:tcPr>
            <w:tcW w:w="1555"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220"/>
              <w:rPr>
                <w:sz w:val="24"/>
                <w:szCs w:val="24"/>
              </w:rPr>
            </w:pPr>
            <w:r>
              <w:rPr>
                <w:sz w:val="24"/>
                <w:szCs w:val="24"/>
              </w:rPr>
              <w:t>197 (81,7 %)</w:t>
            </w:r>
          </w:p>
        </w:tc>
        <w:tc>
          <w:tcPr>
            <w:tcW w:w="2169"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96"/>
              <w:rPr>
                <w:sz w:val="24"/>
                <w:szCs w:val="24"/>
              </w:rPr>
            </w:pPr>
            <w:r>
              <w:rPr>
                <w:sz w:val="24"/>
                <w:szCs w:val="24"/>
              </w:rPr>
              <w:t>0,4 % (-6,6 %, 7,4 %)</w:t>
            </w:r>
          </w:p>
        </w:tc>
        <w:tc>
          <w:tcPr>
            <w:tcW w:w="170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0,9107</w:t>
            </w:r>
          </w:p>
        </w:tc>
      </w:tr>
      <w:tr w:rsidR="00EE0DC7" w:rsidTr="00E67E76">
        <w:tc>
          <w:tcPr>
            <w:tcW w:w="168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lastRenderedPageBreak/>
              <w:t>Udviklede påvist eller formodet IFI</w:t>
            </w:r>
          </w:p>
          <w:p w:rsidR="00EE0DC7" w:rsidRDefault="00EE0DC7" w:rsidP="00E67E76">
            <w:pPr>
              <w:ind w:left="114"/>
              <w:rPr>
                <w:sz w:val="24"/>
                <w:szCs w:val="24"/>
              </w:rPr>
            </w:pPr>
            <w:r>
              <w:rPr>
                <w:sz w:val="24"/>
                <w:szCs w:val="24"/>
              </w:rPr>
              <w:t>til dag 180</w:t>
            </w:r>
          </w:p>
        </w:tc>
        <w:tc>
          <w:tcPr>
            <w:tcW w:w="155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01"/>
              <w:rPr>
                <w:sz w:val="24"/>
                <w:szCs w:val="24"/>
              </w:rPr>
            </w:pPr>
            <w:r>
              <w:rPr>
                <w:sz w:val="24"/>
                <w:szCs w:val="24"/>
              </w:rPr>
              <w:t>3 (1,3 %)</w:t>
            </w:r>
          </w:p>
        </w:tc>
        <w:tc>
          <w:tcPr>
            <w:tcW w:w="1555"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220"/>
              <w:rPr>
                <w:sz w:val="24"/>
                <w:szCs w:val="24"/>
              </w:rPr>
            </w:pPr>
            <w:r>
              <w:rPr>
                <w:sz w:val="24"/>
                <w:szCs w:val="24"/>
              </w:rPr>
              <w:t>5 (2,1 %)</w:t>
            </w:r>
          </w:p>
        </w:tc>
        <w:tc>
          <w:tcPr>
            <w:tcW w:w="2169"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96"/>
              <w:rPr>
                <w:sz w:val="24"/>
                <w:szCs w:val="24"/>
              </w:rPr>
            </w:pPr>
            <w:r>
              <w:rPr>
                <w:sz w:val="24"/>
                <w:szCs w:val="24"/>
              </w:rPr>
              <w:t>-0,7 % (-3,1 %, 1,6 %)</w:t>
            </w:r>
          </w:p>
        </w:tc>
        <w:tc>
          <w:tcPr>
            <w:tcW w:w="170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0,5390</w:t>
            </w:r>
          </w:p>
        </w:tc>
      </w:tr>
      <w:tr w:rsidR="00EE0DC7" w:rsidTr="00E67E76">
        <w:tc>
          <w:tcPr>
            <w:tcW w:w="168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Udviklede påvist eller formodet IFI</w:t>
            </w:r>
          </w:p>
          <w:p w:rsidR="00EE0DC7" w:rsidRDefault="00EE0DC7" w:rsidP="00E67E76">
            <w:pPr>
              <w:ind w:left="114"/>
              <w:rPr>
                <w:sz w:val="24"/>
                <w:szCs w:val="24"/>
              </w:rPr>
            </w:pPr>
            <w:r>
              <w:rPr>
                <w:sz w:val="24"/>
                <w:szCs w:val="24"/>
              </w:rPr>
              <w:t>inden dag 100</w:t>
            </w:r>
          </w:p>
        </w:tc>
        <w:tc>
          <w:tcPr>
            <w:tcW w:w="155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01"/>
              <w:rPr>
                <w:sz w:val="24"/>
                <w:szCs w:val="24"/>
              </w:rPr>
            </w:pPr>
            <w:r>
              <w:rPr>
                <w:sz w:val="24"/>
                <w:szCs w:val="24"/>
              </w:rPr>
              <w:t>2 (0,9 %)</w:t>
            </w:r>
          </w:p>
        </w:tc>
        <w:tc>
          <w:tcPr>
            <w:tcW w:w="1555"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220"/>
              <w:rPr>
                <w:sz w:val="24"/>
                <w:szCs w:val="24"/>
              </w:rPr>
            </w:pPr>
            <w:r>
              <w:rPr>
                <w:sz w:val="24"/>
                <w:szCs w:val="24"/>
              </w:rPr>
              <w:t>4 (1,7 %)</w:t>
            </w:r>
          </w:p>
        </w:tc>
        <w:tc>
          <w:tcPr>
            <w:tcW w:w="2169"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96"/>
              <w:rPr>
                <w:sz w:val="24"/>
                <w:szCs w:val="24"/>
              </w:rPr>
            </w:pPr>
            <w:r>
              <w:rPr>
                <w:sz w:val="24"/>
                <w:szCs w:val="24"/>
              </w:rPr>
              <w:t>-0,8 % (-2,8 %, 1,3 %)</w:t>
            </w:r>
          </w:p>
        </w:tc>
        <w:tc>
          <w:tcPr>
            <w:tcW w:w="170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0,4589</w:t>
            </w:r>
          </w:p>
        </w:tc>
      </w:tr>
      <w:tr w:rsidR="00EE0DC7" w:rsidTr="00E67E76">
        <w:tc>
          <w:tcPr>
            <w:tcW w:w="168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Udviklede påvist eller formodet IFI</w:t>
            </w:r>
          </w:p>
          <w:p w:rsidR="00EE0DC7" w:rsidRDefault="00EE0DC7" w:rsidP="00E67E76">
            <w:pPr>
              <w:ind w:left="114"/>
              <w:rPr>
                <w:sz w:val="24"/>
                <w:szCs w:val="24"/>
              </w:rPr>
            </w:pPr>
            <w:r>
              <w:rPr>
                <w:sz w:val="24"/>
                <w:szCs w:val="24"/>
              </w:rPr>
              <w:t>under behandlingen med studie-lægemidlet</w:t>
            </w:r>
          </w:p>
        </w:tc>
        <w:tc>
          <w:tcPr>
            <w:tcW w:w="1554"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01"/>
              <w:rPr>
                <w:sz w:val="24"/>
                <w:szCs w:val="24"/>
              </w:rPr>
            </w:pPr>
            <w:r>
              <w:rPr>
                <w:sz w:val="24"/>
                <w:szCs w:val="24"/>
              </w:rPr>
              <w:t>0</w:t>
            </w:r>
          </w:p>
        </w:tc>
        <w:tc>
          <w:tcPr>
            <w:tcW w:w="1555"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220"/>
              <w:rPr>
                <w:sz w:val="24"/>
                <w:szCs w:val="24"/>
              </w:rPr>
            </w:pPr>
            <w:r>
              <w:rPr>
                <w:sz w:val="24"/>
                <w:szCs w:val="24"/>
              </w:rPr>
              <w:t>3 (1,2 %)</w:t>
            </w:r>
          </w:p>
        </w:tc>
        <w:tc>
          <w:tcPr>
            <w:tcW w:w="2169"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96"/>
              <w:rPr>
                <w:sz w:val="24"/>
                <w:szCs w:val="24"/>
              </w:rPr>
            </w:pPr>
            <w:r>
              <w:rPr>
                <w:sz w:val="24"/>
                <w:szCs w:val="24"/>
              </w:rPr>
              <w:t>-1,2 % (-2,6 %, 0,2 %)</w:t>
            </w:r>
          </w:p>
        </w:tc>
        <w:tc>
          <w:tcPr>
            <w:tcW w:w="170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0,0813</w:t>
            </w:r>
          </w:p>
        </w:tc>
      </w:tr>
    </w:tbl>
    <w:p w:rsidR="00EE0DC7" w:rsidRDefault="00EE0DC7" w:rsidP="00EE0DC7">
      <w:pPr>
        <w:ind w:left="851"/>
        <w:rPr>
          <w:sz w:val="24"/>
          <w:szCs w:val="24"/>
        </w:rPr>
      </w:pPr>
      <w:r>
        <w:rPr>
          <w:sz w:val="24"/>
          <w:szCs w:val="24"/>
        </w:rPr>
        <w:t>* Primært endepunkt i studiet</w:t>
      </w:r>
    </w:p>
    <w:p w:rsidR="00EE0DC7" w:rsidRDefault="00EE0DC7" w:rsidP="00EE0DC7">
      <w:pPr>
        <w:ind w:left="851"/>
        <w:rPr>
          <w:sz w:val="24"/>
          <w:szCs w:val="24"/>
        </w:rPr>
      </w:pPr>
      <w:r>
        <w:rPr>
          <w:sz w:val="24"/>
          <w:szCs w:val="24"/>
        </w:rPr>
        <w:t>** Forskel i procentdele, 95 % CI og p-værdi indhentet efter justering for randomisering.</w:t>
      </w:r>
    </w:p>
    <w:p w:rsidR="00EE0DC7" w:rsidRDefault="00EE0DC7" w:rsidP="00EE0DC7">
      <w:pPr>
        <w:ind w:left="851"/>
        <w:rPr>
          <w:sz w:val="24"/>
          <w:szCs w:val="24"/>
        </w:rPr>
      </w:pPr>
    </w:p>
    <w:p w:rsidR="00EE0DC7" w:rsidRDefault="00EE0DC7" w:rsidP="00EE0DC7">
      <w:pPr>
        <w:ind w:left="851"/>
        <w:rPr>
          <w:sz w:val="24"/>
          <w:szCs w:val="24"/>
        </w:rPr>
      </w:pPr>
      <w:r>
        <w:rPr>
          <w:sz w:val="24"/>
          <w:szCs w:val="24"/>
        </w:rPr>
        <w:t xml:space="preserve">Hyppigheden af gennembruds-IFI frem til dag 180 og studiets primære endepunkt (succes på dag 180) hos patienter med hhv. AML og myeloblative konditioneringsregimer er angivet i tabellen nedenfor: </w:t>
      </w:r>
    </w:p>
    <w:p w:rsidR="00EE0DC7" w:rsidRDefault="00EE0DC7" w:rsidP="00EE0DC7">
      <w:pPr>
        <w:ind w:left="851"/>
        <w:rPr>
          <w:sz w:val="24"/>
          <w:szCs w:val="24"/>
        </w:rPr>
      </w:pPr>
    </w:p>
    <w:p w:rsidR="00EE0DC7" w:rsidRDefault="00EE0DC7" w:rsidP="00EE0DC7">
      <w:pPr>
        <w:ind w:left="851"/>
        <w:rPr>
          <w:sz w:val="24"/>
          <w:szCs w:val="24"/>
        </w:rPr>
      </w:pPr>
      <w:r>
        <w:rPr>
          <w:b/>
          <w:sz w:val="24"/>
          <w:szCs w:val="24"/>
        </w:rPr>
        <w:t>AML</w:t>
      </w:r>
    </w:p>
    <w:p w:rsidR="00EE0DC7" w:rsidRDefault="00EE0DC7" w:rsidP="00EE0DC7">
      <w:pPr>
        <w:ind w:left="851"/>
        <w:rPr>
          <w:sz w:val="24"/>
          <w:szCs w:val="24"/>
        </w:rPr>
      </w:pPr>
    </w:p>
    <w:tbl>
      <w:tblPr>
        <w:tblW w:w="4600" w:type="pct"/>
        <w:tblInd w:w="879" w:type="dxa"/>
        <w:tblLayout w:type="fixed"/>
        <w:tblCellMar>
          <w:top w:w="28" w:type="dxa"/>
          <w:left w:w="28" w:type="dxa"/>
          <w:bottom w:w="28" w:type="dxa"/>
          <w:right w:w="28" w:type="dxa"/>
        </w:tblCellMar>
        <w:tblLook w:val="01E0" w:firstRow="1" w:lastRow="1" w:firstColumn="1" w:lastColumn="1" w:noHBand="0" w:noVBand="0"/>
      </w:tblPr>
      <w:tblGrid>
        <w:gridCol w:w="2278"/>
        <w:gridCol w:w="1620"/>
        <w:gridCol w:w="1621"/>
        <w:gridCol w:w="3339"/>
      </w:tblGrid>
      <w:tr w:rsidR="00EE0DC7" w:rsidTr="00E67E76">
        <w:tc>
          <w:tcPr>
            <w:tcW w:w="2295"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114"/>
              <w:rPr>
                <w:sz w:val="24"/>
                <w:szCs w:val="24"/>
              </w:rPr>
            </w:pPr>
            <w:r>
              <w:rPr>
                <w:b/>
                <w:sz w:val="24"/>
                <w:szCs w:val="24"/>
              </w:rPr>
              <w:t>Studiets endepunkter</w:t>
            </w:r>
          </w:p>
        </w:tc>
        <w:tc>
          <w:tcPr>
            <w:tcW w:w="1631"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88"/>
              <w:rPr>
                <w:sz w:val="24"/>
                <w:szCs w:val="24"/>
              </w:rPr>
            </w:pPr>
            <w:r>
              <w:rPr>
                <w:b/>
                <w:sz w:val="24"/>
                <w:szCs w:val="24"/>
              </w:rPr>
              <w:t>Voriconazol</w:t>
            </w:r>
          </w:p>
          <w:p w:rsidR="00EE0DC7" w:rsidRDefault="00EE0DC7" w:rsidP="00E67E76">
            <w:pPr>
              <w:ind w:left="88"/>
              <w:rPr>
                <w:sz w:val="24"/>
                <w:szCs w:val="24"/>
              </w:rPr>
            </w:pPr>
            <w:r>
              <w:rPr>
                <w:b/>
                <w:sz w:val="24"/>
                <w:szCs w:val="24"/>
              </w:rPr>
              <w:t>(N=98)</w:t>
            </w:r>
          </w:p>
        </w:tc>
        <w:tc>
          <w:tcPr>
            <w:tcW w:w="1632"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158"/>
              <w:rPr>
                <w:sz w:val="24"/>
                <w:szCs w:val="24"/>
              </w:rPr>
            </w:pPr>
            <w:r>
              <w:rPr>
                <w:b/>
                <w:sz w:val="24"/>
                <w:szCs w:val="24"/>
              </w:rPr>
              <w:t>Itraconazol</w:t>
            </w:r>
          </w:p>
          <w:p w:rsidR="00EE0DC7" w:rsidRDefault="00EE0DC7" w:rsidP="00E67E76">
            <w:pPr>
              <w:ind w:left="158"/>
              <w:rPr>
                <w:sz w:val="24"/>
                <w:szCs w:val="24"/>
              </w:rPr>
            </w:pPr>
            <w:r>
              <w:rPr>
                <w:b/>
                <w:sz w:val="24"/>
                <w:szCs w:val="24"/>
              </w:rPr>
              <w:t>(N=109)</w:t>
            </w:r>
          </w:p>
        </w:tc>
        <w:tc>
          <w:tcPr>
            <w:tcW w:w="3363"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85"/>
              <w:rPr>
                <w:sz w:val="24"/>
                <w:szCs w:val="24"/>
              </w:rPr>
            </w:pPr>
            <w:r>
              <w:rPr>
                <w:b/>
                <w:sz w:val="24"/>
                <w:szCs w:val="24"/>
              </w:rPr>
              <w:t>Forskel i procentdele og 95 % konfidensinterval (CI)</w:t>
            </w:r>
          </w:p>
        </w:tc>
      </w:tr>
      <w:tr w:rsidR="00EE0DC7" w:rsidTr="00E67E76">
        <w:tc>
          <w:tcPr>
            <w:tcW w:w="2295"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Gennembruds-IFI - Dag 180</w:t>
            </w:r>
          </w:p>
        </w:tc>
        <w:tc>
          <w:tcPr>
            <w:tcW w:w="1631"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88"/>
              <w:rPr>
                <w:sz w:val="24"/>
                <w:szCs w:val="24"/>
              </w:rPr>
            </w:pPr>
            <w:r>
              <w:rPr>
                <w:sz w:val="24"/>
                <w:szCs w:val="24"/>
              </w:rPr>
              <w:t>1 (1,0 %)</w:t>
            </w:r>
          </w:p>
        </w:tc>
        <w:tc>
          <w:tcPr>
            <w:tcW w:w="1632"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58"/>
              <w:rPr>
                <w:sz w:val="24"/>
                <w:szCs w:val="24"/>
              </w:rPr>
            </w:pPr>
            <w:r>
              <w:rPr>
                <w:sz w:val="24"/>
                <w:szCs w:val="24"/>
              </w:rPr>
              <w:t>2 (1,8 %)</w:t>
            </w:r>
          </w:p>
        </w:tc>
        <w:tc>
          <w:tcPr>
            <w:tcW w:w="336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85"/>
              <w:rPr>
                <w:sz w:val="24"/>
                <w:szCs w:val="24"/>
              </w:rPr>
            </w:pPr>
            <w:r>
              <w:rPr>
                <w:sz w:val="24"/>
                <w:szCs w:val="24"/>
              </w:rPr>
              <w:t>-0,8 % (-4,0 %, 2,4 </w:t>
            </w:r>
            <w:proofErr w:type="gramStart"/>
            <w:r>
              <w:rPr>
                <w:sz w:val="24"/>
                <w:szCs w:val="24"/>
              </w:rPr>
              <w:t>%)*</w:t>
            </w:r>
            <w:proofErr w:type="gramEnd"/>
            <w:r>
              <w:rPr>
                <w:sz w:val="24"/>
                <w:szCs w:val="24"/>
              </w:rPr>
              <w:t>*</w:t>
            </w:r>
          </w:p>
        </w:tc>
      </w:tr>
      <w:tr w:rsidR="00EE0DC7" w:rsidTr="00E67E76">
        <w:tc>
          <w:tcPr>
            <w:tcW w:w="2295"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Succes på dag 180*</w:t>
            </w:r>
          </w:p>
        </w:tc>
        <w:tc>
          <w:tcPr>
            <w:tcW w:w="1631"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88"/>
              <w:rPr>
                <w:sz w:val="24"/>
                <w:szCs w:val="24"/>
              </w:rPr>
            </w:pPr>
            <w:r>
              <w:rPr>
                <w:sz w:val="24"/>
                <w:szCs w:val="24"/>
              </w:rPr>
              <w:t>55 (56,1 %)</w:t>
            </w:r>
          </w:p>
        </w:tc>
        <w:tc>
          <w:tcPr>
            <w:tcW w:w="1632"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58"/>
              <w:rPr>
                <w:sz w:val="24"/>
                <w:szCs w:val="24"/>
              </w:rPr>
            </w:pPr>
            <w:r>
              <w:rPr>
                <w:sz w:val="24"/>
                <w:szCs w:val="24"/>
              </w:rPr>
              <w:t>45 (41,3 %)</w:t>
            </w:r>
          </w:p>
        </w:tc>
        <w:tc>
          <w:tcPr>
            <w:tcW w:w="336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85"/>
              <w:rPr>
                <w:sz w:val="24"/>
                <w:szCs w:val="24"/>
              </w:rPr>
            </w:pPr>
            <w:r>
              <w:rPr>
                <w:sz w:val="24"/>
                <w:szCs w:val="24"/>
              </w:rPr>
              <w:t>14,7 % (1,7 %, 27,7 %)</w:t>
            </w:r>
          </w:p>
        </w:tc>
      </w:tr>
    </w:tbl>
    <w:p w:rsidR="00EE0DC7" w:rsidRDefault="00EE0DC7" w:rsidP="00EE0DC7">
      <w:pPr>
        <w:ind w:left="851"/>
        <w:rPr>
          <w:sz w:val="24"/>
          <w:szCs w:val="24"/>
        </w:rPr>
      </w:pPr>
      <w:r>
        <w:rPr>
          <w:sz w:val="24"/>
          <w:szCs w:val="24"/>
        </w:rPr>
        <w:t>* Primært endepunkt i studiet</w:t>
      </w:r>
    </w:p>
    <w:p w:rsidR="00EE0DC7" w:rsidRDefault="00EE0DC7" w:rsidP="00EE0DC7">
      <w:pPr>
        <w:ind w:left="851"/>
        <w:rPr>
          <w:sz w:val="24"/>
          <w:szCs w:val="24"/>
        </w:rPr>
      </w:pPr>
      <w:r>
        <w:rPr>
          <w:sz w:val="24"/>
          <w:szCs w:val="24"/>
        </w:rPr>
        <w:t>** Ved brug af en margin på 5 % er der påvist non-inferioritet</w:t>
      </w:r>
    </w:p>
    <w:p w:rsidR="00EE0DC7" w:rsidRDefault="00EE0DC7" w:rsidP="00EE0DC7">
      <w:pPr>
        <w:ind w:left="851"/>
        <w:rPr>
          <w:sz w:val="24"/>
          <w:szCs w:val="24"/>
        </w:rPr>
      </w:pPr>
      <w:r>
        <w:rPr>
          <w:sz w:val="24"/>
          <w:szCs w:val="24"/>
        </w:rPr>
        <w:t>*** Forskel i procentdele, 95 % CI og p-værdi indhentet efter justering for randomisering.</w:t>
      </w:r>
    </w:p>
    <w:p w:rsidR="00EE0DC7" w:rsidRDefault="00EE0DC7" w:rsidP="00EE0DC7">
      <w:pPr>
        <w:ind w:left="851"/>
        <w:rPr>
          <w:sz w:val="24"/>
          <w:szCs w:val="24"/>
        </w:rPr>
      </w:pPr>
    </w:p>
    <w:p w:rsidR="00EE0DC7" w:rsidRDefault="00EE0DC7" w:rsidP="00EE0DC7">
      <w:pPr>
        <w:ind w:left="851"/>
        <w:rPr>
          <w:sz w:val="24"/>
          <w:szCs w:val="24"/>
        </w:rPr>
      </w:pPr>
      <w:r>
        <w:rPr>
          <w:b/>
          <w:sz w:val="24"/>
          <w:szCs w:val="24"/>
        </w:rPr>
        <w:t>Myeloblative konditioneringsregimer</w:t>
      </w:r>
    </w:p>
    <w:p w:rsidR="00EE0DC7" w:rsidRDefault="00EE0DC7" w:rsidP="00EE0DC7">
      <w:pPr>
        <w:ind w:left="851"/>
        <w:rPr>
          <w:sz w:val="24"/>
          <w:szCs w:val="24"/>
        </w:rPr>
      </w:pPr>
    </w:p>
    <w:tbl>
      <w:tblPr>
        <w:tblW w:w="5000" w:type="pct"/>
        <w:tblInd w:w="879" w:type="dxa"/>
        <w:tblLayout w:type="fixed"/>
        <w:tblCellMar>
          <w:top w:w="28" w:type="dxa"/>
          <w:left w:w="28" w:type="dxa"/>
          <w:bottom w:w="28" w:type="dxa"/>
          <w:right w:w="28" w:type="dxa"/>
        </w:tblCellMar>
        <w:tblLook w:val="01E0" w:firstRow="1" w:lastRow="1" w:firstColumn="1" w:lastColumn="1" w:noHBand="0" w:noVBand="0"/>
      </w:tblPr>
      <w:tblGrid>
        <w:gridCol w:w="3046"/>
        <w:gridCol w:w="1670"/>
        <w:gridCol w:w="1572"/>
        <w:gridCol w:w="3340"/>
      </w:tblGrid>
      <w:tr w:rsidR="00EE0DC7" w:rsidTr="00E67E76">
        <w:tc>
          <w:tcPr>
            <w:tcW w:w="3067"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114"/>
              <w:rPr>
                <w:sz w:val="24"/>
                <w:szCs w:val="24"/>
              </w:rPr>
            </w:pPr>
            <w:r>
              <w:rPr>
                <w:b/>
                <w:sz w:val="24"/>
                <w:szCs w:val="24"/>
              </w:rPr>
              <w:t>Studiets endepunkter</w:t>
            </w:r>
          </w:p>
        </w:tc>
        <w:tc>
          <w:tcPr>
            <w:tcW w:w="1681"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23"/>
              <w:rPr>
                <w:sz w:val="24"/>
                <w:szCs w:val="24"/>
              </w:rPr>
            </w:pPr>
            <w:r>
              <w:rPr>
                <w:b/>
                <w:sz w:val="24"/>
                <w:szCs w:val="24"/>
              </w:rPr>
              <w:t>Voriconazol</w:t>
            </w:r>
          </w:p>
          <w:p w:rsidR="00EE0DC7" w:rsidRDefault="00EE0DC7" w:rsidP="00E67E76">
            <w:pPr>
              <w:ind w:left="23"/>
              <w:rPr>
                <w:sz w:val="24"/>
                <w:szCs w:val="24"/>
              </w:rPr>
            </w:pPr>
            <w:r>
              <w:rPr>
                <w:b/>
                <w:sz w:val="24"/>
                <w:szCs w:val="24"/>
              </w:rPr>
              <w:t>(N=125)</w:t>
            </w:r>
          </w:p>
        </w:tc>
        <w:tc>
          <w:tcPr>
            <w:tcW w:w="1583"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43"/>
              <w:rPr>
                <w:sz w:val="24"/>
                <w:szCs w:val="24"/>
              </w:rPr>
            </w:pPr>
            <w:r>
              <w:rPr>
                <w:b/>
                <w:sz w:val="24"/>
                <w:szCs w:val="24"/>
              </w:rPr>
              <w:t>Itraconazol</w:t>
            </w:r>
          </w:p>
          <w:p w:rsidR="00EE0DC7" w:rsidRDefault="00EE0DC7" w:rsidP="00E67E76">
            <w:pPr>
              <w:ind w:left="43"/>
              <w:rPr>
                <w:sz w:val="24"/>
                <w:szCs w:val="24"/>
              </w:rPr>
            </w:pPr>
            <w:r>
              <w:rPr>
                <w:b/>
                <w:sz w:val="24"/>
                <w:szCs w:val="24"/>
              </w:rPr>
              <w:t>(N=143)</w:t>
            </w:r>
          </w:p>
        </w:tc>
        <w:tc>
          <w:tcPr>
            <w:tcW w:w="3363" w:type="dxa"/>
            <w:tcBorders>
              <w:top w:val="single" w:sz="4" w:space="0" w:color="000000"/>
              <w:left w:val="single" w:sz="4" w:space="0" w:color="000000"/>
              <w:bottom w:val="single" w:sz="4" w:space="0" w:color="000000"/>
              <w:right w:val="single" w:sz="4" w:space="0" w:color="000000"/>
            </w:tcBorders>
            <w:shd w:val="clear" w:color="auto" w:fill="EEECE1"/>
            <w:hideMark/>
          </w:tcPr>
          <w:p w:rsidR="00EE0DC7" w:rsidRDefault="00EE0DC7" w:rsidP="00E67E76">
            <w:pPr>
              <w:ind w:left="161"/>
              <w:rPr>
                <w:sz w:val="24"/>
                <w:szCs w:val="24"/>
              </w:rPr>
            </w:pPr>
            <w:r>
              <w:rPr>
                <w:b/>
                <w:sz w:val="24"/>
                <w:szCs w:val="24"/>
              </w:rPr>
              <w:t>Forskel i procentdele og 95 % konfidensinterval (CI)</w:t>
            </w:r>
          </w:p>
        </w:tc>
      </w:tr>
      <w:tr w:rsidR="00EE0DC7" w:rsidTr="00E67E76">
        <w:tc>
          <w:tcPr>
            <w:tcW w:w="3067"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Gennembruds-IFI - Dag 180</w:t>
            </w:r>
          </w:p>
        </w:tc>
        <w:tc>
          <w:tcPr>
            <w:tcW w:w="1681"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23"/>
              <w:rPr>
                <w:sz w:val="24"/>
                <w:szCs w:val="24"/>
              </w:rPr>
            </w:pPr>
            <w:r>
              <w:rPr>
                <w:sz w:val="24"/>
                <w:szCs w:val="24"/>
              </w:rPr>
              <w:t>2 (1,6 %)</w:t>
            </w:r>
          </w:p>
        </w:tc>
        <w:tc>
          <w:tcPr>
            <w:tcW w:w="158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43"/>
              <w:rPr>
                <w:sz w:val="24"/>
                <w:szCs w:val="24"/>
              </w:rPr>
            </w:pPr>
            <w:r>
              <w:rPr>
                <w:sz w:val="24"/>
                <w:szCs w:val="24"/>
              </w:rPr>
              <w:t>3 (2,1 %)</w:t>
            </w:r>
          </w:p>
        </w:tc>
        <w:tc>
          <w:tcPr>
            <w:tcW w:w="336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61"/>
              <w:rPr>
                <w:sz w:val="24"/>
                <w:szCs w:val="24"/>
              </w:rPr>
            </w:pPr>
            <w:r>
              <w:rPr>
                <w:sz w:val="24"/>
                <w:szCs w:val="24"/>
              </w:rPr>
              <w:t>-0,5 % (-3,7 %, 2,7 </w:t>
            </w:r>
            <w:proofErr w:type="gramStart"/>
            <w:r>
              <w:rPr>
                <w:sz w:val="24"/>
                <w:szCs w:val="24"/>
              </w:rPr>
              <w:t>%)*</w:t>
            </w:r>
            <w:proofErr w:type="gramEnd"/>
            <w:r>
              <w:rPr>
                <w:sz w:val="24"/>
                <w:szCs w:val="24"/>
              </w:rPr>
              <w:t>*</w:t>
            </w:r>
          </w:p>
        </w:tc>
      </w:tr>
      <w:tr w:rsidR="00EE0DC7" w:rsidTr="00E67E76">
        <w:tc>
          <w:tcPr>
            <w:tcW w:w="3067"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14"/>
              <w:rPr>
                <w:sz w:val="24"/>
                <w:szCs w:val="24"/>
              </w:rPr>
            </w:pPr>
            <w:r>
              <w:rPr>
                <w:sz w:val="24"/>
                <w:szCs w:val="24"/>
              </w:rPr>
              <w:t>Succes på dag 180*</w:t>
            </w:r>
          </w:p>
        </w:tc>
        <w:tc>
          <w:tcPr>
            <w:tcW w:w="1681"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23"/>
              <w:rPr>
                <w:sz w:val="24"/>
                <w:szCs w:val="24"/>
              </w:rPr>
            </w:pPr>
            <w:r>
              <w:rPr>
                <w:sz w:val="24"/>
                <w:szCs w:val="24"/>
              </w:rPr>
              <w:t>70 (56,0 %)</w:t>
            </w:r>
          </w:p>
        </w:tc>
        <w:tc>
          <w:tcPr>
            <w:tcW w:w="158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43"/>
              <w:rPr>
                <w:sz w:val="24"/>
                <w:szCs w:val="24"/>
              </w:rPr>
            </w:pPr>
            <w:r>
              <w:rPr>
                <w:sz w:val="24"/>
                <w:szCs w:val="24"/>
              </w:rPr>
              <w:t>53 (37,1 %)</w:t>
            </w:r>
          </w:p>
        </w:tc>
        <w:tc>
          <w:tcPr>
            <w:tcW w:w="3363" w:type="dxa"/>
            <w:tcBorders>
              <w:top w:val="single" w:sz="4" w:space="0" w:color="000000"/>
              <w:left w:val="single" w:sz="4" w:space="0" w:color="000000"/>
              <w:bottom w:val="single" w:sz="4" w:space="0" w:color="000000"/>
              <w:right w:val="single" w:sz="4" w:space="0" w:color="000000"/>
            </w:tcBorders>
            <w:hideMark/>
          </w:tcPr>
          <w:p w:rsidR="00EE0DC7" w:rsidRDefault="00EE0DC7" w:rsidP="00E67E76">
            <w:pPr>
              <w:ind w:left="161"/>
              <w:rPr>
                <w:sz w:val="24"/>
                <w:szCs w:val="24"/>
              </w:rPr>
            </w:pPr>
            <w:r>
              <w:rPr>
                <w:sz w:val="24"/>
                <w:szCs w:val="24"/>
              </w:rPr>
              <w:t>20,1 % (8,5 %, 31,7 %)</w:t>
            </w:r>
          </w:p>
        </w:tc>
      </w:tr>
    </w:tbl>
    <w:p w:rsidR="00EE0DC7" w:rsidRDefault="00EE0DC7" w:rsidP="00EE0DC7">
      <w:pPr>
        <w:ind w:left="851"/>
        <w:rPr>
          <w:sz w:val="24"/>
          <w:szCs w:val="24"/>
        </w:rPr>
      </w:pPr>
      <w:r>
        <w:rPr>
          <w:sz w:val="24"/>
          <w:szCs w:val="24"/>
        </w:rPr>
        <w:t>* Primært endepunkt i studiet</w:t>
      </w:r>
    </w:p>
    <w:p w:rsidR="00EE0DC7" w:rsidRDefault="00EE0DC7" w:rsidP="00EE0DC7">
      <w:pPr>
        <w:ind w:left="851"/>
        <w:rPr>
          <w:sz w:val="24"/>
          <w:szCs w:val="24"/>
        </w:rPr>
      </w:pPr>
      <w:r>
        <w:rPr>
          <w:sz w:val="24"/>
          <w:szCs w:val="24"/>
        </w:rPr>
        <w:t>** Ved brug af en margin på 5 % er der påvist non-inferioritet</w:t>
      </w:r>
    </w:p>
    <w:p w:rsidR="00EE0DC7" w:rsidRDefault="00EE0DC7" w:rsidP="00EE0DC7">
      <w:pPr>
        <w:ind w:left="851"/>
        <w:rPr>
          <w:sz w:val="24"/>
          <w:szCs w:val="24"/>
        </w:rPr>
      </w:pPr>
      <w:r>
        <w:rPr>
          <w:sz w:val="24"/>
          <w:szCs w:val="24"/>
        </w:rPr>
        <w:t>*** Forskel i procentdele, 95 % CI og p-værdi indhentet efter justering for randomisering.</w:t>
      </w:r>
    </w:p>
    <w:p w:rsidR="00EE0DC7" w:rsidRDefault="00EE0DC7" w:rsidP="00EE0DC7">
      <w:pPr>
        <w:ind w:left="851"/>
        <w:rPr>
          <w:sz w:val="24"/>
          <w:szCs w:val="24"/>
        </w:rPr>
      </w:pPr>
    </w:p>
    <w:p w:rsidR="00EE0DC7" w:rsidRDefault="00EE0DC7" w:rsidP="00EE0DC7">
      <w:pPr>
        <w:ind w:left="851"/>
        <w:rPr>
          <w:sz w:val="24"/>
          <w:szCs w:val="24"/>
        </w:rPr>
      </w:pPr>
      <w:r>
        <w:rPr>
          <w:sz w:val="24"/>
          <w:szCs w:val="24"/>
        </w:rPr>
        <w:t>Sekundær profylakse af IFI - Virkning hos HSCT-modtagere med forinden påvist eller formodet IFI</w:t>
      </w:r>
      <w:r>
        <w:rPr>
          <w:sz w:val="24"/>
          <w:szCs w:val="24"/>
        </w:rPr>
        <w:br/>
        <w:t xml:space="preserve">Voriconazol som sekundær profylakse er blevet evalueret i et ikke-komparativt multicenterstudie med åben behandling af voksne modtagere af allogen HSCT med forinden påvist eller formodet IFI. Det primære endepunkt var hyppigheden af fremkomst af påvist eller formodet IFI i løbet af det første år efter HSCT. MITT-gruppen omfattede 40 </w:t>
      </w:r>
      <w:r>
        <w:rPr>
          <w:sz w:val="24"/>
          <w:szCs w:val="24"/>
        </w:rPr>
        <w:lastRenderedPageBreak/>
        <w:t>patienter med forudgående IFI, herunder 31 med aspergillos, 5 med candidiasis og 4 med anden IFI. Den gennemsnitlige varighed af profylaktisk behandling med studielægemidlet i MITT-gruppen var 95,5 dage.</w:t>
      </w:r>
    </w:p>
    <w:p w:rsidR="00EE0DC7" w:rsidRDefault="00EE0DC7" w:rsidP="00EE0DC7">
      <w:pPr>
        <w:ind w:left="851"/>
        <w:rPr>
          <w:sz w:val="24"/>
          <w:szCs w:val="24"/>
        </w:rPr>
      </w:pPr>
    </w:p>
    <w:p w:rsidR="00EE0DC7" w:rsidRDefault="00EE0DC7" w:rsidP="00EE0DC7">
      <w:pPr>
        <w:ind w:left="851"/>
        <w:rPr>
          <w:sz w:val="24"/>
          <w:szCs w:val="24"/>
        </w:rPr>
      </w:pPr>
      <w:r>
        <w:rPr>
          <w:sz w:val="24"/>
          <w:szCs w:val="24"/>
        </w:rPr>
        <w:t>Hos 7,5 % af patienterne (3/40) blev der påvist eller formodet IFI’er i løbet af det først år efter HSCT, herunder en candidæmi, en scedosporiosis (i begge tilfælde recidiv af tidligere IFI) og en zygomycosis. Overlevelsesfrekvensen var 80,0 % (32/40) på dag 180 og 70,0 % (28/40) efter 1 år.</w:t>
      </w:r>
    </w:p>
    <w:p w:rsidR="00EE0DC7" w:rsidRPr="007C61BD" w:rsidRDefault="00EE0DC7" w:rsidP="00EE0DC7">
      <w:pPr>
        <w:ind w:left="851"/>
        <w:rPr>
          <w:sz w:val="24"/>
          <w:szCs w:val="24"/>
        </w:rPr>
      </w:pPr>
    </w:p>
    <w:p w:rsidR="00EE0DC7" w:rsidRPr="007C61BD" w:rsidRDefault="00EE0DC7" w:rsidP="00EE0DC7">
      <w:pPr>
        <w:keepNext/>
        <w:ind w:left="851"/>
        <w:rPr>
          <w:sz w:val="24"/>
          <w:szCs w:val="24"/>
          <w:u w:val="single"/>
        </w:rPr>
      </w:pPr>
      <w:r w:rsidRPr="007C61BD">
        <w:rPr>
          <w:sz w:val="24"/>
          <w:szCs w:val="24"/>
          <w:u w:val="single"/>
        </w:rPr>
        <w:t>Varighed af behandlingen</w:t>
      </w:r>
    </w:p>
    <w:p w:rsidR="00EE0DC7" w:rsidRDefault="00EE0DC7" w:rsidP="00EE0DC7">
      <w:pPr>
        <w:ind w:left="851"/>
        <w:rPr>
          <w:sz w:val="24"/>
          <w:szCs w:val="24"/>
        </w:rPr>
      </w:pPr>
      <w:r>
        <w:rPr>
          <w:sz w:val="24"/>
          <w:szCs w:val="24"/>
        </w:rPr>
        <w:t>I kliniske studier fik 705 patienter voriconazolbehandling i mere end 12 uger, heraf fik 164 patienter voriconazol i over 6 måneder.</w:t>
      </w:r>
    </w:p>
    <w:p w:rsidR="00EE0DC7" w:rsidRPr="007C61BD" w:rsidRDefault="00EE0DC7" w:rsidP="00EE0DC7">
      <w:pPr>
        <w:ind w:left="851"/>
        <w:rPr>
          <w:sz w:val="24"/>
          <w:szCs w:val="24"/>
        </w:rPr>
      </w:pPr>
    </w:p>
    <w:p w:rsidR="00EE0DC7" w:rsidRPr="007C61BD" w:rsidRDefault="00EE0DC7" w:rsidP="00EE0DC7">
      <w:pPr>
        <w:ind w:left="851"/>
        <w:rPr>
          <w:sz w:val="24"/>
          <w:szCs w:val="24"/>
          <w:u w:val="single"/>
        </w:rPr>
      </w:pPr>
      <w:r w:rsidRPr="007C61BD">
        <w:rPr>
          <w:sz w:val="24"/>
          <w:szCs w:val="24"/>
          <w:u w:val="single"/>
        </w:rPr>
        <w:t>Pædiatrisk population</w:t>
      </w:r>
    </w:p>
    <w:p w:rsidR="00EE0DC7" w:rsidRDefault="00EE0DC7" w:rsidP="00EE0DC7">
      <w:pPr>
        <w:ind w:left="851"/>
        <w:rPr>
          <w:sz w:val="24"/>
          <w:szCs w:val="24"/>
        </w:rPr>
      </w:pPr>
      <w:r>
        <w:rPr>
          <w:sz w:val="24"/>
          <w:szCs w:val="24"/>
        </w:rPr>
        <w:t>53 pædiatriske patienter i alderen 2 til &lt;18 år blev behandlet med voriconazol i to kliniske prospektive, åbne, ikke-komparative, multicenterstudier. Det ene studie omfattede 31 patienter med mulig, påvist eller sandsynlig invasiv aspergillose (IA), hvoraf 14 patienter havde påvist eller sandsynlig IA og blev inkluderet i MITT-effektanalyserne. Det andet studie omfattede 22 patienter med invasiv candidiasis, herunder candidaæmi (ICC) og øsofagal candidiasis (EC), som krævede enten primær eller substituerende behandling, hvoraf 17 blev inkluderet i MITT-effektanalyserne. For patienter med IA var de samlede procentsatser for global respons efter 6 uger 64,3 % (9/14), procentsatsen for det globale respons var 40 % (2/5) for patienter på 2 til &lt;12 år og 77,8 % (7/9) for patienter på 12 til &lt;18 år. For patienter med ICC var procentsatsen for det globale respons ved EOT 85,7 % (6/7), og for patienter med EC var procentsatsen for det globale respons ved EOT 70 % (7/10). Den samlede procentsats for respons (ICC sammenlagt med EC) var 88,9 % (8/9) for 2 til &lt;12 år og 62,5 % (5/8) for 12 til &lt;18 år.</w:t>
      </w:r>
    </w:p>
    <w:p w:rsidR="00EE0DC7" w:rsidRPr="007C61BD" w:rsidRDefault="00EE0DC7" w:rsidP="00EE0DC7">
      <w:pPr>
        <w:ind w:left="851"/>
        <w:rPr>
          <w:sz w:val="24"/>
          <w:szCs w:val="24"/>
        </w:rPr>
      </w:pPr>
    </w:p>
    <w:p w:rsidR="00EE0DC7" w:rsidRDefault="00EE0DC7" w:rsidP="00EE0DC7">
      <w:pPr>
        <w:ind w:left="851"/>
        <w:rPr>
          <w:sz w:val="24"/>
          <w:szCs w:val="24"/>
          <w:u w:val="single"/>
        </w:rPr>
      </w:pPr>
      <w:r>
        <w:rPr>
          <w:sz w:val="24"/>
          <w:szCs w:val="24"/>
          <w:u w:val="single"/>
        </w:rPr>
        <w:t>Kliniske studier med undersøgelser af QTc-intervallet</w:t>
      </w:r>
    </w:p>
    <w:p w:rsidR="00EE0DC7" w:rsidRDefault="00EE0DC7" w:rsidP="00EE0DC7">
      <w:pPr>
        <w:ind w:left="851"/>
        <w:rPr>
          <w:sz w:val="24"/>
          <w:szCs w:val="24"/>
        </w:rPr>
      </w:pPr>
      <w:r>
        <w:rPr>
          <w:sz w:val="24"/>
          <w:szCs w:val="24"/>
        </w:rPr>
        <w:t>Der er udført et placebokontrolleret, randomiseret, enkeltdosis- og overkrydsningsforsøg med 3 orale doser af voriconazol og ketoconazol for at undersøge effekten på QTc-intervallet hos raske frivillige forsøgspersoner. De placebo-justerede gennemsnitlige maksimale stigninger i QTc i forhold til baseline efter 800 mg, 1.200 mg og 1.600 mg voriconazol var henholdsvis 5,1 msek., 4,8 msek. og 8,2 msek. og 7,0 msek. efter ketoconazol 800 mg. Ingen forsøgspersoner i nogen af grupperne havde en stigning i QTc på ≥ 60 msek. i forhold til baseline. Ingen forsøgspersoner oplevede et interval, der oversteg den potentielt klinisk relevante grænse på 500 msek.</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5.2</w:t>
      </w:r>
      <w:r w:rsidRPr="007C61BD">
        <w:rPr>
          <w:b/>
          <w:sz w:val="24"/>
          <w:szCs w:val="24"/>
        </w:rPr>
        <w:tab/>
        <w:t>Farmakokinetiske egenskaber</w:t>
      </w:r>
    </w:p>
    <w:p w:rsidR="00EE0DC7" w:rsidRPr="007C61BD" w:rsidRDefault="00EE0DC7" w:rsidP="00EE0DC7">
      <w:pPr>
        <w:ind w:left="851" w:hanging="851"/>
        <w:rPr>
          <w:sz w:val="24"/>
          <w:szCs w:val="24"/>
          <w:u w:val="single"/>
        </w:rPr>
      </w:pPr>
      <w:r w:rsidRPr="007C61BD">
        <w:rPr>
          <w:sz w:val="24"/>
          <w:szCs w:val="24"/>
        </w:rPr>
        <w:tab/>
      </w:r>
      <w:r w:rsidRPr="007C61BD">
        <w:rPr>
          <w:sz w:val="24"/>
          <w:szCs w:val="24"/>
          <w:u w:val="single"/>
        </w:rPr>
        <w:t>Generelle farmakokinetiske karakteristika</w:t>
      </w:r>
    </w:p>
    <w:p w:rsidR="00EE0DC7" w:rsidRPr="007C61BD" w:rsidRDefault="00EE0DC7" w:rsidP="00EE0DC7">
      <w:pPr>
        <w:ind w:left="851" w:hanging="851"/>
        <w:rPr>
          <w:sz w:val="24"/>
          <w:szCs w:val="24"/>
        </w:rPr>
      </w:pPr>
      <w:r>
        <w:rPr>
          <w:sz w:val="24"/>
          <w:szCs w:val="24"/>
        </w:rPr>
        <w:tab/>
      </w:r>
      <w:r w:rsidRPr="007C61BD">
        <w:rPr>
          <w:sz w:val="24"/>
          <w:szCs w:val="24"/>
        </w:rPr>
        <w:t>Voriconazols farmakokinetik er beskrevet hos raske forsøgspersoner, specielle populationer og patienter. Ved oral administration af 200 mg eller 300 mg to gange dagligt i 14 dage hos patienter med risiko for aspergillose (hovedsageligt patienter med ondartede svulster i det lymfatiske eller hæmatopoietiske væv) svarede de observerede farmakokinetiske karakteristika i form af hurtig og ensartet absorption, akkumulering og ikke-lineær farmakokinetik til, hvad man har observeret hos raske forsøgspersoner.</w:t>
      </w:r>
    </w:p>
    <w:p w:rsidR="00EE0DC7" w:rsidRPr="007C61BD" w:rsidRDefault="00EE0DC7" w:rsidP="00EE0DC7">
      <w:pPr>
        <w:ind w:left="851" w:hanging="851"/>
        <w:rPr>
          <w:sz w:val="24"/>
          <w:szCs w:val="24"/>
        </w:rPr>
      </w:pPr>
    </w:p>
    <w:p w:rsidR="00EE0DC7" w:rsidRPr="007C61BD" w:rsidRDefault="00EE0DC7" w:rsidP="00EE0DC7">
      <w:pPr>
        <w:ind w:left="851" w:hanging="851"/>
        <w:rPr>
          <w:sz w:val="24"/>
          <w:szCs w:val="24"/>
        </w:rPr>
      </w:pPr>
      <w:r>
        <w:rPr>
          <w:sz w:val="24"/>
          <w:szCs w:val="24"/>
        </w:rPr>
        <w:tab/>
      </w:r>
      <w:r w:rsidRPr="007C61BD">
        <w:rPr>
          <w:sz w:val="24"/>
          <w:szCs w:val="24"/>
        </w:rPr>
        <w:t>Voriconazols farmakokinetik er ikke-lineær på grund af mætning af dets metabolisme. En forholdsmæssig større stigning i eksponering er set med stigende dosis. Det skønnes, at en stigning i den orale dosis fra 200 mg to gange dagligt til 300 mg to gange dagligt gennemsnitligt fører til en 2,5-folds stigning i eksponeringen (AUC</w:t>
      </w:r>
      <w:r w:rsidRPr="007C61BD">
        <w:rPr>
          <w:sz w:val="24"/>
          <w:szCs w:val="24"/>
          <w:vertAlign w:val="subscript"/>
          <w:lang w:val="en-US"/>
        </w:rPr>
        <w:t>τ</w:t>
      </w:r>
      <w:r w:rsidRPr="007C61BD">
        <w:rPr>
          <w:sz w:val="24"/>
          <w:szCs w:val="24"/>
        </w:rPr>
        <w:t xml:space="preserve">). Den orale </w:t>
      </w:r>
      <w:r w:rsidRPr="007C61BD">
        <w:rPr>
          <w:sz w:val="24"/>
          <w:szCs w:val="24"/>
        </w:rPr>
        <w:lastRenderedPageBreak/>
        <w:t>vedligeholdelsesdosis på 200 mg (eller 100 mg hos patienter &lt; 40 kg) resulterer i en voriconazoleksponering svarende til 3 mg/kg i.v. En oral vedligeholdelsesdosis på 300 mg (eller 150 mg hos patienter &lt; 40 kg) resulterer i en eksponering svarende til 4 mg/kg i.v. Når den anbefalede intravenøse eller orale initialdosis gives, opnås der plasmakoncentrationer tæt på steady state inden for de første 24 timer. Uden initialdosis forekommer der akkumulering ved gentagen dosering to gange dagligt, og hos de fleste personer opnås der steady state-koncentrationer af voriconazol i plasma inden dag 6.</w:t>
      </w:r>
    </w:p>
    <w:p w:rsidR="00EE0DC7" w:rsidRPr="007C61BD" w:rsidRDefault="00EE0DC7" w:rsidP="00EE0DC7">
      <w:pPr>
        <w:ind w:left="851" w:hanging="851"/>
        <w:rPr>
          <w:sz w:val="24"/>
          <w:szCs w:val="24"/>
        </w:rPr>
      </w:pPr>
    </w:p>
    <w:p w:rsidR="00EE0DC7" w:rsidRPr="007C61BD" w:rsidRDefault="00EE0DC7" w:rsidP="00EE0DC7">
      <w:pPr>
        <w:keepNext/>
        <w:ind w:left="851"/>
        <w:rPr>
          <w:sz w:val="24"/>
          <w:szCs w:val="24"/>
          <w:u w:val="single"/>
        </w:rPr>
      </w:pPr>
      <w:r w:rsidRPr="007C61BD">
        <w:rPr>
          <w:sz w:val="24"/>
          <w:szCs w:val="24"/>
          <w:u w:val="single"/>
        </w:rPr>
        <w:t>Absorption</w:t>
      </w:r>
    </w:p>
    <w:p w:rsidR="00EE0DC7" w:rsidRPr="007C61BD" w:rsidRDefault="00EE0DC7" w:rsidP="00EE0DC7">
      <w:pPr>
        <w:ind w:left="851"/>
        <w:rPr>
          <w:sz w:val="24"/>
          <w:szCs w:val="24"/>
        </w:rPr>
      </w:pPr>
      <w:r w:rsidRPr="007C61BD">
        <w:rPr>
          <w:sz w:val="24"/>
          <w:szCs w:val="24"/>
        </w:rPr>
        <w:t>Voriconazol absorberes hurtigt og næsten fuldstændigt efter oral administration, idet de maksimale plasmakoncentrationer (C</w:t>
      </w:r>
      <w:r w:rsidRPr="007C61BD">
        <w:rPr>
          <w:sz w:val="24"/>
          <w:szCs w:val="24"/>
          <w:vertAlign w:val="subscript"/>
        </w:rPr>
        <w:t>max</w:t>
      </w:r>
      <w:r w:rsidRPr="007C61BD">
        <w:rPr>
          <w:sz w:val="24"/>
          <w:szCs w:val="24"/>
        </w:rPr>
        <w:t>) opnås 1-2 timer efter dosering. Den absolutte biotilgængelighed af voriconazol efter oral administration er anslået til 96 %. Når flere doser af voriconazol administreres med fedtholdige måltider, reduceres C</w:t>
      </w:r>
      <w:r w:rsidRPr="007C61BD">
        <w:rPr>
          <w:sz w:val="24"/>
          <w:szCs w:val="24"/>
          <w:vertAlign w:val="subscript"/>
        </w:rPr>
        <w:t xml:space="preserve">max </w:t>
      </w:r>
      <w:r w:rsidRPr="007C61BD">
        <w:rPr>
          <w:sz w:val="24"/>
          <w:szCs w:val="24"/>
        </w:rPr>
        <w:t>og AUC</w:t>
      </w:r>
      <w:r w:rsidRPr="007C61BD">
        <w:rPr>
          <w:sz w:val="24"/>
          <w:szCs w:val="24"/>
          <w:vertAlign w:val="subscript"/>
        </w:rPr>
        <w:t xml:space="preserve">τ </w:t>
      </w:r>
      <w:r w:rsidRPr="007C61BD">
        <w:rPr>
          <w:sz w:val="24"/>
          <w:szCs w:val="24"/>
        </w:rPr>
        <w:t>med hhv. 34 % og 24 %. Absorptionen af voriconazol påvirkes ikke af ændringer i mavesyrens pH.</w:t>
      </w:r>
    </w:p>
    <w:p w:rsidR="00EE0DC7" w:rsidRPr="007C61BD" w:rsidRDefault="00EE0DC7" w:rsidP="00EE0DC7">
      <w:pPr>
        <w:ind w:left="851"/>
        <w:rPr>
          <w:sz w:val="24"/>
          <w:szCs w:val="24"/>
        </w:rPr>
      </w:pPr>
    </w:p>
    <w:p w:rsidR="00EE0DC7" w:rsidRDefault="00EE0DC7" w:rsidP="00EE0DC7">
      <w:pPr>
        <w:ind w:left="851"/>
        <w:rPr>
          <w:sz w:val="24"/>
          <w:szCs w:val="24"/>
          <w:u w:val="single"/>
        </w:rPr>
      </w:pPr>
      <w:r>
        <w:rPr>
          <w:sz w:val="24"/>
          <w:szCs w:val="24"/>
          <w:u w:val="single"/>
        </w:rPr>
        <w:t>Fordeling</w:t>
      </w:r>
    </w:p>
    <w:p w:rsidR="00EE0DC7" w:rsidRPr="007C61BD" w:rsidRDefault="00EE0DC7" w:rsidP="00EE0DC7">
      <w:pPr>
        <w:ind w:left="851"/>
        <w:rPr>
          <w:sz w:val="24"/>
          <w:szCs w:val="24"/>
        </w:rPr>
      </w:pPr>
      <w:r w:rsidRPr="007C61BD">
        <w:rPr>
          <w:sz w:val="24"/>
          <w:szCs w:val="24"/>
        </w:rPr>
        <w:t xml:space="preserve">Fordelingsvoluminet ved steady state for voriconazol er anslået til at være 4,6 </w:t>
      </w:r>
      <w:r w:rsidR="00BF2CA8">
        <w:rPr>
          <w:sz w:val="24"/>
          <w:szCs w:val="24"/>
        </w:rPr>
        <w:t>L</w:t>
      </w:r>
      <w:r w:rsidRPr="007C61BD">
        <w:rPr>
          <w:sz w:val="24"/>
          <w:szCs w:val="24"/>
        </w:rPr>
        <w:t xml:space="preserve">/kg, hvilket indikerer udbredt fordeling til vævene. Plasmaproteinbindingen anslås til 58 %. Prøver af cerebrospinalvæsken fra 8 patienter i et </w:t>
      </w:r>
      <w:r w:rsidRPr="007C61BD">
        <w:rPr>
          <w:i/>
          <w:sz w:val="24"/>
          <w:szCs w:val="24"/>
        </w:rPr>
        <w:t>compassionate use</w:t>
      </w:r>
      <w:r w:rsidRPr="007C61BD">
        <w:rPr>
          <w:sz w:val="24"/>
          <w:szCs w:val="24"/>
        </w:rPr>
        <w:t>-program viste målbare voriconazolkoncentrationer hos alle patienter.</w:t>
      </w:r>
    </w:p>
    <w:p w:rsidR="00EE0DC7" w:rsidRPr="007C61BD" w:rsidRDefault="00EE0DC7" w:rsidP="00EE0DC7">
      <w:pPr>
        <w:ind w:left="851"/>
        <w:rPr>
          <w:sz w:val="24"/>
          <w:szCs w:val="24"/>
        </w:rPr>
      </w:pPr>
    </w:p>
    <w:p w:rsidR="00EE0DC7" w:rsidRPr="007C61BD" w:rsidRDefault="00EE0DC7" w:rsidP="00EE0DC7">
      <w:pPr>
        <w:ind w:left="851"/>
        <w:rPr>
          <w:sz w:val="24"/>
          <w:szCs w:val="24"/>
          <w:u w:val="single"/>
        </w:rPr>
      </w:pPr>
      <w:r w:rsidRPr="007C61BD">
        <w:rPr>
          <w:sz w:val="24"/>
          <w:szCs w:val="24"/>
          <w:u w:val="single"/>
        </w:rPr>
        <w:t>Biotransformation</w:t>
      </w:r>
    </w:p>
    <w:p w:rsidR="00EE0DC7" w:rsidRPr="007C61BD" w:rsidRDefault="00EE0DC7" w:rsidP="00EE0DC7">
      <w:pPr>
        <w:ind w:left="851"/>
        <w:rPr>
          <w:sz w:val="24"/>
          <w:szCs w:val="24"/>
        </w:rPr>
      </w:pPr>
      <w:r w:rsidRPr="007C61BD">
        <w:rPr>
          <w:i/>
          <w:sz w:val="24"/>
          <w:szCs w:val="24"/>
        </w:rPr>
        <w:t>In vitro-</w:t>
      </w:r>
      <w:r w:rsidRPr="007C61BD">
        <w:rPr>
          <w:sz w:val="24"/>
          <w:szCs w:val="24"/>
        </w:rPr>
        <w:t>forsøg har vist, at voriconazol metaboliseres via leverens cytokrom P450-isoenzymer CYP2C19, CYP2C9 og CYP3A4.</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Den inter-individuelle variabilitet af voriconazols farmakokinetik er høj.</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i/>
          <w:sz w:val="24"/>
          <w:szCs w:val="24"/>
        </w:rPr>
        <w:t>In vivo-</w:t>
      </w:r>
      <w:r w:rsidRPr="007C61BD">
        <w:rPr>
          <w:sz w:val="24"/>
          <w:szCs w:val="24"/>
        </w:rPr>
        <w:t>forsøg antyder, at CYP2C19 er signifikant involveret i voriconazols metabolisme. Dette enzym udviser genetisk polymorfi. For eksempel forventes det, at 15-20 % af de asiatiske populationer vil have ringe metabolisering. Blandt kaukasiere og personer af negroid afstamning er prævalensen af personer med dårlig metaboliseringsevne 3-5 %. Studier udført blandt kaukasiske og japanske raske forsøgspersoner har vist, at personer med dårlig metaboliseringsevne gennemsnitligt har 4 gange højere voriconazoleksponering (AUC</w:t>
      </w:r>
      <w:r w:rsidRPr="007C61BD">
        <w:rPr>
          <w:sz w:val="24"/>
          <w:szCs w:val="24"/>
          <w:vertAlign w:val="subscript"/>
          <w:lang w:val="en-US"/>
        </w:rPr>
        <w:t>τ</w:t>
      </w:r>
      <w:r w:rsidRPr="007C61BD">
        <w:rPr>
          <w:sz w:val="24"/>
          <w:szCs w:val="24"/>
        </w:rPr>
        <w:t>) end deres homozygotisk kraftigt metaboliserende modstykker. Personer, som er heterozygotisk kraftigt metaboliserende, har gennemsnitligt to gange højere voriconazoleksponering end deres homozygotisk kraftigt metaboliserende modstykker.</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Hovedmetabolitten af voriconazol er N-oxid, der står for 72 % af de cirkulerende, radioaktivt mærkede metabolitter i plasma. Denne metabolit har minimal antimykotisk effekt, og den bidrager ikke til voriconazols samlede effekt.</w:t>
      </w:r>
    </w:p>
    <w:p w:rsidR="00EE0DC7" w:rsidRPr="007C61BD" w:rsidRDefault="00EE0DC7" w:rsidP="00EE0DC7">
      <w:pPr>
        <w:ind w:left="851"/>
        <w:rPr>
          <w:sz w:val="24"/>
          <w:szCs w:val="24"/>
        </w:rPr>
      </w:pPr>
    </w:p>
    <w:p w:rsidR="00EE0DC7" w:rsidRPr="007C61BD" w:rsidRDefault="00EE0DC7" w:rsidP="00EE0DC7">
      <w:pPr>
        <w:ind w:left="851"/>
        <w:rPr>
          <w:sz w:val="24"/>
          <w:szCs w:val="24"/>
          <w:u w:val="single"/>
        </w:rPr>
      </w:pPr>
      <w:r w:rsidRPr="007C61BD">
        <w:rPr>
          <w:sz w:val="24"/>
          <w:szCs w:val="24"/>
          <w:u w:val="single"/>
        </w:rPr>
        <w:t>Elimination</w:t>
      </w:r>
    </w:p>
    <w:p w:rsidR="00EE0DC7" w:rsidRPr="007C61BD" w:rsidRDefault="00EE0DC7" w:rsidP="00EE0DC7">
      <w:pPr>
        <w:ind w:left="851"/>
        <w:rPr>
          <w:sz w:val="24"/>
          <w:szCs w:val="24"/>
        </w:rPr>
      </w:pPr>
      <w:r w:rsidRPr="007C61BD">
        <w:rPr>
          <w:sz w:val="24"/>
          <w:szCs w:val="24"/>
        </w:rPr>
        <w:t>Voriconazol udskilles ved levermetabolisme, og mindre end 2 % af dosis udskilles uforandret i urinen.</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Efter administration af en radioaktivt mærket dosis af voriconazol bliver næsten 80 % af radioaktiviteten genfundet i urinen efter gentagne intravenøse doser og 83 % i urinen efter gentagne orale doser. Størstedelen (&gt; 94 %) af den totale radioaktivitet bliver udskilt i de første 96 timer efter både oral og intravenøs dosering.</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lastRenderedPageBreak/>
        <w:t>Voriconazols terminale halveringstid afhænger af dosis og er ca. 6 timer ved 200 mg (oralt). Grundet ikke-lineær farmakokinetik kan halveringstiden ikke anvendes til at beregne akkumuleringen eller udskillelsen af voriconazol.</w:t>
      </w:r>
    </w:p>
    <w:p w:rsidR="00EE0DC7" w:rsidRPr="007C61BD" w:rsidRDefault="00EE0DC7" w:rsidP="00EE0DC7">
      <w:pPr>
        <w:ind w:left="851"/>
        <w:rPr>
          <w:sz w:val="24"/>
          <w:szCs w:val="24"/>
        </w:rPr>
      </w:pPr>
    </w:p>
    <w:p w:rsidR="00EE0DC7" w:rsidRPr="007C61BD" w:rsidRDefault="00EE0DC7" w:rsidP="00EE0DC7">
      <w:pPr>
        <w:keepNext/>
        <w:ind w:left="851"/>
        <w:rPr>
          <w:sz w:val="24"/>
          <w:szCs w:val="24"/>
          <w:u w:val="single"/>
        </w:rPr>
      </w:pPr>
      <w:r w:rsidRPr="007C61BD">
        <w:rPr>
          <w:sz w:val="24"/>
          <w:szCs w:val="24"/>
          <w:u w:val="single"/>
        </w:rPr>
        <w:t>Farmakokinetik i specielle patientgrupper</w:t>
      </w:r>
    </w:p>
    <w:p w:rsidR="00EE0DC7" w:rsidRPr="007C61BD" w:rsidRDefault="00EE0DC7" w:rsidP="00EE0DC7">
      <w:pPr>
        <w:keepNext/>
        <w:ind w:left="851"/>
        <w:rPr>
          <w:sz w:val="24"/>
          <w:szCs w:val="24"/>
        </w:rPr>
      </w:pPr>
    </w:p>
    <w:p w:rsidR="00EE0DC7" w:rsidRPr="008E5389" w:rsidRDefault="00EE0DC7" w:rsidP="00EE0DC7">
      <w:pPr>
        <w:keepNext/>
        <w:ind w:left="851"/>
        <w:rPr>
          <w:i/>
          <w:sz w:val="24"/>
          <w:szCs w:val="24"/>
        </w:rPr>
      </w:pPr>
      <w:r w:rsidRPr="008E5389">
        <w:rPr>
          <w:i/>
          <w:sz w:val="24"/>
          <w:szCs w:val="24"/>
        </w:rPr>
        <w:t>Køn</w:t>
      </w:r>
    </w:p>
    <w:p w:rsidR="00EE0DC7" w:rsidRPr="007C61BD" w:rsidRDefault="00EE0DC7" w:rsidP="00EE0DC7">
      <w:pPr>
        <w:ind w:left="851"/>
        <w:rPr>
          <w:sz w:val="24"/>
          <w:szCs w:val="24"/>
        </w:rPr>
      </w:pPr>
      <w:r w:rsidRPr="007C61BD">
        <w:rPr>
          <w:sz w:val="24"/>
          <w:szCs w:val="24"/>
        </w:rPr>
        <w:t>I et studie med gentagen oral dosering hos raske, unge kvinder var C</w:t>
      </w:r>
      <w:r w:rsidRPr="007C61BD">
        <w:rPr>
          <w:sz w:val="24"/>
          <w:szCs w:val="24"/>
          <w:vertAlign w:val="subscript"/>
        </w:rPr>
        <w:t>max</w:t>
      </w:r>
      <w:r w:rsidRPr="007C61BD">
        <w:rPr>
          <w:sz w:val="24"/>
          <w:szCs w:val="24"/>
        </w:rPr>
        <w:t xml:space="preserve"> og AUC</w:t>
      </w:r>
      <w:r w:rsidRPr="007C61BD">
        <w:rPr>
          <w:sz w:val="24"/>
          <w:szCs w:val="24"/>
          <w:vertAlign w:val="subscript"/>
          <w:lang w:val="en-US"/>
        </w:rPr>
        <w:t>τ</w:t>
      </w:r>
      <w:r w:rsidRPr="007C61BD">
        <w:rPr>
          <w:sz w:val="24"/>
          <w:szCs w:val="24"/>
        </w:rPr>
        <w:t xml:space="preserve"> henholdsvis 83 % og 113 % højere end hos raske, unge mænd (18-45 år). I samme studie blev der ikke observeret signifikante forskelle i C</w:t>
      </w:r>
      <w:r w:rsidRPr="007C61BD">
        <w:rPr>
          <w:sz w:val="24"/>
          <w:szCs w:val="24"/>
          <w:vertAlign w:val="subscript"/>
        </w:rPr>
        <w:t>max</w:t>
      </w:r>
      <w:r w:rsidRPr="007C61BD">
        <w:rPr>
          <w:sz w:val="24"/>
          <w:szCs w:val="24"/>
        </w:rPr>
        <w:t xml:space="preserve"> og AUC</w:t>
      </w:r>
      <w:r w:rsidRPr="007C61BD">
        <w:rPr>
          <w:sz w:val="24"/>
          <w:szCs w:val="24"/>
          <w:vertAlign w:val="subscript"/>
          <w:lang w:val="en-US"/>
        </w:rPr>
        <w:t>τ</w:t>
      </w:r>
      <w:r w:rsidRPr="007C61BD">
        <w:rPr>
          <w:sz w:val="24"/>
          <w:szCs w:val="24"/>
        </w:rPr>
        <w:t xml:space="preserve"> mellem raske, ældre mænd og raske, ældre, kvinder (≥ 65 år).</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Der blev ikke foretaget nogen dosisjusteringer på baggrund af køn i det kliniske program. Der blev set lignende sikkerhedsprofil og plasmakoncentrationer hos mandlige og kvindelige patienter. Derfor er det ikke nødvendigt med dosisjustering på baggrund af køn.</w:t>
      </w:r>
    </w:p>
    <w:p w:rsidR="00EE0DC7" w:rsidRPr="007C61BD" w:rsidRDefault="00EE0DC7" w:rsidP="00EE0DC7">
      <w:pPr>
        <w:ind w:left="851"/>
        <w:rPr>
          <w:sz w:val="24"/>
          <w:szCs w:val="24"/>
        </w:rPr>
      </w:pPr>
    </w:p>
    <w:p w:rsidR="00EE0DC7" w:rsidRPr="008E5389" w:rsidRDefault="00EE0DC7" w:rsidP="00EE0DC7">
      <w:pPr>
        <w:ind w:left="851"/>
        <w:rPr>
          <w:i/>
          <w:sz w:val="24"/>
          <w:szCs w:val="24"/>
        </w:rPr>
      </w:pPr>
      <w:r w:rsidRPr="008E5389">
        <w:rPr>
          <w:i/>
          <w:sz w:val="24"/>
          <w:szCs w:val="24"/>
        </w:rPr>
        <w:t>Ældre</w:t>
      </w:r>
    </w:p>
    <w:p w:rsidR="00EE0DC7" w:rsidRPr="007C61BD" w:rsidRDefault="00EE0DC7" w:rsidP="00EE0DC7">
      <w:pPr>
        <w:ind w:left="851"/>
        <w:rPr>
          <w:sz w:val="24"/>
          <w:szCs w:val="24"/>
        </w:rPr>
      </w:pPr>
      <w:r w:rsidRPr="007C61BD">
        <w:rPr>
          <w:sz w:val="24"/>
          <w:szCs w:val="24"/>
        </w:rPr>
        <w:t>I et studie med gentagen oral dosering hos raske, ældre mænd var C</w:t>
      </w:r>
      <w:r w:rsidRPr="007C61BD">
        <w:rPr>
          <w:sz w:val="24"/>
          <w:szCs w:val="24"/>
          <w:vertAlign w:val="subscript"/>
        </w:rPr>
        <w:t>max</w:t>
      </w:r>
      <w:r w:rsidRPr="007C61BD">
        <w:rPr>
          <w:sz w:val="24"/>
          <w:szCs w:val="24"/>
        </w:rPr>
        <w:t xml:space="preserve"> og AUC</w:t>
      </w:r>
      <w:r w:rsidRPr="007C61BD">
        <w:rPr>
          <w:sz w:val="24"/>
          <w:szCs w:val="24"/>
          <w:vertAlign w:val="subscript"/>
          <w:lang w:val="en-US"/>
        </w:rPr>
        <w:t>τ</w:t>
      </w:r>
      <w:r w:rsidRPr="007C61BD">
        <w:rPr>
          <w:sz w:val="24"/>
          <w:szCs w:val="24"/>
        </w:rPr>
        <w:t xml:space="preserve"> henholdsvis 61 % og 86 % højere end hos raske, unge mænd (18-45 år). Der blev ikke observeret nogen signifikante forskelle i C</w:t>
      </w:r>
      <w:r w:rsidRPr="007C61BD">
        <w:rPr>
          <w:sz w:val="24"/>
          <w:szCs w:val="24"/>
          <w:vertAlign w:val="subscript"/>
        </w:rPr>
        <w:t>max</w:t>
      </w:r>
      <w:r w:rsidRPr="007C61BD">
        <w:rPr>
          <w:sz w:val="24"/>
          <w:szCs w:val="24"/>
        </w:rPr>
        <w:t xml:space="preserve"> og AUC</w:t>
      </w:r>
      <w:r w:rsidRPr="007C61BD">
        <w:rPr>
          <w:sz w:val="24"/>
          <w:szCs w:val="24"/>
          <w:vertAlign w:val="subscript"/>
        </w:rPr>
        <w:t>τ</w:t>
      </w:r>
      <w:r w:rsidRPr="007C61BD">
        <w:rPr>
          <w:sz w:val="24"/>
          <w:szCs w:val="24"/>
        </w:rPr>
        <w:t xml:space="preserve"> mellem raske, ældre kvinder (≥ 65 år) og raske, unge kvinder (18-45 år).</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I de kliniske studier blev der ikke foretaget dosisjusteringer på baggrund af alder. Der blev observeret en sammenhæng mellem plasmakoncentrationer og alder. Voriconazols sikkerhedsprofil var ens hos både unge og ældre patienter, hvorfor en dosisjustering hos ældre ikke er nødvendig (se pkt. 4.2).</w:t>
      </w:r>
    </w:p>
    <w:p w:rsidR="00EE0DC7" w:rsidRPr="007C61BD" w:rsidRDefault="00EE0DC7" w:rsidP="00EE0DC7">
      <w:pPr>
        <w:ind w:left="851"/>
        <w:rPr>
          <w:sz w:val="24"/>
          <w:szCs w:val="24"/>
        </w:rPr>
      </w:pPr>
    </w:p>
    <w:p w:rsidR="00EE0DC7" w:rsidRPr="008E5389" w:rsidRDefault="00EE0DC7" w:rsidP="00EE0DC7">
      <w:pPr>
        <w:ind w:left="851"/>
        <w:rPr>
          <w:i/>
          <w:sz w:val="24"/>
          <w:szCs w:val="24"/>
        </w:rPr>
      </w:pPr>
      <w:r w:rsidRPr="008E5389">
        <w:rPr>
          <w:i/>
          <w:sz w:val="24"/>
          <w:szCs w:val="24"/>
        </w:rPr>
        <w:t>Pædiatrisk population</w:t>
      </w:r>
    </w:p>
    <w:p w:rsidR="00EE0DC7" w:rsidRPr="007C61BD" w:rsidRDefault="00EE0DC7" w:rsidP="00EE0DC7">
      <w:pPr>
        <w:ind w:left="851"/>
        <w:rPr>
          <w:sz w:val="24"/>
          <w:szCs w:val="24"/>
        </w:rPr>
      </w:pPr>
      <w:r w:rsidRPr="007C61BD">
        <w:rPr>
          <w:sz w:val="24"/>
          <w:szCs w:val="24"/>
        </w:rPr>
        <w:t>De anbefalede doser til børn og unge er baseret på en farmakokinetisk populationsanalyse af data fra 112 immunkompromitterede pædiatriske patienter i alderen 2 til &lt; 12 år og 26 immunkompromitterede unge patienter i alderen 12 til &lt; 17 år. Multiple intravenøse doser på 3, 4, 6, 7 og 8 mg/kg to gange dagligt og multiple orale doser (pulver til oral suspension) på 4 mg/kg, 6 mg/kg samt 200 mg to gange dagligt blev evalueret i 3 pædiatriske farmakokinetiske studier. Intravenøs initialdosis på 6 mg/kg to gange dagligt på dag 1 efterfulgt af 4 mg/kg i.v. to gange dagligt eller 300 mg som orale tabletter to gange dagligt blev evalueret i et farmakokinetik-studie med unge. Der blev set større inter-individuel variation mellem de pædiatriske patienter end hos voksne.</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En sammenligning af de farmakokinetiske populationsdata fra børn og voksne indikerer, at den forventede totale eksponering (AUC</w:t>
      </w:r>
      <w:r w:rsidRPr="007C61BD">
        <w:rPr>
          <w:sz w:val="24"/>
          <w:szCs w:val="24"/>
          <w:vertAlign w:val="subscript"/>
          <w:lang w:val="en-US"/>
        </w:rPr>
        <w:t>τ</w:t>
      </w:r>
      <w:r w:rsidRPr="007C61BD">
        <w:rPr>
          <w:sz w:val="24"/>
          <w:szCs w:val="24"/>
        </w:rPr>
        <w:t>) hos børn efter administration af en intravenøs initialdosis på 9 mg/kg var sammenlignelig med eksponeringen hos voksne efter en intravenøs initialdosis på 6 mg/kg. Den forventede totale eksponering hos børn efter intravenøse vedligeholdelsesdoser på 4 mg/kg og 8 mg/kg to gange dagligt var sammenlignelig med eksponeringen hos voksne efter intravenøse doser på hhv. 3 mg/kg og 4 mg/kg to gange dagligt. Den forventede totale eksponering hos børn efter en oral vedligeholdelsesdosis på 9 mg/kg (maksimalt 350 mg) to gange dagligt var sammenlignelig med eksponeringen hos voksne efter oral behandling med 200 mg 2 gange dagligt. En 8 mg/kg intravenøs dosis giver en voriconazoleksponering, der er ca. 2 gange højere end den, der ses ved en 9 mg/kg oral dosis.</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lastRenderedPageBreak/>
        <w:t>Den intravenøse vedligeholdelsesdosis er forholdsmæssigt højere hos pædiatriske patienter end hos voksne. Dette skyldes højere eliminationskapacitet hos pædiatriske patienter pga. større levermasse i forhold til legemsvægt. Hos pædiatriske patienter med malabsorption og meget lav legemsvægt i forhold til deres alder kan den orale biotilgængelighed imidlertid være begrænset. I så tilfælde anbefales intravenøs administration af voriconazol.</w:t>
      </w:r>
    </w:p>
    <w:p w:rsidR="00EE0DC7" w:rsidRPr="007C61BD" w:rsidRDefault="00EE0DC7" w:rsidP="00EE0DC7">
      <w:pPr>
        <w:ind w:left="851"/>
        <w:rPr>
          <w:sz w:val="24"/>
          <w:szCs w:val="24"/>
        </w:rPr>
      </w:pPr>
    </w:p>
    <w:p w:rsidR="00EE0DC7" w:rsidRPr="007C61BD" w:rsidRDefault="00EE0DC7" w:rsidP="00EE0DC7">
      <w:pPr>
        <w:ind w:left="851"/>
        <w:rPr>
          <w:sz w:val="24"/>
          <w:szCs w:val="24"/>
        </w:rPr>
      </w:pPr>
      <w:r w:rsidRPr="007C61BD">
        <w:rPr>
          <w:sz w:val="24"/>
          <w:szCs w:val="24"/>
        </w:rPr>
        <w:t>Hos størstedelen af de unge patienter var voriconazoleksponeringen sammenlignelig med eksponeringen hos voksne, der fik samme dosisregimen. Sammenlignet med voksne blev der dog set lavere voriconazoleksponering hos nogle unge med lav legemsvægt. Metaboliseringen af voriconazol hos sådanne patienter ligner sandsynligvis mere metaboliseringen hos børn end hos voksne. Baseret på den farmakokinetiske populationsanalyse skal 12- til 14-årige unge, der vejer under 50 kg, have børnedosis (se pkt. 4.2).</w:t>
      </w:r>
    </w:p>
    <w:p w:rsidR="00EE0DC7" w:rsidRPr="007C61BD" w:rsidRDefault="00EE0DC7" w:rsidP="00EE0DC7">
      <w:pPr>
        <w:ind w:left="851"/>
        <w:rPr>
          <w:sz w:val="24"/>
          <w:szCs w:val="24"/>
        </w:rPr>
      </w:pPr>
    </w:p>
    <w:p w:rsidR="00EE0DC7" w:rsidRPr="008E5389" w:rsidRDefault="00EE0DC7" w:rsidP="00EE0DC7">
      <w:pPr>
        <w:ind w:left="851"/>
        <w:rPr>
          <w:i/>
          <w:sz w:val="24"/>
          <w:szCs w:val="24"/>
        </w:rPr>
      </w:pPr>
      <w:r w:rsidRPr="008E5389">
        <w:rPr>
          <w:i/>
          <w:sz w:val="24"/>
          <w:szCs w:val="24"/>
        </w:rPr>
        <w:t>Nedsat nyrefunktion</w:t>
      </w:r>
    </w:p>
    <w:p w:rsidR="00EE0DC7" w:rsidRDefault="00EE0DC7" w:rsidP="00EE0DC7">
      <w:pPr>
        <w:ind w:left="851"/>
        <w:rPr>
          <w:sz w:val="24"/>
          <w:szCs w:val="24"/>
        </w:rPr>
      </w:pPr>
      <w:r>
        <w:rPr>
          <w:sz w:val="24"/>
          <w:szCs w:val="24"/>
        </w:rPr>
        <w:t>I et studie med orale enkeltdoser (200 mg) hos patienter med normal nyrefunktion og mildt (kreatininclearance 41-60 ml/min) til svært (kreatininclearance &lt; 20 ml/min) nedsat nyrefunktion var voriconazols farmakokinetik ikke signifikant påvirket af nedsat nyrefunktion. Voriconazols plasmaproteinbinding var den samme hos patienter med forskellige grader af nedsat nyrefunktion (se pkt. 4.2 og 4.4).</w:t>
      </w:r>
    </w:p>
    <w:p w:rsidR="00EE0DC7" w:rsidRPr="007C61BD" w:rsidRDefault="00EE0DC7" w:rsidP="00EE0DC7">
      <w:pPr>
        <w:rPr>
          <w:sz w:val="24"/>
          <w:szCs w:val="24"/>
        </w:rPr>
      </w:pPr>
    </w:p>
    <w:p w:rsidR="00EE0DC7" w:rsidRPr="008E5389" w:rsidRDefault="00EE0DC7" w:rsidP="00EE0DC7">
      <w:pPr>
        <w:ind w:left="851"/>
        <w:rPr>
          <w:i/>
          <w:sz w:val="24"/>
          <w:szCs w:val="24"/>
        </w:rPr>
      </w:pPr>
      <w:r w:rsidRPr="008E5389">
        <w:rPr>
          <w:i/>
          <w:sz w:val="24"/>
          <w:szCs w:val="24"/>
        </w:rPr>
        <w:t>Nedsat leverfunktion</w:t>
      </w:r>
    </w:p>
    <w:p w:rsidR="00EE0DC7" w:rsidRPr="007C61BD" w:rsidRDefault="00EE0DC7" w:rsidP="00EE0DC7">
      <w:pPr>
        <w:ind w:left="851"/>
        <w:rPr>
          <w:sz w:val="24"/>
          <w:szCs w:val="24"/>
        </w:rPr>
      </w:pPr>
      <w:r w:rsidRPr="007C61BD">
        <w:rPr>
          <w:sz w:val="24"/>
          <w:szCs w:val="24"/>
        </w:rPr>
        <w:t>Efter en oral enkeltdosis (200 mg) var AUC 233 % højere hos personer med mild til moderat levercirrose (Child-Pugh-klasse A og B) end hos personer med normal leverfunktion. Proteinbindingen af voriconazol var ikke påvirket af nedsat leverfunktion.</w:t>
      </w:r>
    </w:p>
    <w:p w:rsidR="00EE0DC7" w:rsidRPr="007C61BD" w:rsidRDefault="00EE0DC7" w:rsidP="00EE0DC7">
      <w:pPr>
        <w:ind w:left="851"/>
        <w:rPr>
          <w:sz w:val="24"/>
          <w:szCs w:val="24"/>
        </w:rPr>
      </w:pPr>
    </w:p>
    <w:p w:rsidR="00EE0DC7" w:rsidRDefault="00EE0DC7" w:rsidP="00EE0DC7">
      <w:pPr>
        <w:ind w:left="851"/>
        <w:rPr>
          <w:sz w:val="24"/>
          <w:szCs w:val="24"/>
        </w:rPr>
      </w:pPr>
      <w:r w:rsidRPr="007C61BD">
        <w:rPr>
          <w:sz w:val="24"/>
          <w:szCs w:val="24"/>
        </w:rPr>
        <w:t>I et studie med gentagen oral dosering var AUC</w:t>
      </w:r>
      <w:r w:rsidRPr="007C61BD">
        <w:rPr>
          <w:sz w:val="24"/>
          <w:szCs w:val="24"/>
          <w:vertAlign w:val="subscript"/>
          <w:lang w:val="en-US"/>
        </w:rPr>
        <w:t>τ</w:t>
      </w:r>
      <w:r w:rsidRPr="007C61BD">
        <w:rPr>
          <w:sz w:val="24"/>
          <w:szCs w:val="24"/>
        </w:rPr>
        <w:t xml:space="preserve"> ens hos personer med moderat levercirrose (Child-Pugh-klasse B), der fik en vedligeholdelsesdosis på 100 mg to gange dagligt, og personer med normal leverfunktion, der fik 200 mg to gange dagligt. Der er ingen tilgængelige farmakokinetiske data vedrørende patienter med svær levercirrose (Child-Pugh-klasse C), (se pkt. 4.2 og 4.4).</w:t>
      </w:r>
    </w:p>
    <w:p w:rsidR="00EE0DC7" w:rsidRPr="007C61BD" w:rsidRDefault="00EE0DC7" w:rsidP="00EE0DC7">
      <w:pPr>
        <w:ind w:left="851"/>
        <w:rPr>
          <w:sz w:val="24"/>
          <w:szCs w:val="24"/>
        </w:rPr>
      </w:pPr>
    </w:p>
    <w:p w:rsidR="00EE0DC7" w:rsidRPr="007C61BD" w:rsidRDefault="00EE0DC7" w:rsidP="00EE0DC7">
      <w:pPr>
        <w:ind w:left="851" w:hanging="851"/>
        <w:rPr>
          <w:b/>
          <w:sz w:val="24"/>
          <w:szCs w:val="24"/>
        </w:rPr>
      </w:pPr>
      <w:r w:rsidRPr="007C61BD">
        <w:rPr>
          <w:b/>
          <w:sz w:val="24"/>
          <w:szCs w:val="24"/>
        </w:rPr>
        <w:t>5.3</w:t>
      </w:r>
      <w:r w:rsidRPr="007C61BD">
        <w:rPr>
          <w:b/>
          <w:sz w:val="24"/>
          <w:szCs w:val="24"/>
        </w:rPr>
        <w:tab/>
      </w:r>
      <w:r w:rsidR="00C44E2D">
        <w:rPr>
          <w:b/>
          <w:sz w:val="24"/>
          <w:szCs w:val="24"/>
        </w:rPr>
        <w:t>Non-</w:t>
      </w:r>
      <w:r w:rsidRPr="007C61BD">
        <w:rPr>
          <w:b/>
          <w:sz w:val="24"/>
          <w:szCs w:val="24"/>
        </w:rPr>
        <w:t>kliniske sikkerhedsdata</w:t>
      </w:r>
    </w:p>
    <w:p w:rsidR="00EE0DC7" w:rsidRDefault="00EE0DC7" w:rsidP="00EE0DC7">
      <w:pPr>
        <w:ind w:left="851" w:hanging="851"/>
        <w:rPr>
          <w:sz w:val="24"/>
          <w:szCs w:val="24"/>
        </w:rPr>
      </w:pPr>
      <w:r w:rsidRPr="007C61BD">
        <w:rPr>
          <w:sz w:val="24"/>
          <w:szCs w:val="24"/>
        </w:rPr>
        <w:tab/>
      </w:r>
      <w:r>
        <w:rPr>
          <w:sz w:val="24"/>
          <w:szCs w:val="24"/>
        </w:rPr>
        <w:t xml:space="preserve">Forsøg vedrørende toksicitet efter gentagne doser af voriconazol tyder på, at leveren er målorganet. Ligesom med andre antimykotiske midler blev der set hepatotoksicitet ved plasmaeksponeringer, der svarer til dem, der ses med terapeutiske doser hos mennesker. </w:t>
      </w:r>
    </w:p>
    <w:p w:rsidR="00EE0DC7" w:rsidRDefault="00EE0DC7" w:rsidP="00EE0DC7">
      <w:pPr>
        <w:ind w:left="851" w:hanging="851"/>
        <w:rPr>
          <w:sz w:val="24"/>
          <w:szCs w:val="24"/>
        </w:rPr>
      </w:pPr>
      <w:r>
        <w:rPr>
          <w:sz w:val="24"/>
          <w:szCs w:val="24"/>
        </w:rPr>
        <w:tab/>
        <w:t>Hos rotter, mus og hunde inducerede voriconazol også minimale adrenale forandringer. Prækliniske data viser ingen speciel risiko for mennesker vurderet ud fra konventionelle studier af sikkerhedsfarmakologi, genotoksicitet og karcinogenicitet.</w:t>
      </w:r>
    </w:p>
    <w:p w:rsidR="00EE0DC7" w:rsidRPr="007C61BD" w:rsidRDefault="00EE0DC7" w:rsidP="00EE0DC7">
      <w:pPr>
        <w:ind w:left="851" w:hanging="851"/>
        <w:rPr>
          <w:sz w:val="24"/>
          <w:szCs w:val="24"/>
        </w:rPr>
      </w:pPr>
    </w:p>
    <w:p w:rsidR="00EE0DC7" w:rsidRPr="007C61BD" w:rsidRDefault="00EE0DC7" w:rsidP="00EE0DC7">
      <w:pPr>
        <w:ind w:left="851" w:hanging="851"/>
        <w:rPr>
          <w:sz w:val="24"/>
          <w:szCs w:val="24"/>
        </w:rPr>
      </w:pPr>
      <w:r>
        <w:rPr>
          <w:sz w:val="24"/>
          <w:szCs w:val="24"/>
        </w:rPr>
        <w:tab/>
      </w:r>
      <w:r w:rsidRPr="007C61BD">
        <w:rPr>
          <w:sz w:val="24"/>
          <w:szCs w:val="24"/>
        </w:rPr>
        <w:t>I reproduktionsforsøg har voriconazol vist sig at være teratogent hos rotter og embryotoksisk hos kaniner ved systemiske eksponeringer, der svarer til dem, der ses med terapeutiske doser hos mennesker. I undersøgelser af den præ- og postnatale udvikling hos rotter med eksponeringer, der var lavere end dem, der opnås hos mennesker med terapeutiske doser, forlængede voriconazol gestations- og fødselsvarigheden, medførte dystoci og deraf følgende maternel mortalitet og reducerede den perinatale overlevelse af afkommet. Effekterne på fødslen er sandsynligvis medieret af artsspecifikke mekanismer, der omfatter fald i østradiolniveauer, og stemmer overens med de effekter, der er observeret med andre azol-antimykotika. Dyrestudier viste ikke nedsat fertilitet hos på han- og hunrotter efter eksponeringer svarende til dem, der opnås hos mennesker efter indgift af voriconazol i terapeutiske doser.</w:t>
      </w:r>
    </w:p>
    <w:p w:rsidR="00EE0DC7" w:rsidRPr="007C61BD" w:rsidRDefault="00EE0DC7" w:rsidP="00EE0DC7">
      <w:pPr>
        <w:ind w:left="851" w:hanging="851"/>
        <w:rPr>
          <w:sz w:val="24"/>
          <w:szCs w:val="24"/>
        </w:rPr>
      </w:pPr>
    </w:p>
    <w:p w:rsidR="00EE0DC7" w:rsidRPr="007C61BD" w:rsidRDefault="00EE0DC7" w:rsidP="00EE0DC7">
      <w:pPr>
        <w:ind w:left="851" w:hanging="851"/>
        <w:rPr>
          <w:sz w:val="24"/>
          <w:szCs w:val="24"/>
        </w:rPr>
      </w:pPr>
    </w:p>
    <w:p w:rsidR="00EE0DC7" w:rsidRPr="007C61BD" w:rsidRDefault="00EE0DC7" w:rsidP="00EE0DC7">
      <w:pPr>
        <w:keepNext/>
        <w:ind w:left="851" w:hanging="851"/>
        <w:rPr>
          <w:b/>
          <w:sz w:val="24"/>
          <w:szCs w:val="24"/>
        </w:rPr>
      </w:pPr>
      <w:r w:rsidRPr="007C61BD">
        <w:rPr>
          <w:b/>
          <w:sz w:val="24"/>
          <w:szCs w:val="24"/>
        </w:rPr>
        <w:t>6.</w:t>
      </w:r>
      <w:r w:rsidRPr="007C61BD">
        <w:rPr>
          <w:b/>
          <w:sz w:val="24"/>
          <w:szCs w:val="24"/>
        </w:rPr>
        <w:tab/>
        <w:t>FARMACEUTISKE OPLYSNINGER</w:t>
      </w:r>
    </w:p>
    <w:p w:rsidR="00EE0DC7" w:rsidRPr="007C61BD" w:rsidRDefault="00EE0DC7" w:rsidP="00EE0DC7">
      <w:pPr>
        <w:keepNext/>
        <w:ind w:left="851" w:hanging="851"/>
        <w:rPr>
          <w:b/>
          <w:sz w:val="24"/>
          <w:szCs w:val="24"/>
        </w:rPr>
      </w:pPr>
    </w:p>
    <w:p w:rsidR="00EE0DC7" w:rsidRPr="007C61BD" w:rsidRDefault="00EE0DC7" w:rsidP="00EE0DC7">
      <w:pPr>
        <w:keepNext/>
        <w:ind w:left="851" w:hanging="851"/>
        <w:rPr>
          <w:b/>
          <w:sz w:val="24"/>
          <w:szCs w:val="24"/>
        </w:rPr>
      </w:pPr>
      <w:r w:rsidRPr="007C61BD">
        <w:rPr>
          <w:b/>
          <w:sz w:val="24"/>
          <w:szCs w:val="24"/>
        </w:rPr>
        <w:t>6.1</w:t>
      </w:r>
      <w:r w:rsidRPr="007C61BD">
        <w:rPr>
          <w:b/>
          <w:sz w:val="24"/>
          <w:szCs w:val="24"/>
        </w:rPr>
        <w:tab/>
        <w:t>Hjælpestoffer</w:t>
      </w:r>
    </w:p>
    <w:p w:rsidR="00EE0DC7" w:rsidRPr="007C61BD" w:rsidRDefault="00EE0DC7" w:rsidP="00EE0DC7">
      <w:pPr>
        <w:ind w:left="851"/>
        <w:rPr>
          <w:sz w:val="24"/>
          <w:szCs w:val="24"/>
        </w:rPr>
      </w:pPr>
      <w:r w:rsidRPr="007C61BD">
        <w:rPr>
          <w:i/>
          <w:sz w:val="24"/>
          <w:szCs w:val="24"/>
        </w:rPr>
        <w:t xml:space="preserve">Tabletkerne: </w:t>
      </w:r>
    </w:p>
    <w:p w:rsidR="00EE0DC7" w:rsidRPr="007C61BD" w:rsidRDefault="00EE0DC7" w:rsidP="00EE0DC7">
      <w:pPr>
        <w:ind w:left="851"/>
        <w:rPr>
          <w:sz w:val="24"/>
          <w:szCs w:val="24"/>
        </w:rPr>
      </w:pPr>
      <w:r w:rsidRPr="007C61BD">
        <w:rPr>
          <w:sz w:val="24"/>
          <w:szCs w:val="24"/>
        </w:rPr>
        <w:t>Lactosemonohydrat</w:t>
      </w:r>
    </w:p>
    <w:p w:rsidR="00EE0DC7" w:rsidRPr="007C61BD" w:rsidRDefault="00EE0DC7" w:rsidP="00EE0DC7">
      <w:pPr>
        <w:ind w:left="851"/>
        <w:rPr>
          <w:sz w:val="24"/>
          <w:szCs w:val="24"/>
        </w:rPr>
      </w:pPr>
      <w:r w:rsidRPr="007C61BD">
        <w:rPr>
          <w:sz w:val="24"/>
          <w:szCs w:val="24"/>
        </w:rPr>
        <w:t>Prægelatineret majsstivelse</w:t>
      </w:r>
    </w:p>
    <w:p w:rsidR="00EE0DC7" w:rsidRPr="00574146" w:rsidRDefault="00EE0DC7" w:rsidP="00EE0DC7">
      <w:pPr>
        <w:ind w:left="851"/>
        <w:rPr>
          <w:sz w:val="24"/>
          <w:szCs w:val="24"/>
          <w:lang w:val="en-US"/>
        </w:rPr>
      </w:pPr>
      <w:r w:rsidRPr="00574146">
        <w:rPr>
          <w:sz w:val="24"/>
          <w:szCs w:val="24"/>
          <w:lang w:val="en-US"/>
        </w:rPr>
        <w:t>Croscarmellosenatrium</w:t>
      </w:r>
    </w:p>
    <w:p w:rsidR="00EE0DC7" w:rsidRPr="00574146" w:rsidRDefault="00EE0DC7" w:rsidP="00EE0DC7">
      <w:pPr>
        <w:ind w:left="851"/>
        <w:rPr>
          <w:sz w:val="24"/>
          <w:szCs w:val="24"/>
          <w:lang w:val="en-US"/>
        </w:rPr>
      </w:pPr>
      <w:r w:rsidRPr="00574146">
        <w:rPr>
          <w:sz w:val="24"/>
          <w:szCs w:val="24"/>
          <w:lang w:val="en-US"/>
        </w:rPr>
        <w:t xml:space="preserve">Povidon </w:t>
      </w:r>
    </w:p>
    <w:p w:rsidR="00EE0DC7" w:rsidRPr="00574146" w:rsidRDefault="00EE0DC7" w:rsidP="00EE0DC7">
      <w:pPr>
        <w:ind w:left="851"/>
        <w:rPr>
          <w:sz w:val="24"/>
          <w:szCs w:val="24"/>
          <w:lang w:val="en-US"/>
        </w:rPr>
      </w:pPr>
      <w:r w:rsidRPr="00574146">
        <w:rPr>
          <w:sz w:val="24"/>
          <w:szCs w:val="24"/>
          <w:lang w:val="en-US"/>
        </w:rPr>
        <w:t xml:space="preserve">Magnesiumstearat </w:t>
      </w:r>
    </w:p>
    <w:p w:rsidR="00EE0DC7" w:rsidRPr="00574146" w:rsidRDefault="00EE0DC7" w:rsidP="00EE0DC7">
      <w:pPr>
        <w:ind w:left="851"/>
        <w:rPr>
          <w:sz w:val="24"/>
          <w:szCs w:val="24"/>
          <w:lang w:val="en-US"/>
        </w:rPr>
      </w:pPr>
    </w:p>
    <w:p w:rsidR="00EE0DC7" w:rsidRPr="00574146" w:rsidRDefault="00EE0DC7" w:rsidP="00EE0DC7">
      <w:pPr>
        <w:ind w:left="851"/>
        <w:rPr>
          <w:i/>
          <w:sz w:val="24"/>
          <w:szCs w:val="24"/>
          <w:lang w:val="en-US"/>
        </w:rPr>
      </w:pPr>
      <w:r w:rsidRPr="00574146">
        <w:rPr>
          <w:i/>
          <w:sz w:val="24"/>
          <w:szCs w:val="24"/>
          <w:lang w:val="en-US"/>
        </w:rPr>
        <w:t>Filmovertræk:</w:t>
      </w:r>
    </w:p>
    <w:p w:rsidR="00EE0DC7" w:rsidRPr="00574146" w:rsidRDefault="00EE0DC7" w:rsidP="00EE0DC7">
      <w:pPr>
        <w:ind w:left="851"/>
        <w:rPr>
          <w:sz w:val="24"/>
          <w:szCs w:val="24"/>
          <w:lang w:val="en-US"/>
        </w:rPr>
      </w:pPr>
      <w:r w:rsidRPr="00574146">
        <w:rPr>
          <w:sz w:val="24"/>
          <w:szCs w:val="24"/>
          <w:lang w:val="en-US"/>
        </w:rPr>
        <w:t>HPMC2910/Hypromellose (E464)</w:t>
      </w:r>
    </w:p>
    <w:p w:rsidR="00EE0DC7" w:rsidRPr="007C61BD" w:rsidRDefault="00EE0DC7" w:rsidP="00EE0DC7">
      <w:pPr>
        <w:ind w:left="851"/>
        <w:rPr>
          <w:sz w:val="24"/>
          <w:szCs w:val="24"/>
        </w:rPr>
      </w:pPr>
      <w:r w:rsidRPr="007C61BD">
        <w:rPr>
          <w:sz w:val="24"/>
          <w:szCs w:val="24"/>
        </w:rPr>
        <w:t>Lactosemonohydrat</w:t>
      </w:r>
    </w:p>
    <w:p w:rsidR="00EE0DC7" w:rsidRPr="007C61BD" w:rsidRDefault="00EE0DC7" w:rsidP="00EE0DC7">
      <w:pPr>
        <w:ind w:left="851"/>
        <w:rPr>
          <w:sz w:val="24"/>
          <w:szCs w:val="24"/>
        </w:rPr>
      </w:pPr>
      <w:r w:rsidRPr="007C61BD">
        <w:rPr>
          <w:sz w:val="24"/>
          <w:szCs w:val="24"/>
        </w:rPr>
        <w:t>Titandioxid (E171)</w:t>
      </w:r>
    </w:p>
    <w:p w:rsidR="00EE0DC7" w:rsidRDefault="00EE0DC7" w:rsidP="00EE0DC7">
      <w:pPr>
        <w:ind w:left="851"/>
        <w:rPr>
          <w:sz w:val="24"/>
          <w:szCs w:val="24"/>
        </w:rPr>
      </w:pPr>
      <w:r w:rsidRPr="007C61BD">
        <w:rPr>
          <w:sz w:val="24"/>
          <w:szCs w:val="24"/>
        </w:rPr>
        <w:t>Triacetin</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6.2</w:t>
      </w:r>
      <w:r w:rsidRPr="007C61BD">
        <w:rPr>
          <w:b/>
          <w:sz w:val="24"/>
          <w:szCs w:val="24"/>
        </w:rPr>
        <w:tab/>
        <w:t>Uforligeligheder</w:t>
      </w:r>
    </w:p>
    <w:p w:rsidR="00EE0DC7" w:rsidRPr="007C61BD" w:rsidRDefault="00EE0DC7" w:rsidP="00EE0DC7">
      <w:pPr>
        <w:ind w:left="851" w:hanging="851"/>
        <w:rPr>
          <w:sz w:val="24"/>
          <w:szCs w:val="24"/>
        </w:rPr>
      </w:pPr>
      <w:r w:rsidRPr="007C61BD">
        <w:rPr>
          <w:sz w:val="24"/>
          <w:szCs w:val="24"/>
        </w:rPr>
        <w:tab/>
        <w:t>Ikke relevant.</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6.3</w:t>
      </w:r>
      <w:r w:rsidRPr="007C61BD">
        <w:rPr>
          <w:b/>
          <w:sz w:val="24"/>
          <w:szCs w:val="24"/>
        </w:rPr>
        <w:tab/>
        <w:t>Opbevaringstid</w:t>
      </w:r>
    </w:p>
    <w:p w:rsidR="00EE0DC7" w:rsidRPr="007C61BD" w:rsidRDefault="00EE0DC7" w:rsidP="00EE0DC7">
      <w:pPr>
        <w:ind w:left="851" w:hanging="851"/>
        <w:rPr>
          <w:sz w:val="24"/>
          <w:szCs w:val="24"/>
        </w:rPr>
      </w:pPr>
      <w:r w:rsidRPr="007C61BD">
        <w:rPr>
          <w:sz w:val="24"/>
          <w:szCs w:val="24"/>
        </w:rPr>
        <w:tab/>
        <w:t>2 år.</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6.4</w:t>
      </w:r>
      <w:r w:rsidRPr="007C61BD">
        <w:rPr>
          <w:b/>
          <w:sz w:val="24"/>
          <w:szCs w:val="24"/>
        </w:rPr>
        <w:tab/>
        <w:t>Særlige opbevaringsforhold</w:t>
      </w:r>
    </w:p>
    <w:p w:rsidR="00EE0DC7" w:rsidRPr="007C61BD" w:rsidRDefault="00EE0DC7" w:rsidP="00EE0DC7">
      <w:pPr>
        <w:ind w:left="851" w:hanging="851"/>
        <w:rPr>
          <w:sz w:val="24"/>
          <w:szCs w:val="24"/>
        </w:rPr>
      </w:pPr>
      <w:r>
        <w:rPr>
          <w:sz w:val="24"/>
          <w:szCs w:val="24"/>
        </w:rPr>
        <w:tab/>
        <w:t>D</w:t>
      </w:r>
      <w:r w:rsidRPr="007C61BD">
        <w:rPr>
          <w:sz w:val="24"/>
          <w:szCs w:val="24"/>
        </w:rPr>
        <w:t>ette lægemiddel kræver ingen særlige forholdsregler vedrørende opbevaringen.</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6.5</w:t>
      </w:r>
      <w:r w:rsidRPr="007C61BD">
        <w:rPr>
          <w:b/>
          <w:sz w:val="24"/>
          <w:szCs w:val="24"/>
        </w:rPr>
        <w:tab/>
        <w:t>Emballagetype og pakningsstørrelse</w:t>
      </w:r>
      <w:r w:rsidR="00C44E2D">
        <w:rPr>
          <w:b/>
          <w:sz w:val="24"/>
          <w:szCs w:val="24"/>
        </w:rPr>
        <w:t>r</w:t>
      </w:r>
    </w:p>
    <w:p w:rsidR="009601E5" w:rsidRDefault="00EE0DC7" w:rsidP="009601E5">
      <w:pPr>
        <w:ind w:left="851" w:hanging="851"/>
        <w:rPr>
          <w:sz w:val="24"/>
          <w:szCs w:val="24"/>
        </w:rPr>
      </w:pPr>
      <w:r w:rsidRPr="007C61BD">
        <w:rPr>
          <w:sz w:val="24"/>
          <w:szCs w:val="24"/>
        </w:rPr>
        <w:tab/>
      </w:r>
      <w:r w:rsidR="009601E5">
        <w:rPr>
          <w:sz w:val="24"/>
          <w:szCs w:val="24"/>
        </w:rPr>
        <w:t>De filmovertrukne tabletter er pakket i PVC/PVDC/Al-blistere og indsat i en æske.</w:t>
      </w:r>
    </w:p>
    <w:p w:rsidR="009601E5" w:rsidRDefault="009601E5" w:rsidP="009601E5">
      <w:pPr>
        <w:ind w:left="851" w:hanging="851"/>
        <w:rPr>
          <w:sz w:val="24"/>
          <w:szCs w:val="24"/>
        </w:rPr>
      </w:pPr>
      <w:r>
        <w:rPr>
          <w:i/>
          <w:sz w:val="24"/>
          <w:szCs w:val="24"/>
        </w:rPr>
        <w:tab/>
      </w:r>
      <w:r>
        <w:rPr>
          <w:sz w:val="24"/>
          <w:szCs w:val="24"/>
        </w:rPr>
        <w:t>Pakningsstørrelser: 2, 10, 14, 20, 28, 30, 50, 56, 60, 98, 100, 500, 1000 filmovertrukne tabletter.</w:t>
      </w:r>
    </w:p>
    <w:p w:rsidR="009601E5" w:rsidRDefault="009601E5" w:rsidP="009601E5">
      <w:pPr>
        <w:ind w:left="851" w:hanging="851"/>
        <w:rPr>
          <w:bCs/>
          <w:sz w:val="24"/>
          <w:szCs w:val="24"/>
        </w:rPr>
      </w:pPr>
    </w:p>
    <w:p w:rsidR="009601E5" w:rsidRDefault="009601E5" w:rsidP="009601E5">
      <w:pPr>
        <w:ind w:left="851"/>
        <w:rPr>
          <w:sz w:val="24"/>
          <w:szCs w:val="24"/>
        </w:rPr>
      </w:pPr>
      <w:r>
        <w:rPr>
          <w:sz w:val="24"/>
          <w:szCs w:val="24"/>
        </w:rPr>
        <w:t xml:space="preserve">De filmovertrukne tabletter er pakket i en HDPE-beholder med børnesikret skruelåg og indsat i en æske. </w:t>
      </w:r>
    </w:p>
    <w:p w:rsidR="009601E5" w:rsidRDefault="009601E5" w:rsidP="009601E5">
      <w:pPr>
        <w:ind w:left="851"/>
        <w:rPr>
          <w:b/>
          <w:sz w:val="24"/>
          <w:szCs w:val="24"/>
        </w:rPr>
      </w:pPr>
      <w:r>
        <w:rPr>
          <w:sz w:val="24"/>
          <w:szCs w:val="24"/>
        </w:rPr>
        <w:t>Pakningsstørrelser:</w:t>
      </w:r>
      <w:r>
        <w:rPr>
          <w:b/>
          <w:sz w:val="24"/>
          <w:szCs w:val="24"/>
        </w:rPr>
        <w:t xml:space="preserve"> </w:t>
      </w:r>
      <w:r>
        <w:rPr>
          <w:sz w:val="24"/>
          <w:szCs w:val="24"/>
        </w:rPr>
        <w:t>50, 30, 56, 100 filmovertrukne tabletter.</w:t>
      </w:r>
    </w:p>
    <w:p w:rsidR="009601E5" w:rsidRDefault="009601E5" w:rsidP="009601E5">
      <w:pPr>
        <w:ind w:left="851"/>
        <w:rPr>
          <w:sz w:val="24"/>
          <w:szCs w:val="24"/>
        </w:rPr>
      </w:pPr>
    </w:p>
    <w:p w:rsidR="009601E5" w:rsidRDefault="009601E5" w:rsidP="009601E5">
      <w:pPr>
        <w:ind w:left="851"/>
        <w:rPr>
          <w:sz w:val="24"/>
          <w:szCs w:val="24"/>
        </w:rPr>
      </w:pPr>
      <w:r>
        <w:rPr>
          <w:sz w:val="24"/>
          <w:szCs w:val="24"/>
        </w:rPr>
        <w:t>Ikke alle pakningsstørrelser er nødvendigvis markedsført.</w:t>
      </w:r>
    </w:p>
    <w:p w:rsidR="00EE0DC7" w:rsidRPr="007C61BD" w:rsidRDefault="00EE0DC7" w:rsidP="009601E5">
      <w:pPr>
        <w:ind w:left="851" w:hanging="851"/>
        <w:rPr>
          <w:sz w:val="24"/>
          <w:szCs w:val="24"/>
        </w:rPr>
      </w:pPr>
    </w:p>
    <w:p w:rsidR="00EE0DC7" w:rsidRPr="007C61BD" w:rsidRDefault="00EE0DC7" w:rsidP="00EE0DC7">
      <w:pPr>
        <w:ind w:left="851" w:hanging="851"/>
        <w:rPr>
          <w:b/>
          <w:sz w:val="24"/>
          <w:szCs w:val="24"/>
        </w:rPr>
      </w:pPr>
      <w:r w:rsidRPr="007C61BD">
        <w:rPr>
          <w:b/>
          <w:sz w:val="24"/>
          <w:szCs w:val="24"/>
        </w:rPr>
        <w:t>6.6</w:t>
      </w:r>
      <w:r w:rsidRPr="007C61BD">
        <w:rPr>
          <w:b/>
          <w:sz w:val="24"/>
          <w:szCs w:val="24"/>
        </w:rPr>
        <w:tab/>
        <w:t xml:space="preserve">Regler for </w:t>
      </w:r>
      <w:r w:rsidR="00C44E2D">
        <w:rPr>
          <w:b/>
          <w:sz w:val="24"/>
          <w:szCs w:val="24"/>
        </w:rPr>
        <w:t>bortskaffelse</w:t>
      </w:r>
      <w:r w:rsidRPr="007C61BD">
        <w:rPr>
          <w:b/>
          <w:sz w:val="24"/>
          <w:szCs w:val="24"/>
        </w:rPr>
        <w:t xml:space="preserve"> og anden håndtering</w:t>
      </w:r>
    </w:p>
    <w:p w:rsidR="00EE0DC7" w:rsidRPr="007C61BD" w:rsidRDefault="00EE0DC7" w:rsidP="00EE0DC7">
      <w:pPr>
        <w:ind w:left="851" w:hanging="851"/>
        <w:rPr>
          <w:sz w:val="24"/>
          <w:szCs w:val="24"/>
        </w:rPr>
      </w:pPr>
      <w:r w:rsidRPr="007C61BD">
        <w:rPr>
          <w:sz w:val="24"/>
          <w:szCs w:val="24"/>
        </w:rPr>
        <w:tab/>
      </w:r>
      <w:r w:rsidR="009601E5">
        <w:rPr>
          <w:sz w:val="24"/>
          <w:szCs w:val="24"/>
        </w:rPr>
        <w:t>Ikke anvendt lægemiddel samt affald heraf skal bortskaffes i henhold til lokale retningslinjer.</w:t>
      </w:r>
    </w:p>
    <w:p w:rsidR="00EE0DC7" w:rsidRPr="007C61BD" w:rsidRDefault="00EE0DC7" w:rsidP="00EE0DC7">
      <w:pPr>
        <w:ind w:left="851" w:hanging="851"/>
        <w:jc w:val="both"/>
        <w:rPr>
          <w:sz w:val="24"/>
          <w:szCs w:val="24"/>
        </w:rPr>
      </w:pPr>
    </w:p>
    <w:p w:rsidR="00EE0DC7" w:rsidRPr="007C61BD" w:rsidRDefault="00EE0DC7" w:rsidP="00EE0DC7">
      <w:pPr>
        <w:ind w:left="851" w:hanging="851"/>
        <w:rPr>
          <w:b/>
          <w:sz w:val="24"/>
          <w:szCs w:val="24"/>
        </w:rPr>
      </w:pPr>
      <w:r w:rsidRPr="007C61BD">
        <w:rPr>
          <w:b/>
          <w:sz w:val="24"/>
          <w:szCs w:val="24"/>
        </w:rPr>
        <w:t>7.</w:t>
      </w:r>
      <w:r w:rsidRPr="007C61BD">
        <w:rPr>
          <w:b/>
          <w:sz w:val="24"/>
          <w:szCs w:val="24"/>
        </w:rPr>
        <w:tab/>
        <w:t>INDEHAVER AF MARKEDSFØRINGSTILLADELSEN</w:t>
      </w:r>
    </w:p>
    <w:p w:rsidR="00EE0DC7" w:rsidRPr="009601E5" w:rsidRDefault="00EE0DC7" w:rsidP="00EE0DC7">
      <w:pPr>
        <w:ind w:left="851" w:hanging="851"/>
        <w:rPr>
          <w:sz w:val="24"/>
          <w:szCs w:val="24"/>
        </w:rPr>
      </w:pPr>
      <w:r w:rsidRPr="007C61BD">
        <w:rPr>
          <w:sz w:val="24"/>
          <w:szCs w:val="24"/>
        </w:rPr>
        <w:tab/>
      </w:r>
      <w:r w:rsidRPr="009601E5">
        <w:rPr>
          <w:sz w:val="24"/>
          <w:szCs w:val="24"/>
        </w:rPr>
        <w:t>Sandoz A/S</w:t>
      </w:r>
    </w:p>
    <w:p w:rsidR="00EE0DC7" w:rsidRPr="001E6938" w:rsidRDefault="00EE0DC7" w:rsidP="00EE0DC7">
      <w:pPr>
        <w:ind w:left="851" w:hanging="851"/>
        <w:rPr>
          <w:sz w:val="24"/>
          <w:szCs w:val="24"/>
        </w:rPr>
      </w:pPr>
      <w:r w:rsidRPr="009601E5">
        <w:rPr>
          <w:sz w:val="24"/>
          <w:szCs w:val="24"/>
        </w:rPr>
        <w:tab/>
      </w:r>
      <w:r w:rsidRPr="001E6938">
        <w:rPr>
          <w:sz w:val="24"/>
          <w:szCs w:val="24"/>
        </w:rPr>
        <w:t>Edvard Thomsens Vej 14</w:t>
      </w:r>
    </w:p>
    <w:p w:rsidR="00EE0DC7" w:rsidRDefault="00EE0DC7" w:rsidP="00EE0DC7">
      <w:pPr>
        <w:ind w:left="851" w:hanging="851"/>
        <w:rPr>
          <w:sz w:val="24"/>
          <w:szCs w:val="24"/>
        </w:rPr>
      </w:pPr>
      <w:r w:rsidRPr="001E6938">
        <w:rPr>
          <w:sz w:val="24"/>
          <w:szCs w:val="24"/>
        </w:rPr>
        <w:tab/>
      </w:r>
      <w:r w:rsidRPr="007C61BD">
        <w:rPr>
          <w:sz w:val="24"/>
          <w:szCs w:val="24"/>
        </w:rPr>
        <w:t>2300 København S</w:t>
      </w:r>
    </w:p>
    <w:p w:rsidR="00EE0DC7" w:rsidRPr="007C61BD" w:rsidRDefault="00EE0DC7" w:rsidP="00EE0DC7">
      <w:pPr>
        <w:ind w:left="851"/>
        <w:rPr>
          <w:sz w:val="24"/>
          <w:szCs w:val="24"/>
        </w:rPr>
      </w:pPr>
      <w:r>
        <w:rPr>
          <w:sz w:val="24"/>
          <w:szCs w:val="24"/>
        </w:rPr>
        <w:t>Danmark</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8.</w:t>
      </w:r>
      <w:r w:rsidRPr="007C61BD">
        <w:rPr>
          <w:b/>
          <w:sz w:val="24"/>
          <w:szCs w:val="24"/>
        </w:rPr>
        <w:tab/>
        <w:t>MARKEDSFØRINGSTILLADELSESNUMMER (</w:t>
      </w:r>
      <w:r w:rsidR="00C44E2D">
        <w:rPr>
          <w:b/>
          <w:sz w:val="24"/>
          <w:szCs w:val="24"/>
        </w:rPr>
        <w:t>-</w:t>
      </w:r>
      <w:r w:rsidRPr="007C61BD">
        <w:rPr>
          <w:b/>
          <w:sz w:val="24"/>
          <w:szCs w:val="24"/>
        </w:rPr>
        <w:t>NUMRE)</w:t>
      </w:r>
    </w:p>
    <w:p w:rsidR="00EE0DC7" w:rsidRPr="007C61BD" w:rsidRDefault="00EE0DC7" w:rsidP="00EE0DC7">
      <w:pPr>
        <w:ind w:left="851" w:hanging="851"/>
        <w:rPr>
          <w:sz w:val="24"/>
          <w:szCs w:val="24"/>
        </w:rPr>
      </w:pPr>
      <w:r w:rsidRPr="007C61BD">
        <w:rPr>
          <w:sz w:val="24"/>
          <w:szCs w:val="24"/>
        </w:rPr>
        <w:tab/>
        <w:t xml:space="preserve">50 mg: </w:t>
      </w:r>
      <w:r>
        <w:rPr>
          <w:sz w:val="24"/>
          <w:szCs w:val="24"/>
        </w:rPr>
        <w:tab/>
      </w:r>
      <w:r w:rsidRPr="007C61BD">
        <w:rPr>
          <w:sz w:val="24"/>
          <w:szCs w:val="24"/>
        </w:rPr>
        <w:t>50576</w:t>
      </w:r>
    </w:p>
    <w:p w:rsidR="00EE0DC7" w:rsidRPr="007C61BD" w:rsidRDefault="00EE0DC7" w:rsidP="00EE0DC7">
      <w:pPr>
        <w:ind w:left="851" w:hanging="851"/>
        <w:rPr>
          <w:sz w:val="24"/>
          <w:szCs w:val="24"/>
        </w:rPr>
      </w:pPr>
      <w:r>
        <w:rPr>
          <w:sz w:val="24"/>
          <w:szCs w:val="24"/>
        </w:rPr>
        <w:tab/>
      </w:r>
      <w:r w:rsidRPr="007C61BD">
        <w:rPr>
          <w:sz w:val="24"/>
          <w:szCs w:val="24"/>
        </w:rPr>
        <w:t xml:space="preserve">200 mg: </w:t>
      </w:r>
      <w:r>
        <w:rPr>
          <w:sz w:val="24"/>
          <w:szCs w:val="24"/>
        </w:rPr>
        <w:tab/>
      </w:r>
      <w:r w:rsidRPr="007C61BD">
        <w:rPr>
          <w:sz w:val="24"/>
          <w:szCs w:val="24"/>
        </w:rPr>
        <w:t>50577</w:t>
      </w:r>
    </w:p>
    <w:p w:rsidR="00EE0DC7" w:rsidRPr="007C61BD" w:rsidRDefault="00EE0DC7" w:rsidP="00EE0DC7">
      <w:pPr>
        <w:ind w:left="851" w:hanging="851"/>
        <w:jc w:val="both"/>
        <w:rPr>
          <w:sz w:val="24"/>
          <w:szCs w:val="24"/>
        </w:rPr>
      </w:pPr>
    </w:p>
    <w:p w:rsidR="00EE0DC7" w:rsidRPr="007C61BD" w:rsidRDefault="00EE0DC7" w:rsidP="0027735B">
      <w:pPr>
        <w:keepNext/>
        <w:ind w:left="851" w:hanging="851"/>
        <w:rPr>
          <w:b/>
          <w:sz w:val="24"/>
          <w:szCs w:val="24"/>
        </w:rPr>
      </w:pPr>
      <w:r w:rsidRPr="007C61BD">
        <w:rPr>
          <w:b/>
          <w:sz w:val="24"/>
          <w:szCs w:val="24"/>
        </w:rPr>
        <w:t>9.</w:t>
      </w:r>
      <w:r w:rsidRPr="007C61BD">
        <w:rPr>
          <w:b/>
          <w:sz w:val="24"/>
          <w:szCs w:val="24"/>
        </w:rPr>
        <w:tab/>
        <w:t>DATO FOR FØRSTE MARKEDSFØRINGSTILLADELSE</w:t>
      </w:r>
    </w:p>
    <w:p w:rsidR="00EE0DC7" w:rsidRPr="007C61BD" w:rsidRDefault="00EE0DC7" w:rsidP="00EE0DC7">
      <w:pPr>
        <w:ind w:left="851" w:hanging="851"/>
        <w:rPr>
          <w:sz w:val="24"/>
          <w:szCs w:val="24"/>
        </w:rPr>
      </w:pPr>
      <w:r w:rsidRPr="007C61BD">
        <w:rPr>
          <w:sz w:val="24"/>
          <w:szCs w:val="24"/>
        </w:rPr>
        <w:tab/>
      </w:r>
      <w:r>
        <w:rPr>
          <w:sz w:val="24"/>
          <w:szCs w:val="24"/>
        </w:rPr>
        <w:t>10. juni 2013</w:t>
      </w:r>
    </w:p>
    <w:p w:rsidR="00EE0DC7" w:rsidRPr="007C61BD" w:rsidRDefault="00EE0DC7" w:rsidP="00EE0DC7">
      <w:pPr>
        <w:ind w:left="851" w:hanging="851"/>
        <w:rPr>
          <w:sz w:val="24"/>
          <w:szCs w:val="24"/>
        </w:rPr>
      </w:pPr>
    </w:p>
    <w:p w:rsidR="00EE0DC7" w:rsidRPr="007C61BD" w:rsidRDefault="00EE0DC7" w:rsidP="00EE0DC7">
      <w:pPr>
        <w:ind w:left="851" w:hanging="851"/>
        <w:rPr>
          <w:b/>
          <w:sz w:val="24"/>
          <w:szCs w:val="24"/>
        </w:rPr>
      </w:pPr>
      <w:r w:rsidRPr="007C61BD">
        <w:rPr>
          <w:b/>
          <w:sz w:val="24"/>
          <w:szCs w:val="24"/>
        </w:rPr>
        <w:t>10.</w:t>
      </w:r>
      <w:r w:rsidRPr="007C61BD">
        <w:rPr>
          <w:b/>
          <w:sz w:val="24"/>
          <w:szCs w:val="24"/>
        </w:rPr>
        <w:tab/>
        <w:t>DATO FOR ÆNDRING AF TEKSTEN</w:t>
      </w:r>
    </w:p>
    <w:p w:rsidR="00EE0DC7" w:rsidRPr="00A735C7" w:rsidRDefault="00EE0DC7" w:rsidP="00EE0DC7">
      <w:pPr>
        <w:ind w:left="851" w:hanging="851"/>
        <w:rPr>
          <w:sz w:val="24"/>
          <w:szCs w:val="24"/>
        </w:rPr>
      </w:pPr>
      <w:r w:rsidRPr="00A735C7">
        <w:rPr>
          <w:sz w:val="24"/>
          <w:szCs w:val="24"/>
        </w:rPr>
        <w:tab/>
      </w:r>
      <w:r w:rsidR="00BE64F8">
        <w:rPr>
          <w:sz w:val="24"/>
          <w:szCs w:val="24"/>
        </w:rPr>
        <w:t>2</w:t>
      </w:r>
      <w:r w:rsidR="00AD4947">
        <w:rPr>
          <w:sz w:val="24"/>
          <w:szCs w:val="24"/>
        </w:rPr>
        <w:t>3</w:t>
      </w:r>
      <w:bookmarkStart w:id="1" w:name="_GoBack"/>
      <w:bookmarkEnd w:id="1"/>
      <w:r w:rsidR="00BE64F8">
        <w:rPr>
          <w:sz w:val="24"/>
          <w:szCs w:val="24"/>
        </w:rPr>
        <w:t>. april</w:t>
      </w:r>
      <w:r w:rsidR="00D6284D">
        <w:rPr>
          <w:sz w:val="24"/>
          <w:szCs w:val="24"/>
        </w:rPr>
        <w:t xml:space="preserve"> 2025</w:t>
      </w:r>
    </w:p>
    <w:p w:rsidR="00EE0DC7" w:rsidRPr="002F13E3" w:rsidRDefault="00EE0DC7" w:rsidP="00EE0DC7"/>
    <w:p w:rsidR="00EE0DC7" w:rsidRPr="00524297" w:rsidRDefault="00EE0DC7" w:rsidP="00EE0DC7"/>
    <w:p w:rsidR="009260DE" w:rsidRPr="00EE0DC7" w:rsidRDefault="009260DE" w:rsidP="00EE0DC7"/>
    <w:sectPr w:rsidR="009260DE" w:rsidRPr="00EE0DC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84D" w:rsidRDefault="00D6284D">
      <w:r>
        <w:separator/>
      </w:r>
    </w:p>
  </w:endnote>
  <w:endnote w:type="continuationSeparator" w:id="0">
    <w:p w:rsidR="00D6284D" w:rsidRDefault="00D6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84D" w:rsidRDefault="00D6284D">
    <w:pPr>
      <w:pStyle w:val="Sidefod"/>
      <w:pBdr>
        <w:bottom w:val="single" w:sz="6" w:space="1" w:color="auto"/>
      </w:pBdr>
    </w:pPr>
  </w:p>
  <w:p w:rsidR="00D6284D" w:rsidRDefault="00D6284D" w:rsidP="00C42586">
    <w:pPr>
      <w:pStyle w:val="Sidefod"/>
      <w:tabs>
        <w:tab w:val="clear" w:pos="4819"/>
        <w:tab w:val="left" w:pos="8505"/>
      </w:tabs>
      <w:rPr>
        <w:i/>
        <w:sz w:val="18"/>
        <w:szCs w:val="18"/>
      </w:rPr>
    </w:pPr>
  </w:p>
  <w:p w:rsidR="00D6284D" w:rsidRPr="00B373D7" w:rsidRDefault="00D6284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Voriconazole Sandoz, filmovertrukne tabletter 50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84D" w:rsidRDefault="00D6284D">
      <w:r>
        <w:separator/>
      </w:r>
    </w:p>
  </w:footnote>
  <w:footnote w:type="continuationSeparator" w:id="0">
    <w:p w:rsidR="00D6284D" w:rsidRDefault="00D6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B31916"/>
    <w:multiLevelType w:val="hybridMultilevel"/>
    <w:tmpl w:val="3B6640AE"/>
    <w:lvl w:ilvl="0" w:tplc="0407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222B56"/>
    <w:multiLevelType w:val="hybridMultilevel"/>
    <w:tmpl w:val="9C468E92"/>
    <w:lvl w:ilvl="0" w:tplc="0407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147725E"/>
    <w:multiLevelType w:val="hybridMultilevel"/>
    <w:tmpl w:val="BF8E39F8"/>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C7"/>
    <w:rsid w:val="000259B9"/>
    <w:rsid w:val="00032FBF"/>
    <w:rsid w:val="00041491"/>
    <w:rsid w:val="00050D16"/>
    <w:rsid w:val="00074F2A"/>
    <w:rsid w:val="00086785"/>
    <w:rsid w:val="000A1CA8"/>
    <w:rsid w:val="000A466B"/>
    <w:rsid w:val="000B058C"/>
    <w:rsid w:val="000D5662"/>
    <w:rsid w:val="000E4EE6"/>
    <w:rsid w:val="001454E2"/>
    <w:rsid w:val="00154F82"/>
    <w:rsid w:val="00164158"/>
    <w:rsid w:val="001B0F90"/>
    <w:rsid w:val="001E6938"/>
    <w:rsid w:val="00206CE8"/>
    <w:rsid w:val="0021526C"/>
    <w:rsid w:val="00226031"/>
    <w:rsid w:val="0024704F"/>
    <w:rsid w:val="0027735B"/>
    <w:rsid w:val="00283A2B"/>
    <w:rsid w:val="002B30AD"/>
    <w:rsid w:val="002C2C01"/>
    <w:rsid w:val="00305F28"/>
    <w:rsid w:val="003A29AE"/>
    <w:rsid w:val="003A32D7"/>
    <w:rsid w:val="003B4074"/>
    <w:rsid w:val="003C769A"/>
    <w:rsid w:val="003F1838"/>
    <w:rsid w:val="003F552E"/>
    <w:rsid w:val="0045746C"/>
    <w:rsid w:val="0049104B"/>
    <w:rsid w:val="004E3B12"/>
    <w:rsid w:val="0052009D"/>
    <w:rsid w:val="00532310"/>
    <w:rsid w:val="00542124"/>
    <w:rsid w:val="00560ECC"/>
    <w:rsid w:val="00565F0F"/>
    <w:rsid w:val="00594A86"/>
    <w:rsid w:val="00596D86"/>
    <w:rsid w:val="005D5CBD"/>
    <w:rsid w:val="00637F5A"/>
    <w:rsid w:val="006560B1"/>
    <w:rsid w:val="006756DD"/>
    <w:rsid w:val="0068476F"/>
    <w:rsid w:val="006F4E33"/>
    <w:rsid w:val="00737275"/>
    <w:rsid w:val="00740EEC"/>
    <w:rsid w:val="0078011A"/>
    <w:rsid w:val="00782AF4"/>
    <w:rsid w:val="00790EE7"/>
    <w:rsid w:val="007B6649"/>
    <w:rsid w:val="0081546F"/>
    <w:rsid w:val="0082576E"/>
    <w:rsid w:val="00887F6F"/>
    <w:rsid w:val="008A3B84"/>
    <w:rsid w:val="008F70D2"/>
    <w:rsid w:val="00907F75"/>
    <w:rsid w:val="009129B2"/>
    <w:rsid w:val="009260DE"/>
    <w:rsid w:val="0093258A"/>
    <w:rsid w:val="009601E5"/>
    <w:rsid w:val="00994A05"/>
    <w:rsid w:val="009B1827"/>
    <w:rsid w:val="009C7BA3"/>
    <w:rsid w:val="009D1F5A"/>
    <w:rsid w:val="00A47730"/>
    <w:rsid w:val="00A53818"/>
    <w:rsid w:val="00A96A7A"/>
    <w:rsid w:val="00AD4947"/>
    <w:rsid w:val="00B003BF"/>
    <w:rsid w:val="00B373D7"/>
    <w:rsid w:val="00B42909"/>
    <w:rsid w:val="00B662F9"/>
    <w:rsid w:val="00B973E4"/>
    <w:rsid w:val="00BC6B18"/>
    <w:rsid w:val="00BE64F8"/>
    <w:rsid w:val="00BF2CA8"/>
    <w:rsid w:val="00C36276"/>
    <w:rsid w:val="00C42586"/>
    <w:rsid w:val="00C44E2D"/>
    <w:rsid w:val="00C60CCD"/>
    <w:rsid w:val="00C84483"/>
    <w:rsid w:val="00C95551"/>
    <w:rsid w:val="00CB20D7"/>
    <w:rsid w:val="00CC7CD0"/>
    <w:rsid w:val="00CE452E"/>
    <w:rsid w:val="00D020B0"/>
    <w:rsid w:val="00D11748"/>
    <w:rsid w:val="00D21C6F"/>
    <w:rsid w:val="00D366CF"/>
    <w:rsid w:val="00D6284D"/>
    <w:rsid w:val="00D94293"/>
    <w:rsid w:val="00E108AA"/>
    <w:rsid w:val="00E31812"/>
    <w:rsid w:val="00E3749A"/>
    <w:rsid w:val="00E67E76"/>
    <w:rsid w:val="00E7437F"/>
    <w:rsid w:val="00E865B8"/>
    <w:rsid w:val="00EC0B9B"/>
    <w:rsid w:val="00ED5E9F"/>
    <w:rsid w:val="00EE0DC7"/>
    <w:rsid w:val="00EF3741"/>
    <w:rsid w:val="00F23DA9"/>
    <w:rsid w:val="00F66D4F"/>
    <w:rsid w:val="00FB6D01"/>
    <w:rsid w:val="00FF2E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AAE52"/>
  <w15:chartTrackingRefBased/>
  <w15:docId w15:val="{8A1FBF81-4127-4E4E-A6BA-FF45C3B1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EE0DC7"/>
    <w:pPr>
      <w:keepNext/>
      <w:keepLines/>
      <w:tabs>
        <w:tab w:val="num" w:pos="576"/>
        <w:tab w:val="left" w:pos="851"/>
      </w:tabs>
      <w:spacing w:before="400"/>
      <w:ind w:left="576" w:hanging="576"/>
      <w:outlineLvl w:val="1"/>
    </w:pPr>
    <w:rPr>
      <w:b/>
      <w:sz w:val="26"/>
      <w:lang w:val="en-US"/>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EE0DC7"/>
    <w:pPr>
      <w:keepNext/>
      <w:keepLines/>
      <w:tabs>
        <w:tab w:val="num" w:pos="864"/>
      </w:tabs>
      <w:spacing w:before="240"/>
      <w:ind w:left="864" w:hanging="864"/>
      <w:outlineLvl w:val="3"/>
    </w:pPr>
    <w:rPr>
      <w:b/>
      <w:sz w:val="22"/>
      <w:lang w:val="en-US"/>
    </w:rPr>
  </w:style>
  <w:style w:type="paragraph" w:styleId="Overskrift5">
    <w:name w:val="heading 5"/>
    <w:basedOn w:val="Overskrift4"/>
    <w:next w:val="Normal"/>
    <w:link w:val="Overskrift5Tegn"/>
    <w:semiHidden/>
    <w:unhideWhenUsed/>
    <w:qFormat/>
    <w:rsid w:val="00EE0DC7"/>
    <w:pPr>
      <w:tabs>
        <w:tab w:val="clear" w:pos="864"/>
        <w:tab w:val="num" w:pos="1008"/>
      </w:tabs>
      <w:ind w:left="1008" w:hanging="1008"/>
      <w:outlineLvl w:val="4"/>
    </w:pPr>
    <w:rPr>
      <w:b w:val="0"/>
      <w:szCs w:val="22"/>
    </w:rPr>
  </w:style>
  <w:style w:type="paragraph" w:styleId="Overskrift6">
    <w:name w:val="heading 6"/>
    <w:basedOn w:val="Normal"/>
    <w:next w:val="Normal"/>
    <w:link w:val="Overskrift6Tegn"/>
    <w:semiHidden/>
    <w:unhideWhenUsed/>
    <w:qFormat/>
    <w:rsid w:val="00EE0DC7"/>
    <w:pPr>
      <w:keepNext/>
      <w:keepLines/>
      <w:spacing w:before="200"/>
      <w:outlineLvl w:val="5"/>
    </w:pPr>
    <w:rPr>
      <w:rFonts w:asciiTheme="majorHAnsi" w:eastAsiaTheme="majorEastAsia" w:hAnsiTheme="majorHAnsi" w:cstheme="majorBidi"/>
      <w:i/>
      <w:iCs/>
      <w:color w:val="1F4D78" w:themeColor="accent1" w:themeShade="7F"/>
      <w:sz w:val="24"/>
      <w:lang w:val="en-US"/>
    </w:rPr>
  </w:style>
  <w:style w:type="paragraph" w:styleId="Overskrift7">
    <w:name w:val="heading 7"/>
    <w:basedOn w:val="Normal"/>
    <w:next w:val="Normal"/>
    <w:link w:val="Overskrift7Tegn"/>
    <w:semiHidden/>
    <w:unhideWhenUsed/>
    <w:qFormat/>
    <w:rsid w:val="00EE0DC7"/>
    <w:pPr>
      <w:keepNext/>
      <w:keepLines/>
      <w:spacing w:before="200"/>
      <w:outlineLvl w:val="6"/>
    </w:pPr>
    <w:rPr>
      <w:rFonts w:asciiTheme="majorHAnsi" w:eastAsiaTheme="majorEastAsia" w:hAnsiTheme="majorHAnsi" w:cstheme="majorBidi"/>
      <w:i/>
      <w:iCs/>
      <w:color w:val="404040" w:themeColor="text1" w:themeTint="BF"/>
      <w:sz w:val="24"/>
      <w:lang w:val="en-US"/>
    </w:rPr>
  </w:style>
  <w:style w:type="paragraph" w:styleId="Overskrift8">
    <w:name w:val="heading 8"/>
    <w:basedOn w:val="Normal"/>
    <w:next w:val="Normal"/>
    <w:link w:val="Overskrift8Tegn"/>
    <w:semiHidden/>
    <w:unhideWhenUsed/>
    <w:qFormat/>
    <w:rsid w:val="00EE0DC7"/>
    <w:pPr>
      <w:tabs>
        <w:tab w:val="num" w:pos="1440"/>
      </w:tabs>
      <w:spacing w:before="240" w:after="60"/>
      <w:ind w:left="1440" w:hanging="1440"/>
      <w:outlineLvl w:val="7"/>
    </w:pPr>
    <w:rPr>
      <w:i/>
      <w:sz w:val="20"/>
      <w:lang w:val="en-US"/>
    </w:rPr>
  </w:style>
  <w:style w:type="paragraph" w:styleId="Overskrift9">
    <w:name w:val="heading 9"/>
    <w:basedOn w:val="Normal"/>
    <w:next w:val="Normal"/>
    <w:link w:val="Overskrift9Tegn"/>
    <w:semiHidden/>
    <w:unhideWhenUsed/>
    <w:qFormat/>
    <w:rsid w:val="00EE0DC7"/>
    <w:pPr>
      <w:tabs>
        <w:tab w:val="num" w:pos="1584"/>
      </w:tabs>
      <w:spacing w:before="240" w:after="60"/>
      <w:ind w:left="1584" w:hanging="1584"/>
      <w:outlineLvl w:val="8"/>
    </w:pPr>
    <w:rPr>
      <w:i/>
      <w:sz w:val="20"/>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semiHidden/>
    <w:rsid w:val="00EE0DC7"/>
    <w:rPr>
      <w:b/>
      <w:sz w:val="26"/>
      <w:lang w:val="en-US" w:eastAsia="en-US"/>
    </w:rPr>
  </w:style>
  <w:style w:type="character" w:customStyle="1" w:styleId="Overskrift4Tegn">
    <w:name w:val="Overskrift 4 Tegn"/>
    <w:basedOn w:val="Standardskrifttypeiafsnit"/>
    <w:link w:val="Overskrift4"/>
    <w:semiHidden/>
    <w:rsid w:val="00EE0DC7"/>
    <w:rPr>
      <w:b/>
      <w:sz w:val="22"/>
      <w:lang w:val="en-US" w:eastAsia="en-US"/>
    </w:rPr>
  </w:style>
  <w:style w:type="character" w:customStyle="1" w:styleId="Overskrift5Tegn">
    <w:name w:val="Overskrift 5 Tegn"/>
    <w:basedOn w:val="Standardskrifttypeiafsnit"/>
    <w:link w:val="Overskrift5"/>
    <w:semiHidden/>
    <w:rsid w:val="00EE0DC7"/>
    <w:rPr>
      <w:sz w:val="22"/>
      <w:szCs w:val="22"/>
      <w:lang w:val="en-US" w:eastAsia="en-US"/>
    </w:rPr>
  </w:style>
  <w:style w:type="character" w:customStyle="1" w:styleId="Overskrift6Tegn">
    <w:name w:val="Overskrift 6 Tegn"/>
    <w:basedOn w:val="Standardskrifttypeiafsnit"/>
    <w:link w:val="Overskrift6"/>
    <w:semiHidden/>
    <w:rsid w:val="00EE0DC7"/>
    <w:rPr>
      <w:rFonts w:asciiTheme="majorHAnsi" w:eastAsiaTheme="majorEastAsia" w:hAnsiTheme="majorHAnsi" w:cstheme="majorBidi"/>
      <w:i/>
      <w:iCs/>
      <w:color w:val="1F4D78" w:themeColor="accent1" w:themeShade="7F"/>
      <w:sz w:val="24"/>
      <w:lang w:val="en-US" w:eastAsia="en-US"/>
    </w:rPr>
  </w:style>
  <w:style w:type="character" w:customStyle="1" w:styleId="Overskrift7Tegn">
    <w:name w:val="Overskrift 7 Tegn"/>
    <w:basedOn w:val="Standardskrifttypeiafsnit"/>
    <w:link w:val="Overskrift7"/>
    <w:semiHidden/>
    <w:rsid w:val="00EE0DC7"/>
    <w:rPr>
      <w:rFonts w:asciiTheme="majorHAnsi" w:eastAsiaTheme="majorEastAsia" w:hAnsiTheme="majorHAnsi" w:cstheme="majorBidi"/>
      <w:i/>
      <w:iCs/>
      <w:color w:val="404040" w:themeColor="text1" w:themeTint="BF"/>
      <w:sz w:val="24"/>
      <w:lang w:val="en-US" w:eastAsia="en-US"/>
    </w:rPr>
  </w:style>
  <w:style w:type="character" w:customStyle="1" w:styleId="Overskrift8Tegn">
    <w:name w:val="Overskrift 8 Tegn"/>
    <w:basedOn w:val="Standardskrifttypeiafsnit"/>
    <w:link w:val="Overskrift8"/>
    <w:semiHidden/>
    <w:rsid w:val="00EE0DC7"/>
    <w:rPr>
      <w:i/>
      <w:lang w:val="en-US" w:eastAsia="en-US"/>
    </w:rPr>
  </w:style>
  <w:style w:type="character" w:customStyle="1" w:styleId="Overskrift9Tegn">
    <w:name w:val="Overskrift 9 Tegn"/>
    <w:basedOn w:val="Standardskrifttypeiafsnit"/>
    <w:link w:val="Overskrift9"/>
    <w:semiHidden/>
    <w:rsid w:val="00EE0DC7"/>
    <w:rPr>
      <w:i/>
      <w:lang w:val="en-US" w:eastAsia="en-US"/>
    </w:rPr>
  </w:style>
  <w:style w:type="character" w:styleId="Pladsholdertekst">
    <w:name w:val="Placeholder Text"/>
    <w:basedOn w:val="Standardskrifttypeiafsnit"/>
    <w:uiPriority w:val="99"/>
    <w:semiHidden/>
    <w:rsid w:val="00EE0DC7"/>
    <w:rPr>
      <w:color w:val="808080"/>
    </w:rPr>
  </w:style>
  <w:style w:type="character" w:customStyle="1" w:styleId="Overskrift1Tegn">
    <w:name w:val="Overskrift 1 Tegn"/>
    <w:basedOn w:val="Standardskrifttypeiafsnit"/>
    <w:link w:val="Overskrift1"/>
    <w:rsid w:val="00EE0DC7"/>
    <w:rPr>
      <w:rFonts w:ascii="Arial" w:hAnsi="Arial"/>
      <w:b/>
      <w:kern w:val="28"/>
      <w:sz w:val="28"/>
      <w:lang w:eastAsia="en-US"/>
    </w:rPr>
  </w:style>
  <w:style w:type="character" w:customStyle="1" w:styleId="Overskrift3Tegn">
    <w:name w:val="Overskrift 3 Tegn"/>
    <w:basedOn w:val="Standardskrifttypeiafsnit"/>
    <w:link w:val="Overskrift3"/>
    <w:rsid w:val="00EE0DC7"/>
    <w:rPr>
      <w:rFonts w:ascii="Arial" w:hAnsi="Arial"/>
      <w:sz w:val="24"/>
      <w:lang w:eastAsia="en-US"/>
    </w:rPr>
  </w:style>
  <w:style w:type="character" w:styleId="Hyperlink">
    <w:name w:val="Hyperlink"/>
    <w:uiPriority w:val="99"/>
    <w:unhideWhenUsed/>
    <w:rsid w:val="00EE0DC7"/>
    <w:rPr>
      <w:color w:val="0000FF"/>
      <w:u w:val="single"/>
    </w:rPr>
  </w:style>
  <w:style w:type="character" w:styleId="BesgtLink">
    <w:name w:val="FollowedHyperlink"/>
    <w:uiPriority w:val="99"/>
    <w:semiHidden/>
    <w:unhideWhenUsed/>
    <w:rsid w:val="00EE0DC7"/>
    <w:rPr>
      <w:color w:val="800080"/>
      <w:u w:val="single"/>
    </w:rPr>
  </w:style>
  <w:style w:type="paragraph" w:styleId="Indholdsfortegnelse1">
    <w:name w:val="toc 1"/>
    <w:basedOn w:val="Normal"/>
    <w:autoRedefine/>
    <w:semiHidden/>
    <w:unhideWhenUsed/>
    <w:rsid w:val="00EE0DC7"/>
    <w:pPr>
      <w:tabs>
        <w:tab w:val="right" w:leader="dot" w:pos="9061"/>
      </w:tabs>
      <w:spacing w:after="72"/>
      <w:ind w:left="425" w:right="227" w:hanging="425"/>
    </w:pPr>
    <w:rPr>
      <w:sz w:val="24"/>
      <w:lang w:val="en-US"/>
    </w:rPr>
  </w:style>
  <w:style w:type="paragraph" w:styleId="Indholdsfortegnelse2">
    <w:name w:val="toc 2"/>
    <w:basedOn w:val="Indholdsfortegnelse1"/>
    <w:autoRedefine/>
    <w:semiHidden/>
    <w:unhideWhenUsed/>
    <w:rsid w:val="00EE0DC7"/>
    <w:pPr>
      <w:ind w:left="1134" w:hanging="709"/>
    </w:pPr>
  </w:style>
  <w:style w:type="paragraph" w:styleId="Indholdsfortegnelse3">
    <w:name w:val="toc 3"/>
    <w:basedOn w:val="Indholdsfortegnelse2"/>
    <w:autoRedefine/>
    <w:semiHidden/>
    <w:unhideWhenUsed/>
    <w:rsid w:val="00EE0DC7"/>
    <w:pPr>
      <w:ind w:left="2127" w:hanging="993"/>
    </w:pPr>
  </w:style>
  <w:style w:type="paragraph" w:styleId="Indholdsfortegnelse4">
    <w:name w:val="toc 4"/>
    <w:basedOn w:val="Normal"/>
    <w:next w:val="Normal"/>
    <w:autoRedefine/>
    <w:semiHidden/>
    <w:unhideWhenUsed/>
    <w:rsid w:val="00EE0DC7"/>
    <w:pPr>
      <w:ind w:left="720"/>
    </w:pPr>
    <w:rPr>
      <w:sz w:val="24"/>
      <w:lang w:val="en-US"/>
    </w:rPr>
  </w:style>
  <w:style w:type="paragraph" w:styleId="Indholdsfortegnelse5">
    <w:name w:val="toc 5"/>
    <w:basedOn w:val="Normal"/>
    <w:next w:val="Normal"/>
    <w:autoRedefine/>
    <w:semiHidden/>
    <w:unhideWhenUsed/>
    <w:rsid w:val="00EE0DC7"/>
    <w:pPr>
      <w:ind w:left="960"/>
    </w:pPr>
    <w:rPr>
      <w:sz w:val="24"/>
      <w:lang w:val="en-US"/>
    </w:rPr>
  </w:style>
  <w:style w:type="paragraph" w:styleId="Indholdsfortegnelse6">
    <w:name w:val="toc 6"/>
    <w:basedOn w:val="Normal"/>
    <w:autoRedefine/>
    <w:semiHidden/>
    <w:unhideWhenUsed/>
    <w:rsid w:val="00EE0DC7"/>
    <w:pPr>
      <w:tabs>
        <w:tab w:val="right" w:leader="dot" w:pos="9061"/>
      </w:tabs>
      <w:spacing w:after="72"/>
      <w:ind w:left="992" w:right="227" w:hanging="992"/>
    </w:pPr>
    <w:rPr>
      <w:sz w:val="24"/>
      <w:lang w:val="en-US"/>
    </w:rPr>
  </w:style>
  <w:style w:type="paragraph" w:styleId="Indholdsfortegnelse7">
    <w:name w:val="toc 7"/>
    <w:basedOn w:val="Normal"/>
    <w:autoRedefine/>
    <w:semiHidden/>
    <w:unhideWhenUsed/>
    <w:rsid w:val="00EE0DC7"/>
    <w:pPr>
      <w:tabs>
        <w:tab w:val="right" w:leader="dot" w:pos="9061"/>
      </w:tabs>
      <w:spacing w:after="72"/>
      <w:ind w:left="992" w:right="227" w:hanging="992"/>
    </w:pPr>
    <w:rPr>
      <w:sz w:val="24"/>
      <w:lang w:val="en-US"/>
    </w:rPr>
  </w:style>
  <w:style w:type="paragraph" w:styleId="Indholdsfortegnelse8">
    <w:name w:val="toc 8"/>
    <w:basedOn w:val="Normal"/>
    <w:next w:val="Normal"/>
    <w:autoRedefine/>
    <w:semiHidden/>
    <w:unhideWhenUsed/>
    <w:rsid w:val="00EE0DC7"/>
    <w:pPr>
      <w:ind w:left="1680"/>
    </w:pPr>
    <w:rPr>
      <w:sz w:val="24"/>
      <w:lang w:val="en-US"/>
    </w:rPr>
  </w:style>
  <w:style w:type="paragraph" w:styleId="Indholdsfortegnelse9">
    <w:name w:val="toc 9"/>
    <w:basedOn w:val="Normal"/>
    <w:next w:val="Normal"/>
    <w:autoRedefine/>
    <w:semiHidden/>
    <w:unhideWhenUsed/>
    <w:rsid w:val="00EE0DC7"/>
    <w:pPr>
      <w:ind w:left="1920"/>
    </w:pPr>
    <w:rPr>
      <w:sz w:val="24"/>
      <w:lang w:val="en-US"/>
    </w:rPr>
  </w:style>
  <w:style w:type="character" w:customStyle="1" w:styleId="SidefodTegn">
    <w:name w:val="Sidefod Tegn"/>
    <w:basedOn w:val="Standardskrifttypeiafsnit"/>
    <w:link w:val="Sidefod"/>
    <w:rsid w:val="00EE0DC7"/>
    <w:rPr>
      <w:sz w:val="23"/>
      <w:lang w:eastAsia="en-US"/>
    </w:rPr>
  </w:style>
  <w:style w:type="paragraph" w:customStyle="1" w:styleId="Text">
    <w:name w:val="Text"/>
    <w:basedOn w:val="Normal"/>
    <w:rsid w:val="00EE0DC7"/>
    <w:pPr>
      <w:spacing w:before="120"/>
      <w:jc w:val="both"/>
    </w:pPr>
    <w:rPr>
      <w:sz w:val="24"/>
      <w:lang w:val="en-US"/>
    </w:rPr>
  </w:style>
  <w:style w:type="paragraph" w:styleId="Billedtekst">
    <w:name w:val="caption"/>
    <w:basedOn w:val="Normal"/>
    <w:next w:val="Text"/>
    <w:semiHidden/>
    <w:unhideWhenUsed/>
    <w:qFormat/>
    <w:rsid w:val="00EE0DC7"/>
    <w:pPr>
      <w:spacing w:before="120" w:after="120"/>
    </w:pPr>
    <w:rPr>
      <w:b/>
      <w:sz w:val="24"/>
      <w:lang w:val="en-US"/>
    </w:rPr>
  </w:style>
  <w:style w:type="paragraph" w:styleId="Slutnotetekst">
    <w:name w:val="endnote text"/>
    <w:basedOn w:val="Normal"/>
    <w:link w:val="SlutnotetekstTegn"/>
    <w:semiHidden/>
    <w:unhideWhenUsed/>
    <w:rsid w:val="00EE0DC7"/>
    <w:pPr>
      <w:spacing w:before="80" w:after="60"/>
      <w:ind w:left="907" w:hanging="907"/>
    </w:pPr>
    <w:rPr>
      <w:sz w:val="24"/>
      <w:lang w:val="en-US"/>
    </w:rPr>
  </w:style>
  <w:style w:type="character" w:customStyle="1" w:styleId="SlutnotetekstTegn">
    <w:name w:val="Slutnotetekst Tegn"/>
    <w:basedOn w:val="Standardskrifttypeiafsnit"/>
    <w:link w:val="Slutnotetekst"/>
    <w:semiHidden/>
    <w:rsid w:val="00EE0DC7"/>
    <w:rPr>
      <w:sz w:val="24"/>
      <w:lang w:val="en-US" w:eastAsia="en-US"/>
    </w:rPr>
  </w:style>
  <w:style w:type="character" w:customStyle="1" w:styleId="MarkeringsbobletekstTegn">
    <w:name w:val="Markeringsbobletekst Tegn"/>
    <w:basedOn w:val="Standardskrifttypeiafsnit"/>
    <w:link w:val="Markeringsbobletekst"/>
    <w:uiPriority w:val="99"/>
    <w:semiHidden/>
    <w:rsid w:val="00EE0DC7"/>
    <w:rPr>
      <w:rFonts w:ascii="Tahoma" w:hAnsi="Tahoma" w:cs="Tahoma"/>
      <w:sz w:val="16"/>
      <w:szCs w:val="16"/>
      <w:lang w:eastAsia="en-US"/>
    </w:rPr>
  </w:style>
  <w:style w:type="paragraph" w:customStyle="1" w:styleId="Authors">
    <w:name w:val="Authors"/>
    <w:basedOn w:val="Normal"/>
    <w:rsid w:val="00EE0DC7"/>
    <w:pPr>
      <w:keepNext/>
      <w:tabs>
        <w:tab w:val="left" w:pos="2268"/>
      </w:tabs>
      <w:spacing w:before="240"/>
    </w:pPr>
    <w:rPr>
      <w:sz w:val="22"/>
      <w:lang w:val="en-US"/>
    </w:rPr>
  </w:style>
  <w:style w:type="paragraph" w:customStyle="1" w:styleId="Listlevel1">
    <w:name w:val="List level 1"/>
    <w:basedOn w:val="Normal"/>
    <w:rsid w:val="00EE0DC7"/>
    <w:pPr>
      <w:spacing w:before="40" w:after="20"/>
      <w:ind w:left="425" w:hanging="425"/>
    </w:pPr>
    <w:rPr>
      <w:sz w:val="24"/>
      <w:lang w:val="en-US"/>
    </w:rPr>
  </w:style>
  <w:style w:type="paragraph" w:customStyle="1" w:styleId="Comment">
    <w:name w:val="Comment"/>
    <w:basedOn w:val="Normal"/>
    <w:next w:val="Normal"/>
    <w:rsid w:val="00EE0DC7"/>
    <w:pPr>
      <w:keepLines/>
      <w:spacing w:before="120"/>
      <w:jc w:val="both"/>
    </w:pPr>
    <w:rPr>
      <w:i/>
      <w:color w:val="0000FF"/>
      <w:sz w:val="24"/>
      <w:lang w:val="en-US"/>
    </w:rPr>
  </w:style>
  <w:style w:type="paragraph" w:customStyle="1" w:styleId="Compound">
    <w:name w:val="Compound"/>
    <w:basedOn w:val="Normal"/>
    <w:rsid w:val="00EE0DC7"/>
    <w:pPr>
      <w:keepNext/>
      <w:spacing w:before="720"/>
      <w:jc w:val="center"/>
    </w:pPr>
    <w:rPr>
      <w:sz w:val="32"/>
      <w:lang w:val="en-US"/>
    </w:rPr>
  </w:style>
  <w:style w:type="paragraph" w:customStyle="1" w:styleId="Dedicatednumber">
    <w:name w:val="Dedicatednumber"/>
    <w:basedOn w:val="Normal"/>
    <w:rsid w:val="00EE0DC7"/>
    <w:pPr>
      <w:keepNext/>
      <w:spacing w:before="720"/>
      <w:jc w:val="center"/>
    </w:pPr>
    <w:rPr>
      <w:sz w:val="28"/>
      <w:lang w:val="en-US"/>
    </w:rPr>
  </w:style>
  <w:style w:type="paragraph" w:customStyle="1" w:styleId="Department">
    <w:name w:val="Department"/>
    <w:basedOn w:val="Normal"/>
    <w:rsid w:val="00EE0DC7"/>
    <w:pPr>
      <w:keepNext/>
      <w:spacing w:before="360"/>
      <w:jc w:val="center"/>
    </w:pPr>
    <w:rPr>
      <w:sz w:val="28"/>
      <w:lang w:val="en-US"/>
    </w:rPr>
  </w:style>
  <w:style w:type="paragraph" w:customStyle="1" w:styleId="Docstatus">
    <w:name w:val="Docstatus"/>
    <w:basedOn w:val="Normal"/>
    <w:rsid w:val="00EE0DC7"/>
    <w:pPr>
      <w:keepNext/>
      <w:tabs>
        <w:tab w:val="left" w:pos="2268"/>
      </w:tabs>
      <w:spacing w:before="240"/>
    </w:pPr>
    <w:rPr>
      <w:sz w:val="22"/>
      <w:lang w:val="en-US"/>
    </w:rPr>
  </w:style>
  <w:style w:type="paragraph" w:customStyle="1" w:styleId="Doctype">
    <w:name w:val="Doctype"/>
    <w:basedOn w:val="Dedicatednumber"/>
    <w:rsid w:val="00EE0DC7"/>
    <w:pPr>
      <w:tabs>
        <w:tab w:val="left" w:pos="2268"/>
      </w:tabs>
      <w:spacing w:before="240"/>
      <w:jc w:val="left"/>
    </w:pPr>
    <w:rPr>
      <w:sz w:val="22"/>
    </w:rPr>
  </w:style>
  <w:style w:type="paragraph" w:customStyle="1" w:styleId="Non-proportional">
    <w:name w:val="Non-proportional"/>
    <w:basedOn w:val="Normal"/>
    <w:rsid w:val="00EE0DC7"/>
    <w:pPr>
      <w:spacing w:line="240" w:lineRule="atLeast"/>
      <w:jc w:val="both"/>
    </w:pPr>
    <w:rPr>
      <w:rFonts w:ascii="Courier New" w:hAnsi="Courier New"/>
      <w:spacing w:val="-10"/>
      <w:sz w:val="18"/>
      <w:lang w:val="en-US"/>
    </w:rPr>
  </w:style>
  <w:style w:type="paragraph" w:customStyle="1" w:styleId="Nottoc-headings">
    <w:name w:val="Not toc-headings"/>
    <w:basedOn w:val="Normal"/>
    <w:next w:val="Text"/>
    <w:rsid w:val="00EE0DC7"/>
    <w:pPr>
      <w:keepNext/>
      <w:keepLines/>
      <w:spacing w:before="240" w:after="60"/>
      <w:ind w:left="1701" w:hanging="1701"/>
    </w:pPr>
    <w:rPr>
      <w:b/>
      <w:sz w:val="24"/>
      <w:lang w:val="en-US"/>
    </w:rPr>
  </w:style>
  <w:style w:type="paragraph" w:customStyle="1" w:styleId="Numberofpages">
    <w:name w:val="Numberofpages"/>
    <w:basedOn w:val="Normal"/>
    <w:rsid w:val="00EE0DC7"/>
    <w:pPr>
      <w:keepNext/>
      <w:tabs>
        <w:tab w:val="left" w:pos="2268"/>
      </w:tabs>
      <w:spacing w:before="240"/>
    </w:pPr>
    <w:rPr>
      <w:sz w:val="22"/>
      <w:lang w:val="en-US"/>
    </w:rPr>
  </w:style>
  <w:style w:type="paragraph" w:customStyle="1" w:styleId="Propertystatement">
    <w:name w:val="Propertystatement"/>
    <w:basedOn w:val="Numberofpages"/>
    <w:rsid w:val="00EE0DC7"/>
    <w:pPr>
      <w:keepNext w:val="0"/>
      <w:spacing w:before="1200"/>
      <w:jc w:val="center"/>
    </w:pPr>
    <w:rPr>
      <w:sz w:val="20"/>
    </w:rPr>
  </w:style>
  <w:style w:type="paragraph" w:customStyle="1" w:styleId="Reference">
    <w:name w:val="Reference"/>
    <w:basedOn w:val="Normal"/>
    <w:rsid w:val="00EE0DC7"/>
    <w:pPr>
      <w:spacing w:before="80" w:after="60"/>
      <w:ind w:left="425" w:hanging="425"/>
    </w:pPr>
    <w:rPr>
      <w:sz w:val="24"/>
      <w:lang w:val="en-US"/>
    </w:rPr>
  </w:style>
  <w:style w:type="paragraph" w:customStyle="1" w:styleId="Releasedate">
    <w:name w:val="Releasedate"/>
    <w:basedOn w:val="Docstatus"/>
    <w:rsid w:val="00EE0DC7"/>
  </w:style>
  <w:style w:type="paragraph" w:customStyle="1" w:styleId="Table">
    <w:name w:val="Table"/>
    <w:rsid w:val="00EE0DC7"/>
    <w:pPr>
      <w:tabs>
        <w:tab w:val="left" w:pos="284"/>
      </w:tabs>
      <w:spacing w:before="40" w:after="20"/>
    </w:pPr>
    <w:rPr>
      <w:lang w:val="en-US" w:eastAsia="en-US"/>
    </w:rPr>
  </w:style>
  <w:style w:type="paragraph" w:customStyle="1" w:styleId="Listlevel2">
    <w:name w:val="List level 2"/>
    <w:basedOn w:val="Listlevel1"/>
    <w:rsid w:val="00EE0DC7"/>
    <w:pPr>
      <w:ind w:left="850"/>
    </w:pPr>
  </w:style>
  <w:style w:type="paragraph" w:customStyle="1" w:styleId="Firstpageinfo">
    <w:name w:val="Firstpageinfo"/>
    <w:rsid w:val="00EE0DC7"/>
    <w:rPr>
      <w:sz w:val="22"/>
      <w:lang w:val="en-US" w:eastAsia="en-US"/>
    </w:rPr>
  </w:style>
  <w:style w:type="paragraph" w:customStyle="1" w:styleId="StrengthDosageForm">
    <w:name w:val="StrengthDosageForm"/>
    <w:basedOn w:val="Compound"/>
    <w:rsid w:val="00EE0DC7"/>
    <w:pPr>
      <w:spacing w:before="0"/>
    </w:pPr>
  </w:style>
  <w:style w:type="paragraph" w:customStyle="1" w:styleId="TextIndent">
    <w:name w:val="Text Indent"/>
    <w:basedOn w:val="Normal"/>
    <w:rsid w:val="00EE0DC7"/>
    <w:pPr>
      <w:ind w:left="851"/>
    </w:pPr>
    <w:rPr>
      <w:sz w:val="24"/>
      <w:lang w:val="en-US"/>
    </w:rPr>
  </w:style>
  <w:style w:type="paragraph" w:customStyle="1" w:styleId="ParagraphIndent">
    <w:name w:val="Paragraph Indent"/>
    <w:basedOn w:val="Normal"/>
    <w:rsid w:val="00EE0DC7"/>
    <w:pPr>
      <w:spacing w:before="120" w:after="120"/>
      <w:ind w:left="851"/>
    </w:pPr>
    <w:rPr>
      <w:sz w:val="24"/>
      <w:lang w:val="en-US"/>
    </w:rPr>
  </w:style>
  <w:style w:type="paragraph" w:customStyle="1" w:styleId="Default">
    <w:name w:val="Default"/>
    <w:rsid w:val="00EE0DC7"/>
    <w:pPr>
      <w:autoSpaceDE w:val="0"/>
      <w:autoSpaceDN w:val="0"/>
      <w:adjustRightInd w:val="0"/>
    </w:pPr>
    <w:rPr>
      <w:color w:val="000000"/>
      <w:sz w:val="24"/>
      <w:szCs w:val="24"/>
      <w:lang w:val="en-US" w:eastAsia="en-US"/>
    </w:rPr>
  </w:style>
  <w:style w:type="paragraph" w:customStyle="1" w:styleId="EMEAEnBodyText">
    <w:name w:val="EMEA En Body Text"/>
    <w:basedOn w:val="Default"/>
    <w:next w:val="Default"/>
    <w:uiPriority w:val="99"/>
    <w:rsid w:val="00EE0DC7"/>
    <w:rPr>
      <w:color w:val="auto"/>
    </w:rPr>
  </w:style>
  <w:style w:type="paragraph" w:customStyle="1" w:styleId="Korrektur1">
    <w:name w:val="Korrektur1"/>
    <w:uiPriority w:val="99"/>
    <w:semiHidden/>
    <w:rsid w:val="00EE0DC7"/>
    <w:rPr>
      <w:sz w:val="24"/>
      <w:lang w:val="en-US" w:eastAsia="en-US"/>
    </w:rPr>
  </w:style>
  <w:style w:type="character" w:styleId="Slutnotehenvisning">
    <w:name w:val="endnote reference"/>
    <w:semiHidden/>
    <w:unhideWhenUsed/>
    <w:rsid w:val="00EE0DC7"/>
    <w:rPr>
      <w:vertAlign w:val="baseline"/>
    </w:rPr>
  </w:style>
  <w:style w:type="character" w:customStyle="1" w:styleId="tw4winMark">
    <w:name w:val="tw4winMark"/>
    <w:uiPriority w:val="99"/>
    <w:rsid w:val="00EE0DC7"/>
    <w:rPr>
      <w:rFonts w:ascii="Courier New" w:hAnsi="Courier New" w:cs="Courier New" w:hint="default"/>
      <w:vanish/>
      <w:webHidden w:val="0"/>
      <w:color w:val="800080"/>
      <w:vertAlign w:val="subscript"/>
      <w:specVanish w:val="0"/>
    </w:rPr>
  </w:style>
  <w:style w:type="table" w:styleId="Tabel-Gitter">
    <w:name w:val="Table Grid"/>
    <w:basedOn w:val="Tabel-Normal"/>
    <w:rsid w:val="00EE0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E0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0613">
      <w:bodyDiv w:val="1"/>
      <w:marLeft w:val="0"/>
      <w:marRight w:val="0"/>
      <w:marTop w:val="0"/>
      <w:marBottom w:val="0"/>
      <w:divBdr>
        <w:top w:val="none" w:sz="0" w:space="0" w:color="auto"/>
        <w:left w:val="none" w:sz="0" w:space="0" w:color="auto"/>
        <w:bottom w:val="none" w:sz="0" w:space="0" w:color="auto"/>
        <w:right w:val="none" w:sz="0" w:space="0" w:color="auto"/>
      </w:divBdr>
    </w:div>
    <w:div w:id="1152917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869238">
      <w:bodyDiv w:val="1"/>
      <w:marLeft w:val="0"/>
      <w:marRight w:val="0"/>
      <w:marTop w:val="0"/>
      <w:marBottom w:val="0"/>
      <w:divBdr>
        <w:top w:val="none" w:sz="0" w:space="0" w:color="auto"/>
        <w:left w:val="none" w:sz="0" w:space="0" w:color="auto"/>
        <w:bottom w:val="none" w:sz="0" w:space="0" w:color="auto"/>
        <w:right w:val="none" w:sz="0" w:space="0" w:color="auto"/>
      </w:divBdr>
    </w:div>
    <w:div w:id="362874801">
      <w:bodyDiv w:val="1"/>
      <w:marLeft w:val="0"/>
      <w:marRight w:val="0"/>
      <w:marTop w:val="0"/>
      <w:marBottom w:val="0"/>
      <w:divBdr>
        <w:top w:val="none" w:sz="0" w:space="0" w:color="auto"/>
        <w:left w:val="none" w:sz="0" w:space="0" w:color="auto"/>
        <w:bottom w:val="none" w:sz="0" w:space="0" w:color="auto"/>
        <w:right w:val="none" w:sz="0" w:space="0" w:color="auto"/>
      </w:divBdr>
    </w:div>
    <w:div w:id="372729478">
      <w:bodyDiv w:val="1"/>
      <w:marLeft w:val="0"/>
      <w:marRight w:val="0"/>
      <w:marTop w:val="0"/>
      <w:marBottom w:val="0"/>
      <w:divBdr>
        <w:top w:val="none" w:sz="0" w:space="0" w:color="auto"/>
        <w:left w:val="none" w:sz="0" w:space="0" w:color="auto"/>
        <w:bottom w:val="none" w:sz="0" w:space="0" w:color="auto"/>
        <w:right w:val="none" w:sz="0" w:space="0" w:color="auto"/>
      </w:divBdr>
    </w:div>
    <w:div w:id="396126024">
      <w:bodyDiv w:val="1"/>
      <w:marLeft w:val="0"/>
      <w:marRight w:val="0"/>
      <w:marTop w:val="0"/>
      <w:marBottom w:val="0"/>
      <w:divBdr>
        <w:top w:val="none" w:sz="0" w:space="0" w:color="auto"/>
        <w:left w:val="none" w:sz="0" w:space="0" w:color="auto"/>
        <w:bottom w:val="none" w:sz="0" w:space="0" w:color="auto"/>
        <w:right w:val="none" w:sz="0" w:space="0" w:color="auto"/>
      </w:divBdr>
    </w:div>
    <w:div w:id="487982560">
      <w:bodyDiv w:val="1"/>
      <w:marLeft w:val="0"/>
      <w:marRight w:val="0"/>
      <w:marTop w:val="0"/>
      <w:marBottom w:val="0"/>
      <w:divBdr>
        <w:top w:val="none" w:sz="0" w:space="0" w:color="auto"/>
        <w:left w:val="none" w:sz="0" w:space="0" w:color="auto"/>
        <w:bottom w:val="none" w:sz="0" w:space="0" w:color="auto"/>
        <w:right w:val="none" w:sz="0" w:space="0" w:color="auto"/>
      </w:divBdr>
    </w:div>
    <w:div w:id="525482944">
      <w:bodyDiv w:val="1"/>
      <w:marLeft w:val="0"/>
      <w:marRight w:val="0"/>
      <w:marTop w:val="0"/>
      <w:marBottom w:val="0"/>
      <w:divBdr>
        <w:top w:val="none" w:sz="0" w:space="0" w:color="auto"/>
        <w:left w:val="none" w:sz="0" w:space="0" w:color="auto"/>
        <w:bottom w:val="none" w:sz="0" w:space="0" w:color="auto"/>
        <w:right w:val="none" w:sz="0" w:space="0" w:color="auto"/>
      </w:divBdr>
    </w:div>
    <w:div w:id="563296573">
      <w:bodyDiv w:val="1"/>
      <w:marLeft w:val="0"/>
      <w:marRight w:val="0"/>
      <w:marTop w:val="0"/>
      <w:marBottom w:val="0"/>
      <w:divBdr>
        <w:top w:val="none" w:sz="0" w:space="0" w:color="auto"/>
        <w:left w:val="none" w:sz="0" w:space="0" w:color="auto"/>
        <w:bottom w:val="none" w:sz="0" w:space="0" w:color="auto"/>
        <w:right w:val="none" w:sz="0" w:space="0" w:color="auto"/>
      </w:divBdr>
    </w:div>
    <w:div w:id="580525597">
      <w:bodyDiv w:val="1"/>
      <w:marLeft w:val="0"/>
      <w:marRight w:val="0"/>
      <w:marTop w:val="0"/>
      <w:marBottom w:val="0"/>
      <w:divBdr>
        <w:top w:val="none" w:sz="0" w:space="0" w:color="auto"/>
        <w:left w:val="none" w:sz="0" w:space="0" w:color="auto"/>
        <w:bottom w:val="none" w:sz="0" w:space="0" w:color="auto"/>
        <w:right w:val="none" w:sz="0" w:space="0" w:color="auto"/>
      </w:divBdr>
    </w:div>
    <w:div w:id="596445271">
      <w:bodyDiv w:val="1"/>
      <w:marLeft w:val="0"/>
      <w:marRight w:val="0"/>
      <w:marTop w:val="0"/>
      <w:marBottom w:val="0"/>
      <w:divBdr>
        <w:top w:val="none" w:sz="0" w:space="0" w:color="auto"/>
        <w:left w:val="none" w:sz="0" w:space="0" w:color="auto"/>
        <w:bottom w:val="none" w:sz="0" w:space="0" w:color="auto"/>
        <w:right w:val="none" w:sz="0" w:space="0" w:color="auto"/>
      </w:divBdr>
    </w:div>
    <w:div w:id="600645270">
      <w:bodyDiv w:val="1"/>
      <w:marLeft w:val="0"/>
      <w:marRight w:val="0"/>
      <w:marTop w:val="0"/>
      <w:marBottom w:val="0"/>
      <w:divBdr>
        <w:top w:val="none" w:sz="0" w:space="0" w:color="auto"/>
        <w:left w:val="none" w:sz="0" w:space="0" w:color="auto"/>
        <w:bottom w:val="none" w:sz="0" w:space="0" w:color="auto"/>
        <w:right w:val="none" w:sz="0" w:space="0" w:color="auto"/>
      </w:divBdr>
    </w:div>
    <w:div w:id="616445607">
      <w:bodyDiv w:val="1"/>
      <w:marLeft w:val="0"/>
      <w:marRight w:val="0"/>
      <w:marTop w:val="0"/>
      <w:marBottom w:val="0"/>
      <w:divBdr>
        <w:top w:val="none" w:sz="0" w:space="0" w:color="auto"/>
        <w:left w:val="none" w:sz="0" w:space="0" w:color="auto"/>
        <w:bottom w:val="none" w:sz="0" w:space="0" w:color="auto"/>
        <w:right w:val="none" w:sz="0" w:space="0" w:color="auto"/>
      </w:divBdr>
    </w:div>
    <w:div w:id="651446843">
      <w:bodyDiv w:val="1"/>
      <w:marLeft w:val="0"/>
      <w:marRight w:val="0"/>
      <w:marTop w:val="0"/>
      <w:marBottom w:val="0"/>
      <w:divBdr>
        <w:top w:val="none" w:sz="0" w:space="0" w:color="auto"/>
        <w:left w:val="none" w:sz="0" w:space="0" w:color="auto"/>
        <w:bottom w:val="none" w:sz="0" w:space="0" w:color="auto"/>
        <w:right w:val="none" w:sz="0" w:space="0" w:color="auto"/>
      </w:divBdr>
    </w:div>
    <w:div w:id="703210444">
      <w:bodyDiv w:val="1"/>
      <w:marLeft w:val="0"/>
      <w:marRight w:val="0"/>
      <w:marTop w:val="0"/>
      <w:marBottom w:val="0"/>
      <w:divBdr>
        <w:top w:val="none" w:sz="0" w:space="0" w:color="auto"/>
        <w:left w:val="none" w:sz="0" w:space="0" w:color="auto"/>
        <w:bottom w:val="none" w:sz="0" w:space="0" w:color="auto"/>
        <w:right w:val="none" w:sz="0" w:space="0" w:color="auto"/>
      </w:divBdr>
    </w:div>
    <w:div w:id="714962251">
      <w:bodyDiv w:val="1"/>
      <w:marLeft w:val="0"/>
      <w:marRight w:val="0"/>
      <w:marTop w:val="0"/>
      <w:marBottom w:val="0"/>
      <w:divBdr>
        <w:top w:val="none" w:sz="0" w:space="0" w:color="auto"/>
        <w:left w:val="none" w:sz="0" w:space="0" w:color="auto"/>
        <w:bottom w:val="none" w:sz="0" w:space="0" w:color="auto"/>
        <w:right w:val="none" w:sz="0" w:space="0" w:color="auto"/>
      </w:divBdr>
    </w:div>
    <w:div w:id="778796500">
      <w:bodyDiv w:val="1"/>
      <w:marLeft w:val="0"/>
      <w:marRight w:val="0"/>
      <w:marTop w:val="0"/>
      <w:marBottom w:val="0"/>
      <w:divBdr>
        <w:top w:val="none" w:sz="0" w:space="0" w:color="auto"/>
        <w:left w:val="none" w:sz="0" w:space="0" w:color="auto"/>
        <w:bottom w:val="none" w:sz="0" w:space="0" w:color="auto"/>
        <w:right w:val="none" w:sz="0" w:space="0" w:color="auto"/>
      </w:divBdr>
    </w:div>
    <w:div w:id="921137581">
      <w:bodyDiv w:val="1"/>
      <w:marLeft w:val="0"/>
      <w:marRight w:val="0"/>
      <w:marTop w:val="0"/>
      <w:marBottom w:val="0"/>
      <w:divBdr>
        <w:top w:val="none" w:sz="0" w:space="0" w:color="auto"/>
        <w:left w:val="none" w:sz="0" w:space="0" w:color="auto"/>
        <w:bottom w:val="none" w:sz="0" w:space="0" w:color="auto"/>
        <w:right w:val="none" w:sz="0" w:space="0" w:color="auto"/>
      </w:divBdr>
    </w:div>
    <w:div w:id="934509385">
      <w:bodyDiv w:val="1"/>
      <w:marLeft w:val="0"/>
      <w:marRight w:val="0"/>
      <w:marTop w:val="0"/>
      <w:marBottom w:val="0"/>
      <w:divBdr>
        <w:top w:val="none" w:sz="0" w:space="0" w:color="auto"/>
        <w:left w:val="none" w:sz="0" w:space="0" w:color="auto"/>
        <w:bottom w:val="none" w:sz="0" w:space="0" w:color="auto"/>
        <w:right w:val="none" w:sz="0" w:space="0" w:color="auto"/>
      </w:divBdr>
    </w:div>
    <w:div w:id="996110204">
      <w:bodyDiv w:val="1"/>
      <w:marLeft w:val="0"/>
      <w:marRight w:val="0"/>
      <w:marTop w:val="0"/>
      <w:marBottom w:val="0"/>
      <w:divBdr>
        <w:top w:val="none" w:sz="0" w:space="0" w:color="auto"/>
        <w:left w:val="none" w:sz="0" w:space="0" w:color="auto"/>
        <w:bottom w:val="none" w:sz="0" w:space="0" w:color="auto"/>
        <w:right w:val="none" w:sz="0" w:space="0" w:color="auto"/>
      </w:divBdr>
    </w:div>
    <w:div w:id="1200171078">
      <w:bodyDiv w:val="1"/>
      <w:marLeft w:val="0"/>
      <w:marRight w:val="0"/>
      <w:marTop w:val="0"/>
      <w:marBottom w:val="0"/>
      <w:divBdr>
        <w:top w:val="none" w:sz="0" w:space="0" w:color="auto"/>
        <w:left w:val="none" w:sz="0" w:space="0" w:color="auto"/>
        <w:bottom w:val="none" w:sz="0" w:space="0" w:color="auto"/>
        <w:right w:val="none" w:sz="0" w:space="0" w:color="auto"/>
      </w:divBdr>
    </w:div>
    <w:div w:id="1242328755">
      <w:bodyDiv w:val="1"/>
      <w:marLeft w:val="0"/>
      <w:marRight w:val="0"/>
      <w:marTop w:val="0"/>
      <w:marBottom w:val="0"/>
      <w:divBdr>
        <w:top w:val="none" w:sz="0" w:space="0" w:color="auto"/>
        <w:left w:val="none" w:sz="0" w:space="0" w:color="auto"/>
        <w:bottom w:val="none" w:sz="0" w:space="0" w:color="auto"/>
        <w:right w:val="none" w:sz="0" w:space="0" w:color="auto"/>
      </w:divBdr>
    </w:div>
    <w:div w:id="1334409177">
      <w:bodyDiv w:val="1"/>
      <w:marLeft w:val="0"/>
      <w:marRight w:val="0"/>
      <w:marTop w:val="0"/>
      <w:marBottom w:val="0"/>
      <w:divBdr>
        <w:top w:val="none" w:sz="0" w:space="0" w:color="auto"/>
        <w:left w:val="none" w:sz="0" w:space="0" w:color="auto"/>
        <w:bottom w:val="none" w:sz="0" w:space="0" w:color="auto"/>
        <w:right w:val="none" w:sz="0" w:space="0" w:color="auto"/>
      </w:divBdr>
    </w:div>
    <w:div w:id="1383403045">
      <w:bodyDiv w:val="1"/>
      <w:marLeft w:val="0"/>
      <w:marRight w:val="0"/>
      <w:marTop w:val="0"/>
      <w:marBottom w:val="0"/>
      <w:divBdr>
        <w:top w:val="none" w:sz="0" w:space="0" w:color="auto"/>
        <w:left w:val="none" w:sz="0" w:space="0" w:color="auto"/>
        <w:bottom w:val="none" w:sz="0" w:space="0" w:color="auto"/>
        <w:right w:val="none" w:sz="0" w:space="0" w:color="auto"/>
      </w:divBdr>
    </w:div>
    <w:div w:id="1489055600">
      <w:bodyDiv w:val="1"/>
      <w:marLeft w:val="0"/>
      <w:marRight w:val="0"/>
      <w:marTop w:val="0"/>
      <w:marBottom w:val="0"/>
      <w:divBdr>
        <w:top w:val="none" w:sz="0" w:space="0" w:color="auto"/>
        <w:left w:val="none" w:sz="0" w:space="0" w:color="auto"/>
        <w:bottom w:val="none" w:sz="0" w:space="0" w:color="auto"/>
        <w:right w:val="none" w:sz="0" w:space="0" w:color="auto"/>
      </w:divBdr>
    </w:div>
    <w:div w:id="1616449991">
      <w:bodyDiv w:val="1"/>
      <w:marLeft w:val="0"/>
      <w:marRight w:val="0"/>
      <w:marTop w:val="0"/>
      <w:marBottom w:val="0"/>
      <w:divBdr>
        <w:top w:val="none" w:sz="0" w:space="0" w:color="auto"/>
        <w:left w:val="none" w:sz="0" w:space="0" w:color="auto"/>
        <w:bottom w:val="none" w:sz="0" w:space="0" w:color="auto"/>
        <w:right w:val="none" w:sz="0" w:space="0" w:color="auto"/>
      </w:divBdr>
    </w:div>
    <w:div w:id="1693072871">
      <w:bodyDiv w:val="1"/>
      <w:marLeft w:val="0"/>
      <w:marRight w:val="0"/>
      <w:marTop w:val="0"/>
      <w:marBottom w:val="0"/>
      <w:divBdr>
        <w:top w:val="none" w:sz="0" w:space="0" w:color="auto"/>
        <w:left w:val="none" w:sz="0" w:space="0" w:color="auto"/>
        <w:bottom w:val="none" w:sz="0" w:space="0" w:color="auto"/>
        <w:right w:val="none" w:sz="0" w:space="0" w:color="auto"/>
      </w:divBdr>
    </w:div>
    <w:div w:id="1841306737">
      <w:bodyDiv w:val="1"/>
      <w:marLeft w:val="0"/>
      <w:marRight w:val="0"/>
      <w:marTop w:val="0"/>
      <w:marBottom w:val="0"/>
      <w:divBdr>
        <w:top w:val="none" w:sz="0" w:space="0" w:color="auto"/>
        <w:left w:val="none" w:sz="0" w:space="0" w:color="auto"/>
        <w:bottom w:val="none" w:sz="0" w:space="0" w:color="auto"/>
        <w:right w:val="none" w:sz="0" w:space="0" w:color="auto"/>
      </w:divBdr>
    </w:div>
    <w:div w:id="1937865988">
      <w:bodyDiv w:val="1"/>
      <w:marLeft w:val="0"/>
      <w:marRight w:val="0"/>
      <w:marTop w:val="0"/>
      <w:marBottom w:val="0"/>
      <w:divBdr>
        <w:top w:val="none" w:sz="0" w:space="0" w:color="auto"/>
        <w:left w:val="none" w:sz="0" w:space="0" w:color="auto"/>
        <w:bottom w:val="none" w:sz="0" w:space="0" w:color="auto"/>
        <w:right w:val="none" w:sz="0" w:space="0" w:color="auto"/>
      </w:divBdr>
    </w:div>
    <w:div w:id="1963345251">
      <w:bodyDiv w:val="1"/>
      <w:marLeft w:val="0"/>
      <w:marRight w:val="0"/>
      <w:marTop w:val="0"/>
      <w:marBottom w:val="0"/>
      <w:divBdr>
        <w:top w:val="none" w:sz="0" w:space="0" w:color="auto"/>
        <w:left w:val="none" w:sz="0" w:space="0" w:color="auto"/>
        <w:bottom w:val="none" w:sz="0" w:space="0" w:color="auto"/>
        <w:right w:val="none" w:sz="0" w:space="0" w:color="auto"/>
      </w:divBdr>
    </w:div>
    <w:div w:id="2047176455">
      <w:bodyDiv w:val="1"/>
      <w:marLeft w:val="0"/>
      <w:marRight w:val="0"/>
      <w:marTop w:val="0"/>
      <w:marBottom w:val="0"/>
      <w:divBdr>
        <w:top w:val="none" w:sz="0" w:space="0" w:color="auto"/>
        <w:left w:val="none" w:sz="0" w:space="0" w:color="auto"/>
        <w:bottom w:val="none" w:sz="0" w:space="0" w:color="auto"/>
        <w:right w:val="none" w:sz="0" w:space="0" w:color="auto"/>
      </w:divBdr>
    </w:div>
    <w:div w:id="211473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36</Pages>
  <Words>11558</Words>
  <Characters>75823</Characters>
  <Application>Microsoft Office Word</Application>
  <DocSecurity>0</DocSecurity>
  <Lines>631</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Anastacia Madsen</dc:creator>
  <cp:keywords/>
  <dc:description>2024041332 _x000d_
pkt. 4.2, 4.4, 4.5, 4.8</dc:description>
  <cp:lastModifiedBy>Anastacia Madsen</cp:lastModifiedBy>
  <cp:revision>7</cp:revision>
  <cp:lastPrinted>2012-08-22T08:53:00Z</cp:lastPrinted>
  <dcterms:created xsi:type="dcterms:W3CDTF">2025-03-24T13:37:00Z</dcterms:created>
  <dcterms:modified xsi:type="dcterms:W3CDTF">2025-04-23T06:15:00Z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