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0EC3B" w14:textId="77777777" w:rsidR="009260DE" w:rsidRPr="00A56CE1" w:rsidRDefault="0021526C" w:rsidP="009260DE">
      <w:pPr>
        <w:rPr>
          <w:sz w:val="24"/>
          <w:szCs w:val="24"/>
        </w:rPr>
      </w:pPr>
      <w:bookmarkStart w:id="0" w:name="_GoBack"/>
      <w:bookmarkEnd w:id="0"/>
      <w:r w:rsidRPr="00A56CE1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60500C8" wp14:editId="48FBDB6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A56CE1">
        <w:rPr>
          <w:sz w:val="24"/>
          <w:szCs w:val="24"/>
        </w:rPr>
        <w:br w:type="textWrapping" w:clear="all"/>
      </w:r>
    </w:p>
    <w:p w14:paraId="25D38088" w14:textId="64E3AF9F" w:rsidR="009260DE" w:rsidRPr="00A56CE1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A56CE1">
        <w:rPr>
          <w:b w:val="0"/>
          <w:szCs w:val="24"/>
          <w:lang w:eastAsia="en-US"/>
        </w:rPr>
        <w:tab/>
      </w:r>
      <w:r w:rsidR="00BD07FC">
        <w:rPr>
          <w:szCs w:val="24"/>
        </w:rPr>
        <w:t>1. maj 2024</w:t>
      </w:r>
    </w:p>
    <w:p w14:paraId="3DF69961" w14:textId="77777777" w:rsidR="009260DE" w:rsidRPr="00A56CE1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3866EC04" w14:textId="77777777" w:rsidR="009260DE" w:rsidRPr="00A56CE1" w:rsidRDefault="009260DE" w:rsidP="009260DE">
      <w:pPr>
        <w:pStyle w:val="Titel"/>
        <w:jc w:val="left"/>
        <w:rPr>
          <w:b w:val="0"/>
          <w:szCs w:val="24"/>
        </w:rPr>
      </w:pPr>
    </w:p>
    <w:p w14:paraId="5F791DC2" w14:textId="77777777" w:rsidR="009260DE" w:rsidRPr="00A56CE1" w:rsidRDefault="009260DE" w:rsidP="009260DE">
      <w:pPr>
        <w:pStyle w:val="Titel"/>
        <w:jc w:val="left"/>
        <w:rPr>
          <w:b w:val="0"/>
          <w:szCs w:val="24"/>
        </w:rPr>
      </w:pPr>
    </w:p>
    <w:p w14:paraId="4477802E" w14:textId="77777777" w:rsidR="009260DE" w:rsidRPr="00A56CE1" w:rsidRDefault="009260DE" w:rsidP="009260DE">
      <w:pPr>
        <w:jc w:val="center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PRODUKTRESUMÉ</w:t>
      </w:r>
    </w:p>
    <w:p w14:paraId="377D4359" w14:textId="77777777" w:rsidR="009260DE" w:rsidRPr="00A56CE1" w:rsidRDefault="009260DE" w:rsidP="009260DE">
      <w:pPr>
        <w:jc w:val="center"/>
        <w:rPr>
          <w:b/>
          <w:sz w:val="24"/>
          <w:szCs w:val="24"/>
        </w:rPr>
      </w:pPr>
    </w:p>
    <w:p w14:paraId="5B8D709E" w14:textId="77777777" w:rsidR="009260DE" w:rsidRPr="00A56CE1" w:rsidRDefault="009260DE" w:rsidP="009260DE">
      <w:pPr>
        <w:jc w:val="center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for</w:t>
      </w:r>
    </w:p>
    <w:p w14:paraId="5C263B95" w14:textId="77777777" w:rsidR="000B058C" w:rsidRPr="00A56CE1" w:rsidRDefault="000B058C" w:rsidP="009260DE">
      <w:pPr>
        <w:jc w:val="center"/>
        <w:rPr>
          <w:b/>
          <w:sz w:val="24"/>
          <w:szCs w:val="24"/>
        </w:rPr>
      </w:pPr>
    </w:p>
    <w:p w14:paraId="41C8A955" w14:textId="7A8CFC71" w:rsidR="009260DE" w:rsidRPr="00A56CE1" w:rsidRDefault="00505943" w:rsidP="009260DE">
      <w:pPr>
        <w:jc w:val="center"/>
        <w:rPr>
          <w:b/>
          <w:sz w:val="24"/>
          <w:szCs w:val="24"/>
        </w:rPr>
      </w:pPr>
      <w:proofErr w:type="spellStart"/>
      <w:r w:rsidRPr="00A56CE1">
        <w:rPr>
          <w:b/>
          <w:sz w:val="24"/>
          <w:szCs w:val="24"/>
        </w:rPr>
        <w:t>Vortioxetine</w:t>
      </w:r>
      <w:proofErr w:type="spellEnd"/>
      <w:r w:rsidRPr="00A56CE1">
        <w:rPr>
          <w:b/>
          <w:sz w:val="24"/>
          <w:szCs w:val="24"/>
        </w:rPr>
        <w:t xml:space="preserve"> "</w:t>
      </w:r>
      <w:proofErr w:type="spellStart"/>
      <w:r w:rsidRPr="00A56CE1">
        <w:rPr>
          <w:b/>
          <w:sz w:val="24"/>
          <w:szCs w:val="24"/>
        </w:rPr>
        <w:t>Stada</w:t>
      </w:r>
      <w:proofErr w:type="spellEnd"/>
      <w:r w:rsidRPr="00A56CE1">
        <w:rPr>
          <w:b/>
          <w:sz w:val="24"/>
          <w:szCs w:val="24"/>
        </w:rPr>
        <w:t>", filmovertrukne tabletter</w:t>
      </w:r>
    </w:p>
    <w:p w14:paraId="4A14F26D" w14:textId="77777777" w:rsidR="009260DE" w:rsidRPr="00A56CE1" w:rsidRDefault="009260DE" w:rsidP="009260DE">
      <w:pPr>
        <w:jc w:val="both"/>
        <w:rPr>
          <w:sz w:val="24"/>
          <w:szCs w:val="24"/>
        </w:rPr>
      </w:pPr>
    </w:p>
    <w:p w14:paraId="20A5238E" w14:textId="77777777" w:rsidR="009260DE" w:rsidRPr="00A56CE1" w:rsidRDefault="009260DE" w:rsidP="009260DE">
      <w:pPr>
        <w:jc w:val="both"/>
        <w:rPr>
          <w:sz w:val="24"/>
          <w:szCs w:val="24"/>
        </w:rPr>
      </w:pPr>
    </w:p>
    <w:p w14:paraId="7A51BDE6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0.</w:t>
      </w:r>
      <w:r w:rsidRPr="00A56CE1">
        <w:rPr>
          <w:b/>
          <w:sz w:val="24"/>
          <w:szCs w:val="24"/>
        </w:rPr>
        <w:tab/>
        <w:t>D.SP.NR.</w:t>
      </w:r>
    </w:p>
    <w:p w14:paraId="2CEF0D0D" w14:textId="3BFAC9CD" w:rsidR="009260DE" w:rsidRPr="00A56CE1" w:rsidRDefault="00505943" w:rsidP="009260DE">
      <w:pPr>
        <w:tabs>
          <w:tab w:val="left" w:pos="851"/>
        </w:tabs>
        <w:ind w:left="851"/>
        <w:rPr>
          <w:sz w:val="24"/>
          <w:szCs w:val="24"/>
        </w:rPr>
      </w:pPr>
      <w:r w:rsidRPr="00A56CE1">
        <w:rPr>
          <w:sz w:val="24"/>
          <w:szCs w:val="24"/>
        </w:rPr>
        <w:t>33073</w:t>
      </w:r>
    </w:p>
    <w:p w14:paraId="69D48629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2BB5F4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1.</w:t>
      </w:r>
      <w:r w:rsidRPr="00A56CE1">
        <w:rPr>
          <w:b/>
          <w:sz w:val="24"/>
          <w:szCs w:val="24"/>
        </w:rPr>
        <w:tab/>
        <w:t>LÆGEMIDLETS NAVN</w:t>
      </w:r>
    </w:p>
    <w:p w14:paraId="3CF00A10" w14:textId="705372EB" w:rsidR="009260DE" w:rsidRPr="00A56CE1" w:rsidRDefault="00505943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Vortioxetine</w:t>
      </w:r>
      <w:proofErr w:type="spellEnd"/>
      <w:r w:rsidRPr="00A56CE1">
        <w:rPr>
          <w:sz w:val="24"/>
          <w:szCs w:val="24"/>
        </w:rPr>
        <w:t xml:space="preserve"> "</w:t>
      </w:r>
      <w:proofErr w:type="spellStart"/>
      <w:r w:rsidRPr="00A56CE1">
        <w:rPr>
          <w:sz w:val="24"/>
          <w:szCs w:val="24"/>
        </w:rPr>
        <w:t>Stada</w:t>
      </w:r>
      <w:proofErr w:type="spellEnd"/>
      <w:r w:rsidRPr="00A56CE1">
        <w:rPr>
          <w:sz w:val="24"/>
          <w:szCs w:val="24"/>
        </w:rPr>
        <w:t>"</w:t>
      </w:r>
    </w:p>
    <w:p w14:paraId="5FBED908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990437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2.</w:t>
      </w:r>
      <w:r w:rsidRPr="00A56CE1">
        <w:rPr>
          <w:b/>
          <w:sz w:val="24"/>
          <w:szCs w:val="24"/>
        </w:rPr>
        <w:tab/>
        <w:t>KVALITATIV OG KVANTITATIV SAMMENSÆTNING</w:t>
      </w:r>
    </w:p>
    <w:p w14:paraId="14AD7181" w14:textId="77777777" w:rsidR="00921827" w:rsidRDefault="00921827" w:rsidP="004766C8">
      <w:pPr>
        <w:ind w:left="851"/>
        <w:rPr>
          <w:sz w:val="24"/>
          <w:szCs w:val="24"/>
        </w:rPr>
      </w:pPr>
    </w:p>
    <w:p w14:paraId="0C2030F7" w14:textId="5EF91527" w:rsidR="007C7A27" w:rsidRPr="00921827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921827">
        <w:rPr>
          <w:sz w:val="24"/>
          <w:szCs w:val="24"/>
          <w:u w:val="single"/>
        </w:rPr>
        <w:t>Vortioxetine</w:t>
      </w:r>
      <w:proofErr w:type="spellEnd"/>
      <w:r w:rsidRPr="00921827">
        <w:rPr>
          <w:sz w:val="24"/>
          <w:szCs w:val="24"/>
          <w:u w:val="single"/>
        </w:rPr>
        <w:t xml:space="preserve"> "</w:t>
      </w:r>
      <w:proofErr w:type="spellStart"/>
      <w:r w:rsidRPr="00921827">
        <w:rPr>
          <w:sz w:val="24"/>
          <w:szCs w:val="24"/>
          <w:u w:val="single"/>
        </w:rPr>
        <w:t>Stada</w:t>
      </w:r>
      <w:proofErr w:type="spellEnd"/>
      <w:r w:rsidRPr="00921827">
        <w:rPr>
          <w:sz w:val="24"/>
          <w:szCs w:val="24"/>
          <w:u w:val="single"/>
        </w:rPr>
        <w:t>"</w:t>
      </w:r>
      <w:r w:rsidR="007C7A27" w:rsidRPr="00921827">
        <w:rPr>
          <w:sz w:val="24"/>
          <w:szCs w:val="24"/>
          <w:u w:val="single"/>
        </w:rPr>
        <w:t xml:space="preserve"> 5 mg filmovertrukne tabletter</w:t>
      </w:r>
    </w:p>
    <w:p w14:paraId="4A031A2B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En filmovertrukket tablet indeholder </w:t>
      </w:r>
      <w:proofErr w:type="spellStart"/>
      <w:r w:rsidRPr="00A56CE1">
        <w:rPr>
          <w:sz w:val="24"/>
          <w:szCs w:val="24"/>
        </w:rPr>
        <w:t>vortioxetinhydrobromid</w:t>
      </w:r>
      <w:proofErr w:type="spellEnd"/>
      <w:r w:rsidRPr="00A56CE1">
        <w:rPr>
          <w:sz w:val="24"/>
          <w:szCs w:val="24"/>
        </w:rPr>
        <w:t xml:space="preserve"> svarende til 5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740FC46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BEF7D84" w14:textId="2CAB167F" w:rsidR="007C7A27" w:rsidRPr="00921827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921827">
        <w:rPr>
          <w:sz w:val="24"/>
          <w:szCs w:val="24"/>
          <w:u w:val="single"/>
        </w:rPr>
        <w:t>Vortioxetine</w:t>
      </w:r>
      <w:proofErr w:type="spellEnd"/>
      <w:r w:rsidRPr="00921827">
        <w:rPr>
          <w:sz w:val="24"/>
          <w:szCs w:val="24"/>
          <w:u w:val="single"/>
        </w:rPr>
        <w:t xml:space="preserve"> "</w:t>
      </w:r>
      <w:proofErr w:type="spellStart"/>
      <w:r w:rsidRPr="00921827">
        <w:rPr>
          <w:sz w:val="24"/>
          <w:szCs w:val="24"/>
          <w:u w:val="single"/>
        </w:rPr>
        <w:t>Stada</w:t>
      </w:r>
      <w:proofErr w:type="spellEnd"/>
      <w:r w:rsidRPr="00921827">
        <w:rPr>
          <w:sz w:val="24"/>
          <w:szCs w:val="24"/>
          <w:u w:val="single"/>
        </w:rPr>
        <w:t>"</w:t>
      </w:r>
      <w:r w:rsidR="007C7A27" w:rsidRPr="00921827">
        <w:rPr>
          <w:sz w:val="24"/>
          <w:szCs w:val="24"/>
          <w:u w:val="single"/>
        </w:rPr>
        <w:t xml:space="preserve"> 10 mg filmovertrukne tabletter</w:t>
      </w:r>
    </w:p>
    <w:p w14:paraId="4DAEE46E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En filmovertrukket tablet indeholder </w:t>
      </w:r>
      <w:proofErr w:type="spellStart"/>
      <w:r w:rsidRPr="00A56CE1">
        <w:rPr>
          <w:sz w:val="24"/>
          <w:szCs w:val="24"/>
        </w:rPr>
        <w:t>vortioxetinhydrobromid</w:t>
      </w:r>
      <w:proofErr w:type="spellEnd"/>
      <w:r w:rsidRPr="00A56CE1">
        <w:rPr>
          <w:sz w:val="24"/>
          <w:szCs w:val="24"/>
        </w:rPr>
        <w:t xml:space="preserve"> svarende til 10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497E21A2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06DD1D3F" w14:textId="7B8319B7" w:rsidR="007C7A27" w:rsidRPr="00921827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921827">
        <w:rPr>
          <w:sz w:val="24"/>
          <w:szCs w:val="24"/>
          <w:u w:val="single"/>
        </w:rPr>
        <w:t>Vortioxetine</w:t>
      </w:r>
      <w:proofErr w:type="spellEnd"/>
      <w:r w:rsidRPr="00921827">
        <w:rPr>
          <w:sz w:val="24"/>
          <w:szCs w:val="24"/>
          <w:u w:val="single"/>
        </w:rPr>
        <w:t xml:space="preserve"> "</w:t>
      </w:r>
      <w:proofErr w:type="spellStart"/>
      <w:r w:rsidRPr="00921827">
        <w:rPr>
          <w:sz w:val="24"/>
          <w:szCs w:val="24"/>
          <w:u w:val="single"/>
        </w:rPr>
        <w:t>Stada</w:t>
      </w:r>
      <w:proofErr w:type="spellEnd"/>
      <w:r w:rsidRPr="00921827">
        <w:rPr>
          <w:sz w:val="24"/>
          <w:szCs w:val="24"/>
          <w:u w:val="single"/>
        </w:rPr>
        <w:t>"</w:t>
      </w:r>
      <w:r w:rsidR="007C7A27" w:rsidRPr="00921827">
        <w:rPr>
          <w:sz w:val="24"/>
          <w:szCs w:val="24"/>
          <w:u w:val="single"/>
        </w:rPr>
        <w:t xml:space="preserve"> 15 mg filmovertrukne tabletter</w:t>
      </w:r>
    </w:p>
    <w:p w14:paraId="6BB7A1BF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En filmovertrukket tablet indeholder </w:t>
      </w:r>
      <w:proofErr w:type="spellStart"/>
      <w:r w:rsidRPr="00A56CE1">
        <w:rPr>
          <w:sz w:val="24"/>
          <w:szCs w:val="24"/>
        </w:rPr>
        <w:t>vortioxetinhydrobromid</w:t>
      </w:r>
      <w:proofErr w:type="spellEnd"/>
      <w:r w:rsidRPr="00A56CE1">
        <w:rPr>
          <w:sz w:val="24"/>
          <w:szCs w:val="24"/>
        </w:rPr>
        <w:t xml:space="preserve"> svarende til 15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7EC50E8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8CA36EA" w14:textId="62227540" w:rsidR="007C7A27" w:rsidRPr="00921827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921827">
        <w:rPr>
          <w:sz w:val="24"/>
          <w:szCs w:val="24"/>
          <w:u w:val="single"/>
        </w:rPr>
        <w:t>Vortioxetine</w:t>
      </w:r>
      <w:proofErr w:type="spellEnd"/>
      <w:r w:rsidRPr="00921827">
        <w:rPr>
          <w:sz w:val="24"/>
          <w:szCs w:val="24"/>
          <w:u w:val="single"/>
        </w:rPr>
        <w:t xml:space="preserve"> "</w:t>
      </w:r>
      <w:proofErr w:type="spellStart"/>
      <w:r w:rsidRPr="00921827">
        <w:rPr>
          <w:sz w:val="24"/>
          <w:szCs w:val="24"/>
          <w:u w:val="single"/>
        </w:rPr>
        <w:t>Stada</w:t>
      </w:r>
      <w:proofErr w:type="spellEnd"/>
      <w:r w:rsidRPr="00921827">
        <w:rPr>
          <w:sz w:val="24"/>
          <w:szCs w:val="24"/>
          <w:u w:val="single"/>
        </w:rPr>
        <w:t>"</w:t>
      </w:r>
      <w:r w:rsidR="007C7A27" w:rsidRPr="00921827">
        <w:rPr>
          <w:sz w:val="24"/>
          <w:szCs w:val="24"/>
          <w:u w:val="single"/>
        </w:rPr>
        <w:t xml:space="preserve"> 20 mg filmovertrukne tabletter</w:t>
      </w:r>
    </w:p>
    <w:p w14:paraId="30A996EF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En filmovertrukket tablet indeholder </w:t>
      </w:r>
      <w:proofErr w:type="spellStart"/>
      <w:r w:rsidRPr="00A56CE1">
        <w:rPr>
          <w:sz w:val="24"/>
          <w:szCs w:val="24"/>
        </w:rPr>
        <w:t>vortioxetinhydrobromid</w:t>
      </w:r>
      <w:proofErr w:type="spellEnd"/>
      <w:r w:rsidRPr="00A56CE1">
        <w:rPr>
          <w:sz w:val="24"/>
          <w:szCs w:val="24"/>
        </w:rPr>
        <w:t xml:space="preserve"> svarende til 20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7510263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0795F7B4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Alle hjælpestoffer er anført under pkt. 6.1.</w:t>
      </w:r>
    </w:p>
    <w:p w14:paraId="2A8F148C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13F99A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3.</w:t>
      </w:r>
      <w:r w:rsidRPr="00A56CE1">
        <w:rPr>
          <w:b/>
          <w:sz w:val="24"/>
          <w:szCs w:val="24"/>
        </w:rPr>
        <w:tab/>
        <w:t>LÆGEMIDDELFORM</w:t>
      </w:r>
    </w:p>
    <w:p w14:paraId="5CC770E3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Filmovertrukket tablet (tablet)</w:t>
      </w:r>
    </w:p>
    <w:p w14:paraId="6A429CC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884DF0D" w14:textId="6765BD9C" w:rsidR="007C7A27" w:rsidRPr="00921827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921827">
        <w:rPr>
          <w:sz w:val="24"/>
          <w:szCs w:val="24"/>
          <w:u w:val="single"/>
        </w:rPr>
        <w:t>Vortioxetine</w:t>
      </w:r>
      <w:proofErr w:type="spellEnd"/>
      <w:r w:rsidRPr="00921827">
        <w:rPr>
          <w:sz w:val="24"/>
          <w:szCs w:val="24"/>
          <w:u w:val="single"/>
        </w:rPr>
        <w:t xml:space="preserve"> "</w:t>
      </w:r>
      <w:proofErr w:type="spellStart"/>
      <w:r w:rsidRPr="00921827">
        <w:rPr>
          <w:sz w:val="24"/>
          <w:szCs w:val="24"/>
          <w:u w:val="single"/>
        </w:rPr>
        <w:t>Stada</w:t>
      </w:r>
      <w:proofErr w:type="spellEnd"/>
      <w:r w:rsidRPr="00921827">
        <w:rPr>
          <w:sz w:val="24"/>
          <w:szCs w:val="24"/>
          <w:u w:val="single"/>
        </w:rPr>
        <w:t>"</w:t>
      </w:r>
      <w:r w:rsidR="007C7A27" w:rsidRPr="00921827">
        <w:rPr>
          <w:sz w:val="24"/>
          <w:szCs w:val="24"/>
          <w:u w:val="single"/>
        </w:rPr>
        <w:t xml:space="preserve"> 5 mg filmovertrukne tabletter</w:t>
      </w:r>
    </w:p>
    <w:p w14:paraId="3C6DB304" w14:textId="022FC83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Lyserød, oval (11 mm </w:t>
      </w:r>
      <w:r w:rsidR="00041D9E">
        <w:rPr>
          <w:sz w:val="24"/>
          <w:szCs w:val="24"/>
        </w:rPr>
        <w:t>×</w:t>
      </w:r>
      <w:r w:rsidRPr="00A56CE1">
        <w:rPr>
          <w:sz w:val="24"/>
          <w:szCs w:val="24"/>
        </w:rPr>
        <w:t xml:space="preserve"> 5 mm), </w:t>
      </w:r>
      <w:proofErr w:type="spellStart"/>
      <w:r w:rsidRPr="00A56CE1">
        <w:rPr>
          <w:sz w:val="24"/>
          <w:szCs w:val="24"/>
        </w:rPr>
        <w:t>bikonveks</w:t>
      </w:r>
      <w:proofErr w:type="spellEnd"/>
      <w:r w:rsidRPr="00A56CE1">
        <w:rPr>
          <w:sz w:val="24"/>
          <w:szCs w:val="24"/>
        </w:rPr>
        <w:t xml:space="preserve"> filmovertrukket tablet præget med “5” på den ene side.</w:t>
      </w:r>
    </w:p>
    <w:p w14:paraId="57796A42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7EE3C97" w14:textId="29DF2144" w:rsidR="007C7A27" w:rsidRPr="00921827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921827">
        <w:rPr>
          <w:sz w:val="24"/>
          <w:szCs w:val="24"/>
          <w:u w:val="single"/>
        </w:rPr>
        <w:t>Vortioxetine</w:t>
      </w:r>
      <w:proofErr w:type="spellEnd"/>
      <w:r w:rsidRPr="00921827">
        <w:rPr>
          <w:sz w:val="24"/>
          <w:szCs w:val="24"/>
          <w:u w:val="single"/>
        </w:rPr>
        <w:t xml:space="preserve"> "</w:t>
      </w:r>
      <w:proofErr w:type="spellStart"/>
      <w:r w:rsidRPr="00921827">
        <w:rPr>
          <w:sz w:val="24"/>
          <w:szCs w:val="24"/>
          <w:u w:val="single"/>
        </w:rPr>
        <w:t>Stada</w:t>
      </w:r>
      <w:proofErr w:type="spellEnd"/>
      <w:r w:rsidRPr="00921827">
        <w:rPr>
          <w:sz w:val="24"/>
          <w:szCs w:val="24"/>
          <w:u w:val="single"/>
        </w:rPr>
        <w:t>"</w:t>
      </w:r>
      <w:r w:rsidR="007C7A27" w:rsidRPr="00921827">
        <w:rPr>
          <w:sz w:val="24"/>
          <w:szCs w:val="24"/>
          <w:u w:val="single"/>
        </w:rPr>
        <w:t xml:space="preserve"> 10 mg filmovertrukne tabletter</w:t>
      </w:r>
    </w:p>
    <w:p w14:paraId="39976C29" w14:textId="751451E0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Gul, oval (13 mm </w:t>
      </w:r>
      <w:r w:rsidR="00041D9E">
        <w:rPr>
          <w:sz w:val="24"/>
          <w:szCs w:val="24"/>
        </w:rPr>
        <w:t>×</w:t>
      </w:r>
      <w:r w:rsidRPr="00A56CE1">
        <w:rPr>
          <w:sz w:val="24"/>
          <w:szCs w:val="24"/>
        </w:rPr>
        <w:t xml:space="preserve"> 6 mm), </w:t>
      </w:r>
      <w:proofErr w:type="spellStart"/>
      <w:r w:rsidRPr="00A56CE1">
        <w:rPr>
          <w:sz w:val="24"/>
          <w:szCs w:val="24"/>
        </w:rPr>
        <w:t>bikonveks</w:t>
      </w:r>
      <w:proofErr w:type="spellEnd"/>
      <w:r w:rsidRPr="00A56CE1">
        <w:rPr>
          <w:sz w:val="24"/>
          <w:szCs w:val="24"/>
        </w:rPr>
        <w:t xml:space="preserve"> filmovertrukket tablet præget med “10” på den ene side.</w:t>
      </w:r>
    </w:p>
    <w:p w14:paraId="011D2BA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72149F6" w14:textId="182B5570" w:rsidR="007C7A27" w:rsidRPr="00921827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921827">
        <w:rPr>
          <w:sz w:val="24"/>
          <w:szCs w:val="24"/>
          <w:u w:val="single"/>
        </w:rPr>
        <w:t>Vortioxetine</w:t>
      </w:r>
      <w:proofErr w:type="spellEnd"/>
      <w:r w:rsidRPr="00921827">
        <w:rPr>
          <w:sz w:val="24"/>
          <w:szCs w:val="24"/>
          <w:u w:val="single"/>
        </w:rPr>
        <w:t xml:space="preserve"> "</w:t>
      </w:r>
      <w:proofErr w:type="spellStart"/>
      <w:r w:rsidRPr="00921827">
        <w:rPr>
          <w:sz w:val="24"/>
          <w:szCs w:val="24"/>
          <w:u w:val="single"/>
        </w:rPr>
        <w:t>Stada</w:t>
      </w:r>
      <w:proofErr w:type="spellEnd"/>
      <w:r w:rsidRPr="00921827">
        <w:rPr>
          <w:sz w:val="24"/>
          <w:szCs w:val="24"/>
          <w:u w:val="single"/>
        </w:rPr>
        <w:t>"</w:t>
      </w:r>
      <w:r w:rsidR="007C7A27" w:rsidRPr="00921827">
        <w:rPr>
          <w:sz w:val="24"/>
          <w:szCs w:val="24"/>
          <w:u w:val="single"/>
        </w:rPr>
        <w:t xml:space="preserve"> 15 mg filmovertrukne tabletter</w:t>
      </w:r>
    </w:p>
    <w:p w14:paraId="331F5276" w14:textId="419ED6B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Orange, oval (15 mm </w:t>
      </w:r>
      <w:r w:rsidR="00041D9E">
        <w:rPr>
          <w:sz w:val="24"/>
          <w:szCs w:val="24"/>
        </w:rPr>
        <w:t>×</w:t>
      </w:r>
      <w:r w:rsidRPr="00A56CE1">
        <w:rPr>
          <w:sz w:val="24"/>
          <w:szCs w:val="24"/>
        </w:rPr>
        <w:t xml:space="preserve"> 7 mm), </w:t>
      </w:r>
      <w:proofErr w:type="spellStart"/>
      <w:r w:rsidRPr="00A56CE1">
        <w:rPr>
          <w:sz w:val="24"/>
          <w:szCs w:val="24"/>
        </w:rPr>
        <w:t>bikonveks</w:t>
      </w:r>
      <w:proofErr w:type="spellEnd"/>
      <w:r w:rsidRPr="00A56CE1">
        <w:rPr>
          <w:sz w:val="24"/>
          <w:szCs w:val="24"/>
        </w:rPr>
        <w:t xml:space="preserve"> filmovertrukket tablet præget med “15” på den ene side.</w:t>
      </w:r>
    </w:p>
    <w:p w14:paraId="53AB53F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EC1993A" w14:textId="3B0B827F" w:rsidR="007C7A27" w:rsidRPr="00921827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921827">
        <w:rPr>
          <w:sz w:val="24"/>
          <w:szCs w:val="24"/>
          <w:u w:val="single"/>
        </w:rPr>
        <w:t>Vortioxetine</w:t>
      </w:r>
      <w:proofErr w:type="spellEnd"/>
      <w:r w:rsidRPr="00921827">
        <w:rPr>
          <w:sz w:val="24"/>
          <w:szCs w:val="24"/>
          <w:u w:val="single"/>
        </w:rPr>
        <w:t xml:space="preserve"> "</w:t>
      </w:r>
      <w:proofErr w:type="spellStart"/>
      <w:r w:rsidRPr="00921827">
        <w:rPr>
          <w:sz w:val="24"/>
          <w:szCs w:val="24"/>
          <w:u w:val="single"/>
        </w:rPr>
        <w:t>Stada</w:t>
      </w:r>
      <w:proofErr w:type="spellEnd"/>
      <w:r w:rsidRPr="00921827">
        <w:rPr>
          <w:sz w:val="24"/>
          <w:szCs w:val="24"/>
          <w:u w:val="single"/>
        </w:rPr>
        <w:t>"</w:t>
      </w:r>
      <w:r w:rsidR="007C7A27" w:rsidRPr="00921827">
        <w:rPr>
          <w:sz w:val="24"/>
          <w:szCs w:val="24"/>
          <w:u w:val="single"/>
        </w:rPr>
        <w:t xml:space="preserve"> 20 mg filmovertrukne tabletter</w:t>
      </w:r>
    </w:p>
    <w:p w14:paraId="14202622" w14:textId="49E32DDD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Mørkerød, oval (17 mm </w:t>
      </w:r>
      <w:r w:rsidR="00F86CA0">
        <w:rPr>
          <w:sz w:val="24"/>
          <w:szCs w:val="24"/>
        </w:rPr>
        <w:t>×</w:t>
      </w:r>
      <w:r w:rsidRPr="00A56CE1">
        <w:rPr>
          <w:sz w:val="24"/>
          <w:szCs w:val="24"/>
        </w:rPr>
        <w:t xml:space="preserve"> 8 mm), </w:t>
      </w:r>
      <w:proofErr w:type="spellStart"/>
      <w:r w:rsidRPr="00A56CE1">
        <w:rPr>
          <w:sz w:val="24"/>
          <w:szCs w:val="24"/>
        </w:rPr>
        <w:t>bikonveks</w:t>
      </w:r>
      <w:proofErr w:type="spellEnd"/>
      <w:r w:rsidRPr="00A56CE1">
        <w:rPr>
          <w:sz w:val="24"/>
          <w:szCs w:val="24"/>
        </w:rPr>
        <w:t xml:space="preserve"> filmovertrukket tablet præget med “20” på den ene side. </w:t>
      </w:r>
    </w:p>
    <w:p w14:paraId="223F6FCB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B08B18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D51B71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</w:t>
      </w:r>
      <w:r w:rsidRPr="00A56CE1">
        <w:rPr>
          <w:b/>
          <w:sz w:val="24"/>
          <w:szCs w:val="24"/>
        </w:rPr>
        <w:tab/>
        <w:t>KLINISKE OPLYSNINGER</w:t>
      </w:r>
    </w:p>
    <w:p w14:paraId="238AA47B" w14:textId="77777777" w:rsidR="009260DE" w:rsidRPr="00A56CE1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8D4C1DA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A56CE1">
        <w:rPr>
          <w:b/>
          <w:sz w:val="24"/>
          <w:szCs w:val="24"/>
        </w:rPr>
        <w:t>4.1</w:t>
      </w:r>
      <w:r w:rsidRPr="00A56CE1">
        <w:rPr>
          <w:b/>
          <w:sz w:val="24"/>
          <w:szCs w:val="24"/>
        </w:rPr>
        <w:tab/>
        <w:t>Terapeutiske indikationer</w:t>
      </w:r>
    </w:p>
    <w:p w14:paraId="74A0BA5B" w14:textId="07A0B4FB" w:rsidR="007C7A27" w:rsidRPr="00A56CE1" w:rsidRDefault="00921827" w:rsidP="004766C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Vortioxetine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="007C7A27" w:rsidRPr="00A56CE1">
        <w:rPr>
          <w:sz w:val="24"/>
          <w:szCs w:val="24"/>
        </w:rPr>
        <w:t xml:space="preserve"> er til behandling af moderate til svære depressive episoder hos voksne.</w:t>
      </w:r>
    </w:p>
    <w:p w14:paraId="47D35F02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F0B209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4.2</w:t>
      </w:r>
      <w:r w:rsidRPr="00A56CE1">
        <w:rPr>
          <w:b/>
          <w:sz w:val="24"/>
          <w:szCs w:val="24"/>
        </w:rPr>
        <w:tab/>
        <w:t xml:space="preserve">Dosering og </w:t>
      </w:r>
      <w:r w:rsidR="002C1EC0" w:rsidRPr="00A56CE1">
        <w:rPr>
          <w:b/>
          <w:sz w:val="24"/>
          <w:szCs w:val="24"/>
        </w:rPr>
        <w:t>administration</w:t>
      </w:r>
    </w:p>
    <w:p w14:paraId="52A38CF1" w14:textId="77777777" w:rsidR="00921827" w:rsidRDefault="00921827" w:rsidP="004766C8">
      <w:pPr>
        <w:ind w:left="851"/>
        <w:rPr>
          <w:sz w:val="24"/>
          <w:szCs w:val="24"/>
        </w:rPr>
      </w:pPr>
    </w:p>
    <w:p w14:paraId="44324BC0" w14:textId="5CE830C3" w:rsidR="007C7A27" w:rsidRPr="00921827" w:rsidRDefault="007C7A27" w:rsidP="004766C8">
      <w:pPr>
        <w:ind w:left="851"/>
        <w:rPr>
          <w:sz w:val="24"/>
          <w:szCs w:val="24"/>
          <w:u w:val="single"/>
        </w:rPr>
      </w:pPr>
      <w:r w:rsidRPr="00921827">
        <w:rPr>
          <w:sz w:val="24"/>
          <w:szCs w:val="24"/>
          <w:u w:val="single"/>
        </w:rPr>
        <w:t>Dosering</w:t>
      </w:r>
    </w:p>
    <w:p w14:paraId="5890D3F3" w14:textId="6521A940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Startdosis og den anbefalede vedligeholdelsesdosis af </w:t>
      </w:r>
      <w:proofErr w:type="spellStart"/>
      <w:r w:rsidR="00921827">
        <w:rPr>
          <w:sz w:val="24"/>
          <w:szCs w:val="24"/>
        </w:rPr>
        <w:t>Vortioxetine</w:t>
      </w:r>
      <w:proofErr w:type="spellEnd"/>
      <w:r w:rsidR="00921827">
        <w:rPr>
          <w:sz w:val="24"/>
          <w:szCs w:val="24"/>
        </w:rPr>
        <w:t xml:space="preserve"> "</w:t>
      </w:r>
      <w:proofErr w:type="spellStart"/>
      <w:r w:rsidR="00921827">
        <w:rPr>
          <w:sz w:val="24"/>
          <w:szCs w:val="24"/>
        </w:rPr>
        <w:t>Stada</w:t>
      </w:r>
      <w:proofErr w:type="spellEnd"/>
      <w:r w:rsidR="00921827">
        <w:rPr>
          <w:sz w:val="24"/>
          <w:szCs w:val="24"/>
        </w:rPr>
        <w:t>"</w:t>
      </w:r>
      <w:r w:rsidRPr="00A56CE1">
        <w:rPr>
          <w:sz w:val="24"/>
          <w:szCs w:val="24"/>
        </w:rPr>
        <w:t xml:space="preserve"> er 10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 til voksne under 65 år. </w:t>
      </w:r>
    </w:p>
    <w:p w14:paraId="471FEAE4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E830FF6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Afhængigt af den enkelte patients respons kan denne dosis øges til maksimalt 20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 eller nedsættes til mindst 5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dagligt. </w:t>
      </w:r>
    </w:p>
    <w:p w14:paraId="75080FC1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1515294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Når symptomerne på depression har fortaget sig, anbefales det at fortsætte behandlingen i mindst 6 måneder for at fastholde det antidepressive respons.</w:t>
      </w:r>
    </w:p>
    <w:p w14:paraId="37D9CE29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9C6BEEE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 xml:space="preserve">Behandlingsophør </w:t>
      </w:r>
    </w:p>
    <w:p w14:paraId="1897879B" w14:textId="31B18646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En gradvis reduktion af dosis kan overvejes for at undgå forekomsten af </w:t>
      </w:r>
      <w:proofErr w:type="spellStart"/>
      <w:r w:rsidRPr="00A56CE1">
        <w:rPr>
          <w:sz w:val="24"/>
          <w:szCs w:val="24"/>
        </w:rPr>
        <w:t>seponerings</w:t>
      </w:r>
      <w:r w:rsidR="00B66A38">
        <w:rPr>
          <w:sz w:val="24"/>
          <w:szCs w:val="24"/>
        </w:rPr>
        <w:softHyphen/>
      </w:r>
      <w:r w:rsidRPr="00A56CE1">
        <w:rPr>
          <w:sz w:val="24"/>
          <w:szCs w:val="24"/>
        </w:rPr>
        <w:t>symptomer</w:t>
      </w:r>
      <w:proofErr w:type="spellEnd"/>
      <w:r w:rsidRPr="00A56CE1">
        <w:rPr>
          <w:sz w:val="24"/>
          <w:szCs w:val="24"/>
        </w:rPr>
        <w:t xml:space="preserve"> (se pkt. 4.8). Der er imidlertid ikke tilstrækkelige data til at give specifikke anbefalinger til et nedtrapningsskema for patienter, der behandles med dette lægemiddel. </w:t>
      </w:r>
    </w:p>
    <w:p w14:paraId="083A024E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4771845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Særlige populationer</w:t>
      </w:r>
    </w:p>
    <w:p w14:paraId="57EACFCE" w14:textId="77777777" w:rsidR="007C7A27" w:rsidRPr="00B66A38" w:rsidRDefault="007C7A27" w:rsidP="004766C8">
      <w:pPr>
        <w:ind w:left="851"/>
        <w:rPr>
          <w:i/>
          <w:sz w:val="24"/>
          <w:szCs w:val="24"/>
        </w:rPr>
      </w:pPr>
      <w:r w:rsidRPr="00B66A38">
        <w:rPr>
          <w:i/>
          <w:sz w:val="24"/>
          <w:szCs w:val="24"/>
        </w:rPr>
        <w:t>Ældre patienter</w:t>
      </w:r>
    </w:p>
    <w:p w14:paraId="1A141435" w14:textId="2C26F7D9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Den mindste virksomme dosis på 5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 bør altid anvendes som startdosis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til patienter ≥ 65 år. Forsigtighed tilrådes ved behandling af patienter ≥ 65 år med doser over 10 mg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dagligt, da der kun foreligger begrænsede data for dette (se pkt. 4.4).</w:t>
      </w:r>
    </w:p>
    <w:p w14:paraId="0F57F77E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CBE6621" w14:textId="77777777" w:rsidR="007C7A27" w:rsidRPr="00B66A38" w:rsidRDefault="007C7A27" w:rsidP="004766C8">
      <w:pPr>
        <w:ind w:left="851"/>
        <w:rPr>
          <w:i/>
          <w:sz w:val="24"/>
          <w:szCs w:val="24"/>
        </w:rPr>
      </w:pPr>
      <w:r w:rsidRPr="00B66A38">
        <w:rPr>
          <w:i/>
          <w:sz w:val="24"/>
          <w:szCs w:val="24"/>
        </w:rPr>
        <w:t xml:space="preserve">CYP </w:t>
      </w:r>
      <w:proofErr w:type="spellStart"/>
      <w:r w:rsidRPr="00B66A38">
        <w:rPr>
          <w:i/>
          <w:sz w:val="24"/>
          <w:szCs w:val="24"/>
        </w:rPr>
        <w:t>hæmmere</w:t>
      </w:r>
      <w:proofErr w:type="spellEnd"/>
    </w:p>
    <w:p w14:paraId="1C624823" w14:textId="0088FCA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Afhængigt af den enkelte patients respons kan det overvejes at give en lavere dosis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ved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samtidig behandling med potente CYP2D6-hæmmere (f.eks. </w:t>
      </w:r>
      <w:proofErr w:type="spellStart"/>
      <w:r w:rsidRPr="00A56CE1">
        <w:rPr>
          <w:sz w:val="24"/>
          <w:szCs w:val="24"/>
        </w:rPr>
        <w:t>bupropion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quinidin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paroxetin</w:t>
      </w:r>
      <w:proofErr w:type="spellEnd"/>
      <w:r w:rsidRPr="00A56CE1">
        <w:rPr>
          <w:sz w:val="24"/>
          <w:szCs w:val="24"/>
        </w:rPr>
        <w:t>)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(se pkt. 4.5).</w:t>
      </w:r>
    </w:p>
    <w:p w14:paraId="01761AA5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AE8DAB3" w14:textId="40FCAF12" w:rsidR="007C7A27" w:rsidRPr="00B66A38" w:rsidRDefault="007C7A27" w:rsidP="004766C8">
      <w:pPr>
        <w:ind w:left="851"/>
        <w:rPr>
          <w:i/>
          <w:sz w:val="24"/>
          <w:szCs w:val="24"/>
        </w:rPr>
      </w:pPr>
      <w:proofErr w:type="gramStart"/>
      <w:r w:rsidRPr="00B66A38">
        <w:rPr>
          <w:i/>
          <w:sz w:val="24"/>
          <w:szCs w:val="24"/>
        </w:rPr>
        <w:t>CYP</w:t>
      </w:r>
      <w:r w:rsidR="00BD07FC">
        <w:rPr>
          <w:i/>
          <w:sz w:val="24"/>
          <w:szCs w:val="24"/>
        </w:rPr>
        <w:t xml:space="preserve"> </w:t>
      </w:r>
      <w:r w:rsidRPr="00B66A38">
        <w:rPr>
          <w:i/>
          <w:sz w:val="24"/>
          <w:szCs w:val="24"/>
        </w:rPr>
        <w:t>induktorer</w:t>
      </w:r>
      <w:proofErr w:type="gramEnd"/>
    </w:p>
    <w:p w14:paraId="7667B006" w14:textId="7A454FD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Afhængigt af den enkelte patients respons kan det overvejes at justere dosis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ved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samtidig behandling med en bred CYP-induktor (f.eks. </w:t>
      </w:r>
      <w:proofErr w:type="spellStart"/>
      <w:r w:rsidRPr="00A56CE1">
        <w:rPr>
          <w:sz w:val="24"/>
          <w:szCs w:val="24"/>
        </w:rPr>
        <w:t>rifampicin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carbamazepin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phenytoin</w:t>
      </w:r>
      <w:proofErr w:type="spellEnd"/>
      <w:r w:rsidRPr="00A56CE1">
        <w:rPr>
          <w:sz w:val="24"/>
          <w:szCs w:val="24"/>
        </w:rPr>
        <w:t>) (se pkt.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4.5).</w:t>
      </w:r>
    </w:p>
    <w:p w14:paraId="02D8D018" w14:textId="2B6361FC" w:rsidR="00F86CA0" w:rsidRDefault="00F86C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B2CD3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2B3CA36" w14:textId="77777777" w:rsidR="007C7A27" w:rsidRPr="00B66A38" w:rsidRDefault="007C7A27" w:rsidP="004766C8">
      <w:pPr>
        <w:ind w:left="851"/>
        <w:rPr>
          <w:i/>
          <w:sz w:val="24"/>
          <w:szCs w:val="24"/>
        </w:rPr>
      </w:pPr>
      <w:r w:rsidRPr="00B66A38">
        <w:rPr>
          <w:i/>
          <w:sz w:val="24"/>
          <w:szCs w:val="24"/>
        </w:rPr>
        <w:t>Pædiatrisk population</w:t>
      </w:r>
    </w:p>
    <w:p w14:paraId="56615AE0" w14:textId="09F14EDA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bør ikke anvendes til pædiatriske patienter (under 18 år) med moderate til svære depressive episoder, da virkningen ikke er påvist (se pkt. 5.1). </w:t>
      </w:r>
      <w:proofErr w:type="spellStart"/>
      <w:r w:rsidRPr="00A56CE1">
        <w:rPr>
          <w:sz w:val="24"/>
          <w:szCs w:val="24"/>
        </w:rPr>
        <w:t>Vortioxetin</w:t>
      </w:r>
      <w:r w:rsidR="00F86CA0">
        <w:rPr>
          <w:sz w:val="24"/>
          <w:szCs w:val="24"/>
        </w:rPr>
        <w:t>s</w:t>
      </w:r>
      <w:proofErr w:type="spellEnd"/>
      <w:r w:rsidRPr="00A56CE1">
        <w:rPr>
          <w:sz w:val="24"/>
          <w:szCs w:val="24"/>
        </w:rPr>
        <w:t xml:space="preserve"> sikkerhed hos pædiatriske patienter er beskrevet i pkt. 4.4, 4.8 og 5.1.</w:t>
      </w:r>
    </w:p>
    <w:p w14:paraId="6FE82B5F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8D4E036" w14:textId="77777777" w:rsidR="007C7A27" w:rsidRPr="00B66A38" w:rsidRDefault="007C7A27" w:rsidP="004766C8">
      <w:pPr>
        <w:ind w:left="851"/>
        <w:rPr>
          <w:i/>
          <w:sz w:val="24"/>
          <w:szCs w:val="24"/>
        </w:rPr>
      </w:pPr>
      <w:r w:rsidRPr="00B66A38">
        <w:rPr>
          <w:i/>
          <w:sz w:val="24"/>
          <w:szCs w:val="24"/>
        </w:rPr>
        <w:t>Nedsat nyre- eller leverfunktion</w:t>
      </w:r>
    </w:p>
    <w:p w14:paraId="59AA4577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Dosisjustering er ikke nødvendig på baggrund af nyre- eller leverfunktion (se pkt. 4.4 og 5.2).</w:t>
      </w:r>
    </w:p>
    <w:p w14:paraId="7437DBD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DFAB43C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Administration</w:t>
      </w:r>
    </w:p>
    <w:p w14:paraId="35E11A85" w14:textId="226BDCC9" w:rsidR="007C7A27" w:rsidRPr="00A56CE1" w:rsidRDefault="00921827" w:rsidP="004766C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Vortioxetine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="007C7A27" w:rsidRPr="00A56CE1">
        <w:rPr>
          <w:sz w:val="24"/>
          <w:szCs w:val="24"/>
        </w:rPr>
        <w:t xml:space="preserve"> er til oral anvendelse.</w:t>
      </w:r>
    </w:p>
    <w:p w14:paraId="17C3270D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De filmovertrukne tabletter kan tages med eller uden samtidig fødeindtagelse.</w:t>
      </w:r>
    </w:p>
    <w:p w14:paraId="34BDE32F" w14:textId="5FA96721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Til de patienter, som ikke kan sluge tabletten hel, findes der andre fo</w:t>
      </w:r>
      <w:r w:rsidR="00B66A38">
        <w:rPr>
          <w:sz w:val="24"/>
          <w:szCs w:val="24"/>
        </w:rPr>
        <w:t>r</w:t>
      </w:r>
      <w:r w:rsidRPr="00A56CE1">
        <w:rPr>
          <w:sz w:val="24"/>
          <w:szCs w:val="24"/>
        </w:rPr>
        <w:t xml:space="preserve">muleringer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 markedet, som kan være mere passende. </w:t>
      </w:r>
    </w:p>
    <w:p w14:paraId="673D7A5D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8C3A58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4.3</w:t>
      </w:r>
      <w:r w:rsidRPr="00A56CE1">
        <w:rPr>
          <w:b/>
          <w:sz w:val="24"/>
          <w:szCs w:val="24"/>
        </w:rPr>
        <w:tab/>
        <w:t>Kontraindikationer</w:t>
      </w:r>
    </w:p>
    <w:p w14:paraId="628CA026" w14:textId="77777777" w:rsidR="007C7A27" w:rsidRPr="00A56CE1" w:rsidRDefault="007C7A27" w:rsidP="004766C8">
      <w:pPr>
        <w:ind w:left="851"/>
        <w:rPr>
          <w:sz w:val="24"/>
          <w:szCs w:val="24"/>
          <w:lang w:eastAsia="fr-LU"/>
        </w:rPr>
      </w:pPr>
      <w:r w:rsidRPr="00A56CE1">
        <w:rPr>
          <w:sz w:val="24"/>
          <w:szCs w:val="24"/>
        </w:rPr>
        <w:t>Overfølsomhed over for det aktive stof eller over for et eller flere af hjælpestofferne anført i pkt. 6.1.</w:t>
      </w:r>
    </w:p>
    <w:p w14:paraId="48B974D0" w14:textId="1B424FA5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Samtidig anvendelse af ikke-selektive </w:t>
      </w:r>
      <w:proofErr w:type="spellStart"/>
      <w:r w:rsidRPr="00A56CE1">
        <w:rPr>
          <w:sz w:val="24"/>
          <w:szCs w:val="24"/>
        </w:rPr>
        <w:t>monoaminoxidasehæmmere</w:t>
      </w:r>
      <w:proofErr w:type="spellEnd"/>
      <w:r w:rsidRPr="00A56CE1">
        <w:rPr>
          <w:sz w:val="24"/>
          <w:szCs w:val="24"/>
        </w:rPr>
        <w:t xml:space="preserve"> (MAO-</w:t>
      </w:r>
      <w:proofErr w:type="spellStart"/>
      <w:r w:rsidRPr="00A56CE1">
        <w:rPr>
          <w:sz w:val="24"/>
          <w:szCs w:val="24"/>
        </w:rPr>
        <w:t>hæmmere</w:t>
      </w:r>
      <w:proofErr w:type="spellEnd"/>
      <w:r w:rsidRPr="00A56CE1">
        <w:rPr>
          <w:sz w:val="24"/>
          <w:szCs w:val="24"/>
        </w:rPr>
        <w:t>) eller selektive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MAO-A-</w:t>
      </w:r>
      <w:proofErr w:type="spellStart"/>
      <w:r w:rsidRPr="00A56CE1">
        <w:rPr>
          <w:sz w:val="24"/>
          <w:szCs w:val="24"/>
        </w:rPr>
        <w:t>hæmmere</w:t>
      </w:r>
      <w:proofErr w:type="spellEnd"/>
      <w:r w:rsidRPr="00A56CE1">
        <w:rPr>
          <w:sz w:val="24"/>
          <w:szCs w:val="24"/>
        </w:rPr>
        <w:t xml:space="preserve"> (se pkt. 4.5).</w:t>
      </w:r>
    </w:p>
    <w:p w14:paraId="2960F4AC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9738DD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4.4</w:t>
      </w:r>
      <w:r w:rsidRPr="00A56CE1">
        <w:rPr>
          <w:b/>
          <w:sz w:val="24"/>
          <w:szCs w:val="24"/>
        </w:rPr>
        <w:tab/>
        <w:t>Særlige advarsler og forsigtighedsregler vedrørende brugen</w:t>
      </w:r>
    </w:p>
    <w:p w14:paraId="56DE3126" w14:textId="77777777" w:rsidR="00B66A38" w:rsidRDefault="00B66A38" w:rsidP="004766C8">
      <w:pPr>
        <w:ind w:left="851"/>
        <w:rPr>
          <w:sz w:val="24"/>
          <w:szCs w:val="24"/>
        </w:rPr>
      </w:pPr>
    </w:p>
    <w:p w14:paraId="62B7DAF1" w14:textId="59F63F10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Pædiatrisk population</w:t>
      </w:r>
    </w:p>
    <w:p w14:paraId="42573DD8" w14:textId="21409C73" w:rsidR="007C7A27" w:rsidRPr="00A56CE1" w:rsidRDefault="00921827" w:rsidP="004766C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Vortioxetine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="007C7A27" w:rsidRPr="00A56CE1">
        <w:rPr>
          <w:sz w:val="24"/>
          <w:szCs w:val="24"/>
        </w:rPr>
        <w:t xml:space="preserve"> bør ikke anvendes til børn og unge i alderen 7 til 17 år med moderate til svære depressive episoder, da virkningen ikke er påvist (se pkt. 5.1). Generelt svarede </w:t>
      </w:r>
      <w:proofErr w:type="spellStart"/>
      <w:r w:rsidR="007C7A27" w:rsidRPr="00A56CE1">
        <w:rPr>
          <w:sz w:val="24"/>
          <w:szCs w:val="24"/>
        </w:rPr>
        <w:t>vortioxetins</w:t>
      </w:r>
      <w:proofErr w:type="spellEnd"/>
      <w:r w:rsidR="007C7A27" w:rsidRPr="00A56CE1">
        <w:rPr>
          <w:sz w:val="24"/>
          <w:szCs w:val="24"/>
        </w:rPr>
        <w:t xml:space="preserve"> bivirkningsprofil hos børn og unge til den der ses hos voksne. Dog var der i pædiatriske patienter en hyppigere forekomst af hændelser med </w:t>
      </w:r>
      <w:proofErr w:type="spellStart"/>
      <w:r w:rsidR="007C7A27" w:rsidRPr="00A56CE1">
        <w:rPr>
          <w:sz w:val="24"/>
          <w:szCs w:val="24"/>
        </w:rPr>
        <w:t>abdominalsmerter</w:t>
      </w:r>
      <w:proofErr w:type="spellEnd"/>
      <w:r w:rsidR="007C7A27" w:rsidRPr="00A56CE1">
        <w:rPr>
          <w:sz w:val="24"/>
          <w:szCs w:val="24"/>
        </w:rPr>
        <w:t xml:space="preserve"> og specifikt hos unge en hyppigere forekomst af selvmordstanker sammenlignet med voksne (se pkt. 4.8 og 5.1). I kliniske studier med børn og unge, der blev behandlet med </w:t>
      </w:r>
      <w:proofErr w:type="spellStart"/>
      <w:r w:rsidR="007C7A27" w:rsidRPr="00A56CE1">
        <w:rPr>
          <w:sz w:val="24"/>
          <w:szCs w:val="24"/>
        </w:rPr>
        <w:t>antidepressiva</w:t>
      </w:r>
      <w:proofErr w:type="spellEnd"/>
      <w:r w:rsidR="007C7A27" w:rsidRPr="00A56CE1">
        <w:rPr>
          <w:sz w:val="24"/>
          <w:szCs w:val="24"/>
        </w:rPr>
        <w:t>, forekom selvmordsrelateret adfærd (selvmordsforsøg og selvmordstanker) og fjendtlighed (især aggression, trodsighed og vrede) hyppigere i behandlingsgruppen end i placebogruppen.</w:t>
      </w:r>
    </w:p>
    <w:p w14:paraId="27EC6FB2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485CC8B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Selvmord/selvmordstanker eller klinisk forværring</w:t>
      </w:r>
    </w:p>
    <w:p w14:paraId="7293D69D" w14:textId="13267665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Depression er forbundet med en øget risiko for selvmordstanker, selvdestruktive handlinger og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selvmord (selvmordsrelaterede hændelser). Denne risiko varer ved, indtil der er sket en signifikant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remission af sygdommen. Eftersom en bedring af depressionen måske ikke ses før efter flere ugers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behandling, bør patienten følges tæt, indtil der kan ses bedring. Generel klinisk erfaring viser, at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selvmordsrisikoen kan øges i de tidlige stadier af remission.</w:t>
      </w:r>
    </w:p>
    <w:p w14:paraId="2C9D3B2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C300659" w14:textId="43E020D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Patienter med selvmordsrelaterede hændelser i anamnesen og patienter, der udviser en signifikant grad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af selvmordstanker eller selvmordsforsøg inden behandling, har større risiko for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selvmordstanker eller for at forsøge at begå selvmord og bør følges tæt under behandlingen. En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metaanalyse af placebokontrollerede kliniske studier med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hos voksne patienter med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psykiatriske lidelser viste en øget risiko for selvmordsrelateret adfærd hos patienter under 25 år, der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blev behandlet med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>, sammenlignet med placebo.</w:t>
      </w:r>
    </w:p>
    <w:p w14:paraId="59707DC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CA97592" w14:textId="4EEA011F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lastRenderedPageBreak/>
        <w:t>Tæt overvågning, især af patienter i højrisikogruppe, bør ledsage den medicinske behandling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særlig ved behandlingsstart og efter dosisændring. Patienter (og deres omsorgspersoner) skal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informeres om nødvendigheden af overvågning for forekomst af en hvilken som helst klinisk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forværring, selvmordsrelateret adfærd eller selvmordstanker samt unormal adfærd og om, at de straks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skal søge læge, hvis disse symptomer opstår.</w:t>
      </w:r>
    </w:p>
    <w:p w14:paraId="4C104864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7B602D1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Krampeanfald</w:t>
      </w:r>
    </w:p>
    <w:p w14:paraId="430045AE" w14:textId="165ECE21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indebærer en potentiel risiko for krampeanfald. Derfor bør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indledes med forsigtighed hos patienter med krampeanfald i anamnesen eller med ustabil epilepsi (se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pkt. 4.5). Behandlingen skal seponeres hos patienter, der udvikler krampeanfald, eller som får en øget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anfaldsfrekvens</w:t>
      </w:r>
      <w:proofErr w:type="spellEnd"/>
      <w:r w:rsidRPr="00A56CE1">
        <w:rPr>
          <w:sz w:val="24"/>
          <w:szCs w:val="24"/>
        </w:rPr>
        <w:t>.</w:t>
      </w:r>
    </w:p>
    <w:p w14:paraId="7C7E0B02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0A795406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proofErr w:type="spellStart"/>
      <w:r w:rsidRPr="00B66A38">
        <w:rPr>
          <w:sz w:val="24"/>
          <w:szCs w:val="24"/>
          <w:u w:val="single"/>
        </w:rPr>
        <w:t>Serotonergt</w:t>
      </w:r>
      <w:proofErr w:type="spellEnd"/>
      <w:r w:rsidRPr="00B66A38">
        <w:rPr>
          <w:sz w:val="24"/>
          <w:szCs w:val="24"/>
          <w:u w:val="single"/>
        </w:rPr>
        <w:t xml:space="preserve"> syndrom eller malignt </w:t>
      </w:r>
      <w:proofErr w:type="spellStart"/>
      <w:r w:rsidRPr="00B66A38">
        <w:rPr>
          <w:sz w:val="24"/>
          <w:szCs w:val="24"/>
          <w:u w:val="single"/>
        </w:rPr>
        <w:t>neuroleptikasyndrom</w:t>
      </w:r>
      <w:proofErr w:type="spellEnd"/>
    </w:p>
    <w:p w14:paraId="1B82CD42" w14:textId="3ABD1DA9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Under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kan der forekomme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eller malignt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neuroleptikasyndrom</w:t>
      </w:r>
      <w:proofErr w:type="spellEnd"/>
      <w:r w:rsidRPr="00A56CE1">
        <w:rPr>
          <w:sz w:val="24"/>
          <w:szCs w:val="24"/>
        </w:rPr>
        <w:t xml:space="preserve">, som er potentielt livstruende tilstande. Risikoen disse symptomer øges ved samtidig anvendelse af </w:t>
      </w:r>
      <w:proofErr w:type="spellStart"/>
      <w:r w:rsidRPr="00A56CE1">
        <w:rPr>
          <w:sz w:val="24"/>
          <w:szCs w:val="24"/>
        </w:rPr>
        <w:t>serotonerge</w:t>
      </w:r>
      <w:proofErr w:type="spellEnd"/>
      <w:r w:rsidRPr="00A56CE1">
        <w:rPr>
          <w:sz w:val="24"/>
          <w:szCs w:val="24"/>
        </w:rPr>
        <w:t xml:space="preserve"> stoffer (herunder opioider og </w:t>
      </w:r>
      <w:proofErr w:type="spellStart"/>
      <w:r w:rsidRPr="00A56CE1">
        <w:rPr>
          <w:sz w:val="24"/>
          <w:szCs w:val="24"/>
        </w:rPr>
        <w:t>triptaner</w:t>
      </w:r>
      <w:proofErr w:type="spellEnd"/>
      <w:r w:rsidRPr="00A56CE1">
        <w:rPr>
          <w:sz w:val="24"/>
          <w:szCs w:val="24"/>
        </w:rPr>
        <w:t xml:space="preserve">), lægemidler, der hæmmer serotonins metabolisme (herunder MAO </w:t>
      </w:r>
      <w:proofErr w:type="spellStart"/>
      <w:r w:rsidRPr="00A56CE1">
        <w:rPr>
          <w:sz w:val="24"/>
          <w:szCs w:val="24"/>
        </w:rPr>
        <w:t>hæmmere</w:t>
      </w:r>
      <w:proofErr w:type="spellEnd"/>
      <w:r w:rsidRPr="00A56CE1">
        <w:rPr>
          <w:sz w:val="24"/>
          <w:szCs w:val="24"/>
        </w:rPr>
        <w:t>) antipsykotika og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andre dopaminantagonister. Patienterne bør kontrolleres for symptomer på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og malignt </w:t>
      </w:r>
      <w:proofErr w:type="spellStart"/>
      <w:r w:rsidRPr="00A56CE1">
        <w:rPr>
          <w:sz w:val="24"/>
          <w:szCs w:val="24"/>
        </w:rPr>
        <w:t>neuroleptikasyndrom</w:t>
      </w:r>
      <w:proofErr w:type="spellEnd"/>
      <w:r w:rsidRPr="00A56CE1">
        <w:rPr>
          <w:sz w:val="24"/>
          <w:szCs w:val="24"/>
        </w:rPr>
        <w:t xml:space="preserve"> (se pkt. 4.3 og 4.5).</w:t>
      </w:r>
    </w:p>
    <w:p w14:paraId="4182AC77" w14:textId="26F4C2B1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Symptomerne på et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omfatter ændringer i mental tilstand (f.eks. agitation, hallucinationer, koma), autonom ustabilitet (f.eks. </w:t>
      </w:r>
      <w:proofErr w:type="spellStart"/>
      <w:r w:rsidRPr="00A56CE1">
        <w:rPr>
          <w:sz w:val="24"/>
          <w:szCs w:val="24"/>
        </w:rPr>
        <w:t>takykardi</w:t>
      </w:r>
      <w:proofErr w:type="spellEnd"/>
      <w:r w:rsidRPr="00A56CE1">
        <w:rPr>
          <w:sz w:val="24"/>
          <w:szCs w:val="24"/>
        </w:rPr>
        <w:t xml:space="preserve">, labilt blodtryk, </w:t>
      </w:r>
      <w:proofErr w:type="spellStart"/>
      <w:r w:rsidRPr="00A56CE1">
        <w:rPr>
          <w:sz w:val="24"/>
          <w:szCs w:val="24"/>
        </w:rPr>
        <w:t>hypertermi</w:t>
      </w:r>
      <w:proofErr w:type="spellEnd"/>
      <w:r w:rsidRPr="00A56CE1">
        <w:rPr>
          <w:sz w:val="24"/>
          <w:szCs w:val="24"/>
        </w:rPr>
        <w:t>),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neuromuskulære</w:t>
      </w:r>
      <w:proofErr w:type="spellEnd"/>
      <w:r w:rsidRPr="00A56CE1">
        <w:rPr>
          <w:sz w:val="24"/>
          <w:szCs w:val="24"/>
        </w:rPr>
        <w:t xml:space="preserve"> forstyrrelser (f.eks. </w:t>
      </w:r>
      <w:proofErr w:type="spellStart"/>
      <w:r w:rsidRPr="00A56CE1">
        <w:rPr>
          <w:sz w:val="24"/>
          <w:szCs w:val="24"/>
        </w:rPr>
        <w:t>hyperrefleksi</w:t>
      </w:r>
      <w:proofErr w:type="spellEnd"/>
      <w:r w:rsidRPr="00A56CE1">
        <w:rPr>
          <w:sz w:val="24"/>
          <w:szCs w:val="24"/>
        </w:rPr>
        <w:t xml:space="preserve">, manglende koordination) og/eller </w:t>
      </w:r>
      <w:proofErr w:type="spellStart"/>
      <w:r w:rsidRPr="00A56CE1">
        <w:rPr>
          <w:sz w:val="24"/>
          <w:szCs w:val="24"/>
        </w:rPr>
        <w:t>gastrointestinale</w:t>
      </w:r>
      <w:proofErr w:type="spellEnd"/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symptomer (f.eks. kvalme, opkastning, diarré). Hvis disse symptomer opstår, skal behandlingen med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afbrydes med det samme og symptomatisk behandling indledes.</w:t>
      </w:r>
    </w:p>
    <w:p w14:paraId="4D1F2094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E31B551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Mani/</w:t>
      </w:r>
      <w:proofErr w:type="spellStart"/>
      <w:r w:rsidRPr="00B66A38">
        <w:rPr>
          <w:sz w:val="24"/>
          <w:szCs w:val="24"/>
          <w:u w:val="single"/>
        </w:rPr>
        <w:t>hypomani</w:t>
      </w:r>
      <w:proofErr w:type="spellEnd"/>
    </w:p>
    <w:p w14:paraId="3B894691" w14:textId="54129646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bør anvendes med forsigtighed til patienter med mani/</w:t>
      </w:r>
      <w:proofErr w:type="spellStart"/>
      <w:r w:rsidRPr="00A56CE1">
        <w:rPr>
          <w:sz w:val="24"/>
          <w:szCs w:val="24"/>
        </w:rPr>
        <w:t>hypomani</w:t>
      </w:r>
      <w:proofErr w:type="spellEnd"/>
      <w:r w:rsidRPr="00A56CE1">
        <w:rPr>
          <w:sz w:val="24"/>
          <w:szCs w:val="24"/>
        </w:rPr>
        <w:t xml:space="preserve"> i anamnesen og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seponeres, hvis patienten er på vej ind i en manisk fase.</w:t>
      </w:r>
    </w:p>
    <w:p w14:paraId="1C64EEBC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72775C4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Aggression/agitation</w:t>
      </w:r>
    </w:p>
    <w:p w14:paraId="2A36B2A6" w14:textId="0DAC56EF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Patienter, der behandles med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, herunder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, kan også opleve følelser af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aggression, vrede, agitation og irritabilitet. Patientens tilstand og sygdomsstatus bør følges tæt.</w:t>
      </w:r>
    </w:p>
    <w:p w14:paraId="64FB39E8" w14:textId="50CD5944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Patienter (og disses omsorgspersoner) skal opfordres til at søge lægehjælp, hvis der opstår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aggressiv/agiteret adfærd eller disse tilstande forværres.</w:t>
      </w:r>
    </w:p>
    <w:p w14:paraId="14E95E5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7D5CA89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Blødning</w:t>
      </w:r>
    </w:p>
    <w:p w14:paraId="5C65E0BE" w14:textId="3B79F6E0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Blødningsforstyrrelser såsom </w:t>
      </w:r>
      <w:proofErr w:type="spellStart"/>
      <w:r w:rsidRPr="00A56CE1">
        <w:rPr>
          <w:sz w:val="24"/>
          <w:szCs w:val="24"/>
        </w:rPr>
        <w:t>ekkymose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purpura</w:t>
      </w:r>
      <w:proofErr w:type="spellEnd"/>
      <w:r w:rsidRPr="00A56CE1">
        <w:rPr>
          <w:sz w:val="24"/>
          <w:szCs w:val="24"/>
        </w:rPr>
        <w:t xml:space="preserve"> og andre blødningshændelser såsom </w:t>
      </w:r>
      <w:proofErr w:type="spellStart"/>
      <w:r w:rsidRPr="00A56CE1">
        <w:rPr>
          <w:sz w:val="24"/>
          <w:szCs w:val="24"/>
        </w:rPr>
        <w:t>gastrointestinal</w:t>
      </w:r>
      <w:proofErr w:type="spellEnd"/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eller gynækologisk blødning er blevet indberettet i sjældne tilfælde i forbindelse med brug af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med </w:t>
      </w:r>
      <w:proofErr w:type="spellStart"/>
      <w:r w:rsidRPr="00A56CE1">
        <w:rPr>
          <w:sz w:val="24"/>
          <w:szCs w:val="24"/>
        </w:rPr>
        <w:t>serotonerg</w:t>
      </w:r>
      <w:proofErr w:type="spellEnd"/>
      <w:r w:rsidRPr="00A56CE1">
        <w:rPr>
          <w:sz w:val="24"/>
          <w:szCs w:val="24"/>
        </w:rPr>
        <w:t xml:space="preserve"> virkning, herunder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 SSRI/SNRI kan øge risikoen for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postpartum</w:t>
      </w:r>
      <w:proofErr w:type="spellEnd"/>
      <w:r w:rsidRPr="00A56CE1">
        <w:rPr>
          <w:sz w:val="24"/>
          <w:szCs w:val="24"/>
        </w:rPr>
        <w:t xml:space="preserve"> blødning, og denne risiko kan potentielt også gælde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(se pkt. 4.6).</w:t>
      </w:r>
    </w:p>
    <w:p w14:paraId="4765F97F" w14:textId="3D87656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Forsigtighed tilrådes hos patienter, der tager </w:t>
      </w:r>
      <w:proofErr w:type="spellStart"/>
      <w:r w:rsidRPr="00A56CE1">
        <w:rPr>
          <w:sz w:val="24"/>
          <w:szCs w:val="24"/>
        </w:rPr>
        <w:t>antikoagulantia</w:t>
      </w:r>
      <w:proofErr w:type="spellEnd"/>
      <w:r w:rsidRPr="00A56CE1">
        <w:rPr>
          <w:sz w:val="24"/>
          <w:szCs w:val="24"/>
        </w:rPr>
        <w:t xml:space="preserve"> og/eller lægemidler med kendt påvirkning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af </w:t>
      </w:r>
      <w:proofErr w:type="spellStart"/>
      <w:r w:rsidRPr="00A56CE1">
        <w:rPr>
          <w:sz w:val="24"/>
          <w:szCs w:val="24"/>
        </w:rPr>
        <w:t>trombocytfunktionen</w:t>
      </w:r>
      <w:proofErr w:type="spellEnd"/>
      <w:r w:rsidRPr="00A56CE1">
        <w:rPr>
          <w:sz w:val="24"/>
          <w:szCs w:val="24"/>
        </w:rPr>
        <w:t xml:space="preserve"> [f.eks. atypiske antipsykotika og </w:t>
      </w:r>
      <w:proofErr w:type="spellStart"/>
      <w:r w:rsidRPr="00A56CE1">
        <w:rPr>
          <w:sz w:val="24"/>
          <w:szCs w:val="24"/>
        </w:rPr>
        <w:t>phenothiaziner</w:t>
      </w:r>
      <w:proofErr w:type="spellEnd"/>
      <w:r w:rsidRPr="00A56CE1">
        <w:rPr>
          <w:sz w:val="24"/>
          <w:szCs w:val="24"/>
        </w:rPr>
        <w:t>, de fleste tricykliske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>, non-</w:t>
      </w:r>
      <w:proofErr w:type="spellStart"/>
      <w:r w:rsidRPr="00A56CE1">
        <w:rPr>
          <w:sz w:val="24"/>
          <w:szCs w:val="24"/>
        </w:rPr>
        <w:t>steroide</w:t>
      </w:r>
      <w:proofErr w:type="spellEnd"/>
      <w:r w:rsidRPr="00A56CE1">
        <w:rPr>
          <w:sz w:val="24"/>
          <w:szCs w:val="24"/>
        </w:rPr>
        <w:t xml:space="preserve"> antiinflammatoriske lægemidler (NSAID), acetylsalicylsyre (ASA)] (se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pkt. 4.5) samt hos patienter med blødningstendens/blødnings</w:t>
      </w:r>
      <w:r w:rsidR="00B66A38">
        <w:rPr>
          <w:sz w:val="24"/>
          <w:szCs w:val="24"/>
        </w:rPr>
        <w:softHyphen/>
      </w:r>
      <w:r w:rsidRPr="00A56CE1">
        <w:rPr>
          <w:sz w:val="24"/>
          <w:szCs w:val="24"/>
        </w:rPr>
        <w:t>forstyrrelser.</w:t>
      </w:r>
    </w:p>
    <w:p w14:paraId="2E215062" w14:textId="096AB3DA" w:rsidR="00F86CA0" w:rsidRDefault="00F86C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825D94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F1591DF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proofErr w:type="spellStart"/>
      <w:r w:rsidRPr="00B66A38">
        <w:rPr>
          <w:sz w:val="24"/>
          <w:szCs w:val="24"/>
          <w:u w:val="single"/>
        </w:rPr>
        <w:t>Hyponatriæmi</w:t>
      </w:r>
      <w:proofErr w:type="spellEnd"/>
    </w:p>
    <w:p w14:paraId="5C7F9911" w14:textId="47D3FAB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forbindelse med brug af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med </w:t>
      </w:r>
      <w:proofErr w:type="spellStart"/>
      <w:r w:rsidRPr="00A56CE1">
        <w:rPr>
          <w:sz w:val="24"/>
          <w:szCs w:val="24"/>
        </w:rPr>
        <w:t>serotonerg</w:t>
      </w:r>
      <w:proofErr w:type="spellEnd"/>
      <w:r w:rsidRPr="00A56CE1">
        <w:rPr>
          <w:sz w:val="24"/>
          <w:szCs w:val="24"/>
        </w:rPr>
        <w:t xml:space="preserve"> effekt (SSRI, SNRI) er der indberettet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sjældne tilfælde af </w:t>
      </w:r>
      <w:proofErr w:type="spellStart"/>
      <w:r w:rsidRPr="00A56CE1">
        <w:rPr>
          <w:sz w:val="24"/>
          <w:szCs w:val="24"/>
        </w:rPr>
        <w:t>hyponatriæmi</w:t>
      </w:r>
      <w:proofErr w:type="spellEnd"/>
      <w:r w:rsidRPr="00A56CE1">
        <w:rPr>
          <w:sz w:val="24"/>
          <w:szCs w:val="24"/>
        </w:rPr>
        <w:t>, som formentlig skyldes uhensigtsmæssig produktion af antidiuretisk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hormon (SIADH-syndrom). Forsigtighed tilrådes hos patienter i risikogruppe såsom ældre, patienter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med levercirrose eller patienter, der er i samtidig behandling med lægemidler, der kan forårsage</w:t>
      </w:r>
      <w:r w:rsidR="00B66A38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hyponatriæmi</w:t>
      </w:r>
      <w:proofErr w:type="spellEnd"/>
      <w:r w:rsidRPr="00A56CE1">
        <w:rPr>
          <w:sz w:val="24"/>
          <w:szCs w:val="24"/>
        </w:rPr>
        <w:t>.</w:t>
      </w:r>
    </w:p>
    <w:p w14:paraId="35606971" w14:textId="6F704C0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Det bør overvejes at seponere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hos patienter med symptomatisk </w:t>
      </w:r>
      <w:proofErr w:type="spellStart"/>
      <w:r w:rsidRPr="00A56CE1">
        <w:rPr>
          <w:sz w:val="24"/>
          <w:szCs w:val="24"/>
        </w:rPr>
        <w:t>hyponatriæmi</w:t>
      </w:r>
      <w:proofErr w:type="spellEnd"/>
      <w:r w:rsidRPr="00A56CE1">
        <w:rPr>
          <w:sz w:val="24"/>
          <w:szCs w:val="24"/>
        </w:rPr>
        <w:t xml:space="preserve"> og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iværksætte passende intervention.</w:t>
      </w:r>
    </w:p>
    <w:p w14:paraId="4EB9F2E9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EA8ACD6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proofErr w:type="spellStart"/>
      <w:r w:rsidRPr="00B66A38">
        <w:rPr>
          <w:sz w:val="24"/>
          <w:szCs w:val="24"/>
          <w:u w:val="single"/>
        </w:rPr>
        <w:t>Glaukom</w:t>
      </w:r>
      <w:proofErr w:type="spellEnd"/>
    </w:p>
    <w:p w14:paraId="51EC23D0" w14:textId="131DAF28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er indberettet </w:t>
      </w:r>
      <w:proofErr w:type="spellStart"/>
      <w:r w:rsidRPr="00A56CE1">
        <w:rPr>
          <w:sz w:val="24"/>
          <w:szCs w:val="24"/>
        </w:rPr>
        <w:t>mydriasis</w:t>
      </w:r>
      <w:proofErr w:type="spellEnd"/>
      <w:r w:rsidRPr="00A56CE1">
        <w:rPr>
          <w:sz w:val="24"/>
          <w:szCs w:val="24"/>
        </w:rPr>
        <w:t xml:space="preserve"> i forbindelse med brugen af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, herunder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. Denne pupiludvidende effekt kan potentielt medvirke til at indsnævre øjets vinkel, hvilket resulterer i forhøjet </w:t>
      </w:r>
      <w:proofErr w:type="spellStart"/>
      <w:r w:rsidRPr="00A56CE1">
        <w:rPr>
          <w:sz w:val="24"/>
          <w:szCs w:val="24"/>
        </w:rPr>
        <w:t>intraokulært</w:t>
      </w:r>
      <w:proofErr w:type="spellEnd"/>
      <w:r w:rsidRPr="00A56CE1">
        <w:rPr>
          <w:sz w:val="24"/>
          <w:szCs w:val="24"/>
        </w:rPr>
        <w:t xml:space="preserve"> tryk og </w:t>
      </w:r>
      <w:proofErr w:type="spellStart"/>
      <w:r w:rsidRPr="00A56CE1">
        <w:rPr>
          <w:sz w:val="24"/>
          <w:szCs w:val="24"/>
        </w:rPr>
        <w:t>vinkellukningsglaukom</w:t>
      </w:r>
      <w:proofErr w:type="spellEnd"/>
      <w:r w:rsidRPr="00A56CE1">
        <w:rPr>
          <w:sz w:val="24"/>
          <w:szCs w:val="24"/>
        </w:rPr>
        <w:t xml:space="preserve">. Forsigtighed tilrådes ved ordination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til patienter med forhøjet </w:t>
      </w:r>
      <w:proofErr w:type="spellStart"/>
      <w:r w:rsidRPr="00A56CE1">
        <w:rPr>
          <w:sz w:val="24"/>
          <w:szCs w:val="24"/>
        </w:rPr>
        <w:t>intraokulært</w:t>
      </w:r>
      <w:proofErr w:type="spellEnd"/>
      <w:r w:rsidRPr="00A56CE1">
        <w:rPr>
          <w:sz w:val="24"/>
          <w:szCs w:val="24"/>
        </w:rPr>
        <w:t xml:space="preserve"> tryk eller med risiko for akut snævervinklet </w:t>
      </w:r>
      <w:proofErr w:type="spellStart"/>
      <w:r w:rsidRPr="00A56CE1">
        <w:rPr>
          <w:sz w:val="24"/>
          <w:szCs w:val="24"/>
        </w:rPr>
        <w:t>glaukom</w:t>
      </w:r>
      <w:proofErr w:type="spellEnd"/>
      <w:r w:rsidRPr="00A56CE1">
        <w:rPr>
          <w:sz w:val="24"/>
          <w:szCs w:val="24"/>
        </w:rPr>
        <w:t>.</w:t>
      </w:r>
    </w:p>
    <w:p w14:paraId="6B26CDEF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AB72ED4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Ældre</w:t>
      </w:r>
    </w:p>
    <w:p w14:paraId="708C4F28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foreligger begrænsede data om anvendelse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til ældre patienter med moderate til svære depressive episoder. </w:t>
      </w:r>
    </w:p>
    <w:p w14:paraId="28266C49" w14:textId="3582E6DD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Forsigtighed tilrådes derfor ved behandling af patienter ≥ 65 år med doser over 10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</w:t>
      </w:r>
      <w:r w:rsidR="00B66A38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gang dagligt (se pkt. 4.2, 4.8 og 5.2).</w:t>
      </w:r>
    </w:p>
    <w:p w14:paraId="6514EC35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EB6963A" w14:textId="77777777" w:rsidR="007C7A27" w:rsidRPr="00B66A38" w:rsidRDefault="007C7A27" w:rsidP="004766C8">
      <w:pPr>
        <w:ind w:left="851"/>
        <w:rPr>
          <w:sz w:val="24"/>
          <w:szCs w:val="24"/>
          <w:u w:val="single"/>
        </w:rPr>
      </w:pPr>
      <w:r w:rsidRPr="00B66A38">
        <w:rPr>
          <w:sz w:val="24"/>
          <w:szCs w:val="24"/>
          <w:u w:val="single"/>
        </w:rPr>
        <w:t>Nedsat nyre- eller leverfunktion</w:t>
      </w:r>
    </w:p>
    <w:p w14:paraId="2C47E81B" w14:textId="57ECF9D5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Da patienter med nedsat nyre- eller leverfunktion er sårbare, og da der foreligger begrænsede data vedrørende brugen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 disse underpopulationer, tilrådes forsigtighed ved behandling af disse patienter (se pkt. 4.2 og 5.2).</w:t>
      </w:r>
    </w:p>
    <w:p w14:paraId="5DA011B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0D3DB37" w14:textId="1A76515B" w:rsidR="007C7A27" w:rsidRPr="00B66A38" w:rsidRDefault="00921827" w:rsidP="004766C8">
      <w:pPr>
        <w:ind w:left="851"/>
        <w:rPr>
          <w:sz w:val="24"/>
          <w:szCs w:val="24"/>
          <w:u w:val="single"/>
        </w:rPr>
      </w:pPr>
      <w:proofErr w:type="spellStart"/>
      <w:r w:rsidRPr="00B66A38">
        <w:rPr>
          <w:sz w:val="24"/>
          <w:szCs w:val="24"/>
          <w:u w:val="single"/>
        </w:rPr>
        <w:t>Vortioxetine</w:t>
      </w:r>
      <w:proofErr w:type="spellEnd"/>
      <w:r w:rsidRPr="00B66A38">
        <w:rPr>
          <w:sz w:val="24"/>
          <w:szCs w:val="24"/>
          <w:u w:val="single"/>
        </w:rPr>
        <w:t xml:space="preserve"> "</w:t>
      </w:r>
      <w:proofErr w:type="spellStart"/>
      <w:r w:rsidRPr="00B66A38">
        <w:rPr>
          <w:sz w:val="24"/>
          <w:szCs w:val="24"/>
          <w:u w:val="single"/>
        </w:rPr>
        <w:t>Stada</w:t>
      </w:r>
      <w:proofErr w:type="spellEnd"/>
      <w:r w:rsidRPr="00B66A38">
        <w:rPr>
          <w:sz w:val="24"/>
          <w:szCs w:val="24"/>
          <w:u w:val="single"/>
        </w:rPr>
        <w:t>"</w:t>
      </w:r>
      <w:r w:rsidR="007C7A27" w:rsidRPr="00B66A38">
        <w:rPr>
          <w:sz w:val="24"/>
          <w:szCs w:val="24"/>
          <w:u w:val="single"/>
        </w:rPr>
        <w:t xml:space="preserve"> indeholder natrium</w:t>
      </w:r>
    </w:p>
    <w:p w14:paraId="6798F435" w14:textId="39394F6C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Dette lægemiddel indeholder mindre end 1 mmol (23 mg) natrium pr. tablet, dvs. det er i det væsentlige natriumfrit.</w:t>
      </w:r>
    </w:p>
    <w:p w14:paraId="29E22FC6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4F7A32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4.5</w:t>
      </w:r>
      <w:r w:rsidRPr="00A56CE1">
        <w:rPr>
          <w:b/>
          <w:sz w:val="24"/>
          <w:szCs w:val="24"/>
        </w:rPr>
        <w:tab/>
        <w:t>Interaktion med andre lægemidler og andre former for interaktion</w:t>
      </w:r>
    </w:p>
    <w:p w14:paraId="1F1760D5" w14:textId="6B4BC813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metaboliseres</w:t>
      </w:r>
      <w:proofErr w:type="spellEnd"/>
      <w:r w:rsidRPr="00A56CE1">
        <w:rPr>
          <w:sz w:val="24"/>
          <w:szCs w:val="24"/>
        </w:rPr>
        <w:t xml:space="preserve"> i omfattende grad i leveren; primært gennem oxidation katalyseret af CYP2D6 og i mindre grad af CYP3A4/5 og CYP2C9 (se pkt. 5.2).</w:t>
      </w:r>
    </w:p>
    <w:p w14:paraId="5EEA9C6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97DF646" w14:textId="77777777" w:rsidR="007C7A27" w:rsidRPr="00A56CE1" w:rsidRDefault="007C7A27" w:rsidP="004766C8">
      <w:pPr>
        <w:ind w:left="851"/>
        <w:rPr>
          <w:sz w:val="24"/>
          <w:szCs w:val="24"/>
          <w:u w:val="single"/>
        </w:rPr>
      </w:pPr>
      <w:r w:rsidRPr="00A56CE1">
        <w:rPr>
          <w:sz w:val="24"/>
          <w:szCs w:val="24"/>
          <w:u w:val="single"/>
        </w:rPr>
        <w:t xml:space="preserve">Andre lægemidlers potentielle påvirkning af </w:t>
      </w:r>
      <w:proofErr w:type="spellStart"/>
      <w:r w:rsidRPr="00A56CE1">
        <w:rPr>
          <w:sz w:val="24"/>
          <w:szCs w:val="24"/>
          <w:u w:val="single"/>
        </w:rPr>
        <w:t>vortioxetin</w:t>
      </w:r>
      <w:proofErr w:type="spellEnd"/>
    </w:p>
    <w:p w14:paraId="205DCEBF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Irreversible ikke-selektive MAO-</w:t>
      </w:r>
      <w:proofErr w:type="spellStart"/>
      <w:r w:rsidRPr="00A56CE1">
        <w:rPr>
          <w:i/>
          <w:iCs/>
          <w:sz w:val="24"/>
          <w:szCs w:val="24"/>
        </w:rPr>
        <w:t>hæmmere</w:t>
      </w:r>
      <w:proofErr w:type="spellEnd"/>
    </w:p>
    <w:p w14:paraId="5182187D" w14:textId="1F08ED30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På grund af risikoen for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kontraindiceret i enhver kombination med irreversible ikke-selektive MAO-</w:t>
      </w:r>
      <w:proofErr w:type="spellStart"/>
      <w:r w:rsidRPr="00A56CE1">
        <w:rPr>
          <w:sz w:val="24"/>
          <w:szCs w:val="24"/>
        </w:rPr>
        <w:t>hæmmere</w:t>
      </w:r>
      <w:proofErr w:type="spellEnd"/>
      <w:r w:rsidRPr="00A56CE1">
        <w:rPr>
          <w:sz w:val="24"/>
          <w:szCs w:val="24"/>
        </w:rPr>
        <w:t xml:space="preserve">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må ikke initieres før mindst 14 dage efter </w:t>
      </w:r>
      <w:proofErr w:type="spellStart"/>
      <w:r w:rsidRPr="00A56CE1">
        <w:rPr>
          <w:sz w:val="24"/>
          <w:szCs w:val="24"/>
        </w:rPr>
        <w:t>seponering</w:t>
      </w:r>
      <w:proofErr w:type="spellEnd"/>
      <w:r w:rsidRPr="00A56CE1">
        <w:rPr>
          <w:sz w:val="24"/>
          <w:szCs w:val="24"/>
        </w:rPr>
        <w:t xml:space="preserve"> af en irreversibel ikke-</w:t>
      </w:r>
      <w:proofErr w:type="gramStart"/>
      <w:r w:rsidRPr="00A56CE1">
        <w:rPr>
          <w:sz w:val="24"/>
          <w:szCs w:val="24"/>
        </w:rPr>
        <w:t>selektiv</w:t>
      </w:r>
      <w:proofErr w:type="gramEnd"/>
      <w:r w:rsidRPr="00A56CE1">
        <w:rPr>
          <w:sz w:val="24"/>
          <w:szCs w:val="24"/>
        </w:rPr>
        <w:t xml:space="preserve"> MAO-hæmmer.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skal seponeres mindst 14 dage før start på behandling med en irreversibel, ikke-</w:t>
      </w:r>
      <w:proofErr w:type="gramStart"/>
      <w:r w:rsidRPr="00A56CE1">
        <w:rPr>
          <w:sz w:val="24"/>
          <w:szCs w:val="24"/>
        </w:rPr>
        <w:t>selektiv</w:t>
      </w:r>
      <w:proofErr w:type="gramEnd"/>
      <w:r w:rsidRPr="00A56CE1">
        <w:rPr>
          <w:sz w:val="24"/>
          <w:szCs w:val="24"/>
        </w:rPr>
        <w:t xml:space="preserve"> MAO-hæmmer (se pkt. 4.3).</w:t>
      </w:r>
    </w:p>
    <w:p w14:paraId="06F24E14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8AA0081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Reversibel, selektiv MAO-A-hæmmer (</w:t>
      </w:r>
      <w:proofErr w:type="spellStart"/>
      <w:r w:rsidRPr="00A56CE1">
        <w:rPr>
          <w:i/>
          <w:iCs/>
          <w:sz w:val="24"/>
          <w:szCs w:val="24"/>
        </w:rPr>
        <w:t>moclobemid</w:t>
      </w:r>
      <w:proofErr w:type="spellEnd"/>
      <w:r w:rsidRPr="00A56CE1">
        <w:rPr>
          <w:i/>
          <w:iCs/>
          <w:sz w:val="24"/>
          <w:szCs w:val="24"/>
        </w:rPr>
        <w:t>)</w:t>
      </w:r>
    </w:p>
    <w:p w14:paraId="5A236101" w14:textId="323ED200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Kombination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med en reversibel og selektiv MAO-A-hæmmer som </w:t>
      </w:r>
      <w:proofErr w:type="spellStart"/>
      <w:r w:rsidRPr="00A56CE1">
        <w:rPr>
          <w:sz w:val="24"/>
          <w:szCs w:val="24"/>
        </w:rPr>
        <w:t>moclobemid</w:t>
      </w:r>
      <w:proofErr w:type="spellEnd"/>
      <w:r w:rsidRPr="00A56CE1">
        <w:rPr>
          <w:sz w:val="24"/>
          <w:szCs w:val="24"/>
        </w:rPr>
        <w:t xml:space="preserve"> er kontraindiceret (se pkt. 4.3). Hvis kombination er nødvendig, skal det tillagte lægemiddel gives i mindste dosering og under tæt klinisk monitorering for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(se pkt. 4.4).</w:t>
      </w:r>
    </w:p>
    <w:p w14:paraId="1A4D593A" w14:textId="6D4CD71F" w:rsidR="00F86CA0" w:rsidRDefault="00F86C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E5B0B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464D532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Reversibel, ikke-</w:t>
      </w:r>
      <w:proofErr w:type="gramStart"/>
      <w:r w:rsidRPr="00A56CE1">
        <w:rPr>
          <w:i/>
          <w:iCs/>
          <w:sz w:val="24"/>
          <w:szCs w:val="24"/>
        </w:rPr>
        <w:t>selektiv</w:t>
      </w:r>
      <w:proofErr w:type="gramEnd"/>
      <w:r w:rsidRPr="00A56CE1">
        <w:rPr>
          <w:i/>
          <w:iCs/>
          <w:sz w:val="24"/>
          <w:szCs w:val="24"/>
        </w:rPr>
        <w:t xml:space="preserve"> MAO-hæmmer (</w:t>
      </w:r>
      <w:proofErr w:type="spellStart"/>
      <w:r w:rsidRPr="00A56CE1">
        <w:rPr>
          <w:i/>
          <w:iCs/>
          <w:sz w:val="24"/>
          <w:szCs w:val="24"/>
        </w:rPr>
        <w:t>linezolid</w:t>
      </w:r>
      <w:proofErr w:type="spellEnd"/>
      <w:r w:rsidRPr="00A56CE1">
        <w:rPr>
          <w:i/>
          <w:iCs/>
          <w:sz w:val="24"/>
          <w:szCs w:val="24"/>
        </w:rPr>
        <w:t>)</w:t>
      </w:r>
    </w:p>
    <w:p w14:paraId="4B53B1CF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Kombination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med en svag reversibel, ikke-selektiv MAOI, som </w:t>
      </w:r>
    </w:p>
    <w:p w14:paraId="028D8D28" w14:textId="59DDBB9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antibiotikummet </w:t>
      </w:r>
      <w:proofErr w:type="spellStart"/>
      <w:r w:rsidRPr="00A56CE1">
        <w:rPr>
          <w:sz w:val="24"/>
          <w:szCs w:val="24"/>
        </w:rPr>
        <w:t>linezolid</w:t>
      </w:r>
      <w:proofErr w:type="spellEnd"/>
      <w:r w:rsidRPr="00A56CE1">
        <w:rPr>
          <w:sz w:val="24"/>
          <w:szCs w:val="24"/>
        </w:rPr>
        <w:t xml:space="preserve"> er kontraindiceret (se pkt. 4.3). Hvis kombination er nødvendig, skal det tillagte lægemiddel gives i mindste dosering og under tæt klinisk monitorering for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(se pkt. 4.4).</w:t>
      </w:r>
    </w:p>
    <w:p w14:paraId="0B6CFC18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F0FDFE9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Irreversible, selektive MAO-B-</w:t>
      </w:r>
      <w:proofErr w:type="spellStart"/>
      <w:r w:rsidRPr="00A56CE1">
        <w:rPr>
          <w:i/>
          <w:iCs/>
          <w:sz w:val="24"/>
          <w:szCs w:val="24"/>
        </w:rPr>
        <w:t>hæmmere</w:t>
      </w:r>
      <w:proofErr w:type="spellEnd"/>
      <w:r w:rsidRPr="00A56CE1">
        <w:rPr>
          <w:i/>
          <w:iCs/>
          <w:sz w:val="24"/>
          <w:szCs w:val="24"/>
        </w:rPr>
        <w:t xml:space="preserve"> (</w:t>
      </w:r>
      <w:proofErr w:type="spellStart"/>
      <w:r w:rsidRPr="00A56CE1">
        <w:rPr>
          <w:i/>
          <w:iCs/>
          <w:sz w:val="24"/>
          <w:szCs w:val="24"/>
        </w:rPr>
        <w:t>selegilin</w:t>
      </w:r>
      <w:proofErr w:type="spellEnd"/>
      <w:r w:rsidRPr="00A56CE1">
        <w:rPr>
          <w:i/>
          <w:iCs/>
          <w:sz w:val="24"/>
          <w:szCs w:val="24"/>
        </w:rPr>
        <w:t xml:space="preserve">, </w:t>
      </w:r>
      <w:proofErr w:type="spellStart"/>
      <w:r w:rsidRPr="00A56CE1">
        <w:rPr>
          <w:i/>
          <w:iCs/>
          <w:sz w:val="24"/>
          <w:szCs w:val="24"/>
        </w:rPr>
        <w:t>rasagilin</w:t>
      </w:r>
      <w:proofErr w:type="spellEnd"/>
      <w:r w:rsidRPr="00A56CE1">
        <w:rPr>
          <w:i/>
          <w:iCs/>
          <w:sz w:val="24"/>
          <w:szCs w:val="24"/>
        </w:rPr>
        <w:t>)</w:t>
      </w:r>
    </w:p>
    <w:p w14:paraId="7D83A4D1" w14:textId="1B59B8FD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Selv om risikoen for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forventes at være lavere med selektive MAO-B-</w:t>
      </w:r>
      <w:proofErr w:type="spellStart"/>
      <w:r w:rsidRPr="00A56CE1">
        <w:rPr>
          <w:sz w:val="24"/>
          <w:szCs w:val="24"/>
        </w:rPr>
        <w:t>hæmmere</w:t>
      </w:r>
      <w:proofErr w:type="spellEnd"/>
      <w:r w:rsidRPr="00A56CE1">
        <w:rPr>
          <w:sz w:val="24"/>
          <w:szCs w:val="24"/>
        </w:rPr>
        <w:t xml:space="preserve"> end med MAO-A-</w:t>
      </w:r>
      <w:proofErr w:type="spellStart"/>
      <w:r w:rsidRPr="00A56CE1">
        <w:rPr>
          <w:sz w:val="24"/>
          <w:szCs w:val="24"/>
        </w:rPr>
        <w:t>hæmmere</w:t>
      </w:r>
      <w:proofErr w:type="spellEnd"/>
      <w:r w:rsidRPr="00A56CE1">
        <w:rPr>
          <w:sz w:val="24"/>
          <w:szCs w:val="24"/>
        </w:rPr>
        <w:t xml:space="preserve">, skal der udvises forsigtighed ved kombination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og irreversible MAO-B-</w:t>
      </w:r>
      <w:proofErr w:type="spellStart"/>
      <w:r w:rsidRPr="00A56CE1">
        <w:rPr>
          <w:sz w:val="24"/>
          <w:szCs w:val="24"/>
        </w:rPr>
        <w:t>hæmmere</w:t>
      </w:r>
      <w:proofErr w:type="spellEnd"/>
      <w:r w:rsidRPr="00A56CE1">
        <w:rPr>
          <w:sz w:val="24"/>
          <w:szCs w:val="24"/>
        </w:rPr>
        <w:t xml:space="preserve"> såsom </w:t>
      </w:r>
      <w:proofErr w:type="spellStart"/>
      <w:r w:rsidRPr="00A56CE1">
        <w:rPr>
          <w:sz w:val="24"/>
          <w:szCs w:val="24"/>
        </w:rPr>
        <w:t>selegilin</w:t>
      </w:r>
      <w:proofErr w:type="spellEnd"/>
      <w:r w:rsidRPr="00A56CE1">
        <w:rPr>
          <w:sz w:val="24"/>
          <w:szCs w:val="24"/>
        </w:rPr>
        <w:t xml:space="preserve"> og </w:t>
      </w:r>
      <w:proofErr w:type="spellStart"/>
      <w:r w:rsidRPr="00A56CE1">
        <w:rPr>
          <w:sz w:val="24"/>
          <w:szCs w:val="24"/>
        </w:rPr>
        <w:t>rasagilin</w:t>
      </w:r>
      <w:proofErr w:type="spellEnd"/>
      <w:r w:rsidRPr="00A56CE1">
        <w:rPr>
          <w:sz w:val="24"/>
          <w:szCs w:val="24"/>
        </w:rPr>
        <w:t xml:space="preserve">. Tæt monitorering for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er nødvendig ved samtidig brug (se pkt. 4.4).</w:t>
      </w:r>
    </w:p>
    <w:p w14:paraId="3E56EC6C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7B8C6E0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proofErr w:type="spellStart"/>
      <w:r w:rsidRPr="00A56CE1">
        <w:rPr>
          <w:i/>
          <w:iCs/>
          <w:sz w:val="24"/>
          <w:szCs w:val="24"/>
        </w:rPr>
        <w:t>Serotonerge</w:t>
      </w:r>
      <w:proofErr w:type="spellEnd"/>
      <w:r w:rsidRPr="00A56CE1">
        <w:rPr>
          <w:i/>
          <w:iCs/>
          <w:sz w:val="24"/>
          <w:szCs w:val="24"/>
        </w:rPr>
        <w:t xml:space="preserve"> lægemidler</w:t>
      </w:r>
    </w:p>
    <w:p w14:paraId="2E2D3D2B" w14:textId="5C1A7B4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Samtidig behandling med </w:t>
      </w:r>
      <w:proofErr w:type="spellStart"/>
      <w:r w:rsidRPr="00A56CE1">
        <w:rPr>
          <w:sz w:val="24"/>
          <w:szCs w:val="24"/>
        </w:rPr>
        <w:t>serotonerge</w:t>
      </w:r>
      <w:proofErr w:type="spellEnd"/>
      <w:r w:rsidRPr="00A56CE1">
        <w:rPr>
          <w:sz w:val="24"/>
          <w:szCs w:val="24"/>
        </w:rPr>
        <w:t xml:space="preserve"> lægemidler f.eks. opioider (herunder </w:t>
      </w:r>
      <w:proofErr w:type="spellStart"/>
      <w:r w:rsidRPr="00A56CE1">
        <w:rPr>
          <w:sz w:val="24"/>
          <w:szCs w:val="24"/>
        </w:rPr>
        <w:t>tramadol</w:t>
      </w:r>
      <w:proofErr w:type="spellEnd"/>
      <w:r w:rsidRPr="00A56CE1">
        <w:rPr>
          <w:sz w:val="24"/>
          <w:szCs w:val="24"/>
        </w:rPr>
        <w:t xml:space="preserve">) og </w:t>
      </w:r>
      <w:proofErr w:type="spellStart"/>
      <w:r w:rsidRPr="00A56CE1">
        <w:rPr>
          <w:sz w:val="24"/>
          <w:szCs w:val="24"/>
        </w:rPr>
        <w:t>triptaner</w:t>
      </w:r>
      <w:proofErr w:type="spellEnd"/>
      <w:r w:rsidRPr="00A56CE1">
        <w:rPr>
          <w:sz w:val="24"/>
          <w:szCs w:val="24"/>
        </w:rPr>
        <w:t xml:space="preserve"> (herunder </w:t>
      </w:r>
      <w:proofErr w:type="spellStart"/>
      <w:r w:rsidRPr="00A56CE1">
        <w:rPr>
          <w:sz w:val="24"/>
          <w:szCs w:val="24"/>
        </w:rPr>
        <w:t>sumatriptan</w:t>
      </w:r>
      <w:proofErr w:type="spellEnd"/>
      <w:r w:rsidRPr="00A56CE1">
        <w:rPr>
          <w:sz w:val="24"/>
          <w:szCs w:val="24"/>
        </w:rPr>
        <w:t xml:space="preserve">), kan medføre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(se pkt. 4.4).</w:t>
      </w:r>
    </w:p>
    <w:p w14:paraId="189071E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86EE8EF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Perikon</w:t>
      </w:r>
    </w:p>
    <w:p w14:paraId="4585225C" w14:textId="3ADC7BF8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Samtidig brug af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med </w:t>
      </w:r>
      <w:proofErr w:type="spellStart"/>
      <w:r w:rsidRPr="00A56CE1">
        <w:rPr>
          <w:sz w:val="24"/>
          <w:szCs w:val="24"/>
        </w:rPr>
        <w:t>serotonerg</w:t>
      </w:r>
      <w:proofErr w:type="spellEnd"/>
      <w:r w:rsidRPr="00A56CE1">
        <w:rPr>
          <w:sz w:val="24"/>
          <w:szCs w:val="24"/>
        </w:rPr>
        <w:t xml:space="preserve"> virkning og naturlægemidler, der indeholder perikon (</w:t>
      </w:r>
      <w:r w:rsidRPr="00A56CE1">
        <w:rPr>
          <w:i/>
          <w:iCs/>
          <w:sz w:val="24"/>
          <w:szCs w:val="24"/>
        </w:rPr>
        <w:t xml:space="preserve">Hypericum </w:t>
      </w:r>
      <w:proofErr w:type="spellStart"/>
      <w:r w:rsidRPr="00A56CE1">
        <w:rPr>
          <w:i/>
          <w:iCs/>
          <w:sz w:val="24"/>
          <w:szCs w:val="24"/>
        </w:rPr>
        <w:t>perforatum</w:t>
      </w:r>
      <w:proofErr w:type="spellEnd"/>
      <w:r w:rsidRPr="00A56CE1">
        <w:rPr>
          <w:sz w:val="24"/>
          <w:szCs w:val="24"/>
        </w:rPr>
        <w:t xml:space="preserve">), kan medføre en øget forekomst af bivirkninger inklusive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(se pkt. 4.4).</w:t>
      </w:r>
    </w:p>
    <w:p w14:paraId="1F83F552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46712B9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Lægemidler, der sænker krampetærsklen</w:t>
      </w:r>
    </w:p>
    <w:p w14:paraId="24BCEBF4" w14:textId="53E7FB44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med </w:t>
      </w:r>
      <w:proofErr w:type="spellStart"/>
      <w:r w:rsidRPr="00A56CE1">
        <w:rPr>
          <w:sz w:val="24"/>
          <w:szCs w:val="24"/>
        </w:rPr>
        <w:t>serotonerg</w:t>
      </w:r>
      <w:proofErr w:type="spellEnd"/>
      <w:r w:rsidRPr="00A56CE1">
        <w:rPr>
          <w:sz w:val="24"/>
          <w:szCs w:val="24"/>
        </w:rPr>
        <w:t xml:space="preserve"> virkning kan sænke krampetærsklen. Forsigtighed tilrådes ved samtidig brug af andre lægemidler, der kan sænke krampetærsklen [f.eks.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(tricykliske, SSRI eller SNRI), antipsykotika (</w:t>
      </w:r>
      <w:proofErr w:type="spellStart"/>
      <w:r w:rsidRPr="00A56CE1">
        <w:rPr>
          <w:sz w:val="24"/>
          <w:szCs w:val="24"/>
        </w:rPr>
        <w:t>phenothiaziner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thioxanthener</w:t>
      </w:r>
      <w:proofErr w:type="spellEnd"/>
      <w:r w:rsidRPr="00A56CE1">
        <w:rPr>
          <w:sz w:val="24"/>
          <w:szCs w:val="24"/>
        </w:rPr>
        <w:t xml:space="preserve"> og </w:t>
      </w:r>
      <w:proofErr w:type="spellStart"/>
      <w:r w:rsidRPr="00A56CE1">
        <w:rPr>
          <w:sz w:val="24"/>
          <w:szCs w:val="24"/>
        </w:rPr>
        <w:t>butyrophenoner</w:t>
      </w:r>
      <w:proofErr w:type="spellEnd"/>
      <w:r w:rsidRPr="00A56CE1">
        <w:rPr>
          <w:sz w:val="24"/>
          <w:szCs w:val="24"/>
        </w:rPr>
        <w:t xml:space="preserve">), </w:t>
      </w:r>
      <w:proofErr w:type="spellStart"/>
      <w:r w:rsidRPr="00A56CE1">
        <w:rPr>
          <w:sz w:val="24"/>
          <w:szCs w:val="24"/>
        </w:rPr>
        <w:t>mefloquin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bupropion</w:t>
      </w:r>
      <w:proofErr w:type="spellEnd"/>
      <w:r w:rsidRPr="00A56CE1">
        <w:rPr>
          <w:sz w:val="24"/>
          <w:szCs w:val="24"/>
        </w:rPr>
        <w:t xml:space="preserve"> og </w:t>
      </w:r>
      <w:proofErr w:type="spellStart"/>
      <w:r w:rsidRPr="00A56CE1">
        <w:rPr>
          <w:sz w:val="24"/>
          <w:szCs w:val="24"/>
        </w:rPr>
        <w:t>tramadol</w:t>
      </w:r>
      <w:proofErr w:type="spellEnd"/>
      <w:r w:rsidRPr="00A56CE1">
        <w:rPr>
          <w:sz w:val="24"/>
          <w:szCs w:val="24"/>
        </w:rPr>
        <w:t>] (se pkt. 4.4).</w:t>
      </w:r>
    </w:p>
    <w:p w14:paraId="7EB4A36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2EE070D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proofErr w:type="spellStart"/>
      <w:r w:rsidRPr="00A56CE1">
        <w:rPr>
          <w:i/>
          <w:iCs/>
          <w:sz w:val="24"/>
          <w:szCs w:val="24"/>
        </w:rPr>
        <w:t>Elektrokonvulsiv</w:t>
      </w:r>
      <w:proofErr w:type="spellEnd"/>
      <w:r w:rsidRPr="00A56CE1">
        <w:rPr>
          <w:i/>
          <w:iCs/>
          <w:sz w:val="24"/>
          <w:szCs w:val="24"/>
        </w:rPr>
        <w:t xml:space="preserve"> terapi (ECT)</w:t>
      </w:r>
    </w:p>
    <w:p w14:paraId="30916D24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er ingen klinisk erfaring med ECT og samtidig administration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 Forsigtighed tilrådes.</w:t>
      </w:r>
    </w:p>
    <w:p w14:paraId="5614DBD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9419D51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CYP2D6-hæmmere</w:t>
      </w:r>
    </w:p>
    <w:p w14:paraId="6CFE6E96" w14:textId="7ED009B6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Eksponeringen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steg med faktor 2,3 målt som areal under kurven (AUC) ved samtidig administration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mg/dag og </w:t>
      </w:r>
      <w:proofErr w:type="spellStart"/>
      <w:r w:rsidRPr="00A56CE1">
        <w:rPr>
          <w:sz w:val="24"/>
          <w:szCs w:val="24"/>
        </w:rPr>
        <w:t>bupropion</w:t>
      </w:r>
      <w:proofErr w:type="spellEnd"/>
      <w:r w:rsidRPr="00A56CE1">
        <w:rPr>
          <w:sz w:val="24"/>
          <w:szCs w:val="24"/>
        </w:rPr>
        <w:t xml:space="preserve"> (en potent CYP2D6-hæmmer) 150 mg to gange dagligt i 14 dage hos raske forsøgspersoner. Co-administration resulterede i en højere forekomst af bivirkninger, når </w:t>
      </w:r>
      <w:proofErr w:type="spellStart"/>
      <w:r w:rsidRPr="00A56CE1">
        <w:rPr>
          <w:sz w:val="24"/>
          <w:szCs w:val="24"/>
        </w:rPr>
        <w:t>bupropion</w:t>
      </w:r>
      <w:proofErr w:type="spellEnd"/>
      <w:r w:rsidRPr="00A56CE1">
        <w:rPr>
          <w:sz w:val="24"/>
          <w:szCs w:val="24"/>
        </w:rPr>
        <w:t xml:space="preserve"> blev føjet til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, end når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blev føjet til </w:t>
      </w:r>
      <w:proofErr w:type="spellStart"/>
      <w:r w:rsidRPr="00A56CE1">
        <w:rPr>
          <w:sz w:val="24"/>
          <w:szCs w:val="24"/>
        </w:rPr>
        <w:t>bupropion</w:t>
      </w:r>
      <w:proofErr w:type="spellEnd"/>
      <w:r w:rsidRPr="00A56CE1">
        <w:rPr>
          <w:sz w:val="24"/>
          <w:szCs w:val="24"/>
        </w:rPr>
        <w:t xml:space="preserve">. </w:t>
      </w:r>
    </w:p>
    <w:p w14:paraId="6852876D" w14:textId="518AE100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Afhængigt af den enkelte patients respons kan det overvejes at give en lavere dosis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ved tilføjelse af potente CYP2D6-hæmmere (f.eks. </w:t>
      </w:r>
      <w:proofErr w:type="spellStart"/>
      <w:r w:rsidRPr="00A56CE1">
        <w:rPr>
          <w:sz w:val="24"/>
          <w:szCs w:val="24"/>
        </w:rPr>
        <w:t>bupropion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quinidin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paroxetin</w:t>
      </w:r>
      <w:proofErr w:type="spellEnd"/>
      <w:r w:rsidRPr="00A56CE1">
        <w:rPr>
          <w:sz w:val="24"/>
          <w:szCs w:val="24"/>
        </w:rPr>
        <w:t xml:space="preserve">) til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(se pkt. 4.2).</w:t>
      </w:r>
    </w:p>
    <w:p w14:paraId="412246F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B08B6C3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CYP3A4-hæmmere, CYP2C9-hæmmere og CYP2C19-hæmmere</w:t>
      </w:r>
    </w:p>
    <w:p w14:paraId="7858328D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Når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blev tilføjet efter administration af </w:t>
      </w:r>
      <w:proofErr w:type="spellStart"/>
      <w:r w:rsidRPr="00A56CE1">
        <w:rPr>
          <w:sz w:val="24"/>
          <w:szCs w:val="24"/>
        </w:rPr>
        <w:t>ketoconazol</w:t>
      </w:r>
      <w:proofErr w:type="spellEnd"/>
      <w:r w:rsidRPr="00A56CE1">
        <w:rPr>
          <w:sz w:val="24"/>
          <w:szCs w:val="24"/>
        </w:rPr>
        <w:t xml:space="preserve"> (en CYP3A4/5- og P-</w:t>
      </w:r>
      <w:proofErr w:type="spellStart"/>
      <w:r w:rsidRPr="00A56CE1">
        <w:rPr>
          <w:sz w:val="24"/>
          <w:szCs w:val="24"/>
        </w:rPr>
        <w:t>glykoproteinhæmmer</w:t>
      </w:r>
      <w:proofErr w:type="spellEnd"/>
      <w:r w:rsidRPr="00A56CE1">
        <w:rPr>
          <w:sz w:val="24"/>
          <w:szCs w:val="24"/>
        </w:rPr>
        <w:t xml:space="preserve">) 400 mg/dag i 6 dage eller af </w:t>
      </w:r>
      <w:proofErr w:type="spellStart"/>
      <w:r w:rsidRPr="00A56CE1">
        <w:rPr>
          <w:sz w:val="24"/>
          <w:szCs w:val="24"/>
        </w:rPr>
        <w:t>fluconazol</w:t>
      </w:r>
      <w:proofErr w:type="spellEnd"/>
      <w:r w:rsidRPr="00A56CE1">
        <w:rPr>
          <w:sz w:val="24"/>
          <w:szCs w:val="24"/>
        </w:rPr>
        <w:t xml:space="preserve"> (en CYP2C9-, CYP2C19- og CYP3A4/5-hæmmer) 200 mg/dag i 6 dage til raske forsøgspersoner, observeredes en stigning på henholdsvis faktor 1,3 og 1,5 i AUC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 Dosisjustering er ikke nødvendig.</w:t>
      </w:r>
    </w:p>
    <w:p w14:paraId="6A9831A6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FCED3F1" w14:textId="57E6AB98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lastRenderedPageBreak/>
        <w:t xml:space="preserve">Der sås ingen hæmmende virkning af 40 mg </w:t>
      </w:r>
      <w:proofErr w:type="spellStart"/>
      <w:r w:rsidRPr="00A56CE1">
        <w:rPr>
          <w:sz w:val="24"/>
          <w:szCs w:val="24"/>
        </w:rPr>
        <w:t>omeprazol</w:t>
      </w:r>
      <w:proofErr w:type="spellEnd"/>
      <w:r w:rsidRPr="00A56CE1">
        <w:rPr>
          <w:sz w:val="24"/>
          <w:szCs w:val="24"/>
        </w:rPr>
        <w:t xml:space="preserve"> (CYP2C19-hæmmer) som enkeltdosis på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farmakokinetiske</w:t>
      </w:r>
      <w:proofErr w:type="spellEnd"/>
      <w:r w:rsidRPr="00A56CE1">
        <w:rPr>
          <w:sz w:val="24"/>
          <w:szCs w:val="24"/>
        </w:rPr>
        <w:t xml:space="preserve"> egenskaber efter gentagne doser hos raske forsøgspersoner.</w:t>
      </w:r>
    </w:p>
    <w:p w14:paraId="2CA58105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45366B2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Interaktioner hos patienter med nedsat CYP2D6-metabolisme</w:t>
      </w:r>
    </w:p>
    <w:p w14:paraId="7AE8CB59" w14:textId="7B0D5E06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Samtidig administration af potente CYP3A4-hæmmere (såsom </w:t>
      </w:r>
      <w:proofErr w:type="spellStart"/>
      <w:r w:rsidRPr="00A56CE1">
        <w:rPr>
          <w:sz w:val="24"/>
          <w:szCs w:val="24"/>
        </w:rPr>
        <w:t>itraconazol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voriconazol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clarithromycin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telithromycin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nefazodon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conivaptan</w:t>
      </w:r>
      <w:proofErr w:type="spellEnd"/>
      <w:r w:rsidRPr="00A56CE1">
        <w:rPr>
          <w:sz w:val="24"/>
          <w:szCs w:val="24"/>
        </w:rPr>
        <w:t xml:space="preserve"> og mange HIV-</w:t>
      </w:r>
      <w:proofErr w:type="spellStart"/>
      <w:r w:rsidRPr="00A56CE1">
        <w:rPr>
          <w:sz w:val="24"/>
          <w:szCs w:val="24"/>
        </w:rPr>
        <w:t>proteasehæmmere</w:t>
      </w:r>
      <w:proofErr w:type="spellEnd"/>
      <w:r w:rsidRPr="00A56CE1">
        <w:rPr>
          <w:sz w:val="24"/>
          <w:szCs w:val="24"/>
        </w:rPr>
        <w:t xml:space="preserve">) og CYP2C9-hæmmere (såsom </w:t>
      </w:r>
      <w:proofErr w:type="spellStart"/>
      <w:r w:rsidRPr="00A56CE1">
        <w:rPr>
          <w:sz w:val="24"/>
          <w:szCs w:val="24"/>
        </w:rPr>
        <w:t>fluconazol</w:t>
      </w:r>
      <w:proofErr w:type="spellEnd"/>
      <w:r w:rsidRPr="00A56CE1">
        <w:rPr>
          <w:sz w:val="24"/>
          <w:szCs w:val="24"/>
        </w:rPr>
        <w:t xml:space="preserve"> og </w:t>
      </w:r>
      <w:proofErr w:type="spellStart"/>
      <w:r w:rsidRPr="00A56CE1">
        <w:rPr>
          <w:sz w:val="24"/>
          <w:szCs w:val="24"/>
        </w:rPr>
        <w:t>amiodaron</w:t>
      </w:r>
      <w:proofErr w:type="spellEnd"/>
      <w:r w:rsidRPr="00A56CE1">
        <w:rPr>
          <w:sz w:val="24"/>
          <w:szCs w:val="24"/>
        </w:rPr>
        <w:t xml:space="preserve">) til patienter med nedsat CYP2D6-metabolisme (se pkt. 5.2) er ikke undersøgt specifikt, men forventes at føre til en betydeligt øget eksponering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hos denne patientgruppe sammenlignet med den moderate effekt beskrevet ovenfor. Afhængigt af den enkelte patients respons kan det overvejes at give en lavere dosis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, hvis en stærk hæmmer af CYP3A4 eller CYP2C9 administreres samtidigt til patienter med nedsat CYP2D6-metabolisme.</w:t>
      </w:r>
    </w:p>
    <w:p w14:paraId="4FCE09D8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E5C8EB1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CYP-induktorer</w:t>
      </w:r>
    </w:p>
    <w:p w14:paraId="0C609D84" w14:textId="592D8AE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Når en enkelt dosis på 20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blev tilføjet efter administration af </w:t>
      </w:r>
      <w:proofErr w:type="spellStart"/>
      <w:r w:rsidRPr="00A56CE1">
        <w:rPr>
          <w:sz w:val="24"/>
          <w:szCs w:val="24"/>
        </w:rPr>
        <w:t>rifampicin</w:t>
      </w:r>
      <w:proofErr w:type="spellEnd"/>
      <w:r w:rsidRPr="00A56CE1">
        <w:rPr>
          <w:sz w:val="24"/>
          <w:szCs w:val="24"/>
        </w:rPr>
        <w:t xml:space="preserve"> (en bred induktor af CYP-</w:t>
      </w:r>
      <w:proofErr w:type="spellStart"/>
      <w:r w:rsidRPr="00A56CE1">
        <w:rPr>
          <w:sz w:val="24"/>
          <w:szCs w:val="24"/>
        </w:rPr>
        <w:t>isoenzymer</w:t>
      </w:r>
      <w:proofErr w:type="spellEnd"/>
      <w:r w:rsidRPr="00A56CE1">
        <w:rPr>
          <w:sz w:val="24"/>
          <w:szCs w:val="24"/>
        </w:rPr>
        <w:t xml:space="preserve">) 600 mg/dag i 10 dage til raske forsøgspersoner, observeredes en formindskelse på 72 % i AUC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. Afhængigt af den enkelte patients respons kan det overvejes at justere dosis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, hvis en bred CYP-induktor (f.eks. </w:t>
      </w:r>
      <w:proofErr w:type="spellStart"/>
      <w:r w:rsidRPr="00A56CE1">
        <w:rPr>
          <w:sz w:val="24"/>
          <w:szCs w:val="24"/>
        </w:rPr>
        <w:t>rifampicin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carbamazepin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phenytoin</w:t>
      </w:r>
      <w:proofErr w:type="spellEnd"/>
      <w:r w:rsidRPr="00A56CE1">
        <w:rPr>
          <w:sz w:val="24"/>
          <w:szCs w:val="24"/>
        </w:rPr>
        <w:t xml:space="preserve">) føjes til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(se pkt. 4.2).</w:t>
      </w:r>
    </w:p>
    <w:p w14:paraId="718778B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52FD5CE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Alkohol</w:t>
      </w:r>
    </w:p>
    <w:p w14:paraId="3D8C2497" w14:textId="3610C32C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Efter </w:t>
      </w:r>
      <w:proofErr w:type="spellStart"/>
      <w:r w:rsidRPr="00A56CE1">
        <w:rPr>
          <w:sz w:val="24"/>
          <w:szCs w:val="24"/>
        </w:rPr>
        <w:t>co</w:t>
      </w:r>
      <w:proofErr w:type="spellEnd"/>
      <w:r w:rsidRPr="00A56CE1">
        <w:rPr>
          <w:sz w:val="24"/>
          <w:szCs w:val="24"/>
        </w:rPr>
        <w:t xml:space="preserve">-administration af en enkeltdosis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 20 mg eller 40 mg og en enkeltdosis </w:t>
      </w:r>
      <w:proofErr w:type="spellStart"/>
      <w:r w:rsidRPr="00A56CE1">
        <w:rPr>
          <w:sz w:val="24"/>
          <w:szCs w:val="24"/>
        </w:rPr>
        <w:t>ethanol</w:t>
      </w:r>
      <w:proofErr w:type="spellEnd"/>
      <w:r w:rsidRPr="00A56CE1">
        <w:rPr>
          <w:sz w:val="24"/>
          <w:szCs w:val="24"/>
        </w:rPr>
        <w:t xml:space="preserve"> (0,6 g/kg) til raske forsøgspersoner observeres ingen påvirkning af hverken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eller ethanols farmakokinetik eller signifikant nedsættelse af kognitiv funktion sammenholdt med placebo. </w:t>
      </w:r>
    </w:p>
    <w:p w14:paraId="44649BBB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Indtagelse af alkohol må dog frarådes under antidepressiv behandling.</w:t>
      </w:r>
    </w:p>
    <w:p w14:paraId="62B73DD5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ACBF99C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Acetylsalicylsyre</w:t>
      </w:r>
    </w:p>
    <w:p w14:paraId="6E33985B" w14:textId="01B9C224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Hos raske forsøgspersoner observeredes ingen virkning af gentagne doser acetylsalicylsyre 150 mg/dag</w:t>
      </w:r>
      <w:r w:rsidR="00F86CA0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på farmakokinetikken efter gentagne doser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4C68CE39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BBC4196" w14:textId="77777777" w:rsidR="007C7A27" w:rsidRPr="00A56CE1" w:rsidRDefault="007C7A27" w:rsidP="004766C8">
      <w:pPr>
        <w:ind w:left="851"/>
        <w:rPr>
          <w:sz w:val="24"/>
          <w:szCs w:val="24"/>
          <w:u w:val="single"/>
        </w:rPr>
      </w:pPr>
      <w:proofErr w:type="spellStart"/>
      <w:r w:rsidRPr="00A56CE1">
        <w:rPr>
          <w:sz w:val="24"/>
          <w:szCs w:val="24"/>
          <w:u w:val="single"/>
        </w:rPr>
        <w:t>Vortioxetins</w:t>
      </w:r>
      <w:proofErr w:type="spellEnd"/>
      <w:r w:rsidRPr="00A56CE1">
        <w:rPr>
          <w:sz w:val="24"/>
          <w:szCs w:val="24"/>
          <w:u w:val="single"/>
        </w:rPr>
        <w:t xml:space="preserve"> potentielle påvirkning af andre lægemidler</w:t>
      </w:r>
    </w:p>
    <w:p w14:paraId="302D1260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proofErr w:type="spellStart"/>
      <w:r w:rsidRPr="00A56CE1">
        <w:rPr>
          <w:i/>
          <w:iCs/>
          <w:sz w:val="24"/>
          <w:szCs w:val="24"/>
        </w:rPr>
        <w:t>Antikoagulantia</w:t>
      </w:r>
      <w:proofErr w:type="spellEnd"/>
      <w:r w:rsidRPr="00A56CE1">
        <w:rPr>
          <w:i/>
          <w:iCs/>
          <w:sz w:val="24"/>
          <w:szCs w:val="24"/>
        </w:rPr>
        <w:t xml:space="preserve"> og </w:t>
      </w:r>
      <w:proofErr w:type="spellStart"/>
      <w:r w:rsidRPr="00A56CE1">
        <w:rPr>
          <w:i/>
          <w:iCs/>
          <w:sz w:val="24"/>
          <w:szCs w:val="24"/>
        </w:rPr>
        <w:t>trombocythæmmende</w:t>
      </w:r>
      <w:proofErr w:type="spellEnd"/>
      <w:r w:rsidRPr="00A56CE1">
        <w:rPr>
          <w:i/>
          <w:iCs/>
          <w:sz w:val="24"/>
          <w:szCs w:val="24"/>
        </w:rPr>
        <w:t xml:space="preserve"> lægemidler</w:t>
      </w:r>
    </w:p>
    <w:p w14:paraId="4F831FB9" w14:textId="3BD642F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sås ingen signifikante påvirkninger sammenholdt med placebo af INR, </w:t>
      </w:r>
      <w:proofErr w:type="spellStart"/>
      <w:r w:rsidRPr="00A56CE1">
        <w:rPr>
          <w:sz w:val="24"/>
          <w:szCs w:val="24"/>
        </w:rPr>
        <w:t>protrombin</w:t>
      </w:r>
      <w:proofErr w:type="spellEnd"/>
      <w:r w:rsidRPr="00A56CE1">
        <w:rPr>
          <w:sz w:val="24"/>
          <w:szCs w:val="24"/>
        </w:rPr>
        <w:t xml:space="preserve"> eller </w:t>
      </w:r>
      <w:proofErr w:type="spellStart"/>
      <w:r w:rsidRPr="00A56CE1">
        <w:rPr>
          <w:sz w:val="24"/>
          <w:szCs w:val="24"/>
        </w:rPr>
        <w:t>plasmaR</w:t>
      </w:r>
      <w:proofErr w:type="spellEnd"/>
      <w:r w:rsidRPr="00A56CE1">
        <w:rPr>
          <w:sz w:val="24"/>
          <w:szCs w:val="24"/>
        </w:rPr>
        <w:t>-/S-</w:t>
      </w:r>
      <w:proofErr w:type="spellStart"/>
      <w:r w:rsidRPr="00A56CE1">
        <w:rPr>
          <w:sz w:val="24"/>
          <w:szCs w:val="24"/>
        </w:rPr>
        <w:t>warfarin</w:t>
      </w:r>
      <w:proofErr w:type="spellEnd"/>
      <w:r w:rsidRPr="00A56CE1">
        <w:rPr>
          <w:sz w:val="24"/>
          <w:szCs w:val="24"/>
        </w:rPr>
        <w:t xml:space="preserve"> efter administration af gentagne doser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sammen med stabile doser </w:t>
      </w:r>
      <w:proofErr w:type="spellStart"/>
      <w:r w:rsidRPr="00A56CE1">
        <w:rPr>
          <w:sz w:val="24"/>
          <w:szCs w:val="24"/>
        </w:rPr>
        <w:t>warfarin</w:t>
      </w:r>
      <w:proofErr w:type="spellEnd"/>
      <w:r w:rsidRPr="00A56CE1">
        <w:rPr>
          <w:sz w:val="24"/>
          <w:szCs w:val="24"/>
        </w:rPr>
        <w:t xml:space="preserve"> hos raske forsøgspersoner. Der sås heller ingen signifikant hæmmende virkning på </w:t>
      </w:r>
      <w:proofErr w:type="spellStart"/>
      <w:r w:rsidRPr="00A56CE1">
        <w:rPr>
          <w:sz w:val="24"/>
          <w:szCs w:val="24"/>
        </w:rPr>
        <w:t>trombocytaggregation</w:t>
      </w:r>
      <w:proofErr w:type="spellEnd"/>
      <w:r w:rsidRPr="00A56CE1">
        <w:rPr>
          <w:sz w:val="24"/>
          <w:szCs w:val="24"/>
        </w:rPr>
        <w:t xml:space="preserve"> eller farmakokinetikken af acetylsalicylsyre eller salicylsyre sammenholdt med placebo, når acetylsalicylsyre 150 mg/dag blev administreret til raske forsøgspersoner efter gentagne doser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. Der bør dog udvises forsigtighed, når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kombineres med orale </w:t>
      </w:r>
      <w:proofErr w:type="spellStart"/>
      <w:r w:rsidRPr="00A56CE1">
        <w:rPr>
          <w:sz w:val="24"/>
          <w:szCs w:val="24"/>
        </w:rPr>
        <w:t>antikoagulantia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trombocythæmmende</w:t>
      </w:r>
      <w:proofErr w:type="spellEnd"/>
      <w:r w:rsidRPr="00A56CE1">
        <w:rPr>
          <w:sz w:val="24"/>
          <w:szCs w:val="24"/>
        </w:rPr>
        <w:t xml:space="preserve"> lægemidler eller smertestillende lægemidler (f.eks. acetylsalicylsyre (ASA) eller NSAID), da den potentielle risiko for blødninger, der kan henføres til en </w:t>
      </w:r>
      <w:proofErr w:type="spellStart"/>
      <w:r w:rsidRPr="00A56CE1">
        <w:rPr>
          <w:sz w:val="24"/>
          <w:szCs w:val="24"/>
        </w:rPr>
        <w:t>farmakodynamisk</w:t>
      </w:r>
      <w:proofErr w:type="spellEnd"/>
      <w:r w:rsidRPr="00A56CE1">
        <w:rPr>
          <w:sz w:val="24"/>
          <w:szCs w:val="24"/>
        </w:rPr>
        <w:t xml:space="preserve"> interaktion (se pkt. 4.4), kan være øget.</w:t>
      </w:r>
    </w:p>
    <w:p w14:paraId="7464E0D5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D124968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CYP-substrater</w:t>
      </w:r>
    </w:p>
    <w:p w14:paraId="3A35A6C6" w14:textId="25D44E68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i/>
          <w:iCs/>
          <w:sz w:val="24"/>
          <w:szCs w:val="24"/>
        </w:rPr>
        <w:t xml:space="preserve">In </w:t>
      </w:r>
      <w:proofErr w:type="spellStart"/>
      <w:r w:rsidRPr="00A56CE1">
        <w:rPr>
          <w:i/>
          <w:iCs/>
          <w:sz w:val="24"/>
          <w:szCs w:val="24"/>
        </w:rPr>
        <w:t>vitro</w:t>
      </w:r>
      <w:proofErr w:type="spellEnd"/>
      <w:r w:rsidRPr="00A56CE1">
        <w:rPr>
          <w:sz w:val="24"/>
          <w:szCs w:val="24"/>
        </w:rPr>
        <w:t xml:space="preserve"> udviste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ikke relevant potentiale på hæmning eller induktion af CYP-</w:t>
      </w:r>
      <w:proofErr w:type="spellStart"/>
      <w:r w:rsidRPr="00A56CE1">
        <w:rPr>
          <w:sz w:val="24"/>
          <w:szCs w:val="24"/>
        </w:rPr>
        <w:t>isoenzymer</w:t>
      </w:r>
      <w:proofErr w:type="spellEnd"/>
      <w:r w:rsidRPr="00A56CE1">
        <w:rPr>
          <w:sz w:val="24"/>
          <w:szCs w:val="24"/>
        </w:rPr>
        <w:t xml:space="preserve"> (se pkt. 5.2).</w:t>
      </w:r>
    </w:p>
    <w:p w14:paraId="374BDB6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42D310B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lastRenderedPageBreak/>
        <w:t xml:space="preserve">Efter gentagne doser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til raske forsøgspersoner sås der ikke hæmmende virkninger på </w:t>
      </w:r>
      <w:proofErr w:type="spellStart"/>
      <w:r w:rsidRPr="00A56CE1">
        <w:rPr>
          <w:sz w:val="24"/>
          <w:szCs w:val="24"/>
        </w:rPr>
        <w:t>CYPisoenzymerne</w:t>
      </w:r>
      <w:proofErr w:type="spellEnd"/>
      <w:r w:rsidRPr="00A56CE1">
        <w:rPr>
          <w:sz w:val="24"/>
          <w:szCs w:val="24"/>
        </w:rPr>
        <w:t xml:space="preserve"> CYP2C19 (</w:t>
      </w:r>
      <w:proofErr w:type="spellStart"/>
      <w:r w:rsidRPr="00A56CE1">
        <w:rPr>
          <w:sz w:val="24"/>
          <w:szCs w:val="24"/>
        </w:rPr>
        <w:t>omeprazol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diazepam</w:t>
      </w:r>
      <w:proofErr w:type="spellEnd"/>
      <w:r w:rsidRPr="00A56CE1">
        <w:rPr>
          <w:sz w:val="24"/>
          <w:szCs w:val="24"/>
        </w:rPr>
        <w:t>), CYP3A4/5 (</w:t>
      </w:r>
      <w:proofErr w:type="spellStart"/>
      <w:r w:rsidRPr="00A56CE1">
        <w:rPr>
          <w:sz w:val="24"/>
          <w:szCs w:val="24"/>
        </w:rPr>
        <w:t>ethinylestradiol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midazolam</w:t>
      </w:r>
      <w:proofErr w:type="spellEnd"/>
      <w:r w:rsidRPr="00A56CE1">
        <w:rPr>
          <w:sz w:val="24"/>
          <w:szCs w:val="24"/>
        </w:rPr>
        <w:t>), CYP2B6 (</w:t>
      </w:r>
      <w:proofErr w:type="spellStart"/>
      <w:r w:rsidRPr="00A56CE1">
        <w:rPr>
          <w:sz w:val="24"/>
          <w:szCs w:val="24"/>
        </w:rPr>
        <w:t>bupropion</w:t>
      </w:r>
      <w:proofErr w:type="spellEnd"/>
      <w:r w:rsidRPr="00A56CE1">
        <w:rPr>
          <w:sz w:val="24"/>
          <w:szCs w:val="24"/>
        </w:rPr>
        <w:t>), CYP2C9 (</w:t>
      </w:r>
      <w:proofErr w:type="spellStart"/>
      <w:r w:rsidRPr="00A56CE1">
        <w:rPr>
          <w:sz w:val="24"/>
          <w:szCs w:val="24"/>
        </w:rPr>
        <w:t>tolbutamid</w:t>
      </w:r>
      <w:proofErr w:type="spellEnd"/>
      <w:r w:rsidRPr="00A56CE1">
        <w:rPr>
          <w:sz w:val="24"/>
          <w:szCs w:val="24"/>
        </w:rPr>
        <w:t>, S-</w:t>
      </w:r>
      <w:proofErr w:type="spellStart"/>
      <w:r w:rsidRPr="00A56CE1">
        <w:rPr>
          <w:sz w:val="24"/>
          <w:szCs w:val="24"/>
        </w:rPr>
        <w:t>warfarin</w:t>
      </w:r>
      <w:proofErr w:type="spellEnd"/>
      <w:r w:rsidRPr="00A56CE1">
        <w:rPr>
          <w:sz w:val="24"/>
          <w:szCs w:val="24"/>
        </w:rPr>
        <w:t>), CYP1A2 (</w:t>
      </w:r>
      <w:proofErr w:type="spellStart"/>
      <w:r w:rsidRPr="00A56CE1">
        <w:rPr>
          <w:sz w:val="24"/>
          <w:szCs w:val="24"/>
        </w:rPr>
        <w:t>caffein</w:t>
      </w:r>
      <w:proofErr w:type="spellEnd"/>
      <w:r w:rsidRPr="00A56CE1">
        <w:rPr>
          <w:sz w:val="24"/>
          <w:szCs w:val="24"/>
        </w:rPr>
        <w:t>) eller CYP2D6 (</w:t>
      </w:r>
      <w:proofErr w:type="spellStart"/>
      <w:r w:rsidRPr="00A56CE1">
        <w:rPr>
          <w:sz w:val="24"/>
          <w:szCs w:val="24"/>
        </w:rPr>
        <w:t>dextromethorphan</w:t>
      </w:r>
      <w:proofErr w:type="spellEnd"/>
      <w:r w:rsidRPr="00A56CE1">
        <w:rPr>
          <w:sz w:val="24"/>
          <w:szCs w:val="24"/>
        </w:rPr>
        <w:t>).</w:t>
      </w:r>
    </w:p>
    <w:p w14:paraId="04BF746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7E21518" w14:textId="39B9521F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sås ingen </w:t>
      </w:r>
      <w:proofErr w:type="spellStart"/>
      <w:r w:rsidRPr="00A56CE1">
        <w:rPr>
          <w:sz w:val="24"/>
          <w:szCs w:val="24"/>
        </w:rPr>
        <w:t>farmakodyanamiske</w:t>
      </w:r>
      <w:proofErr w:type="spellEnd"/>
      <w:r w:rsidRPr="00A56CE1">
        <w:rPr>
          <w:sz w:val="24"/>
          <w:szCs w:val="24"/>
        </w:rPr>
        <w:t xml:space="preserve"> interaktioner. Der sås ingen signifikant nedsættelse af den kognitive funktion i forhold til placebo efter samtidig administration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og en enkelt dosis </w:t>
      </w:r>
      <w:proofErr w:type="spellStart"/>
      <w:r w:rsidRPr="00A56CE1">
        <w:rPr>
          <w:sz w:val="24"/>
          <w:szCs w:val="24"/>
        </w:rPr>
        <w:t>diazepam</w:t>
      </w:r>
      <w:proofErr w:type="spellEnd"/>
      <w:r w:rsidRPr="00A56CE1">
        <w:rPr>
          <w:sz w:val="24"/>
          <w:szCs w:val="24"/>
        </w:rPr>
        <w:t xml:space="preserve"> på 10 mg. Der sås ingen signifikant påvirkning i forhold til placebo af niveauet af kønshormoner efter </w:t>
      </w:r>
      <w:proofErr w:type="spellStart"/>
      <w:r w:rsidRPr="00A56CE1">
        <w:rPr>
          <w:sz w:val="24"/>
          <w:szCs w:val="24"/>
        </w:rPr>
        <w:t>co</w:t>
      </w:r>
      <w:proofErr w:type="spellEnd"/>
      <w:r w:rsidRPr="00A56CE1">
        <w:rPr>
          <w:sz w:val="24"/>
          <w:szCs w:val="24"/>
        </w:rPr>
        <w:t xml:space="preserve">-administration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og et oralt </w:t>
      </w:r>
      <w:proofErr w:type="spellStart"/>
      <w:r w:rsidRPr="00A56CE1">
        <w:rPr>
          <w:sz w:val="24"/>
          <w:szCs w:val="24"/>
        </w:rPr>
        <w:t>kontraceptivum</w:t>
      </w:r>
      <w:proofErr w:type="spellEnd"/>
      <w:r w:rsidRPr="00A56CE1">
        <w:rPr>
          <w:sz w:val="24"/>
          <w:szCs w:val="24"/>
        </w:rPr>
        <w:t xml:space="preserve"> af kombinationstypen (</w:t>
      </w:r>
      <w:proofErr w:type="spellStart"/>
      <w:r w:rsidRPr="00A56CE1">
        <w:rPr>
          <w:sz w:val="24"/>
          <w:szCs w:val="24"/>
        </w:rPr>
        <w:t>ethinylestradiol</w:t>
      </w:r>
      <w:proofErr w:type="spellEnd"/>
      <w:r w:rsidRPr="00A56CE1">
        <w:rPr>
          <w:sz w:val="24"/>
          <w:szCs w:val="24"/>
        </w:rPr>
        <w:t xml:space="preserve"> 30 µg/ </w:t>
      </w:r>
      <w:proofErr w:type="spellStart"/>
      <w:r w:rsidRPr="00A56CE1">
        <w:rPr>
          <w:sz w:val="24"/>
          <w:szCs w:val="24"/>
        </w:rPr>
        <w:t>levonorgestrel</w:t>
      </w:r>
      <w:proofErr w:type="spellEnd"/>
      <w:r w:rsidRPr="00A56CE1">
        <w:rPr>
          <w:sz w:val="24"/>
          <w:szCs w:val="24"/>
        </w:rPr>
        <w:t xml:space="preserve"> 150 µg).</w:t>
      </w:r>
    </w:p>
    <w:p w14:paraId="274FFD9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2C0EC84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proofErr w:type="spellStart"/>
      <w:r w:rsidRPr="00A56CE1">
        <w:rPr>
          <w:i/>
          <w:iCs/>
          <w:sz w:val="24"/>
          <w:szCs w:val="24"/>
        </w:rPr>
        <w:t>Lithium</w:t>
      </w:r>
      <w:proofErr w:type="spellEnd"/>
      <w:r w:rsidRPr="00A56CE1">
        <w:rPr>
          <w:i/>
          <w:iCs/>
          <w:sz w:val="24"/>
          <w:szCs w:val="24"/>
        </w:rPr>
        <w:t>, tryptophan</w:t>
      </w:r>
    </w:p>
    <w:p w14:paraId="4E0560AD" w14:textId="05F43A6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sås ingen klinisk relevant effekt efter administration af gentagne doser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til raske forsøgspersoner, eksponeret for </w:t>
      </w:r>
      <w:proofErr w:type="spellStart"/>
      <w:r w:rsidRPr="00A56CE1">
        <w:rPr>
          <w:sz w:val="24"/>
          <w:szCs w:val="24"/>
        </w:rPr>
        <w:t>lithium</w:t>
      </w:r>
      <w:proofErr w:type="spellEnd"/>
      <w:r w:rsidRPr="00A56CE1">
        <w:rPr>
          <w:sz w:val="24"/>
          <w:szCs w:val="24"/>
        </w:rPr>
        <w:t xml:space="preserve"> ved </w:t>
      </w:r>
      <w:proofErr w:type="spellStart"/>
      <w:r w:rsidRPr="00A56CE1">
        <w:rPr>
          <w:sz w:val="24"/>
          <w:szCs w:val="24"/>
        </w:rPr>
        <w:t>steady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state</w:t>
      </w:r>
      <w:proofErr w:type="spellEnd"/>
      <w:r w:rsidRPr="00A56CE1">
        <w:rPr>
          <w:sz w:val="24"/>
          <w:szCs w:val="24"/>
        </w:rPr>
        <w:t xml:space="preserve">. Der foreligger dog rapporter om forstærket virkning, hvis der samtidig gives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med </w:t>
      </w:r>
      <w:proofErr w:type="spellStart"/>
      <w:r w:rsidRPr="00A56CE1">
        <w:rPr>
          <w:sz w:val="24"/>
          <w:szCs w:val="24"/>
        </w:rPr>
        <w:t>serotonerg</w:t>
      </w:r>
      <w:proofErr w:type="spellEnd"/>
      <w:r w:rsidRPr="00A56CE1">
        <w:rPr>
          <w:sz w:val="24"/>
          <w:szCs w:val="24"/>
        </w:rPr>
        <w:t xml:space="preserve"> virkning og </w:t>
      </w:r>
      <w:proofErr w:type="spellStart"/>
      <w:r w:rsidRPr="00A56CE1">
        <w:rPr>
          <w:sz w:val="24"/>
          <w:szCs w:val="24"/>
        </w:rPr>
        <w:t>lithium</w:t>
      </w:r>
      <w:proofErr w:type="spellEnd"/>
      <w:r w:rsidRPr="00A56CE1">
        <w:rPr>
          <w:sz w:val="24"/>
          <w:szCs w:val="24"/>
        </w:rPr>
        <w:t xml:space="preserve"> eller tryptophan, og forsigtighed tilrådes derfor ved samtidig brug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og disse lægemidler.</w:t>
      </w:r>
    </w:p>
    <w:p w14:paraId="3F5A9DFF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26C0E9D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Interferens med urinbaserede narkotikatests</w:t>
      </w:r>
    </w:p>
    <w:p w14:paraId="43FB34CC" w14:textId="3B390A38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Der findes indberetninger om falsk positive resultater i enzymimmunanalyser for metadon i urin hos</w:t>
      </w:r>
      <w:r w:rsidR="00A411DD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patienter, som har taget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 Der skal udvises forsigtighed ved fortolkningen af positive</w:t>
      </w:r>
      <w:r w:rsidR="00A411DD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resultater fra urinbaserede narkotikatests, og bekræftelse ved hjælp af en alternativ analyseteknik</w:t>
      </w:r>
      <w:r w:rsidR="00A411DD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(f.eks. kromatografiske metoder) bør overvejes.</w:t>
      </w:r>
    </w:p>
    <w:p w14:paraId="38DF2D29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D44CB8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4.6</w:t>
      </w:r>
      <w:r w:rsidRPr="00A56CE1">
        <w:rPr>
          <w:b/>
          <w:sz w:val="24"/>
          <w:szCs w:val="24"/>
        </w:rPr>
        <w:tab/>
      </w:r>
      <w:r w:rsidR="0071241E" w:rsidRPr="00A56CE1">
        <w:rPr>
          <w:b/>
          <w:sz w:val="24"/>
          <w:szCs w:val="24"/>
        </w:rPr>
        <w:t>Fertilitet, g</w:t>
      </w:r>
      <w:r w:rsidRPr="00A56CE1">
        <w:rPr>
          <w:b/>
          <w:sz w:val="24"/>
          <w:szCs w:val="24"/>
        </w:rPr>
        <w:t>raviditet og amning</w:t>
      </w:r>
    </w:p>
    <w:p w14:paraId="28615CD2" w14:textId="77777777" w:rsidR="00A411DD" w:rsidRDefault="00A411DD" w:rsidP="004766C8">
      <w:pPr>
        <w:ind w:left="851"/>
        <w:rPr>
          <w:sz w:val="24"/>
          <w:szCs w:val="24"/>
        </w:rPr>
      </w:pPr>
    </w:p>
    <w:p w14:paraId="1BC4B3CC" w14:textId="1649CD9A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Graviditet</w:t>
      </w:r>
    </w:p>
    <w:p w14:paraId="6432537A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er utilstrækkelige data fra anvendelse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til gravide kvinder.</w:t>
      </w:r>
    </w:p>
    <w:p w14:paraId="79B95C43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Dyrestudier har vist reproduktionstoksicitet (se pkt. 5.3).</w:t>
      </w:r>
    </w:p>
    <w:p w14:paraId="68F89BE0" w14:textId="0F80F689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Følgende symptomer kan forekomme hos nyfødte, hvis mødre har taget </w:t>
      </w:r>
      <w:proofErr w:type="spellStart"/>
      <w:r w:rsidRPr="00A56CE1">
        <w:rPr>
          <w:sz w:val="24"/>
          <w:szCs w:val="24"/>
        </w:rPr>
        <w:t>serotonerge</w:t>
      </w:r>
      <w:proofErr w:type="spellEnd"/>
      <w:r w:rsidRPr="00A56CE1">
        <w:rPr>
          <w:sz w:val="24"/>
          <w:szCs w:val="24"/>
        </w:rPr>
        <w:t xml:space="preserve"> lægemidler sidst i graviditeten: vejrtrækningsbesvær, cyanose, apnø, krampeanfald, ustabil temperatur, besvær med at spise, opkastning, hypoglykæmi, </w:t>
      </w:r>
      <w:proofErr w:type="spellStart"/>
      <w:r w:rsidRPr="00A56CE1">
        <w:rPr>
          <w:sz w:val="24"/>
          <w:szCs w:val="24"/>
        </w:rPr>
        <w:t>hypertoni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hypotoni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hyperrefleksi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tremor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spjætten</w:t>
      </w:r>
      <w:proofErr w:type="spellEnd"/>
      <w:r w:rsidRPr="00A56CE1">
        <w:rPr>
          <w:sz w:val="24"/>
          <w:szCs w:val="24"/>
        </w:rPr>
        <w:t xml:space="preserve">, irritabilitet, letargi, konstant gråd, døsighed og søvnbesvær. Disse symptomer kan enten skyldes abstinenssymptomer eller overdreven </w:t>
      </w:r>
      <w:proofErr w:type="spellStart"/>
      <w:r w:rsidRPr="00A56CE1">
        <w:rPr>
          <w:sz w:val="24"/>
          <w:szCs w:val="24"/>
        </w:rPr>
        <w:t>serotonerg</w:t>
      </w:r>
      <w:proofErr w:type="spellEnd"/>
      <w:r w:rsidRPr="00A56CE1">
        <w:rPr>
          <w:sz w:val="24"/>
          <w:szCs w:val="24"/>
        </w:rPr>
        <w:t xml:space="preserve"> aktivitet. I de fleste tilfælde indtraf disse komplikationer umiddelbart eller kort tid (&lt;24 timer) efter fødslen.</w:t>
      </w:r>
    </w:p>
    <w:p w14:paraId="2480C0F6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BE4AD65" w14:textId="5F32F1CB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Epidemiologiske data tyder på, at brug af SSRI-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under graviditet, især sidst i graviditeten, kan øge risikoen for persisterende </w:t>
      </w:r>
      <w:proofErr w:type="spellStart"/>
      <w:r w:rsidRPr="00A56CE1">
        <w:rPr>
          <w:sz w:val="24"/>
          <w:szCs w:val="24"/>
        </w:rPr>
        <w:t>pulmonal</w:t>
      </w:r>
      <w:proofErr w:type="spellEnd"/>
      <w:r w:rsidRPr="00A56CE1">
        <w:rPr>
          <w:sz w:val="24"/>
          <w:szCs w:val="24"/>
        </w:rPr>
        <w:t xml:space="preserve"> hypertension hos nyfødte (PPHN). Selv om ingen studier har undersøgt forbindelsen mellem PPHN og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, kan en potentiel risiko ikke udelukkes i betragtning af den beslægtede virkningsmekanisme (øgning af serotoninkoncentrationer).</w:t>
      </w:r>
    </w:p>
    <w:p w14:paraId="2EDCC5B9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69A0F5D" w14:textId="6D936025" w:rsidR="007C7A27" w:rsidRPr="00A56CE1" w:rsidRDefault="00921827" w:rsidP="004766C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Vortioxetine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="007C7A27" w:rsidRPr="00A56CE1">
        <w:rPr>
          <w:sz w:val="24"/>
          <w:szCs w:val="24"/>
        </w:rPr>
        <w:t xml:space="preserve"> bør kun gives til gravide kvinder, hvis de forventede fordele for moderen opvejer de mulige risici for fosteret.</w:t>
      </w:r>
    </w:p>
    <w:p w14:paraId="3F4C55B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0A700204" w14:textId="689F96F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Observationsdata giver evidens for øget risiko (mindre end en fordobling) for </w:t>
      </w:r>
      <w:proofErr w:type="spellStart"/>
      <w:r w:rsidRPr="00A56CE1">
        <w:rPr>
          <w:sz w:val="24"/>
          <w:szCs w:val="24"/>
        </w:rPr>
        <w:t>postpartum</w:t>
      </w:r>
      <w:proofErr w:type="spellEnd"/>
      <w:r w:rsidRPr="00A56CE1">
        <w:rPr>
          <w:sz w:val="24"/>
          <w:szCs w:val="24"/>
        </w:rPr>
        <w:t xml:space="preserve"> blødning efter eksponering for en SSRI eller SNRI i måneden forud for fødslen. Der er ikke foretaget studier af sammenhængen mellem </w:t>
      </w:r>
      <w:proofErr w:type="spellStart"/>
      <w:r w:rsidRPr="00A56CE1">
        <w:rPr>
          <w:sz w:val="24"/>
          <w:szCs w:val="24"/>
        </w:rPr>
        <w:t>vortioxetinbehandling</w:t>
      </w:r>
      <w:proofErr w:type="spellEnd"/>
      <w:r w:rsidRPr="00A56CE1">
        <w:rPr>
          <w:sz w:val="24"/>
          <w:szCs w:val="24"/>
        </w:rPr>
        <w:t xml:space="preserve"> og </w:t>
      </w:r>
      <w:proofErr w:type="spellStart"/>
      <w:r w:rsidRPr="00A56CE1">
        <w:rPr>
          <w:sz w:val="24"/>
          <w:szCs w:val="24"/>
        </w:rPr>
        <w:t>postpartum</w:t>
      </w:r>
      <w:proofErr w:type="spellEnd"/>
      <w:r w:rsidRPr="00A56CE1">
        <w:rPr>
          <w:sz w:val="24"/>
          <w:szCs w:val="24"/>
        </w:rPr>
        <w:t xml:space="preserve"> blødning, men der er en potentiel risiko i betragtning af den pågældende virkningsmekanisme (se pkt. 4.4). </w:t>
      </w:r>
    </w:p>
    <w:p w14:paraId="060A02B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917B160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Amning</w:t>
      </w:r>
    </w:p>
    <w:p w14:paraId="2CFC89DE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 tilgængelige data fra dyrestudier viser, at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/dets metabolitter udskilles i mælk. </w:t>
      </w:r>
    </w:p>
    <w:p w14:paraId="6F41C2E4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Det forventes, at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udskilles i human mælk (se pkt. 5.3).</w:t>
      </w:r>
    </w:p>
    <w:p w14:paraId="48DE9C5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F2084A8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En risiko for det ammede barn kan derfor ikke udelukkes.</w:t>
      </w:r>
    </w:p>
    <w:p w14:paraId="3D8DECB6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08BEC721" w14:textId="24F58EE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Det skal besluttes, om amning skal ophøre eller behandling med </w:t>
      </w:r>
      <w:proofErr w:type="spellStart"/>
      <w:r w:rsidR="00921827">
        <w:rPr>
          <w:sz w:val="24"/>
          <w:szCs w:val="24"/>
        </w:rPr>
        <w:t>Vortioxetine</w:t>
      </w:r>
      <w:proofErr w:type="spellEnd"/>
      <w:r w:rsidR="00921827">
        <w:rPr>
          <w:sz w:val="24"/>
          <w:szCs w:val="24"/>
        </w:rPr>
        <w:t xml:space="preserve"> "</w:t>
      </w:r>
      <w:proofErr w:type="spellStart"/>
      <w:r w:rsidR="00921827">
        <w:rPr>
          <w:sz w:val="24"/>
          <w:szCs w:val="24"/>
        </w:rPr>
        <w:t>Stada</w:t>
      </w:r>
      <w:proofErr w:type="spellEnd"/>
      <w:r w:rsidR="00921827">
        <w:rPr>
          <w:sz w:val="24"/>
          <w:szCs w:val="24"/>
        </w:rPr>
        <w:t>"</w:t>
      </w:r>
      <w:r w:rsidRPr="00A56CE1">
        <w:rPr>
          <w:sz w:val="24"/>
          <w:szCs w:val="24"/>
        </w:rPr>
        <w:t xml:space="preserve"> seponeres/undgås, idet der tages højde for fordelene ved amning for barnet i forhold til de terapeutiske fordele for moderen.</w:t>
      </w:r>
    </w:p>
    <w:p w14:paraId="19E9FBA2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06723A2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Fertilitet</w:t>
      </w:r>
    </w:p>
    <w:p w14:paraId="4D1B9423" w14:textId="4D7076B9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Fertilitetsstudier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hos han- og hunrotter viste ingen påvirkning af fertilitet, sædkvalitet eller parringsadfærd (se pkt. 5.3).</w:t>
      </w:r>
    </w:p>
    <w:p w14:paraId="72EDE83B" w14:textId="6E8778FC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er indberettet tilfælde af reversibel påvirkning af sædkvaliteten hos mennesker for beslægtede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(SSRI). Påvirkning af human fertilitet er endnu ikke observeret.</w:t>
      </w:r>
    </w:p>
    <w:p w14:paraId="14286D8F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FFC476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4.7</w:t>
      </w:r>
      <w:r w:rsidRPr="00A56CE1">
        <w:rPr>
          <w:b/>
          <w:sz w:val="24"/>
          <w:szCs w:val="24"/>
        </w:rPr>
        <w:tab/>
        <w:t xml:space="preserve">Virkning på evnen til at føre motorkøretøj </w:t>
      </w:r>
      <w:r w:rsidR="0071241E" w:rsidRPr="00A56CE1">
        <w:rPr>
          <w:b/>
          <w:sz w:val="24"/>
          <w:szCs w:val="24"/>
        </w:rPr>
        <w:t>og</w:t>
      </w:r>
      <w:r w:rsidRPr="00A56CE1">
        <w:rPr>
          <w:b/>
          <w:sz w:val="24"/>
          <w:szCs w:val="24"/>
        </w:rPr>
        <w:t xml:space="preserve"> betjene maskiner</w:t>
      </w:r>
    </w:p>
    <w:p w14:paraId="48401460" w14:textId="77777777" w:rsidR="00A411DD" w:rsidRDefault="00A411DD" w:rsidP="004766C8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2AE8E5C9" w14:textId="465865A4" w:rsidR="007C7A27" w:rsidRPr="00A56CE1" w:rsidRDefault="00921827" w:rsidP="004766C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Vortioxetine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="007C7A27" w:rsidRPr="00A56CE1">
        <w:rPr>
          <w:sz w:val="24"/>
          <w:szCs w:val="24"/>
        </w:rPr>
        <w:t xml:space="preserve"> påvirker ikke eller kun i ubetydelig grad evnen til at føre motorkøretøj og betjene maskiner. Da bivirkninger som svimmelhed er blevet rapporteret, bør patienterne imidlertid udvise forsigtighed, når de fører motorkøretøj eller betjener farlige maskiner – især ved behandlingsstart og dosisændring. </w:t>
      </w:r>
    </w:p>
    <w:p w14:paraId="716ED2CD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9A02E6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4.8</w:t>
      </w:r>
      <w:r w:rsidRPr="00A56CE1">
        <w:rPr>
          <w:b/>
          <w:sz w:val="24"/>
          <w:szCs w:val="24"/>
        </w:rPr>
        <w:tab/>
        <w:t>Bivirkninger</w:t>
      </w:r>
    </w:p>
    <w:p w14:paraId="769B0089" w14:textId="77777777" w:rsidR="00A411DD" w:rsidRDefault="00A411DD" w:rsidP="004766C8">
      <w:pPr>
        <w:ind w:left="851"/>
        <w:rPr>
          <w:sz w:val="24"/>
          <w:szCs w:val="24"/>
        </w:rPr>
      </w:pPr>
    </w:p>
    <w:p w14:paraId="44EEDDCB" w14:textId="5D5A91DF" w:rsidR="007C7A27" w:rsidRPr="00A411DD" w:rsidRDefault="007C7A27" w:rsidP="004766C8">
      <w:pPr>
        <w:ind w:left="851"/>
        <w:rPr>
          <w:sz w:val="24"/>
          <w:szCs w:val="24"/>
          <w:u w:val="single"/>
          <w:lang w:eastAsia="fr-LU"/>
        </w:rPr>
      </w:pPr>
      <w:r w:rsidRPr="00A411DD">
        <w:rPr>
          <w:sz w:val="24"/>
          <w:szCs w:val="24"/>
          <w:u w:val="single"/>
        </w:rPr>
        <w:t>Resumé af sikkerhedsprofilen</w:t>
      </w:r>
    </w:p>
    <w:p w14:paraId="1ABF9DE0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Den hyppigste bivirkning var kvalme. </w:t>
      </w:r>
    </w:p>
    <w:p w14:paraId="441847C8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286A057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Bivirkninger opstillet i tabelform</w:t>
      </w:r>
    </w:p>
    <w:p w14:paraId="1CD8F48E" w14:textId="49476C5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Bivirkninger er anført nedenfor i henhold til følgende konvention: meget almindelig (≥1/10), almindelig (≥1/100 til &lt;1/10), ikke almindelig (≥1/1.000 til &lt; 1/100), sjælden (≥1/10.000 til &lt;1/1.000), meget sjælden (&lt;1/10.000) og ikke kendt (kan ikke estimeres ud fra forhåndenværende data). Listen er baseret på information fra kliniske studier og erfaring efter markedsføringen.</w:t>
      </w:r>
    </w:p>
    <w:p w14:paraId="4A2AB5D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587"/>
        <w:gridCol w:w="1714"/>
        <w:gridCol w:w="4327"/>
      </w:tblGrid>
      <w:tr w:rsidR="007C7A27" w:rsidRPr="00A56CE1" w14:paraId="1C1F5AF0" w14:textId="77777777" w:rsidTr="004766C8">
        <w:trPr>
          <w:tblHeader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D32B" w14:textId="77777777" w:rsidR="007C7A27" w:rsidRPr="00A56CE1" w:rsidRDefault="007C7A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da-DK"/>
              </w:rPr>
            </w:pPr>
            <w:r w:rsidRPr="00A56CE1">
              <w:rPr>
                <w:b/>
                <w:bCs/>
                <w:sz w:val="24"/>
                <w:szCs w:val="24"/>
                <w:lang w:val="da-DK"/>
              </w:rPr>
              <w:t>SYSTEMORGANKLASSE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F32" w14:textId="77777777" w:rsidR="007C7A27" w:rsidRPr="00A56CE1" w:rsidRDefault="007C7A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da-DK"/>
              </w:rPr>
            </w:pPr>
            <w:r w:rsidRPr="00A56CE1">
              <w:rPr>
                <w:b/>
                <w:bCs/>
                <w:sz w:val="24"/>
                <w:szCs w:val="24"/>
                <w:lang w:val="da-DK"/>
              </w:rPr>
              <w:t>HYPPIGHED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48D" w14:textId="77777777" w:rsidR="007C7A27" w:rsidRPr="00A56CE1" w:rsidRDefault="007C7A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da-DK"/>
              </w:rPr>
            </w:pPr>
            <w:r w:rsidRPr="00A56CE1">
              <w:rPr>
                <w:b/>
                <w:bCs/>
                <w:sz w:val="24"/>
                <w:szCs w:val="24"/>
                <w:lang w:val="da-DK"/>
              </w:rPr>
              <w:t>BIVIRKNINGER</w:t>
            </w:r>
          </w:p>
        </w:tc>
      </w:tr>
      <w:tr w:rsidR="007C7A27" w:rsidRPr="00A56CE1" w14:paraId="33F20FE6" w14:textId="77777777" w:rsidTr="004766C8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6A5F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Immunsystemet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BFC4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826A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Anafylaktisk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 reaktion</w:t>
            </w:r>
          </w:p>
        </w:tc>
      </w:tr>
      <w:tr w:rsidR="007C7A27" w:rsidRPr="00A56CE1" w14:paraId="06DB1D30" w14:textId="77777777" w:rsidTr="004766C8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B9E7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Det endokrine system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BA78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687A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Hyperprolactinæmi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, i en række tilfælde i forbindelse med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galaktoré</w:t>
            </w:r>
            <w:proofErr w:type="spellEnd"/>
          </w:p>
        </w:tc>
      </w:tr>
      <w:tr w:rsidR="007C7A27" w:rsidRPr="00A56CE1" w14:paraId="20C0E375" w14:textId="77777777" w:rsidTr="004766C8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807F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Metabolisme og ernæring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5B9C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307C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Hyponatriæmi</w:t>
            </w:r>
            <w:proofErr w:type="spellEnd"/>
          </w:p>
        </w:tc>
      </w:tr>
      <w:tr w:rsidR="007C7A27" w:rsidRPr="00A56CE1" w14:paraId="21AAEC9C" w14:textId="77777777" w:rsidTr="004766C8"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D440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Psykiske forstyrrelser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5F6F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 xml:space="preserve">Almindelig  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0A67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Unormale drømme</w:t>
            </w:r>
          </w:p>
        </w:tc>
      </w:tr>
      <w:tr w:rsidR="007C7A27" w:rsidRPr="00A56CE1" w14:paraId="1215123A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D252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FBB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078A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 xml:space="preserve">Insomni </w:t>
            </w:r>
          </w:p>
        </w:tc>
      </w:tr>
      <w:tr w:rsidR="007C7A27" w:rsidRPr="00A56CE1" w14:paraId="4F82914B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ED6C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2478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006F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Agitation, aggression (se pkt. 4.4)</w:t>
            </w:r>
          </w:p>
        </w:tc>
      </w:tr>
      <w:tr w:rsidR="007C7A27" w:rsidRPr="00A56CE1" w14:paraId="613DD10B" w14:textId="77777777" w:rsidTr="004766C8"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C475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Nervesystemet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B105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D19A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Svimmelhed</w:t>
            </w:r>
          </w:p>
        </w:tc>
      </w:tr>
      <w:tr w:rsidR="007C7A27" w:rsidRPr="00A56CE1" w14:paraId="1ECD6DD5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7382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F3E8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F2B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Tremor</w:t>
            </w:r>
            <w:proofErr w:type="spellEnd"/>
          </w:p>
        </w:tc>
      </w:tr>
      <w:tr w:rsidR="007C7A27" w:rsidRPr="00A56CE1" w14:paraId="42C3715E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3A41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A18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5354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Serotonergt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 syndrom, hovedpine,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akatisi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bruxisme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trismus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>, uro i benene (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restless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 legs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syndrome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>)</w:t>
            </w:r>
          </w:p>
        </w:tc>
      </w:tr>
      <w:tr w:rsidR="007C7A27" w:rsidRPr="00A56CE1" w14:paraId="543DF4FC" w14:textId="77777777" w:rsidTr="004766C8"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14C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lastRenderedPageBreak/>
              <w:t>Øjne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DBC1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7193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Sløret syn</w:t>
            </w:r>
          </w:p>
        </w:tc>
      </w:tr>
      <w:tr w:rsidR="007C7A27" w:rsidRPr="00A56CE1" w14:paraId="6056C8CD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6A1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B95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 xml:space="preserve">Sjælden 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EF4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Mydriasis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 (som kan føre til akut snævervinklet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glaukom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 – se pkt. 4.4)</w:t>
            </w:r>
          </w:p>
        </w:tc>
      </w:tr>
      <w:tr w:rsidR="007C7A27" w:rsidRPr="00A56CE1" w14:paraId="61EC1762" w14:textId="77777777" w:rsidTr="004766C8"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4938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Vaskulære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 sygdomme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E6FF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B601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Flushing</w:t>
            </w:r>
            <w:proofErr w:type="spellEnd"/>
          </w:p>
        </w:tc>
      </w:tr>
      <w:tr w:rsidR="007C7A27" w:rsidRPr="00A56CE1" w14:paraId="77935492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EE55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03A6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02A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 xml:space="preserve">Blødning (herunder kontusion,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ekkymose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epistaxis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gastrointestinal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 eller vaginal blødning)</w:t>
            </w:r>
          </w:p>
        </w:tc>
      </w:tr>
      <w:tr w:rsidR="007C7A27" w:rsidRPr="00A56CE1" w14:paraId="4E5A5D91" w14:textId="77777777" w:rsidTr="004766C8"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52A8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Mave-tarm-kanalen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ED57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1B89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Kvalme</w:t>
            </w:r>
          </w:p>
        </w:tc>
      </w:tr>
      <w:tr w:rsidR="007C7A27" w:rsidRPr="00A56CE1" w14:paraId="6F4F9765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54D2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F1A1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7259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Diarré, obstipation, opkastning, dyspepsi</w:t>
            </w:r>
          </w:p>
        </w:tc>
      </w:tr>
      <w:tr w:rsidR="007C7A27" w:rsidRPr="00A56CE1" w14:paraId="7BE029DB" w14:textId="77777777" w:rsidTr="004766C8"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071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Hud og subkutane væv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C78A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E6D4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Pruritus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, herunder generaliseret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pruritus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hyperhidrose</w:t>
            </w:r>
            <w:proofErr w:type="spellEnd"/>
          </w:p>
        </w:tc>
      </w:tr>
      <w:tr w:rsidR="007C7A27" w:rsidRPr="00A56CE1" w14:paraId="58B03783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A467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E859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6B83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Natlige svedudbrud</w:t>
            </w:r>
          </w:p>
        </w:tc>
      </w:tr>
      <w:tr w:rsidR="007C7A27" w:rsidRPr="00A56CE1" w14:paraId="40AB3A6C" w14:textId="77777777" w:rsidTr="004766C8"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BE5" w14:textId="77777777" w:rsidR="007C7A27" w:rsidRPr="00A56CE1" w:rsidRDefault="007C7A27">
            <w:pPr>
              <w:rPr>
                <w:sz w:val="24"/>
                <w:szCs w:val="24"/>
                <w:lang w:val="da-DK" w:eastAsia="fr-L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0232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F157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Angioødem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56CE1">
              <w:rPr>
                <w:sz w:val="24"/>
                <w:szCs w:val="24"/>
                <w:lang w:val="da-DK"/>
              </w:rPr>
              <w:t>Urticaria</w:t>
            </w:r>
            <w:proofErr w:type="spellEnd"/>
            <w:r w:rsidRPr="00A56CE1">
              <w:rPr>
                <w:sz w:val="24"/>
                <w:szCs w:val="24"/>
                <w:lang w:val="da-DK"/>
              </w:rPr>
              <w:t xml:space="preserve"> Udslæt</w:t>
            </w:r>
          </w:p>
        </w:tc>
      </w:tr>
      <w:tr w:rsidR="007C7A27" w:rsidRPr="00A56CE1" w14:paraId="32CA68B9" w14:textId="77777777" w:rsidTr="004766C8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455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Almene symptomer og reaktioner på administrationsstedet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537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r w:rsidRPr="00A56CE1">
              <w:rPr>
                <w:sz w:val="24"/>
                <w:szCs w:val="24"/>
                <w:lang w:val="da-DK"/>
              </w:rPr>
              <w:t>Ikke kendt*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9BA2" w14:textId="77777777" w:rsidR="007C7A27" w:rsidRPr="00A56CE1" w:rsidRDefault="007C7A27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A56CE1">
              <w:rPr>
                <w:sz w:val="24"/>
                <w:szCs w:val="24"/>
                <w:lang w:val="da-DK"/>
              </w:rPr>
              <w:t>Seponeringssyndrom</w:t>
            </w:r>
            <w:proofErr w:type="spellEnd"/>
          </w:p>
        </w:tc>
      </w:tr>
    </w:tbl>
    <w:p w14:paraId="1A205701" w14:textId="77777777" w:rsidR="007C7A27" w:rsidRPr="00A411DD" w:rsidRDefault="007C7A27" w:rsidP="007C7A27">
      <w:pPr>
        <w:rPr>
          <w:sz w:val="20"/>
          <w:u w:val="single"/>
          <w:lang w:eastAsia="fr-LU"/>
        </w:rPr>
      </w:pPr>
      <w:r w:rsidRPr="00A411DD">
        <w:rPr>
          <w:sz w:val="20"/>
        </w:rPr>
        <w:t>* Baseret på udvalgte tilfælde efter markedsføring</w:t>
      </w:r>
    </w:p>
    <w:p w14:paraId="65B67403" w14:textId="77777777" w:rsidR="007C7A27" w:rsidRPr="00A56CE1" w:rsidRDefault="007C7A27" w:rsidP="007C7A27">
      <w:pPr>
        <w:rPr>
          <w:sz w:val="24"/>
          <w:szCs w:val="24"/>
          <w:u w:val="single"/>
        </w:rPr>
      </w:pPr>
    </w:p>
    <w:p w14:paraId="238D8F34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Beskrivelse af udvalgte bivirkninger</w:t>
      </w:r>
    </w:p>
    <w:p w14:paraId="08BB77E4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Kvalme</w:t>
      </w:r>
    </w:p>
    <w:p w14:paraId="69D12413" w14:textId="047248F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Kvalme var sædvanligvis let eller moderat og indtrådte i løbet af de første to behandlingsuger. Bivirkningerne var sædvanligvis forbigående og medførte normalt ikke </w:t>
      </w:r>
      <w:proofErr w:type="spellStart"/>
      <w:r w:rsidRPr="00A56CE1">
        <w:rPr>
          <w:sz w:val="24"/>
          <w:szCs w:val="24"/>
        </w:rPr>
        <w:t>seponering</w:t>
      </w:r>
      <w:proofErr w:type="spellEnd"/>
      <w:r w:rsidRPr="00A56CE1">
        <w:rPr>
          <w:sz w:val="24"/>
          <w:szCs w:val="24"/>
        </w:rPr>
        <w:t xml:space="preserve">. </w:t>
      </w:r>
      <w:proofErr w:type="spellStart"/>
      <w:r w:rsidRPr="00A56CE1">
        <w:rPr>
          <w:sz w:val="24"/>
          <w:szCs w:val="24"/>
        </w:rPr>
        <w:t>Gastrointestinale</w:t>
      </w:r>
      <w:proofErr w:type="spellEnd"/>
      <w:r w:rsidRPr="00A56CE1">
        <w:rPr>
          <w:sz w:val="24"/>
          <w:szCs w:val="24"/>
        </w:rPr>
        <w:t xml:space="preserve"> bivirkninger såsom kvalme optrådte hyppigere hos kvinder end hos mænd.</w:t>
      </w:r>
    </w:p>
    <w:p w14:paraId="1761DF9F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0CC8DC3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Ældre patienter</w:t>
      </w:r>
    </w:p>
    <w:p w14:paraId="2BEC90A2" w14:textId="2F65DC5C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Ved doser ≥10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 var </w:t>
      </w:r>
      <w:proofErr w:type="spellStart"/>
      <w:r w:rsidRPr="00A56CE1">
        <w:rPr>
          <w:sz w:val="24"/>
          <w:szCs w:val="24"/>
        </w:rPr>
        <w:t>seponeringsraten</w:t>
      </w:r>
      <w:proofErr w:type="spellEnd"/>
      <w:r w:rsidRPr="00A56CE1">
        <w:rPr>
          <w:sz w:val="24"/>
          <w:szCs w:val="24"/>
        </w:rPr>
        <w:t xml:space="preserve"> i studierne højere for patienter ≥65 år.</w:t>
      </w:r>
    </w:p>
    <w:p w14:paraId="2D790415" w14:textId="75B236A4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Ved doser på 20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 var forekomsten af kvalme og obstipation højere hos patienter ≥65 år (henholdsvis 42 % og 15 %) end hos patienter &lt;65 år (henholdsvis 27 % og 4 %) (se pkt. 4.4).</w:t>
      </w:r>
    </w:p>
    <w:p w14:paraId="169E5F7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4C116CB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Seksuel dysfunktion</w:t>
      </w:r>
    </w:p>
    <w:p w14:paraId="6CCB96CE" w14:textId="50E71801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I de kliniske studier blev seksuel dysfunktion vurderet ved hjælp af ASEX-skalaen (</w:t>
      </w:r>
      <w:r w:rsidRPr="00A56CE1">
        <w:rPr>
          <w:i/>
          <w:sz w:val="24"/>
          <w:szCs w:val="24"/>
        </w:rPr>
        <w:t xml:space="preserve">Arizona </w:t>
      </w:r>
      <w:proofErr w:type="spellStart"/>
      <w:r w:rsidRPr="00A56CE1">
        <w:rPr>
          <w:i/>
          <w:sz w:val="24"/>
          <w:szCs w:val="24"/>
        </w:rPr>
        <w:t>Sexual</w:t>
      </w:r>
      <w:proofErr w:type="spellEnd"/>
      <w:r w:rsidRPr="00A56CE1">
        <w:rPr>
          <w:i/>
          <w:sz w:val="24"/>
          <w:szCs w:val="24"/>
        </w:rPr>
        <w:t xml:space="preserve"> </w:t>
      </w:r>
      <w:proofErr w:type="spellStart"/>
      <w:r w:rsidRPr="00A56CE1">
        <w:rPr>
          <w:i/>
          <w:sz w:val="24"/>
          <w:szCs w:val="24"/>
        </w:rPr>
        <w:t>Experience</w:t>
      </w:r>
      <w:proofErr w:type="spellEnd"/>
      <w:r w:rsidRPr="00A56CE1">
        <w:rPr>
          <w:i/>
          <w:sz w:val="24"/>
          <w:szCs w:val="24"/>
        </w:rPr>
        <w:t xml:space="preserve"> </w:t>
      </w:r>
      <w:proofErr w:type="spellStart"/>
      <w:r w:rsidRPr="00A56CE1">
        <w:rPr>
          <w:i/>
          <w:sz w:val="24"/>
          <w:szCs w:val="24"/>
        </w:rPr>
        <w:t>Scale</w:t>
      </w:r>
      <w:proofErr w:type="spellEnd"/>
      <w:r w:rsidRPr="00A56CE1">
        <w:rPr>
          <w:sz w:val="24"/>
          <w:szCs w:val="24"/>
        </w:rPr>
        <w:t xml:space="preserve">). Ved doser på 5-15 mg sås ingen afvigelser fra placebo, hvorimod en dosis på 20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var forbundet med en højere frekvens af seksuel dysfunktion (TESD) (se pkt. 5.1). Efter markedsføringen er der indberettet tilfælde af seksuel dysfunktion med doser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 under 20 mg.</w:t>
      </w:r>
    </w:p>
    <w:p w14:paraId="59653C25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BC13315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Klasseeffekt</w:t>
      </w:r>
    </w:p>
    <w:p w14:paraId="2FF5B356" w14:textId="712818A5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Epidemiologiske studier hovedsageligt udført hos patienter på 50 år og opefter viser en øget risiko for knoglebrud hos patienter i behandling med farmakologisk beslægtede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 xml:space="preserve"> (</w:t>
      </w:r>
      <w:proofErr w:type="spellStart"/>
      <w:r w:rsidRPr="00A56CE1">
        <w:rPr>
          <w:sz w:val="24"/>
          <w:szCs w:val="24"/>
        </w:rPr>
        <w:t>SSRI’er</w:t>
      </w:r>
      <w:proofErr w:type="spellEnd"/>
      <w:r w:rsidRPr="00A56CE1">
        <w:rPr>
          <w:sz w:val="24"/>
          <w:szCs w:val="24"/>
        </w:rPr>
        <w:t xml:space="preserve"> eller </w:t>
      </w:r>
      <w:proofErr w:type="spellStart"/>
      <w:r w:rsidRPr="00A56CE1">
        <w:rPr>
          <w:sz w:val="24"/>
          <w:szCs w:val="24"/>
        </w:rPr>
        <w:t>TCA’er</w:t>
      </w:r>
      <w:proofErr w:type="spellEnd"/>
      <w:r w:rsidRPr="00A56CE1">
        <w:rPr>
          <w:sz w:val="24"/>
          <w:szCs w:val="24"/>
        </w:rPr>
        <w:t xml:space="preserve">). Mekanismen bag dette er ukendt, og det vides ikke, om denne risiko også er relevant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7FEDBA69" w14:textId="4E598823" w:rsidR="00F86CA0" w:rsidRDefault="00F86C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C8953C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E155BFB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Pædiatrisk population</w:t>
      </w:r>
    </w:p>
    <w:p w14:paraId="7476A68A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alt 304 børn i alderen 7 til 11 år og 308 unge i alderen 12 til 17 år med moderate til svære depressive episoder blev behandlet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 henholdsvis to dobbeltblindede, placebokontrollerede studier. Generelt svarede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bivirkningsprofil hos børn og unge til den, der observeres hos voksne. Dog var der specifikt hos unge en hyppigere forekomst af hændelser med </w:t>
      </w:r>
      <w:proofErr w:type="spellStart"/>
      <w:r w:rsidRPr="00A56CE1">
        <w:rPr>
          <w:sz w:val="24"/>
          <w:szCs w:val="24"/>
        </w:rPr>
        <w:t>abdominalsmerter</w:t>
      </w:r>
      <w:proofErr w:type="spellEnd"/>
      <w:r w:rsidRPr="00A56CE1">
        <w:rPr>
          <w:sz w:val="24"/>
          <w:szCs w:val="24"/>
        </w:rPr>
        <w:t xml:space="preserve"> og selvmordstanker sammenlignet med voksne (se pkt. 5.1).</w:t>
      </w:r>
    </w:p>
    <w:p w14:paraId="06DFEDB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4F3DDF5" w14:textId="0C45728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blev udført to åbne langvarige forlængelsesstudier med </w:t>
      </w:r>
      <w:proofErr w:type="spellStart"/>
      <w:r w:rsidRPr="00A56CE1">
        <w:rPr>
          <w:sz w:val="24"/>
          <w:szCs w:val="24"/>
        </w:rPr>
        <w:t>vortioxetindoser</w:t>
      </w:r>
      <w:proofErr w:type="spellEnd"/>
      <w:r w:rsidRPr="00A56CE1">
        <w:rPr>
          <w:sz w:val="24"/>
          <w:szCs w:val="24"/>
        </w:rPr>
        <w:t xml:space="preserve"> på 5 til 20 mg/dag og med en behandlingsvarighed på henholdsvis 6 måneder (N=662) og 18 måneder (N=94). Samlet set var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sikkerheds- og </w:t>
      </w:r>
      <w:proofErr w:type="spellStart"/>
      <w:r w:rsidRPr="00A56CE1">
        <w:rPr>
          <w:sz w:val="24"/>
          <w:szCs w:val="24"/>
        </w:rPr>
        <w:t>tolerabilitetsprofil</w:t>
      </w:r>
      <w:proofErr w:type="spellEnd"/>
      <w:r w:rsidRPr="00A56CE1">
        <w:rPr>
          <w:sz w:val="24"/>
          <w:szCs w:val="24"/>
        </w:rPr>
        <w:t xml:space="preserve"> hos den pædiatriske population efter langvarig brug sammenlignelig med, hvad der er observeret efter kortvarig brug.</w:t>
      </w:r>
    </w:p>
    <w:p w14:paraId="6A96C1D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4982E87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 xml:space="preserve">Symptomer ved </w:t>
      </w:r>
      <w:proofErr w:type="spellStart"/>
      <w:r w:rsidRPr="00A56CE1">
        <w:rPr>
          <w:i/>
          <w:iCs/>
          <w:sz w:val="24"/>
          <w:szCs w:val="24"/>
        </w:rPr>
        <w:t>seponering</w:t>
      </w:r>
      <w:proofErr w:type="spellEnd"/>
      <w:r w:rsidRPr="00A56CE1">
        <w:rPr>
          <w:i/>
          <w:iCs/>
          <w:sz w:val="24"/>
          <w:szCs w:val="24"/>
        </w:rPr>
        <w:t xml:space="preserve"> af </w:t>
      </w:r>
      <w:proofErr w:type="spellStart"/>
      <w:r w:rsidRPr="00A56CE1">
        <w:rPr>
          <w:i/>
          <w:iCs/>
          <w:sz w:val="24"/>
          <w:szCs w:val="24"/>
        </w:rPr>
        <w:t>vortioxetin</w:t>
      </w:r>
      <w:proofErr w:type="spellEnd"/>
      <w:r w:rsidRPr="00A56CE1">
        <w:rPr>
          <w:i/>
          <w:iCs/>
          <w:sz w:val="24"/>
          <w:szCs w:val="24"/>
        </w:rPr>
        <w:t>-behandling</w:t>
      </w:r>
    </w:p>
    <w:p w14:paraId="553FFB6B" w14:textId="14FF2CB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de kliniske studier blev </w:t>
      </w:r>
      <w:proofErr w:type="spellStart"/>
      <w:r w:rsidRPr="00A56CE1">
        <w:rPr>
          <w:sz w:val="24"/>
          <w:szCs w:val="24"/>
        </w:rPr>
        <w:t>seponeringssymptomer</w:t>
      </w:r>
      <w:proofErr w:type="spellEnd"/>
      <w:r w:rsidRPr="00A56CE1">
        <w:rPr>
          <w:sz w:val="24"/>
          <w:szCs w:val="24"/>
        </w:rPr>
        <w:t xml:space="preserve"> systematisk evalueret efter pludseligt ophør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-behandlingen. Der var ingen klinisk relevant forskel i forhold til placebo i forekomsten eller arten af </w:t>
      </w:r>
      <w:proofErr w:type="spellStart"/>
      <w:r w:rsidRPr="00A56CE1">
        <w:rPr>
          <w:sz w:val="24"/>
          <w:szCs w:val="24"/>
        </w:rPr>
        <w:t>seponeringssymptomer</w:t>
      </w:r>
      <w:proofErr w:type="spellEnd"/>
      <w:r w:rsidRPr="00A56CE1">
        <w:rPr>
          <w:sz w:val="24"/>
          <w:szCs w:val="24"/>
        </w:rPr>
        <w:t xml:space="preserve"> efter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(se pkt. 5.1). Tilfælde, der beskriver </w:t>
      </w:r>
      <w:proofErr w:type="spellStart"/>
      <w:r w:rsidRPr="00A56CE1">
        <w:rPr>
          <w:sz w:val="24"/>
          <w:szCs w:val="24"/>
        </w:rPr>
        <w:t>seponeringssymptomer</w:t>
      </w:r>
      <w:proofErr w:type="spellEnd"/>
      <w:r w:rsidRPr="00A56CE1">
        <w:rPr>
          <w:sz w:val="24"/>
          <w:szCs w:val="24"/>
        </w:rPr>
        <w:t xml:space="preserve">, er blevet indberettet efter markedsføringen og har omfattet symptomer såsom svimmelhed, hovedpine, føleforstyrrelser (herunder </w:t>
      </w:r>
      <w:proofErr w:type="spellStart"/>
      <w:r w:rsidRPr="00A56CE1">
        <w:rPr>
          <w:sz w:val="24"/>
          <w:szCs w:val="24"/>
        </w:rPr>
        <w:t>paræstesi</w:t>
      </w:r>
      <w:proofErr w:type="spellEnd"/>
      <w:r w:rsidRPr="00A56CE1">
        <w:rPr>
          <w:sz w:val="24"/>
          <w:szCs w:val="24"/>
        </w:rPr>
        <w:t xml:space="preserve">, fornemmelsen af elektrisk stød), søvnforstyrrelser (herunder søvnløshed), kvalme og/eller opkastning, angst, irritabilitet, uro, træthed og </w:t>
      </w:r>
      <w:proofErr w:type="spellStart"/>
      <w:r w:rsidRPr="00A56CE1">
        <w:rPr>
          <w:sz w:val="24"/>
          <w:szCs w:val="24"/>
        </w:rPr>
        <w:t>tremor</w:t>
      </w:r>
      <w:proofErr w:type="spellEnd"/>
      <w:r w:rsidRPr="00A56CE1">
        <w:rPr>
          <w:sz w:val="24"/>
          <w:szCs w:val="24"/>
        </w:rPr>
        <w:t xml:space="preserve">. Disse symptomer kan forekomme inden for den første uge efter </w:t>
      </w:r>
      <w:proofErr w:type="spellStart"/>
      <w:r w:rsidRPr="00A56CE1">
        <w:rPr>
          <w:sz w:val="24"/>
          <w:szCs w:val="24"/>
        </w:rPr>
        <w:t>seponering</w:t>
      </w:r>
      <w:proofErr w:type="spellEnd"/>
      <w:r w:rsidRPr="00A56CE1">
        <w:rPr>
          <w:sz w:val="24"/>
          <w:szCs w:val="24"/>
        </w:rPr>
        <w:t xml:space="preserve"> af</w:t>
      </w:r>
      <w:r w:rsidR="00A411DD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129D1935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FDCB7DC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noProof/>
          <w:sz w:val="24"/>
          <w:szCs w:val="24"/>
          <w:u w:val="single"/>
        </w:rPr>
        <w:t>Indberetning af formodede bivirkninger</w:t>
      </w:r>
    </w:p>
    <w:p w14:paraId="41862FD7" w14:textId="77777777" w:rsidR="007C7A27" w:rsidRPr="00A56CE1" w:rsidRDefault="007C7A27" w:rsidP="004766C8">
      <w:pPr>
        <w:ind w:left="851"/>
        <w:rPr>
          <w:noProof/>
          <w:sz w:val="24"/>
          <w:szCs w:val="24"/>
        </w:rPr>
      </w:pPr>
      <w:r w:rsidRPr="00A56CE1">
        <w:rPr>
          <w:noProof/>
          <w:sz w:val="24"/>
          <w:szCs w:val="24"/>
        </w:rPr>
        <w:t>Når lægemidlet er godkendt, er indberetning af formodede bivirkninger vigtig.</w:t>
      </w:r>
      <w:r w:rsidRPr="00A56CE1">
        <w:rPr>
          <w:sz w:val="24"/>
          <w:szCs w:val="24"/>
        </w:rPr>
        <w:t xml:space="preserve"> </w:t>
      </w:r>
      <w:r w:rsidRPr="00A56CE1">
        <w:rPr>
          <w:noProof/>
          <w:sz w:val="24"/>
          <w:szCs w:val="24"/>
        </w:rPr>
        <w:t>Det muliggør løbende overvågning af benefit/risk-forholdet for lægemidlet.</w:t>
      </w:r>
      <w:r w:rsidRPr="00A56CE1">
        <w:rPr>
          <w:sz w:val="24"/>
          <w:szCs w:val="24"/>
        </w:rPr>
        <w:t xml:space="preserve"> </w:t>
      </w:r>
      <w:r w:rsidRPr="00A56CE1">
        <w:rPr>
          <w:noProof/>
          <w:sz w:val="24"/>
          <w:szCs w:val="24"/>
        </w:rPr>
        <w:t>Sundhedspersoner anmodes om at indberette alle formodede bivirkninger via:</w:t>
      </w:r>
    </w:p>
    <w:p w14:paraId="53E6186E" w14:textId="77777777" w:rsidR="007C7A27" w:rsidRPr="00A56CE1" w:rsidRDefault="007C7A27" w:rsidP="004766C8">
      <w:pPr>
        <w:ind w:left="851"/>
        <w:rPr>
          <w:noProof/>
          <w:sz w:val="24"/>
          <w:szCs w:val="24"/>
        </w:rPr>
      </w:pPr>
    </w:p>
    <w:p w14:paraId="3D441F2F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Lægemiddelstyrelsen</w:t>
      </w:r>
    </w:p>
    <w:p w14:paraId="796D2523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Axel Heides Gade 1 </w:t>
      </w:r>
    </w:p>
    <w:p w14:paraId="6B36B276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DK-2300 København S</w:t>
      </w:r>
    </w:p>
    <w:p w14:paraId="2C6957B9" w14:textId="77777777" w:rsidR="007C7A27" w:rsidRPr="00A56CE1" w:rsidRDefault="007C7A27" w:rsidP="004766C8">
      <w:pPr>
        <w:ind w:left="851"/>
        <w:rPr>
          <w:noProof/>
          <w:sz w:val="24"/>
          <w:szCs w:val="24"/>
        </w:rPr>
      </w:pPr>
      <w:r w:rsidRPr="00A56CE1">
        <w:rPr>
          <w:sz w:val="24"/>
          <w:szCs w:val="24"/>
        </w:rPr>
        <w:t xml:space="preserve">Websted: </w:t>
      </w:r>
      <w:hyperlink r:id="rId8" w:history="1">
        <w:r w:rsidRPr="00A56CE1">
          <w:rPr>
            <w:rStyle w:val="Hyperlink"/>
            <w:sz w:val="24"/>
            <w:szCs w:val="24"/>
          </w:rPr>
          <w:t>www.meldenbivirkning.dk</w:t>
        </w:r>
      </w:hyperlink>
      <w:r w:rsidRPr="00A56CE1">
        <w:rPr>
          <w:sz w:val="24"/>
          <w:szCs w:val="24"/>
        </w:rPr>
        <w:t xml:space="preserve"> </w:t>
      </w:r>
      <w:r w:rsidRPr="00A56CE1">
        <w:rPr>
          <w:noProof/>
          <w:sz w:val="24"/>
          <w:szCs w:val="24"/>
        </w:rPr>
        <w:t xml:space="preserve"> </w:t>
      </w:r>
    </w:p>
    <w:p w14:paraId="48A65D1E" w14:textId="77777777" w:rsidR="009260DE" w:rsidRPr="00A56CE1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314F355F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4.9</w:t>
      </w:r>
      <w:r w:rsidRPr="00A56CE1">
        <w:rPr>
          <w:b/>
          <w:sz w:val="24"/>
          <w:szCs w:val="24"/>
        </w:rPr>
        <w:tab/>
        <w:t>Overdosering</w:t>
      </w:r>
    </w:p>
    <w:p w14:paraId="669B8394" w14:textId="22EC23E4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Indtagelse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 kliniske studier inden for dosisområdet 40 mg - 75 mg har medført forstærkning af følgende bivirkninger: kvalme, </w:t>
      </w:r>
      <w:proofErr w:type="spellStart"/>
      <w:r w:rsidRPr="00A56CE1">
        <w:rPr>
          <w:sz w:val="24"/>
          <w:szCs w:val="24"/>
        </w:rPr>
        <w:t>postural</w:t>
      </w:r>
      <w:proofErr w:type="spellEnd"/>
      <w:r w:rsidRPr="00A56CE1">
        <w:rPr>
          <w:sz w:val="24"/>
          <w:szCs w:val="24"/>
        </w:rPr>
        <w:t xml:space="preserve"> svimmelhed, diarré, </w:t>
      </w:r>
      <w:proofErr w:type="spellStart"/>
      <w:r w:rsidRPr="00A56CE1">
        <w:rPr>
          <w:sz w:val="24"/>
          <w:szCs w:val="24"/>
        </w:rPr>
        <w:t>abdominalgener</w:t>
      </w:r>
      <w:proofErr w:type="spellEnd"/>
      <w:r w:rsidRPr="00A56CE1">
        <w:rPr>
          <w:sz w:val="24"/>
          <w:szCs w:val="24"/>
        </w:rPr>
        <w:t xml:space="preserve">, generaliseret </w:t>
      </w:r>
      <w:proofErr w:type="spellStart"/>
      <w:r w:rsidRPr="00A56CE1">
        <w:rPr>
          <w:sz w:val="24"/>
          <w:szCs w:val="24"/>
        </w:rPr>
        <w:t>pruritus</w:t>
      </w:r>
      <w:proofErr w:type="spellEnd"/>
      <w:r w:rsidRPr="00A56CE1">
        <w:rPr>
          <w:sz w:val="24"/>
          <w:szCs w:val="24"/>
        </w:rPr>
        <w:t xml:space="preserve">, døsighed og </w:t>
      </w:r>
      <w:proofErr w:type="spellStart"/>
      <w:r w:rsidRPr="00A56CE1">
        <w:rPr>
          <w:sz w:val="24"/>
          <w:szCs w:val="24"/>
        </w:rPr>
        <w:t>flushing</w:t>
      </w:r>
      <w:proofErr w:type="spellEnd"/>
      <w:r w:rsidRPr="00A56CE1">
        <w:rPr>
          <w:sz w:val="24"/>
          <w:szCs w:val="24"/>
        </w:rPr>
        <w:t>.</w:t>
      </w:r>
    </w:p>
    <w:p w14:paraId="7713B96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7F19538" w14:textId="517F1E68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Erfaringen efter markedsføringen vedrører hovedsageligt overdosering på op til 80 mg. I størstedelen af tilfældene blev ingen symptomer eller milde symptomer rapporteret. De hyppigst rapporterede symptomer var kvalme og opkastning.</w:t>
      </w:r>
    </w:p>
    <w:p w14:paraId="29F65658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4E9D797" w14:textId="6848BF81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er begrænset erfaring med overdosering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over 80 mg. Efter doseringer, der er mange gange højere end det terapeutiske dosisområde, er tilfælde af krampeanfald og </w:t>
      </w:r>
      <w:proofErr w:type="spellStart"/>
      <w:r w:rsidRPr="00A56CE1">
        <w:rPr>
          <w:sz w:val="24"/>
          <w:szCs w:val="24"/>
        </w:rPr>
        <w:t>serotonergt</w:t>
      </w:r>
      <w:proofErr w:type="spellEnd"/>
      <w:r w:rsidRPr="00A56CE1">
        <w:rPr>
          <w:sz w:val="24"/>
          <w:szCs w:val="24"/>
        </w:rPr>
        <w:t xml:space="preserve"> syndrom blevet rapporteret.</w:t>
      </w:r>
    </w:p>
    <w:p w14:paraId="5A00A78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E12F19D" w14:textId="49E7AAC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Overdosering bør håndteres med behandling af de kliniske symptomer og passende monitorering. Opfølgning på specialafdeling anbefales.</w:t>
      </w:r>
    </w:p>
    <w:p w14:paraId="31F1F2A0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F5A16B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4.10</w:t>
      </w:r>
      <w:r w:rsidRPr="00A56CE1">
        <w:rPr>
          <w:b/>
          <w:sz w:val="24"/>
          <w:szCs w:val="24"/>
        </w:rPr>
        <w:tab/>
        <w:t>Udlevering</w:t>
      </w:r>
    </w:p>
    <w:p w14:paraId="4F3E4FAD" w14:textId="2349AF92" w:rsidR="009260DE" w:rsidRPr="00A56CE1" w:rsidRDefault="006756ED" w:rsidP="009260DE">
      <w:pPr>
        <w:tabs>
          <w:tab w:val="left" w:pos="851"/>
        </w:tabs>
        <w:ind w:left="851"/>
        <w:rPr>
          <w:sz w:val="24"/>
          <w:szCs w:val="24"/>
        </w:rPr>
      </w:pPr>
      <w:r w:rsidRPr="00A56CE1">
        <w:rPr>
          <w:sz w:val="24"/>
          <w:szCs w:val="24"/>
        </w:rPr>
        <w:t>B</w:t>
      </w:r>
    </w:p>
    <w:p w14:paraId="24837677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648C2B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623EC3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5.</w:t>
      </w:r>
      <w:r w:rsidRPr="00A56CE1">
        <w:rPr>
          <w:b/>
          <w:sz w:val="24"/>
          <w:szCs w:val="24"/>
        </w:rPr>
        <w:tab/>
        <w:t>FARMAKOLOGISKE EGENSKABER</w:t>
      </w:r>
    </w:p>
    <w:p w14:paraId="420EA352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9C4A85" w14:textId="77777777" w:rsidR="009260DE" w:rsidRPr="00A56CE1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5.1</w:t>
      </w:r>
      <w:r w:rsidRPr="00A56CE1">
        <w:rPr>
          <w:b/>
          <w:sz w:val="24"/>
          <w:szCs w:val="24"/>
        </w:rPr>
        <w:tab/>
      </w:r>
      <w:proofErr w:type="spellStart"/>
      <w:r w:rsidRPr="00A56CE1">
        <w:rPr>
          <w:b/>
          <w:sz w:val="24"/>
          <w:szCs w:val="24"/>
        </w:rPr>
        <w:t>Farmakodynamiske</w:t>
      </w:r>
      <w:proofErr w:type="spellEnd"/>
      <w:r w:rsidRPr="00A56CE1">
        <w:rPr>
          <w:b/>
          <w:sz w:val="24"/>
          <w:szCs w:val="24"/>
        </w:rPr>
        <w:t xml:space="preserve"> egenskaber</w:t>
      </w:r>
    </w:p>
    <w:p w14:paraId="258C4CEF" w14:textId="38D5139D" w:rsidR="007C7A27" w:rsidRPr="00A56CE1" w:rsidRDefault="007C7A27" w:rsidP="004766C8">
      <w:pPr>
        <w:ind w:left="851"/>
        <w:rPr>
          <w:sz w:val="24"/>
          <w:szCs w:val="24"/>
          <w:lang w:eastAsia="fr-LU"/>
        </w:rPr>
      </w:pPr>
      <w:proofErr w:type="spellStart"/>
      <w:r w:rsidRPr="00A56CE1">
        <w:rPr>
          <w:sz w:val="24"/>
          <w:szCs w:val="24"/>
        </w:rPr>
        <w:t>Farmakoterapeutisk</w:t>
      </w:r>
      <w:proofErr w:type="spellEnd"/>
      <w:r w:rsidRPr="00A56CE1">
        <w:rPr>
          <w:sz w:val="24"/>
          <w:szCs w:val="24"/>
        </w:rPr>
        <w:t xml:space="preserve"> klassifikation: </w:t>
      </w:r>
      <w:proofErr w:type="spellStart"/>
      <w:r w:rsidRPr="00A56CE1">
        <w:rPr>
          <w:sz w:val="24"/>
          <w:szCs w:val="24"/>
        </w:rPr>
        <w:t>Psykoanaleptika</w:t>
      </w:r>
      <w:proofErr w:type="spellEnd"/>
      <w:r w:rsidRPr="00A56CE1">
        <w:rPr>
          <w:sz w:val="24"/>
          <w:szCs w:val="24"/>
        </w:rPr>
        <w:t xml:space="preserve">: Andre </w:t>
      </w:r>
      <w:proofErr w:type="spellStart"/>
      <w:r w:rsidRPr="00A56CE1">
        <w:rPr>
          <w:sz w:val="24"/>
          <w:szCs w:val="24"/>
        </w:rPr>
        <w:t>antidepressiva</w:t>
      </w:r>
      <w:proofErr w:type="spellEnd"/>
      <w:r w:rsidRPr="00A56CE1">
        <w:rPr>
          <w:sz w:val="24"/>
          <w:szCs w:val="24"/>
        </w:rPr>
        <w:t>, ATC-kode: N06AX26</w:t>
      </w:r>
      <w:r w:rsidR="00BD07FC">
        <w:rPr>
          <w:sz w:val="24"/>
          <w:szCs w:val="24"/>
        </w:rPr>
        <w:t>.</w:t>
      </w:r>
    </w:p>
    <w:p w14:paraId="1270407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7652429" w14:textId="77777777" w:rsidR="007C7A27" w:rsidRPr="00A56CE1" w:rsidRDefault="007C7A27" w:rsidP="004766C8">
      <w:pPr>
        <w:ind w:left="851"/>
        <w:rPr>
          <w:sz w:val="24"/>
          <w:szCs w:val="24"/>
          <w:u w:val="single"/>
        </w:rPr>
      </w:pPr>
      <w:r w:rsidRPr="00A56CE1">
        <w:rPr>
          <w:sz w:val="24"/>
          <w:szCs w:val="24"/>
          <w:u w:val="single"/>
        </w:rPr>
        <w:t>Virkningsmekanisme</w:t>
      </w:r>
    </w:p>
    <w:p w14:paraId="1AB26140" w14:textId="3C7DF691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virkningsmekanisme menes at hænge sammen med dets direkte modulering af </w:t>
      </w:r>
      <w:proofErr w:type="spellStart"/>
      <w:r w:rsidRPr="00A56CE1">
        <w:rPr>
          <w:sz w:val="24"/>
          <w:szCs w:val="24"/>
        </w:rPr>
        <w:t>serotonerg</w:t>
      </w:r>
      <w:proofErr w:type="spellEnd"/>
      <w:r w:rsidRPr="00A56CE1">
        <w:rPr>
          <w:sz w:val="24"/>
          <w:szCs w:val="24"/>
        </w:rPr>
        <w:t xml:space="preserve"> receptoraktivitet og hæmning af serotonin- (5-HT-) transportøren. Prækliniske data indikerer, at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er en 5-HT</w:t>
      </w:r>
      <w:r w:rsidRPr="00A56CE1">
        <w:rPr>
          <w:sz w:val="24"/>
          <w:szCs w:val="24"/>
          <w:vertAlign w:val="subscript"/>
        </w:rPr>
        <w:t>3</w:t>
      </w:r>
      <w:r w:rsidRPr="00A56CE1">
        <w:rPr>
          <w:sz w:val="24"/>
          <w:szCs w:val="24"/>
        </w:rPr>
        <w:t>-, 5-HT</w:t>
      </w:r>
      <w:r w:rsidRPr="00A56CE1">
        <w:rPr>
          <w:sz w:val="24"/>
          <w:szCs w:val="24"/>
          <w:vertAlign w:val="subscript"/>
        </w:rPr>
        <w:t>7</w:t>
      </w:r>
      <w:r w:rsidRPr="00A56CE1">
        <w:rPr>
          <w:sz w:val="24"/>
          <w:szCs w:val="24"/>
        </w:rPr>
        <w:t>- og 5-HT</w:t>
      </w:r>
      <w:r w:rsidRPr="00A56CE1">
        <w:rPr>
          <w:sz w:val="24"/>
          <w:szCs w:val="24"/>
          <w:vertAlign w:val="subscript"/>
        </w:rPr>
        <w:t>1D</w:t>
      </w:r>
      <w:r w:rsidRPr="00A56CE1">
        <w:rPr>
          <w:sz w:val="24"/>
          <w:szCs w:val="24"/>
        </w:rPr>
        <w:t>-receptorantagonist, en partiel 5-HT</w:t>
      </w:r>
      <w:r w:rsidRPr="00A56CE1">
        <w:rPr>
          <w:sz w:val="24"/>
          <w:szCs w:val="24"/>
          <w:vertAlign w:val="subscript"/>
        </w:rPr>
        <w:t>1B</w:t>
      </w:r>
      <w:r w:rsidRPr="00A56CE1">
        <w:rPr>
          <w:sz w:val="24"/>
          <w:szCs w:val="24"/>
        </w:rPr>
        <w:t>-receptoragonist, en 5-HT</w:t>
      </w:r>
      <w:r w:rsidRPr="00A56CE1">
        <w:rPr>
          <w:sz w:val="24"/>
          <w:szCs w:val="24"/>
          <w:vertAlign w:val="subscript"/>
        </w:rPr>
        <w:t>1A</w:t>
      </w:r>
      <w:r w:rsidRPr="00A56CE1">
        <w:rPr>
          <w:sz w:val="24"/>
          <w:szCs w:val="24"/>
        </w:rPr>
        <w:t xml:space="preserve">-receptoragonist og en hæmmer af 5-HT-transportøren, hvilket fører til modulering af flere neurotransmittersystemer, herunder primært det </w:t>
      </w:r>
      <w:proofErr w:type="spellStart"/>
      <w:r w:rsidRPr="00A56CE1">
        <w:rPr>
          <w:sz w:val="24"/>
          <w:szCs w:val="24"/>
        </w:rPr>
        <w:t>serotonerge</w:t>
      </w:r>
      <w:proofErr w:type="spellEnd"/>
      <w:r w:rsidRPr="00A56CE1">
        <w:rPr>
          <w:sz w:val="24"/>
          <w:szCs w:val="24"/>
        </w:rPr>
        <w:t xml:space="preserve">, men muligvis også det </w:t>
      </w:r>
      <w:proofErr w:type="spellStart"/>
      <w:r w:rsidRPr="00A56CE1">
        <w:rPr>
          <w:sz w:val="24"/>
          <w:szCs w:val="24"/>
        </w:rPr>
        <w:t>noradrenerge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dopaminerge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histaminerge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acetylcholinerge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GABAerge</w:t>
      </w:r>
      <w:proofErr w:type="spellEnd"/>
      <w:r w:rsidRPr="00A56CE1">
        <w:rPr>
          <w:sz w:val="24"/>
          <w:szCs w:val="24"/>
        </w:rPr>
        <w:t xml:space="preserve"> og </w:t>
      </w:r>
      <w:proofErr w:type="spellStart"/>
      <w:r w:rsidRPr="00A56CE1">
        <w:rPr>
          <w:sz w:val="24"/>
          <w:szCs w:val="24"/>
        </w:rPr>
        <w:t>glutaminerge</w:t>
      </w:r>
      <w:proofErr w:type="spellEnd"/>
      <w:r w:rsidRPr="00A56CE1">
        <w:rPr>
          <w:sz w:val="24"/>
          <w:szCs w:val="24"/>
        </w:rPr>
        <w:t xml:space="preserve"> system. Denne multimodale aktivitet anses for at være ansvarlig for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antidepressive og </w:t>
      </w:r>
      <w:proofErr w:type="spellStart"/>
      <w:r w:rsidRPr="00A56CE1">
        <w:rPr>
          <w:sz w:val="24"/>
          <w:szCs w:val="24"/>
        </w:rPr>
        <w:t>anxiolytika</w:t>
      </w:r>
      <w:proofErr w:type="spellEnd"/>
      <w:r w:rsidRPr="00A56CE1">
        <w:rPr>
          <w:sz w:val="24"/>
          <w:szCs w:val="24"/>
        </w:rPr>
        <w:t xml:space="preserve">-lignende virkning og den forbedring af den kognitive funktion, indlæring og hukommelse, som er observeret i dyrestudier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. Det er dog endnu uafklaret, hvorledes påvirkningen af den enkelte receptor bidrager til den observerede </w:t>
      </w:r>
      <w:proofErr w:type="spellStart"/>
      <w:r w:rsidRPr="00A56CE1">
        <w:rPr>
          <w:sz w:val="24"/>
          <w:szCs w:val="24"/>
        </w:rPr>
        <w:t>farmakodynamiske</w:t>
      </w:r>
      <w:proofErr w:type="spellEnd"/>
      <w:r w:rsidRPr="00A56CE1">
        <w:rPr>
          <w:sz w:val="24"/>
          <w:szCs w:val="24"/>
        </w:rPr>
        <w:t xml:space="preserve"> profil, og der bør udvises forsigtighed med at ekstrapolere data direkte fra dyr til mennesker. </w:t>
      </w:r>
    </w:p>
    <w:p w14:paraId="4849873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0DE00D1" w14:textId="20C1FCE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Hos mennesker er der udført to studier med </w:t>
      </w:r>
      <w:proofErr w:type="spellStart"/>
      <w:r w:rsidRPr="00A56CE1">
        <w:rPr>
          <w:sz w:val="24"/>
          <w:szCs w:val="24"/>
        </w:rPr>
        <w:t>positron-emissiontomografi</w:t>
      </w:r>
      <w:proofErr w:type="spellEnd"/>
      <w:r w:rsidRPr="00A56CE1">
        <w:rPr>
          <w:sz w:val="24"/>
          <w:szCs w:val="24"/>
        </w:rPr>
        <w:t xml:space="preserve"> (PET-studier) med 5-HT-transportørligander (</w:t>
      </w:r>
      <w:r w:rsidRPr="00A56CE1">
        <w:rPr>
          <w:sz w:val="24"/>
          <w:szCs w:val="24"/>
          <w:vertAlign w:val="superscript"/>
        </w:rPr>
        <w:t>11</w:t>
      </w:r>
      <w:r w:rsidRPr="00A56CE1">
        <w:rPr>
          <w:sz w:val="24"/>
          <w:szCs w:val="24"/>
        </w:rPr>
        <w:t xml:space="preserve">C-MADAM eller </w:t>
      </w:r>
      <w:r w:rsidRPr="00A56CE1">
        <w:rPr>
          <w:sz w:val="24"/>
          <w:szCs w:val="24"/>
          <w:vertAlign w:val="superscript"/>
        </w:rPr>
        <w:t>11</w:t>
      </w:r>
      <w:r w:rsidRPr="00A56CE1">
        <w:rPr>
          <w:sz w:val="24"/>
          <w:szCs w:val="24"/>
        </w:rPr>
        <w:t xml:space="preserve">C-DASB) for at kvantificere 5-HT-transportørbindingen i hjernen ved forskellige dosisniveauer. Den gennemsnitlige binding af 5-HT-transportører i </w:t>
      </w:r>
      <w:proofErr w:type="spellStart"/>
      <w:r w:rsidRPr="00A56CE1">
        <w:rPr>
          <w:sz w:val="24"/>
          <w:szCs w:val="24"/>
        </w:rPr>
        <w:t>raphe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nuclei</w:t>
      </w:r>
      <w:proofErr w:type="spellEnd"/>
      <w:r w:rsidRPr="00A56CE1">
        <w:rPr>
          <w:sz w:val="24"/>
          <w:szCs w:val="24"/>
        </w:rPr>
        <w:t xml:space="preserve"> var ca. 50 % ved 5 mg/dag, 65 % ved 10 mg/dag, mens de steg til over 80 % ved 20 mg/dag.</w:t>
      </w:r>
    </w:p>
    <w:p w14:paraId="4FD20FF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8BB5FDB" w14:textId="77777777" w:rsidR="007C7A27" w:rsidRPr="00A56CE1" w:rsidRDefault="007C7A27" w:rsidP="004766C8">
      <w:pPr>
        <w:ind w:left="851"/>
        <w:rPr>
          <w:sz w:val="24"/>
          <w:szCs w:val="24"/>
          <w:u w:val="single"/>
        </w:rPr>
      </w:pPr>
      <w:r w:rsidRPr="00A56CE1">
        <w:rPr>
          <w:sz w:val="24"/>
          <w:szCs w:val="24"/>
          <w:u w:val="single"/>
        </w:rPr>
        <w:t>Klinisk virkning og sikkerhed</w:t>
      </w:r>
    </w:p>
    <w:p w14:paraId="126CFB34" w14:textId="4D0FECD4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effekt og sikkerhed er undersøgt i et klinisk program, der omfattede over 6.700 patienter, hvoraf over 3.700 blev behandlet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 korttidsstudier (≤12 uger) af moderate til svære depressive episoder. Der blev udført 12 dobbeltblindede, placebokontrollerede 6- eller 8-ugers studier med fast dosering for at undersøge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korttidseffekt på moderate til svære depressive episoder hos voksne (herunder ældre).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virkning blev påvist med mindst én dosisgruppe i 9 af de 12 studier, som viste en forskel på mindst 2 point i forhold til placebo på MADRS-skalaen (Montgomery and </w:t>
      </w:r>
      <w:proofErr w:type="spellStart"/>
      <w:r w:rsidRPr="00A56CE1">
        <w:rPr>
          <w:sz w:val="24"/>
          <w:szCs w:val="24"/>
        </w:rPr>
        <w:t>Åsberg</w:t>
      </w:r>
      <w:proofErr w:type="spellEnd"/>
      <w:r w:rsidRPr="00A56CE1">
        <w:rPr>
          <w:sz w:val="24"/>
          <w:szCs w:val="24"/>
        </w:rPr>
        <w:t xml:space="preserve"> Depression Rating </w:t>
      </w:r>
      <w:proofErr w:type="spellStart"/>
      <w:r w:rsidRPr="00A56CE1">
        <w:rPr>
          <w:sz w:val="24"/>
          <w:szCs w:val="24"/>
        </w:rPr>
        <w:t>Scale</w:t>
      </w:r>
      <w:proofErr w:type="spellEnd"/>
      <w:r w:rsidRPr="00A56CE1">
        <w:rPr>
          <w:sz w:val="24"/>
          <w:szCs w:val="24"/>
        </w:rPr>
        <w:t>) eller den samlede score på Hamiltons depressionsskala med 24 punkter (HAM-D</w:t>
      </w:r>
      <w:r w:rsidRPr="00A56CE1">
        <w:rPr>
          <w:sz w:val="24"/>
          <w:szCs w:val="24"/>
          <w:vertAlign w:val="subscript"/>
        </w:rPr>
        <w:t>24</w:t>
      </w:r>
      <w:r w:rsidRPr="00A56CE1">
        <w:rPr>
          <w:sz w:val="24"/>
          <w:szCs w:val="24"/>
        </w:rPr>
        <w:t>). Den kliniske relevans af dette blev yderligere understøttet af andelen med respons eller remission og forbedret score på CGI-I (</w:t>
      </w:r>
      <w:proofErr w:type="spellStart"/>
      <w:r w:rsidRPr="00A56CE1">
        <w:rPr>
          <w:i/>
          <w:sz w:val="24"/>
          <w:szCs w:val="24"/>
        </w:rPr>
        <w:t>Clinical</w:t>
      </w:r>
      <w:proofErr w:type="spellEnd"/>
      <w:r w:rsidRPr="00A56CE1">
        <w:rPr>
          <w:i/>
          <w:sz w:val="24"/>
          <w:szCs w:val="24"/>
        </w:rPr>
        <w:t xml:space="preserve"> Global </w:t>
      </w:r>
      <w:proofErr w:type="spellStart"/>
      <w:r w:rsidRPr="00A56CE1">
        <w:rPr>
          <w:i/>
          <w:sz w:val="24"/>
          <w:szCs w:val="24"/>
        </w:rPr>
        <w:t>Impression</w:t>
      </w:r>
      <w:proofErr w:type="spellEnd"/>
      <w:r w:rsidRPr="00A56CE1">
        <w:rPr>
          <w:i/>
          <w:sz w:val="24"/>
          <w:szCs w:val="24"/>
        </w:rPr>
        <w:t xml:space="preserve"> – Global </w:t>
      </w:r>
      <w:proofErr w:type="spellStart"/>
      <w:r w:rsidRPr="00A56CE1">
        <w:rPr>
          <w:i/>
          <w:sz w:val="24"/>
          <w:szCs w:val="24"/>
        </w:rPr>
        <w:t>Improvement</w:t>
      </w:r>
      <w:proofErr w:type="spellEnd"/>
      <w:r w:rsidRPr="00A56CE1">
        <w:rPr>
          <w:sz w:val="24"/>
          <w:szCs w:val="24"/>
        </w:rPr>
        <w:t xml:space="preserve">). Effekten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steg med stigende doser. </w:t>
      </w:r>
    </w:p>
    <w:p w14:paraId="79EDC7D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1A7BB54" w14:textId="6199CF6C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Effekten i de enkelte studier blev understøttet af metaanalysen (MMRM) af gennemsnitsændringen fra baseline i den samlede MADRS-score i uge 6/8 i de kortvarige, placebokontrollerede studier hos voksne. I metaanalysen var den samlede gennemsnitsforskel fra placebo statistisk signifikant på tværs af studierne: -2,3 point (p=0,007); -3,6 point (p&lt;0,001) og -4,6 point (p&lt;0,001) for hhv. 5, 10 og 20 mg/dag. 15 mg/dag administrationen adskilte sig ikke fra placebo i metaanalysen, men </w:t>
      </w:r>
      <w:r w:rsidRPr="00A56CE1">
        <w:rPr>
          <w:sz w:val="24"/>
          <w:szCs w:val="24"/>
        </w:rPr>
        <w:lastRenderedPageBreak/>
        <w:t xml:space="preserve">gennemsnitsforskellen fra placebo var -2,6 point. Effekten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er understøttet af den </w:t>
      </w:r>
      <w:proofErr w:type="spellStart"/>
      <w:r w:rsidRPr="00A56CE1">
        <w:rPr>
          <w:sz w:val="24"/>
          <w:szCs w:val="24"/>
        </w:rPr>
        <w:t>poolede</w:t>
      </w:r>
      <w:proofErr w:type="spellEnd"/>
      <w:r w:rsidRPr="00A56CE1">
        <w:rPr>
          <w:sz w:val="24"/>
          <w:szCs w:val="24"/>
        </w:rPr>
        <w:t xml:space="preserve"> respondentanalyse, hvor procentdelen af responderende varierede fra 46 % til 49 %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 forhold til 34 % for placebo (p&lt;0,01); NRI-analyse).</w:t>
      </w:r>
    </w:p>
    <w:p w14:paraId="7ACA6C5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89A297C" w14:textId="0478F47D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Endvidere blev der vist virkning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 et bredt udvalg af depressive symptomer (vurderet som bedring i scoren for alle de enkelte punkter på MADRS) i dosisområdet 5-20</w:t>
      </w:r>
      <w:r w:rsidR="00F86CA0">
        <w:rPr>
          <w:sz w:val="24"/>
          <w:szCs w:val="24"/>
        </w:rPr>
        <w:t> </w:t>
      </w:r>
      <w:r w:rsidRPr="00A56CE1">
        <w:rPr>
          <w:sz w:val="24"/>
          <w:szCs w:val="24"/>
        </w:rPr>
        <w:t xml:space="preserve">mg/dag. </w:t>
      </w:r>
    </w:p>
    <w:p w14:paraId="6D36435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03FE9759" w14:textId="7FBA049A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Effekten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og 20 mg/dag versus </w:t>
      </w:r>
      <w:proofErr w:type="spellStart"/>
      <w:r w:rsidRPr="00A56CE1">
        <w:rPr>
          <w:sz w:val="24"/>
          <w:szCs w:val="24"/>
        </w:rPr>
        <w:t>agomelatin</w:t>
      </w:r>
      <w:proofErr w:type="spellEnd"/>
      <w:r w:rsidRPr="00A56CE1">
        <w:rPr>
          <w:sz w:val="24"/>
          <w:szCs w:val="24"/>
        </w:rPr>
        <w:t xml:space="preserve"> 25 og 50 mg/dag blev derudover vist i et 12-ugers dobbeltblindet, sammenlignende studie med fleksibel dosis hos patienter med moderate til svære depressive episoder.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var statistisk signifikant bedre end </w:t>
      </w:r>
      <w:proofErr w:type="spellStart"/>
      <w:r w:rsidRPr="00A56CE1">
        <w:rPr>
          <w:sz w:val="24"/>
          <w:szCs w:val="24"/>
        </w:rPr>
        <w:t>agomelatin</w:t>
      </w:r>
      <w:proofErr w:type="spellEnd"/>
      <w:r w:rsidRPr="00A56CE1">
        <w:rPr>
          <w:sz w:val="24"/>
          <w:szCs w:val="24"/>
        </w:rPr>
        <w:t xml:space="preserve"> målt på forbedring i den samlede MADRS-score. Den kliniske relevans af dette blev understøttet af andelen af patienter med respons og remission og forbedring på CGI-I.</w:t>
      </w:r>
    </w:p>
    <w:p w14:paraId="5900DA18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0BB9D5E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Vedligeholdelse</w:t>
      </w:r>
    </w:p>
    <w:p w14:paraId="29C53A60" w14:textId="53643BFB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Et studie, der undersøgte forebyggelse af recidiv, påviste fastholdelse af den antidepressive effekt. Patienter i remission efter en initial 12-ugers periode med åben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blev randomiseret dobbeltblindet til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5 eller 10 mg/dag eller placebo og observeret for recidiv i en periode på mindst 24 uger (24 til 64 uger).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var bedre (p=0,004) end placebo, hvad angår det primære effektmål, tid til recidiv af moderate til svære depressive episoder, med en </w:t>
      </w:r>
      <w:proofErr w:type="spellStart"/>
      <w:r w:rsidRPr="00A56CE1">
        <w:rPr>
          <w:sz w:val="24"/>
          <w:szCs w:val="24"/>
        </w:rPr>
        <w:t>hazard</w:t>
      </w:r>
      <w:proofErr w:type="spellEnd"/>
      <w:r w:rsidRPr="00A56CE1">
        <w:rPr>
          <w:sz w:val="24"/>
          <w:szCs w:val="24"/>
        </w:rPr>
        <w:t xml:space="preserve"> ratio på 2,0. Således var risikoen for recidiv dobbelt så høj i placebogruppen som i gruppen, der fik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0E5D3B6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9BBF585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Ældre</w:t>
      </w:r>
    </w:p>
    <w:p w14:paraId="2FDECA90" w14:textId="7AA9EAB1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det 8-ugers dobbeltblindede, placebokontrollerede studie med fast dosering hos ældre depressive patienter (i alderen ≥65 år, n=452, hvoraf 156 fik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) var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5 mg/dag </w:t>
      </w:r>
      <w:proofErr w:type="spellStart"/>
      <w:r w:rsidRPr="00A56CE1">
        <w:rPr>
          <w:sz w:val="24"/>
          <w:szCs w:val="24"/>
        </w:rPr>
        <w:t>superior</w:t>
      </w:r>
      <w:proofErr w:type="spellEnd"/>
      <w:r w:rsidRPr="00A56CE1">
        <w:rPr>
          <w:sz w:val="24"/>
          <w:szCs w:val="24"/>
        </w:rPr>
        <w:t xml:space="preserve"> i forhold til placebo målt som bedring af totalscore på MADRS og HAM-D</w:t>
      </w:r>
      <w:r w:rsidRPr="00A56CE1">
        <w:rPr>
          <w:sz w:val="24"/>
          <w:szCs w:val="24"/>
          <w:vertAlign w:val="subscript"/>
        </w:rPr>
        <w:t>24</w:t>
      </w:r>
      <w:r w:rsidRPr="00A56CE1">
        <w:rPr>
          <w:sz w:val="24"/>
          <w:szCs w:val="24"/>
        </w:rPr>
        <w:t xml:space="preserve">. Effekten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sammenlignet med placebo afveg med 4,7 point på totalscore på MADRS i uge 8 (MMRM-analyse).</w:t>
      </w:r>
    </w:p>
    <w:p w14:paraId="110DC045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795D541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Patienter med svær depression eller med depression og mange angstsymptomer</w:t>
      </w:r>
    </w:p>
    <w:p w14:paraId="5A5FEB4F" w14:textId="14739CC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Hos patienter med svær depression (baseline MADRS-totalscore ≥30) og hos patienter med depression og mange angstsymptomer (baseline HAM-A-totalscore ≥20) udviste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også effekt i korttidsstudierne hos voksne (den samlede gennemsnitsforskel fra placebo i MADRS totalscore i uge 6/8 afveg med henholdsvis 2,8-7,3 point og 3,6-7,3 point (MMRM-analyse)). I studiet kun med ældre var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også virksomt hos disse patienter.</w:t>
      </w:r>
    </w:p>
    <w:p w14:paraId="2CD315E9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Opretholdelse af den antidepressive effekt blev også påvist hos denne patientpopulation i </w:t>
      </w:r>
    </w:p>
    <w:p w14:paraId="38FC47D0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langtidsstudiet til forebyggelse af recidiv.</w:t>
      </w:r>
    </w:p>
    <w:p w14:paraId="415BCAEF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D8C06B9" w14:textId="32534F8C" w:rsidR="007C7A27" w:rsidRPr="00A411DD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 xml:space="preserve">Virkningen af </w:t>
      </w:r>
      <w:proofErr w:type="spellStart"/>
      <w:r w:rsidRPr="00A56CE1">
        <w:rPr>
          <w:i/>
          <w:iCs/>
          <w:sz w:val="24"/>
          <w:szCs w:val="24"/>
        </w:rPr>
        <w:t>vortioxetin</w:t>
      </w:r>
      <w:proofErr w:type="spellEnd"/>
      <w:r w:rsidRPr="00A56CE1">
        <w:rPr>
          <w:i/>
          <w:iCs/>
          <w:sz w:val="24"/>
          <w:szCs w:val="24"/>
        </w:rPr>
        <w:t xml:space="preserve"> bedømt ud fra scoringen i DSST (</w:t>
      </w:r>
      <w:proofErr w:type="spellStart"/>
      <w:r w:rsidRPr="00A56CE1">
        <w:rPr>
          <w:i/>
          <w:iCs/>
          <w:sz w:val="24"/>
          <w:szCs w:val="24"/>
        </w:rPr>
        <w:t>Digit</w:t>
      </w:r>
      <w:proofErr w:type="spellEnd"/>
      <w:r w:rsidRPr="00A56CE1">
        <w:rPr>
          <w:i/>
          <w:iCs/>
          <w:sz w:val="24"/>
          <w:szCs w:val="24"/>
        </w:rPr>
        <w:t xml:space="preserve"> Symbol Substitution Test) og </w:t>
      </w:r>
      <w:r w:rsidRPr="00A411DD">
        <w:rPr>
          <w:i/>
          <w:iCs/>
          <w:sz w:val="24"/>
          <w:szCs w:val="24"/>
        </w:rPr>
        <w:t xml:space="preserve">UPSA (University of </w:t>
      </w:r>
      <w:proofErr w:type="spellStart"/>
      <w:r w:rsidRPr="00A411DD">
        <w:rPr>
          <w:i/>
          <w:iCs/>
          <w:sz w:val="24"/>
          <w:szCs w:val="24"/>
        </w:rPr>
        <w:t>California</w:t>
      </w:r>
      <w:proofErr w:type="spellEnd"/>
      <w:r w:rsidRPr="00A411DD">
        <w:rPr>
          <w:i/>
          <w:iCs/>
          <w:sz w:val="24"/>
          <w:szCs w:val="24"/>
        </w:rPr>
        <w:t xml:space="preserve"> San Diego Performance-</w:t>
      </w:r>
      <w:proofErr w:type="spellStart"/>
      <w:r w:rsidRPr="00A411DD">
        <w:rPr>
          <w:i/>
          <w:iCs/>
          <w:sz w:val="24"/>
          <w:szCs w:val="24"/>
        </w:rPr>
        <w:t>Based</w:t>
      </w:r>
      <w:proofErr w:type="spellEnd"/>
      <w:r w:rsidRPr="00A411DD">
        <w:rPr>
          <w:i/>
          <w:iCs/>
          <w:sz w:val="24"/>
          <w:szCs w:val="24"/>
        </w:rPr>
        <w:t xml:space="preserve"> </w:t>
      </w:r>
      <w:proofErr w:type="spellStart"/>
      <w:r w:rsidRPr="00A411DD">
        <w:rPr>
          <w:i/>
          <w:iCs/>
          <w:sz w:val="24"/>
          <w:szCs w:val="24"/>
        </w:rPr>
        <w:t>Skills</w:t>
      </w:r>
      <w:proofErr w:type="spellEnd"/>
      <w:r w:rsidRPr="00A411DD">
        <w:rPr>
          <w:i/>
          <w:iCs/>
          <w:sz w:val="24"/>
          <w:szCs w:val="24"/>
        </w:rPr>
        <w:t xml:space="preserve"> </w:t>
      </w:r>
      <w:proofErr w:type="spellStart"/>
      <w:r w:rsidRPr="00A411DD">
        <w:rPr>
          <w:i/>
          <w:iCs/>
          <w:sz w:val="24"/>
          <w:szCs w:val="24"/>
        </w:rPr>
        <w:t>Assessment</w:t>
      </w:r>
      <w:proofErr w:type="spellEnd"/>
      <w:r w:rsidRPr="00A411DD">
        <w:rPr>
          <w:i/>
          <w:iCs/>
          <w:sz w:val="24"/>
          <w:szCs w:val="24"/>
        </w:rPr>
        <w:t>) (objektive mål) og ud fra scoringen i spørgeskemaerne PDQ (</w:t>
      </w:r>
      <w:proofErr w:type="spellStart"/>
      <w:r w:rsidRPr="00A411DD">
        <w:rPr>
          <w:i/>
          <w:iCs/>
          <w:sz w:val="24"/>
          <w:szCs w:val="24"/>
        </w:rPr>
        <w:t>Perceived</w:t>
      </w:r>
      <w:proofErr w:type="spellEnd"/>
      <w:r w:rsidRPr="00A411DD">
        <w:rPr>
          <w:i/>
          <w:iCs/>
          <w:sz w:val="24"/>
          <w:szCs w:val="24"/>
        </w:rPr>
        <w:t xml:space="preserve"> Deficits </w:t>
      </w:r>
      <w:proofErr w:type="spellStart"/>
      <w:r w:rsidRPr="00A411DD">
        <w:rPr>
          <w:i/>
          <w:iCs/>
          <w:sz w:val="24"/>
          <w:szCs w:val="24"/>
        </w:rPr>
        <w:t>Questionnaire</w:t>
      </w:r>
      <w:proofErr w:type="spellEnd"/>
      <w:r w:rsidRPr="00A411DD">
        <w:rPr>
          <w:i/>
          <w:iCs/>
          <w:sz w:val="24"/>
          <w:szCs w:val="24"/>
        </w:rPr>
        <w:t>) og CPFQ (</w:t>
      </w:r>
      <w:proofErr w:type="spellStart"/>
      <w:r w:rsidRPr="00A411DD">
        <w:rPr>
          <w:i/>
          <w:iCs/>
          <w:sz w:val="24"/>
          <w:szCs w:val="24"/>
        </w:rPr>
        <w:t>Cognitive</w:t>
      </w:r>
      <w:proofErr w:type="spellEnd"/>
      <w:r w:rsidRPr="00A411DD">
        <w:rPr>
          <w:i/>
          <w:iCs/>
          <w:sz w:val="24"/>
          <w:szCs w:val="24"/>
        </w:rPr>
        <w:t xml:space="preserve"> and </w:t>
      </w:r>
      <w:proofErr w:type="spellStart"/>
      <w:r w:rsidRPr="00A411DD">
        <w:rPr>
          <w:i/>
          <w:iCs/>
          <w:sz w:val="24"/>
          <w:szCs w:val="24"/>
        </w:rPr>
        <w:t>Physical</w:t>
      </w:r>
      <w:proofErr w:type="spellEnd"/>
      <w:r w:rsidRPr="00A411DD">
        <w:rPr>
          <w:i/>
          <w:iCs/>
          <w:sz w:val="24"/>
          <w:szCs w:val="24"/>
        </w:rPr>
        <w:t xml:space="preserve"> </w:t>
      </w:r>
      <w:proofErr w:type="spellStart"/>
      <w:r w:rsidRPr="00A411DD">
        <w:rPr>
          <w:i/>
          <w:iCs/>
          <w:sz w:val="24"/>
          <w:szCs w:val="24"/>
        </w:rPr>
        <w:t>Functioning</w:t>
      </w:r>
      <w:proofErr w:type="spellEnd"/>
      <w:r w:rsidRPr="00A411DD">
        <w:rPr>
          <w:i/>
          <w:iCs/>
          <w:sz w:val="24"/>
          <w:szCs w:val="24"/>
        </w:rPr>
        <w:t xml:space="preserve"> </w:t>
      </w:r>
      <w:proofErr w:type="spellStart"/>
      <w:r w:rsidRPr="00A411DD">
        <w:rPr>
          <w:i/>
          <w:iCs/>
          <w:sz w:val="24"/>
          <w:szCs w:val="24"/>
        </w:rPr>
        <w:t>Questionnaire</w:t>
      </w:r>
      <w:proofErr w:type="spellEnd"/>
      <w:r w:rsidRPr="00A411DD">
        <w:rPr>
          <w:i/>
          <w:iCs/>
          <w:sz w:val="24"/>
          <w:szCs w:val="24"/>
        </w:rPr>
        <w:t>) (subjektive mål)</w:t>
      </w:r>
    </w:p>
    <w:p w14:paraId="7FEAE6CE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Virkningen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(5-20 mg dagligt) på patienter med MDD er blevet undersøgt i to placebokontrollerede korttidsstudier med voksne og ét med ældre.</w:t>
      </w:r>
    </w:p>
    <w:p w14:paraId="71A579EC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4435422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havde statistisk signifikant virkning sammenlignet med placebo i DSST fra Δ= 1,75 (p = 0,019) til 4,26 (p &lt;0,0001) i de to studier med voksne og Δ= 2,79 (p = 0,023) i </w:t>
      </w:r>
      <w:r w:rsidRPr="00A56CE1">
        <w:rPr>
          <w:sz w:val="24"/>
          <w:szCs w:val="24"/>
        </w:rPr>
        <w:lastRenderedPageBreak/>
        <w:t xml:space="preserve">studiet med ældre.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adskilte sig fra placebo (p&lt;0,05) med en standardiseret virkning på 0,35 i </w:t>
      </w:r>
      <w:proofErr w:type="spellStart"/>
      <w:r w:rsidRPr="00A56CE1">
        <w:rPr>
          <w:sz w:val="24"/>
          <w:szCs w:val="24"/>
        </w:rPr>
        <w:t>meta</w:t>
      </w:r>
      <w:proofErr w:type="spellEnd"/>
      <w:r w:rsidRPr="00A56CE1">
        <w:rPr>
          <w:sz w:val="24"/>
          <w:szCs w:val="24"/>
        </w:rPr>
        <w:t xml:space="preserve">-analyserne (ANCOVA, LOCF) af den gennemsnitlige ændring fra baseline i </w:t>
      </w:r>
      <w:proofErr w:type="gramStart"/>
      <w:r w:rsidRPr="00A56CE1">
        <w:rPr>
          <w:sz w:val="24"/>
          <w:szCs w:val="24"/>
        </w:rPr>
        <w:t>DSST antal</w:t>
      </w:r>
      <w:proofErr w:type="gramEnd"/>
      <w:r w:rsidRPr="00A56CE1">
        <w:rPr>
          <w:sz w:val="24"/>
          <w:szCs w:val="24"/>
        </w:rPr>
        <w:t xml:space="preserve"> af korrekte symboler i alle tre studier. Når der justeres for ændring på MADRS, viste den samlede score i </w:t>
      </w:r>
      <w:proofErr w:type="spellStart"/>
      <w:r w:rsidRPr="00A56CE1">
        <w:rPr>
          <w:sz w:val="24"/>
          <w:szCs w:val="24"/>
        </w:rPr>
        <w:t>meta</w:t>
      </w:r>
      <w:proofErr w:type="spellEnd"/>
      <w:r w:rsidRPr="00A56CE1">
        <w:rPr>
          <w:sz w:val="24"/>
          <w:szCs w:val="24"/>
        </w:rPr>
        <w:t xml:space="preserve">-analyserne af de samme studier, at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adskilte sig fra placebo (p&lt;0,05) med en standardiseret virkning på 0,24.</w:t>
      </w:r>
    </w:p>
    <w:p w14:paraId="55FF90D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8655982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Et studie undersøgte virkningen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 funktionsevnen ved hjælp af testen UPSA (University of </w:t>
      </w:r>
      <w:proofErr w:type="spellStart"/>
      <w:r w:rsidRPr="00A56CE1">
        <w:rPr>
          <w:sz w:val="24"/>
          <w:szCs w:val="24"/>
        </w:rPr>
        <w:t>California</w:t>
      </w:r>
      <w:proofErr w:type="spellEnd"/>
      <w:r w:rsidRPr="00A56CE1">
        <w:rPr>
          <w:sz w:val="24"/>
          <w:szCs w:val="24"/>
        </w:rPr>
        <w:t xml:space="preserve"> San Diego Performance-</w:t>
      </w:r>
      <w:proofErr w:type="spellStart"/>
      <w:r w:rsidRPr="00A56CE1">
        <w:rPr>
          <w:sz w:val="24"/>
          <w:szCs w:val="24"/>
        </w:rPr>
        <w:t>Based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Skills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Assessment</w:t>
      </w:r>
      <w:proofErr w:type="spellEnd"/>
      <w:r w:rsidRPr="00A56CE1">
        <w:rPr>
          <w:sz w:val="24"/>
          <w:szCs w:val="24"/>
        </w:rPr>
        <w:t xml:space="preserve">).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adskilte sig fra placebo statistisk set med et resultat på 8,0 point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 forhold til 5,1 point for placebo (p=0,0003). </w:t>
      </w:r>
    </w:p>
    <w:p w14:paraId="7327A74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349C4A2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et studie var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bedre end placebo på subjektive mål vurderet vha. PDQ (</w:t>
      </w:r>
      <w:proofErr w:type="spellStart"/>
      <w:r w:rsidRPr="00A56CE1">
        <w:rPr>
          <w:sz w:val="24"/>
          <w:szCs w:val="24"/>
        </w:rPr>
        <w:t>Perceived</w:t>
      </w:r>
      <w:proofErr w:type="spellEnd"/>
      <w:r w:rsidRPr="00A56CE1">
        <w:rPr>
          <w:sz w:val="24"/>
          <w:szCs w:val="24"/>
        </w:rPr>
        <w:t xml:space="preserve"> Deficits </w:t>
      </w:r>
      <w:proofErr w:type="spellStart"/>
      <w:r w:rsidRPr="00A56CE1">
        <w:rPr>
          <w:sz w:val="24"/>
          <w:szCs w:val="24"/>
        </w:rPr>
        <w:t>Questionnaire</w:t>
      </w:r>
      <w:proofErr w:type="spellEnd"/>
      <w:r w:rsidRPr="00A56CE1">
        <w:rPr>
          <w:sz w:val="24"/>
          <w:szCs w:val="24"/>
        </w:rPr>
        <w:t xml:space="preserve">) med resultater på - 14,6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og -10,5 for placebo (p=0,002).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adskilte sig ikke fra placebo på subjektive mål vurderet vha. CPFQ (</w:t>
      </w:r>
      <w:proofErr w:type="spellStart"/>
      <w:r w:rsidRPr="00A56CE1">
        <w:rPr>
          <w:sz w:val="24"/>
          <w:szCs w:val="24"/>
        </w:rPr>
        <w:t>Cognitive</w:t>
      </w:r>
      <w:proofErr w:type="spellEnd"/>
      <w:r w:rsidRPr="00A56CE1">
        <w:rPr>
          <w:sz w:val="24"/>
          <w:szCs w:val="24"/>
        </w:rPr>
        <w:t xml:space="preserve"> and </w:t>
      </w:r>
      <w:proofErr w:type="spellStart"/>
      <w:r w:rsidRPr="00A56CE1">
        <w:rPr>
          <w:sz w:val="24"/>
          <w:szCs w:val="24"/>
        </w:rPr>
        <w:t>Physical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Functioning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Questionnaire</w:t>
      </w:r>
      <w:proofErr w:type="spellEnd"/>
      <w:r w:rsidRPr="00A56CE1">
        <w:rPr>
          <w:sz w:val="24"/>
          <w:szCs w:val="24"/>
        </w:rPr>
        <w:t xml:space="preserve">) med et resultat på -8,1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og -6,9 for placebo (p=0,086).</w:t>
      </w:r>
    </w:p>
    <w:p w14:paraId="5009535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0CF1E4E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proofErr w:type="spellStart"/>
      <w:r w:rsidRPr="00A56CE1">
        <w:rPr>
          <w:i/>
          <w:iCs/>
          <w:sz w:val="24"/>
          <w:szCs w:val="24"/>
        </w:rPr>
        <w:t>Tolerabilitet</w:t>
      </w:r>
      <w:proofErr w:type="spellEnd"/>
      <w:r w:rsidRPr="00A56CE1">
        <w:rPr>
          <w:i/>
          <w:iCs/>
          <w:sz w:val="24"/>
          <w:szCs w:val="24"/>
        </w:rPr>
        <w:t xml:space="preserve"> og sikkerhed</w:t>
      </w:r>
    </w:p>
    <w:p w14:paraId="0F0B8769" w14:textId="411F76FD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sikkerhed og </w:t>
      </w:r>
      <w:proofErr w:type="spellStart"/>
      <w:r w:rsidRPr="00A56CE1">
        <w:rPr>
          <w:sz w:val="24"/>
          <w:szCs w:val="24"/>
        </w:rPr>
        <w:t>tolerabilitet</w:t>
      </w:r>
      <w:proofErr w:type="spellEnd"/>
      <w:r w:rsidRPr="00A56CE1">
        <w:rPr>
          <w:sz w:val="24"/>
          <w:szCs w:val="24"/>
        </w:rPr>
        <w:t xml:space="preserve"> er påvist i dosisområdet 5-20 mg/dag i både korttids- og langtidsstudier. Vedrørende bivirkninger, se pkt. 4.8.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øgede ikke forekomsten af </w:t>
      </w:r>
      <w:proofErr w:type="spellStart"/>
      <w:r w:rsidRPr="00A56CE1">
        <w:rPr>
          <w:sz w:val="24"/>
          <w:szCs w:val="24"/>
        </w:rPr>
        <w:t>insomni</w:t>
      </w:r>
      <w:proofErr w:type="spellEnd"/>
      <w:r w:rsidRPr="00A56CE1">
        <w:rPr>
          <w:sz w:val="24"/>
          <w:szCs w:val="24"/>
        </w:rPr>
        <w:t xml:space="preserve"> eller døsighed sammenlignet med placebo.</w:t>
      </w:r>
    </w:p>
    <w:p w14:paraId="485685B6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AA0E61E" w14:textId="1ADDDD08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kliniske, placebokontrollerede korttids- og langtidsstudier blev potentielle </w:t>
      </w:r>
      <w:proofErr w:type="spellStart"/>
      <w:r w:rsidRPr="00A56CE1">
        <w:rPr>
          <w:sz w:val="24"/>
          <w:szCs w:val="24"/>
        </w:rPr>
        <w:t>seponeringssymptomer</w:t>
      </w:r>
      <w:proofErr w:type="spellEnd"/>
      <w:r w:rsidRPr="00A56CE1">
        <w:rPr>
          <w:sz w:val="24"/>
          <w:szCs w:val="24"/>
        </w:rPr>
        <w:t xml:space="preserve"> systematisk evalueret efter abrupt </w:t>
      </w:r>
      <w:proofErr w:type="spellStart"/>
      <w:r w:rsidRPr="00A56CE1">
        <w:rPr>
          <w:sz w:val="24"/>
          <w:szCs w:val="24"/>
        </w:rPr>
        <w:t>seponering</w:t>
      </w:r>
      <w:proofErr w:type="spellEnd"/>
      <w:r w:rsidRPr="00A56CE1">
        <w:rPr>
          <w:sz w:val="24"/>
          <w:szCs w:val="24"/>
        </w:rPr>
        <w:t xml:space="preserve">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. Der var ingen klinisk relevant forskel i forhold til placebo i forekomsten eller arten af </w:t>
      </w:r>
      <w:proofErr w:type="spellStart"/>
      <w:r w:rsidRPr="00A56CE1">
        <w:rPr>
          <w:sz w:val="24"/>
          <w:szCs w:val="24"/>
        </w:rPr>
        <w:t>seponeringssymptomer</w:t>
      </w:r>
      <w:proofErr w:type="spellEnd"/>
      <w:r w:rsidRPr="00A56CE1">
        <w:rPr>
          <w:sz w:val="24"/>
          <w:szCs w:val="24"/>
        </w:rPr>
        <w:t xml:space="preserve"> efter hverken korttidsbehandling (6-12 uger) eller langtidsbehandling (24-64 uger)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.</w:t>
      </w:r>
    </w:p>
    <w:p w14:paraId="69A8EC5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BDFE47F" w14:textId="4959753C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Forekomsten af selvindberettede seksuelle bivirkninger var lav og sammenlignelig med placebo i kliniske korttids- og langtidsstudier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. I studier, der anvendte ASEX-skalaen (Arizona </w:t>
      </w:r>
      <w:proofErr w:type="spellStart"/>
      <w:r w:rsidRPr="00A56CE1">
        <w:rPr>
          <w:sz w:val="24"/>
          <w:szCs w:val="24"/>
        </w:rPr>
        <w:t>Sexual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Experience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Scale</w:t>
      </w:r>
      <w:proofErr w:type="spellEnd"/>
      <w:r w:rsidRPr="00A56CE1">
        <w:rPr>
          <w:sz w:val="24"/>
          <w:szCs w:val="24"/>
        </w:rPr>
        <w:t xml:space="preserve">), sås ingen klinisk relevant forskel i forekomsten af seksuel dysfunktion opstået under behandlingen (TESD), og ASEX-totalscoren viste ingen klinisk relevant forskel i symptomerne på seksuel dysfunktion ved en </w:t>
      </w:r>
      <w:proofErr w:type="spellStart"/>
      <w:r w:rsidRPr="00A56CE1">
        <w:rPr>
          <w:sz w:val="24"/>
          <w:szCs w:val="24"/>
        </w:rPr>
        <w:t>vortioxetindosis</w:t>
      </w:r>
      <w:proofErr w:type="spellEnd"/>
      <w:r w:rsidRPr="00A56CE1">
        <w:rPr>
          <w:sz w:val="24"/>
          <w:szCs w:val="24"/>
        </w:rPr>
        <w:t xml:space="preserve"> på 5-15 mg/dag i forhold til placebo. Ved en dosis på 20 mg/dag sås en stigning i TESD i forhold til placebo (en forskel i forekomsten på 14,2 %, 95 % CI [1,4; 27,0]).</w:t>
      </w:r>
    </w:p>
    <w:p w14:paraId="374DD2A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03189D3" w14:textId="7A84DC32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effekt på seksuel funktion blev undersøgt nærmere i et 8-ugers dobbeltblindet, sammenlignende studie med fleksibel dosis (n=424) versus escitalopram hos patienter, som blev behandlet i mindst 6 uger med en SSRI (</w:t>
      </w:r>
      <w:proofErr w:type="spellStart"/>
      <w:r w:rsidRPr="00A56CE1">
        <w:rPr>
          <w:sz w:val="24"/>
          <w:szCs w:val="24"/>
        </w:rPr>
        <w:t>citalopram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paroxetin</w:t>
      </w:r>
      <w:proofErr w:type="spellEnd"/>
      <w:r w:rsidRPr="00A56CE1">
        <w:rPr>
          <w:sz w:val="24"/>
          <w:szCs w:val="24"/>
        </w:rPr>
        <w:t xml:space="preserve"> eller </w:t>
      </w:r>
      <w:proofErr w:type="spellStart"/>
      <w:r w:rsidRPr="00A56CE1">
        <w:rPr>
          <w:sz w:val="24"/>
          <w:szCs w:val="24"/>
        </w:rPr>
        <w:t>sertralin</w:t>
      </w:r>
      <w:proofErr w:type="spellEnd"/>
      <w:r w:rsidRPr="00A56CE1">
        <w:rPr>
          <w:sz w:val="24"/>
          <w:szCs w:val="24"/>
        </w:rPr>
        <w:t xml:space="preserve">), og som havde depressive symptomer i lav grad (CGI-S ved baseline ≤3) og TESD induceret af den forudgående SSRI-behandling.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10-20 mg/dag havde statistik signifikant færre </w:t>
      </w:r>
      <w:proofErr w:type="spellStart"/>
      <w:r w:rsidRPr="00A56CE1">
        <w:rPr>
          <w:sz w:val="24"/>
          <w:szCs w:val="24"/>
        </w:rPr>
        <w:t>TESD´er</w:t>
      </w:r>
      <w:proofErr w:type="spellEnd"/>
      <w:r w:rsidRPr="00A56CE1">
        <w:rPr>
          <w:sz w:val="24"/>
          <w:szCs w:val="24"/>
        </w:rPr>
        <w:t xml:space="preserve"> end escitalopram 10-20 mg/dag som målt ved ændringen i samlet CSFQ-14-score (2,2 point, p=0,013) ved uge 8. Andelen med respons var ikke signifikant forskellig i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-gruppen (162 (74,4 %)) sammenlignet med escitalopram-gruppen (137 (66,2</w:t>
      </w:r>
      <w:r w:rsidR="00BD07FC">
        <w:rPr>
          <w:sz w:val="24"/>
          <w:szCs w:val="24"/>
        </w:rPr>
        <w:t> </w:t>
      </w:r>
      <w:r w:rsidRPr="00A56CE1">
        <w:rPr>
          <w:sz w:val="24"/>
          <w:szCs w:val="24"/>
        </w:rPr>
        <w:t>%)) ved uge 8 (OR 1,5; p=0,057). Den antidepressive virkning blev opretholdt i begge behandlingsgrupper.</w:t>
      </w:r>
    </w:p>
    <w:p w14:paraId="378165B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D69FA16" w14:textId="65013181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kliniske korttids- eller langtidsstudier påvirkede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ikke legemsvægt, hjertefrekvens eller blodtryk i forhold til placebo.</w:t>
      </w:r>
    </w:p>
    <w:p w14:paraId="65AC1C18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6BEB989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lastRenderedPageBreak/>
        <w:t xml:space="preserve">Der blev ikke observeret klinisk signifikante ændringer i lever- eller nyrefunktionen i kliniske studier. </w:t>
      </w:r>
    </w:p>
    <w:p w14:paraId="2DE07711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74486CB" w14:textId="79D50EA8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har ikke vist klinisk signifikant påvirkning af EKG-parametre, herunder QT-, </w:t>
      </w:r>
      <w:proofErr w:type="spellStart"/>
      <w:r w:rsidRPr="00A56CE1">
        <w:rPr>
          <w:sz w:val="24"/>
          <w:szCs w:val="24"/>
        </w:rPr>
        <w:t>QTc</w:t>
      </w:r>
      <w:proofErr w:type="spellEnd"/>
      <w:r w:rsidRPr="00A56CE1">
        <w:rPr>
          <w:sz w:val="24"/>
          <w:szCs w:val="24"/>
        </w:rPr>
        <w:t xml:space="preserve">-, PR- og QRS-intervallet, hos patienter med moderate til svære depressive episoder. I et omfattende studie af </w:t>
      </w:r>
      <w:proofErr w:type="spellStart"/>
      <w:r w:rsidRPr="00A56CE1">
        <w:rPr>
          <w:sz w:val="24"/>
          <w:szCs w:val="24"/>
        </w:rPr>
        <w:t>QTc</w:t>
      </w:r>
      <w:proofErr w:type="spellEnd"/>
      <w:r w:rsidRPr="00A56CE1">
        <w:rPr>
          <w:sz w:val="24"/>
          <w:szCs w:val="24"/>
        </w:rPr>
        <w:t xml:space="preserve">-intervallet hos raske forsøgspersoner, der fik doser på op til 40 mg dagligt, blev der ikke observeret potentiale for forlængelse af </w:t>
      </w:r>
      <w:proofErr w:type="spellStart"/>
      <w:r w:rsidRPr="00A56CE1">
        <w:rPr>
          <w:sz w:val="24"/>
          <w:szCs w:val="24"/>
        </w:rPr>
        <w:t>QTc</w:t>
      </w:r>
      <w:proofErr w:type="spellEnd"/>
      <w:r w:rsidRPr="00A56CE1">
        <w:rPr>
          <w:sz w:val="24"/>
          <w:szCs w:val="24"/>
        </w:rPr>
        <w:t>-intervallet.</w:t>
      </w:r>
    </w:p>
    <w:p w14:paraId="3AF3D564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74E2749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Pædiatrisk population</w:t>
      </w:r>
    </w:p>
    <w:p w14:paraId="470C7C74" w14:textId="2F4822C6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Der blev udført to randomiserede, dobbeltblindede, placebokontrollerede kortidsstudier af virkning og</w:t>
      </w:r>
      <w:r w:rsidR="00A411DD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>sikkerhed med fast dosis (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mg/dag og 20 mg/dag) og aktiv reference (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); ét hos børn i alderen 7 til 11 år med moderate til svære depressive episoder og ét hos unge i alderen 12 til 17 år med moderate til svære depressive episoder. Studierne omfattede en 4-ugers enkeltblindet indkøringsperiode med placebo og standardiseret psykosocial intervention (behandlede patienter i studiet med børn N=677, studiet med unge N=777), og kun non-respondere fra indkøringsperioden blev randomiseret (studiet med børn N=540, studiet med unge N=616). </w:t>
      </w:r>
    </w:p>
    <w:p w14:paraId="450F4B94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studiet med børn i alderen 7 til 11 år var den gennemsnitlige virkning af de to </w:t>
      </w:r>
      <w:proofErr w:type="spellStart"/>
      <w:r w:rsidRPr="00A56CE1">
        <w:rPr>
          <w:sz w:val="24"/>
          <w:szCs w:val="24"/>
        </w:rPr>
        <w:t>vortioxetindoser</w:t>
      </w:r>
      <w:proofErr w:type="spellEnd"/>
      <w:r w:rsidRPr="00A56CE1">
        <w:rPr>
          <w:sz w:val="24"/>
          <w:szCs w:val="24"/>
        </w:rPr>
        <w:t xml:space="preserve"> på 10 og 20 mg/dag ikke statistisk signifikant forskellig fra placebo på baggrund af CDRS-R (</w:t>
      </w:r>
      <w:proofErr w:type="spellStart"/>
      <w:r w:rsidRPr="00A56CE1">
        <w:rPr>
          <w:sz w:val="24"/>
          <w:szCs w:val="24"/>
        </w:rPr>
        <w:t>Children’s</w:t>
      </w:r>
      <w:proofErr w:type="spellEnd"/>
      <w:r w:rsidRPr="00A56CE1">
        <w:rPr>
          <w:sz w:val="24"/>
          <w:szCs w:val="24"/>
        </w:rPr>
        <w:t xml:space="preserve"> Depression Rating </w:t>
      </w:r>
      <w:proofErr w:type="spellStart"/>
      <w:r w:rsidRPr="00A56CE1">
        <w:rPr>
          <w:sz w:val="24"/>
          <w:szCs w:val="24"/>
        </w:rPr>
        <w:t>Scale-Revised</w:t>
      </w:r>
      <w:proofErr w:type="spellEnd"/>
      <w:r w:rsidRPr="00A56CE1">
        <w:rPr>
          <w:sz w:val="24"/>
          <w:szCs w:val="24"/>
        </w:rPr>
        <w:t>) total score i uge 8, og det var den aktive reference (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 20 mg/dag) heller ikke. De individuelle </w:t>
      </w:r>
      <w:proofErr w:type="spellStart"/>
      <w:r w:rsidRPr="00A56CE1">
        <w:rPr>
          <w:sz w:val="24"/>
          <w:szCs w:val="24"/>
        </w:rPr>
        <w:t>vortioxetindoser</w:t>
      </w:r>
      <w:proofErr w:type="spellEnd"/>
      <w:r w:rsidRPr="00A56CE1">
        <w:rPr>
          <w:sz w:val="24"/>
          <w:szCs w:val="24"/>
        </w:rPr>
        <w:t xml:space="preserve"> (10 og 20 mg/dag) viste heller ikke en nominelt signifikant forskel fra placebo. Generelt svarede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bivirkningsprofil hos børn til den, der ses hos voksne. Dog blev der specifikt hos børn indberettet en hyppigere forekomst af hændelser med </w:t>
      </w:r>
      <w:proofErr w:type="spellStart"/>
      <w:r w:rsidRPr="00A56CE1">
        <w:rPr>
          <w:sz w:val="24"/>
          <w:szCs w:val="24"/>
        </w:rPr>
        <w:t>abdominalsmerter</w:t>
      </w:r>
      <w:proofErr w:type="spellEnd"/>
      <w:r w:rsidRPr="00A56CE1">
        <w:rPr>
          <w:sz w:val="24"/>
          <w:szCs w:val="24"/>
        </w:rPr>
        <w:t xml:space="preserve"> sammenlignet med voksne. </w:t>
      </w:r>
    </w:p>
    <w:p w14:paraId="76D333A5" w14:textId="4CDA491F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Seponering</w:t>
      </w:r>
      <w:proofErr w:type="spellEnd"/>
      <w:r w:rsidRPr="00A56CE1">
        <w:rPr>
          <w:sz w:val="24"/>
          <w:szCs w:val="24"/>
        </w:rPr>
        <w:t xml:space="preserve"> på grund af bivirkninger var 2,0 % hos patienter behandlet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20</w:t>
      </w:r>
      <w:r w:rsidR="00F86CA0">
        <w:rPr>
          <w:sz w:val="24"/>
          <w:szCs w:val="24"/>
        </w:rPr>
        <w:t> </w:t>
      </w:r>
      <w:r w:rsidRPr="00A56CE1">
        <w:rPr>
          <w:sz w:val="24"/>
          <w:szCs w:val="24"/>
        </w:rPr>
        <w:t xml:space="preserve">mg/dag, 1,3 %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mg/dag, 0,7 % for placebo, og ingen </w:t>
      </w:r>
      <w:proofErr w:type="spellStart"/>
      <w:r w:rsidRPr="00A56CE1">
        <w:rPr>
          <w:sz w:val="24"/>
          <w:szCs w:val="24"/>
        </w:rPr>
        <w:t>seponeringer</w:t>
      </w:r>
      <w:proofErr w:type="spellEnd"/>
      <w:r w:rsidRPr="00A56CE1">
        <w:rPr>
          <w:sz w:val="24"/>
          <w:szCs w:val="24"/>
        </w:rPr>
        <w:t xml:space="preserve"> for 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. De hyppigst indberettede bivirkninger i de behandlingsgrupper, der fik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, var kvalme, hovedpine, opkastning, svimmelhed og mavesmerter. Forekomsten af kvalme, opkastning og mavesmerter var højere i </w:t>
      </w:r>
      <w:proofErr w:type="spellStart"/>
      <w:r w:rsidRPr="00A56CE1">
        <w:rPr>
          <w:sz w:val="24"/>
          <w:szCs w:val="24"/>
        </w:rPr>
        <w:t>vortioxetingrupperne</w:t>
      </w:r>
      <w:proofErr w:type="spellEnd"/>
      <w:r w:rsidRPr="00A56CE1">
        <w:rPr>
          <w:sz w:val="24"/>
          <w:szCs w:val="24"/>
        </w:rPr>
        <w:t xml:space="preserve"> end i placebogruppen. Selvmordstanker og -adfærd blev indberettet som bivirkninger i den 4-ugers enkeltblindede indkøringsperiode (placebo 2/677 [0,3 %]) og i den 8-ugers behandlingsperiode (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mg/dag 1/149 [0,7 %], placebo 1/153 [0,7 %]). Derudover blev hændelsen ”ikke-specifikke aktive selvmordstanker” rapporteret i C-SSRS hos 5 patienter i løbet af den 8-ugers behandlingsperiode (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20 mg/dag 1/153 [0,7</w:t>
      </w:r>
      <w:r w:rsidR="00F86CA0">
        <w:rPr>
          <w:sz w:val="24"/>
          <w:szCs w:val="24"/>
        </w:rPr>
        <w:t> </w:t>
      </w:r>
      <w:r w:rsidRPr="00A56CE1">
        <w:rPr>
          <w:sz w:val="24"/>
          <w:szCs w:val="24"/>
        </w:rPr>
        <w:t xml:space="preserve">%], placebo 1/153 [0,7 %] og 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 3/82 [3,7 %]). Selvmordstanker og -adfærd målt med C-SSRS (</w:t>
      </w:r>
      <w:r w:rsidRPr="00A56CE1">
        <w:rPr>
          <w:iCs/>
          <w:noProof/>
          <w:sz w:val="24"/>
          <w:szCs w:val="24"/>
        </w:rPr>
        <w:t>Columbia-</w:t>
      </w:r>
      <w:proofErr w:type="spellStart"/>
      <w:r w:rsidRPr="00A56CE1">
        <w:rPr>
          <w:iCs/>
          <w:noProof/>
          <w:sz w:val="24"/>
          <w:szCs w:val="24"/>
        </w:rPr>
        <w:t>Suicide</w:t>
      </w:r>
      <w:proofErr w:type="spellEnd"/>
      <w:r w:rsidRPr="00A56CE1">
        <w:rPr>
          <w:iCs/>
          <w:noProof/>
          <w:sz w:val="24"/>
          <w:szCs w:val="24"/>
        </w:rPr>
        <w:t xml:space="preserve"> Severity Rating Scale) v</w:t>
      </w:r>
      <w:r w:rsidRPr="00A56CE1">
        <w:rPr>
          <w:sz w:val="24"/>
          <w:szCs w:val="24"/>
        </w:rPr>
        <w:t>ar ens på tværs af behandlingsgrupperne.</w:t>
      </w:r>
    </w:p>
    <w:p w14:paraId="1F713AB4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19F264B" w14:textId="6D33F736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studiet med unge i alderen 12 til 17 år var hverken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mg/dag eller 20 mg/dag statistisk signifikant bedre end placebo på baggrund af CDRS-R (</w:t>
      </w:r>
      <w:proofErr w:type="spellStart"/>
      <w:r w:rsidRPr="00A56CE1">
        <w:rPr>
          <w:sz w:val="24"/>
          <w:szCs w:val="24"/>
        </w:rPr>
        <w:t>Children’s</w:t>
      </w:r>
      <w:proofErr w:type="spellEnd"/>
      <w:r w:rsidRPr="00A56CE1">
        <w:rPr>
          <w:sz w:val="24"/>
          <w:szCs w:val="24"/>
        </w:rPr>
        <w:t xml:space="preserve"> Depression Rating </w:t>
      </w:r>
      <w:proofErr w:type="spellStart"/>
      <w:r w:rsidRPr="00A56CE1">
        <w:rPr>
          <w:sz w:val="24"/>
          <w:szCs w:val="24"/>
        </w:rPr>
        <w:t>Scale-Revised</w:t>
      </w:r>
      <w:proofErr w:type="spellEnd"/>
      <w:r w:rsidRPr="00A56CE1">
        <w:rPr>
          <w:sz w:val="24"/>
          <w:szCs w:val="24"/>
        </w:rPr>
        <w:t>) total score. Den aktive reference (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 20 mg/dag) afveg statistisk fra placebo i CDRS-R total score. Generelt svarede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bivirkningsprofil hos unge til den, der ses hos voksne. Dog blev der hos unge indberettet hyppigere forekomster af hændelser med </w:t>
      </w:r>
      <w:proofErr w:type="spellStart"/>
      <w:r w:rsidRPr="00A56CE1">
        <w:rPr>
          <w:sz w:val="24"/>
          <w:szCs w:val="24"/>
        </w:rPr>
        <w:t>abdominalsmerter</w:t>
      </w:r>
      <w:proofErr w:type="spellEnd"/>
      <w:r w:rsidRPr="00A56CE1">
        <w:rPr>
          <w:sz w:val="24"/>
          <w:szCs w:val="24"/>
        </w:rPr>
        <w:t xml:space="preserve"> og selvmordstanker end hos voksne. </w:t>
      </w:r>
      <w:proofErr w:type="spellStart"/>
      <w:r w:rsidRPr="00A56CE1">
        <w:rPr>
          <w:sz w:val="24"/>
          <w:szCs w:val="24"/>
        </w:rPr>
        <w:t>Seponering</w:t>
      </w:r>
      <w:proofErr w:type="spellEnd"/>
      <w:r w:rsidRPr="00A56CE1">
        <w:rPr>
          <w:sz w:val="24"/>
          <w:szCs w:val="24"/>
        </w:rPr>
        <w:t xml:space="preserve"> på grund af bivirkninger (overvejende på grund af selvmordstanker, kvalme og opkastning) forekom hyppigst hos patienter, der fik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20 mg/dag (5,6 %), sammenlignet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mg/dag (2,7 %), 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 (3,3 %) og placebo (1,3 %). De hyppigst indberettede bivirkninger i de behandlingsgrupper, der fik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, var kvalme, opkastning og hovedpine. Selvmordstanker og -adfærd blev indberettet som bivirkninger både i den enkeltblindede 4-ugers indkøringsperiode (placebo </w:t>
      </w:r>
      <w:r w:rsidRPr="00A56CE1">
        <w:rPr>
          <w:sz w:val="24"/>
          <w:szCs w:val="24"/>
        </w:rPr>
        <w:lastRenderedPageBreak/>
        <w:t>13/777 [1,7 %]) og i behandlingsperioden på 8 uger (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mg/dag 2/147 [1,4 %],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20 mg/dag 6/161 [3,7 %], </w:t>
      </w:r>
      <w:proofErr w:type="spellStart"/>
      <w:r w:rsidRPr="00A56CE1">
        <w:rPr>
          <w:sz w:val="24"/>
          <w:szCs w:val="24"/>
        </w:rPr>
        <w:t>fluoxetin</w:t>
      </w:r>
      <w:proofErr w:type="spellEnd"/>
      <w:r w:rsidRPr="00A56CE1">
        <w:rPr>
          <w:sz w:val="24"/>
          <w:szCs w:val="24"/>
        </w:rPr>
        <w:t xml:space="preserve"> 6/153 [3,9 %] og placebo 0/154 [0 %]). Selvmordstanker og -adfærd som målt med C-SSRS var ens på tværs af behandlings</w:t>
      </w:r>
      <w:r w:rsidR="00F86CA0">
        <w:rPr>
          <w:sz w:val="24"/>
          <w:szCs w:val="24"/>
        </w:rPr>
        <w:softHyphen/>
      </w:r>
      <w:r w:rsidRPr="00A56CE1">
        <w:rPr>
          <w:sz w:val="24"/>
          <w:szCs w:val="24"/>
        </w:rPr>
        <w:t>grupperne.</w:t>
      </w:r>
    </w:p>
    <w:p w14:paraId="318CEB9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0637636B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bør ikke anvendes til pædiatriske patienter (under 18 år) med moderate til svære depressive episoder (se pkt. 4.2).</w:t>
      </w:r>
    </w:p>
    <w:p w14:paraId="15EDA5A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8F826AB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hos børn under 7 år ved moderate til svære depressive episoder (se pkt. 4.2 for oplysninger om pædiatrisk anvendelse).</w:t>
      </w:r>
    </w:p>
    <w:p w14:paraId="42F060C3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ABCEF3C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Det Europæiske Lægemiddelagentur har udsat forpligtelsen til at fremlægge resultaterne af studier med </w:t>
      </w:r>
      <w:r w:rsidRPr="00A56CE1">
        <w:rPr>
          <w:noProof/>
          <w:sz w:val="24"/>
          <w:szCs w:val="24"/>
        </w:rPr>
        <w:t xml:space="preserve">referencelægemidlet, som indeholder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 en eller flere undergrupper af den pædiatriske population med</w:t>
      </w:r>
      <w:r w:rsidRPr="00A56CE1">
        <w:rPr>
          <w:noProof/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behandling af moderate til svære depressive episoder (se </w:t>
      </w:r>
      <w:r w:rsidRPr="00A56CE1">
        <w:rPr>
          <w:noProof/>
          <w:sz w:val="24"/>
          <w:szCs w:val="24"/>
        </w:rPr>
        <w:t>pkt.</w:t>
      </w:r>
      <w:r w:rsidRPr="00A56CE1">
        <w:rPr>
          <w:sz w:val="24"/>
          <w:szCs w:val="24"/>
        </w:rPr>
        <w:t xml:space="preserve"> 4.2 for oplysninger om pædiatrisk anvendelse).</w:t>
      </w:r>
    </w:p>
    <w:p w14:paraId="5B7CA3CA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A46D4C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5.2</w:t>
      </w:r>
      <w:r w:rsidRPr="00A56CE1">
        <w:rPr>
          <w:b/>
          <w:sz w:val="24"/>
          <w:szCs w:val="24"/>
        </w:rPr>
        <w:tab/>
      </w:r>
      <w:proofErr w:type="spellStart"/>
      <w:r w:rsidRPr="00A56CE1">
        <w:rPr>
          <w:b/>
          <w:sz w:val="24"/>
          <w:szCs w:val="24"/>
        </w:rPr>
        <w:t>Farmakokinetiske</w:t>
      </w:r>
      <w:proofErr w:type="spellEnd"/>
      <w:r w:rsidRPr="00A56CE1">
        <w:rPr>
          <w:b/>
          <w:sz w:val="24"/>
          <w:szCs w:val="24"/>
        </w:rPr>
        <w:t xml:space="preserve"> egenskaber</w:t>
      </w:r>
    </w:p>
    <w:p w14:paraId="24669560" w14:textId="77777777" w:rsidR="00A411DD" w:rsidRDefault="00A411DD" w:rsidP="004766C8">
      <w:pPr>
        <w:ind w:left="851"/>
        <w:rPr>
          <w:sz w:val="24"/>
          <w:szCs w:val="24"/>
        </w:rPr>
      </w:pPr>
    </w:p>
    <w:p w14:paraId="3644955E" w14:textId="3096CDEC" w:rsidR="007C7A27" w:rsidRPr="00A411DD" w:rsidRDefault="007C7A27" w:rsidP="004766C8">
      <w:pPr>
        <w:ind w:left="851"/>
        <w:rPr>
          <w:sz w:val="24"/>
          <w:szCs w:val="24"/>
          <w:u w:val="single"/>
          <w:lang w:eastAsia="fr-LU"/>
        </w:rPr>
      </w:pPr>
      <w:r w:rsidRPr="00A411DD">
        <w:rPr>
          <w:sz w:val="24"/>
          <w:szCs w:val="24"/>
          <w:u w:val="single"/>
        </w:rPr>
        <w:t>Absorption</w:t>
      </w:r>
    </w:p>
    <w:p w14:paraId="0022F724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absorberes langsomt, men effektivt efter oral administration, og maksimal </w:t>
      </w:r>
    </w:p>
    <w:p w14:paraId="26D130FA" w14:textId="0313590C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plasmakoncentration nås i løbet af 7-11 timer. Efter gentagne doser på 5, 10 eller 20 mg/dag sås gennemsnitsværdier for </w:t>
      </w:r>
      <w:proofErr w:type="spellStart"/>
      <w:r w:rsidRPr="00A56CE1">
        <w:rPr>
          <w:sz w:val="24"/>
          <w:szCs w:val="24"/>
        </w:rPr>
        <w:t>C</w:t>
      </w:r>
      <w:r w:rsidRPr="00A56CE1">
        <w:rPr>
          <w:sz w:val="24"/>
          <w:szCs w:val="24"/>
          <w:vertAlign w:val="subscript"/>
        </w:rPr>
        <w:t>max</w:t>
      </w:r>
      <w:proofErr w:type="spellEnd"/>
      <w:r w:rsidRPr="00A56CE1">
        <w:rPr>
          <w:sz w:val="24"/>
          <w:szCs w:val="24"/>
          <w:vertAlign w:val="subscript"/>
        </w:rPr>
        <w:t xml:space="preserve"> </w:t>
      </w:r>
      <w:r w:rsidRPr="00A56CE1">
        <w:rPr>
          <w:sz w:val="24"/>
          <w:szCs w:val="24"/>
        </w:rPr>
        <w:t xml:space="preserve">på 9-33 </w:t>
      </w:r>
      <w:proofErr w:type="spellStart"/>
      <w:r w:rsidRPr="00A56CE1">
        <w:rPr>
          <w:sz w:val="24"/>
          <w:szCs w:val="24"/>
        </w:rPr>
        <w:t>ng</w:t>
      </w:r>
      <w:proofErr w:type="spellEnd"/>
      <w:r w:rsidRPr="00A56CE1">
        <w:rPr>
          <w:sz w:val="24"/>
          <w:szCs w:val="24"/>
        </w:rPr>
        <w:t>/ml. Absolut biotilgængelighed er 75</w:t>
      </w:r>
      <w:r w:rsidR="00EC7851">
        <w:rPr>
          <w:sz w:val="24"/>
          <w:szCs w:val="24"/>
        </w:rPr>
        <w:t> </w:t>
      </w:r>
      <w:r w:rsidRPr="00A56CE1">
        <w:rPr>
          <w:sz w:val="24"/>
          <w:szCs w:val="24"/>
        </w:rPr>
        <w:t>%. Fødeindtagelse påvirkede ikke farmakokinetikken (se pkt. 4.2).</w:t>
      </w:r>
    </w:p>
    <w:p w14:paraId="4250A11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A41BB84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Fordeling</w:t>
      </w:r>
    </w:p>
    <w:p w14:paraId="1CE36953" w14:textId="2F3C9269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Det gennemsnitlige fordelingsvolumen (</w:t>
      </w:r>
      <w:proofErr w:type="spellStart"/>
      <w:r w:rsidRPr="00A56CE1">
        <w:rPr>
          <w:sz w:val="24"/>
          <w:szCs w:val="24"/>
        </w:rPr>
        <w:t>Vss</w:t>
      </w:r>
      <w:proofErr w:type="spellEnd"/>
      <w:r w:rsidRPr="00A56CE1">
        <w:rPr>
          <w:sz w:val="24"/>
          <w:szCs w:val="24"/>
        </w:rPr>
        <w:t xml:space="preserve">) er 2.600 l, hvilket indikerer betydelig </w:t>
      </w:r>
      <w:proofErr w:type="spellStart"/>
      <w:r w:rsidRPr="00A56CE1">
        <w:rPr>
          <w:sz w:val="24"/>
          <w:szCs w:val="24"/>
        </w:rPr>
        <w:t>ekstravaskulær</w:t>
      </w:r>
      <w:proofErr w:type="spellEnd"/>
      <w:r w:rsidRPr="00A56CE1">
        <w:rPr>
          <w:sz w:val="24"/>
          <w:szCs w:val="24"/>
        </w:rPr>
        <w:t xml:space="preserve"> fordeling.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bindes med høj affinitet til plasmaproteiner (98-99</w:t>
      </w:r>
      <w:r w:rsidR="00EC7851">
        <w:rPr>
          <w:sz w:val="24"/>
          <w:szCs w:val="24"/>
        </w:rPr>
        <w:t> </w:t>
      </w:r>
      <w:r w:rsidRPr="00A56CE1">
        <w:rPr>
          <w:sz w:val="24"/>
          <w:szCs w:val="24"/>
        </w:rPr>
        <w:t xml:space="preserve">%), og bindingen synes at være uafhængig af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plasmakoncentration.</w:t>
      </w:r>
    </w:p>
    <w:p w14:paraId="5B4C65D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CEC3EBA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Biotransformation</w:t>
      </w:r>
    </w:p>
    <w:p w14:paraId="64CE9A41" w14:textId="280561EE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metaboliseres</w:t>
      </w:r>
      <w:proofErr w:type="spellEnd"/>
      <w:r w:rsidRPr="00A56CE1">
        <w:rPr>
          <w:sz w:val="24"/>
          <w:szCs w:val="24"/>
        </w:rPr>
        <w:t xml:space="preserve"> i omfattende grad i leveren og primært gennem oxidation katalyseret af CYP2D6 og i mindre grad af CYP3A4/5 og CYP2C9 og efterfølgende </w:t>
      </w:r>
      <w:proofErr w:type="spellStart"/>
      <w:r w:rsidRPr="00A56CE1">
        <w:rPr>
          <w:sz w:val="24"/>
          <w:szCs w:val="24"/>
        </w:rPr>
        <w:t>konjugering</w:t>
      </w:r>
      <w:proofErr w:type="spellEnd"/>
      <w:r w:rsidRPr="00A56CE1">
        <w:rPr>
          <w:sz w:val="24"/>
          <w:szCs w:val="24"/>
        </w:rPr>
        <w:t xml:space="preserve"> til </w:t>
      </w:r>
      <w:proofErr w:type="spellStart"/>
      <w:r w:rsidRPr="00A56CE1">
        <w:rPr>
          <w:sz w:val="24"/>
          <w:szCs w:val="24"/>
        </w:rPr>
        <w:t>glukuronsyre</w:t>
      </w:r>
      <w:proofErr w:type="spellEnd"/>
      <w:r w:rsidRPr="00A56CE1">
        <w:rPr>
          <w:sz w:val="24"/>
          <w:szCs w:val="24"/>
        </w:rPr>
        <w:t>.</w:t>
      </w:r>
    </w:p>
    <w:p w14:paraId="6500A94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EDFB10A" w14:textId="6F6C2394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Der blev ikke observeret hæmmende eller inducerende virkning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 CYP-</w:t>
      </w:r>
      <w:proofErr w:type="spellStart"/>
      <w:r w:rsidRPr="00A56CE1">
        <w:rPr>
          <w:sz w:val="24"/>
          <w:szCs w:val="24"/>
        </w:rPr>
        <w:t>isoenzymerne</w:t>
      </w:r>
      <w:proofErr w:type="spellEnd"/>
      <w:r w:rsidRPr="00A56CE1">
        <w:rPr>
          <w:sz w:val="24"/>
          <w:szCs w:val="24"/>
        </w:rPr>
        <w:t xml:space="preserve"> </w:t>
      </w:r>
      <w:r w:rsidRPr="00A411DD">
        <w:rPr>
          <w:sz w:val="24"/>
          <w:szCs w:val="24"/>
        </w:rPr>
        <w:t xml:space="preserve">CYP1A2, CYP2A6, CYP2B6, CYP2C8, CYP2C9, CYP2C19, CYP2D6, CYP2E1 eller CYP3A4/5 (se </w:t>
      </w:r>
      <w:r w:rsidRPr="00A56CE1">
        <w:rPr>
          <w:sz w:val="24"/>
          <w:szCs w:val="24"/>
        </w:rPr>
        <w:t xml:space="preserve">pkt. 4.5) i lægemiddel-interaktionsstudier.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er et svagt P-gp-substrat og en svag P-gp-hæmmer.</w:t>
      </w:r>
    </w:p>
    <w:p w14:paraId="1697BE4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66C5894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primære metabolit er farmakologisk inaktiv.</w:t>
      </w:r>
    </w:p>
    <w:p w14:paraId="158EFFF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9FF0E56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Elimination</w:t>
      </w:r>
    </w:p>
    <w:p w14:paraId="2CEE8E16" w14:textId="1C6BE69B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Gennemsnitlig halveringstid og oral </w:t>
      </w:r>
      <w:proofErr w:type="spellStart"/>
      <w:r w:rsidRPr="00A56CE1">
        <w:rPr>
          <w:sz w:val="24"/>
          <w:szCs w:val="24"/>
        </w:rPr>
        <w:t>clearance</w:t>
      </w:r>
      <w:proofErr w:type="spellEnd"/>
      <w:r w:rsidRPr="00A56CE1">
        <w:rPr>
          <w:sz w:val="24"/>
          <w:szCs w:val="24"/>
        </w:rPr>
        <w:t xml:space="preserve"> er henholdsvis 66 timer og 33 l/time. Ca. 2/3 af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inaktive metabolitter udskilles i urinen og ca. 1/3 i fæces. Der udskilles kun ubetydelige mængder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 fæces. </w:t>
      </w:r>
      <w:proofErr w:type="spellStart"/>
      <w:r w:rsidRPr="00A56CE1">
        <w:rPr>
          <w:sz w:val="24"/>
          <w:szCs w:val="24"/>
        </w:rPr>
        <w:t>Steady</w:t>
      </w:r>
      <w:proofErr w:type="spellEnd"/>
      <w:r w:rsidRPr="00A56CE1">
        <w:rPr>
          <w:sz w:val="24"/>
          <w:szCs w:val="24"/>
        </w:rPr>
        <w:t xml:space="preserve"> </w:t>
      </w:r>
      <w:proofErr w:type="spellStart"/>
      <w:r w:rsidRPr="00A56CE1">
        <w:rPr>
          <w:sz w:val="24"/>
          <w:szCs w:val="24"/>
        </w:rPr>
        <w:t>state</w:t>
      </w:r>
      <w:proofErr w:type="spellEnd"/>
      <w:r w:rsidRPr="00A56CE1">
        <w:rPr>
          <w:sz w:val="24"/>
          <w:szCs w:val="24"/>
        </w:rPr>
        <w:t>-plasmakoncentrationer nås i løbet af ca. 2 uger.</w:t>
      </w:r>
    </w:p>
    <w:p w14:paraId="56CDBA08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D66AF28" w14:textId="6D6D6AD7" w:rsidR="007C7A27" w:rsidRPr="00A56CE1" w:rsidRDefault="007C7A27" w:rsidP="004766C8">
      <w:pPr>
        <w:ind w:left="851"/>
        <w:rPr>
          <w:sz w:val="24"/>
          <w:szCs w:val="24"/>
        </w:rPr>
      </w:pPr>
      <w:r w:rsidRPr="00A411DD">
        <w:rPr>
          <w:sz w:val="24"/>
          <w:szCs w:val="24"/>
          <w:u w:val="single"/>
        </w:rPr>
        <w:t>Linearitet/non-linearitet</w:t>
      </w:r>
      <w:r w:rsidRPr="00A411DD">
        <w:rPr>
          <w:sz w:val="24"/>
          <w:szCs w:val="24"/>
          <w:u w:val="single"/>
        </w:rPr>
        <w:br/>
      </w:r>
      <w:r w:rsidRPr="00A56CE1">
        <w:rPr>
          <w:sz w:val="24"/>
          <w:szCs w:val="24"/>
        </w:rPr>
        <w:t>Farmakokinetikken er lineær og uafhængig af tid i det undersøgte dosisinterval (2,5 til 60</w:t>
      </w:r>
      <w:r w:rsidR="00EC7851">
        <w:rPr>
          <w:sz w:val="24"/>
          <w:szCs w:val="24"/>
        </w:rPr>
        <w:t> </w:t>
      </w:r>
      <w:r w:rsidRPr="00A56CE1">
        <w:rPr>
          <w:sz w:val="24"/>
          <w:szCs w:val="24"/>
        </w:rPr>
        <w:t>mg/dag).</w:t>
      </w:r>
    </w:p>
    <w:p w14:paraId="575A5ABC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02E929BE" w14:textId="727A7EB4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I overensstemmelse med halveringstiden er akkumuleringsindekset 5-6, baseret på AUC</w:t>
      </w:r>
      <w:r w:rsidRPr="00A56CE1">
        <w:rPr>
          <w:sz w:val="24"/>
          <w:szCs w:val="24"/>
          <w:vertAlign w:val="subscript"/>
        </w:rPr>
        <w:t>0-24h</w:t>
      </w:r>
      <w:r w:rsidRPr="00A56CE1">
        <w:rPr>
          <w:sz w:val="24"/>
          <w:szCs w:val="24"/>
        </w:rPr>
        <w:t xml:space="preserve"> efter gentagne doser på 5-20 mg/dag.</w:t>
      </w:r>
    </w:p>
    <w:p w14:paraId="45F2FF71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63E6C58" w14:textId="77777777" w:rsidR="007C7A27" w:rsidRPr="00A411DD" w:rsidRDefault="007C7A27" w:rsidP="004766C8">
      <w:pPr>
        <w:ind w:left="851"/>
        <w:rPr>
          <w:sz w:val="24"/>
          <w:szCs w:val="24"/>
          <w:u w:val="single"/>
        </w:rPr>
      </w:pPr>
      <w:r w:rsidRPr="00A411DD">
        <w:rPr>
          <w:sz w:val="24"/>
          <w:szCs w:val="24"/>
          <w:u w:val="single"/>
        </w:rPr>
        <w:t>Særlige populationer</w:t>
      </w:r>
    </w:p>
    <w:p w14:paraId="73CF31B9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Ældre</w:t>
      </w:r>
    </w:p>
    <w:p w14:paraId="770978E1" w14:textId="04887615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Hos ældre forsøgspersoner (i alderen ≥65 år; n=20) steg eksponeringen for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med op til 27 % (</w:t>
      </w:r>
      <w:proofErr w:type="spellStart"/>
      <w:r w:rsidRPr="00A56CE1">
        <w:rPr>
          <w:sz w:val="24"/>
          <w:szCs w:val="24"/>
        </w:rPr>
        <w:t>C</w:t>
      </w:r>
      <w:r w:rsidRPr="00A56CE1">
        <w:rPr>
          <w:sz w:val="24"/>
          <w:szCs w:val="24"/>
          <w:vertAlign w:val="subscript"/>
        </w:rPr>
        <w:t>max</w:t>
      </w:r>
      <w:proofErr w:type="spellEnd"/>
      <w:r w:rsidRPr="00A56CE1">
        <w:rPr>
          <w:sz w:val="24"/>
          <w:szCs w:val="24"/>
        </w:rPr>
        <w:t xml:space="preserve"> og AUC) i forhold til hos unge raske kontrolpersoner (i alderen ≤45 år) efter gentagne doser på 10 mg/dag. Den laveste virksomme dosis på 5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 bør altid anvendes som startdosis til patienter ≥65 år (se pkt. 4.2), og der skal udvises forsigtighed ved ordination af doser over 10 mg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en gang dagligt til ældre patienter (se pkt. 4.4).</w:t>
      </w:r>
    </w:p>
    <w:p w14:paraId="416F48E6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654C6E74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Nedsat nyrefunktion</w:t>
      </w:r>
    </w:p>
    <w:p w14:paraId="6B201035" w14:textId="7BCD6994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Efter en enkelt dosis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 10 mg forårsagede nedsat nyrefunktion – estimeret i henhold til </w:t>
      </w:r>
      <w:proofErr w:type="spellStart"/>
      <w:r w:rsidRPr="00A56CE1">
        <w:rPr>
          <w:sz w:val="24"/>
          <w:szCs w:val="24"/>
        </w:rPr>
        <w:t>Cockcroft</w:t>
      </w:r>
      <w:proofErr w:type="spellEnd"/>
      <w:r w:rsidRPr="00A56CE1">
        <w:rPr>
          <w:sz w:val="24"/>
          <w:szCs w:val="24"/>
        </w:rPr>
        <w:t>-</w:t>
      </w:r>
      <w:proofErr w:type="spellStart"/>
      <w:r w:rsidRPr="00A56CE1">
        <w:rPr>
          <w:sz w:val="24"/>
          <w:szCs w:val="24"/>
        </w:rPr>
        <w:t>Gault</w:t>
      </w:r>
      <w:proofErr w:type="spellEnd"/>
      <w:r w:rsidRPr="00A56CE1">
        <w:rPr>
          <w:sz w:val="24"/>
          <w:szCs w:val="24"/>
        </w:rPr>
        <w:t xml:space="preserve">-formlen (let, moderat eller svær; n=8 pr. gruppe) – moderate stigninger i eksponeringen (op til 30 %) sammenlignet med raske, matchende kontrolpersoner. Hos patienter med nyresygdom i terminalfasen gik kun en lille andel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tabt under dialyse (AUC og </w:t>
      </w:r>
      <w:proofErr w:type="spellStart"/>
      <w:r w:rsidRPr="00A56CE1">
        <w:rPr>
          <w:sz w:val="24"/>
          <w:szCs w:val="24"/>
        </w:rPr>
        <w:t>C</w:t>
      </w:r>
      <w:r w:rsidRPr="00A56CE1">
        <w:rPr>
          <w:sz w:val="24"/>
          <w:szCs w:val="24"/>
          <w:vertAlign w:val="subscript"/>
        </w:rPr>
        <w:t>max</w:t>
      </w:r>
      <w:proofErr w:type="spellEnd"/>
      <w:r w:rsidRPr="00A56CE1">
        <w:rPr>
          <w:sz w:val="24"/>
          <w:szCs w:val="24"/>
        </w:rPr>
        <w:t xml:space="preserve"> var henholdsvis 13 % og 27 % lavere; n=8) efter en enkelt dosis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 10 mg. Dosisjustering på baggrund af nyrefunktion er ikke nødvendig (se pkt. 4.2 og 4.4).</w:t>
      </w:r>
    </w:p>
    <w:p w14:paraId="481AB93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440457A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>Nedsat leverfunktion</w:t>
      </w:r>
    </w:p>
    <w:p w14:paraId="70B632A2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Farmakokinetikken hos patienter (N=6-8) med let, moderat eller svært nedsat leverfunktion </w:t>
      </w:r>
    </w:p>
    <w:p w14:paraId="616BF1DA" w14:textId="6085307F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(henholdsvis Child-</w:t>
      </w:r>
      <w:proofErr w:type="spellStart"/>
      <w:r w:rsidRPr="00A56CE1">
        <w:rPr>
          <w:sz w:val="24"/>
          <w:szCs w:val="24"/>
        </w:rPr>
        <w:t>Pugh</w:t>
      </w:r>
      <w:proofErr w:type="spellEnd"/>
      <w:r w:rsidRPr="00A56CE1">
        <w:rPr>
          <w:sz w:val="24"/>
          <w:szCs w:val="24"/>
        </w:rPr>
        <w:t xml:space="preserve">-klasse A, B eller C) blev sammenlignet med den hos raske frivillige. Ændringerne i AUC var under 10 % lavere hos patienter med let eller moderat nedsat leverfunktion og 10 % højere hos patienter med svært nedsat leverfunktion. Ændringerne i </w:t>
      </w:r>
      <w:proofErr w:type="spellStart"/>
      <w:r w:rsidRPr="00A56CE1">
        <w:rPr>
          <w:sz w:val="24"/>
          <w:szCs w:val="24"/>
        </w:rPr>
        <w:t>C</w:t>
      </w:r>
      <w:r w:rsidRPr="00A56CE1">
        <w:rPr>
          <w:sz w:val="24"/>
          <w:szCs w:val="24"/>
          <w:vertAlign w:val="subscript"/>
        </w:rPr>
        <w:t>max</w:t>
      </w:r>
      <w:proofErr w:type="spellEnd"/>
      <w:r w:rsidRPr="00A56CE1">
        <w:rPr>
          <w:sz w:val="24"/>
          <w:szCs w:val="24"/>
        </w:rPr>
        <w:t xml:space="preserve"> var under 25 % lavere i alle grupper. Dosisjustering på baggrund af leverfunktion er ikke nødvendig (se pkt. 4.2 og 4.4).</w:t>
      </w:r>
    </w:p>
    <w:p w14:paraId="052A187B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AF9E9D2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 xml:space="preserve">CYP2D6-genotyper </w:t>
      </w:r>
    </w:p>
    <w:p w14:paraId="208BED8A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Plasmakoncentrationen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var ca. dobbelt så høj hos patienter med nedsat CYP2D6- metabolisme i forhold til patienter med normal metabolisme. Co-administration af potente CYP3A4/2C9-hæmmere til patienter med nedsat CYP2D6-metabolisme kan potentielt resultere i højere eksponering (se pkt. 4.5). </w:t>
      </w:r>
    </w:p>
    <w:p w14:paraId="33248F37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1C9700C8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Hos patienter med ultrahurtig CYP2D6-metabolisme lå plasmakoncentrationen ved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10 mg/dag mellem de plasmakoncentrationer, som blev opnået med henholdsvis 5 mg/dag og 10 mg/dag hos patienter med hurtig CYP2D6-metabolisme. Justering af dosis kan overvejes, afhængigt af den enkelte patients respons (se pkt. 4.2). </w:t>
      </w:r>
    </w:p>
    <w:p w14:paraId="6805BD4A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F3BA868" w14:textId="77777777" w:rsidR="007C7A27" w:rsidRPr="00A56CE1" w:rsidRDefault="007C7A27" w:rsidP="004766C8">
      <w:pPr>
        <w:ind w:left="851"/>
        <w:rPr>
          <w:i/>
          <w:iCs/>
          <w:sz w:val="24"/>
          <w:szCs w:val="24"/>
        </w:rPr>
      </w:pPr>
      <w:r w:rsidRPr="00A56CE1">
        <w:rPr>
          <w:i/>
          <w:iCs/>
          <w:sz w:val="24"/>
          <w:szCs w:val="24"/>
        </w:rPr>
        <w:t xml:space="preserve">Pædiatrisk population </w:t>
      </w:r>
    </w:p>
    <w:p w14:paraId="6EB88687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farmakokinetik hos pædiatriske patienter med moderate til svære depressive episoder efter oral administration af 5 til 20 mg én gang dagligt blev karakteriseret vha. populationsmodelleringsanalyser baseret på data fra et </w:t>
      </w:r>
      <w:proofErr w:type="spellStart"/>
      <w:r w:rsidRPr="00A56CE1">
        <w:rPr>
          <w:sz w:val="24"/>
          <w:szCs w:val="24"/>
        </w:rPr>
        <w:t>farmakokinetisk</w:t>
      </w:r>
      <w:proofErr w:type="spellEnd"/>
      <w:r w:rsidRPr="00A56CE1">
        <w:rPr>
          <w:sz w:val="24"/>
          <w:szCs w:val="24"/>
        </w:rPr>
        <w:t xml:space="preserve"> studie (7-17 år) samt to studier af virkning og sikkerhed (7-17 år). </w:t>
      </w:r>
      <w:proofErr w:type="spellStart"/>
      <w:r w:rsidRPr="00A56CE1">
        <w:rPr>
          <w:sz w:val="24"/>
          <w:szCs w:val="24"/>
        </w:rPr>
        <w:t>Vortioxetins</w:t>
      </w:r>
      <w:proofErr w:type="spellEnd"/>
      <w:r w:rsidRPr="00A56CE1">
        <w:rPr>
          <w:sz w:val="24"/>
          <w:szCs w:val="24"/>
        </w:rPr>
        <w:t xml:space="preserve"> farmakokinetik hos pædiatriske patienter svarede til den, der er observeret hos voksne.</w:t>
      </w:r>
    </w:p>
    <w:p w14:paraId="17C2BAF4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8AF12B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5.3</w:t>
      </w:r>
      <w:r w:rsidRPr="00A56CE1">
        <w:rPr>
          <w:b/>
          <w:sz w:val="24"/>
          <w:szCs w:val="24"/>
        </w:rPr>
        <w:tab/>
      </w:r>
      <w:r w:rsidR="00BD7931" w:rsidRPr="00A56CE1">
        <w:rPr>
          <w:b/>
          <w:sz w:val="24"/>
          <w:szCs w:val="24"/>
        </w:rPr>
        <w:t>Non-</w:t>
      </w:r>
      <w:r w:rsidRPr="00A56CE1">
        <w:rPr>
          <w:b/>
          <w:sz w:val="24"/>
          <w:szCs w:val="24"/>
        </w:rPr>
        <w:t>kliniske sikkerhedsdata</w:t>
      </w:r>
    </w:p>
    <w:p w14:paraId="7E7B7B32" w14:textId="2362999E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de generelle toksicitetsstudier var administration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til mus, rotter og hunde især forbundet med CNS-relaterede kliniske symptomer. De omfatter spytflåd (rotte og </w:t>
      </w:r>
      <w:r w:rsidRPr="00A56CE1">
        <w:rPr>
          <w:sz w:val="24"/>
          <w:szCs w:val="24"/>
        </w:rPr>
        <w:lastRenderedPageBreak/>
        <w:t xml:space="preserve">hund), pupildilatation (hund) og to tilfælde af kramper hos hunde i det generelle toksicitetsstudieprogram. </w:t>
      </w:r>
    </w:p>
    <w:p w14:paraId="68B982E1" w14:textId="66DD52ED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Der blev påvist et dosisniveau uden effekt på tendensen til krampeanfald med en sikkerhedsmargin på 5 ved den maksimale anbefalede terapeutiske dosis på 20 mg/dag. Toksicitet i målorganer var begrænset til nyrer (rotter) og lever (mus og rotter). Forandringer i nyrerne hos rotter (</w:t>
      </w:r>
      <w:proofErr w:type="spellStart"/>
      <w:r w:rsidRPr="00A56CE1">
        <w:rPr>
          <w:sz w:val="24"/>
          <w:szCs w:val="24"/>
        </w:rPr>
        <w:t>glomerulonefritis</w:t>
      </w:r>
      <w:proofErr w:type="spellEnd"/>
      <w:r w:rsidRPr="00A56CE1">
        <w:rPr>
          <w:sz w:val="24"/>
          <w:szCs w:val="24"/>
        </w:rPr>
        <w:t xml:space="preserve">, obstruktion af </w:t>
      </w:r>
      <w:proofErr w:type="spellStart"/>
      <w:r w:rsidRPr="00A56CE1">
        <w:rPr>
          <w:sz w:val="24"/>
          <w:szCs w:val="24"/>
        </w:rPr>
        <w:t>nyretubuli</w:t>
      </w:r>
      <w:proofErr w:type="spellEnd"/>
      <w:r w:rsidRPr="00A56CE1">
        <w:rPr>
          <w:sz w:val="24"/>
          <w:szCs w:val="24"/>
        </w:rPr>
        <w:t xml:space="preserve">, krystallinsk materiale i </w:t>
      </w:r>
      <w:proofErr w:type="spellStart"/>
      <w:r w:rsidRPr="00A56CE1">
        <w:rPr>
          <w:sz w:val="24"/>
          <w:szCs w:val="24"/>
        </w:rPr>
        <w:t>nyretubuli</w:t>
      </w:r>
      <w:proofErr w:type="spellEnd"/>
      <w:r w:rsidRPr="00A56CE1">
        <w:rPr>
          <w:sz w:val="24"/>
          <w:szCs w:val="24"/>
        </w:rPr>
        <w:t>) og i leveren hos mus og rotter (</w:t>
      </w:r>
      <w:proofErr w:type="spellStart"/>
      <w:r w:rsidRPr="00A56CE1">
        <w:rPr>
          <w:sz w:val="24"/>
          <w:szCs w:val="24"/>
        </w:rPr>
        <w:t>hepatocellulær</w:t>
      </w:r>
      <w:proofErr w:type="spellEnd"/>
      <w:r w:rsidRPr="00A56CE1">
        <w:rPr>
          <w:sz w:val="24"/>
          <w:szCs w:val="24"/>
        </w:rPr>
        <w:t xml:space="preserve"> hypertrofi, </w:t>
      </w:r>
      <w:proofErr w:type="spellStart"/>
      <w:r w:rsidRPr="00A56CE1">
        <w:rPr>
          <w:sz w:val="24"/>
          <w:szCs w:val="24"/>
        </w:rPr>
        <w:t>hepatocytnekrose</w:t>
      </w:r>
      <w:proofErr w:type="spellEnd"/>
      <w:r w:rsidRPr="00A56CE1">
        <w:rPr>
          <w:sz w:val="24"/>
          <w:szCs w:val="24"/>
        </w:rPr>
        <w:t xml:space="preserve">, </w:t>
      </w:r>
      <w:proofErr w:type="spellStart"/>
      <w:r w:rsidRPr="00A56CE1">
        <w:rPr>
          <w:sz w:val="24"/>
          <w:szCs w:val="24"/>
        </w:rPr>
        <w:t>galdevejshyperplasi</w:t>
      </w:r>
      <w:proofErr w:type="spellEnd"/>
      <w:r w:rsidRPr="00A56CE1">
        <w:rPr>
          <w:sz w:val="24"/>
          <w:szCs w:val="24"/>
        </w:rPr>
        <w:t xml:space="preserve">, krystallinsk materiale i galdegange) forekom ved eksponeringer over 10 gange (mus) og 2 gange (rotter) den humane eksponering ved den maksimale anbefalede terapeutiske dosis på 20 mg/dag. Disse fund blev især tilskrevet obstruktion af henholdsvis </w:t>
      </w:r>
      <w:proofErr w:type="spellStart"/>
      <w:r w:rsidRPr="00A56CE1">
        <w:rPr>
          <w:sz w:val="24"/>
          <w:szCs w:val="24"/>
        </w:rPr>
        <w:t>nyretubuli</w:t>
      </w:r>
      <w:proofErr w:type="spellEnd"/>
      <w:r w:rsidRPr="00A56CE1">
        <w:rPr>
          <w:sz w:val="24"/>
          <w:szCs w:val="24"/>
        </w:rPr>
        <w:t xml:space="preserve"> og galdegange forårsaget af gnaverspecifikke </w:t>
      </w:r>
    </w:p>
    <w:p w14:paraId="2FDEDB9D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-relateret krystallinske forbindelser, og risikoen anses for at være lav hos mennesker.</w:t>
      </w:r>
    </w:p>
    <w:p w14:paraId="139BE2C4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5E572CAD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var ikke genotoksisk i en standardrække af </w:t>
      </w:r>
      <w:r w:rsidRPr="00A56CE1">
        <w:rPr>
          <w:i/>
          <w:iCs/>
          <w:sz w:val="24"/>
          <w:szCs w:val="24"/>
        </w:rPr>
        <w:t xml:space="preserve">in </w:t>
      </w:r>
      <w:proofErr w:type="spellStart"/>
      <w:r w:rsidRPr="00A56CE1">
        <w:rPr>
          <w:i/>
          <w:iCs/>
          <w:sz w:val="24"/>
          <w:szCs w:val="24"/>
        </w:rPr>
        <w:t>vitro</w:t>
      </w:r>
      <w:proofErr w:type="spellEnd"/>
      <w:r w:rsidRPr="00A56CE1">
        <w:rPr>
          <w:i/>
          <w:iCs/>
          <w:sz w:val="24"/>
          <w:szCs w:val="24"/>
        </w:rPr>
        <w:t>-</w:t>
      </w:r>
      <w:r w:rsidRPr="00A56CE1">
        <w:rPr>
          <w:sz w:val="24"/>
          <w:szCs w:val="24"/>
        </w:rPr>
        <w:t xml:space="preserve"> og </w:t>
      </w:r>
      <w:r w:rsidRPr="00A56CE1">
        <w:rPr>
          <w:i/>
          <w:iCs/>
          <w:sz w:val="24"/>
          <w:szCs w:val="24"/>
        </w:rPr>
        <w:t xml:space="preserve">in </w:t>
      </w:r>
      <w:proofErr w:type="spellStart"/>
      <w:r w:rsidRPr="00A56CE1">
        <w:rPr>
          <w:i/>
          <w:iCs/>
          <w:sz w:val="24"/>
          <w:szCs w:val="24"/>
        </w:rPr>
        <w:t>vivo</w:t>
      </w:r>
      <w:proofErr w:type="spellEnd"/>
      <w:r w:rsidRPr="00A56CE1">
        <w:rPr>
          <w:i/>
          <w:iCs/>
          <w:sz w:val="24"/>
          <w:szCs w:val="24"/>
        </w:rPr>
        <w:t>-</w:t>
      </w:r>
      <w:r w:rsidRPr="00A56CE1">
        <w:rPr>
          <w:sz w:val="24"/>
          <w:szCs w:val="24"/>
        </w:rPr>
        <w:t>tests.</w:t>
      </w:r>
    </w:p>
    <w:p w14:paraId="5159E0E2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4330B00" w14:textId="53C332F3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Ud fra resultaterne fra konventionelle toårige </w:t>
      </w:r>
      <w:proofErr w:type="spellStart"/>
      <w:r w:rsidRPr="00A56CE1">
        <w:rPr>
          <w:sz w:val="24"/>
          <w:szCs w:val="24"/>
        </w:rPr>
        <w:t>karcinogenicitetsstudier</w:t>
      </w:r>
      <w:proofErr w:type="spellEnd"/>
      <w:r w:rsidRPr="00A56CE1">
        <w:rPr>
          <w:sz w:val="24"/>
          <w:szCs w:val="24"/>
        </w:rPr>
        <w:t xml:space="preserve"> hos mus og rotter anses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ikke for at indebære en risiko for </w:t>
      </w:r>
      <w:proofErr w:type="spellStart"/>
      <w:r w:rsidRPr="00A56CE1">
        <w:rPr>
          <w:sz w:val="24"/>
          <w:szCs w:val="24"/>
        </w:rPr>
        <w:t>karcinogenicitet</w:t>
      </w:r>
      <w:proofErr w:type="spellEnd"/>
      <w:r w:rsidRPr="00A56CE1">
        <w:rPr>
          <w:sz w:val="24"/>
          <w:szCs w:val="24"/>
        </w:rPr>
        <w:t xml:space="preserve"> hos mennesker.</w:t>
      </w:r>
    </w:p>
    <w:p w14:paraId="7539CAC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2FD1592D" w14:textId="65A711CF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påvirkede ikke rotters fertilitet, parringsadfærd, reproduktionsorganer eller sædmorfologi og -</w:t>
      </w:r>
      <w:proofErr w:type="spellStart"/>
      <w:r w:rsidRPr="00A56CE1">
        <w:rPr>
          <w:sz w:val="24"/>
          <w:szCs w:val="24"/>
        </w:rPr>
        <w:t>motilitet</w:t>
      </w:r>
      <w:proofErr w:type="spellEnd"/>
      <w:r w:rsidRPr="00A56CE1">
        <w:rPr>
          <w:sz w:val="24"/>
          <w:szCs w:val="24"/>
        </w:rPr>
        <w:t xml:space="preserve">.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var ikke </w:t>
      </w:r>
      <w:proofErr w:type="spellStart"/>
      <w:r w:rsidRPr="00A56CE1">
        <w:rPr>
          <w:sz w:val="24"/>
          <w:szCs w:val="24"/>
        </w:rPr>
        <w:t>teratogent</w:t>
      </w:r>
      <w:proofErr w:type="spellEnd"/>
      <w:r w:rsidRPr="00A56CE1">
        <w:rPr>
          <w:sz w:val="24"/>
          <w:szCs w:val="24"/>
        </w:rPr>
        <w:t xml:space="preserve"> hos rotter og kaniner, men der er set reproduktionstoksicitet i form af påvirkning af fostervægt og forsinket </w:t>
      </w:r>
      <w:proofErr w:type="spellStart"/>
      <w:r w:rsidRPr="00A56CE1">
        <w:rPr>
          <w:sz w:val="24"/>
          <w:szCs w:val="24"/>
        </w:rPr>
        <w:t>ossifikation</w:t>
      </w:r>
      <w:proofErr w:type="spellEnd"/>
      <w:r w:rsidRPr="00A56CE1">
        <w:rPr>
          <w:sz w:val="24"/>
          <w:szCs w:val="24"/>
        </w:rPr>
        <w:t xml:space="preserve"> hos rotter ved eksponering for mere end 10 gange den humane eksponering ved den maksimale anbefalede terapeutiske dosis på 20 mg/dag. Tilsvarende påvirkning sås hos kaniner ved subterapeutisk eksponering.</w:t>
      </w:r>
    </w:p>
    <w:p w14:paraId="0D56EE9D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9AA3EE6" w14:textId="2B6FED21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I et præ- og </w:t>
      </w:r>
      <w:proofErr w:type="spellStart"/>
      <w:r w:rsidRPr="00A56CE1">
        <w:rPr>
          <w:sz w:val="24"/>
          <w:szCs w:val="24"/>
        </w:rPr>
        <w:t>postnatalt</w:t>
      </w:r>
      <w:proofErr w:type="spellEnd"/>
      <w:r w:rsidRPr="00A56CE1">
        <w:rPr>
          <w:sz w:val="24"/>
          <w:szCs w:val="24"/>
        </w:rPr>
        <w:t xml:space="preserve"> studie hos rotter blev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sat i forbindelse med øget mortalitet hos afkommet, nedsat vægtstigning og forsinket udvikling af afkommet ved doser, der ikke medførte toksicitet hos moderdyret, og resulterede i eksponeringer svarende til niveauet hos mennesker efter administration af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20 mg/dag (se pkt. 4.6).</w:t>
      </w:r>
    </w:p>
    <w:p w14:paraId="533BC1D0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45041E2D" w14:textId="27E641DD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>-relaterede forbindelser blev udskilt i mælken hos diegivende rotter (se pkt. 4.6).</w:t>
      </w:r>
      <w:r w:rsidR="00A411DD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t xml:space="preserve">I toksicitetsstudier hos juvenile rotter stemte alle fund relateret til behandling med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overens med fundene hos voksne dyr.</w:t>
      </w:r>
    </w:p>
    <w:p w14:paraId="4A0680E2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768B4473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Miljørisikovurderingsstudier har vist, at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har potentiale til at være </w:t>
      </w:r>
      <w:proofErr w:type="spellStart"/>
      <w:r w:rsidRPr="00A56CE1">
        <w:rPr>
          <w:sz w:val="24"/>
          <w:szCs w:val="24"/>
        </w:rPr>
        <w:t>persistent</w:t>
      </w:r>
      <w:proofErr w:type="spellEnd"/>
      <w:r w:rsidRPr="00A56CE1">
        <w:rPr>
          <w:sz w:val="24"/>
          <w:szCs w:val="24"/>
        </w:rPr>
        <w:t xml:space="preserve">, </w:t>
      </w:r>
    </w:p>
    <w:p w14:paraId="132E79EA" w14:textId="7FE8D264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 xml:space="preserve">bioakkumulerende og toksisk for miljøet (skadeligt for fisk). Ved den anbefalede brug til patienter anses </w:t>
      </w:r>
      <w:proofErr w:type="spellStart"/>
      <w:r w:rsidRPr="00A56CE1">
        <w:rPr>
          <w:sz w:val="24"/>
          <w:szCs w:val="24"/>
        </w:rPr>
        <w:t>vortioxetin</w:t>
      </w:r>
      <w:proofErr w:type="spellEnd"/>
      <w:r w:rsidRPr="00A56CE1">
        <w:rPr>
          <w:sz w:val="24"/>
          <w:szCs w:val="24"/>
        </w:rPr>
        <w:t xml:space="preserve"> imidlertid at udgøre en ubetydelig risiko for vandmiljøet og landmiljøet (se pkt. 6.6).</w:t>
      </w:r>
    </w:p>
    <w:p w14:paraId="5E9822F5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81F364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62EEDC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6.</w:t>
      </w:r>
      <w:r w:rsidRPr="00A56CE1">
        <w:rPr>
          <w:b/>
          <w:sz w:val="24"/>
          <w:szCs w:val="24"/>
        </w:rPr>
        <w:tab/>
        <w:t>FARMACEUTISKE OPLYSNINGER</w:t>
      </w:r>
    </w:p>
    <w:p w14:paraId="67725C37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489235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6.1</w:t>
      </w:r>
      <w:r w:rsidRPr="00A56CE1">
        <w:rPr>
          <w:b/>
          <w:sz w:val="24"/>
          <w:szCs w:val="24"/>
        </w:rPr>
        <w:tab/>
        <w:t>Hjælpestoffer</w:t>
      </w:r>
    </w:p>
    <w:p w14:paraId="19D7324A" w14:textId="77777777" w:rsidR="00A411DD" w:rsidRDefault="00A411DD" w:rsidP="004766C8">
      <w:pPr>
        <w:ind w:left="851"/>
        <w:rPr>
          <w:sz w:val="24"/>
          <w:szCs w:val="24"/>
        </w:rPr>
      </w:pPr>
    </w:p>
    <w:p w14:paraId="307B1834" w14:textId="47797701" w:rsidR="007C7A27" w:rsidRPr="00A411DD" w:rsidRDefault="007C7A27" w:rsidP="004766C8">
      <w:pPr>
        <w:ind w:left="851"/>
        <w:rPr>
          <w:i/>
          <w:sz w:val="24"/>
          <w:szCs w:val="24"/>
          <w:u w:val="single"/>
        </w:rPr>
      </w:pPr>
      <w:r w:rsidRPr="00A411DD">
        <w:rPr>
          <w:i/>
          <w:sz w:val="24"/>
          <w:szCs w:val="24"/>
          <w:u w:val="single"/>
        </w:rPr>
        <w:t>Tabletkerne</w:t>
      </w:r>
    </w:p>
    <w:p w14:paraId="7D5C50AA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Mannitol</w:t>
      </w:r>
      <w:proofErr w:type="spellEnd"/>
      <w:r w:rsidRPr="00A56CE1">
        <w:rPr>
          <w:sz w:val="24"/>
          <w:szCs w:val="24"/>
        </w:rPr>
        <w:t xml:space="preserve"> (E421)</w:t>
      </w:r>
    </w:p>
    <w:p w14:paraId="598F83ED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Mikrokrystallinsk cellulose</w:t>
      </w:r>
    </w:p>
    <w:p w14:paraId="71C50E8F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Hydroxypropylcellulose</w:t>
      </w:r>
      <w:proofErr w:type="spellEnd"/>
    </w:p>
    <w:p w14:paraId="2FCC80A2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Natriumstivelsesglycolat</w:t>
      </w:r>
      <w:proofErr w:type="spellEnd"/>
      <w:r w:rsidRPr="00A56CE1">
        <w:rPr>
          <w:sz w:val="24"/>
          <w:szCs w:val="24"/>
        </w:rPr>
        <w:t xml:space="preserve"> </w:t>
      </w:r>
    </w:p>
    <w:p w14:paraId="536F83EB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Magnesiumstearat</w:t>
      </w:r>
      <w:proofErr w:type="spellEnd"/>
    </w:p>
    <w:p w14:paraId="7824A9A1" w14:textId="77777777" w:rsidR="007C7A27" w:rsidRPr="00A56CE1" w:rsidRDefault="007C7A27" w:rsidP="004766C8">
      <w:pPr>
        <w:ind w:left="851"/>
        <w:rPr>
          <w:sz w:val="24"/>
          <w:szCs w:val="24"/>
        </w:rPr>
      </w:pPr>
    </w:p>
    <w:p w14:paraId="318C8ED5" w14:textId="77777777" w:rsidR="007C7A27" w:rsidRPr="00A411DD" w:rsidRDefault="007C7A27" w:rsidP="004766C8">
      <w:pPr>
        <w:ind w:left="851"/>
        <w:rPr>
          <w:i/>
          <w:sz w:val="24"/>
          <w:szCs w:val="24"/>
          <w:u w:val="single"/>
        </w:rPr>
      </w:pPr>
      <w:r w:rsidRPr="00A411DD">
        <w:rPr>
          <w:i/>
          <w:sz w:val="24"/>
          <w:szCs w:val="24"/>
          <w:u w:val="single"/>
        </w:rPr>
        <w:t>Tabletovertræk</w:t>
      </w:r>
    </w:p>
    <w:p w14:paraId="78505944" w14:textId="03695233" w:rsidR="007C7A27" w:rsidRPr="00A56CE1" w:rsidRDefault="00921827" w:rsidP="004766C8">
      <w:pPr>
        <w:ind w:left="851"/>
        <w:rPr>
          <w:sz w:val="24"/>
          <w:szCs w:val="24"/>
        </w:rPr>
      </w:pPr>
      <w:proofErr w:type="spellStart"/>
      <w:r w:rsidRPr="00A411DD">
        <w:rPr>
          <w:i/>
          <w:sz w:val="24"/>
          <w:szCs w:val="24"/>
        </w:rPr>
        <w:t>Vortioxetine</w:t>
      </w:r>
      <w:proofErr w:type="spellEnd"/>
      <w:r w:rsidRPr="00A411DD">
        <w:rPr>
          <w:i/>
          <w:sz w:val="24"/>
          <w:szCs w:val="24"/>
        </w:rPr>
        <w:t xml:space="preserve"> "</w:t>
      </w:r>
      <w:proofErr w:type="spellStart"/>
      <w:r w:rsidRPr="00A411DD">
        <w:rPr>
          <w:i/>
          <w:sz w:val="24"/>
          <w:szCs w:val="24"/>
        </w:rPr>
        <w:t>Stada</w:t>
      </w:r>
      <w:proofErr w:type="spellEnd"/>
      <w:r w:rsidRPr="00A411DD">
        <w:rPr>
          <w:i/>
          <w:sz w:val="24"/>
          <w:szCs w:val="24"/>
        </w:rPr>
        <w:t>"</w:t>
      </w:r>
      <w:r w:rsidR="007C7A27" w:rsidRPr="00A411DD">
        <w:rPr>
          <w:i/>
          <w:sz w:val="24"/>
          <w:szCs w:val="24"/>
        </w:rPr>
        <w:t xml:space="preserve"> 5 mg filmovertrukne tabletter</w:t>
      </w:r>
      <w:r w:rsidR="007C7A27" w:rsidRPr="00A411DD">
        <w:rPr>
          <w:i/>
          <w:sz w:val="24"/>
          <w:szCs w:val="24"/>
        </w:rPr>
        <w:br/>
      </w:r>
      <w:proofErr w:type="spellStart"/>
      <w:r w:rsidR="007C7A27" w:rsidRPr="00A56CE1">
        <w:rPr>
          <w:sz w:val="24"/>
          <w:szCs w:val="24"/>
        </w:rPr>
        <w:t>Hypromellose</w:t>
      </w:r>
      <w:proofErr w:type="spellEnd"/>
    </w:p>
    <w:p w14:paraId="3D7D8861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r w:rsidRPr="00BD07FC">
        <w:rPr>
          <w:sz w:val="24"/>
          <w:szCs w:val="24"/>
          <w:lang w:val="en-US"/>
        </w:rPr>
        <w:t xml:space="preserve">Macrogol </w:t>
      </w:r>
    </w:p>
    <w:p w14:paraId="13E5C2B0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proofErr w:type="spellStart"/>
      <w:r w:rsidRPr="00BD07FC">
        <w:rPr>
          <w:sz w:val="24"/>
          <w:szCs w:val="24"/>
          <w:lang w:val="en-US"/>
        </w:rPr>
        <w:t>Titandioxid</w:t>
      </w:r>
      <w:proofErr w:type="spellEnd"/>
      <w:r w:rsidRPr="00BD07FC">
        <w:rPr>
          <w:sz w:val="24"/>
          <w:szCs w:val="24"/>
          <w:lang w:val="en-US"/>
        </w:rPr>
        <w:t xml:space="preserve"> (E171) </w:t>
      </w:r>
    </w:p>
    <w:p w14:paraId="706A9E6B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proofErr w:type="spellStart"/>
      <w:r w:rsidRPr="00BD07FC">
        <w:rPr>
          <w:sz w:val="24"/>
          <w:szCs w:val="24"/>
          <w:lang w:val="en-US"/>
        </w:rPr>
        <w:t>Jernoxid</w:t>
      </w:r>
      <w:proofErr w:type="spellEnd"/>
      <w:r w:rsidRPr="00BD07FC">
        <w:rPr>
          <w:sz w:val="24"/>
          <w:szCs w:val="24"/>
          <w:lang w:val="en-US"/>
        </w:rPr>
        <w:t xml:space="preserve">, </w:t>
      </w:r>
      <w:proofErr w:type="spellStart"/>
      <w:r w:rsidRPr="00BD07FC">
        <w:rPr>
          <w:sz w:val="24"/>
          <w:szCs w:val="24"/>
          <w:lang w:val="en-US"/>
        </w:rPr>
        <w:t>rød</w:t>
      </w:r>
      <w:proofErr w:type="spellEnd"/>
      <w:r w:rsidRPr="00BD07FC">
        <w:rPr>
          <w:sz w:val="24"/>
          <w:szCs w:val="24"/>
          <w:lang w:val="en-US"/>
        </w:rPr>
        <w:t xml:space="preserve"> (E172)</w:t>
      </w:r>
    </w:p>
    <w:p w14:paraId="454C6FD3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</w:p>
    <w:p w14:paraId="206ABC5C" w14:textId="12F8DAD5" w:rsidR="007C7A27" w:rsidRPr="00A411DD" w:rsidRDefault="00921827" w:rsidP="004766C8">
      <w:pPr>
        <w:ind w:left="851"/>
        <w:rPr>
          <w:i/>
          <w:sz w:val="24"/>
          <w:szCs w:val="24"/>
        </w:rPr>
      </w:pPr>
      <w:proofErr w:type="spellStart"/>
      <w:r w:rsidRPr="00A411DD">
        <w:rPr>
          <w:i/>
          <w:sz w:val="24"/>
          <w:szCs w:val="24"/>
        </w:rPr>
        <w:t>Vortioxetine</w:t>
      </w:r>
      <w:proofErr w:type="spellEnd"/>
      <w:r w:rsidRPr="00A411DD">
        <w:rPr>
          <w:i/>
          <w:sz w:val="24"/>
          <w:szCs w:val="24"/>
        </w:rPr>
        <w:t xml:space="preserve"> "</w:t>
      </w:r>
      <w:proofErr w:type="spellStart"/>
      <w:r w:rsidRPr="00A411DD">
        <w:rPr>
          <w:i/>
          <w:sz w:val="24"/>
          <w:szCs w:val="24"/>
        </w:rPr>
        <w:t>Stada</w:t>
      </w:r>
      <w:proofErr w:type="spellEnd"/>
      <w:r w:rsidRPr="00A411DD">
        <w:rPr>
          <w:i/>
          <w:sz w:val="24"/>
          <w:szCs w:val="24"/>
        </w:rPr>
        <w:t>"</w:t>
      </w:r>
      <w:r w:rsidR="007C7A27" w:rsidRPr="00A411DD">
        <w:rPr>
          <w:i/>
          <w:sz w:val="24"/>
          <w:szCs w:val="24"/>
        </w:rPr>
        <w:t xml:space="preserve"> 10 mg filmovertrukne tabletter</w:t>
      </w:r>
    </w:p>
    <w:p w14:paraId="39C8CC92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Hypromellose</w:t>
      </w:r>
      <w:proofErr w:type="spellEnd"/>
    </w:p>
    <w:p w14:paraId="675CCAE3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r w:rsidRPr="00BD07FC">
        <w:rPr>
          <w:sz w:val="24"/>
          <w:szCs w:val="24"/>
          <w:lang w:val="en-US"/>
        </w:rPr>
        <w:t xml:space="preserve">Macrogol </w:t>
      </w:r>
    </w:p>
    <w:p w14:paraId="6DE05C1A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proofErr w:type="spellStart"/>
      <w:r w:rsidRPr="00BD07FC">
        <w:rPr>
          <w:sz w:val="24"/>
          <w:szCs w:val="24"/>
          <w:lang w:val="en-US"/>
        </w:rPr>
        <w:t>Titandioxid</w:t>
      </w:r>
      <w:proofErr w:type="spellEnd"/>
      <w:r w:rsidRPr="00BD07FC">
        <w:rPr>
          <w:sz w:val="24"/>
          <w:szCs w:val="24"/>
          <w:lang w:val="en-US"/>
        </w:rPr>
        <w:t xml:space="preserve"> (E171) </w:t>
      </w:r>
    </w:p>
    <w:p w14:paraId="533A3207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proofErr w:type="spellStart"/>
      <w:r w:rsidRPr="00BD07FC">
        <w:rPr>
          <w:sz w:val="24"/>
          <w:szCs w:val="24"/>
          <w:lang w:val="en-US"/>
        </w:rPr>
        <w:t>Jernoxid</w:t>
      </w:r>
      <w:proofErr w:type="spellEnd"/>
      <w:r w:rsidRPr="00BD07FC">
        <w:rPr>
          <w:sz w:val="24"/>
          <w:szCs w:val="24"/>
          <w:lang w:val="en-US"/>
        </w:rPr>
        <w:t xml:space="preserve">, </w:t>
      </w:r>
      <w:proofErr w:type="spellStart"/>
      <w:r w:rsidRPr="00BD07FC">
        <w:rPr>
          <w:sz w:val="24"/>
          <w:szCs w:val="24"/>
          <w:lang w:val="en-US"/>
        </w:rPr>
        <w:t>gul</w:t>
      </w:r>
      <w:proofErr w:type="spellEnd"/>
      <w:r w:rsidRPr="00BD07FC">
        <w:rPr>
          <w:sz w:val="24"/>
          <w:szCs w:val="24"/>
          <w:lang w:val="en-US"/>
        </w:rPr>
        <w:t xml:space="preserve"> (E172)</w:t>
      </w:r>
    </w:p>
    <w:p w14:paraId="7A9E15A0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</w:p>
    <w:p w14:paraId="1DB08839" w14:textId="5FE11F92" w:rsidR="007C7A27" w:rsidRPr="00A411DD" w:rsidRDefault="00921827" w:rsidP="004766C8">
      <w:pPr>
        <w:ind w:left="851"/>
        <w:rPr>
          <w:i/>
          <w:sz w:val="24"/>
          <w:szCs w:val="24"/>
        </w:rPr>
      </w:pPr>
      <w:proofErr w:type="spellStart"/>
      <w:r w:rsidRPr="00A411DD">
        <w:rPr>
          <w:i/>
          <w:sz w:val="24"/>
          <w:szCs w:val="24"/>
        </w:rPr>
        <w:t>Vortioxetine</w:t>
      </w:r>
      <w:proofErr w:type="spellEnd"/>
      <w:r w:rsidRPr="00A411DD">
        <w:rPr>
          <w:i/>
          <w:sz w:val="24"/>
          <w:szCs w:val="24"/>
        </w:rPr>
        <w:t xml:space="preserve"> "</w:t>
      </w:r>
      <w:proofErr w:type="spellStart"/>
      <w:r w:rsidRPr="00A411DD">
        <w:rPr>
          <w:i/>
          <w:sz w:val="24"/>
          <w:szCs w:val="24"/>
        </w:rPr>
        <w:t>Stada</w:t>
      </w:r>
      <w:proofErr w:type="spellEnd"/>
      <w:r w:rsidRPr="00A411DD">
        <w:rPr>
          <w:i/>
          <w:sz w:val="24"/>
          <w:szCs w:val="24"/>
        </w:rPr>
        <w:t>"</w:t>
      </w:r>
      <w:r w:rsidR="007C7A27" w:rsidRPr="00A411DD">
        <w:rPr>
          <w:i/>
          <w:sz w:val="24"/>
          <w:szCs w:val="24"/>
        </w:rPr>
        <w:t xml:space="preserve"> 15 mg filmovertrukne tabletter</w:t>
      </w:r>
    </w:p>
    <w:p w14:paraId="1866B82B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Hypromellose</w:t>
      </w:r>
      <w:proofErr w:type="spellEnd"/>
    </w:p>
    <w:p w14:paraId="37B40BB5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r w:rsidRPr="00BD07FC">
        <w:rPr>
          <w:sz w:val="24"/>
          <w:szCs w:val="24"/>
          <w:lang w:val="en-US"/>
        </w:rPr>
        <w:t xml:space="preserve">Macrogol </w:t>
      </w:r>
    </w:p>
    <w:p w14:paraId="1132008A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proofErr w:type="spellStart"/>
      <w:r w:rsidRPr="00BD07FC">
        <w:rPr>
          <w:sz w:val="24"/>
          <w:szCs w:val="24"/>
          <w:lang w:val="en-US"/>
        </w:rPr>
        <w:t>Titandioxid</w:t>
      </w:r>
      <w:proofErr w:type="spellEnd"/>
      <w:r w:rsidRPr="00BD07FC">
        <w:rPr>
          <w:sz w:val="24"/>
          <w:szCs w:val="24"/>
          <w:lang w:val="en-US"/>
        </w:rPr>
        <w:t xml:space="preserve"> (E171) </w:t>
      </w:r>
    </w:p>
    <w:p w14:paraId="464B632F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proofErr w:type="spellStart"/>
      <w:r w:rsidRPr="00BD07FC">
        <w:rPr>
          <w:sz w:val="24"/>
          <w:szCs w:val="24"/>
          <w:lang w:val="en-US"/>
        </w:rPr>
        <w:t>Jernoxid</w:t>
      </w:r>
      <w:proofErr w:type="spellEnd"/>
      <w:r w:rsidRPr="00BD07FC">
        <w:rPr>
          <w:sz w:val="24"/>
          <w:szCs w:val="24"/>
          <w:lang w:val="en-US"/>
        </w:rPr>
        <w:t xml:space="preserve">, </w:t>
      </w:r>
      <w:proofErr w:type="spellStart"/>
      <w:r w:rsidRPr="00BD07FC">
        <w:rPr>
          <w:sz w:val="24"/>
          <w:szCs w:val="24"/>
          <w:lang w:val="en-US"/>
        </w:rPr>
        <w:t>gul</w:t>
      </w:r>
      <w:proofErr w:type="spellEnd"/>
      <w:r w:rsidRPr="00BD07FC">
        <w:rPr>
          <w:sz w:val="24"/>
          <w:szCs w:val="24"/>
          <w:lang w:val="en-US"/>
        </w:rPr>
        <w:t xml:space="preserve"> (E172)</w:t>
      </w:r>
    </w:p>
    <w:p w14:paraId="5528CCA0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</w:p>
    <w:p w14:paraId="193F0C11" w14:textId="3EDDC671" w:rsidR="007C7A27" w:rsidRPr="00A411DD" w:rsidRDefault="00921827" w:rsidP="004766C8">
      <w:pPr>
        <w:ind w:left="851"/>
        <w:rPr>
          <w:i/>
          <w:sz w:val="24"/>
          <w:szCs w:val="24"/>
        </w:rPr>
      </w:pPr>
      <w:proofErr w:type="spellStart"/>
      <w:r w:rsidRPr="00A411DD">
        <w:rPr>
          <w:i/>
          <w:sz w:val="24"/>
          <w:szCs w:val="24"/>
        </w:rPr>
        <w:t>Vortioxetine</w:t>
      </w:r>
      <w:proofErr w:type="spellEnd"/>
      <w:r w:rsidRPr="00A411DD">
        <w:rPr>
          <w:i/>
          <w:sz w:val="24"/>
          <w:szCs w:val="24"/>
        </w:rPr>
        <w:t xml:space="preserve"> "</w:t>
      </w:r>
      <w:proofErr w:type="spellStart"/>
      <w:r w:rsidRPr="00A411DD">
        <w:rPr>
          <w:i/>
          <w:sz w:val="24"/>
          <w:szCs w:val="24"/>
        </w:rPr>
        <w:t>Stada</w:t>
      </w:r>
      <w:proofErr w:type="spellEnd"/>
      <w:r w:rsidRPr="00A411DD">
        <w:rPr>
          <w:i/>
          <w:sz w:val="24"/>
          <w:szCs w:val="24"/>
        </w:rPr>
        <w:t>"</w:t>
      </w:r>
      <w:r w:rsidR="007C7A27" w:rsidRPr="00A411DD">
        <w:rPr>
          <w:i/>
          <w:sz w:val="24"/>
          <w:szCs w:val="24"/>
        </w:rPr>
        <w:t xml:space="preserve"> 20 mg filmovertrukne tabletter</w:t>
      </w:r>
    </w:p>
    <w:p w14:paraId="22BE97E8" w14:textId="77777777" w:rsidR="007C7A27" w:rsidRPr="00A56CE1" w:rsidRDefault="007C7A27" w:rsidP="004766C8">
      <w:pPr>
        <w:ind w:left="851"/>
        <w:rPr>
          <w:sz w:val="24"/>
          <w:szCs w:val="24"/>
        </w:rPr>
      </w:pPr>
      <w:proofErr w:type="spellStart"/>
      <w:r w:rsidRPr="00A56CE1">
        <w:rPr>
          <w:sz w:val="24"/>
          <w:szCs w:val="24"/>
        </w:rPr>
        <w:t>Hypromellose</w:t>
      </w:r>
      <w:proofErr w:type="spellEnd"/>
    </w:p>
    <w:p w14:paraId="04D66DCF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r w:rsidRPr="00BD07FC">
        <w:rPr>
          <w:sz w:val="24"/>
          <w:szCs w:val="24"/>
          <w:lang w:val="en-US"/>
        </w:rPr>
        <w:t xml:space="preserve">Macrogol </w:t>
      </w:r>
    </w:p>
    <w:p w14:paraId="313F5F77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proofErr w:type="spellStart"/>
      <w:r w:rsidRPr="00BD07FC">
        <w:rPr>
          <w:sz w:val="24"/>
          <w:szCs w:val="24"/>
          <w:lang w:val="en-US"/>
        </w:rPr>
        <w:t>Titandioxid</w:t>
      </w:r>
      <w:proofErr w:type="spellEnd"/>
      <w:r w:rsidRPr="00BD07FC">
        <w:rPr>
          <w:sz w:val="24"/>
          <w:szCs w:val="24"/>
          <w:lang w:val="en-US"/>
        </w:rPr>
        <w:t xml:space="preserve"> (E171) </w:t>
      </w:r>
    </w:p>
    <w:p w14:paraId="673E13B9" w14:textId="77777777" w:rsidR="007C7A27" w:rsidRPr="00BD07FC" w:rsidRDefault="007C7A27" w:rsidP="004766C8">
      <w:pPr>
        <w:ind w:left="851"/>
        <w:rPr>
          <w:sz w:val="24"/>
          <w:szCs w:val="24"/>
          <w:lang w:val="en-US"/>
        </w:rPr>
      </w:pPr>
      <w:proofErr w:type="spellStart"/>
      <w:r w:rsidRPr="00BD07FC">
        <w:rPr>
          <w:sz w:val="24"/>
          <w:szCs w:val="24"/>
          <w:lang w:val="en-US"/>
        </w:rPr>
        <w:t>Jernoxid</w:t>
      </w:r>
      <w:proofErr w:type="spellEnd"/>
      <w:r w:rsidRPr="00BD07FC">
        <w:rPr>
          <w:sz w:val="24"/>
          <w:szCs w:val="24"/>
          <w:lang w:val="en-US"/>
        </w:rPr>
        <w:t xml:space="preserve">, </w:t>
      </w:r>
      <w:proofErr w:type="spellStart"/>
      <w:r w:rsidRPr="00BD07FC">
        <w:rPr>
          <w:sz w:val="24"/>
          <w:szCs w:val="24"/>
          <w:lang w:val="en-US"/>
        </w:rPr>
        <w:t>rød</w:t>
      </w:r>
      <w:proofErr w:type="spellEnd"/>
      <w:r w:rsidRPr="00BD07FC">
        <w:rPr>
          <w:sz w:val="24"/>
          <w:szCs w:val="24"/>
          <w:lang w:val="en-US"/>
        </w:rPr>
        <w:t xml:space="preserve"> (E172)</w:t>
      </w:r>
    </w:p>
    <w:p w14:paraId="719381C3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42E605A2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6.2</w:t>
      </w:r>
      <w:r w:rsidRPr="00A56CE1">
        <w:rPr>
          <w:b/>
          <w:sz w:val="24"/>
          <w:szCs w:val="24"/>
        </w:rPr>
        <w:tab/>
        <w:t>Uforligeligheder</w:t>
      </w:r>
    </w:p>
    <w:p w14:paraId="4FF84F84" w14:textId="77777777" w:rsidR="007C7A27" w:rsidRPr="00A56CE1" w:rsidRDefault="007C7A27" w:rsidP="004766C8">
      <w:pPr>
        <w:ind w:left="851"/>
        <w:rPr>
          <w:sz w:val="24"/>
          <w:szCs w:val="24"/>
          <w:lang w:eastAsia="fr-LU"/>
        </w:rPr>
      </w:pPr>
      <w:r w:rsidRPr="00A56CE1">
        <w:rPr>
          <w:sz w:val="24"/>
          <w:szCs w:val="24"/>
        </w:rPr>
        <w:t>Ikke relevant.</w:t>
      </w:r>
    </w:p>
    <w:p w14:paraId="0DBA6475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ACA569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6.3</w:t>
      </w:r>
      <w:r w:rsidRPr="00A56CE1">
        <w:rPr>
          <w:b/>
          <w:sz w:val="24"/>
          <w:szCs w:val="24"/>
        </w:rPr>
        <w:tab/>
        <w:t>Opbevaringstid</w:t>
      </w:r>
    </w:p>
    <w:p w14:paraId="53F2A854" w14:textId="77777777" w:rsidR="007C7A27" w:rsidRPr="00A56CE1" w:rsidRDefault="007C7A27" w:rsidP="004766C8">
      <w:pPr>
        <w:ind w:left="851"/>
        <w:rPr>
          <w:sz w:val="24"/>
          <w:szCs w:val="24"/>
          <w:lang w:eastAsia="fr-LU"/>
        </w:rPr>
      </w:pPr>
      <w:r w:rsidRPr="00A56CE1">
        <w:rPr>
          <w:sz w:val="24"/>
          <w:szCs w:val="24"/>
        </w:rPr>
        <w:t>2 år.</w:t>
      </w:r>
    </w:p>
    <w:p w14:paraId="1B8D34AE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2ABD92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6.4</w:t>
      </w:r>
      <w:r w:rsidRPr="00A56CE1">
        <w:rPr>
          <w:b/>
          <w:sz w:val="24"/>
          <w:szCs w:val="24"/>
        </w:rPr>
        <w:tab/>
        <w:t>Særlige opbevaringsforhold</w:t>
      </w:r>
    </w:p>
    <w:p w14:paraId="0881EE45" w14:textId="77777777" w:rsidR="007C7A27" w:rsidRPr="00A56CE1" w:rsidRDefault="007C7A27" w:rsidP="004766C8">
      <w:pPr>
        <w:ind w:left="851"/>
        <w:rPr>
          <w:sz w:val="24"/>
          <w:szCs w:val="24"/>
          <w:lang w:eastAsia="fr-LU"/>
        </w:rPr>
      </w:pPr>
      <w:r w:rsidRPr="00A56CE1">
        <w:rPr>
          <w:sz w:val="24"/>
          <w:szCs w:val="24"/>
        </w:rPr>
        <w:t>Dette lægemiddel kræver ingen særlige forholdsregler vedrørende opbevaringen.</w:t>
      </w:r>
    </w:p>
    <w:p w14:paraId="38F8BD82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8B0423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6.5</w:t>
      </w:r>
      <w:r w:rsidRPr="00A56CE1">
        <w:rPr>
          <w:b/>
          <w:sz w:val="24"/>
          <w:szCs w:val="24"/>
        </w:rPr>
        <w:tab/>
        <w:t>Emballagetype og pakningsstørrelser</w:t>
      </w:r>
    </w:p>
    <w:p w14:paraId="008CA38F" w14:textId="77777777" w:rsidR="007C7A27" w:rsidRPr="00A56CE1" w:rsidRDefault="007C7A27" w:rsidP="004766C8">
      <w:pPr>
        <w:suppressAutoHyphens/>
        <w:ind w:left="851"/>
        <w:rPr>
          <w:bCs/>
          <w:sz w:val="24"/>
          <w:szCs w:val="24"/>
          <w:lang w:eastAsia="fr-LU"/>
        </w:rPr>
      </w:pPr>
      <w:r w:rsidRPr="00A56CE1">
        <w:rPr>
          <w:bCs/>
          <w:sz w:val="24"/>
          <w:szCs w:val="24"/>
        </w:rPr>
        <w:t xml:space="preserve">Æske med transparent </w:t>
      </w:r>
      <w:r w:rsidRPr="00A56CE1">
        <w:rPr>
          <w:sz w:val="24"/>
          <w:szCs w:val="24"/>
        </w:rPr>
        <w:t>PVC/</w:t>
      </w:r>
      <w:proofErr w:type="spellStart"/>
      <w:r w:rsidRPr="00A56CE1">
        <w:rPr>
          <w:sz w:val="24"/>
          <w:szCs w:val="24"/>
        </w:rPr>
        <w:t>PVdC</w:t>
      </w:r>
      <w:proofErr w:type="spellEnd"/>
      <w:r w:rsidRPr="00A56CE1">
        <w:rPr>
          <w:sz w:val="24"/>
          <w:szCs w:val="24"/>
        </w:rPr>
        <w:t>//</w:t>
      </w:r>
      <w:proofErr w:type="spellStart"/>
      <w:r w:rsidRPr="00A56CE1">
        <w:rPr>
          <w:sz w:val="24"/>
          <w:szCs w:val="24"/>
        </w:rPr>
        <w:t>Alu</w:t>
      </w:r>
      <w:proofErr w:type="spellEnd"/>
      <w:r w:rsidRPr="00A56CE1">
        <w:rPr>
          <w:sz w:val="24"/>
          <w:szCs w:val="24"/>
        </w:rPr>
        <w:t>-blister.</w:t>
      </w:r>
    </w:p>
    <w:p w14:paraId="2E6B5129" w14:textId="77777777" w:rsidR="007C7A27" w:rsidRPr="00A56CE1" w:rsidRDefault="007C7A27" w:rsidP="004766C8">
      <w:pPr>
        <w:suppressAutoHyphens/>
        <w:ind w:left="851"/>
        <w:rPr>
          <w:bCs/>
          <w:sz w:val="24"/>
          <w:szCs w:val="24"/>
        </w:rPr>
      </w:pPr>
    </w:p>
    <w:p w14:paraId="66154BD0" w14:textId="77777777" w:rsidR="007C7A27" w:rsidRPr="00A56CE1" w:rsidRDefault="007C7A27" w:rsidP="004766C8">
      <w:pPr>
        <w:suppressAutoHyphens/>
        <w:ind w:left="851"/>
        <w:rPr>
          <w:bCs/>
          <w:sz w:val="24"/>
          <w:szCs w:val="24"/>
        </w:rPr>
      </w:pPr>
      <w:r w:rsidRPr="00A56CE1">
        <w:rPr>
          <w:bCs/>
          <w:sz w:val="24"/>
          <w:szCs w:val="24"/>
        </w:rPr>
        <w:t xml:space="preserve">Pakninger af 14, 28, 56 eller 98 filmovertrukne tabletter. </w:t>
      </w:r>
    </w:p>
    <w:p w14:paraId="5A0A5F90" w14:textId="77777777" w:rsidR="007C7A27" w:rsidRPr="00A56CE1" w:rsidRDefault="007C7A27" w:rsidP="004766C8">
      <w:pPr>
        <w:suppressAutoHyphens/>
        <w:ind w:left="851"/>
        <w:rPr>
          <w:sz w:val="24"/>
          <w:szCs w:val="24"/>
        </w:rPr>
      </w:pPr>
    </w:p>
    <w:p w14:paraId="5B00F62C" w14:textId="77777777" w:rsidR="007C7A27" w:rsidRPr="00A56CE1" w:rsidRDefault="007C7A27" w:rsidP="004766C8">
      <w:pPr>
        <w:suppressAutoHyphens/>
        <w:ind w:left="851"/>
        <w:rPr>
          <w:sz w:val="24"/>
          <w:szCs w:val="24"/>
        </w:rPr>
      </w:pPr>
      <w:r w:rsidRPr="00A56CE1">
        <w:rPr>
          <w:sz w:val="24"/>
          <w:szCs w:val="24"/>
        </w:rPr>
        <w:t>Ikke alle pakningsstørrelser er nødvendigvis markedsført.</w:t>
      </w:r>
    </w:p>
    <w:p w14:paraId="697F165D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89DA5B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6.6</w:t>
      </w:r>
      <w:r w:rsidRPr="00A56CE1">
        <w:rPr>
          <w:b/>
          <w:sz w:val="24"/>
          <w:szCs w:val="24"/>
        </w:rPr>
        <w:tab/>
        <w:t xml:space="preserve">Regler for </w:t>
      </w:r>
      <w:r w:rsidR="00BD7931" w:rsidRPr="00A56CE1">
        <w:rPr>
          <w:b/>
          <w:sz w:val="24"/>
          <w:szCs w:val="24"/>
        </w:rPr>
        <w:t>bortskaffelse</w:t>
      </w:r>
      <w:r w:rsidRPr="00A56CE1">
        <w:rPr>
          <w:b/>
          <w:sz w:val="24"/>
          <w:szCs w:val="24"/>
        </w:rPr>
        <w:t xml:space="preserve"> og anden håndtering</w:t>
      </w:r>
    </w:p>
    <w:p w14:paraId="7836C091" w14:textId="77777777" w:rsidR="007C7A27" w:rsidRPr="00A56CE1" w:rsidRDefault="007C7A27" w:rsidP="004766C8">
      <w:pPr>
        <w:ind w:left="851"/>
        <w:rPr>
          <w:sz w:val="24"/>
          <w:szCs w:val="24"/>
          <w:u w:val="single"/>
          <w:lang w:eastAsia="fr-LU"/>
        </w:rPr>
      </w:pPr>
      <w:r w:rsidRPr="00A56CE1">
        <w:rPr>
          <w:sz w:val="24"/>
          <w:szCs w:val="24"/>
        </w:rPr>
        <w:t>Dette lægemiddel kan udgøre en risiko for miljøet (se pkt. 5.3).</w:t>
      </w:r>
    </w:p>
    <w:p w14:paraId="6786843E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Ikke anvendt lægemiddel samt affald heraf skal bortskaffes i henhold til lokale retningslinjer.</w:t>
      </w:r>
    </w:p>
    <w:p w14:paraId="1E86D22B" w14:textId="19A8A57B" w:rsidR="00EC7851" w:rsidRDefault="00EC78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E11E65" w14:textId="77777777" w:rsidR="009260DE" w:rsidRPr="00A56CE1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539746C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7.</w:t>
      </w:r>
      <w:r w:rsidRPr="00A56CE1">
        <w:rPr>
          <w:b/>
          <w:sz w:val="24"/>
          <w:szCs w:val="24"/>
        </w:rPr>
        <w:tab/>
        <w:t>INDEHAVER AF MARKEDSFØRINGSTILLADELSEN</w:t>
      </w:r>
    </w:p>
    <w:p w14:paraId="5DE6D866" w14:textId="77777777" w:rsidR="007C7A27" w:rsidRPr="00A56CE1" w:rsidRDefault="007C7A27" w:rsidP="004766C8">
      <w:pPr>
        <w:ind w:left="851"/>
        <w:rPr>
          <w:sz w:val="24"/>
          <w:szCs w:val="24"/>
          <w:lang w:eastAsia="fr-LU"/>
        </w:rPr>
      </w:pPr>
      <w:r w:rsidRPr="00A56CE1">
        <w:rPr>
          <w:sz w:val="24"/>
          <w:szCs w:val="24"/>
        </w:rPr>
        <w:t xml:space="preserve">STADA </w:t>
      </w:r>
      <w:proofErr w:type="spellStart"/>
      <w:r w:rsidRPr="00A56CE1">
        <w:rPr>
          <w:sz w:val="24"/>
          <w:szCs w:val="24"/>
        </w:rPr>
        <w:t>Arzneimittel</w:t>
      </w:r>
      <w:proofErr w:type="spellEnd"/>
      <w:r w:rsidRPr="00A56CE1">
        <w:rPr>
          <w:sz w:val="24"/>
          <w:szCs w:val="24"/>
        </w:rPr>
        <w:t xml:space="preserve"> AG </w:t>
      </w:r>
      <w:r w:rsidRPr="00A56CE1">
        <w:rPr>
          <w:sz w:val="24"/>
          <w:szCs w:val="24"/>
        </w:rPr>
        <w:br/>
      </w:r>
      <w:proofErr w:type="spellStart"/>
      <w:r w:rsidRPr="00A56CE1">
        <w:rPr>
          <w:sz w:val="24"/>
          <w:szCs w:val="24"/>
        </w:rPr>
        <w:t>Stadastrasse</w:t>
      </w:r>
      <w:proofErr w:type="spellEnd"/>
      <w:r w:rsidRPr="00A56CE1">
        <w:rPr>
          <w:sz w:val="24"/>
          <w:szCs w:val="24"/>
        </w:rPr>
        <w:t xml:space="preserve"> 2-18 </w:t>
      </w:r>
      <w:r w:rsidRPr="00A56CE1">
        <w:rPr>
          <w:sz w:val="24"/>
          <w:szCs w:val="24"/>
        </w:rPr>
        <w:br/>
        <w:t xml:space="preserve">61118 Bad </w:t>
      </w:r>
      <w:proofErr w:type="spellStart"/>
      <w:r w:rsidRPr="00A56CE1">
        <w:rPr>
          <w:sz w:val="24"/>
          <w:szCs w:val="24"/>
        </w:rPr>
        <w:t>Vilbel</w:t>
      </w:r>
      <w:proofErr w:type="spellEnd"/>
      <w:r w:rsidRPr="00A56CE1">
        <w:rPr>
          <w:sz w:val="24"/>
          <w:szCs w:val="24"/>
        </w:rPr>
        <w:t xml:space="preserve"> </w:t>
      </w:r>
      <w:r w:rsidRPr="00A56CE1">
        <w:rPr>
          <w:sz w:val="24"/>
          <w:szCs w:val="24"/>
        </w:rPr>
        <w:br/>
        <w:t>Tyskland</w:t>
      </w:r>
    </w:p>
    <w:p w14:paraId="0093130A" w14:textId="77777777" w:rsidR="009260DE" w:rsidRPr="00A56CE1" w:rsidRDefault="009260DE" w:rsidP="004766C8">
      <w:pPr>
        <w:ind w:left="851"/>
        <w:rPr>
          <w:sz w:val="24"/>
          <w:szCs w:val="24"/>
        </w:rPr>
      </w:pPr>
    </w:p>
    <w:p w14:paraId="254E29FF" w14:textId="77777777" w:rsidR="00641C65" w:rsidRPr="00A56CE1" w:rsidRDefault="00641C65" w:rsidP="004766C8">
      <w:pPr>
        <w:ind w:left="851"/>
        <w:rPr>
          <w:sz w:val="24"/>
          <w:szCs w:val="24"/>
        </w:rPr>
      </w:pPr>
      <w:r w:rsidRPr="00A56CE1">
        <w:rPr>
          <w:b/>
          <w:sz w:val="24"/>
          <w:szCs w:val="24"/>
        </w:rPr>
        <w:t>Repræsentant</w:t>
      </w:r>
    </w:p>
    <w:p w14:paraId="250965AE" w14:textId="77777777" w:rsidR="007C7A27" w:rsidRPr="00A56CE1" w:rsidRDefault="007C7A27" w:rsidP="004766C8">
      <w:pPr>
        <w:ind w:left="851"/>
        <w:rPr>
          <w:sz w:val="24"/>
          <w:szCs w:val="24"/>
          <w:lang w:eastAsia="fr-LU"/>
        </w:rPr>
      </w:pPr>
      <w:r w:rsidRPr="00A56CE1">
        <w:rPr>
          <w:sz w:val="24"/>
          <w:szCs w:val="24"/>
        </w:rPr>
        <w:t>STADA Nordic ApS</w:t>
      </w:r>
    </w:p>
    <w:p w14:paraId="748E9967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Marielundvej 46A</w:t>
      </w:r>
    </w:p>
    <w:p w14:paraId="1D9FF26A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2730 Herlev</w:t>
      </w:r>
    </w:p>
    <w:p w14:paraId="1C2398DD" w14:textId="77777777" w:rsidR="007C7A27" w:rsidRPr="00A56CE1" w:rsidRDefault="007C7A27" w:rsidP="004766C8">
      <w:pPr>
        <w:ind w:left="851"/>
        <w:rPr>
          <w:sz w:val="24"/>
          <w:szCs w:val="24"/>
        </w:rPr>
      </w:pPr>
      <w:r w:rsidRPr="00A56CE1">
        <w:rPr>
          <w:sz w:val="24"/>
          <w:szCs w:val="24"/>
        </w:rPr>
        <w:t>Danmark</w:t>
      </w:r>
    </w:p>
    <w:p w14:paraId="22A1752F" w14:textId="77777777" w:rsidR="00641C65" w:rsidRPr="00A56CE1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194552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8.</w:t>
      </w:r>
      <w:r w:rsidRPr="00A56CE1">
        <w:rPr>
          <w:b/>
          <w:sz w:val="24"/>
          <w:szCs w:val="24"/>
        </w:rPr>
        <w:tab/>
        <w:t>MARKEDSFØRINGSTILLADELSESNUMMER (</w:t>
      </w:r>
      <w:r w:rsidR="00BF6243" w:rsidRPr="00A56CE1">
        <w:rPr>
          <w:b/>
          <w:sz w:val="24"/>
          <w:szCs w:val="24"/>
        </w:rPr>
        <w:t>-</w:t>
      </w:r>
      <w:r w:rsidRPr="00A56CE1">
        <w:rPr>
          <w:b/>
          <w:sz w:val="24"/>
          <w:szCs w:val="24"/>
        </w:rPr>
        <w:t>NUMRE)</w:t>
      </w:r>
    </w:p>
    <w:p w14:paraId="0F852BF1" w14:textId="5BA82A0C" w:rsidR="009260DE" w:rsidRPr="00A56CE1" w:rsidRDefault="007C7A27" w:rsidP="00EC7851">
      <w:pPr>
        <w:tabs>
          <w:tab w:val="left" w:pos="851"/>
          <w:tab w:val="left" w:pos="1843"/>
        </w:tabs>
        <w:ind w:left="851"/>
        <w:rPr>
          <w:sz w:val="24"/>
          <w:szCs w:val="24"/>
        </w:rPr>
      </w:pPr>
      <w:r w:rsidRPr="00A56CE1">
        <w:rPr>
          <w:sz w:val="24"/>
          <w:szCs w:val="24"/>
        </w:rPr>
        <w:t>5 mg:</w:t>
      </w:r>
      <w:r w:rsidRPr="00A56CE1">
        <w:rPr>
          <w:sz w:val="24"/>
          <w:szCs w:val="24"/>
        </w:rPr>
        <w:tab/>
        <w:t>68077</w:t>
      </w:r>
    </w:p>
    <w:p w14:paraId="2F70E6CA" w14:textId="13C93A26" w:rsidR="007C7A27" w:rsidRPr="00A56CE1" w:rsidRDefault="007C7A27" w:rsidP="00EC7851">
      <w:pPr>
        <w:tabs>
          <w:tab w:val="left" w:pos="851"/>
          <w:tab w:val="left" w:pos="1843"/>
        </w:tabs>
        <w:ind w:left="851"/>
        <w:rPr>
          <w:sz w:val="24"/>
          <w:szCs w:val="24"/>
        </w:rPr>
      </w:pPr>
      <w:r w:rsidRPr="00A56CE1">
        <w:rPr>
          <w:sz w:val="24"/>
          <w:szCs w:val="24"/>
        </w:rPr>
        <w:t>10 mg:</w:t>
      </w:r>
      <w:r w:rsidRPr="00A56CE1">
        <w:rPr>
          <w:sz w:val="24"/>
          <w:szCs w:val="24"/>
        </w:rPr>
        <w:tab/>
        <w:t>68078</w:t>
      </w:r>
    </w:p>
    <w:p w14:paraId="0372A50A" w14:textId="098C62BB" w:rsidR="007C7A27" w:rsidRPr="00A56CE1" w:rsidRDefault="007C7A27" w:rsidP="00EC7851">
      <w:pPr>
        <w:tabs>
          <w:tab w:val="left" w:pos="851"/>
          <w:tab w:val="left" w:pos="1843"/>
        </w:tabs>
        <w:ind w:left="851"/>
        <w:rPr>
          <w:sz w:val="24"/>
          <w:szCs w:val="24"/>
        </w:rPr>
      </w:pPr>
      <w:r w:rsidRPr="00A56CE1">
        <w:rPr>
          <w:sz w:val="24"/>
          <w:szCs w:val="24"/>
        </w:rPr>
        <w:t>15 mg:</w:t>
      </w:r>
      <w:r w:rsidRPr="00A56CE1">
        <w:rPr>
          <w:sz w:val="24"/>
          <w:szCs w:val="24"/>
        </w:rPr>
        <w:tab/>
        <w:t>68079</w:t>
      </w:r>
    </w:p>
    <w:p w14:paraId="7D9E1B5F" w14:textId="19BB3745" w:rsidR="007C7A27" w:rsidRPr="00A56CE1" w:rsidRDefault="007C7A27" w:rsidP="00EC7851">
      <w:pPr>
        <w:tabs>
          <w:tab w:val="left" w:pos="851"/>
          <w:tab w:val="left" w:pos="1843"/>
        </w:tabs>
        <w:ind w:left="851"/>
        <w:rPr>
          <w:sz w:val="24"/>
          <w:szCs w:val="24"/>
        </w:rPr>
      </w:pPr>
      <w:r w:rsidRPr="00A56CE1">
        <w:rPr>
          <w:sz w:val="24"/>
          <w:szCs w:val="24"/>
        </w:rPr>
        <w:t>20 mg:</w:t>
      </w:r>
      <w:r w:rsidRPr="00A56CE1">
        <w:rPr>
          <w:sz w:val="24"/>
          <w:szCs w:val="24"/>
        </w:rPr>
        <w:tab/>
        <w:t>68080</w:t>
      </w:r>
    </w:p>
    <w:p w14:paraId="02F3652A" w14:textId="77777777" w:rsidR="009260DE" w:rsidRPr="00A56CE1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E7CC0F7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9.</w:t>
      </w:r>
      <w:r w:rsidRPr="00A56CE1">
        <w:rPr>
          <w:b/>
          <w:sz w:val="24"/>
          <w:szCs w:val="24"/>
        </w:rPr>
        <w:tab/>
        <w:t>DATO FOR FØRSTE MARKEDSFØRINGSTILLADELSE</w:t>
      </w:r>
    </w:p>
    <w:p w14:paraId="2303B33A" w14:textId="40729780" w:rsidR="009260DE" w:rsidRPr="00A56CE1" w:rsidRDefault="00BD07F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maj 2024</w:t>
      </w:r>
    </w:p>
    <w:p w14:paraId="5FFF8D56" w14:textId="77777777" w:rsidR="009260DE" w:rsidRPr="00A56CE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DE1134" w14:textId="77777777" w:rsidR="009260DE" w:rsidRPr="00A56CE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56CE1">
        <w:rPr>
          <w:b/>
          <w:sz w:val="24"/>
          <w:szCs w:val="24"/>
        </w:rPr>
        <w:t>10.</w:t>
      </w:r>
      <w:r w:rsidRPr="00A56CE1">
        <w:rPr>
          <w:b/>
          <w:sz w:val="24"/>
          <w:szCs w:val="24"/>
        </w:rPr>
        <w:tab/>
        <w:t>DATO FOR ÆNDRING AF TEKSTEN</w:t>
      </w:r>
    </w:p>
    <w:p w14:paraId="0746E67D" w14:textId="6AF9BDD1" w:rsidR="009260DE" w:rsidRPr="00A56CE1" w:rsidRDefault="007C7A27" w:rsidP="009260DE">
      <w:pPr>
        <w:tabs>
          <w:tab w:val="left" w:pos="851"/>
        </w:tabs>
        <w:ind w:left="851"/>
        <w:rPr>
          <w:sz w:val="24"/>
          <w:szCs w:val="24"/>
        </w:rPr>
      </w:pPr>
      <w:r w:rsidRPr="00A56CE1">
        <w:rPr>
          <w:sz w:val="24"/>
          <w:szCs w:val="24"/>
        </w:rPr>
        <w:t>-</w:t>
      </w:r>
    </w:p>
    <w:sectPr w:rsidR="009260DE" w:rsidRPr="00A56CE1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D2DD" w14:textId="77777777" w:rsidR="00A56CE1" w:rsidRDefault="00A56CE1">
      <w:r>
        <w:separator/>
      </w:r>
    </w:p>
  </w:endnote>
  <w:endnote w:type="continuationSeparator" w:id="0">
    <w:p w14:paraId="22682B79" w14:textId="77777777" w:rsidR="00A56CE1" w:rsidRDefault="00A5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A699" w14:textId="77777777" w:rsidR="00A56CE1" w:rsidRDefault="00A56CE1">
    <w:pPr>
      <w:pStyle w:val="Sidefod"/>
      <w:pBdr>
        <w:bottom w:val="single" w:sz="6" w:space="1" w:color="auto"/>
      </w:pBdr>
    </w:pPr>
  </w:p>
  <w:p w14:paraId="5920ED42" w14:textId="77777777" w:rsidR="00A56CE1" w:rsidRDefault="00A56CE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F3AE739" w14:textId="4BCB26B5" w:rsidR="00A56CE1" w:rsidRPr="00B373D7" w:rsidRDefault="00A56CE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D07FC">
      <w:rPr>
        <w:i/>
        <w:noProof/>
        <w:sz w:val="18"/>
        <w:szCs w:val="18"/>
      </w:rPr>
      <w:t>Vortioxetine Stada, filmovertrukne tabletter 5 mg, 10 mg, 15 mg og 20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827E6" w14:textId="77777777" w:rsidR="00A56CE1" w:rsidRDefault="00A56CE1">
      <w:r>
        <w:separator/>
      </w:r>
    </w:p>
  </w:footnote>
  <w:footnote w:type="continuationSeparator" w:id="0">
    <w:p w14:paraId="29CEA833" w14:textId="77777777" w:rsidR="00A56CE1" w:rsidRDefault="00A5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C7"/>
    <w:rsid w:val="000259B9"/>
    <w:rsid w:val="00041491"/>
    <w:rsid w:val="00041D9E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766C8"/>
    <w:rsid w:val="0049104B"/>
    <w:rsid w:val="004E3B12"/>
    <w:rsid w:val="00505943"/>
    <w:rsid w:val="00532310"/>
    <w:rsid w:val="00565F0F"/>
    <w:rsid w:val="00594A86"/>
    <w:rsid w:val="00596D86"/>
    <w:rsid w:val="00637F5A"/>
    <w:rsid w:val="00641C65"/>
    <w:rsid w:val="006560B1"/>
    <w:rsid w:val="006756DD"/>
    <w:rsid w:val="006756ED"/>
    <w:rsid w:val="0071241E"/>
    <w:rsid w:val="00737275"/>
    <w:rsid w:val="00740EEC"/>
    <w:rsid w:val="0078011A"/>
    <w:rsid w:val="00782AF4"/>
    <w:rsid w:val="00790EE7"/>
    <w:rsid w:val="007B6649"/>
    <w:rsid w:val="007C7A27"/>
    <w:rsid w:val="0082576E"/>
    <w:rsid w:val="0089346F"/>
    <w:rsid w:val="00907F75"/>
    <w:rsid w:val="00921827"/>
    <w:rsid w:val="009260DE"/>
    <w:rsid w:val="0093258A"/>
    <w:rsid w:val="00943FC7"/>
    <w:rsid w:val="009C7BA3"/>
    <w:rsid w:val="009D1F5A"/>
    <w:rsid w:val="00A10294"/>
    <w:rsid w:val="00A411DD"/>
    <w:rsid w:val="00A56CE1"/>
    <w:rsid w:val="00B003BF"/>
    <w:rsid w:val="00B373D7"/>
    <w:rsid w:val="00B55271"/>
    <w:rsid w:val="00B66A38"/>
    <w:rsid w:val="00BD07FC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60031"/>
    <w:rsid w:val="00E7437F"/>
    <w:rsid w:val="00E865B8"/>
    <w:rsid w:val="00EC0B9B"/>
    <w:rsid w:val="00EC7851"/>
    <w:rsid w:val="00ED5E9F"/>
    <w:rsid w:val="00F66D4F"/>
    <w:rsid w:val="00F86CA0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40424"/>
  <w15:chartTrackingRefBased/>
  <w15:docId w15:val="{73CBB07D-8BFD-4AC7-A2C1-E788B47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cf01">
    <w:name w:val="cf01"/>
    <w:basedOn w:val="Standardskrifttypeiafsnit"/>
    <w:rsid w:val="007C7A27"/>
    <w:rPr>
      <w:rFonts w:ascii="Segoe UI" w:hAnsi="Segoe UI" w:cs="Segoe UI" w:hint="default"/>
      <w:b/>
      <w:bCs/>
      <w:sz w:val="18"/>
      <w:szCs w:val="18"/>
    </w:rPr>
  </w:style>
  <w:style w:type="character" w:styleId="Hyperlink">
    <w:name w:val="Hyperlink"/>
    <w:uiPriority w:val="99"/>
    <w:semiHidden/>
    <w:unhideWhenUsed/>
    <w:rsid w:val="007C7A27"/>
    <w:rPr>
      <w:rFonts w:ascii="Times New Roman" w:hAnsi="Times New Roman" w:cs="Times New Roman" w:hint="default"/>
      <w:color w:val="0000FF"/>
      <w:u w:val="single"/>
    </w:rPr>
  </w:style>
  <w:style w:type="table" w:styleId="Tabel-Gitter">
    <w:name w:val="Table Grid"/>
    <w:basedOn w:val="Tabel-Normal"/>
    <w:rsid w:val="007C7A27"/>
    <w:rPr>
      <w:rFonts w:eastAsia="SimSu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48</TotalTime>
  <Pages>20</Pages>
  <Words>6809</Words>
  <Characters>44145</Characters>
  <Application>Microsoft Office Word</Application>
  <DocSecurity>0</DocSecurity>
  <Lines>367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50853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2022071930, MT</dc:description>
  <cp:lastModifiedBy>Gitte Jørgensen</cp:lastModifiedBy>
  <cp:revision>11</cp:revision>
  <cp:lastPrinted>2012-08-22T08:53:00Z</cp:lastPrinted>
  <dcterms:created xsi:type="dcterms:W3CDTF">2024-04-30T12:37:00Z</dcterms:created>
  <dcterms:modified xsi:type="dcterms:W3CDTF">2024-05-01T06:34:00Z</dcterms:modified>
</cp:coreProperties>
</file>