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66DD" w14:textId="77777777" w:rsidR="009260DE" w:rsidRPr="00B11682" w:rsidRDefault="0021526C" w:rsidP="009260DE">
      <w:pPr>
        <w:rPr>
          <w:sz w:val="24"/>
          <w:szCs w:val="24"/>
        </w:rPr>
      </w:pPr>
      <w:r w:rsidRPr="00B11682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C38B508" wp14:editId="2685E8B9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B11682">
        <w:rPr>
          <w:sz w:val="24"/>
          <w:szCs w:val="24"/>
        </w:rPr>
        <w:br w:type="textWrapping" w:clear="all"/>
      </w:r>
    </w:p>
    <w:p w14:paraId="1AAE956A" w14:textId="41D4F323" w:rsidR="009260DE" w:rsidRPr="00B11682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B11682">
        <w:rPr>
          <w:b w:val="0"/>
          <w:szCs w:val="24"/>
          <w:lang w:eastAsia="en-US"/>
        </w:rPr>
        <w:tab/>
      </w:r>
      <w:r w:rsidR="00A7429C">
        <w:rPr>
          <w:szCs w:val="24"/>
        </w:rPr>
        <w:t>16. marts 2026</w:t>
      </w:r>
    </w:p>
    <w:p w14:paraId="36A6C020" w14:textId="77777777" w:rsidR="009260DE" w:rsidRPr="00B11682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36256371" w14:textId="77777777" w:rsidR="009260DE" w:rsidRPr="00B11682" w:rsidRDefault="009260DE" w:rsidP="009260DE">
      <w:pPr>
        <w:pStyle w:val="Titel"/>
        <w:jc w:val="left"/>
        <w:rPr>
          <w:b w:val="0"/>
          <w:szCs w:val="24"/>
        </w:rPr>
      </w:pPr>
    </w:p>
    <w:p w14:paraId="5364BB65" w14:textId="77777777" w:rsidR="009260DE" w:rsidRPr="00B11682" w:rsidRDefault="009260DE" w:rsidP="009260DE">
      <w:pPr>
        <w:pStyle w:val="Titel"/>
        <w:jc w:val="left"/>
        <w:rPr>
          <w:b w:val="0"/>
          <w:szCs w:val="24"/>
        </w:rPr>
      </w:pPr>
    </w:p>
    <w:p w14:paraId="5A75E742" w14:textId="77777777" w:rsidR="009260DE" w:rsidRPr="00B11682" w:rsidRDefault="009260DE" w:rsidP="009260DE">
      <w:pPr>
        <w:jc w:val="center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PRODUKTRESUMÉ</w:t>
      </w:r>
    </w:p>
    <w:p w14:paraId="7835B972" w14:textId="77777777" w:rsidR="009260DE" w:rsidRPr="00B11682" w:rsidRDefault="009260DE" w:rsidP="009260DE">
      <w:pPr>
        <w:jc w:val="center"/>
        <w:rPr>
          <w:b/>
          <w:sz w:val="24"/>
          <w:szCs w:val="24"/>
        </w:rPr>
      </w:pPr>
    </w:p>
    <w:p w14:paraId="40184EE3" w14:textId="77777777" w:rsidR="009260DE" w:rsidRPr="00B11682" w:rsidRDefault="009260DE" w:rsidP="009260DE">
      <w:pPr>
        <w:jc w:val="center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for</w:t>
      </w:r>
    </w:p>
    <w:p w14:paraId="7F9739B2" w14:textId="77777777" w:rsidR="000B058C" w:rsidRPr="00B11682" w:rsidRDefault="000B058C" w:rsidP="009260DE">
      <w:pPr>
        <w:jc w:val="center"/>
        <w:rPr>
          <w:b/>
          <w:sz w:val="24"/>
          <w:szCs w:val="24"/>
        </w:rPr>
      </w:pPr>
    </w:p>
    <w:p w14:paraId="678D5CB2" w14:textId="5520FDF7" w:rsidR="009260DE" w:rsidRPr="00B11682" w:rsidRDefault="00396E48" w:rsidP="009260DE">
      <w:pPr>
        <w:jc w:val="center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Voxsill Honning og Citron, sugetabletter</w:t>
      </w:r>
    </w:p>
    <w:p w14:paraId="3529FC65" w14:textId="77777777" w:rsidR="009260DE" w:rsidRPr="00B11682" w:rsidRDefault="009260DE" w:rsidP="009260DE">
      <w:pPr>
        <w:jc w:val="both"/>
        <w:rPr>
          <w:sz w:val="24"/>
          <w:szCs w:val="24"/>
        </w:rPr>
      </w:pPr>
    </w:p>
    <w:p w14:paraId="26C47F77" w14:textId="77777777" w:rsidR="009260DE" w:rsidRPr="00B11682" w:rsidRDefault="009260DE" w:rsidP="009260DE">
      <w:pPr>
        <w:jc w:val="both"/>
        <w:rPr>
          <w:sz w:val="24"/>
          <w:szCs w:val="24"/>
        </w:rPr>
      </w:pPr>
    </w:p>
    <w:p w14:paraId="5B5ACABA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0.</w:t>
      </w:r>
      <w:r w:rsidRPr="00B11682">
        <w:rPr>
          <w:b/>
          <w:sz w:val="24"/>
          <w:szCs w:val="24"/>
        </w:rPr>
        <w:tab/>
        <w:t>D.SP.NR.</w:t>
      </w:r>
    </w:p>
    <w:p w14:paraId="45201AE3" w14:textId="7D5486C2" w:rsidR="009260DE" w:rsidRPr="00B11682" w:rsidRDefault="00396E48" w:rsidP="009260DE">
      <w:pPr>
        <w:tabs>
          <w:tab w:val="left" w:pos="851"/>
        </w:tabs>
        <w:ind w:left="851"/>
        <w:rPr>
          <w:sz w:val="24"/>
          <w:szCs w:val="24"/>
        </w:rPr>
      </w:pPr>
      <w:r w:rsidRPr="00B11682">
        <w:rPr>
          <w:sz w:val="24"/>
          <w:szCs w:val="24"/>
        </w:rPr>
        <w:t>34835</w:t>
      </w:r>
    </w:p>
    <w:p w14:paraId="7BB43DB8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CB0B215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1.</w:t>
      </w:r>
      <w:r w:rsidRPr="00B11682">
        <w:rPr>
          <w:b/>
          <w:sz w:val="24"/>
          <w:szCs w:val="24"/>
        </w:rPr>
        <w:tab/>
        <w:t>LÆGEMIDLETS NAVN</w:t>
      </w:r>
    </w:p>
    <w:p w14:paraId="45D1CA94" w14:textId="5CC01B01" w:rsidR="009260DE" w:rsidRPr="00B11682" w:rsidRDefault="00396E48" w:rsidP="009260DE">
      <w:pPr>
        <w:tabs>
          <w:tab w:val="left" w:pos="851"/>
        </w:tabs>
        <w:ind w:left="851"/>
        <w:rPr>
          <w:sz w:val="24"/>
          <w:szCs w:val="24"/>
        </w:rPr>
      </w:pPr>
      <w:r w:rsidRPr="00B11682">
        <w:rPr>
          <w:sz w:val="24"/>
          <w:szCs w:val="24"/>
        </w:rPr>
        <w:t>Voxsill Honning og Citron</w:t>
      </w:r>
    </w:p>
    <w:p w14:paraId="299A43AB" w14:textId="77777777" w:rsidR="00396E48" w:rsidRPr="00B11682" w:rsidRDefault="00396E48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C5570A7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2.</w:t>
      </w:r>
      <w:r w:rsidRPr="00B11682">
        <w:rPr>
          <w:b/>
          <w:sz w:val="24"/>
          <w:szCs w:val="24"/>
        </w:rPr>
        <w:tab/>
        <w:t>KVALITATIV OG KVANTITATIV SAMMENSÆTNING</w:t>
      </w:r>
    </w:p>
    <w:p w14:paraId="09518567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Hver sugetablet indeholder:</w:t>
      </w:r>
    </w:p>
    <w:p w14:paraId="17777E16" w14:textId="1E4EC871" w:rsidR="00B11682" w:rsidRPr="00B11682" w:rsidRDefault="00B113AF" w:rsidP="00B11682">
      <w:pPr>
        <w:ind w:left="851"/>
        <w:rPr>
          <w:sz w:val="24"/>
          <w:szCs w:val="24"/>
        </w:rPr>
      </w:pPr>
      <w:r>
        <w:rPr>
          <w:sz w:val="24"/>
          <w:szCs w:val="24"/>
        </w:rPr>
        <w:t>A</w:t>
      </w:r>
      <w:r w:rsidR="00B11682" w:rsidRPr="00B11682">
        <w:rPr>
          <w:sz w:val="24"/>
          <w:szCs w:val="24"/>
        </w:rPr>
        <w:t>mylmetacresol</w:t>
      </w:r>
      <w:r w:rsidR="00B11682" w:rsidRPr="00B11682">
        <w:rPr>
          <w:sz w:val="24"/>
          <w:szCs w:val="24"/>
        </w:rPr>
        <w:tab/>
      </w:r>
      <w:r w:rsidR="00F33AF3">
        <w:rPr>
          <w:sz w:val="24"/>
          <w:szCs w:val="24"/>
        </w:rPr>
        <w:tab/>
      </w:r>
      <w:r w:rsidR="00B11682" w:rsidRPr="00B11682">
        <w:rPr>
          <w:sz w:val="24"/>
          <w:szCs w:val="24"/>
        </w:rPr>
        <w:t>0,60 mg</w:t>
      </w:r>
    </w:p>
    <w:p w14:paraId="5E2CD846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2,4-dichlorbenzylalkohol</w:t>
      </w:r>
      <w:r w:rsidRPr="00B11682">
        <w:rPr>
          <w:sz w:val="24"/>
          <w:szCs w:val="24"/>
        </w:rPr>
        <w:tab/>
        <w:t>1,20 mg</w:t>
      </w:r>
    </w:p>
    <w:p w14:paraId="7971DDCD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05702A7" w14:textId="77777777" w:rsidR="00B11682" w:rsidRPr="00B11682" w:rsidRDefault="00B11682" w:rsidP="00B11682">
      <w:pPr>
        <w:ind w:left="851"/>
        <w:rPr>
          <w:sz w:val="24"/>
          <w:szCs w:val="24"/>
          <w:u w:val="single"/>
        </w:rPr>
      </w:pPr>
      <w:r w:rsidRPr="00B11682">
        <w:rPr>
          <w:sz w:val="24"/>
          <w:szCs w:val="24"/>
          <w:u w:val="single"/>
        </w:rPr>
        <w:t>Hjælpestoffer, som behandleren skal være opmærksom på:</w:t>
      </w:r>
    </w:p>
    <w:p w14:paraId="450D79D7" w14:textId="37D8B123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Saccharose: </w:t>
      </w:r>
      <w:r w:rsidR="00F33AF3">
        <w:rPr>
          <w:sz w:val="24"/>
          <w:szCs w:val="24"/>
        </w:rPr>
        <w:tab/>
      </w:r>
      <w:r w:rsidR="00F33AF3">
        <w:rPr>
          <w:sz w:val="24"/>
          <w:szCs w:val="24"/>
        </w:rPr>
        <w:tab/>
      </w:r>
      <w:r w:rsidR="00F33AF3">
        <w:rPr>
          <w:sz w:val="24"/>
          <w:szCs w:val="24"/>
        </w:rPr>
        <w:tab/>
      </w:r>
      <w:r w:rsidRPr="00B11682">
        <w:rPr>
          <w:sz w:val="24"/>
          <w:szCs w:val="24"/>
        </w:rPr>
        <w:t>1306,74 mg/sugetablet</w:t>
      </w:r>
    </w:p>
    <w:p w14:paraId="3107F749" w14:textId="0F104CAE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Flydende glucose: </w:t>
      </w:r>
      <w:r w:rsidR="00F33AF3">
        <w:rPr>
          <w:sz w:val="24"/>
          <w:szCs w:val="24"/>
        </w:rPr>
        <w:tab/>
      </w:r>
      <w:r w:rsidR="00F33AF3">
        <w:rPr>
          <w:sz w:val="24"/>
          <w:szCs w:val="24"/>
        </w:rPr>
        <w:tab/>
      </w:r>
      <w:r w:rsidRPr="00B11682">
        <w:rPr>
          <w:sz w:val="24"/>
          <w:szCs w:val="24"/>
        </w:rPr>
        <w:t>1068,96 mg/sugetablet</w:t>
      </w:r>
    </w:p>
    <w:p w14:paraId="19A67E9E" w14:textId="7F5A7531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Propylenglycol (findes i honningaroma): </w:t>
      </w:r>
      <w:r w:rsidR="00F33AF3">
        <w:rPr>
          <w:sz w:val="24"/>
          <w:szCs w:val="24"/>
        </w:rPr>
        <w:tab/>
      </w:r>
      <w:r w:rsidRPr="00B11682">
        <w:rPr>
          <w:sz w:val="24"/>
          <w:szCs w:val="24"/>
        </w:rPr>
        <w:t>8,9 mg/sugetablet</w:t>
      </w:r>
    </w:p>
    <w:p w14:paraId="235437BC" w14:textId="77777777" w:rsidR="00B11682" w:rsidRPr="00B11682" w:rsidRDefault="00B11682" w:rsidP="00B11682">
      <w:pPr>
        <w:ind w:left="851"/>
        <w:rPr>
          <w:sz w:val="24"/>
          <w:szCs w:val="24"/>
          <w:lang w:val="de-DE"/>
        </w:rPr>
      </w:pPr>
      <w:r w:rsidRPr="00B11682">
        <w:rPr>
          <w:sz w:val="24"/>
          <w:szCs w:val="24"/>
        </w:rPr>
        <w:t>Citronellol, citral og linalool (findes i honning- og citronaroma)</w:t>
      </w:r>
    </w:p>
    <w:p w14:paraId="70EAF3F2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09D8427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Alle hjælpestoffer er anført under pkt. 6.1.</w:t>
      </w:r>
    </w:p>
    <w:p w14:paraId="735BC84B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31FD6B1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3.</w:t>
      </w:r>
      <w:r w:rsidRPr="00B11682">
        <w:rPr>
          <w:b/>
          <w:sz w:val="24"/>
          <w:szCs w:val="24"/>
        </w:rPr>
        <w:tab/>
        <w:t>LÆGEMIDDELFORM</w:t>
      </w:r>
    </w:p>
    <w:p w14:paraId="3B32D155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Sugetabletter</w:t>
      </w:r>
    </w:p>
    <w:p w14:paraId="27957CC0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CDFA78B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Voxsill Honning og Citron er brun-gule, runde, flade sugetabletter med affasede kanter og honning- og citronsmag, med en tykkelse på 6,5 til 7,5 mm og en diameter på 18,0 til 19,0 mm.</w:t>
      </w:r>
    </w:p>
    <w:p w14:paraId="09E8DE73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AAAAAF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62CB4C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</w:t>
      </w:r>
      <w:r w:rsidRPr="00B11682">
        <w:rPr>
          <w:b/>
          <w:sz w:val="24"/>
          <w:szCs w:val="24"/>
        </w:rPr>
        <w:tab/>
        <w:t>KLINISKE OPLYSNINGER</w:t>
      </w:r>
    </w:p>
    <w:p w14:paraId="4C1E06A3" w14:textId="77777777" w:rsidR="009260DE" w:rsidRPr="00B11682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36F187DD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B11682">
        <w:rPr>
          <w:b/>
          <w:sz w:val="24"/>
          <w:szCs w:val="24"/>
        </w:rPr>
        <w:t>4.1</w:t>
      </w:r>
      <w:r w:rsidRPr="00B11682">
        <w:rPr>
          <w:b/>
          <w:sz w:val="24"/>
          <w:szCs w:val="24"/>
        </w:rPr>
        <w:tab/>
        <w:t>Terapeutiske indikationer</w:t>
      </w:r>
    </w:p>
    <w:p w14:paraId="3BB9C8D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Lokal, kortvarig, symptomatisk behandling af inflammatoriske og infektiøse sygdomme i mundhulen og svælget samt til lindring af ondt i halsen hos voksne, unge og børn fra 6 år.</w:t>
      </w:r>
    </w:p>
    <w:p w14:paraId="77509D6B" w14:textId="14D68752" w:rsidR="009362E1" w:rsidRDefault="009362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12192A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B417C4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4.2</w:t>
      </w:r>
      <w:r w:rsidRPr="00B11682">
        <w:rPr>
          <w:b/>
          <w:sz w:val="24"/>
          <w:szCs w:val="24"/>
        </w:rPr>
        <w:tab/>
        <w:t xml:space="preserve">Dosering og </w:t>
      </w:r>
      <w:r w:rsidR="002C1EC0" w:rsidRPr="00B11682">
        <w:rPr>
          <w:b/>
          <w:sz w:val="24"/>
          <w:szCs w:val="24"/>
        </w:rPr>
        <w:t>administration</w:t>
      </w:r>
    </w:p>
    <w:p w14:paraId="05E82422" w14:textId="77777777" w:rsidR="00F33AF3" w:rsidRDefault="00F33AF3" w:rsidP="00B11682">
      <w:pPr>
        <w:ind w:left="851"/>
        <w:rPr>
          <w:sz w:val="24"/>
          <w:szCs w:val="24"/>
        </w:rPr>
      </w:pPr>
    </w:p>
    <w:p w14:paraId="67FFA044" w14:textId="4C4ECBAA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Dosering</w:t>
      </w:r>
    </w:p>
    <w:p w14:paraId="54B43B1A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Bivirkninger kan minimeres ved at anvende den laveste effektive dosis i den kortest mulige periode, der er nødvendig for at kontrollere symptomerne (se pkt. 4.4).</w:t>
      </w:r>
    </w:p>
    <w:p w14:paraId="214C2B97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230FCDA" w14:textId="225C1D3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i/>
          <w:sz w:val="24"/>
          <w:szCs w:val="24"/>
        </w:rPr>
        <w:t xml:space="preserve">Voksne: </w:t>
      </w:r>
      <w:r w:rsidRPr="00B11682">
        <w:rPr>
          <w:sz w:val="24"/>
          <w:szCs w:val="24"/>
        </w:rPr>
        <w:t>1 sugetablet hver 2. eller 3. time efter behov, op til maksimalt 12 sugetabletter i døgnet.</w:t>
      </w:r>
    </w:p>
    <w:p w14:paraId="2C60E521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1C42E3BB" w14:textId="77777777" w:rsidR="00B11682" w:rsidRPr="00B11682" w:rsidRDefault="00B11682" w:rsidP="00B11682">
      <w:pPr>
        <w:ind w:left="851"/>
        <w:rPr>
          <w:i/>
          <w:sz w:val="24"/>
          <w:szCs w:val="24"/>
        </w:rPr>
      </w:pPr>
      <w:r w:rsidRPr="00B11682">
        <w:rPr>
          <w:i/>
          <w:sz w:val="24"/>
          <w:szCs w:val="24"/>
        </w:rPr>
        <w:t>Pædiatrisk population</w:t>
      </w:r>
    </w:p>
    <w:p w14:paraId="4D274504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Børn over 6 år og unge: 1 sugetablet hver 2. eller 3. time efter behov, op til maksimalt 6 sugetabletter i døgnet.</w:t>
      </w:r>
    </w:p>
    <w:p w14:paraId="768F7A40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7951D43F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Voxsill Honning og Citron er kontraindiceret til børn under 6 år (se pkt. 4.3).</w:t>
      </w:r>
    </w:p>
    <w:p w14:paraId="53485D69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1A346DF9" w14:textId="42D9849C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i/>
          <w:sz w:val="24"/>
          <w:szCs w:val="24"/>
        </w:rPr>
        <w:t>Ældre</w:t>
      </w:r>
      <w:r w:rsidRPr="00B11682">
        <w:rPr>
          <w:sz w:val="24"/>
          <w:szCs w:val="24"/>
        </w:rPr>
        <w:t>: Dosisjustering er ikke nødvendig.</w:t>
      </w:r>
    </w:p>
    <w:p w14:paraId="686BA15A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419E6DF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Behandlingsvarighed</w:t>
      </w:r>
    </w:p>
    <w:p w14:paraId="70BA9F13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Længerevarende behandling med dette lægemiddel i mere end 3 dage anbefales ikke.</w:t>
      </w:r>
    </w:p>
    <w:p w14:paraId="4275803B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30C539AA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Administration</w:t>
      </w:r>
    </w:p>
    <w:p w14:paraId="19420D9F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Til anvendelse i mundhulen. </w:t>
      </w:r>
    </w:p>
    <w:p w14:paraId="16113E98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E9AF8AE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Sugetabletten skal opløses langsomt i munden. Sugetabletten må ikke sluges, tygges eller bides over. Sugetabletter bør ikke anvendes umiddelbart før eller under måltider.</w:t>
      </w:r>
    </w:p>
    <w:p w14:paraId="26A6145B" w14:textId="77777777" w:rsidR="009260DE" w:rsidRPr="00B11682" w:rsidRDefault="009260DE" w:rsidP="00B11682">
      <w:pPr>
        <w:ind w:left="851"/>
        <w:rPr>
          <w:sz w:val="24"/>
          <w:szCs w:val="24"/>
        </w:rPr>
      </w:pPr>
    </w:p>
    <w:p w14:paraId="4C67A746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4.3</w:t>
      </w:r>
      <w:r w:rsidRPr="00B11682">
        <w:rPr>
          <w:b/>
          <w:sz w:val="24"/>
          <w:szCs w:val="24"/>
        </w:rPr>
        <w:tab/>
        <w:t>Kontraindikationer</w:t>
      </w:r>
    </w:p>
    <w:p w14:paraId="167F681E" w14:textId="77777777" w:rsidR="00B11682" w:rsidRPr="00B11682" w:rsidRDefault="00B11682" w:rsidP="00B11682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B11682">
        <w:rPr>
          <w:sz w:val="24"/>
          <w:szCs w:val="24"/>
        </w:rPr>
        <w:t>Overfølsomhed over for de aktive stoffer eller over for et eller flere af hjælpestofferne anført i pkt. 6.1.</w:t>
      </w:r>
    </w:p>
    <w:p w14:paraId="30CA0324" w14:textId="77777777" w:rsidR="00B11682" w:rsidRPr="00B11682" w:rsidRDefault="00B11682" w:rsidP="00B11682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B11682">
        <w:rPr>
          <w:sz w:val="24"/>
          <w:szCs w:val="24"/>
        </w:rPr>
        <w:t>Børn under 6 år.</w:t>
      </w:r>
    </w:p>
    <w:p w14:paraId="043D58DB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868ABF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4.4</w:t>
      </w:r>
      <w:r w:rsidRPr="00B11682">
        <w:rPr>
          <w:b/>
          <w:sz w:val="24"/>
          <w:szCs w:val="24"/>
        </w:rPr>
        <w:tab/>
        <w:t>Særlige advarsler og forsigtighedsregler vedrørende brugen</w:t>
      </w:r>
    </w:p>
    <w:p w14:paraId="5B787A91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0" w:name="_Hlk151640193"/>
      <w:r w:rsidRPr="00B11682">
        <w:rPr>
          <w:sz w:val="24"/>
          <w:szCs w:val="24"/>
        </w:rPr>
        <w:t>Produktet er beregnet til kortvarig behandling (længerevarende behandling kan forstyrre balancen i den fysiologiske orale mikroflora og medføre risiko for overvækst af patogene mikroorganismer).</w:t>
      </w:r>
    </w:p>
    <w:p w14:paraId="3802FD25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65B64091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Hvis symptomerne på sygdommen varer ved i mere end 3 dage, eller hvis der opstår feber, skal en læge konsulteres.</w:t>
      </w:r>
    </w:p>
    <w:bookmarkEnd w:id="0"/>
    <w:p w14:paraId="1BD7E97F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4525796A" w14:textId="77777777" w:rsidR="00B11682" w:rsidRPr="00B11682" w:rsidRDefault="00B11682" w:rsidP="00B11682">
      <w:pPr>
        <w:ind w:left="851"/>
        <w:rPr>
          <w:sz w:val="24"/>
          <w:szCs w:val="24"/>
          <w:u w:val="single"/>
        </w:rPr>
      </w:pPr>
      <w:bookmarkStart w:id="1" w:name="_Hlk151640221"/>
      <w:r w:rsidRPr="00B11682">
        <w:rPr>
          <w:sz w:val="24"/>
          <w:szCs w:val="24"/>
          <w:u w:val="single"/>
        </w:rPr>
        <w:t>Hjælpestoffer, som behandleren skal være opmærksom på:</w:t>
      </w:r>
    </w:p>
    <w:bookmarkEnd w:id="1"/>
    <w:p w14:paraId="49AFADE6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Dette lægemiddel indeholder 1306,743 mg saccharose og 1068,96 mg glucose pr. sugetablet. Dette bør tages i betragtning hos patienter med diabetes mellitus.</w:t>
      </w:r>
    </w:p>
    <w:p w14:paraId="73AF3AF3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47579C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Patienter med sjældne arvelige problemer med fructoseintolerans, glucose-galactosemalabsorption eller sucrase-isomaltasemangel bør ikke anvende dette lægemiddel.</w:t>
      </w:r>
    </w:p>
    <w:p w14:paraId="49CDD116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77DB1440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Dette lægemiddel indeholder 8,9 mg propylenglycol i hver sugetablet (findes i honningaroma).</w:t>
      </w:r>
    </w:p>
    <w:p w14:paraId="2AA4E498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12E2731D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lastRenderedPageBreak/>
        <w:t>Dette lægemiddel indeholder aroma med citronellol, citral og linalool, som kan forårsage allergiske reaktioner.</w:t>
      </w:r>
    </w:p>
    <w:p w14:paraId="14C90FEF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7509E3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4.5</w:t>
      </w:r>
      <w:r w:rsidRPr="00B11682">
        <w:rPr>
          <w:b/>
          <w:sz w:val="24"/>
          <w:szCs w:val="24"/>
        </w:rPr>
        <w:tab/>
        <w:t>Interaktion med andre lægemidler og andre former for interaktion</w:t>
      </w:r>
    </w:p>
    <w:p w14:paraId="72925DFD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2" w:name="_Hlk151640259"/>
      <w:r w:rsidRPr="00B11682">
        <w:rPr>
          <w:sz w:val="24"/>
          <w:szCs w:val="24"/>
        </w:rPr>
        <w:t>Samtidig brug af andre topiske antiseptika eller antibiotika kan forstærke den antimikrobielle virkning. Der findes ingen andre kendte klinisk signifikante interaktioner.</w:t>
      </w:r>
      <w:bookmarkEnd w:id="2"/>
    </w:p>
    <w:p w14:paraId="63E82637" w14:textId="77777777" w:rsidR="009260DE" w:rsidRPr="00B11682" w:rsidRDefault="009260DE" w:rsidP="00B11682">
      <w:pPr>
        <w:ind w:left="851"/>
        <w:rPr>
          <w:sz w:val="24"/>
          <w:szCs w:val="24"/>
        </w:rPr>
      </w:pPr>
    </w:p>
    <w:p w14:paraId="5C0EF5E4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4.6</w:t>
      </w:r>
      <w:r w:rsidRPr="00B11682">
        <w:rPr>
          <w:b/>
          <w:sz w:val="24"/>
          <w:szCs w:val="24"/>
        </w:rPr>
        <w:tab/>
      </w:r>
      <w:r w:rsidR="0071241E" w:rsidRPr="00B11682">
        <w:rPr>
          <w:b/>
          <w:sz w:val="24"/>
          <w:szCs w:val="24"/>
        </w:rPr>
        <w:t>Fertilitet, g</w:t>
      </w:r>
      <w:r w:rsidRPr="00B11682">
        <w:rPr>
          <w:b/>
          <w:sz w:val="24"/>
          <w:szCs w:val="24"/>
        </w:rPr>
        <w:t>raviditet og amning</w:t>
      </w:r>
    </w:p>
    <w:p w14:paraId="419AA11D" w14:textId="77777777" w:rsidR="00F33AF3" w:rsidRDefault="00F33AF3" w:rsidP="00B11682">
      <w:pPr>
        <w:ind w:left="851"/>
        <w:rPr>
          <w:sz w:val="24"/>
          <w:szCs w:val="24"/>
        </w:rPr>
      </w:pPr>
    </w:p>
    <w:p w14:paraId="35F2A399" w14:textId="6D5A707F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Graviditet</w:t>
      </w:r>
    </w:p>
    <w:p w14:paraId="387B05F4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Sikkerheden ved Voxsill Honning og Citron under graviditet er ikke fastlagt.</w:t>
      </w:r>
    </w:p>
    <w:p w14:paraId="62A029DF" w14:textId="00A4586F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Der foreligger ingen data om brugen af amylmetacresol og dichlorbenzylalkohol som farmakologisk aktive stoffer under graviditet. </w:t>
      </w:r>
      <w:bookmarkStart w:id="3" w:name="_Hlk151640277"/>
      <w:r w:rsidRPr="00B11682">
        <w:rPr>
          <w:sz w:val="24"/>
          <w:szCs w:val="24"/>
        </w:rPr>
        <w:t>I mangel af dokumenterede data anbefales det ikke at bruge Voxsill Honning og Citron under graviditet.</w:t>
      </w:r>
      <w:bookmarkEnd w:id="3"/>
    </w:p>
    <w:p w14:paraId="35732DBF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1EAEDB25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Amning</w:t>
      </w:r>
    </w:p>
    <w:p w14:paraId="3519DD5A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Sikkerheden ved Voxsill Honning og Citron under amning er ikke fastlagt. Der foreligger ingen data om udskillelse af amylmetacresol og dichlorbenzylalkohol i modermælk. </w:t>
      </w:r>
      <w:bookmarkStart w:id="4" w:name="_Hlk151640287"/>
      <w:r w:rsidRPr="00B11682">
        <w:rPr>
          <w:sz w:val="24"/>
          <w:szCs w:val="24"/>
        </w:rPr>
        <w:t xml:space="preserve">I mangel af dokumenterede data anbefales det ikke at bruge Voxsill Honning og Citron under amning. </w:t>
      </w:r>
      <w:bookmarkEnd w:id="4"/>
    </w:p>
    <w:p w14:paraId="3C4DA767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A1BEEDE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Fertilitet</w:t>
      </w:r>
    </w:p>
    <w:p w14:paraId="6CA762F5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Der foreligger ingen data om indvirkningen af brugen af amylmetacresol og dichlorbenzylalkohol på fertilitet.</w:t>
      </w:r>
    </w:p>
    <w:p w14:paraId="14DF525F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667C740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4.7</w:t>
      </w:r>
      <w:r w:rsidRPr="00B11682">
        <w:rPr>
          <w:b/>
          <w:sz w:val="24"/>
          <w:szCs w:val="24"/>
        </w:rPr>
        <w:tab/>
        <w:t xml:space="preserve">Virkning på evnen til at føre motorkøretøj </w:t>
      </w:r>
      <w:r w:rsidR="0071241E" w:rsidRPr="00B11682">
        <w:rPr>
          <w:b/>
          <w:sz w:val="24"/>
          <w:szCs w:val="24"/>
        </w:rPr>
        <w:t>og</w:t>
      </w:r>
      <w:r w:rsidRPr="00B11682">
        <w:rPr>
          <w:b/>
          <w:sz w:val="24"/>
          <w:szCs w:val="24"/>
        </w:rPr>
        <w:t xml:space="preserve"> betjene maskiner</w:t>
      </w:r>
    </w:p>
    <w:p w14:paraId="25000508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Ikke mærkning.</w:t>
      </w:r>
    </w:p>
    <w:p w14:paraId="0CCDCC71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Voxsill Honning og Citron påvirker ikke eller kun i ubetydelig grad evnen til at føre motorkøretøj eller betjene maskiner.</w:t>
      </w:r>
    </w:p>
    <w:p w14:paraId="3507942B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CBF96D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4.8</w:t>
      </w:r>
      <w:r w:rsidRPr="00B11682">
        <w:rPr>
          <w:b/>
          <w:sz w:val="24"/>
          <w:szCs w:val="24"/>
        </w:rPr>
        <w:tab/>
        <w:t>Bivirkninger</w:t>
      </w:r>
    </w:p>
    <w:p w14:paraId="3F84EEA9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5" w:name="_Hlk152138700"/>
      <w:r w:rsidRPr="00B11682">
        <w:rPr>
          <w:sz w:val="24"/>
          <w:szCs w:val="24"/>
        </w:rPr>
        <w:t>Den følgende liste over bivirkninger vedrører virkninger, der er observeret ved kortvarig brug af 2,4-dichlorbenzylalkohol og amylmetacresol</w:t>
      </w:r>
      <w:bookmarkEnd w:id="5"/>
      <w:r w:rsidRPr="00B11682">
        <w:rPr>
          <w:sz w:val="24"/>
          <w:szCs w:val="24"/>
        </w:rPr>
        <w:t>.</w:t>
      </w:r>
    </w:p>
    <w:p w14:paraId="69C4B07E" w14:textId="77777777" w:rsidR="00B11682" w:rsidRPr="00F33AF3" w:rsidRDefault="00B11682" w:rsidP="00B11682">
      <w:pPr>
        <w:ind w:left="851"/>
        <w:rPr>
          <w:bCs/>
          <w:sz w:val="24"/>
          <w:szCs w:val="24"/>
        </w:rPr>
      </w:pPr>
    </w:p>
    <w:p w14:paraId="39B3CF94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Bivirkningerne er angivet nedenfor efter organklassesystem og hyppighed. Hyppighederne nedenfor er defineret som:</w:t>
      </w:r>
    </w:p>
    <w:p w14:paraId="422F39A1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8C2BFAA" w14:textId="4DFE2623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Meget almindelig (</w:t>
      </w:r>
      <w:r w:rsidR="00B113AF">
        <w:rPr>
          <w:sz w:val="24"/>
          <w:szCs w:val="24"/>
        </w:rPr>
        <w:t>≥</w:t>
      </w:r>
      <w:r w:rsidRPr="00B11682">
        <w:rPr>
          <w:sz w:val="24"/>
          <w:szCs w:val="24"/>
        </w:rPr>
        <w:t xml:space="preserve"> 1/10), almindelig (</w:t>
      </w:r>
      <w:r w:rsidR="00B113AF">
        <w:rPr>
          <w:sz w:val="24"/>
          <w:szCs w:val="24"/>
        </w:rPr>
        <w:t>≥</w:t>
      </w:r>
      <w:r w:rsidRPr="00B11682">
        <w:rPr>
          <w:sz w:val="24"/>
          <w:szCs w:val="24"/>
        </w:rPr>
        <w:t xml:space="preserve"> 1/100 til &lt; 1/10), ikke almindelig (</w:t>
      </w:r>
      <w:r w:rsidR="00B113AF">
        <w:rPr>
          <w:sz w:val="24"/>
          <w:szCs w:val="24"/>
        </w:rPr>
        <w:t>≥</w:t>
      </w:r>
      <w:r w:rsidRPr="00B11682">
        <w:rPr>
          <w:sz w:val="24"/>
          <w:szCs w:val="24"/>
        </w:rPr>
        <w:t xml:space="preserve"> 1/1.000 til &lt;</w:t>
      </w:r>
      <w:r w:rsidR="00B113AF">
        <w:rPr>
          <w:sz w:val="24"/>
          <w:szCs w:val="24"/>
        </w:rPr>
        <w:t> </w:t>
      </w:r>
      <w:r w:rsidRPr="00B11682">
        <w:rPr>
          <w:sz w:val="24"/>
          <w:szCs w:val="24"/>
        </w:rPr>
        <w:t>1/100), sjælden (</w:t>
      </w:r>
      <w:r w:rsidR="00B113AF">
        <w:rPr>
          <w:sz w:val="24"/>
          <w:szCs w:val="24"/>
        </w:rPr>
        <w:t>≥</w:t>
      </w:r>
      <w:r w:rsidRPr="00B11682">
        <w:rPr>
          <w:sz w:val="24"/>
          <w:szCs w:val="24"/>
        </w:rPr>
        <w:t xml:space="preserve"> 1/10.000 til &lt; 1/1.000), meget sjælden (&lt; 1/10.000) eller ikke kendt (kan ikke estimeres ud fra de tilgængelige data)</w:t>
      </w:r>
    </w:p>
    <w:p w14:paraId="523F9EFE" w14:textId="77777777" w:rsidR="00B11682" w:rsidRPr="00B11682" w:rsidRDefault="00B11682" w:rsidP="00B1168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9"/>
      </w:tblGrid>
      <w:tr w:rsidR="00B11682" w:rsidRPr="00B11682" w14:paraId="388CAF31" w14:textId="77777777" w:rsidTr="00B11682">
        <w:trPr>
          <w:trHeight w:val="72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365FD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>Forstyrrelser i immunsystemet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9471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  <w:u w:val="single"/>
              </w:rPr>
              <w:t xml:space="preserve">Ukendt </w:t>
            </w:r>
          </w:p>
          <w:p w14:paraId="5547A4DE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>Overfølsomhed</w:t>
            </w:r>
            <w:r w:rsidRPr="00B116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11682" w:rsidRPr="00B11682" w14:paraId="455DAC0B" w14:textId="77777777" w:rsidTr="00B11682">
        <w:trPr>
          <w:trHeight w:val="111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BCC7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>Gastrointestinale sygdomme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C6D4" w14:textId="77777777" w:rsidR="00B11682" w:rsidRPr="00B11682" w:rsidRDefault="00B11682" w:rsidP="00B11682">
            <w:pPr>
              <w:ind w:left="24"/>
              <w:rPr>
                <w:sz w:val="24"/>
                <w:szCs w:val="24"/>
                <w:u w:val="single"/>
              </w:rPr>
            </w:pPr>
            <w:r w:rsidRPr="00B11682">
              <w:rPr>
                <w:sz w:val="24"/>
                <w:szCs w:val="24"/>
                <w:u w:val="single"/>
              </w:rPr>
              <w:t>Ukendt</w:t>
            </w:r>
          </w:p>
          <w:p w14:paraId="4447971F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>Smertefuld tunge</w:t>
            </w:r>
            <w:r w:rsidRPr="00B11682">
              <w:rPr>
                <w:sz w:val="24"/>
                <w:szCs w:val="24"/>
                <w:vertAlign w:val="superscript"/>
              </w:rPr>
              <w:t>2</w:t>
            </w:r>
          </w:p>
          <w:p w14:paraId="097D4D84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>Kvalme</w:t>
            </w:r>
          </w:p>
          <w:p w14:paraId="27137ED9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  <w:r w:rsidRPr="00B11682">
              <w:rPr>
                <w:sz w:val="24"/>
                <w:szCs w:val="24"/>
              </w:rPr>
              <w:t xml:space="preserve">Mavesmerter </w:t>
            </w:r>
          </w:p>
          <w:p w14:paraId="31F5FFA8" w14:textId="77777777" w:rsidR="00B11682" w:rsidRPr="00B11682" w:rsidRDefault="00B11682" w:rsidP="00B11682">
            <w:pPr>
              <w:ind w:left="24"/>
              <w:rPr>
                <w:sz w:val="24"/>
                <w:szCs w:val="24"/>
              </w:rPr>
            </w:pPr>
          </w:p>
        </w:tc>
      </w:tr>
    </w:tbl>
    <w:p w14:paraId="359DFDEF" w14:textId="756A0B6C" w:rsidR="009362E1" w:rsidRDefault="009362E1" w:rsidP="00B11682">
      <w:pPr>
        <w:tabs>
          <w:tab w:val="left" w:pos="851"/>
        </w:tabs>
        <w:ind w:left="851"/>
        <w:rPr>
          <w:sz w:val="24"/>
          <w:szCs w:val="24"/>
        </w:rPr>
      </w:pPr>
    </w:p>
    <w:p w14:paraId="004524C6" w14:textId="77777777" w:rsidR="009362E1" w:rsidRDefault="009362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8E1FE2" w14:textId="77777777" w:rsidR="00B11682" w:rsidRPr="00B11682" w:rsidRDefault="00B11682" w:rsidP="00B11682">
      <w:pPr>
        <w:tabs>
          <w:tab w:val="left" w:pos="851"/>
        </w:tabs>
        <w:ind w:left="851"/>
        <w:rPr>
          <w:sz w:val="24"/>
          <w:szCs w:val="24"/>
        </w:rPr>
      </w:pPr>
    </w:p>
    <w:p w14:paraId="09238ECC" w14:textId="77777777" w:rsidR="00B11682" w:rsidRPr="009362E1" w:rsidRDefault="00B11682" w:rsidP="00B11682">
      <w:pPr>
        <w:ind w:left="851"/>
        <w:rPr>
          <w:sz w:val="24"/>
          <w:szCs w:val="24"/>
          <w:u w:val="single"/>
        </w:rPr>
      </w:pPr>
      <w:bookmarkStart w:id="6" w:name="_Hlk152138726"/>
      <w:r w:rsidRPr="009362E1">
        <w:rPr>
          <w:sz w:val="24"/>
          <w:szCs w:val="24"/>
          <w:u w:val="single"/>
        </w:rPr>
        <w:t>Beskrivelse af individuelle bivirkninger</w:t>
      </w:r>
    </w:p>
    <w:p w14:paraId="3429DAD6" w14:textId="64239B71" w:rsidR="00B11682" w:rsidRPr="00B11682" w:rsidRDefault="00B11682" w:rsidP="00F33AF3">
      <w:pPr>
        <w:tabs>
          <w:tab w:val="left" w:pos="1276"/>
        </w:tabs>
        <w:ind w:left="1271" w:hanging="420"/>
        <w:rPr>
          <w:sz w:val="24"/>
          <w:szCs w:val="24"/>
        </w:rPr>
      </w:pPr>
      <w:r w:rsidRPr="00B11682">
        <w:rPr>
          <w:sz w:val="24"/>
          <w:szCs w:val="24"/>
          <w:vertAlign w:val="superscript"/>
        </w:rPr>
        <w:t>1</w:t>
      </w:r>
      <w:r w:rsidRPr="00B11682">
        <w:rPr>
          <w:sz w:val="24"/>
          <w:szCs w:val="24"/>
        </w:rPr>
        <w:t xml:space="preserve"> </w:t>
      </w:r>
      <w:r w:rsidR="00F33AF3">
        <w:rPr>
          <w:sz w:val="24"/>
          <w:szCs w:val="24"/>
        </w:rPr>
        <w:tab/>
      </w:r>
      <w:r w:rsidRPr="00B11682">
        <w:rPr>
          <w:sz w:val="24"/>
          <w:szCs w:val="24"/>
        </w:rPr>
        <w:t>Reaktioner såsom hududslæt, angioødem, urticaria, bronkospasme, hypotension med synkope, feber og diarré kan forekomme.</w:t>
      </w:r>
    </w:p>
    <w:p w14:paraId="44BD1C75" w14:textId="0B86F602" w:rsidR="00B11682" w:rsidRPr="00B11682" w:rsidRDefault="00B11682" w:rsidP="00F33AF3">
      <w:pPr>
        <w:tabs>
          <w:tab w:val="left" w:pos="1276"/>
        </w:tabs>
        <w:ind w:left="1271" w:hanging="420"/>
        <w:rPr>
          <w:sz w:val="24"/>
          <w:szCs w:val="24"/>
        </w:rPr>
      </w:pPr>
      <w:r w:rsidRPr="00B11682">
        <w:rPr>
          <w:sz w:val="24"/>
          <w:szCs w:val="24"/>
          <w:vertAlign w:val="superscript"/>
        </w:rPr>
        <w:t>2</w:t>
      </w:r>
      <w:r w:rsidRPr="00B11682">
        <w:rPr>
          <w:sz w:val="24"/>
          <w:szCs w:val="24"/>
        </w:rPr>
        <w:t xml:space="preserve"> </w:t>
      </w:r>
      <w:r w:rsidR="00F33AF3">
        <w:rPr>
          <w:sz w:val="24"/>
          <w:szCs w:val="24"/>
        </w:rPr>
        <w:tab/>
      </w:r>
      <w:r w:rsidRPr="00B11682">
        <w:rPr>
          <w:sz w:val="24"/>
          <w:szCs w:val="24"/>
        </w:rPr>
        <w:t>Ubehag i munden kan vise sig som irritation i halsområdet, oral paræstesi, mundødem og glossodyni.</w:t>
      </w:r>
    </w:p>
    <w:bookmarkEnd w:id="6"/>
    <w:p w14:paraId="25F990BE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72329380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Indberetning af formodede bivirkninger</w:t>
      </w:r>
    </w:p>
    <w:p w14:paraId="1951847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Når lægemidlet er godkendt, er indberetning af formodede bivirkninger vigtig. Det muliggør løbende overvågning af benefit/risk-forholdet for lægemidlet. Sundhedspersoner anmodes om at indberette alle formodede bivirkninger via:</w:t>
      </w:r>
    </w:p>
    <w:p w14:paraId="6753C9E1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1474B83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Lægemiddelstyrelsen</w:t>
      </w:r>
    </w:p>
    <w:p w14:paraId="5CCC235E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Axel Heides Gade 1</w:t>
      </w:r>
    </w:p>
    <w:p w14:paraId="1E75C3FD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DK-2300 København S</w:t>
      </w:r>
    </w:p>
    <w:p w14:paraId="26EC778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Websted: www.meldenbivirkning.dk</w:t>
      </w:r>
    </w:p>
    <w:p w14:paraId="3DA332AB" w14:textId="77777777" w:rsidR="009260DE" w:rsidRPr="00B11682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38DB9D5E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4.9</w:t>
      </w:r>
      <w:r w:rsidRPr="00B11682">
        <w:rPr>
          <w:b/>
          <w:sz w:val="24"/>
          <w:szCs w:val="24"/>
        </w:rPr>
        <w:tab/>
        <w:t>Overdosering</w:t>
      </w:r>
    </w:p>
    <w:p w14:paraId="62744BCB" w14:textId="77777777" w:rsidR="00F33AF3" w:rsidRDefault="00F33AF3" w:rsidP="00B11682">
      <w:pPr>
        <w:ind w:left="851"/>
        <w:rPr>
          <w:sz w:val="24"/>
          <w:szCs w:val="24"/>
        </w:rPr>
      </w:pPr>
      <w:bookmarkStart w:id="7" w:name="_Hlk152144322"/>
    </w:p>
    <w:p w14:paraId="490E1A85" w14:textId="168E0C23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r w:rsidRPr="00F33AF3">
        <w:rPr>
          <w:sz w:val="24"/>
          <w:szCs w:val="24"/>
          <w:u w:val="single"/>
        </w:rPr>
        <w:t>Symptomer</w:t>
      </w:r>
    </w:p>
    <w:bookmarkEnd w:id="7"/>
    <w:p w14:paraId="3D1C4F4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 betragtning af egenskaberne og præsentationen af Voxsill Honning og Citron er utilsigtet eller tilsigtet overdosering meget usandsynlig.</w:t>
      </w:r>
    </w:p>
    <w:p w14:paraId="021A7DBD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4D566372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Overdosering forventes ikke medføre andre problemer end gastrointestinale gener. </w:t>
      </w:r>
    </w:p>
    <w:p w14:paraId="0631F791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45F3366A" w14:textId="77777777" w:rsidR="00B11682" w:rsidRPr="00F33AF3" w:rsidRDefault="00B11682" w:rsidP="00B11682">
      <w:pPr>
        <w:ind w:left="851"/>
        <w:rPr>
          <w:sz w:val="24"/>
          <w:szCs w:val="24"/>
          <w:u w:val="single"/>
        </w:rPr>
      </w:pPr>
      <w:bookmarkStart w:id="8" w:name="_Hlk152144335"/>
      <w:r w:rsidRPr="00F33AF3">
        <w:rPr>
          <w:sz w:val="24"/>
          <w:szCs w:val="24"/>
          <w:u w:val="single"/>
        </w:rPr>
        <w:t xml:space="preserve">Behandling </w:t>
      </w:r>
    </w:p>
    <w:bookmarkEnd w:id="8"/>
    <w:p w14:paraId="1E7B57F4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Behandling af overdosering bør være symptomatisk.</w:t>
      </w:r>
    </w:p>
    <w:p w14:paraId="5CAA80A4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160D90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4.10</w:t>
      </w:r>
      <w:r w:rsidRPr="00B11682">
        <w:rPr>
          <w:b/>
          <w:sz w:val="24"/>
          <w:szCs w:val="24"/>
        </w:rPr>
        <w:tab/>
        <w:t>Udlevering</w:t>
      </w:r>
    </w:p>
    <w:p w14:paraId="2D131C10" w14:textId="5ACDDE22" w:rsidR="009260DE" w:rsidRPr="00B11682" w:rsidRDefault="00B11682" w:rsidP="009260DE">
      <w:pPr>
        <w:tabs>
          <w:tab w:val="left" w:pos="851"/>
        </w:tabs>
        <w:ind w:left="851"/>
        <w:rPr>
          <w:sz w:val="24"/>
          <w:szCs w:val="24"/>
        </w:rPr>
      </w:pPr>
      <w:r w:rsidRPr="00B11682">
        <w:rPr>
          <w:sz w:val="24"/>
          <w:szCs w:val="24"/>
        </w:rPr>
        <w:t>HF</w:t>
      </w:r>
    </w:p>
    <w:p w14:paraId="512867FB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29DDAE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F2A195A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5.</w:t>
      </w:r>
      <w:r w:rsidRPr="00B11682">
        <w:rPr>
          <w:b/>
          <w:sz w:val="24"/>
          <w:szCs w:val="24"/>
        </w:rPr>
        <w:tab/>
        <w:t>FARMAKOLOGISKE EGENSKABER</w:t>
      </w:r>
    </w:p>
    <w:p w14:paraId="6D1B73ED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13B29F5" w14:textId="77777777" w:rsidR="009260DE" w:rsidRPr="00B11682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5.1</w:t>
      </w:r>
      <w:r w:rsidRPr="00B11682">
        <w:rPr>
          <w:b/>
          <w:sz w:val="24"/>
          <w:szCs w:val="24"/>
        </w:rPr>
        <w:tab/>
        <w:t>Farmakodynamiske egenskaber</w:t>
      </w:r>
    </w:p>
    <w:p w14:paraId="5AEA8AED" w14:textId="5C2B6B58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Farmakoterapeutisk klassifikation: Halsmidler, antiseptika, ATC-kode: R02AA03</w:t>
      </w:r>
    </w:p>
    <w:p w14:paraId="72E09B35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DAF3CC9" w14:textId="77777777" w:rsidR="00B11682" w:rsidRPr="00F33AF3" w:rsidRDefault="00B11682" w:rsidP="00B11682">
      <w:pPr>
        <w:ind w:left="851"/>
        <w:rPr>
          <w:sz w:val="24"/>
          <w:szCs w:val="24"/>
        </w:rPr>
      </w:pPr>
      <w:r w:rsidRPr="00F33AF3">
        <w:rPr>
          <w:sz w:val="24"/>
          <w:szCs w:val="24"/>
        </w:rPr>
        <w:t>Amylmetacresol og 2,4-dichlorbenzylalkohol har antiseptiske egenskaber.</w:t>
      </w:r>
    </w:p>
    <w:p w14:paraId="36BBC0AA" w14:textId="77777777" w:rsidR="00B11682" w:rsidRPr="00F33AF3" w:rsidRDefault="00B11682" w:rsidP="00B11682">
      <w:pPr>
        <w:ind w:left="851"/>
        <w:rPr>
          <w:sz w:val="24"/>
          <w:szCs w:val="24"/>
        </w:rPr>
      </w:pPr>
      <w:r w:rsidRPr="00F33AF3">
        <w:rPr>
          <w:sz w:val="24"/>
          <w:szCs w:val="24"/>
        </w:rPr>
        <w:t>Begge aktive stoffer har antimikrobiel virkning ved denaturering og koagulation af proteiner. Med hensyn til den antiseptiske virkning er de to aktive stoffer synergistiske.</w:t>
      </w:r>
    </w:p>
    <w:p w14:paraId="630D33BA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  <w:lang w:val="es-ES"/>
        </w:rPr>
      </w:pPr>
    </w:p>
    <w:p w14:paraId="0C8645A8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5.2</w:t>
      </w:r>
      <w:r w:rsidRPr="00B11682">
        <w:rPr>
          <w:b/>
          <w:sz w:val="24"/>
          <w:szCs w:val="24"/>
        </w:rPr>
        <w:tab/>
        <w:t>Farmakokinetiske egenskaber</w:t>
      </w:r>
    </w:p>
    <w:p w14:paraId="774F5E0D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Forsøg viser en hurtig frigivelse af 2,4-dichlorobenzylalkohol og amylmetacresol i spyt, hvor maksimale niveauer opnås inden for 3-4 minutter efter administration af sugetabletten. sugetabletten opløses over cirka 6 minutter. Kvantificerbare mængder af aktive stoffer udskilles op til 20-30 minutter efter dosering.</w:t>
      </w:r>
    </w:p>
    <w:p w14:paraId="3AD8018C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BC03633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2,4-dichlorobenzylalkohol metaboliseres i leveren til hippursyre, som udskilles i urinen.</w:t>
      </w:r>
    </w:p>
    <w:p w14:paraId="67EBE9F0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607A8ADB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Der foreligger ingen data af amylmetacresol.</w:t>
      </w:r>
    </w:p>
    <w:p w14:paraId="0B6298AA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8773D8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5.3</w:t>
      </w:r>
      <w:r w:rsidRPr="00B11682">
        <w:rPr>
          <w:b/>
          <w:sz w:val="24"/>
          <w:szCs w:val="24"/>
        </w:rPr>
        <w:tab/>
      </w:r>
      <w:r w:rsidR="00BD7931" w:rsidRPr="00B11682">
        <w:rPr>
          <w:b/>
          <w:sz w:val="24"/>
          <w:szCs w:val="24"/>
        </w:rPr>
        <w:t>Non-</w:t>
      </w:r>
      <w:r w:rsidRPr="00B11682">
        <w:rPr>
          <w:b/>
          <w:sz w:val="24"/>
          <w:szCs w:val="24"/>
        </w:rPr>
        <w:t>kliniske sikkerhedsdata</w:t>
      </w:r>
    </w:p>
    <w:p w14:paraId="563C0A4F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9" w:name="_Hlk152138958"/>
      <w:r w:rsidRPr="00B11682">
        <w:rPr>
          <w:sz w:val="24"/>
          <w:szCs w:val="24"/>
        </w:rPr>
        <w:t xml:space="preserve">Den akutte orale toksicitet af 2,4-dichlorobenzylalkohol og amylmetacresol er lav. Kroniske toksicitetsstudier på rotter viste øget nyre- og levervægt efter behandling med 2,4-dichlorobenzylalkohol. Endvidere blev der observeret dosisafhængige skader på maveepitelet. Der blev observeret ulcerativ erosion og nekrose samt hyperplasi og hyperkeratose af epitelet. </w:t>
      </w:r>
      <w:r w:rsidRPr="00B11682">
        <w:rPr>
          <w:i/>
          <w:iCs/>
          <w:sz w:val="24"/>
          <w:szCs w:val="24"/>
        </w:rPr>
        <w:t>In vitro</w:t>
      </w:r>
      <w:r w:rsidRPr="00B11682">
        <w:rPr>
          <w:sz w:val="24"/>
          <w:szCs w:val="24"/>
        </w:rPr>
        <w:t xml:space="preserve">- og </w:t>
      </w:r>
      <w:r w:rsidRPr="00B11682">
        <w:rPr>
          <w:i/>
          <w:iCs/>
          <w:sz w:val="24"/>
          <w:szCs w:val="24"/>
        </w:rPr>
        <w:t>in vivo</w:t>
      </w:r>
      <w:r w:rsidRPr="00B11682">
        <w:rPr>
          <w:sz w:val="24"/>
          <w:szCs w:val="24"/>
        </w:rPr>
        <w:t>-tests af den genetiske toksikologi for amylmetacresol og 2,4-dichlorobenzylalkohol gav ingen relevante indikationer på et genotoksisk potentiale for Voxsill Honning og Citron ved anvendelse som foreskrevet. Non-kliniske studier af carcinogenicitet foreligger ikke.</w:t>
      </w:r>
    </w:p>
    <w:p w14:paraId="58645157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Et embryotoksicitetsstudie viste ingen teratogene virkninger hos kanin. Fertilitetsstudier eller peri-/postnatale undersøgelser blev ikke udført.</w:t>
      </w:r>
      <w:bookmarkEnd w:id="9"/>
    </w:p>
    <w:p w14:paraId="4946FDAA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37E2D50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9D25A3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</w:t>
      </w:r>
      <w:r w:rsidRPr="00B11682">
        <w:rPr>
          <w:b/>
          <w:sz w:val="24"/>
          <w:szCs w:val="24"/>
        </w:rPr>
        <w:tab/>
        <w:t>FARMACEUTISKE OPLYSNINGER</w:t>
      </w:r>
    </w:p>
    <w:p w14:paraId="59B9B44E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470939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6.1</w:t>
      </w:r>
      <w:r w:rsidRPr="00B11682">
        <w:rPr>
          <w:b/>
          <w:sz w:val="24"/>
          <w:szCs w:val="24"/>
        </w:rPr>
        <w:tab/>
        <w:t>Hjælpestoffer</w:t>
      </w:r>
    </w:p>
    <w:p w14:paraId="268A2B9E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10" w:name="_Hlk224043425"/>
      <w:r w:rsidRPr="00B11682">
        <w:rPr>
          <w:sz w:val="24"/>
          <w:szCs w:val="24"/>
        </w:rPr>
        <w:t>Levomenthol</w:t>
      </w:r>
    </w:p>
    <w:bookmarkEnd w:id="10"/>
    <w:p w14:paraId="1DB8135C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Saccharose (E473)</w:t>
      </w:r>
    </w:p>
    <w:p w14:paraId="39CB646C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Flydende glucose (E418)</w:t>
      </w:r>
    </w:p>
    <w:p w14:paraId="4AD85F52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Honningaroma (indeholder citronellol og propylenglycol)</w:t>
      </w:r>
    </w:p>
    <w:p w14:paraId="69CDAFB1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Citronaroma (indeholder citral og linalool)</w:t>
      </w:r>
    </w:p>
    <w:p w14:paraId="12DA1084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Karamelfarve (E150) (indeholder saccharose (E473))</w:t>
      </w:r>
    </w:p>
    <w:p w14:paraId="653B19BC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75723D4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6.2</w:t>
      </w:r>
      <w:r w:rsidRPr="00B11682">
        <w:rPr>
          <w:b/>
          <w:sz w:val="24"/>
          <w:szCs w:val="24"/>
        </w:rPr>
        <w:tab/>
        <w:t>Uforligeligheder</w:t>
      </w:r>
    </w:p>
    <w:p w14:paraId="0F84A887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Ikke relevant.</w:t>
      </w:r>
    </w:p>
    <w:p w14:paraId="6E46ADAB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8172CE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6.3</w:t>
      </w:r>
      <w:r w:rsidRPr="00B11682">
        <w:rPr>
          <w:b/>
          <w:sz w:val="24"/>
          <w:szCs w:val="24"/>
        </w:rPr>
        <w:tab/>
        <w:t>Opbevaringstid</w:t>
      </w:r>
    </w:p>
    <w:p w14:paraId="655719BC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4 år</w:t>
      </w:r>
    </w:p>
    <w:p w14:paraId="640E198D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F73096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6.4</w:t>
      </w:r>
      <w:r w:rsidRPr="00B11682">
        <w:rPr>
          <w:b/>
          <w:sz w:val="24"/>
          <w:szCs w:val="24"/>
        </w:rPr>
        <w:tab/>
        <w:t>Særlige opbevaringsforhold</w:t>
      </w:r>
    </w:p>
    <w:p w14:paraId="795813BB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11" w:name="_Hlk152146439"/>
      <w:r w:rsidRPr="00B11682">
        <w:rPr>
          <w:sz w:val="24"/>
          <w:szCs w:val="24"/>
        </w:rPr>
        <w:t>Ingen særlige forholdsregler.</w:t>
      </w:r>
      <w:bookmarkEnd w:id="11"/>
    </w:p>
    <w:p w14:paraId="60FB7DFC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B1D03EA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6.5</w:t>
      </w:r>
      <w:r w:rsidRPr="00B11682">
        <w:rPr>
          <w:b/>
          <w:sz w:val="24"/>
          <w:szCs w:val="24"/>
        </w:rPr>
        <w:tab/>
        <w:t>Emballagetype og pakningsstørrelser</w:t>
      </w:r>
    </w:p>
    <w:p w14:paraId="7C0E761F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PVC-PVDC/aluminiumsblister. </w:t>
      </w:r>
    </w:p>
    <w:p w14:paraId="51D66B7C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29E6675D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Pakningsstørrelser: Hver pakning indeholder 8, 24 eller 36 sugetabletter.</w:t>
      </w:r>
    </w:p>
    <w:p w14:paraId="0718232B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4409EDEE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 xml:space="preserve">Ikke alle pakningsstørrelser er nødvendigvis markedsført. </w:t>
      </w:r>
    </w:p>
    <w:p w14:paraId="191F0137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7E5CD7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6.6</w:t>
      </w:r>
      <w:r w:rsidRPr="00B11682">
        <w:rPr>
          <w:b/>
          <w:sz w:val="24"/>
          <w:szCs w:val="24"/>
        </w:rPr>
        <w:tab/>
        <w:t xml:space="preserve">Regler for </w:t>
      </w:r>
      <w:r w:rsidR="00BD7931" w:rsidRPr="00B11682">
        <w:rPr>
          <w:b/>
          <w:sz w:val="24"/>
          <w:szCs w:val="24"/>
        </w:rPr>
        <w:t>bortskaffelse</w:t>
      </w:r>
      <w:r w:rsidRPr="00B11682">
        <w:rPr>
          <w:b/>
          <w:sz w:val="24"/>
          <w:szCs w:val="24"/>
        </w:rPr>
        <w:t xml:space="preserve"> og anden håndtering</w:t>
      </w:r>
    </w:p>
    <w:p w14:paraId="3174E657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Ingen særlige forholdsregler.</w:t>
      </w:r>
    </w:p>
    <w:p w14:paraId="6CB55FFC" w14:textId="77777777" w:rsidR="00B11682" w:rsidRPr="00B11682" w:rsidRDefault="00B11682" w:rsidP="00B11682">
      <w:pPr>
        <w:ind w:left="851"/>
        <w:rPr>
          <w:sz w:val="24"/>
          <w:szCs w:val="24"/>
        </w:rPr>
      </w:pPr>
    </w:p>
    <w:p w14:paraId="05303239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Ikke anvendt lægemiddel samt affald heraf skal bortskaffes i henhold til lokale retningslinjer.</w:t>
      </w:r>
    </w:p>
    <w:p w14:paraId="3D06F2BF" w14:textId="77777777" w:rsidR="009260DE" w:rsidRPr="00B11682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4E9B52E4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7.</w:t>
      </w:r>
      <w:r w:rsidRPr="00B11682">
        <w:rPr>
          <w:b/>
          <w:sz w:val="24"/>
          <w:szCs w:val="24"/>
        </w:rPr>
        <w:tab/>
        <w:t>INDEHAVER AF MARKEDSFØRINGSTILLADELSEN</w:t>
      </w:r>
    </w:p>
    <w:p w14:paraId="039FE1CA" w14:textId="77777777" w:rsidR="00B11682" w:rsidRPr="00B11682" w:rsidRDefault="00B11682" w:rsidP="00B11682">
      <w:pPr>
        <w:ind w:left="851"/>
        <w:rPr>
          <w:sz w:val="24"/>
          <w:szCs w:val="24"/>
        </w:rPr>
      </w:pPr>
      <w:bookmarkStart w:id="12" w:name="_Hlk224294126"/>
      <w:r w:rsidRPr="00B11682">
        <w:rPr>
          <w:sz w:val="24"/>
          <w:szCs w:val="24"/>
        </w:rPr>
        <w:t>Mapaex Consumer Healthcare (Ireland) Private Limited</w:t>
      </w:r>
    </w:p>
    <w:p w14:paraId="27A5ACF2" w14:textId="77777777" w:rsidR="00B11682" w:rsidRPr="00B11682" w:rsidRDefault="00B11682" w:rsidP="00B11682">
      <w:pPr>
        <w:ind w:left="851"/>
        <w:rPr>
          <w:sz w:val="24"/>
          <w:szCs w:val="24"/>
          <w:lang w:val="en-US"/>
        </w:rPr>
      </w:pPr>
      <w:r w:rsidRPr="00B11682">
        <w:rPr>
          <w:sz w:val="24"/>
          <w:szCs w:val="24"/>
          <w:lang w:val="en-US"/>
        </w:rPr>
        <w:t>IDA Business Park, Green Road, Newbridge</w:t>
      </w:r>
    </w:p>
    <w:p w14:paraId="19E879FC" w14:textId="77777777" w:rsidR="00B11682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W12 X902 Kildare</w:t>
      </w:r>
    </w:p>
    <w:p w14:paraId="08671B41" w14:textId="069C89A0" w:rsidR="009260DE" w:rsidRPr="00B11682" w:rsidRDefault="00B11682" w:rsidP="00B11682">
      <w:pPr>
        <w:ind w:left="851"/>
        <w:rPr>
          <w:sz w:val="24"/>
          <w:szCs w:val="24"/>
        </w:rPr>
      </w:pPr>
      <w:r w:rsidRPr="00B11682">
        <w:rPr>
          <w:sz w:val="24"/>
          <w:szCs w:val="24"/>
        </w:rPr>
        <w:t>Irland</w:t>
      </w:r>
    </w:p>
    <w:bookmarkEnd w:id="12"/>
    <w:p w14:paraId="446C702C" w14:textId="77777777" w:rsidR="00641C65" w:rsidRPr="00B11682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F18171D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8.</w:t>
      </w:r>
      <w:r w:rsidRPr="00B11682">
        <w:rPr>
          <w:b/>
          <w:sz w:val="24"/>
          <w:szCs w:val="24"/>
        </w:rPr>
        <w:tab/>
        <w:t>MARKEDSFØRINGSTILLADELSESNUMMER (</w:t>
      </w:r>
      <w:r w:rsidR="00BF6243" w:rsidRPr="00B11682">
        <w:rPr>
          <w:b/>
          <w:sz w:val="24"/>
          <w:szCs w:val="24"/>
        </w:rPr>
        <w:t>-</w:t>
      </w:r>
      <w:r w:rsidRPr="00B11682">
        <w:rPr>
          <w:b/>
          <w:sz w:val="24"/>
          <w:szCs w:val="24"/>
        </w:rPr>
        <w:t>NUMRE)</w:t>
      </w:r>
    </w:p>
    <w:p w14:paraId="2A3B5FD2" w14:textId="09627D61" w:rsidR="009260DE" w:rsidRPr="00B11682" w:rsidRDefault="00B11682" w:rsidP="009260DE">
      <w:pPr>
        <w:tabs>
          <w:tab w:val="left" w:pos="851"/>
        </w:tabs>
        <w:ind w:left="851"/>
        <w:rPr>
          <w:sz w:val="24"/>
          <w:szCs w:val="24"/>
        </w:rPr>
      </w:pPr>
      <w:r w:rsidRPr="00B11682">
        <w:rPr>
          <w:sz w:val="24"/>
          <w:szCs w:val="24"/>
        </w:rPr>
        <w:t>74874</w:t>
      </w:r>
    </w:p>
    <w:p w14:paraId="42D7BC2D" w14:textId="77777777" w:rsidR="009260DE" w:rsidRPr="00B11682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695AEFB9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9.</w:t>
      </w:r>
      <w:r w:rsidRPr="00B11682">
        <w:rPr>
          <w:b/>
          <w:sz w:val="24"/>
          <w:szCs w:val="24"/>
        </w:rPr>
        <w:tab/>
        <w:t>DATO FOR FØRSTE MARKEDSFØRINGSTILLADELSE</w:t>
      </w:r>
    </w:p>
    <w:p w14:paraId="60AB8331" w14:textId="738009EE" w:rsidR="009260DE" w:rsidRPr="00B11682" w:rsidRDefault="00A7429C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16. marts 2026</w:t>
      </w:r>
    </w:p>
    <w:p w14:paraId="2ED4D9BA" w14:textId="77777777" w:rsidR="009260DE" w:rsidRPr="00B1168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B16FC4" w14:textId="77777777" w:rsidR="009260DE" w:rsidRPr="00B1168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11682">
        <w:rPr>
          <w:b/>
          <w:sz w:val="24"/>
          <w:szCs w:val="24"/>
        </w:rPr>
        <w:t>10.</w:t>
      </w:r>
      <w:r w:rsidRPr="00B11682">
        <w:rPr>
          <w:b/>
          <w:sz w:val="24"/>
          <w:szCs w:val="24"/>
        </w:rPr>
        <w:tab/>
        <w:t>DATO FOR ÆNDRING AF TEKSTEN</w:t>
      </w:r>
    </w:p>
    <w:p w14:paraId="501978B6" w14:textId="18A94B38" w:rsidR="009260DE" w:rsidRPr="00B11682" w:rsidRDefault="00B11682" w:rsidP="009260DE">
      <w:pPr>
        <w:tabs>
          <w:tab w:val="left" w:pos="851"/>
        </w:tabs>
        <w:ind w:left="851"/>
        <w:rPr>
          <w:sz w:val="24"/>
          <w:szCs w:val="24"/>
        </w:rPr>
      </w:pPr>
      <w:r w:rsidRPr="00B11682">
        <w:rPr>
          <w:sz w:val="24"/>
          <w:szCs w:val="24"/>
        </w:rPr>
        <w:t>-</w:t>
      </w:r>
    </w:p>
    <w:sectPr w:rsidR="009260DE" w:rsidRPr="00B11682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4BC6" w14:textId="77777777" w:rsidR="009C26AA" w:rsidRDefault="009C26AA">
      <w:r>
        <w:separator/>
      </w:r>
    </w:p>
  </w:endnote>
  <w:endnote w:type="continuationSeparator" w:id="0">
    <w:p w14:paraId="4FF5183A" w14:textId="77777777" w:rsidR="009C26AA" w:rsidRDefault="009C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0941" w14:textId="77777777" w:rsidR="000259B9" w:rsidRDefault="000259B9">
    <w:pPr>
      <w:pStyle w:val="Sidefod"/>
      <w:pBdr>
        <w:bottom w:val="single" w:sz="6" w:space="1" w:color="auto"/>
      </w:pBdr>
    </w:pPr>
  </w:p>
  <w:p w14:paraId="0674E1C7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4D0636A1" w14:textId="14D0614A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127CD5">
      <w:rPr>
        <w:i/>
        <w:noProof/>
        <w:sz w:val="18"/>
        <w:szCs w:val="18"/>
      </w:rPr>
      <w:t>Voxsill Honning og Citron, sugetabletter 0,6+1,2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9A48" w14:textId="77777777" w:rsidR="009C26AA" w:rsidRDefault="009C26AA">
      <w:r>
        <w:separator/>
      </w:r>
    </w:p>
  </w:footnote>
  <w:footnote w:type="continuationSeparator" w:id="0">
    <w:p w14:paraId="18B02432" w14:textId="77777777" w:rsidR="009C26AA" w:rsidRDefault="009C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595"/>
    <w:multiLevelType w:val="hybridMultilevel"/>
    <w:tmpl w:val="65D03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6532161"/>
    <w:multiLevelType w:val="hybridMultilevel"/>
    <w:tmpl w:val="982E9276"/>
    <w:lvl w:ilvl="0" w:tplc="040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5798714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5138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391775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16031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87292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183394">
    <w:abstractNumId w:val="6"/>
  </w:num>
  <w:num w:numId="7" w16cid:durableId="788233447">
    <w:abstractNumId w:val="6"/>
  </w:num>
  <w:num w:numId="8" w16cid:durableId="1466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AA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27CD5"/>
    <w:rsid w:val="001454E2"/>
    <w:rsid w:val="00206CE8"/>
    <w:rsid w:val="0021526C"/>
    <w:rsid w:val="00283A2B"/>
    <w:rsid w:val="002B30AD"/>
    <w:rsid w:val="002C1EC0"/>
    <w:rsid w:val="002C2C01"/>
    <w:rsid w:val="00300B52"/>
    <w:rsid w:val="00312641"/>
    <w:rsid w:val="00396E48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6954F3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362E1"/>
    <w:rsid w:val="009C26AA"/>
    <w:rsid w:val="009C7BA3"/>
    <w:rsid w:val="009D1F5A"/>
    <w:rsid w:val="009D3196"/>
    <w:rsid w:val="00A10294"/>
    <w:rsid w:val="00A7429C"/>
    <w:rsid w:val="00AF55E0"/>
    <w:rsid w:val="00B003BF"/>
    <w:rsid w:val="00B113AF"/>
    <w:rsid w:val="00B11682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33AF3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5E1C2"/>
  <w15:chartTrackingRefBased/>
  <w15:docId w15:val="{B8E97A86-746E-4BE6-9585-D7A0ED2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B1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30</TotalTime>
  <Pages>6</Pages>
  <Words>1102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2025101031, MT</dc:description>
  <cp:lastModifiedBy>Gitte Jørgensen</cp:lastModifiedBy>
  <cp:revision>7</cp:revision>
  <cp:lastPrinted>2012-08-22T08:53:00Z</cp:lastPrinted>
  <dcterms:created xsi:type="dcterms:W3CDTF">2026-03-13T10:22:00Z</dcterms:created>
  <dcterms:modified xsi:type="dcterms:W3CDTF">2026-03-16T11:33:00Z</dcterms:modified>
</cp:coreProperties>
</file>