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25FB0A" w14:textId="77777777" w:rsidR="009260DE" w:rsidRPr="006734BD" w:rsidRDefault="0021526C" w:rsidP="009260DE">
      <w:pPr>
        <w:rPr>
          <w:sz w:val="24"/>
          <w:szCs w:val="24"/>
        </w:rPr>
      </w:pPr>
      <w:bookmarkStart w:id="0" w:name="_GoBack"/>
      <w:bookmarkEnd w:id="0"/>
      <w:r w:rsidRPr="006734BD">
        <w:rPr>
          <w:noProof/>
          <w:sz w:val="24"/>
          <w:szCs w:val="24"/>
          <w:lang w:eastAsia="da-DK"/>
        </w:rPr>
        <w:drawing>
          <wp:anchor distT="0" distB="0" distL="114300" distR="114300" simplePos="0" relativeHeight="251658240" behindDoc="0" locked="0" layoutInCell="1" allowOverlap="1" wp14:anchorId="5BDDAE70" wp14:editId="6279E9E8">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6734BD">
        <w:rPr>
          <w:sz w:val="24"/>
          <w:szCs w:val="24"/>
        </w:rPr>
        <w:br w:type="textWrapping" w:clear="all"/>
      </w:r>
    </w:p>
    <w:p w14:paraId="4C14027C" w14:textId="097AD96A" w:rsidR="009260DE" w:rsidRPr="006734BD" w:rsidRDefault="009260DE" w:rsidP="009260DE">
      <w:pPr>
        <w:pStyle w:val="Titel"/>
        <w:tabs>
          <w:tab w:val="right" w:pos="9356"/>
        </w:tabs>
        <w:jc w:val="left"/>
        <w:rPr>
          <w:b w:val="0"/>
          <w:szCs w:val="24"/>
          <w:lang w:eastAsia="en-US"/>
        </w:rPr>
      </w:pPr>
      <w:r w:rsidRPr="006734BD">
        <w:rPr>
          <w:b w:val="0"/>
          <w:szCs w:val="24"/>
          <w:lang w:eastAsia="en-US"/>
        </w:rPr>
        <w:tab/>
      </w:r>
      <w:r w:rsidR="009F2D04">
        <w:rPr>
          <w:szCs w:val="24"/>
        </w:rPr>
        <w:t>19</w:t>
      </w:r>
      <w:r w:rsidR="00B978BF">
        <w:rPr>
          <w:szCs w:val="24"/>
        </w:rPr>
        <w:t>. juni 2025</w:t>
      </w:r>
    </w:p>
    <w:p w14:paraId="36B01CAC" w14:textId="77777777" w:rsidR="009260DE" w:rsidRPr="006734BD" w:rsidRDefault="009260DE" w:rsidP="009260DE">
      <w:pPr>
        <w:pStyle w:val="Titel"/>
        <w:tabs>
          <w:tab w:val="left" w:pos="8222"/>
        </w:tabs>
        <w:jc w:val="left"/>
        <w:rPr>
          <w:b w:val="0"/>
          <w:szCs w:val="24"/>
        </w:rPr>
      </w:pPr>
    </w:p>
    <w:p w14:paraId="0DDBD1EE" w14:textId="094D1F96" w:rsidR="009260DE" w:rsidRDefault="009260DE" w:rsidP="009260DE">
      <w:pPr>
        <w:pStyle w:val="Titel"/>
        <w:jc w:val="left"/>
        <w:rPr>
          <w:b w:val="0"/>
          <w:szCs w:val="24"/>
        </w:rPr>
      </w:pPr>
    </w:p>
    <w:p w14:paraId="6EC1863F" w14:textId="77777777" w:rsidR="009F2D04" w:rsidRPr="006734BD" w:rsidRDefault="009F2D04" w:rsidP="009260DE">
      <w:pPr>
        <w:pStyle w:val="Titel"/>
        <w:jc w:val="left"/>
        <w:rPr>
          <w:b w:val="0"/>
          <w:szCs w:val="24"/>
        </w:rPr>
      </w:pPr>
    </w:p>
    <w:p w14:paraId="45114EFC" w14:textId="77777777" w:rsidR="009260DE" w:rsidRPr="006734BD" w:rsidRDefault="009260DE" w:rsidP="009260DE">
      <w:pPr>
        <w:jc w:val="center"/>
        <w:rPr>
          <w:b/>
          <w:sz w:val="24"/>
          <w:szCs w:val="24"/>
        </w:rPr>
      </w:pPr>
      <w:r w:rsidRPr="006734BD">
        <w:rPr>
          <w:b/>
          <w:sz w:val="24"/>
          <w:szCs w:val="24"/>
        </w:rPr>
        <w:t>PRODUKTRESUMÉ</w:t>
      </w:r>
    </w:p>
    <w:p w14:paraId="440FE3E0" w14:textId="77777777" w:rsidR="009260DE" w:rsidRPr="006734BD" w:rsidRDefault="009260DE" w:rsidP="009260DE">
      <w:pPr>
        <w:jc w:val="center"/>
        <w:rPr>
          <w:b/>
          <w:sz w:val="24"/>
          <w:szCs w:val="24"/>
        </w:rPr>
      </w:pPr>
    </w:p>
    <w:p w14:paraId="30A5E969" w14:textId="77777777" w:rsidR="009260DE" w:rsidRPr="009F2D04" w:rsidRDefault="009260DE" w:rsidP="009260DE">
      <w:pPr>
        <w:jc w:val="center"/>
        <w:rPr>
          <w:b/>
          <w:sz w:val="24"/>
          <w:szCs w:val="24"/>
          <w:lang w:val="en-US"/>
        </w:rPr>
      </w:pPr>
      <w:r w:rsidRPr="009F2D04">
        <w:rPr>
          <w:b/>
          <w:sz w:val="24"/>
          <w:szCs w:val="24"/>
          <w:lang w:val="en-US"/>
        </w:rPr>
        <w:t>for</w:t>
      </w:r>
    </w:p>
    <w:p w14:paraId="67F81D3C" w14:textId="77777777" w:rsidR="000B058C" w:rsidRPr="009F2D04" w:rsidRDefault="000B058C" w:rsidP="009260DE">
      <w:pPr>
        <w:jc w:val="center"/>
        <w:rPr>
          <w:b/>
          <w:sz w:val="24"/>
          <w:szCs w:val="24"/>
          <w:lang w:val="en-US"/>
        </w:rPr>
      </w:pPr>
    </w:p>
    <w:p w14:paraId="34867A90" w14:textId="22F6E9A0" w:rsidR="009260DE" w:rsidRPr="009F2D04" w:rsidRDefault="000568DE" w:rsidP="009260DE">
      <w:pPr>
        <w:jc w:val="center"/>
        <w:rPr>
          <w:b/>
          <w:sz w:val="24"/>
          <w:szCs w:val="24"/>
          <w:lang w:val="en-US"/>
        </w:rPr>
      </w:pPr>
      <w:r w:rsidRPr="009F2D04">
        <w:rPr>
          <w:b/>
          <w:sz w:val="24"/>
          <w:szCs w:val="24"/>
          <w:lang w:val="en-US"/>
        </w:rPr>
        <w:t>Waladax, tabletter</w:t>
      </w:r>
    </w:p>
    <w:p w14:paraId="2618B224" w14:textId="77777777" w:rsidR="009260DE" w:rsidRPr="009F2D04" w:rsidRDefault="009260DE" w:rsidP="009260DE">
      <w:pPr>
        <w:jc w:val="both"/>
        <w:rPr>
          <w:sz w:val="24"/>
          <w:szCs w:val="24"/>
          <w:lang w:val="en-US"/>
        </w:rPr>
      </w:pPr>
    </w:p>
    <w:p w14:paraId="1C76E207" w14:textId="77777777" w:rsidR="009260DE" w:rsidRPr="009F2D04" w:rsidRDefault="009260DE" w:rsidP="009260DE">
      <w:pPr>
        <w:jc w:val="both"/>
        <w:rPr>
          <w:sz w:val="24"/>
          <w:szCs w:val="24"/>
          <w:lang w:val="en-US"/>
        </w:rPr>
      </w:pPr>
    </w:p>
    <w:p w14:paraId="17C9DCF2" w14:textId="77777777" w:rsidR="009260DE" w:rsidRPr="009F2D04" w:rsidRDefault="009260DE" w:rsidP="009260DE">
      <w:pPr>
        <w:tabs>
          <w:tab w:val="left" w:pos="851"/>
        </w:tabs>
        <w:ind w:left="851" w:hanging="851"/>
        <w:rPr>
          <w:b/>
          <w:sz w:val="24"/>
          <w:szCs w:val="24"/>
          <w:lang w:val="en-US"/>
        </w:rPr>
      </w:pPr>
      <w:r w:rsidRPr="009F2D04">
        <w:rPr>
          <w:b/>
          <w:sz w:val="24"/>
          <w:szCs w:val="24"/>
          <w:lang w:val="en-US"/>
        </w:rPr>
        <w:t>0.</w:t>
      </w:r>
      <w:r w:rsidRPr="009F2D04">
        <w:rPr>
          <w:b/>
          <w:sz w:val="24"/>
          <w:szCs w:val="24"/>
          <w:lang w:val="en-US"/>
        </w:rPr>
        <w:tab/>
        <w:t>D.SP.NR.</w:t>
      </w:r>
    </w:p>
    <w:p w14:paraId="362DDE72" w14:textId="63C75C24" w:rsidR="009260DE" w:rsidRPr="006734BD" w:rsidRDefault="000568DE" w:rsidP="009260DE">
      <w:pPr>
        <w:tabs>
          <w:tab w:val="left" w:pos="851"/>
        </w:tabs>
        <w:ind w:left="851"/>
        <w:rPr>
          <w:sz w:val="24"/>
          <w:szCs w:val="24"/>
        </w:rPr>
      </w:pPr>
      <w:r w:rsidRPr="006734BD">
        <w:rPr>
          <w:sz w:val="24"/>
          <w:szCs w:val="24"/>
        </w:rPr>
        <w:t>33602</w:t>
      </w:r>
    </w:p>
    <w:p w14:paraId="18BB8D8A" w14:textId="77777777" w:rsidR="009260DE" w:rsidRPr="006734BD" w:rsidRDefault="009260DE" w:rsidP="009260DE">
      <w:pPr>
        <w:tabs>
          <w:tab w:val="left" w:pos="851"/>
        </w:tabs>
        <w:ind w:left="851"/>
        <w:rPr>
          <w:sz w:val="24"/>
          <w:szCs w:val="24"/>
        </w:rPr>
      </w:pPr>
    </w:p>
    <w:p w14:paraId="6E319D9A" w14:textId="77777777" w:rsidR="009260DE" w:rsidRPr="006734BD" w:rsidRDefault="009260DE" w:rsidP="009260DE">
      <w:pPr>
        <w:tabs>
          <w:tab w:val="left" w:pos="851"/>
        </w:tabs>
        <w:ind w:left="851" w:hanging="851"/>
        <w:rPr>
          <w:b/>
          <w:sz w:val="24"/>
          <w:szCs w:val="24"/>
        </w:rPr>
      </w:pPr>
      <w:r w:rsidRPr="006734BD">
        <w:rPr>
          <w:b/>
          <w:sz w:val="24"/>
          <w:szCs w:val="24"/>
        </w:rPr>
        <w:t>1.</w:t>
      </w:r>
      <w:r w:rsidRPr="006734BD">
        <w:rPr>
          <w:b/>
          <w:sz w:val="24"/>
          <w:szCs w:val="24"/>
        </w:rPr>
        <w:tab/>
        <w:t>LÆGEMIDLETS NAVN</w:t>
      </w:r>
    </w:p>
    <w:p w14:paraId="00781F2D" w14:textId="6B4B9D0D" w:rsidR="009260DE" w:rsidRPr="006734BD" w:rsidRDefault="000568DE" w:rsidP="009260DE">
      <w:pPr>
        <w:tabs>
          <w:tab w:val="left" w:pos="851"/>
        </w:tabs>
        <w:ind w:left="851"/>
        <w:rPr>
          <w:sz w:val="24"/>
          <w:szCs w:val="24"/>
        </w:rPr>
      </w:pPr>
      <w:r w:rsidRPr="006734BD">
        <w:rPr>
          <w:sz w:val="24"/>
          <w:szCs w:val="24"/>
        </w:rPr>
        <w:t>Waladex</w:t>
      </w:r>
    </w:p>
    <w:p w14:paraId="1B50A923" w14:textId="77777777" w:rsidR="009260DE" w:rsidRPr="006734BD" w:rsidRDefault="009260DE" w:rsidP="009260DE">
      <w:pPr>
        <w:tabs>
          <w:tab w:val="left" w:pos="851"/>
        </w:tabs>
        <w:ind w:left="851"/>
        <w:rPr>
          <w:sz w:val="24"/>
          <w:szCs w:val="24"/>
        </w:rPr>
      </w:pPr>
    </w:p>
    <w:p w14:paraId="00756881" w14:textId="77777777" w:rsidR="009260DE" w:rsidRPr="006734BD" w:rsidRDefault="009260DE" w:rsidP="009260DE">
      <w:pPr>
        <w:tabs>
          <w:tab w:val="left" w:pos="851"/>
        </w:tabs>
        <w:ind w:left="851" w:hanging="851"/>
        <w:rPr>
          <w:b/>
          <w:sz w:val="24"/>
          <w:szCs w:val="24"/>
        </w:rPr>
      </w:pPr>
      <w:r w:rsidRPr="006734BD">
        <w:rPr>
          <w:b/>
          <w:sz w:val="24"/>
          <w:szCs w:val="24"/>
        </w:rPr>
        <w:t>2.</w:t>
      </w:r>
      <w:r w:rsidRPr="006734BD">
        <w:rPr>
          <w:b/>
          <w:sz w:val="24"/>
          <w:szCs w:val="24"/>
        </w:rPr>
        <w:tab/>
        <w:t>KVALITATIV OG KVANTITATIV SAMMENSÆTNING</w:t>
      </w:r>
    </w:p>
    <w:p w14:paraId="23D6145A" w14:textId="6C6C044F" w:rsidR="00262686" w:rsidRPr="006734BD" w:rsidRDefault="00262686" w:rsidP="00FA7787">
      <w:pPr>
        <w:pStyle w:val="EMEAEnBodyText"/>
        <w:autoSpaceDE w:val="0"/>
        <w:autoSpaceDN w:val="0"/>
        <w:adjustRightInd w:val="0"/>
        <w:spacing w:before="0" w:after="0"/>
        <w:ind w:left="851"/>
        <w:rPr>
          <w:sz w:val="24"/>
          <w:szCs w:val="24"/>
          <w:lang w:val="da-DK"/>
        </w:rPr>
      </w:pPr>
      <w:r w:rsidRPr="006734BD">
        <w:rPr>
          <w:spacing w:val="-1"/>
          <w:sz w:val="24"/>
          <w:szCs w:val="24"/>
          <w:lang w:val="da-DK"/>
        </w:rPr>
        <w:t>Waladex</w:t>
      </w:r>
      <w:r w:rsidRPr="006734BD">
        <w:rPr>
          <w:sz w:val="24"/>
          <w:szCs w:val="24"/>
          <w:lang w:val="da-DK"/>
        </w:rPr>
        <w:t xml:space="preserve"> 1 mg tabletter: Hver tablet indeholder 1 mg dexamethason</w:t>
      </w:r>
      <w:r w:rsidR="006734BD">
        <w:rPr>
          <w:sz w:val="24"/>
          <w:szCs w:val="24"/>
          <w:lang w:val="da-DK"/>
        </w:rPr>
        <w:t>.</w:t>
      </w:r>
    </w:p>
    <w:p w14:paraId="66D77AC3" w14:textId="06EE3A59" w:rsidR="00262686" w:rsidRPr="006734BD" w:rsidRDefault="00262686" w:rsidP="00FA7787">
      <w:pPr>
        <w:pStyle w:val="EMEAEnBodyText"/>
        <w:autoSpaceDE w:val="0"/>
        <w:autoSpaceDN w:val="0"/>
        <w:adjustRightInd w:val="0"/>
        <w:spacing w:before="0" w:after="0"/>
        <w:ind w:left="851"/>
        <w:rPr>
          <w:sz w:val="24"/>
          <w:szCs w:val="24"/>
          <w:lang w:val="da-DK"/>
        </w:rPr>
      </w:pPr>
      <w:r w:rsidRPr="006734BD">
        <w:rPr>
          <w:spacing w:val="-1"/>
          <w:sz w:val="24"/>
          <w:szCs w:val="24"/>
          <w:lang w:val="da-DK"/>
        </w:rPr>
        <w:t>Waladex</w:t>
      </w:r>
      <w:r w:rsidRPr="006734BD">
        <w:rPr>
          <w:sz w:val="24"/>
          <w:szCs w:val="24"/>
          <w:lang w:val="da-DK"/>
        </w:rPr>
        <w:t xml:space="preserve"> 4 mg tabletter: Hver tablet indeholder 4 mg dexamethason</w:t>
      </w:r>
      <w:r w:rsidR="006734BD">
        <w:rPr>
          <w:sz w:val="24"/>
          <w:szCs w:val="24"/>
          <w:lang w:val="da-DK"/>
        </w:rPr>
        <w:t>.</w:t>
      </w:r>
    </w:p>
    <w:p w14:paraId="738D8246" w14:textId="77777777" w:rsidR="00262686" w:rsidRPr="006734BD" w:rsidRDefault="00262686" w:rsidP="00FA7787">
      <w:pPr>
        <w:pStyle w:val="EMEAEnBodyText"/>
        <w:autoSpaceDE w:val="0"/>
        <w:autoSpaceDN w:val="0"/>
        <w:adjustRightInd w:val="0"/>
        <w:spacing w:before="0" w:after="0"/>
        <w:ind w:left="851"/>
        <w:rPr>
          <w:sz w:val="24"/>
          <w:szCs w:val="24"/>
          <w:lang w:val="da-DK"/>
        </w:rPr>
      </w:pPr>
    </w:p>
    <w:p w14:paraId="16CBA5CD" w14:textId="77777777" w:rsidR="00262686" w:rsidRPr="006734BD" w:rsidRDefault="00262686" w:rsidP="00FA7787">
      <w:pPr>
        <w:pStyle w:val="EMEAEnBodyText"/>
        <w:autoSpaceDE w:val="0"/>
        <w:autoSpaceDN w:val="0"/>
        <w:adjustRightInd w:val="0"/>
        <w:spacing w:before="0" w:after="0"/>
        <w:ind w:left="851"/>
        <w:rPr>
          <w:sz w:val="24"/>
          <w:szCs w:val="24"/>
          <w:lang w:val="da-DK"/>
        </w:rPr>
      </w:pPr>
      <w:r w:rsidRPr="006734BD">
        <w:rPr>
          <w:sz w:val="24"/>
          <w:szCs w:val="24"/>
          <w:lang w:val="da-DK"/>
        </w:rPr>
        <w:t>Hjælpestof, som behandleren skal være opmærksom på:</w:t>
      </w:r>
    </w:p>
    <w:p w14:paraId="1DA47261" w14:textId="77777777" w:rsidR="00262686" w:rsidRPr="006734BD" w:rsidRDefault="00262686" w:rsidP="00FA7787">
      <w:pPr>
        <w:pStyle w:val="EMEAEnBodyText"/>
        <w:autoSpaceDE w:val="0"/>
        <w:autoSpaceDN w:val="0"/>
        <w:adjustRightInd w:val="0"/>
        <w:spacing w:before="0" w:after="0"/>
        <w:ind w:left="851"/>
        <w:rPr>
          <w:sz w:val="24"/>
          <w:szCs w:val="24"/>
          <w:lang w:val="da-DK"/>
        </w:rPr>
      </w:pPr>
      <w:r w:rsidRPr="006734BD">
        <w:rPr>
          <w:spacing w:val="-1"/>
          <w:sz w:val="24"/>
          <w:szCs w:val="24"/>
          <w:lang w:val="da-DK"/>
        </w:rPr>
        <w:t>Waladex</w:t>
      </w:r>
      <w:r w:rsidRPr="006734BD">
        <w:rPr>
          <w:sz w:val="24"/>
          <w:szCs w:val="24"/>
          <w:lang w:val="da-DK"/>
        </w:rPr>
        <w:t xml:space="preserve"> 1 mg tabletter: Hver tablet indeholder 133,95 mg lactose (som monohydrat).</w:t>
      </w:r>
    </w:p>
    <w:p w14:paraId="48C4C2F6" w14:textId="77777777" w:rsidR="00262686" w:rsidRPr="006734BD" w:rsidRDefault="00262686" w:rsidP="00FA7787">
      <w:pPr>
        <w:pStyle w:val="EMEAEnBodyText"/>
        <w:autoSpaceDE w:val="0"/>
        <w:autoSpaceDN w:val="0"/>
        <w:adjustRightInd w:val="0"/>
        <w:spacing w:before="0" w:after="0"/>
        <w:ind w:left="851"/>
        <w:rPr>
          <w:sz w:val="24"/>
          <w:szCs w:val="24"/>
          <w:lang w:val="da-DK"/>
        </w:rPr>
      </w:pPr>
      <w:r w:rsidRPr="006734BD">
        <w:rPr>
          <w:spacing w:val="-1"/>
          <w:sz w:val="24"/>
          <w:szCs w:val="24"/>
          <w:lang w:val="da-DK"/>
        </w:rPr>
        <w:t>Waladex</w:t>
      </w:r>
      <w:r w:rsidRPr="006734BD">
        <w:rPr>
          <w:sz w:val="24"/>
          <w:szCs w:val="24"/>
          <w:lang w:val="da-DK"/>
        </w:rPr>
        <w:t xml:space="preserve"> 4 mg tabletter: Hver tablet indeholder 133,95 mg lactose (som monohydrat).</w:t>
      </w:r>
    </w:p>
    <w:p w14:paraId="3F783B66" w14:textId="77777777" w:rsidR="00262686" w:rsidRPr="006734BD" w:rsidRDefault="00262686" w:rsidP="00FA7787">
      <w:pPr>
        <w:pStyle w:val="EMEAEnBodyText"/>
        <w:autoSpaceDE w:val="0"/>
        <w:autoSpaceDN w:val="0"/>
        <w:adjustRightInd w:val="0"/>
        <w:spacing w:before="0" w:after="0"/>
        <w:ind w:left="851"/>
        <w:rPr>
          <w:sz w:val="24"/>
          <w:szCs w:val="24"/>
          <w:lang w:val="da-DK"/>
        </w:rPr>
      </w:pPr>
    </w:p>
    <w:p w14:paraId="028B7E57" w14:textId="77777777" w:rsidR="00262686" w:rsidRPr="006734BD" w:rsidRDefault="00262686" w:rsidP="00FA7787">
      <w:pPr>
        <w:tabs>
          <w:tab w:val="left" w:pos="567"/>
        </w:tabs>
        <w:spacing w:line="260" w:lineRule="exact"/>
        <w:ind w:left="851"/>
        <w:rPr>
          <w:sz w:val="24"/>
          <w:szCs w:val="24"/>
        </w:rPr>
      </w:pPr>
      <w:r w:rsidRPr="006734BD">
        <w:rPr>
          <w:sz w:val="24"/>
          <w:szCs w:val="24"/>
        </w:rPr>
        <w:t>Alle hjælpestoffer er anført under pkt. 6.1.</w:t>
      </w:r>
    </w:p>
    <w:p w14:paraId="5926F83D" w14:textId="77777777" w:rsidR="009260DE" w:rsidRPr="006734BD" w:rsidRDefault="009260DE" w:rsidP="009260DE">
      <w:pPr>
        <w:tabs>
          <w:tab w:val="left" w:pos="851"/>
        </w:tabs>
        <w:ind w:left="851"/>
        <w:rPr>
          <w:sz w:val="24"/>
          <w:szCs w:val="24"/>
        </w:rPr>
      </w:pPr>
    </w:p>
    <w:p w14:paraId="470E201D" w14:textId="77777777" w:rsidR="009260DE" w:rsidRPr="006734BD" w:rsidRDefault="009260DE" w:rsidP="009260DE">
      <w:pPr>
        <w:tabs>
          <w:tab w:val="left" w:pos="851"/>
        </w:tabs>
        <w:ind w:left="851" w:hanging="851"/>
        <w:rPr>
          <w:b/>
          <w:sz w:val="24"/>
          <w:szCs w:val="24"/>
        </w:rPr>
      </w:pPr>
      <w:r w:rsidRPr="006734BD">
        <w:rPr>
          <w:b/>
          <w:sz w:val="24"/>
          <w:szCs w:val="24"/>
        </w:rPr>
        <w:t>3.</w:t>
      </w:r>
      <w:r w:rsidRPr="006734BD">
        <w:rPr>
          <w:b/>
          <w:sz w:val="24"/>
          <w:szCs w:val="24"/>
        </w:rPr>
        <w:tab/>
        <w:t>LÆGEMIDDELFORM</w:t>
      </w:r>
    </w:p>
    <w:p w14:paraId="6886F554" w14:textId="3769C13C" w:rsidR="00262686" w:rsidRPr="006734BD" w:rsidRDefault="00262686" w:rsidP="00FA7787">
      <w:pPr>
        <w:ind w:left="851"/>
        <w:rPr>
          <w:sz w:val="24"/>
          <w:szCs w:val="24"/>
        </w:rPr>
      </w:pPr>
      <w:r w:rsidRPr="006734BD">
        <w:rPr>
          <w:sz w:val="24"/>
          <w:szCs w:val="24"/>
        </w:rPr>
        <w:t>Tablet</w:t>
      </w:r>
      <w:r w:rsidR="006734BD">
        <w:rPr>
          <w:sz w:val="24"/>
          <w:szCs w:val="24"/>
        </w:rPr>
        <w:t>ter</w:t>
      </w:r>
    </w:p>
    <w:p w14:paraId="1C7E92B3" w14:textId="77777777" w:rsidR="00262686" w:rsidRPr="006734BD" w:rsidRDefault="00262686" w:rsidP="00FA7787">
      <w:pPr>
        <w:ind w:left="851"/>
        <w:rPr>
          <w:sz w:val="24"/>
          <w:szCs w:val="24"/>
        </w:rPr>
      </w:pPr>
    </w:p>
    <w:p w14:paraId="3ECEA82E" w14:textId="517B06A2" w:rsidR="00262686" w:rsidRDefault="00262686" w:rsidP="00FA7787">
      <w:pPr>
        <w:tabs>
          <w:tab w:val="left" w:pos="1985"/>
        </w:tabs>
        <w:ind w:left="1979" w:hanging="1128"/>
        <w:rPr>
          <w:spacing w:val="-1"/>
          <w:sz w:val="24"/>
          <w:szCs w:val="24"/>
        </w:rPr>
      </w:pPr>
      <w:r w:rsidRPr="006734BD">
        <w:rPr>
          <w:sz w:val="24"/>
          <w:szCs w:val="24"/>
        </w:rPr>
        <w:t>1</w:t>
      </w:r>
      <w:r w:rsidRPr="006734BD">
        <w:rPr>
          <w:spacing w:val="-5"/>
          <w:sz w:val="24"/>
          <w:szCs w:val="24"/>
        </w:rPr>
        <w:t> </w:t>
      </w:r>
      <w:r w:rsidRPr="006734BD">
        <w:rPr>
          <w:sz w:val="24"/>
          <w:szCs w:val="24"/>
        </w:rPr>
        <w:t>mg:</w:t>
      </w:r>
      <w:r w:rsidRPr="006734BD">
        <w:rPr>
          <w:spacing w:val="-6"/>
          <w:sz w:val="24"/>
          <w:szCs w:val="24"/>
        </w:rPr>
        <w:tab/>
      </w:r>
      <w:r w:rsidRPr="006734BD">
        <w:rPr>
          <w:sz w:val="24"/>
          <w:szCs w:val="24"/>
        </w:rPr>
        <w:t>Hvid</w:t>
      </w:r>
      <w:r w:rsidRPr="006734BD">
        <w:rPr>
          <w:spacing w:val="-4"/>
          <w:sz w:val="24"/>
          <w:szCs w:val="24"/>
        </w:rPr>
        <w:t>, rund, flad, skråkantet,</w:t>
      </w:r>
      <w:r w:rsidRPr="006734BD">
        <w:rPr>
          <w:spacing w:val="-1"/>
          <w:sz w:val="24"/>
          <w:szCs w:val="24"/>
        </w:rPr>
        <w:t xml:space="preserve"> uovertrukket tablet. Tabletten er præget med “D” og </w:t>
      </w:r>
      <w:r w:rsidR="00FA7787" w:rsidRPr="006734BD">
        <w:rPr>
          <w:spacing w:val="-1"/>
          <w:sz w:val="24"/>
          <w:szCs w:val="24"/>
        </w:rPr>
        <w:tab/>
      </w:r>
      <w:r w:rsidRPr="006734BD">
        <w:rPr>
          <w:spacing w:val="-1"/>
          <w:sz w:val="24"/>
          <w:szCs w:val="24"/>
        </w:rPr>
        <w:t>“1” adskilt af en delekærv på den ene side og glat på den anden side. Diameter på ca. 9 mm.</w:t>
      </w:r>
    </w:p>
    <w:p w14:paraId="77BA5BA6" w14:textId="77777777" w:rsidR="002E1FBA" w:rsidRPr="006734BD" w:rsidRDefault="002E1FBA" w:rsidP="00FA7787">
      <w:pPr>
        <w:tabs>
          <w:tab w:val="left" w:pos="1985"/>
        </w:tabs>
        <w:ind w:left="1979" w:hanging="1128"/>
        <w:rPr>
          <w:sz w:val="24"/>
          <w:szCs w:val="24"/>
        </w:rPr>
      </w:pPr>
    </w:p>
    <w:p w14:paraId="1916CDAC" w14:textId="5EE447BF" w:rsidR="00262686" w:rsidRPr="006734BD" w:rsidRDefault="00262686" w:rsidP="00FA7787">
      <w:pPr>
        <w:tabs>
          <w:tab w:val="left" w:pos="1985"/>
        </w:tabs>
        <w:ind w:left="1979" w:hanging="1128"/>
        <w:rPr>
          <w:sz w:val="24"/>
          <w:szCs w:val="24"/>
        </w:rPr>
      </w:pPr>
      <w:r w:rsidRPr="006734BD">
        <w:rPr>
          <w:sz w:val="24"/>
          <w:szCs w:val="24"/>
        </w:rPr>
        <w:t>4</w:t>
      </w:r>
      <w:r w:rsidRPr="006734BD">
        <w:rPr>
          <w:spacing w:val="-5"/>
          <w:sz w:val="24"/>
          <w:szCs w:val="24"/>
        </w:rPr>
        <w:t> </w:t>
      </w:r>
      <w:r w:rsidRPr="006734BD">
        <w:rPr>
          <w:sz w:val="24"/>
          <w:szCs w:val="24"/>
        </w:rPr>
        <w:t>mg:</w:t>
      </w:r>
      <w:r w:rsidRPr="006734BD">
        <w:rPr>
          <w:spacing w:val="-6"/>
          <w:sz w:val="24"/>
          <w:szCs w:val="24"/>
        </w:rPr>
        <w:tab/>
      </w:r>
      <w:r w:rsidRPr="006734BD">
        <w:rPr>
          <w:sz w:val="24"/>
          <w:szCs w:val="24"/>
        </w:rPr>
        <w:t>Hvid</w:t>
      </w:r>
      <w:r w:rsidRPr="006734BD">
        <w:rPr>
          <w:spacing w:val="-4"/>
          <w:sz w:val="24"/>
          <w:szCs w:val="24"/>
        </w:rPr>
        <w:t>, rund, flad, skråkantet,</w:t>
      </w:r>
      <w:r w:rsidRPr="006734BD">
        <w:rPr>
          <w:spacing w:val="-1"/>
          <w:sz w:val="24"/>
          <w:szCs w:val="24"/>
        </w:rPr>
        <w:t xml:space="preserve"> uovertrukket tablet. Tabletten er præget med “D” og “4” adskilt af en delekærv på den ene side og glat på den anden side. Diameter på ca. 9 mm.</w:t>
      </w:r>
    </w:p>
    <w:p w14:paraId="1ADCF49C" w14:textId="77777777" w:rsidR="00262686" w:rsidRPr="006734BD" w:rsidRDefault="00262686" w:rsidP="00FA7787">
      <w:pPr>
        <w:ind w:left="851"/>
        <w:rPr>
          <w:sz w:val="24"/>
          <w:szCs w:val="24"/>
        </w:rPr>
      </w:pPr>
    </w:p>
    <w:p w14:paraId="29A0D632" w14:textId="77777777" w:rsidR="00262686" w:rsidRPr="006734BD" w:rsidRDefault="00262686" w:rsidP="00FA7787">
      <w:pPr>
        <w:ind w:left="851"/>
        <w:rPr>
          <w:sz w:val="24"/>
          <w:szCs w:val="24"/>
        </w:rPr>
      </w:pPr>
      <w:r w:rsidRPr="006734BD">
        <w:rPr>
          <w:sz w:val="24"/>
          <w:szCs w:val="24"/>
        </w:rPr>
        <w:t>Delekærven er der kun for at gøre det lettere at dele tabletten med henblik på lettere at kunne synke og ikke for at dele tabletten i 2 lige store doser.</w:t>
      </w:r>
    </w:p>
    <w:p w14:paraId="1743AA1E" w14:textId="77777777" w:rsidR="009260DE" w:rsidRPr="006734BD" w:rsidRDefault="009260DE" w:rsidP="009260DE">
      <w:pPr>
        <w:tabs>
          <w:tab w:val="left" w:pos="851"/>
        </w:tabs>
        <w:ind w:left="851"/>
        <w:rPr>
          <w:sz w:val="24"/>
          <w:szCs w:val="24"/>
        </w:rPr>
      </w:pPr>
    </w:p>
    <w:p w14:paraId="19E1F4FA" w14:textId="435AF799" w:rsidR="002E1FBA" w:rsidRDefault="002E1FBA">
      <w:pPr>
        <w:rPr>
          <w:sz w:val="24"/>
          <w:szCs w:val="24"/>
        </w:rPr>
      </w:pPr>
      <w:r>
        <w:rPr>
          <w:sz w:val="24"/>
          <w:szCs w:val="24"/>
        </w:rPr>
        <w:br w:type="page"/>
      </w:r>
    </w:p>
    <w:p w14:paraId="13D99202" w14:textId="77777777" w:rsidR="009260DE" w:rsidRPr="006734BD" w:rsidRDefault="009260DE" w:rsidP="009260DE">
      <w:pPr>
        <w:tabs>
          <w:tab w:val="left" w:pos="851"/>
        </w:tabs>
        <w:ind w:left="851"/>
        <w:rPr>
          <w:sz w:val="24"/>
          <w:szCs w:val="24"/>
        </w:rPr>
      </w:pPr>
    </w:p>
    <w:p w14:paraId="0C7FD784" w14:textId="77777777" w:rsidR="009260DE" w:rsidRPr="006734BD" w:rsidRDefault="009260DE" w:rsidP="009260DE">
      <w:pPr>
        <w:tabs>
          <w:tab w:val="left" w:pos="851"/>
        </w:tabs>
        <w:ind w:left="851" w:hanging="851"/>
        <w:rPr>
          <w:b/>
          <w:sz w:val="24"/>
          <w:szCs w:val="24"/>
        </w:rPr>
      </w:pPr>
      <w:r w:rsidRPr="006734BD">
        <w:rPr>
          <w:b/>
          <w:sz w:val="24"/>
          <w:szCs w:val="24"/>
        </w:rPr>
        <w:t>4.</w:t>
      </w:r>
      <w:r w:rsidRPr="006734BD">
        <w:rPr>
          <w:b/>
          <w:sz w:val="24"/>
          <w:szCs w:val="24"/>
        </w:rPr>
        <w:tab/>
        <w:t>KLINISKE OPLYSNINGER</w:t>
      </w:r>
    </w:p>
    <w:p w14:paraId="1F7B9B60" w14:textId="77777777" w:rsidR="009260DE" w:rsidRPr="006734BD" w:rsidRDefault="009260DE" w:rsidP="009260DE">
      <w:pPr>
        <w:tabs>
          <w:tab w:val="left" w:pos="851"/>
        </w:tabs>
        <w:ind w:left="851"/>
        <w:rPr>
          <w:b/>
          <w:sz w:val="24"/>
          <w:szCs w:val="24"/>
        </w:rPr>
      </w:pPr>
    </w:p>
    <w:p w14:paraId="64048318" w14:textId="77777777" w:rsidR="009260DE" w:rsidRPr="006734BD" w:rsidRDefault="009260DE" w:rsidP="009260DE">
      <w:pPr>
        <w:tabs>
          <w:tab w:val="left" w:pos="851"/>
        </w:tabs>
        <w:ind w:left="851" w:hanging="851"/>
        <w:rPr>
          <w:b/>
          <w:sz w:val="24"/>
          <w:szCs w:val="24"/>
          <w:u w:val="single"/>
        </w:rPr>
      </w:pPr>
      <w:r w:rsidRPr="006734BD">
        <w:rPr>
          <w:b/>
          <w:sz w:val="24"/>
          <w:szCs w:val="24"/>
        </w:rPr>
        <w:t>4.1</w:t>
      </w:r>
      <w:r w:rsidRPr="006734BD">
        <w:rPr>
          <w:b/>
          <w:sz w:val="24"/>
          <w:szCs w:val="24"/>
        </w:rPr>
        <w:tab/>
        <w:t>Terapeutiske indikationer</w:t>
      </w:r>
    </w:p>
    <w:p w14:paraId="4BE46D46" w14:textId="77777777" w:rsidR="00262686" w:rsidRPr="006734BD" w:rsidRDefault="00262686" w:rsidP="00FA7787">
      <w:pPr>
        <w:pStyle w:val="Listeafsnit"/>
        <w:numPr>
          <w:ilvl w:val="0"/>
          <w:numId w:val="8"/>
        </w:numPr>
        <w:ind w:left="1276" w:hanging="425"/>
        <w:rPr>
          <w:sz w:val="24"/>
          <w:szCs w:val="24"/>
        </w:rPr>
      </w:pPr>
      <w:r w:rsidRPr="006734BD">
        <w:rPr>
          <w:sz w:val="24"/>
          <w:szCs w:val="24"/>
        </w:rPr>
        <w:t>Tilstande, hvor kortikosteroiders anti-inflammatoriske og immunsupprimerende virkning er ønskelig. Især ved intensiv behandling i en kortere periode.</w:t>
      </w:r>
    </w:p>
    <w:p w14:paraId="15410002" w14:textId="77777777" w:rsidR="00262686" w:rsidRPr="006734BD" w:rsidRDefault="00262686" w:rsidP="00FA7787">
      <w:pPr>
        <w:pStyle w:val="Listeafsnit"/>
        <w:numPr>
          <w:ilvl w:val="0"/>
          <w:numId w:val="8"/>
        </w:numPr>
        <w:ind w:left="1276" w:hanging="425"/>
        <w:rPr>
          <w:sz w:val="24"/>
          <w:szCs w:val="24"/>
        </w:rPr>
      </w:pPr>
      <w:r w:rsidRPr="006734BD">
        <w:rPr>
          <w:sz w:val="24"/>
          <w:szCs w:val="24"/>
        </w:rPr>
        <w:t>Cerebralt ødem eller forhøjet intrakranielt tryk forårsaget af hjernetumor.</w:t>
      </w:r>
    </w:p>
    <w:p w14:paraId="79A9FD94" w14:textId="77777777" w:rsidR="00262686" w:rsidRPr="006734BD" w:rsidRDefault="00262686" w:rsidP="00FA7787">
      <w:pPr>
        <w:pStyle w:val="Listeafsnit"/>
        <w:numPr>
          <w:ilvl w:val="0"/>
          <w:numId w:val="8"/>
        </w:numPr>
        <w:ind w:left="1276" w:hanging="425"/>
        <w:rPr>
          <w:sz w:val="24"/>
          <w:szCs w:val="24"/>
        </w:rPr>
      </w:pPr>
      <w:r w:rsidRPr="006734BD">
        <w:rPr>
          <w:sz w:val="24"/>
          <w:szCs w:val="24"/>
        </w:rPr>
        <w:t>Til behandling af cancer i mammae, ovarii, prostatae eller testis, hvor kortikosteroid virkning er ønskelig.</w:t>
      </w:r>
    </w:p>
    <w:p w14:paraId="09720118" w14:textId="77777777" w:rsidR="00262686" w:rsidRPr="006734BD" w:rsidRDefault="00262686" w:rsidP="00FA7787">
      <w:pPr>
        <w:pStyle w:val="Listeafsnit"/>
        <w:numPr>
          <w:ilvl w:val="0"/>
          <w:numId w:val="8"/>
        </w:numPr>
        <w:ind w:left="1276" w:hanging="425"/>
        <w:rPr>
          <w:sz w:val="24"/>
          <w:szCs w:val="24"/>
        </w:rPr>
      </w:pPr>
      <w:r w:rsidRPr="006734BD">
        <w:rPr>
          <w:sz w:val="24"/>
          <w:szCs w:val="24"/>
        </w:rPr>
        <w:t>Forebyggelse af kvalme induceret af emetogen kemoterapi</w:t>
      </w:r>
    </w:p>
    <w:p w14:paraId="75A09F9A" w14:textId="77777777" w:rsidR="00262686" w:rsidRPr="006734BD" w:rsidRDefault="00262686" w:rsidP="00FA7787">
      <w:pPr>
        <w:pStyle w:val="Listeafsnit"/>
        <w:numPr>
          <w:ilvl w:val="0"/>
          <w:numId w:val="8"/>
        </w:numPr>
        <w:ind w:left="1276" w:hanging="425"/>
        <w:rPr>
          <w:sz w:val="24"/>
          <w:szCs w:val="24"/>
        </w:rPr>
      </w:pPr>
      <w:r w:rsidRPr="006734BD">
        <w:rPr>
          <w:sz w:val="24"/>
          <w:szCs w:val="24"/>
        </w:rPr>
        <w:t>Diagnostisk test af hypofyse- og binyrebarkfunktionen</w:t>
      </w:r>
    </w:p>
    <w:p w14:paraId="2E17C564" w14:textId="77777777" w:rsidR="00262686" w:rsidRPr="006734BD" w:rsidRDefault="00262686" w:rsidP="00FA7787">
      <w:pPr>
        <w:pStyle w:val="Listeafsnit"/>
        <w:numPr>
          <w:ilvl w:val="0"/>
          <w:numId w:val="8"/>
        </w:numPr>
        <w:ind w:left="1276" w:hanging="425"/>
        <w:rPr>
          <w:sz w:val="24"/>
          <w:szCs w:val="24"/>
        </w:rPr>
      </w:pPr>
      <w:r w:rsidRPr="006734BD">
        <w:rPr>
          <w:spacing w:val="-1"/>
          <w:sz w:val="24"/>
          <w:szCs w:val="24"/>
        </w:rPr>
        <w:t>Waladex</w:t>
      </w:r>
      <w:r w:rsidRPr="006734BD">
        <w:rPr>
          <w:sz w:val="24"/>
          <w:szCs w:val="24"/>
        </w:rPr>
        <w:t xml:space="preserve"> er indiceret til behandling af coronavirussygdom 2019 (COVID-19) hos voksne og unge patienter (12 år og ældre med en legemsvægt på mindst 40 kg), der har behov for supplerende iltbehandling.</w:t>
      </w:r>
    </w:p>
    <w:p w14:paraId="7F73C921" w14:textId="77777777" w:rsidR="009260DE" w:rsidRPr="006734BD" w:rsidRDefault="009260DE" w:rsidP="009260DE">
      <w:pPr>
        <w:tabs>
          <w:tab w:val="left" w:pos="851"/>
        </w:tabs>
        <w:ind w:left="851"/>
        <w:rPr>
          <w:sz w:val="24"/>
          <w:szCs w:val="24"/>
        </w:rPr>
      </w:pPr>
    </w:p>
    <w:p w14:paraId="17F7E6DC" w14:textId="77777777" w:rsidR="009260DE" w:rsidRPr="006734BD" w:rsidRDefault="009260DE" w:rsidP="009260DE">
      <w:pPr>
        <w:tabs>
          <w:tab w:val="left" w:pos="851"/>
        </w:tabs>
        <w:ind w:left="851" w:hanging="851"/>
        <w:rPr>
          <w:b/>
          <w:sz w:val="24"/>
          <w:szCs w:val="24"/>
        </w:rPr>
      </w:pPr>
      <w:r w:rsidRPr="006734BD">
        <w:rPr>
          <w:b/>
          <w:sz w:val="24"/>
          <w:szCs w:val="24"/>
        </w:rPr>
        <w:t>4.2</w:t>
      </w:r>
      <w:r w:rsidRPr="006734BD">
        <w:rPr>
          <w:b/>
          <w:sz w:val="24"/>
          <w:szCs w:val="24"/>
        </w:rPr>
        <w:tab/>
        <w:t xml:space="preserve">Dosering og </w:t>
      </w:r>
      <w:r w:rsidR="002C1EC0" w:rsidRPr="006734BD">
        <w:rPr>
          <w:b/>
          <w:sz w:val="24"/>
          <w:szCs w:val="24"/>
        </w:rPr>
        <w:t>administration</w:t>
      </w:r>
    </w:p>
    <w:p w14:paraId="28D39C6B" w14:textId="77777777" w:rsidR="00FA7787" w:rsidRPr="006734BD" w:rsidRDefault="00FA7787" w:rsidP="00FA7787">
      <w:pPr>
        <w:ind w:left="851"/>
        <w:rPr>
          <w:noProof/>
          <w:sz w:val="24"/>
          <w:szCs w:val="24"/>
        </w:rPr>
      </w:pPr>
    </w:p>
    <w:p w14:paraId="565B5D31" w14:textId="76A16604" w:rsidR="00262686" w:rsidRPr="006734BD" w:rsidRDefault="00262686" w:rsidP="00FA7787">
      <w:pPr>
        <w:ind w:left="851"/>
        <w:rPr>
          <w:noProof/>
          <w:sz w:val="24"/>
          <w:szCs w:val="24"/>
          <w:u w:val="single"/>
        </w:rPr>
      </w:pPr>
      <w:r w:rsidRPr="006734BD">
        <w:rPr>
          <w:noProof/>
          <w:sz w:val="24"/>
          <w:szCs w:val="24"/>
          <w:u w:val="single"/>
        </w:rPr>
        <w:t>Dosering</w:t>
      </w:r>
    </w:p>
    <w:p w14:paraId="0A1302E3" w14:textId="77777777" w:rsidR="00262686" w:rsidRPr="006734BD" w:rsidRDefault="00262686" w:rsidP="00FA7787">
      <w:pPr>
        <w:ind w:left="851"/>
        <w:rPr>
          <w:bCs/>
          <w:noProof/>
          <w:sz w:val="24"/>
          <w:szCs w:val="24"/>
        </w:rPr>
      </w:pPr>
      <w:r w:rsidRPr="006734BD">
        <w:rPr>
          <w:bCs/>
          <w:noProof/>
          <w:sz w:val="24"/>
          <w:szCs w:val="24"/>
        </w:rPr>
        <w:t>Dosen bør titreres til den individuelle patients respons og sygdommens sværhedsgrad. For at minimere bivirkninger, bør den mindste virksomme dosis anvendes. Initialdosis er mellem 0,5 og 8 mg daglig, afhængigt af den sygdom, der behandles. Ved mere alvorlige sygdomstilstande, kan daglige doser over 8 mg være nødvendigt. Initialdosis kan bibeholdes eller justeres indtil tilfredsstillende patientrespons opnås.</w:t>
      </w:r>
    </w:p>
    <w:p w14:paraId="16626907" w14:textId="77777777" w:rsidR="00262686" w:rsidRPr="006734BD" w:rsidRDefault="00262686" w:rsidP="00FA7787">
      <w:pPr>
        <w:ind w:left="851"/>
        <w:rPr>
          <w:bCs/>
          <w:noProof/>
          <w:sz w:val="24"/>
          <w:szCs w:val="24"/>
        </w:rPr>
      </w:pPr>
    </w:p>
    <w:p w14:paraId="5863EB9C" w14:textId="77777777" w:rsidR="00262686" w:rsidRPr="006734BD" w:rsidRDefault="00262686" w:rsidP="00FA7787">
      <w:pPr>
        <w:ind w:left="851"/>
        <w:rPr>
          <w:i/>
          <w:iCs/>
          <w:noProof/>
          <w:sz w:val="24"/>
          <w:szCs w:val="24"/>
        </w:rPr>
      </w:pPr>
      <w:r w:rsidRPr="006734BD">
        <w:rPr>
          <w:i/>
          <w:iCs/>
          <w:sz w:val="24"/>
          <w:szCs w:val="24"/>
        </w:rPr>
        <w:t>Tilstande, hvor kortikosteroiders anti-inflammatoriske og immunsupprimerende virkning er ønskelig:</w:t>
      </w:r>
      <w:r w:rsidRPr="006734BD">
        <w:rPr>
          <w:i/>
          <w:iCs/>
          <w:noProof/>
          <w:sz w:val="24"/>
          <w:szCs w:val="24"/>
        </w:rPr>
        <w:t xml:space="preserve"> </w:t>
      </w:r>
      <w:r w:rsidRPr="006734BD">
        <w:rPr>
          <w:noProof/>
          <w:sz w:val="24"/>
          <w:szCs w:val="24"/>
        </w:rPr>
        <w:t>Initialdosis er generelt 1</w:t>
      </w:r>
      <w:r w:rsidRPr="006734BD">
        <w:rPr>
          <w:noProof/>
          <w:sz w:val="24"/>
          <w:szCs w:val="24"/>
        </w:rPr>
        <w:noBreakHyphen/>
        <w:t>4 mg dagligt i et par dage op til en uge. I svære akutte tilfælde kan der gives op til 8 mg i et par dage. Når virkningen er opnået, nedsættes den daglige dosis med 1</w:t>
      </w:r>
      <w:r w:rsidRPr="006734BD">
        <w:rPr>
          <w:noProof/>
          <w:sz w:val="24"/>
          <w:szCs w:val="24"/>
        </w:rPr>
        <w:noBreakHyphen/>
        <w:t>2 mg hver tredje dag til en egnet vedligeholdelsesdosis, som normalt er 1</w:t>
      </w:r>
      <w:r w:rsidRPr="006734BD">
        <w:rPr>
          <w:noProof/>
          <w:sz w:val="24"/>
          <w:szCs w:val="24"/>
        </w:rPr>
        <w:noBreakHyphen/>
        <w:t>2 mg.</w:t>
      </w:r>
    </w:p>
    <w:p w14:paraId="0C52B71C" w14:textId="77777777" w:rsidR="00262686" w:rsidRPr="006734BD" w:rsidRDefault="00262686" w:rsidP="00FA7787">
      <w:pPr>
        <w:ind w:left="851"/>
        <w:rPr>
          <w:noProof/>
          <w:sz w:val="24"/>
          <w:szCs w:val="24"/>
        </w:rPr>
      </w:pPr>
    </w:p>
    <w:p w14:paraId="5C47752D" w14:textId="77777777" w:rsidR="00262686" w:rsidRPr="006734BD" w:rsidRDefault="00262686" w:rsidP="00FA7787">
      <w:pPr>
        <w:ind w:left="851"/>
        <w:rPr>
          <w:i/>
          <w:iCs/>
          <w:sz w:val="24"/>
          <w:szCs w:val="24"/>
        </w:rPr>
      </w:pPr>
      <w:r w:rsidRPr="006734BD">
        <w:rPr>
          <w:i/>
          <w:iCs/>
          <w:sz w:val="24"/>
          <w:szCs w:val="24"/>
        </w:rPr>
        <w:t xml:space="preserve">Cerebralt ødem eller forhøjet intrakranielt tryk forårsaget af hjernetumor: </w:t>
      </w:r>
      <w:r w:rsidRPr="006734BD">
        <w:rPr>
          <w:sz w:val="24"/>
          <w:szCs w:val="24"/>
        </w:rPr>
        <w:t>Ved cerebralt ødem eller forhøjet intrakranielt tryk som følge af hjernetumor indledes der i svære tilfælde med intravenøs administration af glukokortikoider; og ved bedring skiftes til oral administration af 4</w:t>
      </w:r>
      <w:r w:rsidRPr="006734BD">
        <w:rPr>
          <w:sz w:val="24"/>
          <w:szCs w:val="24"/>
        </w:rPr>
        <w:noBreakHyphen/>
        <w:t xml:space="preserve">16 mg </w:t>
      </w:r>
      <w:r w:rsidRPr="006734BD">
        <w:rPr>
          <w:spacing w:val="-1"/>
          <w:sz w:val="24"/>
          <w:szCs w:val="24"/>
        </w:rPr>
        <w:t>Waladex</w:t>
      </w:r>
      <w:r w:rsidRPr="006734BD">
        <w:rPr>
          <w:sz w:val="24"/>
          <w:szCs w:val="24"/>
        </w:rPr>
        <w:t xml:space="preserve"> dagligt. I lettere tilfælde er oral administration af 2-8 mg tilstrækkeligt.</w:t>
      </w:r>
    </w:p>
    <w:p w14:paraId="3C672E8B" w14:textId="77777777" w:rsidR="00262686" w:rsidRPr="006734BD" w:rsidRDefault="00262686" w:rsidP="00FA7787">
      <w:pPr>
        <w:ind w:left="851"/>
        <w:rPr>
          <w:noProof/>
          <w:sz w:val="24"/>
          <w:szCs w:val="24"/>
        </w:rPr>
      </w:pPr>
    </w:p>
    <w:p w14:paraId="5D715340" w14:textId="77777777" w:rsidR="00262686" w:rsidRPr="006734BD" w:rsidRDefault="00262686" w:rsidP="00FA7787">
      <w:pPr>
        <w:ind w:left="851"/>
        <w:rPr>
          <w:sz w:val="24"/>
          <w:szCs w:val="24"/>
        </w:rPr>
      </w:pPr>
      <w:r w:rsidRPr="006734BD">
        <w:rPr>
          <w:i/>
          <w:iCs/>
          <w:sz w:val="24"/>
          <w:szCs w:val="24"/>
        </w:rPr>
        <w:t xml:space="preserve">Til behandling af cancer i mammae, ovarii, prostatae eller testis: </w:t>
      </w:r>
      <w:r w:rsidRPr="006734BD">
        <w:rPr>
          <w:sz w:val="24"/>
          <w:szCs w:val="24"/>
        </w:rPr>
        <w:t>Initialdosis er sædvanligvis 8</w:t>
      </w:r>
      <w:r w:rsidRPr="006734BD">
        <w:rPr>
          <w:sz w:val="24"/>
          <w:szCs w:val="24"/>
        </w:rPr>
        <w:noBreakHyphen/>
        <w:t>16 mg. Vedligeholdelsesdosis er 4</w:t>
      </w:r>
      <w:r w:rsidRPr="006734BD">
        <w:rPr>
          <w:sz w:val="24"/>
          <w:szCs w:val="24"/>
        </w:rPr>
        <w:noBreakHyphen/>
        <w:t>12 mg.</w:t>
      </w:r>
    </w:p>
    <w:p w14:paraId="5F93A666" w14:textId="77777777" w:rsidR="00262686" w:rsidRPr="006734BD" w:rsidRDefault="00262686" w:rsidP="00FA7787">
      <w:pPr>
        <w:ind w:left="851"/>
        <w:rPr>
          <w:i/>
          <w:iCs/>
          <w:noProof/>
          <w:sz w:val="24"/>
          <w:szCs w:val="24"/>
        </w:rPr>
      </w:pPr>
    </w:p>
    <w:p w14:paraId="3E638354" w14:textId="77777777" w:rsidR="00262686" w:rsidRPr="006734BD" w:rsidRDefault="00262686" w:rsidP="00FA7787">
      <w:pPr>
        <w:ind w:left="851"/>
        <w:rPr>
          <w:sz w:val="24"/>
          <w:szCs w:val="24"/>
        </w:rPr>
      </w:pPr>
      <w:r w:rsidRPr="006734BD">
        <w:rPr>
          <w:i/>
          <w:iCs/>
          <w:sz w:val="24"/>
          <w:szCs w:val="24"/>
        </w:rPr>
        <w:t xml:space="preserve">Forebyggelse af kvalme induceret af emetogen kemoterapi: </w:t>
      </w:r>
      <w:r w:rsidRPr="006734BD">
        <w:rPr>
          <w:sz w:val="24"/>
          <w:szCs w:val="24"/>
        </w:rPr>
        <w:t>Til forebyggelse og behandling af cytostatika</w:t>
      </w:r>
      <w:r w:rsidRPr="006734BD">
        <w:rPr>
          <w:sz w:val="24"/>
          <w:szCs w:val="24"/>
        </w:rPr>
        <w:noBreakHyphen/>
        <w:t>induceret opkastning gives dagen før planlagt cytostatisk behandling 8 mg oralt; ved behandlingens start gives 8</w:t>
      </w:r>
      <w:r w:rsidRPr="006734BD">
        <w:rPr>
          <w:sz w:val="24"/>
          <w:szCs w:val="24"/>
        </w:rPr>
        <w:noBreakHyphen/>
        <w:t>12 mg i.v., derefter 16</w:t>
      </w:r>
      <w:r w:rsidRPr="006734BD">
        <w:rPr>
          <w:sz w:val="24"/>
          <w:szCs w:val="24"/>
        </w:rPr>
        <w:noBreakHyphen/>
        <w:t>24 mg dagligt oralt i samlet set 2 dage.</w:t>
      </w:r>
    </w:p>
    <w:p w14:paraId="0AB1F30D" w14:textId="77777777" w:rsidR="00262686" w:rsidRPr="006734BD" w:rsidRDefault="00262686" w:rsidP="00FA7787">
      <w:pPr>
        <w:ind w:left="851"/>
        <w:rPr>
          <w:i/>
          <w:iCs/>
          <w:sz w:val="24"/>
          <w:szCs w:val="24"/>
        </w:rPr>
      </w:pPr>
    </w:p>
    <w:p w14:paraId="67C602C7" w14:textId="77777777" w:rsidR="00262686" w:rsidRPr="006734BD" w:rsidRDefault="00262686" w:rsidP="00FA7787">
      <w:pPr>
        <w:ind w:left="851"/>
        <w:rPr>
          <w:i/>
          <w:iCs/>
          <w:sz w:val="24"/>
          <w:szCs w:val="24"/>
        </w:rPr>
      </w:pPr>
      <w:r w:rsidRPr="006734BD">
        <w:rPr>
          <w:i/>
          <w:iCs/>
          <w:sz w:val="24"/>
          <w:szCs w:val="24"/>
        </w:rPr>
        <w:t>Diagnostisk test af hypofyse- og binyrebarkfunktionen</w:t>
      </w:r>
    </w:p>
    <w:p w14:paraId="326569F4" w14:textId="77777777" w:rsidR="00262686" w:rsidRPr="006734BD" w:rsidRDefault="00262686" w:rsidP="00FA7787">
      <w:pPr>
        <w:ind w:left="851"/>
        <w:rPr>
          <w:sz w:val="24"/>
          <w:szCs w:val="24"/>
        </w:rPr>
      </w:pPr>
      <w:r w:rsidRPr="006734BD">
        <w:rPr>
          <w:i/>
          <w:iCs/>
          <w:sz w:val="24"/>
          <w:szCs w:val="24"/>
        </w:rPr>
        <w:t xml:space="preserve">Inhibering af hypofyse- og binyrebarkfunktionen: </w:t>
      </w:r>
      <w:r w:rsidRPr="006734BD">
        <w:rPr>
          <w:sz w:val="24"/>
          <w:szCs w:val="24"/>
        </w:rPr>
        <w:t>1</w:t>
      </w:r>
      <w:r w:rsidRPr="006734BD">
        <w:rPr>
          <w:sz w:val="24"/>
          <w:szCs w:val="24"/>
        </w:rPr>
        <w:noBreakHyphen/>
        <w:t>4 mg dagligt. Den daglige dosis skal deles op i 2</w:t>
      </w:r>
      <w:r w:rsidRPr="006734BD">
        <w:rPr>
          <w:sz w:val="24"/>
          <w:szCs w:val="24"/>
        </w:rPr>
        <w:noBreakHyphen/>
        <w:t>4 doser fordelt over dagen, og den sidste administreres som sen aftendosis.</w:t>
      </w:r>
    </w:p>
    <w:p w14:paraId="779E916D" w14:textId="77777777" w:rsidR="00262686" w:rsidRPr="006734BD" w:rsidRDefault="00262686" w:rsidP="00FA7787">
      <w:pPr>
        <w:ind w:left="851"/>
        <w:rPr>
          <w:sz w:val="24"/>
          <w:szCs w:val="24"/>
        </w:rPr>
      </w:pPr>
    </w:p>
    <w:p w14:paraId="193DEFFF" w14:textId="77777777" w:rsidR="00262686" w:rsidRPr="006734BD" w:rsidRDefault="00262686" w:rsidP="00FA7787">
      <w:pPr>
        <w:ind w:left="851"/>
        <w:rPr>
          <w:sz w:val="24"/>
          <w:szCs w:val="24"/>
        </w:rPr>
      </w:pPr>
      <w:r w:rsidRPr="006734BD">
        <w:rPr>
          <w:i/>
          <w:iCs/>
          <w:sz w:val="24"/>
          <w:szCs w:val="24"/>
        </w:rPr>
        <w:t>Inhiberingstest af</w:t>
      </w:r>
      <w:r w:rsidRPr="006734BD">
        <w:rPr>
          <w:sz w:val="24"/>
          <w:szCs w:val="24"/>
        </w:rPr>
        <w:t xml:space="preserve"> </w:t>
      </w:r>
      <w:r w:rsidRPr="006734BD">
        <w:rPr>
          <w:i/>
          <w:iCs/>
          <w:sz w:val="24"/>
          <w:szCs w:val="24"/>
        </w:rPr>
        <w:t xml:space="preserve">hypofyse- og binyrebarkfunktionen: </w:t>
      </w:r>
      <w:r w:rsidRPr="006734BD">
        <w:rPr>
          <w:sz w:val="24"/>
          <w:szCs w:val="24"/>
        </w:rPr>
        <w:t>Sædvanligvis administreres en enkelt dosis på 2 mg ved 23</w:t>
      </w:r>
      <w:r w:rsidRPr="006734BD">
        <w:rPr>
          <w:sz w:val="24"/>
          <w:szCs w:val="24"/>
        </w:rPr>
        <w:noBreakHyphen/>
        <w:t>24</w:t>
      </w:r>
      <w:r w:rsidRPr="006734BD">
        <w:rPr>
          <w:sz w:val="24"/>
          <w:szCs w:val="24"/>
        </w:rPr>
        <w:noBreakHyphen/>
        <w:t>tiden, og en blodprøve tages næste morgen kl. 8.</w:t>
      </w:r>
    </w:p>
    <w:p w14:paraId="782CC49A" w14:textId="77777777" w:rsidR="00262686" w:rsidRPr="006734BD" w:rsidRDefault="00262686" w:rsidP="00FA7787">
      <w:pPr>
        <w:ind w:left="851"/>
        <w:rPr>
          <w:sz w:val="24"/>
          <w:szCs w:val="24"/>
        </w:rPr>
      </w:pPr>
    </w:p>
    <w:p w14:paraId="687F4646" w14:textId="77777777" w:rsidR="00262686" w:rsidRPr="006734BD" w:rsidRDefault="00262686" w:rsidP="00FA7787">
      <w:pPr>
        <w:ind w:left="851"/>
        <w:rPr>
          <w:i/>
          <w:noProof/>
          <w:sz w:val="24"/>
          <w:szCs w:val="24"/>
        </w:rPr>
      </w:pPr>
      <w:r w:rsidRPr="006734BD">
        <w:rPr>
          <w:i/>
          <w:noProof/>
          <w:sz w:val="24"/>
          <w:szCs w:val="24"/>
        </w:rPr>
        <w:lastRenderedPageBreak/>
        <w:t xml:space="preserve">Nedsat nyrefunktion: </w:t>
      </w:r>
      <w:r w:rsidRPr="006734BD">
        <w:rPr>
          <w:noProof/>
          <w:sz w:val="24"/>
          <w:szCs w:val="24"/>
        </w:rPr>
        <w:t>Dosisjustering er ikke nødvendig hos patienter med nedsat nyrefunktion (se også pkt. 5.2).</w:t>
      </w:r>
    </w:p>
    <w:p w14:paraId="75B7CEDB" w14:textId="77777777" w:rsidR="00262686" w:rsidRPr="006734BD" w:rsidRDefault="00262686" w:rsidP="00FA7787">
      <w:pPr>
        <w:ind w:left="851"/>
        <w:rPr>
          <w:noProof/>
          <w:sz w:val="24"/>
          <w:szCs w:val="24"/>
        </w:rPr>
      </w:pPr>
    </w:p>
    <w:p w14:paraId="2787A930" w14:textId="77777777" w:rsidR="00262686" w:rsidRPr="006734BD" w:rsidRDefault="00262686" w:rsidP="00FA7787">
      <w:pPr>
        <w:ind w:left="851"/>
        <w:rPr>
          <w:i/>
          <w:noProof/>
          <w:sz w:val="24"/>
          <w:szCs w:val="24"/>
        </w:rPr>
      </w:pPr>
      <w:r w:rsidRPr="006734BD">
        <w:rPr>
          <w:i/>
          <w:noProof/>
          <w:sz w:val="24"/>
          <w:szCs w:val="24"/>
        </w:rPr>
        <w:t xml:space="preserve">Nedsat leverfunktion: </w:t>
      </w:r>
      <w:r w:rsidRPr="006734BD">
        <w:rPr>
          <w:noProof/>
          <w:sz w:val="24"/>
          <w:szCs w:val="24"/>
        </w:rPr>
        <w:t>Hos patienter med svær leversygdom kan dosisjustering være nødvendig (se også pkt. 5 2).</w:t>
      </w:r>
    </w:p>
    <w:p w14:paraId="1A725335" w14:textId="77777777" w:rsidR="00262686" w:rsidRPr="006734BD" w:rsidRDefault="00262686" w:rsidP="00FA7787">
      <w:pPr>
        <w:ind w:left="851"/>
        <w:rPr>
          <w:noProof/>
          <w:sz w:val="24"/>
          <w:szCs w:val="24"/>
        </w:rPr>
      </w:pPr>
    </w:p>
    <w:p w14:paraId="2EEED7A5" w14:textId="77777777" w:rsidR="00262686" w:rsidRPr="006734BD" w:rsidRDefault="00262686" w:rsidP="00FA7787">
      <w:pPr>
        <w:ind w:left="851"/>
        <w:rPr>
          <w:b/>
          <w:bCs/>
          <w:noProof/>
          <w:sz w:val="24"/>
          <w:szCs w:val="24"/>
          <w:u w:val="single"/>
        </w:rPr>
      </w:pPr>
      <w:r w:rsidRPr="006734BD">
        <w:rPr>
          <w:noProof/>
          <w:sz w:val="24"/>
          <w:szCs w:val="24"/>
          <w:u w:val="single"/>
        </w:rPr>
        <w:t>Behandling af COVID</w:t>
      </w:r>
      <w:r w:rsidRPr="006734BD">
        <w:rPr>
          <w:noProof/>
          <w:sz w:val="24"/>
          <w:szCs w:val="24"/>
          <w:u w:val="single"/>
        </w:rPr>
        <w:noBreakHyphen/>
        <w:t>19:</w:t>
      </w:r>
    </w:p>
    <w:p w14:paraId="1BD3A20C" w14:textId="77777777" w:rsidR="00262686" w:rsidRPr="006734BD" w:rsidRDefault="00262686" w:rsidP="00FA7787">
      <w:pPr>
        <w:ind w:left="851"/>
        <w:rPr>
          <w:noProof/>
          <w:sz w:val="24"/>
          <w:szCs w:val="24"/>
        </w:rPr>
      </w:pPr>
      <w:r w:rsidRPr="006734BD">
        <w:rPr>
          <w:noProof/>
          <w:sz w:val="24"/>
          <w:szCs w:val="24"/>
        </w:rPr>
        <w:t>Voksne patienter 6 mg oralt, én gang dagligt i op til 10 dage.</w:t>
      </w:r>
    </w:p>
    <w:p w14:paraId="20FC5651" w14:textId="77777777" w:rsidR="00262686" w:rsidRPr="006734BD" w:rsidRDefault="00262686" w:rsidP="00FA7787">
      <w:pPr>
        <w:ind w:left="851"/>
        <w:rPr>
          <w:noProof/>
          <w:sz w:val="24"/>
          <w:szCs w:val="24"/>
        </w:rPr>
      </w:pPr>
    </w:p>
    <w:p w14:paraId="0B881E7F" w14:textId="77777777" w:rsidR="00262686" w:rsidRPr="006734BD" w:rsidRDefault="00262686" w:rsidP="00FA7787">
      <w:pPr>
        <w:ind w:left="851"/>
        <w:rPr>
          <w:i/>
          <w:iCs/>
          <w:noProof/>
          <w:sz w:val="24"/>
          <w:szCs w:val="24"/>
        </w:rPr>
      </w:pPr>
      <w:r w:rsidRPr="006734BD">
        <w:rPr>
          <w:i/>
          <w:iCs/>
          <w:noProof/>
          <w:sz w:val="24"/>
          <w:szCs w:val="24"/>
        </w:rPr>
        <w:t>Pædiatrisk population:</w:t>
      </w:r>
    </w:p>
    <w:p w14:paraId="0006A30A" w14:textId="77777777" w:rsidR="00262686" w:rsidRPr="006734BD" w:rsidRDefault="00262686" w:rsidP="00FA7787">
      <w:pPr>
        <w:ind w:left="851"/>
        <w:rPr>
          <w:noProof/>
          <w:sz w:val="24"/>
          <w:szCs w:val="24"/>
        </w:rPr>
      </w:pPr>
      <w:r w:rsidRPr="006734BD">
        <w:rPr>
          <w:noProof/>
          <w:sz w:val="24"/>
          <w:szCs w:val="24"/>
        </w:rPr>
        <w:t>Pædiatriske patienter (unge på 12 år og ældre) anbefales at tage 6 mg pr. dosis oralt, én gang dagligt i op til 10 dage.</w:t>
      </w:r>
    </w:p>
    <w:p w14:paraId="19A97341" w14:textId="77777777" w:rsidR="00262686" w:rsidRPr="006734BD" w:rsidRDefault="00262686" w:rsidP="00FA7787">
      <w:pPr>
        <w:ind w:left="851"/>
        <w:rPr>
          <w:noProof/>
          <w:sz w:val="24"/>
          <w:szCs w:val="24"/>
        </w:rPr>
      </w:pPr>
    </w:p>
    <w:p w14:paraId="14B73612" w14:textId="77777777" w:rsidR="00262686" w:rsidRPr="006734BD" w:rsidRDefault="00262686" w:rsidP="00FA7787">
      <w:pPr>
        <w:ind w:left="851"/>
        <w:rPr>
          <w:noProof/>
          <w:sz w:val="24"/>
          <w:szCs w:val="24"/>
        </w:rPr>
      </w:pPr>
      <w:r w:rsidRPr="006734BD">
        <w:rPr>
          <w:noProof/>
          <w:sz w:val="24"/>
          <w:szCs w:val="24"/>
        </w:rPr>
        <w:t>Behandlingsvarigheden skal styres af klinisk respons og individuelle patientbehov.</w:t>
      </w:r>
    </w:p>
    <w:p w14:paraId="53A20D2D" w14:textId="77777777" w:rsidR="00262686" w:rsidRPr="006734BD" w:rsidRDefault="00262686" w:rsidP="00FA7787">
      <w:pPr>
        <w:ind w:left="851"/>
        <w:rPr>
          <w:noProof/>
          <w:sz w:val="24"/>
          <w:szCs w:val="24"/>
        </w:rPr>
      </w:pPr>
    </w:p>
    <w:p w14:paraId="0AE04752" w14:textId="77777777" w:rsidR="00262686" w:rsidRPr="006734BD" w:rsidRDefault="00262686" w:rsidP="00FA7787">
      <w:pPr>
        <w:ind w:left="851"/>
        <w:rPr>
          <w:i/>
          <w:iCs/>
          <w:noProof/>
          <w:sz w:val="24"/>
          <w:szCs w:val="24"/>
        </w:rPr>
      </w:pPr>
      <w:r w:rsidRPr="006734BD">
        <w:rPr>
          <w:i/>
          <w:iCs/>
          <w:noProof/>
          <w:sz w:val="24"/>
          <w:szCs w:val="24"/>
        </w:rPr>
        <w:t>Ældre, nedsat nyrefunktion, nedsat leverfunktion:</w:t>
      </w:r>
    </w:p>
    <w:p w14:paraId="591CB921" w14:textId="77777777" w:rsidR="00262686" w:rsidRPr="006734BD" w:rsidRDefault="00262686" w:rsidP="00FA7787">
      <w:pPr>
        <w:ind w:left="851"/>
        <w:rPr>
          <w:noProof/>
          <w:sz w:val="24"/>
          <w:szCs w:val="24"/>
        </w:rPr>
      </w:pPr>
      <w:r w:rsidRPr="006734BD">
        <w:rPr>
          <w:noProof/>
          <w:sz w:val="24"/>
          <w:szCs w:val="24"/>
        </w:rPr>
        <w:t>Dosisjustering er ikke nødvendig.</w:t>
      </w:r>
    </w:p>
    <w:p w14:paraId="3DF70480" w14:textId="77777777" w:rsidR="00262686" w:rsidRPr="006734BD" w:rsidRDefault="00262686" w:rsidP="00FA7787">
      <w:pPr>
        <w:ind w:left="851"/>
        <w:rPr>
          <w:sz w:val="24"/>
          <w:szCs w:val="24"/>
        </w:rPr>
      </w:pPr>
    </w:p>
    <w:p w14:paraId="4874705A" w14:textId="77777777" w:rsidR="00262686" w:rsidRPr="006734BD" w:rsidRDefault="00262686" w:rsidP="00FA7787">
      <w:pPr>
        <w:ind w:left="851"/>
        <w:rPr>
          <w:sz w:val="24"/>
          <w:szCs w:val="24"/>
        </w:rPr>
      </w:pPr>
      <w:r w:rsidRPr="006734BD">
        <w:rPr>
          <w:sz w:val="24"/>
          <w:szCs w:val="24"/>
        </w:rPr>
        <w:t>For doser, der ikke kan opnås med en tablet på 1 mg eller på 4 mg, er der andre tilgængelige tabletter indeholdende dexamethason på markedet.</w:t>
      </w:r>
    </w:p>
    <w:p w14:paraId="3606FBF8" w14:textId="77777777" w:rsidR="00262686" w:rsidRPr="006734BD" w:rsidRDefault="00262686" w:rsidP="00FA7787">
      <w:pPr>
        <w:ind w:left="851"/>
        <w:rPr>
          <w:sz w:val="24"/>
          <w:szCs w:val="24"/>
        </w:rPr>
      </w:pPr>
    </w:p>
    <w:p w14:paraId="44FD39AD" w14:textId="77777777" w:rsidR="00262686" w:rsidRPr="006734BD" w:rsidRDefault="00262686" w:rsidP="00FA7787">
      <w:pPr>
        <w:ind w:left="851"/>
        <w:rPr>
          <w:sz w:val="24"/>
          <w:szCs w:val="24"/>
          <w:u w:val="single"/>
        </w:rPr>
      </w:pPr>
      <w:r w:rsidRPr="006734BD">
        <w:rPr>
          <w:sz w:val="24"/>
          <w:szCs w:val="24"/>
          <w:u w:val="single"/>
        </w:rPr>
        <w:t>Administration</w:t>
      </w:r>
    </w:p>
    <w:p w14:paraId="419A80DB" w14:textId="77777777" w:rsidR="00262686" w:rsidRPr="006734BD" w:rsidRDefault="00262686" w:rsidP="00FA7787">
      <w:pPr>
        <w:ind w:left="851"/>
        <w:rPr>
          <w:noProof/>
          <w:sz w:val="24"/>
          <w:szCs w:val="24"/>
        </w:rPr>
      </w:pPr>
      <w:r w:rsidRPr="006734BD">
        <w:rPr>
          <w:noProof/>
          <w:sz w:val="24"/>
          <w:szCs w:val="24"/>
        </w:rPr>
        <w:t>Oral anvendelse.</w:t>
      </w:r>
    </w:p>
    <w:p w14:paraId="33A0830E" w14:textId="77777777" w:rsidR="009260DE" w:rsidRPr="006734BD" w:rsidRDefault="009260DE" w:rsidP="009260DE">
      <w:pPr>
        <w:tabs>
          <w:tab w:val="left" w:pos="851"/>
        </w:tabs>
        <w:ind w:left="851"/>
        <w:rPr>
          <w:sz w:val="24"/>
          <w:szCs w:val="24"/>
        </w:rPr>
      </w:pPr>
    </w:p>
    <w:p w14:paraId="2FD0753F" w14:textId="77777777" w:rsidR="009260DE" w:rsidRPr="006734BD" w:rsidRDefault="009260DE" w:rsidP="009260DE">
      <w:pPr>
        <w:tabs>
          <w:tab w:val="left" w:pos="851"/>
        </w:tabs>
        <w:ind w:left="851" w:hanging="851"/>
        <w:rPr>
          <w:b/>
          <w:sz w:val="24"/>
          <w:szCs w:val="24"/>
        </w:rPr>
      </w:pPr>
      <w:r w:rsidRPr="006734BD">
        <w:rPr>
          <w:b/>
          <w:sz w:val="24"/>
          <w:szCs w:val="24"/>
        </w:rPr>
        <w:t>4.3</w:t>
      </w:r>
      <w:r w:rsidRPr="006734BD">
        <w:rPr>
          <w:b/>
          <w:sz w:val="24"/>
          <w:szCs w:val="24"/>
        </w:rPr>
        <w:tab/>
        <w:t>Kontraindikationer</w:t>
      </w:r>
    </w:p>
    <w:p w14:paraId="4A724CF6" w14:textId="77777777" w:rsidR="006734BD" w:rsidRDefault="00262686" w:rsidP="00FA7787">
      <w:pPr>
        <w:ind w:left="851"/>
        <w:rPr>
          <w:sz w:val="24"/>
          <w:szCs w:val="24"/>
        </w:rPr>
      </w:pPr>
      <w:r w:rsidRPr="006734BD">
        <w:rPr>
          <w:sz w:val="24"/>
          <w:szCs w:val="24"/>
        </w:rPr>
        <w:t xml:space="preserve">Overfølsomhed over for det aktive stof eller over for et eller flere af hjælpestofferne anført i pkt. 6.1. </w:t>
      </w:r>
    </w:p>
    <w:p w14:paraId="2B041E69" w14:textId="4081B10E" w:rsidR="00262686" w:rsidRPr="006734BD" w:rsidRDefault="00262686" w:rsidP="00FA7787">
      <w:pPr>
        <w:ind w:left="851"/>
        <w:rPr>
          <w:sz w:val="24"/>
          <w:szCs w:val="24"/>
        </w:rPr>
      </w:pPr>
      <w:r w:rsidRPr="006734BD">
        <w:rPr>
          <w:sz w:val="24"/>
          <w:szCs w:val="24"/>
        </w:rPr>
        <w:t>Systemiske svampeinfektioner.</w:t>
      </w:r>
    </w:p>
    <w:p w14:paraId="7B4DA721" w14:textId="77777777" w:rsidR="009260DE" w:rsidRPr="006734BD" w:rsidRDefault="009260DE" w:rsidP="009260DE">
      <w:pPr>
        <w:tabs>
          <w:tab w:val="left" w:pos="851"/>
        </w:tabs>
        <w:ind w:left="851"/>
        <w:rPr>
          <w:sz w:val="24"/>
          <w:szCs w:val="24"/>
        </w:rPr>
      </w:pPr>
    </w:p>
    <w:p w14:paraId="6D119D57" w14:textId="77777777" w:rsidR="009260DE" w:rsidRPr="006734BD" w:rsidRDefault="009260DE" w:rsidP="009260DE">
      <w:pPr>
        <w:tabs>
          <w:tab w:val="left" w:pos="851"/>
        </w:tabs>
        <w:ind w:left="851" w:hanging="851"/>
        <w:rPr>
          <w:b/>
          <w:sz w:val="24"/>
          <w:szCs w:val="24"/>
        </w:rPr>
      </w:pPr>
      <w:r w:rsidRPr="006734BD">
        <w:rPr>
          <w:b/>
          <w:sz w:val="24"/>
          <w:szCs w:val="24"/>
        </w:rPr>
        <w:t>4.4</w:t>
      </w:r>
      <w:r w:rsidRPr="006734BD">
        <w:rPr>
          <w:b/>
          <w:sz w:val="24"/>
          <w:szCs w:val="24"/>
        </w:rPr>
        <w:tab/>
        <w:t>Særlige advarsler og forsigtighedsregler vedrørende brugen</w:t>
      </w:r>
    </w:p>
    <w:p w14:paraId="67A9336B" w14:textId="77777777" w:rsidR="00262686" w:rsidRPr="006734BD" w:rsidRDefault="00262686" w:rsidP="00FA7787">
      <w:pPr>
        <w:ind w:left="851"/>
        <w:rPr>
          <w:sz w:val="24"/>
          <w:szCs w:val="24"/>
          <w:lang w:eastAsia="en-GB"/>
        </w:rPr>
      </w:pPr>
      <w:r w:rsidRPr="006734BD">
        <w:rPr>
          <w:sz w:val="24"/>
          <w:szCs w:val="24"/>
          <w:lang w:eastAsia="en-GB"/>
        </w:rPr>
        <w:t>Patienten bør informeres om, at dosis skal øges ved feber og stress.</w:t>
      </w:r>
    </w:p>
    <w:p w14:paraId="61268B93" w14:textId="77777777" w:rsidR="00262686" w:rsidRPr="006734BD" w:rsidRDefault="00262686" w:rsidP="00FA7787">
      <w:pPr>
        <w:ind w:left="851"/>
        <w:rPr>
          <w:sz w:val="24"/>
          <w:szCs w:val="24"/>
          <w:lang w:eastAsia="en-GB"/>
        </w:rPr>
      </w:pPr>
    </w:p>
    <w:p w14:paraId="1EC58256" w14:textId="1DFF6245" w:rsidR="00262686" w:rsidRPr="006734BD" w:rsidRDefault="00262686" w:rsidP="00FA7787">
      <w:pPr>
        <w:ind w:left="851"/>
        <w:rPr>
          <w:sz w:val="24"/>
          <w:szCs w:val="24"/>
          <w:lang w:eastAsia="en-GB"/>
        </w:rPr>
      </w:pPr>
      <w:r w:rsidRPr="006734BD">
        <w:rPr>
          <w:sz w:val="24"/>
          <w:szCs w:val="24"/>
          <w:lang w:eastAsia="en-GB"/>
        </w:rPr>
        <w:t>Efter langtidsbehandling bør seponering finde sted gradvist. Da tilførsel af kortikosteroider undertrykker den endogene sekretion af kortikotropin (ACTH) fra hypofyseforlappen med atrofi af binyrebarken til følge, kan pludselig seponering medføre akut binyrebark</w:t>
      </w:r>
      <w:r w:rsidR="006734BD">
        <w:rPr>
          <w:sz w:val="24"/>
          <w:szCs w:val="24"/>
          <w:lang w:eastAsia="en-GB"/>
        </w:rPr>
        <w:softHyphen/>
      </w:r>
      <w:r w:rsidRPr="006734BD">
        <w:rPr>
          <w:sz w:val="24"/>
          <w:szCs w:val="24"/>
          <w:lang w:eastAsia="en-GB"/>
        </w:rPr>
        <w:t>insufficiens. Kortikosteroider bør derfor altid seponeres gradvist, særlig efter behandling med høje doser eller i længere tid.</w:t>
      </w:r>
    </w:p>
    <w:p w14:paraId="1A25E15B" w14:textId="77777777" w:rsidR="00262686" w:rsidRPr="006734BD" w:rsidRDefault="00262686" w:rsidP="00FA7787">
      <w:pPr>
        <w:ind w:left="851"/>
        <w:rPr>
          <w:sz w:val="24"/>
          <w:szCs w:val="24"/>
          <w:lang w:eastAsia="en-GB"/>
        </w:rPr>
      </w:pPr>
    </w:p>
    <w:p w14:paraId="3A4317CE" w14:textId="77777777" w:rsidR="00262686" w:rsidRPr="006734BD" w:rsidRDefault="00262686" w:rsidP="00FA7787">
      <w:pPr>
        <w:ind w:left="851"/>
        <w:rPr>
          <w:sz w:val="24"/>
          <w:szCs w:val="24"/>
          <w:u w:val="single"/>
          <w:lang w:eastAsia="en-GB"/>
        </w:rPr>
      </w:pPr>
      <w:r w:rsidRPr="006734BD">
        <w:rPr>
          <w:sz w:val="24"/>
          <w:szCs w:val="24"/>
          <w:u w:val="single"/>
          <w:lang w:eastAsia="en-GB"/>
        </w:rPr>
        <w:t>Infektioner og vaccinationer</w:t>
      </w:r>
    </w:p>
    <w:p w14:paraId="3AF51912" w14:textId="77777777" w:rsidR="00262686" w:rsidRPr="006734BD" w:rsidRDefault="00262686" w:rsidP="00FA7787">
      <w:pPr>
        <w:ind w:left="851"/>
        <w:rPr>
          <w:sz w:val="24"/>
          <w:szCs w:val="24"/>
          <w:lang w:eastAsia="en-GB"/>
        </w:rPr>
      </w:pPr>
      <w:r w:rsidRPr="006734BD">
        <w:rPr>
          <w:sz w:val="24"/>
          <w:szCs w:val="24"/>
          <w:lang w:eastAsia="en-GB"/>
        </w:rPr>
        <w:t>Der bør udvises stor forsigtighed ved infektioner, og kausal terapi bør iværksættes.</w:t>
      </w:r>
    </w:p>
    <w:p w14:paraId="67CF9C35" w14:textId="77777777" w:rsidR="00262686" w:rsidRPr="006734BD" w:rsidRDefault="00262686" w:rsidP="00FA7787">
      <w:pPr>
        <w:ind w:left="851"/>
        <w:rPr>
          <w:sz w:val="24"/>
          <w:szCs w:val="24"/>
          <w:lang w:eastAsia="en-GB"/>
        </w:rPr>
      </w:pPr>
    </w:p>
    <w:p w14:paraId="22A880D6" w14:textId="77777777" w:rsidR="00262686" w:rsidRPr="006734BD" w:rsidRDefault="00262686" w:rsidP="00FA7787">
      <w:pPr>
        <w:ind w:left="851"/>
        <w:rPr>
          <w:sz w:val="24"/>
          <w:szCs w:val="24"/>
          <w:lang w:eastAsia="en-GB"/>
        </w:rPr>
      </w:pPr>
      <w:r w:rsidRPr="006734BD">
        <w:rPr>
          <w:sz w:val="24"/>
          <w:szCs w:val="24"/>
          <w:lang w:eastAsia="en-GB"/>
        </w:rPr>
        <w:t>Kortikosteroider i høje doser kan påvirke immunresponset ved vaccination. Hvis der er vaccineret med levende vaccine kort før initiering af behandlingen med dexamethason, skal patienten overvåges tæt under administrationen af dexamethason. Levende vaccine må ikke administreres under eller efter behandling med dexamethason.</w:t>
      </w:r>
    </w:p>
    <w:p w14:paraId="35635494" w14:textId="77777777" w:rsidR="00262686" w:rsidRPr="006734BD" w:rsidRDefault="00262686" w:rsidP="00FA7787">
      <w:pPr>
        <w:ind w:left="851"/>
        <w:rPr>
          <w:sz w:val="24"/>
          <w:szCs w:val="24"/>
          <w:lang w:eastAsia="en-GB"/>
        </w:rPr>
      </w:pPr>
    </w:p>
    <w:p w14:paraId="3EB08C81" w14:textId="77777777" w:rsidR="00262686" w:rsidRPr="006734BD" w:rsidRDefault="00262686" w:rsidP="00FA7787">
      <w:pPr>
        <w:ind w:left="851"/>
        <w:rPr>
          <w:sz w:val="24"/>
          <w:szCs w:val="24"/>
          <w:lang w:eastAsia="en-GB"/>
        </w:rPr>
      </w:pPr>
      <w:r w:rsidRPr="006734BD">
        <w:rPr>
          <w:sz w:val="24"/>
          <w:szCs w:val="24"/>
          <w:lang w:eastAsia="en-GB"/>
        </w:rPr>
        <w:t xml:space="preserve">Anvendelse af dexamethason ved aktiv tuberkulose bør begrænses til tilfælde af fulminant eller dissemineret tuberkulose, hvor kortikosteroider gives sammen med passende tuberkulosebehandling. Hvis kortikosteroider er indiceret hos patienter med latent tuberkulose eller med tuberkulinreaktivitet, er tæt overvågning nødvendig på grund af </w:t>
      </w:r>
      <w:r w:rsidRPr="006734BD">
        <w:rPr>
          <w:sz w:val="24"/>
          <w:szCs w:val="24"/>
          <w:lang w:eastAsia="en-GB"/>
        </w:rPr>
        <w:lastRenderedPageBreak/>
        <w:t>risikoen for reaktivering af sygdommen. Ved langtidsbehandling med kortikosteroider bør sådanne patienter have profylaktisk antibiotisk behandling.</w:t>
      </w:r>
    </w:p>
    <w:p w14:paraId="160B096E" w14:textId="77777777" w:rsidR="00262686" w:rsidRPr="006734BD" w:rsidRDefault="00262686" w:rsidP="00FA7787">
      <w:pPr>
        <w:ind w:left="851"/>
        <w:rPr>
          <w:sz w:val="24"/>
          <w:szCs w:val="24"/>
          <w:lang w:eastAsia="en-GB"/>
        </w:rPr>
      </w:pPr>
    </w:p>
    <w:p w14:paraId="40758F43" w14:textId="77777777" w:rsidR="00262686" w:rsidRPr="006734BD" w:rsidRDefault="00262686" w:rsidP="00FA7787">
      <w:pPr>
        <w:ind w:left="851"/>
        <w:rPr>
          <w:iCs/>
          <w:sz w:val="24"/>
          <w:szCs w:val="24"/>
          <w:u w:val="single"/>
          <w:lang w:eastAsia="en-GB"/>
        </w:rPr>
      </w:pPr>
      <w:r w:rsidRPr="006734BD">
        <w:rPr>
          <w:iCs/>
          <w:sz w:val="24"/>
          <w:szCs w:val="24"/>
          <w:u w:val="single"/>
          <w:lang w:eastAsia="en-GB"/>
        </w:rPr>
        <w:t>Behandling af COVID-19</w:t>
      </w:r>
    </w:p>
    <w:p w14:paraId="7905D00F" w14:textId="77777777" w:rsidR="00262686" w:rsidRPr="006734BD" w:rsidRDefault="00262686" w:rsidP="00FA7787">
      <w:pPr>
        <w:ind w:left="851"/>
        <w:rPr>
          <w:iCs/>
          <w:sz w:val="24"/>
          <w:szCs w:val="24"/>
          <w:lang w:eastAsia="en-GB"/>
        </w:rPr>
      </w:pPr>
      <w:r w:rsidRPr="006734BD">
        <w:rPr>
          <w:iCs/>
          <w:sz w:val="24"/>
          <w:szCs w:val="24"/>
          <w:lang w:eastAsia="en-GB"/>
        </w:rPr>
        <w:t>Behandling med systemiske kortikosteroider skal ikke stoppes hos patienter, der i forvejen er i behandling med systemiske (orale) kortikosteroider af andre årsager (f.eks. patienter med kronisk obstruktiv lungesygdom), men ikke har behov for supplerende iltbehandling.</w:t>
      </w:r>
    </w:p>
    <w:p w14:paraId="6F0BBDAB" w14:textId="77777777" w:rsidR="00262686" w:rsidRPr="006734BD" w:rsidRDefault="00262686" w:rsidP="00FA7787">
      <w:pPr>
        <w:ind w:left="851"/>
        <w:rPr>
          <w:sz w:val="24"/>
          <w:szCs w:val="24"/>
          <w:lang w:eastAsia="en-GB"/>
        </w:rPr>
      </w:pPr>
    </w:p>
    <w:p w14:paraId="30782A74" w14:textId="77777777" w:rsidR="00262686" w:rsidRPr="006734BD" w:rsidRDefault="00262686" w:rsidP="00FA7787">
      <w:pPr>
        <w:ind w:left="851"/>
        <w:rPr>
          <w:sz w:val="24"/>
          <w:szCs w:val="24"/>
          <w:u w:val="single"/>
          <w:lang w:eastAsia="en-GB"/>
        </w:rPr>
      </w:pPr>
      <w:r w:rsidRPr="006734BD">
        <w:rPr>
          <w:sz w:val="24"/>
          <w:szCs w:val="24"/>
          <w:u w:val="single"/>
          <w:lang w:eastAsia="en-GB"/>
        </w:rPr>
        <w:t>Diabetes</w:t>
      </w:r>
    </w:p>
    <w:p w14:paraId="0D017C2F" w14:textId="77777777" w:rsidR="00262686" w:rsidRPr="006734BD" w:rsidRDefault="00262686" w:rsidP="00FA7787">
      <w:pPr>
        <w:ind w:left="851"/>
        <w:rPr>
          <w:sz w:val="24"/>
          <w:szCs w:val="24"/>
          <w:lang w:eastAsia="en-GB"/>
        </w:rPr>
      </w:pPr>
      <w:r w:rsidRPr="006734BD">
        <w:rPr>
          <w:sz w:val="24"/>
          <w:szCs w:val="24"/>
          <w:lang w:eastAsia="en-GB"/>
        </w:rPr>
        <w:t xml:space="preserve">Hos diabetespatienter kan det være nødvendigt at øge insulindosis ved behandling med kortikosteroider. </w:t>
      </w:r>
    </w:p>
    <w:p w14:paraId="0D05DAF6" w14:textId="77777777" w:rsidR="00262686" w:rsidRPr="006734BD" w:rsidRDefault="00262686" w:rsidP="00FA7787">
      <w:pPr>
        <w:ind w:left="851"/>
        <w:rPr>
          <w:sz w:val="24"/>
          <w:szCs w:val="24"/>
          <w:lang w:eastAsia="en-GB"/>
        </w:rPr>
      </w:pPr>
    </w:p>
    <w:p w14:paraId="34ADD893" w14:textId="77777777" w:rsidR="00262686" w:rsidRPr="006734BD" w:rsidRDefault="00262686" w:rsidP="00FA7787">
      <w:pPr>
        <w:ind w:left="851"/>
        <w:rPr>
          <w:sz w:val="24"/>
          <w:szCs w:val="24"/>
          <w:u w:val="single"/>
          <w:lang w:eastAsia="en-GB"/>
        </w:rPr>
      </w:pPr>
      <w:r w:rsidRPr="006734BD">
        <w:rPr>
          <w:sz w:val="24"/>
          <w:szCs w:val="24"/>
          <w:u w:val="single"/>
          <w:lang w:eastAsia="en-GB"/>
        </w:rPr>
        <w:t>Cerebralt ødem eller forhøjet intrakranielt tryk</w:t>
      </w:r>
    </w:p>
    <w:p w14:paraId="0C5A44A4" w14:textId="77777777" w:rsidR="00262686" w:rsidRPr="006734BD" w:rsidRDefault="00262686" w:rsidP="00FA7787">
      <w:pPr>
        <w:ind w:left="851"/>
        <w:rPr>
          <w:sz w:val="24"/>
          <w:szCs w:val="24"/>
          <w:lang w:eastAsia="en-GB"/>
        </w:rPr>
      </w:pPr>
      <w:r w:rsidRPr="006734BD">
        <w:rPr>
          <w:sz w:val="24"/>
          <w:szCs w:val="24"/>
          <w:lang w:eastAsia="en-GB"/>
        </w:rPr>
        <w:t>Kortikosteroider må ikke anvendes ved hovedtraumer eller apopleksi, da de ikke kan forventes at have gavnlig virkning og kan endda være skadelige.</w:t>
      </w:r>
    </w:p>
    <w:p w14:paraId="7E07F4C2" w14:textId="77777777" w:rsidR="00262686" w:rsidRPr="006734BD" w:rsidRDefault="00262686" w:rsidP="00FA7787">
      <w:pPr>
        <w:ind w:left="851"/>
        <w:rPr>
          <w:sz w:val="24"/>
          <w:szCs w:val="24"/>
          <w:lang w:eastAsia="en-GB"/>
        </w:rPr>
      </w:pPr>
    </w:p>
    <w:p w14:paraId="1245A4A0" w14:textId="77777777" w:rsidR="00262686" w:rsidRPr="006734BD" w:rsidRDefault="00262686" w:rsidP="00FA7787">
      <w:pPr>
        <w:ind w:left="851"/>
        <w:rPr>
          <w:sz w:val="24"/>
          <w:szCs w:val="24"/>
          <w:u w:val="single"/>
          <w:lang w:eastAsia="en-GB"/>
        </w:rPr>
      </w:pPr>
      <w:r w:rsidRPr="006734BD">
        <w:rPr>
          <w:sz w:val="24"/>
          <w:szCs w:val="24"/>
          <w:u w:val="single"/>
          <w:lang w:eastAsia="en-GB"/>
        </w:rPr>
        <w:t>Gastrointestinale sygdomme</w:t>
      </w:r>
    </w:p>
    <w:p w14:paraId="14C94234" w14:textId="77777777" w:rsidR="00262686" w:rsidRPr="006734BD" w:rsidRDefault="00262686" w:rsidP="00FA7787">
      <w:pPr>
        <w:ind w:left="851"/>
        <w:rPr>
          <w:sz w:val="24"/>
          <w:szCs w:val="24"/>
          <w:lang w:eastAsia="en-GB"/>
        </w:rPr>
      </w:pPr>
      <w:r w:rsidRPr="006734BD">
        <w:rPr>
          <w:sz w:val="24"/>
          <w:szCs w:val="24"/>
          <w:lang w:eastAsia="en-GB"/>
        </w:rPr>
        <w:t>Steroider bør anvendes med forsigtighed ved uspecifik ulcerøs kolitis, hvis der er mistanke om perforation, absces eller anden pyogen infektion, divertikulitis, intestinale anastomoser, aktivt eller latent ulcus pepticum. Hos patienter i behandling med store doser kortikosteroider kan peritoneal irritation eller gastrointestinal perforation forløbe helt eller delvis symptomfrit.</w:t>
      </w:r>
    </w:p>
    <w:p w14:paraId="07FD8196" w14:textId="77777777" w:rsidR="00262686" w:rsidRPr="006734BD" w:rsidRDefault="00262686" w:rsidP="00FA7787">
      <w:pPr>
        <w:ind w:left="851"/>
        <w:rPr>
          <w:sz w:val="24"/>
          <w:szCs w:val="24"/>
          <w:lang w:eastAsia="en-GB"/>
        </w:rPr>
      </w:pPr>
    </w:p>
    <w:p w14:paraId="23610FEA" w14:textId="77777777" w:rsidR="00262686" w:rsidRPr="006734BD" w:rsidRDefault="00262686" w:rsidP="00FA7787">
      <w:pPr>
        <w:ind w:left="851"/>
        <w:rPr>
          <w:sz w:val="24"/>
          <w:szCs w:val="24"/>
          <w:lang w:eastAsia="en-GB"/>
        </w:rPr>
      </w:pPr>
      <w:r w:rsidRPr="006734BD">
        <w:rPr>
          <w:sz w:val="24"/>
          <w:szCs w:val="24"/>
          <w:u w:val="single"/>
          <w:lang w:eastAsia="en-GB"/>
        </w:rPr>
        <w:t>Øjensygdomme</w:t>
      </w:r>
    </w:p>
    <w:p w14:paraId="5DAC553B" w14:textId="77777777" w:rsidR="00262686" w:rsidRPr="006734BD" w:rsidRDefault="00262686" w:rsidP="00FA7787">
      <w:pPr>
        <w:ind w:left="851"/>
        <w:rPr>
          <w:sz w:val="24"/>
          <w:szCs w:val="24"/>
          <w:lang w:eastAsia="en-GB"/>
        </w:rPr>
      </w:pPr>
      <w:r w:rsidRPr="006734BD">
        <w:rPr>
          <w:sz w:val="24"/>
          <w:szCs w:val="24"/>
          <w:lang w:eastAsia="en-GB"/>
        </w:rPr>
        <w:t>Langvarig anvendelse af kortikosteroider kan medføre posterior subkapsulær katarakt, glaukom med eventuel beskadigelse af nervus opticus, og øget risiko for sekundære svampe- eller virusinfektioner i øjnene.</w:t>
      </w:r>
    </w:p>
    <w:p w14:paraId="374E8E61" w14:textId="77777777" w:rsidR="00262686" w:rsidRPr="006734BD" w:rsidRDefault="00262686" w:rsidP="00FA7787">
      <w:pPr>
        <w:ind w:left="851"/>
        <w:rPr>
          <w:sz w:val="24"/>
          <w:szCs w:val="24"/>
          <w:lang w:eastAsia="en-GB"/>
        </w:rPr>
      </w:pPr>
      <w:r w:rsidRPr="006734BD">
        <w:rPr>
          <w:sz w:val="24"/>
          <w:szCs w:val="24"/>
          <w:lang w:eastAsia="en-GB"/>
        </w:rPr>
        <w:t>Kortikosteroider bør anvendes med forsigtighed ved okulær herpes simplex på grund af muligheden for korneaperforation.</w:t>
      </w:r>
    </w:p>
    <w:p w14:paraId="5BB8DFD3" w14:textId="77777777" w:rsidR="00262686" w:rsidRPr="006734BD" w:rsidRDefault="00262686" w:rsidP="00FA7787">
      <w:pPr>
        <w:ind w:left="851"/>
        <w:rPr>
          <w:sz w:val="24"/>
          <w:szCs w:val="24"/>
          <w:lang w:eastAsia="en-GB"/>
        </w:rPr>
      </w:pPr>
    </w:p>
    <w:p w14:paraId="5E6F9185" w14:textId="77777777" w:rsidR="00262686" w:rsidRPr="006734BD" w:rsidRDefault="00262686" w:rsidP="00FA7787">
      <w:pPr>
        <w:ind w:left="851"/>
        <w:rPr>
          <w:sz w:val="24"/>
          <w:szCs w:val="24"/>
          <w:lang w:eastAsia="en-GB"/>
        </w:rPr>
      </w:pPr>
      <w:r w:rsidRPr="006734BD">
        <w:rPr>
          <w:sz w:val="24"/>
          <w:szCs w:val="24"/>
          <w:u w:val="single"/>
          <w:lang w:eastAsia="en-GB"/>
        </w:rPr>
        <w:t>Osteoporose</w:t>
      </w:r>
    </w:p>
    <w:p w14:paraId="792E7C6C" w14:textId="77777777" w:rsidR="00262686" w:rsidRPr="006734BD" w:rsidRDefault="00262686" w:rsidP="00FA7787">
      <w:pPr>
        <w:ind w:left="851"/>
        <w:rPr>
          <w:sz w:val="24"/>
          <w:szCs w:val="24"/>
          <w:lang w:eastAsia="en-GB"/>
        </w:rPr>
      </w:pPr>
      <w:r w:rsidRPr="006734BD">
        <w:rPr>
          <w:sz w:val="24"/>
          <w:szCs w:val="24"/>
          <w:lang w:eastAsia="en-GB"/>
        </w:rPr>
        <w:t>Kortikosteroider bør anvendes med forsigtighed ved osteoporose, da kortikosteroider har negativ virkning på calciumbalancen.</w:t>
      </w:r>
    </w:p>
    <w:p w14:paraId="076824AA" w14:textId="77777777" w:rsidR="00262686" w:rsidRPr="006734BD" w:rsidRDefault="00262686" w:rsidP="00FA7787">
      <w:pPr>
        <w:ind w:left="851"/>
        <w:rPr>
          <w:sz w:val="24"/>
          <w:szCs w:val="24"/>
          <w:lang w:eastAsia="en-GB"/>
        </w:rPr>
      </w:pPr>
    </w:p>
    <w:p w14:paraId="415330C0" w14:textId="77777777" w:rsidR="00262686" w:rsidRPr="006734BD" w:rsidRDefault="00262686" w:rsidP="00FA7787">
      <w:pPr>
        <w:ind w:left="851"/>
        <w:rPr>
          <w:sz w:val="24"/>
          <w:szCs w:val="24"/>
          <w:lang w:eastAsia="en-GB"/>
        </w:rPr>
      </w:pPr>
      <w:r w:rsidRPr="006734BD">
        <w:rPr>
          <w:sz w:val="24"/>
          <w:szCs w:val="24"/>
          <w:u w:val="single"/>
          <w:lang w:eastAsia="en-GB"/>
        </w:rPr>
        <w:t>Kaliumbalance og kalium-depleterende diuretika</w:t>
      </w:r>
    </w:p>
    <w:p w14:paraId="2F8208EC" w14:textId="59247D2D" w:rsidR="00262686" w:rsidRPr="006734BD" w:rsidRDefault="00262686" w:rsidP="00FA7787">
      <w:pPr>
        <w:ind w:left="851"/>
        <w:rPr>
          <w:sz w:val="24"/>
          <w:szCs w:val="24"/>
          <w:lang w:eastAsia="en-GB"/>
        </w:rPr>
      </w:pPr>
      <w:r w:rsidRPr="006734BD">
        <w:rPr>
          <w:sz w:val="24"/>
          <w:szCs w:val="24"/>
          <w:lang w:eastAsia="en-GB"/>
        </w:rPr>
        <w:t>Hydrocortison eller cortison i sædvanlige eller store doser kan forårsage blodtryks</w:t>
      </w:r>
      <w:r w:rsidR="00FA7787" w:rsidRPr="006734BD">
        <w:rPr>
          <w:sz w:val="24"/>
          <w:szCs w:val="24"/>
          <w:lang w:eastAsia="en-GB"/>
        </w:rPr>
        <w:softHyphen/>
      </w:r>
      <w:r w:rsidRPr="006734BD">
        <w:rPr>
          <w:sz w:val="24"/>
          <w:szCs w:val="24"/>
          <w:lang w:eastAsia="en-GB"/>
        </w:rPr>
        <w:t>forhøjelse, salt- og væskeretention og øget kaliumudskillelse. Syntetiske derivater har mindre tilbøjelighed hertil, medmindre de anvendes i store doser. Saltfattig kost og kaliumtilskud kan være nødvendigt. Alle kortikosteroider øger calciumudskillelsen.</w:t>
      </w:r>
    </w:p>
    <w:p w14:paraId="2A9D110A" w14:textId="77777777" w:rsidR="00262686" w:rsidRPr="006734BD" w:rsidRDefault="00262686" w:rsidP="00FA7787">
      <w:pPr>
        <w:ind w:left="851"/>
        <w:rPr>
          <w:sz w:val="24"/>
          <w:szCs w:val="24"/>
          <w:lang w:eastAsia="en-GB"/>
        </w:rPr>
      </w:pPr>
      <w:r w:rsidRPr="006734BD">
        <w:rPr>
          <w:sz w:val="24"/>
          <w:szCs w:val="24"/>
          <w:lang w:eastAsia="en-GB"/>
        </w:rPr>
        <w:t>Når kortikosteroider administreres sammen med kalium-depleterende diuretika, bør patienten observeres nøje for udvikling af hypokaliæmi.</w:t>
      </w:r>
    </w:p>
    <w:p w14:paraId="66A37529" w14:textId="77777777" w:rsidR="00262686" w:rsidRPr="006734BD" w:rsidRDefault="00262686" w:rsidP="00FA7787">
      <w:pPr>
        <w:ind w:left="851"/>
        <w:rPr>
          <w:sz w:val="24"/>
          <w:szCs w:val="24"/>
          <w:lang w:eastAsia="en-GB"/>
        </w:rPr>
      </w:pPr>
    </w:p>
    <w:p w14:paraId="27D29F81" w14:textId="77777777" w:rsidR="00262686" w:rsidRPr="006734BD" w:rsidRDefault="00262686" w:rsidP="00FA7787">
      <w:pPr>
        <w:ind w:left="851"/>
        <w:rPr>
          <w:sz w:val="24"/>
          <w:szCs w:val="24"/>
          <w:u w:val="single"/>
          <w:lang w:eastAsia="en-GB"/>
        </w:rPr>
      </w:pPr>
      <w:r w:rsidRPr="006734BD">
        <w:rPr>
          <w:sz w:val="24"/>
          <w:szCs w:val="24"/>
          <w:u w:val="single"/>
          <w:lang w:eastAsia="en-GB"/>
        </w:rPr>
        <w:t>Myokardieruptur efter nyligt myokardieinfarkt</w:t>
      </w:r>
    </w:p>
    <w:p w14:paraId="563DEA22" w14:textId="77777777" w:rsidR="00262686" w:rsidRPr="006734BD" w:rsidRDefault="00262686" w:rsidP="00FA7787">
      <w:pPr>
        <w:ind w:left="851"/>
        <w:rPr>
          <w:sz w:val="24"/>
          <w:szCs w:val="24"/>
          <w:lang w:eastAsia="en-GB"/>
        </w:rPr>
      </w:pPr>
      <w:r w:rsidRPr="006734BD">
        <w:rPr>
          <w:sz w:val="24"/>
          <w:szCs w:val="24"/>
          <w:lang w:eastAsia="en-GB"/>
        </w:rPr>
        <w:t>Efter et nyligt myokardieinfarkt er der ifølge litteraturen klar sammenhæng mellem anvendelse af kortikosteroider og ruptur af den frie væg af venstre ventrikel. Hos sådanne patienter bør der udvises stor forsigtighed ved kortikosteroidbehandling.</w:t>
      </w:r>
    </w:p>
    <w:p w14:paraId="204C0520" w14:textId="77777777" w:rsidR="00262686" w:rsidRPr="006734BD" w:rsidRDefault="00262686" w:rsidP="00FA7787">
      <w:pPr>
        <w:ind w:left="851"/>
        <w:rPr>
          <w:sz w:val="24"/>
          <w:szCs w:val="24"/>
          <w:u w:val="single"/>
          <w:lang w:eastAsia="en-GB"/>
        </w:rPr>
      </w:pPr>
    </w:p>
    <w:p w14:paraId="1F6D703F" w14:textId="77777777" w:rsidR="00262686" w:rsidRPr="006734BD" w:rsidRDefault="00262686" w:rsidP="00FA7787">
      <w:pPr>
        <w:ind w:left="851"/>
        <w:rPr>
          <w:sz w:val="24"/>
          <w:szCs w:val="24"/>
          <w:u w:val="single"/>
          <w:lang w:eastAsia="en-GB"/>
        </w:rPr>
      </w:pPr>
      <w:r w:rsidRPr="006734BD">
        <w:rPr>
          <w:sz w:val="24"/>
          <w:szCs w:val="24"/>
          <w:u w:val="single"/>
          <w:lang w:eastAsia="en-GB"/>
        </w:rPr>
        <w:t>Salicylater</w:t>
      </w:r>
    </w:p>
    <w:p w14:paraId="4477EFA3" w14:textId="77777777" w:rsidR="00262686" w:rsidRPr="006734BD" w:rsidRDefault="00262686" w:rsidP="00FA7787">
      <w:pPr>
        <w:ind w:left="851"/>
        <w:rPr>
          <w:sz w:val="24"/>
          <w:szCs w:val="24"/>
          <w:lang w:eastAsia="en-GB"/>
        </w:rPr>
      </w:pPr>
      <w:r w:rsidRPr="006734BD">
        <w:rPr>
          <w:sz w:val="24"/>
          <w:szCs w:val="24"/>
          <w:lang w:eastAsia="en-GB"/>
        </w:rPr>
        <w:t>Forsigtighed bør udvises ved samtidig anvendelse af salicylater, navnlig hos patienter med hypoprotrombinæmi.</w:t>
      </w:r>
    </w:p>
    <w:p w14:paraId="48311662" w14:textId="77777777" w:rsidR="00262686" w:rsidRPr="006734BD" w:rsidRDefault="00262686" w:rsidP="00FA7787">
      <w:pPr>
        <w:ind w:left="851"/>
        <w:rPr>
          <w:sz w:val="24"/>
          <w:szCs w:val="24"/>
          <w:lang w:eastAsia="en-GB"/>
        </w:rPr>
      </w:pPr>
      <w:r w:rsidRPr="006734BD">
        <w:rPr>
          <w:sz w:val="24"/>
          <w:szCs w:val="24"/>
          <w:lang w:eastAsia="en-GB"/>
        </w:rPr>
        <w:lastRenderedPageBreak/>
        <w:t>Hvis der gives salicylater sideløbende med langtidsbehandling med kortikosteroider, skal reduktion af kortikosteroider ske meget forsigtigt på grund af risikoen for salicylatforgiftning.</w:t>
      </w:r>
    </w:p>
    <w:p w14:paraId="1E348319" w14:textId="77777777" w:rsidR="00262686" w:rsidRPr="006734BD" w:rsidRDefault="00262686" w:rsidP="00FA7787">
      <w:pPr>
        <w:ind w:left="851"/>
        <w:rPr>
          <w:sz w:val="24"/>
          <w:szCs w:val="24"/>
          <w:lang w:eastAsia="en-GB"/>
        </w:rPr>
      </w:pPr>
    </w:p>
    <w:p w14:paraId="5F961339" w14:textId="77777777" w:rsidR="00262686" w:rsidRPr="006734BD" w:rsidRDefault="00262686" w:rsidP="00FA7787">
      <w:pPr>
        <w:ind w:left="851"/>
        <w:rPr>
          <w:sz w:val="24"/>
          <w:szCs w:val="24"/>
          <w:lang w:eastAsia="en-GB"/>
        </w:rPr>
      </w:pPr>
      <w:r w:rsidRPr="006734BD">
        <w:rPr>
          <w:sz w:val="24"/>
          <w:szCs w:val="24"/>
          <w:lang w:eastAsia="en-GB"/>
        </w:rPr>
        <w:t>Patienterne bør advares om, at systemiske steroider kan give potentielt svære psykiatriske bivirkninger (se pkt. 4.8).</w:t>
      </w:r>
    </w:p>
    <w:p w14:paraId="1B6C53F1" w14:textId="77777777" w:rsidR="00262686" w:rsidRPr="006734BD" w:rsidRDefault="00262686" w:rsidP="00FA7787">
      <w:pPr>
        <w:ind w:left="851"/>
        <w:rPr>
          <w:sz w:val="24"/>
          <w:szCs w:val="24"/>
          <w:lang w:eastAsia="en-GB"/>
        </w:rPr>
      </w:pPr>
    </w:p>
    <w:p w14:paraId="25DCFD0C" w14:textId="77777777" w:rsidR="00262686" w:rsidRPr="006734BD" w:rsidRDefault="00262686" w:rsidP="00FA7787">
      <w:pPr>
        <w:ind w:left="851"/>
        <w:rPr>
          <w:sz w:val="24"/>
          <w:szCs w:val="24"/>
          <w:lang w:eastAsia="en-GB"/>
        </w:rPr>
      </w:pPr>
      <w:r w:rsidRPr="006734BD">
        <w:rPr>
          <w:sz w:val="24"/>
          <w:szCs w:val="24"/>
          <w:lang w:eastAsia="en-GB"/>
        </w:rPr>
        <w:t>Forsigtighed bør udvises hos patienter med hjerteinsufficiens, nyreinsufficiens, hypertension og migræne, da kortikosteroider kan medføre væskeretention.</w:t>
      </w:r>
    </w:p>
    <w:p w14:paraId="29E48D8D" w14:textId="77777777" w:rsidR="00262686" w:rsidRPr="006734BD" w:rsidRDefault="00262686" w:rsidP="00FA7787">
      <w:pPr>
        <w:ind w:left="851"/>
        <w:rPr>
          <w:sz w:val="24"/>
          <w:szCs w:val="24"/>
          <w:lang w:eastAsia="en-GB"/>
        </w:rPr>
      </w:pPr>
    </w:p>
    <w:p w14:paraId="40172C0B" w14:textId="77777777" w:rsidR="00262686" w:rsidRPr="006734BD" w:rsidRDefault="00262686" w:rsidP="00FA7787">
      <w:pPr>
        <w:ind w:left="851"/>
        <w:rPr>
          <w:sz w:val="24"/>
          <w:szCs w:val="24"/>
          <w:lang w:eastAsia="en-GB"/>
        </w:rPr>
      </w:pPr>
      <w:r w:rsidRPr="006734BD">
        <w:rPr>
          <w:sz w:val="24"/>
          <w:szCs w:val="24"/>
          <w:lang w:eastAsia="en-GB"/>
        </w:rPr>
        <w:t>Efter markedsføringen er der rapporteret om tumorlysesyndrom (TLS) hos patienter med hæmatologiske maligniteter efter brug af dexamethason alene eller i kombination med andre kemoterapeutiske midler. Patienter med høj risiko for TLS, såsom patienter med høj proliferationsrate, høj tumorbyrde og høj følsomhed over for cytotoksiske midler, bør monitoreres tæt, og der bør tages passende forholdsregler.</w:t>
      </w:r>
    </w:p>
    <w:p w14:paraId="54018952" w14:textId="77777777" w:rsidR="00262686" w:rsidRPr="006734BD" w:rsidRDefault="00262686" w:rsidP="00FA7787">
      <w:pPr>
        <w:ind w:left="851"/>
        <w:rPr>
          <w:sz w:val="24"/>
          <w:szCs w:val="24"/>
          <w:u w:val="single"/>
          <w:lang w:eastAsia="en-GB"/>
        </w:rPr>
      </w:pPr>
    </w:p>
    <w:p w14:paraId="59FDFB22" w14:textId="77777777" w:rsidR="00262686" w:rsidRPr="006734BD" w:rsidRDefault="00262686" w:rsidP="00FA7787">
      <w:pPr>
        <w:ind w:left="851"/>
        <w:rPr>
          <w:sz w:val="24"/>
          <w:szCs w:val="24"/>
          <w:u w:val="single"/>
          <w:lang w:eastAsia="en-GB"/>
        </w:rPr>
      </w:pPr>
      <w:r w:rsidRPr="006734BD">
        <w:rPr>
          <w:sz w:val="24"/>
          <w:szCs w:val="24"/>
          <w:u w:val="single"/>
          <w:lang w:eastAsia="en-GB"/>
        </w:rPr>
        <w:t>Pædiatrisk population</w:t>
      </w:r>
    </w:p>
    <w:p w14:paraId="7F983A37" w14:textId="77777777" w:rsidR="00262686" w:rsidRPr="006734BD" w:rsidRDefault="00262686" w:rsidP="00FA7787">
      <w:pPr>
        <w:ind w:left="851"/>
        <w:rPr>
          <w:sz w:val="24"/>
          <w:szCs w:val="24"/>
          <w:lang w:eastAsia="en-GB"/>
        </w:rPr>
      </w:pPr>
      <w:r w:rsidRPr="006734BD">
        <w:rPr>
          <w:sz w:val="24"/>
          <w:szCs w:val="24"/>
          <w:lang w:eastAsia="en-GB"/>
        </w:rPr>
        <w:t>Hos børn skal vækst og udvikling overvåges nøje, da kortikosteroider kan medføre tidlig lukning af epifyserne.</w:t>
      </w:r>
    </w:p>
    <w:p w14:paraId="0DFE3B48" w14:textId="77777777" w:rsidR="00262686" w:rsidRPr="006734BD" w:rsidRDefault="00262686" w:rsidP="00FA7787">
      <w:pPr>
        <w:ind w:left="851"/>
        <w:rPr>
          <w:sz w:val="24"/>
          <w:szCs w:val="24"/>
          <w:lang w:eastAsia="en-GB"/>
        </w:rPr>
      </w:pPr>
    </w:p>
    <w:p w14:paraId="6D34F0D3" w14:textId="67E30C0D" w:rsidR="00262686" w:rsidRPr="006734BD" w:rsidRDefault="00262686" w:rsidP="00FA7787">
      <w:pPr>
        <w:ind w:left="851"/>
        <w:rPr>
          <w:sz w:val="24"/>
          <w:szCs w:val="24"/>
          <w:lang w:eastAsia="en-GB"/>
        </w:rPr>
      </w:pPr>
      <w:r w:rsidRPr="006734BD">
        <w:rPr>
          <w:sz w:val="24"/>
          <w:szCs w:val="24"/>
          <w:lang w:eastAsia="en-GB"/>
        </w:rPr>
        <w:t>Præmature nyfødte: Den foreliggende evidens tyder på langsigtede neuroudviklings</w:t>
      </w:r>
      <w:r w:rsidR="00FA7787" w:rsidRPr="006734BD">
        <w:rPr>
          <w:sz w:val="24"/>
          <w:szCs w:val="24"/>
          <w:lang w:eastAsia="en-GB"/>
        </w:rPr>
        <w:softHyphen/>
      </w:r>
      <w:r w:rsidRPr="006734BD">
        <w:rPr>
          <w:sz w:val="24"/>
          <w:szCs w:val="24"/>
          <w:lang w:eastAsia="en-GB"/>
        </w:rPr>
        <w:t>mæssige bivirkninger efter tidlig behandling (&lt;96 timer) af præmature spædbørn med kronisk lungesygdom ved initialdoser på 0,25 mg/kg to gange dagligt.</w:t>
      </w:r>
    </w:p>
    <w:p w14:paraId="2307CD49" w14:textId="77777777" w:rsidR="00262686" w:rsidRPr="006734BD" w:rsidRDefault="00262686" w:rsidP="00FA7787">
      <w:pPr>
        <w:ind w:left="851"/>
        <w:rPr>
          <w:sz w:val="24"/>
          <w:szCs w:val="24"/>
          <w:lang w:eastAsia="en-GB"/>
        </w:rPr>
      </w:pPr>
    </w:p>
    <w:p w14:paraId="7D5B1C18" w14:textId="77777777" w:rsidR="00262686" w:rsidRPr="006734BD" w:rsidRDefault="00262686" w:rsidP="00FA7787">
      <w:pPr>
        <w:ind w:left="851"/>
        <w:rPr>
          <w:sz w:val="24"/>
          <w:szCs w:val="24"/>
          <w:u w:val="single"/>
          <w:lang w:eastAsia="en-GB"/>
        </w:rPr>
      </w:pPr>
      <w:r w:rsidRPr="006734BD">
        <w:rPr>
          <w:sz w:val="24"/>
          <w:szCs w:val="24"/>
          <w:u w:val="single"/>
          <w:lang w:eastAsia="en-GB"/>
        </w:rPr>
        <w:t>Hjælpestoffer</w:t>
      </w:r>
    </w:p>
    <w:p w14:paraId="2B51B5DD" w14:textId="77777777" w:rsidR="00262686" w:rsidRPr="006734BD" w:rsidRDefault="00262686" w:rsidP="00FA7787">
      <w:pPr>
        <w:ind w:left="851"/>
        <w:rPr>
          <w:sz w:val="24"/>
          <w:szCs w:val="24"/>
          <w:lang w:eastAsia="en-GB"/>
        </w:rPr>
      </w:pPr>
      <w:r w:rsidRPr="006734BD">
        <w:rPr>
          <w:sz w:val="24"/>
          <w:szCs w:val="24"/>
          <w:lang w:eastAsia="en-GB"/>
        </w:rPr>
        <w:t>Bør ikke anvendes til patienter med hereditær galactoseintolerans, total lactasemangel eller glucose/galactosemalabsorption.</w:t>
      </w:r>
    </w:p>
    <w:p w14:paraId="12D4D914" w14:textId="77777777" w:rsidR="009260DE" w:rsidRPr="006734BD" w:rsidRDefault="009260DE" w:rsidP="009260DE">
      <w:pPr>
        <w:tabs>
          <w:tab w:val="left" w:pos="851"/>
        </w:tabs>
        <w:ind w:left="851"/>
        <w:rPr>
          <w:sz w:val="24"/>
          <w:szCs w:val="24"/>
        </w:rPr>
      </w:pPr>
    </w:p>
    <w:p w14:paraId="0A987FBA" w14:textId="77777777" w:rsidR="009260DE" w:rsidRPr="006734BD" w:rsidRDefault="009260DE" w:rsidP="009260DE">
      <w:pPr>
        <w:tabs>
          <w:tab w:val="left" w:pos="851"/>
        </w:tabs>
        <w:ind w:left="851" w:hanging="851"/>
        <w:rPr>
          <w:b/>
          <w:sz w:val="24"/>
          <w:szCs w:val="24"/>
        </w:rPr>
      </w:pPr>
      <w:r w:rsidRPr="006734BD">
        <w:rPr>
          <w:b/>
          <w:sz w:val="24"/>
          <w:szCs w:val="24"/>
        </w:rPr>
        <w:t>4.5</w:t>
      </w:r>
      <w:r w:rsidRPr="006734BD">
        <w:rPr>
          <w:b/>
          <w:sz w:val="24"/>
          <w:szCs w:val="24"/>
        </w:rPr>
        <w:tab/>
        <w:t>Interaktion med andre lægemidler og andre former for interaktion</w:t>
      </w:r>
    </w:p>
    <w:p w14:paraId="2A0935DB" w14:textId="77777777" w:rsidR="00262686" w:rsidRPr="006734BD" w:rsidRDefault="00262686" w:rsidP="00FA7787">
      <w:pPr>
        <w:ind w:left="851"/>
        <w:rPr>
          <w:noProof/>
          <w:sz w:val="24"/>
          <w:szCs w:val="24"/>
        </w:rPr>
      </w:pPr>
      <w:r w:rsidRPr="006734BD">
        <w:rPr>
          <w:noProof/>
          <w:sz w:val="24"/>
          <w:szCs w:val="24"/>
        </w:rPr>
        <w:t xml:space="preserve">Følgende lægemiddelinteraktioner med </w:t>
      </w:r>
      <w:r w:rsidRPr="006734BD">
        <w:rPr>
          <w:spacing w:val="-1"/>
          <w:sz w:val="24"/>
          <w:szCs w:val="24"/>
        </w:rPr>
        <w:t>Waladex</w:t>
      </w:r>
      <w:r w:rsidRPr="006734BD">
        <w:rPr>
          <w:noProof/>
          <w:sz w:val="24"/>
          <w:szCs w:val="24"/>
        </w:rPr>
        <w:t xml:space="preserve"> kan gøre dosisjustering nødvendig:</w:t>
      </w:r>
    </w:p>
    <w:p w14:paraId="3E63D625" w14:textId="77777777" w:rsidR="00262686" w:rsidRPr="006734BD" w:rsidRDefault="00262686" w:rsidP="00FA7787">
      <w:pPr>
        <w:ind w:left="851"/>
        <w:rPr>
          <w:i/>
          <w:noProof/>
          <w:sz w:val="24"/>
          <w:szCs w:val="24"/>
        </w:rPr>
      </w:pPr>
    </w:p>
    <w:p w14:paraId="171B1D24" w14:textId="77777777" w:rsidR="00262686" w:rsidRPr="006734BD" w:rsidRDefault="00262686" w:rsidP="00FA7787">
      <w:pPr>
        <w:ind w:left="851"/>
        <w:rPr>
          <w:noProof/>
          <w:sz w:val="24"/>
          <w:szCs w:val="24"/>
          <w:u w:val="single"/>
        </w:rPr>
      </w:pPr>
      <w:r w:rsidRPr="006734BD">
        <w:rPr>
          <w:noProof/>
          <w:sz w:val="24"/>
          <w:szCs w:val="24"/>
          <w:u w:val="single"/>
        </w:rPr>
        <w:t>Fenobarbital, fenytoin, carbamazepin</w:t>
      </w:r>
    </w:p>
    <w:p w14:paraId="06399D70" w14:textId="77777777" w:rsidR="00262686" w:rsidRPr="006734BD" w:rsidRDefault="00262686" w:rsidP="00FA7787">
      <w:pPr>
        <w:ind w:left="851"/>
        <w:rPr>
          <w:noProof/>
          <w:sz w:val="24"/>
          <w:szCs w:val="24"/>
        </w:rPr>
      </w:pPr>
      <w:r w:rsidRPr="006734BD">
        <w:rPr>
          <w:noProof/>
          <w:sz w:val="24"/>
          <w:szCs w:val="24"/>
        </w:rPr>
        <w:t>Phenobarbital (som også er en metabolit af primidon), fenytoin og carbamazepin hver for sig og i kombination inducerer metabolisering af hydrocortison, prednisolon og methylprednisolon (er påvist hos børn med astma), hvorfor doseringen må øges. Denne interaktion må forventes at gælde hele gruppen af glukokortikoider. Fenytoin inducerer metabolisering af dexamethason og gør derfor testen med dexamethason upålidelig. Samtidig inducerer dexamethason metaboliseringen af fenytoin med nedsat plasmakoncentration til følge.</w:t>
      </w:r>
    </w:p>
    <w:p w14:paraId="6B597D5E" w14:textId="77777777" w:rsidR="00262686" w:rsidRPr="006734BD" w:rsidRDefault="00262686" w:rsidP="00FA7787">
      <w:pPr>
        <w:ind w:left="851"/>
        <w:rPr>
          <w:noProof/>
          <w:sz w:val="24"/>
          <w:szCs w:val="24"/>
        </w:rPr>
      </w:pPr>
    </w:p>
    <w:p w14:paraId="632B7B61" w14:textId="77777777" w:rsidR="00262686" w:rsidRPr="006734BD" w:rsidRDefault="00262686" w:rsidP="00FA7787">
      <w:pPr>
        <w:ind w:left="851"/>
        <w:rPr>
          <w:noProof/>
          <w:sz w:val="24"/>
          <w:szCs w:val="24"/>
          <w:u w:val="single"/>
        </w:rPr>
      </w:pPr>
      <w:r w:rsidRPr="006734BD">
        <w:rPr>
          <w:noProof/>
          <w:sz w:val="24"/>
          <w:szCs w:val="24"/>
          <w:u w:val="single"/>
        </w:rPr>
        <w:t>Itraconazol</w:t>
      </w:r>
    </w:p>
    <w:p w14:paraId="16291860" w14:textId="77777777" w:rsidR="00262686" w:rsidRPr="006734BD" w:rsidRDefault="00262686" w:rsidP="00FA7787">
      <w:pPr>
        <w:ind w:left="851"/>
        <w:rPr>
          <w:noProof/>
          <w:sz w:val="24"/>
          <w:szCs w:val="24"/>
        </w:rPr>
      </w:pPr>
      <w:r w:rsidRPr="006734BD">
        <w:rPr>
          <w:noProof/>
          <w:sz w:val="24"/>
          <w:szCs w:val="24"/>
        </w:rPr>
        <w:t>Itraconazol nedsætter clearance af intravenøst dexamethason med 68 % ved hæmning af CYP 3A4.</w:t>
      </w:r>
    </w:p>
    <w:p w14:paraId="4198D013" w14:textId="77777777" w:rsidR="00262686" w:rsidRPr="006734BD" w:rsidRDefault="00262686" w:rsidP="00FA7787">
      <w:pPr>
        <w:ind w:left="851"/>
        <w:rPr>
          <w:noProof/>
          <w:sz w:val="24"/>
          <w:szCs w:val="24"/>
        </w:rPr>
      </w:pPr>
    </w:p>
    <w:p w14:paraId="1E734165" w14:textId="77777777" w:rsidR="00262686" w:rsidRPr="006734BD" w:rsidRDefault="00262686" w:rsidP="00FA7787">
      <w:pPr>
        <w:ind w:left="851"/>
        <w:rPr>
          <w:noProof/>
          <w:sz w:val="24"/>
          <w:szCs w:val="24"/>
          <w:u w:val="single"/>
        </w:rPr>
      </w:pPr>
      <w:r w:rsidRPr="006734BD">
        <w:rPr>
          <w:noProof/>
          <w:sz w:val="24"/>
          <w:szCs w:val="24"/>
          <w:u w:val="single"/>
        </w:rPr>
        <w:t>Rifampicin</w:t>
      </w:r>
    </w:p>
    <w:p w14:paraId="46A08706" w14:textId="77777777" w:rsidR="00262686" w:rsidRPr="006734BD" w:rsidRDefault="00262686" w:rsidP="00FA7787">
      <w:pPr>
        <w:ind w:left="851"/>
        <w:rPr>
          <w:noProof/>
          <w:sz w:val="24"/>
          <w:szCs w:val="24"/>
        </w:rPr>
      </w:pPr>
      <w:r w:rsidRPr="006734BD">
        <w:rPr>
          <w:noProof/>
          <w:sz w:val="24"/>
          <w:szCs w:val="24"/>
        </w:rPr>
        <w:t>Rifampicin inducerer den mikrosomale oxidation af glukokortikoider (hydrocortison, prednisolon, methylprednisolon). Derfor øges steroidbehovet ved behandling med rifampicin og mindskes efterfølgende ved ophør af sådan behandling.</w:t>
      </w:r>
    </w:p>
    <w:p w14:paraId="1768C806" w14:textId="77777777" w:rsidR="00262686" w:rsidRPr="006734BD" w:rsidRDefault="00262686" w:rsidP="00FA7787">
      <w:pPr>
        <w:ind w:left="851"/>
        <w:rPr>
          <w:noProof/>
          <w:sz w:val="24"/>
          <w:szCs w:val="24"/>
        </w:rPr>
      </w:pPr>
    </w:p>
    <w:p w14:paraId="29CE55AA" w14:textId="77777777" w:rsidR="00262686" w:rsidRPr="006734BD" w:rsidRDefault="00262686" w:rsidP="00FA7787">
      <w:pPr>
        <w:ind w:left="851"/>
        <w:rPr>
          <w:noProof/>
          <w:sz w:val="24"/>
          <w:szCs w:val="24"/>
          <w:u w:val="single"/>
        </w:rPr>
      </w:pPr>
      <w:r w:rsidRPr="006734BD">
        <w:rPr>
          <w:noProof/>
          <w:sz w:val="24"/>
          <w:szCs w:val="24"/>
          <w:u w:val="single"/>
        </w:rPr>
        <w:t>Primidon</w:t>
      </w:r>
    </w:p>
    <w:p w14:paraId="6BB9192C" w14:textId="77777777" w:rsidR="00262686" w:rsidRPr="006734BD" w:rsidRDefault="00262686" w:rsidP="00FA7787">
      <w:pPr>
        <w:ind w:left="851"/>
        <w:rPr>
          <w:noProof/>
          <w:sz w:val="24"/>
          <w:szCs w:val="24"/>
        </w:rPr>
      </w:pPr>
      <w:r w:rsidRPr="006734BD">
        <w:rPr>
          <w:noProof/>
          <w:sz w:val="24"/>
          <w:szCs w:val="24"/>
        </w:rPr>
        <w:t xml:space="preserve">Også primidon kan ved interaktion med </w:t>
      </w:r>
      <w:r w:rsidRPr="006734BD">
        <w:rPr>
          <w:spacing w:val="-1"/>
          <w:sz w:val="24"/>
          <w:szCs w:val="24"/>
        </w:rPr>
        <w:t>Waladex</w:t>
      </w:r>
      <w:r w:rsidRPr="006734BD">
        <w:rPr>
          <w:noProof/>
          <w:sz w:val="24"/>
          <w:szCs w:val="24"/>
        </w:rPr>
        <w:t xml:space="preserve"> nedsætte virkningen af dexamethason.</w:t>
      </w:r>
    </w:p>
    <w:p w14:paraId="37079297" w14:textId="77777777" w:rsidR="00262686" w:rsidRPr="006734BD" w:rsidRDefault="00262686" w:rsidP="00FA7787">
      <w:pPr>
        <w:ind w:left="851"/>
        <w:rPr>
          <w:noProof/>
          <w:sz w:val="24"/>
          <w:szCs w:val="24"/>
        </w:rPr>
      </w:pPr>
    </w:p>
    <w:p w14:paraId="388F6A05" w14:textId="77777777" w:rsidR="00262686" w:rsidRPr="006734BD" w:rsidRDefault="00262686" w:rsidP="00FA7787">
      <w:pPr>
        <w:ind w:left="851"/>
        <w:rPr>
          <w:noProof/>
          <w:sz w:val="24"/>
          <w:szCs w:val="24"/>
          <w:u w:val="single"/>
        </w:rPr>
      </w:pPr>
      <w:r w:rsidRPr="006734BD">
        <w:rPr>
          <w:noProof/>
          <w:sz w:val="24"/>
          <w:szCs w:val="24"/>
          <w:u w:val="single"/>
        </w:rPr>
        <w:t>Salicylat</w:t>
      </w:r>
    </w:p>
    <w:p w14:paraId="70E32060" w14:textId="77777777" w:rsidR="00262686" w:rsidRPr="006734BD" w:rsidRDefault="00262686" w:rsidP="00FA7787">
      <w:pPr>
        <w:ind w:left="851"/>
        <w:rPr>
          <w:noProof/>
          <w:sz w:val="24"/>
          <w:szCs w:val="24"/>
        </w:rPr>
      </w:pPr>
      <w:r w:rsidRPr="006734BD">
        <w:rPr>
          <w:noProof/>
          <w:sz w:val="24"/>
          <w:szCs w:val="24"/>
        </w:rPr>
        <w:t>Kortikosteroider øger clearance af salicylater, hvilket nedsætter plasmaclearance. Under langtidsbehandling med kortikosteroider øger sideløbende salicylatbehandling risikoen for gastrointestinal blødning.</w:t>
      </w:r>
    </w:p>
    <w:p w14:paraId="545DE58E" w14:textId="77777777" w:rsidR="00262686" w:rsidRPr="006734BD" w:rsidRDefault="00262686" w:rsidP="00FA7787">
      <w:pPr>
        <w:ind w:left="851"/>
        <w:rPr>
          <w:noProof/>
          <w:sz w:val="24"/>
          <w:szCs w:val="24"/>
        </w:rPr>
      </w:pPr>
    </w:p>
    <w:p w14:paraId="313C5AF8" w14:textId="77777777" w:rsidR="00262686" w:rsidRPr="006734BD" w:rsidRDefault="00262686" w:rsidP="00FA7787">
      <w:pPr>
        <w:ind w:left="851"/>
        <w:rPr>
          <w:noProof/>
          <w:sz w:val="24"/>
          <w:szCs w:val="24"/>
        </w:rPr>
      </w:pPr>
      <w:r w:rsidRPr="006734BD">
        <w:rPr>
          <w:noProof/>
          <w:sz w:val="24"/>
          <w:szCs w:val="24"/>
        </w:rPr>
        <w:t>Samtidig behandling med CYP3A-hæmmere, herunder cobicistatholdige produkter, forventes at øge risikoen for systemiske bivirkninger. Denne kombination bør undgås, medmindre fordelene opvejer den øgede risiko for systemiske bivirkninger af kortikosteroider, i hvilket tilfælde patienterne bør overvåges for systemiske bivirkninger af kortikosteroider.</w:t>
      </w:r>
    </w:p>
    <w:p w14:paraId="292224C1" w14:textId="77777777" w:rsidR="009260DE" w:rsidRPr="006734BD" w:rsidRDefault="009260DE" w:rsidP="009260DE">
      <w:pPr>
        <w:tabs>
          <w:tab w:val="left" w:pos="851"/>
        </w:tabs>
        <w:ind w:left="851"/>
        <w:rPr>
          <w:sz w:val="24"/>
          <w:szCs w:val="24"/>
        </w:rPr>
      </w:pPr>
    </w:p>
    <w:p w14:paraId="1DE8CC9E" w14:textId="77777777" w:rsidR="009260DE" w:rsidRPr="006734BD" w:rsidRDefault="009260DE" w:rsidP="009260DE">
      <w:pPr>
        <w:tabs>
          <w:tab w:val="left" w:pos="851"/>
        </w:tabs>
        <w:ind w:left="851" w:hanging="851"/>
        <w:rPr>
          <w:b/>
          <w:sz w:val="24"/>
          <w:szCs w:val="24"/>
        </w:rPr>
      </w:pPr>
      <w:r w:rsidRPr="006734BD">
        <w:rPr>
          <w:b/>
          <w:sz w:val="24"/>
          <w:szCs w:val="24"/>
        </w:rPr>
        <w:t>4.6</w:t>
      </w:r>
      <w:r w:rsidRPr="006734BD">
        <w:rPr>
          <w:b/>
          <w:sz w:val="24"/>
          <w:szCs w:val="24"/>
        </w:rPr>
        <w:tab/>
      </w:r>
      <w:r w:rsidR="0071241E" w:rsidRPr="006734BD">
        <w:rPr>
          <w:b/>
          <w:sz w:val="24"/>
          <w:szCs w:val="24"/>
        </w:rPr>
        <w:t>Fertilitet, g</w:t>
      </w:r>
      <w:r w:rsidRPr="006734BD">
        <w:rPr>
          <w:b/>
          <w:sz w:val="24"/>
          <w:szCs w:val="24"/>
        </w:rPr>
        <w:t>raviditet og amning</w:t>
      </w:r>
    </w:p>
    <w:p w14:paraId="47A2E5B5" w14:textId="77777777" w:rsidR="00FA7787" w:rsidRPr="006734BD" w:rsidRDefault="00FA7787" w:rsidP="00FA7787">
      <w:pPr>
        <w:ind w:left="851"/>
        <w:rPr>
          <w:noProof/>
          <w:sz w:val="24"/>
          <w:szCs w:val="24"/>
        </w:rPr>
      </w:pPr>
    </w:p>
    <w:p w14:paraId="183B4F61" w14:textId="0C522D5C" w:rsidR="00262686" w:rsidRPr="006734BD" w:rsidRDefault="00262686" w:rsidP="00FA7787">
      <w:pPr>
        <w:ind w:left="851"/>
        <w:rPr>
          <w:noProof/>
          <w:sz w:val="24"/>
          <w:szCs w:val="24"/>
          <w:u w:val="single"/>
        </w:rPr>
      </w:pPr>
      <w:r w:rsidRPr="006734BD">
        <w:rPr>
          <w:noProof/>
          <w:sz w:val="24"/>
          <w:szCs w:val="24"/>
          <w:u w:val="single"/>
        </w:rPr>
        <w:t>Graviditet</w:t>
      </w:r>
    </w:p>
    <w:p w14:paraId="36610811" w14:textId="77777777" w:rsidR="00262686" w:rsidRPr="006734BD" w:rsidRDefault="00262686" w:rsidP="00FA7787">
      <w:pPr>
        <w:ind w:left="851"/>
        <w:rPr>
          <w:noProof/>
          <w:sz w:val="24"/>
          <w:szCs w:val="24"/>
        </w:rPr>
      </w:pPr>
      <w:r w:rsidRPr="006734BD">
        <w:rPr>
          <w:noProof/>
          <w:sz w:val="24"/>
          <w:szCs w:val="24"/>
        </w:rPr>
        <w:t>Administration af kortikosteroider til drægtige dyr kan forårsage abnormiteter i fostrets udvikling, herunder ganespalte, intrauterin vækstretardation og påvirkning af hjernens vækst og udvikling. Der er ingen evidens for, at kortikosteroider resulterer i øget forekomst af kongenitte anomalier såsom gane/læbespalte hos mennesker. Se også pkt. 5.3. Efter langtidsbehandling er set nedsat placenta- og fødselsvægt hos mennesker og dyr.</w:t>
      </w:r>
    </w:p>
    <w:p w14:paraId="437F471F" w14:textId="77777777" w:rsidR="00262686" w:rsidRPr="006734BD" w:rsidRDefault="00262686" w:rsidP="00FA7787">
      <w:pPr>
        <w:ind w:left="851"/>
        <w:rPr>
          <w:noProof/>
          <w:sz w:val="24"/>
          <w:szCs w:val="24"/>
        </w:rPr>
      </w:pPr>
    </w:p>
    <w:p w14:paraId="04D84D07" w14:textId="77777777" w:rsidR="00262686" w:rsidRPr="006734BD" w:rsidRDefault="00262686" w:rsidP="00FA7787">
      <w:pPr>
        <w:ind w:left="851"/>
        <w:rPr>
          <w:noProof/>
          <w:sz w:val="24"/>
          <w:szCs w:val="24"/>
        </w:rPr>
      </w:pPr>
      <w:r w:rsidRPr="006734BD">
        <w:rPr>
          <w:noProof/>
          <w:sz w:val="24"/>
          <w:szCs w:val="24"/>
        </w:rPr>
        <w:t>Langtidsbehandling medfører desuden risiko for binyrebarksuppression hos nyfødte. Hos nyfødte kan det være nødvendigt med substitutionsterapi, der nedtrappes gradvis. Under graviditet bør kortikosteroider derfor kun gives efter nøje overvejelse.</w:t>
      </w:r>
    </w:p>
    <w:p w14:paraId="790FB412" w14:textId="77777777" w:rsidR="00262686" w:rsidRPr="006734BD" w:rsidRDefault="00262686" w:rsidP="00FA7787">
      <w:pPr>
        <w:ind w:left="851"/>
        <w:rPr>
          <w:noProof/>
          <w:sz w:val="24"/>
          <w:szCs w:val="24"/>
        </w:rPr>
      </w:pPr>
    </w:p>
    <w:p w14:paraId="6A7C0F06" w14:textId="77777777" w:rsidR="00262686" w:rsidRPr="006734BD" w:rsidRDefault="00262686" w:rsidP="00FA7787">
      <w:pPr>
        <w:ind w:left="851"/>
        <w:rPr>
          <w:noProof/>
          <w:sz w:val="24"/>
          <w:szCs w:val="24"/>
          <w:u w:val="single"/>
        </w:rPr>
      </w:pPr>
      <w:r w:rsidRPr="006734BD">
        <w:rPr>
          <w:noProof/>
          <w:sz w:val="24"/>
          <w:szCs w:val="24"/>
          <w:u w:val="single"/>
        </w:rPr>
        <w:t>Amning</w:t>
      </w:r>
    </w:p>
    <w:p w14:paraId="34593604" w14:textId="77777777" w:rsidR="00262686" w:rsidRPr="006734BD" w:rsidRDefault="00262686" w:rsidP="00FA7787">
      <w:pPr>
        <w:ind w:left="851"/>
        <w:rPr>
          <w:noProof/>
          <w:sz w:val="24"/>
          <w:szCs w:val="24"/>
        </w:rPr>
      </w:pPr>
      <w:r w:rsidRPr="006734BD">
        <w:rPr>
          <w:noProof/>
          <w:sz w:val="24"/>
          <w:szCs w:val="24"/>
        </w:rPr>
        <w:t>Dexamethason udskilles i modermælk i så stor en mængde, at påvirkning af ammede nyfødte/spædbørn må forventes.</w:t>
      </w:r>
    </w:p>
    <w:p w14:paraId="5D7A1350" w14:textId="77777777" w:rsidR="00262686" w:rsidRPr="006734BD" w:rsidRDefault="00262686" w:rsidP="00FA7787">
      <w:pPr>
        <w:ind w:left="851"/>
        <w:rPr>
          <w:noProof/>
          <w:sz w:val="24"/>
          <w:szCs w:val="24"/>
        </w:rPr>
      </w:pPr>
    </w:p>
    <w:p w14:paraId="2F43D86D" w14:textId="77777777" w:rsidR="00262686" w:rsidRPr="006734BD" w:rsidRDefault="00262686" w:rsidP="00FA7787">
      <w:pPr>
        <w:ind w:left="851"/>
        <w:rPr>
          <w:noProof/>
          <w:sz w:val="24"/>
          <w:szCs w:val="24"/>
          <w:u w:val="single"/>
        </w:rPr>
      </w:pPr>
      <w:r w:rsidRPr="006734BD">
        <w:rPr>
          <w:noProof/>
          <w:sz w:val="24"/>
          <w:szCs w:val="24"/>
          <w:u w:val="single"/>
        </w:rPr>
        <w:t>Fertilitet</w:t>
      </w:r>
    </w:p>
    <w:p w14:paraId="58D2AACF" w14:textId="77777777" w:rsidR="00262686" w:rsidRPr="006734BD" w:rsidRDefault="00262686" w:rsidP="00FA7787">
      <w:pPr>
        <w:ind w:left="851"/>
        <w:rPr>
          <w:noProof/>
          <w:sz w:val="24"/>
          <w:szCs w:val="24"/>
        </w:rPr>
      </w:pPr>
      <w:r w:rsidRPr="006734BD">
        <w:rPr>
          <w:noProof/>
          <w:sz w:val="24"/>
          <w:szCs w:val="24"/>
        </w:rPr>
        <w:t>Steroider kan hos nogle patienter øge eller nedsætte motiliteten og antallet af spermatozoerne.</w:t>
      </w:r>
    </w:p>
    <w:p w14:paraId="6EA730E9" w14:textId="77777777" w:rsidR="009260DE" w:rsidRPr="006734BD" w:rsidRDefault="009260DE" w:rsidP="009260DE">
      <w:pPr>
        <w:tabs>
          <w:tab w:val="left" w:pos="851"/>
        </w:tabs>
        <w:ind w:left="851"/>
        <w:rPr>
          <w:sz w:val="24"/>
          <w:szCs w:val="24"/>
        </w:rPr>
      </w:pPr>
    </w:p>
    <w:p w14:paraId="1F0C5947" w14:textId="77777777" w:rsidR="009260DE" w:rsidRPr="006734BD" w:rsidRDefault="009260DE" w:rsidP="009260DE">
      <w:pPr>
        <w:tabs>
          <w:tab w:val="left" w:pos="851"/>
        </w:tabs>
        <w:ind w:left="851" w:hanging="851"/>
        <w:rPr>
          <w:b/>
          <w:sz w:val="24"/>
          <w:szCs w:val="24"/>
        </w:rPr>
      </w:pPr>
      <w:r w:rsidRPr="006734BD">
        <w:rPr>
          <w:b/>
          <w:sz w:val="24"/>
          <w:szCs w:val="24"/>
        </w:rPr>
        <w:t>4.7</w:t>
      </w:r>
      <w:r w:rsidRPr="006734BD">
        <w:rPr>
          <w:b/>
          <w:sz w:val="24"/>
          <w:szCs w:val="24"/>
        </w:rPr>
        <w:tab/>
        <w:t xml:space="preserve">Virkning på evnen til at føre motorkøretøj </w:t>
      </w:r>
      <w:r w:rsidR="0071241E" w:rsidRPr="006734BD">
        <w:rPr>
          <w:b/>
          <w:sz w:val="24"/>
          <w:szCs w:val="24"/>
        </w:rPr>
        <w:t>og</w:t>
      </w:r>
      <w:r w:rsidRPr="006734BD">
        <w:rPr>
          <w:b/>
          <w:sz w:val="24"/>
          <w:szCs w:val="24"/>
        </w:rPr>
        <w:t xml:space="preserve"> betjene maskiner</w:t>
      </w:r>
    </w:p>
    <w:p w14:paraId="5083BF27" w14:textId="77777777" w:rsidR="00FA7787" w:rsidRPr="006734BD" w:rsidRDefault="00FA7787" w:rsidP="00FA7787">
      <w:pPr>
        <w:ind w:left="851"/>
        <w:rPr>
          <w:spacing w:val="-1"/>
          <w:sz w:val="24"/>
          <w:szCs w:val="24"/>
        </w:rPr>
      </w:pPr>
      <w:r w:rsidRPr="006734BD">
        <w:rPr>
          <w:spacing w:val="-1"/>
          <w:sz w:val="24"/>
          <w:szCs w:val="24"/>
        </w:rPr>
        <w:t>Ikke mærkning.</w:t>
      </w:r>
    </w:p>
    <w:p w14:paraId="1610F6C4" w14:textId="296CDDBF" w:rsidR="00262686" w:rsidRPr="006734BD" w:rsidRDefault="00262686" w:rsidP="00FA7787">
      <w:pPr>
        <w:ind w:left="851"/>
        <w:rPr>
          <w:sz w:val="24"/>
          <w:szCs w:val="24"/>
        </w:rPr>
      </w:pPr>
      <w:r w:rsidRPr="006734BD">
        <w:rPr>
          <w:spacing w:val="-1"/>
          <w:sz w:val="24"/>
          <w:szCs w:val="24"/>
        </w:rPr>
        <w:t>Waladex</w:t>
      </w:r>
      <w:r w:rsidRPr="006734BD">
        <w:rPr>
          <w:sz w:val="24"/>
          <w:szCs w:val="24"/>
        </w:rPr>
        <w:t xml:space="preserve"> påvirker ikke eller kun i ubetydelig grad evnen til at føre motorkøretøj og betjene maskiner.</w:t>
      </w:r>
    </w:p>
    <w:p w14:paraId="4EC0264A" w14:textId="77777777" w:rsidR="009260DE" w:rsidRPr="006734BD" w:rsidRDefault="009260DE" w:rsidP="009260DE">
      <w:pPr>
        <w:tabs>
          <w:tab w:val="left" w:pos="851"/>
        </w:tabs>
        <w:ind w:left="851"/>
        <w:rPr>
          <w:sz w:val="24"/>
          <w:szCs w:val="24"/>
        </w:rPr>
      </w:pPr>
    </w:p>
    <w:p w14:paraId="3C89C95D" w14:textId="77777777" w:rsidR="009260DE" w:rsidRPr="006734BD" w:rsidRDefault="009260DE" w:rsidP="009260DE">
      <w:pPr>
        <w:tabs>
          <w:tab w:val="left" w:pos="851"/>
        </w:tabs>
        <w:ind w:left="851" w:hanging="851"/>
        <w:rPr>
          <w:b/>
          <w:sz w:val="24"/>
          <w:szCs w:val="24"/>
        </w:rPr>
      </w:pPr>
      <w:r w:rsidRPr="006734BD">
        <w:rPr>
          <w:b/>
          <w:sz w:val="24"/>
          <w:szCs w:val="24"/>
        </w:rPr>
        <w:t>4.8</w:t>
      </w:r>
      <w:r w:rsidRPr="006734BD">
        <w:rPr>
          <w:b/>
          <w:sz w:val="24"/>
          <w:szCs w:val="24"/>
        </w:rPr>
        <w:tab/>
        <w:t>Bivirkninger</w:t>
      </w:r>
    </w:p>
    <w:p w14:paraId="1290CEFE" w14:textId="77777777" w:rsidR="00262686" w:rsidRPr="006734BD" w:rsidRDefault="00262686" w:rsidP="00FA7787">
      <w:pPr>
        <w:ind w:left="851"/>
        <w:rPr>
          <w:sz w:val="24"/>
          <w:szCs w:val="24"/>
        </w:rPr>
      </w:pPr>
      <w:r w:rsidRPr="006734BD">
        <w:rPr>
          <w:sz w:val="24"/>
          <w:szCs w:val="24"/>
        </w:rPr>
        <w:t>Der foreligger ikke moderne klinisk dokumentation som grundlag for vurdering af bivirkningernes hyppighed. Bortset fra substitutionsterapi er kortikosteroidbehandling altid ensbetydende med en overdosis i forhold til fysiologiske betingelser. Uønskede virkninger af farmakologiske doser af kortikosteroider er en naturlig konsekvens af den udtalte kortikosteroide virkning. Uønskede virkninger afhænger af dosis, dosisinterval, behandlingsvarighed og individuel følsomhed.</w:t>
      </w:r>
    </w:p>
    <w:p w14:paraId="5861AC7B" w14:textId="77777777" w:rsidR="00262686" w:rsidRPr="006734BD" w:rsidRDefault="00262686" w:rsidP="00FA7787">
      <w:pPr>
        <w:ind w:left="851"/>
        <w:rPr>
          <w:sz w:val="24"/>
          <w:szCs w:val="24"/>
        </w:rPr>
      </w:pPr>
    </w:p>
    <w:p w14:paraId="3622CC17" w14:textId="77777777" w:rsidR="00262686" w:rsidRPr="006734BD" w:rsidRDefault="00262686" w:rsidP="00FA7787">
      <w:pPr>
        <w:ind w:left="851"/>
        <w:rPr>
          <w:sz w:val="24"/>
          <w:szCs w:val="24"/>
        </w:rPr>
      </w:pPr>
      <w:r w:rsidRPr="006734BD">
        <w:rPr>
          <w:sz w:val="24"/>
          <w:szCs w:val="24"/>
        </w:rPr>
        <w:t>Uønskede virkninger er nedenfor angivet efter aftagende alvorlighed inden for hvert af følgende hyppighedsintervaller: Meget almindelig (≥1/10); almindelig (≥1/100 til &lt;1/10); ikke almindelig (≥1/1.000 til &lt;1/100); sjælden (≥1/10.000 til &lt;1/1.000); meget sjælden (&lt;1/10.000); ikke kendt</w:t>
      </w:r>
      <w:r w:rsidRPr="006734BD">
        <w:rPr>
          <w:i/>
          <w:sz w:val="24"/>
          <w:szCs w:val="24"/>
        </w:rPr>
        <w:t xml:space="preserve"> </w:t>
      </w:r>
      <w:r w:rsidRPr="006734BD">
        <w:rPr>
          <w:sz w:val="24"/>
          <w:szCs w:val="24"/>
        </w:rPr>
        <w:t>(kan ikke estimeres ud fra forhåndenværende data).</w:t>
      </w:r>
    </w:p>
    <w:p w14:paraId="6FFC6D49" w14:textId="77777777" w:rsidR="00262686" w:rsidRPr="006734BD" w:rsidRDefault="00262686" w:rsidP="00FA7787">
      <w:pPr>
        <w:ind w:left="851"/>
        <w:rPr>
          <w:sz w:val="24"/>
          <w:szCs w:val="24"/>
        </w:rPr>
      </w:pPr>
    </w:p>
    <w:tbl>
      <w:tblPr>
        <w:tblStyle w:val="TableNormal1"/>
        <w:tblW w:w="5000" w:type="pct"/>
        <w:tblInd w:w="0" w:type="dxa"/>
        <w:tblLook w:val="01E0" w:firstRow="1" w:lastRow="1" w:firstColumn="1" w:lastColumn="1" w:noHBand="0" w:noVBand="0"/>
      </w:tblPr>
      <w:tblGrid>
        <w:gridCol w:w="5130"/>
        <w:gridCol w:w="4498"/>
      </w:tblGrid>
      <w:tr w:rsidR="00262686" w:rsidRPr="00311F23" w14:paraId="5103621B"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41F98F0B"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lastRenderedPageBreak/>
              <w:t>Systemorganklasse</w:t>
            </w:r>
          </w:p>
        </w:tc>
        <w:tc>
          <w:tcPr>
            <w:tcW w:w="2336" w:type="pct"/>
            <w:tcBorders>
              <w:top w:val="single" w:sz="4" w:space="0" w:color="000000"/>
              <w:left w:val="single" w:sz="4" w:space="0" w:color="000000"/>
              <w:bottom w:val="single" w:sz="4" w:space="0" w:color="000000"/>
              <w:right w:val="single" w:sz="4" w:space="0" w:color="000000"/>
            </w:tcBorders>
          </w:tcPr>
          <w:p w14:paraId="1DF166D9" w14:textId="77777777" w:rsidR="00262686" w:rsidRPr="00311F23" w:rsidRDefault="00262686" w:rsidP="006734BD">
            <w:pPr>
              <w:ind w:left="132" w:right="27"/>
              <w:rPr>
                <w:rFonts w:ascii="Times New Roman" w:hAnsi="Times New Roman" w:cs="Times New Roman"/>
                <w:sz w:val="24"/>
                <w:szCs w:val="24"/>
                <w:lang w:val="da-DK"/>
              </w:rPr>
            </w:pPr>
          </w:p>
        </w:tc>
      </w:tr>
      <w:tr w:rsidR="00262686" w:rsidRPr="00311F23" w14:paraId="68E08E5E"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9D78665"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Infektioner og parasitære sygdomme</w:t>
            </w:r>
          </w:p>
        </w:tc>
        <w:tc>
          <w:tcPr>
            <w:tcW w:w="2336" w:type="pct"/>
            <w:tcBorders>
              <w:top w:val="single" w:sz="4" w:space="0" w:color="000000"/>
              <w:left w:val="single" w:sz="4" w:space="0" w:color="000000"/>
              <w:bottom w:val="single" w:sz="4" w:space="0" w:color="000000"/>
              <w:right w:val="single" w:sz="4" w:space="0" w:color="000000"/>
            </w:tcBorders>
          </w:tcPr>
          <w:p w14:paraId="2C4B8957"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18628F44"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9C29C18"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Almindelig:</w:t>
            </w:r>
          </w:p>
        </w:tc>
        <w:tc>
          <w:tcPr>
            <w:tcW w:w="2336" w:type="pct"/>
            <w:tcBorders>
              <w:top w:val="single" w:sz="4" w:space="0" w:color="000000"/>
              <w:left w:val="single" w:sz="4" w:space="0" w:color="000000"/>
              <w:bottom w:val="single" w:sz="4" w:space="0" w:color="000000"/>
              <w:right w:val="single" w:sz="4" w:space="0" w:color="000000"/>
            </w:tcBorders>
            <w:hideMark/>
          </w:tcPr>
          <w:p w14:paraId="09EB066F"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Øget modtagelighed for infektioner.</w:t>
            </w:r>
          </w:p>
        </w:tc>
      </w:tr>
      <w:tr w:rsidR="00262686" w:rsidRPr="00311F23" w14:paraId="7DA4E5A0"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181EED5C"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Immunsystemet</w:t>
            </w:r>
          </w:p>
        </w:tc>
        <w:tc>
          <w:tcPr>
            <w:tcW w:w="2336" w:type="pct"/>
            <w:tcBorders>
              <w:top w:val="single" w:sz="4" w:space="0" w:color="000000"/>
              <w:left w:val="single" w:sz="4" w:space="0" w:color="000000"/>
              <w:bottom w:val="single" w:sz="4" w:space="0" w:color="000000"/>
              <w:right w:val="single" w:sz="4" w:space="0" w:color="000000"/>
            </w:tcBorders>
          </w:tcPr>
          <w:p w14:paraId="7584AB19"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6BB998A8"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3A0A1B98"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30D1626C"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Hypersensitivitetsreaktioner</w:t>
            </w:r>
          </w:p>
        </w:tc>
      </w:tr>
      <w:tr w:rsidR="00262686" w:rsidRPr="00311F23" w14:paraId="7A7096A7"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4A22538D"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Det endokrine system</w:t>
            </w:r>
          </w:p>
        </w:tc>
        <w:tc>
          <w:tcPr>
            <w:tcW w:w="2336" w:type="pct"/>
            <w:tcBorders>
              <w:top w:val="single" w:sz="4" w:space="0" w:color="000000"/>
              <w:left w:val="single" w:sz="4" w:space="0" w:color="000000"/>
              <w:bottom w:val="single" w:sz="4" w:space="0" w:color="000000"/>
              <w:right w:val="single" w:sz="4" w:space="0" w:color="000000"/>
            </w:tcBorders>
          </w:tcPr>
          <w:p w14:paraId="21EC1F11"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14B1C6E0"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4C508FCF"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Almindelig:</w:t>
            </w:r>
          </w:p>
        </w:tc>
        <w:tc>
          <w:tcPr>
            <w:tcW w:w="2336" w:type="pct"/>
            <w:tcBorders>
              <w:top w:val="single" w:sz="4" w:space="0" w:color="000000"/>
              <w:left w:val="single" w:sz="4" w:space="0" w:color="000000"/>
              <w:bottom w:val="single" w:sz="4" w:space="0" w:color="000000"/>
              <w:right w:val="single" w:sz="4" w:space="0" w:color="000000"/>
            </w:tcBorders>
            <w:hideMark/>
          </w:tcPr>
          <w:p w14:paraId="49A9DDE0"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Binyresuppression, Cushing-lignende symptomer, retarderet vækst hos børn, diabetes mellitus</w:t>
            </w:r>
          </w:p>
        </w:tc>
      </w:tr>
      <w:tr w:rsidR="00262686" w:rsidRPr="00311F23" w14:paraId="64FFBB2A"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3273374"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Metabolisme og ernæring</w:t>
            </w:r>
          </w:p>
        </w:tc>
        <w:tc>
          <w:tcPr>
            <w:tcW w:w="2336" w:type="pct"/>
            <w:tcBorders>
              <w:top w:val="single" w:sz="4" w:space="0" w:color="000000"/>
              <w:left w:val="single" w:sz="4" w:space="0" w:color="000000"/>
              <w:bottom w:val="single" w:sz="4" w:space="0" w:color="000000"/>
              <w:right w:val="single" w:sz="4" w:space="0" w:color="000000"/>
            </w:tcBorders>
          </w:tcPr>
          <w:p w14:paraId="11EDA5D6"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7DCD3482"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41BC227C"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6983BBEC"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Hypokaliæmi, natriumretention.</w:t>
            </w:r>
          </w:p>
        </w:tc>
      </w:tr>
      <w:tr w:rsidR="00262686" w:rsidRPr="00311F23" w14:paraId="25ED1A30"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44644F05"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57384CF4"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Væskeretention, hypokalæmisk alkalose</w:t>
            </w:r>
          </w:p>
        </w:tc>
      </w:tr>
      <w:tr w:rsidR="00262686" w:rsidRPr="00311F23" w14:paraId="3FA5D955"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14126C59"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Psykiske forstyrrelser</w:t>
            </w:r>
          </w:p>
        </w:tc>
        <w:tc>
          <w:tcPr>
            <w:tcW w:w="2336" w:type="pct"/>
            <w:tcBorders>
              <w:top w:val="single" w:sz="4" w:space="0" w:color="000000"/>
              <w:left w:val="single" w:sz="4" w:space="0" w:color="000000"/>
              <w:bottom w:val="single" w:sz="4" w:space="0" w:color="000000"/>
              <w:right w:val="single" w:sz="4" w:space="0" w:color="000000"/>
            </w:tcBorders>
          </w:tcPr>
          <w:p w14:paraId="21D33BB2"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497502E1"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588F5829"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0E360546"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Psykiatriske tilstande, der spænder fra eufori, søvnløshed, humørsvingninger, depression til psykose.</w:t>
            </w:r>
          </w:p>
        </w:tc>
      </w:tr>
      <w:tr w:rsidR="00262686" w:rsidRPr="00311F23" w14:paraId="4C0B97C4"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28FC5146"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Nervesystemet</w:t>
            </w:r>
          </w:p>
        </w:tc>
        <w:tc>
          <w:tcPr>
            <w:tcW w:w="2336" w:type="pct"/>
            <w:tcBorders>
              <w:top w:val="single" w:sz="4" w:space="0" w:color="000000"/>
              <w:left w:val="single" w:sz="4" w:space="0" w:color="000000"/>
              <w:bottom w:val="single" w:sz="4" w:space="0" w:color="000000"/>
              <w:right w:val="single" w:sz="4" w:space="0" w:color="000000"/>
            </w:tcBorders>
          </w:tcPr>
          <w:p w14:paraId="72C6B49B"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75A8E3CC"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73CA24F9"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Sjælden:</w:t>
            </w:r>
          </w:p>
        </w:tc>
        <w:tc>
          <w:tcPr>
            <w:tcW w:w="2336" w:type="pct"/>
            <w:tcBorders>
              <w:top w:val="single" w:sz="4" w:space="0" w:color="000000"/>
              <w:left w:val="single" w:sz="4" w:space="0" w:color="000000"/>
              <w:bottom w:val="single" w:sz="4" w:space="0" w:color="000000"/>
              <w:right w:val="single" w:sz="4" w:space="0" w:color="000000"/>
            </w:tcBorders>
            <w:hideMark/>
          </w:tcPr>
          <w:p w14:paraId="2CF95E71"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Forhøjet intrakranielt tryk.</w:t>
            </w:r>
          </w:p>
        </w:tc>
      </w:tr>
      <w:tr w:rsidR="00262686" w:rsidRPr="00311F23" w14:paraId="4AEF67DC"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6B3805A3"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5F3D3A38"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Svimmelhed, hovedpine.</w:t>
            </w:r>
          </w:p>
        </w:tc>
      </w:tr>
      <w:tr w:rsidR="00262686" w:rsidRPr="00311F23" w14:paraId="206E8498"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5D7043E1"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Øjne</w:t>
            </w:r>
          </w:p>
        </w:tc>
        <w:tc>
          <w:tcPr>
            <w:tcW w:w="2336" w:type="pct"/>
            <w:tcBorders>
              <w:top w:val="single" w:sz="4" w:space="0" w:color="000000"/>
              <w:left w:val="single" w:sz="4" w:space="0" w:color="000000"/>
              <w:bottom w:val="single" w:sz="4" w:space="0" w:color="000000"/>
              <w:right w:val="single" w:sz="4" w:space="0" w:color="000000"/>
            </w:tcBorders>
          </w:tcPr>
          <w:p w14:paraId="36E8EA3A"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78603DA4"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4AE186AC"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48F84AF4"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Forhøjet intraokulært tryk, glaukom, posterior katarakt, exophthalmus.</w:t>
            </w:r>
          </w:p>
        </w:tc>
      </w:tr>
      <w:tr w:rsidR="00262686" w:rsidRPr="00311F23" w14:paraId="2C29C9DB"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1F29B5F7"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1E368219"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Chorioretinopati, sløret syn</w:t>
            </w:r>
          </w:p>
        </w:tc>
      </w:tr>
      <w:tr w:rsidR="00262686" w:rsidRPr="00311F23" w14:paraId="3938D1AD"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5A31A90E"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Hjerte</w:t>
            </w:r>
          </w:p>
        </w:tc>
        <w:tc>
          <w:tcPr>
            <w:tcW w:w="2336" w:type="pct"/>
            <w:tcBorders>
              <w:top w:val="single" w:sz="4" w:space="0" w:color="000000"/>
              <w:left w:val="single" w:sz="4" w:space="0" w:color="000000"/>
              <w:bottom w:val="single" w:sz="4" w:space="0" w:color="000000"/>
              <w:right w:val="single" w:sz="4" w:space="0" w:color="000000"/>
            </w:tcBorders>
          </w:tcPr>
          <w:p w14:paraId="3E2F5767"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6F158E9A"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53D0A9B8"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070BE9D0"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Kardial dekompensation.</w:t>
            </w:r>
          </w:p>
        </w:tc>
      </w:tr>
      <w:tr w:rsidR="00262686" w:rsidRPr="00311F23" w14:paraId="6E09AC41"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290C9312"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6272ED62"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Myokardieruptur efter nyligt myokardieinfarkt</w:t>
            </w:r>
          </w:p>
        </w:tc>
      </w:tr>
      <w:tr w:rsidR="00262686" w:rsidRPr="00311F23" w14:paraId="62789A3D"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42229C9"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Vaskulære sygdomme</w:t>
            </w:r>
          </w:p>
        </w:tc>
        <w:tc>
          <w:tcPr>
            <w:tcW w:w="2336" w:type="pct"/>
            <w:tcBorders>
              <w:top w:val="single" w:sz="4" w:space="0" w:color="000000"/>
              <w:left w:val="single" w:sz="4" w:space="0" w:color="000000"/>
              <w:bottom w:val="single" w:sz="4" w:space="0" w:color="000000"/>
              <w:right w:val="single" w:sz="4" w:space="0" w:color="000000"/>
            </w:tcBorders>
          </w:tcPr>
          <w:p w14:paraId="2DA9B45A"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31B3E0E3"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47C2032E"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7900E090"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Trombose, hypertension</w:t>
            </w:r>
          </w:p>
        </w:tc>
      </w:tr>
      <w:tr w:rsidR="00262686" w:rsidRPr="00311F23" w14:paraId="2CB076F2"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5CC71F95"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5E137D08"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Emboli</w:t>
            </w:r>
          </w:p>
        </w:tc>
      </w:tr>
      <w:tr w:rsidR="00262686" w:rsidRPr="00311F23" w14:paraId="46CEC393"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8CFEFFE"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Mave-tarm-kanalen</w:t>
            </w:r>
          </w:p>
        </w:tc>
        <w:tc>
          <w:tcPr>
            <w:tcW w:w="2336" w:type="pct"/>
            <w:tcBorders>
              <w:top w:val="single" w:sz="4" w:space="0" w:color="000000"/>
              <w:left w:val="single" w:sz="4" w:space="0" w:color="000000"/>
              <w:bottom w:val="single" w:sz="4" w:space="0" w:color="000000"/>
              <w:right w:val="single" w:sz="4" w:space="0" w:color="000000"/>
            </w:tcBorders>
          </w:tcPr>
          <w:p w14:paraId="2C36A117"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7A40BA5E"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531BE8A"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60676955"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Gastrointestinale lidelser såsom kvalme, ulcus pepticum.</w:t>
            </w:r>
          </w:p>
        </w:tc>
      </w:tr>
      <w:tr w:rsidR="00262686" w:rsidRPr="00311F23" w14:paraId="6963028B"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203A95D9"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02935651"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Hæmoragisk tarmperforation, ulcerøs esofagitis, pankreatitis, abdominal distension.</w:t>
            </w:r>
          </w:p>
        </w:tc>
      </w:tr>
      <w:tr w:rsidR="00262686" w:rsidRPr="00311F23" w14:paraId="373FD2BB"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16657348"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Hud og subkutane væv</w:t>
            </w:r>
          </w:p>
        </w:tc>
        <w:tc>
          <w:tcPr>
            <w:tcW w:w="2336" w:type="pct"/>
            <w:tcBorders>
              <w:top w:val="single" w:sz="4" w:space="0" w:color="000000"/>
              <w:left w:val="single" w:sz="4" w:space="0" w:color="000000"/>
              <w:bottom w:val="single" w:sz="4" w:space="0" w:color="000000"/>
              <w:right w:val="single" w:sz="4" w:space="0" w:color="000000"/>
            </w:tcBorders>
          </w:tcPr>
          <w:p w14:paraId="4D044109"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0F85233F"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26842F52"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Almindelig:</w:t>
            </w:r>
          </w:p>
        </w:tc>
        <w:tc>
          <w:tcPr>
            <w:tcW w:w="2336" w:type="pct"/>
            <w:tcBorders>
              <w:top w:val="single" w:sz="4" w:space="0" w:color="000000"/>
              <w:left w:val="single" w:sz="4" w:space="0" w:color="000000"/>
              <w:bottom w:val="single" w:sz="4" w:space="0" w:color="000000"/>
              <w:right w:val="single" w:sz="4" w:space="0" w:color="000000"/>
            </w:tcBorders>
            <w:hideMark/>
          </w:tcPr>
          <w:p w14:paraId="38181908"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Akne, hirsutisme.</w:t>
            </w:r>
          </w:p>
        </w:tc>
      </w:tr>
      <w:tr w:rsidR="00262686" w:rsidRPr="00311F23" w14:paraId="2C876063"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1A5EB7A"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554754A7"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Hudatrofi, nedsat sårhelingsevne, suppression af hudtest, hudreaktioner såsom allergisk dermatitis, urticaria, angioneurotisk ødem.</w:t>
            </w:r>
          </w:p>
        </w:tc>
      </w:tr>
      <w:tr w:rsidR="00262686" w:rsidRPr="00311F23" w14:paraId="1D2DD043"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60899379"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18EB7D2C"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Petekkier, erytem, ekkymoser, hyperhidrose</w:t>
            </w:r>
          </w:p>
        </w:tc>
      </w:tr>
      <w:tr w:rsidR="00262686" w:rsidRPr="00311F23" w14:paraId="29E82D22"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19B5490"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Knogler, led, muskler og bindevæv</w:t>
            </w:r>
          </w:p>
        </w:tc>
        <w:tc>
          <w:tcPr>
            <w:tcW w:w="2336" w:type="pct"/>
            <w:tcBorders>
              <w:top w:val="single" w:sz="4" w:space="0" w:color="000000"/>
              <w:left w:val="single" w:sz="4" w:space="0" w:color="000000"/>
              <w:bottom w:val="single" w:sz="4" w:space="0" w:color="000000"/>
              <w:right w:val="single" w:sz="4" w:space="0" w:color="000000"/>
            </w:tcBorders>
          </w:tcPr>
          <w:p w14:paraId="3F07D0F5"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385F4A58"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4B184665"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Almindelig:</w:t>
            </w:r>
          </w:p>
        </w:tc>
        <w:tc>
          <w:tcPr>
            <w:tcW w:w="2336" w:type="pct"/>
            <w:tcBorders>
              <w:top w:val="single" w:sz="4" w:space="0" w:color="000000"/>
              <w:left w:val="single" w:sz="4" w:space="0" w:color="000000"/>
              <w:bottom w:val="single" w:sz="4" w:space="0" w:color="000000"/>
              <w:right w:val="single" w:sz="4" w:space="0" w:color="000000"/>
            </w:tcBorders>
            <w:hideMark/>
          </w:tcPr>
          <w:p w14:paraId="7D5170BF"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Muskelatrofi, osteoporose.</w:t>
            </w:r>
          </w:p>
        </w:tc>
      </w:tr>
      <w:tr w:rsidR="00262686" w:rsidRPr="00311F23" w14:paraId="1B153D40"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3AB3EEA8"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Sjælden:</w:t>
            </w:r>
          </w:p>
        </w:tc>
        <w:tc>
          <w:tcPr>
            <w:tcW w:w="2336" w:type="pct"/>
            <w:tcBorders>
              <w:top w:val="single" w:sz="4" w:space="0" w:color="000000"/>
              <w:left w:val="single" w:sz="4" w:space="0" w:color="000000"/>
              <w:bottom w:val="single" w:sz="4" w:space="0" w:color="000000"/>
              <w:right w:val="single" w:sz="4" w:space="0" w:color="000000"/>
            </w:tcBorders>
            <w:hideMark/>
          </w:tcPr>
          <w:p w14:paraId="23D770F5"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Aseptisk knoglenekrose, seneruptur.</w:t>
            </w:r>
          </w:p>
        </w:tc>
      </w:tr>
      <w:tr w:rsidR="00262686" w:rsidRPr="00311F23" w14:paraId="6BF93615"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18DB765A"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365813B7"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Proksimal myopati, frakturer af vertebrae og rørknogler, muskelspasmer</w:t>
            </w:r>
          </w:p>
        </w:tc>
      </w:tr>
      <w:tr w:rsidR="00262686" w:rsidRPr="00311F23" w14:paraId="51ECB5CC"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529CC554"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Det reproduktive system og mammae</w:t>
            </w:r>
          </w:p>
        </w:tc>
        <w:tc>
          <w:tcPr>
            <w:tcW w:w="2336" w:type="pct"/>
            <w:tcBorders>
              <w:top w:val="single" w:sz="4" w:space="0" w:color="000000"/>
              <w:left w:val="single" w:sz="4" w:space="0" w:color="000000"/>
              <w:bottom w:val="single" w:sz="4" w:space="0" w:color="000000"/>
              <w:right w:val="single" w:sz="4" w:space="0" w:color="000000"/>
            </w:tcBorders>
          </w:tcPr>
          <w:p w14:paraId="634B118A"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56B1BEB2"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10724B6"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0A18062E"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Menstruationsforstyrrelser</w:t>
            </w:r>
          </w:p>
        </w:tc>
      </w:tr>
      <w:tr w:rsidR="00262686" w:rsidRPr="00311F23" w14:paraId="387F2D2A"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tcPr>
          <w:p w14:paraId="62C2779B" w14:textId="6949220B"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lastRenderedPageBreak/>
              <w:t>Almene symptomer og reaktioner på administrationsstedet</w:t>
            </w:r>
          </w:p>
        </w:tc>
        <w:tc>
          <w:tcPr>
            <w:tcW w:w="2336" w:type="pct"/>
            <w:tcBorders>
              <w:top w:val="single" w:sz="4" w:space="0" w:color="000000"/>
              <w:left w:val="single" w:sz="4" w:space="0" w:color="000000"/>
              <w:bottom w:val="single" w:sz="4" w:space="0" w:color="000000"/>
              <w:right w:val="single" w:sz="4" w:space="0" w:color="000000"/>
            </w:tcBorders>
          </w:tcPr>
          <w:p w14:paraId="5973548B"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714CC94A"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01F487D7"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1D0C05F2"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Ødem, øget appetit</w:t>
            </w:r>
          </w:p>
        </w:tc>
      </w:tr>
      <w:tr w:rsidR="00262686" w:rsidRPr="00311F23" w14:paraId="49AEE44A"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29D30B74"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206B2674"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Utilpashed</w:t>
            </w:r>
          </w:p>
        </w:tc>
      </w:tr>
      <w:tr w:rsidR="00262686" w:rsidRPr="00311F23" w14:paraId="0953EF84"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5578D4E8" w14:textId="77777777" w:rsidR="00262686" w:rsidRPr="00311F23" w:rsidRDefault="00262686" w:rsidP="006734BD">
            <w:pPr>
              <w:ind w:left="132" w:right="27"/>
              <w:rPr>
                <w:rFonts w:ascii="Times New Roman" w:hAnsi="Times New Roman" w:cs="Times New Roman"/>
                <w:b/>
                <w:sz w:val="24"/>
                <w:szCs w:val="24"/>
                <w:lang w:val="da-DK"/>
              </w:rPr>
            </w:pPr>
            <w:r w:rsidRPr="00311F23">
              <w:rPr>
                <w:rFonts w:ascii="Times New Roman" w:hAnsi="Times New Roman" w:cs="Times New Roman"/>
                <w:b/>
                <w:sz w:val="24"/>
                <w:szCs w:val="24"/>
                <w:lang w:val="da-DK"/>
              </w:rPr>
              <w:t>Undersøgelser</w:t>
            </w:r>
          </w:p>
        </w:tc>
        <w:tc>
          <w:tcPr>
            <w:tcW w:w="2336" w:type="pct"/>
            <w:tcBorders>
              <w:top w:val="single" w:sz="4" w:space="0" w:color="000000"/>
              <w:left w:val="single" w:sz="4" w:space="0" w:color="000000"/>
              <w:bottom w:val="single" w:sz="4" w:space="0" w:color="000000"/>
              <w:right w:val="single" w:sz="4" w:space="0" w:color="000000"/>
            </w:tcBorders>
          </w:tcPr>
          <w:p w14:paraId="178CA2F3" w14:textId="77777777" w:rsidR="00262686" w:rsidRPr="00311F23" w:rsidRDefault="00262686" w:rsidP="006734BD">
            <w:pPr>
              <w:ind w:left="132" w:right="27"/>
              <w:rPr>
                <w:rFonts w:ascii="Times New Roman" w:hAnsi="Times New Roman" w:cs="Times New Roman"/>
                <w:b/>
                <w:sz w:val="24"/>
                <w:szCs w:val="24"/>
                <w:lang w:val="da-DK"/>
              </w:rPr>
            </w:pPr>
          </w:p>
        </w:tc>
      </w:tr>
      <w:tr w:rsidR="00262686" w:rsidRPr="00311F23" w14:paraId="73A86423"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74184702"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Almindelig:</w:t>
            </w:r>
          </w:p>
        </w:tc>
        <w:tc>
          <w:tcPr>
            <w:tcW w:w="2336" w:type="pct"/>
            <w:tcBorders>
              <w:top w:val="single" w:sz="4" w:space="0" w:color="000000"/>
              <w:left w:val="single" w:sz="4" w:space="0" w:color="000000"/>
              <w:bottom w:val="single" w:sz="4" w:space="0" w:color="000000"/>
              <w:right w:val="single" w:sz="4" w:space="0" w:color="000000"/>
            </w:tcBorders>
            <w:hideMark/>
          </w:tcPr>
          <w:p w14:paraId="6269106F"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Negativ kvælstofbalance.</w:t>
            </w:r>
          </w:p>
        </w:tc>
      </w:tr>
      <w:tr w:rsidR="00262686" w:rsidRPr="00311F23" w14:paraId="71FF890B"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1E168F8C"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almindelig:</w:t>
            </w:r>
          </w:p>
        </w:tc>
        <w:tc>
          <w:tcPr>
            <w:tcW w:w="2336" w:type="pct"/>
            <w:tcBorders>
              <w:top w:val="single" w:sz="4" w:space="0" w:color="000000"/>
              <w:left w:val="single" w:sz="4" w:space="0" w:color="000000"/>
              <w:bottom w:val="single" w:sz="4" w:space="0" w:color="000000"/>
              <w:right w:val="single" w:sz="4" w:space="0" w:color="000000"/>
            </w:tcBorders>
            <w:hideMark/>
          </w:tcPr>
          <w:p w14:paraId="628DB903"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Vægtøgning</w:t>
            </w:r>
          </w:p>
        </w:tc>
      </w:tr>
      <w:tr w:rsidR="00262686" w:rsidRPr="00311F23" w14:paraId="262B5875" w14:textId="77777777" w:rsidTr="00FA7787">
        <w:trPr>
          <w:trHeight w:val="20"/>
        </w:trPr>
        <w:tc>
          <w:tcPr>
            <w:tcW w:w="2664" w:type="pct"/>
            <w:tcBorders>
              <w:top w:val="single" w:sz="4" w:space="0" w:color="000000"/>
              <w:left w:val="single" w:sz="4" w:space="0" w:color="000000"/>
              <w:bottom w:val="single" w:sz="4" w:space="0" w:color="000000"/>
              <w:right w:val="single" w:sz="4" w:space="0" w:color="000000"/>
            </w:tcBorders>
            <w:hideMark/>
          </w:tcPr>
          <w:p w14:paraId="73396CD8"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Ikke kendt:</w:t>
            </w:r>
          </w:p>
        </w:tc>
        <w:tc>
          <w:tcPr>
            <w:tcW w:w="2336" w:type="pct"/>
            <w:tcBorders>
              <w:top w:val="single" w:sz="4" w:space="0" w:color="000000"/>
              <w:left w:val="single" w:sz="4" w:space="0" w:color="000000"/>
              <w:bottom w:val="single" w:sz="4" w:space="0" w:color="000000"/>
              <w:right w:val="single" w:sz="4" w:space="0" w:color="000000"/>
            </w:tcBorders>
            <w:hideMark/>
          </w:tcPr>
          <w:p w14:paraId="7D11926D" w14:textId="77777777" w:rsidR="00262686" w:rsidRPr="00311F23" w:rsidRDefault="00262686" w:rsidP="006734BD">
            <w:pPr>
              <w:ind w:left="132" w:right="27"/>
              <w:rPr>
                <w:rFonts w:ascii="Times New Roman" w:hAnsi="Times New Roman" w:cs="Times New Roman"/>
                <w:sz w:val="24"/>
                <w:szCs w:val="24"/>
                <w:lang w:val="da-DK"/>
              </w:rPr>
            </w:pPr>
            <w:r w:rsidRPr="00311F23">
              <w:rPr>
                <w:rFonts w:ascii="Times New Roman" w:hAnsi="Times New Roman" w:cs="Times New Roman"/>
                <w:sz w:val="24"/>
                <w:szCs w:val="24"/>
                <w:lang w:val="da-DK"/>
              </w:rPr>
              <w:t>Nedsat kulhydrattolerance</w:t>
            </w:r>
          </w:p>
        </w:tc>
      </w:tr>
    </w:tbl>
    <w:p w14:paraId="67ED59E4" w14:textId="77777777" w:rsidR="00262686" w:rsidRPr="006734BD" w:rsidRDefault="00262686" w:rsidP="00262686">
      <w:pPr>
        <w:tabs>
          <w:tab w:val="left" w:pos="851"/>
        </w:tabs>
        <w:rPr>
          <w:sz w:val="24"/>
          <w:szCs w:val="24"/>
        </w:rPr>
      </w:pPr>
    </w:p>
    <w:p w14:paraId="179E746B" w14:textId="77777777" w:rsidR="00262686" w:rsidRPr="006734BD" w:rsidRDefault="00262686" w:rsidP="00FA7787">
      <w:pPr>
        <w:ind w:left="851"/>
        <w:rPr>
          <w:sz w:val="24"/>
          <w:szCs w:val="24"/>
        </w:rPr>
      </w:pPr>
      <w:r w:rsidRPr="006734BD">
        <w:rPr>
          <w:sz w:val="24"/>
          <w:szCs w:val="24"/>
        </w:rPr>
        <w:t>Incidensen af forudsigelige bivirkninger, herunder hypotalamisk-hypofysær binyresuppression (som forårsager hæmning af ACTH og kortisol) afhænger af behandlingsvarighed, dosering og administrationstidspunkt.</w:t>
      </w:r>
    </w:p>
    <w:p w14:paraId="34E4F8A0" w14:textId="77777777" w:rsidR="00262686" w:rsidRPr="006734BD" w:rsidRDefault="00262686" w:rsidP="00FA7787">
      <w:pPr>
        <w:ind w:left="851"/>
        <w:rPr>
          <w:sz w:val="24"/>
          <w:szCs w:val="24"/>
        </w:rPr>
      </w:pPr>
    </w:p>
    <w:p w14:paraId="4F22DE1A" w14:textId="77777777" w:rsidR="00262686" w:rsidRPr="006734BD" w:rsidRDefault="00262686" w:rsidP="00FA7787">
      <w:pPr>
        <w:ind w:left="851"/>
        <w:rPr>
          <w:sz w:val="24"/>
          <w:szCs w:val="24"/>
        </w:rPr>
      </w:pPr>
      <w:r w:rsidRPr="006734BD">
        <w:rPr>
          <w:sz w:val="24"/>
          <w:szCs w:val="24"/>
        </w:rPr>
        <w:t>Diabetes mellitus kan forværres og latent diabetes blive manifest.</w:t>
      </w:r>
    </w:p>
    <w:p w14:paraId="07AF6C55" w14:textId="77777777" w:rsidR="00262686" w:rsidRPr="006734BD" w:rsidRDefault="00262686" w:rsidP="00FA7787">
      <w:pPr>
        <w:ind w:left="851"/>
        <w:rPr>
          <w:sz w:val="24"/>
          <w:szCs w:val="24"/>
        </w:rPr>
      </w:pPr>
    </w:p>
    <w:p w14:paraId="6FDBA708" w14:textId="77777777" w:rsidR="00262686" w:rsidRPr="006734BD" w:rsidRDefault="00262686" w:rsidP="00FA7787">
      <w:pPr>
        <w:ind w:left="851"/>
        <w:rPr>
          <w:sz w:val="24"/>
          <w:szCs w:val="24"/>
        </w:rPr>
      </w:pPr>
      <w:r w:rsidRPr="006734BD">
        <w:rPr>
          <w:sz w:val="24"/>
          <w:szCs w:val="24"/>
        </w:rPr>
        <w:t>Infektionsforsvaret kan hæmmes, så modtageligheden for infektioner øges. Infektioner kan blive aktiveret, f.eks. tuberkulose.</w:t>
      </w:r>
    </w:p>
    <w:p w14:paraId="58A3D9E9" w14:textId="77777777" w:rsidR="00262686" w:rsidRPr="006734BD" w:rsidRDefault="00262686" w:rsidP="00FA7787">
      <w:pPr>
        <w:ind w:left="851"/>
        <w:rPr>
          <w:sz w:val="24"/>
          <w:szCs w:val="24"/>
        </w:rPr>
      </w:pPr>
    </w:p>
    <w:p w14:paraId="20EBB12A" w14:textId="77777777" w:rsidR="00262686" w:rsidRPr="006734BD" w:rsidRDefault="00262686" w:rsidP="00FA7787">
      <w:pPr>
        <w:ind w:left="851"/>
        <w:rPr>
          <w:sz w:val="24"/>
          <w:szCs w:val="24"/>
          <w:u w:val="single"/>
        </w:rPr>
      </w:pPr>
      <w:r w:rsidRPr="006734BD">
        <w:rPr>
          <w:sz w:val="24"/>
          <w:szCs w:val="24"/>
          <w:u w:val="single"/>
        </w:rPr>
        <w:t>Indberetning af formodede bivirkninger</w:t>
      </w:r>
    </w:p>
    <w:p w14:paraId="0CF852DB" w14:textId="77777777" w:rsidR="00262686" w:rsidRPr="006734BD" w:rsidRDefault="00262686" w:rsidP="00FA7787">
      <w:pPr>
        <w:ind w:left="851"/>
        <w:rPr>
          <w:sz w:val="24"/>
          <w:szCs w:val="24"/>
        </w:rPr>
      </w:pPr>
      <w:r w:rsidRPr="006734BD">
        <w:rPr>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2D8F50AF" w14:textId="77777777" w:rsidR="00262686" w:rsidRPr="006734BD" w:rsidRDefault="00262686" w:rsidP="00FA7787">
      <w:pPr>
        <w:ind w:left="851"/>
        <w:rPr>
          <w:sz w:val="24"/>
          <w:szCs w:val="24"/>
        </w:rPr>
      </w:pPr>
    </w:p>
    <w:p w14:paraId="6E171B18" w14:textId="77777777" w:rsidR="00262686" w:rsidRPr="006734BD" w:rsidRDefault="00262686" w:rsidP="00FA7787">
      <w:pPr>
        <w:ind w:left="851"/>
        <w:rPr>
          <w:sz w:val="24"/>
          <w:szCs w:val="24"/>
        </w:rPr>
      </w:pPr>
      <w:r w:rsidRPr="006734BD">
        <w:rPr>
          <w:sz w:val="24"/>
          <w:szCs w:val="24"/>
        </w:rPr>
        <w:t>Lægemiddelstyrelsen</w:t>
      </w:r>
    </w:p>
    <w:p w14:paraId="0777598A" w14:textId="77777777" w:rsidR="00262686" w:rsidRPr="006734BD" w:rsidRDefault="00262686" w:rsidP="00FA7787">
      <w:pPr>
        <w:ind w:left="851"/>
        <w:rPr>
          <w:sz w:val="24"/>
          <w:szCs w:val="24"/>
        </w:rPr>
      </w:pPr>
      <w:r w:rsidRPr="006734BD">
        <w:rPr>
          <w:sz w:val="24"/>
          <w:szCs w:val="24"/>
        </w:rPr>
        <w:t>Axel Heides Gade 1</w:t>
      </w:r>
    </w:p>
    <w:p w14:paraId="08B2B351" w14:textId="77777777" w:rsidR="00262686" w:rsidRPr="006734BD" w:rsidRDefault="00262686" w:rsidP="00FA7787">
      <w:pPr>
        <w:ind w:left="851"/>
        <w:rPr>
          <w:sz w:val="24"/>
          <w:szCs w:val="24"/>
        </w:rPr>
      </w:pPr>
      <w:r w:rsidRPr="006734BD">
        <w:rPr>
          <w:sz w:val="24"/>
          <w:szCs w:val="24"/>
        </w:rPr>
        <w:t>DK-2300 København S</w:t>
      </w:r>
    </w:p>
    <w:p w14:paraId="4A95D609" w14:textId="77777777" w:rsidR="00262686" w:rsidRPr="006734BD" w:rsidRDefault="00262686" w:rsidP="00FA7787">
      <w:pPr>
        <w:ind w:left="851"/>
        <w:rPr>
          <w:sz w:val="24"/>
          <w:szCs w:val="24"/>
        </w:rPr>
      </w:pPr>
      <w:r w:rsidRPr="006734BD">
        <w:rPr>
          <w:sz w:val="24"/>
          <w:szCs w:val="24"/>
        </w:rPr>
        <w:t>Websted: www.meldenbivirkning.dk</w:t>
      </w:r>
    </w:p>
    <w:p w14:paraId="23DF9D9B" w14:textId="77777777" w:rsidR="009260DE" w:rsidRPr="006734BD" w:rsidRDefault="009260DE" w:rsidP="00A10294">
      <w:pPr>
        <w:tabs>
          <w:tab w:val="left" w:pos="851"/>
        </w:tabs>
        <w:ind w:left="851"/>
        <w:rPr>
          <w:sz w:val="24"/>
          <w:szCs w:val="24"/>
        </w:rPr>
      </w:pPr>
    </w:p>
    <w:p w14:paraId="54ADFA01" w14:textId="77777777" w:rsidR="009260DE" w:rsidRPr="006734BD" w:rsidRDefault="009260DE" w:rsidP="009260DE">
      <w:pPr>
        <w:tabs>
          <w:tab w:val="left" w:pos="851"/>
        </w:tabs>
        <w:ind w:left="851" w:hanging="851"/>
        <w:rPr>
          <w:b/>
          <w:sz w:val="24"/>
          <w:szCs w:val="24"/>
        </w:rPr>
      </w:pPr>
      <w:r w:rsidRPr="006734BD">
        <w:rPr>
          <w:b/>
          <w:sz w:val="24"/>
          <w:szCs w:val="24"/>
        </w:rPr>
        <w:t>4.9</w:t>
      </w:r>
      <w:r w:rsidRPr="006734BD">
        <w:rPr>
          <w:b/>
          <w:sz w:val="24"/>
          <w:szCs w:val="24"/>
        </w:rPr>
        <w:tab/>
        <w:t>Overdosering</w:t>
      </w:r>
    </w:p>
    <w:p w14:paraId="0A76E94F" w14:textId="77777777" w:rsidR="00262686" w:rsidRPr="006734BD" w:rsidRDefault="00262686" w:rsidP="00FA7787">
      <w:pPr>
        <w:ind w:left="851"/>
        <w:rPr>
          <w:i/>
          <w:iCs/>
          <w:sz w:val="24"/>
          <w:szCs w:val="24"/>
        </w:rPr>
      </w:pPr>
      <w:r w:rsidRPr="006734BD">
        <w:rPr>
          <w:i/>
          <w:iCs/>
          <w:sz w:val="24"/>
          <w:szCs w:val="24"/>
        </w:rPr>
        <w:t xml:space="preserve">Toksicitet og symptom: </w:t>
      </w:r>
      <w:r w:rsidRPr="006734BD">
        <w:rPr>
          <w:sz w:val="24"/>
          <w:szCs w:val="24"/>
        </w:rPr>
        <w:t>Akut toksicitet medfører sædvanligvis ikke kliniske problemer, selv ved meget høje doser. En akut overdosis kan muligvis forværre præeksisterende sygdomstilstande såsom ulcus, elektrolytforstyrrelser, infektioner og ødem. De fleste reaktioner er neuropsykiatriske, men krampeanfald og anafylaksi er iagttaget. Gentagne store doser methylprednisolon har medført levernekrose og stigninger i amylase. Ved intravenøs administration af store doser methylprednisolon og dexamethason er iagttaget bradyarytmier, ventrikulære arytmier og hjertestop.</w:t>
      </w:r>
    </w:p>
    <w:p w14:paraId="0EE14356" w14:textId="77777777" w:rsidR="00262686" w:rsidRPr="006734BD" w:rsidRDefault="00262686" w:rsidP="00FA7787">
      <w:pPr>
        <w:ind w:left="851"/>
        <w:rPr>
          <w:i/>
          <w:sz w:val="24"/>
          <w:szCs w:val="24"/>
        </w:rPr>
      </w:pPr>
    </w:p>
    <w:p w14:paraId="72E0E03A" w14:textId="77777777" w:rsidR="00262686" w:rsidRPr="006734BD" w:rsidRDefault="00262686" w:rsidP="00FA7787">
      <w:pPr>
        <w:ind w:left="851"/>
        <w:rPr>
          <w:i/>
          <w:iCs/>
          <w:sz w:val="24"/>
          <w:szCs w:val="24"/>
        </w:rPr>
      </w:pPr>
      <w:r w:rsidRPr="006734BD">
        <w:rPr>
          <w:i/>
          <w:iCs/>
          <w:sz w:val="24"/>
          <w:szCs w:val="24"/>
        </w:rPr>
        <w:t xml:space="preserve">Behandling: </w:t>
      </w:r>
      <w:r w:rsidRPr="006734BD">
        <w:rPr>
          <w:sz w:val="24"/>
          <w:szCs w:val="24"/>
        </w:rPr>
        <w:t>Er normalt ikke nødvendig. Maveskylning og medicinsk kul kan gives efter behov, desuden symptomatisk behandling.</w:t>
      </w:r>
    </w:p>
    <w:p w14:paraId="54687EFD" w14:textId="77777777" w:rsidR="009260DE" w:rsidRPr="006734BD" w:rsidRDefault="009260DE" w:rsidP="009260DE">
      <w:pPr>
        <w:tabs>
          <w:tab w:val="left" w:pos="851"/>
        </w:tabs>
        <w:ind w:left="851"/>
        <w:rPr>
          <w:sz w:val="24"/>
          <w:szCs w:val="24"/>
        </w:rPr>
      </w:pPr>
    </w:p>
    <w:p w14:paraId="47DC8E3F" w14:textId="77777777" w:rsidR="009260DE" w:rsidRPr="006734BD" w:rsidRDefault="009260DE" w:rsidP="009260DE">
      <w:pPr>
        <w:tabs>
          <w:tab w:val="left" w:pos="851"/>
        </w:tabs>
        <w:ind w:left="851" w:hanging="851"/>
        <w:rPr>
          <w:b/>
          <w:sz w:val="24"/>
          <w:szCs w:val="24"/>
        </w:rPr>
      </w:pPr>
      <w:r w:rsidRPr="006734BD">
        <w:rPr>
          <w:b/>
          <w:sz w:val="24"/>
          <w:szCs w:val="24"/>
        </w:rPr>
        <w:t>4.10</w:t>
      </w:r>
      <w:r w:rsidRPr="006734BD">
        <w:rPr>
          <w:b/>
          <w:sz w:val="24"/>
          <w:szCs w:val="24"/>
        </w:rPr>
        <w:tab/>
        <w:t>Udlevering</w:t>
      </w:r>
    </w:p>
    <w:p w14:paraId="7349D4A9" w14:textId="07C5F690" w:rsidR="009260DE" w:rsidRPr="006734BD" w:rsidRDefault="00FA7787" w:rsidP="009260DE">
      <w:pPr>
        <w:tabs>
          <w:tab w:val="left" w:pos="851"/>
        </w:tabs>
        <w:ind w:left="851"/>
        <w:rPr>
          <w:sz w:val="24"/>
          <w:szCs w:val="24"/>
        </w:rPr>
      </w:pPr>
      <w:r w:rsidRPr="006734BD">
        <w:rPr>
          <w:sz w:val="24"/>
          <w:szCs w:val="24"/>
        </w:rPr>
        <w:t>B</w:t>
      </w:r>
    </w:p>
    <w:p w14:paraId="72704610" w14:textId="77777777" w:rsidR="009260DE" w:rsidRPr="006734BD" w:rsidRDefault="009260DE" w:rsidP="009260DE">
      <w:pPr>
        <w:tabs>
          <w:tab w:val="left" w:pos="851"/>
        </w:tabs>
        <w:ind w:left="851"/>
        <w:rPr>
          <w:sz w:val="24"/>
          <w:szCs w:val="24"/>
        </w:rPr>
      </w:pPr>
    </w:p>
    <w:p w14:paraId="583CB897" w14:textId="77777777" w:rsidR="009260DE" w:rsidRPr="006734BD" w:rsidRDefault="009260DE" w:rsidP="009260DE">
      <w:pPr>
        <w:tabs>
          <w:tab w:val="left" w:pos="851"/>
        </w:tabs>
        <w:ind w:left="851"/>
        <w:rPr>
          <w:sz w:val="24"/>
          <w:szCs w:val="24"/>
        </w:rPr>
      </w:pPr>
    </w:p>
    <w:p w14:paraId="2C825E89" w14:textId="77777777" w:rsidR="009260DE" w:rsidRPr="006734BD" w:rsidRDefault="009260DE" w:rsidP="009260DE">
      <w:pPr>
        <w:tabs>
          <w:tab w:val="left" w:pos="851"/>
        </w:tabs>
        <w:ind w:left="851" w:hanging="851"/>
        <w:rPr>
          <w:b/>
          <w:sz w:val="24"/>
          <w:szCs w:val="24"/>
        </w:rPr>
      </w:pPr>
      <w:r w:rsidRPr="006734BD">
        <w:rPr>
          <w:b/>
          <w:sz w:val="24"/>
          <w:szCs w:val="24"/>
        </w:rPr>
        <w:t>5.</w:t>
      </w:r>
      <w:r w:rsidRPr="006734BD">
        <w:rPr>
          <w:b/>
          <w:sz w:val="24"/>
          <w:szCs w:val="24"/>
        </w:rPr>
        <w:tab/>
        <w:t>FARMAKOLOGISKE EGENSKABER</w:t>
      </w:r>
    </w:p>
    <w:p w14:paraId="207173E8" w14:textId="77777777" w:rsidR="009260DE" w:rsidRPr="006734BD" w:rsidRDefault="009260DE" w:rsidP="009260DE">
      <w:pPr>
        <w:tabs>
          <w:tab w:val="left" w:pos="851"/>
        </w:tabs>
        <w:ind w:left="851"/>
        <w:rPr>
          <w:sz w:val="24"/>
          <w:szCs w:val="24"/>
        </w:rPr>
      </w:pPr>
    </w:p>
    <w:p w14:paraId="3B783F5B" w14:textId="77777777" w:rsidR="009260DE" w:rsidRPr="006734BD" w:rsidRDefault="009260DE" w:rsidP="009260DE">
      <w:pPr>
        <w:tabs>
          <w:tab w:val="num" w:pos="851"/>
        </w:tabs>
        <w:ind w:left="851" w:hanging="851"/>
        <w:rPr>
          <w:b/>
          <w:sz w:val="24"/>
          <w:szCs w:val="24"/>
        </w:rPr>
      </w:pPr>
      <w:r w:rsidRPr="006734BD">
        <w:rPr>
          <w:b/>
          <w:sz w:val="24"/>
          <w:szCs w:val="24"/>
        </w:rPr>
        <w:t>5.1</w:t>
      </w:r>
      <w:r w:rsidRPr="006734BD">
        <w:rPr>
          <w:b/>
          <w:sz w:val="24"/>
          <w:szCs w:val="24"/>
        </w:rPr>
        <w:tab/>
        <w:t>Farmakodynamiske egenskaber</w:t>
      </w:r>
    </w:p>
    <w:p w14:paraId="0F696408" w14:textId="77777777" w:rsidR="00262686" w:rsidRPr="006734BD" w:rsidRDefault="00262686" w:rsidP="00FA7787">
      <w:pPr>
        <w:ind w:left="851"/>
        <w:rPr>
          <w:sz w:val="24"/>
          <w:szCs w:val="24"/>
        </w:rPr>
      </w:pPr>
      <w:r w:rsidRPr="006734BD">
        <w:rPr>
          <w:sz w:val="24"/>
          <w:szCs w:val="24"/>
        </w:rPr>
        <w:t>Farmakoterapeutisk klassifikation: Glukokortikoider, ATC-kode: H02AB02.</w:t>
      </w:r>
    </w:p>
    <w:p w14:paraId="592F3D01" w14:textId="77777777" w:rsidR="00262686" w:rsidRPr="006734BD" w:rsidRDefault="00262686" w:rsidP="00FA7787">
      <w:pPr>
        <w:ind w:left="851"/>
        <w:rPr>
          <w:sz w:val="24"/>
          <w:szCs w:val="24"/>
        </w:rPr>
      </w:pPr>
    </w:p>
    <w:p w14:paraId="04442EC0" w14:textId="77777777" w:rsidR="00262686" w:rsidRPr="006734BD" w:rsidRDefault="00262686" w:rsidP="00FA7787">
      <w:pPr>
        <w:ind w:left="851"/>
        <w:rPr>
          <w:i/>
          <w:sz w:val="24"/>
          <w:szCs w:val="24"/>
        </w:rPr>
      </w:pPr>
      <w:r w:rsidRPr="006734BD">
        <w:rPr>
          <w:spacing w:val="-1"/>
          <w:sz w:val="24"/>
          <w:szCs w:val="24"/>
        </w:rPr>
        <w:lastRenderedPageBreak/>
        <w:t>Waladex</w:t>
      </w:r>
      <w:r w:rsidRPr="006734BD">
        <w:rPr>
          <w:sz w:val="24"/>
          <w:szCs w:val="24"/>
        </w:rPr>
        <w:t xml:space="preserve"> indeholder dexamethason, der er et syntetisk kortikosteroid med overvejende glukokortikoid virkning. Stoffet har antiallergen, antiinflammatorisk og immunosuppressiv virkning.</w:t>
      </w:r>
    </w:p>
    <w:p w14:paraId="46C237FE" w14:textId="77777777" w:rsidR="00262686" w:rsidRPr="006734BD" w:rsidRDefault="00262686" w:rsidP="00FA7787">
      <w:pPr>
        <w:ind w:left="851"/>
        <w:rPr>
          <w:sz w:val="24"/>
          <w:szCs w:val="24"/>
        </w:rPr>
      </w:pPr>
    </w:p>
    <w:p w14:paraId="23EAE69D" w14:textId="77777777" w:rsidR="00262686" w:rsidRPr="006734BD" w:rsidRDefault="00262686" w:rsidP="00FA7787">
      <w:pPr>
        <w:ind w:left="851"/>
        <w:rPr>
          <w:sz w:val="24"/>
          <w:szCs w:val="24"/>
        </w:rPr>
      </w:pPr>
      <w:r w:rsidRPr="006734BD">
        <w:rPr>
          <w:sz w:val="24"/>
          <w:szCs w:val="24"/>
        </w:rPr>
        <w:t>Følgende omsætningsforhold kan anvendes ved skift til dexamethason fra andre glukokortikoider:</w:t>
      </w:r>
    </w:p>
    <w:p w14:paraId="059DD8A0" w14:textId="77777777" w:rsidR="00262686" w:rsidRPr="006734BD" w:rsidRDefault="00262686" w:rsidP="00FA7787">
      <w:pPr>
        <w:ind w:left="851"/>
        <w:rPr>
          <w:sz w:val="24"/>
          <w:szCs w:val="24"/>
        </w:rPr>
      </w:pPr>
      <w:r w:rsidRPr="006734BD">
        <w:rPr>
          <w:sz w:val="24"/>
          <w:szCs w:val="24"/>
        </w:rPr>
        <w:t>Milligram for milligram er dexamethason tilnærmelsesvis ækvivalent med betamethason, 4</w:t>
      </w:r>
      <w:r w:rsidRPr="006734BD">
        <w:rPr>
          <w:sz w:val="24"/>
          <w:szCs w:val="24"/>
        </w:rPr>
        <w:noBreakHyphen/>
        <w:t>6 gange mere potent end methylprednisolon og triamcinolon, 6</w:t>
      </w:r>
      <w:r w:rsidRPr="006734BD">
        <w:rPr>
          <w:sz w:val="24"/>
          <w:szCs w:val="24"/>
        </w:rPr>
        <w:noBreakHyphen/>
        <w:t>8 gange mere potent end prednison og prednisolon, 25</w:t>
      </w:r>
      <w:r w:rsidRPr="006734BD">
        <w:rPr>
          <w:sz w:val="24"/>
          <w:szCs w:val="24"/>
        </w:rPr>
        <w:noBreakHyphen/>
        <w:t>30 gange mere potent end hydrocortison, og 35 gange mere potent end cortison.</w:t>
      </w:r>
    </w:p>
    <w:p w14:paraId="138C1F76" w14:textId="77777777" w:rsidR="00262686" w:rsidRPr="006734BD" w:rsidRDefault="00262686" w:rsidP="00FA7787">
      <w:pPr>
        <w:ind w:left="851"/>
        <w:rPr>
          <w:sz w:val="24"/>
          <w:szCs w:val="24"/>
        </w:rPr>
      </w:pPr>
    </w:p>
    <w:p w14:paraId="019FA13A" w14:textId="77777777" w:rsidR="00262686" w:rsidRPr="006734BD" w:rsidRDefault="00262686" w:rsidP="00FA7787">
      <w:pPr>
        <w:ind w:left="851"/>
        <w:rPr>
          <w:sz w:val="24"/>
          <w:szCs w:val="24"/>
        </w:rPr>
      </w:pPr>
      <w:r w:rsidRPr="006734BD">
        <w:rPr>
          <w:sz w:val="24"/>
          <w:szCs w:val="24"/>
        </w:rPr>
        <w:t>Virkningen på elektrolytbalancen er ubetydelig og medfører næsten ingen natrium- eller væskeretention. Den hæmmende virkning på hypofysen er stor.</w:t>
      </w:r>
    </w:p>
    <w:p w14:paraId="63F8D9C0" w14:textId="77777777" w:rsidR="00262686" w:rsidRPr="006734BD" w:rsidRDefault="00262686" w:rsidP="00FA7787">
      <w:pPr>
        <w:ind w:left="851"/>
        <w:rPr>
          <w:bCs/>
          <w:noProof/>
          <w:sz w:val="24"/>
          <w:szCs w:val="24"/>
        </w:rPr>
      </w:pPr>
    </w:p>
    <w:p w14:paraId="5CC696FB" w14:textId="77777777" w:rsidR="00262686" w:rsidRPr="00311F23" w:rsidRDefault="00262686" w:rsidP="00FA7787">
      <w:pPr>
        <w:ind w:left="851"/>
        <w:rPr>
          <w:bCs/>
          <w:noProof/>
          <w:sz w:val="24"/>
          <w:szCs w:val="24"/>
          <w:u w:val="single"/>
        </w:rPr>
      </w:pPr>
      <w:r w:rsidRPr="00311F23">
        <w:rPr>
          <w:bCs/>
          <w:noProof/>
          <w:sz w:val="24"/>
          <w:szCs w:val="24"/>
          <w:u w:val="single"/>
        </w:rPr>
        <w:t>Behandling af COVID-19</w:t>
      </w:r>
    </w:p>
    <w:p w14:paraId="499B06A1" w14:textId="233822B6" w:rsidR="00262686" w:rsidRPr="006734BD" w:rsidRDefault="00262686" w:rsidP="00FA7787">
      <w:pPr>
        <w:ind w:left="851"/>
        <w:rPr>
          <w:bCs/>
          <w:noProof/>
          <w:sz w:val="24"/>
          <w:szCs w:val="24"/>
        </w:rPr>
      </w:pPr>
      <w:r w:rsidRPr="006734BD">
        <w:rPr>
          <w:bCs/>
          <w:noProof/>
          <w:sz w:val="24"/>
          <w:szCs w:val="24"/>
        </w:rPr>
        <w:t>RECOVERY-studiet (Randomized Evaluation of COVid-19 thERapY)</w:t>
      </w:r>
      <w:r w:rsidRPr="006734BD">
        <w:rPr>
          <w:rStyle w:val="Fodnotehenvisning"/>
          <w:bCs/>
          <w:noProof/>
          <w:sz w:val="24"/>
          <w:szCs w:val="24"/>
        </w:rPr>
        <w:footnoteReference w:id="1"/>
      </w:r>
      <w:r w:rsidRPr="006734BD">
        <w:rPr>
          <w:color w:val="0000FF"/>
          <w:spacing w:val="-1"/>
          <w:position w:val="7"/>
          <w:sz w:val="24"/>
          <w:szCs w:val="24"/>
        </w:rPr>
        <w:t xml:space="preserve"> </w:t>
      </w:r>
      <w:r w:rsidRPr="006734BD">
        <w:rPr>
          <w:bCs/>
          <w:noProof/>
          <w:sz w:val="24"/>
          <w:szCs w:val="24"/>
        </w:rPr>
        <w:t>er et investigator-initieret, individuelt randomiseret, kontrolleret, åbent, adaptivt platformstudie til evaluering af effekten af potentielle behandlinger hos patienter, der er indlagt med COVID-19.</w:t>
      </w:r>
    </w:p>
    <w:p w14:paraId="5B5A3A75" w14:textId="77777777" w:rsidR="00262686" w:rsidRPr="006734BD" w:rsidRDefault="00262686" w:rsidP="00FA7787">
      <w:pPr>
        <w:ind w:left="851"/>
        <w:rPr>
          <w:bCs/>
          <w:noProof/>
          <w:sz w:val="24"/>
          <w:szCs w:val="24"/>
        </w:rPr>
      </w:pPr>
      <w:r w:rsidRPr="006734BD">
        <w:rPr>
          <w:bCs/>
          <w:noProof/>
          <w:sz w:val="24"/>
          <w:szCs w:val="24"/>
        </w:rPr>
        <w:t>Studiet blev udført på 176 hospitalsafdelinger i Storbritannien.</w:t>
      </w:r>
    </w:p>
    <w:p w14:paraId="2F8190E4" w14:textId="77777777" w:rsidR="00262686" w:rsidRPr="006734BD" w:rsidRDefault="00262686" w:rsidP="00FA7787">
      <w:pPr>
        <w:ind w:left="851"/>
        <w:rPr>
          <w:bCs/>
          <w:noProof/>
          <w:sz w:val="24"/>
          <w:szCs w:val="24"/>
        </w:rPr>
      </w:pPr>
      <w:r w:rsidRPr="006734BD">
        <w:rPr>
          <w:bCs/>
          <w:noProof/>
          <w:sz w:val="24"/>
          <w:szCs w:val="24"/>
        </w:rPr>
        <w:t>6.425 patienter blev randomiserede til enten at få dexamethason (2.104 patienter) eller almindelig pleje alene (4.321 patienter). 89 % af patienterne havde laboratoriebekræftet SARS</w:t>
      </w:r>
      <w:r w:rsidRPr="006734BD">
        <w:rPr>
          <w:bCs/>
          <w:noProof/>
          <w:sz w:val="24"/>
          <w:szCs w:val="24"/>
        </w:rPr>
        <w:noBreakHyphen/>
        <w:t>CoV</w:t>
      </w:r>
      <w:r w:rsidRPr="006734BD">
        <w:rPr>
          <w:bCs/>
          <w:noProof/>
          <w:sz w:val="24"/>
          <w:szCs w:val="24"/>
        </w:rPr>
        <w:noBreakHyphen/>
        <w:t>2</w:t>
      </w:r>
      <w:r w:rsidRPr="006734BD">
        <w:rPr>
          <w:bCs/>
          <w:noProof/>
          <w:sz w:val="24"/>
          <w:szCs w:val="24"/>
        </w:rPr>
        <w:noBreakHyphen/>
        <w:t>infektion.</w:t>
      </w:r>
    </w:p>
    <w:p w14:paraId="18A0545F" w14:textId="77777777" w:rsidR="00262686" w:rsidRPr="006734BD" w:rsidRDefault="00262686" w:rsidP="00FA7787">
      <w:pPr>
        <w:ind w:left="851"/>
        <w:rPr>
          <w:noProof/>
          <w:sz w:val="24"/>
          <w:szCs w:val="24"/>
        </w:rPr>
      </w:pPr>
      <w:r w:rsidRPr="006734BD">
        <w:rPr>
          <w:noProof/>
          <w:sz w:val="24"/>
          <w:szCs w:val="24"/>
        </w:rPr>
        <w:t>Ved randomisering fik 16 % af patienterne invasiv mekanisk ventilation eller ekstrakorporal membranoxygenering, 60 % fik kun ilt (med eller uden non</w:t>
      </w:r>
      <w:r w:rsidRPr="006734BD">
        <w:rPr>
          <w:noProof/>
          <w:sz w:val="24"/>
          <w:szCs w:val="24"/>
        </w:rPr>
        <w:noBreakHyphen/>
        <w:t>invasiv ventilation) og 24 % fik ingen af delene.</w:t>
      </w:r>
    </w:p>
    <w:p w14:paraId="59D1764F" w14:textId="77777777" w:rsidR="00262686" w:rsidRPr="006734BD" w:rsidRDefault="00262686" w:rsidP="00FA7787">
      <w:pPr>
        <w:ind w:left="851"/>
        <w:rPr>
          <w:noProof/>
          <w:sz w:val="24"/>
          <w:szCs w:val="24"/>
        </w:rPr>
      </w:pPr>
      <w:r w:rsidRPr="006734BD">
        <w:rPr>
          <w:noProof/>
          <w:sz w:val="24"/>
          <w:szCs w:val="24"/>
        </w:rPr>
        <w:t>Patienternes gennemsnitsalder var 66,1+/-15,7 år. 36 % af patienterne var kvinder. 24 % af patienterne havde diabetes, 27 % havde hjertesygdom og 21 % havde kronisk lungesygdom.</w:t>
      </w:r>
    </w:p>
    <w:p w14:paraId="53B49E92" w14:textId="77777777" w:rsidR="00262686" w:rsidRPr="006734BD" w:rsidRDefault="00262686" w:rsidP="00FA7787">
      <w:pPr>
        <w:ind w:left="851"/>
        <w:rPr>
          <w:noProof/>
          <w:sz w:val="24"/>
          <w:szCs w:val="24"/>
        </w:rPr>
      </w:pPr>
    </w:p>
    <w:p w14:paraId="53343A21" w14:textId="77777777" w:rsidR="00262686" w:rsidRPr="006734BD" w:rsidRDefault="00262686" w:rsidP="00FA7787">
      <w:pPr>
        <w:ind w:left="851"/>
        <w:rPr>
          <w:b/>
          <w:noProof/>
          <w:sz w:val="24"/>
          <w:szCs w:val="24"/>
        </w:rPr>
      </w:pPr>
      <w:r w:rsidRPr="006734BD">
        <w:rPr>
          <w:b/>
          <w:noProof/>
          <w:sz w:val="24"/>
          <w:szCs w:val="24"/>
        </w:rPr>
        <w:t>Primært endepunkt</w:t>
      </w:r>
    </w:p>
    <w:p w14:paraId="15A6DDD5" w14:textId="77777777" w:rsidR="00262686" w:rsidRPr="006734BD" w:rsidRDefault="00262686" w:rsidP="00FA7787">
      <w:pPr>
        <w:ind w:left="851"/>
        <w:rPr>
          <w:noProof/>
          <w:sz w:val="24"/>
          <w:szCs w:val="24"/>
        </w:rPr>
      </w:pPr>
      <w:r w:rsidRPr="006734BD">
        <w:rPr>
          <w:noProof/>
          <w:sz w:val="24"/>
          <w:szCs w:val="24"/>
        </w:rPr>
        <w:t>Dødeligheden efter 28 dage var signifikant lavere i dexamethasongruppen end i gruppen, der fik almindelig pleje, med rapporterede dødsfald hos henholdsvis 482 ud af 2.104 patienter (22,9 %) og hos 1.110 ud af 4.321 patienter (25,7 %) (rate ratio, 0,83; 95 % konfidensinterval [CI], 0,75</w:t>
      </w:r>
      <w:r w:rsidRPr="006734BD">
        <w:rPr>
          <w:noProof/>
          <w:sz w:val="24"/>
          <w:szCs w:val="24"/>
        </w:rPr>
        <w:noBreakHyphen/>
        <w:t>0,93; p&lt;0,001).</w:t>
      </w:r>
    </w:p>
    <w:p w14:paraId="3D98DFB0" w14:textId="77777777" w:rsidR="00262686" w:rsidRPr="006734BD" w:rsidRDefault="00262686" w:rsidP="00FA7787">
      <w:pPr>
        <w:ind w:left="851"/>
        <w:rPr>
          <w:noProof/>
          <w:sz w:val="24"/>
          <w:szCs w:val="24"/>
        </w:rPr>
      </w:pPr>
    </w:p>
    <w:p w14:paraId="2CCA3C54" w14:textId="77777777" w:rsidR="00262686" w:rsidRPr="006734BD" w:rsidRDefault="00262686" w:rsidP="00FA7787">
      <w:pPr>
        <w:ind w:left="851"/>
        <w:rPr>
          <w:noProof/>
          <w:sz w:val="24"/>
          <w:szCs w:val="24"/>
        </w:rPr>
      </w:pPr>
      <w:r w:rsidRPr="006734BD">
        <w:rPr>
          <w:noProof/>
          <w:sz w:val="24"/>
          <w:szCs w:val="24"/>
        </w:rPr>
        <w:t>I dexamethasongruppen var incidensen af dødsfald lavere end i gruppen, der fik almindelig pleje, blandt patienter, der fik invasiv mekanisk ventilation (29,3 % vs. 41,4 %; rate ratio, 0,64; 95 % CI, 0,51</w:t>
      </w:r>
      <w:r w:rsidRPr="006734BD">
        <w:rPr>
          <w:noProof/>
          <w:sz w:val="24"/>
          <w:szCs w:val="24"/>
        </w:rPr>
        <w:noBreakHyphen/>
        <w:t>0,81), og hos patienter, der fik supplerende iltbehandling uden invasiv mekanisk ventilation (23,3 % vs. 26,2 %; rate ratio, 0,82; 95 % CI, 0,72</w:t>
      </w:r>
      <w:r w:rsidRPr="006734BD">
        <w:rPr>
          <w:noProof/>
          <w:sz w:val="24"/>
          <w:szCs w:val="24"/>
        </w:rPr>
        <w:noBreakHyphen/>
        <w:t>0,94).</w:t>
      </w:r>
    </w:p>
    <w:p w14:paraId="657930BD" w14:textId="77777777" w:rsidR="00262686" w:rsidRPr="006734BD" w:rsidRDefault="00262686" w:rsidP="00FA7787">
      <w:pPr>
        <w:ind w:left="851"/>
        <w:rPr>
          <w:noProof/>
          <w:sz w:val="24"/>
          <w:szCs w:val="24"/>
        </w:rPr>
      </w:pPr>
      <w:r w:rsidRPr="006734BD">
        <w:rPr>
          <w:noProof/>
          <w:sz w:val="24"/>
          <w:szCs w:val="24"/>
        </w:rPr>
        <w:t>Der var ingen klar effekt af dexamethason blandt patienter, der ikke fik respiratorisk støtte ved randomisering (17,8 % vs. 14,0 %; rate ratio, 1,19; 95 % CI, 0,91</w:t>
      </w:r>
      <w:r w:rsidRPr="006734BD">
        <w:rPr>
          <w:noProof/>
          <w:sz w:val="24"/>
          <w:szCs w:val="24"/>
        </w:rPr>
        <w:noBreakHyphen/>
        <w:t>1,55).</w:t>
      </w:r>
    </w:p>
    <w:p w14:paraId="754FB4C6" w14:textId="77777777" w:rsidR="00262686" w:rsidRPr="006734BD" w:rsidRDefault="00262686" w:rsidP="00FA7787">
      <w:pPr>
        <w:ind w:left="851"/>
        <w:rPr>
          <w:noProof/>
          <w:sz w:val="24"/>
          <w:szCs w:val="24"/>
        </w:rPr>
      </w:pPr>
    </w:p>
    <w:p w14:paraId="0DD70246" w14:textId="77777777" w:rsidR="00262686" w:rsidRPr="006734BD" w:rsidRDefault="00262686" w:rsidP="00FA7787">
      <w:pPr>
        <w:ind w:left="851"/>
        <w:rPr>
          <w:b/>
          <w:noProof/>
          <w:sz w:val="24"/>
          <w:szCs w:val="24"/>
        </w:rPr>
      </w:pPr>
      <w:r w:rsidRPr="006734BD">
        <w:rPr>
          <w:b/>
          <w:noProof/>
          <w:sz w:val="24"/>
          <w:szCs w:val="24"/>
        </w:rPr>
        <w:t>Sekundære endepunkter</w:t>
      </w:r>
    </w:p>
    <w:p w14:paraId="0C7EF21A" w14:textId="77777777" w:rsidR="00262686" w:rsidRPr="006734BD" w:rsidRDefault="00262686" w:rsidP="00FA7787">
      <w:pPr>
        <w:ind w:left="851"/>
        <w:rPr>
          <w:noProof/>
          <w:sz w:val="24"/>
          <w:szCs w:val="24"/>
        </w:rPr>
      </w:pPr>
      <w:r w:rsidRPr="006734BD">
        <w:rPr>
          <w:noProof/>
          <w:sz w:val="24"/>
          <w:szCs w:val="24"/>
        </w:rPr>
        <w:t>Patienterne i dexamethasongruppen havde en kortere indlæggelsestid end patienterne i gruppen, der fik almindelig pleje (gennemsnit, 12 dage vs. 13 dage), og en større sandsynlighed for at blive udskrevet i live inden for 28 dage (rate ratio, 1,10; 95 % CI, 1,03</w:t>
      </w:r>
      <w:r w:rsidRPr="006734BD">
        <w:rPr>
          <w:noProof/>
          <w:sz w:val="24"/>
          <w:szCs w:val="24"/>
        </w:rPr>
        <w:noBreakHyphen/>
        <w:t>1,17).</w:t>
      </w:r>
    </w:p>
    <w:p w14:paraId="7D1A8B89" w14:textId="77777777" w:rsidR="00262686" w:rsidRPr="006734BD" w:rsidRDefault="00262686" w:rsidP="00FA7787">
      <w:pPr>
        <w:ind w:left="851"/>
        <w:rPr>
          <w:noProof/>
          <w:sz w:val="24"/>
          <w:szCs w:val="24"/>
        </w:rPr>
      </w:pPr>
      <w:r w:rsidRPr="006734BD">
        <w:rPr>
          <w:noProof/>
          <w:sz w:val="24"/>
          <w:szCs w:val="24"/>
        </w:rPr>
        <w:t xml:space="preserve">I overensstemmelse med det primære endepunkt sås den største effekt med hensyn til udskrivelse inden for 28 dage blandt patienter, der fik invasiv mekanisk ventilation ved </w:t>
      </w:r>
      <w:r w:rsidRPr="006734BD">
        <w:rPr>
          <w:noProof/>
          <w:sz w:val="24"/>
          <w:szCs w:val="24"/>
        </w:rPr>
        <w:lastRenderedPageBreak/>
        <w:t>randomisering (rate ratio 1,48; 95 % CI 1,16</w:t>
      </w:r>
      <w:r w:rsidRPr="006734BD">
        <w:rPr>
          <w:noProof/>
          <w:sz w:val="24"/>
          <w:szCs w:val="24"/>
        </w:rPr>
        <w:noBreakHyphen/>
        <w:t>1,90), efterfulgt af ilt alene (rate ratio, 1,15; 95 % CI, 1,06</w:t>
      </w:r>
      <w:r w:rsidRPr="006734BD">
        <w:rPr>
          <w:noProof/>
          <w:sz w:val="24"/>
          <w:szCs w:val="24"/>
        </w:rPr>
        <w:noBreakHyphen/>
        <w:t>1,24) og ingen gavnlig effekt hos patienter, der ikke fik ilt (rate ratio, 0,96; 95 % CI, 0,85</w:t>
      </w:r>
      <w:r w:rsidRPr="006734BD">
        <w:rPr>
          <w:noProof/>
          <w:sz w:val="24"/>
          <w:szCs w:val="24"/>
        </w:rPr>
        <w:noBreakHyphen/>
        <w:t>1,08).</w:t>
      </w:r>
    </w:p>
    <w:p w14:paraId="7E67FA88" w14:textId="77777777" w:rsidR="00262686" w:rsidRPr="006734BD" w:rsidRDefault="00262686" w:rsidP="00FA7787">
      <w:pPr>
        <w:ind w:left="851"/>
        <w:rPr>
          <w:noProof/>
          <w:sz w:val="24"/>
          <w:szCs w:val="24"/>
        </w:rPr>
      </w:pPr>
    </w:p>
    <w:p w14:paraId="760325AB" w14:textId="77777777" w:rsidR="00262686" w:rsidRPr="006734BD" w:rsidRDefault="00262686" w:rsidP="00FA7787">
      <w:pPr>
        <w:rPr>
          <w:b/>
          <w:noProof/>
          <w:sz w:val="24"/>
          <w:szCs w:val="24"/>
        </w:rPr>
      </w:pPr>
      <w:r w:rsidRPr="006734BD">
        <w:rPr>
          <w:b/>
          <w:sz w:val="24"/>
          <w:szCs w:val="24"/>
        </w:rPr>
        <w:t>Tabel</w:t>
      </w:r>
      <w:r w:rsidRPr="006734BD">
        <w:rPr>
          <w:b/>
          <w:spacing w:val="-6"/>
          <w:sz w:val="24"/>
          <w:szCs w:val="24"/>
        </w:rPr>
        <w:t xml:space="preserve"> </w:t>
      </w:r>
      <w:r w:rsidRPr="006734BD">
        <w:rPr>
          <w:b/>
          <w:sz w:val="24"/>
          <w:szCs w:val="24"/>
        </w:rPr>
        <w:t>2.</w:t>
      </w:r>
      <w:r w:rsidRPr="006734BD">
        <w:rPr>
          <w:b/>
          <w:spacing w:val="-5"/>
          <w:sz w:val="24"/>
          <w:szCs w:val="24"/>
        </w:rPr>
        <w:t xml:space="preserve"> </w:t>
      </w:r>
      <w:r w:rsidRPr="006734BD">
        <w:rPr>
          <w:b/>
          <w:spacing w:val="-1"/>
          <w:sz w:val="24"/>
          <w:szCs w:val="24"/>
        </w:rPr>
        <w:t>Primære</w:t>
      </w:r>
      <w:r w:rsidRPr="006734BD">
        <w:rPr>
          <w:b/>
          <w:spacing w:val="-5"/>
          <w:sz w:val="24"/>
          <w:szCs w:val="24"/>
        </w:rPr>
        <w:t xml:space="preserve"> og</w:t>
      </w:r>
      <w:r w:rsidRPr="006734BD">
        <w:rPr>
          <w:b/>
          <w:spacing w:val="-7"/>
          <w:sz w:val="24"/>
          <w:szCs w:val="24"/>
        </w:rPr>
        <w:t xml:space="preserve"> s</w:t>
      </w:r>
      <w:r w:rsidRPr="006734BD">
        <w:rPr>
          <w:b/>
          <w:spacing w:val="-1"/>
          <w:sz w:val="24"/>
          <w:szCs w:val="24"/>
        </w:rPr>
        <w:t>ekundære</w:t>
      </w:r>
      <w:r w:rsidRPr="006734BD">
        <w:rPr>
          <w:b/>
          <w:spacing w:val="-5"/>
          <w:sz w:val="24"/>
          <w:szCs w:val="24"/>
        </w:rPr>
        <w:t xml:space="preserve"> </w:t>
      </w:r>
      <w:r w:rsidRPr="006734BD">
        <w:rPr>
          <w:b/>
          <w:sz w:val="24"/>
          <w:szCs w:val="24"/>
        </w:rPr>
        <w:t>resultater.</w:t>
      </w:r>
    </w:p>
    <w:tbl>
      <w:tblPr>
        <w:tblStyle w:val="TableNormal1"/>
        <w:tblW w:w="5000" w:type="pct"/>
        <w:tblInd w:w="0" w:type="dxa"/>
        <w:tblLook w:val="01E0" w:firstRow="1" w:lastRow="1" w:firstColumn="1" w:lastColumn="1" w:noHBand="0" w:noVBand="0"/>
      </w:tblPr>
      <w:tblGrid>
        <w:gridCol w:w="2407"/>
        <w:gridCol w:w="2407"/>
        <w:gridCol w:w="2407"/>
        <w:gridCol w:w="2407"/>
      </w:tblGrid>
      <w:tr w:rsidR="00262686" w:rsidRPr="009F2D04" w14:paraId="515DA03A" w14:textId="77777777" w:rsidTr="00FA7787">
        <w:trPr>
          <w:trHeight w:val="20"/>
        </w:trPr>
        <w:tc>
          <w:tcPr>
            <w:tcW w:w="1250" w:type="pct"/>
            <w:tcBorders>
              <w:top w:val="single" w:sz="4" w:space="0" w:color="000000"/>
              <w:left w:val="single" w:sz="4" w:space="0" w:color="000000"/>
              <w:bottom w:val="single" w:sz="4" w:space="0" w:color="000000"/>
              <w:right w:val="single" w:sz="4" w:space="0" w:color="000000"/>
            </w:tcBorders>
          </w:tcPr>
          <w:p w14:paraId="71C91178" w14:textId="77777777" w:rsidR="00262686" w:rsidRPr="006734BD" w:rsidRDefault="00262686" w:rsidP="00FA7787">
            <w:pPr>
              <w:rPr>
                <w:rFonts w:ascii="Times New Roman" w:hAnsi="Times New Roman" w:cs="Times New Roman"/>
                <w:b/>
                <w:sz w:val="24"/>
                <w:szCs w:val="24"/>
                <w:lang w:val="da-DK"/>
              </w:rPr>
            </w:pPr>
          </w:p>
          <w:p w14:paraId="49B02EA4" w14:textId="77777777" w:rsidR="00262686" w:rsidRPr="006734BD" w:rsidRDefault="00262686" w:rsidP="00FA7787">
            <w:pPr>
              <w:rPr>
                <w:rFonts w:ascii="Times New Roman" w:hAnsi="Times New Roman" w:cs="Times New Roman"/>
                <w:b/>
                <w:sz w:val="24"/>
                <w:szCs w:val="24"/>
                <w:lang w:val="da-DK"/>
              </w:rPr>
            </w:pPr>
            <w:r w:rsidRPr="006734BD">
              <w:rPr>
                <w:rFonts w:ascii="Times New Roman" w:hAnsi="Times New Roman" w:cs="Times New Roman"/>
                <w:b/>
                <w:sz w:val="24"/>
                <w:szCs w:val="24"/>
                <w:lang w:val="da-DK"/>
              </w:rPr>
              <w:t>Resultat</w:t>
            </w:r>
          </w:p>
        </w:tc>
        <w:tc>
          <w:tcPr>
            <w:tcW w:w="1250" w:type="pct"/>
            <w:tcBorders>
              <w:top w:val="single" w:sz="4" w:space="0" w:color="000000"/>
              <w:left w:val="single" w:sz="4" w:space="0" w:color="000000"/>
              <w:bottom w:val="single" w:sz="4" w:space="0" w:color="000000"/>
              <w:right w:val="single" w:sz="4" w:space="0" w:color="000000"/>
            </w:tcBorders>
            <w:hideMark/>
          </w:tcPr>
          <w:p w14:paraId="06FA21C6" w14:textId="77777777" w:rsidR="00262686" w:rsidRPr="006734BD" w:rsidRDefault="00262686" w:rsidP="00FA7787">
            <w:pPr>
              <w:rPr>
                <w:rFonts w:ascii="Times New Roman" w:hAnsi="Times New Roman" w:cs="Times New Roman"/>
                <w:b/>
                <w:sz w:val="24"/>
                <w:szCs w:val="24"/>
                <w:lang w:val="da-DK"/>
              </w:rPr>
            </w:pPr>
            <w:r w:rsidRPr="006734BD">
              <w:rPr>
                <w:rFonts w:ascii="Times New Roman" w:hAnsi="Times New Roman" w:cs="Times New Roman"/>
                <w:b/>
                <w:spacing w:val="-1"/>
                <w:sz w:val="24"/>
                <w:szCs w:val="24"/>
                <w:lang w:val="da-DK"/>
              </w:rPr>
              <w:t>Dexamethason</w:t>
            </w:r>
            <w:r w:rsidRPr="006734BD">
              <w:rPr>
                <w:rFonts w:ascii="Times New Roman" w:hAnsi="Times New Roman" w:cs="Times New Roman"/>
                <w:b/>
                <w:spacing w:val="20"/>
                <w:sz w:val="24"/>
                <w:szCs w:val="24"/>
                <w:lang w:val="da-DK"/>
              </w:rPr>
              <w:t xml:space="preserve"> </w:t>
            </w:r>
            <w:r w:rsidRPr="006734BD">
              <w:rPr>
                <w:rFonts w:ascii="Times New Roman" w:hAnsi="Times New Roman" w:cs="Times New Roman"/>
                <w:b/>
                <w:sz w:val="24"/>
                <w:szCs w:val="24"/>
                <w:lang w:val="da-DK"/>
              </w:rPr>
              <w:t>(N = 2.104)</w:t>
            </w:r>
          </w:p>
        </w:tc>
        <w:tc>
          <w:tcPr>
            <w:tcW w:w="1250" w:type="pct"/>
            <w:tcBorders>
              <w:top w:val="single" w:sz="4" w:space="0" w:color="000000"/>
              <w:left w:val="single" w:sz="4" w:space="0" w:color="000000"/>
              <w:bottom w:val="single" w:sz="4" w:space="0" w:color="000000"/>
              <w:right w:val="single" w:sz="4" w:space="0" w:color="000000"/>
            </w:tcBorders>
            <w:hideMark/>
          </w:tcPr>
          <w:p w14:paraId="44EE5463" w14:textId="77777777" w:rsidR="00262686" w:rsidRPr="006734BD" w:rsidRDefault="00262686" w:rsidP="00FA7787">
            <w:pPr>
              <w:rPr>
                <w:rFonts w:ascii="Times New Roman" w:hAnsi="Times New Roman" w:cs="Times New Roman"/>
                <w:b/>
                <w:sz w:val="24"/>
                <w:szCs w:val="24"/>
                <w:lang w:val="da-DK"/>
              </w:rPr>
            </w:pPr>
            <w:r w:rsidRPr="006734BD">
              <w:rPr>
                <w:rFonts w:ascii="Times New Roman" w:hAnsi="Times New Roman" w:cs="Times New Roman"/>
                <w:b/>
                <w:spacing w:val="-1"/>
                <w:sz w:val="24"/>
                <w:szCs w:val="24"/>
                <w:lang w:val="da-DK"/>
              </w:rPr>
              <w:t xml:space="preserve">Almindelig pleje </w:t>
            </w:r>
            <w:r w:rsidRPr="006734BD">
              <w:rPr>
                <w:rFonts w:ascii="Times New Roman" w:hAnsi="Times New Roman" w:cs="Times New Roman"/>
                <w:b/>
                <w:sz w:val="24"/>
                <w:szCs w:val="24"/>
                <w:lang w:val="da-DK"/>
              </w:rPr>
              <w:t>(N = 4.321)</w:t>
            </w:r>
          </w:p>
        </w:tc>
        <w:tc>
          <w:tcPr>
            <w:tcW w:w="1250" w:type="pct"/>
            <w:tcBorders>
              <w:top w:val="single" w:sz="4" w:space="0" w:color="000000"/>
              <w:left w:val="single" w:sz="4" w:space="0" w:color="000000"/>
              <w:bottom w:val="single" w:sz="4" w:space="0" w:color="000000"/>
              <w:right w:val="single" w:sz="4" w:space="0" w:color="000000"/>
            </w:tcBorders>
            <w:hideMark/>
          </w:tcPr>
          <w:p w14:paraId="0628414B" w14:textId="77777777" w:rsidR="00262686" w:rsidRPr="00B978BF" w:rsidRDefault="00262686" w:rsidP="00FA7787">
            <w:pPr>
              <w:rPr>
                <w:rFonts w:ascii="Times New Roman" w:hAnsi="Times New Roman" w:cs="Times New Roman"/>
                <w:b/>
                <w:sz w:val="24"/>
                <w:szCs w:val="24"/>
              </w:rPr>
            </w:pPr>
            <w:r w:rsidRPr="00B978BF">
              <w:rPr>
                <w:rFonts w:ascii="Times New Roman" w:hAnsi="Times New Roman" w:cs="Times New Roman"/>
                <w:b/>
                <w:spacing w:val="-1"/>
                <w:sz w:val="24"/>
                <w:szCs w:val="24"/>
              </w:rPr>
              <w:t xml:space="preserve">Rate </w:t>
            </w:r>
            <w:r w:rsidRPr="00B978BF">
              <w:rPr>
                <w:rFonts w:ascii="Times New Roman" w:hAnsi="Times New Roman" w:cs="Times New Roman"/>
                <w:b/>
                <w:sz w:val="24"/>
                <w:szCs w:val="24"/>
              </w:rPr>
              <w:t>eller</w:t>
            </w:r>
            <w:r w:rsidRPr="00B978BF">
              <w:rPr>
                <w:rFonts w:ascii="Times New Roman" w:hAnsi="Times New Roman" w:cs="Times New Roman"/>
                <w:b/>
                <w:spacing w:val="-1"/>
                <w:sz w:val="24"/>
                <w:szCs w:val="24"/>
              </w:rPr>
              <w:t xml:space="preserve"> risk ratio</w:t>
            </w:r>
            <w:r w:rsidRPr="00B978BF">
              <w:rPr>
                <w:rFonts w:ascii="Times New Roman" w:hAnsi="Times New Roman" w:cs="Times New Roman"/>
                <w:b/>
                <w:spacing w:val="22"/>
                <w:sz w:val="24"/>
                <w:szCs w:val="24"/>
              </w:rPr>
              <w:t xml:space="preserve"> </w:t>
            </w:r>
            <w:r w:rsidRPr="00B978BF">
              <w:rPr>
                <w:rFonts w:ascii="Times New Roman" w:hAnsi="Times New Roman" w:cs="Times New Roman"/>
                <w:b/>
                <w:sz w:val="24"/>
                <w:szCs w:val="24"/>
              </w:rPr>
              <w:t xml:space="preserve">(95 % </w:t>
            </w:r>
            <w:r w:rsidRPr="00B978BF">
              <w:rPr>
                <w:rFonts w:ascii="Times New Roman" w:hAnsi="Times New Roman" w:cs="Times New Roman"/>
                <w:b/>
                <w:spacing w:val="-1"/>
                <w:sz w:val="24"/>
                <w:szCs w:val="24"/>
              </w:rPr>
              <w:t>CI)*</w:t>
            </w:r>
          </w:p>
        </w:tc>
      </w:tr>
      <w:tr w:rsidR="00262686" w:rsidRPr="006734BD" w14:paraId="2DD5EA4C" w14:textId="77777777" w:rsidTr="00FA7787">
        <w:trPr>
          <w:trHeight w:val="20"/>
        </w:trPr>
        <w:tc>
          <w:tcPr>
            <w:tcW w:w="1250" w:type="pct"/>
            <w:tcBorders>
              <w:top w:val="single" w:sz="4" w:space="0" w:color="000000"/>
              <w:left w:val="single" w:sz="4" w:space="0" w:color="000000"/>
              <w:bottom w:val="single" w:sz="4" w:space="0" w:color="000000"/>
              <w:right w:val="single" w:sz="4" w:space="0" w:color="000000"/>
            </w:tcBorders>
          </w:tcPr>
          <w:p w14:paraId="0FD8C3F0" w14:textId="77777777" w:rsidR="00262686" w:rsidRPr="00B978BF" w:rsidRDefault="00262686" w:rsidP="00FA7787">
            <w:pPr>
              <w:jc w:val="center"/>
              <w:rPr>
                <w:rFonts w:ascii="Times New Roman" w:hAnsi="Times New Roman" w:cs="Times New Roman"/>
                <w:sz w:val="24"/>
                <w:szCs w:val="24"/>
              </w:rPr>
            </w:pPr>
          </w:p>
        </w:tc>
        <w:tc>
          <w:tcPr>
            <w:tcW w:w="3750" w:type="pct"/>
            <w:gridSpan w:val="3"/>
            <w:tcBorders>
              <w:top w:val="single" w:sz="4" w:space="0" w:color="000000"/>
              <w:left w:val="single" w:sz="4" w:space="0" w:color="000000"/>
              <w:bottom w:val="single" w:sz="4" w:space="0" w:color="000000"/>
              <w:right w:val="single" w:sz="4" w:space="0" w:color="000000"/>
            </w:tcBorders>
            <w:hideMark/>
          </w:tcPr>
          <w:p w14:paraId="09E19320" w14:textId="77777777" w:rsidR="00262686" w:rsidRPr="006734BD" w:rsidRDefault="00262686" w:rsidP="00FA7787">
            <w:pPr>
              <w:jc w:val="center"/>
              <w:rPr>
                <w:rFonts w:ascii="Times New Roman" w:hAnsi="Times New Roman" w:cs="Times New Roman"/>
                <w:sz w:val="24"/>
                <w:szCs w:val="24"/>
                <w:lang w:val="da-DK"/>
              </w:rPr>
            </w:pPr>
            <w:r w:rsidRPr="006734BD">
              <w:rPr>
                <w:rFonts w:ascii="Times New Roman" w:hAnsi="Times New Roman" w:cs="Times New Roman"/>
                <w:i/>
                <w:spacing w:val="-1"/>
                <w:sz w:val="24"/>
                <w:szCs w:val="24"/>
                <w:lang w:val="da-DK"/>
              </w:rPr>
              <w:t>antal/samlet antal</w:t>
            </w:r>
            <w:r w:rsidRPr="006734BD">
              <w:rPr>
                <w:rFonts w:ascii="Times New Roman" w:hAnsi="Times New Roman" w:cs="Times New Roman"/>
                <w:i/>
                <w:spacing w:val="-4"/>
                <w:sz w:val="24"/>
                <w:szCs w:val="24"/>
                <w:lang w:val="da-DK"/>
              </w:rPr>
              <w:t xml:space="preserve"> </w:t>
            </w:r>
            <w:r w:rsidRPr="006734BD">
              <w:rPr>
                <w:rFonts w:ascii="Times New Roman" w:hAnsi="Times New Roman" w:cs="Times New Roman"/>
                <w:i/>
                <w:sz w:val="24"/>
                <w:szCs w:val="24"/>
                <w:lang w:val="da-DK"/>
              </w:rPr>
              <w:t>patienter</w:t>
            </w:r>
            <w:r w:rsidRPr="006734BD">
              <w:rPr>
                <w:rFonts w:ascii="Times New Roman" w:hAnsi="Times New Roman" w:cs="Times New Roman"/>
                <w:i/>
                <w:spacing w:val="-4"/>
                <w:sz w:val="24"/>
                <w:szCs w:val="24"/>
                <w:lang w:val="da-DK"/>
              </w:rPr>
              <w:t xml:space="preserve"> </w:t>
            </w:r>
            <w:r w:rsidRPr="006734BD">
              <w:rPr>
                <w:rFonts w:ascii="Times New Roman" w:hAnsi="Times New Roman" w:cs="Times New Roman"/>
                <w:i/>
                <w:sz w:val="24"/>
                <w:szCs w:val="24"/>
                <w:lang w:val="da-DK"/>
              </w:rPr>
              <w:t>(%)</w:t>
            </w:r>
          </w:p>
        </w:tc>
      </w:tr>
      <w:tr w:rsidR="00262686" w:rsidRPr="006734BD" w14:paraId="3AD9D245" w14:textId="77777777" w:rsidTr="00FA7787">
        <w:trPr>
          <w:trHeight w:val="20"/>
        </w:trPr>
        <w:tc>
          <w:tcPr>
            <w:tcW w:w="1250" w:type="pct"/>
            <w:tcBorders>
              <w:top w:val="single" w:sz="4" w:space="0" w:color="000000"/>
              <w:left w:val="single" w:sz="4" w:space="0" w:color="000000"/>
              <w:bottom w:val="single" w:sz="4" w:space="0" w:color="000000"/>
              <w:right w:val="single" w:sz="4" w:space="0" w:color="000000"/>
            </w:tcBorders>
            <w:shd w:val="clear" w:color="auto" w:fill="F6F6F6"/>
            <w:hideMark/>
          </w:tcPr>
          <w:p w14:paraId="028A3DE1" w14:textId="77777777" w:rsidR="00262686" w:rsidRPr="006734BD" w:rsidRDefault="00262686" w:rsidP="00FA7787">
            <w:pPr>
              <w:rPr>
                <w:rFonts w:ascii="Times New Roman" w:hAnsi="Times New Roman" w:cs="Times New Roman"/>
                <w:b/>
                <w:sz w:val="24"/>
                <w:szCs w:val="24"/>
                <w:lang w:val="da-DK"/>
              </w:rPr>
            </w:pPr>
            <w:r w:rsidRPr="006734BD">
              <w:rPr>
                <w:rFonts w:ascii="Times New Roman" w:hAnsi="Times New Roman" w:cs="Times New Roman"/>
                <w:b/>
                <w:spacing w:val="-1"/>
                <w:sz w:val="24"/>
                <w:szCs w:val="24"/>
                <w:lang w:val="da-DK"/>
              </w:rPr>
              <w:t>Primært resultat</w:t>
            </w:r>
          </w:p>
        </w:tc>
        <w:tc>
          <w:tcPr>
            <w:tcW w:w="1250" w:type="pct"/>
            <w:tcBorders>
              <w:top w:val="single" w:sz="4" w:space="0" w:color="000000"/>
              <w:left w:val="single" w:sz="4" w:space="0" w:color="000000"/>
              <w:bottom w:val="single" w:sz="4" w:space="0" w:color="000000"/>
              <w:right w:val="single" w:sz="4" w:space="0" w:color="000000"/>
            </w:tcBorders>
            <w:shd w:val="clear" w:color="auto" w:fill="F6F6F6"/>
          </w:tcPr>
          <w:p w14:paraId="0C74932B" w14:textId="77777777" w:rsidR="00262686" w:rsidRPr="006734BD" w:rsidRDefault="00262686" w:rsidP="00FA7787">
            <w:pPr>
              <w:rPr>
                <w:rFonts w:ascii="Times New Roman" w:hAnsi="Times New Roman" w:cs="Times New Roman"/>
                <w:b/>
                <w:sz w:val="24"/>
                <w:szCs w:val="24"/>
                <w:lang w:val="da-DK"/>
              </w:rPr>
            </w:pPr>
          </w:p>
        </w:tc>
        <w:tc>
          <w:tcPr>
            <w:tcW w:w="1250" w:type="pct"/>
            <w:tcBorders>
              <w:top w:val="single" w:sz="4" w:space="0" w:color="000000"/>
              <w:left w:val="single" w:sz="4" w:space="0" w:color="000000"/>
              <w:bottom w:val="single" w:sz="4" w:space="0" w:color="000000"/>
              <w:right w:val="single" w:sz="4" w:space="0" w:color="000000"/>
            </w:tcBorders>
            <w:shd w:val="clear" w:color="auto" w:fill="F6F6F6"/>
          </w:tcPr>
          <w:p w14:paraId="6F3E9576" w14:textId="77777777" w:rsidR="00262686" w:rsidRPr="006734BD" w:rsidRDefault="00262686" w:rsidP="00FA7787">
            <w:pPr>
              <w:rPr>
                <w:rFonts w:ascii="Times New Roman" w:hAnsi="Times New Roman" w:cs="Times New Roman"/>
                <w:b/>
                <w:sz w:val="24"/>
                <w:szCs w:val="24"/>
                <w:lang w:val="da-DK"/>
              </w:rPr>
            </w:pPr>
          </w:p>
        </w:tc>
        <w:tc>
          <w:tcPr>
            <w:tcW w:w="1250" w:type="pct"/>
            <w:tcBorders>
              <w:top w:val="single" w:sz="4" w:space="0" w:color="000000"/>
              <w:left w:val="single" w:sz="4" w:space="0" w:color="000000"/>
              <w:bottom w:val="single" w:sz="4" w:space="0" w:color="000000"/>
              <w:right w:val="single" w:sz="4" w:space="0" w:color="000000"/>
            </w:tcBorders>
            <w:shd w:val="clear" w:color="auto" w:fill="F6F6F6"/>
          </w:tcPr>
          <w:p w14:paraId="4EF8D395" w14:textId="77777777" w:rsidR="00262686" w:rsidRPr="006734BD" w:rsidRDefault="00262686" w:rsidP="00FA7787">
            <w:pPr>
              <w:rPr>
                <w:rFonts w:ascii="Times New Roman" w:hAnsi="Times New Roman" w:cs="Times New Roman"/>
                <w:b/>
                <w:sz w:val="24"/>
                <w:szCs w:val="24"/>
                <w:lang w:val="da-DK"/>
              </w:rPr>
            </w:pPr>
          </w:p>
        </w:tc>
      </w:tr>
      <w:tr w:rsidR="00262686" w:rsidRPr="006734BD" w14:paraId="5B9AD5F7" w14:textId="77777777" w:rsidTr="00FA7787">
        <w:trPr>
          <w:trHeight w:val="20"/>
        </w:trPr>
        <w:tc>
          <w:tcPr>
            <w:tcW w:w="1250" w:type="pct"/>
            <w:tcBorders>
              <w:top w:val="single" w:sz="4" w:space="0" w:color="000000"/>
              <w:left w:val="single" w:sz="4" w:space="0" w:color="000000"/>
              <w:bottom w:val="single" w:sz="4" w:space="0" w:color="000000"/>
              <w:right w:val="single" w:sz="4" w:space="0" w:color="000000"/>
            </w:tcBorders>
            <w:hideMark/>
          </w:tcPr>
          <w:p w14:paraId="5164846C"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pacing w:val="-1"/>
                <w:sz w:val="24"/>
                <w:szCs w:val="24"/>
                <w:lang w:val="da-DK"/>
              </w:rPr>
              <w:t>Dødelighed</w:t>
            </w:r>
            <w:r w:rsidRPr="006734BD">
              <w:rPr>
                <w:rFonts w:ascii="Times New Roman" w:hAnsi="Times New Roman" w:cs="Times New Roman"/>
                <w:spacing w:val="-3"/>
                <w:sz w:val="24"/>
                <w:szCs w:val="24"/>
                <w:lang w:val="da-DK"/>
              </w:rPr>
              <w:t xml:space="preserve"> efter </w:t>
            </w:r>
            <w:r w:rsidRPr="006734BD">
              <w:rPr>
                <w:rFonts w:ascii="Times New Roman" w:hAnsi="Times New Roman" w:cs="Times New Roman"/>
                <w:sz w:val="24"/>
                <w:szCs w:val="24"/>
                <w:lang w:val="da-DK"/>
              </w:rPr>
              <w:t>28</w:t>
            </w:r>
            <w:r w:rsidRPr="006734BD">
              <w:rPr>
                <w:rFonts w:ascii="Times New Roman" w:hAnsi="Times New Roman" w:cs="Times New Roman"/>
                <w:spacing w:val="-3"/>
                <w:sz w:val="24"/>
                <w:szCs w:val="24"/>
                <w:lang w:val="da-DK"/>
              </w:rPr>
              <w:t> </w:t>
            </w:r>
            <w:r w:rsidRPr="006734BD">
              <w:rPr>
                <w:rFonts w:ascii="Times New Roman" w:hAnsi="Times New Roman" w:cs="Times New Roman"/>
                <w:sz w:val="24"/>
                <w:szCs w:val="24"/>
                <w:lang w:val="da-DK"/>
              </w:rPr>
              <w:t>dage</w:t>
            </w:r>
          </w:p>
        </w:tc>
        <w:tc>
          <w:tcPr>
            <w:tcW w:w="1250" w:type="pct"/>
            <w:tcBorders>
              <w:top w:val="single" w:sz="4" w:space="0" w:color="000000"/>
              <w:left w:val="single" w:sz="4" w:space="0" w:color="000000"/>
              <w:bottom w:val="single" w:sz="4" w:space="0" w:color="000000"/>
              <w:right w:val="single" w:sz="4" w:space="0" w:color="000000"/>
            </w:tcBorders>
            <w:hideMark/>
          </w:tcPr>
          <w:p w14:paraId="1838F788"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482/2.104</w:t>
            </w:r>
            <w:r w:rsidRPr="006734BD">
              <w:rPr>
                <w:rFonts w:ascii="Times New Roman" w:hAnsi="Times New Roman" w:cs="Times New Roman"/>
                <w:spacing w:val="-9"/>
                <w:sz w:val="24"/>
                <w:szCs w:val="24"/>
                <w:lang w:val="da-DK"/>
              </w:rPr>
              <w:t xml:space="preserve"> </w:t>
            </w:r>
            <w:r w:rsidRPr="006734BD">
              <w:rPr>
                <w:rFonts w:ascii="Times New Roman" w:hAnsi="Times New Roman" w:cs="Times New Roman"/>
                <w:sz w:val="24"/>
                <w:szCs w:val="24"/>
                <w:lang w:val="da-DK"/>
              </w:rPr>
              <w:t>(22,9)</w:t>
            </w:r>
          </w:p>
        </w:tc>
        <w:tc>
          <w:tcPr>
            <w:tcW w:w="1250" w:type="pct"/>
            <w:tcBorders>
              <w:top w:val="single" w:sz="4" w:space="0" w:color="000000"/>
              <w:left w:val="single" w:sz="4" w:space="0" w:color="000000"/>
              <w:bottom w:val="single" w:sz="4" w:space="0" w:color="000000"/>
              <w:right w:val="single" w:sz="4" w:space="0" w:color="000000"/>
            </w:tcBorders>
            <w:hideMark/>
          </w:tcPr>
          <w:p w14:paraId="5C7CDD25"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1.110/4.321</w:t>
            </w:r>
            <w:r w:rsidRPr="006734BD">
              <w:rPr>
                <w:rFonts w:ascii="Times New Roman" w:hAnsi="Times New Roman" w:cs="Times New Roman"/>
                <w:spacing w:val="-10"/>
                <w:sz w:val="24"/>
                <w:szCs w:val="24"/>
                <w:lang w:val="da-DK"/>
              </w:rPr>
              <w:t xml:space="preserve"> </w:t>
            </w:r>
            <w:r w:rsidRPr="006734BD">
              <w:rPr>
                <w:rFonts w:ascii="Times New Roman" w:hAnsi="Times New Roman" w:cs="Times New Roman"/>
                <w:sz w:val="24"/>
                <w:szCs w:val="24"/>
                <w:lang w:val="da-DK"/>
              </w:rPr>
              <w:t>(25,7)</w:t>
            </w:r>
          </w:p>
        </w:tc>
        <w:tc>
          <w:tcPr>
            <w:tcW w:w="1250" w:type="pct"/>
            <w:tcBorders>
              <w:top w:val="single" w:sz="4" w:space="0" w:color="000000"/>
              <w:left w:val="single" w:sz="4" w:space="0" w:color="000000"/>
              <w:bottom w:val="single" w:sz="4" w:space="0" w:color="000000"/>
              <w:right w:val="single" w:sz="4" w:space="0" w:color="000000"/>
            </w:tcBorders>
            <w:hideMark/>
          </w:tcPr>
          <w:p w14:paraId="3D3CABE2"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0,83 (0,75</w:t>
            </w:r>
            <w:r w:rsidRPr="006734BD">
              <w:rPr>
                <w:rFonts w:ascii="Times New Roman" w:hAnsi="Times New Roman" w:cs="Times New Roman"/>
                <w:sz w:val="24"/>
                <w:szCs w:val="24"/>
                <w:lang w:val="da-DK"/>
              </w:rPr>
              <w:noBreakHyphen/>
              <w:t>0,93)</w:t>
            </w:r>
          </w:p>
        </w:tc>
      </w:tr>
      <w:tr w:rsidR="00262686" w:rsidRPr="006734BD" w14:paraId="7D2A8855" w14:textId="77777777" w:rsidTr="00FA7787">
        <w:trPr>
          <w:trHeight w:val="20"/>
        </w:trPr>
        <w:tc>
          <w:tcPr>
            <w:tcW w:w="1250" w:type="pct"/>
            <w:tcBorders>
              <w:top w:val="single" w:sz="4" w:space="0" w:color="000000"/>
              <w:left w:val="single" w:sz="4" w:space="0" w:color="000000"/>
              <w:bottom w:val="single" w:sz="4" w:space="0" w:color="000000"/>
              <w:right w:val="single" w:sz="4" w:space="0" w:color="000000"/>
            </w:tcBorders>
            <w:shd w:val="clear" w:color="auto" w:fill="F6F6F6"/>
            <w:hideMark/>
          </w:tcPr>
          <w:p w14:paraId="5E0F4EE7" w14:textId="77777777" w:rsidR="00262686" w:rsidRPr="006734BD" w:rsidRDefault="00262686" w:rsidP="00FA7787">
            <w:pPr>
              <w:rPr>
                <w:rFonts w:ascii="Times New Roman" w:hAnsi="Times New Roman" w:cs="Times New Roman"/>
                <w:b/>
                <w:sz w:val="24"/>
                <w:szCs w:val="24"/>
                <w:lang w:val="da-DK"/>
              </w:rPr>
            </w:pPr>
            <w:r w:rsidRPr="006734BD">
              <w:rPr>
                <w:rFonts w:ascii="Times New Roman" w:hAnsi="Times New Roman" w:cs="Times New Roman"/>
                <w:b/>
                <w:spacing w:val="-1"/>
                <w:sz w:val="24"/>
                <w:szCs w:val="24"/>
                <w:lang w:val="da-DK"/>
              </w:rPr>
              <w:t>Sekundære resultater</w:t>
            </w:r>
          </w:p>
        </w:tc>
        <w:tc>
          <w:tcPr>
            <w:tcW w:w="1250" w:type="pct"/>
            <w:tcBorders>
              <w:top w:val="single" w:sz="4" w:space="0" w:color="000000"/>
              <w:left w:val="single" w:sz="4" w:space="0" w:color="000000"/>
              <w:bottom w:val="single" w:sz="4" w:space="0" w:color="000000"/>
              <w:right w:val="single" w:sz="4" w:space="0" w:color="000000"/>
            </w:tcBorders>
            <w:shd w:val="clear" w:color="auto" w:fill="F6F6F6"/>
          </w:tcPr>
          <w:p w14:paraId="0C52DC85" w14:textId="77777777" w:rsidR="00262686" w:rsidRPr="006734BD" w:rsidRDefault="00262686" w:rsidP="00FA7787">
            <w:pPr>
              <w:rPr>
                <w:rFonts w:ascii="Times New Roman" w:hAnsi="Times New Roman" w:cs="Times New Roman"/>
                <w:b/>
                <w:sz w:val="24"/>
                <w:szCs w:val="24"/>
                <w:lang w:val="da-DK"/>
              </w:rPr>
            </w:pPr>
          </w:p>
        </w:tc>
        <w:tc>
          <w:tcPr>
            <w:tcW w:w="1250" w:type="pct"/>
            <w:tcBorders>
              <w:top w:val="single" w:sz="4" w:space="0" w:color="000000"/>
              <w:left w:val="single" w:sz="4" w:space="0" w:color="000000"/>
              <w:bottom w:val="single" w:sz="4" w:space="0" w:color="000000"/>
              <w:right w:val="single" w:sz="4" w:space="0" w:color="000000"/>
            </w:tcBorders>
            <w:shd w:val="clear" w:color="auto" w:fill="F6F6F6"/>
          </w:tcPr>
          <w:p w14:paraId="61E2A3AB" w14:textId="77777777" w:rsidR="00262686" w:rsidRPr="006734BD" w:rsidRDefault="00262686" w:rsidP="00FA7787">
            <w:pPr>
              <w:rPr>
                <w:rFonts w:ascii="Times New Roman" w:hAnsi="Times New Roman" w:cs="Times New Roman"/>
                <w:b/>
                <w:sz w:val="24"/>
                <w:szCs w:val="24"/>
                <w:lang w:val="da-DK"/>
              </w:rPr>
            </w:pPr>
          </w:p>
        </w:tc>
        <w:tc>
          <w:tcPr>
            <w:tcW w:w="1250" w:type="pct"/>
            <w:tcBorders>
              <w:top w:val="single" w:sz="4" w:space="0" w:color="000000"/>
              <w:left w:val="single" w:sz="4" w:space="0" w:color="000000"/>
              <w:bottom w:val="single" w:sz="4" w:space="0" w:color="000000"/>
              <w:right w:val="single" w:sz="4" w:space="0" w:color="000000"/>
            </w:tcBorders>
            <w:shd w:val="clear" w:color="auto" w:fill="F6F6F6"/>
          </w:tcPr>
          <w:p w14:paraId="4EADD0A7" w14:textId="77777777" w:rsidR="00262686" w:rsidRPr="006734BD" w:rsidRDefault="00262686" w:rsidP="00FA7787">
            <w:pPr>
              <w:rPr>
                <w:rFonts w:ascii="Times New Roman" w:hAnsi="Times New Roman" w:cs="Times New Roman"/>
                <w:b/>
                <w:sz w:val="24"/>
                <w:szCs w:val="24"/>
                <w:lang w:val="da-DK"/>
              </w:rPr>
            </w:pPr>
          </w:p>
        </w:tc>
      </w:tr>
      <w:tr w:rsidR="00262686" w:rsidRPr="006734BD" w14:paraId="51A8B19B" w14:textId="77777777" w:rsidTr="00FA7787">
        <w:trPr>
          <w:trHeight w:val="20"/>
        </w:trPr>
        <w:tc>
          <w:tcPr>
            <w:tcW w:w="1250" w:type="pct"/>
            <w:tcBorders>
              <w:top w:val="single" w:sz="4" w:space="0" w:color="000000"/>
              <w:left w:val="single" w:sz="4" w:space="0" w:color="000000"/>
              <w:bottom w:val="single" w:sz="4" w:space="0" w:color="000000"/>
              <w:right w:val="single" w:sz="4" w:space="0" w:color="000000"/>
            </w:tcBorders>
            <w:hideMark/>
          </w:tcPr>
          <w:p w14:paraId="63BD13C5"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pacing w:val="-1"/>
                <w:sz w:val="24"/>
                <w:szCs w:val="24"/>
                <w:lang w:val="da-DK"/>
              </w:rPr>
              <w:t>Udskrevet</w:t>
            </w:r>
            <w:r w:rsidRPr="006734BD">
              <w:rPr>
                <w:rFonts w:ascii="Times New Roman" w:hAnsi="Times New Roman" w:cs="Times New Roman"/>
                <w:spacing w:val="-15"/>
                <w:sz w:val="24"/>
                <w:szCs w:val="24"/>
                <w:lang w:val="da-DK"/>
              </w:rPr>
              <w:t xml:space="preserve"> </w:t>
            </w:r>
            <w:r w:rsidRPr="006734BD">
              <w:rPr>
                <w:rFonts w:ascii="Times New Roman" w:hAnsi="Times New Roman" w:cs="Times New Roman"/>
                <w:sz w:val="24"/>
                <w:szCs w:val="24"/>
                <w:lang w:val="da-DK"/>
              </w:rPr>
              <w:t>fra</w:t>
            </w:r>
            <w:r w:rsidRPr="006734BD">
              <w:rPr>
                <w:rFonts w:ascii="Times New Roman" w:hAnsi="Times New Roman" w:cs="Times New Roman"/>
                <w:spacing w:val="22"/>
                <w:w w:val="99"/>
                <w:sz w:val="24"/>
                <w:szCs w:val="24"/>
                <w:lang w:val="da-DK"/>
              </w:rPr>
              <w:t xml:space="preserve"> </w:t>
            </w:r>
            <w:r w:rsidRPr="006734BD">
              <w:rPr>
                <w:rFonts w:ascii="Times New Roman" w:hAnsi="Times New Roman" w:cs="Times New Roman"/>
                <w:sz w:val="24"/>
                <w:szCs w:val="24"/>
                <w:lang w:val="da-DK"/>
              </w:rPr>
              <w:t>hospitalet</w:t>
            </w:r>
            <w:r w:rsidRPr="006734BD">
              <w:rPr>
                <w:rFonts w:ascii="Times New Roman" w:hAnsi="Times New Roman" w:cs="Times New Roman"/>
                <w:spacing w:val="-5"/>
                <w:sz w:val="24"/>
                <w:szCs w:val="24"/>
                <w:lang w:val="da-DK"/>
              </w:rPr>
              <w:t xml:space="preserve"> inden for</w:t>
            </w:r>
            <w:r w:rsidRPr="006734BD">
              <w:rPr>
                <w:rFonts w:ascii="Times New Roman" w:hAnsi="Times New Roman" w:cs="Times New Roman"/>
                <w:spacing w:val="-4"/>
                <w:sz w:val="24"/>
                <w:szCs w:val="24"/>
                <w:lang w:val="da-DK"/>
              </w:rPr>
              <w:t xml:space="preserve"> </w:t>
            </w:r>
            <w:r w:rsidRPr="006734BD">
              <w:rPr>
                <w:rFonts w:ascii="Times New Roman" w:hAnsi="Times New Roman" w:cs="Times New Roman"/>
                <w:sz w:val="24"/>
                <w:szCs w:val="24"/>
                <w:lang w:val="da-DK"/>
              </w:rPr>
              <w:t>28</w:t>
            </w:r>
            <w:r w:rsidRPr="006734BD">
              <w:rPr>
                <w:rFonts w:ascii="Times New Roman" w:hAnsi="Times New Roman" w:cs="Times New Roman"/>
                <w:spacing w:val="-4"/>
                <w:sz w:val="24"/>
                <w:szCs w:val="24"/>
                <w:lang w:val="da-DK"/>
              </w:rPr>
              <w:t> </w:t>
            </w:r>
            <w:r w:rsidRPr="006734BD">
              <w:rPr>
                <w:rFonts w:ascii="Times New Roman" w:hAnsi="Times New Roman" w:cs="Times New Roman"/>
                <w:sz w:val="24"/>
                <w:szCs w:val="24"/>
                <w:lang w:val="da-DK"/>
              </w:rPr>
              <w:t>dage</w:t>
            </w:r>
          </w:p>
        </w:tc>
        <w:tc>
          <w:tcPr>
            <w:tcW w:w="1250" w:type="pct"/>
            <w:tcBorders>
              <w:top w:val="single" w:sz="4" w:space="0" w:color="000000"/>
              <w:left w:val="single" w:sz="4" w:space="0" w:color="000000"/>
              <w:bottom w:val="single" w:sz="4" w:space="0" w:color="000000"/>
              <w:right w:val="single" w:sz="4" w:space="0" w:color="000000"/>
            </w:tcBorders>
            <w:hideMark/>
          </w:tcPr>
          <w:p w14:paraId="67AC662C"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1.413/2.104</w:t>
            </w:r>
            <w:r w:rsidRPr="006734BD">
              <w:rPr>
                <w:rFonts w:ascii="Times New Roman" w:hAnsi="Times New Roman" w:cs="Times New Roman"/>
                <w:spacing w:val="-10"/>
                <w:sz w:val="24"/>
                <w:szCs w:val="24"/>
                <w:lang w:val="da-DK"/>
              </w:rPr>
              <w:t xml:space="preserve"> </w:t>
            </w:r>
            <w:r w:rsidRPr="006734BD">
              <w:rPr>
                <w:rFonts w:ascii="Times New Roman" w:hAnsi="Times New Roman" w:cs="Times New Roman"/>
                <w:sz w:val="24"/>
                <w:szCs w:val="24"/>
                <w:lang w:val="da-DK"/>
              </w:rPr>
              <w:t>(67,2)</w:t>
            </w:r>
          </w:p>
        </w:tc>
        <w:tc>
          <w:tcPr>
            <w:tcW w:w="1250" w:type="pct"/>
            <w:tcBorders>
              <w:top w:val="single" w:sz="4" w:space="0" w:color="000000"/>
              <w:left w:val="single" w:sz="4" w:space="0" w:color="000000"/>
              <w:bottom w:val="single" w:sz="4" w:space="0" w:color="000000"/>
              <w:right w:val="single" w:sz="4" w:space="0" w:color="000000"/>
            </w:tcBorders>
            <w:hideMark/>
          </w:tcPr>
          <w:p w14:paraId="5BD89E9E"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2.745/4.321</w:t>
            </w:r>
            <w:r w:rsidRPr="006734BD">
              <w:rPr>
                <w:rFonts w:ascii="Times New Roman" w:hAnsi="Times New Roman" w:cs="Times New Roman"/>
                <w:spacing w:val="-10"/>
                <w:sz w:val="24"/>
                <w:szCs w:val="24"/>
                <w:lang w:val="da-DK"/>
              </w:rPr>
              <w:t xml:space="preserve"> </w:t>
            </w:r>
            <w:r w:rsidRPr="006734BD">
              <w:rPr>
                <w:rFonts w:ascii="Times New Roman" w:hAnsi="Times New Roman" w:cs="Times New Roman"/>
                <w:sz w:val="24"/>
                <w:szCs w:val="24"/>
                <w:lang w:val="da-DK"/>
              </w:rPr>
              <w:t>(63,5)</w:t>
            </w:r>
          </w:p>
        </w:tc>
        <w:tc>
          <w:tcPr>
            <w:tcW w:w="1250" w:type="pct"/>
            <w:tcBorders>
              <w:top w:val="single" w:sz="4" w:space="0" w:color="000000"/>
              <w:left w:val="single" w:sz="4" w:space="0" w:color="000000"/>
              <w:bottom w:val="single" w:sz="4" w:space="0" w:color="000000"/>
              <w:right w:val="single" w:sz="4" w:space="0" w:color="000000"/>
            </w:tcBorders>
            <w:hideMark/>
          </w:tcPr>
          <w:p w14:paraId="2049FE2C"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1,10 (1,03</w:t>
            </w:r>
            <w:r w:rsidRPr="006734BD">
              <w:rPr>
                <w:rFonts w:ascii="Times New Roman" w:hAnsi="Times New Roman" w:cs="Times New Roman"/>
                <w:sz w:val="24"/>
                <w:szCs w:val="24"/>
                <w:lang w:val="da-DK"/>
              </w:rPr>
              <w:noBreakHyphen/>
              <w:t>1,17)</w:t>
            </w:r>
          </w:p>
        </w:tc>
      </w:tr>
      <w:tr w:rsidR="00262686" w:rsidRPr="006734BD" w14:paraId="68CF661C" w14:textId="77777777" w:rsidTr="00FA7787">
        <w:trPr>
          <w:trHeight w:val="20"/>
        </w:trPr>
        <w:tc>
          <w:tcPr>
            <w:tcW w:w="1250" w:type="pct"/>
            <w:tcBorders>
              <w:top w:val="single" w:sz="4" w:space="0" w:color="000000"/>
              <w:left w:val="single" w:sz="4" w:space="0" w:color="000000"/>
              <w:bottom w:val="single" w:sz="4" w:space="0" w:color="000000"/>
              <w:right w:val="single" w:sz="4" w:space="0" w:color="000000"/>
            </w:tcBorders>
            <w:shd w:val="clear" w:color="auto" w:fill="F6F6F6"/>
            <w:hideMark/>
          </w:tcPr>
          <w:p w14:paraId="4FB2560F"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Invasiv</w:t>
            </w:r>
            <w:r w:rsidRPr="006734BD">
              <w:rPr>
                <w:rFonts w:ascii="Times New Roman" w:hAnsi="Times New Roman" w:cs="Times New Roman"/>
                <w:spacing w:val="-18"/>
                <w:sz w:val="24"/>
                <w:szCs w:val="24"/>
                <w:lang w:val="da-DK"/>
              </w:rPr>
              <w:t xml:space="preserve"> </w:t>
            </w:r>
            <w:r w:rsidRPr="006734BD">
              <w:rPr>
                <w:rFonts w:ascii="Times New Roman" w:hAnsi="Times New Roman" w:cs="Times New Roman"/>
                <w:spacing w:val="-1"/>
                <w:sz w:val="24"/>
                <w:szCs w:val="24"/>
                <w:lang w:val="da-DK"/>
              </w:rPr>
              <w:t>mekanisk</w:t>
            </w:r>
            <w:r w:rsidRPr="006734BD">
              <w:rPr>
                <w:rFonts w:ascii="Times New Roman" w:hAnsi="Times New Roman" w:cs="Times New Roman"/>
                <w:spacing w:val="29"/>
                <w:w w:val="99"/>
                <w:sz w:val="24"/>
                <w:szCs w:val="24"/>
                <w:lang w:val="da-DK"/>
              </w:rPr>
              <w:t xml:space="preserve"> </w:t>
            </w:r>
            <w:r w:rsidRPr="006734BD">
              <w:rPr>
                <w:rFonts w:ascii="Times New Roman" w:hAnsi="Times New Roman" w:cs="Times New Roman"/>
                <w:spacing w:val="-1"/>
                <w:sz w:val="24"/>
                <w:szCs w:val="24"/>
                <w:lang w:val="da-DK"/>
              </w:rPr>
              <w:t>ventilation</w:t>
            </w:r>
            <w:r w:rsidRPr="006734BD">
              <w:rPr>
                <w:rFonts w:ascii="Times New Roman" w:hAnsi="Times New Roman" w:cs="Times New Roman"/>
                <w:spacing w:val="-8"/>
                <w:sz w:val="24"/>
                <w:szCs w:val="24"/>
                <w:lang w:val="da-DK"/>
              </w:rPr>
              <w:t xml:space="preserve"> </w:t>
            </w:r>
            <w:r w:rsidRPr="006734BD">
              <w:rPr>
                <w:rFonts w:ascii="Times New Roman" w:hAnsi="Times New Roman" w:cs="Times New Roman"/>
                <w:sz w:val="24"/>
                <w:szCs w:val="24"/>
                <w:lang w:val="da-DK"/>
              </w:rPr>
              <w:t>eller</w:t>
            </w:r>
            <w:r w:rsidRPr="006734BD">
              <w:rPr>
                <w:rFonts w:ascii="Times New Roman" w:hAnsi="Times New Roman" w:cs="Times New Roman"/>
                <w:spacing w:val="-7"/>
                <w:sz w:val="24"/>
                <w:szCs w:val="24"/>
                <w:lang w:val="da-DK"/>
              </w:rPr>
              <w:t xml:space="preserve"> </w:t>
            </w:r>
            <w:r w:rsidRPr="006734BD">
              <w:rPr>
                <w:rFonts w:ascii="Times New Roman" w:hAnsi="Times New Roman" w:cs="Times New Roman"/>
                <w:spacing w:val="-1"/>
                <w:sz w:val="24"/>
                <w:szCs w:val="24"/>
                <w:lang w:val="da-DK"/>
              </w:rPr>
              <w:t>død†</w:t>
            </w:r>
          </w:p>
        </w:tc>
        <w:tc>
          <w:tcPr>
            <w:tcW w:w="1250" w:type="pct"/>
            <w:tcBorders>
              <w:top w:val="single" w:sz="4" w:space="0" w:color="000000"/>
              <w:left w:val="single" w:sz="4" w:space="0" w:color="000000"/>
              <w:bottom w:val="single" w:sz="4" w:space="0" w:color="000000"/>
              <w:right w:val="single" w:sz="4" w:space="0" w:color="000000"/>
            </w:tcBorders>
            <w:shd w:val="clear" w:color="auto" w:fill="F6F6F6"/>
            <w:hideMark/>
          </w:tcPr>
          <w:p w14:paraId="079C539F"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456/1.780</w:t>
            </w:r>
            <w:r w:rsidRPr="006734BD">
              <w:rPr>
                <w:rFonts w:ascii="Times New Roman" w:hAnsi="Times New Roman" w:cs="Times New Roman"/>
                <w:spacing w:val="-9"/>
                <w:sz w:val="24"/>
                <w:szCs w:val="24"/>
                <w:lang w:val="da-DK"/>
              </w:rPr>
              <w:t xml:space="preserve"> </w:t>
            </w:r>
            <w:r w:rsidRPr="006734BD">
              <w:rPr>
                <w:rFonts w:ascii="Times New Roman" w:hAnsi="Times New Roman" w:cs="Times New Roman"/>
                <w:sz w:val="24"/>
                <w:szCs w:val="24"/>
                <w:lang w:val="da-DK"/>
              </w:rPr>
              <w:t>(25,6)</w:t>
            </w:r>
          </w:p>
        </w:tc>
        <w:tc>
          <w:tcPr>
            <w:tcW w:w="1250" w:type="pct"/>
            <w:tcBorders>
              <w:top w:val="single" w:sz="4" w:space="0" w:color="000000"/>
              <w:left w:val="single" w:sz="4" w:space="0" w:color="000000"/>
              <w:bottom w:val="single" w:sz="4" w:space="0" w:color="000000"/>
              <w:right w:val="single" w:sz="4" w:space="0" w:color="000000"/>
            </w:tcBorders>
            <w:shd w:val="clear" w:color="auto" w:fill="F6F6F6"/>
            <w:hideMark/>
          </w:tcPr>
          <w:p w14:paraId="1340A9E5"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994/3.638</w:t>
            </w:r>
            <w:r w:rsidRPr="006734BD">
              <w:rPr>
                <w:rFonts w:ascii="Times New Roman" w:hAnsi="Times New Roman" w:cs="Times New Roman"/>
                <w:spacing w:val="-9"/>
                <w:sz w:val="24"/>
                <w:szCs w:val="24"/>
                <w:lang w:val="da-DK"/>
              </w:rPr>
              <w:t xml:space="preserve"> </w:t>
            </w:r>
            <w:r w:rsidRPr="006734BD">
              <w:rPr>
                <w:rFonts w:ascii="Times New Roman" w:hAnsi="Times New Roman" w:cs="Times New Roman"/>
                <w:sz w:val="24"/>
                <w:szCs w:val="24"/>
                <w:lang w:val="da-DK"/>
              </w:rPr>
              <w:t>(27,3)</w:t>
            </w:r>
          </w:p>
        </w:tc>
        <w:tc>
          <w:tcPr>
            <w:tcW w:w="1250" w:type="pct"/>
            <w:tcBorders>
              <w:top w:val="single" w:sz="4" w:space="0" w:color="000000"/>
              <w:left w:val="single" w:sz="4" w:space="0" w:color="000000"/>
              <w:bottom w:val="single" w:sz="4" w:space="0" w:color="000000"/>
              <w:right w:val="single" w:sz="4" w:space="0" w:color="000000"/>
            </w:tcBorders>
            <w:shd w:val="clear" w:color="auto" w:fill="F6F6F6"/>
            <w:hideMark/>
          </w:tcPr>
          <w:p w14:paraId="32C27356"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0,92 (0,84</w:t>
            </w:r>
            <w:r w:rsidRPr="006734BD">
              <w:rPr>
                <w:rFonts w:ascii="Times New Roman" w:hAnsi="Times New Roman" w:cs="Times New Roman"/>
                <w:sz w:val="24"/>
                <w:szCs w:val="24"/>
                <w:lang w:val="da-DK"/>
              </w:rPr>
              <w:noBreakHyphen/>
              <w:t>1,01)</w:t>
            </w:r>
          </w:p>
        </w:tc>
      </w:tr>
      <w:tr w:rsidR="00262686" w:rsidRPr="006734BD" w14:paraId="242B98ED" w14:textId="77777777" w:rsidTr="00FA7787">
        <w:trPr>
          <w:trHeight w:val="20"/>
        </w:trPr>
        <w:tc>
          <w:tcPr>
            <w:tcW w:w="1250" w:type="pct"/>
            <w:tcBorders>
              <w:top w:val="single" w:sz="4" w:space="0" w:color="000000"/>
              <w:left w:val="single" w:sz="4" w:space="0" w:color="000000"/>
              <w:bottom w:val="single" w:sz="4" w:space="0" w:color="000000"/>
              <w:right w:val="single" w:sz="4" w:space="0" w:color="000000"/>
            </w:tcBorders>
            <w:hideMark/>
          </w:tcPr>
          <w:p w14:paraId="778D1F07"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Invasiv</w:t>
            </w:r>
            <w:r w:rsidRPr="006734BD">
              <w:rPr>
                <w:rFonts w:ascii="Times New Roman" w:hAnsi="Times New Roman" w:cs="Times New Roman"/>
                <w:spacing w:val="-18"/>
                <w:sz w:val="24"/>
                <w:szCs w:val="24"/>
                <w:lang w:val="da-DK"/>
              </w:rPr>
              <w:t xml:space="preserve"> </w:t>
            </w:r>
            <w:r w:rsidRPr="006734BD">
              <w:rPr>
                <w:rFonts w:ascii="Times New Roman" w:hAnsi="Times New Roman" w:cs="Times New Roman"/>
                <w:spacing w:val="-1"/>
                <w:sz w:val="24"/>
                <w:szCs w:val="24"/>
                <w:lang w:val="da-DK"/>
              </w:rPr>
              <w:t>mekanisk</w:t>
            </w:r>
            <w:r w:rsidRPr="006734BD">
              <w:rPr>
                <w:rFonts w:ascii="Times New Roman" w:hAnsi="Times New Roman" w:cs="Times New Roman"/>
                <w:spacing w:val="29"/>
                <w:w w:val="99"/>
                <w:sz w:val="24"/>
                <w:szCs w:val="24"/>
                <w:lang w:val="da-DK"/>
              </w:rPr>
              <w:t xml:space="preserve"> </w:t>
            </w:r>
            <w:r w:rsidRPr="006734BD">
              <w:rPr>
                <w:rFonts w:ascii="Times New Roman" w:hAnsi="Times New Roman" w:cs="Times New Roman"/>
                <w:spacing w:val="-1"/>
                <w:sz w:val="24"/>
                <w:szCs w:val="24"/>
                <w:lang w:val="da-DK"/>
              </w:rPr>
              <w:t>ventilation</w:t>
            </w:r>
          </w:p>
        </w:tc>
        <w:tc>
          <w:tcPr>
            <w:tcW w:w="1250" w:type="pct"/>
            <w:tcBorders>
              <w:top w:val="single" w:sz="4" w:space="0" w:color="000000"/>
              <w:left w:val="single" w:sz="4" w:space="0" w:color="000000"/>
              <w:bottom w:val="single" w:sz="4" w:space="0" w:color="000000"/>
              <w:right w:val="single" w:sz="4" w:space="0" w:color="000000"/>
            </w:tcBorders>
          </w:tcPr>
          <w:p w14:paraId="7BEC4E18" w14:textId="77777777" w:rsidR="00262686" w:rsidRPr="006734BD" w:rsidRDefault="00262686" w:rsidP="00FA7787">
            <w:pPr>
              <w:rPr>
                <w:rFonts w:ascii="Times New Roman" w:hAnsi="Times New Roman" w:cs="Times New Roman"/>
                <w:sz w:val="24"/>
                <w:szCs w:val="24"/>
                <w:lang w:val="da-DK"/>
              </w:rPr>
            </w:pPr>
          </w:p>
          <w:p w14:paraId="337CE6FB"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102/1.780</w:t>
            </w:r>
            <w:r w:rsidRPr="006734BD">
              <w:rPr>
                <w:rFonts w:ascii="Times New Roman" w:hAnsi="Times New Roman" w:cs="Times New Roman"/>
                <w:spacing w:val="-9"/>
                <w:sz w:val="24"/>
                <w:szCs w:val="24"/>
                <w:lang w:val="da-DK"/>
              </w:rPr>
              <w:t xml:space="preserve"> </w:t>
            </w:r>
            <w:r w:rsidRPr="006734BD">
              <w:rPr>
                <w:rFonts w:ascii="Times New Roman" w:hAnsi="Times New Roman" w:cs="Times New Roman"/>
                <w:sz w:val="24"/>
                <w:szCs w:val="24"/>
                <w:lang w:val="da-DK"/>
              </w:rPr>
              <w:t>(5,7)</w:t>
            </w:r>
          </w:p>
        </w:tc>
        <w:tc>
          <w:tcPr>
            <w:tcW w:w="1250" w:type="pct"/>
            <w:tcBorders>
              <w:top w:val="single" w:sz="4" w:space="0" w:color="000000"/>
              <w:left w:val="single" w:sz="4" w:space="0" w:color="000000"/>
              <w:bottom w:val="single" w:sz="4" w:space="0" w:color="000000"/>
              <w:right w:val="single" w:sz="4" w:space="0" w:color="000000"/>
            </w:tcBorders>
          </w:tcPr>
          <w:p w14:paraId="59B5F330" w14:textId="77777777" w:rsidR="00262686" w:rsidRPr="006734BD" w:rsidRDefault="00262686" w:rsidP="00FA7787">
            <w:pPr>
              <w:rPr>
                <w:rFonts w:ascii="Times New Roman" w:hAnsi="Times New Roman" w:cs="Times New Roman"/>
                <w:sz w:val="24"/>
                <w:szCs w:val="24"/>
                <w:lang w:val="da-DK"/>
              </w:rPr>
            </w:pPr>
          </w:p>
          <w:p w14:paraId="343F67A2"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285/3.638</w:t>
            </w:r>
            <w:r w:rsidRPr="006734BD">
              <w:rPr>
                <w:rFonts w:ascii="Times New Roman" w:hAnsi="Times New Roman" w:cs="Times New Roman"/>
                <w:spacing w:val="-9"/>
                <w:sz w:val="24"/>
                <w:szCs w:val="24"/>
                <w:lang w:val="da-DK"/>
              </w:rPr>
              <w:t xml:space="preserve"> </w:t>
            </w:r>
            <w:r w:rsidRPr="006734BD">
              <w:rPr>
                <w:rFonts w:ascii="Times New Roman" w:hAnsi="Times New Roman" w:cs="Times New Roman"/>
                <w:sz w:val="24"/>
                <w:szCs w:val="24"/>
                <w:lang w:val="da-DK"/>
              </w:rPr>
              <w:t>(7,8)</w:t>
            </w:r>
          </w:p>
        </w:tc>
        <w:tc>
          <w:tcPr>
            <w:tcW w:w="1250" w:type="pct"/>
            <w:tcBorders>
              <w:top w:val="single" w:sz="4" w:space="0" w:color="000000"/>
              <w:left w:val="single" w:sz="4" w:space="0" w:color="000000"/>
              <w:bottom w:val="single" w:sz="4" w:space="0" w:color="000000"/>
              <w:right w:val="single" w:sz="4" w:space="0" w:color="000000"/>
            </w:tcBorders>
          </w:tcPr>
          <w:p w14:paraId="7F777A9A" w14:textId="77777777" w:rsidR="00262686" w:rsidRPr="006734BD" w:rsidRDefault="00262686" w:rsidP="00FA7787">
            <w:pPr>
              <w:rPr>
                <w:rFonts w:ascii="Times New Roman" w:hAnsi="Times New Roman" w:cs="Times New Roman"/>
                <w:sz w:val="24"/>
                <w:szCs w:val="24"/>
                <w:lang w:val="da-DK"/>
              </w:rPr>
            </w:pPr>
          </w:p>
          <w:p w14:paraId="25A77476"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0,77 (0,62</w:t>
            </w:r>
            <w:r w:rsidRPr="006734BD">
              <w:rPr>
                <w:rFonts w:ascii="Times New Roman" w:hAnsi="Times New Roman" w:cs="Times New Roman"/>
                <w:sz w:val="24"/>
                <w:szCs w:val="24"/>
                <w:lang w:val="da-DK"/>
              </w:rPr>
              <w:noBreakHyphen/>
              <w:t>0,95)</w:t>
            </w:r>
          </w:p>
        </w:tc>
      </w:tr>
      <w:tr w:rsidR="00262686" w:rsidRPr="006734BD" w14:paraId="1B30C546" w14:textId="77777777" w:rsidTr="00FA7787">
        <w:trPr>
          <w:trHeight w:val="20"/>
        </w:trPr>
        <w:tc>
          <w:tcPr>
            <w:tcW w:w="1250" w:type="pct"/>
            <w:tcBorders>
              <w:top w:val="single" w:sz="4" w:space="0" w:color="000000"/>
              <w:left w:val="single" w:sz="4" w:space="0" w:color="000000"/>
              <w:bottom w:val="single" w:sz="4" w:space="0" w:color="000000"/>
              <w:right w:val="single" w:sz="4" w:space="0" w:color="000000"/>
            </w:tcBorders>
            <w:shd w:val="clear" w:color="auto" w:fill="F6F6F6"/>
            <w:hideMark/>
          </w:tcPr>
          <w:p w14:paraId="37968F92"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pacing w:val="-1"/>
                <w:sz w:val="24"/>
                <w:szCs w:val="24"/>
                <w:lang w:val="da-DK"/>
              </w:rPr>
              <w:t>Død</w:t>
            </w:r>
          </w:p>
        </w:tc>
        <w:tc>
          <w:tcPr>
            <w:tcW w:w="1250" w:type="pct"/>
            <w:tcBorders>
              <w:top w:val="single" w:sz="4" w:space="0" w:color="000000"/>
              <w:left w:val="single" w:sz="4" w:space="0" w:color="000000"/>
              <w:bottom w:val="single" w:sz="4" w:space="0" w:color="000000"/>
              <w:right w:val="single" w:sz="4" w:space="0" w:color="000000"/>
            </w:tcBorders>
            <w:shd w:val="clear" w:color="auto" w:fill="F6F6F6"/>
            <w:hideMark/>
          </w:tcPr>
          <w:p w14:paraId="260E94DB"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387/1.780</w:t>
            </w:r>
            <w:r w:rsidRPr="006734BD">
              <w:rPr>
                <w:rFonts w:ascii="Times New Roman" w:hAnsi="Times New Roman" w:cs="Times New Roman"/>
                <w:spacing w:val="-9"/>
                <w:sz w:val="24"/>
                <w:szCs w:val="24"/>
                <w:lang w:val="da-DK"/>
              </w:rPr>
              <w:t xml:space="preserve"> </w:t>
            </w:r>
            <w:r w:rsidRPr="006734BD">
              <w:rPr>
                <w:rFonts w:ascii="Times New Roman" w:hAnsi="Times New Roman" w:cs="Times New Roman"/>
                <w:sz w:val="24"/>
                <w:szCs w:val="24"/>
                <w:lang w:val="da-DK"/>
              </w:rPr>
              <w:t>(21,7)</w:t>
            </w:r>
          </w:p>
        </w:tc>
        <w:tc>
          <w:tcPr>
            <w:tcW w:w="1250" w:type="pct"/>
            <w:tcBorders>
              <w:top w:val="single" w:sz="4" w:space="0" w:color="000000"/>
              <w:left w:val="single" w:sz="4" w:space="0" w:color="000000"/>
              <w:bottom w:val="single" w:sz="4" w:space="0" w:color="000000"/>
              <w:right w:val="single" w:sz="4" w:space="0" w:color="000000"/>
            </w:tcBorders>
            <w:shd w:val="clear" w:color="auto" w:fill="F6F6F6"/>
            <w:hideMark/>
          </w:tcPr>
          <w:p w14:paraId="18714D9C"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827/3.638</w:t>
            </w:r>
            <w:r w:rsidRPr="006734BD">
              <w:rPr>
                <w:rFonts w:ascii="Times New Roman" w:hAnsi="Times New Roman" w:cs="Times New Roman"/>
                <w:spacing w:val="-9"/>
                <w:sz w:val="24"/>
                <w:szCs w:val="24"/>
                <w:lang w:val="da-DK"/>
              </w:rPr>
              <w:t xml:space="preserve"> </w:t>
            </w:r>
            <w:r w:rsidRPr="006734BD">
              <w:rPr>
                <w:rFonts w:ascii="Times New Roman" w:hAnsi="Times New Roman" w:cs="Times New Roman"/>
                <w:sz w:val="24"/>
                <w:szCs w:val="24"/>
                <w:lang w:val="da-DK"/>
              </w:rPr>
              <w:t>(22,7)</w:t>
            </w:r>
          </w:p>
        </w:tc>
        <w:tc>
          <w:tcPr>
            <w:tcW w:w="1250" w:type="pct"/>
            <w:tcBorders>
              <w:top w:val="single" w:sz="4" w:space="0" w:color="000000"/>
              <w:left w:val="single" w:sz="4" w:space="0" w:color="000000"/>
              <w:bottom w:val="single" w:sz="4" w:space="0" w:color="000000"/>
              <w:right w:val="single" w:sz="4" w:space="0" w:color="000000"/>
            </w:tcBorders>
            <w:hideMark/>
          </w:tcPr>
          <w:p w14:paraId="4DBB080D" w14:textId="77777777" w:rsidR="00262686" w:rsidRPr="006734BD" w:rsidRDefault="00262686" w:rsidP="00FA7787">
            <w:pPr>
              <w:rPr>
                <w:rFonts w:ascii="Times New Roman" w:hAnsi="Times New Roman" w:cs="Times New Roman"/>
                <w:sz w:val="24"/>
                <w:szCs w:val="24"/>
                <w:lang w:val="da-DK"/>
              </w:rPr>
            </w:pPr>
            <w:r w:rsidRPr="006734BD">
              <w:rPr>
                <w:rFonts w:ascii="Times New Roman" w:hAnsi="Times New Roman" w:cs="Times New Roman"/>
                <w:sz w:val="24"/>
                <w:szCs w:val="24"/>
                <w:lang w:val="da-DK"/>
              </w:rPr>
              <w:t>0,93 (0,84</w:t>
            </w:r>
            <w:r w:rsidRPr="006734BD">
              <w:rPr>
                <w:rFonts w:ascii="Times New Roman" w:hAnsi="Times New Roman" w:cs="Times New Roman"/>
                <w:sz w:val="24"/>
                <w:szCs w:val="24"/>
                <w:lang w:val="da-DK"/>
              </w:rPr>
              <w:noBreakHyphen/>
              <w:t>1,03)</w:t>
            </w:r>
          </w:p>
        </w:tc>
      </w:tr>
    </w:tbl>
    <w:p w14:paraId="390CCD25" w14:textId="77777777" w:rsidR="00262686" w:rsidRPr="006734BD" w:rsidRDefault="00262686" w:rsidP="00FA7787">
      <w:pPr>
        <w:ind w:left="851"/>
        <w:rPr>
          <w:noProof/>
          <w:sz w:val="24"/>
          <w:szCs w:val="24"/>
        </w:rPr>
      </w:pPr>
    </w:p>
    <w:p w14:paraId="3B26DF8E" w14:textId="77777777" w:rsidR="00262686" w:rsidRPr="006734BD" w:rsidRDefault="00262686" w:rsidP="00FA7787">
      <w:pPr>
        <w:ind w:left="851"/>
        <w:rPr>
          <w:noProof/>
          <w:sz w:val="24"/>
          <w:szCs w:val="24"/>
        </w:rPr>
      </w:pPr>
      <w:r w:rsidRPr="006734BD">
        <w:rPr>
          <w:noProof/>
          <w:sz w:val="24"/>
          <w:szCs w:val="24"/>
        </w:rPr>
        <w:t>* Rate ratio er blevet justeret for alder med hensyn til resultaterne ved dødeligheden efter 28 dage og hospitalsudskrivelse. Risk ratio er blevet justeret for alder med hensyn til resultaterne af invasiv mekanisk ventilation eller død og dets underkomponenter.</w:t>
      </w:r>
    </w:p>
    <w:p w14:paraId="5D5B1FA1" w14:textId="77777777" w:rsidR="00262686" w:rsidRPr="006734BD" w:rsidRDefault="00262686" w:rsidP="00FA7787">
      <w:pPr>
        <w:ind w:left="851"/>
        <w:rPr>
          <w:noProof/>
          <w:sz w:val="24"/>
          <w:szCs w:val="24"/>
        </w:rPr>
      </w:pPr>
      <w:r w:rsidRPr="006734BD">
        <w:rPr>
          <w:noProof/>
          <w:sz w:val="24"/>
          <w:szCs w:val="24"/>
        </w:rPr>
        <w:t>† Patienter, der fik invasiv mekanisk ventilation ved randomisering, er ekskluderet fra denne kategori.</w:t>
      </w:r>
    </w:p>
    <w:p w14:paraId="0BD9438D" w14:textId="77777777" w:rsidR="00262686" w:rsidRPr="006734BD" w:rsidRDefault="00262686" w:rsidP="00FA7787">
      <w:pPr>
        <w:ind w:left="851"/>
        <w:rPr>
          <w:noProof/>
          <w:sz w:val="24"/>
          <w:szCs w:val="24"/>
        </w:rPr>
      </w:pPr>
    </w:p>
    <w:p w14:paraId="29012675" w14:textId="77777777" w:rsidR="00262686" w:rsidRPr="006734BD" w:rsidRDefault="00262686" w:rsidP="00FA7787">
      <w:pPr>
        <w:ind w:left="851"/>
        <w:rPr>
          <w:b/>
          <w:noProof/>
          <w:sz w:val="24"/>
          <w:szCs w:val="24"/>
        </w:rPr>
      </w:pPr>
      <w:r w:rsidRPr="006734BD">
        <w:rPr>
          <w:b/>
          <w:noProof/>
          <w:sz w:val="24"/>
          <w:szCs w:val="24"/>
        </w:rPr>
        <w:t>Sikkerhed</w:t>
      </w:r>
    </w:p>
    <w:p w14:paraId="2C2D0CC1" w14:textId="77777777" w:rsidR="00262686" w:rsidRPr="006734BD" w:rsidRDefault="00262686" w:rsidP="00FA7787">
      <w:pPr>
        <w:ind w:left="851"/>
        <w:rPr>
          <w:noProof/>
          <w:sz w:val="24"/>
          <w:szCs w:val="24"/>
        </w:rPr>
      </w:pPr>
      <w:r w:rsidRPr="006734BD">
        <w:rPr>
          <w:noProof/>
          <w:sz w:val="24"/>
          <w:szCs w:val="24"/>
        </w:rPr>
        <w:t>Der var fire alvorlige bivirkningstilfælde relateret til studiebehandlingen: To alvorlige bivirkningstilfælde med hyperglykæmi, et alvorligt bivirkningstilfælde med steroidinduceret psykose og et alvorligt bivirkningstilfælde med øvre gastrointestinal blødning. Alle bivirkninger forsvandt.</w:t>
      </w:r>
    </w:p>
    <w:p w14:paraId="574F0F12" w14:textId="34153238" w:rsidR="00311F23" w:rsidRDefault="00311F23">
      <w:pPr>
        <w:rPr>
          <w:noProof/>
          <w:sz w:val="24"/>
          <w:szCs w:val="24"/>
        </w:rPr>
      </w:pPr>
      <w:r>
        <w:rPr>
          <w:noProof/>
          <w:sz w:val="24"/>
          <w:szCs w:val="24"/>
        </w:rPr>
        <w:br w:type="page"/>
      </w:r>
    </w:p>
    <w:p w14:paraId="2C346EEE" w14:textId="77777777" w:rsidR="00262686" w:rsidRPr="006734BD" w:rsidRDefault="00262686" w:rsidP="00FA7787">
      <w:pPr>
        <w:ind w:left="851"/>
        <w:rPr>
          <w:noProof/>
          <w:sz w:val="24"/>
          <w:szCs w:val="24"/>
        </w:rPr>
      </w:pPr>
    </w:p>
    <w:p w14:paraId="0F01FFE8" w14:textId="77777777" w:rsidR="00262686" w:rsidRPr="006734BD" w:rsidRDefault="00262686" w:rsidP="00FA7787">
      <w:pPr>
        <w:ind w:left="851"/>
        <w:rPr>
          <w:b/>
          <w:noProof/>
          <w:sz w:val="24"/>
          <w:szCs w:val="24"/>
        </w:rPr>
      </w:pPr>
      <w:r w:rsidRPr="006734BD">
        <w:rPr>
          <w:b/>
          <w:noProof/>
          <w:sz w:val="24"/>
          <w:szCs w:val="24"/>
        </w:rPr>
        <w:t>Undergruppeanalyser</w:t>
      </w:r>
    </w:p>
    <w:p w14:paraId="5AC31D01" w14:textId="77777777" w:rsidR="00262686" w:rsidRPr="006734BD" w:rsidRDefault="00262686" w:rsidP="00FA7787">
      <w:pPr>
        <w:rPr>
          <w:b/>
          <w:noProof/>
          <w:sz w:val="24"/>
          <w:szCs w:val="24"/>
        </w:rPr>
      </w:pPr>
    </w:p>
    <w:p w14:paraId="0A3C9246" w14:textId="77777777" w:rsidR="00262686" w:rsidRPr="006734BD" w:rsidRDefault="00262686" w:rsidP="00FA7787">
      <w:pPr>
        <w:rPr>
          <w:b/>
          <w:i/>
          <w:iCs/>
          <w:sz w:val="24"/>
          <w:szCs w:val="24"/>
        </w:rPr>
      </w:pPr>
      <w:r w:rsidRPr="006734BD">
        <w:rPr>
          <w:b/>
          <w:i/>
          <w:iCs/>
          <w:sz w:val="24"/>
          <w:szCs w:val="24"/>
        </w:rPr>
        <w:t>Effekt af tildeling af dexamethason på dødeligheden efter 28 dage, efter alder og respirationsstøtte givet ved randomisering</w:t>
      </w:r>
      <w:r w:rsidRPr="006734BD">
        <w:rPr>
          <w:rStyle w:val="Fodnotehenvisning"/>
          <w:b/>
          <w:bCs/>
          <w:i/>
          <w:iCs/>
          <w:sz w:val="24"/>
          <w:szCs w:val="24"/>
        </w:rPr>
        <w:footnoteReference w:id="2"/>
      </w:r>
    </w:p>
    <w:tbl>
      <w:tblPr>
        <w:tblW w:w="5000" w:type="pct"/>
        <w:tblCellMar>
          <w:left w:w="10" w:type="dxa"/>
          <w:right w:w="10" w:type="dxa"/>
        </w:tblCellMar>
        <w:tblLook w:val="04A0" w:firstRow="1" w:lastRow="0" w:firstColumn="1" w:lastColumn="0" w:noHBand="0" w:noVBand="1"/>
      </w:tblPr>
      <w:tblGrid>
        <w:gridCol w:w="1412"/>
        <w:gridCol w:w="2111"/>
        <w:gridCol w:w="2410"/>
        <w:gridCol w:w="1041"/>
        <w:gridCol w:w="1382"/>
        <w:gridCol w:w="1282"/>
      </w:tblGrid>
      <w:tr w:rsidR="00262686" w:rsidRPr="006734BD" w14:paraId="47A73684" w14:textId="77777777" w:rsidTr="00FA7787">
        <w:trPr>
          <w:trHeight w:val="227"/>
        </w:trPr>
        <w:tc>
          <w:tcPr>
            <w:tcW w:w="733" w:type="pct"/>
            <w:tcBorders>
              <w:top w:val="nil"/>
              <w:left w:val="nil"/>
              <w:bottom w:val="single" w:sz="4" w:space="0" w:color="auto"/>
              <w:right w:val="nil"/>
            </w:tcBorders>
            <w:shd w:val="clear" w:color="auto" w:fill="FFFFFF"/>
            <w:vAlign w:val="bottom"/>
          </w:tcPr>
          <w:p w14:paraId="50C431EA" w14:textId="77777777" w:rsidR="00262686" w:rsidRPr="006734BD" w:rsidRDefault="00262686">
            <w:pPr>
              <w:keepNext/>
              <w:keepLines/>
              <w:jc w:val="center"/>
              <w:rPr>
                <w:rFonts w:eastAsia="Courier New"/>
                <w:color w:val="000000"/>
                <w:sz w:val="16"/>
                <w:szCs w:val="16"/>
                <w:lang w:bidi="en-US"/>
              </w:rPr>
            </w:pPr>
          </w:p>
        </w:tc>
        <w:tc>
          <w:tcPr>
            <w:tcW w:w="1095" w:type="pct"/>
            <w:tcBorders>
              <w:top w:val="nil"/>
              <w:left w:val="nil"/>
              <w:bottom w:val="single" w:sz="4" w:space="0" w:color="auto"/>
              <w:right w:val="nil"/>
            </w:tcBorders>
            <w:shd w:val="clear" w:color="auto" w:fill="FFFFFF"/>
            <w:vAlign w:val="bottom"/>
            <w:hideMark/>
          </w:tcPr>
          <w:p w14:paraId="11BBB77A"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Dexamethason</w:t>
            </w:r>
          </w:p>
        </w:tc>
        <w:tc>
          <w:tcPr>
            <w:tcW w:w="1250" w:type="pct"/>
            <w:tcBorders>
              <w:top w:val="nil"/>
              <w:left w:val="nil"/>
              <w:bottom w:val="single" w:sz="4" w:space="0" w:color="auto"/>
              <w:right w:val="nil"/>
            </w:tcBorders>
            <w:shd w:val="clear" w:color="auto" w:fill="FFFFFF"/>
            <w:vAlign w:val="bottom"/>
            <w:hideMark/>
          </w:tcPr>
          <w:p w14:paraId="697A7226"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Almindelig pleje</w:t>
            </w:r>
          </w:p>
        </w:tc>
        <w:tc>
          <w:tcPr>
            <w:tcW w:w="540" w:type="pct"/>
            <w:tcBorders>
              <w:top w:val="nil"/>
              <w:left w:val="nil"/>
              <w:bottom w:val="single" w:sz="4" w:space="0" w:color="auto"/>
              <w:right w:val="nil"/>
            </w:tcBorders>
            <w:shd w:val="clear" w:color="auto" w:fill="FFFFFF"/>
            <w:vAlign w:val="bottom"/>
          </w:tcPr>
          <w:p w14:paraId="197A09CD" w14:textId="77777777" w:rsidR="00262686" w:rsidRPr="006734BD" w:rsidRDefault="00262686">
            <w:pPr>
              <w:keepNext/>
              <w:keepLines/>
              <w:jc w:val="center"/>
              <w:rPr>
                <w:rFonts w:eastAsia="Courier New"/>
                <w:color w:val="000000"/>
                <w:sz w:val="16"/>
                <w:szCs w:val="16"/>
                <w:lang w:bidi="en-US"/>
              </w:rPr>
            </w:pPr>
          </w:p>
        </w:tc>
        <w:tc>
          <w:tcPr>
            <w:tcW w:w="717" w:type="pct"/>
            <w:tcBorders>
              <w:top w:val="nil"/>
              <w:left w:val="nil"/>
              <w:bottom w:val="single" w:sz="4" w:space="0" w:color="auto"/>
              <w:right w:val="nil"/>
            </w:tcBorders>
            <w:shd w:val="clear" w:color="auto" w:fill="FFFFFF"/>
            <w:vAlign w:val="bottom"/>
          </w:tcPr>
          <w:p w14:paraId="79D6C9D2" w14:textId="77777777" w:rsidR="00262686" w:rsidRPr="006734BD" w:rsidRDefault="00262686">
            <w:pPr>
              <w:keepNext/>
              <w:keepLines/>
              <w:jc w:val="center"/>
              <w:rPr>
                <w:rFonts w:eastAsia="Courier New"/>
                <w:color w:val="000000"/>
                <w:sz w:val="16"/>
                <w:szCs w:val="16"/>
                <w:lang w:bidi="en-US"/>
              </w:rPr>
            </w:pPr>
          </w:p>
        </w:tc>
        <w:tc>
          <w:tcPr>
            <w:tcW w:w="665" w:type="pct"/>
            <w:tcBorders>
              <w:top w:val="nil"/>
              <w:left w:val="nil"/>
              <w:bottom w:val="single" w:sz="4" w:space="0" w:color="auto"/>
              <w:right w:val="nil"/>
            </w:tcBorders>
            <w:shd w:val="clear" w:color="auto" w:fill="FFFFFF"/>
            <w:vAlign w:val="bottom"/>
            <w:hideMark/>
          </w:tcPr>
          <w:p w14:paraId="40098103" w14:textId="77777777" w:rsidR="00262686" w:rsidRPr="006734BD" w:rsidRDefault="00262686">
            <w:pPr>
              <w:keepNext/>
              <w:keepLines/>
              <w:jc w:val="center"/>
              <w:rPr>
                <w:rFonts w:eastAsia="Courier New"/>
                <w:b/>
                <w:bCs/>
                <w:color w:val="000000"/>
                <w:sz w:val="16"/>
                <w:szCs w:val="16"/>
                <w:lang w:bidi="en-US"/>
              </w:rPr>
            </w:pPr>
            <w:r w:rsidRPr="006734BD">
              <w:rPr>
                <w:rFonts w:eastAsia="Courier New"/>
                <w:b/>
                <w:bCs/>
                <w:color w:val="000000"/>
                <w:sz w:val="16"/>
                <w:szCs w:val="16"/>
                <w:lang w:bidi="en-US"/>
              </w:rPr>
              <w:t>RR (95 % Cl)</w:t>
            </w:r>
          </w:p>
        </w:tc>
      </w:tr>
      <w:tr w:rsidR="00262686" w:rsidRPr="006734BD" w14:paraId="3FFC81DD" w14:textId="77777777" w:rsidTr="00FA7787">
        <w:trPr>
          <w:trHeight w:val="227"/>
        </w:trPr>
        <w:tc>
          <w:tcPr>
            <w:tcW w:w="3078" w:type="pct"/>
            <w:gridSpan w:val="3"/>
            <w:shd w:val="clear" w:color="auto" w:fill="FFFFFF"/>
            <w:vAlign w:val="bottom"/>
            <w:hideMark/>
          </w:tcPr>
          <w:p w14:paraId="74E34B67" w14:textId="77777777" w:rsidR="00262686" w:rsidRPr="006734BD" w:rsidRDefault="00262686">
            <w:pPr>
              <w:keepNext/>
              <w:keepLines/>
              <w:rPr>
                <w:rFonts w:eastAsia="Courier New"/>
                <w:b/>
                <w:bCs/>
                <w:color w:val="000000"/>
                <w:sz w:val="16"/>
                <w:szCs w:val="16"/>
                <w:lang w:bidi="en-US"/>
              </w:rPr>
            </w:pPr>
            <w:r w:rsidRPr="006734BD">
              <w:rPr>
                <w:rFonts w:eastAsia="Courier New"/>
                <w:b/>
                <w:bCs/>
                <w:color w:val="000000"/>
                <w:sz w:val="16"/>
                <w:szCs w:val="16"/>
                <w:lang w:bidi="en-US"/>
              </w:rPr>
              <w:t>Ingen ilt</w:t>
            </w:r>
            <w:r w:rsidRPr="006734BD">
              <w:rPr>
                <w:rFonts w:eastAsia="Courier New"/>
                <w:b/>
                <w:bCs/>
                <w:color w:val="000000"/>
                <w:sz w:val="16"/>
                <w:szCs w:val="16"/>
                <w:u w:val="single"/>
                <w:lang w:bidi="en-US"/>
              </w:rPr>
              <w:t xml:space="preserve"> </w:t>
            </w:r>
            <w:r w:rsidRPr="006734BD">
              <w:rPr>
                <w:rFonts w:eastAsia="Courier New"/>
                <w:b/>
                <w:bCs/>
                <w:color w:val="000000"/>
                <w:sz w:val="16"/>
                <w:szCs w:val="16"/>
                <w:lang w:bidi="en-US"/>
              </w:rPr>
              <w:t>(χ</w:t>
            </w:r>
            <w:r w:rsidRPr="006734BD">
              <w:rPr>
                <w:rFonts w:eastAsia="Courier New"/>
                <w:b/>
                <w:bCs/>
                <w:color w:val="000000"/>
                <w:sz w:val="16"/>
                <w:szCs w:val="16"/>
                <w:vertAlign w:val="subscript"/>
                <w:lang w:bidi="en-US"/>
              </w:rPr>
              <w:t>1</w:t>
            </w:r>
            <w:r w:rsidRPr="006734BD">
              <w:rPr>
                <w:rFonts w:eastAsia="Courier New"/>
                <w:b/>
                <w:bCs/>
                <w:color w:val="000000"/>
                <w:sz w:val="16"/>
                <w:szCs w:val="16"/>
                <w:vertAlign w:val="superscript"/>
                <w:lang w:bidi="en-US"/>
              </w:rPr>
              <w:t>2 </w:t>
            </w:r>
            <w:r w:rsidRPr="006734BD">
              <w:rPr>
                <w:rFonts w:eastAsia="Courier New"/>
                <w:b/>
                <w:bCs/>
                <w:color w:val="000000"/>
                <w:sz w:val="16"/>
                <w:szCs w:val="16"/>
                <w:lang w:bidi="en-US"/>
              </w:rPr>
              <w:t>= 0,70; p = 0,40)</w:t>
            </w:r>
          </w:p>
        </w:tc>
        <w:tc>
          <w:tcPr>
            <w:tcW w:w="1257" w:type="pct"/>
            <w:gridSpan w:val="2"/>
            <w:vMerge w:val="restart"/>
            <w:shd w:val="clear" w:color="auto" w:fill="FFFFFF"/>
            <w:hideMark/>
          </w:tcPr>
          <w:p w14:paraId="4ED0AC5F" w14:textId="72B38217" w:rsidR="00262686" w:rsidRPr="006734BD" w:rsidRDefault="00262686">
            <w:pPr>
              <w:keepNext/>
              <w:keepLines/>
              <w:rPr>
                <w:rFonts w:eastAsia="Courier New"/>
                <w:color w:val="000000"/>
                <w:sz w:val="16"/>
                <w:szCs w:val="16"/>
                <w:lang w:bidi="en-US"/>
              </w:rPr>
            </w:pPr>
            <w:r w:rsidRPr="006734BD">
              <w:rPr>
                <w:rFonts w:eastAsia="Courier New"/>
                <w:noProof/>
                <w:color w:val="000000"/>
                <w:sz w:val="16"/>
                <w:szCs w:val="16"/>
                <w:lang w:bidi="en-US"/>
              </w:rPr>
              <w:drawing>
                <wp:inline distT="0" distB="0" distL="0" distR="0" wp14:anchorId="5AEF89E9" wp14:editId="7681F57C">
                  <wp:extent cx="1516380" cy="2575560"/>
                  <wp:effectExtent l="0" t="0" r="7620" b="0"/>
                  <wp:docPr id="3" name="Billede 3" descr="Et billede, der indeholder diagram&#10;&#10;Indhold genereret af kunstig intelligens kan være forke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Et billede, der indeholder diagram&#10;&#10;Indhold genereret af kunstig intelligens kan være forker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16380" cy="2575560"/>
                          </a:xfrm>
                          <a:prstGeom prst="rect">
                            <a:avLst/>
                          </a:prstGeom>
                          <a:noFill/>
                          <a:ln>
                            <a:noFill/>
                          </a:ln>
                        </pic:spPr>
                      </pic:pic>
                    </a:graphicData>
                  </a:graphic>
                </wp:inline>
              </w:drawing>
            </w:r>
          </w:p>
        </w:tc>
        <w:tc>
          <w:tcPr>
            <w:tcW w:w="665" w:type="pct"/>
            <w:shd w:val="clear" w:color="auto" w:fill="FFFFFF"/>
          </w:tcPr>
          <w:p w14:paraId="36719F64" w14:textId="77777777" w:rsidR="00262686" w:rsidRPr="006734BD" w:rsidRDefault="00262686">
            <w:pPr>
              <w:keepNext/>
              <w:keepLines/>
              <w:rPr>
                <w:rFonts w:eastAsia="Courier New"/>
                <w:color w:val="000000"/>
                <w:sz w:val="16"/>
                <w:szCs w:val="16"/>
                <w:lang w:bidi="en-US"/>
              </w:rPr>
            </w:pPr>
          </w:p>
        </w:tc>
      </w:tr>
      <w:tr w:rsidR="00262686" w:rsidRPr="006734BD" w14:paraId="79127D68" w14:textId="77777777" w:rsidTr="00FA7787">
        <w:trPr>
          <w:trHeight w:val="82"/>
        </w:trPr>
        <w:tc>
          <w:tcPr>
            <w:tcW w:w="733" w:type="pct"/>
            <w:shd w:val="clear" w:color="auto" w:fill="FFFFFF"/>
            <w:hideMark/>
          </w:tcPr>
          <w:p w14:paraId="550EE083"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&lt;70</w:t>
            </w:r>
          </w:p>
        </w:tc>
        <w:tc>
          <w:tcPr>
            <w:tcW w:w="1095" w:type="pct"/>
            <w:shd w:val="clear" w:color="auto" w:fill="FFFFFF"/>
            <w:hideMark/>
          </w:tcPr>
          <w:p w14:paraId="36C7EAA4"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10/197 (5,1 %)</w:t>
            </w:r>
          </w:p>
        </w:tc>
        <w:tc>
          <w:tcPr>
            <w:tcW w:w="1250" w:type="pct"/>
            <w:shd w:val="clear" w:color="auto" w:fill="FFFFFF"/>
            <w:hideMark/>
          </w:tcPr>
          <w:p w14:paraId="2E816262"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18/462 (3,9 %)</w:t>
            </w:r>
          </w:p>
        </w:tc>
        <w:tc>
          <w:tcPr>
            <w:tcW w:w="1257" w:type="pct"/>
            <w:gridSpan w:val="2"/>
            <w:vMerge/>
            <w:vAlign w:val="center"/>
            <w:hideMark/>
          </w:tcPr>
          <w:p w14:paraId="34A8040C" w14:textId="77777777" w:rsidR="00262686" w:rsidRPr="006734BD" w:rsidRDefault="00262686">
            <w:pPr>
              <w:rPr>
                <w:rFonts w:eastAsia="Courier New"/>
                <w:color w:val="000000"/>
                <w:sz w:val="16"/>
                <w:szCs w:val="16"/>
                <w:lang w:bidi="en-US"/>
              </w:rPr>
            </w:pPr>
          </w:p>
        </w:tc>
        <w:tc>
          <w:tcPr>
            <w:tcW w:w="665" w:type="pct"/>
            <w:shd w:val="clear" w:color="auto" w:fill="FFFFFF"/>
            <w:hideMark/>
          </w:tcPr>
          <w:p w14:paraId="2CB00DE9"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1,31 (0,60-2,83)</w:t>
            </w:r>
          </w:p>
        </w:tc>
      </w:tr>
      <w:tr w:rsidR="00262686" w:rsidRPr="006734BD" w14:paraId="118E2093" w14:textId="77777777" w:rsidTr="00FA7787">
        <w:trPr>
          <w:trHeight w:val="227"/>
        </w:trPr>
        <w:tc>
          <w:tcPr>
            <w:tcW w:w="733" w:type="pct"/>
            <w:shd w:val="clear" w:color="auto" w:fill="FFFFFF"/>
            <w:vAlign w:val="bottom"/>
            <w:hideMark/>
          </w:tcPr>
          <w:p w14:paraId="5561EFD9"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sym w:font="Symbol" w:char="F0B3"/>
            </w:r>
            <w:r w:rsidRPr="006734BD">
              <w:rPr>
                <w:rFonts w:eastAsia="Courier New"/>
                <w:color w:val="000000"/>
                <w:sz w:val="16"/>
                <w:szCs w:val="16"/>
                <w:lang w:bidi="en-US"/>
              </w:rPr>
              <w:t>70 &lt;80</w:t>
            </w:r>
          </w:p>
        </w:tc>
        <w:tc>
          <w:tcPr>
            <w:tcW w:w="1095" w:type="pct"/>
            <w:shd w:val="clear" w:color="auto" w:fill="FFFFFF"/>
            <w:vAlign w:val="bottom"/>
            <w:hideMark/>
          </w:tcPr>
          <w:p w14:paraId="293B356B"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25/114 (21,9 %)</w:t>
            </w:r>
          </w:p>
        </w:tc>
        <w:tc>
          <w:tcPr>
            <w:tcW w:w="1250" w:type="pct"/>
            <w:shd w:val="clear" w:color="auto" w:fill="FFFFFF"/>
            <w:vAlign w:val="bottom"/>
            <w:hideMark/>
          </w:tcPr>
          <w:p w14:paraId="5F7D1EB0"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35/224 (15,6 %)</w:t>
            </w:r>
          </w:p>
        </w:tc>
        <w:tc>
          <w:tcPr>
            <w:tcW w:w="1257" w:type="pct"/>
            <w:gridSpan w:val="2"/>
            <w:vMerge/>
            <w:vAlign w:val="center"/>
            <w:hideMark/>
          </w:tcPr>
          <w:p w14:paraId="5E0F3774" w14:textId="77777777" w:rsidR="00262686" w:rsidRPr="006734BD" w:rsidRDefault="00262686">
            <w:pPr>
              <w:rPr>
                <w:rFonts w:eastAsia="Courier New"/>
                <w:color w:val="000000"/>
                <w:sz w:val="16"/>
                <w:szCs w:val="16"/>
                <w:lang w:bidi="en-US"/>
              </w:rPr>
            </w:pPr>
          </w:p>
        </w:tc>
        <w:tc>
          <w:tcPr>
            <w:tcW w:w="665" w:type="pct"/>
            <w:shd w:val="clear" w:color="auto" w:fill="FFFFFF"/>
            <w:vAlign w:val="bottom"/>
            <w:hideMark/>
          </w:tcPr>
          <w:p w14:paraId="08CF3E1A"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1,46 (0,88-2,45)</w:t>
            </w:r>
          </w:p>
        </w:tc>
      </w:tr>
      <w:tr w:rsidR="00262686" w:rsidRPr="006734BD" w14:paraId="103850B2" w14:textId="77777777" w:rsidTr="00FA7787">
        <w:trPr>
          <w:trHeight w:val="75"/>
        </w:trPr>
        <w:tc>
          <w:tcPr>
            <w:tcW w:w="733" w:type="pct"/>
            <w:shd w:val="clear" w:color="auto" w:fill="FFFFFF"/>
            <w:hideMark/>
          </w:tcPr>
          <w:p w14:paraId="14845290"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sym w:font="Symbol" w:char="F0B3"/>
            </w:r>
            <w:r w:rsidRPr="006734BD">
              <w:rPr>
                <w:rFonts w:eastAsia="Courier New"/>
                <w:color w:val="000000"/>
                <w:sz w:val="16"/>
                <w:szCs w:val="16"/>
                <w:lang w:bidi="en-US"/>
              </w:rPr>
              <w:t>80</w:t>
            </w:r>
          </w:p>
        </w:tc>
        <w:tc>
          <w:tcPr>
            <w:tcW w:w="1095" w:type="pct"/>
            <w:shd w:val="clear" w:color="auto" w:fill="FFFFFF"/>
            <w:hideMark/>
          </w:tcPr>
          <w:p w14:paraId="336029C4"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54/190 (28,4 %)</w:t>
            </w:r>
          </w:p>
        </w:tc>
        <w:tc>
          <w:tcPr>
            <w:tcW w:w="1250" w:type="pct"/>
            <w:shd w:val="clear" w:color="auto" w:fill="FFFFFF"/>
            <w:hideMark/>
          </w:tcPr>
          <w:p w14:paraId="0B2F1AAD"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92/348 (26,4 %)</w:t>
            </w:r>
          </w:p>
        </w:tc>
        <w:tc>
          <w:tcPr>
            <w:tcW w:w="1257" w:type="pct"/>
            <w:gridSpan w:val="2"/>
            <w:vMerge/>
            <w:vAlign w:val="center"/>
            <w:hideMark/>
          </w:tcPr>
          <w:p w14:paraId="291F037D" w14:textId="77777777" w:rsidR="00262686" w:rsidRPr="006734BD" w:rsidRDefault="00262686">
            <w:pPr>
              <w:rPr>
                <w:rFonts w:eastAsia="Courier New"/>
                <w:color w:val="000000"/>
                <w:sz w:val="16"/>
                <w:szCs w:val="16"/>
                <w:lang w:bidi="en-US"/>
              </w:rPr>
            </w:pPr>
          </w:p>
        </w:tc>
        <w:tc>
          <w:tcPr>
            <w:tcW w:w="665" w:type="pct"/>
            <w:shd w:val="clear" w:color="auto" w:fill="FFFFFF"/>
            <w:hideMark/>
          </w:tcPr>
          <w:p w14:paraId="25D5A56F"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1,06 (0,76-1,49)</w:t>
            </w:r>
          </w:p>
        </w:tc>
      </w:tr>
      <w:tr w:rsidR="00262686" w:rsidRPr="006734BD" w14:paraId="160C96A8" w14:textId="77777777" w:rsidTr="00FA7787">
        <w:trPr>
          <w:trHeight w:val="176"/>
        </w:trPr>
        <w:tc>
          <w:tcPr>
            <w:tcW w:w="733" w:type="pct"/>
            <w:shd w:val="clear" w:color="auto" w:fill="FFFFFF"/>
            <w:hideMark/>
          </w:tcPr>
          <w:p w14:paraId="5B7C6712" w14:textId="77777777" w:rsidR="00262686" w:rsidRPr="006734BD" w:rsidRDefault="00262686">
            <w:pPr>
              <w:keepNext/>
              <w:keepLines/>
              <w:rPr>
                <w:rFonts w:eastAsia="Courier New"/>
                <w:b/>
                <w:bCs/>
                <w:color w:val="000000"/>
                <w:sz w:val="16"/>
                <w:szCs w:val="16"/>
                <w:lang w:bidi="en-US"/>
              </w:rPr>
            </w:pPr>
            <w:r w:rsidRPr="006734BD">
              <w:rPr>
                <w:b/>
                <w:sz w:val="16"/>
                <w:szCs w:val="16"/>
              </w:rPr>
              <w:t>Subtotal</w:t>
            </w:r>
          </w:p>
        </w:tc>
        <w:tc>
          <w:tcPr>
            <w:tcW w:w="1095" w:type="pct"/>
            <w:shd w:val="clear" w:color="auto" w:fill="FFFFFF"/>
            <w:hideMark/>
          </w:tcPr>
          <w:p w14:paraId="4E8B1666"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89/501 (17,8 %)</w:t>
            </w:r>
          </w:p>
        </w:tc>
        <w:tc>
          <w:tcPr>
            <w:tcW w:w="1250" w:type="pct"/>
            <w:shd w:val="clear" w:color="auto" w:fill="FFFFFF"/>
            <w:hideMark/>
          </w:tcPr>
          <w:p w14:paraId="48E7205E"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145/1.034 (14,0 %)</w:t>
            </w:r>
          </w:p>
        </w:tc>
        <w:tc>
          <w:tcPr>
            <w:tcW w:w="1257" w:type="pct"/>
            <w:gridSpan w:val="2"/>
            <w:vMerge/>
            <w:vAlign w:val="center"/>
            <w:hideMark/>
          </w:tcPr>
          <w:p w14:paraId="65D1A3C4" w14:textId="77777777" w:rsidR="00262686" w:rsidRPr="006734BD" w:rsidRDefault="00262686">
            <w:pPr>
              <w:rPr>
                <w:rFonts w:eastAsia="Courier New"/>
                <w:color w:val="000000"/>
                <w:sz w:val="16"/>
                <w:szCs w:val="16"/>
                <w:lang w:bidi="en-US"/>
              </w:rPr>
            </w:pPr>
          </w:p>
        </w:tc>
        <w:tc>
          <w:tcPr>
            <w:tcW w:w="665" w:type="pct"/>
            <w:shd w:val="clear" w:color="auto" w:fill="FFFFFF"/>
            <w:hideMark/>
          </w:tcPr>
          <w:p w14:paraId="36848C71" w14:textId="77777777" w:rsidR="00262686" w:rsidRPr="006734BD" w:rsidRDefault="00262686">
            <w:pPr>
              <w:keepNext/>
              <w:keepLines/>
              <w:rPr>
                <w:rFonts w:eastAsia="Courier New"/>
                <w:b/>
                <w:bCs/>
                <w:color w:val="000000"/>
                <w:sz w:val="16"/>
                <w:szCs w:val="16"/>
                <w:lang w:bidi="en-US"/>
              </w:rPr>
            </w:pPr>
            <w:r w:rsidRPr="006734BD">
              <w:rPr>
                <w:rFonts w:eastAsia="Courier New"/>
                <w:color w:val="000000"/>
                <w:sz w:val="16"/>
                <w:szCs w:val="16"/>
                <w:lang w:bidi="en-US"/>
              </w:rPr>
              <w:t>1,19 (0,91-1,55)</w:t>
            </w:r>
          </w:p>
        </w:tc>
      </w:tr>
      <w:tr w:rsidR="00262686" w:rsidRPr="006734BD" w14:paraId="3A21B09A" w14:textId="77777777" w:rsidTr="00FA7787">
        <w:trPr>
          <w:trHeight w:val="227"/>
        </w:trPr>
        <w:tc>
          <w:tcPr>
            <w:tcW w:w="3078" w:type="pct"/>
            <w:gridSpan w:val="3"/>
            <w:shd w:val="clear" w:color="auto" w:fill="FFFFFF"/>
            <w:vAlign w:val="bottom"/>
            <w:hideMark/>
          </w:tcPr>
          <w:p w14:paraId="7BFC6912" w14:textId="77777777" w:rsidR="00262686" w:rsidRPr="006734BD" w:rsidRDefault="00262686">
            <w:pPr>
              <w:keepNext/>
              <w:keepLines/>
              <w:rPr>
                <w:rFonts w:eastAsia="Courier New"/>
                <w:b/>
                <w:bCs/>
                <w:color w:val="000000"/>
                <w:sz w:val="16"/>
                <w:szCs w:val="16"/>
                <w:lang w:bidi="en-US"/>
              </w:rPr>
            </w:pPr>
            <w:r w:rsidRPr="006734BD">
              <w:rPr>
                <w:rFonts w:eastAsia="Courier New"/>
                <w:b/>
                <w:bCs/>
                <w:color w:val="000000"/>
                <w:sz w:val="16"/>
                <w:szCs w:val="16"/>
                <w:lang w:bidi="en-US"/>
              </w:rPr>
              <w:t>Kun ilt</w:t>
            </w:r>
            <w:r w:rsidRPr="006734BD">
              <w:rPr>
                <w:rFonts w:eastAsia="Courier New"/>
                <w:b/>
                <w:bCs/>
                <w:color w:val="000000"/>
                <w:sz w:val="16"/>
                <w:szCs w:val="16"/>
                <w:u w:val="single"/>
                <w:lang w:bidi="en-US"/>
              </w:rPr>
              <w:t xml:space="preserve"> </w:t>
            </w:r>
            <w:r w:rsidRPr="006734BD">
              <w:rPr>
                <w:rFonts w:eastAsia="Courier New"/>
                <w:b/>
                <w:bCs/>
                <w:color w:val="000000"/>
                <w:sz w:val="16"/>
                <w:szCs w:val="16"/>
                <w:lang w:bidi="en-US"/>
              </w:rPr>
              <w:t>(χ</w:t>
            </w:r>
            <w:r w:rsidRPr="006734BD">
              <w:rPr>
                <w:rFonts w:eastAsia="Courier New"/>
                <w:b/>
                <w:bCs/>
                <w:color w:val="000000"/>
                <w:sz w:val="16"/>
                <w:szCs w:val="16"/>
                <w:vertAlign w:val="subscript"/>
                <w:lang w:bidi="en-US"/>
              </w:rPr>
              <w:t>1</w:t>
            </w:r>
            <w:r w:rsidRPr="006734BD">
              <w:rPr>
                <w:rFonts w:eastAsia="Courier New"/>
                <w:b/>
                <w:bCs/>
                <w:color w:val="000000"/>
                <w:sz w:val="16"/>
                <w:szCs w:val="16"/>
                <w:vertAlign w:val="superscript"/>
                <w:lang w:bidi="en-US"/>
              </w:rPr>
              <w:t>2 </w:t>
            </w:r>
            <w:r w:rsidRPr="006734BD">
              <w:rPr>
                <w:rFonts w:eastAsia="Courier New"/>
                <w:b/>
                <w:bCs/>
                <w:color w:val="000000"/>
                <w:sz w:val="16"/>
                <w:szCs w:val="16"/>
                <w:lang w:bidi="en-US"/>
              </w:rPr>
              <w:t>= 2,54; p = 0,11)</w:t>
            </w:r>
          </w:p>
        </w:tc>
        <w:tc>
          <w:tcPr>
            <w:tcW w:w="1257" w:type="pct"/>
            <w:gridSpan w:val="2"/>
            <w:vMerge/>
            <w:vAlign w:val="center"/>
            <w:hideMark/>
          </w:tcPr>
          <w:p w14:paraId="1D57C0AA" w14:textId="77777777" w:rsidR="00262686" w:rsidRPr="006734BD" w:rsidRDefault="00262686">
            <w:pPr>
              <w:rPr>
                <w:rFonts w:eastAsia="Courier New"/>
                <w:color w:val="000000"/>
                <w:sz w:val="16"/>
                <w:szCs w:val="16"/>
                <w:lang w:bidi="en-US"/>
              </w:rPr>
            </w:pPr>
          </w:p>
        </w:tc>
        <w:tc>
          <w:tcPr>
            <w:tcW w:w="665" w:type="pct"/>
            <w:shd w:val="clear" w:color="auto" w:fill="FFFFFF"/>
          </w:tcPr>
          <w:p w14:paraId="4A870D9A" w14:textId="77777777" w:rsidR="00262686" w:rsidRPr="006734BD" w:rsidRDefault="00262686">
            <w:pPr>
              <w:keepNext/>
              <w:keepLines/>
              <w:rPr>
                <w:rFonts w:eastAsia="Courier New"/>
                <w:color w:val="000000"/>
                <w:sz w:val="16"/>
                <w:szCs w:val="16"/>
                <w:lang w:bidi="en-US"/>
              </w:rPr>
            </w:pPr>
          </w:p>
        </w:tc>
      </w:tr>
      <w:tr w:rsidR="00262686" w:rsidRPr="006734BD" w14:paraId="7EAAF61B" w14:textId="77777777" w:rsidTr="00FA7787">
        <w:trPr>
          <w:trHeight w:val="99"/>
        </w:trPr>
        <w:tc>
          <w:tcPr>
            <w:tcW w:w="733" w:type="pct"/>
            <w:shd w:val="clear" w:color="auto" w:fill="FFFFFF"/>
            <w:hideMark/>
          </w:tcPr>
          <w:p w14:paraId="3980CDC0"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&lt;70</w:t>
            </w:r>
          </w:p>
        </w:tc>
        <w:tc>
          <w:tcPr>
            <w:tcW w:w="1095" w:type="pct"/>
            <w:shd w:val="clear" w:color="auto" w:fill="FFFFFF"/>
            <w:hideMark/>
          </w:tcPr>
          <w:p w14:paraId="1D62155F"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53/675 (7,9 %)</w:t>
            </w:r>
          </w:p>
        </w:tc>
        <w:tc>
          <w:tcPr>
            <w:tcW w:w="1250" w:type="pct"/>
            <w:shd w:val="clear" w:color="auto" w:fill="FFFFFF"/>
            <w:hideMark/>
          </w:tcPr>
          <w:p w14:paraId="56DA9016"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193/1.473(13,1 %)</w:t>
            </w:r>
          </w:p>
        </w:tc>
        <w:tc>
          <w:tcPr>
            <w:tcW w:w="1257" w:type="pct"/>
            <w:gridSpan w:val="2"/>
            <w:vMerge/>
            <w:vAlign w:val="center"/>
            <w:hideMark/>
          </w:tcPr>
          <w:p w14:paraId="19D68D23" w14:textId="77777777" w:rsidR="00262686" w:rsidRPr="006734BD" w:rsidRDefault="00262686">
            <w:pPr>
              <w:rPr>
                <w:rFonts w:eastAsia="Courier New"/>
                <w:color w:val="000000"/>
                <w:sz w:val="16"/>
                <w:szCs w:val="16"/>
                <w:lang w:bidi="en-US"/>
              </w:rPr>
            </w:pPr>
          </w:p>
        </w:tc>
        <w:tc>
          <w:tcPr>
            <w:tcW w:w="665" w:type="pct"/>
            <w:shd w:val="clear" w:color="auto" w:fill="FFFFFF"/>
            <w:hideMark/>
          </w:tcPr>
          <w:p w14:paraId="56F135D4"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0,58 (0,43-0,78)</w:t>
            </w:r>
          </w:p>
        </w:tc>
      </w:tr>
      <w:tr w:rsidR="00262686" w:rsidRPr="006734BD" w14:paraId="062BEA15" w14:textId="77777777" w:rsidTr="00FA7787">
        <w:trPr>
          <w:trHeight w:val="227"/>
        </w:trPr>
        <w:tc>
          <w:tcPr>
            <w:tcW w:w="733" w:type="pct"/>
            <w:shd w:val="clear" w:color="auto" w:fill="FFFFFF"/>
            <w:vAlign w:val="bottom"/>
            <w:hideMark/>
          </w:tcPr>
          <w:p w14:paraId="7FB05FD1"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sym w:font="Symbol" w:char="F0B3"/>
            </w:r>
            <w:r w:rsidRPr="006734BD">
              <w:rPr>
                <w:rFonts w:eastAsia="Courier New"/>
                <w:color w:val="000000"/>
                <w:sz w:val="16"/>
                <w:szCs w:val="16"/>
                <w:lang w:bidi="en-US"/>
              </w:rPr>
              <w:t>70 &lt;80</w:t>
            </w:r>
          </w:p>
        </w:tc>
        <w:tc>
          <w:tcPr>
            <w:tcW w:w="1095" w:type="pct"/>
            <w:shd w:val="clear" w:color="auto" w:fill="FFFFFF"/>
            <w:vAlign w:val="bottom"/>
            <w:hideMark/>
          </w:tcPr>
          <w:p w14:paraId="2C58D86D"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104/306 (34,0 %)</w:t>
            </w:r>
          </w:p>
        </w:tc>
        <w:tc>
          <w:tcPr>
            <w:tcW w:w="1250" w:type="pct"/>
            <w:shd w:val="clear" w:color="auto" w:fill="FFFFFF"/>
            <w:vAlign w:val="bottom"/>
            <w:hideMark/>
          </w:tcPr>
          <w:p w14:paraId="67739F0B"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178/531 (33,5 %)</w:t>
            </w:r>
          </w:p>
        </w:tc>
        <w:tc>
          <w:tcPr>
            <w:tcW w:w="1257" w:type="pct"/>
            <w:gridSpan w:val="2"/>
            <w:vMerge/>
            <w:vAlign w:val="center"/>
            <w:hideMark/>
          </w:tcPr>
          <w:p w14:paraId="59A953D8" w14:textId="77777777" w:rsidR="00262686" w:rsidRPr="006734BD" w:rsidRDefault="00262686">
            <w:pPr>
              <w:rPr>
                <w:rFonts w:eastAsia="Courier New"/>
                <w:color w:val="000000"/>
                <w:sz w:val="16"/>
                <w:szCs w:val="16"/>
                <w:lang w:bidi="en-US"/>
              </w:rPr>
            </w:pPr>
          </w:p>
        </w:tc>
        <w:tc>
          <w:tcPr>
            <w:tcW w:w="665" w:type="pct"/>
            <w:shd w:val="clear" w:color="auto" w:fill="FFFFFF"/>
            <w:vAlign w:val="bottom"/>
            <w:hideMark/>
          </w:tcPr>
          <w:p w14:paraId="5002600E"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0,98 (0,77-1,25)</w:t>
            </w:r>
          </w:p>
        </w:tc>
      </w:tr>
      <w:tr w:rsidR="00262686" w:rsidRPr="006734BD" w14:paraId="62A8211E" w14:textId="77777777" w:rsidTr="00FA7787">
        <w:trPr>
          <w:trHeight w:val="227"/>
        </w:trPr>
        <w:tc>
          <w:tcPr>
            <w:tcW w:w="733" w:type="pct"/>
            <w:shd w:val="clear" w:color="auto" w:fill="FFFFFF"/>
            <w:vAlign w:val="bottom"/>
            <w:hideMark/>
          </w:tcPr>
          <w:p w14:paraId="5DBFD7CE"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sym w:font="Symbol" w:char="F0B3"/>
            </w:r>
            <w:r w:rsidRPr="006734BD">
              <w:rPr>
                <w:rFonts w:eastAsia="Courier New"/>
                <w:color w:val="000000"/>
                <w:sz w:val="16"/>
                <w:szCs w:val="16"/>
                <w:lang w:bidi="en-US"/>
              </w:rPr>
              <w:t>80</w:t>
            </w:r>
          </w:p>
        </w:tc>
        <w:tc>
          <w:tcPr>
            <w:tcW w:w="1095" w:type="pct"/>
            <w:shd w:val="clear" w:color="auto" w:fill="FFFFFF"/>
            <w:vAlign w:val="bottom"/>
            <w:hideMark/>
          </w:tcPr>
          <w:p w14:paraId="23C6F22C"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141/298 (47,3 %)</w:t>
            </w:r>
          </w:p>
        </w:tc>
        <w:tc>
          <w:tcPr>
            <w:tcW w:w="1250" w:type="pct"/>
            <w:shd w:val="clear" w:color="auto" w:fill="FFFFFF"/>
            <w:vAlign w:val="bottom"/>
            <w:hideMark/>
          </w:tcPr>
          <w:p w14:paraId="224550E3"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311/600 (51,8 %)</w:t>
            </w:r>
          </w:p>
        </w:tc>
        <w:tc>
          <w:tcPr>
            <w:tcW w:w="1257" w:type="pct"/>
            <w:gridSpan w:val="2"/>
            <w:vMerge/>
            <w:vAlign w:val="center"/>
            <w:hideMark/>
          </w:tcPr>
          <w:p w14:paraId="583CD234" w14:textId="77777777" w:rsidR="00262686" w:rsidRPr="006734BD" w:rsidRDefault="00262686">
            <w:pPr>
              <w:rPr>
                <w:rFonts w:eastAsia="Courier New"/>
                <w:color w:val="000000"/>
                <w:sz w:val="16"/>
                <w:szCs w:val="16"/>
                <w:lang w:bidi="en-US"/>
              </w:rPr>
            </w:pPr>
          </w:p>
        </w:tc>
        <w:tc>
          <w:tcPr>
            <w:tcW w:w="665" w:type="pct"/>
            <w:shd w:val="clear" w:color="auto" w:fill="FFFFFF"/>
            <w:vAlign w:val="bottom"/>
            <w:hideMark/>
          </w:tcPr>
          <w:p w14:paraId="30590882"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0,85 (0,70-1,04)</w:t>
            </w:r>
          </w:p>
        </w:tc>
      </w:tr>
      <w:tr w:rsidR="00262686" w:rsidRPr="006734BD" w14:paraId="7077D55E" w14:textId="77777777" w:rsidTr="00FA7787">
        <w:trPr>
          <w:trHeight w:val="308"/>
        </w:trPr>
        <w:tc>
          <w:tcPr>
            <w:tcW w:w="733" w:type="pct"/>
            <w:shd w:val="clear" w:color="auto" w:fill="FFFFFF"/>
            <w:hideMark/>
          </w:tcPr>
          <w:p w14:paraId="670B5716" w14:textId="77777777" w:rsidR="00262686" w:rsidRPr="006734BD" w:rsidRDefault="00262686">
            <w:pPr>
              <w:keepNext/>
              <w:keepLines/>
              <w:rPr>
                <w:rFonts w:eastAsia="Courier New"/>
                <w:b/>
                <w:bCs/>
                <w:color w:val="000000"/>
                <w:sz w:val="16"/>
                <w:szCs w:val="16"/>
                <w:lang w:bidi="en-US"/>
              </w:rPr>
            </w:pPr>
            <w:r w:rsidRPr="006734BD">
              <w:rPr>
                <w:b/>
                <w:sz w:val="16"/>
                <w:szCs w:val="16"/>
              </w:rPr>
              <w:t>Subtotal</w:t>
            </w:r>
          </w:p>
        </w:tc>
        <w:tc>
          <w:tcPr>
            <w:tcW w:w="1095" w:type="pct"/>
            <w:shd w:val="clear" w:color="auto" w:fill="FFFFFF"/>
            <w:hideMark/>
          </w:tcPr>
          <w:p w14:paraId="3918C301"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298/1.279 (23,3 %)</w:t>
            </w:r>
          </w:p>
        </w:tc>
        <w:tc>
          <w:tcPr>
            <w:tcW w:w="1250" w:type="pct"/>
            <w:shd w:val="clear" w:color="auto" w:fill="FFFFFF"/>
            <w:hideMark/>
          </w:tcPr>
          <w:p w14:paraId="05FDD94E"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682/2.604 (26,2 %)</w:t>
            </w:r>
          </w:p>
        </w:tc>
        <w:tc>
          <w:tcPr>
            <w:tcW w:w="1257" w:type="pct"/>
            <w:gridSpan w:val="2"/>
            <w:vMerge/>
            <w:vAlign w:val="center"/>
            <w:hideMark/>
          </w:tcPr>
          <w:p w14:paraId="768633F0" w14:textId="77777777" w:rsidR="00262686" w:rsidRPr="006734BD" w:rsidRDefault="00262686">
            <w:pPr>
              <w:rPr>
                <w:rFonts w:eastAsia="Courier New"/>
                <w:color w:val="000000"/>
                <w:sz w:val="16"/>
                <w:szCs w:val="16"/>
                <w:lang w:bidi="en-US"/>
              </w:rPr>
            </w:pPr>
          </w:p>
        </w:tc>
        <w:tc>
          <w:tcPr>
            <w:tcW w:w="665" w:type="pct"/>
            <w:shd w:val="clear" w:color="auto" w:fill="FFFFFF"/>
            <w:hideMark/>
          </w:tcPr>
          <w:p w14:paraId="15837DA5" w14:textId="77777777" w:rsidR="00262686" w:rsidRPr="006734BD" w:rsidRDefault="00262686">
            <w:pPr>
              <w:keepNext/>
              <w:keepLines/>
              <w:rPr>
                <w:rFonts w:eastAsia="Courier New"/>
                <w:b/>
                <w:bCs/>
                <w:color w:val="000000"/>
                <w:sz w:val="16"/>
                <w:szCs w:val="16"/>
                <w:lang w:bidi="en-US"/>
              </w:rPr>
            </w:pPr>
            <w:r w:rsidRPr="006734BD">
              <w:rPr>
                <w:rFonts w:eastAsia="Courier New"/>
                <w:b/>
                <w:bCs/>
                <w:color w:val="000000"/>
                <w:sz w:val="16"/>
                <w:szCs w:val="16"/>
                <w:lang w:bidi="en-US"/>
              </w:rPr>
              <w:t>0,82 (0,72-0,94)</w:t>
            </w:r>
          </w:p>
        </w:tc>
      </w:tr>
      <w:tr w:rsidR="00262686" w:rsidRPr="006734BD" w14:paraId="5783A1E3" w14:textId="77777777" w:rsidTr="00FA7787">
        <w:trPr>
          <w:trHeight w:val="227"/>
        </w:trPr>
        <w:tc>
          <w:tcPr>
            <w:tcW w:w="3078" w:type="pct"/>
            <w:gridSpan w:val="3"/>
            <w:shd w:val="clear" w:color="auto" w:fill="FFFFFF"/>
            <w:vAlign w:val="bottom"/>
            <w:hideMark/>
          </w:tcPr>
          <w:p w14:paraId="40415A5B" w14:textId="77777777" w:rsidR="00262686" w:rsidRPr="006734BD" w:rsidRDefault="00262686">
            <w:pPr>
              <w:keepNext/>
              <w:keepLines/>
              <w:rPr>
                <w:rFonts w:eastAsia="Courier New"/>
                <w:b/>
                <w:bCs/>
                <w:color w:val="000000"/>
                <w:sz w:val="16"/>
                <w:szCs w:val="16"/>
                <w:lang w:bidi="en-US"/>
              </w:rPr>
            </w:pPr>
            <w:r w:rsidRPr="006734BD">
              <w:rPr>
                <w:rFonts w:eastAsia="Courier New"/>
                <w:b/>
                <w:bCs/>
                <w:color w:val="000000"/>
                <w:sz w:val="16"/>
                <w:szCs w:val="16"/>
                <w:lang w:bidi="en-US"/>
              </w:rPr>
              <w:t>Mekanisk ventilation</w:t>
            </w:r>
            <w:r w:rsidRPr="006734BD">
              <w:rPr>
                <w:rFonts w:eastAsia="Courier New"/>
                <w:b/>
                <w:bCs/>
                <w:color w:val="000000"/>
                <w:sz w:val="16"/>
                <w:szCs w:val="16"/>
                <w:u w:val="single"/>
                <w:lang w:bidi="en-US"/>
              </w:rPr>
              <w:t xml:space="preserve"> </w:t>
            </w:r>
            <w:r w:rsidRPr="006734BD">
              <w:rPr>
                <w:rFonts w:eastAsia="Courier New"/>
                <w:b/>
                <w:bCs/>
                <w:color w:val="000000"/>
                <w:sz w:val="16"/>
                <w:szCs w:val="16"/>
                <w:lang w:bidi="en-US"/>
              </w:rPr>
              <w:t>(χ</w:t>
            </w:r>
            <w:r w:rsidRPr="006734BD">
              <w:rPr>
                <w:rFonts w:eastAsia="Courier New"/>
                <w:b/>
                <w:bCs/>
                <w:color w:val="000000"/>
                <w:sz w:val="16"/>
                <w:szCs w:val="16"/>
                <w:vertAlign w:val="subscript"/>
                <w:lang w:bidi="en-US"/>
              </w:rPr>
              <w:t>1</w:t>
            </w:r>
            <w:r w:rsidRPr="006734BD">
              <w:rPr>
                <w:rFonts w:eastAsia="Courier New"/>
                <w:b/>
                <w:bCs/>
                <w:color w:val="000000"/>
                <w:sz w:val="16"/>
                <w:szCs w:val="16"/>
                <w:vertAlign w:val="superscript"/>
                <w:lang w:bidi="en-US"/>
              </w:rPr>
              <w:t>2 </w:t>
            </w:r>
            <w:r w:rsidRPr="006734BD">
              <w:rPr>
                <w:rFonts w:eastAsia="Courier New"/>
                <w:b/>
                <w:bCs/>
                <w:color w:val="000000"/>
                <w:sz w:val="16"/>
                <w:szCs w:val="16"/>
                <w:lang w:bidi="en-US"/>
              </w:rPr>
              <w:t>= 0,28; p = 0,60)</w:t>
            </w:r>
          </w:p>
        </w:tc>
        <w:tc>
          <w:tcPr>
            <w:tcW w:w="1257" w:type="pct"/>
            <w:gridSpan w:val="2"/>
            <w:vMerge/>
            <w:vAlign w:val="center"/>
            <w:hideMark/>
          </w:tcPr>
          <w:p w14:paraId="26341B6B" w14:textId="77777777" w:rsidR="00262686" w:rsidRPr="006734BD" w:rsidRDefault="00262686">
            <w:pPr>
              <w:rPr>
                <w:rFonts w:eastAsia="Courier New"/>
                <w:color w:val="000000"/>
                <w:sz w:val="16"/>
                <w:szCs w:val="16"/>
                <w:lang w:bidi="en-US"/>
              </w:rPr>
            </w:pPr>
          </w:p>
        </w:tc>
        <w:tc>
          <w:tcPr>
            <w:tcW w:w="665" w:type="pct"/>
            <w:shd w:val="clear" w:color="auto" w:fill="FFFFFF"/>
          </w:tcPr>
          <w:p w14:paraId="380CA0DA" w14:textId="77777777" w:rsidR="00262686" w:rsidRPr="006734BD" w:rsidRDefault="00262686">
            <w:pPr>
              <w:keepNext/>
              <w:keepLines/>
              <w:rPr>
                <w:rFonts w:eastAsia="Courier New"/>
                <w:color w:val="000000"/>
                <w:sz w:val="16"/>
                <w:szCs w:val="16"/>
                <w:lang w:bidi="en-US"/>
              </w:rPr>
            </w:pPr>
          </w:p>
        </w:tc>
      </w:tr>
      <w:tr w:rsidR="00262686" w:rsidRPr="006734BD" w14:paraId="579DA9E1" w14:textId="77777777" w:rsidTr="00FA7787">
        <w:trPr>
          <w:trHeight w:val="227"/>
        </w:trPr>
        <w:tc>
          <w:tcPr>
            <w:tcW w:w="733" w:type="pct"/>
            <w:shd w:val="clear" w:color="auto" w:fill="FFFFFF"/>
            <w:vAlign w:val="bottom"/>
            <w:hideMark/>
          </w:tcPr>
          <w:p w14:paraId="6FE6615F"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&lt;70</w:t>
            </w:r>
          </w:p>
        </w:tc>
        <w:tc>
          <w:tcPr>
            <w:tcW w:w="1095" w:type="pct"/>
            <w:shd w:val="clear" w:color="auto" w:fill="FFFFFF"/>
            <w:vAlign w:val="bottom"/>
            <w:hideMark/>
          </w:tcPr>
          <w:p w14:paraId="74326688"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66/269 (24,5 %)</w:t>
            </w:r>
          </w:p>
        </w:tc>
        <w:tc>
          <w:tcPr>
            <w:tcW w:w="1250" w:type="pct"/>
            <w:shd w:val="clear" w:color="auto" w:fill="FFFFFF"/>
            <w:vAlign w:val="bottom"/>
            <w:hideMark/>
          </w:tcPr>
          <w:p w14:paraId="4C945456"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217/569 (38,1 %)</w:t>
            </w:r>
          </w:p>
        </w:tc>
        <w:tc>
          <w:tcPr>
            <w:tcW w:w="1257" w:type="pct"/>
            <w:gridSpan w:val="2"/>
            <w:vMerge/>
            <w:vAlign w:val="center"/>
            <w:hideMark/>
          </w:tcPr>
          <w:p w14:paraId="7174347E" w14:textId="77777777" w:rsidR="00262686" w:rsidRPr="006734BD" w:rsidRDefault="00262686">
            <w:pPr>
              <w:rPr>
                <w:rFonts w:eastAsia="Courier New"/>
                <w:color w:val="000000"/>
                <w:sz w:val="16"/>
                <w:szCs w:val="16"/>
                <w:lang w:bidi="en-US"/>
              </w:rPr>
            </w:pPr>
          </w:p>
        </w:tc>
        <w:tc>
          <w:tcPr>
            <w:tcW w:w="665" w:type="pct"/>
            <w:shd w:val="clear" w:color="auto" w:fill="FFFFFF"/>
            <w:vAlign w:val="bottom"/>
            <w:hideMark/>
          </w:tcPr>
          <w:p w14:paraId="120EAA08"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0,61 (0,46-0,81)</w:t>
            </w:r>
          </w:p>
        </w:tc>
      </w:tr>
      <w:tr w:rsidR="00262686" w:rsidRPr="006734BD" w14:paraId="03911CE9" w14:textId="77777777" w:rsidTr="00FA7787">
        <w:trPr>
          <w:trHeight w:val="227"/>
        </w:trPr>
        <w:tc>
          <w:tcPr>
            <w:tcW w:w="733" w:type="pct"/>
            <w:shd w:val="clear" w:color="auto" w:fill="FFFFFF"/>
            <w:vAlign w:val="bottom"/>
            <w:hideMark/>
          </w:tcPr>
          <w:p w14:paraId="568B06B0"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sym w:font="Symbol" w:char="F0B3"/>
            </w:r>
            <w:r w:rsidRPr="006734BD">
              <w:rPr>
                <w:rFonts w:eastAsia="Courier New"/>
                <w:color w:val="000000"/>
                <w:sz w:val="16"/>
                <w:szCs w:val="16"/>
                <w:lang w:bidi="en-US"/>
              </w:rPr>
              <w:t>70 &lt;80</w:t>
            </w:r>
          </w:p>
        </w:tc>
        <w:tc>
          <w:tcPr>
            <w:tcW w:w="1095" w:type="pct"/>
            <w:shd w:val="clear" w:color="auto" w:fill="FFFFFF"/>
            <w:vAlign w:val="bottom"/>
            <w:hideMark/>
          </w:tcPr>
          <w:p w14:paraId="2E8C61A2"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26/49 (53,1 %)</w:t>
            </w:r>
          </w:p>
        </w:tc>
        <w:tc>
          <w:tcPr>
            <w:tcW w:w="1250" w:type="pct"/>
            <w:shd w:val="clear" w:color="auto" w:fill="FFFFFF"/>
            <w:vAlign w:val="bottom"/>
            <w:hideMark/>
          </w:tcPr>
          <w:p w14:paraId="5A8A5991"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58/104 (55,8 %)</w:t>
            </w:r>
          </w:p>
        </w:tc>
        <w:tc>
          <w:tcPr>
            <w:tcW w:w="1257" w:type="pct"/>
            <w:gridSpan w:val="2"/>
            <w:vMerge/>
            <w:vAlign w:val="center"/>
            <w:hideMark/>
          </w:tcPr>
          <w:p w14:paraId="089B0817" w14:textId="77777777" w:rsidR="00262686" w:rsidRPr="006734BD" w:rsidRDefault="00262686">
            <w:pPr>
              <w:rPr>
                <w:rFonts w:eastAsia="Courier New"/>
                <w:color w:val="000000"/>
                <w:sz w:val="16"/>
                <w:szCs w:val="16"/>
                <w:lang w:bidi="en-US"/>
              </w:rPr>
            </w:pPr>
          </w:p>
        </w:tc>
        <w:tc>
          <w:tcPr>
            <w:tcW w:w="665" w:type="pct"/>
            <w:shd w:val="clear" w:color="auto" w:fill="FFFFFF"/>
            <w:vAlign w:val="bottom"/>
            <w:hideMark/>
          </w:tcPr>
          <w:p w14:paraId="3E9209DC"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0,85 (0,53-1,34)</w:t>
            </w:r>
          </w:p>
        </w:tc>
      </w:tr>
      <w:tr w:rsidR="00262686" w:rsidRPr="006734BD" w14:paraId="0EBD8E29" w14:textId="77777777" w:rsidTr="00FA7787">
        <w:trPr>
          <w:trHeight w:val="227"/>
        </w:trPr>
        <w:tc>
          <w:tcPr>
            <w:tcW w:w="733" w:type="pct"/>
            <w:shd w:val="clear" w:color="auto" w:fill="FFFFFF"/>
            <w:vAlign w:val="center"/>
            <w:hideMark/>
          </w:tcPr>
          <w:p w14:paraId="710EBDE7"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sym w:font="Symbol" w:char="F0B3"/>
            </w:r>
            <w:r w:rsidRPr="006734BD">
              <w:rPr>
                <w:rFonts w:eastAsia="Courier New"/>
                <w:color w:val="000000"/>
                <w:sz w:val="16"/>
                <w:szCs w:val="16"/>
                <w:lang w:bidi="en-US"/>
              </w:rPr>
              <w:t>80</w:t>
            </w:r>
          </w:p>
        </w:tc>
        <w:tc>
          <w:tcPr>
            <w:tcW w:w="1095" w:type="pct"/>
            <w:shd w:val="clear" w:color="auto" w:fill="FFFFFF"/>
            <w:vAlign w:val="bottom"/>
            <w:hideMark/>
          </w:tcPr>
          <w:p w14:paraId="5D984E03"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3/6 (50,0 %)</w:t>
            </w:r>
          </w:p>
        </w:tc>
        <w:tc>
          <w:tcPr>
            <w:tcW w:w="1250" w:type="pct"/>
            <w:shd w:val="clear" w:color="auto" w:fill="FFFFFF"/>
            <w:vAlign w:val="bottom"/>
            <w:hideMark/>
          </w:tcPr>
          <w:p w14:paraId="36F5B61D" w14:textId="77777777" w:rsidR="00262686" w:rsidRPr="006734BD" w:rsidRDefault="00262686">
            <w:pPr>
              <w:keepNext/>
              <w:keepLines/>
              <w:jc w:val="right"/>
              <w:rPr>
                <w:rFonts w:eastAsia="Courier New"/>
                <w:color w:val="000000"/>
                <w:sz w:val="16"/>
                <w:szCs w:val="16"/>
                <w:lang w:bidi="en-US"/>
              </w:rPr>
            </w:pPr>
            <w:r w:rsidRPr="006734BD">
              <w:rPr>
                <w:rFonts w:eastAsia="Courier New"/>
                <w:color w:val="000000"/>
                <w:sz w:val="16"/>
                <w:szCs w:val="16"/>
                <w:lang w:bidi="en-US"/>
              </w:rPr>
              <w:t>8/10 (80,0 %)</w:t>
            </w:r>
          </w:p>
        </w:tc>
        <w:tc>
          <w:tcPr>
            <w:tcW w:w="1257" w:type="pct"/>
            <w:gridSpan w:val="2"/>
            <w:vMerge/>
            <w:vAlign w:val="center"/>
            <w:hideMark/>
          </w:tcPr>
          <w:p w14:paraId="0B583507" w14:textId="77777777" w:rsidR="00262686" w:rsidRPr="006734BD" w:rsidRDefault="00262686">
            <w:pPr>
              <w:rPr>
                <w:rFonts w:eastAsia="Courier New"/>
                <w:color w:val="000000"/>
                <w:sz w:val="16"/>
                <w:szCs w:val="16"/>
                <w:lang w:bidi="en-US"/>
              </w:rPr>
            </w:pPr>
          </w:p>
        </w:tc>
        <w:tc>
          <w:tcPr>
            <w:tcW w:w="665" w:type="pct"/>
            <w:shd w:val="clear" w:color="auto" w:fill="FFFFFF"/>
            <w:vAlign w:val="bottom"/>
            <w:hideMark/>
          </w:tcPr>
          <w:p w14:paraId="51F713C0" w14:textId="77777777" w:rsidR="00262686" w:rsidRPr="006734BD" w:rsidRDefault="00262686">
            <w:pPr>
              <w:keepNext/>
              <w:keepLines/>
              <w:rPr>
                <w:rFonts w:eastAsia="Courier New"/>
                <w:color w:val="000000"/>
                <w:sz w:val="16"/>
                <w:szCs w:val="16"/>
                <w:lang w:bidi="en-US"/>
              </w:rPr>
            </w:pPr>
            <w:r w:rsidRPr="006734BD">
              <w:rPr>
                <w:rFonts w:eastAsia="Courier New"/>
                <w:color w:val="000000"/>
                <w:sz w:val="16"/>
                <w:szCs w:val="16"/>
                <w:lang w:bidi="en-US"/>
              </w:rPr>
              <w:t>0,39 (0,10-1,47)</w:t>
            </w:r>
          </w:p>
        </w:tc>
      </w:tr>
      <w:tr w:rsidR="00262686" w:rsidRPr="006734BD" w14:paraId="6952B80E" w14:textId="77777777" w:rsidTr="00FA7787">
        <w:trPr>
          <w:trHeight w:val="313"/>
        </w:trPr>
        <w:tc>
          <w:tcPr>
            <w:tcW w:w="733" w:type="pct"/>
            <w:shd w:val="clear" w:color="auto" w:fill="FFFFFF"/>
            <w:hideMark/>
          </w:tcPr>
          <w:p w14:paraId="19037378" w14:textId="77777777" w:rsidR="00262686" w:rsidRPr="006734BD" w:rsidRDefault="00262686">
            <w:pPr>
              <w:keepNext/>
              <w:keepLines/>
              <w:rPr>
                <w:rFonts w:eastAsia="Courier New"/>
                <w:b/>
                <w:bCs/>
                <w:color w:val="000000"/>
                <w:sz w:val="16"/>
                <w:szCs w:val="16"/>
                <w:lang w:bidi="en-US"/>
              </w:rPr>
            </w:pPr>
            <w:r w:rsidRPr="006734BD">
              <w:rPr>
                <w:b/>
                <w:sz w:val="16"/>
                <w:szCs w:val="16"/>
              </w:rPr>
              <w:t>Subtotal</w:t>
            </w:r>
          </w:p>
        </w:tc>
        <w:tc>
          <w:tcPr>
            <w:tcW w:w="1095" w:type="pct"/>
            <w:shd w:val="clear" w:color="auto" w:fill="FFFFFF"/>
            <w:hideMark/>
          </w:tcPr>
          <w:p w14:paraId="34717B64"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95/324 (29,3 %)</w:t>
            </w:r>
          </w:p>
        </w:tc>
        <w:tc>
          <w:tcPr>
            <w:tcW w:w="1250" w:type="pct"/>
            <w:shd w:val="clear" w:color="auto" w:fill="FFFFFF"/>
            <w:hideMark/>
          </w:tcPr>
          <w:p w14:paraId="00977908"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283/683 (41,4 %)</w:t>
            </w:r>
          </w:p>
        </w:tc>
        <w:tc>
          <w:tcPr>
            <w:tcW w:w="1257" w:type="pct"/>
            <w:gridSpan w:val="2"/>
            <w:vMerge/>
            <w:vAlign w:val="center"/>
            <w:hideMark/>
          </w:tcPr>
          <w:p w14:paraId="4E0AE93E" w14:textId="77777777" w:rsidR="00262686" w:rsidRPr="006734BD" w:rsidRDefault="00262686">
            <w:pPr>
              <w:rPr>
                <w:rFonts w:eastAsia="Courier New"/>
                <w:color w:val="000000"/>
                <w:sz w:val="16"/>
                <w:szCs w:val="16"/>
                <w:lang w:bidi="en-US"/>
              </w:rPr>
            </w:pPr>
          </w:p>
        </w:tc>
        <w:tc>
          <w:tcPr>
            <w:tcW w:w="665" w:type="pct"/>
            <w:shd w:val="clear" w:color="auto" w:fill="FFFFFF"/>
            <w:hideMark/>
          </w:tcPr>
          <w:p w14:paraId="13A2D85A" w14:textId="77777777" w:rsidR="00262686" w:rsidRPr="006734BD" w:rsidRDefault="00262686">
            <w:pPr>
              <w:keepNext/>
              <w:keepLines/>
              <w:rPr>
                <w:rFonts w:eastAsia="Courier New"/>
                <w:color w:val="000000"/>
                <w:sz w:val="16"/>
                <w:szCs w:val="16"/>
                <w:lang w:bidi="en-US"/>
              </w:rPr>
            </w:pPr>
            <w:r w:rsidRPr="006734BD">
              <w:rPr>
                <w:rFonts w:eastAsia="Courier New"/>
                <w:b/>
                <w:bCs/>
                <w:color w:val="000000"/>
                <w:sz w:val="16"/>
                <w:szCs w:val="16"/>
                <w:lang w:bidi="en-US"/>
              </w:rPr>
              <w:t>0,64 (0,51-0,81</w:t>
            </w:r>
            <w:r w:rsidRPr="006734BD">
              <w:rPr>
                <w:rFonts w:eastAsia="Courier New"/>
                <w:color w:val="000000"/>
                <w:sz w:val="16"/>
                <w:szCs w:val="16"/>
                <w:lang w:bidi="en-US"/>
              </w:rPr>
              <w:t>)</w:t>
            </w:r>
          </w:p>
        </w:tc>
      </w:tr>
      <w:tr w:rsidR="00262686" w:rsidRPr="006734BD" w14:paraId="79945549" w14:textId="77777777" w:rsidTr="00FA7787">
        <w:trPr>
          <w:trHeight w:val="227"/>
        </w:trPr>
        <w:tc>
          <w:tcPr>
            <w:tcW w:w="733" w:type="pct"/>
            <w:shd w:val="clear" w:color="auto" w:fill="FFFFFF"/>
            <w:vAlign w:val="bottom"/>
            <w:hideMark/>
          </w:tcPr>
          <w:p w14:paraId="256BD63E" w14:textId="77777777" w:rsidR="00262686" w:rsidRPr="006734BD" w:rsidRDefault="00262686">
            <w:pPr>
              <w:keepNext/>
              <w:keepLines/>
              <w:rPr>
                <w:rFonts w:eastAsia="Courier New"/>
                <w:b/>
                <w:bCs/>
                <w:color w:val="000000"/>
                <w:sz w:val="16"/>
                <w:szCs w:val="16"/>
                <w:lang w:bidi="en-US"/>
              </w:rPr>
            </w:pPr>
            <w:r w:rsidRPr="006734BD">
              <w:rPr>
                <w:rFonts w:eastAsia="Courier New"/>
                <w:b/>
                <w:bCs/>
                <w:color w:val="000000"/>
                <w:sz w:val="16"/>
                <w:szCs w:val="16"/>
                <w:lang w:bidi="en-US"/>
              </w:rPr>
              <w:t>Alle deltagere</w:t>
            </w:r>
          </w:p>
        </w:tc>
        <w:tc>
          <w:tcPr>
            <w:tcW w:w="1095" w:type="pct"/>
            <w:shd w:val="clear" w:color="auto" w:fill="FFFFFF"/>
            <w:vAlign w:val="bottom"/>
            <w:hideMark/>
          </w:tcPr>
          <w:p w14:paraId="3506C43E"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482/2.104 (22,9 %)</w:t>
            </w:r>
          </w:p>
        </w:tc>
        <w:tc>
          <w:tcPr>
            <w:tcW w:w="1250" w:type="pct"/>
            <w:shd w:val="clear" w:color="auto" w:fill="FFFFFF"/>
            <w:vAlign w:val="bottom"/>
            <w:hideMark/>
          </w:tcPr>
          <w:p w14:paraId="5FA34F72" w14:textId="77777777" w:rsidR="00262686" w:rsidRPr="006734BD" w:rsidRDefault="00262686">
            <w:pPr>
              <w:keepNext/>
              <w:keepLines/>
              <w:jc w:val="right"/>
              <w:rPr>
                <w:rFonts w:eastAsia="Courier New"/>
                <w:b/>
                <w:bCs/>
                <w:color w:val="000000"/>
                <w:sz w:val="16"/>
                <w:szCs w:val="16"/>
                <w:lang w:bidi="en-US"/>
              </w:rPr>
            </w:pPr>
            <w:r w:rsidRPr="006734BD">
              <w:rPr>
                <w:rFonts w:eastAsia="Courier New"/>
                <w:b/>
                <w:bCs/>
                <w:color w:val="000000"/>
                <w:sz w:val="16"/>
                <w:szCs w:val="16"/>
                <w:lang w:bidi="en-US"/>
              </w:rPr>
              <w:t>1.110/4.321 (25,7 %)</w:t>
            </w:r>
          </w:p>
        </w:tc>
        <w:tc>
          <w:tcPr>
            <w:tcW w:w="1257" w:type="pct"/>
            <w:gridSpan w:val="2"/>
            <w:vMerge/>
            <w:vAlign w:val="center"/>
            <w:hideMark/>
          </w:tcPr>
          <w:p w14:paraId="172BA8D9" w14:textId="77777777" w:rsidR="00262686" w:rsidRPr="006734BD" w:rsidRDefault="00262686">
            <w:pPr>
              <w:rPr>
                <w:rFonts w:eastAsia="Courier New"/>
                <w:color w:val="000000"/>
                <w:sz w:val="16"/>
                <w:szCs w:val="16"/>
                <w:lang w:bidi="en-US"/>
              </w:rPr>
            </w:pPr>
          </w:p>
        </w:tc>
        <w:tc>
          <w:tcPr>
            <w:tcW w:w="665" w:type="pct"/>
            <w:shd w:val="clear" w:color="auto" w:fill="FFFFFF"/>
            <w:vAlign w:val="bottom"/>
            <w:hideMark/>
          </w:tcPr>
          <w:p w14:paraId="00F95DE9" w14:textId="77777777" w:rsidR="00262686" w:rsidRPr="006734BD" w:rsidRDefault="00262686">
            <w:pPr>
              <w:keepNext/>
              <w:keepLines/>
              <w:rPr>
                <w:rFonts w:eastAsia="Courier New"/>
                <w:b/>
                <w:bCs/>
                <w:color w:val="000000"/>
                <w:sz w:val="16"/>
                <w:szCs w:val="16"/>
                <w:lang w:bidi="en-US"/>
              </w:rPr>
            </w:pPr>
            <w:r w:rsidRPr="006734BD">
              <w:rPr>
                <w:rFonts w:eastAsia="Courier New"/>
                <w:b/>
                <w:bCs/>
                <w:color w:val="000000"/>
                <w:sz w:val="16"/>
                <w:szCs w:val="16"/>
                <w:lang w:bidi="en-US"/>
              </w:rPr>
              <w:t>0,83 (0,75-0,93)</w:t>
            </w:r>
          </w:p>
        </w:tc>
      </w:tr>
      <w:tr w:rsidR="00262686" w:rsidRPr="006734BD" w14:paraId="202D715A" w14:textId="77777777" w:rsidTr="00FA7787">
        <w:trPr>
          <w:trHeight w:val="227"/>
        </w:trPr>
        <w:tc>
          <w:tcPr>
            <w:tcW w:w="3078" w:type="pct"/>
            <w:gridSpan w:val="3"/>
            <w:vMerge w:val="restart"/>
            <w:shd w:val="clear" w:color="auto" w:fill="FFFFFF"/>
          </w:tcPr>
          <w:p w14:paraId="4A98C0B7" w14:textId="77777777" w:rsidR="00262686" w:rsidRPr="006734BD" w:rsidRDefault="00262686">
            <w:pPr>
              <w:keepNext/>
              <w:keepLines/>
              <w:rPr>
                <w:rFonts w:eastAsia="Courier New"/>
                <w:color w:val="000000"/>
                <w:sz w:val="16"/>
                <w:szCs w:val="16"/>
                <w:lang w:bidi="en-US"/>
              </w:rPr>
            </w:pPr>
          </w:p>
        </w:tc>
        <w:tc>
          <w:tcPr>
            <w:tcW w:w="1257" w:type="pct"/>
            <w:gridSpan w:val="2"/>
            <w:vMerge/>
            <w:vAlign w:val="center"/>
            <w:hideMark/>
          </w:tcPr>
          <w:p w14:paraId="612600C6" w14:textId="77777777" w:rsidR="00262686" w:rsidRPr="006734BD" w:rsidRDefault="00262686">
            <w:pPr>
              <w:rPr>
                <w:rFonts w:eastAsia="Courier New"/>
                <w:color w:val="000000"/>
                <w:sz w:val="16"/>
                <w:szCs w:val="16"/>
                <w:lang w:bidi="en-US"/>
              </w:rPr>
            </w:pPr>
          </w:p>
        </w:tc>
        <w:tc>
          <w:tcPr>
            <w:tcW w:w="665" w:type="pct"/>
            <w:shd w:val="clear" w:color="auto" w:fill="FFFFFF"/>
            <w:hideMark/>
          </w:tcPr>
          <w:p w14:paraId="09F89309" w14:textId="77777777" w:rsidR="00262686" w:rsidRPr="006734BD" w:rsidRDefault="00262686">
            <w:pPr>
              <w:keepNext/>
              <w:keepLines/>
              <w:rPr>
                <w:rFonts w:eastAsia="Courier New"/>
                <w:b/>
                <w:bCs/>
                <w:color w:val="000000"/>
                <w:sz w:val="16"/>
                <w:szCs w:val="16"/>
                <w:lang w:bidi="en-US"/>
              </w:rPr>
            </w:pPr>
            <w:r w:rsidRPr="006734BD">
              <w:rPr>
                <w:rFonts w:eastAsia="Courier New"/>
                <w:b/>
                <w:bCs/>
                <w:color w:val="000000"/>
                <w:sz w:val="16"/>
                <w:szCs w:val="16"/>
                <w:lang w:bidi="en-US"/>
              </w:rPr>
              <w:t>p&lt;0,001</w:t>
            </w:r>
          </w:p>
        </w:tc>
      </w:tr>
      <w:tr w:rsidR="00262686" w:rsidRPr="006734BD" w14:paraId="1A46BAD4" w14:textId="77777777" w:rsidTr="00FA7787">
        <w:trPr>
          <w:trHeight w:val="227"/>
        </w:trPr>
        <w:tc>
          <w:tcPr>
            <w:tcW w:w="3078" w:type="pct"/>
            <w:gridSpan w:val="3"/>
            <w:vMerge/>
            <w:vAlign w:val="center"/>
            <w:hideMark/>
          </w:tcPr>
          <w:p w14:paraId="0A623C33" w14:textId="77777777" w:rsidR="00262686" w:rsidRPr="006734BD" w:rsidRDefault="00262686">
            <w:pPr>
              <w:rPr>
                <w:rFonts w:eastAsia="Courier New"/>
                <w:color w:val="000000"/>
                <w:sz w:val="16"/>
                <w:szCs w:val="16"/>
                <w:lang w:bidi="en-US"/>
              </w:rPr>
            </w:pPr>
          </w:p>
        </w:tc>
        <w:tc>
          <w:tcPr>
            <w:tcW w:w="1257" w:type="pct"/>
            <w:gridSpan w:val="2"/>
            <w:vMerge/>
            <w:vAlign w:val="center"/>
            <w:hideMark/>
          </w:tcPr>
          <w:p w14:paraId="75AC3456" w14:textId="77777777" w:rsidR="00262686" w:rsidRPr="006734BD" w:rsidRDefault="00262686">
            <w:pPr>
              <w:rPr>
                <w:rFonts w:eastAsia="Courier New"/>
                <w:color w:val="000000"/>
                <w:sz w:val="16"/>
                <w:szCs w:val="16"/>
                <w:lang w:bidi="en-US"/>
              </w:rPr>
            </w:pPr>
          </w:p>
        </w:tc>
        <w:tc>
          <w:tcPr>
            <w:tcW w:w="665" w:type="pct"/>
            <w:shd w:val="clear" w:color="auto" w:fill="FFFFFF"/>
          </w:tcPr>
          <w:p w14:paraId="6A60AFD7" w14:textId="77777777" w:rsidR="00262686" w:rsidRPr="006734BD" w:rsidRDefault="00262686">
            <w:pPr>
              <w:keepNext/>
              <w:keepLines/>
              <w:rPr>
                <w:rFonts w:eastAsia="Courier New"/>
                <w:color w:val="000000"/>
                <w:sz w:val="16"/>
                <w:szCs w:val="16"/>
                <w:lang w:bidi="en-US"/>
              </w:rPr>
            </w:pPr>
          </w:p>
        </w:tc>
      </w:tr>
      <w:tr w:rsidR="00262686" w:rsidRPr="006734BD" w14:paraId="2783A0CE" w14:textId="77777777" w:rsidTr="00FA7787">
        <w:trPr>
          <w:trHeight w:val="74"/>
        </w:trPr>
        <w:tc>
          <w:tcPr>
            <w:tcW w:w="3078" w:type="pct"/>
            <w:gridSpan w:val="3"/>
            <w:vMerge/>
            <w:vAlign w:val="center"/>
            <w:hideMark/>
          </w:tcPr>
          <w:p w14:paraId="267A03D3" w14:textId="77777777" w:rsidR="00262686" w:rsidRPr="006734BD" w:rsidRDefault="00262686">
            <w:pPr>
              <w:rPr>
                <w:rFonts w:eastAsia="Courier New"/>
                <w:color w:val="000000"/>
                <w:sz w:val="16"/>
                <w:szCs w:val="16"/>
                <w:lang w:bidi="en-US"/>
              </w:rPr>
            </w:pPr>
          </w:p>
        </w:tc>
        <w:tc>
          <w:tcPr>
            <w:tcW w:w="540" w:type="pct"/>
            <w:shd w:val="clear" w:color="auto" w:fill="FFFFFF"/>
            <w:hideMark/>
          </w:tcPr>
          <w:p w14:paraId="31F180F5" w14:textId="77777777" w:rsidR="00262686" w:rsidRPr="006734BD" w:rsidRDefault="00262686">
            <w:pPr>
              <w:keepNext/>
              <w:keepLines/>
              <w:jc w:val="center"/>
              <w:rPr>
                <w:sz w:val="16"/>
                <w:szCs w:val="16"/>
                <w:lang w:eastAsia="en-GB" w:bidi="en-GB"/>
              </w:rPr>
            </w:pPr>
            <w:r w:rsidRPr="006734BD">
              <w:rPr>
                <w:sz w:val="16"/>
                <w:szCs w:val="16"/>
              </w:rPr>
              <w:t>Dexamethason</w:t>
            </w:r>
          </w:p>
          <w:p w14:paraId="18ECFF8A" w14:textId="77777777" w:rsidR="00262686" w:rsidRPr="006734BD" w:rsidRDefault="00262686">
            <w:pPr>
              <w:keepNext/>
              <w:keepLines/>
              <w:jc w:val="center"/>
              <w:rPr>
                <w:rFonts w:eastAsia="Courier New"/>
                <w:color w:val="000000"/>
                <w:sz w:val="16"/>
                <w:szCs w:val="16"/>
                <w:lang w:eastAsia="fr-LU" w:bidi="en-US"/>
              </w:rPr>
            </w:pPr>
            <w:r w:rsidRPr="006734BD">
              <w:rPr>
                <w:sz w:val="16"/>
                <w:szCs w:val="16"/>
              </w:rPr>
              <w:t>bedre</w:t>
            </w:r>
          </w:p>
        </w:tc>
        <w:tc>
          <w:tcPr>
            <w:tcW w:w="717" w:type="pct"/>
            <w:shd w:val="clear" w:color="auto" w:fill="FFFFFF"/>
            <w:hideMark/>
          </w:tcPr>
          <w:p w14:paraId="5713FE04" w14:textId="77777777" w:rsidR="00262686" w:rsidRPr="006734BD" w:rsidRDefault="00262686">
            <w:pPr>
              <w:keepNext/>
              <w:keepLines/>
              <w:jc w:val="center"/>
              <w:rPr>
                <w:sz w:val="16"/>
                <w:szCs w:val="16"/>
                <w:lang w:eastAsia="en-GB" w:bidi="en-GB"/>
              </w:rPr>
            </w:pPr>
            <w:r w:rsidRPr="006734BD">
              <w:rPr>
                <w:sz w:val="16"/>
                <w:szCs w:val="16"/>
              </w:rPr>
              <w:t>Almindelig pleje</w:t>
            </w:r>
          </w:p>
          <w:p w14:paraId="3504B1BA" w14:textId="77777777" w:rsidR="00262686" w:rsidRPr="006734BD" w:rsidRDefault="00262686">
            <w:pPr>
              <w:keepNext/>
              <w:keepLines/>
              <w:jc w:val="center"/>
              <w:rPr>
                <w:rFonts w:eastAsia="Courier New"/>
                <w:color w:val="000000"/>
                <w:sz w:val="16"/>
                <w:szCs w:val="16"/>
                <w:lang w:eastAsia="fr-LU" w:bidi="en-US"/>
              </w:rPr>
            </w:pPr>
            <w:r w:rsidRPr="006734BD">
              <w:rPr>
                <w:sz w:val="16"/>
                <w:szCs w:val="16"/>
              </w:rPr>
              <w:t>bedre</w:t>
            </w:r>
          </w:p>
        </w:tc>
        <w:tc>
          <w:tcPr>
            <w:tcW w:w="665" w:type="pct"/>
            <w:shd w:val="clear" w:color="auto" w:fill="FFFFFF"/>
          </w:tcPr>
          <w:p w14:paraId="1022F0FC" w14:textId="77777777" w:rsidR="00262686" w:rsidRPr="006734BD" w:rsidRDefault="00262686">
            <w:pPr>
              <w:keepNext/>
              <w:keepLines/>
              <w:rPr>
                <w:rFonts w:eastAsia="Courier New"/>
                <w:color w:val="000000"/>
                <w:sz w:val="16"/>
                <w:szCs w:val="16"/>
                <w:lang w:bidi="en-US"/>
              </w:rPr>
            </w:pPr>
          </w:p>
        </w:tc>
      </w:tr>
    </w:tbl>
    <w:p w14:paraId="7FBCCD95" w14:textId="77777777" w:rsidR="00262686" w:rsidRPr="006734BD" w:rsidRDefault="00262686" w:rsidP="00262686">
      <w:pPr>
        <w:tabs>
          <w:tab w:val="left" w:pos="851"/>
          <w:tab w:val="left" w:pos="1350"/>
        </w:tabs>
        <w:rPr>
          <w:b/>
          <w:bCs/>
          <w:i/>
          <w:iCs/>
          <w:sz w:val="24"/>
          <w:szCs w:val="24"/>
        </w:rPr>
      </w:pPr>
    </w:p>
    <w:p w14:paraId="0927C9AA" w14:textId="77777777" w:rsidR="00262686" w:rsidRPr="006734BD" w:rsidRDefault="00262686" w:rsidP="00FA7787">
      <w:pPr>
        <w:rPr>
          <w:b/>
          <w:i/>
          <w:sz w:val="24"/>
          <w:szCs w:val="24"/>
          <w:vertAlign w:val="superscript"/>
        </w:rPr>
      </w:pPr>
      <w:r w:rsidRPr="006734BD">
        <w:rPr>
          <w:b/>
          <w:i/>
          <w:sz w:val="24"/>
          <w:szCs w:val="24"/>
        </w:rPr>
        <w:t>Effekt af tildeling af dexamethason på dødeligheden efter 28 dage, efter respirationsstøtte modtaget ved randomisering og anamnese med kronisk sygdom.</w:t>
      </w:r>
      <w:r w:rsidRPr="006734BD">
        <w:rPr>
          <w:rStyle w:val="Fodnotehenvisning"/>
          <w:b/>
          <w:bCs/>
          <w:i/>
          <w:iCs/>
          <w:sz w:val="24"/>
          <w:szCs w:val="24"/>
        </w:rPr>
        <w:footnoteReference w:id="3"/>
      </w:r>
    </w:p>
    <w:tbl>
      <w:tblPr>
        <w:tblW w:w="5000" w:type="pct"/>
        <w:tblCellMar>
          <w:left w:w="10" w:type="dxa"/>
          <w:right w:w="10" w:type="dxa"/>
        </w:tblCellMar>
        <w:tblLook w:val="04A0" w:firstRow="1" w:lastRow="0" w:firstColumn="1" w:lastColumn="0" w:noHBand="0" w:noVBand="1"/>
      </w:tblPr>
      <w:tblGrid>
        <w:gridCol w:w="2438"/>
        <w:gridCol w:w="1660"/>
        <w:gridCol w:w="1554"/>
        <w:gridCol w:w="1305"/>
        <w:gridCol w:w="1145"/>
        <w:gridCol w:w="1536"/>
      </w:tblGrid>
      <w:tr w:rsidR="00262686" w:rsidRPr="006734BD" w14:paraId="5287E3CA" w14:textId="77777777" w:rsidTr="00FA7787">
        <w:trPr>
          <w:trHeight w:hRule="exact" w:val="445"/>
        </w:trPr>
        <w:tc>
          <w:tcPr>
            <w:tcW w:w="1265" w:type="pct"/>
            <w:tcBorders>
              <w:top w:val="nil"/>
              <w:left w:val="nil"/>
              <w:bottom w:val="single" w:sz="4" w:space="0" w:color="auto"/>
              <w:right w:val="nil"/>
            </w:tcBorders>
            <w:shd w:val="clear" w:color="auto" w:fill="FFFFFF"/>
            <w:vAlign w:val="bottom"/>
          </w:tcPr>
          <w:p w14:paraId="56702E09" w14:textId="77777777" w:rsidR="00262686" w:rsidRPr="006734BD" w:rsidRDefault="00262686">
            <w:pPr>
              <w:jc w:val="center"/>
              <w:rPr>
                <w:rFonts w:eastAsia="Courier New"/>
                <w:b/>
                <w:bCs/>
                <w:color w:val="000000"/>
                <w:sz w:val="16"/>
                <w:szCs w:val="16"/>
                <w:lang w:bidi="en-US"/>
              </w:rPr>
            </w:pPr>
          </w:p>
        </w:tc>
        <w:tc>
          <w:tcPr>
            <w:tcW w:w="861" w:type="pct"/>
            <w:tcBorders>
              <w:top w:val="nil"/>
              <w:left w:val="nil"/>
              <w:bottom w:val="single" w:sz="4" w:space="0" w:color="auto"/>
              <w:right w:val="nil"/>
            </w:tcBorders>
            <w:shd w:val="clear" w:color="auto" w:fill="FFFFFF"/>
            <w:vAlign w:val="bottom"/>
            <w:hideMark/>
          </w:tcPr>
          <w:p w14:paraId="28A300B6" w14:textId="77777777" w:rsidR="00262686" w:rsidRPr="006734BD" w:rsidRDefault="00262686">
            <w:pPr>
              <w:jc w:val="center"/>
              <w:rPr>
                <w:rFonts w:eastAsia="Courier New"/>
                <w:b/>
                <w:bCs/>
                <w:color w:val="000000"/>
                <w:sz w:val="16"/>
                <w:szCs w:val="16"/>
                <w:lang w:bidi="en-US"/>
              </w:rPr>
            </w:pPr>
            <w:r w:rsidRPr="006734BD">
              <w:rPr>
                <w:rFonts w:eastAsia="Courier New"/>
                <w:b/>
                <w:bCs/>
                <w:color w:val="000000"/>
                <w:sz w:val="16"/>
                <w:szCs w:val="16"/>
                <w:lang w:bidi="en-US"/>
              </w:rPr>
              <w:t>Dexamethason</w:t>
            </w:r>
          </w:p>
        </w:tc>
        <w:tc>
          <w:tcPr>
            <w:tcW w:w="806" w:type="pct"/>
            <w:tcBorders>
              <w:top w:val="nil"/>
              <w:left w:val="nil"/>
              <w:bottom w:val="single" w:sz="4" w:space="0" w:color="auto"/>
              <w:right w:val="nil"/>
            </w:tcBorders>
            <w:shd w:val="clear" w:color="auto" w:fill="FFFFFF"/>
            <w:vAlign w:val="bottom"/>
            <w:hideMark/>
          </w:tcPr>
          <w:p w14:paraId="105F201C" w14:textId="77777777" w:rsidR="00262686" w:rsidRPr="006734BD" w:rsidRDefault="00262686">
            <w:pPr>
              <w:jc w:val="center"/>
              <w:rPr>
                <w:rFonts w:eastAsia="Courier New"/>
                <w:b/>
                <w:bCs/>
                <w:color w:val="000000"/>
                <w:sz w:val="16"/>
                <w:szCs w:val="16"/>
                <w:lang w:bidi="en-US"/>
              </w:rPr>
            </w:pPr>
            <w:r w:rsidRPr="006734BD">
              <w:rPr>
                <w:rFonts w:eastAsia="Courier New"/>
                <w:b/>
                <w:bCs/>
                <w:color w:val="000000"/>
                <w:sz w:val="16"/>
                <w:szCs w:val="16"/>
                <w:lang w:bidi="en-US"/>
              </w:rPr>
              <w:t>Almindelig pleje</w:t>
            </w:r>
          </w:p>
        </w:tc>
        <w:tc>
          <w:tcPr>
            <w:tcW w:w="1271" w:type="pct"/>
            <w:gridSpan w:val="2"/>
            <w:tcBorders>
              <w:top w:val="nil"/>
              <w:left w:val="nil"/>
              <w:bottom w:val="single" w:sz="4" w:space="0" w:color="auto"/>
              <w:right w:val="nil"/>
            </w:tcBorders>
            <w:shd w:val="clear" w:color="auto" w:fill="FFFFFF"/>
            <w:vAlign w:val="bottom"/>
          </w:tcPr>
          <w:p w14:paraId="2C5F8B6B" w14:textId="77777777" w:rsidR="00262686" w:rsidRPr="006734BD" w:rsidRDefault="00262686">
            <w:pPr>
              <w:jc w:val="center"/>
              <w:rPr>
                <w:rFonts w:eastAsia="Courier New"/>
                <w:b/>
                <w:bCs/>
                <w:color w:val="000000"/>
                <w:sz w:val="16"/>
                <w:szCs w:val="16"/>
                <w:lang w:bidi="en-US"/>
              </w:rPr>
            </w:pPr>
          </w:p>
        </w:tc>
        <w:tc>
          <w:tcPr>
            <w:tcW w:w="797" w:type="pct"/>
            <w:tcBorders>
              <w:top w:val="nil"/>
              <w:left w:val="nil"/>
              <w:bottom w:val="single" w:sz="4" w:space="0" w:color="auto"/>
              <w:right w:val="nil"/>
            </w:tcBorders>
            <w:shd w:val="clear" w:color="auto" w:fill="FFFFFF"/>
            <w:vAlign w:val="bottom"/>
            <w:hideMark/>
          </w:tcPr>
          <w:p w14:paraId="68745904" w14:textId="77777777" w:rsidR="00262686" w:rsidRPr="006734BD" w:rsidRDefault="00262686">
            <w:pPr>
              <w:jc w:val="center"/>
              <w:rPr>
                <w:rFonts w:eastAsia="Courier New"/>
                <w:b/>
                <w:bCs/>
                <w:color w:val="000000"/>
                <w:sz w:val="16"/>
                <w:szCs w:val="16"/>
                <w:lang w:bidi="en-US"/>
              </w:rPr>
            </w:pPr>
            <w:r w:rsidRPr="006734BD">
              <w:rPr>
                <w:rFonts w:eastAsia="Courier New"/>
                <w:b/>
                <w:bCs/>
                <w:color w:val="000000"/>
                <w:sz w:val="16"/>
                <w:szCs w:val="16"/>
                <w:lang w:bidi="en-US"/>
              </w:rPr>
              <w:t>RR (95 % Cl)</w:t>
            </w:r>
          </w:p>
        </w:tc>
      </w:tr>
      <w:tr w:rsidR="00262686" w:rsidRPr="006734BD" w14:paraId="5A39C159" w14:textId="77777777" w:rsidTr="00FA7787">
        <w:trPr>
          <w:trHeight w:hRule="exact" w:val="360"/>
        </w:trPr>
        <w:tc>
          <w:tcPr>
            <w:tcW w:w="2932" w:type="pct"/>
            <w:gridSpan w:val="3"/>
            <w:tcBorders>
              <w:top w:val="single" w:sz="4" w:space="0" w:color="auto"/>
              <w:left w:val="nil"/>
              <w:bottom w:val="nil"/>
              <w:right w:val="nil"/>
            </w:tcBorders>
            <w:shd w:val="clear" w:color="auto" w:fill="FFFFFF"/>
            <w:vAlign w:val="bottom"/>
            <w:hideMark/>
          </w:tcPr>
          <w:p w14:paraId="423AA775" w14:textId="77777777" w:rsidR="00262686" w:rsidRPr="006734BD" w:rsidRDefault="00262686">
            <w:pPr>
              <w:rPr>
                <w:rFonts w:eastAsia="Courier New"/>
                <w:b/>
                <w:bCs/>
                <w:color w:val="000000"/>
                <w:sz w:val="16"/>
                <w:szCs w:val="16"/>
                <w:lang w:bidi="en-US"/>
              </w:rPr>
            </w:pPr>
            <w:r w:rsidRPr="006734BD">
              <w:rPr>
                <w:rFonts w:eastAsia="Courier New"/>
                <w:b/>
                <w:bCs/>
                <w:color w:val="000000"/>
                <w:sz w:val="16"/>
                <w:szCs w:val="16"/>
                <w:lang w:bidi="en-US"/>
              </w:rPr>
              <w:t>Ingen ilt</w:t>
            </w:r>
            <w:r w:rsidRPr="006734BD">
              <w:rPr>
                <w:rFonts w:eastAsia="Courier New"/>
                <w:b/>
                <w:bCs/>
                <w:color w:val="000000"/>
                <w:sz w:val="16"/>
                <w:szCs w:val="16"/>
                <w:u w:val="single"/>
                <w:lang w:bidi="en-US"/>
              </w:rPr>
              <w:t xml:space="preserve"> </w:t>
            </w:r>
            <w:r w:rsidRPr="006734BD">
              <w:rPr>
                <w:rFonts w:eastAsia="Courier New"/>
                <w:b/>
                <w:bCs/>
                <w:color w:val="000000"/>
                <w:sz w:val="16"/>
                <w:szCs w:val="16"/>
                <w:lang w:bidi="en-US"/>
              </w:rPr>
              <w:t>(χ</w:t>
            </w:r>
            <w:r w:rsidRPr="006734BD">
              <w:rPr>
                <w:rFonts w:eastAsia="Courier New"/>
                <w:b/>
                <w:bCs/>
                <w:color w:val="000000"/>
                <w:sz w:val="16"/>
                <w:szCs w:val="16"/>
                <w:vertAlign w:val="subscript"/>
                <w:lang w:bidi="en-US"/>
              </w:rPr>
              <w:t>1</w:t>
            </w:r>
            <w:r w:rsidRPr="006734BD">
              <w:rPr>
                <w:rFonts w:eastAsia="Courier New"/>
                <w:b/>
                <w:bCs/>
                <w:color w:val="000000"/>
                <w:sz w:val="16"/>
                <w:szCs w:val="16"/>
                <w:vertAlign w:val="superscript"/>
                <w:lang w:bidi="en-US"/>
              </w:rPr>
              <w:t>2 </w:t>
            </w:r>
            <w:r w:rsidRPr="006734BD">
              <w:rPr>
                <w:rFonts w:eastAsia="Courier New"/>
                <w:b/>
                <w:bCs/>
                <w:color w:val="000000"/>
                <w:sz w:val="16"/>
                <w:szCs w:val="16"/>
                <w:lang w:bidi="en-US"/>
              </w:rPr>
              <w:t>= 0,08; p = 0,78)</w:t>
            </w:r>
          </w:p>
        </w:tc>
        <w:tc>
          <w:tcPr>
            <w:tcW w:w="1271" w:type="pct"/>
            <w:gridSpan w:val="2"/>
            <w:vMerge w:val="restart"/>
            <w:tcBorders>
              <w:top w:val="single" w:sz="4" w:space="0" w:color="auto"/>
              <w:left w:val="nil"/>
              <w:bottom w:val="nil"/>
              <w:right w:val="nil"/>
            </w:tcBorders>
            <w:shd w:val="clear" w:color="auto" w:fill="FFFFFF"/>
            <w:hideMark/>
          </w:tcPr>
          <w:p w14:paraId="5F36FCA2" w14:textId="16C82A76" w:rsidR="00262686" w:rsidRPr="006734BD" w:rsidRDefault="00262686">
            <w:pPr>
              <w:rPr>
                <w:rFonts w:eastAsia="Courier New"/>
                <w:color w:val="000000"/>
                <w:sz w:val="16"/>
                <w:szCs w:val="16"/>
                <w:lang w:bidi="en-US"/>
              </w:rPr>
            </w:pPr>
            <w:r w:rsidRPr="006734BD">
              <w:rPr>
                <w:rFonts w:eastAsia="Courier New"/>
                <w:noProof/>
                <w:color w:val="000000"/>
                <w:sz w:val="16"/>
                <w:szCs w:val="16"/>
                <w:lang w:bidi="en-US"/>
              </w:rPr>
              <w:drawing>
                <wp:inline distT="0" distB="0" distL="0" distR="0" wp14:anchorId="328AA330" wp14:editId="7C95B831">
                  <wp:extent cx="1447800" cy="2301240"/>
                  <wp:effectExtent l="0" t="0" r="0" b="3810"/>
                  <wp:docPr id="2" name="Billede 2" descr="Et billede, der indeholder diagram, linje/række&#10;&#10;Indhold genereret af kunstig intelligens kan være forke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2" descr="Et billede, der indeholder diagram, linje/række&#10;&#10;Indhold genereret af kunstig intelligens kan være forker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47800" cy="2301240"/>
                          </a:xfrm>
                          <a:prstGeom prst="rect">
                            <a:avLst/>
                          </a:prstGeom>
                          <a:noFill/>
                          <a:ln>
                            <a:noFill/>
                          </a:ln>
                        </pic:spPr>
                      </pic:pic>
                    </a:graphicData>
                  </a:graphic>
                </wp:inline>
              </w:drawing>
            </w:r>
          </w:p>
        </w:tc>
        <w:tc>
          <w:tcPr>
            <w:tcW w:w="797" w:type="pct"/>
            <w:tcBorders>
              <w:top w:val="single" w:sz="4" w:space="0" w:color="auto"/>
              <w:left w:val="nil"/>
              <w:bottom w:val="nil"/>
              <w:right w:val="nil"/>
            </w:tcBorders>
            <w:shd w:val="clear" w:color="auto" w:fill="FFFFFF"/>
          </w:tcPr>
          <w:p w14:paraId="5B86B77B" w14:textId="77777777" w:rsidR="00262686" w:rsidRPr="006734BD" w:rsidRDefault="00262686">
            <w:pPr>
              <w:rPr>
                <w:rFonts w:eastAsia="Courier New"/>
                <w:color w:val="000000"/>
                <w:sz w:val="16"/>
                <w:szCs w:val="16"/>
                <w:lang w:bidi="en-US"/>
              </w:rPr>
            </w:pPr>
          </w:p>
        </w:tc>
      </w:tr>
      <w:tr w:rsidR="00262686" w:rsidRPr="006734BD" w14:paraId="4C3CFAA1" w14:textId="77777777" w:rsidTr="00FA7787">
        <w:trPr>
          <w:trHeight w:hRule="exact" w:val="216"/>
        </w:trPr>
        <w:tc>
          <w:tcPr>
            <w:tcW w:w="1265" w:type="pct"/>
            <w:shd w:val="clear" w:color="auto" w:fill="FFFFFF"/>
            <w:vAlign w:val="bottom"/>
          </w:tcPr>
          <w:p w14:paraId="74BB6119" w14:textId="77777777" w:rsidR="00262686" w:rsidRPr="006734BD" w:rsidRDefault="00262686">
            <w:pPr>
              <w:rPr>
                <w:rFonts w:eastAsia="Calibri"/>
                <w:sz w:val="16"/>
                <w:szCs w:val="16"/>
                <w:lang w:eastAsia="en-GB" w:bidi="en-GB"/>
              </w:rPr>
            </w:pPr>
            <w:r w:rsidRPr="006734BD">
              <w:rPr>
                <w:rFonts w:eastAsia="Calibri"/>
                <w:sz w:val="16"/>
                <w:szCs w:val="16"/>
              </w:rPr>
              <w:t>Tidligere sygdom</w:t>
            </w:r>
          </w:p>
          <w:p w14:paraId="53890041" w14:textId="77777777" w:rsidR="00262686" w:rsidRPr="006734BD" w:rsidRDefault="00262686">
            <w:pPr>
              <w:rPr>
                <w:rFonts w:eastAsia="Courier New"/>
                <w:color w:val="000000"/>
                <w:sz w:val="16"/>
                <w:szCs w:val="16"/>
                <w:lang w:eastAsia="fr-LU" w:bidi="en-US"/>
              </w:rPr>
            </w:pPr>
          </w:p>
        </w:tc>
        <w:tc>
          <w:tcPr>
            <w:tcW w:w="861" w:type="pct"/>
            <w:shd w:val="clear" w:color="auto" w:fill="FFFFFF"/>
            <w:vAlign w:val="bottom"/>
            <w:hideMark/>
          </w:tcPr>
          <w:p w14:paraId="49DBA756"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65/313(20,8 %)</w:t>
            </w:r>
          </w:p>
        </w:tc>
        <w:tc>
          <w:tcPr>
            <w:tcW w:w="806" w:type="pct"/>
            <w:shd w:val="clear" w:color="auto" w:fill="FFFFFF"/>
            <w:vAlign w:val="bottom"/>
            <w:hideMark/>
          </w:tcPr>
          <w:p w14:paraId="0AAF7366"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100/598 (16,7 %)</w:t>
            </w:r>
          </w:p>
        </w:tc>
        <w:tc>
          <w:tcPr>
            <w:tcW w:w="1271" w:type="pct"/>
            <w:gridSpan w:val="2"/>
            <w:vMerge/>
            <w:tcBorders>
              <w:top w:val="single" w:sz="4" w:space="0" w:color="auto"/>
              <w:left w:val="nil"/>
              <w:bottom w:val="nil"/>
              <w:right w:val="nil"/>
            </w:tcBorders>
            <w:vAlign w:val="center"/>
            <w:hideMark/>
          </w:tcPr>
          <w:p w14:paraId="07EACBC7" w14:textId="77777777" w:rsidR="00262686" w:rsidRPr="006734BD" w:rsidRDefault="00262686">
            <w:pPr>
              <w:rPr>
                <w:rFonts w:eastAsia="Courier New"/>
                <w:color w:val="000000"/>
                <w:sz w:val="16"/>
                <w:szCs w:val="16"/>
                <w:lang w:bidi="en-US"/>
              </w:rPr>
            </w:pPr>
          </w:p>
        </w:tc>
        <w:tc>
          <w:tcPr>
            <w:tcW w:w="797" w:type="pct"/>
            <w:shd w:val="clear" w:color="auto" w:fill="FFFFFF"/>
            <w:vAlign w:val="bottom"/>
            <w:hideMark/>
          </w:tcPr>
          <w:p w14:paraId="55983BDA" w14:textId="77777777" w:rsidR="00262686" w:rsidRPr="006734BD" w:rsidRDefault="00262686">
            <w:pPr>
              <w:rPr>
                <w:rFonts w:eastAsia="Courier New"/>
                <w:color w:val="000000"/>
                <w:sz w:val="16"/>
                <w:szCs w:val="16"/>
                <w:lang w:bidi="en-US"/>
              </w:rPr>
            </w:pPr>
            <w:r w:rsidRPr="006734BD">
              <w:rPr>
                <w:rFonts w:eastAsia="Courier New"/>
                <w:color w:val="000000"/>
                <w:sz w:val="16"/>
                <w:szCs w:val="16"/>
                <w:lang w:bidi="en-US"/>
              </w:rPr>
              <w:t>1,22 (0,89-1,66)</w:t>
            </w:r>
          </w:p>
        </w:tc>
      </w:tr>
      <w:tr w:rsidR="00262686" w:rsidRPr="006734BD" w14:paraId="67DD3AB7" w14:textId="77777777" w:rsidTr="00FA7787">
        <w:trPr>
          <w:trHeight w:hRule="exact" w:val="239"/>
        </w:trPr>
        <w:tc>
          <w:tcPr>
            <w:tcW w:w="1265" w:type="pct"/>
            <w:shd w:val="clear" w:color="auto" w:fill="FFFFFF"/>
            <w:vAlign w:val="bottom"/>
            <w:hideMark/>
          </w:tcPr>
          <w:p w14:paraId="5A67C38F" w14:textId="77777777" w:rsidR="00262686" w:rsidRPr="006734BD" w:rsidRDefault="00262686">
            <w:pPr>
              <w:rPr>
                <w:rFonts w:eastAsia="Courier New"/>
                <w:color w:val="000000"/>
                <w:sz w:val="16"/>
                <w:szCs w:val="16"/>
                <w:lang w:bidi="en-US"/>
              </w:rPr>
            </w:pPr>
            <w:r w:rsidRPr="006734BD">
              <w:rPr>
                <w:rFonts w:eastAsia="Calibri"/>
                <w:sz w:val="16"/>
                <w:szCs w:val="16"/>
              </w:rPr>
              <w:t>Ingen tidligere sygdom</w:t>
            </w:r>
          </w:p>
        </w:tc>
        <w:tc>
          <w:tcPr>
            <w:tcW w:w="861" w:type="pct"/>
            <w:shd w:val="clear" w:color="auto" w:fill="FFFFFF"/>
            <w:vAlign w:val="bottom"/>
            <w:hideMark/>
          </w:tcPr>
          <w:p w14:paraId="59C63351"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24/188(12,8 %)</w:t>
            </w:r>
          </w:p>
        </w:tc>
        <w:tc>
          <w:tcPr>
            <w:tcW w:w="806" w:type="pct"/>
            <w:shd w:val="clear" w:color="auto" w:fill="FFFFFF"/>
            <w:vAlign w:val="bottom"/>
            <w:hideMark/>
          </w:tcPr>
          <w:p w14:paraId="23AB999F"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45/436 (10,3 %)</w:t>
            </w:r>
          </w:p>
        </w:tc>
        <w:tc>
          <w:tcPr>
            <w:tcW w:w="1271" w:type="pct"/>
            <w:gridSpan w:val="2"/>
            <w:vMerge/>
            <w:tcBorders>
              <w:top w:val="single" w:sz="4" w:space="0" w:color="auto"/>
              <w:left w:val="nil"/>
              <w:bottom w:val="nil"/>
              <w:right w:val="nil"/>
            </w:tcBorders>
            <w:vAlign w:val="center"/>
            <w:hideMark/>
          </w:tcPr>
          <w:p w14:paraId="09313185" w14:textId="77777777" w:rsidR="00262686" w:rsidRPr="006734BD" w:rsidRDefault="00262686">
            <w:pPr>
              <w:rPr>
                <w:rFonts w:eastAsia="Courier New"/>
                <w:color w:val="000000"/>
                <w:sz w:val="16"/>
                <w:szCs w:val="16"/>
                <w:lang w:bidi="en-US"/>
              </w:rPr>
            </w:pPr>
          </w:p>
        </w:tc>
        <w:tc>
          <w:tcPr>
            <w:tcW w:w="797" w:type="pct"/>
            <w:shd w:val="clear" w:color="auto" w:fill="FFFFFF"/>
            <w:vAlign w:val="bottom"/>
            <w:hideMark/>
          </w:tcPr>
          <w:p w14:paraId="3F457D1B" w14:textId="77777777" w:rsidR="00262686" w:rsidRPr="006734BD" w:rsidRDefault="00262686">
            <w:pPr>
              <w:rPr>
                <w:rFonts w:eastAsia="Courier New"/>
                <w:color w:val="000000"/>
                <w:sz w:val="16"/>
                <w:szCs w:val="16"/>
                <w:lang w:bidi="en-US"/>
              </w:rPr>
            </w:pPr>
            <w:r w:rsidRPr="006734BD">
              <w:rPr>
                <w:rFonts w:eastAsia="Courier New"/>
                <w:color w:val="000000"/>
                <w:sz w:val="16"/>
                <w:szCs w:val="16"/>
                <w:lang w:bidi="en-US"/>
              </w:rPr>
              <w:t>1,12 (0,68-1,83)</w:t>
            </w:r>
          </w:p>
        </w:tc>
      </w:tr>
      <w:tr w:rsidR="00262686" w:rsidRPr="006734BD" w14:paraId="6107CD3D" w14:textId="77777777" w:rsidTr="00FA7787">
        <w:trPr>
          <w:trHeight w:hRule="exact" w:val="324"/>
        </w:trPr>
        <w:tc>
          <w:tcPr>
            <w:tcW w:w="1265" w:type="pct"/>
            <w:shd w:val="clear" w:color="auto" w:fill="FFFFFF"/>
            <w:hideMark/>
          </w:tcPr>
          <w:p w14:paraId="2D226A61" w14:textId="77777777" w:rsidR="00262686" w:rsidRPr="006734BD" w:rsidRDefault="00262686">
            <w:pPr>
              <w:rPr>
                <w:rFonts w:eastAsia="Courier New"/>
                <w:b/>
                <w:bCs/>
                <w:color w:val="000000"/>
                <w:sz w:val="16"/>
                <w:szCs w:val="16"/>
                <w:lang w:bidi="en-US"/>
              </w:rPr>
            </w:pPr>
            <w:r w:rsidRPr="006734BD">
              <w:rPr>
                <w:b/>
                <w:sz w:val="16"/>
                <w:szCs w:val="16"/>
              </w:rPr>
              <w:t>Subtotal</w:t>
            </w:r>
          </w:p>
        </w:tc>
        <w:tc>
          <w:tcPr>
            <w:tcW w:w="861" w:type="pct"/>
            <w:shd w:val="clear" w:color="auto" w:fill="FFFFFF"/>
            <w:hideMark/>
          </w:tcPr>
          <w:p w14:paraId="1C57D44C" w14:textId="77777777" w:rsidR="00262686" w:rsidRPr="006734BD" w:rsidRDefault="00262686">
            <w:pPr>
              <w:jc w:val="right"/>
              <w:rPr>
                <w:rFonts w:eastAsia="Courier New"/>
                <w:b/>
                <w:bCs/>
                <w:color w:val="000000"/>
                <w:sz w:val="16"/>
                <w:szCs w:val="16"/>
                <w:lang w:bidi="en-US"/>
              </w:rPr>
            </w:pPr>
            <w:r w:rsidRPr="006734BD">
              <w:rPr>
                <w:rFonts w:eastAsia="Courier New"/>
                <w:b/>
                <w:bCs/>
                <w:color w:val="000000"/>
                <w:sz w:val="16"/>
                <w:szCs w:val="16"/>
                <w:lang w:bidi="en-US"/>
              </w:rPr>
              <w:t>89/501 (17,8 %)</w:t>
            </w:r>
          </w:p>
        </w:tc>
        <w:tc>
          <w:tcPr>
            <w:tcW w:w="806" w:type="pct"/>
            <w:shd w:val="clear" w:color="auto" w:fill="FFFFFF"/>
            <w:hideMark/>
          </w:tcPr>
          <w:p w14:paraId="70781EE7" w14:textId="77777777" w:rsidR="00262686" w:rsidRPr="006734BD" w:rsidRDefault="00262686">
            <w:pPr>
              <w:jc w:val="right"/>
              <w:rPr>
                <w:rFonts w:eastAsia="Courier New"/>
                <w:b/>
                <w:bCs/>
                <w:color w:val="000000"/>
                <w:sz w:val="16"/>
                <w:szCs w:val="16"/>
                <w:lang w:bidi="en-US"/>
              </w:rPr>
            </w:pPr>
            <w:r w:rsidRPr="006734BD">
              <w:rPr>
                <w:rFonts w:eastAsia="Courier New"/>
                <w:b/>
                <w:bCs/>
                <w:color w:val="000000"/>
                <w:sz w:val="16"/>
                <w:szCs w:val="16"/>
                <w:lang w:bidi="en-US"/>
              </w:rPr>
              <w:t>145/1.034 (14,0 %)</w:t>
            </w:r>
          </w:p>
        </w:tc>
        <w:tc>
          <w:tcPr>
            <w:tcW w:w="1271" w:type="pct"/>
            <w:gridSpan w:val="2"/>
            <w:vMerge/>
            <w:tcBorders>
              <w:top w:val="single" w:sz="4" w:space="0" w:color="auto"/>
              <w:left w:val="nil"/>
              <w:bottom w:val="nil"/>
              <w:right w:val="nil"/>
            </w:tcBorders>
            <w:vAlign w:val="center"/>
            <w:hideMark/>
          </w:tcPr>
          <w:p w14:paraId="4B468611" w14:textId="77777777" w:rsidR="00262686" w:rsidRPr="006734BD" w:rsidRDefault="00262686">
            <w:pPr>
              <w:rPr>
                <w:rFonts w:eastAsia="Courier New"/>
                <w:color w:val="000000"/>
                <w:sz w:val="16"/>
                <w:szCs w:val="16"/>
                <w:lang w:bidi="en-US"/>
              </w:rPr>
            </w:pPr>
          </w:p>
        </w:tc>
        <w:tc>
          <w:tcPr>
            <w:tcW w:w="797" w:type="pct"/>
            <w:shd w:val="clear" w:color="auto" w:fill="FFFFFF"/>
            <w:hideMark/>
          </w:tcPr>
          <w:p w14:paraId="6B9227A5" w14:textId="77777777" w:rsidR="00262686" w:rsidRPr="006734BD" w:rsidRDefault="00262686">
            <w:pPr>
              <w:rPr>
                <w:rFonts w:eastAsia="Courier New"/>
                <w:b/>
                <w:bCs/>
                <w:color w:val="000000"/>
                <w:sz w:val="16"/>
                <w:szCs w:val="16"/>
                <w:lang w:bidi="en-US"/>
              </w:rPr>
            </w:pPr>
            <w:r w:rsidRPr="006734BD">
              <w:rPr>
                <w:rFonts w:eastAsia="Courier New"/>
                <w:b/>
                <w:bCs/>
                <w:color w:val="000000"/>
                <w:sz w:val="16"/>
                <w:szCs w:val="16"/>
                <w:lang w:bidi="en-US"/>
              </w:rPr>
              <w:t>1,19 (0,91-1,55)</w:t>
            </w:r>
          </w:p>
        </w:tc>
      </w:tr>
      <w:tr w:rsidR="00262686" w:rsidRPr="006734BD" w14:paraId="71ABE631" w14:textId="77777777" w:rsidTr="00FA7787">
        <w:trPr>
          <w:trHeight w:hRule="exact" w:val="329"/>
        </w:trPr>
        <w:tc>
          <w:tcPr>
            <w:tcW w:w="2932" w:type="pct"/>
            <w:gridSpan w:val="3"/>
            <w:shd w:val="clear" w:color="auto" w:fill="FFFFFF"/>
            <w:vAlign w:val="bottom"/>
            <w:hideMark/>
          </w:tcPr>
          <w:p w14:paraId="0359975F" w14:textId="77777777" w:rsidR="00262686" w:rsidRPr="006734BD" w:rsidRDefault="00262686">
            <w:pPr>
              <w:rPr>
                <w:rFonts w:eastAsia="Courier New"/>
                <w:b/>
                <w:bCs/>
                <w:color w:val="000000"/>
                <w:sz w:val="16"/>
                <w:szCs w:val="16"/>
                <w:lang w:bidi="en-US"/>
              </w:rPr>
            </w:pPr>
            <w:r w:rsidRPr="006734BD">
              <w:rPr>
                <w:rFonts w:eastAsia="Courier New"/>
                <w:b/>
                <w:bCs/>
                <w:color w:val="000000"/>
                <w:sz w:val="16"/>
                <w:szCs w:val="16"/>
                <w:lang w:bidi="en-US"/>
              </w:rPr>
              <w:t>Kun ilt</w:t>
            </w:r>
            <w:r w:rsidRPr="006734BD">
              <w:rPr>
                <w:rFonts w:eastAsia="Courier New"/>
                <w:b/>
                <w:bCs/>
                <w:color w:val="000000"/>
                <w:sz w:val="16"/>
                <w:szCs w:val="16"/>
                <w:u w:val="single"/>
                <w:lang w:bidi="en-US"/>
              </w:rPr>
              <w:t xml:space="preserve"> </w:t>
            </w:r>
            <w:r w:rsidRPr="006734BD">
              <w:rPr>
                <w:rFonts w:eastAsia="Courier New"/>
                <w:b/>
                <w:bCs/>
                <w:color w:val="000000"/>
                <w:sz w:val="16"/>
                <w:szCs w:val="16"/>
                <w:lang w:bidi="en-US"/>
              </w:rPr>
              <w:t>(χ</w:t>
            </w:r>
            <w:r w:rsidRPr="006734BD">
              <w:rPr>
                <w:rFonts w:eastAsia="Courier New"/>
                <w:b/>
                <w:bCs/>
                <w:color w:val="000000"/>
                <w:sz w:val="16"/>
                <w:szCs w:val="16"/>
                <w:vertAlign w:val="subscript"/>
                <w:lang w:bidi="en-US"/>
              </w:rPr>
              <w:t>1</w:t>
            </w:r>
            <w:r w:rsidRPr="006734BD">
              <w:rPr>
                <w:rFonts w:eastAsia="Courier New"/>
                <w:b/>
                <w:bCs/>
                <w:color w:val="000000"/>
                <w:sz w:val="16"/>
                <w:szCs w:val="16"/>
                <w:vertAlign w:val="superscript"/>
                <w:lang w:bidi="en-US"/>
              </w:rPr>
              <w:t>2 </w:t>
            </w:r>
            <w:r w:rsidRPr="006734BD">
              <w:rPr>
                <w:rFonts w:eastAsia="Courier New"/>
                <w:b/>
                <w:bCs/>
                <w:color w:val="000000"/>
                <w:sz w:val="16"/>
                <w:szCs w:val="16"/>
                <w:lang w:bidi="en-US"/>
              </w:rPr>
              <w:t>= 2,05; p = 0,15)</w:t>
            </w:r>
          </w:p>
        </w:tc>
        <w:tc>
          <w:tcPr>
            <w:tcW w:w="1271" w:type="pct"/>
            <w:gridSpan w:val="2"/>
            <w:vMerge/>
            <w:tcBorders>
              <w:top w:val="single" w:sz="4" w:space="0" w:color="auto"/>
              <w:left w:val="nil"/>
              <w:bottom w:val="nil"/>
              <w:right w:val="nil"/>
            </w:tcBorders>
            <w:vAlign w:val="center"/>
            <w:hideMark/>
          </w:tcPr>
          <w:p w14:paraId="1F10D4CE" w14:textId="77777777" w:rsidR="00262686" w:rsidRPr="006734BD" w:rsidRDefault="00262686">
            <w:pPr>
              <w:rPr>
                <w:rFonts w:eastAsia="Courier New"/>
                <w:color w:val="000000"/>
                <w:sz w:val="16"/>
                <w:szCs w:val="16"/>
                <w:lang w:bidi="en-US"/>
              </w:rPr>
            </w:pPr>
          </w:p>
        </w:tc>
        <w:tc>
          <w:tcPr>
            <w:tcW w:w="797" w:type="pct"/>
            <w:shd w:val="clear" w:color="auto" w:fill="FFFFFF"/>
          </w:tcPr>
          <w:p w14:paraId="63C0ACA3" w14:textId="77777777" w:rsidR="00262686" w:rsidRPr="006734BD" w:rsidRDefault="00262686">
            <w:pPr>
              <w:rPr>
                <w:rFonts w:eastAsia="Courier New"/>
                <w:color w:val="000000"/>
                <w:sz w:val="16"/>
                <w:szCs w:val="16"/>
                <w:lang w:bidi="en-US"/>
              </w:rPr>
            </w:pPr>
          </w:p>
        </w:tc>
      </w:tr>
      <w:tr w:rsidR="00262686" w:rsidRPr="006734BD" w14:paraId="3F568F66" w14:textId="77777777" w:rsidTr="00FA7787">
        <w:trPr>
          <w:trHeight w:hRule="exact" w:val="221"/>
        </w:trPr>
        <w:tc>
          <w:tcPr>
            <w:tcW w:w="1265" w:type="pct"/>
            <w:shd w:val="clear" w:color="auto" w:fill="FFFFFF"/>
            <w:vAlign w:val="bottom"/>
          </w:tcPr>
          <w:p w14:paraId="6AAAE51A" w14:textId="77777777" w:rsidR="00262686" w:rsidRPr="006734BD" w:rsidRDefault="00262686">
            <w:pPr>
              <w:rPr>
                <w:rFonts w:eastAsia="Calibri"/>
                <w:sz w:val="16"/>
                <w:szCs w:val="16"/>
                <w:lang w:eastAsia="en-GB" w:bidi="en-GB"/>
              </w:rPr>
            </w:pPr>
            <w:r w:rsidRPr="006734BD">
              <w:rPr>
                <w:rFonts w:eastAsia="Calibri"/>
                <w:sz w:val="16"/>
                <w:szCs w:val="16"/>
              </w:rPr>
              <w:t>Tidligere sygdom</w:t>
            </w:r>
          </w:p>
          <w:p w14:paraId="392407AA" w14:textId="77777777" w:rsidR="00262686" w:rsidRPr="006734BD" w:rsidRDefault="00262686">
            <w:pPr>
              <w:rPr>
                <w:rFonts w:eastAsia="Courier New"/>
                <w:color w:val="000000"/>
                <w:sz w:val="16"/>
                <w:szCs w:val="16"/>
                <w:lang w:eastAsia="fr-LU" w:bidi="en-US"/>
              </w:rPr>
            </w:pPr>
          </w:p>
        </w:tc>
        <w:tc>
          <w:tcPr>
            <w:tcW w:w="861" w:type="pct"/>
            <w:shd w:val="clear" w:color="auto" w:fill="FFFFFF"/>
            <w:vAlign w:val="bottom"/>
            <w:hideMark/>
          </w:tcPr>
          <w:p w14:paraId="3646C9D8"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221/702 (31,5 %)</w:t>
            </w:r>
          </w:p>
        </w:tc>
        <w:tc>
          <w:tcPr>
            <w:tcW w:w="806" w:type="pct"/>
            <w:shd w:val="clear" w:color="auto" w:fill="FFFFFF"/>
            <w:vAlign w:val="bottom"/>
            <w:hideMark/>
          </w:tcPr>
          <w:p w14:paraId="54BA2914"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481/1473 (32,7 %)</w:t>
            </w:r>
          </w:p>
        </w:tc>
        <w:tc>
          <w:tcPr>
            <w:tcW w:w="1271" w:type="pct"/>
            <w:gridSpan w:val="2"/>
            <w:vMerge/>
            <w:tcBorders>
              <w:top w:val="single" w:sz="4" w:space="0" w:color="auto"/>
              <w:left w:val="nil"/>
              <w:bottom w:val="nil"/>
              <w:right w:val="nil"/>
            </w:tcBorders>
            <w:vAlign w:val="center"/>
            <w:hideMark/>
          </w:tcPr>
          <w:p w14:paraId="04C6B44B" w14:textId="77777777" w:rsidR="00262686" w:rsidRPr="006734BD" w:rsidRDefault="00262686">
            <w:pPr>
              <w:rPr>
                <w:rFonts w:eastAsia="Courier New"/>
                <w:color w:val="000000"/>
                <w:sz w:val="16"/>
                <w:szCs w:val="16"/>
                <w:lang w:bidi="en-US"/>
              </w:rPr>
            </w:pPr>
          </w:p>
        </w:tc>
        <w:tc>
          <w:tcPr>
            <w:tcW w:w="797" w:type="pct"/>
            <w:shd w:val="clear" w:color="auto" w:fill="FFFFFF"/>
            <w:vAlign w:val="bottom"/>
            <w:hideMark/>
          </w:tcPr>
          <w:p w14:paraId="55FF546C" w14:textId="77777777" w:rsidR="00262686" w:rsidRPr="006734BD" w:rsidRDefault="00262686">
            <w:pPr>
              <w:rPr>
                <w:rFonts w:eastAsia="Courier New"/>
                <w:color w:val="000000"/>
                <w:sz w:val="16"/>
                <w:szCs w:val="16"/>
                <w:lang w:bidi="en-US"/>
              </w:rPr>
            </w:pPr>
            <w:r w:rsidRPr="006734BD">
              <w:rPr>
                <w:rFonts w:eastAsia="Courier New"/>
                <w:color w:val="000000"/>
                <w:sz w:val="16"/>
                <w:szCs w:val="16"/>
                <w:lang w:bidi="en-US"/>
              </w:rPr>
              <w:t>0,88 (0,75-1,03)</w:t>
            </w:r>
          </w:p>
        </w:tc>
      </w:tr>
      <w:tr w:rsidR="00262686" w:rsidRPr="006734BD" w14:paraId="728EEDC7" w14:textId="77777777" w:rsidTr="00FA7787">
        <w:trPr>
          <w:trHeight w:hRule="exact" w:val="234"/>
        </w:trPr>
        <w:tc>
          <w:tcPr>
            <w:tcW w:w="1265" w:type="pct"/>
            <w:shd w:val="clear" w:color="auto" w:fill="FFFFFF"/>
            <w:vAlign w:val="bottom"/>
            <w:hideMark/>
          </w:tcPr>
          <w:p w14:paraId="76C7FF90" w14:textId="77777777" w:rsidR="00262686" w:rsidRPr="006734BD" w:rsidRDefault="00262686">
            <w:pPr>
              <w:rPr>
                <w:rFonts w:eastAsia="Courier New"/>
                <w:color w:val="000000"/>
                <w:sz w:val="16"/>
                <w:szCs w:val="16"/>
                <w:lang w:bidi="en-US"/>
              </w:rPr>
            </w:pPr>
            <w:r w:rsidRPr="006734BD">
              <w:rPr>
                <w:rFonts w:eastAsia="Calibri"/>
                <w:sz w:val="16"/>
                <w:szCs w:val="16"/>
              </w:rPr>
              <w:t>Ingen tidligere sygdom</w:t>
            </w:r>
          </w:p>
        </w:tc>
        <w:tc>
          <w:tcPr>
            <w:tcW w:w="861" w:type="pct"/>
            <w:shd w:val="clear" w:color="auto" w:fill="FFFFFF"/>
            <w:vAlign w:val="bottom"/>
            <w:hideMark/>
          </w:tcPr>
          <w:p w14:paraId="71A42A66"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77/577(13,3 %)</w:t>
            </w:r>
          </w:p>
        </w:tc>
        <w:tc>
          <w:tcPr>
            <w:tcW w:w="806" w:type="pct"/>
            <w:shd w:val="clear" w:color="auto" w:fill="FFFFFF"/>
            <w:vAlign w:val="bottom"/>
            <w:hideMark/>
          </w:tcPr>
          <w:p w14:paraId="41FB8B42"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201/1131 (17,8 %)</w:t>
            </w:r>
          </w:p>
        </w:tc>
        <w:tc>
          <w:tcPr>
            <w:tcW w:w="1271" w:type="pct"/>
            <w:gridSpan w:val="2"/>
            <w:vMerge/>
            <w:tcBorders>
              <w:top w:val="single" w:sz="4" w:space="0" w:color="auto"/>
              <w:left w:val="nil"/>
              <w:bottom w:val="nil"/>
              <w:right w:val="nil"/>
            </w:tcBorders>
            <w:vAlign w:val="center"/>
            <w:hideMark/>
          </w:tcPr>
          <w:p w14:paraId="6A1A34B9" w14:textId="77777777" w:rsidR="00262686" w:rsidRPr="006734BD" w:rsidRDefault="00262686">
            <w:pPr>
              <w:rPr>
                <w:rFonts w:eastAsia="Courier New"/>
                <w:color w:val="000000"/>
                <w:sz w:val="16"/>
                <w:szCs w:val="16"/>
                <w:lang w:bidi="en-US"/>
              </w:rPr>
            </w:pPr>
          </w:p>
        </w:tc>
        <w:tc>
          <w:tcPr>
            <w:tcW w:w="797" w:type="pct"/>
            <w:shd w:val="clear" w:color="auto" w:fill="FFFFFF"/>
            <w:vAlign w:val="bottom"/>
            <w:hideMark/>
          </w:tcPr>
          <w:p w14:paraId="0A657D92" w14:textId="77777777" w:rsidR="00262686" w:rsidRPr="006734BD" w:rsidRDefault="00262686">
            <w:pPr>
              <w:rPr>
                <w:rFonts w:eastAsia="Courier New"/>
                <w:color w:val="000000"/>
                <w:sz w:val="16"/>
                <w:szCs w:val="16"/>
                <w:lang w:bidi="en-US"/>
              </w:rPr>
            </w:pPr>
            <w:r w:rsidRPr="006734BD">
              <w:rPr>
                <w:rFonts w:eastAsia="Courier New"/>
                <w:color w:val="000000"/>
                <w:sz w:val="16"/>
                <w:szCs w:val="16"/>
                <w:lang w:bidi="en-US"/>
              </w:rPr>
              <w:t>0,70 (0,54-0,91)</w:t>
            </w:r>
          </w:p>
        </w:tc>
      </w:tr>
      <w:tr w:rsidR="00262686" w:rsidRPr="006734BD" w14:paraId="7B9FB9E6" w14:textId="77777777" w:rsidTr="00FA7787">
        <w:trPr>
          <w:trHeight w:hRule="exact" w:val="324"/>
        </w:trPr>
        <w:tc>
          <w:tcPr>
            <w:tcW w:w="1265" w:type="pct"/>
            <w:shd w:val="clear" w:color="auto" w:fill="FFFFFF"/>
            <w:hideMark/>
          </w:tcPr>
          <w:p w14:paraId="7044DDC8" w14:textId="77777777" w:rsidR="00262686" w:rsidRPr="006734BD" w:rsidRDefault="00262686">
            <w:pPr>
              <w:rPr>
                <w:rFonts w:eastAsia="Courier New"/>
                <w:b/>
                <w:bCs/>
                <w:color w:val="000000"/>
                <w:sz w:val="16"/>
                <w:szCs w:val="16"/>
                <w:lang w:bidi="en-US"/>
              </w:rPr>
            </w:pPr>
            <w:r w:rsidRPr="006734BD">
              <w:rPr>
                <w:b/>
                <w:sz w:val="16"/>
                <w:szCs w:val="16"/>
              </w:rPr>
              <w:t>Subtotal</w:t>
            </w:r>
          </w:p>
        </w:tc>
        <w:tc>
          <w:tcPr>
            <w:tcW w:w="861" w:type="pct"/>
            <w:shd w:val="clear" w:color="auto" w:fill="FFFFFF"/>
            <w:hideMark/>
          </w:tcPr>
          <w:p w14:paraId="1CFD307A" w14:textId="77777777" w:rsidR="00262686" w:rsidRPr="006734BD" w:rsidRDefault="00262686">
            <w:pPr>
              <w:jc w:val="right"/>
              <w:rPr>
                <w:rFonts w:eastAsia="Courier New"/>
                <w:b/>
                <w:bCs/>
                <w:color w:val="000000"/>
                <w:sz w:val="16"/>
                <w:szCs w:val="16"/>
                <w:lang w:bidi="en-US"/>
              </w:rPr>
            </w:pPr>
            <w:r w:rsidRPr="006734BD">
              <w:rPr>
                <w:rFonts w:eastAsia="Courier New"/>
                <w:b/>
                <w:bCs/>
                <w:color w:val="000000"/>
                <w:sz w:val="16"/>
                <w:szCs w:val="16"/>
                <w:lang w:bidi="en-US"/>
              </w:rPr>
              <w:t>298/1.279 (23,3 %)</w:t>
            </w:r>
          </w:p>
        </w:tc>
        <w:tc>
          <w:tcPr>
            <w:tcW w:w="806" w:type="pct"/>
            <w:shd w:val="clear" w:color="auto" w:fill="FFFFFF"/>
            <w:hideMark/>
          </w:tcPr>
          <w:p w14:paraId="383984AC" w14:textId="77777777" w:rsidR="00262686" w:rsidRPr="006734BD" w:rsidRDefault="00262686">
            <w:pPr>
              <w:jc w:val="right"/>
              <w:rPr>
                <w:rFonts w:eastAsia="Courier New"/>
                <w:b/>
                <w:bCs/>
                <w:color w:val="000000"/>
                <w:sz w:val="16"/>
                <w:szCs w:val="16"/>
                <w:lang w:bidi="en-US"/>
              </w:rPr>
            </w:pPr>
            <w:r w:rsidRPr="006734BD">
              <w:rPr>
                <w:rFonts w:eastAsia="Courier New"/>
                <w:b/>
                <w:bCs/>
                <w:color w:val="000000"/>
                <w:sz w:val="16"/>
                <w:szCs w:val="16"/>
                <w:lang w:bidi="en-US"/>
              </w:rPr>
              <w:t>682/2.604 (26,2 %)</w:t>
            </w:r>
          </w:p>
        </w:tc>
        <w:tc>
          <w:tcPr>
            <w:tcW w:w="1271" w:type="pct"/>
            <w:gridSpan w:val="2"/>
            <w:vMerge/>
            <w:tcBorders>
              <w:top w:val="single" w:sz="4" w:space="0" w:color="auto"/>
              <w:left w:val="nil"/>
              <w:bottom w:val="nil"/>
              <w:right w:val="nil"/>
            </w:tcBorders>
            <w:vAlign w:val="center"/>
            <w:hideMark/>
          </w:tcPr>
          <w:p w14:paraId="11A397D9" w14:textId="77777777" w:rsidR="00262686" w:rsidRPr="006734BD" w:rsidRDefault="00262686">
            <w:pPr>
              <w:rPr>
                <w:rFonts w:eastAsia="Courier New"/>
                <w:color w:val="000000"/>
                <w:sz w:val="16"/>
                <w:szCs w:val="16"/>
                <w:lang w:bidi="en-US"/>
              </w:rPr>
            </w:pPr>
          </w:p>
        </w:tc>
        <w:tc>
          <w:tcPr>
            <w:tcW w:w="797" w:type="pct"/>
            <w:shd w:val="clear" w:color="auto" w:fill="FFFFFF"/>
            <w:hideMark/>
          </w:tcPr>
          <w:p w14:paraId="4C051FBF" w14:textId="77777777" w:rsidR="00262686" w:rsidRPr="006734BD" w:rsidRDefault="00262686">
            <w:pPr>
              <w:rPr>
                <w:rFonts w:eastAsia="Courier New"/>
                <w:b/>
                <w:bCs/>
                <w:color w:val="000000"/>
                <w:sz w:val="16"/>
                <w:szCs w:val="16"/>
                <w:lang w:bidi="en-US"/>
              </w:rPr>
            </w:pPr>
            <w:r w:rsidRPr="006734BD">
              <w:rPr>
                <w:rFonts w:eastAsia="Courier New"/>
                <w:b/>
                <w:bCs/>
                <w:color w:val="000000"/>
                <w:sz w:val="16"/>
                <w:szCs w:val="16"/>
                <w:lang w:bidi="en-US"/>
              </w:rPr>
              <w:t>0,82 (0,72-0,94)</w:t>
            </w:r>
          </w:p>
        </w:tc>
      </w:tr>
      <w:tr w:rsidR="00262686" w:rsidRPr="006734BD" w14:paraId="0784A581" w14:textId="77777777" w:rsidTr="00FA7787">
        <w:trPr>
          <w:trHeight w:hRule="exact" w:val="320"/>
        </w:trPr>
        <w:tc>
          <w:tcPr>
            <w:tcW w:w="2932" w:type="pct"/>
            <w:gridSpan w:val="3"/>
            <w:shd w:val="clear" w:color="auto" w:fill="FFFFFF"/>
            <w:vAlign w:val="bottom"/>
            <w:hideMark/>
          </w:tcPr>
          <w:p w14:paraId="39ABB2C1" w14:textId="77777777" w:rsidR="00262686" w:rsidRPr="006734BD" w:rsidRDefault="00262686">
            <w:pPr>
              <w:rPr>
                <w:rFonts w:eastAsia="Courier New"/>
                <w:b/>
                <w:bCs/>
                <w:color w:val="000000"/>
                <w:sz w:val="16"/>
                <w:szCs w:val="16"/>
                <w:lang w:bidi="en-US"/>
              </w:rPr>
            </w:pPr>
            <w:r w:rsidRPr="006734BD">
              <w:rPr>
                <w:rFonts w:eastAsia="Courier New"/>
                <w:b/>
                <w:bCs/>
                <w:color w:val="000000"/>
                <w:sz w:val="16"/>
                <w:szCs w:val="16"/>
                <w:lang w:bidi="en-US"/>
              </w:rPr>
              <w:t>Mekanisk ventilation</w:t>
            </w:r>
            <w:r w:rsidRPr="006734BD">
              <w:rPr>
                <w:rFonts w:eastAsia="Courier New"/>
                <w:b/>
                <w:bCs/>
                <w:color w:val="000000"/>
                <w:sz w:val="16"/>
                <w:szCs w:val="16"/>
                <w:u w:val="single"/>
                <w:lang w:bidi="en-US"/>
              </w:rPr>
              <w:t xml:space="preserve"> </w:t>
            </w:r>
            <w:r w:rsidRPr="006734BD">
              <w:rPr>
                <w:rFonts w:eastAsia="Courier New"/>
                <w:b/>
                <w:bCs/>
                <w:color w:val="000000"/>
                <w:sz w:val="16"/>
                <w:szCs w:val="16"/>
                <w:lang w:bidi="en-US"/>
              </w:rPr>
              <w:t>(χ</w:t>
            </w:r>
            <w:r w:rsidRPr="006734BD">
              <w:rPr>
                <w:rFonts w:eastAsia="Courier New"/>
                <w:b/>
                <w:bCs/>
                <w:color w:val="000000"/>
                <w:sz w:val="16"/>
                <w:szCs w:val="16"/>
                <w:vertAlign w:val="subscript"/>
                <w:lang w:bidi="en-US"/>
              </w:rPr>
              <w:t>1</w:t>
            </w:r>
            <w:r w:rsidRPr="006734BD">
              <w:rPr>
                <w:rFonts w:eastAsia="Courier New"/>
                <w:b/>
                <w:bCs/>
                <w:color w:val="000000"/>
                <w:sz w:val="16"/>
                <w:szCs w:val="16"/>
                <w:vertAlign w:val="superscript"/>
                <w:lang w:bidi="en-US"/>
              </w:rPr>
              <w:t>2 </w:t>
            </w:r>
            <w:r w:rsidRPr="006734BD">
              <w:rPr>
                <w:rFonts w:eastAsia="Courier New"/>
                <w:b/>
                <w:bCs/>
                <w:color w:val="000000"/>
                <w:sz w:val="16"/>
                <w:szCs w:val="16"/>
                <w:lang w:bidi="en-US"/>
              </w:rPr>
              <w:t>= 1,52; p = 0,22)</w:t>
            </w:r>
          </w:p>
        </w:tc>
        <w:tc>
          <w:tcPr>
            <w:tcW w:w="1271" w:type="pct"/>
            <w:gridSpan w:val="2"/>
            <w:vMerge/>
            <w:tcBorders>
              <w:top w:val="single" w:sz="4" w:space="0" w:color="auto"/>
              <w:left w:val="nil"/>
              <w:bottom w:val="nil"/>
              <w:right w:val="nil"/>
            </w:tcBorders>
            <w:vAlign w:val="center"/>
            <w:hideMark/>
          </w:tcPr>
          <w:p w14:paraId="0AF555E1" w14:textId="77777777" w:rsidR="00262686" w:rsidRPr="006734BD" w:rsidRDefault="00262686">
            <w:pPr>
              <w:rPr>
                <w:rFonts w:eastAsia="Courier New"/>
                <w:color w:val="000000"/>
                <w:sz w:val="16"/>
                <w:szCs w:val="16"/>
                <w:lang w:bidi="en-US"/>
              </w:rPr>
            </w:pPr>
          </w:p>
        </w:tc>
        <w:tc>
          <w:tcPr>
            <w:tcW w:w="797" w:type="pct"/>
            <w:shd w:val="clear" w:color="auto" w:fill="FFFFFF"/>
          </w:tcPr>
          <w:p w14:paraId="00EC6252" w14:textId="77777777" w:rsidR="00262686" w:rsidRPr="006734BD" w:rsidRDefault="00262686">
            <w:pPr>
              <w:rPr>
                <w:rFonts w:eastAsia="Courier New"/>
                <w:color w:val="000000"/>
                <w:sz w:val="16"/>
                <w:szCs w:val="16"/>
                <w:lang w:bidi="en-US"/>
              </w:rPr>
            </w:pPr>
          </w:p>
        </w:tc>
      </w:tr>
      <w:tr w:rsidR="00262686" w:rsidRPr="006734BD" w14:paraId="3E953C75" w14:textId="77777777" w:rsidTr="00FA7787">
        <w:trPr>
          <w:trHeight w:hRule="exact" w:val="230"/>
        </w:trPr>
        <w:tc>
          <w:tcPr>
            <w:tcW w:w="1265" w:type="pct"/>
            <w:shd w:val="clear" w:color="auto" w:fill="FFFFFF"/>
            <w:vAlign w:val="bottom"/>
          </w:tcPr>
          <w:p w14:paraId="06CE04CF" w14:textId="77777777" w:rsidR="00262686" w:rsidRPr="006734BD" w:rsidRDefault="00262686">
            <w:pPr>
              <w:rPr>
                <w:rFonts w:eastAsia="Calibri"/>
                <w:sz w:val="16"/>
                <w:szCs w:val="16"/>
                <w:lang w:eastAsia="en-GB" w:bidi="en-GB"/>
              </w:rPr>
            </w:pPr>
            <w:r w:rsidRPr="006734BD">
              <w:rPr>
                <w:rFonts w:eastAsia="Calibri"/>
                <w:sz w:val="16"/>
                <w:szCs w:val="16"/>
              </w:rPr>
              <w:t>Tidligere sygdom</w:t>
            </w:r>
          </w:p>
          <w:p w14:paraId="289B27FE" w14:textId="77777777" w:rsidR="00262686" w:rsidRPr="006734BD" w:rsidRDefault="00262686">
            <w:pPr>
              <w:rPr>
                <w:rFonts w:eastAsia="Courier New"/>
                <w:color w:val="000000"/>
                <w:sz w:val="16"/>
                <w:szCs w:val="16"/>
                <w:lang w:eastAsia="fr-LU" w:bidi="en-US"/>
              </w:rPr>
            </w:pPr>
          </w:p>
        </w:tc>
        <w:tc>
          <w:tcPr>
            <w:tcW w:w="861" w:type="pct"/>
            <w:shd w:val="clear" w:color="auto" w:fill="FFFFFF"/>
            <w:vAlign w:val="bottom"/>
            <w:hideMark/>
          </w:tcPr>
          <w:p w14:paraId="635A129A"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51/159 (32,1 %)</w:t>
            </w:r>
          </w:p>
        </w:tc>
        <w:tc>
          <w:tcPr>
            <w:tcW w:w="806" w:type="pct"/>
            <w:shd w:val="clear" w:color="auto" w:fill="FFFFFF"/>
            <w:vAlign w:val="bottom"/>
            <w:hideMark/>
          </w:tcPr>
          <w:p w14:paraId="11887F8B"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150/346 (43,4 %)</w:t>
            </w:r>
          </w:p>
        </w:tc>
        <w:tc>
          <w:tcPr>
            <w:tcW w:w="1271" w:type="pct"/>
            <w:gridSpan w:val="2"/>
            <w:vMerge/>
            <w:tcBorders>
              <w:top w:val="single" w:sz="4" w:space="0" w:color="auto"/>
              <w:left w:val="nil"/>
              <w:bottom w:val="nil"/>
              <w:right w:val="nil"/>
            </w:tcBorders>
            <w:vAlign w:val="center"/>
            <w:hideMark/>
          </w:tcPr>
          <w:p w14:paraId="3C91AE58" w14:textId="77777777" w:rsidR="00262686" w:rsidRPr="006734BD" w:rsidRDefault="00262686">
            <w:pPr>
              <w:rPr>
                <w:rFonts w:eastAsia="Courier New"/>
                <w:color w:val="000000"/>
                <w:sz w:val="16"/>
                <w:szCs w:val="16"/>
                <w:lang w:bidi="en-US"/>
              </w:rPr>
            </w:pPr>
          </w:p>
        </w:tc>
        <w:tc>
          <w:tcPr>
            <w:tcW w:w="797" w:type="pct"/>
            <w:shd w:val="clear" w:color="auto" w:fill="FFFFFF"/>
            <w:vAlign w:val="bottom"/>
            <w:hideMark/>
          </w:tcPr>
          <w:p w14:paraId="3BDA3E4F" w14:textId="77777777" w:rsidR="00262686" w:rsidRPr="006734BD" w:rsidRDefault="00262686">
            <w:pPr>
              <w:rPr>
                <w:rFonts w:eastAsia="Courier New"/>
                <w:color w:val="000000"/>
                <w:sz w:val="16"/>
                <w:szCs w:val="16"/>
                <w:lang w:bidi="en-US"/>
              </w:rPr>
            </w:pPr>
            <w:r w:rsidRPr="006734BD">
              <w:rPr>
                <w:rFonts w:eastAsia="Courier New"/>
                <w:color w:val="000000"/>
                <w:sz w:val="16"/>
                <w:szCs w:val="16"/>
                <w:lang w:bidi="en-US"/>
              </w:rPr>
              <w:t>0,75 (0,54-1,02)</w:t>
            </w:r>
          </w:p>
        </w:tc>
      </w:tr>
      <w:tr w:rsidR="00262686" w:rsidRPr="006734BD" w14:paraId="4DCEC7EC" w14:textId="77777777" w:rsidTr="00FA7787">
        <w:trPr>
          <w:trHeight w:hRule="exact" w:val="234"/>
        </w:trPr>
        <w:tc>
          <w:tcPr>
            <w:tcW w:w="1265" w:type="pct"/>
            <w:shd w:val="clear" w:color="auto" w:fill="FFFFFF"/>
            <w:vAlign w:val="bottom"/>
            <w:hideMark/>
          </w:tcPr>
          <w:p w14:paraId="7E3D3396" w14:textId="77777777" w:rsidR="00262686" w:rsidRPr="006734BD" w:rsidRDefault="00262686">
            <w:pPr>
              <w:rPr>
                <w:rFonts w:eastAsia="Courier New"/>
                <w:color w:val="000000"/>
                <w:sz w:val="16"/>
                <w:szCs w:val="16"/>
                <w:lang w:bidi="en-US"/>
              </w:rPr>
            </w:pPr>
            <w:r w:rsidRPr="006734BD">
              <w:rPr>
                <w:rFonts w:eastAsia="Calibri"/>
                <w:sz w:val="16"/>
                <w:szCs w:val="16"/>
              </w:rPr>
              <w:t>Ingen tidligere sygdom</w:t>
            </w:r>
          </w:p>
        </w:tc>
        <w:tc>
          <w:tcPr>
            <w:tcW w:w="861" w:type="pct"/>
            <w:shd w:val="clear" w:color="auto" w:fill="FFFFFF"/>
            <w:vAlign w:val="bottom"/>
            <w:hideMark/>
          </w:tcPr>
          <w:p w14:paraId="0CF0EE97"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44/165 (26,7 %)</w:t>
            </w:r>
          </w:p>
        </w:tc>
        <w:tc>
          <w:tcPr>
            <w:tcW w:w="806" w:type="pct"/>
            <w:shd w:val="clear" w:color="auto" w:fill="FFFFFF"/>
            <w:vAlign w:val="bottom"/>
            <w:hideMark/>
          </w:tcPr>
          <w:p w14:paraId="11FDDC51" w14:textId="77777777" w:rsidR="00262686" w:rsidRPr="006734BD" w:rsidRDefault="00262686">
            <w:pPr>
              <w:jc w:val="right"/>
              <w:rPr>
                <w:rFonts w:eastAsia="Courier New"/>
                <w:color w:val="000000"/>
                <w:sz w:val="16"/>
                <w:szCs w:val="16"/>
                <w:lang w:bidi="en-US"/>
              </w:rPr>
            </w:pPr>
            <w:r w:rsidRPr="006734BD">
              <w:rPr>
                <w:rFonts w:eastAsia="Courier New"/>
                <w:color w:val="000000"/>
                <w:sz w:val="16"/>
                <w:szCs w:val="16"/>
                <w:lang w:bidi="en-US"/>
              </w:rPr>
              <w:t>133/337 (39,5 %)</w:t>
            </w:r>
          </w:p>
        </w:tc>
        <w:tc>
          <w:tcPr>
            <w:tcW w:w="1271" w:type="pct"/>
            <w:gridSpan w:val="2"/>
            <w:vMerge/>
            <w:tcBorders>
              <w:top w:val="single" w:sz="4" w:space="0" w:color="auto"/>
              <w:left w:val="nil"/>
              <w:bottom w:val="nil"/>
              <w:right w:val="nil"/>
            </w:tcBorders>
            <w:vAlign w:val="center"/>
            <w:hideMark/>
          </w:tcPr>
          <w:p w14:paraId="52F9D183" w14:textId="77777777" w:rsidR="00262686" w:rsidRPr="006734BD" w:rsidRDefault="00262686">
            <w:pPr>
              <w:rPr>
                <w:rFonts w:eastAsia="Courier New"/>
                <w:color w:val="000000"/>
                <w:sz w:val="16"/>
                <w:szCs w:val="16"/>
                <w:lang w:bidi="en-US"/>
              </w:rPr>
            </w:pPr>
          </w:p>
        </w:tc>
        <w:tc>
          <w:tcPr>
            <w:tcW w:w="797" w:type="pct"/>
            <w:shd w:val="clear" w:color="auto" w:fill="FFFFFF"/>
            <w:vAlign w:val="bottom"/>
            <w:hideMark/>
          </w:tcPr>
          <w:p w14:paraId="54E7705F" w14:textId="77777777" w:rsidR="00262686" w:rsidRPr="006734BD" w:rsidRDefault="00262686">
            <w:pPr>
              <w:rPr>
                <w:rFonts w:eastAsia="Courier New"/>
                <w:color w:val="000000"/>
                <w:sz w:val="16"/>
                <w:szCs w:val="16"/>
                <w:lang w:bidi="en-US"/>
              </w:rPr>
            </w:pPr>
            <w:r w:rsidRPr="006734BD">
              <w:rPr>
                <w:rFonts w:eastAsia="Courier New"/>
                <w:color w:val="000000"/>
                <w:sz w:val="16"/>
                <w:szCs w:val="16"/>
                <w:lang w:bidi="en-US"/>
              </w:rPr>
              <w:t>0,56 (0,40-0,78)</w:t>
            </w:r>
          </w:p>
        </w:tc>
      </w:tr>
      <w:tr w:rsidR="00262686" w:rsidRPr="006734BD" w14:paraId="23A34A48" w14:textId="77777777" w:rsidTr="00FA7787">
        <w:trPr>
          <w:trHeight w:hRule="exact" w:val="318"/>
        </w:trPr>
        <w:tc>
          <w:tcPr>
            <w:tcW w:w="1265" w:type="pct"/>
            <w:shd w:val="clear" w:color="auto" w:fill="FFFFFF"/>
            <w:hideMark/>
          </w:tcPr>
          <w:p w14:paraId="10D899A8" w14:textId="77777777" w:rsidR="00262686" w:rsidRPr="006734BD" w:rsidRDefault="00262686">
            <w:pPr>
              <w:rPr>
                <w:rFonts w:eastAsia="Courier New"/>
                <w:b/>
                <w:bCs/>
                <w:color w:val="000000"/>
                <w:sz w:val="16"/>
                <w:szCs w:val="16"/>
                <w:lang w:bidi="en-US"/>
              </w:rPr>
            </w:pPr>
            <w:r w:rsidRPr="006734BD">
              <w:rPr>
                <w:b/>
                <w:sz w:val="16"/>
                <w:szCs w:val="16"/>
              </w:rPr>
              <w:t>Subtotal</w:t>
            </w:r>
          </w:p>
        </w:tc>
        <w:tc>
          <w:tcPr>
            <w:tcW w:w="861" w:type="pct"/>
            <w:shd w:val="clear" w:color="auto" w:fill="FFFFFF"/>
            <w:hideMark/>
          </w:tcPr>
          <w:p w14:paraId="608B6B3D" w14:textId="77777777" w:rsidR="00262686" w:rsidRPr="006734BD" w:rsidRDefault="00262686">
            <w:pPr>
              <w:jc w:val="right"/>
              <w:rPr>
                <w:rFonts w:eastAsia="Courier New"/>
                <w:b/>
                <w:bCs/>
                <w:color w:val="000000"/>
                <w:sz w:val="16"/>
                <w:szCs w:val="16"/>
                <w:lang w:bidi="en-US"/>
              </w:rPr>
            </w:pPr>
            <w:r w:rsidRPr="006734BD">
              <w:rPr>
                <w:rFonts w:eastAsia="Courier New"/>
                <w:b/>
                <w:bCs/>
                <w:color w:val="000000"/>
                <w:sz w:val="16"/>
                <w:szCs w:val="16"/>
                <w:lang w:bidi="en-US"/>
              </w:rPr>
              <w:t>95/324 (29,3 %)</w:t>
            </w:r>
          </w:p>
        </w:tc>
        <w:tc>
          <w:tcPr>
            <w:tcW w:w="806" w:type="pct"/>
            <w:shd w:val="clear" w:color="auto" w:fill="FFFFFF"/>
            <w:hideMark/>
          </w:tcPr>
          <w:p w14:paraId="5F9DFF9D" w14:textId="77777777" w:rsidR="00262686" w:rsidRPr="006734BD" w:rsidRDefault="00262686">
            <w:pPr>
              <w:jc w:val="right"/>
              <w:rPr>
                <w:rFonts w:eastAsia="Courier New"/>
                <w:b/>
                <w:bCs/>
                <w:color w:val="000000"/>
                <w:sz w:val="16"/>
                <w:szCs w:val="16"/>
                <w:lang w:bidi="en-US"/>
              </w:rPr>
            </w:pPr>
            <w:r w:rsidRPr="006734BD">
              <w:rPr>
                <w:rFonts w:eastAsia="Courier New"/>
                <w:b/>
                <w:bCs/>
                <w:color w:val="000000"/>
                <w:sz w:val="16"/>
                <w:szCs w:val="16"/>
                <w:lang w:bidi="en-US"/>
              </w:rPr>
              <w:t>283/683 (41,4 %)</w:t>
            </w:r>
          </w:p>
        </w:tc>
        <w:tc>
          <w:tcPr>
            <w:tcW w:w="1271" w:type="pct"/>
            <w:gridSpan w:val="2"/>
            <w:vMerge/>
            <w:tcBorders>
              <w:top w:val="single" w:sz="4" w:space="0" w:color="auto"/>
              <w:left w:val="nil"/>
              <w:bottom w:val="nil"/>
              <w:right w:val="nil"/>
            </w:tcBorders>
            <w:vAlign w:val="center"/>
            <w:hideMark/>
          </w:tcPr>
          <w:p w14:paraId="4B641EEC" w14:textId="77777777" w:rsidR="00262686" w:rsidRPr="006734BD" w:rsidRDefault="00262686">
            <w:pPr>
              <w:rPr>
                <w:rFonts w:eastAsia="Courier New"/>
                <w:color w:val="000000"/>
                <w:sz w:val="16"/>
                <w:szCs w:val="16"/>
                <w:lang w:bidi="en-US"/>
              </w:rPr>
            </w:pPr>
          </w:p>
        </w:tc>
        <w:tc>
          <w:tcPr>
            <w:tcW w:w="797" w:type="pct"/>
            <w:shd w:val="clear" w:color="auto" w:fill="FFFFFF"/>
            <w:hideMark/>
          </w:tcPr>
          <w:p w14:paraId="5B032B5C" w14:textId="77777777" w:rsidR="00262686" w:rsidRPr="006734BD" w:rsidRDefault="00262686">
            <w:pPr>
              <w:rPr>
                <w:rFonts w:eastAsia="Courier New"/>
                <w:b/>
                <w:bCs/>
                <w:color w:val="000000"/>
                <w:sz w:val="16"/>
                <w:szCs w:val="16"/>
                <w:lang w:bidi="en-US"/>
              </w:rPr>
            </w:pPr>
            <w:r w:rsidRPr="006734BD">
              <w:rPr>
                <w:rFonts w:eastAsia="Courier New"/>
                <w:b/>
                <w:bCs/>
                <w:color w:val="000000"/>
                <w:sz w:val="16"/>
                <w:szCs w:val="16"/>
                <w:lang w:bidi="en-US"/>
              </w:rPr>
              <w:t>0,64 (0,51-0,81)</w:t>
            </w:r>
          </w:p>
        </w:tc>
      </w:tr>
      <w:tr w:rsidR="00262686" w:rsidRPr="006734BD" w14:paraId="0F164152" w14:textId="77777777" w:rsidTr="00FA7787">
        <w:trPr>
          <w:trHeight w:hRule="exact" w:val="293"/>
        </w:trPr>
        <w:tc>
          <w:tcPr>
            <w:tcW w:w="1265" w:type="pct"/>
            <w:shd w:val="clear" w:color="auto" w:fill="FFFFFF"/>
            <w:vAlign w:val="bottom"/>
            <w:hideMark/>
          </w:tcPr>
          <w:p w14:paraId="4A65682C" w14:textId="77777777" w:rsidR="00262686" w:rsidRPr="006734BD" w:rsidRDefault="00262686">
            <w:pPr>
              <w:rPr>
                <w:rFonts w:eastAsia="Courier New"/>
                <w:b/>
                <w:bCs/>
                <w:color w:val="000000"/>
                <w:sz w:val="16"/>
                <w:szCs w:val="16"/>
                <w:lang w:bidi="en-US"/>
              </w:rPr>
            </w:pPr>
            <w:r w:rsidRPr="006734BD">
              <w:rPr>
                <w:rFonts w:eastAsia="Courier New"/>
                <w:b/>
                <w:bCs/>
                <w:color w:val="000000"/>
                <w:sz w:val="16"/>
                <w:szCs w:val="16"/>
                <w:lang w:bidi="en-US"/>
              </w:rPr>
              <w:t>Alle deltagere</w:t>
            </w:r>
          </w:p>
        </w:tc>
        <w:tc>
          <w:tcPr>
            <w:tcW w:w="861" w:type="pct"/>
            <w:shd w:val="clear" w:color="auto" w:fill="FFFFFF"/>
            <w:vAlign w:val="bottom"/>
            <w:hideMark/>
          </w:tcPr>
          <w:p w14:paraId="2F5A4CC8" w14:textId="77777777" w:rsidR="00262686" w:rsidRPr="006734BD" w:rsidRDefault="00262686">
            <w:pPr>
              <w:jc w:val="right"/>
              <w:rPr>
                <w:rFonts w:eastAsia="Courier New"/>
                <w:b/>
                <w:bCs/>
                <w:color w:val="000000"/>
                <w:sz w:val="16"/>
                <w:szCs w:val="16"/>
                <w:lang w:bidi="en-US"/>
              </w:rPr>
            </w:pPr>
            <w:r w:rsidRPr="006734BD">
              <w:rPr>
                <w:rFonts w:eastAsia="Courier New"/>
                <w:b/>
                <w:bCs/>
                <w:color w:val="000000"/>
                <w:sz w:val="16"/>
                <w:szCs w:val="16"/>
                <w:lang w:bidi="en-US"/>
              </w:rPr>
              <w:t>482/2.104(22,9 %)</w:t>
            </w:r>
          </w:p>
        </w:tc>
        <w:tc>
          <w:tcPr>
            <w:tcW w:w="806" w:type="pct"/>
            <w:shd w:val="clear" w:color="auto" w:fill="FFFFFF"/>
            <w:vAlign w:val="bottom"/>
            <w:hideMark/>
          </w:tcPr>
          <w:p w14:paraId="3640649B" w14:textId="77777777" w:rsidR="00262686" w:rsidRPr="006734BD" w:rsidRDefault="00262686">
            <w:pPr>
              <w:jc w:val="right"/>
              <w:rPr>
                <w:rFonts w:eastAsia="Courier New"/>
                <w:b/>
                <w:bCs/>
                <w:color w:val="000000"/>
                <w:sz w:val="16"/>
                <w:szCs w:val="16"/>
                <w:lang w:bidi="en-US"/>
              </w:rPr>
            </w:pPr>
            <w:r w:rsidRPr="006734BD">
              <w:rPr>
                <w:rFonts w:eastAsia="Courier New"/>
                <w:b/>
                <w:bCs/>
                <w:color w:val="000000"/>
                <w:sz w:val="16"/>
                <w:szCs w:val="16"/>
                <w:lang w:bidi="en-US"/>
              </w:rPr>
              <w:t>1.110/4.321 (25,7 %)</w:t>
            </w:r>
          </w:p>
        </w:tc>
        <w:tc>
          <w:tcPr>
            <w:tcW w:w="1271" w:type="pct"/>
            <w:gridSpan w:val="2"/>
            <w:vMerge/>
            <w:tcBorders>
              <w:top w:val="single" w:sz="4" w:space="0" w:color="auto"/>
              <w:left w:val="nil"/>
              <w:bottom w:val="nil"/>
              <w:right w:val="nil"/>
            </w:tcBorders>
            <w:vAlign w:val="center"/>
            <w:hideMark/>
          </w:tcPr>
          <w:p w14:paraId="5F6060E1" w14:textId="77777777" w:rsidR="00262686" w:rsidRPr="006734BD" w:rsidRDefault="00262686">
            <w:pPr>
              <w:rPr>
                <w:rFonts w:eastAsia="Courier New"/>
                <w:color w:val="000000"/>
                <w:sz w:val="16"/>
                <w:szCs w:val="16"/>
                <w:lang w:bidi="en-US"/>
              </w:rPr>
            </w:pPr>
          </w:p>
        </w:tc>
        <w:tc>
          <w:tcPr>
            <w:tcW w:w="797" w:type="pct"/>
            <w:shd w:val="clear" w:color="auto" w:fill="FFFFFF"/>
            <w:vAlign w:val="bottom"/>
            <w:hideMark/>
          </w:tcPr>
          <w:p w14:paraId="0F717806" w14:textId="77777777" w:rsidR="00262686" w:rsidRPr="006734BD" w:rsidRDefault="00262686">
            <w:pPr>
              <w:rPr>
                <w:rFonts w:eastAsia="Courier New"/>
                <w:b/>
                <w:bCs/>
                <w:color w:val="000000"/>
                <w:sz w:val="16"/>
                <w:szCs w:val="16"/>
                <w:lang w:bidi="en-US"/>
              </w:rPr>
            </w:pPr>
            <w:r w:rsidRPr="006734BD">
              <w:rPr>
                <w:rFonts w:eastAsia="Courier New"/>
                <w:b/>
                <w:bCs/>
                <w:color w:val="000000"/>
                <w:sz w:val="16"/>
                <w:szCs w:val="16"/>
                <w:lang w:bidi="en-US"/>
              </w:rPr>
              <w:t>0,83 (0,75-0,93)</w:t>
            </w:r>
          </w:p>
        </w:tc>
      </w:tr>
      <w:tr w:rsidR="00262686" w:rsidRPr="006734BD" w14:paraId="11BD450D" w14:textId="77777777" w:rsidTr="00FA7787">
        <w:trPr>
          <w:trHeight w:hRule="exact" w:val="270"/>
        </w:trPr>
        <w:tc>
          <w:tcPr>
            <w:tcW w:w="2932" w:type="pct"/>
            <w:gridSpan w:val="3"/>
            <w:vMerge w:val="restart"/>
            <w:shd w:val="clear" w:color="auto" w:fill="FFFFFF"/>
          </w:tcPr>
          <w:p w14:paraId="63D490AC" w14:textId="77777777" w:rsidR="00262686" w:rsidRPr="006734BD" w:rsidRDefault="00262686">
            <w:pPr>
              <w:rPr>
                <w:rFonts w:eastAsia="Courier New"/>
                <w:color w:val="000000"/>
                <w:sz w:val="16"/>
                <w:szCs w:val="16"/>
                <w:lang w:bidi="en-US"/>
              </w:rPr>
            </w:pPr>
          </w:p>
        </w:tc>
        <w:tc>
          <w:tcPr>
            <w:tcW w:w="1271" w:type="pct"/>
            <w:gridSpan w:val="2"/>
            <w:vMerge/>
            <w:tcBorders>
              <w:top w:val="single" w:sz="4" w:space="0" w:color="auto"/>
              <w:left w:val="nil"/>
              <w:bottom w:val="nil"/>
              <w:right w:val="nil"/>
            </w:tcBorders>
            <w:vAlign w:val="center"/>
            <w:hideMark/>
          </w:tcPr>
          <w:p w14:paraId="6CBF04ED" w14:textId="77777777" w:rsidR="00262686" w:rsidRPr="006734BD" w:rsidRDefault="00262686">
            <w:pPr>
              <w:rPr>
                <w:rFonts w:eastAsia="Courier New"/>
                <w:color w:val="000000"/>
                <w:sz w:val="16"/>
                <w:szCs w:val="16"/>
                <w:lang w:bidi="en-US"/>
              </w:rPr>
            </w:pPr>
          </w:p>
        </w:tc>
        <w:tc>
          <w:tcPr>
            <w:tcW w:w="797" w:type="pct"/>
            <w:shd w:val="clear" w:color="auto" w:fill="FFFFFF"/>
            <w:hideMark/>
          </w:tcPr>
          <w:p w14:paraId="772CEE42" w14:textId="77777777" w:rsidR="00262686" w:rsidRPr="006734BD" w:rsidRDefault="00262686">
            <w:pPr>
              <w:rPr>
                <w:rFonts w:eastAsia="Courier New"/>
                <w:b/>
                <w:bCs/>
                <w:color w:val="000000"/>
                <w:sz w:val="16"/>
                <w:szCs w:val="16"/>
                <w:lang w:bidi="en-US"/>
              </w:rPr>
            </w:pPr>
            <w:r w:rsidRPr="006734BD">
              <w:rPr>
                <w:rFonts w:eastAsia="Courier New"/>
                <w:b/>
                <w:bCs/>
                <w:color w:val="000000"/>
                <w:sz w:val="16"/>
                <w:szCs w:val="16"/>
                <w:lang w:bidi="en-US"/>
              </w:rPr>
              <w:t>p&lt;0,001</w:t>
            </w:r>
          </w:p>
        </w:tc>
      </w:tr>
      <w:tr w:rsidR="00262686" w:rsidRPr="006734BD" w14:paraId="2E128266" w14:textId="77777777" w:rsidTr="00FA7787">
        <w:trPr>
          <w:trHeight w:val="203"/>
        </w:trPr>
        <w:tc>
          <w:tcPr>
            <w:tcW w:w="2932" w:type="pct"/>
            <w:gridSpan w:val="3"/>
            <w:vMerge/>
            <w:vAlign w:val="center"/>
            <w:hideMark/>
          </w:tcPr>
          <w:p w14:paraId="250ECCEE" w14:textId="77777777" w:rsidR="00262686" w:rsidRPr="006734BD" w:rsidRDefault="00262686">
            <w:pPr>
              <w:rPr>
                <w:rFonts w:eastAsia="Courier New"/>
                <w:color w:val="000000"/>
                <w:sz w:val="16"/>
                <w:szCs w:val="16"/>
                <w:lang w:bidi="en-US"/>
              </w:rPr>
            </w:pPr>
          </w:p>
        </w:tc>
        <w:tc>
          <w:tcPr>
            <w:tcW w:w="1271" w:type="pct"/>
            <w:gridSpan w:val="2"/>
            <w:vMerge/>
            <w:tcBorders>
              <w:top w:val="single" w:sz="4" w:space="0" w:color="auto"/>
              <w:left w:val="nil"/>
              <w:bottom w:val="nil"/>
              <w:right w:val="nil"/>
            </w:tcBorders>
            <w:vAlign w:val="center"/>
            <w:hideMark/>
          </w:tcPr>
          <w:p w14:paraId="43D88BB2" w14:textId="77777777" w:rsidR="00262686" w:rsidRPr="006734BD" w:rsidRDefault="00262686">
            <w:pPr>
              <w:rPr>
                <w:rFonts w:eastAsia="Courier New"/>
                <w:color w:val="000000"/>
                <w:sz w:val="16"/>
                <w:szCs w:val="16"/>
                <w:lang w:bidi="en-US"/>
              </w:rPr>
            </w:pPr>
          </w:p>
        </w:tc>
        <w:tc>
          <w:tcPr>
            <w:tcW w:w="797" w:type="pct"/>
            <w:shd w:val="clear" w:color="auto" w:fill="FFFFFF"/>
          </w:tcPr>
          <w:p w14:paraId="6573FF35" w14:textId="77777777" w:rsidR="00262686" w:rsidRPr="006734BD" w:rsidRDefault="00262686">
            <w:pPr>
              <w:rPr>
                <w:rFonts w:eastAsia="Courier New"/>
                <w:color w:val="000000"/>
                <w:sz w:val="16"/>
                <w:szCs w:val="16"/>
                <w:lang w:bidi="en-US"/>
              </w:rPr>
            </w:pPr>
          </w:p>
        </w:tc>
      </w:tr>
      <w:tr w:rsidR="00262686" w:rsidRPr="006734BD" w14:paraId="1C9765A2" w14:textId="77777777" w:rsidTr="00FA7787">
        <w:trPr>
          <w:trHeight w:hRule="exact" w:val="538"/>
        </w:trPr>
        <w:tc>
          <w:tcPr>
            <w:tcW w:w="2932" w:type="pct"/>
            <w:gridSpan w:val="3"/>
            <w:vMerge/>
            <w:vAlign w:val="center"/>
            <w:hideMark/>
          </w:tcPr>
          <w:p w14:paraId="17215D59" w14:textId="77777777" w:rsidR="00262686" w:rsidRPr="006734BD" w:rsidRDefault="00262686">
            <w:pPr>
              <w:rPr>
                <w:rFonts w:eastAsia="Courier New"/>
                <w:color w:val="000000"/>
                <w:sz w:val="16"/>
                <w:szCs w:val="16"/>
                <w:lang w:bidi="en-US"/>
              </w:rPr>
            </w:pPr>
          </w:p>
        </w:tc>
        <w:tc>
          <w:tcPr>
            <w:tcW w:w="677" w:type="pct"/>
            <w:shd w:val="clear" w:color="auto" w:fill="FFFFFF"/>
            <w:vAlign w:val="bottom"/>
            <w:hideMark/>
          </w:tcPr>
          <w:p w14:paraId="7606CE16" w14:textId="77777777" w:rsidR="00262686" w:rsidRPr="006734BD" w:rsidRDefault="00262686">
            <w:pPr>
              <w:jc w:val="center"/>
              <w:rPr>
                <w:sz w:val="16"/>
                <w:szCs w:val="16"/>
                <w:lang w:eastAsia="en-GB" w:bidi="en-GB"/>
              </w:rPr>
            </w:pPr>
            <w:r w:rsidRPr="006734BD">
              <w:rPr>
                <w:sz w:val="16"/>
                <w:szCs w:val="16"/>
              </w:rPr>
              <w:t>Dexamethason</w:t>
            </w:r>
          </w:p>
          <w:p w14:paraId="7E1D0904" w14:textId="77777777" w:rsidR="00262686" w:rsidRPr="006734BD" w:rsidRDefault="00262686">
            <w:pPr>
              <w:jc w:val="center"/>
              <w:rPr>
                <w:rFonts w:eastAsia="Courier New"/>
                <w:color w:val="000000"/>
                <w:sz w:val="16"/>
                <w:szCs w:val="16"/>
                <w:lang w:eastAsia="fr-LU" w:bidi="en-US"/>
              </w:rPr>
            </w:pPr>
            <w:r w:rsidRPr="006734BD">
              <w:rPr>
                <w:sz w:val="16"/>
                <w:szCs w:val="16"/>
              </w:rPr>
              <w:t>bedre</w:t>
            </w:r>
          </w:p>
        </w:tc>
        <w:tc>
          <w:tcPr>
            <w:tcW w:w="586" w:type="pct"/>
            <w:shd w:val="clear" w:color="auto" w:fill="FFFFFF"/>
            <w:vAlign w:val="bottom"/>
            <w:hideMark/>
          </w:tcPr>
          <w:p w14:paraId="3AEFD55D" w14:textId="77777777" w:rsidR="00262686" w:rsidRPr="006734BD" w:rsidRDefault="00262686">
            <w:pPr>
              <w:jc w:val="center"/>
              <w:rPr>
                <w:sz w:val="16"/>
                <w:szCs w:val="16"/>
                <w:lang w:eastAsia="en-GB" w:bidi="en-GB"/>
              </w:rPr>
            </w:pPr>
            <w:r w:rsidRPr="006734BD">
              <w:rPr>
                <w:sz w:val="16"/>
                <w:szCs w:val="16"/>
              </w:rPr>
              <w:t>Almindelig pleje</w:t>
            </w:r>
          </w:p>
          <w:p w14:paraId="1DD934D1" w14:textId="77777777" w:rsidR="00262686" w:rsidRPr="006734BD" w:rsidRDefault="00262686">
            <w:pPr>
              <w:jc w:val="center"/>
              <w:rPr>
                <w:rFonts w:eastAsia="Courier New"/>
                <w:color w:val="000000"/>
                <w:sz w:val="16"/>
                <w:szCs w:val="16"/>
                <w:lang w:eastAsia="fr-LU" w:bidi="en-US"/>
              </w:rPr>
            </w:pPr>
            <w:r w:rsidRPr="006734BD">
              <w:rPr>
                <w:sz w:val="16"/>
                <w:szCs w:val="16"/>
              </w:rPr>
              <w:t>bedre</w:t>
            </w:r>
          </w:p>
        </w:tc>
        <w:tc>
          <w:tcPr>
            <w:tcW w:w="805" w:type="pct"/>
            <w:shd w:val="clear" w:color="auto" w:fill="FFFFFF"/>
            <w:vAlign w:val="bottom"/>
          </w:tcPr>
          <w:p w14:paraId="30CBFC36" w14:textId="77777777" w:rsidR="00262686" w:rsidRPr="006734BD" w:rsidRDefault="00262686">
            <w:pPr>
              <w:rPr>
                <w:rFonts w:eastAsia="Courier New"/>
                <w:color w:val="000000"/>
                <w:sz w:val="16"/>
                <w:szCs w:val="16"/>
                <w:lang w:bidi="en-US"/>
              </w:rPr>
            </w:pPr>
          </w:p>
        </w:tc>
      </w:tr>
    </w:tbl>
    <w:p w14:paraId="5C845C51" w14:textId="60292ED7" w:rsidR="00311F23" w:rsidRDefault="00311F23" w:rsidP="009260DE">
      <w:pPr>
        <w:tabs>
          <w:tab w:val="left" w:pos="851"/>
        </w:tabs>
        <w:ind w:left="851"/>
        <w:rPr>
          <w:sz w:val="24"/>
          <w:szCs w:val="24"/>
        </w:rPr>
      </w:pPr>
    </w:p>
    <w:p w14:paraId="26F6DD27" w14:textId="77777777" w:rsidR="00311F23" w:rsidRDefault="00311F23">
      <w:pPr>
        <w:rPr>
          <w:sz w:val="24"/>
          <w:szCs w:val="24"/>
        </w:rPr>
      </w:pPr>
      <w:r>
        <w:rPr>
          <w:sz w:val="24"/>
          <w:szCs w:val="24"/>
        </w:rPr>
        <w:br w:type="page"/>
      </w:r>
    </w:p>
    <w:p w14:paraId="26B746F0" w14:textId="77777777" w:rsidR="009260DE" w:rsidRPr="006734BD" w:rsidRDefault="009260DE" w:rsidP="009260DE">
      <w:pPr>
        <w:tabs>
          <w:tab w:val="left" w:pos="851"/>
        </w:tabs>
        <w:ind w:left="851"/>
        <w:rPr>
          <w:sz w:val="24"/>
          <w:szCs w:val="24"/>
        </w:rPr>
      </w:pPr>
    </w:p>
    <w:p w14:paraId="5CD68703" w14:textId="77777777" w:rsidR="009260DE" w:rsidRPr="006734BD" w:rsidRDefault="009260DE" w:rsidP="009260DE">
      <w:pPr>
        <w:tabs>
          <w:tab w:val="left" w:pos="851"/>
        </w:tabs>
        <w:ind w:left="851" w:hanging="851"/>
        <w:rPr>
          <w:b/>
          <w:sz w:val="24"/>
          <w:szCs w:val="24"/>
        </w:rPr>
      </w:pPr>
      <w:r w:rsidRPr="006734BD">
        <w:rPr>
          <w:b/>
          <w:sz w:val="24"/>
          <w:szCs w:val="24"/>
        </w:rPr>
        <w:t>5.2</w:t>
      </w:r>
      <w:r w:rsidRPr="006734BD">
        <w:rPr>
          <w:b/>
          <w:sz w:val="24"/>
          <w:szCs w:val="24"/>
        </w:rPr>
        <w:tab/>
        <w:t>Farmakokinetiske egenskaber</w:t>
      </w:r>
    </w:p>
    <w:p w14:paraId="06016975" w14:textId="77777777" w:rsidR="00861369" w:rsidRPr="006734BD" w:rsidRDefault="00861369" w:rsidP="00FA7787">
      <w:pPr>
        <w:ind w:left="851"/>
        <w:rPr>
          <w:sz w:val="24"/>
          <w:szCs w:val="24"/>
        </w:rPr>
      </w:pPr>
    </w:p>
    <w:p w14:paraId="50A95914" w14:textId="680AEBB5" w:rsidR="00262686" w:rsidRPr="006734BD" w:rsidRDefault="00262686" w:rsidP="00FA7787">
      <w:pPr>
        <w:ind w:left="851"/>
        <w:rPr>
          <w:sz w:val="24"/>
          <w:szCs w:val="24"/>
          <w:u w:val="single"/>
        </w:rPr>
      </w:pPr>
      <w:r w:rsidRPr="006734BD">
        <w:rPr>
          <w:sz w:val="24"/>
          <w:szCs w:val="24"/>
          <w:u w:val="single"/>
        </w:rPr>
        <w:t>Absorption</w:t>
      </w:r>
    </w:p>
    <w:p w14:paraId="0BCB360D" w14:textId="77777777" w:rsidR="00262686" w:rsidRPr="006734BD" w:rsidRDefault="00262686" w:rsidP="00FA7787">
      <w:pPr>
        <w:ind w:left="851"/>
        <w:rPr>
          <w:sz w:val="24"/>
          <w:szCs w:val="24"/>
        </w:rPr>
      </w:pPr>
      <w:r w:rsidRPr="006734BD">
        <w:rPr>
          <w:sz w:val="24"/>
          <w:szCs w:val="24"/>
        </w:rPr>
        <w:t>Dexamethason optages hurtigt og i stort omfang (80 %) fra mave-tarm-kanalen. Den maksimale plasmakoncentration nås efter 1</w:t>
      </w:r>
      <w:r w:rsidRPr="006734BD">
        <w:rPr>
          <w:sz w:val="24"/>
          <w:szCs w:val="24"/>
        </w:rPr>
        <w:noBreakHyphen/>
        <w:t>2 timer.</w:t>
      </w:r>
    </w:p>
    <w:p w14:paraId="0DE545C6" w14:textId="77777777" w:rsidR="00262686" w:rsidRPr="006734BD" w:rsidRDefault="00262686" w:rsidP="00FA7787">
      <w:pPr>
        <w:ind w:left="851"/>
        <w:rPr>
          <w:sz w:val="24"/>
          <w:szCs w:val="24"/>
        </w:rPr>
      </w:pPr>
    </w:p>
    <w:p w14:paraId="2FB2877C" w14:textId="77777777" w:rsidR="00262686" w:rsidRPr="006734BD" w:rsidRDefault="00262686" w:rsidP="00FA7787">
      <w:pPr>
        <w:ind w:left="851"/>
        <w:rPr>
          <w:sz w:val="24"/>
          <w:szCs w:val="24"/>
          <w:u w:val="single"/>
        </w:rPr>
      </w:pPr>
      <w:r w:rsidRPr="006734BD">
        <w:rPr>
          <w:sz w:val="24"/>
          <w:szCs w:val="24"/>
          <w:u w:val="single"/>
        </w:rPr>
        <w:t>Fordeling</w:t>
      </w:r>
    </w:p>
    <w:p w14:paraId="6F046F9E" w14:textId="77777777" w:rsidR="00262686" w:rsidRPr="006734BD" w:rsidRDefault="00262686" w:rsidP="00FA7787">
      <w:pPr>
        <w:ind w:left="851"/>
        <w:rPr>
          <w:sz w:val="24"/>
          <w:szCs w:val="24"/>
        </w:rPr>
      </w:pPr>
      <w:r w:rsidRPr="006734BD">
        <w:rPr>
          <w:sz w:val="24"/>
          <w:szCs w:val="24"/>
        </w:rPr>
        <w:t>Dexamethason er 77 % bundet til plasmaproteiner, hovedsagelig albumin. Fordelingsvoluminet er ca. 0,75 l/kg.</w:t>
      </w:r>
    </w:p>
    <w:p w14:paraId="183AFCDB" w14:textId="77777777" w:rsidR="00262686" w:rsidRPr="006734BD" w:rsidRDefault="00262686" w:rsidP="00FA7787">
      <w:pPr>
        <w:ind w:left="851"/>
        <w:rPr>
          <w:sz w:val="24"/>
          <w:szCs w:val="24"/>
        </w:rPr>
      </w:pPr>
    </w:p>
    <w:p w14:paraId="2A032C29" w14:textId="77777777" w:rsidR="00262686" w:rsidRPr="006734BD" w:rsidRDefault="00262686" w:rsidP="00FA7787">
      <w:pPr>
        <w:ind w:left="851"/>
        <w:rPr>
          <w:sz w:val="24"/>
          <w:szCs w:val="24"/>
          <w:u w:val="single"/>
        </w:rPr>
      </w:pPr>
      <w:r w:rsidRPr="006734BD">
        <w:rPr>
          <w:sz w:val="24"/>
          <w:szCs w:val="24"/>
          <w:u w:val="single"/>
        </w:rPr>
        <w:t>Biotransformation</w:t>
      </w:r>
    </w:p>
    <w:p w14:paraId="56C1E920" w14:textId="77777777" w:rsidR="00262686" w:rsidRPr="006734BD" w:rsidRDefault="00262686" w:rsidP="00FA7787">
      <w:pPr>
        <w:ind w:left="851"/>
        <w:rPr>
          <w:sz w:val="24"/>
          <w:szCs w:val="24"/>
        </w:rPr>
      </w:pPr>
      <w:r w:rsidRPr="006734BD">
        <w:rPr>
          <w:sz w:val="24"/>
          <w:szCs w:val="24"/>
        </w:rPr>
        <w:t>Dexamethason metaboliseres hovedsageligt i leveren, men også i nyrerne.</w:t>
      </w:r>
    </w:p>
    <w:p w14:paraId="68194E5C" w14:textId="77777777" w:rsidR="00262686" w:rsidRPr="006734BD" w:rsidRDefault="00262686" w:rsidP="00FA7787">
      <w:pPr>
        <w:ind w:left="851"/>
        <w:rPr>
          <w:sz w:val="24"/>
          <w:szCs w:val="24"/>
        </w:rPr>
      </w:pPr>
    </w:p>
    <w:p w14:paraId="2DE0022E" w14:textId="77777777" w:rsidR="00262686" w:rsidRPr="006734BD" w:rsidRDefault="00262686" w:rsidP="00FA7787">
      <w:pPr>
        <w:ind w:left="851"/>
        <w:rPr>
          <w:sz w:val="24"/>
          <w:szCs w:val="24"/>
          <w:u w:val="single"/>
        </w:rPr>
      </w:pPr>
      <w:r w:rsidRPr="006734BD">
        <w:rPr>
          <w:sz w:val="24"/>
          <w:szCs w:val="24"/>
          <w:u w:val="single"/>
        </w:rPr>
        <w:t>Elimination</w:t>
      </w:r>
    </w:p>
    <w:p w14:paraId="05C061A0" w14:textId="77777777" w:rsidR="00262686" w:rsidRPr="006734BD" w:rsidRDefault="00262686" w:rsidP="00FA7787">
      <w:pPr>
        <w:ind w:left="851"/>
        <w:rPr>
          <w:sz w:val="24"/>
          <w:szCs w:val="24"/>
        </w:rPr>
      </w:pPr>
      <w:r w:rsidRPr="006734BD">
        <w:rPr>
          <w:sz w:val="24"/>
          <w:szCs w:val="24"/>
        </w:rPr>
        <w:t>Plasmaeliminationshalveringstiden af dexamethason er 3,5</w:t>
      </w:r>
      <w:r w:rsidRPr="006734BD">
        <w:rPr>
          <w:sz w:val="24"/>
          <w:szCs w:val="24"/>
        </w:rPr>
        <w:noBreakHyphen/>
        <w:t>4,5 timer. Halveringstiden af den anti</w:t>
      </w:r>
      <w:r w:rsidRPr="006734BD">
        <w:rPr>
          <w:sz w:val="24"/>
          <w:szCs w:val="24"/>
        </w:rPr>
        <w:noBreakHyphen/>
        <w:t>inflammatoriske virkning er 36</w:t>
      </w:r>
      <w:r w:rsidRPr="006734BD">
        <w:rPr>
          <w:sz w:val="24"/>
          <w:szCs w:val="24"/>
        </w:rPr>
        <w:noBreakHyphen/>
        <w:t>54 timer.</w:t>
      </w:r>
    </w:p>
    <w:p w14:paraId="406DF278" w14:textId="77777777" w:rsidR="00262686" w:rsidRPr="006734BD" w:rsidRDefault="00262686" w:rsidP="00FA7787">
      <w:pPr>
        <w:ind w:left="851"/>
        <w:rPr>
          <w:sz w:val="24"/>
          <w:szCs w:val="24"/>
        </w:rPr>
      </w:pPr>
      <w:r w:rsidRPr="006734BD">
        <w:rPr>
          <w:sz w:val="24"/>
          <w:szCs w:val="24"/>
        </w:rPr>
        <w:t>Dexamethason og dets metabolitter udskilles i urinen. Efter oral administration udskilles ca. 30 % af den samlede dosis i urinen som uændret dexamethason.</w:t>
      </w:r>
    </w:p>
    <w:p w14:paraId="54FBBA09" w14:textId="77777777" w:rsidR="00262686" w:rsidRPr="006734BD" w:rsidRDefault="00262686" w:rsidP="00FA7787">
      <w:pPr>
        <w:ind w:left="851"/>
        <w:rPr>
          <w:sz w:val="24"/>
          <w:szCs w:val="24"/>
        </w:rPr>
      </w:pPr>
    </w:p>
    <w:p w14:paraId="581CE04E" w14:textId="77777777" w:rsidR="00262686" w:rsidRPr="006734BD" w:rsidRDefault="00262686" w:rsidP="00FA7787">
      <w:pPr>
        <w:ind w:left="851"/>
        <w:rPr>
          <w:iCs/>
          <w:sz w:val="24"/>
          <w:szCs w:val="24"/>
          <w:u w:val="single"/>
        </w:rPr>
      </w:pPr>
      <w:r w:rsidRPr="006734BD">
        <w:rPr>
          <w:iCs/>
          <w:sz w:val="24"/>
          <w:szCs w:val="24"/>
          <w:u w:val="single"/>
        </w:rPr>
        <w:t>Nedsat nyre- og leverfunktion</w:t>
      </w:r>
    </w:p>
    <w:p w14:paraId="66D605E5" w14:textId="77777777" w:rsidR="00262686" w:rsidRPr="006734BD" w:rsidRDefault="00262686" w:rsidP="00FA7787">
      <w:pPr>
        <w:ind w:left="851"/>
        <w:rPr>
          <w:sz w:val="24"/>
          <w:szCs w:val="24"/>
        </w:rPr>
      </w:pPr>
      <w:r w:rsidRPr="006734BD">
        <w:rPr>
          <w:sz w:val="24"/>
          <w:szCs w:val="24"/>
        </w:rPr>
        <w:t xml:space="preserve">Hos patienter med leversygdom er clearance af dexamethason nedsat på grund af nedsat metabolisering i leveren, mens clearance er øget hos patienter med nyreinsufficiens på grund af accelereret metabolisering. </w:t>
      </w:r>
    </w:p>
    <w:p w14:paraId="66D29DDB" w14:textId="77777777" w:rsidR="009260DE" w:rsidRPr="006734BD" w:rsidRDefault="009260DE" w:rsidP="009260DE">
      <w:pPr>
        <w:tabs>
          <w:tab w:val="left" w:pos="851"/>
        </w:tabs>
        <w:ind w:left="851"/>
        <w:rPr>
          <w:sz w:val="24"/>
          <w:szCs w:val="24"/>
        </w:rPr>
      </w:pPr>
    </w:p>
    <w:p w14:paraId="38FECA6D" w14:textId="77777777" w:rsidR="009260DE" w:rsidRPr="006734BD" w:rsidRDefault="009260DE" w:rsidP="009260DE">
      <w:pPr>
        <w:tabs>
          <w:tab w:val="left" w:pos="851"/>
        </w:tabs>
        <w:ind w:left="851" w:hanging="851"/>
        <w:rPr>
          <w:b/>
          <w:sz w:val="24"/>
          <w:szCs w:val="24"/>
        </w:rPr>
      </w:pPr>
      <w:r w:rsidRPr="006734BD">
        <w:rPr>
          <w:b/>
          <w:sz w:val="24"/>
          <w:szCs w:val="24"/>
        </w:rPr>
        <w:t>5.3</w:t>
      </w:r>
      <w:r w:rsidRPr="006734BD">
        <w:rPr>
          <w:b/>
          <w:sz w:val="24"/>
          <w:szCs w:val="24"/>
        </w:rPr>
        <w:tab/>
      </w:r>
      <w:r w:rsidR="00BD7931" w:rsidRPr="006734BD">
        <w:rPr>
          <w:b/>
          <w:sz w:val="24"/>
          <w:szCs w:val="24"/>
        </w:rPr>
        <w:t>Non-</w:t>
      </w:r>
      <w:r w:rsidRPr="006734BD">
        <w:rPr>
          <w:b/>
          <w:sz w:val="24"/>
          <w:szCs w:val="24"/>
        </w:rPr>
        <w:t>kliniske sikkerhedsdata</w:t>
      </w:r>
    </w:p>
    <w:p w14:paraId="1B80D40E" w14:textId="77777777" w:rsidR="00262686" w:rsidRPr="006734BD" w:rsidRDefault="00262686" w:rsidP="00FA7787">
      <w:pPr>
        <w:ind w:left="851"/>
        <w:rPr>
          <w:sz w:val="24"/>
          <w:szCs w:val="24"/>
        </w:rPr>
      </w:pPr>
      <w:r w:rsidRPr="006734BD">
        <w:rPr>
          <w:sz w:val="24"/>
          <w:szCs w:val="24"/>
        </w:rPr>
        <w:t>I dyreforsøg blev der iagttaget ganespalte hos rotter, mus, hamstere, kaniner, hunde og primater, men ikke hos heste eller får. I nogle tilfælde var disse afvigelser kombineret med defekter i centralnervesystemet og hjertet. I primater sås effekter i hjernen efter eksponering. Desuden kan den intrauterine vækst blive forsinket. Alle disse virkninger optrådte ved høje doser.</w:t>
      </w:r>
    </w:p>
    <w:p w14:paraId="5BF71AD0" w14:textId="77777777" w:rsidR="009260DE" w:rsidRPr="006734BD" w:rsidRDefault="009260DE" w:rsidP="009260DE">
      <w:pPr>
        <w:tabs>
          <w:tab w:val="left" w:pos="851"/>
        </w:tabs>
        <w:ind w:left="851"/>
        <w:rPr>
          <w:sz w:val="24"/>
          <w:szCs w:val="24"/>
        </w:rPr>
      </w:pPr>
    </w:p>
    <w:p w14:paraId="31CC8D35" w14:textId="77777777" w:rsidR="009260DE" w:rsidRPr="006734BD" w:rsidRDefault="009260DE" w:rsidP="009260DE">
      <w:pPr>
        <w:tabs>
          <w:tab w:val="left" w:pos="851"/>
        </w:tabs>
        <w:ind w:left="851"/>
        <w:rPr>
          <w:sz w:val="24"/>
          <w:szCs w:val="24"/>
        </w:rPr>
      </w:pPr>
    </w:p>
    <w:p w14:paraId="0F51F676" w14:textId="77777777" w:rsidR="009260DE" w:rsidRPr="006734BD" w:rsidRDefault="009260DE" w:rsidP="009260DE">
      <w:pPr>
        <w:tabs>
          <w:tab w:val="left" w:pos="851"/>
        </w:tabs>
        <w:ind w:left="851" w:hanging="851"/>
        <w:rPr>
          <w:b/>
          <w:sz w:val="24"/>
          <w:szCs w:val="24"/>
        </w:rPr>
      </w:pPr>
      <w:r w:rsidRPr="006734BD">
        <w:rPr>
          <w:b/>
          <w:sz w:val="24"/>
          <w:szCs w:val="24"/>
        </w:rPr>
        <w:t>6.</w:t>
      </w:r>
      <w:r w:rsidRPr="006734BD">
        <w:rPr>
          <w:b/>
          <w:sz w:val="24"/>
          <w:szCs w:val="24"/>
        </w:rPr>
        <w:tab/>
        <w:t>FARMACEUTISKE OPLYSNINGER</w:t>
      </w:r>
    </w:p>
    <w:p w14:paraId="5668B5ED" w14:textId="77777777" w:rsidR="009260DE" w:rsidRPr="006734BD" w:rsidRDefault="009260DE" w:rsidP="009260DE">
      <w:pPr>
        <w:tabs>
          <w:tab w:val="left" w:pos="851"/>
        </w:tabs>
        <w:ind w:left="851"/>
        <w:rPr>
          <w:sz w:val="24"/>
          <w:szCs w:val="24"/>
        </w:rPr>
      </w:pPr>
    </w:p>
    <w:p w14:paraId="0A18339F" w14:textId="77777777" w:rsidR="009260DE" w:rsidRPr="006734BD" w:rsidRDefault="009260DE" w:rsidP="009260DE">
      <w:pPr>
        <w:tabs>
          <w:tab w:val="left" w:pos="851"/>
        </w:tabs>
        <w:ind w:left="851" w:hanging="851"/>
        <w:rPr>
          <w:b/>
          <w:sz w:val="24"/>
          <w:szCs w:val="24"/>
        </w:rPr>
      </w:pPr>
      <w:r w:rsidRPr="006734BD">
        <w:rPr>
          <w:b/>
          <w:sz w:val="24"/>
          <w:szCs w:val="24"/>
        </w:rPr>
        <w:t>6.1</w:t>
      </w:r>
      <w:r w:rsidRPr="006734BD">
        <w:rPr>
          <w:b/>
          <w:sz w:val="24"/>
          <w:szCs w:val="24"/>
        </w:rPr>
        <w:tab/>
        <w:t>Hjælpestoffer</w:t>
      </w:r>
    </w:p>
    <w:p w14:paraId="75EA2CD8" w14:textId="77777777" w:rsidR="00262686" w:rsidRPr="006734BD" w:rsidRDefault="00262686" w:rsidP="00FA7787">
      <w:pPr>
        <w:ind w:left="851"/>
        <w:rPr>
          <w:sz w:val="24"/>
          <w:szCs w:val="24"/>
        </w:rPr>
      </w:pPr>
      <w:r w:rsidRPr="006734BD">
        <w:rPr>
          <w:sz w:val="24"/>
          <w:szCs w:val="24"/>
        </w:rPr>
        <w:t>Lactosemonohydrat</w:t>
      </w:r>
    </w:p>
    <w:p w14:paraId="33C75607" w14:textId="77777777" w:rsidR="00262686" w:rsidRPr="006734BD" w:rsidRDefault="00262686" w:rsidP="00FA7787">
      <w:pPr>
        <w:ind w:left="851"/>
        <w:rPr>
          <w:sz w:val="24"/>
          <w:szCs w:val="24"/>
        </w:rPr>
      </w:pPr>
      <w:r w:rsidRPr="006734BD">
        <w:rPr>
          <w:sz w:val="24"/>
          <w:szCs w:val="24"/>
        </w:rPr>
        <w:t>Mikrokrystallinsk cellulose</w:t>
      </w:r>
    </w:p>
    <w:p w14:paraId="013C1241" w14:textId="77777777" w:rsidR="00262686" w:rsidRPr="006734BD" w:rsidRDefault="00262686" w:rsidP="00FA7787">
      <w:pPr>
        <w:ind w:left="851"/>
        <w:rPr>
          <w:sz w:val="24"/>
          <w:szCs w:val="24"/>
        </w:rPr>
      </w:pPr>
      <w:r w:rsidRPr="006734BD">
        <w:rPr>
          <w:sz w:val="24"/>
          <w:szCs w:val="24"/>
        </w:rPr>
        <w:t>Crospovidon</w:t>
      </w:r>
    </w:p>
    <w:p w14:paraId="7894F491" w14:textId="77777777" w:rsidR="00262686" w:rsidRPr="006734BD" w:rsidRDefault="00262686" w:rsidP="00FA7787">
      <w:pPr>
        <w:ind w:left="851"/>
        <w:rPr>
          <w:sz w:val="24"/>
          <w:szCs w:val="24"/>
        </w:rPr>
      </w:pPr>
      <w:r w:rsidRPr="006734BD">
        <w:rPr>
          <w:sz w:val="24"/>
          <w:szCs w:val="24"/>
        </w:rPr>
        <w:t>Majsstivelse</w:t>
      </w:r>
    </w:p>
    <w:p w14:paraId="05775E49" w14:textId="77777777" w:rsidR="00262686" w:rsidRPr="006734BD" w:rsidRDefault="00262686" w:rsidP="00FA7787">
      <w:pPr>
        <w:ind w:left="851"/>
        <w:rPr>
          <w:sz w:val="24"/>
          <w:szCs w:val="24"/>
        </w:rPr>
      </w:pPr>
      <w:r w:rsidRPr="006734BD">
        <w:rPr>
          <w:sz w:val="24"/>
          <w:szCs w:val="24"/>
        </w:rPr>
        <w:t>Magnesiumstearat</w:t>
      </w:r>
    </w:p>
    <w:p w14:paraId="3A963123" w14:textId="77777777" w:rsidR="009260DE" w:rsidRPr="006734BD" w:rsidRDefault="009260DE" w:rsidP="009260DE">
      <w:pPr>
        <w:tabs>
          <w:tab w:val="left" w:pos="851"/>
        </w:tabs>
        <w:ind w:left="851"/>
        <w:rPr>
          <w:sz w:val="24"/>
          <w:szCs w:val="24"/>
        </w:rPr>
      </w:pPr>
    </w:p>
    <w:p w14:paraId="2EE7CE41" w14:textId="77777777" w:rsidR="009260DE" w:rsidRPr="006734BD" w:rsidRDefault="009260DE" w:rsidP="009260DE">
      <w:pPr>
        <w:tabs>
          <w:tab w:val="left" w:pos="851"/>
        </w:tabs>
        <w:ind w:left="851" w:hanging="851"/>
        <w:rPr>
          <w:b/>
          <w:sz w:val="24"/>
          <w:szCs w:val="24"/>
        </w:rPr>
      </w:pPr>
      <w:r w:rsidRPr="006734BD">
        <w:rPr>
          <w:b/>
          <w:sz w:val="24"/>
          <w:szCs w:val="24"/>
        </w:rPr>
        <w:t>6.2</w:t>
      </w:r>
      <w:r w:rsidRPr="006734BD">
        <w:rPr>
          <w:b/>
          <w:sz w:val="24"/>
          <w:szCs w:val="24"/>
        </w:rPr>
        <w:tab/>
        <w:t>Uforligeligheder</w:t>
      </w:r>
    </w:p>
    <w:p w14:paraId="43533676" w14:textId="77777777" w:rsidR="00262686" w:rsidRPr="006734BD" w:rsidRDefault="00262686" w:rsidP="00FA7787">
      <w:pPr>
        <w:ind w:left="851"/>
        <w:rPr>
          <w:sz w:val="24"/>
          <w:szCs w:val="24"/>
        </w:rPr>
      </w:pPr>
      <w:r w:rsidRPr="006734BD">
        <w:rPr>
          <w:sz w:val="24"/>
          <w:szCs w:val="24"/>
        </w:rPr>
        <w:t>Ikke relevant.</w:t>
      </w:r>
    </w:p>
    <w:p w14:paraId="71C8FB5E" w14:textId="77777777" w:rsidR="009260DE" w:rsidRPr="006734BD" w:rsidRDefault="009260DE" w:rsidP="009260DE">
      <w:pPr>
        <w:tabs>
          <w:tab w:val="left" w:pos="851"/>
        </w:tabs>
        <w:ind w:left="851"/>
        <w:rPr>
          <w:sz w:val="24"/>
          <w:szCs w:val="24"/>
        </w:rPr>
      </w:pPr>
    </w:p>
    <w:p w14:paraId="46603850" w14:textId="77777777" w:rsidR="009260DE" w:rsidRPr="006734BD" w:rsidRDefault="009260DE" w:rsidP="009260DE">
      <w:pPr>
        <w:tabs>
          <w:tab w:val="left" w:pos="851"/>
        </w:tabs>
        <w:ind w:left="851" w:hanging="851"/>
        <w:rPr>
          <w:b/>
          <w:sz w:val="24"/>
          <w:szCs w:val="24"/>
        </w:rPr>
      </w:pPr>
      <w:r w:rsidRPr="006734BD">
        <w:rPr>
          <w:b/>
          <w:sz w:val="24"/>
          <w:szCs w:val="24"/>
        </w:rPr>
        <w:t>6.3</w:t>
      </w:r>
      <w:r w:rsidRPr="006734BD">
        <w:rPr>
          <w:b/>
          <w:sz w:val="24"/>
          <w:szCs w:val="24"/>
        </w:rPr>
        <w:tab/>
        <w:t>Opbevaringstid</w:t>
      </w:r>
    </w:p>
    <w:p w14:paraId="5581321F" w14:textId="77777777" w:rsidR="00262686" w:rsidRPr="006734BD" w:rsidRDefault="00262686" w:rsidP="00FA7787">
      <w:pPr>
        <w:ind w:left="851"/>
        <w:rPr>
          <w:sz w:val="24"/>
          <w:szCs w:val="24"/>
        </w:rPr>
      </w:pPr>
      <w:r w:rsidRPr="006734BD">
        <w:rPr>
          <w:sz w:val="24"/>
          <w:szCs w:val="24"/>
        </w:rPr>
        <w:t>3</w:t>
      </w:r>
      <w:r w:rsidRPr="006734BD">
        <w:rPr>
          <w:spacing w:val="-5"/>
          <w:sz w:val="24"/>
          <w:szCs w:val="24"/>
        </w:rPr>
        <w:t> </w:t>
      </w:r>
      <w:r w:rsidRPr="006734BD">
        <w:rPr>
          <w:sz w:val="24"/>
          <w:szCs w:val="24"/>
        </w:rPr>
        <w:t>år</w:t>
      </w:r>
    </w:p>
    <w:p w14:paraId="36EB596F" w14:textId="77777777" w:rsidR="009260DE" w:rsidRPr="006734BD" w:rsidRDefault="009260DE" w:rsidP="009260DE">
      <w:pPr>
        <w:tabs>
          <w:tab w:val="left" w:pos="851"/>
        </w:tabs>
        <w:ind w:left="851"/>
        <w:rPr>
          <w:sz w:val="24"/>
          <w:szCs w:val="24"/>
        </w:rPr>
      </w:pPr>
    </w:p>
    <w:p w14:paraId="7DD2CCF7" w14:textId="77777777" w:rsidR="009260DE" w:rsidRPr="006734BD" w:rsidRDefault="009260DE" w:rsidP="009260DE">
      <w:pPr>
        <w:tabs>
          <w:tab w:val="left" w:pos="851"/>
        </w:tabs>
        <w:ind w:left="851" w:hanging="851"/>
        <w:rPr>
          <w:b/>
          <w:sz w:val="24"/>
          <w:szCs w:val="24"/>
        </w:rPr>
      </w:pPr>
      <w:r w:rsidRPr="006734BD">
        <w:rPr>
          <w:b/>
          <w:sz w:val="24"/>
          <w:szCs w:val="24"/>
        </w:rPr>
        <w:t>6.4</w:t>
      </w:r>
      <w:r w:rsidRPr="006734BD">
        <w:rPr>
          <w:b/>
          <w:sz w:val="24"/>
          <w:szCs w:val="24"/>
        </w:rPr>
        <w:tab/>
        <w:t>Særlige opbevaringsforhold</w:t>
      </w:r>
    </w:p>
    <w:p w14:paraId="5BDE81FB" w14:textId="77777777" w:rsidR="00262686" w:rsidRPr="006734BD" w:rsidRDefault="00262686" w:rsidP="00FA7787">
      <w:pPr>
        <w:ind w:left="851"/>
        <w:rPr>
          <w:sz w:val="24"/>
          <w:szCs w:val="24"/>
        </w:rPr>
      </w:pPr>
      <w:r w:rsidRPr="006734BD">
        <w:rPr>
          <w:spacing w:val="-1"/>
          <w:sz w:val="24"/>
          <w:szCs w:val="24"/>
        </w:rPr>
        <w:t>Waladex</w:t>
      </w:r>
      <w:r w:rsidRPr="006734BD">
        <w:rPr>
          <w:sz w:val="24"/>
          <w:szCs w:val="24"/>
        </w:rPr>
        <w:t xml:space="preserve"> 1 mg tabletter: Må ikke opbevares ved temperaturer over </w:t>
      </w:r>
      <w:r w:rsidRPr="006734BD">
        <w:rPr>
          <w:spacing w:val="-1"/>
          <w:sz w:val="24"/>
          <w:szCs w:val="24"/>
        </w:rPr>
        <w:t>25 °C.</w:t>
      </w:r>
      <w:r w:rsidRPr="006734BD">
        <w:rPr>
          <w:sz w:val="24"/>
          <w:szCs w:val="24"/>
        </w:rPr>
        <w:t xml:space="preserve"> Opbevares i den originale pakning for at beskytte mod lys og fugt.</w:t>
      </w:r>
    </w:p>
    <w:p w14:paraId="022D54ED" w14:textId="77777777" w:rsidR="00262686" w:rsidRPr="006734BD" w:rsidRDefault="00262686" w:rsidP="00FA7787">
      <w:pPr>
        <w:ind w:left="851"/>
        <w:rPr>
          <w:sz w:val="24"/>
          <w:szCs w:val="24"/>
        </w:rPr>
      </w:pPr>
    </w:p>
    <w:p w14:paraId="201FBA4D" w14:textId="77777777" w:rsidR="00262686" w:rsidRPr="006734BD" w:rsidRDefault="00262686" w:rsidP="00FA7787">
      <w:pPr>
        <w:ind w:left="851"/>
        <w:rPr>
          <w:sz w:val="24"/>
          <w:szCs w:val="24"/>
        </w:rPr>
      </w:pPr>
      <w:r w:rsidRPr="006734BD">
        <w:rPr>
          <w:spacing w:val="-1"/>
          <w:sz w:val="24"/>
          <w:szCs w:val="24"/>
        </w:rPr>
        <w:t>Waladex</w:t>
      </w:r>
      <w:r w:rsidRPr="006734BD">
        <w:rPr>
          <w:sz w:val="24"/>
          <w:szCs w:val="24"/>
        </w:rPr>
        <w:t xml:space="preserve"> 4 mg tabletter: Dette lægemiddel kræver ingen særlige forholdsregler vedrørende opbevaringen. Opbevares i den originale pakning for at beskytte mod lys og fugt.</w:t>
      </w:r>
    </w:p>
    <w:p w14:paraId="05B59F21" w14:textId="77777777" w:rsidR="009260DE" w:rsidRPr="006734BD" w:rsidRDefault="009260DE" w:rsidP="009260DE">
      <w:pPr>
        <w:tabs>
          <w:tab w:val="left" w:pos="851"/>
        </w:tabs>
        <w:ind w:left="851"/>
        <w:rPr>
          <w:sz w:val="24"/>
          <w:szCs w:val="24"/>
        </w:rPr>
      </w:pPr>
    </w:p>
    <w:p w14:paraId="23A655CF" w14:textId="77777777" w:rsidR="009260DE" w:rsidRPr="006734BD" w:rsidRDefault="009260DE" w:rsidP="009260DE">
      <w:pPr>
        <w:tabs>
          <w:tab w:val="left" w:pos="851"/>
        </w:tabs>
        <w:ind w:left="851" w:hanging="851"/>
        <w:rPr>
          <w:b/>
          <w:sz w:val="24"/>
          <w:szCs w:val="24"/>
        </w:rPr>
      </w:pPr>
      <w:r w:rsidRPr="006734BD">
        <w:rPr>
          <w:b/>
          <w:sz w:val="24"/>
          <w:szCs w:val="24"/>
        </w:rPr>
        <w:t>6.5</w:t>
      </w:r>
      <w:r w:rsidRPr="006734BD">
        <w:rPr>
          <w:b/>
          <w:sz w:val="24"/>
          <w:szCs w:val="24"/>
        </w:rPr>
        <w:tab/>
        <w:t>Emballagetype og pakningsstørrelser</w:t>
      </w:r>
    </w:p>
    <w:p w14:paraId="2AE23A51" w14:textId="43FF4CE5" w:rsidR="009F2D04" w:rsidRPr="009F2D04" w:rsidRDefault="009F2D04" w:rsidP="009F2D04">
      <w:pPr>
        <w:ind w:left="851"/>
        <w:rPr>
          <w:sz w:val="24"/>
          <w:szCs w:val="24"/>
          <w:lang w:val="nb-NO"/>
        </w:rPr>
      </w:pPr>
      <w:r w:rsidRPr="009F2D04">
        <w:rPr>
          <w:sz w:val="24"/>
          <w:szCs w:val="24"/>
          <w:lang w:val="nb-NO"/>
        </w:rPr>
        <w:t>PVC/PVDC/Alu blist</w:t>
      </w:r>
      <w:r>
        <w:rPr>
          <w:sz w:val="24"/>
          <w:szCs w:val="24"/>
          <w:lang w:val="nb-NO"/>
        </w:rPr>
        <w:t>er</w:t>
      </w:r>
    </w:p>
    <w:p w14:paraId="0D2FDA72" w14:textId="77777777" w:rsidR="009F2D04" w:rsidRDefault="009F2D04" w:rsidP="00FA7787">
      <w:pPr>
        <w:ind w:left="851"/>
        <w:rPr>
          <w:sz w:val="24"/>
          <w:szCs w:val="24"/>
        </w:rPr>
      </w:pPr>
    </w:p>
    <w:p w14:paraId="39D8BA94" w14:textId="3435C0BD" w:rsidR="00262686" w:rsidRPr="006734BD" w:rsidRDefault="00262686" w:rsidP="00FA7787">
      <w:pPr>
        <w:ind w:left="851"/>
        <w:rPr>
          <w:sz w:val="24"/>
          <w:szCs w:val="24"/>
        </w:rPr>
      </w:pPr>
      <w:r w:rsidRPr="006734BD">
        <w:rPr>
          <w:sz w:val="24"/>
          <w:szCs w:val="24"/>
        </w:rPr>
        <w:t xml:space="preserve">Pakningsstørrelser: 20, 28, 30, 50, 56, 60, 98 </w:t>
      </w:r>
      <w:r w:rsidR="009F2D04">
        <w:rPr>
          <w:sz w:val="24"/>
          <w:szCs w:val="24"/>
        </w:rPr>
        <w:t>og</w:t>
      </w:r>
      <w:r w:rsidRPr="006734BD">
        <w:rPr>
          <w:sz w:val="24"/>
          <w:szCs w:val="24"/>
        </w:rPr>
        <w:t xml:space="preserve"> 100 tabletter</w:t>
      </w:r>
      <w:r w:rsidR="009F2D04">
        <w:rPr>
          <w:sz w:val="24"/>
          <w:szCs w:val="24"/>
        </w:rPr>
        <w:t>.</w:t>
      </w:r>
    </w:p>
    <w:p w14:paraId="5D3B3748" w14:textId="77777777" w:rsidR="00262686" w:rsidRPr="006734BD" w:rsidRDefault="00262686" w:rsidP="00FA7787">
      <w:pPr>
        <w:ind w:left="851"/>
        <w:rPr>
          <w:sz w:val="24"/>
          <w:szCs w:val="24"/>
        </w:rPr>
      </w:pPr>
      <w:r w:rsidRPr="006734BD">
        <w:rPr>
          <w:sz w:val="24"/>
          <w:szCs w:val="24"/>
        </w:rPr>
        <w:t>Ikke alle pakningsstørrelser er nødvendigvis markedsført.</w:t>
      </w:r>
    </w:p>
    <w:p w14:paraId="2FE86E89" w14:textId="77777777" w:rsidR="009260DE" w:rsidRPr="006734BD" w:rsidRDefault="009260DE" w:rsidP="009260DE">
      <w:pPr>
        <w:tabs>
          <w:tab w:val="left" w:pos="851"/>
        </w:tabs>
        <w:ind w:left="851"/>
        <w:rPr>
          <w:sz w:val="24"/>
          <w:szCs w:val="24"/>
        </w:rPr>
      </w:pPr>
    </w:p>
    <w:p w14:paraId="02E53B71" w14:textId="77777777" w:rsidR="009260DE" w:rsidRPr="006734BD" w:rsidRDefault="009260DE" w:rsidP="009260DE">
      <w:pPr>
        <w:tabs>
          <w:tab w:val="left" w:pos="851"/>
        </w:tabs>
        <w:ind w:left="851" w:hanging="851"/>
        <w:rPr>
          <w:b/>
          <w:sz w:val="24"/>
          <w:szCs w:val="24"/>
        </w:rPr>
      </w:pPr>
      <w:r w:rsidRPr="006734BD">
        <w:rPr>
          <w:b/>
          <w:sz w:val="24"/>
          <w:szCs w:val="24"/>
        </w:rPr>
        <w:t>6.6</w:t>
      </w:r>
      <w:r w:rsidRPr="006734BD">
        <w:rPr>
          <w:b/>
          <w:sz w:val="24"/>
          <w:szCs w:val="24"/>
        </w:rPr>
        <w:tab/>
        <w:t xml:space="preserve">Regler for </w:t>
      </w:r>
      <w:r w:rsidR="00BD7931" w:rsidRPr="006734BD">
        <w:rPr>
          <w:b/>
          <w:sz w:val="24"/>
          <w:szCs w:val="24"/>
        </w:rPr>
        <w:t>bortskaffelse</w:t>
      </w:r>
      <w:r w:rsidRPr="006734BD">
        <w:rPr>
          <w:b/>
          <w:sz w:val="24"/>
          <w:szCs w:val="24"/>
        </w:rPr>
        <w:t xml:space="preserve"> og anden håndtering</w:t>
      </w:r>
    </w:p>
    <w:p w14:paraId="298024E3" w14:textId="77777777" w:rsidR="00262686" w:rsidRPr="006734BD" w:rsidRDefault="00262686" w:rsidP="00FA7787">
      <w:pPr>
        <w:ind w:left="851"/>
        <w:rPr>
          <w:sz w:val="24"/>
          <w:szCs w:val="24"/>
        </w:rPr>
      </w:pPr>
      <w:r w:rsidRPr="006734BD">
        <w:rPr>
          <w:sz w:val="24"/>
          <w:szCs w:val="24"/>
        </w:rPr>
        <w:t>Ingen særlige forholdsregler.</w:t>
      </w:r>
    </w:p>
    <w:p w14:paraId="5F8CFB78" w14:textId="77777777" w:rsidR="009260DE" w:rsidRPr="006734BD" w:rsidRDefault="009260DE" w:rsidP="000730CA">
      <w:pPr>
        <w:tabs>
          <w:tab w:val="left" w:pos="851"/>
        </w:tabs>
        <w:ind w:left="851"/>
        <w:rPr>
          <w:sz w:val="24"/>
          <w:szCs w:val="24"/>
        </w:rPr>
      </w:pPr>
    </w:p>
    <w:p w14:paraId="3E981C69" w14:textId="77777777" w:rsidR="009260DE" w:rsidRPr="006734BD" w:rsidRDefault="009260DE" w:rsidP="009260DE">
      <w:pPr>
        <w:tabs>
          <w:tab w:val="left" w:pos="851"/>
        </w:tabs>
        <w:ind w:left="851" w:hanging="851"/>
        <w:rPr>
          <w:b/>
          <w:sz w:val="24"/>
          <w:szCs w:val="24"/>
        </w:rPr>
      </w:pPr>
      <w:r w:rsidRPr="006734BD">
        <w:rPr>
          <w:b/>
          <w:sz w:val="24"/>
          <w:szCs w:val="24"/>
        </w:rPr>
        <w:t>7.</w:t>
      </w:r>
      <w:r w:rsidRPr="006734BD">
        <w:rPr>
          <w:b/>
          <w:sz w:val="24"/>
          <w:szCs w:val="24"/>
        </w:rPr>
        <w:tab/>
        <w:t>INDEHAVER AF MARKEDSFØRINGSTILLADELSEN</w:t>
      </w:r>
    </w:p>
    <w:p w14:paraId="7C13F6EB" w14:textId="77777777" w:rsidR="00262686" w:rsidRPr="006734BD" w:rsidRDefault="00262686" w:rsidP="00FA7787">
      <w:pPr>
        <w:ind w:left="851"/>
        <w:rPr>
          <w:sz w:val="24"/>
          <w:szCs w:val="24"/>
        </w:rPr>
      </w:pPr>
      <w:r w:rsidRPr="006734BD">
        <w:rPr>
          <w:sz w:val="24"/>
          <w:szCs w:val="24"/>
        </w:rPr>
        <w:t>2care4 Generics ApS</w:t>
      </w:r>
    </w:p>
    <w:p w14:paraId="24F4986C" w14:textId="77777777" w:rsidR="00262686" w:rsidRPr="006734BD" w:rsidRDefault="00262686" w:rsidP="00FA7787">
      <w:pPr>
        <w:ind w:left="851"/>
        <w:rPr>
          <w:sz w:val="24"/>
          <w:szCs w:val="24"/>
        </w:rPr>
      </w:pPr>
      <w:r w:rsidRPr="006734BD">
        <w:rPr>
          <w:sz w:val="24"/>
          <w:szCs w:val="24"/>
        </w:rPr>
        <w:t>Stenhuggervej 12</w:t>
      </w:r>
    </w:p>
    <w:p w14:paraId="5688353C" w14:textId="77777777" w:rsidR="00262686" w:rsidRPr="006734BD" w:rsidRDefault="00262686" w:rsidP="00FA7787">
      <w:pPr>
        <w:ind w:left="851"/>
        <w:rPr>
          <w:sz w:val="24"/>
          <w:szCs w:val="24"/>
        </w:rPr>
      </w:pPr>
      <w:r w:rsidRPr="006734BD">
        <w:rPr>
          <w:sz w:val="24"/>
          <w:szCs w:val="24"/>
        </w:rPr>
        <w:t>6710 Esbjerg V</w:t>
      </w:r>
    </w:p>
    <w:p w14:paraId="426F1C02" w14:textId="77777777" w:rsidR="00262686" w:rsidRPr="006734BD" w:rsidRDefault="00262686" w:rsidP="00FA7787">
      <w:pPr>
        <w:ind w:left="851"/>
        <w:rPr>
          <w:sz w:val="24"/>
          <w:szCs w:val="24"/>
        </w:rPr>
      </w:pPr>
      <w:r w:rsidRPr="006734BD">
        <w:rPr>
          <w:sz w:val="24"/>
          <w:szCs w:val="24"/>
        </w:rPr>
        <w:t>Danmark</w:t>
      </w:r>
    </w:p>
    <w:p w14:paraId="13E59FB9" w14:textId="77777777" w:rsidR="00641C65" w:rsidRPr="006734BD" w:rsidRDefault="00641C65" w:rsidP="009260DE">
      <w:pPr>
        <w:tabs>
          <w:tab w:val="left" w:pos="851"/>
        </w:tabs>
        <w:ind w:left="851"/>
        <w:rPr>
          <w:sz w:val="24"/>
          <w:szCs w:val="24"/>
        </w:rPr>
      </w:pPr>
    </w:p>
    <w:p w14:paraId="6B2D28B6" w14:textId="77777777" w:rsidR="009260DE" w:rsidRPr="006734BD" w:rsidRDefault="009260DE" w:rsidP="009260DE">
      <w:pPr>
        <w:tabs>
          <w:tab w:val="left" w:pos="851"/>
        </w:tabs>
        <w:ind w:left="851" w:hanging="851"/>
        <w:rPr>
          <w:b/>
          <w:sz w:val="24"/>
          <w:szCs w:val="24"/>
        </w:rPr>
      </w:pPr>
      <w:r w:rsidRPr="006734BD">
        <w:rPr>
          <w:b/>
          <w:sz w:val="24"/>
          <w:szCs w:val="24"/>
        </w:rPr>
        <w:t>8.</w:t>
      </w:r>
      <w:r w:rsidRPr="006734BD">
        <w:rPr>
          <w:b/>
          <w:sz w:val="24"/>
          <w:szCs w:val="24"/>
        </w:rPr>
        <w:tab/>
        <w:t>MARKEDSFØRINGSTILLADELSESNUMMER (</w:t>
      </w:r>
      <w:r w:rsidR="00BF6243" w:rsidRPr="006734BD">
        <w:rPr>
          <w:b/>
          <w:sz w:val="24"/>
          <w:szCs w:val="24"/>
        </w:rPr>
        <w:t>-</w:t>
      </w:r>
      <w:r w:rsidRPr="006734BD">
        <w:rPr>
          <w:b/>
          <w:sz w:val="24"/>
          <w:szCs w:val="24"/>
        </w:rPr>
        <w:t>NUMRE)</w:t>
      </w:r>
    </w:p>
    <w:p w14:paraId="3E7FCA46" w14:textId="6F0B8134" w:rsidR="009260DE" w:rsidRPr="006734BD" w:rsidRDefault="00262686" w:rsidP="009260DE">
      <w:pPr>
        <w:tabs>
          <w:tab w:val="left" w:pos="851"/>
        </w:tabs>
        <w:ind w:left="851"/>
        <w:rPr>
          <w:sz w:val="24"/>
          <w:szCs w:val="24"/>
        </w:rPr>
      </w:pPr>
      <w:r w:rsidRPr="006734BD">
        <w:rPr>
          <w:sz w:val="24"/>
          <w:szCs w:val="24"/>
        </w:rPr>
        <w:t>1 mg: 70179</w:t>
      </w:r>
    </w:p>
    <w:p w14:paraId="129F576A" w14:textId="402952C8" w:rsidR="00262686" w:rsidRPr="006734BD" w:rsidRDefault="00262686" w:rsidP="009260DE">
      <w:pPr>
        <w:tabs>
          <w:tab w:val="left" w:pos="851"/>
        </w:tabs>
        <w:ind w:left="851"/>
        <w:rPr>
          <w:sz w:val="24"/>
          <w:szCs w:val="24"/>
        </w:rPr>
      </w:pPr>
      <w:r w:rsidRPr="006734BD">
        <w:rPr>
          <w:sz w:val="24"/>
          <w:szCs w:val="24"/>
        </w:rPr>
        <w:t>4 mg: 70180</w:t>
      </w:r>
    </w:p>
    <w:p w14:paraId="477FB885" w14:textId="77777777" w:rsidR="009260DE" w:rsidRPr="006734BD" w:rsidRDefault="009260DE" w:rsidP="009260DE">
      <w:pPr>
        <w:tabs>
          <w:tab w:val="left" w:pos="851"/>
        </w:tabs>
        <w:ind w:left="851"/>
        <w:jc w:val="both"/>
        <w:rPr>
          <w:sz w:val="24"/>
          <w:szCs w:val="24"/>
        </w:rPr>
      </w:pPr>
    </w:p>
    <w:p w14:paraId="09D69F09" w14:textId="77777777" w:rsidR="009260DE" w:rsidRPr="006734BD" w:rsidRDefault="009260DE" w:rsidP="009260DE">
      <w:pPr>
        <w:tabs>
          <w:tab w:val="left" w:pos="851"/>
        </w:tabs>
        <w:ind w:left="851" w:hanging="851"/>
        <w:rPr>
          <w:b/>
          <w:sz w:val="24"/>
          <w:szCs w:val="24"/>
        </w:rPr>
      </w:pPr>
      <w:r w:rsidRPr="006734BD">
        <w:rPr>
          <w:b/>
          <w:sz w:val="24"/>
          <w:szCs w:val="24"/>
        </w:rPr>
        <w:t>9.</w:t>
      </w:r>
      <w:r w:rsidRPr="006734BD">
        <w:rPr>
          <w:b/>
          <w:sz w:val="24"/>
          <w:szCs w:val="24"/>
        </w:rPr>
        <w:tab/>
        <w:t>DATO FOR FØRSTE MARKEDSFØRINGSTILLADELSE</w:t>
      </w:r>
    </w:p>
    <w:p w14:paraId="099FD226" w14:textId="28B7A6B1" w:rsidR="009260DE" w:rsidRPr="006734BD" w:rsidRDefault="00B978BF" w:rsidP="009260DE">
      <w:pPr>
        <w:tabs>
          <w:tab w:val="left" w:pos="851"/>
        </w:tabs>
        <w:ind w:left="851"/>
        <w:rPr>
          <w:sz w:val="24"/>
          <w:szCs w:val="24"/>
        </w:rPr>
      </w:pPr>
      <w:r>
        <w:rPr>
          <w:sz w:val="24"/>
          <w:szCs w:val="24"/>
        </w:rPr>
        <w:t>2. juni 2025</w:t>
      </w:r>
    </w:p>
    <w:p w14:paraId="534D9FEB" w14:textId="77777777" w:rsidR="009260DE" w:rsidRPr="006734BD" w:rsidRDefault="009260DE" w:rsidP="009260DE">
      <w:pPr>
        <w:tabs>
          <w:tab w:val="left" w:pos="851"/>
        </w:tabs>
        <w:ind w:left="851"/>
        <w:rPr>
          <w:sz w:val="24"/>
          <w:szCs w:val="24"/>
        </w:rPr>
      </w:pPr>
    </w:p>
    <w:p w14:paraId="63FCE957" w14:textId="77777777" w:rsidR="009260DE" w:rsidRPr="006734BD" w:rsidRDefault="009260DE" w:rsidP="009260DE">
      <w:pPr>
        <w:tabs>
          <w:tab w:val="left" w:pos="851"/>
        </w:tabs>
        <w:ind w:left="851" w:hanging="851"/>
        <w:rPr>
          <w:b/>
          <w:sz w:val="24"/>
          <w:szCs w:val="24"/>
        </w:rPr>
      </w:pPr>
      <w:r w:rsidRPr="006734BD">
        <w:rPr>
          <w:b/>
          <w:sz w:val="24"/>
          <w:szCs w:val="24"/>
        </w:rPr>
        <w:t>10.</w:t>
      </w:r>
      <w:r w:rsidRPr="006734BD">
        <w:rPr>
          <w:b/>
          <w:sz w:val="24"/>
          <w:szCs w:val="24"/>
        </w:rPr>
        <w:tab/>
        <w:t>DATO FOR ÆNDRING AF TEKSTEN</w:t>
      </w:r>
    </w:p>
    <w:p w14:paraId="789088D1" w14:textId="6118A3B4" w:rsidR="009260DE" w:rsidRPr="006734BD" w:rsidRDefault="009F2D04" w:rsidP="009260DE">
      <w:pPr>
        <w:tabs>
          <w:tab w:val="left" w:pos="851"/>
        </w:tabs>
        <w:ind w:left="851"/>
        <w:rPr>
          <w:sz w:val="24"/>
          <w:szCs w:val="24"/>
        </w:rPr>
      </w:pPr>
      <w:r>
        <w:rPr>
          <w:sz w:val="24"/>
          <w:szCs w:val="24"/>
        </w:rPr>
        <w:t>19. juni 2025</w:t>
      </w:r>
    </w:p>
    <w:sectPr w:rsidR="009260DE" w:rsidRPr="006734BD"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6C59AB" w14:textId="77777777" w:rsidR="0001692D" w:rsidRDefault="0001692D">
      <w:r>
        <w:separator/>
      </w:r>
    </w:p>
  </w:endnote>
  <w:endnote w:type="continuationSeparator" w:id="0">
    <w:p w14:paraId="0327C233" w14:textId="77777777" w:rsidR="0001692D" w:rsidRDefault="000169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A5ADF" w14:textId="77777777" w:rsidR="0001692D" w:rsidRDefault="0001692D">
    <w:pPr>
      <w:pStyle w:val="Sidefod"/>
      <w:pBdr>
        <w:bottom w:val="single" w:sz="6" w:space="1" w:color="auto"/>
      </w:pBdr>
    </w:pPr>
  </w:p>
  <w:p w14:paraId="1C0CD8A8" w14:textId="77777777" w:rsidR="0001692D" w:rsidRDefault="0001692D" w:rsidP="00C42586">
    <w:pPr>
      <w:pStyle w:val="Sidefod"/>
      <w:tabs>
        <w:tab w:val="clear" w:pos="4819"/>
        <w:tab w:val="left" w:pos="8505"/>
      </w:tabs>
      <w:rPr>
        <w:i/>
        <w:sz w:val="18"/>
        <w:szCs w:val="18"/>
      </w:rPr>
    </w:pPr>
  </w:p>
  <w:p w14:paraId="33E06EFD" w14:textId="3352047B" w:rsidR="0001692D" w:rsidRPr="00B373D7" w:rsidRDefault="0001692D"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06354D">
      <w:rPr>
        <w:i/>
        <w:noProof/>
        <w:sz w:val="18"/>
        <w:szCs w:val="18"/>
      </w:rPr>
      <w:t>Waladex, tabletter 1 mg og 4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E368CC" w14:textId="77777777" w:rsidR="0001692D" w:rsidRDefault="0001692D">
      <w:r>
        <w:separator/>
      </w:r>
    </w:p>
  </w:footnote>
  <w:footnote w:type="continuationSeparator" w:id="0">
    <w:p w14:paraId="33FDBEB3" w14:textId="77777777" w:rsidR="0001692D" w:rsidRDefault="0001692D">
      <w:r>
        <w:continuationSeparator/>
      </w:r>
    </w:p>
  </w:footnote>
  <w:footnote w:id="1">
    <w:p w14:paraId="0838E583" w14:textId="77777777" w:rsidR="0001692D" w:rsidRDefault="0001692D" w:rsidP="00262686">
      <w:pPr>
        <w:pStyle w:val="Fodnotetekst"/>
      </w:pPr>
      <w:r>
        <w:rPr>
          <w:rStyle w:val="Fodnotehenvisning"/>
        </w:rPr>
        <w:footnoteRef/>
      </w:r>
      <w:r>
        <w:t xml:space="preserve"> </w:t>
      </w:r>
      <w:r>
        <w:rPr>
          <w:spacing w:val="3"/>
          <w:position w:val="6"/>
          <w:sz w:val="13"/>
        </w:rPr>
        <w:t xml:space="preserve"> </w:t>
      </w:r>
      <w:hyperlink r:id="rId1" w:history="1">
        <w:r>
          <w:rPr>
            <w:rStyle w:val="Hyperlink"/>
            <w:spacing w:val="-1"/>
          </w:rPr>
          <w:t>www.recoverytrial.net</w:t>
        </w:r>
      </w:hyperlink>
    </w:p>
  </w:footnote>
  <w:footnote w:id="2">
    <w:p w14:paraId="10D326C0" w14:textId="77777777" w:rsidR="0001692D" w:rsidRDefault="0001692D" w:rsidP="00262686">
      <w:pPr>
        <w:pStyle w:val="Fodnotetekst"/>
      </w:pPr>
      <w:r>
        <w:rPr>
          <w:rStyle w:val="Fodnotehenvisning"/>
        </w:rPr>
        <w:footnoteRef/>
      </w:r>
      <w:r>
        <w:t xml:space="preserve"> </w:t>
      </w:r>
      <w:r>
        <w:rPr>
          <w:sz w:val="16"/>
        </w:rPr>
        <w:t>(source:</w:t>
      </w:r>
      <w:r>
        <w:rPr>
          <w:spacing w:val="-5"/>
          <w:sz w:val="16"/>
        </w:rPr>
        <w:t xml:space="preserve"> </w:t>
      </w:r>
      <w:r>
        <w:rPr>
          <w:spacing w:val="-1"/>
          <w:sz w:val="16"/>
        </w:rPr>
        <w:t>Horby</w:t>
      </w:r>
      <w:r>
        <w:rPr>
          <w:spacing w:val="-5"/>
          <w:sz w:val="16"/>
        </w:rPr>
        <w:t xml:space="preserve"> </w:t>
      </w:r>
      <w:r>
        <w:rPr>
          <w:spacing w:val="-1"/>
          <w:sz w:val="16"/>
        </w:rPr>
        <w:t>P.</w:t>
      </w:r>
      <w:r>
        <w:rPr>
          <w:spacing w:val="-5"/>
          <w:sz w:val="16"/>
        </w:rPr>
        <w:t xml:space="preserve"> </w:t>
      </w:r>
      <w:r>
        <w:rPr>
          <w:sz w:val="16"/>
        </w:rPr>
        <w:t>et</w:t>
      </w:r>
      <w:r>
        <w:rPr>
          <w:spacing w:val="-6"/>
          <w:sz w:val="16"/>
        </w:rPr>
        <w:t xml:space="preserve"> </w:t>
      </w:r>
      <w:r>
        <w:rPr>
          <w:spacing w:val="-1"/>
          <w:sz w:val="16"/>
        </w:rPr>
        <w:t>al.,</w:t>
      </w:r>
      <w:r>
        <w:rPr>
          <w:spacing w:val="-6"/>
          <w:sz w:val="16"/>
        </w:rPr>
        <w:t xml:space="preserve"> </w:t>
      </w:r>
      <w:r>
        <w:rPr>
          <w:sz w:val="16"/>
        </w:rPr>
        <w:t>2020;</w:t>
      </w:r>
      <w:r>
        <w:rPr>
          <w:spacing w:val="-5"/>
          <w:sz w:val="16"/>
        </w:rPr>
        <w:t xml:space="preserve"> </w:t>
      </w:r>
      <w:r>
        <w:rPr>
          <w:color w:val="0000FF"/>
          <w:spacing w:val="-1"/>
          <w:sz w:val="16"/>
          <w:u w:val="single" w:color="0000FF"/>
        </w:rPr>
        <w:t>https:/</w:t>
      </w:r>
      <w:hyperlink r:id="rId2" w:history="1">
        <w:r>
          <w:rPr>
            <w:rStyle w:val="Hyperlink"/>
            <w:spacing w:val="-1"/>
            <w:sz w:val="16"/>
          </w:rPr>
          <w:t>/www.medrxiv.org/content/10.1101/2020.06.22.20137273v1</w:t>
        </w:r>
        <w:r>
          <w:rPr>
            <w:rStyle w:val="Hyperlink"/>
            <w:spacing w:val="-5"/>
            <w:sz w:val="16"/>
          </w:rPr>
          <w:t xml:space="preserve"> </w:t>
        </w:r>
      </w:hyperlink>
      <w:r>
        <w:rPr>
          <w:sz w:val="16"/>
        </w:rPr>
        <w:t>;</w:t>
      </w:r>
      <w:r>
        <w:rPr>
          <w:spacing w:val="-6"/>
          <w:sz w:val="16"/>
        </w:rPr>
        <w:t xml:space="preserve"> </w:t>
      </w:r>
      <w:r>
        <w:rPr>
          <w:sz w:val="16"/>
        </w:rPr>
        <w:t>doi:</w:t>
      </w:r>
      <w:r>
        <w:rPr>
          <w:spacing w:val="117"/>
          <w:w w:val="99"/>
          <w:sz w:val="16"/>
        </w:rPr>
        <w:t xml:space="preserve"> </w:t>
      </w:r>
      <w:r>
        <w:rPr>
          <w:spacing w:val="-1"/>
          <w:sz w:val="16"/>
        </w:rPr>
        <w:t>https://doi.org/10.1101/2020.06.22.20137273)</w:t>
      </w:r>
    </w:p>
  </w:footnote>
  <w:footnote w:id="3">
    <w:p w14:paraId="0F8253F8" w14:textId="77777777" w:rsidR="0001692D" w:rsidRDefault="0001692D" w:rsidP="00262686">
      <w:pPr>
        <w:pStyle w:val="Fodnotetekst"/>
      </w:pPr>
      <w:r>
        <w:rPr>
          <w:rStyle w:val="Fodnotehenvisning"/>
        </w:rPr>
        <w:footnoteRef/>
      </w:r>
      <w:r>
        <w:t xml:space="preserve"> </w:t>
      </w:r>
      <w:r>
        <w:rPr>
          <w:sz w:val="16"/>
        </w:rPr>
        <w:t>(source:</w:t>
      </w:r>
      <w:r>
        <w:rPr>
          <w:spacing w:val="-5"/>
          <w:sz w:val="16"/>
        </w:rPr>
        <w:t xml:space="preserve"> </w:t>
      </w:r>
      <w:r>
        <w:rPr>
          <w:spacing w:val="-1"/>
          <w:sz w:val="16"/>
        </w:rPr>
        <w:t>Horby</w:t>
      </w:r>
      <w:r>
        <w:rPr>
          <w:spacing w:val="-5"/>
          <w:sz w:val="16"/>
        </w:rPr>
        <w:t xml:space="preserve"> </w:t>
      </w:r>
      <w:r>
        <w:rPr>
          <w:spacing w:val="-1"/>
          <w:sz w:val="16"/>
        </w:rPr>
        <w:t>P.</w:t>
      </w:r>
      <w:r>
        <w:rPr>
          <w:spacing w:val="-5"/>
          <w:sz w:val="16"/>
        </w:rPr>
        <w:t xml:space="preserve"> </w:t>
      </w:r>
      <w:r>
        <w:rPr>
          <w:sz w:val="16"/>
        </w:rPr>
        <w:t>et</w:t>
      </w:r>
      <w:r>
        <w:rPr>
          <w:spacing w:val="-6"/>
          <w:sz w:val="16"/>
        </w:rPr>
        <w:t xml:space="preserve"> </w:t>
      </w:r>
      <w:r>
        <w:rPr>
          <w:spacing w:val="-1"/>
          <w:sz w:val="16"/>
        </w:rPr>
        <w:t>al.,</w:t>
      </w:r>
      <w:r>
        <w:rPr>
          <w:spacing w:val="-6"/>
          <w:sz w:val="16"/>
        </w:rPr>
        <w:t xml:space="preserve"> </w:t>
      </w:r>
      <w:r>
        <w:rPr>
          <w:sz w:val="16"/>
        </w:rPr>
        <w:t>2020;</w:t>
      </w:r>
      <w:r>
        <w:rPr>
          <w:spacing w:val="-5"/>
          <w:sz w:val="16"/>
        </w:rPr>
        <w:t xml:space="preserve"> </w:t>
      </w:r>
      <w:r>
        <w:rPr>
          <w:color w:val="0000FF"/>
          <w:spacing w:val="-1"/>
          <w:sz w:val="16"/>
          <w:u w:val="single" w:color="0000FF"/>
        </w:rPr>
        <w:t>https:/</w:t>
      </w:r>
      <w:hyperlink r:id="rId3" w:history="1">
        <w:r>
          <w:rPr>
            <w:rStyle w:val="Hyperlink"/>
            <w:spacing w:val="-1"/>
            <w:sz w:val="16"/>
          </w:rPr>
          <w:t>/www.medrxiv.org/content/10.1101/2020.06.22.20137273v1</w:t>
        </w:r>
        <w:r>
          <w:rPr>
            <w:rStyle w:val="Hyperlink"/>
            <w:spacing w:val="-5"/>
            <w:sz w:val="16"/>
          </w:rPr>
          <w:t xml:space="preserve"> </w:t>
        </w:r>
      </w:hyperlink>
      <w:r>
        <w:rPr>
          <w:sz w:val="16"/>
        </w:rPr>
        <w:t>;</w:t>
      </w:r>
      <w:r>
        <w:rPr>
          <w:spacing w:val="-6"/>
          <w:sz w:val="16"/>
        </w:rPr>
        <w:t xml:space="preserve"> </w:t>
      </w:r>
      <w:r>
        <w:rPr>
          <w:sz w:val="16"/>
        </w:rPr>
        <w:t>doi:</w:t>
      </w:r>
      <w:r>
        <w:rPr>
          <w:spacing w:val="117"/>
          <w:w w:val="99"/>
          <w:sz w:val="16"/>
        </w:rPr>
        <w:t xml:space="preserve"> </w:t>
      </w:r>
      <w:r>
        <w:rPr>
          <w:spacing w:val="-1"/>
          <w:sz w:val="16"/>
        </w:rPr>
        <w:t>https://doi.org/10.1101/2020.06.22.20137273)</w:t>
      </w:r>
    </w:p>
    <w:p w14:paraId="15DBF7C2" w14:textId="77777777" w:rsidR="0001692D" w:rsidRDefault="0001692D" w:rsidP="00262686">
      <w:pPr>
        <w:pStyle w:val="Fodnoteteks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C0F2AF3"/>
    <w:multiLevelType w:val="hybridMultilevel"/>
    <w:tmpl w:val="A368422C"/>
    <w:lvl w:ilvl="0" w:tplc="850805F4">
      <w:start w:val="4"/>
      <w:numFmt w:val="bullet"/>
      <w:lvlText w:val="-"/>
      <w:lvlJc w:val="left"/>
      <w:pPr>
        <w:ind w:left="720" w:hanging="360"/>
      </w:pPr>
      <w:rPr>
        <w:rFonts w:ascii="Times New Roman" w:eastAsia="Times New Roman" w:hAnsi="Times New Roman"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67B6737B"/>
    <w:multiLevelType w:val="hybridMultilevel"/>
    <w:tmpl w:val="0C6CEAC2"/>
    <w:lvl w:ilvl="0" w:tplc="850805F4">
      <w:start w:val="4"/>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DB5"/>
    <w:rsid w:val="0001692D"/>
    <w:rsid w:val="000259B9"/>
    <w:rsid w:val="00041491"/>
    <w:rsid w:val="00050D16"/>
    <w:rsid w:val="000568DE"/>
    <w:rsid w:val="0006354D"/>
    <w:rsid w:val="00070430"/>
    <w:rsid w:val="000730CA"/>
    <w:rsid w:val="00074F2A"/>
    <w:rsid w:val="000A1CA8"/>
    <w:rsid w:val="000A466B"/>
    <w:rsid w:val="000B058C"/>
    <w:rsid w:val="000D68B0"/>
    <w:rsid w:val="000E4EE6"/>
    <w:rsid w:val="001255E8"/>
    <w:rsid w:val="001454E2"/>
    <w:rsid w:val="00206CE8"/>
    <w:rsid w:val="0021526C"/>
    <w:rsid w:val="00262686"/>
    <w:rsid w:val="002760E2"/>
    <w:rsid w:val="00283A2B"/>
    <w:rsid w:val="002B30AD"/>
    <w:rsid w:val="002C1EC0"/>
    <w:rsid w:val="002C2C01"/>
    <w:rsid w:val="002E1FBA"/>
    <w:rsid w:val="00311F23"/>
    <w:rsid w:val="003A29AE"/>
    <w:rsid w:val="003A32D7"/>
    <w:rsid w:val="003B4074"/>
    <w:rsid w:val="003C769A"/>
    <w:rsid w:val="003D3A90"/>
    <w:rsid w:val="003F1838"/>
    <w:rsid w:val="004251C1"/>
    <w:rsid w:val="0045746C"/>
    <w:rsid w:val="0049104B"/>
    <w:rsid w:val="004E3B12"/>
    <w:rsid w:val="00532310"/>
    <w:rsid w:val="00565F0F"/>
    <w:rsid w:val="00594A86"/>
    <w:rsid w:val="00596D86"/>
    <w:rsid w:val="005E18D4"/>
    <w:rsid w:val="00637F5A"/>
    <w:rsid w:val="00641C65"/>
    <w:rsid w:val="006560B1"/>
    <w:rsid w:val="00666CBC"/>
    <w:rsid w:val="006734BD"/>
    <w:rsid w:val="006756DD"/>
    <w:rsid w:val="0071241E"/>
    <w:rsid w:val="00737275"/>
    <w:rsid w:val="00740EEC"/>
    <w:rsid w:val="0078011A"/>
    <w:rsid w:val="00782AF4"/>
    <w:rsid w:val="00790EE7"/>
    <w:rsid w:val="007B6649"/>
    <w:rsid w:val="0082576E"/>
    <w:rsid w:val="00861369"/>
    <w:rsid w:val="0089346F"/>
    <w:rsid w:val="00907F75"/>
    <w:rsid w:val="009260DE"/>
    <w:rsid w:val="0093258A"/>
    <w:rsid w:val="009C7BA3"/>
    <w:rsid w:val="009D1F5A"/>
    <w:rsid w:val="009F2D04"/>
    <w:rsid w:val="00A10294"/>
    <w:rsid w:val="00A51DB5"/>
    <w:rsid w:val="00B003BF"/>
    <w:rsid w:val="00B373D7"/>
    <w:rsid w:val="00B55271"/>
    <w:rsid w:val="00B978BF"/>
    <w:rsid w:val="00BD7931"/>
    <w:rsid w:val="00BF6243"/>
    <w:rsid w:val="00C36276"/>
    <w:rsid w:val="00C42586"/>
    <w:rsid w:val="00C45F6B"/>
    <w:rsid w:val="00C50475"/>
    <w:rsid w:val="00C60CCD"/>
    <w:rsid w:val="00C84483"/>
    <w:rsid w:val="00C95551"/>
    <w:rsid w:val="00CB20D7"/>
    <w:rsid w:val="00CF3331"/>
    <w:rsid w:val="00D020B0"/>
    <w:rsid w:val="00D11748"/>
    <w:rsid w:val="00D237F6"/>
    <w:rsid w:val="00D34D98"/>
    <w:rsid w:val="00D366CF"/>
    <w:rsid w:val="00D93992"/>
    <w:rsid w:val="00E108AA"/>
    <w:rsid w:val="00E3749A"/>
    <w:rsid w:val="00E7437F"/>
    <w:rsid w:val="00E865B8"/>
    <w:rsid w:val="00EC0B9B"/>
    <w:rsid w:val="00ED5E9F"/>
    <w:rsid w:val="00F66D4F"/>
    <w:rsid w:val="00FA7787"/>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D54189"/>
  <w15:chartTrackingRefBased/>
  <w15:docId w15:val="{4F26FA76-BE9D-4323-949F-34EFF1372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link w:val="Overskrift1Tegn"/>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EMEAEnBodyText">
    <w:name w:val="EMEA En Body Text"/>
    <w:basedOn w:val="Normal"/>
    <w:rsid w:val="00262686"/>
    <w:pPr>
      <w:spacing w:before="120" w:after="120"/>
      <w:jc w:val="both"/>
    </w:pPr>
    <w:rPr>
      <w:sz w:val="22"/>
      <w:lang w:val="en-US"/>
    </w:rPr>
  </w:style>
  <w:style w:type="paragraph" w:styleId="Brdtekst">
    <w:name w:val="Body Text"/>
    <w:basedOn w:val="Normal"/>
    <w:link w:val="BrdtekstTegn"/>
    <w:uiPriority w:val="1"/>
    <w:semiHidden/>
    <w:unhideWhenUsed/>
    <w:qFormat/>
    <w:rsid w:val="00262686"/>
    <w:pPr>
      <w:widowControl w:val="0"/>
      <w:ind w:left="114"/>
    </w:pPr>
    <w:rPr>
      <w:rFonts w:cstheme="minorBidi"/>
      <w:sz w:val="22"/>
      <w:szCs w:val="22"/>
      <w:lang w:val="en-US"/>
    </w:rPr>
  </w:style>
  <w:style w:type="character" w:customStyle="1" w:styleId="BrdtekstTegn">
    <w:name w:val="Brødtekst Tegn"/>
    <w:basedOn w:val="Standardskrifttypeiafsnit"/>
    <w:link w:val="Brdtekst"/>
    <w:uiPriority w:val="1"/>
    <w:semiHidden/>
    <w:rsid w:val="00262686"/>
    <w:rPr>
      <w:rFonts w:cstheme="minorBidi"/>
      <w:sz w:val="22"/>
      <w:szCs w:val="22"/>
      <w:lang w:val="en-US" w:eastAsia="en-US"/>
    </w:rPr>
  </w:style>
  <w:style w:type="paragraph" w:styleId="Listeafsnit">
    <w:name w:val="List Paragraph"/>
    <w:basedOn w:val="Normal"/>
    <w:uiPriority w:val="34"/>
    <w:qFormat/>
    <w:rsid w:val="00262686"/>
    <w:pPr>
      <w:ind w:left="720"/>
      <w:contextualSpacing/>
    </w:pPr>
    <w:rPr>
      <w:sz w:val="22"/>
    </w:rPr>
  </w:style>
  <w:style w:type="paragraph" w:customStyle="1" w:styleId="TableParagraph">
    <w:name w:val="Table Paragraph"/>
    <w:basedOn w:val="Normal"/>
    <w:uiPriority w:val="1"/>
    <w:qFormat/>
    <w:rsid w:val="00262686"/>
    <w:pPr>
      <w:widowControl w:val="0"/>
    </w:pPr>
    <w:rPr>
      <w:rFonts w:asciiTheme="minorHAnsi" w:eastAsiaTheme="minorHAnsi" w:hAnsiTheme="minorHAnsi" w:cstheme="minorBidi"/>
      <w:sz w:val="22"/>
      <w:szCs w:val="22"/>
      <w:lang w:val="en-US"/>
    </w:rPr>
  </w:style>
  <w:style w:type="table" w:customStyle="1" w:styleId="TableNormal1">
    <w:name w:val="Table Normal1"/>
    <w:uiPriority w:val="2"/>
    <w:semiHidden/>
    <w:qFormat/>
    <w:rsid w:val="00262686"/>
    <w:pPr>
      <w:widowControl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character" w:customStyle="1" w:styleId="Overskrift1Tegn">
    <w:name w:val="Overskrift 1 Tegn"/>
    <w:basedOn w:val="Standardskrifttypeiafsnit"/>
    <w:link w:val="Overskrift1"/>
    <w:rsid w:val="00262686"/>
    <w:rPr>
      <w:rFonts w:ascii="Arial" w:hAnsi="Arial"/>
      <w:b/>
      <w:kern w:val="28"/>
      <w:sz w:val="28"/>
      <w:lang w:eastAsia="en-US"/>
    </w:rPr>
  </w:style>
  <w:style w:type="paragraph" w:styleId="Fodnotetekst">
    <w:name w:val="footnote text"/>
    <w:basedOn w:val="Normal"/>
    <w:link w:val="FodnotetekstTegn"/>
    <w:uiPriority w:val="99"/>
    <w:semiHidden/>
    <w:unhideWhenUsed/>
    <w:rsid w:val="00262686"/>
    <w:rPr>
      <w:sz w:val="20"/>
    </w:rPr>
  </w:style>
  <w:style w:type="character" w:customStyle="1" w:styleId="FodnotetekstTegn">
    <w:name w:val="Fodnotetekst Tegn"/>
    <w:basedOn w:val="Standardskrifttypeiafsnit"/>
    <w:link w:val="Fodnotetekst"/>
    <w:uiPriority w:val="99"/>
    <w:semiHidden/>
    <w:rsid w:val="00262686"/>
    <w:rPr>
      <w:lang w:eastAsia="en-US"/>
    </w:rPr>
  </w:style>
  <w:style w:type="character" w:styleId="Fodnotehenvisning">
    <w:name w:val="footnote reference"/>
    <w:basedOn w:val="Standardskrifttypeiafsnit"/>
    <w:uiPriority w:val="99"/>
    <w:semiHidden/>
    <w:unhideWhenUsed/>
    <w:rsid w:val="00262686"/>
    <w:rPr>
      <w:vertAlign w:val="superscript"/>
    </w:rPr>
  </w:style>
  <w:style w:type="character" w:styleId="Hyperlink">
    <w:name w:val="Hyperlink"/>
    <w:basedOn w:val="Standardskrifttypeiafsnit"/>
    <w:uiPriority w:val="99"/>
    <w:semiHidden/>
    <w:unhideWhenUsed/>
    <w:rsid w:val="0026268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489712709">
      <w:bodyDiv w:val="1"/>
      <w:marLeft w:val="0"/>
      <w:marRight w:val="0"/>
      <w:marTop w:val="0"/>
      <w:marBottom w:val="0"/>
      <w:divBdr>
        <w:top w:val="none" w:sz="0" w:space="0" w:color="auto"/>
        <w:left w:val="none" w:sz="0" w:space="0" w:color="auto"/>
        <w:bottom w:val="none" w:sz="0" w:space="0" w:color="auto"/>
        <w:right w:val="none" w:sz="0" w:space="0" w:color="auto"/>
      </w:divBdr>
    </w:div>
    <w:div w:id="492063939">
      <w:bodyDiv w:val="1"/>
      <w:marLeft w:val="0"/>
      <w:marRight w:val="0"/>
      <w:marTop w:val="0"/>
      <w:marBottom w:val="0"/>
      <w:divBdr>
        <w:top w:val="none" w:sz="0" w:space="0" w:color="auto"/>
        <w:left w:val="none" w:sz="0" w:space="0" w:color="auto"/>
        <w:bottom w:val="none" w:sz="0" w:space="0" w:color="auto"/>
        <w:right w:val="none" w:sz="0" w:space="0" w:color="auto"/>
      </w:divBdr>
    </w:div>
    <w:div w:id="641160748">
      <w:bodyDiv w:val="1"/>
      <w:marLeft w:val="0"/>
      <w:marRight w:val="0"/>
      <w:marTop w:val="0"/>
      <w:marBottom w:val="0"/>
      <w:divBdr>
        <w:top w:val="none" w:sz="0" w:space="0" w:color="auto"/>
        <w:left w:val="none" w:sz="0" w:space="0" w:color="auto"/>
        <w:bottom w:val="none" w:sz="0" w:space="0" w:color="auto"/>
        <w:right w:val="none" w:sz="0" w:space="0" w:color="auto"/>
      </w:divBdr>
    </w:div>
    <w:div w:id="885221926">
      <w:bodyDiv w:val="1"/>
      <w:marLeft w:val="0"/>
      <w:marRight w:val="0"/>
      <w:marTop w:val="0"/>
      <w:marBottom w:val="0"/>
      <w:divBdr>
        <w:top w:val="none" w:sz="0" w:space="0" w:color="auto"/>
        <w:left w:val="none" w:sz="0" w:space="0" w:color="auto"/>
        <w:bottom w:val="none" w:sz="0" w:space="0" w:color="auto"/>
        <w:right w:val="none" w:sz="0" w:space="0" w:color="auto"/>
      </w:divBdr>
    </w:div>
    <w:div w:id="905069425">
      <w:bodyDiv w:val="1"/>
      <w:marLeft w:val="0"/>
      <w:marRight w:val="0"/>
      <w:marTop w:val="0"/>
      <w:marBottom w:val="0"/>
      <w:divBdr>
        <w:top w:val="none" w:sz="0" w:space="0" w:color="auto"/>
        <w:left w:val="none" w:sz="0" w:space="0" w:color="auto"/>
        <w:bottom w:val="none" w:sz="0" w:space="0" w:color="auto"/>
        <w:right w:val="none" w:sz="0" w:space="0" w:color="auto"/>
      </w:divBdr>
    </w:div>
    <w:div w:id="1000474785">
      <w:bodyDiv w:val="1"/>
      <w:marLeft w:val="0"/>
      <w:marRight w:val="0"/>
      <w:marTop w:val="0"/>
      <w:marBottom w:val="0"/>
      <w:divBdr>
        <w:top w:val="none" w:sz="0" w:space="0" w:color="auto"/>
        <w:left w:val="none" w:sz="0" w:space="0" w:color="auto"/>
        <w:bottom w:val="none" w:sz="0" w:space="0" w:color="auto"/>
        <w:right w:val="none" w:sz="0" w:space="0" w:color="auto"/>
      </w:divBdr>
    </w:div>
    <w:div w:id="1066299742">
      <w:bodyDiv w:val="1"/>
      <w:marLeft w:val="0"/>
      <w:marRight w:val="0"/>
      <w:marTop w:val="0"/>
      <w:marBottom w:val="0"/>
      <w:divBdr>
        <w:top w:val="none" w:sz="0" w:space="0" w:color="auto"/>
        <w:left w:val="none" w:sz="0" w:space="0" w:color="auto"/>
        <w:bottom w:val="none" w:sz="0" w:space="0" w:color="auto"/>
        <w:right w:val="none" w:sz="0" w:space="0" w:color="auto"/>
      </w:divBdr>
    </w:div>
    <w:div w:id="1079982784">
      <w:bodyDiv w:val="1"/>
      <w:marLeft w:val="0"/>
      <w:marRight w:val="0"/>
      <w:marTop w:val="0"/>
      <w:marBottom w:val="0"/>
      <w:divBdr>
        <w:top w:val="none" w:sz="0" w:space="0" w:color="auto"/>
        <w:left w:val="none" w:sz="0" w:space="0" w:color="auto"/>
        <w:bottom w:val="none" w:sz="0" w:space="0" w:color="auto"/>
        <w:right w:val="none" w:sz="0" w:space="0" w:color="auto"/>
      </w:divBdr>
    </w:div>
    <w:div w:id="1126578255">
      <w:bodyDiv w:val="1"/>
      <w:marLeft w:val="0"/>
      <w:marRight w:val="0"/>
      <w:marTop w:val="0"/>
      <w:marBottom w:val="0"/>
      <w:divBdr>
        <w:top w:val="none" w:sz="0" w:space="0" w:color="auto"/>
        <w:left w:val="none" w:sz="0" w:space="0" w:color="auto"/>
        <w:bottom w:val="none" w:sz="0" w:space="0" w:color="auto"/>
        <w:right w:val="none" w:sz="0" w:space="0" w:color="auto"/>
      </w:divBdr>
    </w:div>
    <w:div w:id="1135952120">
      <w:bodyDiv w:val="1"/>
      <w:marLeft w:val="0"/>
      <w:marRight w:val="0"/>
      <w:marTop w:val="0"/>
      <w:marBottom w:val="0"/>
      <w:divBdr>
        <w:top w:val="none" w:sz="0" w:space="0" w:color="auto"/>
        <w:left w:val="none" w:sz="0" w:space="0" w:color="auto"/>
        <w:bottom w:val="none" w:sz="0" w:space="0" w:color="auto"/>
        <w:right w:val="none" w:sz="0" w:space="0" w:color="auto"/>
      </w:divBdr>
    </w:div>
    <w:div w:id="1150252171">
      <w:bodyDiv w:val="1"/>
      <w:marLeft w:val="0"/>
      <w:marRight w:val="0"/>
      <w:marTop w:val="0"/>
      <w:marBottom w:val="0"/>
      <w:divBdr>
        <w:top w:val="none" w:sz="0" w:space="0" w:color="auto"/>
        <w:left w:val="none" w:sz="0" w:space="0" w:color="auto"/>
        <w:bottom w:val="none" w:sz="0" w:space="0" w:color="auto"/>
        <w:right w:val="none" w:sz="0" w:space="0" w:color="auto"/>
      </w:divBdr>
    </w:div>
    <w:div w:id="1199512995">
      <w:bodyDiv w:val="1"/>
      <w:marLeft w:val="0"/>
      <w:marRight w:val="0"/>
      <w:marTop w:val="0"/>
      <w:marBottom w:val="0"/>
      <w:divBdr>
        <w:top w:val="none" w:sz="0" w:space="0" w:color="auto"/>
        <w:left w:val="none" w:sz="0" w:space="0" w:color="auto"/>
        <w:bottom w:val="none" w:sz="0" w:space="0" w:color="auto"/>
        <w:right w:val="none" w:sz="0" w:space="0" w:color="auto"/>
      </w:divBdr>
    </w:div>
    <w:div w:id="1207059660">
      <w:bodyDiv w:val="1"/>
      <w:marLeft w:val="0"/>
      <w:marRight w:val="0"/>
      <w:marTop w:val="0"/>
      <w:marBottom w:val="0"/>
      <w:divBdr>
        <w:top w:val="none" w:sz="0" w:space="0" w:color="auto"/>
        <w:left w:val="none" w:sz="0" w:space="0" w:color="auto"/>
        <w:bottom w:val="none" w:sz="0" w:space="0" w:color="auto"/>
        <w:right w:val="none" w:sz="0" w:space="0" w:color="auto"/>
      </w:divBdr>
    </w:div>
    <w:div w:id="1250624946">
      <w:bodyDiv w:val="1"/>
      <w:marLeft w:val="0"/>
      <w:marRight w:val="0"/>
      <w:marTop w:val="0"/>
      <w:marBottom w:val="0"/>
      <w:divBdr>
        <w:top w:val="none" w:sz="0" w:space="0" w:color="auto"/>
        <w:left w:val="none" w:sz="0" w:space="0" w:color="auto"/>
        <w:bottom w:val="none" w:sz="0" w:space="0" w:color="auto"/>
        <w:right w:val="none" w:sz="0" w:space="0" w:color="auto"/>
      </w:divBdr>
    </w:div>
    <w:div w:id="1375235893">
      <w:bodyDiv w:val="1"/>
      <w:marLeft w:val="0"/>
      <w:marRight w:val="0"/>
      <w:marTop w:val="0"/>
      <w:marBottom w:val="0"/>
      <w:divBdr>
        <w:top w:val="none" w:sz="0" w:space="0" w:color="auto"/>
        <w:left w:val="none" w:sz="0" w:space="0" w:color="auto"/>
        <w:bottom w:val="none" w:sz="0" w:space="0" w:color="auto"/>
        <w:right w:val="none" w:sz="0" w:space="0" w:color="auto"/>
      </w:divBdr>
    </w:div>
    <w:div w:id="1521503944">
      <w:bodyDiv w:val="1"/>
      <w:marLeft w:val="0"/>
      <w:marRight w:val="0"/>
      <w:marTop w:val="0"/>
      <w:marBottom w:val="0"/>
      <w:divBdr>
        <w:top w:val="none" w:sz="0" w:space="0" w:color="auto"/>
        <w:left w:val="none" w:sz="0" w:space="0" w:color="auto"/>
        <w:bottom w:val="none" w:sz="0" w:space="0" w:color="auto"/>
        <w:right w:val="none" w:sz="0" w:space="0" w:color="auto"/>
      </w:divBdr>
    </w:div>
    <w:div w:id="1685286545">
      <w:bodyDiv w:val="1"/>
      <w:marLeft w:val="0"/>
      <w:marRight w:val="0"/>
      <w:marTop w:val="0"/>
      <w:marBottom w:val="0"/>
      <w:divBdr>
        <w:top w:val="none" w:sz="0" w:space="0" w:color="auto"/>
        <w:left w:val="none" w:sz="0" w:space="0" w:color="auto"/>
        <w:bottom w:val="none" w:sz="0" w:space="0" w:color="auto"/>
        <w:right w:val="none" w:sz="0" w:space="0" w:color="auto"/>
      </w:divBdr>
    </w:div>
    <w:div w:id="1807773129">
      <w:bodyDiv w:val="1"/>
      <w:marLeft w:val="0"/>
      <w:marRight w:val="0"/>
      <w:marTop w:val="0"/>
      <w:marBottom w:val="0"/>
      <w:divBdr>
        <w:top w:val="none" w:sz="0" w:space="0" w:color="auto"/>
        <w:left w:val="none" w:sz="0" w:space="0" w:color="auto"/>
        <w:bottom w:val="none" w:sz="0" w:space="0" w:color="auto"/>
        <w:right w:val="none" w:sz="0" w:space="0" w:color="auto"/>
      </w:divBdr>
    </w:div>
    <w:div w:id="1856384495">
      <w:bodyDiv w:val="1"/>
      <w:marLeft w:val="0"/>
      <w:marRight w:val="0"/>
      <w:marTop w:val="0"/>
      <w:marBottom w:val="0"/>
      <w:divBdr>
        <w:top w:val="none" w:sz="0" w:space="0" w:color="auto"/>
        <w:left w:val="none" w:sz="0" w:space="0" w:color="auto"/>
        <w:bottom w:val="none" w:sz="0" w:space="0" w:color="auto"/>
        <w:right w:val="none" w:sz="0" w:space="0" w:color="auto"/>
      </w:divBdr>
    </w:div>
    <w:div w:id="1884900713">
      <w:bodyDiv w:val="1"/>
      <w:marLeft w:val="0"/>
      <w:marRight w:val="0"/>
      <w:marTop w:val="0"/>
      <w:marBottom w:val="0"/>
      <w:divBdr>
        <w:top w:val="none" w:sz="0" w:space="0" w:color="auto"/>
        <w:left w:val="none" w:sz="0" w:space="0" w:color="auto"/>
        <w:bottom w:val="none" w:sz="0" w:space="0" w:color="auto"/>
        <w:right w:val="none" w:sz="0" w:space="0" w:color="auto"/>
      </w:divBdr>
    </w:div>
    <w:div w:id="192946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_rels/footnotes.xml.rels><?xml version="1.0" encoding="UTF-8" standalone="yes"?>
<Relationships xmlns="http://schemas.openxmlformats.org/package/2006/relationships"><Relationship Id="rId3" Type="http://schemas.openxmlformats.org/officeDocument/2006/relationships/hyperlink" Target="http://www.medrxiv.org/content/10.1101/2020.06.22.20137273v1" TargetMode="External"/><Relationship Id="rId2" Type="http://schemas.openxmlformats.org/officeDocument/2006/relationships/hyperlink" Target="http://www.medrxiv.org/content/10.1101/2020.06.22.20137273v1" TargetMode="External"/><Relationship Id="rId1" Type="http://schemas.openxmlformats.org/officeDocument/2006/relationships/hyperlink" Target="http://www.recoverytrial.ne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94</TotalTime>
  <Pages>13</Pages>
  <Words>3440</Words>
  <Characters>23010</Characters>
  <Application>Microsoft Office Word</Application>
  <DocSecurity>0</DocSecurity>
  <Lines>191</Lines>
  <Paragraphs>52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Thy Iversen</dc:creator>
  <cp:keywords/>
  <dc:description>2023083939, MT - efterflg. tilføjelse af emballagetype i 6.5/HTI</dc:description>
  <cp:lastModifiedBy>Hanne Thy Iversen</cp:lastModifiedBy>
  <cp:revision>15</cp:revision>
  <cp:lastPrinted>2012-08-22T08:53:00Z</cp:lastPrinted>
  <dcterms:created xsi:type="dcterms:W3CDTF">2025-06-02T06:31:00Z</dcterms:created>
  <dcterms:modified xsi:type="dcterms:W3CDTF">2025-06-19T09:25:00Z</dcterms:modified>
</cp:coreProperties>
</file>