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4043E5" w14:textId="59350BE7" w:rsidR="009260DE" w:rsidRPr="00CF3DBE" w:rsidRDefault="0021526C" w:rsidP="00B83034">
      <w:pPr>
        <w:rPr>
          <w:sz w:val="24"/>
          <w:szCs w:val="24"/>
        </w:rPr>
      </w:pPr>
      <w:r w:rsidRPr="00CF3DBE">
        <w:rPr>
          <w:noProof/>
          <w:sz w:val="24"/>
          <w:szCs w:val="24"/>
          <w:lang w:eastAsia="da-DK"/>
        </w:rPr>
        <w:drawing>
          <wp:anchor distT="0" distB="0" distL="114300" distR="114300" simplePos="0" relativeHeight="251658240" behindDoc="0" locked="0" layoutInCell="1" allowOverlap="1" wp14:anchorId="556923F1" wp14:editId="3D94B8BB">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CF3DBE">
        <w:rPr>
          <w:sz w:val="24"/>
          <w:szCs w:val="24"/>
        </w:rPr>
        <w:br w:type="textWrapping" w:clear="all"/>
      </w:r>
    </w:p>
    <w:p w14:paraId="40798660" w14:textId="3791AEB6" w:rsidR="009260DE" w:rsidRPr="00CF3DBE" w:rsidRDefault="009260DE" w:rsidP="009260DE">
      <w:pPr>
        <w:pStyle w:val="Titel"/>
        <w:tabs>
          <w:tab w:val="right" w:pos="9356"/>
        </w:tabs>
        <w:jc w:val="left"/>
        <w:rPr>
          <w:b w:val="0"/>
          <w:szCs w:val="24"/>
          <w:lang w:eastAsia="en-US"/>
        </w:rPr>
      </w:pPr>
      <w:r w:rsidRPr="00CF3DBE">
        <w:rPr>
          <w:b w:val="0"/>
          <w:szCs w:val="24"/>
          <w:lang w:eastAsia="en-US"/>
        </w:rPr>
        <w:tab/>
      </w:r>
      <w:r w:rsidR="00A9765F">
        <w:rPr>
          <w:szCs w:val="24"/>
        </w:rPr>
        <w:t>30</w:t>
      </w:r>
      <w:r w:rsidR="00FD188D">
        <w:rPr>
          <w:szCs w:val="24"/>
        </w:rPr>
        <w:t xml:space="preserve">. </w:t>
      </w:r>
      <w:r w:rsidR="00A9765F">
        <w:rPr>
          <w:szCs w:val="24"/>
        </w:rPr>
        <w:t>oktober</w:t>
      </w:r>
      <w:r w:rsidR="00FD188D">
        <w:rPr>
          <w:szCs w:val="24"/>
        </w:rPr>
        <w:t xml:space="preserve"> 202</w:t>
      </w:r>
      <w:r w:rsidR="0012203D">
        <w:rPr>
          <w:szCs w:val="24"/>
        </w:rPr>
        <w:t>4</w:t>
      </w:r>
    </w:p>
    <w:p w14:paraId="1124F715" w14:textId="77777777" w:rsidR="009260DE" w:rsidRPr="00CF3DBE" w:rsidRDefault="009260DE" w:rsidP="009260DE">
      <w:pPr>
        <w:pStyle w:val="Titel"/>
        <w:tabs>
          <w:tab w:val="left" w:pos="8222"/>
        </w:tabs>
        <w:jc w:val="left"/>
        <w:rPr>
          <w:b w:val="0"/>
          <w:szCs w:val="24"/>
        </w:rPr>
      </w:pPr>
    </w:p>
    <w:p w14:paraId="52278AD0" w14:textId="77777777" w:rsidR="009260DE" w:rsidRPr="00CF3DBE" w:rsidRDefault="009260DE" w:rsidP="009260DE">
      <w:pPr>
        <w:pStyle w:val="Titel"/>
        <w:jc w:val="left"/>
        <w:rPr>
          <w:b w:val="0"/>
          <w:szCs w:val="24"/>
        </w:rPr>
      </w:pPr>
    </w:p>
    <w:p w14:paraId="48907DE9" w14:textId="076434A8" w:rsidR="003E093D" w:rsidRPr="00CF3DBE" w:rsidRDefault="003E093D" w:rsidP="009260DE">
      <w:pPr>
        <w:pStyle w:val="Titel"/>
        <w:jc w:val="left"/>
        <w:rPr>
          <w:b w:val="0"/>
          <w:szCs w:val="24"/>
        </w:rPr>
      </w:pPr>
    </w:p>
    <w:p w14:paraId="2C497AA2" w14:textId="77777777" w:rsidR="009260DE" w:rsidRPr="00CF3DBE" w:rsidRDefault="009260DE" w:rsidP="009260DE">
      <w:pPr>
        <w:jc w:val="center"/>
        <w:rPr>
          <w:b/>
          <w:sz w:val="24"/>
          <w:szCs w:val="24"/>
        </w:rPr>
      </w:pPr>
      <w:r w:rsidRPr="00CF3DBE">
        <w:rPr>
          <w:b/>
          <w:sz w:val="24"/>
          <w:szCs w:val="24"/>
        </w:rPr>
        <w:t>PRODUKTRESUMÉ</w:t>
      </w:r>
    </w:p>
    <w:p w14:paraId="19F25EFD" w14:textId="77777777" w:rsidR="009260DE" w:rsidRPr="00CF3DBE" w:rsidRDefault="009260DE" w:rsidP="009260DE">
      <w:pPr>
        <w:jc w:val="center"/>
        <w:rPr>
          <w:b/>
          <w:sz w:val="24"/>
          <w:szCs w:val="24"/>
        </w:rPr>
      </w:pPr>
    </w:p>
    <w:p w14:paraId="0232C3FD" w14:textId="77777777" w:rsidR="009260DE" w:rsidRPr="00CF3DBE" w:rsidRDefault="009260DE" w:rsidP="009260DE">
      <w:pPr>
        <w:jc w:val="center"/>
        <w:rPr>
          <w:b/>
          <w:sz w:val="24"/>
          <w:szCs w:val="24"/>
        </w:rPr>
      </w:pPr>
      <w:r w:rsidRPr="00CF3DBE">
        <w:rPr>
          <w:b/>
          <w:sz w:val="24"/>
          <w:szCs w:val="24"/>
        </w:rPr>
        <w:t>for</w:t>
      </w:r>
    </w:p>
    <w:p w14:paraId="70957D99" w14:textId="77777777" w:rsidR="000B058C" w:rsidRPr="00CF3DBE" w:rsidRDefault="000B058C" w:rsidP="009260DE">
      <w:pPr>
        <w:jc w:val="center"/>
        <w:rPr>
          <w:b/>
          <w:sz w:val="24"/>
          <w:szCs w:val="24"/>
        </w:rPr>
      </w:pPr>
    </w:p>
    <w:p w14:paraId="32005BBC" w14:textId="6F57F661" w:rsidR="009260DE" w:rsidRDefault="00B81BDE" w:rsidP="009260DE">
      <w:pPr>
        <w:jc w:val="center"/>
        <w:rPr>
          <w:b/>
          <w:sz w:val="24"/>
          <w:szCs w:val="24"/>
        </w:rPr>
      </w:pPr>
      <w:proofErr w:type="spellStart"/>
      <w:r w:rsidRPr="00CF3DBE">
        <w:rPr>
          <w:b/>
          <w:sz w:val="24"/>
          <w:szCs w:val="24"/>
        </w:rPr>
        <w:t>Xembify</w:t>
      </w:r>
      <w:proofErr w:type="spellEnd"/>
      <w:r w:rsidRPr="00CF3DBE">
        <w:rPr>
          <w:b/>
          <w:sz w:val="24"/>
          <w:szCs w:val="24"/>
        </w:rPr>
        <w:t>, injektionsvæske, opløsning</w:t>
      </w:r>
    </w:p>
    <w:p w14:paraId="1C93CDF8" w14:textId="77777777" w:rsidR="00FD188D" w:rsidRPr="00FD188D" w:rsidRDefault="00FD188D" w:rsidP="00FD188D">
      <w:pPr>
        <w:rPr>
          <w:sz w:val="24"/>
          <w:szCs w:val="24"/>
        </w:rPr>
      </w:pPr>
    </w:p>
    <w:p w14:paraId="49BC6C26" w14:textId="1FACC657" w:rsidR="004317A0" w:rsidRPr="00EF6B85" w:rsidRDefault="004317A0" w:rsidP="004317A0">
      <w:pPr>
        <w:rPr>
          <w:sz w:val="24"/>
          <w:szCs w:val="24"/>
        </w:rPr>
      </w:pPr>
      <w:r w:rsidRPr="00EF6B85">
        <w:rPr>
          <w:noProof/>
          <w:sz w:val="24"/>
          <w:szCs w:val="24"/>
        </w:rPr>
        <w:drawing>
          <wp:inline distT="0" distB="0" distL="0" distR="0" wp14:anchorId="6F9BDEBA" wp14:editId="013CC75B">
            <wp:extent cx="205740" cy="167640"/>
            <wp:effectExtent l="0" t="0" r="3810" b="3810"/>
            <wp:docPr id="2" name="Billede 2"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BT_1000x858p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5740" cy="167640"/>
                    </a:xfrm>
                    <a:prstGeom prst="rect">
                      <a:avLst/>
                    </a:prstGeom>
                    <a:noFill/>
                    <a:ln>
                      <a:noFill/>
                    </a:ln>
                  </pic:spPr>
                </pic:pic>
              </a:graphicData>
            </a:graphic>
          </wp:inline>
        </w:drawing>
      </w:r>
      <w:r w:rsidRPr="00EF6B85">
        <w:rPr>
          <w:sz w:val="24"/>
          <w:szCs w:val="24"/>
        </w:rPr>
        <w:t>Dette lægemiddel er underlagt supplerende overvågning. Dermed kan nye sikkerhedsoplysninger hurtigt tilvejebringes. Sundhedspersoner anmodes om at indberette alle formodede bivirkninger. Se i</w:t>
      </w:r>
      <w:r w:rsidR="00EF6B85">
        <w:rPr>
          <w:sz w:val="24"/>
          <w:szCs w:val="24"/>
        </w:rPr>
        <w:t xml:space="preserve"> pkt. 4.8, </w:t>
      </w:r>
      <w:r w:rsidRPr="00EF6B85">
        <w:rPr>
          <w:sz w:val="24"/>
          <w:szCs w:val="24"/>
        </w:rPr>
        <w:t>hvordan bivirkninger indberettes.</w:t>
      </w:r>
    </w:p>
    <w:p w14:paraId="52CBFD28" w14:textId="77777777" w:rsidR="009260DE" w:rsidRPr="00CF3DBE" w:rsidRDefault="009260DE" w:rsidP="009260DE">
      <w:pPr>
        <w:jc w:val="both"/>
        <w:rPr>
          <w:sz w:val="24"/>
          <w:szCs w:val="24"/>
        </w:rPr>
      </w:pPr>
    </w:p>
    <w:p w14:paraId="76BBDAC5" w14:textId="77777777" w:rsidR="009260DE" w:rsidRPr="00CF3DBE" w:rsidRDefault="009260DE" w:rsidP="009260DE">
      <w:pPr>
        <w:jc w:val="both"/>
        <w:rPr>
          <w:sz w:val="24"/>
          <w:szCs w:val="24"/>
        </w:rPr>
      </w:pPr>
    </w:p>
    <w:p w14:paraId="1FC49F58" w14:textId="77777777" w:rsidR="009260DE" w:rsidRPr="00CF3DBE" w:rsidRDefault="009260DE" w:rsidP="009260DE">
      <w:pPr>
        <w:tabs>
          <w:tab w:val="left" w:pos="851"/>
        </w:tabs>
        <w:ind w:left="851" w:hanging="851"/>
        <w:rPr>
          <w:b/>
          <w:sz w:val="24"/>
          <w:szCs w:val="24"/>
        </w:rPr>
      </w:pPr>
      <w:r w:rsidRPr="00CF3DBE">
        <w:rPr>
          <w:b/>
          <w:sz w:val="24"/>
          <w:szCs w:val="24"/>
        </w:rPr>
        <w:t>0.</w:t>
      </w:r>
      <w:r w:rsidRPr="00CF3DBE">
        <w:rPr>
          <w:b/>
          <w:sz w:val="24"/>
          <w:szCs w:val="24"/>
        </w:rPr>
        <w:tab/>
        <w:t>D.SP.NR.</w:t>
      </w:r>
    </w:p>
    <w:p w14:paraId="5521BC79" w14:textId="4D7F8940" w:rsidR="009260DE" w:rsidRPr="00CF3DBE" w:rsidRDefault="00B81BDE" w:rsidP="009260DE">
      <w:pPr>
        <w:tabs>
          <w:tab w:val="left" w:pos="851"/>
        </w:tabs>
        <w:ind w:left="851"/>
        <w:rPr>
          <w:sz w:val="24"/>
          <w:szCs w:val="24"/>
        </w:rPr>
      </w:pPr>
      <w:r w:rsidRPr="00CF3DBE">
        <w:rPr>
          <w:sz w:val="24"/>
          <w:szCs w:val="24"/>
        </w:rPr>
        <w:t>33387</w:t>
      </w:r>
    </w:p>
    <w:p w14:paraId="0A484F11" w14:textId="77777777" w:rsidR="009260DE" w:rsidRPr="00CF3DBE" w:rsidRDefault="009260DE" w:rsidP="009260DE">
      <w:pPr>
        <w:tabs>
          <w:tab w:val="left" w:pos="851"/>
        </w:tabs>
        <w:ind w:left="851"/>
        <w:rPr>
          <w:sz w:val="24"/>
          <w:szCs w:val="24"/>
        </w:rPr>
      </w:pPr>
    </w:p>
    <w:p w14:paraId="130E023D" w14:textId="77777777" w:rsidR="009260DE" w:rsidRPr="00CF3DBE" w:rsidRDefault="009260DE" w:rsidP="009260DE">
      <w:pPr>
        <w:tabs>
          <w:tab w:val="left" w:pos="851"/>
        </w:tabs>
        <w:ind w:left="851" w:hanging="851"/>
        <w:rPr>
          <w:b/>
          <w:sz w:val="24"/>
          <w:szCs w:val="24"/>
        </w:rPr>
      </w:pPr>
      <w:r w:rsidRPr="00CF3DBE">
        <w:rPr>
          <w:b/>
          <w:sz w:val="24"/>
          <w:szCs w:val="24"/>
        </w:rPr>
        <w:t>1.</w:t>
      </w:r>
      <w:r w:rsidRPr="00CF3DBE">
        <w:rPr>
          <w:b/>
          <w:sz w:val="24"/>
          <w:szCs w:val="24"/>
        </w:rPr>
        <w:tab/>
        <w:t>LÆGEMIDLETS NAVN</w:t>
      </w:r>
    </w:p>
    <w:p w14:paraId="1B78A771" w14:textId="4EBB6A22" w:rsidR="009260DE" w:rsidRPr="00CF3DBE" w:rsidRDefault="00B81BDE" w:rsidP="009260DE">
      <w:pPr>
        <w:tabs>
          <w:tab w:val="left" w:pos="851"/>
        </w:tabs>
        <w:ind w:left="851"/>
        <w:rPr>
          <w:sz w:val="24"/>
          <w:szCs w:val="24"/>
        </w:rPr>
      </w:pPr>
      <w:proofErr w:type="spellStart"/>
      <w:r w:rsidRPr="00CF3DBE">
        <w:rPr>
          <w:sz w:val="24"/>
          <w:szCs w:val="24"/>
        </w:rPr>
        <w:t>Xembify</w:t>
      </w:r>
      <w:proofErr w:type="spellEnd"/>
    </w:p>
    <w:p w14:paraId="7EBC6640" w14:textId="77777777" w:rsidR="009260DE" w:rsidRPr="00CF3DBE" w:rsidRDefault="009260DE" w:rsidP="009260DE">
      <w:pPr>
        <w:tabs>
          <w:tab w:val="left" w:pos="851"/>
        </w:tabs>
        <w:ind w:left="851"/>
        <w:rPr>
          <w:sz w:val="24"/>
          <w:szCs w:val="24"/>
        </w:rPr>
      </w:pPr>
    </w:p>
    <w:p w14:paraId="1CAB9B0A" w14:textId="77777777" w:rsidR="009260DE" w:rsidRPr="00CF3DBE" w:rsidRDefault="009260DE" w:rsidP="009260DE">
      <w:pPr>
        <w:tabs>
          <w:tab w:val="left" w:pos="851"/>
        </w:tabs>
        <w:ind w:left="851" w:hanging="851"/>
        <w:rPr>
          <w:b/>
          <w:sz w:val="24"/>
          <w:szCs w:val="24"/>
        </w:rPr>
      </w:pPr>
      <w:r w:rsidRPr="00CF3DBE">
        <w:rPr>
          <w:b/>
          <w:sz w:val="24"/>
          <w:szCs w:val="24"/>
        </w:rPr>
        <w:t>2.</w:t>
      </w:r>
      <w:r w:rsidRPr="00CF3DBE">
        <w:rPr>
          <w:b/>
          <w:sz w:val="24"/>
          <w:szCs w:val="24"/>
        </w:rPr>
        <w:tab/>
        <w:t>KVALITATIV OG KVANTITATIV SAMMENSÆTNING</w:t>
      </w:r>
    </w:p>
    <w:p w14:paraId="677746FB" w14:textId="77777777" w:rsidR="00B81BDE" w:rsidRPr="00CF3DBE" w:rsidRDefault="00B81BDE" w:rsidP="00B83034">
      <w:pPr>
        <w:ind w:left="851"/>
        <w:rPr>
          <w:sz w:val="24"/>
          <w:szCs w:val="24"/>
        </w:rPr>
      </w:pPr>
      <w:r w:rsidRPr="00CF3DBE">
        <w:rPr>
          <w:sz w:val="24"/>
          <w:szCs w:val="24"/>
        </w:rPr>
        <w:t xml:space="preserve">Humant normalt </w:t>
      </w:r>
      <w:proofErr w:type="spellStart"/>
      <w:r w:rsidRPr="00CF3DBE">
        <w:rPr>
          <w:sz w:val="24"/>
          <w:szCs w:val="24"/>
        </w:rPr>
        <w:t>immunglobulin</w:t>
      </w:r>
      <w:proofErr w:type="spellEnd"/>
      <w:r w:rsidRPr="00CF3DBE">
        <w:rPr>
          <w:sz w:val="24"/>
          <w:szCs w:val="24"/>
        </w:rPr>
        <w:t xml:space="preserve"> (</w:t>
      </w:r>
      <w:proofErr w:type="spellStart"/>
      <w:r w:rsidRPr="00CF3DBE">
        <w:rPr>
          <w:sz w:val="24"/>
          <w:szCs w:val="24"/>
        </w:rPr>
        <w:t>SCIg</w:t>
      </w:r>
      <w:proofErr w:type="spellEnd"/>
      <w:r w:rsidRPr="00CF3DBE">
        <w:rPr>
          <w:sz w:val="24"/>
          <w:szCs w:val="24"/>
        </w:rPr>
        <w:t>)</w:t>
      </w:r>
    </w:p>
    <w:p w14:paraId="65EAF7D4" w14:textId="77777777" w:rsidR="00B81BDE" w:rsidRPr="00CF3DBE" w:rsidRDefault="00B81BDE" w:rsidP="00B83034">
      <w:pPr>
        <w:ind w:left="851"/>
        <w:rPr>
          <w:sz w:val="24"/>
          <w:szCs w:val="24"/>
        </w:rPr>
      </w:pPr>
    </w:p>
    <w:p w14:paraId="02326865" w14:textId="77777777" w:rsidR="00B81BDE" w:rsidRPr="00CF3DBE" w:rsidRDefault="00B81BDE" w:rsidP="00B83034">
      <w:pPr>
        <w:ind w:left="851"/>
        <w:rPr>
          <w:sz w:val="24"/>
          <w:szCs w:val="24"/>
        </w:rPr>
      </w:pPr>
      <w:r w:rsidRPr="00CF3DBE">
        <w:rPr>
          <w:sz w:val="24"/>
          <w:szCs w:val="24"/>
        </w:rPr>
        <w:t>En ml indeholder:</w:t>
      </w:r>
    </w:p>
    <w:p w14:paraId="62DB9F24" w14:textId="77777777" w:rsidR="00B81BDE" w:rsidRPr="00CF3DBE" w:rsidRDefault="00B81BDE" w:rsidP="00B83034">
      <w:pPr>
        <w:ind w:left="851"/>
        <w:rPr>
          <w:sz w:val="24"/>
          <w:szCs w:val="24"/>
        </w:rPr>
      </w:pPr>
      <w:r w:rsidRPr="00CF3DBE">
        <w:rPr>
          <w:sz w:val="24"/>
          <w:szCs w:val="24"/>
        </w:rPr>
        <w:t xml:space="preserve">Humant normalt </w:t>
      </w:r>
      <w:proofErr w:type="spellStart"/>
      <w:r w:rsidRPr="00CF3DBE">
        <w:rPr>
          <w:sz w:val="24"/>
          <w:szCs w:val="24"/>
        </w:rPr>
        <w:t>immunglobulin</w:t>
      </w:r>
      <w:proofErr w:type="spellEnd"/>
      <w:r w:rsidRPr="00CF3DBE">
        <w:rPr>
          <w:sz w:val="24"/>
          <w:szCs w:val="24"/>
        </w:rPr>
        <w:tab/>
        <w:t>200 mg</w:t>
      </w:r>
    </w:p>
    <w:p w14:paraId="1E75079E" w14:textId="77777777" w:rsidR="00B81BDE" w:rsidRPr="00CF3DBE" w:rsidRDefault="00B81BDE" w:rsidP="00B83034">
      <w:pPr>
        <w:ind w:left="851"/>
        <w:rPr>
          <w:sz w:val="24"/>
          <w:szCs w:val="24"/>
        </w:rPr>
      </w:pPr>
      <w:r w:rsidRPr="00CF3DBE">
        <w:rPr>
          <w:sz w:val="24"/>
          <w:szCs w:val="24"/>
        </w:rPr>
        <w:t xml:space="preserve">(renhed: mindst 98 % er </w:t>
      </w:r>
      <w:proofErr w:type="spellStart"/>
      <w:r w:rsidRPr="00CF3DBE">
        <w:rPr>
          <w:sz w:val="24"/>
          <w:szCs w:val="24"/>
        </w:rPr>
        <w:t>immunglobulin</w:t>
      </w:r>
      <w:proofErr w:type="spellEnd"/>
      <w:r w:rsidRPr="00CF3DBE">
        <w:rPr>
          <w:sz w:val="24"/>
          <w:szCs w:val="24"/>
        </w:rPr>
        <w:t xml:space="preserve"> type G (</w:t>
      </w:r>
      <w:proofErr w:type="spellStart"/>
      <w:r w:rsidRPr="00CF3DBE">
        <w:rPr>
          <w:sz w:val="24"/>
          <w:szCs w:val="24"/>
        </w:rPr>
        <w:t>IgG</w:t>
      </w:r>
      <w:proofErr w:type="spellEnd"/>
      <w:r w:rsidRPr="00CF3DBE">
        <w:rPr>
          <w:sz w:val="24"/>
          <w:szCs w:val="24"/>
        </w:rPr>
        <w:t>))</w:t>
      </w:r>
    </w:p>
    <w:p w14:paraId="0AB1F339" w14:textId="77777777" w:rsidR="00B81BDE" w:rsidRPr="00CF3DBE" w:rsidRDefault="00B81BDE" w:rsidP="00B83034">
      <w:pPr>
        <w:ind w:left="851"/>
        <w:rPr>
          <w:sz w:val="24"/>
          <w:szCs w:val="24"/>
        </w:rPr>
      </w:pPr>
    </w:p>
    <w:p w14:paraId="67CC755F" w14:textId="77777777" w:rsidR="00B81BDE" w:rsidRPr="00CF3DBE" w:rsidRDefault="00B81BDE" w:rsidP="00B83034">
      <w:pPr>
        <w:ind w:left="851"/>
        <w:rPr>
          <w:sz w:val="24"/>
          <w:szCs w:val="24"/>
        </w:rPr>
      </w:pPr>
      <w:r w:rsidRPr="00CF3DBE">
        <w:rPr>
          <w:sz w:val="24"/>
          <w:szCs w:val="24"/>
        </w:rPr>
        <w:t xml:space="preserve">Hvert hætteglas på 5 ml indeholder: 1 g humant normalt </w:t>
      </w:r>
      <w:proofErr w:type="spellStart"/>
      <w:r w:rsidRPr="00CF3DBE">
        <w:rPr>
          <w:sz w:val="24"/>
          <w:szCs w:val="24"/>
        </w:rPr>
        <w:t>immunglobulin</w:t>
      </w:r>
      <w:proofErr w:type="spellEnd"/>
    </w:p>
    <w:p w14:paraId="29BFA909" w14:textId="77777777" w:rsidR="00B81BDE" w:rsidRPr="00CF3DBE" w:rsidRDefault="00B81BDE" w:rsidP="00B83034">
      <w:pPr>
        <w:ind w:left="851"/>
        <w:rPr>
          <w:sz w:val="24"/>
          <w:szCs w:val="24"/>
        </w:rPr>
      </w:pPr>
      <w:r w:rsidRPr="00CF3DBE">
        <w:rPr>
          <w:sz w:val="24"/>
          <w:szCs w:val="24"/>
        </w:rPr>
        <w:t xml:space="preserve">Hvert hætteglas på 10 ml indeholder: 2 g humant normalt </w:t>
      </w:r>
      <w:proofErr w:type="spellStart"/>
      <w:r w:rsidRPr="00CF3DBE">
        <w:rPr>
          <w:sz w:val="24"/>
          <w:szCs w:val="24"/>
        </w:rPr>
        <w:t>immunglobulin</w:t>
      </w:r>
      <w:proofErr w:type="spellEnd"/>
    </w:p>
    <w:p w14:paraId="38C48AD9" w14:textId="77777777" w:rsidR="00B81BDE" w:rsidRPr="00CF3DBE" w:rsidRDefault="00B81BDE" w:rsidP="00B83034">
      <w:pPr>
        <w:ind w:left="851"/>
        <w:rPr>
          <w:sz w:val="24"/>
          <w:szCs w:val="24"/>
        </w:rPr>
      </w:pPr>
      <w:r w:rsidRPr="00CF3DBE">
        <w:rPr>
          <w:sz w:val="24"/>
          <w:szCs w:val="24"/>
        </w:rPr>
        <w:t xml:space="preserve">Hvert hætteglas på 20 ml indeholder: 4 g humant normalt </w:t>
      </w:r>
      <w:proofErr w:type="spellStart"/>
      <w:r w:rsidRPr="00CF3DBE">
        <w:rPr>
          <w:sz w:val="24"/>
          <w:szCs w:val="24"/>
        </w:rPr>
        <w:t>immunglobulin</w:t>
      </w:r>
      <w:proofErr w:type="spellEnd"/>
    </w:p>
    <w:p w14:paraId="670F72BB" w14:textId="77777777" w:rsidR="00B81BDE" w:rsidRPr="00CF3DBE" w:rsidRDefault="00B81BDE" w:rsidP="00B83034">
      <w:pPr>
        <w:ind w:left="851"/>
        <w:rPr>
          <w:sz w:val="24"/>
          <w:szCs w:val="24"/>
        </w:rPr>
      </w:pPr>
      <w:r w:rsidRPr="00CF3DBE">
        <w:rPr>
          <w:sz w:val="24"/>
          <w:szCs w:val="24"/>
        </w:rPr>
        <w:t xml:space="preserve">Hvert hætteglas på 50 ml indeholder: 10 g humant normalt </w:t>
      </w:r>
      <w:proofErr w:type="spellStart"/>
      <w:r w:rsidRPr="00CF3DBE">
        <w:rPr>
          <w:sz w:val="24"/>
          <w:szCs w:val="24"/>
        </w:rPr>
        <w:t>immunglobulin</w:t>
      </w:r>
      <w:proofErr w:type="spellEnd"/>
    </w:p>
    <w:p w14:paraId="56B17036" w14:textId="77777777" w:rsidR="00B81BDE" w:rsidRPr="00CF3DBE" w:rsidRDefault="00B81BDE" w:rsidP="00B83034">
      <w:pPr>
        <w:ind w:left="851"/>
        <w:rPr>
          <w:sz w:val="24"/>
          <w:szCs w:val="24"/>
        </w:rPr>
      </w:pPr>
    </w:p>
    <w:p w14:paraId="702AA041" w14:textId="77777777" w:rsidR="00B81BDE" w:rsidRPr="00CF3DBE" w:rsidRDefault="00B81BDE" w:rsidP="00B83034">
      <w:pPr>
        <w:ind w:left="851"/>
        <w:rPr>
          <w:sz w:val="24"/>
          <w:szCs w:val="24"/>
        </w:rPr>
      </w:pPr>
      <w:r w:rsidRPr="00CF3DBE">
        <w:rPr>
          <w:sz w:val="24"/>
          <w:szCs w:val="24"/>
        </w:rPr>
        <w:t xml:space="preserve">Fordeling af </w:t>
      </w:r>
      <w:proofErr w:type="spellStart"/>
      <w:r w:rsidRPr="00CF3DBE">
        <w:rPr>
          <w:sz w:val="24"/>
          <w:szCs w:val="24"/>
        </w:rPr>
        <w:t>IgG</w:t>
      </w:r>
      <w:proofErr w:type="spellEnd"/>
      <w:r w:rsidRPr="00CF3DBE">
        <w:rPr>
          <w:sz w:val="24"/>
          <w:szCs w:val="24"/>
        </w:rPr>
        <w:t>-underklasserne (omtrentlige værdier):</w:t>
      </w:r>
    </w:p>
    <w:p w14:paraId="2E52D93F" w14:textId="77777777" w:rsidR="00B81BDE" w:rsidRPr="00CF3DBE" w:rsidRDefault="00B81BDE" w:rsidP="00B83034">
      <w:pPr>
        <w:ind w:left="851"/>
        <w:rPr>
          <w:sz w:val="24"/>
          <w:szCs w:val="24"/>
        </w:rPr>
      </w:pPr>
      <w:r w:rsidRPr="00CF3DBE">
        <w:rPr>
          <w:sz w:val="24"/>
          <w:szCs w:val="24"/>
        </w:rPr>
        <w:t>IgG1 ............. 62 %</w:t>
      </w:r>
    </w:p>
    <w:p w14:paraId="3B6514A3" w14:textId="77777777" w:rsidR="00B81BDE" w:rsidRPr="00CF3DBE" w:rsidRDefault="00B81BDE" w:rsidP="00B83034">
      <w:pPr>
        <w:ind w:left="851"/>
        <w:rPr>
          <w:sz w:val="24"/>
          <w:szCs w:val="24"/>
        </w:rPr>
      </w:pPr>
      <w:r w:rsidRPr="00CF3DBE">
        <w:rPr>
          <w:sz w:val="24"/>
          <w:szCs w:val="24"/>
        </w:rPr>
        <w:t>IgG2 ............. 30 %</w:t>
      </w:r>
    </w:p>
    <w:p w14:paraId="2FD58762" w14:textId="77777777" w:rsidR="00B81BDE" w:rsidRPr="00CF3DBE" w:rsidRDefault="00B81BDE" w:rsidP="00B83034">
      <w:pPr>
        <w:ind w:left="851"/>
        <w:rPr>
          <w:sz w:val="24"/>
          <w:szCs w:val="24"/>
        </w:rPr>
      </w:pPr>
      <w:r w:rsidRPr="00CF3DBE">
        <w:rPr>
          <w:sz w:val="24"/>
          <w:szCs w:val="24"/>
        </w:rPr>
        <w:t>IgG3 ............. 4,3 %</w:t>
      </w:r>
    </w:p>
    <w:p w14:paraId="2DB79019" w14:textId="77777777" w:rsidR="00B81BDE" w:rsidRPr="00CF3DBE" w:rsidRDefault="00B81BDE" w:rsidP="00B83034">
      <w:pPr>
        <w:ind w:left="851"/>
        <w:rPr>
          <w:sz w:val="24"/>
          <w:szCs w:val="24"/>
        </w:rPr>
      </w:pPr>
      <w:r w:rsidRPr="00CF3DBE">
        <w:rPr>
          <w:sz w:val="24"/>
          <w:szCs w:val="24"/>
        </w:rPr>
        <w:t>IgG4 ............. 3,2 %</w:t>
      </w:r>
    </w:p>
    <w:p w14:paraId="761FCC38" w14:textId="77777777" w:rsidR="00B81BDE" w:rsidRPr="00CF3DBE" w:rsidRDefault="00B81BDE" w:rsidP="00B83034">
      <w:pPr>
        <w:ind w:left="851"/>
        <w:rPr>
          <w:sz w:val="24"/>
          <w:szCs w:val="24"/>
        </w:rPr>
      </w:pPr>
    </w:p>
    <w:p w14:paraId="3CEA88F0" w14:textId="77777777" w:rsidR="00B81BDE" w:rsidRPr="00CF3DBE" w:rsidRDefault="00B81BDE" w:rsidP="00B83034">
      <w:pPr>
        <w:ind w:left="851"/>
        <w:rPr>
          <w:sz w:val="24"/>
          <w:szCs w:val="24"/>
        </w:rPr>
      </w:pPr>
      <w:r w:rsidRPr="00CF3DBE">
        <w:rPr>
          <w:sz w:val="24"/>
          <w:szCs w:val="24"/>
        </w:rPr>
        <w:t xml:space="preserve">Det maksimale indhold af </w:t>
      </w:r>
      <w:proofErr w:type="spellStart"/>
      <w:r w:rsidRPr="00CF3DBE">
        <w:rPr>
          <w:sz w:val="24"/>
          <w:szCs w:val="24"/>
        </w:rPr>
        <w:t>IgA</w:t>
      </w:r>
      <w:proofErr w:type="spellEnd"/>
      <w:r w:rsidRPr="00CF3DBE">
        <w:rPr>
          <w:sz w:val="24"/>
          <w:szCs w:val="24"/>
        </w:rPr>
        <w:t xml:space="preserve"> er 160 mikrogram/ml.</w:t>
      </w:r>
    </w:p>
    <w:p w14:paraId="0C943E20" w14:textId="77777777" w:rsidR="00B81BDE" w:rsidRPr="00CF3DBE" w:rsidRDefault="00B81BDE" w:rsidP="00B83034">
      <w:pPr>
        <w:ind w:left="851"/>
        <w:rPr>
          <w:sz w:val="24"/>
          <w:szCs w:val="24"/>
        </w:rPr>
      </w:pPr>
    </w:p>
    <w:p w14:paraId="2E200A6C" w14:textId="77777777" w:rsidR="00B81BDE" w:rsidRPr="00CF3DBE" w:rsidRDefault="00B81BDE" w:rsidP="00B83034">
      <w:pPr>
        <w:ind w:left="851"/>
        <w:rPr>
          <w:sz w:val="24"/>
          <w:szCs w:val="24"/>
        </w:rPr>
      </w:pPr>
      <w:r w:rsidRPr="00CF3DBE">
        <w:rPr>
          <w:sz w:val="24"/>
          <w:szCs w:val="24"/>
        </w:rPr>
        <w:t>Fremstillet fra donorplasma fra mennesker.</w:t>
      </w:r>
    </w:p>
    <w:p w14:paraId="1E3C9EF0" w14:textId="77777777" w:rsidR="00B81BDE" w:rsidRPr="00CF3DBE" w:rsidRDefault="00B81BDE" w:rsidP="00B83034">
      <w:pPr>
        <w:ind w:left="851"/>
        <w:rPr>
          <w:sz w:val="24"/>
          <w:szCs w:val="24"/>
        </w:rPr>
      </w:pPr>
    </w:p>
    <w:p w14:paraId="16AA1E87" w14:textId="77777777" w:rsidR="00B81BDE" w:rsidRPr="00CF3DBE" w:rsidRDefault="00B81BDE" w:rsidP="00B83034">
      <w:pPr>
        <w:ind w:left="851"/>
        <w:rPr>
          <w:sz w:val="24"/>
          <w:szCs w:val="24"/>
        </w:rPr>
      </w:pPr>
      <w:r w:rsidRPr="00CF3DBE">
        <w:rPr>
          <w:sz w:val="24"/>
          <w:szCs w:val="24"/>
        </w:rPr>
        <w:t>Alle hjælpestoffer er anført under pkt. 6.1.</w:t>
      </w:r>
    </w:p>
    <w:p w14:paraId="67109A26" w14:textId="4241ABE8" w:rsidR="00EF6B85" w:rsidRDefault="00EF6B85">
      <w:pPr>
        <w:rPr>
          <w:sz w:val="24"/>
          <w:szCs w:val="24"/>
        </w:rPr>
      </w:pPr>
      <w:r>
        <w:rPr>
          <w:sz w:val="24"/>
          <w:szCs w:val="24"/>
        </w:rPr>
        <w:br w:type="page"/>
      </w:r>
    </w:p>
    <w:p w14:paraId="6C6CC061" w14:textId="77777777" w:rsidR="009260DE" w:rsidRPr="00CF3DBE" w:rsidRDefault="009260DE" w:rsidP="009260DE">
      <w:pPr>
        <w:tabs>
          <w:tab w:val="left" w:pos="851"/>
        </w:tabs>
        <w:ind w:left="851"/>
        <w:rPr>
          <w:sz w:val="24"/>
          <w:szCs w:val="24"/>
        </w:rPr>
      </w:pPr>
    </w:p>
    <w:p w14:paraId="02F68AD6" w14:textId="77777777" w:rsidR="009260DE" w:rsidRPr="00CF3DBE" w:rsidRDefault="009260DE" w:rsidP="009260DE">
      <w:pPr>
        <w:tabs>
          <w:tab w:val="left" w:pos="851"/>
        </w:tabs>
        <w:ind w:left="851" w:hanging="851"/>
        <w:rPr>
          <w:b/>
          <w:sz w:val="24"/>
          <w:szCs w:val="24"/>
        </w:rPr>
      </w:pPr>
      <w:r w:rsidRPr="00CF3DBE">
        <w:rPr>
          <w:b/>
          <w:sz w:val="24"/>
          <w:szCs w:val="24"/>
        </w:rPr>
        <w:t>3.</w:t>
      </w:r>
      <w:r w:rsidRPr="00CF3DBE">
        <w:rPr>
          <w:b/>
          <w:sz w:val="24"/>
          <w:szCs w:val="24"/>
        </w:rPr>
        <w:tab/>
        <w:t>LÆGEMIDDELFORM</w:t>
      </w:r>
    </w:p>
    <w:p w14:paraId="55AFA107" w14:textId="25F79E05" w:rsidR="00B81BDE" w:rsidRPr="00CF3DBE" w:rsidRDefault="00B81BDE" w:rsidP="00A24BD2">
      <w:pPr>
        <w:ind w:left="851"/>
        <w:rPr>
          <w:sz w:val="24"/>
          <w:szCs w:val="24"/>
        </w:rPr>
      </w:pPr>
      <w:r w:rsidRPr="00CF3DBE">
        <w:rPr>
          <w:sz w:val="24"/>
          <w:szCs w:val="24"/>
        </w:rPr>
        <w:t>Subkutan injektionsvæske, opløsning</w:t>
      </w:r>
    </w:p>
    <w:p w14:paraId="4DC16016" w14:textId="77777777" w:rsidR="00B81BDE" w:rsidRPr="00CF3DBE" w:rsidRDefault="00B81BDE" w:rsidP="00A24BD2">
      <w:pPr>
        <w:ind w:left="851"/>
        <w:rPr>
          <w:sz w:val="24"/>
          <w:szCs w:val="24"/>
        </w:rPr>
      </w:pPr>
      <w:r w:rsidRPr="00CF3DBE">
        <w:rPr>
          <w:sz w:val="24"/>
          <w:szCs w:val="24"/>
        </w:rPr>
        <w:t>Opløsningen er klar til let opaliserende og farveløs eller lysegul eller lysebrun.</w:t>
      </w:r>
    </w:p>
    <w:p w14:paraId="0E8FFDF8" w14:textId="77777777" w:rsidR="00B81BDE" w:rsidRPr="00CF3DBE" w:rsidRDefault="00B81BDE" w:rsidP="00A24BD2">
      <w:pPr>
        <w:ind w:left="851"/>
        <w:rPr>
          <w:sz w:val="24"/>
          <w:szCs w:val="24"/>
        </w:rPr>
      </w:pPr>
      <w:proofErr w:type="spellStart"/>
      <w:r w:rsidRPr="00CF3DBE">
        <w:rPr>
          <w:sz w:val="24"/>
          <w:szCs w:val="24"/>
        </w:rPr>
        <w:t>Xembify</w:t>
      </w:r>
      <w:proofErr w:type="spellEnd"/>
      <w:r w:rsidRPr="00CF3DBE">
        <w:rPr>
          <w:sz w:val="24"/>
          <w:szCs w:val="24"/>
        </w:rPr>
        <w:t xml:space="preserve"> har et omtrentligt </w:t>
      </w:r>
      <w:proofErr w:type="spellStart"/>
      <w:r w:rsidRPr="00CF3DBE">
        <w:rPr>
          <w:sz w:val="24"/>
          <w:szCs w:val="24"/>
        </w:rPr>
        <w:t>osmolalitetsinterval</w:t>
      </w:r>
      <w:proofErr w:type="spellEnd"/>
      <w:r w:rsidRPr="00CF3DBE">
        <w:rPr>
          <w:sz w:val="24"/>
          <w:szCs w:val="24"/>
        </w:rPr>
        <w:t xml:space="preserve"> på 280 til 404 </w:t>
      </w:r>
      <w:proofErr w:type="spellStart"/>
      <w:r w:rsidRPr="00CF3DBE">
        <w:rPr>
          <w:sz w:val="24"/>
          <w:szCs w:val="24"/>
        </w:rPr>
        <w:t>mOsmol</w:t>
      </w:r>
      <w:proofErr w:type="spellEnd"/>
      <w:r w:rsidRPr="00CF3DBE">
        <w:rPr>
          <w:sz w:val="24"/>
          <w:szCs w:val="24"/>
        </w:rPr>
        <w:t>/kg og et pH-interval på 4,1 til 4,8.</w:t>
      </w:r>
    </w:p>
    <w:p w14:paraId="6BA3D12E" w14:textId="77777777" w:rsidR="009260DE" w:rsidRPr="00CF3DBE" w:rsidRDefault="009260DE" w:rsidP="009260DE">
      <w:pPr>
        <w:tabs>
          <w:tab w:val="left" w:pos="851"/>
        </w:tabs>
        <w:ind w:left="851"/>
        <w:rPr>
          <w:sz w:val="24"/>
          <w:szCs w:val="24"/>
        </w:rPr>
      </w:pPr>
    </w:p>
    <w:p w14:paraId="069CD284" w14:textId="77777777" w:rsidR="009260DE" w:rsidRPr="00CF3DBE" w:rsidRDefault="009260DE" w:rsidP="009260DE">
      <w:pPr>
        <w:tabs>
          <w:tab w:val="left" w:pos="851"/>
        </w:tabs>
        <w:ind w:left="851"/>
        <w:rPr>
          <w:sz w:val="24"/>
          <w:szCs w:val="24"/>
        </w:rPr>
      </w:pPr>
    </w:p>
    <w:p w14:paraId="4944CEB8" w14:textId="77777777" w:rsidR="009260DE" w:rsidRPr="00CF3DBE" w:rsidRDefault="009260DE" w:rsidP="009260DE">
      <w:pPr>
        <w:tabs>
          <w:tab w:val="left" w:pos="851"/>
        </w:tabs>
        <w:ind w:left="851" w:hanging="851"/>
        <w:rPr>
          <w:b/>
          <w:sz w:val="24"/>
          <w:szCs w:val="24"/>
        </w:rPr>
      </w:pPr>
      <w:r w:rsidRPr="00CF3DBE">
        <w:rPr>
          <w:b/>
          <w:sz w:val="24"/>
          <w:szCs w:val="24"/>
        </w:rPr>
        <w:t>4.</w:t>
      </w:r>
      <w:r w:rsidRPr="00CF3DBE">
        <w:rPr>
          <w:b/>
          <w:sz w:val="24"/>
          <w:szCs w:val="24"/>
        </w:rPr>
        <w:tab/>
        <w:t>KLINISKE OPLYSNINGER</w:t>
      </w:r>
    </w:p>
    <w:p w14:paraId="6FBB4E98" w14:textId="77777777" w:rsidR="009260DE" w:rsidRPr="00CF3DBE" w:rsidRDefault="009260DE" w:rsidP="009260DE">
      <w:pPr>
        <w:tabs>
          <w:tab w:val="left" w:pos="851"/>
        </w:tabs>
        <w:ind w:left="851"/>
        <w:rPr>
          <w:b/>
          <w:sz w:val="24"/>
          <w:szCs w:val="24"/>
        </w:rPr>
      </w:pPr>
    </w:p>
    <w:p w14:paraId="7FC310AE" w14:textId="77777777" w:rsidR="009260DE" w:rsidRPr="00CF3DBE" w:rsidRDefault="009260DE" w:rsidP="009260DE">
      <w:pPr>
        <w:tabs>
          <w:tab w:val="left" w:pos="851"/>
        </w:tabs>
        <w:ind w:left="851" w:hanging="851"/>
        <w:rPr>
          <w:b/>
          <w:sz w:val="24"/>
          <w:szCs w:val="24"/>
          <w:u w:val="single"/>
        </w:rPr>
      </w:pPr>
      <w:r w:rsidRPr="00CF3DBE">
        <w:rPr>
          <w:b/>
          <w:sz w:val="24"/>
          <w:szCs w:val="24"/>
        </w:rPr>
        <w:t>4.1</w:t>
      </w:r>
      <w:r w:rsidRPr="00CF3DBE">
        <w:rPr>
          <w:b/>
          <w:sz w:val="24"/>
          <w:szCs w:val="24"/>
        </w:rPr>
        <w:tab/>
        <w:t>Terapeutiske indikationer</w:t>
      </w:r>
    </w:p>
    <w:p w14:paraId="6585CAEA" w14:textId="77777777" w:rsidR="00B946CD" w:rsidRPr="00CF3DBE" w:rsidRDefault="00B946CD" w:rsidP="00A24BD2">
      <w:pPr>
        <w:ind w:left="851"/>
        <w:rPr>
          <w:sz w:val="24"/>
          <w:szCs w:val="24"/>
        </w:rPr>
      </w:pPr>
    </w:p>
    <w:p w14:paraId="19DB43F9" w14:textId="05C15926" w:rsidR="00B81BDE" w:rsidRPr="00CF3DBE" w:rsidRDefault="00B81BDE" w:rsidP="00A24BD2">
      <w:pPr>
        <w:ind w:left="851"/>
        <w:rPr>
          <w:sz w:val="24"/>
          <w:szCs w:val="24"/>
          <w:u w:val="single"/>
        </w:rPr>
      </w:pPr>
      <w:r w:rsidRPr="00CF3DBE">
        <w:rPr>
          <w:sz w:val="24"/>
          <w:szCs w:val="24"/>
          <w:u w:val="single"/>
        </w:rPr>
        <w:t>Substitutionsbehandling hos voksne samt børn og unge (0</w:t>
      </w:r>
      <w:r w:rsidRPr="00CF3DBE">
        <w:rPr>
          <w:sz w:val="24"/>
          <w:szCs w:val="24"/>
          <w:u w:val="single"/>
        </w:rPr>
        <w:noBreakHyphen/>
        <w:t>18 år) med:</w:t>
      </w:r>
    </w:p>
    <w:p w14:paraId="0BCB7935" w14:textId="77777777" w:rsidR="00B81BDE" w:rsidRPr="00CF3DBE" w:rsidRDefault="00B81BDE" w:rsidP="00A24BD2">
      <w:pPr>
        <w:ind w:left="851"/>
        <w:rPr>
          <w:sz w:val="24"/>
          <w:szCs w:val="24"/>
        </w:rPr>
      </w:pPr>
    </w:p>
    <w:p w14:paraId="17F5A040" w14:textId="77777777" w:rsidR="00B81BDE" w:rsidRPr="00CF3DBE" w:rsidRDefault="00B81BDE" w:rsidP="00B946CD">
      <w:pPr>
        <w:pStyle w:val="Listeafsnit"/>
        <w:numPr>
          <w:ilvl w:val="0"/>
          <w:numId w:val="10"/>
        </w:numPr>
        <w:ind w:left="1276" w:hanging="425"/>
        <w:rPr>
          <w:sz w:val="24"/>
          <w:szCs w:val="24"/>
        </w:rPr>
      </w:pPr>
      <w:r w:rsidRPr="00CF3DBE">
        <w:rPr>
          <w:sz w:val="24"/>
          <w:szCs w:val="24"/>
        </w:rPr>
        <w:t>Primære immundefektsyndromer (PID) med hæmmet antistofproduktion (se pkt. 4.4).</w:t>
      </w:r>
    </w:p>
    <w:p w14:paraId="4511815B" w14:textId="77777777" w:rsidR="00B81BDE" w:rsidRPr="00CF3DBE" w:rsidRDefault="00B81BDE" w:rsidP="00B946CD">
      <w:pPr>
        <w:pStyle w:val="Listeafsnit"/>
        <w:numPr>
          <w:ilvl w:val="0"/>
          <w:numId w:val="10"/>
        </w:numPr>
        <w:ind w:left="1276" w:hanging="425"/>
        <w:rPr>
          <w:sz w:val="24"/>
          <w:szCs w:val="24"/>
        </w:rPr>
      </w:pPr>
      <w:proofErr w:type="spellStart"/>
      <w:r w:rsidRPr="00CF3DBE">
        <w:rPr>
          <w:sz w:val="24"/>
          <w:szCs w:val="24"/>
        </w:rPr>
        <w:t>Hypogammaglobulinæmi</w:t>
      </w:r>
      <w:proofErr w:type="spellEnd"/>
      <w:r w:rsidRPr="00CF3DBE">
        <w:rPr>
          <w:sz w:val="24"/>
          <w:szCs w:val="24"/>
        </w:rPr>
        <w:t xml:space="preserve"> og tilbagevendende bakterieinfektioner hos patienter med kronisk </w:t>
      </w:r>
      <w:proofErr w:type="spellStart"/>
      <w:r w:rsidRPr="00CF3DBE">
        <w:rPr>
          <w:sz w:val="24"/>
          <w:szCs w:val="24"/>
        </w:rPr>
        <w:t>lymfocytisk</w:t>
      </w:r>
      <w:proofErr w:type="spellEnd"/>
      <w:r w:rsidRPr="00CF3DBE">
        <w:rPr>
          <w:sz w:val="24"/>
          <w:szCs w:val="24"/>
        </w:rPr>
        <w:t xml:space="preserve"> leukæmi (CLL), hvor profylaktiske antibiotika har svigtet eller er kontraindiceret.</w:t>
      </w:r>
    </w:p>
    <w:p w14:paraId="4B9C4C2F" w14:textId="77777777" w:rsidR="00B81BDE" w:rsidRPr="00CF3DBE" w:rsidRDefault="00B81BDE" w:rsidP="00B946CD">
      <w:pPr>
        <w:pStyle w:val="Listeafsnit"/>
        <w:numPr>
          <w:ilvl w:val="0"/>
          <w:numId w:val="10"/>
        </w:numPr>
        <w:ind w:left="1276" w:hanging="425"/>
        <w:rPr>
          <w:sz w:val="24"/>
          <w:szCs w:val="24"/>
        </w:rPr>
      </w:pPr>
      <w:proofErr w:type="spellStart"/>
      <w:r w:rsidRPr="00CF3DBE">
        <w:rPr>
          <w:sz w:val="24"/>
          <w:szCs w:val="24"/>
        </w:rPr>
        <w:t>Hypogammaglobulinæmi</w:t>
      </w:r>
      <w:proofErr w:type="spellEnd"/>
      <w:r w:rsidRPr="00CF3DBE">
        <w:rPr>
          <w:sz w:val="24"/>
          <w:szCs w:val="24"/>
        </w:rPr>
        <w:t xml:space="preserve"> og tilbagevendende bakterieinfektioner hos patienter med </w:t>
      </w:r>
      <w:proofErr w:type="spellStart"/>
      <w:r w:rsidRPr="00CF3DBE">
        <w:rPr>
          <w:sz w:val="24"/>
          <w:szCs w:val="24"/>
        </w:rPr>
        <w:t>myelomatose</w:t>
      </w:r>
      <w:proofErr w:type="spellEnd"/>
      <w:r w:rsidRPr="00CF3DBE">
        <w:rPr>
          <w:sz w:val="24"/>
          <w:szCs w:val="24"/>
        </w:rPr>
        <w:t xml:space="preserve"> (MM).</w:t>
      </w:r>
    </w:p>
    <w:p w14:paraId="462395E5" w14:textId="77777777" w:rsidR="00B81BDE" w:rsidRPr="00CF3DBE" w:rsidRDefault="00B81BDE" w:rsidP="00B946CD">
      <w:pPr>
        <w:pStyle w:val="Listeafsnit"/>
        <w:numPr>
          <w:ilvl w:val="0"/>
          <w:numId w:val="10"/>
        </w:numPr>
        <w:ind w:left="1276" w:hanging="425"/>
        <w:rPr>
          <w:sz w:val="24"/>
          <w:szCs w:val="24"/>
        </w:rPr>
      </w:pPr>
      <w:proofErr w:type="spellStart"/>
      <w:r w:rsidRPr="00CF3DBE">
        <w:rPr>
          <w:sz w:val="24"/>
          <w:szCs w:val="24"/>
        </w:rPr>
        <w:t>Hypogammaglobulinæmi</w:t>
      </w:r>
      <w:proofErr w:type="spellEnd"/>
      <w:r w:rsidRPr="00CF3DBE">
        <w:rPr>
          <w:sz w:val="24"/>
          <w:szCs w:val="24"/>
        </w:rPr>
        <w:t xml:space="preserve"> hos patienter før og efter </w:t>
      </w:r>
      <w:proofErr w:type="spellStart"/>
      <w:r w:rsidRPr="00CF3DBE">
        <w:rPr>
          <w:sz w:val="24"/>
          <w:szCs w:val="24"/>
        </w:rPr>
        <w:t>allogen</w:t>
      </w:r>
      <w:proofErr w:type="spellEnd"/>
      <w:r w:rsidRPr="00CF3DBE">
        <w:rPr>
          <w:sz w:val="24"/>
          <w:szCs w:val="24"/>
        </w:rPr>
        <w:t xml:space="preserve"> </w:t>
      </w:r>
      <w:proofErr w:type="spellStart"/>
      <w:r w:rsidRPr="00CF3DBE">
        <w:rPr>
          <w:sz w:val="24"/>
          <w:szCs w:val="24"/>
        </w:rPr>
        <w:t>hæmatopoietisk</w:t>
      </w:r>
      <w:proofErr w:type="spellEnd"/>
      <w:r w:rsidRPr="00CF3DBE">
        <w:rPr>
          <w:sz w:val="24"/>
          <w:szCs w:val="24"/>
        </w:rPr>
        <w:t xml:space="preserve"> stamcelletransplantation (HSCT).</w:t>
      </w:r>
    </w:p>
    <w:p w14:paraId="0793F135" w14:textId="77777777" w:rsidR="009260DE" w:rsidRPr="00CF3DBE" w:rsidRDefault="009260DE" w:rsidP="009260DE">
      <w:pPr>
        <w:tabs>
          <w:tab w:val="left" w:pos="851"/>
        </w:tabs>
        <w:ind w:left="851"/>
        <w:rPr>
          <w:sz w:val="24"/>
          <w:szCs w:val="24"/>
        </w:rPr>
      </w:pPr>
    </w:p>
    <w:p w14:paraId="51993613" w14:textId="77777777" w:rsidR="009260DE" w:rsidRPr="00CF3DBE" w:rsidRDefault="009260DE" w:rsidP="009260DE">
      <w:pPr>
        <w:tabs>
          <w:tab w:val="left" w:pos="851"/>
        </w:tabs>
        <w:ind w:left="851" w:hanging="851"/>
        <w:rPr>
          <w:b/>
          <w:sz w:val="24"/>
          <w:szCs w:val="24"/>
        </w:rPr>
      </w:pPr>
      <w:r w:rsidRPr="00CF3DBE">
        <w:rPr>
          <w:b/>
          <w:sz w:val="24"/>
          <w:szCs w:val="24"/>
        </w:rPr>
        <w:t>4.2</w:t>
      </w:r>
      <w:r w:rsidRPr="00CF3DBE">
        <w:rPr>
          <w:b/>
          <w:sz w:val="24"/>
          <w:szCs w:val="24"/>
        </w:rPr>
        <w:tab/>
        <w:t xml:space="preserve">Dosering og </w:t>
      </w:r>
      <w:r w:rsidR="002C1EC0" w:rsidRPr="00CF3DBE">
        <w:rPr>
          <w:b/>
          <w:sz w:val="24"/>
          <w:szCs w:val="24"/>
        </w:rPr>
        <w:t>administration</w:t>
      </w:r>
    </w:p>
    <w:p w14:paraId="484198B4" w14:textId="2775EE46" w:rsidR="00B81BDE" w:rsidRPr="00CF3DBE" w:rsidRDefault="00B81BDE" w:rsidP="00A24BD2">
      <w:pPr>
        <w:ind w:left="851"/>
        <w:rPr>
          <w:sz w:val="24"/>
          <w:szCs w:val="24"/>
        </w:rPr>
      </w:pPr>
      <w:r w:rsidRPr="00CF3DBE">
        <w:rPr>
          <w:sz w:val="24"/>
          <w:szCs w:val="24"/>
        </w:rPr>
        <w:t>Substitutionsbehandling skal påbegyndes og overvåges under opsyn af en læge, der har erfaring i behandling af immundefekt.</w:t>
      </w:r>
    </w:p>
    <w:p w14:paraId="178C15CC" w14:textId="77777777" w:rsidR="00B81BDE" w:rsidRPr="00CF3DBE" w:rsidRDefault="00B81BDE" w:rsidP="00A24BD2">
      <w:pPr>
        <w:ind w:left="851"/>
        <w:rPr>
          <w:sz w:val="24"/>
          <w:szCs w:val="24"/>
        </w:rPr>
      </w:pPr>
    </w:p>
    <w:p w14:paraId="742CF5DE" w14:textId="77777777" w:rsidR="00B81BDE" w:rsidRPr="00CF3DBE" w:rsidRDefault="00B81BDE" w:rsidP="00A24BD2">
      <w:pPr>
        <w:ind w:left="851"/>
        <w:rPr>
          <w:sz w:val="24"/>
          <w:szCs w:val="24"/>
          <w:u w:val="single"/>
        </w:rPr>
      </w:pPr>
      <w:r w:rsidRPr="00CF3DBE">
        <w:rPr>
          <w:sz w:val="24"/>
          <w:szCs w:val="24"/>
          <w:u w:val="single"/>
        </w:rPr>
        <w:t>Dosering</w:t>
      </w:r>
    </w:p>
    <w:p w14:paraId="7BE13FC7" w14:textId="77777777" w:rsidR="00B81BDE" w:rsidRPr="00CF3DBE" w:rsidRDefault="00B81BDE" w:rsidP="00A24BD2">
      <w:pPr>
        <w:ind w:left="851"/>
        <w:rPr>
          <w:sz w:val="24"/>
          <w:szCs w:val="24"/>
          <w:u w:val="single"/>
        </w:rPr>
      </w:pPr>
    </w:p>
    <w:p w14:paraId="0B58B87F" w14:textId="77777777" w:rsidR="00B81BDE" w:rsidRPr="00CF3DBE" w:rsidRDefault="00B81BDE" w:rsidP="00A24BD2">
      <w:pPr>
        <w:ind w:left="851"/>
        <w:rPr>
          <w:sz w:val="24"/>
          <w:szCs w:val="24"/>
        </w:rPr>
      </w:pPr>
      <w:r w:rsidRPr="00CF3DBE">
        <w:rPr>
          <w:sz w:val="24"/>
          <w:szCs w:val="24"/>
        </w:rPr>
        <w:t>Dosis og dosisregime afhænger af indikationen.</w:t>
      </w:r>
    </w:p>
    <w:p w14:paraId="65AA95B5" w14:textId="77777777" w:rsidR="00B81BDE" w:rsidRPr="00CF3DBE" w:rsidRDefault="00B81BDE" w:rsidP="00A24BD2">
      <w:pPr>
        <w:ind w:left="851"/>
        <w:rPr>
          <w:sz w:val="24"/>
          <w:szCs w:val="24"/>
        </w:rPr>
      </w:pPr>
    </w:p>
    <w:p w14:paraId="5C3E3C16" w14:textId="77777777" w:rsidR="00B81BDE" w:rsidRPr="00CF3DBE" w:rsidRDefault="00B81BDE" w:rsidP="00A24BD2">
      <w:pPr>
        <w:ind w:left="851"/>
        <w:rPr>
          <w:i/>
          <w:iCs/>
          <w:sz w:val="24"/>
          <w:szCs w:val="24"/>
        </w:rPr>
      </w:pPr>
      <w:r w:rsidRPr="00CF3DBE">
        <w:rPr>
          <w:i/>
          <w:sz w:val="24"/>
          <w:szCs w:val="24"/>
        </w:rPr>
        <w:t>Substitutionsbehandling</w:t>
      </w:r>
    </w:p>
    <w:p w14:paraId="5A93F115" w14:textId="77777777" w:rsidR="00B81BDE" w:rsidRPr="00CF3DBE" w:rsidRDefault="00B81BDE" w:rsidP="00A24BD2">
      <w:pPr>
        <w:ind w:left="851"/>
        <w:rPr>
          <w:i/>
          <w:iCs/>
          <w:sz w:val="24"/>
          <w:szCs w:val="24"/>
        </w:rPr>
      </w:pPr>
    </w:p>
    <w:p w14:paraId="78948B57" w14:textId="77777777" w:rsidR="00B81BDE" w:rsidRPr="00CF3DBE" w:rsidRDefault="00B81BDE" w:rsidP="00A24BD2">
      <w:pPr>
        <w:ind w:left="851"/>
        <w:rPr>
          <w:sz w:val="24"/>
          <w:szCs w:val="24"/>
        </w:rPr>
      </w:pPr>
      <w:r w:rsidRPr="00CF3DBE">
        <w:rPr>
          <w:sz w:val="24"/>
          <w:szCs w:val="24"/>
        </w:rPr>
        <w:t>Præparatet skal administreres subkutant.</w:t>
      </w:r>
    </w:p>
    <w:p w14:paraId="75B28B34" w14:textId="77777777" w:rsidR="00B81BDE" w:rsidRPr="00CF3DBE" w:rsidRDefault="00B81BDE" w:rsidP="00A24BD2">
      <w:pPr>
        <w:ind w:left="851"/>
        <w:rPr>
          <w:sz w:val="24"/>
          <w:szCs w:val="24"/>
        </w:rPr>
      </w:pPr>
    </w:p>
    <w:p w14:paraId="5D933ACE" w14:textId="77777777" w:rsidR="00B81BDE" w:rsidRPr="00CF3DBE" w:rsidRDefault="00B81BDE" w:rsidP="00A24BD2">
      <w:pPr>
        <w:ind w:left="851"/>
        <w:rPr>
          <w:sz w:val="24"/>
          <w:szCs w:val="24"/>
        </w:rPr>
      </w:pPr>
      <w:r w:rsidRPr="00CF3DBE">
        <w:rPr>
          <w:sz w:val="24"/>
          <w:szCs w:val="24"/>
        </w:rPr>
        <w:t xml:space="preserve">Ved substitutionsbehandling kan der være behov for at individualisere dosis for hver patient afhængig af det </w:t>
      </w:r>
      <w:proofErr w:type="spellStart"/>
      <w:r w:rsidRPr="00CF3DBE">
        <w:rPr>
          <w:sz w:val="24"/>
          <w:szCs w:val="24"/>
        </w:rPr>
        <w:t>farmakokinetiske</w:t>
      </w:r>
      <w:proofErr w:type="spellEnd"/>
      <w:r w:rsidRPr="00CF3DBE">
        <w:rPr>
          <w:sz w:val="24"/>
          <w:szCs w:val="24"/>
        </w:rPr>
        <w:t xml:space="preserve"> og kliniske respons. Følgende dosisregimer er vejledende:</w:t>
      </w:r>
    </w:p>
    <w:p w14:paraId="7443E6D8" w14:textId="77777777" w:rsidR="00B81BDE" w:rsidRPr="00CF3DBE" w:rsidRDefault="00B81BDE" w:rsidP="00A24BD2">
      <w:pPr>
        <w:ind w:left="851"/>
        <w:rPr>
          <w:sz w:val="24"/>
          <w:szCs w:val="24"/>
        </w:rPr>
      </w:pPr>
    </w:p>
    <w:p w14:paraId="6BFBEFE4" w14:textId="77777777" w:rsidR="00B81BDE" w:rsidRPr="00CF3DBE" w:rsidRDefault="00B81BDE" w:rsidP="00A24BD2">
      <w:pPr>
        <w:ind w:left="851"/>
        <w:rPr>
          <w:sz w:val="24"/>
          <w:szCs w:val="24"/>
        </w:rPr>
      </w:pPr>
      <w:r w:rsidRPr="00CF3DBE">
        <w:rPr>
          <w:sz w:val="24"/>
          <w:szCs w:val="24"/>
        </w:rPr>
        <w:t xml:space="preserve">Dosisregimet bør opnå et minimumsniveau af </w:t>
      </w:r>
      <w:proofErr w:type="spellStart"/>
      <w:r w:rsidRPr="00CF3DBE">
        <w:rPr>
          <w:sz w:val="24"/>
          <w:szCs w:val="24"/>
        </w:rPr>
        <w:t>IgG</w:t>
      </w:r>
      <w:proofErr w:type="spellEnd"/>
      <w:r w:rsidRPr="00CF3DBE">
        <w:rPr>
          <w:sz w:val="24"/>
          <w:szCs w:val="24"/>
        </w:rPr>
        <w:t xml:space="preserve"> (målt før næste infusion) på mindst 5 til 6 g/l og sigte mod at ligge inden for referenceintervallet for serum-</w:t>
      </w:r>
      <w:proofErr w:type="spellStart"/>
      <w:r w:rsidRPr="00CF3DBE">
        <w:rPr>
          <w:sz w:val="24"/>
          <w:szCs w:val="24"/>
        </w:rPr>
        <w:t>IgG</w:t>
      </w:r>
      <w:proofErr w:type="spellEnd"/>
      <w:r w:rsidRPr="00CF3DBE">
        <w:rPr>
          <w:sz w:val="24"/>
          <w:szCs w:val="24"/>
        </w:rPr>
        <w:t xml:space="preserve"> for alder. En støddosis på mindst 0,2 til 0,5 g/kg (1 til 2,5 ml/kg) legemsvægt kan være påkrævet. Det kan være nødvendigt at opdele denne over flere dage med en maksimal daglig dosis på 0,1 til 0,15 g/kg legemsvægt. </w:t>
      </w:r>
    </w:p>
    <w:p w14:paraId="3B2EEEBF" w14:textId="77777777" w:rsidR="00B81BDE" w:rsidRPr="00CF3DBE" w:rsidRDefault="00B81BDE" w:rsidP="00A24BD2">
      <w:pPr>
        <w:ind w:left="851"/>
        <w:rPr>
          <w:sz w:val="24"/>
          <w:szCs w:val="24"/>
        </w:rPr>
      </w:pPr>
    </w:p>
    <w:p w14:paraId="1289E50A" w14:textId="77777777" w:rsidR="00B81BDE" w:rsidRPr="00CF3DBE" w:rsidRDefault="00B81BDE" w:rsidP="00A24BD2">
      <w:pPr>
        <w:ind w:left="851"/>
        <w:rPr>
          <w:sz w:val="24"/>
          <w:szCs w:val="24"/>
        </w:rPr>
      </w:pPr>
      <w:r w:rsidRPr="00CF3DBE">
        <w:rPr>
          <w:sz w:val="24"/>
          <w:szCs w:val="24"/>
        </w:rPr>
        <w:t xml:space="preserve">Efter </w:t>
      </w:r>
      <w:proofErr w:type="spellStart"/>
      <w:r w:rsidRPr="00CF3DBE">
        <w:rPr>
          <w:i/>
          <w:iCs/>
          <w:sz w:val="24"/>
          <w:szCs w:val="24"/>
        </w:rPr>
        <w:t>steady-state</w:t>
      </w:r>
      <w:proofErr w:type="spellEnd"/>
      <w:r w:rsidRPr="00CF3DBE">
        <w:rPr>
          <w:sz w:val="24"/>
          <w:szCs w:val="24"/>
        </w:rPr>
        <w:t xml:space="preserve"> </w:t>
      </w:r>
      <w:proofErr w:type="spellStart"/>
      <w:r w:rsidRPr="00CF3DBE">
        <w:rPr>
          <w:sz w:val="24"/>
          <w:szCs w:val="24"/>
        </w:rPr>
        <w:t>IgG</w:t>
      </w:r>
      <w:proofErr w:type="spellEnd"/>
      <w:r w:rsidRPr="00CF3DBE">
        <w:rPr>
          <w:sz w:val="24"/>
          <w:szCs w:val="24"/>
        </w:rPr>
        <w:t>-niveauer er nået, administreres vedligeholdelsesdoser med gentagne intervaller (ca. en gang om ugen) til opnåelse af en kumulativ månedlig dosis i størrelsesordenen 0,4</w:t>
      </w:r>
      <w:r w:rsidRPr="00CF3DBE">
        <w:rPr>
          <w:sz w:val="24"/>
          <w:szCs w:val="24"/>
        </w:rPr>
        <w:noBreakHyphen/>
        <w:t>0,8 g/kg legemsvægt. Det kan være nødvendigt at injicere hver enkeltdosis på forskellige anatomiske steder.</w:t>
      </w:r>
    </w:p>
    <w:p w14:paraId="4F246754" w14:textId="77777777" w:rsidR="00B81BDE" w:rsidRPr="00CF3DBE" w:rsidRDefault="00B81BDE" w:rsidP="00A24BD2">
      <w:pPr>
        <w:ind w:left="851"/>
        <w:rPr>
          <w:sz w:val="24"/>
          <w:szCs w:val="24"/>
        </w:rPr>
      </w:pPr>
    </w:p>
    <w:p w14:paraId="429CF248" w14:textId="77777777" w:rsidR="00B81BDE" w:rsidRPr="00CF3DBE" w:rsidRDefault="00B81BDE" w:rsidP="00A24BD2">
      <w:pPr>
        <w:ind w:left="851"/>
        <w:rPr>
          <w:sz w:val="24"/>
          <w:szCs w:val="24"/>
        </w:rPr>
      </w:pPr>
      <w:r w:rsidRPr="00CF3DBE">
        <w:rPr>
          <w:sz w:val="24"/>
          <w:szCs w:val="24"/>
        </w:rPr>
        <w:lastRenderedPageBreak/>
        <w:t>Minimumsniveauerne bør måles og vurderes i forbindelse med forekomsten af infektion. Det kan være nødvendigt at øge doseringen og stræbe efter højere minimumsniveauer for at reducere infektionshyppigheden.</w:t>
      </w:r>
    </w:p>
    <w:p w14:paraId="266883C6" w14:textId="77777777" w:rsidR="00B81BDE" w:rsidRPr="00CF3DBE" w:rsidRDefault="00B81BDE" w:rsidP="00A24BD2">
      <w:pPr>
        <w:ind w:left="851"/>
        <w:rPr>
          <w:sz w:val="24"/>
          <w:szCs w:val="24"/>
        </w:rPr>
      </w:pPr>
    </w:p>
    <w:p w14:paraId="30FE88DE" w14:textId="77777777" w:rsidR="00B81BDE" w:rsidRPr="00CF3DBE" w:rsidRDefault="00B81BDE" w:rsidP="00A24BD2">
      <w:pPr>
        <w:ind w:left="851"/>
        <w:rPr>
          <w:i/>
          <w:iCs/>
          <w:sz w:val="24"/>
          <w:szCs w:val="24"/>
        </w:rPr>
      </w:pPr>
      <w:r w:rsidRPr="00CF3DBE">
        <w:rPr>
          <w:i/>
          <w:sz w:val="24"/>
          <w:szCs w:val="24"/>
        </w:rPr>
        <w:t xml:space="preserve">Ældre </w:t>
      </w:r>
    </w:p>
    <w:p w14:paraId="2FD57A6D" w14:textId="77777777" w:rsidR="00B81BDE" w:rsidRPr="00CF3DBE" w:rsidRDefault="00B81BDE" w:rsidP="00A24BD2">
      <w:pPr>
        <w:ind w:left="851"/>
        <w:rPr>
          <w:i/>
          <w:iCs/>
          <w:sz w:val="24"/>
          <w:szCs w:val="24"/>
        </w:rPr>
      </w:pPr>
    </w:p>
    <w:p w14:paraId="2BC66FE8" w14:textId="77777777" w:rsidR="00B81BDE" w:rsidRPr="00CF3DBE" w:rsidRDefault="00B81BDE" w:rsidP="00A24BD2">
      <w:pPr>
        <w:ind w:left="851"/>
        <w:rPr>
          <w:sz w:val="24"/>
          <w:szCs w:val="24"/>
        </w:rPr>
      </w:pPr>
      <w:r w:rsidRPr="00CF3DBE">
        <w:rPr>
          <w:sz w:val="24"/>
          <w:szCs w:val="24"/>
        </w:rPr>
        <w:t>Da dosis gives efter legemsvægt og tilpasses det kliniske udfald af ovennævnte tilstande, anses dosis hos den ældre population ikke for at være forskellig fra dosis hos patienter i alderen 18</w:t>
      </w:r>
      <w:r w:rsidRPr="00CF3DBE">
        <w:rPr>
          <w:sz w:val="24"/>
          <w:szCs w:val="24"/>
        </w:rPr>
        <w:noBreakHyphen/>
        <w:t>65 år.</w:t>
      </w:r>
    </w:p>
    <w:p w14:paraId="76BFD59E" w14:textId="77777777" w:rsidR="00B81BDE" w:rsidRPr="00CF3DBE" w:rsidRDefault="00B81BDE" w:rsidP="00A24BD2">
      <w:pPr>
        <w:ind w:left="851"/>
        <w:rPr>
          <w:sz w:val="24"/>
          <w:szCs w:val="24"/>
        </w:rPr>
      </w:pPr>
    </w:p>
    <w:p w14:paraId="38731366" w14:textId="77777777" w:rsidR="00B81BDE" w:rsidRPr="00CF3DBE" w:rsidRDefault="00B81BDE" w:rsidP="00A24BD2">
      <w:pPr>
        <w:ind w:left="851"/>
        <w:rPr>
          <w:sz w:val="24"/>
          <w:szCs w:val="24"/>
        </w:rPr>
      </w:pPr>
      <w:r w:rsidRPr="00CF3DBE">
        <w:rPr>
          <w:sz w:val="24"/>
          <w:szCs w:val="24"/>
        </w:rPr>
        <w:t xml:space="preserve">I kliniske studier blev </w:t>
      </w:r>
      <w:proofErr w:type="spellStart"/>
      <w:r w:rsidRPr="00CF3DBE">
        <w:rPr>
          <w:sz w:val="24"/>
          <w:szCs w:val="24"/>
        </w:rPr>
        <w:t>Xembify</w:t>
      </w:r>
      <w:proofErr w:type="spellEnd"/>
      <w:r w:rsidRPr="00CF3DBE">
        <w:rPr>
          <w:sz w:val="24"/>
          <w:szCs w:val="24"/>
        </w:rPr>
        <w:t xml:space="preserve"> evalueret hos 5 forsøgspersoner &gt; 65 år med PID, og ingen specifikke dosisjusteringer var nødvendige for at opnå de ønskede serum-</w:t>
      </w:r>
      <w:proofErr w:type="spellStart"/>
      <w:r w:rsidRPr="00CF3DBE">
        <w:rPr>
          <w:sz w:val="24"/>
          <w:szCs w:val="24"/>
        </w:rPr>
        <w:t>IgG</w:t>
      </w:r>
      <w:proofErr w:type="spellEnd"/>
      <w:r w:rsidRPr="00CF3DBE">
        <w:rPr>
          <w:sz w:val="24"/>
          <w:szCs w:val="24"/>
        </w:rPr>
        <w:t>-niveauer.</w:t>
      </w:r>
    </w:p>
    <w:p w14:paraId="31BBF36B" w14:textId="77777777" w:rsidR="00B81BDE" w:rsidRPr="00CF3DBE" w:rsidRDefault="00B81BDE" w:rsidP="00A24BD2">
      <w:pPr>
        <w:ind w:left="851"/>
        <w:rPr>
          <w:sz w:val="24"/>
          <w:szCs w:val="24"/>
        </w:rPr>
      </w:pPr>
    </w:p>
    <w:p w14:paraId="12760EAA" w14:textId="77777777" w:rsidR="00B81BDE" w:rsidRPr="00CF3DBE" w:rsidRDefault="00B81BDE" w:rsidP="00A24BD2">
      <w:pPr>
        <w:ind w:left="851"/>
        <w:rPr>
          <w:bCs/>
          <w:i/>
          <w:iCs/>
          <w:sz w:val="24"/>
          <w:szCs w:val="24"/>
        </w:rPr>
      </w:pPr>
      <w:r w:rsidRPr="00CF3DBE">
        <w:rPr>
          <w:i/>
          <w:sz w:val="24"/>
          <w:szCs w:val="24"/>
        </w:rPr>
        <w:t>Pædiatrisk population</w:t>
      </w:r>
    </w:p>
    <w:p w14:paraId="561D4B7A" w14:textId="77777777" w:rsidR="00B81BDE" w:rsidRPr="00CF3DBE" w:rsidRDefault="00B81BDE" w:rsidP="00A24BD2">
      <w:pPr>
        <w:ind w:left="851"/>
        <w:rPr>
          <w:bCs/>
          <w:i/>
          <w:iCs/>
          <w:sz w:val="24"/>
          <w:szCs w:val="24"/>
        </w:rPr>
      </w:pPr>
    </w:p>
    <w:p w14:paraId="3CE5583E" w14:textId="77777777" w:rsidR="00B81BDE" w:rsidRPr="00CF3DBE" w:rsidRDefault="00B81BDE" w:rsidP="00A24BD2">
      <w:pPr>
        <w:ind w:left="851"/>
        <w:rPr>
          <w:sz w:val="24"/>
          <w:szCs w:val="24"/>
        </w:rPr>
      </w:pPr>
      <w:r w:rsidRPr="00CF3DBE">
        <w:rPr>
          <w:sz w:val="24"/>
          <w:szCs w:val="24"/>
        </w:rPr>
        <w:t>Doseringen hos børn og unge (0</w:t>
      </w:r>
      <w:r w:rsidRPr="00CF3DBE">
        <w:rPr>
          <w:sz w:val="24"/>
          <w:szCs w:val="24"/>
        </w:rPr>
        <w:noBreakHyphen/>
        <w:t>18 år) er ikke forskellig fra den hos voksne, da doseringen for hver indikation er givet efter legemsvægt og tilpasset det kliniske udfald ved indikationer for substitutionsbehandlinger.</w:t>
      </w:r>
    </w:p>
    <w:p w14:paraId="457722F5" w14:textId="77777777" w:rsidR="00B81BDE" w:rsidRPr="00CF3DBE" w:rsidRDefault="00B81BDE" w:rsidP="00A24BD2">
      <w:pPr>
        <w:ind w:left="851"/>
        <w:rPr>
          <w:sz w:val="24"/>
          <w:szCs w:val="24"/>
        </w:rPr>
      </w:pPr>
    </w:p>
    <w:p w14:paraId="0684E215" w14:textId="77777777" w:rsidR="00B81BDE" w:rsidRPr="00CF3DBE" w:rsidRDefault="00B81BDE" w:rsidP="00A24BD2">
      <w:pPr>
        <w:ind w:left="851"/>
        <w:rPr>
          <w:sz w:val="24"/>
          <w:szCs w:val="24"/>
        </w:rPr>
      </w:pPr>
      <w:proofErr w:type="spellStart"/>
      <w:r w:rsidRPr="00CF3DBE">
        <w:rPr>
          <w:sz w:val="24"/>
          <w:szCs w:val="24"/>
        </w:rPr>
        <w:t>Xembify</w:t>
      </w:r>
      <w:proofErr w:type="spellEnd"/>
      <w:r w:rsidRPr="00CF3DBE">
        <w:rPr>
          <w:sz w:val="24"/>
          <w:szCs w:val="24"/>
        </w:rPr>
        <w:t xml:space="preserve"> blev evalueret hos 43 pædiatriske forsøgspersoner i alderen 2 til og med 16 år med PID, som omfattede 28 forsøgspersoner i alderen 12 år eller yngre. Det var ikke nødvendigt med specifikke dosiskrav hos pædiatriske forsøgspersoner for at opnå de ønskede serum-</w:t>
      </w:r>
      <w:proofErr w:type="spellStart"/>
      <w:r w:rsidRPr="00CF3DBE">
        <w:rPr>
          <w:sz w:val="24"/>
          <w:szCs w:val="24"/>
        </w:rPr>
        <w:t>IgG</w:t>
      </w:r>
      <w:proofErr w:type="spellEnd"/>
      <w:r w:rsidRPr="00CF3DBE">
        <w:rPr>
          <w:sz w:val="24"/>
          <w:szCs w:val="24"/>
        </w:rPr>
        <w:t>-niveauer.</w:t>
      </w:r>
    </w:p>
    <w:p w14:paraId="32E1E146" w14:textId="77777777" w:rsidR="00B81BDE" w:rsidRPr="00CF3DBE" w:rsidRDefault="00B81BDE" w:rsidP="00A24BD2">
      <w:pPr>
        <w:ind w:left="851"/>
        <w:rPr>
          <w:sz w:val="24"/>
          <w:szCs w:val="24"/>
          <w:u w:val="single"/>
        </w:rPr>
      </w:pPr>
    </w:p>
    <w:p w14:paraId="1E8C0343" w14:textId="77777777" w:rsidR="00B81BDE" w:rsidRPr="00CF3DBE" w:rsidRDefault="00B81BDE" w:rsidP="00A24BD2">
      <w:pPr>
        <w:ind w:left="851"/>
        <w:rPr>
          <w:sz w:val="24"/>
          <w:szCs w:val="24"/>
          <w:u w:val="single"/>
        </w:rPr>
      </w:pPr>
      <w:r w:rsidRPr="00CF3DBE">
        <w:rPr>
          <w:sz w:val="24"/>
          <w:szCs w:val="24"/>
          <w:u w:val="single"/>
        </w:rPr>
        <w:t xml:space="preserve">Administration </w:t>
      </w:r>
    </w:p>
    <w:p w14:paraId="6CD282DE" w14:textId="77777777" w:rsidR="00B81BDE" w:rsidRPr="00CF3DBE" w:rsidRDefault="00B81BDE" w:rsidP="00A24BD2">
      <w:pPr>
        <w:ind w:left="851"/>
        <w:rPr>
          <w:sz w:val="24"/>
          <w:szCs w:val="24"/>
        </w:rPr>
      </w:pPr>
      <w:r w:rsidRPr="00CF3DBE">
        <w:rPr>
          <w:sz w:val="24"/>
          <w:szCs w:val="24"/>
        </w:rPr>
        <w:t>Kun til subkutan anvendelse.</w:t>
      </w:r>
    </w:p>
    <w:p w14:paraId="62F36B11" w14:textId="77777777" w:rsidR="00B81BDE" w:rsidRPr="00CF3DBE" w:rsidRDefault="00B81BDE" w:rsidP="00A24BD2">
      <w:pPr>
        <w:ind w:left="851"/>
        <w:rPr>
          <w:sz w:val="24"/>
          <w:szCs w:val="24"/>
        </w:rPr>
      </w:pPr>
    </w:p>
    <w:p w14:paraId="2F5F6516" w14:textId="77777777" w:rsidR="00B81BDE" w:rsidRPr="00CF3DBE" w:rsidRDefault="00B81BDE" w:rsidP="00A24BD2">
      <w:pPr>
        <w:ind w:left="851"/>
        <w:rPr>
          <w:sz w:val="24"/>
          <w:szCs w:val="24"/>
        </w:rPr>
      </w:pPr>
      <w:r w:rsidRPr="00CF3DBE">
        <w:rPr>
          <w:sz w:val="24"/>
          <w:szCs w:val="24"/>
        </w:rPr>
        <w:t xml:space="preserve">Subkutan infusion til hjemmebehandling skal påbegyndes og overvåges af en sundhedsperson med erfaring i vejledning af patienter i hjemmebehandling. Infusionspumper, der er egnede til subkutan administration af </w:t>
      </w:r>
      <w:proofErr w:type="spellStart"/>
      <w:r w:rsidRPr="00CF3DBE">
        <w:rPr>
          <w:sz w:val="24"/>
          <w:szCs w:val="24"/>
        </w:rPr>
        <w:t>immunglobuliner</w:t>
      </w:r>
      <w:proofErr w:type="spellEnd"/>
      <w:r w:rsidRPr="00CF3DBE">
        <w:rPr>
          <w:sz w:val="24"/>
          <w:szCs w:val="24"/>
        </w:rPr>
        <w:t>, kan anvendes. Patienten eller en omsorgsperson skal instrueres i at bruge en infusionspumpe, i infusionsteknikkerne, i at føre en behandlingsdagbog, i at genkende alvorlige bivirkninger og at træffe de rette foranstaltninger, hvis de opstår.</w:t>
      </w:r>
    </w:p>
    <w:p w14:paraId="79B5C4C5" w14:textId="77777777" w:rsidR="00B81BDE" w:rsidRPr="00CF3DBE" w:rsidRDefault="00B81BDE" w:rsidP="00A24BD2">
      <w:pPr>
        <w:ind w:left="851"/>
        <w:rPr>
          <w:sz w:val="24"/>
          <w:szCs w:val="24"/>
        </w:rPr>
      </w:pPr>
    </w:p>
    <w:p w14:paraId="4D4ABA38" w14:textId="77777777" w:rsidR="00B81BDE" w:rsidRPr="00CF3DBE" w:rsidRDefault="00B81BDE" w:rsidP="00A24BD2">
      <w:pPr>
        <w:ind w:left="851"/>
        <w:rPr>
          <w:sz w:val="24"/>
          <w:szCs w:val="24"/>
        </w:rPr>
      </w:pPr>
      <w:proofErr w:type="spellStart"/>
      <w:r w:rsidRPr="00CF3DBE">
        <w:rPr>
          <w:sz w:val="24"/>
          <w:szCs w:val="24"/>
        </w:rPr>
        <w:t>Xembify</w:t>
      </w:r>
      <w:proofErr w:type="spellEnd"/>
      <w:r w:rsidRPr="00CF3DBE">
        <w:rPr>
          <w:sz w:val="24"/>
          <w:szCs w:val="24"/>
        </w:rPr>
        <w:t xml:space="preserve"> kan injiceres på steder såsom mave, lår, overarm og lateral hofte.</w:t>
      </w:r>
    </w:p>
    <w:p w14:paraId="46D6CB8A" w14:textId="77777777" w:rsidR="00B81BDE" w:rsidRPr="00CF3DBE" w:rsidRDefault="00B81BDE" w:rsidP="00A24BD2">
      <w:pPr>
        <w:ind w:left="851"/>
        <w:rPr>
          <w:sz w:val="24"/>
          <w:szCs w:val="24"/>
        </w:rPr>
      </w:pPr>
      <w:r w:rsidRPr="00CF3DBE">
        <w:rPr>
          <w:sz w:val="24"/>
          <w:szCs w:val="24"/>
        </w:rPr>
        <w:t>Den anbefalede indledende infusionshastighed afhænger af patientens individuelle behov. Justering af infusionshastighed og infusionsvolumen pr. sted er baseret på personens tolerance.</w:t>
      </w:r>
    </w:p>
    <w:p w14:paraId="394B34C4" w14:textId="77777777" w:rsidR="00B81BDE" w:rsidRPr="00CF3DBE" w:rsidRDefault="00B81BDE" w:rsidP="00A24BD2">
      <w:pPr>
        <w:ind w:left="851"/>
        <w:rPr>
          <w:sz w:val="24"/>
          <w:szCs w:val="24"/>
        </w:rPr>
      </w:pPr>
    </w:p>
    <w:p w14:paraId="15340F8F" w14:textId="77777777" w:rsidR="00B81BDE" w:rsidRPr="00CF3DBE" w:rsidRDefault="00B81BDE" w:rsidP="00A24BD2">
      <w:pPr>
        <w:ind w:left="851"/>
        <w:rPr>
          <w:color w:val="000000"/>
          <w:sz w:val="24"/>
          <w:szCs w:val="24"/>
          <w:shd w:val="clear" w:color="auto" w:fill="FFFFFF"/>
        </w:rPr>
      </w:pPr>
      <w:r w:rsidRPr="00CF3DBE">
        <w:rPr>
          <w:color w:val="000000"/>
          <w:sz w:val="24"/>
          <w:szCs w:val="24"/>
          <w:shd w:val="clear" w:color="auto" w:fill="FFFFFF"/>
        </w:rPr>
        <w:t>Det anbefales at anvende en indledende administrationshastighed på 10 ml/t/infusionssted. Hvis det er veltolereret (se pkt. 4.4), kan administrationshastigheden øges med intervaller på mindst 10 minutter til maksimalt 20 ml/t/infusionssted for pædiatriske patienter og til maksimalt 25 ml/t/infusionssted for voksne under de første to infusioner.</w:t>
      </w:r>
    </w:p>
    <w:p w14:paraId="094597F3" w14:textId="77777777" w:rsidR="00B81BDE" w:rsidRPr="00CF3DBE" w:rsidRDefault="00B81BDE" w:rsidP="00A24BD2">
      <w:pPr>
        <w:ind w:left="851"/>
        <w:rPr>
          <w:sz w:val="24"/>
          <w:szCs w:val="24"/>
        </w:rPr>
      </w:pPr>
    </w:p>
    <w:p w14:paraId="4DE30531" w14:textId="77777777" w:rsidR="00B81BDE" w:rsidRPr="00CF3DBE" w:rsidRDefault="00B81BDE" w:rsidP="00A24BD2">
      <w:pPr>
        <w:ind w:left="851"/>
        <w:rPr>
          <w:sz w:val="24"/>
          <w:szCs w:val="24"/>
        </w:rPr>
      </w:pPr>
      <w:r w:rsidRPr="00CF3DBE">
        <w:rPr>
          <w:sz w:val="24"/>
          <w:szCs w:val="24"/>
        </w:rPr>
        <w:t xml:space="preserve">Hvis det er veltolereret (se pkt. 4.4) ved to infusioner, kan infusionshastigheden gradvist øges til 35 ml/t/sted. </w:t>
      </w:r>
    </w:p>
    <w:p w14:paraId="194B0052" w14:textId="77777777" w:rsidR="00B81BDE" w:rsidRPr="00CF3DBE" w:rsidRDefault="00B81BDE" w:rsidP="00A24BD2">
      <w:pPr>
        <w:ind w:left="851"/>
        <w:rPr>
          <w:sz w:val="24"/>
          <w:szCs w:val="24"/>
        </w:rPr>
      </w:pPr>
    </w:p>
    <w:p w14:paraId="6D580342" w14:textId="77777777" w:rsidR="00B81BDE" w:rsidRPr="00CF3DBE" w:rsidRDefault="00B81BDE" w:rsidP="00A24BD2">
      <w:pPr>
        <w:ind w:left="851"/>
        <w:rPr>
          <w:sz w:val="24"/>
          <w:szCs w:val="24"/>
        </w:rPr>
      </w:pPr>
      <w:r w:rsidRPr="00CF3DBE">
        <w:rPr>
          <w:sz w:val="24"/>
          <w:szCs w:val="24"/>
        </w:rPr>
        <w:t xml:space="preserve">Der kan bruges mere end én pumpe samtidigt. Mængden af præparat, der </w:t>
      </w:r>
      <w:proofErr w:type="spellStart"/>
      <w:r w:rsidRPr="00CF3DBE">
        <w:rPr>
          <w:sz w:val="24"/>
          <w:szCs w:val="24"/>
        </w:rPr>
        <w:t>infunderes</w:t>
      </w:r>
      <w:proofErr w:type="spellEnd"/>
      <w:r w:rsidRPr="00CF3DBE">
        <w:rPr>
          <w:sz w:val="24"/>
          <w:szCs w:val="24"/>
        </w:rPr>
        <w:t xml:space="preserve"> på et bestemt sted, varierer. Hos spædbørn og børn kan infusionsstederne ændres for hver 5</w:t>
      </w:r>
      <w:r w:rsidRPr="00CF3DBE">
        <w:rPr>
          <w:sz w:val="24"/>
          <w:szCs w:val="24"/>
        </w:rPr>
        <w:noBreakHyphen/>
        <w:t xml:space="preserve">15 ml. Hos voksne kan doser over 30 ml deles i henhold til patientens præference. Der er </w:t>
      </w:r>
      <w:r w:rsidRPr="00CF3DBE">
        <w:rPr>
          <w:sz w:val="24"/>
          <w:szCs w:val="24"/>
        </w:rPr>
        <w:lastRenderedPageBreak/>
        <w:t>ingen grænse for antallet af infusionssteder. Infusionsstederne skal være mindst 5 cm fra hinanden. Infusionsstederne skal roteres, og fremspringende knogler skal undgås.</w:t>
      </w:r>
    </w:p>
    <w:p w14:paraId="5523BA21" w14:textId="77777777" w:rsidR="009260DE" w:rsidRPr="00CF3DBE" w:rsidRDefault="009260DE" w:rsidP="009260DE">
      <w:pPr>
        <w:tabs>
          <w:tab w:val="left" w:pos="851"/>
        </w:tabs>
        <w:ind w:left="851"/>
        <w:rPr>
          <w:sz w:val="24"/>
          <w:szCs w:val="24"/>
        </w:rPr>
      </w:pPr>
    </w:p>
    <w:p w14:paraId="1D707817" w14:textId="77777777" w:rsidR="009260DE" w:rsidRPr="00CF3DBE" w:rsidRDefault="009260DE" w:rsidP="009260DE">
      <w:pPr>
        <w:tabs>
          <w:tab w:val="left" w:pos="851"/>
        </w:tabs>
        <w:ind w:left="851" w:hanging="851"/>
        <w:rPr>
          <w:b/>
          <w:sz w:val="24"/>
          <w:szCs w:val="24"/>
        </w:rPr>
      </w:pPr>
      <w:r w:rsidRPr="00CF3DBE">
        <w:rPr>
          <w:b/>
          <w:sz w:val="24"/>
          <w:szCs w:val="24"/>
        </w:rPr>
        <w:t>4.3</w:t>
      </w:r>
      <w:r w:rsidRPr="00CF3DBE">
        <w:rPr>
          <w:b/>
          <w:sz w:val="24"/>
          <w:szCs w:val="24"/>
        </w:rPr>
        <w:tab/>
        <w:t>Kontraindikationer</w:t>
      </w:r>
    </w:p>
    <w:p w14:paraId="3E9A633D" w14:textId="77777777" w:rsidR="00B81BDE" w:rsidRPr="00CF3DBE" w:rsidRDefault="00B81BDE" w:rsidP="00A24BD2">
      <w:pPr>
        <w:ind w:left="851"/>
        <w:rPr>
          <w:sz w:val="24"/>
          <w:szCs w:val="24"/>
        </w:rPr>
      </w:pPr>
      <w:r w:rsidRPr="00CF3DBE">
        <w:rPr>
          <w:sz w:val="24"/>
          <w:szCs w:val="24"/>
        </w:rPr>
        <w:t xml:space="preserve">Overfølsomhed over for det aktive stof eller over for et eller flere af hjælpestofferne anført i pkt. 6.1 (se pkt. 4.4). </w:t>
      </w:r>
      <w:proofErr w:type="spellStart"/>
      <w:r w:rsidRPr="00CF3DBE">
        <w:rPr>
          <w:sz w:val="24"/>
          <w:szCs w:val="24"/>
        </w:rPr>
        <w:t>Xembify</w:t>
      </w:r>
      <w:proofErr w:type="spellEnd"/>
      <w:r w:rsidRPr="00CF3DBE">
        <w:rPr>
          <w:sz w:val="24"/>
          <w:szCs w:val="24"/>
        </w:rPr>
        <w:t xml:space="preserve"> må ikke gives </w:t>
      </w:r>
      <w:proofErr w:type="spellStart"/>
      <w:r w:rsidRPr="00CF3DBE">
        <w:rPr>
          <w:sz w:val="24"/>
          <w:szCs w:val="24"/>
        </w:rPr>
        <w:t>intravaskulært</w:t>
      </w:r>
      <w:proofErr w:type="spellEnd"/>
      <w:r w:rsidRPr="00CF3DBE">
        <w:rPr>
          <w:sz w:val="24"/>
          <w:szCs w:val="24"/>
        </w:rPr>
        <w:t xml:space="preserve"> eller intramuskulært.</w:t>
      </w:r>
    </w:p>
    <w:p w14:paraId="43DDED35" w14:textId="77777777" w:rsidR="00B81BDE" w:rsidRPr="00CF3DBE" w:rsidRDefault="00B81BDE" w:rsidP="00A24BD2">
      <w:pPr>
        <w:ind w:left="851"/>
        <w:rPr>
          <w:sz w:val="24"/>
          <w:szCs w:val="24"/>
        </w:rPr>
      </w:pPr>
    </w:p>
    <w:p w14:paraId="33E1E01F" w14:textId="77777777" w:rsidR="00B81BDE" w:rsidRPr="00CF3DBE" w:rsidRDefault="00B81BDE" w:rsidP="00A24BD2">
      <w:pPr>
        <w:ind w:left="851"/>
        <w:rPr>
          <w:sz w:val="24"/>
          <w:szCs w:val="24"/>
        </w:rPr>
      </w:pPr>
      <w:r w:rsidRPr="00CF3DBE">
        <w:rPr>
          <w:sz w:val="24"/>
          <w:szCs w:val="24"/>
        </w:rPr>
        <w:t xml:space="preserve">Patienter, der har haft en </w:t>
      </w:r>
      <w:proofErr w:type="spellStart"/>
      <w:r w:rsidRPr="00CF3DBE">
        <w:rPr>
          <w:sz w:val="24"/>
          <w:szCs w:val="24"/>
        </w:rPr>
        <w:t>anafylaktisk</w:t>
      </w:r>
      <w:proofErr w:type="spellEnd"/>
      <w:r w:rsidRPr="00CF3DBE">
        <w:rPr>
          <w:sz w:val="24"/>
          <w:szCs w:val="24"/>
        </w:rPr>
        <w:t xml:space="preserve"> eller svær systemisk reaktion på administration af humant </w:t>
      </w:r>
      <w:proofErr w:type="spellStart"/>
      <w:r w:rsidRPr="00CF3DBE">
        <w:rPr>
          <w:sz w:val="24"/>
          <w:szCs w:val="24"/>
        </w:rPr>
        <w:t>immunglobulin</w:t>
      </w:r>
      <w:proofErr w:type="spellEnd"/>
      <w:r w:rsidRPr="00CF3DBE">
        <w:rPr>
          <w:sz w:val="24"/>
          <w:szCs w:val="24"/>
        </w:rPr>
        <w:t xml:space="preserve">. </w:t>
      </w:r>
    </w:p>
    <w:p w14:paraId="7B5FE53E" w14:textId="77777777" w:rsidR="00B81BDE" w:rsidRPr="00CF3DBE" w:rsidRDefault="00B81BDE" w:rsidP="00A24BD2">
      <w:pPr>
        <w:ind w:left="851"/>
        <w:rPr>
          <w:sz w:val="24"/>
          <w:szCs w:val="24"/>
        </w:rPr>
      </w:pPr>
    </w:p>
    <w:p w14:paraId="28EA6F84" w14:textId="77777777" w:rsidR="00B81BDE" w:rsidRPr="00CF3DBE" w:rsidRDefault="00B81BDE" w:rsidP="00A24BD2">
      <w:pPr>
        <w:ind w:left="851"/>
        <w:rPr>
          <w:sz w:val="24"/>
          <w:szCs w:val="24"/>
        </w:rPr>
      </w:pPr>
      <w:r w:rsidRPr="00CF3DBE">
        <w:rPr>
          <w:sz w:val="24"/>
          <w:szCs w:val="24"/>
        </w:rPr>
        <w:t xml:space="preserve">Patienter med </w:t>
      </w:r>
      <w:proofErr w:type="spellStart"/>
      <w:r w:rsidRPr="00CF3DBE">
        <w:rPr>
          <w:sz w:val="24"/>
          <w:szCs w:val="24"/>
        </w:rPr>
        <w:t>IgA</w:t>
      </w:r>
      <w:proofErr w:type="spellEnd"/>
      <w:r w:rsidRPr="00CF3DBE">
        <w:rPr>
          <w:sz w:val="24"/>
          <w:szCs w:val="24"/>
        </w:rPr>
        <w:t xml:space="preserve">-defekt med antistoffer mod </w:t>
      </w:r>
      <w:proofErr w:type="spellStart"/>
      <w:r w:rsidRPr="00CF3DBE">
        <w:rPr>
          <w:sz w:val="24"/>
          <w:szCs w:val="24"/>
        </w:rPr>
        <w:t>IgA</w:t>
      </w:r>
      <w:proofErr w:type="spellEnd"/>
      <w:r w:rsidRPr="00CF3DBE">
        <w:rPr>
          <w:sz w:val="24"/>
          <w:szCs w:val="24"/>
        </w:rPr>
        <w:t xml:space="preserve"> og tidligere overfølsomhed over for behandling med humant </w:t>
      </w:r>
      <w:proofErr w:type="spellStart"/>
      <w:r w:rsidRPr="00CF3DBE">
        <w:rPr>
          <w:sz w:val="24"/>
          <w:szCs w:val="24"/>
        </w:rPr>
        <w:t>immunglobulin</w:t>
      </w:r>
      <w:proofErr w:type="spellEnd"/>
      <w:r w:rsidRPr="00CF3DBE">
        <w:rPr>
          <w:sz w:val="24"/>
          <w:szCs w:val="24"/>
        </w:rPr>
        <w:t>.</w:t>
      </w:r>
    </w:p>
    <w:p w14:paraId="063FE598" w14:textId="77777777" w:rsidR="009260DE" w:rsidRPr="00CF3DBE" w:rsidRDefault="009260DE" w:rsidP="009260DE">
      <w:pPr>
        <w:tabs>
          <w:tab w:val="left" w:pos="851"/>
        </w:tabs>
        <w:ind w:left="851"/>
        <w:rPr>
          <w:sz w:val="24"/>
          <w:szCs w:val="24"/>
        </w:rPr>
      </w:pPr>
    </w:p>
    <w:p w14:paraId="5C57ACBE" w14:textId="77777777" w:rsidR="009260DE" w:rsidRPr="00CF3DBE" w:rsidRDefault="009260DE" w:rsidP="009260DE">
      <w:pPr>
        <w:tabs>
          <w:tab w:val="left" w:pos="851"/>
        </w:tabs>
        <w:ind w:left="851" w:hanging="851"/>
        <w:rPr>
          <w:b/>
          <w:sz w:val="24"/>
          <w:szCs w:val="24"/>
        </w:rPr>
      </w:pPr>
      <w:r w:rsidRPr="00CF3DBE">
        <w:rPr>
          <w:b/>
          <w:sz w:val="24"/>
          <w:szCs w:val="24"/>
        </w:rPr>
        <w:t>4.4</w:t>
      </w:r>
      <w:r w:rsidRPr="00CF3DBE">
        <w:rPr>
          <w:b/>
          <w:sz w:val="24"/>
          <w:szCs w:val="24"/>
        </w:rPr>
        <w:tab/>
        <w:t>Særlige advarsler og forsigtighedsregler vedrørende brugen</w:t>
      </w:r>
    </w:p>
    <w:p w14:paraId="297DCCA9" w14:textId="77777777" w:rsidR="00B946CD" w:rsidRPr="00CF3DBE" w:rsidRDefault="00B946CD" w:rsidP="00A24BD2">
      <w:pPr>
        <w:ind w:left="851"/>
        <w:rPr>
          <w:sz w:val="24"/>
          <w:szCs w:val="24"/>
        </w:rPr>
      </w:pPr>
    </w:p>
    <w:p w14:paraId="77A04F50" w14:textId="3B4036A9" w:rsidR="00B81BDE" w:rsidRPr="00CF3DBE" w:rsidRDefault="00B81BDE" w:rsidP="00A24BD2">
      <w:pPr>
        <w:ind w:left="851"/>
        <w:rPr>
          <w:bCs/>
          <w:sz w:val="24"/>
          <w:szCs w:val="24"/>
          <w:u w:val="single"/>
        </w:rPr>
      </w:pPr>
      <w:r w:rsidRPr="00CF3DBE">
        <w:rPr>
          <w:sz w:val="24"/>
          <w:szCs w:val="24"/>
          <w:u w:val="single"/>
        </w:rPr>
        <w:t>Sporbarhed</w:t>
      </w:r>
    </w:p>
    <w:p w14:paraId="5C0FA360" w14:textId="77777777" w:rsidR="00B81BDE" w:rsidRPr="00CF3DBE" w:rsidRDefault="00B81BDE" w:rsidP="00A24BD2">
      <w:pPr>
        <w:ind w:left="851"/>
        <w:rPr>
          <w:sz w:val="24"/>
          <w:szCs w:val="24"/>
        </w:rPr>
      </w:pPr>
    </w:p>
    <w:p w14:paraId="5EFB88B1" w14:textId="77777777" w:rsidR="00B81BDE" w:rsidRPr="00CF3DBE" w:rsidRDefault="00B81BDE" w:rsidP="00A24BD2">
      <w:pPr>
        <w:ind w:left="851"/>
        <w:rPr>
          <w:sz w:val="24"/>
          <w:szCs w:val="24"/>
        </w:rPr>
      </w:pPr>
      <w:r w:rsidRPr="00CF3DBE">
        <w:rPr>
          <w:sz w:val="24"/>
          <w:szCs w:val="24"/>
        </w:rPr>
        <w:t>For at forbedre sporbarheden af biologiske lægemidler skal det administrerede produkts handelsnavn og batchnummer tydeligt registreres.</w:t>
      </w:r>
    </w:p>
    <w:p w14:paraId="72B7E0F0" w14:textId="77777777" w:rsidR="00B81BDE" w:rsidRPr="00CF3DBE" w:rsidRDefault="00B81BDE" w:rsidP="00A24BD2">
      <w:pPr>
        <w:ind w:left="851"/>
        <w:rPr>
          <w:sz w:val="24"/>
          <w:szCs w:val="24"/>
        </w:rPr>
      </w:pPr>
    </w:p>
    <w:p w14:paraId="133D53F2" w14:textId="77777777" w:rsidR="00B81BDE" w:rsidRPr="00CF3DBE" w:rsidRDefault="00B81BDE" w:rsidP="00A24BD2">
      <w:pPr>
        <w:ind w:left="851"/>
        <w:rPr>
          <w:sz w:val="24"/>
          <w:szCs w:val="24"/>
        </w:rPr>
      </w:pPr>
      <w:r w:rsidRPr="00CF3DBE">
        <w:rPr>
          <w:sz w:val="24"/>
          <w:szCs w:val="24"/>
        </w:rPr>
        <w:t xml:space="preserve">Hvis </w:t>
      </w:r>
      <w:proofErr w:type="spellStart"/>
      <w:r w:rsidRPr="00CF3DBE">
        <w:rPr>
          <w:sz w:val="24"/>
          <w:szCs w:val="24"/>
        </w:rPr>
        <w:t>Xembify</w:t>
      </w:r>
      <w:proofErr w:type="spellEnd"/>
      <w:r w:rsidRPr="00CF3DBE">
        <w:rPr>
          <w:sz w:val="24"/>
          <w:szCs w:val="24"/>
        </w:rPr>
        <w:t xml:space="preserve"> ved et uheld administreres i et blodkar, kan patienten udvikle </w:t>
      </w:r>
      <w:proofErr w:type="spellStart"/>
      <w:r w:rsidRPr="00CF3DBE">
        <w:rPr>
          <w:sz w:val="24"/>
          <w:szCs w:val="24"/>
        </w:rPr>
        <w:t>shock</w:t>
      </w:r>
      <w:proofErr w:type="spellEnd"/>
      <w:r w:rsidRPr="00CF3DBE">
        <w:rPr>
          <w:sz w:val="24"/>
          <w:szCs w:val="24"/>
        </w:rPr>
        <w:t>.</w:t>
      </w:r>
    </w:p>
    <w:p w14:paraId="32CA2F06" w14:textId="77777777" w:rsidR="00B81BDE" w:rsidRPr="00CF3DBE" w:rsidRDefault="00B81BDE" w:rsidP="00A24BD2">
      <w:pPr>
        <w:ind w:left="851"/>
        <w:rPr>
          <w:sz w:val="24"/>
          <w:szCs w:val="24"/>
        </w:rPr>
      </w:pPr>
    </w:p>
    <w:p w14:paraId="117AD74B" w14:textId="77777777" w:rsidR="00B81BDE" w:rsidRPr="00CF3DBE" w:rsidRDefault="00B81BDE" w:rsidP="00A24BD2">
      <w:pPr>
        <w:ind w:left="851"/>
        <w:rPr>
          <w:sz w:val="24"/>
          <w:szCs w:val="24"/>
        </w:rPr>
      </w:pPr>
      <w:r w:rsidRPr="00CF3DBE">
        <w:rPr>
          <w:sz w:val="24"/>
          <w:szCs w:val="24"/>
        </w:rPr>
        <w:t>Den anbefalede infusionshastighed angivet i pkt. 4.2 skal følges nøje. Patienter skal overvåges nøje og følges tæt for eventuelle symptomer i hele infusionsperioden.</w:t>
      </w:r>
    </w:p>
    <w:p w14:paraId="30A2111E" w14:textId="77777777" w:rsidR="00B81BDE" w:rsidRPr="00CF3DBE" w:rsidRDefault="00B81BDE" w:rsidP="00A24BD2">
      <w:pPr>
        <w:ind w:left="851"/>
        <w:rPr>
          <w:sz w:val="24"/>
          <w:szCs w:val="24"/>
        </w:rPr>
      </w:pPr>
    </w:p>
    <w:p w14:paraId="54778091" w14:textId="77777777" w:rsidR="00B81BDE" w:rsidRPr="00CF3DBE" w:rsidRDefault="00B81BDE" w:rsidP="00A24BD2">
      <w:pPr>
        <w:ind w:left="851"/>
        <w:rPr>
          <w:sz w:val="24"/>
          <w:szCs w:val="24"/>
        </w:rPr>
      </w:pPr>
      <w:r w:rsidRPr="00CF3DBE">
        <w:rPr>
          <w:sz w:val="24"/>
          <w:szCs w:val="24"/>
        </w:rPr>
        <w:t xml:space="preserve">Visse bivirkninger kan forekomme mere hyppigt hos patienter, der får humant normalt </w:t>
      </w:r>
      <w:proofErr w:type="spellStart"/>
      <w:r w:rsidRPr="00CF3DBE">
        <w:rPr>
          <w:sz w:val="24"/>
          <w:szCs w:val="24"/>
        </w:rPr>
        <w:t>immunglobulin</w:t>
      </w:r>
      <w:proofErr w:type="spellEnd"/>
      <w:r w:rsidRPr="00CF3DBE">
        <w:rPr>
          <w:sz w:val="24"/>
          <w:szCs w:val="24"/>
        </w:rPr>
        <w:t xml:space="preserve"> for første gang, eller i sjældne tilfælde når det humane, normale </w:t>
      </w:r>
      <w:proofErr w:type="spellStart"/>
      <w:r w:rsidRPr="00CF3DBE">
        <w:rPr>
          <w:sz w:val="24"/>
          <w:szCs w:val="24"/>
        </w:rPr>
        <w:t>immunglobulin</w:t>
      </w:r>
      <w:proofErr w:type="spellEnd"/>
      <w:r w:rsidRPr="00CF3DBE">
        <w:rPr>
          <w:sz w:val="24"/>
          <w:szCs w:val="24"/>
        </w:rPr>
        <w:t>-præparat udskiftes, eller hvis der er gået lang tid siden den sidste infusion.</w:t>
      </w:r>
    </w:p>
    <w:p w14:paraId="078C1E42" w14:textId="77777777" w:rsidR="00B81BDE" w:rsidRPr="00CF3DBE" w:rsidRDefault="00B81BDE" w:rsidP="00A24BD2">
      <w:pPr>
        <w:ind w:left="851"/>
        <w:rPr>
          <w:sz w:val="24"/>
          <w:szCs w:val="24"/>
        </w:rPr>
      </w:pPr>
    </w:p>
    <w:p w14:paraId="25718CD1" w14:textId="77777777" w:rsidR="00B81BDE" w:rsidRPr="00CF3DBE" w:rsidRDefault="00B81BDE" w:rsidP="00A24BD2">
      <w:pPr>
        <w:ind w:left="851"/>
        <w:rPr>
          <w:sz w:val="24"/>
          <w:szCs w:val="24"/>
        </w:rPr>
      </w:pPr>
      <w:r w:rsidRPr="00CF3DBE">
        <w:rPr>
          <w:sz w:val="24"/>
          <w:szCs w:val="24"/>
        </w:rPr>
        <w:t>Mulige komplikationer kan ofte undgås ved:</w:t>
      </w:r>
    </w:p>
    <w:p w14:paraId="1033E24E" w14:textId="77777777" w:rsidR="00B81BDE" w:rsidRPr="00CF3DBE" w:rsidRDefault="00B81BDE" w:rsidP="00B946CD">
      <w:pPr>
        <w:pStyle w:val="Listeafsnit"/>
        <w:numPr>
          <w:ilvl w:val="0"/>
          <w:numId w:val="11"/>
        </w:numPr>
        <w:ind w:left="1276" w:hanging="425"/>
        <w:rPr>
          <w:sz w:val="24"/>
          <w:szCs w:val="24"/>
        </w:rPr>
      </w:pPr>
      <w:r w:rsidRPr="00CF3DBE">
        <w:rPr>
          <w:sz w:val="24"/>
          <w:szCs w:val="24"/>
        </w:rPr>
        <w:t>indledningsvis at injicere præparatet langsomt (højst 25 ml/t/sted)</w:t>
      </w:r>
    </w:p>
    <w:p w14:paraId="317D7C8A" w14:textId="77777777" w:rsidR="00B81BDE" w:rsidRPr="00CF3DBE" w:rsidRDefault="00B81BDE" w:rsidP="00B946CD">
      <w:pPr>
        <w:pStyle w:val="Listeafsnit"/>
        <w:numPr>
          <w:ilvl w:val="0"/>
          <w:numId w:val="11"/>
        </w:numPr>
        <w:ind w:left="1276" w:hanging="425"/>
        <w:rPr>
          <w:sz w:val="24"/>
          <w:szCs w:val="24"/>
        </w:rPr>
      </w:pPr>
      <w:r w:rsidRPr="00CF3DBE">
        <w:rPr>
          <w:sz w:val="24"/>
          <w:szCs w:val="24"/>
        </w:rPr>
        <w:t xml:space="preserve">at sikre, at patienterne overvåges nøje for eventuelle symptomer i hele infusionsperioden. Især skal patienter, der er naive med hensyn til humant normalt </w:t>
      </w:r>
      <w:proofErr w:type="spellStart"/>
      <w:r w:rsidRPr="00CF3DBE">
        <w:rPr>
          <w:sz w:val="24"/>
          <w:szCs w:val="24"/>
        </w:rPr>
        <w:t>immunglobulin</w:t>
      </w:r>
      <w:proofErr w:type="spellEnd"/>
      <w:r w:rsidRPr="00CF3DBE">
        <w:rPr>
          <w:sz w:val="24"/>
          <w:szCs w:val="24"/>
        </w:rPr>
        <w:t xml:space="preserve">, patienter, der skiftede fra et alternativt </w:t>
      </w:r>
      <w:proofErr w:type="spellStart"/>
      <w:r w:rsidRPr="00CF3DBE">
        <w:rPr>
          <w:sz w:val="24"/>
          <w:szCs w:val="24"/>
        </w:rPr>
        <w:t>immunglobulin</w:t>
      </w:r>
      <w:proofErr w:type="spellEnd"/>
      <w:r w:rsidRPr="00CF3DBE">
        <w:rPr>
          <w:sz w:val="24"/>
          <w:szCs w:val="24"/>
        </w:rPr>
        <w:t>-præparat, eller hvis der er gået lang tid siden den tidligere infusion, overvåges under den første infusion og i den første time efter den første infusion for at detektere mulige tegn på bivirkninger.</w:t>
      </w:r>
    </w:p>
    <w:p w14:paraId="361F886F" w14:textId="77777777" w:rsidR="00B81BDE" w:rsidRPr="00CF3DBE" w:rsidRDefault="00B81BDE" w:rsidP="00A24BD2">
      <w:pPr>
        <w:ind w:left="851"/>
        <w:rPr>
          <w:sz w:val="24"/>
          <w:szCs w:val="24"/>
        </w:rPr>
      </w:pPr>
      <w:r w:rsidRPr="00CF3DBE">
        <w:rPr>
          <w:sz w:val="24"/>
          <w:szCs w:val="24"/>
        </w:rPr>
        <w:t>Alle andre patienter skal observeres i mindst 20 minutter efter administration.</w:t>
      </w:r>
    </w:p>
    <w:p w14:paraId="72C1DD0B" w14:textId="77777777" w:rsidR="00B81BDE" w:rsidRPr="00CF3DBE" w:rsidRDefault="00B81BDE" w:rsidP="00A24BD2">
      <w:pPr>
        <w:ind w:left="851"/>
        <w:rPr>
          <w:sz w:val="24"/>
          <w:szCs w:val="24"/>
        </w:rPr>
      </w:pPr>
    </w:p>
    <w:p w14:paraId="1249DD38" w14:textId="77777777" w:rsidR="00B81BDE" w:rsidRPr="00CF3DBE" w:rsidRDefault="00B81BDE" w:rsidP="00A24BD2">
      <w:pPr>
        <w:ind w:left="851"/>
        <w:rPr>
          <w:sz w:val="24"/>
          <w:szCs w:val="24"/>
        </w:rPr>
      </w:pPr>
      <w:r w:rsidRPr="00CF3DBE">
        <w:rPr>
          <w:sz w:val="24"/>
          <w:szCs w:val="24"/>
        </w:rPr>
        <w:t xml:space="preserve">Hvis der opstår en bivirkning, skal administrationshastigheden enten reduceres, eller infusionen skal stoppes. Den påkrævede behandling afhænger af arten og sværhedsgraden af bivirkningen. Allergiske eller </w:t>
      </w:r>
      <w:proofErr w:type="spellStart"/>
      <w:r w:rsidRPr="00CF3DBE">
        <w:rPr>
          <w:sz w:val="24"/>
          <w:szCs w:val="24"/>
        </w:rPr>
        <w:t>anafylaktiske</w:t>
      </w:r>
      <w:proofErr w:type="spellEnd"/>
      <w:r w:rsidRPr="00CF3DBE">
        <w:rPr>
          <w:sz w:val="24"/>
          <w:szCs w:val="24"/>
        </w:rPr>
        <w:t xml:space="preserve"> reaktioner kræver øjeblikkelig </w:t>
      </w:r>
      <w:proofErr w:type="spellStart"/>
      <w:r w:rsidRPr="00CF3DBE">
        <w:rPr>
          <w:sz w:val="24"/>
          <w:szCs w:val="24"/>
        </w:rPr>
        <w:t>seponering</w:t>
      </w:r>
      <w:proofErr w:type="spellEnd"/>
      <w:r w:rsidRPr="00CF3DBE">
        <w:rPr>
          <w:sz w:val="24"/>
          <w:szCs w:val="24"/>
        </w:rPr>
        <w:t>.</w:t>
      </w:r>
    </w:p>
    <w:p w14:paraId="36B86850" w14:textId="77777777" w:rsidR="00B81BDE" w:rsidRPr="00CF3DBE" w:rsidRDefault="00B81BDE" w:rsidP="00A24BD2">
      <w:pPr>
        <w:ind w:left="851"/>
        <w:rPr>
          <w:sz w:val="24"/>
          <w:szCs w:val="24"/>
        </w:rPr>
      </w:pPr>
      <w:r w:rsidRPr="00CF3DBE">
        <w:rPr>
          <w:sz w:val="24"/>
          <w:szCs w:val="24"/>
        </w:rPr>
        <w:t xml:space="preserve">I tilfælde af </w:t>
      </w:r>
      <w:proofErr w:type="spellStart"/>
      <w:r w:rsidRPr="00CF3DBE">
        <w:rPr>
          <w:sz w:val="24"/>
          <w:szCs w:val="24"/>
        </w:rPr>
        <w:t>shock</w:t>
      </w:r>
      <w:proofErr w:type="spellEnd"/>
      <w:r w:rsidRPr="00CF3DBE">
        <w:rPr>
          <w:sz w:val="24"/>
          <w:szCs w:val="24"/>
        </w:rPr>
        <w:t xml:space="preserve"> skal der iværksættes medicinsk standardbehandling mod </w:t>
      </w:r>
      <w:proofErr w:type="spellStart"/>
      <w:r w:rsidRPr="00CF3DBE">
        <w:rPr>
          <w:sz w:val="24"/>
          <w:szCs w:val="24"/>
        </w:rPr>
        <w:t>shock</w:t>
      </w:r>
      <w:proofErr w:type="spellEnd"/>
      <w:r w:rsidRPr="00CF3DBE">
        <w:rPr>
          <w:sz w:val="24"/>
          <w:szCs w:val="24"/>
        </w:rPr>
        <w:t>.</w:t>
      </w:r>
    </w:p>
    <w:p w14:paraId="5B869D07" w14:textId="77777777" w:rsidR="00B81BDE" w:rsidRPr="00CF3DBE" w:rsidRDefault="00B81BDE" w:rsidP="00A24BD2">
      <w:pPr>
        <w:ind w:left="851"/>
        <w:rPr>
          <w:sz w:val="24"/>
          <w:szCs w:val="24"/>
        </w:rPr>
      </w:pPr>
    </w:p>
    <w:p w14:paraId="5642F8D2" w14:textId="77777777" w:rsidR="00B81BDE" w:rsidRPr="00CF3DBE" w:rsidRDefault="00B81BDE" w:rsidP="00A24BD2">
      <w:pPr>
        <w:ind w:left="851"/>
        <w:rPr>
          <w:sz w:val="24"/>
          <w:szCs w:val="24"/>
          <w:u w:val="single"/>
        </w:rPr>
      </w:pPr>
      <w:r w:rsidRPr="00CF3DBE">
        <w:rPr>
          <w:sz w:val="24"/>
          <w:szCs w:val="24"/>
          <w:u w:val="single"/>
        </w:rPr>
        <w:t>Overfølsomhed</w:t>
      </w:r>
    </w:p>
    <w:p w14:paraId="625083FA" w14:textId="77777777" w:rsidR="00B81BDE" w:rsidRPr="00CF3DBE" w:rsidRDefault="00B81BDE" w:rsidP="00A24BD2">
      <w:pPr>
        <w:ind w:left="851"/>
        <w:rPr>
          <w:sz w:val="24"/>
          <w:szCs w:val="24"/>
        </w:rPr>
      </w:pPr>
    </w:p>
    <w:p w14:paraId="45E3F90B" w14:textId="77777777" w:rsidR="00B81BDE" w:rsidRPr="00CF3DBE" w:rsidRDefault="00B81BDE" w:rsidP="00A24BD2">
      <w:pPr>
        <w:ind w:left="851"/>
        <w:rPr>
          <w:sz w:val="24"/>
          <w:szCs w:val="24"/>
        </w:rPr>
      </w:pPr>
      <w:r w:rsidRPr="00CF3DBE">
        <w:rPr>
          <w:sz w:val="24"/>
          <w:szCs w:val="24"/>
        </w:rPr>
        <w:t xml:space="preserve">Reelle allergiske reaktioner er sjældne. De kan især forekomme hos patienter med </w:t>
      </w:r>
      <w:proofErr w:type="spellStart"/>
      <w:r w:rsidRPr="00CF3DBE">
        <w:rPr>
          <w:sz w:val="24"/>
          <w:szCs w:val="24"/>
        </w:rPr>
        <w:t>anti</w:t>
      </w:r>
      <w:proofErr w:type="spellEnd"/>
      <w:r w:rsidRPr="00CF3DBE">
        <w:rPr>
          <w:sz w:val="24"/>
          <w:szCs w:val="24"/>
        </w:rPr>
        <w:t>-</w:t>
      </w:r>
      <w:proofErr w:type="spellStart"/>
      <w:r w:rsidRPr="00CF3DBE">
        <w:rPr>
          <w:sz w:val="24"/>
          <w:szCs w:val="24"/>
        </w:rPr>
        <w:t>IgA</w:t>
      </w:r>
      <w:proofErr w:type="spellEnd"/>
      <w:r w:rsidRPr="00CF3DBE">
        <w:rPr>
          <w:sz w:val="24"/>
          <w:szCs w:val="24"/>
        </w:rPr>
        <w:t xml:space="preserve">-antistoffer, som bør behandles med særlig forsigtighed. Patienter med </w:t>
      </w:r>
      <w:proofErr w:type="spellStart"/>
      <w:r w:rsidRPr="00CF3DBE">
        <w:rPr>
          <w:sz w:val="24"/>
          <w:szCs w:val="24"/>
        </w:rPr>
        <w:t>anti</w:t>
      </w:r>
      <w:proofErr w:type="spellEnd"/>
      <w:r w:rsidRPr="00CF3DBE">
        <w:rPr>
          <w:sz w:val="24"/>
          <w:szCs w:val="24"/>
        </w:rPr>
        <w:t>-</w:t>
      </w:r>
      <w:proofErr w:type="spellStart"/>
      <w:r w:rsidRPr="00CF3DBE">
        <w:rPr>
          <w:sz w:val="24"/>
          <w:szCs w:val="24"/>
        </w:rPr>
        <w:t>IgA</w:t>
      </w:r>
      <w:proofErr w:type="spellEnd"/>
      <w:r w:rsidRPr="00CF3DBE">
        <w:rPr>
          <w:sz w:val="24"/>
          <w:szCs w:val="24"/>
        </w:rPr>
        <w:t xml:space="preserve">-antistoffer, for hvem behandling med subkutane </w:t>
      </w:r>
      <w:proofErr w:type="spellStart"/>
      <w:r w:rsidRPr="00CF3DBE">
        <w:rPr>
          <w:sz w:val="24"/>
          <w:szCs w:val="24"/>
        </w:rPr>
        <w:t>IgG</w:t>
      </w:r>
      <w:proofErr w:type="spellEnd"/>
      <w:r w:rsidRPr="00CF3DBE">
        <w:rPr>
          <w:sz w:val="24"/>
          <w:szCs w:val="24"/>
        </w:rPr>
        <w:t xml:space="preserve">-præparater fortsat er den eneste mulighed, bør kun behandles med </w:t>
      </w:r>
      <w:proofErr w:type="spellStart"/>
      <w:r w:rsidRPr="00CF3DBE">
        <w:rPr>
          <w:sz w:val="24"/>
          <w:szCs w:val="24"/>
        </w:rPr>
        <w:t>Xembify</w:t>
      </w:r>
      <w:proofErr w:type="spellEnd"/>
      <w:r w:rsidRPr="00CF3DBE">
        <w:rPr>
          <w:sz w:val="24"/>
          <w:szCs w:val="24"/>
        </w:rPr>
        <w:t xml:space="preserve"> under nøje lægelig overvågning.</w:t>
      </w:r>
    </w:p>
    <w:p w14:paraId="55D5F210" w14:textId="77777777" w:rsidR="00B81BDE" w:rsidRPr="00CF3DBE" w:rsidRDefault="00B81BDE" w:rsidP="00A24BD2">
      <w:pPr>
        <w:ind w:left="851"/>
        <w:rPr>
          <w:sz w:val="24"/>
          <w:szCs w:val="24"/>
        </w:rPr>
      </w:pPr>
    </w:p>
    <w:p w14:paraId="0BB42C34" w14:textId="77777777" w:rsidR="00B81BDE" w:rsidRPr="00CF3DBE" w:rsidRDefault="00B81BDE" w:rsidP="00A24BD2">
      <w:pPr>
        <w:ind w:left="851"/>
        <w:rPr>
          <w:sz w:val="24"/>
          <w:szCs w:val="24"/>
        </w:rPr>
      </w:pPr>
      <w:r w:rsidRPr="00CF3DBE">
        <w:rPr>
          <w:sz w:val="24"/>
          <w:szCs w:val="24"/>
        </w:rPr>
        <w:lastRenderedPageBreak/>
        <w:t xml:space="preserve">Humant normalt </w:t>
      </w:r>
      <w:proofErr w:type="spellStart"/>
      <w:r w:rsidRPr="00CF3DBE">
        <w:rPr>
          <w:sz w:val="24"/>
          <w:szCs w:val="24"/>
        </w:rPr>
        <w:t>immunglobulin</w:t>
      </w:r>
      <w:proofErr w:type="spellEnd"/>
      <w:r w:rsidRPr="00CF3DBE">
        <w:rPr>
          <w:sz w:val="24"/>
          <w:szCs w:val="24"/>
        </w:rPr>
        <w:t xml:space="preserve"> kan i sjældne tilfælde inducere blodtryksfald med </w:t>
      </w:r>
      <w:proofErr w:type="spellStart"/>
      <w:r w:rsidRPr="00CF3DBE">
        <w:rPr>
          <w:sz w:val="24"/>
          <w:szCs w:val="24"/>
        </w:rPr>
        <w:t>anafylaktisk</w:t>
      </w:r>
      <w:proofErr w:type="spellEnd"/>
      <w:r w:rsidRPr="00CF3DBE">
        <w:rPr>
          <w:sz w:val="24"/>
          <w:szCs w:val="24"/>
        </w:rPr>
        <w:t xml:space="preserve"> reaktion selv hos patienter, som tidligere har tolereret behandling med humant normalt </w:t>
      </w:r>
      <w:proofErr w:type="spellStart"/>
      <w:r w:rsidRPr="00CF3DBE">
        <w:rPr>
          <w:sz w:val="24"/>
          <w:szCs w:val="24"/>
        </w:rPr>
        <w:t>immunglobulin</w:t>
      </w:r>
      <w:proofErr w:type="spellEnd"/>
      <w:r w:rsidRPr="00CF3DBE">
        <w:rPr>
          <w:sz w:val="24"/>
          <w:szCs w:val="24"/>
        </w:rPr>
        <w:t>.</w:t>
      </w:r>
    </w:p>
    <w:p w14:paraId="1A1078F2" w14:textId="77777777" w:rsidR="00B81BDE" w:rsidRPr="00CF3DBE" w:rsidRDefault="00B81BDE" w:rsidP="00A24BD2">
      <w:pPr>
        <w:ind w:left="851"/>
        <w:rPr>
          <w:sz w:val="24"/>
          <w:szCs w:val="24"/>
        </w:rPr>
      </w:pPr>
    </w:p>
    <w:p w14:paraId="04FC9C48" w14:textId="77777777" w:rsidR="00B81BDE" w:rsidRPr="00CF3DBE" w:rsidRDefault="00B81BDE" w:rsidP="00A24BD2">
      <w:pPr>
        <w:ind w:left="851"/>
        <w:rPr>
          <w:sz w:val="24"/>
          <w:szCs w:val="24"/>
          <w:u w:val="single"/>
        </w:rPr>
      </w:pPr>
      <w:proofErr w:type="spellStart"/>
      <w:r w:rsidRPr="00CF3DBE">
        <w:rPr>
          <w:sz w:val="24"/>
          <w:szCs w:val="24"/>
          <w:u w:val="single"/>
        </w:rPr>
        <w:t>Tromboemboli</w:t>
      </w:r>
      <w:proofErr w:type="spellEnd"/>
    </w:p>
    <w:p w14:paraId="6A042AC1" w14:textId="77777777" w:rsidR="00B81BDE" w:rsidRPr="00CF3DBE" w:rsidRDefault="00B81BDE" w:rsidP="00A24BD2">
      <w:pPr>
        <w:ind w:left="851"/>
        <w:rPr>
          <w:sz w:val="24"/>
          <w:szCs w:val="24"/>
        </w:rPr>
      </w:pPr>
    </w:p>
    <w:p w14:paraId="3CE91B96" w14:textId="77777777" w:rsidR="00B81BDE" w:rsidRPr="00CF3DBE" w:rsidRDefault="00B81BDE" w:rsidP="00A24BD2">
      <w:pPr>
        <w:ind w:left="851"/>
        <w:rPr>
          <w:sz w:val="24"/>
          <w:szCs w:val="24"/>
        </w:rPr>
      </w:pPr>
      <w:r w:rsidRPr="00CF3DBE">
        <w:rPr>
          <w:sz w:val="24"/>
          <w:szCs w:val="24"/>
        </w:rPr>
        <w:t xml:space="preserve">Arterielle og venøse </w:t>
      </w:r>
      <w:proofErr w:type="spellStart"/>
      <w:r w:rsidRPr="00CF3DBE">
        <w:rPr>
          <w:sz w:val="24"/>
          <w:szCs w:val="24"/>
        </w:rPr>
        <w:t>tromboemboliske</w:t>
      </w:r>
      <w:proofErr w:type="spellEnd"/>
      <w:r w:rsidRPr="00CF3DBE">
        <w:rPr>
          <w:sz w:val="24"/>
          <w:szCs w:val="24"/>
        </w:rPr>
        <w:t xml:space="preserve"> hændelser, herunder myokardieinfarkt, slagtilfælde, dyb venetrombose og </w:t>
      </w:r>
      <w:proofErr w:type="spellStart"/>
      <w:r w:rsidRPr="00CF3DBE">
        <w:rPr>
          <w:sz w:val="24"/>
          <w:szCs w:val="24"/>
        </w:rPr>
        <w:t>lungeemboli</w:t>
      </w:r>
      <w:proofErr w:type="spellEnd"/>
      <w:r w:rsidRPr="00CF3DBE">
        <w:rPr>
          <w:sz w:val="24"/>
          <w:szCs w:val="24"/>
        </w:rPr>
        <w:t xml:space="preserve">, har været forbundet med brugen af </w:t>
      </w:r>
      <w:proofErr w:type="spellStart"/>
      <w:r w:rsidRPr="00CF3DBE">
        <w:rPr>
          <w:sz w:val="24"/>
          <w:szCs w:val="24"/>
        </w:rPr>
        <w:t>immunglobuliner</w:t>
      </w:r>
      <w:proofErr w:type="spellEnd"/>
      <w:r w:rsidRPr="00CF3DBE">
        <w:rPr>
          <w:sz w:val="24"/>
          <w:szCs w:val="24"/>
        </w:rPr>
        <w:t xml:space="preserve">. </w:t>
      </w:r>
      <w:bookmarkStart w:id="0" w:name="_Hlk73617929"/>
      <w:r w:rsidRPr="00CF3DBE">
        <w:rPr>
          <w:sz w:val="24"/>
          <w:szCs w:val="24"/>
        </w:rPr>
        <w:t xml:space="preserve">Patienterne skal være tilstrækkeligt hydrerede før brug af </w:t>
      </w:r>
      <w:proofErr w:type="spellStart"/>
      <w:r w:rsidRPr="00CF3DBE">
        <w:rPr>
          <w:sz w:val="24"/>
          <w:szCs w:val="24"/>
        </w:rPr>
        <w:t>immunglobuliner</w:t>
      </w:r>
      <w:proofErr w:type="spellEnd"/>
      <w:r w:rsidRPr="00CF3DBE">
        <w:rPr>
          <w:sz w:val="24"/>
          <w:szCs w:val="24"/>
        </w:rPr>
        <w:t>.</w:t>
      </w:r>
      <w:bookmarkEnd w:id="0"/>
      <w:r w:rsidRPr="00CF3DBE">
        <w:rPr>
          <w:sz w:val="24"/>
          <w:szCs w:val="24"/>
        </w:rPr>
        <w:t xml:space="preserve"> Der bør udvises forsigtighed hos patienter med eksisterende risikofaktorer for </w:t>
      </w:r>
      <w:proofErr w:type="spellStart"/>
      <w:r w:rsidRPr="00CF3DBE">
        <w:rPr>
          <w:sz w:val="24"/>
          <w:szCs w:val="24"/>
        </w:rPr>
        <w:t>trombotiske</w:t>
      </w:r>
      <w:proofErr w:type="spellEnd"/>
      <w:r w:rsidRPr="00CF3DBE">
        <w:rPr>
          <w:sz w:val="24"/>
          <w:szCs w:val="24"/>
        </w:rPr>
        <w:t xml:space="preserve"> hændelser (såsom brug af østrogener, fremskreden alder, hypertension, diabetes mellitus og tidligere </w:t>
      </w:r>
      <w:proofErr w:type="spellStart"/>
      <w:r w:rsidRPr="00CF3DBE">
        <w:rPr>
          <w:sz w:val="24"/>
          <w:szCs w:val="24"/>
        </w:rPr>
        <w:t>vaskulær</w:t>
      </w:r>
      <w:proofErr w:type="spellEnd"/>
      <w:r w:rsidRPr="00CF3DBE">
        <w:rPr>
          <w:sz w:val="24"/>
          <w:szCs w:val="24"/>
        </w:rPr>
        <w:t xml:space="preserve"> sygdom eller </w:t>
      </w:r>
      <w:proofErr w:type="spellStart"/>
      <w:r w:rsidRPr="00CF3DBE">
        <w:rPr>
          <w:sz w:val="24"/>
          <w:szCs w:val="24"/>
        </w:rPr>
        <w:t>trombotiske</w:t>
      </w:r>
      <w:proofErr w:type="spellEnd"/>
      <w:r w:rsidRPr="00CF3DBE">
        <w:rPr>
          <w:sz w:val="24"/>
          <w:szCs w:val="24"/>
        </w:rPr>
        <w:t xml:space="preserve"> episoder, patienter med erhvervede eller nedarvede </w:t>
      </w:r>
      <w:proofErr w:type="spellStart"/>
      <w:r w:rsidRPr="00CF3DBE">
        <w:rPr>
          <w:sz w:val="24"/>
          <w:szCs w:val="24"/>
        </w:rPr>
        <w:t>trombofile</w:t>
      </w:r>
      <w:proofErr w:type="spellEnd"/>
      <w:r w:rsidRPr="00CF3DBE">
        <w:rPr>
          <w:sz w:val="24"/>
          <w:szCs w:val="24"/>
        </w:rPr>
        <w:t xml:space="preserve"> sygdomme, patienter med langvarige immobiliseringsperioder, svært </w:t>
      </w:r>
      <w:proofErr w:type="spellStart"/>
      <w:r w:rsidRPr="00CF3DBE">
        <w:rPr>
          <w:sz w:val="24"/>
          <w:szCs w:val="24"/>
        </w:rPr>
        <w:t>hypovolæmiske</w:t>
      </w:r>
      <w:proofErr w:type="spellEnd"/>
      <w:r w:rsidRPr="00CF3DBE">
        <w:rPr>
          <w:sz w:val="24"/>
          <w:szCs w:val="24"/>
        </w:rPr>
        <w:t xml:space="preserve"> patienter, patienter med sygdomme, der øger blodets viskositet).</w:t>
      </w:r>
    </w:p>
    <w:p w14:paraId="55D40B6E" w14:textId="77777777" w:rsidR="00B81BDE" w:rsidRPr="00CF3DBE" w:rsidRDefault="00B81BDE" w:rsidP="00A24BD2">
      <w:pPr>
        <w:ind w:left="851"/>
        <w:rPr>
          <w:sz w:val="24"/>
          <w:szCs w:val="24"/>
        </w:rPr>
      </w:pPr>
    </w:p>
    <w:p w14:paraId="42C74ECE" w14:textId="77777777" w:rsidR="00B81BDE" w:rsidRPr="00CF3DBE" w:rsidRDefault="00B81BDE" w:rsidP="00A24BD2">
      <w:pPr>
        <w:ind w:left="851"/>
        <w:rPr>
          <w:sz w:val="24"/>
          <w:szCs w:val="24"/>
        </w:rPr>
      </w:pPr>
      <w:r w:rsidRPr="00CF3DBE">
        <w:rPr>
          <w:sz w:val="24"/>
          <w:szCs w:val="24"/>
        </w:rPr>
        <w:t xml:space="preserve">Patienterne bør informeres om de første symptomer på </w:t>
      </w:r>
      <w:proofErr w:type="spellStart"/>
      <w:r w:rsidRPr="00CF3DBE">
        <w:rPr>
          <w:sz w:val="24"/>
          <w:szCs w:val="24"/>
        </w:rPr>
        <w:t>tromboemboliske</w:t>
      </w:r>
      <w:proofErr w:type="spellEnd"/>
      <w:r w:rsidRPr="00CF3DBE">
        <w:rPr>
          <w:sz w:val="24"/>
          <w:szCs w:val="24"/>
        </w:rPr>
        <w:t xml:space="preserve"> hændelser, herunder åndenød, smerter og hævelse af et af lemmerne, </w:t>
      </w:r>
      <w:proofErr w:type="spellStart"/>
      <w:r w:rsidRPr="00CF3DBE">
        <w:rPr>
          <w:sz w:val="24"/>
          <w:szCs w:val="24"/>
        </w:rPr>
        <w:t>fokalneurologiske</w:t>
      </w:r>
      <w:proofErr w:type="spellEnd"/>
      <w:r w:rsidRPr="00CF3DBE">
        <w:rPr>
          <w:sz w:val="24"/>
          <w:szCs w:val="24"/>
        </w:rPr>
        <w:t xml:space="preserve"> udfald og brystsmerter, og bør rådes til straks at kontakte deres læge ved symptomdebut. </w:t>
      </w:r>
    </w:p>
    <w:p w14:paraId="7327187D" w14:textId="77777777" w:rsidR="00B81BDE" w:rsidRPr="00CF3DBE" w:rsidRDefault="00B81BDE" w:rsidP="00A24BD2">
      <w:pPr>
        <w:ind w:left="851"/>
        <w:rPr>
          <w:sz w:val="24"/>
          <w:szCs w:val="24"/>
        </w:rPr>
      </w:pPr>
    </w:p>
    <w:p w14:paraId="3DE36394" w14:textId="77777777" w:rsidR="00B81BDE" w:rsidRPr="00CF3DBE" w:rsidRDefault="00B81BDE" w:rsidP="00A24BD2">
      <w:pPr>
        <w:ind w:left="851"/>
        <w:rPr>
          <w:sz w:val="24"/>
          <w:szCs w:val="24"/>
          <w:u w:val="single"/>
        </w:rPr>
      </w:pPr>
      <w:r w:rsidRPr="00CF3DBE">
        <w:rPr>
          <w:sz w:val="24"/>
          <w:szCs w:val="24"/>
          <w:u w:val="single"/>
        </w:rPr>
        <w:t>Aseptisk meningitissyndrom (AMS)</w:t>
      </w:r>
    </w:p>
    <w:p w14:paraId="576FFB75" w14:textId="77777777" w:rsidR="00B81BDE" w:rsidRPr="00CF3DBE" w:rsidRDefault="00B81BDE" w:rsidP="00A24BD2">
      <w:pPr>
        <w:ind w:left="851"/>
        <w:rPr>
          <w:sz w:val="24"/>
          <w:szCs w:val="24"/>
        </w:rPr>
      </w:pPr>
    </w:p>
    <w:p w14:paraId="7E0E9769" w14:textId="0AAF740F" w:rsidR="00B81BDE" w:rsidRPr="00CF3DBE" w:rsidRDefault="00B81BDE" w:rsidP="00B946CD">
      <w:pPr>
        <w:ind w:left="851"/>
        <w:rPr>
          <w:sz w:val="24"/>
          <w:szCs w:val="24"/>
        </w:rPr>
      </w:pPr>
      <w:r w:rsidRPr="00CF3DBE">
        <w:rPr>
          <w:sz w:val="24"/>
          <w:szCs w:val="24"/>
        </w:rPr>
        <w:t xml:space="preserve">Aseptisk meningitissyndrom er rapporteret at forekomme i forbindelse med subkutan </w:t>
      </w:r>
      <w:proofErr w:type="spellStart"/>
      <w:r w:rsidRPr="00CF3DBE">
        <w:rPr>
          <w:sz w:val="24"/>
          <w:szCs w:val="24"/>
        </w:rPr>
        <w:t>immunglobulin</w:t>
      </w:r>
      <w:proofErr w:type="spellEnd"/>
      <w:r w:rsidRPr="00CF3DBE">
        <w:rPr>
          <w:sz w:val="24"/>
          <w:szCs w:val="24"/>
        </w:rPr>
        <w:t>-behandling. Symptomerne begynder normalt inden for flere timer til 2 dage efter behandlingen. AMS kan forekomme ofter</w:t>
      </w:r>
      <w:r w:rsidR="00C82D3E">
        <w:rPr>
          <w:sz w:val="24"/>
          <w:szCs w:val="24"/>
        </w:rPr>
        <w:t>e</w:t>
      </w:r>
      <w:r w:rsidRPr="00CF3DBE">
        <w:rPr>
          <w:sz w:val="24"/>
          <w:szCs w:val="24"/>
        </w:rPr>
        <w:t xml:space="preserve"> hos kvinder end hos mænd. AMS er karakteriseret ved følgende tegn og symptomer: kraftig hovedpine, nakkestivhed, døsighed, feber, fotofobi, kvalme og opkastning. Patienter, der udviser tegn og symptomer på AMS, skal gennemgå en grundig neurologisk undersøgelse, herunder CSF-analyser, for at udelukke andre årsager til meningitis. </w:t>
      </w:r>
      <w:proofErr w:type="spellStart"/>
      <w:r w:rsidRPr="00CF3DBE">
        <w:rPr>
          <w:sz w:val="24"/>
          <w:szCs w:val="24"/>
        </w:rPr>
        <w:t>Seponering</w:t>
      </w:r>
      <w:proofErr w:type="spellEnd"/>
      <w:r w:rsidRPr="00CF3DBE">
        <w:rPr>
          <w:sz w:val="24"/>
          <w:szCs w:val="24"/>
        </w:rPr>
        <w:t xml:space="preserve"> af </w:t>
      </w:r>
      <w:proofErr w:type="spellStart"/>
      <w:r w:rsidRPr="00CF3DBE">
        <w:rPr>
          <w:sz w:val="24"/>
          <w:szCs w:val="24"/>
        </w:rPr>
        <w:t>immunglobulin</w:t>
      </w:r>
      <w:proofErr w:type="spellEnd"/>
      <w:r w:rsidRPr="00CF3DBE">
        <w:rPr>
          <w:sz w:val="24"/>
          <w:szCs w:val="24"/>
        </w:rPr>
        <w:t>-behandling kan føre til remission af AMS i løbet af flere dage uden følgevirkninger.</w:t>
      </w:r>
    </w:p>
    <w:p w14:paraId="10D3842B" w14:textId="77777777" w:rsidR="00B81BDE" w:rsidRPr="00CF3DBE" w:rsidRDefault="00B81BDE" w:rsidP="00B946CD">
      <w:pPr>
        <w:ind w:left="851"/>
        <w:rPr>
          <w:sz w:val="24"/>
          <w:szCs w:val="24"/>
        </w:rPr>
      </w:pPr>
      <w:r w:rsidRPr="00CF3DBE">
        <w:rPr>
          <w:sz w:val="24"/>
          <w:szCs w:val="24"/>
        </w:rPr>
        <w:t xml:space="preserve">Patienterne skal informeres om de første symptomer på AMS. AMS kan forekomme hyppigere i forbindelse med høje doser og/eller hurtig infusion. </w:t>
      </w:r>
    </w:p>
    <w:p w14:paraId="1D822430" w14:textId="77777777" w:rsidR="00B81BDE" w:rsidRPr="00CF3DBE" w:rsidRDefault="00B81BDE" w:rsidP="00A24BD2">
      <w:pPr>
        <w:ind w:left="851"/>
        <w:rPr>
          <w:sz w:val="24"/>
          <w:szCs w:val="24"/>
        </w:rPr>
      </w:pPr>
    </w:p>
    <w:p w14:paraId="24B3129E" w14:textId="77777777" w:rsidR="00B81BDE" w:rsidRPr="00CF3DBE" w:rsidRDefault="00B81BDE" w:rsidP="00A24BD2">
      <w:pPr>
        <w:ind w:left="851"/>
        <w:rPr>
          <w:color w:val="000000"/>
          <w:sz w:val="24"/>
          <w:szCs w:val="24"/>
          <w:u w:val="single"/>
        </w:rPr>
      </w:pPr>
      <w:r w:rsidRPr="00CF3DBE">
        <w:rPr>
          <w:color w:val="000000"/>
          <w:sz w:val="24"/>
          <w:szCs w:val="24"/>
          <w:u w:val="single"/>
        </w:rPr>
        <w:t>Nyredysfunktion/-svigt</w:t>
      </w:r>
    </w:p>
    <w:p w14:paraId="04DDEE53" w14:textId="77777777" w:rsidR="00B81BDE" w:rsidRPr="00CF3DBE" w:rsidRDefault="00B81BDE" w:rsidP="00A24BD2">
      <w:pPr>
        <w:ind w:left="851"/>
        <w:rPr>
          <w:color w:val="000000"/>
          <w:sz w:val="24"/>
          <w:szCs w:val="24"/>
          <w:lang w:eastAsia="es-ES"/>
        </w:rPr>
      </w:pPr>
    </w:p>
    <w:p w14:paraId="510C9F19" w14:textId="77777777" w:rsidR="00B81BDE" w:rsidRPr="00CF3DBE" w:rsidRDefault="00B81BDE" w:rsidP="00A24BD2">
      <w:pPr>
        <w:ind w:left="851"/>
        <w:rPr>
          <w:color w:val="000000"/>
          <w:sz w:val="24"/>
          <w:szCs w:val="24"/>
        </w:rPr>
      </w:pPr>
      <w:r w:rsidRPr="00CF3DBE">
        <w:rPr>
          <w:color w:val="000000"/>
          <w:sz w:val="24"/>
          <w:szCs w:val="24"/>
        </w:rPr>
        <w:t xml:space="preserve">Der er rapporteret om alvorlige nyrebivirkninger hos patienter, der får </w:t>
      </w:r>
      <w:proofErr w:type="spellStart"/>
      <w:r w:rsidRPr="00CF3DBE">
        <w:rPr>
          <w:color w:val="000000"/>
          <w:sz w:val="24"/>
          <w:szCs w:val="24"/>
        </w:rPr>
        <w:t>immunglobulin</w:t>
      </w:r>
      <w:proofErr w:type="spellEnd"/>
      <w:r w:rsidRPr="00CF3DBE">
        <w:rPr>
          <w:color w:val="000000"/>
          <w:sz w:val="24"/>
          <w:szCs w:val="24"/>
        </w:rPr>
        <w:t xml:space="preserve">-behandling, især præparater, der indeholder </w:t>
      </w:r>
      <w:proofErr w:type="spellStart"/>
      <w:r w:rsidRPr="00CF3DBE">
        <w:rPr>
          <w:color w:val="000000"/>
          <w:sz w:val="24"/>
          <w:szCs w:val="24"/>
        </w:rPr>
        <w:t>saccharose</w:t>
      </w:r>
      <w:proofErr w:type="spellEnd"/>
      <w:r w:rsidRPr="00CF3DBE">
        <w:rPr>
          <w:color w:val="000000"/>
          <w:sz w:val="24"/>
          <w:szCs w:val="24"/>
        </w:rPr>
        <w:t xml:space="preserve"> (</w:t>
      </w:r>
      <w:proofErr w:type="spellStart"/>
      <w:r w:rsidRPr="00CF3DBE">
        <w:rPr>
          <w:color w:val="000000"/>
          <w:sz w:val="24"/>
          <w:szCs w:val="24"/>
        </w:rPr>
        <w:t>Xembify</w:t>
      </w:r>
      <w:proofErr w:type="spellEnd"/>
      <w:r w:rsidRPr="00CF3DBE">
        <w:rPr>
          <w:color w:val="000000"/>
          <w:sz w:val="24"/>
          <w:szCs w:val="24"/>
        </w:rPr>
        <w:t xml:space="preserve"> indeholder ikke </w:t>
      </w:r>
      <w:proofErr w:type="spellStart"/>
      <w:r w:rsidRPr="00CF3DBE">
        <w:rPr>
          <w:color w:val="000000"/>
          <w:sz w:val="24"/>
          <w:szCs w:val="24"/>
        </w:rPr>
        <w:t>saccharose</w:t>
      </w:r>
      <w:proofErr w:type="spellEnd"/>
      <w:r w:rsidRPr="00CF3DBE">
        <w:rPr>
          <w:color w:val="000000"/>
          <w:sz w:val="24"/>
          <w:szCs w:val="24"/>
        </w:rPr>
        <w:t xml:space="preserve">). Disse omfatter akut nyresvigt, akut </w:t>
      </w:r>
      <w:proofErr w:type="spellStart"/>
      <w:r w:rsidRPr="00CF3DBE">
        <w:rPr>
          <w:color w:val="000000"/>
          <w:sz w:val="24"/>
          <w:szCs w:val="24"/>
        </w:rPr>
        <w:t>tubulær</w:t>
      </w:r>
      <w:proofErr w:type="spellEnd"/>
      <w:r w:rsidRPr="00CF3DBE">
        <w:rPr>
          <w:color w:val="000000"/>
          <w:sz w:val="24"/>
          <w:szCs w:val="24"/>
        </w:rPr>
        <w:t xml:space="preserve"> nekrose, proksimal </w:t>
      </w:r>
      <w:proofErr w:type="spellStart"/>
      <w:r w:rsidRPr="00CF3DBE">
        <w:rPr>
          <w:color w:val="000000"/>
          <w:sz w:val="24"/>
          <w:szCs w:val="24"/>
        </w:rPr>
        <w:t>tubulær</w:t>
      </w:r>
      <w:proofErr w:type="spellEnd"/>
      <w:r w:rsidRPr="00CF3DBE">
        <w:rPr>
          <w:color w:val="000000"/>
          <w:sz w:val="24"/>
          <w:szCs w:val="24"/>
        </w:rPr>
        <w:t xml:space="preserve"> </w:t>
      </w:r>
      <w:proofErr w:type="spellStart"/>
      <w:r w:rsidRPr="00CF3DBE">
        <w:rPr>
          <w:color w:val="000000"/>
          <w:sz w:val="24"/>
          <w:szCs w:val="24"/>
        </w:rPr>
        <w:t>nefropati</w:t>
      </w:r>
      <w:proofErr w:type="spellEnd"/>
      <w:r w:rsidRPr="00CF3DBE">
        <w:rPr>
          <w:color w:val="000000"/>
          <w:sz w:val="24"/>
          <w:szCs w:val="24"/>
        </w:rPr>
        <w:t xml:space="preserve"> og osmotisk </w:t>
      </w:r>
      <w:proofErr w:type="spellStart"/>
      <w:r w:rsidRPr="00CF3DBE">
        <w:rPr>
          <w:color w:val="000000"/>
          <w:sz w:val="24"/>
          <w:szCs w:val="24"/>
        </w:rPr>
        <w:t>nefrose</w:t>
      </w:r>
      <w:proofErr w:type="spellEnd"/>
      <w:r w:rsidRPr="00CF3DBE">
        <w:rPr>
          <w:color w:val="000000"/>
          <w:sz w:val="24"/>
          <w:szCs w:val="24"/>
        </w:rPr>
        <w:t xml:space="preserve">. Faktorer, der øger risikoen for nyrekomplikationer, omfatter, men er ikke begrænset til eksisterende nedsat nyrefunktion, diabetes mellitus, </w:t>
      </w:r>
      <w:proofErr w:type="spellStart"/>
      <w:r w:rsidRPr="00CF3DBE">
        <w:rPr>
          <w:color w:val="000000"/>
          <w:sz w:val="24"/>
          <w:szCs w:val="24"/>
        </w:rPr>
        <w:t>hypovolæmi</w:t>
      </w:r>
      <w:proofErr w:type="spellEnd"/>
      <w:r w:rsidRPr="00CF3DBE">
        <w:rPr>
          <w:color w:val="000000"/>
          <w:sz w:val="24"/>
          <w:szCs w:val="24"/>
        </w:rPr>
        <w:t xml:space="preserve">, samtidige </w:t>
      </w:r>
      <w:proofErr w:type="spellStart"/>
      <w:r w:rsidRPr="00CF3DBE">
        <w:rPr>
          <w:color w:val="000000"/>
          <w:sz w:val="24"/>
          <w:szCs w:val="24"/>
        </w:rPr>
        <w:t>nefrotoksiske</w:t>
      </w:r>
      <w:proofErr w:type="spellEnd"/>
      <w:r w:rsidRPr="00CF3DBE">
        <w:rPr>
          <w:color w:val="000000"/>
          <w:sz w:val="24"/>
          <w:szCs w:val="24"/>
        </w:rPr>
        <w:t xml:space="preserve"> lægemidler, alder over 65 år, sepsis, </w:t>
      </w:r>
      <w:proofErr w:type="spellStart"/>
      <w:r w:rsidRPr="00CF3DBE">
        <w:rPr>
          <w:color w:val="000000"/>
          <w:sz w:val="24"/>
          <w:szCs w:val="24"/>
        </w:rPr>
        <w:t>hyperviskositet</w:t>
      </w:r>
      <w:proofErr w:type="spellEnd"/>
      <w:r w:rsidRPr="00CF3DBE">
        <w:rPr>
          <w:color w:val="000000"/>
          <w:sz w:val="24"/>
          <w:szCs w:val="24"/>
        </w:rPr>
        <w:t xml:space="preserve"> og </w:t>
      </w:r>
      <w:proofErr w:type="spellStart"/>
      <w:r w:rsidRPr="00CF3DBE">
        <w:rPr>
          <w:color w:val="000000"/>
          <w:sz w:val="24"/>
          <w:szCs w:val="24"/>
        </w:rPr>
        <w:t>paraproteinæmi</w:t>
      </w:r>
      <w:proofErr w:type="spellEnd"/>
      <w:r w:rsidRPr="00CF3DBE">
        <w:rPr>
          <w:color w:val="000000"/>
          <w:sz w:val="24"/>
          <w:szCs w:val="24"/>
        </w:rPr>
        <w:t>.</w:t>
      </w:r>
    </w:p>
    <w:p w14:paraId="6C405DB8" w14:textId="77777777" w:rsidR="00B81BDE" w:rsidRPr="00CF3DBE" w:rsidRDefault="00B81BDE" w:rsidP="00A24BD2">
      <w:pPr>
        <w:ind w:left="851"/>
        <w:rPr>
          <w:color w:val="000000"/>
          <w:sz w:val="24"/>
          <w:szCs w:val="24"/>
          <w:lang w:eastAsia="es-ES"/>
        </w:rPr>
      </w:pPr>
    </w:p>
    <w:p w14:paraId="7C583B4D" w14:textId="77777777" w:rsidR="00B81BDE" w:rsidRPr="00CF3DBE" w:rsidRDefault="00B81BDE" w:rsidP="00A24BD2">
      <w:pPr>
        <w:ind w:left="851"/>
        <w:rPr>
          <w:color w:val="000000"/>
          <w:sz w:val="24"/>
          <w:szCs w:val="24"/>
        </w:rPr>
      </w:pPr>
      <w:r w:rsidRPr="00CF3DBE">
        <w:rPr>
          <w:color w:val="000000"/>
          <w:sz w:val="24"/>
          <w:szCs w:val="24"/>
        </w:rPr>
        <w:t>Patienter med nedsat nyrefunktion bør også overvåges, især patienter med eksisterende nedsat nyrefunktion eller risiko for akut nyresvigt.</w:t>
      </w:r>
    </w:p>
    <w:p w14:paraId="5FE7E2B2" w14:textId="77777777" w:rsidR="00B81BDE" w:rsidRPr="00CF3DBE" w:rsidRDefault="00B81BDE" w:rsidP="00A24BD2">
      <w:pPr>
        <w:ind w:left="851"/>
        <w:rPr>
          <w:color w:val="000000"/>
          <w:sz w:val="24"/>
          <w:szCs w:val="24"/>
        </w:rPr>
      </w:pPr>
    </w:p>
    <w:p w14:paraId="5DF0ABE4" w14:textId="77777777" w:rsidR="00B81BDE" w:rsidRPr="00CF3DBE" w:rsidRDefault="00B81BDE" w:rsidP="00A24BD2">
      <w:pPr>
        <w:ind w:left="851"/>
        <w:rPr>
          <w:sz w:val="24"/>
          <w:szCs w:val="24"/>
          <w:u w:val="single"/>
        </w:rPr>
      </w:pPr>
      <w:r w:rsidRPr="00CF3DBE">
        <w:rPr>
          <w:sz w:val="24"/>
          <w:szCs w:val="24"/>
          <w:u w:val="single"/>
        </w:rPr>
        <w:t>Interferens med serologiske tests</w:t>
      </w:r>
    </w:p>
    <w:p w14:paraId="74FF32E0" w14:textId="77777777" w:rsidR="00B81BDE" w:rsidRPr="00CF3DBE" w:rsidRDefault="00B81BDE" w:rsidP="00A24BD2">
      <w:pPr>
        <w:ind w:left="851"/>
        <w:rPr>
          <w:sz w:val="24"/>
          <w:szCs w:val="24"/>
        </w:rPr>
      </w:pPr>
    </w:p>
    <w:p w14:paraId="7D4FAE89" w14:textId="77777777" w:rsidR="00B81BDE" w:rsidRPr="00CF3DBE" w:rsidRDefault="00B81BDE" w:rsidP="00A24BD2">
      <w:pPr>
        <w:ind w:left="851"/>
        <w:rPr>
          <w:sz w:val="24"/>
          <w:szCs w:val="24"/>
        </w:rPr>
      </w:pPr>
      <w:r w:rsidRPr="00CF3DBE">
        <w:rPr>
          <w:sz w:val="24"/>
          <w:szCs w:val="24"/>
        </w:rPr>
        <w:t xml:space="preserve">Efter en injektion af </w:t>
      </w:r>
      <w:proofErr w:type="spellStart"/>
      <w:r w:rsidRPr="00CF3DBE">
        <w:rPr>
          <w:sz w:val="24"/>
          <w:szCs w:val="24"/>
        </w:rPr>
        <w:t>immunglobulin</w:t>
      </w:r>
      <w:proofErr w:type="spellEnd"/>
      <w:r w:rsidRPr="00CF3DBE">
        <w:rPr>
          <w:sz w:val="24"/>
          <w:szCs w:val="24"/>
        </w:rPr>
        <w:t xml:space="preserve"> kan den forbigående stigning i de forskellige passivt overførte antistoffer i patientens blod forårsage vildledende positive resultater af serologiske tests.</w:t>
      </w:r>
    </w:p>
    <w:p w14:paraId="74E7C503" w14:textId="77777777" w:rsidR="00B81BDE" w:rsidRPr="00CF3DBE" w:rsidRDefault="00B81BDE" w:rsidP="00A24BD2">
      <w:pPr>
        <w:ind w:left="851"/>
        <w:rPr>
          <w:sz w:val="24"/>
          <w:szCs w:val="24"/>
        </w:rPr>
      </w:pPr>
      <w:r w:rsidRPr="00CF3DBE">
        <w:rPr>
          <w:sz w:val="24"/>
          <w:szCs w:val="24"/>
        </w:rPr>
        <w:lastRenderedPageBreak/>
        <w:t xml:space="preserve">Passiv overførsel af antistoffer mod erytrocytantigener, f.eks. A, B, D, kan interferere med nogle serologiske tests for antistoffer mod røde blodlegemer, f.eks. den direkte </w:t>
      </w:r>
      <w:proofErr w:type="spellStart"/>
      <w:r w:rsidRPr="00CF3DBE">
        <w:rPr>
          <w:sz w:val="24"/>
          <w:szCs w:val="24"/>
        </w:rPr>
        <w:t>antiglobulintest</w:t>
      </w:r>
      <w:proofErr w:type="spellEnd"/>
      <w:r w:rsidRPr="00CF3DBE">
        <w:rPr>
          <w:sz w:val="24"/>
          <w:szCs w:val="24"/>
        </w:rPr>
        <w:t xml:space="preserve"> (DAT, direkte </w:t>
      </w:r>
      <w:proofErr w:type="spellStart"/>
      <w:r w:rsidRPr="00CF3DBE">
        <w:rPr>
          <w:sz w:val="24"/>
          <w:szCs w:val="24"/>
        </w:rPr>
        <w:t>Coombs</w:t>
      </w:r>
      <w:proofErr w:type="spellEnd"/>
      <w:r w:rsidRPr="00CF3DBE">
        <w:rPr>
          <w:sz w:val="24"/>
          <w:szCs w:val="24"/>
        </w:rPr>
        <w:t xml:space="preserve">-test). I tilfælde af høje doser eller anden blodtype end O kan der forekomme </w:t>
      </w:r>
      <w:proofErr w:type="spellStart"/>
      <w:r w:rsidRPr="00CF3DBE">
        <w:rPr>
          <w:sz w:val="24"/>
          <w:szCs w:val="24"/>
        </w:rPr>
        <w:t>hæmolyse</w:t>
      </w:r>
      <w:proofErr w:type="spellEnd"/>
      <w:r w:rsidRPr="00CF3DBE">
        <w:rPr>
          <w:sz w:val="24"/>
          <w:szCs w:val="24"/>
        </w:rPr>
        <w:t>, derfor anbefales overvågning.</w:t>
      </w:r>
    </w:p>
    <w:p w14:paraId="7A7DFF0B" w14:textId="77777777" w:rsidR="00B81BDE" w:rsidRPr="00CF3DBE" w:rsidRDefault="00B81BDE" w:rsidP="00A24BD2">
      <w:pPr>
        <w:ind w:left="851"/>
        <w:rPr>
          <w:sz w:val="24"/>
          <w:szCs w:val="24"/>
        </w:rPr>
      </w:pPr>
    </w:p>
    <w:p w14:paraId="4EAE4C0C" w14:textId="77777777" w:rsidR="00B81BDE" w:rsidRPr="00CF3DBE" w:rsidRDefault="00B81BDE" w:rsidP="00A24BD2">
      <w:pPr>
        <w:ind w:left="851"/>
        <w:rPr>
          <w:sz w:val="24"/>
          <w:szCs w:val="24"/>
          <w:u w:val="single"/>
        </w:rPr>
      </w:pPr>
      <w:r w:rsidRPr="00CF3DBE">
        <w:rPr>
          <w:sz w:val="24"/>
          <w:szCs w:val="24"/>
          <w:u w:val="single"/>
        </w:rPr>
        <w:t>Stoffer, der kan overføres</w:t>
      </w:r>
    </w:p>
    <w:p w14:paraId="0FA8365D" w14:textId="77777777" w:rsidR="00B81BDE" w:rsidRPr="00CF3DBE" w:rsidRDefault="00B81BDE" w:rsidP="00A24BD2">
      <w:pPr>
        <w:ind w:left="851"/>
        <w:rPr>
          <w:sz w:val="24"/>
          <w:szCs w:val="24"/>
        </w:rPr>
      </w:pPr>
    </w:p>
    <w:p w14:paraId="433A44A2" w14:textId="77777777" w:rsidR="00B81BDE" w:rsidRPr="00CF3DBE" w:rsidRDefault="00B81BDE" w:rsidP="00A24BD2">
      <w:pPr>
        <w:ind w:left="851"/>
        <w:rPr>
          <w:sz w:val="24"/>
          <w:szCs w:val="24"/>
        </w:rPr>
      </w:pPr>
      <w:r w:rsidRPr="00CF3DBE">
        <w:rPr>
          <w:sz w:val="24"/>
          <w:szCs w:val="24"/>
        </w:rPr>
        <w:t xml:space="preserve">Standard forholdsregler for at forhindre infektioner, der skyldes brugen af lægemidler fremstillet fra humant blod eller plasma, inkluderer udvælgelse af donorer, screening af enkeltdonationer og plasmapuljer for specifikke infektionsmarkører og inklusion af effektive fremstillingstrin til inaktivering/fjernelse af vira. På trods af dette kan risikoen for overførsel af infektionsstoffer ikke helt udelukkes, når der administreres lægemidler fremstillet fra humant blod eller plasma. Dette gælder også for ukendte eller nye vira og andre </w:t>
      </w:r>
      <w:proofErr w:type="spellStart"/>
      <w:r w:rsidRPr="00CF3DBE">
        <w:rPr>
          <w:sz w:val="24"/>
          <w:szCs w:val="24"/>
        </w:rPr>
        <w:t>patogener</w:t>
      </w:r>
      <w:proofErr w:type="spellEnd"/>
      <w:r w:rsidRPr="00CF3DBE">
        <w:rPr>
          <w:sz w:val="24"/>
          <w:szCs w:val="24"/>
        </w:rPr>
        <w:t>.</w:t>
      </w:r>
    </w:p>
    <w:p w14:paraId="2D67D332" w14:textId="77777777" w:rsidR="00B81BDE" w:rsidRPr="00CF3DBE" w:rsidRDefault="00B81BDE" w:rsidP="00A24BD2">
      <w:pPr>
        <w:ind w:left="851"/>
        <w:rPr>
          <w:sz w:val="24"/>
          <w:szCs w:val="24"/>
        </w:rPr>
      </w:pPr>
    </w:p>
    <w:p w14:paraId="031DDE90" w14:textId="77777777" w:rsidR="00B81BDE" w:rsidRPr="00CF3DBE" w:rsidRDefault="00B81BDE" w:rsidP="00A24BD2">
      <w:pPr>
        <w:ind w:left="851"/>
        <w:rPr>
          <w:sz w:val="24"/>
          <w:szCs w:val="24"/>
        </w:rPr>
      </w:pPr>
      <w:r w:rsidRPr="00CF3DBE">
        <w:rPr>
          <w:sz w:val="24"/>
          <w:szCs w:val="24"/>
        </w:rPr>
        <w:t xml:space="preserve">Disse forholdsregler anses for at være effektive for kappeklædte vira, såsom human immundefektvirus (hiv), hepatitis B-virus (HBV) og hepatitis C-virus (HCV), og for den ikke-kappeklædte hepatitis A-virus (HAV). De forholdsregler, der tages, kan være af begrænset værdi mod ikke-kappeklædte vira, såsom </w:t>
      </w:r>
      <w:proofErr w:type="spellStart"/>
      <w:r w:rsidRPr="00CF3DBE">
        <w:rPr>
          <w:sz w:val="24"/>
          <w:szCs w:val="24"/>
        </w:rPr>
        <w:t>parvovirus</w:t>
      </w:r>
      <w:proofErr w:type="spellEnd"/>
      <w:r w:rsidRPr="00CF3DBE">
        <w:rPr>
          <w:sz w:val="24"/>
          <w:szCs w:val="24"/>
        </w:rPr>
        <w:t xml:space="preserve"> B19. </w:t>
      </w:r>
    </w:p>
    <w:p w14:paraId="2BEFF309" w14:textId="77777777" w:rsidR="00B81BDE" w:rsidRPr="00CF3DBE" w:rsidRDefault="00B81BDE" w:rsidP="00A24BD2">
      <w:pPr>
        <w:ind w:left="851"/>
        <w:rPr>
          <w:sz w:val="24"/>
          <w:szCs w:val="24"/>
        </w:rPr>
      </w:pPr>
    </w:p>
    <w:p w14:paraId="2F4B6701" w14:textId="77777777" w:rsidR="00B81BDE" w:rsidRPr="00CF3DBE" w:rsidRDefault="00B81BDE" w:rsidP="00A24BD2">
      <w:pPr>
        <w:ind w:left="851"/>
        <w:rPr>
          <w:sz w:val="24"/>
          <w:szCs w:val="24"/>
        </w:rPr>
      </w:pPr>
      <w:r w:rsidRPr="00CF3DBE">
        <w:rPr>
          <w:sz w:val="24"/>
          <w:szCs w:val="24"/>
        </w:rPr>
        <w:t xml:space="preserve">Der er betryggende klinisk erfaring angående udebleven hepatitis A- eller </w:t>
      </w:r>
      <w:proofErr w:type="spellStart"/>
      <w:r w:rsidRPr="00CF3DBE">
        <w:rPr>
          <w:sz w:val="24"/>
          <w:szCs w:val="24"/>
        </w:rPr>
        <w:t>parvovirus</w:t>
      </w:r>
      <w:proofErr w:type="spellEnd"/>
      <w:r w:rsidRPr="00CF3DBE">
        <w:rPr>
          <w:sz w:val="24"/>
          <w:szCs w:val="24"/>
        </w:rPr>
        <w:t xml:space="preserve"> B19-overførsel med </w:t>
      </w:r>
      <w:proofErr w:type="spellStart"/>
      <w:r w:rsidRPr="00CF3DBE">
        <w:rPr>
          <w:sz w:val="24"/>
          <w:szCs w:val="24"/>
        </w:rPr>
        <w:t>immunglobuliner</w:t>
      </w:r>
      <w:proofErr w:type="spellEnd"/>
      <w:r w:rsidRPr="00CF3DBE">
        <w:rPr>
          <w:sz w:val="24"/>
          <w:szCs w:val="24"/>
        </w:rPr>
        <w:t>, og det antages også, at antistofindholdet yder et vigtigt bidrag til den virale sikkerhed.</w:t>
      </w:r>
    </w:p>
    <w:p w14:paraId="7ABB6DD2" w14:textId="77777777" w:rsidR="00B81BDE" w:rsidRPr="00CF3DBE" w:rsidRDefault="00B81BDE" w:rsidP="00A24BD2">
      <w:pPr>
        <w:ind w:left="851"/>
        <w:rPr>
          <w:sz w:val="24"/>
          <w:szCs w:val="24"/>
        </w:rPr>
      </w:pPr>
    </w:p>
    <w:p w14:paraId="0371170A" w14:textId="77777777" w:rsidR="00B81BDE" w:rsidRPr="00CF3DBE" w:rsidRDefault="00B81BDE" w:rsidP="00A24BD2">
      <w:pPr>
        <w:ind w:left="851"/>
        <w:rPr>
          <w:sz w:val="24"/>
          <w:szCs w:val="24"/>
        </w:rPr>
      </w:pPr>
      <w:r w:rsidRPr="00CF3DBE">
        <w:rPr>
          <w:sz w:val="24"/>
          <w:szCs w:val="24"/>
        </w:rPr>
        <w:t xml:space="preserve">Det anbefales kraftigt, at præparatets navn og batchnummer registreres, hver gang </w:t>
      </w:r>
      <w:proofErr w:type="spellStart"/>
      <w:r w:rsidRPr="00CF3DBE">
        <w:rPr>
          <w:sz w:val="24"/>
          <w:szCs w:val="24"/>
        </w:rPr>
        <w:t>Xembify</w:t>
      </w:r>
      <w:proofErr w:type="spellEnd"/>
      <w:r w:rsidRPr="00CF3DBE">
        <w:rPr>
          <w:sz w:val="24"/>
          <w:szCs w:val="24"/>
        </w:rPr>
        <w:t xml:space="preserve"> administreres til en patient, for at bibeholde en forbindelse mellem patienten og den pågældende batch af præparatet.</w:t>
      </w:r>
    </w:p>
    <w:p w14:paraId="248D96F4" w14:textId="77777777" w:rsidR="00B81BDE" w:rsidRPr="00CF3DBE" w:rsidRDefault="00B81BDE" w:rsidP="00A24BD2">
      <w:pPr>
        <w:ind w:left="851"/>
        <w:rPr>
          <w:sz w:val="24"/>
          <w:szCs w:val="24"/>
        </w:rPr>
      </w:pPr>
    </w:p>
    <w:p w14:paraId="66E4CA95" w14:textId="77777777" w:rsidR="00B81BDE" w:rsidRPr="00CF3DBE" w:rsidRDefault="00B81BDE" w:rsidP="00A24BD2">
      <w:pPr>
        <w:ind w:left="851"/>
        <w:rPr>
          <w:sz w:val="24"/>
          <w:szCs w:val="24"/>
          <w:u w:val="single"/>
        </w:rPr>
      </w:pPr>
      <w:r w:rsidRPr="00CF3DBE">
        <w:rPr>
          <w:sz w:val="24"/>
          <w:szCs w:val="24"/>
          <w:u w:val="single"/>
        </w:rPr>
        <w:t>Pædiatrisk population</w:t>
      </w:r>
    </w:p>
    <w:p w14:paraId="723C9BF4" w14:textId="77777777" w:rsidR="00B81BDE" w:rsidRPr="00CF3DBE" w:rsidRDefault="00B81BDE" w:rsidP="00A24BD2">
      <w:pPr>
        <w:ind w:left="851"/>
        <w:rPr>
          <w:sz w:val="24"/>
          <w:szCs w:val="24"/>
        </w:rPr>
      </w:pPr>
    </w:p>
    <w:p w14:paraId="1A37DA13" w14:textId="77777777" w:rsidR="00B81BDE" w:rsidRPr="00CF3DBE" w:rsidRDefault="00B81BDE" w:rsidP="00A24BD2">
      <w:pPr>
        <w:ind w:left="851"/>
        <w:rPr>
          <w:i/>
          <w:iCs/>
          <w:sz w:val="24"/>
          <w:szCs w:val="24"/>
        </w:rPr>
      </w:pPr>
      <w:r w:rsidRPr="00CF3DBE">
        <w:rPr>
          <w:sz w:val="24"/>
          <w:szCs w:val="24"/>
        </w:rPr>
        <w:t>De angivne advarsler og forsigtighedsregler gælder både for voksne og børn.</w:t>
      </w:r>
    </w:p>
    <w:p w14:paraId="2C14901A" w14:textId="77777777" w:rsidR="009260DE" w:rsidRPr="00CF3DBE" w:rsidRDefault="009260DE" w:rsidP="009260DE">
      <w:pPr>
        <w:tabs>
          <w:tab w:val="left" w:pos="851"/>
        </w:tabs>
        <w:ind w:left="851"/>
        <w:rPr>
          <w:sz w:val="24"/>
          <w:szCs w:val="24"/>
        </w:rPr>
      </w:pPr>
    </w:p>
    <w:p w14:paraId="2BE908EB" w14:textId="77777777" w:rsidR="009260DE" w:rsidRPr="00CF3DBE" w:rsidRDefault="009260DE" w:rsidP="009260DE">
      <w:pPr>
        <w:tabs>
          <w:tab w:val="left" w:pos="851"/>
        </w:tabs>
        <w:ind w:left="851" w:hanging="851"/>
        <w:rPr>
          <w:b/>
          <w:sz w:val="24"/>
          <w:szCs w:val="24"/>
        </w:rPr>
      </w:pPr>
      <w:r w:rsidRPr="00CF3DBE">
        <w:rPr>
          <w:b/>
          <w:sz w:val="24"/>
          <w:szCs w:val="24"/>
        </w:rPr>
        <w:t>4.5</w:t>
      </w:r>
      <w:r w:rsidRPr="00CF3DBE">
        <w:rPr>
          <w:b/>
          <w:sz w:val="24"/>
          <w:szCs w:val="24"/>
        </w:rPr>
        <w:tab/>
        <w:t>Interaktion med andre lægemidler og andre former for interaktion</w:t>
      </w:r>
    </w:p>
    <w:p w14:paraId="1ACCD050" w14:textId="77777777" w:rsidR="00B946CD" w:rsidRPr="00CF3DBE" w:rsidRDefault="00B946CD" w:rsidP="00A24BD2">
      <w:pPr>
        <w:ind w:left="851"/>
        <w:rPr>
          <w:sz w:val="24"/>
          <w:szCs w:val="24"/>
        </w:rPr>
      </w:pPr>
    </w:p>
    <w:p w14:paraId="09B02A24" w14:textId="7C13B327" w:rsidR="00B81BDE" w:rsidRPr="00CF3DBE" w:rsidRDefault="00B81BDE" w:rsidP="00A24BD2">
      <w:pPr>
        <w:ind w:left="851"/>
        <w:rPr>
          <w:sz w:val="24"/>
          <w:szCs w:val="24"/>
          <w:u w:val="single"/>
        </w:rPr>
      </w:pPr>
      <w:r w:rsidRPr="00CF3DBE">
        <w:rPr>
          <w:sz w:val="24"/>
          <w:szCs w:val="24"/>
          <w:u w:val="single"/>
        </w:rPr>
        <w:t>Levende, svækkede virusvacciner</w:t>
      </w:r>
    </w:p>
    <w:p w14:paraId="235AEB72" w14:textId="77777777" w:rsidR="00B81BDE" w:rsidRPr="00CF3DBE" w:rsidRDefault="00B81BDE" w:rsidP="00A24BD2">
      <w:pPr>
        <w:ind w:left="851"/>
        <w:rPr>
          <w:sz w:val="24"/>
          <w:szCs w:val="24"/>
        </w:rPr>
      </w:pPr>
      <w:r w:rsidRPr="00CF3DBE">
        <w:rPr>
          <w:sz w:val="24"/>
          <w:szCs w:val="24"/>
        </w:rPr>
        <w:t xml:space="preserve">Administration af </w:t>
      </w:r>
      <w:proofErr w:type="spellStart"/>
      <w:r w:rsidRPr="00CF3DBE">
        <w:rPr>
          <w:sz w:val="24"/>
          <w:szCs w:val="24"/>
        </w:rPr>
        <w:t>immunglobulin</w:t>
      </w:r>
      <w:proofErr w:type="spellEnd"/>
      <w:r w:rsidRPr="00CF3DBE">
        <w:rPr>
          <w:sz w:val="24"/>
          <w:szCs w:val="24"/>
        </w:rPr>
        <w:t xml:space="preserve"> kan svække virkningen af vacciner med levende, svækket virus, såsom mæslinger, røde hunde, fåresyge og skoldkopper, i en periode på mindst 6 uger og op til 3 måneder. Efter administration af dette lægemiddel bør der gå 3 måneder før vaccination med levende, svækkede virusvacciner. Virkningen af vacciner mod mæslinger kan være svækket i op til et år.</w:t>
      </w:r>
    </w:p>
    <w:p w14:paraId="72073D77" w14:textId="77777777" w:rsidR="00B81BDE" w:rsidRPr="00CF3DBE" w:rsidRDefault="00B81BDE" w:rsidP="00A24BD2">
      <w:pPr>
        <w:ind w:left="851"/>
        <w:rPr>
          <w:sz w:val="24"/>
          <w:szCs w:val="24"/>
        </w:rPr>
      </w:pPr>
      <w:r w:rsidRPr="00CF3DBE">
        <w:rPr>
          <w:sz w:val="24"/>
          <w:szCs w:val="24"/>
        </w:rPr>
        <w:t>Derfor bør antistofstatus kontrolleres hos patienter, der får vaccine mod mæslinger.</w:t>
      </w:r>
    </w:p>
    <w:p w14:paraId="1ACE0242" w14:textId="77777777" w:rsidR="00B81BDE" w:rsidRPr="00CF3DBE" w:rsidRDefault="00B81BDE" w:rsidP="00A24BD2">
      <w:pPr>
        <w:ind w:left="851"/>
        <w:rPr>
          <w:sz w:val="24"/>
          <w:szCs w:val="24"/>
          <w:lang w:eastAsia="es-ES"/>
        </w:rPr>
      </w:pPr>
    </w:p>
    <w:p w14:paraId="6C39538C" w14:textId="77777777" w:rsidR="00B81BDE" w:rsidRPr="00CF3DBE" w:rsidRDefault="00B81BDE" w:rsidP="00A24BD2">
      <w:pPr>
        <w:ind w:left="851"/>
        <w:rPr>
          <w:sz w:val="24"/>
          <w:szCs w:val="24"/>
          <w:u w:val="single"/>
        </w:rPr>
      </w:pPr>
      <w:r w:rsidRPr="00CF3DBE">
        <w:rPr>
          <w:sz w:val="24"/>
          <w:szCs w:val="24"/>
          <w:u w:val="single"/>
        </w:rPr>
        <w:t>Pædiatrisk population</w:t>
      </w:r>
    </w:p>
    <w:p w14:paraId="3937BA0B" w14:textId="77777777" w:rsidR="00B81BDE" w:rsidRPr="00CF3DBE" w:rsidRDefault="00B81BDE" w:rsidP="00A24BD2">
      <w:pPr>
        <w:ind w:left="851"/>
        <w:rPr>
          <w:sz w:val="24"/>
          <w:szCs w:val="24"/>
        </w:rPr>
      </w:pPr>
      <w:r w:rsidRPr="00CF3DBE">
        <w:rPr>
          <w:sz w:val="24"/>
          <w:szCs w:val="24"/>
        </w:rPr>
        <w:t>De anførte interaktioner gælder for både for voksne og den pædiatriske population.</w:t>
      </w:r>
    </w:p>
    <w:p w14:paraId="29E8F85C" w14:textId="77777777" w:rsidR="00B81BDE" w:rsidRPr="00CF3DBE" w:rsidRDefault="00B81BDE" w:rsidP="00A24BD2">
      <w:pPr>
        <w:ind w:left="851"/>
        <w:rPr>
          <w:sz w:val="24"/>
          <w:szCs w:val="24"/>
        </w:rPr>
      </w:pPr>
    </w:p>
    <w:p w14:paraId="698CBC62" w14:textId="77777777" w:rsidR="00B81BDE" w:rsidRPr="00CF3DBE" w:rsidRDefault="00B81BDE" w:rsidP="00A24BD2">
      <w:pPr>
        <w:ind w:left="851"/>
        <w:rPr>
          <w:sz w:val="24"/>
          <w:szCs w:val="24"/>
          <w:u w:val="single"/>
        </w:rPr>
      </w:pPr>
      <w:r w:rsidRPr="00CF3DBE">
        <w:rPr>
          <w:sz w:val="24"/>
          <w:szCs w:val="24"/>
          <w:u w:val="single"/>
        </w:rPr>
        <w:t xml:space="preserve">Ældre </w:t>
      </w:r>
    </w:p>
    <w:p w14:paraId="17B13FD8" w14:textId="77777777" w:rsidR="00B81BDE" w:rsidRPr="00CF3DBE" w:rsidRDefault="00B81BDE" w:rsidP="00A24BD2">
      <w:pPr>
        <w:ind w:left="851"/>
        <w:rPr>
          <w:sz w:val="24"/>
          <w:szCs w:val="24"/>
        </w:rPr>
      </w:pPr>
      <w:r w:rsidRPr="00CF3DBE">
        <w:rPr>
          <w:sz w:val="24"/>
          <w:szCs w:val="24"/>
        </w:rPr>
        <w:t>De anførte interaktioner gælder for ældre.</w:t>
      </w:r>
    </w:p>
    <w:p w14:paraId="1730497D" w14:textId="56A85DE7" w:rsidR="00CF3DBE" w:rsidRDefault="00CF3DBE">
      <w:pPr>
        <w:rPr>
          <w:sz w:val="24"/>
          <w:szCs w:val="24"/>
        </w:rPr>
      </w:pPr>
      <w:r>
        <w:rPr>
          <w:sz w:val="24"/>
          <w:szCs w:val="24"/>
        </w:rPr>
        <w:br w:type="page"/>
      </w:r>
    </w:p>
    <w:p w14:paraId="14273F90" w14:textId="77777777" w:rsidR="009260DE" w:rsidRPr="00CF3DBE" w:rsidRDefault="009260DE" w:rsidP="009260DE">
      <w:pPr>
        <w:tabs>
          <w:tab w:val="left" w:pos="851"/>
        </w:tabs>
        <w:ind w:left="851"/>
        <w:rPr>
          <w:sz w:val="24"/>
          <w:szCs w:val="24"/>
        </w:rPr>
      </w:pPr>
    </w:p>
    <w:p w14:paraId="327FEECB" w14:textId="77777777" w:rsidR="009260DE" w:rsidRPr="00CF3DBE" w:rsidRDefault="009260DE" w:rsidP="009260DE">
      <w:pPr>
        <w:tabs>
          <w:tab w:val="left" w:pos="851"/>
        </w:tabs>
        <w:ind w:left="851" w:hanging="851"/>
        <w:rPr>
          <w:b/>
          <w:sz w:val="24"/>
          <w:szCs w:val="24"/>
        </w:rPr>
      </w:pPr>
      <w:r w:rsidRPr="00CF3DBE">
        <w:rPr>
          <w:b/>
          <w:sz w:val="24"/>
          <w:szCs w:val="24"/>
        </w:rPr>
        <w:t>4.6</w:t>
      </w:r>
      <w:r w:rsidRPr="00CF3DBE">
        <w:rPr>
          <w:b/>
          <w:sz w:val="24"/>
          <w:szCs w:val="24"/>
        </w:rPr>
        <w:tab/>
      </w:r>
      <w:r w:rsidR="0071241E" w:rsidRPr="00CF3DBE">
        <w:rPr>
          <w:b/>
          <w:sz w:val="24"/>
          <w:szCs w:val="24"/>
        </w:rPr>
        <w:t>Fertilitet, g</w:t>
      </w:r>
      <w:r w:rsidRPr="00CF3DBE">
        <w:rPr>
          <w:b/>
          <w:sz w:val="24"/>
          <w:szCs w:val="24"/>
        </w:rPr>
        <w:t>raviditet og amning</w:t>
      </w:r>
    </w:p>
    <w:p w14:paraId="0F36AD2F" w14:textId="77777777" w:rsidR="00B946CD" w:rsidRPr="00CF3DBE" w:rsidRDefault="00B946CD" w:rsidP="00A24BD2">
      <w:pPr>
        <w:ind w:left="851"/>
        <w:rPr>
          <w:sz w:val="24"/>
          <w:szCs w:val="24"/>
        </w:rPr>
      </w:pPr>
    </w:p>
    <w:p w14:paraId="1AE931DB" w14:textId="3E604B54" w:rsidR="00B81BDE" w:rsidRPr="00CF3DBE" w:rsidRDefault="00B81BDE" w:rsidP="00A24BD2">
      <w:pPr>
        <w:ind w:left="851"/>
        <w:rPr>
          <w:sz w:val="24"/>
          <w:szCs w:val="24"/>
          <w:u w:val="single"/>
        </w:rPr>
      </w:pPr>
      <w:r w:rsidRPr="00CF3DBE">
        <w:rPr>
          <w:sz w:val="24"/>
          <w:szCs w:val="24"/>
          <w:u w:val="single"/>
        </w:rPr>
        <w:t>Graviditet</w:t>
      </w:r>
    </w:p>
    <w:p w14:paraId="171B239D" w14:textId="77777777" w:rsidR="00B81BDE" w:rsidRPr="00CF3DBE" w:rsidRDefault="00B81BDE" w:rsidP="00A24BD2">
      <w:pPr>
        <w:ind w:left="851"/>
        <w:rPr>
          <w:sz w:val="24"/>
          <w:szCs w:val="24"/>
        </w:rPr>
      </w:pPr>
      <w:r w:rsidRPr="00CF3DBE">
        <w:rPr>
          <w:sz w:val="24"/>
          <w:szCs w:val="24"/>
        </w:rPr>
        <w:t xml:space="preserve">Sikkerheden af dette lægemiddel ved anvendelse under graviditeten hos mennesker er ikke blevet klarlagt i kontrollerede kliniske studier, og derfor bør det kun gives med forsigtighed til gravide kvinder og ammende mødre. </w:t>
      </w:r>
    </w:p>
    <w:p w14:paraId="0732084B" w14:textId="77777777" w:rsidR="00B81BDE" w:rsidRPr="00CF3DBE" w:rsidRDefault="00B81BDE" w:rsidP="00A24BD2">
      <w:pPr>
        <w:ind w:left="851"/>
        <w:rPr>
          <w:sz w:val="24"/>
          <w:szCs w:val="24"/>
        </w:rPr>
      </w:pPr>
    </w:p>
    <w:p w14:paraId="2574D8F3" w14:textId="77777777" w:rsidR="00B81BDE" w:rsidRPr="00CF3DBE" w:rsidRDefault="00B81BDE" w:rsidP="00A24BD2">
      <w:pPr>
        <w:ind w:left="851"/>
        <w:rPr>
          <w:sz w:val="24"/>
          <w:szCs w:val="24"/>
        </w:rPr>
      </w:pPr>
      <w:proofErr w:type="spellStart"/>
      <w:r w:rsidRPr="00CF3DBE">
        <w:rPr>
          <w:sz w:val="24"/>
          <w:szCs w:val="24"/>
        </w:rPr>
        <w:t>Immunglobulin</w:t>
      </w:r>
      <w:proofErr w:type="spellEnd"/>
      <w:r w:rsidRPr="00CF3DBE">
        <w:rPr>
          <w:sz w:val="24"/>
          <w:szCs w:val="24"/>
        </w:rPr>
        <w:t xml:space="preserve">-præparater har vist sig at krydse placenta, i stigende grad i det tredje trimester. Klinisk erfaring med </w:t>
      </w:r>
      <w:proofErr w:type="spellStart"/>
      <w:r w:rsidRPr="00CF3DBE">
        <w:rPr>
          <w:sz w:val="24"/>
          <w:szCs w:val="24"/>
        </w:rPr>
        <w:t>immunglobuliner</w:t>
      </w:r>
      <w:proofErr w:type="spellEnd"/>
      <w:r w:rsidRPr="00CF3DBE">
        <w:rPr>
          <w:sz w:val="24"/>
          <w:szCs w:val="24"/>
        </w:rPr>
        <w:t xml:space="preserve"> tyder på, at der ikke kan forventes nogen skadelige virkninger i løbet af graviditeten eller på fosteret og det nyfødte barn.</w:t>
      </w:r>
    </w:p>
    <w:p w14:paraId="0EB3A27F" w14:textId="77777777" w:rsidR="00B81BDE" w:rsidRPr="00CF3DBE" w:rsidRDefault="00B81BDE" w:rsidP="00A24BD2">
      <w:pPr>
        <w:ind w:left="851"/>
        <w:rPr>
          <w:sz w:val="24"/>
          <w:szCs w:val="24"/>
        </w:rPr>
      </w:pPr>
    </w:p>
    <w:p w14:paraId="1C6D88CD" w14:textId="77777777" w:rsidR="00B81BDE" w:rsidRPr="00CF3DBE" w:rsidRDefault="00B81BDE" w:rsidP="00A24BD2">
      <w:pPr>
        <w:ind w:left="851"/>
        <w:rPr>
          <w:sz w:val="24"/>
          <w:szCs w:val="24"/>
          <w:u w:val="single"/>
        </w:rPr>
      </w:pPr>
      <w:r w:rsidRPr="00CF3DBE">
        <w:rPr>
          <w:sz w:val="24"/>
          <w:szCs w:val="24"/>
          <w:u w:val="single"/>
        </w:rPr>
        <w:t>Amning</w:t>
      </w:r>
    </w:p>
    <w:p w14:paraId="176E32D8" w14:textId="77777777" w:rsidR="00B81BDE" w:rsidRPr="00CF3DBE" w:rsidRDefault="00B81BDE" w:rsidP="00A24BD2">
      <w:pPr>
        <w:ind w:left="851"/>
        <w:rPr>
          <w:sz w:val="24"/>
          <w:szCs w:val="24"/>
        </w:rPr>
      </w:pPr>
      <w:proofErr w:type="spellStart"/>
      <w:r w:rsidRPr="00CF3DBE">
        <w:rPr>
          <w:sz w:val="24"/>
          <w:szCs w:val="24"/>
        </w:rPr>
        <w:t>Immunglobuliner</w:t>
      </w:r>
      <w:proofErr w:type="spellEnd"/>
      <w:r w:rsidRPr="00CF3DBE">
        <w:rPr>
          <w:sz w:val="24"/>
          <w:szCs w:val="24"/>
        </w:rPr>
        <w:t xml:space="preserve"> udskilles i mælken og kan måske bidrage til at beskytte den nyfødte mod </w:t>
      </w:r>
      <w:proofErr w:type="spellStart"/>
      <w:r w:rsidRPr="00CF3DBE">
        <w:rPr>
          <w:sz w:val="24"/>
          <w:szCs w:val="24"/>
        </w:rPr>
        <w:t>patogener</w:t>
      </w:r>
      <w:proofErr w:type="spellEnd"/>
      <w:r w:rsidRPr="00CF3DBE">
        <w:rPr>
          <w:sz w:val="24"/>
          <w:szCs w:val="24"/>
        </w:rPr>
        <w:t>, som kan overføres via slimhinder.</w:t>
      </w:r>
    </w:p>
    <w:p w14:paraId="79A13CFE" w14:textId="77777777" w:rsidR="00B81BDE" w:rsidRPr="00CF3DBE" w:rsidRDefault="00B81BDE" w:rsidP="00A24BD2">
      <w:pPr>
        <w:ind w:left="851"/>
        <w:rPr>
          <w:sz w:val="24"/>
          <w:szCs w:val="24"/>
        </w:rPr>
      </w:pPr>
    </w:p>
    <w:p w14:paraId="39ADC2C7" w14:textId="77777777" w:rsidR="00B81BDE" w:rsidRPr="00CF3DBE" w:rsidRDefault="00B81BDE" w:rsidP="00A24BD2">
      <w:pPr>
        <w:ind w:left="851"/>
        <w:rPr>
          <w:sz w:val="24"/>
          <w:szCs w:val="24"/>
          <w:u w:val="single"/>
        </w:rPr>
      </w:pPr>
      <w:r w:rsidRPr="00CF3DBE">
        <w:rPr>
          <w:sz w:val="24"/>
          <w:szCs w:val="24"/>
          <w:u w:val="single"/>
        </w:rPr>
        <w:t>Fertilitet</w:t>
      </w:r>
    </w:p>
    <w:p w14:paraId="1BCADA2B" w14:textId="77777777" w:rsidR="00B81BDE" w:rsidRPr="00CF3DBE" w:rsidRDefault="00B81BDE" w:rsidP="00A24BD2">
      <w:pPr>
        <w:ind w:left="851"/>
        <w:rPr>
          <w:sz w:val="24"/>
          <w:szCs w:val="24"/>
        </w:rPr>
      </w:pPr>
      <w:r w:rsidRPr="00CF3DBE">
        <w:rPr>
          <w:sz w:val="24"/>
          <w:szCs w:val="24"/>
        </w:rPr>
        <w:t xml:space="preserve">Klinisk erfaring med </w:t>
      </w:r>
      <w:proofErr w:type="spellStart"/>
      <w:r w:rsidRPr="00CF3DBE">
        <w:rPr>
          <w:sz w:val="24"/>
          <w:szCs w:val="24"/>
        </w:rPr>
        <w:t>immunglobuliner</w:t>
      </w:r>
      <w:proofErr w:type="spellEnd"/>
      <w:r w:rsidRPr="00CF3DBE">
        <w:rPr>
          <w:sz w:val="24"/>
          <w:szCs w:val="24"/>
        </w:rPr>
        <w:t xml:space="preserve"> tyder på, at der ikke kan forventes nogen skadelige virkninger på fertiliteten.</w:t>
      </w:r>
    </w:p>
    <w:p w14:paraId="0E02808B" w14:textId="77777777" w:rsidR="009260DE" w:rsidRPr="00CF3DBE" w:rsidRDefault="009260DE" w:rsidP="009260DE">
      <w:pPr>
        <w:tabs>
          <w:tab w:val="left" w:pos="851"/>
        </w:tabs>
        <w:ind w:left="851"/>
        <w:rPr>
          <w:sz w:val="24"/>
          <w:szCs w:val="24"/>
        </w:rPr>
      </w:pPr>
    </w:p>
    <w:p w14:paraId="110A0953" w14:textId="77777777" w:rsidR="009260DE" w:rsidRPr="00CF3DBE" w:rsidRDefault="009260DE" w:rsidP="009260DE">
      <w:pPr>
        <w:tabs>
          <w:tab w:val="left" w:pos="851"/>
        </w:tabs>
        <w:ind w:left="851" w:hanging="851"/>
        <w:rPr>
          <w:b/>
          <w:sz w:val="24"/>
          <w:szCs w:val="24"/>
        </w:rPr>
      </w:pPr>
      <w:r w:rsidRPr="00CF3DBE">
        <w:rPr>
          <w:b/>
          <w:sz w:val="24"/>
          <w:szCs w:val="24"/>
        </w:rPr>
        <w:t>4.7</w:t>
      </w:r>
      <w:r w:rsidRPr="00CF3DBE">
        <w:rPr>
          <w:b/>
          <w:sz w:val="24"/>
          <w:szCs w:val="24"/>
        </w:rPr>
        <w:tab/>
        <w:t xml:space="preserve">Virkning på evnen til at føre motorkøretøj </w:t>
      </w:r>
      <w:r w:rsidR="0071241E" w:rsidRPr="00CF3DBE">
        <w:rPr>
          <w:b/>
          <w:sz w:val="24"/>
          <w:szCs w:val="24"/>
        </w:rPr>
        <w:t>og</w:t>
      </w:r>
      <w:r w:rsidRPr="00CF3DBE">
        <w:rPr>
          <w:b/>
          <w:sz w:val="24"/>
          <w:szCs w:val="24"/>
        </w:rPr>
        <w:t xml:space="preserve"> betjene maskiner</w:t>
      </w:r>
    </w:p>
    <w:p w14:paraId="1121F716" w14:textId="77777777" w:rsidR="00B946CD" w:rsidRPr="00CF3DBE" w:rsidRDefault="00B946CD" w:rsidP="00A24BD2">
      <w:pPr>
        <w:ind w:left="851"/>
        <w:rPr>
          <w:sz w:val="24"/>
          <w:szCs w:val="24"/>
        </w:rPr>
      </w:pPr>
      <w:r w:rsidRPr="00CF3DBE">
        <w:rPr>
          <w:sz w:val="24"/>
          <w:szCs w:val="24"/>
        </w:rPr>
        <w:t>Ikke mærkning.</w:t>
      </w:r>
    </w:p>
    <w:p w14:paraId="14278F89" w14:textId="2A0807DA" w:rsidR="00B81BDE" w:rsidRPr="00CF3DBE" w:rsidRDefault="00B81BDE" w:rsidP="00A24BD2">
      <w:pPr>
        <w:ind w:left="851"/>
        <w:rPr>
          <w:sz w:val="24"/>
          <w:szCs w:val="24"/>
        </w:rPr>
      </w:pPr>
      <w:proofErr w:type="spellStart"/>
      <w:r w:rsidRPr="00CF3DBE">
        <w:rPr>
          <w:sz w:val="24"/>
          <w:szCs w:val="24"/>
        </w:rPr>
        <w:t>Xembify</w:t>
      </w:r>
      <w:proofErr w:type="spellEnd"/>
      <w:r w:rsidRPr="00CF3DBE">
        <w:rPr>
          <w:sz w:val="24"/>
          <w:szCs w:val="24"/>
        </w:rPr>
        <w:t xml:space="preserve"> påvirker i mindre grad evnen til at føre motorkøretøj og betjene maskiner, f.eks. svimmelhed (se pkt. 4.8). Patienter, der oplever bivirkninger under behandlingen, bør vente til disse går væk, før de fører motorkøretøj eller betjener maskiner.</w:t>
      </w:r>
    </w:p>
    <w:p w14:paraId="2F521669" w14:textId="77777777" w:rsidR="009260DE" w:rsidRPr="00CF3DBE" w:rsidRDefault="009260DE" w:rsidP="009260DE">
      <w:pPr>
        <w:tabs>
          <w:tab w:val="left" w:pos="851"/>
        </w:tabs>
        <w:ind w:left="851"/>
        <w:rPr>
          <w:sz w:val="24"/>
          <w:szCs w:val="24"/>
        </w:rPr>
      </w:pPr>
    </w:p>
    <w:p w14:paraId="7B328F1C" w14:textId="77777777" w:rsidR="009260DE" w:rsidRPr="00CF3DBE" w:rsidRDefault="009260DE" w:rsidP="009260DE">
      <w:pPr>
        <w:tabs>
          <w:tab w:val="left" w:pos="851"/>
        </w:tabs>
        <w:ind w:left="851" w:hanging="851"/>
        <w:rPr>
          <w:b/>
          <w:sz w:val="24"/>
          <w:szCs w:val="24"/>
        </w:rPr>
      </w:pPr>
      <w:r w:rsidRPr="00CF3DBE">
        <w:rPr>
          <w:b/>
          <w:sz w:val="24"/>
          <w:szCs w:val="24"/>
        </w:rPr>
        <w:t>4.8</w:t>
      </w:r>
      <w:r w:rsidRPr="00CF3DBE">
        <w:rPr>
          <w:b/>
          <w:sz w:val="24"/>
          <w:szCs w:val="24"/>
        </w:rPr>
        <w:tab/>
        <w:t>Bivirkninger</w:t>
      </w:r>
    </w:p>
    <w:p w14:paraId="4DFB475C" w14:textId="77777777" w:rsidR="00B81BDE" w:rsidRPr="00CF3DBE" w:rsidRDefault="00B81BDE" w:rsidP="00A24BD2">
      <w:pPr>
        <w:ind w:left="851"/>
        <w:rPr>
          <w:sz w:val="24"/>
          <w:szCs w:val="24"/>
        </w:rPr>
      </w:pPr>
    </w:p>
    <w:p w14:paraId="3BED735B" w14:textId="77777777" w:rsidR="00B81BDE" w:rsidRPr="00CF3DBE" w:rsidRDefault="00B81BDE" w:rsidP="00A24BD2">
      <w:pPr>
        <w:ind w:left="851"/>
        <w:rPr>
          <w:color w:val="000000"/>
          <w:sz w:val="24"/>
          <w:szCs w:val="24"/>
          <w:u w:val="single"/>
        </w:rPr>
      </w:pPr>
      <w:r w:rsidRPr="00CF3DBE">
        <w:rPr>
          <w:color w:val="000000"/>
          <w:sz w:val="24"/>
          <w:szCs w:val="24"/>
          <w:u w:val="single"/>
        </w:rPr>
        <w:t>Oversigt over sikkerhedsprofilen</w:t>
      </w:r>
    </w:p>
    <w:p w14:paraId="1F6F4938" w14:textId="77777777" w:rsidR="00B81BDE" w:rsidRPr="00CF3DBE" w:rsidRDefault="00B81BDE" w:rsidP="00A24BD2">
      <w:pPr>
        <w:ind w:left="851"/>
        <w:rPr>
          <w:color w:val="000000"/>
          <w:sz w:val="24"/>
          <w:szCs w:val="24"/>
          <w:lang w:eastAsia="es-ES"/>
        </w:rPr>
      </w:pPr>
    </w:p>
    <w:p w14:paraId="0B58B70C" w14:textId="77777777" w:rsidR="00B81BDE" w:rsidRPr="00CF3DBE" w:rsidRDefault="00B81BDE" w:rsidP="00A24BD2">
      <w:pPr>
        <w:ind w:left="851"/>
        <w:rPr>
          <w:color w:val="000000"/>
          <w:sz w:val="24"/>
          <w:szCs w:val="24"/>
        </w:rPr>
      </w:pPr>
      <w:r w:rsidRPr="00CF3DBE">
        <w:rPr>
          <w:color w:val="000000"/>
          <w:sz w:val="24"/>
          <w:szCs w:val="24"/>
        </w:rPr>
        <w:t xml:space="preserve">Bivirkninger, såsom kulderystelser, hovedpine, svimmelhed, feber, opkastning, allergiske reaktioner, kvalme, </w:t>
      </w:r>
      <w:proofErr w:type="spellStart"/>
      <w:r w:rsidRPr="00CF3DBE">
        <w:rPr>
          <w:color w:val="000000"/>
          <w:sz w:val="24"/>
          <w:szCs w:val="24"/>
        </w:rPr>
        <w:t>artralgi</w:t>
      </w:r>
      <w:proofErr w:type="spellEnd"/>
      <w:r w:rsidRPr="00CF3DBE">
        <w:rPr>
          <w:color w:val="000000"/>
          <w:sz w:val="24"/>
          <w:szCs w:val="24"/>
        </w:rPr>
        <w:t>, lavt blodtryk og moderate lændesmerter, kan til tider forekomme.</w:t>
      </w:r>
    </w:p>
    <w:p w14:paraId="657308B2" w14:textId="77777777" w:rsidR="00B81BDE" w:rsidRPr="00CF3DBE" w:rsidRDefault="00B81BDE" w:rsidP="00A24BD2">
      <w:pPr>
        <w:ind w:left="851"/>
        <w:rPr>
          <w:color w:val="000000"/>
          <w:sz w:val="24"/>
          <w:szCs w:val="24"/>
          <w:lang w:eastAsia="es-ES"/>
        </w:rPr>
      </w:pPr>
    </w:p>
    <w:p w14:paraId="09217D7E" w14:textId="77777777" w:rsidR="00B81BDE" w:rsidRPr="00CF3DBE" w:rsidRDefault="00B81BDE" w:rsidP="00A24BD2">
      <w:pPr>
        <w:ind w:left="851"/>
        <w:rPr>
          <w:color w:val="000000"/>
          <w:sz w:val="24"/>
          <w:szCs w:val="24"/>
        </w:rPr>
      </w:pPr>
      <w:r w:rsidRPr="00CF3DBE">
        <w:rPr>
          <w:color w:val="000000"/>
          <w:sz w:val="24"/>
          <w:szCs w:val="24"/>
        </w:rPr>
        <w:t xml:space="preserve">I sjældne tilfælde kan humane normale </w:t>
      </w:r>
      <w:proofErr w:type="spellStart"/>
      <w:r w:rsidRPr="00CF3DBE">
        <w:rPr>
          <w:color w:val="000000"/>
          <w:sz w:val="24"/>
          <w:szCs w:val="24"/>
        </w:rPr>
        <w:t>immunglobuliner</w:t>
      </w:r>
      <w:proofErr w:type="spellEnd"/>
      <w:r w:rsidRPr="00CF3DBE">
        <w:rPr>
          <w:color w:val="000000"/>
          <w:sz w:val="24"/>
          <w:szCs w:val="24"/>
        </w:rPr>
        <w:t xml:space="preserve"> fremkalde pludseligt blodtryksfald og i enkeltstående tilfælde </w:t>
      </w:r>
      <w:proofErr w:type="spellStart"/>
      <w:r w:rsidRPr="00CF3DBE">
        <w:rPr>
          <w:color w:val="000000"/>
          <w:sz w:val="24"/>
          <w:szCs w:val="24"/>
        </w:rPr>
        <w:t>anafylaktisk</w:t>
      </w:r>
      <w:proofErr w:type="spellEnd"/>
      <w:r w:rsidRPr="00CF3DBE">
        <w:rPr>
          <w:color w:val="000000"/>
          <w:sz w:val="24"/>
          <w:szCs w:val="24"/>
        </w:rPr>
        <w:t xml:space="preserve"> </w:t>
      </w:r>
      <w:proofErr w:type="spellStart"/>
      <w:r w:rsidRPr="00CF3DBE">
        <w:rPr>
          <w:color w:val="000000"/>
          <w:sz w:val="24"/>
          <w:szCs w:val="24"/>
        </w:rPr>
        <w:t>shock</w:t>
      </w:r>
      <w:proofErr w:type="spellEnd"/>
      <w:r w:rsidRPr="00CF3DBE">
        <w:rPr>
          <w:color w:val="000000"/>
          <w:sz w:val="24"/>
          <w:szCs w:val="24"/>
        </w:rPr>
        <w:t>, også hos patienter, som ikke har udvist overfølsomhed ved tidligere administration.</w:t>
      </w:r>
    </w:p>
    <w:p w14:paraId="64D802AB" w14:textId="77777777" w:rsidR="00B81BDE" w:rsidRPr="00CF3DBE" w:rsidRDefault="00B81BDE" w:rsidP="00A24BD2">
      <w:pPr>
        <w:ind w:left="851"/>
        <w:rPr>
          <w:color w:val="000000"/>
          <w:sz w:val="24"/>
          <w:szCs w:val="24"/>
          <w:lang w:eastAsia="es-ES"/>
        </w:rPr>
      </w:pPr>
    </w:p>
    <w:p w14:paraId="4DEB474B" w14:textId="77777777" w:rsidR="00B81BDE" w:rsidRPr="00CF3DBE" w:rsidRDefault="00B81BDE" w:rsidP="00A24BD2">
      <w:pPr>
        <w:ind w:left="851"/>
        <w:rPr>
          <w:sz w:val="24"/>
          <w:szCs w:val="24"/>
        </w:rPr>
      </w:pPr>
      <w:r w:rsidRPr="00CF3DBE">
        <w:rPr>
          <w:color w:val="000000"/>
          <w:sz w:val="24"/>
          <w:szCs w:val="24"/>
        </w:rPr>
        <w:t xml:space="preserve">Lokale reaktioner på infusionsstederne: hævelse, ømhed, rødme, </w:t>
      </w:r>
      <w:proofErr w:type="spellStart"/>
      <w:r w:rsidRPr="00CF3DBE">
        <w:rPr>
          <w:color w:val="000000"/>
          <w:sz w:val="24"/>
          <w:szCs w:val="24"/>
        </w:rPr>
        <w:t>induration</w:t>
      </w:r>
      <w:proofErr w:type="spellEnd"/>
      <w:r w:rsidRPr="00CF3DBE">
        <w:rPr>
          <w:color w:val="000000"/>
          <w:sz w:val="24"/>
          <w:szCs w:val="24"/>
        </w:rPr>
        <w:t>, lokal varme, kløe, blå mærker og udslæt kan forekomme hyppigt.</w:t>
      </w:r>
    </w:p>
    <w:p w14:paraId="561AD4AC" w14:textId="77777777" w:rsidR="00B81BDE" w:rsidRPr="00CF3DBE" w:rsidRDefault="00B81BDE" w:rsidP="00A24BD2">
      <w:pPr>
        <w:ind w:left="851"/>
        <w:rPr>
          <w:sz w:val="24"/>
          <w:szCs w:val="24"/>
        </w:rPr>
      </w:pPr>
    </w:p>
    <w:p w14:paraId="5E5DAED0" w14:textId="77777777" w:rsidR="00B81BDE" w:rsidRPr="00CF3DBE" w:rsidRDefault="00B81BDE" w:rsidP="00A24BD2">
      <w:pPr>
        <w:ind w:left="851"/>
        <w:rPr>
          <w:sz w:val="24"/>
          <w:szCs w:val="24"/>
        </w:rPr>
      </w:pPr>
      <w:r w:rsidRPr="00CF3DBE">
        <w:rPr>
          <w:sz w:val="24"/>
          <w:szCs w:val="24"/>
        </w:rPr>
        <w:t>Se pkt. 4.4 hvad angår sikkerhedsoplysninger om stoffer, der kan overføres.</w:t>
      </w:r>
    </w:p>
    <w:p w14:paraId="4B0843B8" w14:textId="77777777" w:rsidR="00B81BDE" w:rsidRPr="00CF3DBE" w:rsidRDefault="00B81BDE" w:rsidP="00A24BD2">
      <w:pPr>
        <w:ind w:left="851"/>
        <w:rPr>
          <w:sz w:val="24"/>
          <w:szCs w:val="24"/>
        </w:rPr>
      </w:pPr>
    </w:p>
    <w:p w14:paraId="171AC1BD" w14:textId="77777777" w:rsidR="00B81BDE" w:rsidRPr="00CF3DBE" w:rsidRDefault="00B81BDE" w:rsidP="00A24BD2">
      <w:pPr>
        <w:ind w:left="851"/>
        <w:rPr>
          <w:rStyle w:val="EstiloArial11pt"/>
          <w:szCs w:val="24"/>
          <w:u w:val="single"/>
        </w:rPr>
      </w:pPr>
      <w:r w:rsidRPr="00CF3DBE">
        <w:rPr>
          <w:rStyle w:val="EstiloArial11pt"/>
          <w:szCs w:val="24"/>
          <w:u w:val="single"/>
        </w:rPr>
        <w:t>Tabel over bivirkninger</w:t>
      </w:r>
    </w:p>
    <w:p w14:paraId="7887259B" w14:textId="77777777" w:rsidR="00B81BDE" w:rsidRPr="00CF3DBE" w:rsidRDefault="00B81BDE" w:rsidP="00A24BD2">
      <w:pPr>
        <w:ind w:left="851"/>
        <w:rPr>
          <w:rStyle w:val="EstiloArial11pt"/>
          <w:szCs w:val="24"/>
        </w:rPr>
      </w:pPr>
    </w:p>
    <w:p w14:paraId="73BAA31E" w14:textId="77777777" w:rsidR="00B81BDE" w:rsidRPr="00CF3DBE" w:rsidRDefault="00B81BDE" w:rsidP="00A24BD2">
      <w:pPr>
        <w:ind w:left="851"/>
        <w:rPr>
          <w:rStyle w:val="EstiloArial11pt"/>
          <w:szCs w:val="24"/>
        </w:rPr>
      </w:pPr>
      <w:r w:rsidRPr="00CF3DBE">
        <w:rPr>
          <w:rStyle w:val="EstiloArial11pt"/>
          <w:szCs w:val="24"/>
        </w:rPr>
        <w:t xml:space="preserve">Sikkerheden ved </w:t>
      </w:r>
      <w:proofErr w:type="spellStart"/>
      <w:r w:rsidRPr="00CF3DBE">
        <w:rPr>
          <w:rStyle w:val="EstiloArial11pt"/>
          <w:szCs w:val="24"/>
        </w:rPr>
        <w:t>Xembify</w:t>
      </w:r>
      <w:proofErr w:type="spellEnd"/>
      <w:r w:rsidRPr="00CF3DBE">
        <w:rPr>
          <w:rStyle w:val="EstiloArial11pt"/>
          <w:szCs w:val="24"/>
        </w:rPr>
        <w:t xml:space="preserve"> administreret subkutant blev evalueret i to </w:t>
      </w:r>
      <w:proofErr w:type="spellStart"/>
      <w:r w:rsidRPr="00CF3DBE">
        <w:rPr>
          <w:rStyle w:val="EstiloArial11pt"/>
          <w:szCs w:val="24"/>
        </w:rPr>
        <w:t>prospektive</w:t>
      </w:r>
      <w:proofErr w:type="spellEnd"/>
      <w:r w:rsidRPr="00CF3DBE">
        <w:rPr>
          <w:rStyle w:val="EstiloArial11pt"/>
          <w:szCs w:val="24"/>
        </w:rPr>
        <w:t>, åbne, ikke-kontrollerede, fase 3-multicenterstudier med 110 mandlige eller kvindelige forsøgspersoner i alderen 2</w:t>
      </w:r>
      <w:r w:rsidRPr="00CF3DBE">
        <w:rPr>
          <w:sz w:val="24"/>
          <w:szCs w:val="24"/>
        </w:rPr>
        <w:noBreakHyphen/>
      </w:r>
      <w:r w:rsidRPr="00CF3DBE">
        <w:rPr>
          <w:rStyle w:val="EstiloArial11pt"/>
          <w:szCs w:val="24"/>
        </w:rPr>
        <w:t xml:space="preserve">72 år med primær immundefekt (PID), der tidligere blev behandlet med </w:t>
      </w:r>
      <w:proofErr w:type="spellStart"/>
      <w:r w:rsidRPr="00CF3DBE">
        <w:rPr>
          <w:rStyle w:val="EstiloArial11pt"/>
          <w:szCs w:val="24"/>
        </w:rPr>
        <w:t>IVIg</w:t>
      </w:r>
      <w:proofErr w:type="spellEnd"/>
      <w:r w:rsidRPr="00CF3DBE">
        <w:rPr>
          <w:rStyle w:val="EstiloArial11pt"/>
          <w:szCs w:val="24"/>
        </w:rPr>
        <w:t>/</w:t>
      </w:r>
      <w:proofErr w:type="spellStart"/>
      <w:r w:rsidRPr="00CF3DBE">
        <w:rPr>
          <w:rStyle w:val="EstiloArial11pt"/>
          <w:szCs w:val="24"/>
        </w:rPr>
        <w:t>SCIg</w:t>
      </w:r>
      <w:proofErr w:type="spellEnd"/>
      <w:r w:rsidRPr="00CF3DBE">
        <w:rPr>
          <w:rStyle w:val="EstiloArial11pt"/>
          <w:szCs w:val="24"/>
        </w:rPr>
        <w:t xml:space="preserve">. Niogfyrre (49) forsøgspersoner var i det nordamerikanske studie og 61 forsøgspersoner i det europæiske studie. </w:t>
      </w:r>
    </w:p>
    <w:p w14:paraId="5A10A0D2" w14:textId="77777777" w:rsidR="00B81BDE" w:rsidRPr="00CF3DBE" w:rsidRDefault="00B81BDE" w:rsidP="00A24BD2">
      <w:pPr>
        <w:ind w:left="851"/>
        <w:rPr>
          <w:rStyle w:val="EstiloArial11pt"/>
          <w:szCs w:val="24"/>
        </w:rPr>
      </w:pPr>
    </w:p>
    <w:p w14:paraId="4AF679EC" w14:textId="77777777" w:rsidR="00B81BDE" w:rsidRPr="00CF3DBE" w:rsidRDefault="00B81BDE" w:rsidP="00A24BD2">
      <w:pPr>
        <w:ind w:left="851"/>
        <w:rPr>
          <w:rStyle w:val="EstiloArial11pt"/>
          <w:szCs w:val="24"/>
        </w:rPr>
      </w:pPr>
      <w:r w:rsidRPr="00CF3DBE">
        <w:rPr>
          <w:rStyle w:val="EstiloArial11pt"/>
          <w:szCs w:val="24"/>
        </w:rPr>
        <w:lastRenderedPageBreak/>
        <w:t xml:space="preserve">Samlet i begge studier seponerede otte forsøgspersoner </w:t>
      </w:r>
      <w:proofErr w:type="spellStart"/>
      <w:r w:rsidRPr="00CF3DBE">
        <w:rPr>
          <w:rStyle w:val="EstiloArial11pt"/>
          <w:szCs w:val="24"/>
        </w:rPr>
        <w:t>Xembify</w:t>
      </w:r>
      <w:proofErr w:type="spellEnd"/>
      <w:r w:rsidRPr="00CF3DBE">
        <w:rPr>
          <w:rStyle w:val="EstiloArial11pt"/>
          <w:szCs w:val="24"/>
        </w:rPr>
        <w:t xml:space="preserve"> på grund af bivirkninger, alle var lette eller moderate i sværhedsgrad undtagen aortainsufficiens på grund af medfødt anomali.</w:t>
      </w:r>
    </w:p>
    <w:p w14:paraId="6CB02035" w14:textId="77777777" w:rsidR="00B81BDE" w:rsidRPr="00CF3DBE" w:rsidRDefault="00B81BDE" w:rsidP="00A24BD2">
      <w:pPr>
        <w:ind w:left="851"/>
        <w:rPr>
          <w:rStyle w:val="EstiloArial11pt"/>
          <w:szCs w:val="24"/>
        </w:rPr>
      </w:pPr>
    </w:p>
    <w:p w14:paraId="3BD08A6A" w14:textId="77777777" w:rsidR="00B81BDE" w:rsidRPr="00CF3DBE" w:rsidRDefault="00B81BDE" w:rsidP="00A24BD2">
      <w:pPr>
        <w:ind w:left="851"/>
        <w:rPr>
          <w:rStyle w:val="EstiloArial11pt"/>
          <w:szCs w:val="24"/>
        </w:rPr>
      </w:pPr>
      <w:r w:rsidRPr="00CF3DBE">
        <w:rPr>
          <w:rStyle w:val="EstiloArial11pt"/>
          <w:szCs w:val="24"/>
        </w:rPr>
        <w:t xml:space="preserve">Tabellen nedenfor er i henhold til </w:t>
      </w:r>
      <w:proofErr w:type="spellStart"/>
      <w:r w:rsidRPr="00CF3DBE">
        <w:rPr>
          <w:rStyle w:val="EstiloArial11pt"/>
          <w:szCs w:val="24"/>
        </w:rPr>
        <w:t>MedDRA</w:t>
      </w:r>
      <w:proofErr w:type="spellEnd"/>
      <w:r w:rsidRPr="00CF3DBE">
        <w:rPr>
          <w:rStyle w:val="EstiloArial11pt"/>
          <w:szCs w:val="24"/>
        </w:rPr>
        <w:t>-systemorganklassifikationen (SOC og foretrukket terminologiniveau).</w:t>
      </w:r>
    </w:p>
    <w:p w14:paraId="4A5AD368" w14:textId="77777777" w:rsidR="00B81BDE" w:rsidRPr="00CF3DBE" w:rsidRDefault="00B81BDE" w:rsidP="00A24BD2">
      <w:pPr>
        <w:ind w:left="851"/>
        <w:rPr>
          <w:rStyle w:val="EstiloArial11pt"/>
          <w:szCs w:val="24"/>
        </w:rPr>
      </w:pPr>
    </w:p>
    <w:p w14:paraId="196D20E3" w14:textId="77777777" w:rsidR="00B81BDE" w:rsidRPr="00CF3DBE" w:rsidRDefault="00B81BDE" w:rsidP="00A24BD2">
      <w:pPr>
        <w:ind w:left="851"/>
        <w:rPr>
          <w:sz w:val="24"/>
          <w:szCs w:val="24"/>
        </w:rPr>
      </w:pPr>
      <w:r w:rsidRPr="00CF3DBE">
        <w:rPr>
          <w:sz w:val="24"/>
          <w:szCs w:val="24"/>
        </w:rPr>
        <w:t>Hyppighederne er blevet evalueret i henhold til den følgende konvention:</w:t>
      </w:r>
      <w:r w:rsidRPr="00CF3DBE">
        <w:rPr>
          <w:rStyle w:val="EstiloArial11pt"/>
          <w:szCs w:val="24"/>
        </w:rPr>
        <w:t xml:space="preserve"> Meget almindelig (≥ 1/10), almindelig (≥ 1/100 til &lt; 1/10), ikke almindelig (≥ 1/1 000 til &lt; 1/100), sjælden (≥ 1/10 000 til &lt; 1/1 000), meget sjælden (&lt; 1/10 000).</w:t>
      </w:r>
      <w:r w:rsidRPr="00CF3DBE">
        <w:rPr>
          <w:sz w:val="24"/>
          <w:szCs w:val="24"/>
        </w:rPr>
        <w:t xml:space="preserve"> </w:t>
      </w:r>
      <w:bookmarkStart w:id="1" w:name="_Hlk69305908"/>
      <w:r w:rsidRPr="00CF3DBE">
        <w:rPr>
          <w:rStyle w:val="EstiloArial11pt"/>
          <w:szCs w:val="24"/>
        </w:rPr>
        <w:t>Inden for hver hyppighedsgruppering er bivirkningerne opstillet efter, hvor alvorlige de er. De alvorligste bivirkninger er anført først (alle er klassificeret som ikke alvorlige).</w:t>
      </w:r>
      <w:bookmarkEnd w:id="1"/>
    </w:p>
    <w:p w14:paraId="0A9371B8" w14:textId="77777777" w:rsidR="00B81BDE" w:rsidRPr="00CF3DBE" w:rsidRDefault="00B81BDE" w:rsidP="00A24BD2">
      <w:pPr>
        <w:ind w:left="851"/>
        <w:rPr>
          <w:sz w:val="24"/>
          <w:szCs w:val="24"/>
        </w:rPr>
      </w:pPr>
    </w:p>
    <w:p w14:paraId="557E5DBC" w14:textId="77777777" w:rsidR="00B81BDE" w:rsidRPr="00CF3DBE" w:rsidRDefault="00B81BDE" w:rsidP="00B946CD">
      <w:pPr>
        <w:rPr>
          <w:b/>
          <w:bCs/>
          <w:sz w:val="24"/>
          <w:szCs w:val="24"/>
        </w:rPr>
      </w:pPr>
      <w:r w:rsidRPr="00CF3DBE">
        <w:rPr>
          <w:b/>
          <w:sz w:val="24"/>
          <w:szCs w:val="24"/>
        </w:rPr>
        <w:t xml:space="preserve">Hyppighed af bivirkninger med </w:t>
      </w:r>
      <w:proofErr w:type="spellStart"/>
      <w:r w:rsidRPr="00CF3DBE">
        <w:rPr>
          <w:b/>
          <w:sz w:val="24"/>
          <w:szCs w:val="24"/>
        </w:rPr>
        <w:t>Xembify</w:t>
      </w:r>
      <w:proofErr w:type="spellEnd"/>
      <w:r w:rsidRPr="00CF3DBE">
        <w:rPr>
          <w:b/>
          <w:sz w:val="24"/>
          <w:szCs w:val="24"/>
        </w:rPr>
        <w:t xml:space="preserve"> hos 1 % eller flere af forsøgspersonerne og pr. infusion i de kliniske studier</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28" w:type="dxa"/>
          <w:bottom w:w="28" w:type="dxa"/>
        </w:tblCellMar>
        <w:tblLook w:val="01C0" w:firstRow="0" w:lastRow="1" w:firstColumn="1" w:lastColumn="1" w:noHBand="0" w:noVBand="0"/>
      </w:tblPr>
      <w:tblGrid>
        <w:gridCol w:w="2362"/>
        <w:gridCol w:w="2005"/>
        <w:gridCol w:w="2769"/>
        <w:gridCol w:w="2486"/>
      </w:tblGrid>
      <w:tr w:rsidR="00B81BDE" w:rsidRPr="000B2C17" w14:paraId="68F8ADBD" w14:textId="77777777" w:rsidTr="00A24BD2">
        <w:trPr>
          <w:tblHeader/>
        </w:trPr>
        <w:tc>
          <w:tcPr>
            <w:tcW w:w="1227" w:type="pct"/>
            <w:tcBorders>
              <w:top w:val="single" w:sz="6" w:space="0" w:color="auto"/>
              <w:left w:val="single" w:sz="6" w:space="0" w:color="auto"/>
              <w:bottom w:val="single" w:sz="6" w:space="0" w:color="auto"/>
              <w:right w:val="single" w:sz="6" w:space="0" w:color="auto"/>
            </w:tcBorders>
            <w:vAlign w:val="center"/>
            <w:hideMark/>
          </w:tcPr>
          <w:p w14:paraId="6BDED07B" w14:textId="77777777" w:rsidR="00B81BDE" w:rsidRPr="000B2C17" w:rsidRDefault="00B81BDE" w:rsidP="000B2C17">
            <w:pPr>
              <w:keepNext/>
              <w:jc w:val="center"/>
              <w:rPr>
                <w:b/>
                <w:sz w:val="24"/>
                <w:szCs w:val="24"/>
              </w:rPr>
            </w:pPr>
            <w:proofErr w:type="spellStart"/>
            <w:r w:rsidRPr="000B2C17">
              <w:rPr>
                <w:b/>
                <w:sz w:val="24"/>
                <w:szCs w:val="24"/>
              </w:rPr>
              <w:t>MedDRA</w:t>
            </w:r>
            <w:proofErr w:type="spellEnd"/>
            <w:r w:rsidRPr="000B2C17">
              <w:rPr>
                <w:b/>
                <w:sz w:val="24"/>
                <w:szCs w:val="24"/>
              </w:rPr>
              <w:t xml:space="preserve"> systemorganklasse (SOC)</w:t>
            </w:r>
          </w:p>
        </w:tc>
        <w:tc>
          <w:tcPr>
            <w:tcW w:w="1042" w:type="pct"/>
            <w:tcBorders>
              <w:top w:val="single" w:sz="6" w:space="0" w:color="auto"/>
              <w:left w:val="single" w:sz="6" w:space="0" w:color="auto"/>
              <w:bottom w:val="single" w:sz="6" w:space="0" w:color="auto"/>
              <w:right w:val="single" w:sz="6" w:space="0" w:color="auto"/>
            </w:tcBorders>
            <w:vAlign w:val="center"/>
            <w:hideMark/>
          </w:tcPr>
          <w:p w14:paraId="5DF1010F" w14:textId="77777777" w:rsidR="00B81BDE" w:rsidRPr="000B2C17" w:rsidRDefault="00B81BDE" w:rsidP="000B2C17">
            <w:pPr>
              <w:keepNext/>
              <w:jc w:val="center"/>
              <w:rPr>
                <w:b/>
                <w:sz w:val="24"/>
                <w:szCs w:val="24"/>
              </w:rPr>
            </w:pPr>
            <w:r w:rsidRPr="000B2C17">
              <w:rPr>
                <w:b/>
                <w:sz w:val="24"/>
                <w:szCs w:val="24"/>
              </w:rPr>
              <w:t>Bivirkning</w:t>
            </w:r>
          </w:p>
        </w:tc>
        <w:tc>
          <w:tcPr>
            <w:tcW w:w="1439" w:type="pct"/>
            <w:tcBorders>
              <w:top w:val="single" w:sz="6" w:space="0" w:color="auto"/>
              <w:left w:val="single" w:sz="6" w:space="0" w:color="auto"/>
              <w:bottom w:val="single" w:sz="6" w:space="0" w:color="auto"/>
              <w:right w:val="single" w:sz="6" w:space="0" w:color="auto"/>
            </w:tcBorders>
            <w:vAlign w:val="center"/>
            <w:hideMark/>
          </w:tcPr>
          <w:p w14:paraId="01C27864" w14:textId="77777777" w:rsidR="00B81BDE" w:rsidRPr="000B2C17" w:rsidRDefault="00B81BDE" w:rsidP="000B2C17">
            <w:pPr>
              <w:keepNext/>
              <w:jc w:val="center"/>
              <w:rPr>
                <w:b/>
                <w:sz w:val="24"/>
                <w:szCs w:val="24"/>
                <w:vertAlign w:val="superscript"/>
              </w:rPr>
            </w:pPr>
            <w:r w:rsidRPr="000B2C17">
              <w:rPr>
                <w:b/>
                <w:sz w:val="24"/>
                <w:szCs w:val="24"/>
              </w:rPr>
              <w:t xml:space="preserve">Hyppighed pr. </w:t>
            </w:r>
            <w:proofErr w:type="spellStart"/>
            <w:r w:rsidRPr="000B2C17">
              <w:rPr>
                <w:b/>
                <w:sz w:val="24"/>
                <w:szCs w:val="24"/>
              </w:rPr>
              <w:t>forsøgsperson</w:t>
            </w:r>
            <w:r w:rsidRPr="000B2C17">
              <w:rPr>
                <w:b/>
                <w:sz w:val="24"/>
                <w:szCs w:val="24"/>
                <w:vertAlign w:val="superscript"/>
              </w:rPr>
              <w:t>a</w:t>
            </w:r>
            <w:proofErr w:type="spellEnd"/>
          </w:p>
          <w:p w14:paraId="1C9142F0" w14:textId="77777777" w:rsidR="00B81BDE" w:rsidRPr="000B2C17" w:rsidRDefault="00B81BDE" w:rsidP="000B2C17">
            <w:pPr>
              <w:keepNext/>
              <w:jc w:val="center"/>
              <w:rPr>
                <w:b/>
                <w:sz w:val="24"/>
                <w:szCs w:val="24"/>
              </w:rPr>
            </w:pPr>
            <w:r w:rsidRPr="000B2C17">
              <w:rPr>
                <w:b/>
                <w:sz w:val="24"/>
                <w:szCs w:val="24"/>
              </w:rPr>
              <w:t>(N=110 forsøgspersoner)</w:t>
            </w:r>
          </w:p>
        </w:tc>
        <w:tc>
          <w:tcPr>
            <w:tcW w:w="1293" w:type="pct"/>
            <w:tcBorders>
              <w:top w:val="single" w:sz="6" w:space="0" w:color="auto"/>
              <w:left w:val="single" w:sz="6" w:space="0" w:color="auto"/>
              <w:bottom w:val="single" w:sz="6" w:space="0" w:color="auto"/>
              <w:right w:val="single" w:sz="6" w:space="0" w:color="auto"/>
            </w:tcBorders>
            <w:hideMark/>
          </w:tcPr>
          <w:p w14:paraId="0BC1A3EB" w14:textId="77777777" w:rsidR="00B81BDE" w:rsidRPr="000B2C17" w:rsidRDefault="00B81BDE" w:rsidP="000B2C17">
            <w:pPr>
              <w:keepNext/>
              <w:jc w:val="center"/>
              <w:rPr>
                <w:b/>
                <w:sz w:val="24"/>
                <w:szCs w:val="24"/>
                <w:vertAlign w:val="superscript"/>
              </w:rPr>
            </w:pPr>
            <w:r w:rsidRPr="000B2C17">
              <w:rPr>
                <w:b/>
                <w:sz w:val="24"/>
                <w:szCs w:val="24"/>
              </w:rPr>
              <w:t xml:space="preserve">Hyppighed pr. </w:t>
            </w:r>
            <w:proofErr w:type="spellStart"/>
            <w:r w:rsidRPr="000B2C17">
              <w:rPr>
                <w:b/>
                <w:sz w:val="24"/>
                <w:szCs w:val="24"/>
              </w:rPr>
              <w:t>infusion</w:t>
            </w:r>
            <w:r w:rsidRPr="000B2C17">
              <w:rPr>
                <w:b/>
                <w:sz w:val="24"/>
                <w:szCs w:val="24"/>
                <w:vertAlign w:val="superscript"/>
              </w:rPr>
              <w:t>b</w:t>
            </w:r>
            <w:proofErr w:type="spellEnd"/>
          </w:p>
          <w:p w14:paraId="1EBA37BA" w14:textId="77777777" w:rsidR="00B81BDE" w:rsidRPr="000B2C17" w:rsidRDefault="00B81BDE" w:rsidP="000B2C17">
            <w:pPr>
              <w:keepNext/>
              <w:jc w:val="center"/>
              <w:rPr>
                <w:b/>
                <w:sz w:val="24"/>
                <w:szCs w:val="24"/>
              </w:rPr>
            </w:pPr>
            <w:r w:rsidRPr="000B2C17">
              <w:rPr>
                <w:b/>
                <w:sz w:val="24"/>
                <w:szCs w:val="24"/>
              </w:rPr>
              <w:t>(N=4 098 infusioner)</w:t>
            </w:r>
          </w:p>
        </w:tc>
      </w:tr>
      <w:tr w:rsidR="00B81BDE" w:rsidRPr="000B2C17" w14:paraId="4CE8D38A" w14:textId="77777777" w:rsidTr="00A24BD2">
        <w:tc>
          <w:tcPr>
            <w:tcW w:w="1227" w:type="pct"/>
            <w:tcBorders>
              <w:top w:val="single" w:sz="6" w:space="0" w:color="auto"/>
              <w:left w:val="single" w:sz="6" w:space="0" w:color="auto"/>
              <w:bottom w:val="single" w:sz="6" w:space="0" w:color="auto"/>
              <w:right w:val="single" w:sz="6" w:space="0" w:color="auto"/>
            </w:tcBorders>
            <w:hideMark/>
          </w:tcPr>
          <w:p w14:paraId="272E1D54" w14:textId="77777777" w:rsidR="00B81BDE" w:rsidRPr="000B2C17" w:rsidRDefault="00B81BDE">
            <w:pPr>
              <w:rPr>
                <w:color w:val="000000"/>
                <w:sz w:val="24"/>
                <w:szCs w:val="24"/>
              </w:rPr>
            </w:pPr>
            <w:r w:rsidRPr="000B2C17">
              <w:rPr>
                <w:color w:val="000000"/>
                <w:sz w:val="24"/>
                <w:szCs w:val="24"/>
              </w:rPr>
              <w:t>Infektioner og parasitære sygdomme</w:t>
            </w:r>
          </w:p>
        </w:tc>
        <w:tc>
          <w:tcPr>
            <w:tcW w:w="1042" w:type="pct"/>
            <w:tcBorders>
              <w:top w:val="single" w:sz="6" w:space="0" w:color="auto"/>
              <w:left w:val="single" w:sz="6" w:space="0" w:color="auto"/>
              <w:bottom w:val="single" w:sz="6" w:space="0" w:color="auto"/>
              <w:right w:val="single" w:sz="6" w:space="0" w:color="auto"/>
            </w:tcBorders>
            <w:hideMark/>
          </w:tcPr>
          <w:p w14:paraId="2F27E80C" w14:textId="77777777" w:rsidR="00B81BDE" w:rsidRPr="000B2C17" w:rsidRDefault="00B81BDE" w:rsidP="000B2C17">
            <w:pPr>
              <w:rPr>
                <w:color w:val="000000"/>
                <w:sz w:val="24"/>
                <w:szCs w:val="24"/>
              </w:rPr>
            </w:pPr>
            <w:proofErr w:type="spellStart"/>
            <w:r w:rsidRPr="000B2C17">
              <w:rPr>
                <w:color w:val="000000"/>
                <w:sz w:val="24"/>
                <w:szCs w:val="24"/>
              </w:rPr>
              <w:t>Rhinitis</w:t>
            </w:r>
            <w:proofErr w:type="spellEnd"/>
          </w:p>
        </w:tc>
        <w:tc>
          <w:tcPr>
            <w:tcW w:w="1439" w:type="pct"/>
            <w:tcBorders>
              <w:top w:val="single" w:sz="6" w:space="0" w:color="auto"/>
              <w:left w:val="single" w:sz="6" w:space="0" w:color="auto"/>
              <w:bottom w:val="single" w:sz="6" w:space="0" w:color="auto"/>
              <w:right w:val="single" w:sz="6" w:space="0" w:color="auto"/>
            </w:tcBorders>
            <w:hideMark/>
          </w:tcPr>
          <w:p w14:paraId="28FDE79B" w14:textId="77777777" w:rsidR="00B81BDE" w:rsidRPr="000B2C17" w:rsidRDefault="00B81BDE" w:rsidP="000B2C17">
            <w:pPr>
              <w:rPr>
                <w:color w:val="000000"/>
                <w:sz w:val="24"/>
                <w:szCs w:val="24"/>
              </w:rPr>
            </w:pPr>
            <w:r w:rsidRPr="000B2C17">
              <w:rPr>
                <w:color w:val="000000"/>
                <w:sz w:val="24"/>
                <w:szCs w:val="24"/>
              </w:rPr>
              <w:t>3 (2,7 %) almindelig</w:t>
            </w:r>
          </w:p>
        </w:tc>
        <w:tc>
          <w:tcPr>
            <w:tcW w:w="1293" w:type="pct"/>
            <w:tcBorders>
              <w:top w:val="single" w:sz="6" w:space="0" w:color="auto"/>
              <w:left w:val="single" w:sz="6" w:space="0" w:color="auto"/>
              <w:bottom w:val="single" w:sz="6" w:space="0" w:color="auto"/>
              <w:right w:val="single" w:sz="6" w:space="0" w:color="auto"/>
            </w:tcBorders>
            <w:hideMark/>
          </w:tcPr>
          <w:p w14:paraId="2FAAF795" w14:textId="77777777" w:rsidR="00B81BDE" w:rsidRPr="000B2C17" w:rsidRDefault="00B81BDE" w:rsidP="000B2C17">
            <w:pPr>
              <w:rPr>
                <w:color w:val="000000"/>
                <w:sz w:val="24"/>
                <w:szCs w:val="24"/>
              </w:rPr>
            </w:pPr>
            <w:r w:rsidRPr="000B2C17">
              <w:rPr>
                <w:color w:val="000000"/>
                <w:sz w:val="24"/>
                <w:szCs w:val="24"/>
              </w:rPr>
              <w:t>4 (0,0010) ikke almindelig</w:t>
            </w:r>
          </w:p>
        </w:tc>
      </w:tr>
      <w:tr w:rsidR="00B81BDE" w:rsidRPr="000B2C17" w14:paraId="0A63035C" w14:textId="77777777" w:rsidTr="00A24BD2">
        <w:tc>
          <w:tcPr>
            <w:tcW w:w="1227" w:type="pct"/>
            <w:tcBorders>
              <w:top w:val="single" w:sz="6" w:space="0" w:color="auto"/>
              <w:left w:val="single" w:sz="6" w:space="0" w:color="auto"/>
              <w:bottom w:val="single" w:sz="6" w:space="0" w:color="auto"/>
              <w:right w:val="single" w:sz="6" w:space="0" w:color="auto"/>
            </w:tcBorders>
            <w:hideMark/>
          </w:tcPr>
          <w:p w14:paraId="1B0828C1" w14:textId="77777777" w:rsidR="00B81BDE" w:rsidRPr="000B2C17" w:rsidRDefault="00B81BDE">
            <w:pPr>
              <w:rPr>
                <w:color w:val="000000"/>
                <w:sz w:val="24"/>
                <w:szCs w:val="24"/>
              </w:rPr>
            </w:pPr>
            <w:r w:rsidRPr="000B2C17">
              <w:rPr>
                <w:color w:val="000000"/>
                <w:sz w:val="24"/>
                <w:szCs w:val="24"/>
              </w:rPr>
              <w:t>Nervesystemet</w:t>
            </w:r>
          </w:p>
        </w:tc>
        <w:tc>
          <w:tcPr>
            <w:tcW w:w="1042" w:type="pct"/>
            <w:tcBorders>
              <w:top w:val="single" w:sz="6" w:space="0" w:color="auto"/>
              <w:left w:val="single" w:sz="6" w:space="0" w:color="auto"/>
              <w:bottom w:val="single" w:sz="6" w:space="0" w:color="auto"/>
              <w:right w:val="single" w:sz="6" w:space="0" w:color="auto"/>
            </w:tcBorders>
            <w:hideMark/>
          </w:tcPr>
          <w:p w14:paraId="231042DD" w14:textId="77777777" w:rsidR="00B81BDE" w:rsidRPr="000B2C17" w:rsidRDefault="00B81BDE" w:rsidP="000B2C17">
            <w:pPr>
              <w:rPr>
                <w:color w:val="000000"/>
                <w:sz w:val="24"/>
                <w:szCs w:val="24"/>
              </w:rPr>
            </w:pPr>
            <w:r w:rsidRPr="000B2C17">
              <w:rPr>
                <w:color w:val="000000"/>
                <w:sz w:val="24"/>
                <w:szCs w:val="24"/>
              </w:rPr>
              <w:t>Hovedpine</w:t>
            </w:r>
          </w:p>
        </w:tc>
        <w:tc>
          <w:tcPr>
            <w:tcW w:w="1439" w:type="pct"/>
            <w:tcBorders>
              <w:top w:val="single" w:sz="6" w:space="0" w:color="auto"/>
              <w:left w:val="single" w:sz="6" w:space="0" w:color="auto"/>
              <w:bottom w:val="single" w:sz="6" w:space="0" w:color="auto"/>
              <w:right w:val="single" w:sz="6" w:space="0" w:color="auto"/>
            </w:tcBorders>
            <w:hideMark/>
          </w:tcPr>
          <w:p w14:paraId="41E1EE74" w14:textId="77777777" w:rsidR="00B81BDE" w:rsidRPr="000B2C17" w:rsidRDefault="00B81BDE" w:rsidP="000B2C17">
            <w:pPr>
              <w:rPr>
                <w:color w:val="000000"/>
                <w:sz w:val="24"/>
                <w:szCs w:val="24"/>
              </w:rPr>
            </w:pPr>
            <w:r w:rsidRPr="000B2C17">
              <w:rPr>
                <w:color w:val="000000"/>
                <w:sz w:val="24"/>
                <w:szCs w:val="24"/>
              </w:rPr>
              <w:t>4 (3,6 %) almindelig</w:t>
            </w:r>
          </w:p>
        </w:tc>
        <w:tc>
          <w:tcPr>
            <w:tcW w:w="1293" w:type="pct"/>
            <w:tcBorders>
              <w:top w:val="single" w:sz="6" w:space="0" w:color="auto"/>
              <w:left w:val="single" w:sz="6" w:space="0" w:color="auto"/>
              <w:bottom w:val="single" w:sz="6" w:space="0" w:color="auto"/>
              <w:right w:val="single" w:sz="6" w:space="0" w:color="auto"/>
            </w:tcBorders>
            <w:hideMark/>
          </w:tcPr>
          <w:p w14:paraId="1385ADA3" w14:textId="77777777" w:rsidR="00B81BDE" w:rsidRPr="000B2C17" w:rsidRDefault="00B81BDE" w:rsidP="000B2C17">
            <w:pPr>
              <w:rPr>
                <w:color w:val="000000"/>
                <w:sz w:val="24"/>
                <w:szCs w:val="24"/>
              </w:rPr>
            </w:pPr>
            <w:r w:rsidRPr="000B2C17">
              <w:rPr>
                <w:color w:val="000000"/>
                <w:sz w:val="24"/>
                <w:szCs w:val="24"/>
              </w:rPr>
              <w:t>4 (0,0010) ikke almindelig</w:t>
            </w:r>
          </w:p>
        </w:tc>
      </w:tr>
      <w:tr w:rsidR="00B81BDE" w:rsidRPr="000B2C17" w14:paraId="4D30D0CC" w14:textId="77777777" w:rsidTr="00A24BD2">
        <w:tc>
          <w:tcPr>
            <w:tcW w:w="1227" w:type="pct"/>
            <w:vMerge w:val="restart"/>
            <w:tcBorders>
              <w:top w:val="single" w:sz="6" w:space="0" w:color="auto"/>
              <w:left w:val="single" w:sz="6" w:space="0" w:color="auto"/>
              <w:bottom w:val="single" w:sz="6" w:space="0" w:color="auto"/>
              <w:right w:val="single" w:sz="6" w:space="0" w:color="auto"/>
            </w:tcBorders>
            <w:hideMark/>
          </w:tcPr>
          <w:p w14:paraId="13849C4B" w14:textId="77777777" w:rsidR="00B81BDE" w:rsidRPr="000B2C17" w:rsidRDefault="00B81BDE">
            <w:pPr>
              <w:rPr>
                <w:color w:val="000000"/>
                <w:sz w:val="24"/>
                <w:szCs w:val="24"/>
              </w:rPr>
            </w:pPr>
            <w:r w:rsidRPr="000B2C17">
              <w:rPr>
                <w:color w:val="000000"/>
                <w:sz w:val="24"/>
                <w:szCs w:val="24"/>
              </w:rPr>
              <w:t>Mave-tarm-kanalen</w:t>
            </w:r>
          </w:p>
        </w:tc>
        <w:tc>
          <w:tcPr>
            <w:tcW w:w="1042" w:type="pct"/>
            <w:tcBorders>
              <w:top w:val="single" w:sz="6" w:space="0" w:color="auto"/>
              <w:left w:val="single" w:sz="6" w:space="0" w:color="auto"/>
              <w:bottom w:val="single" w:sz="6" w:space="0" w:color="auto"/>
              <w:right w:val="single" w:sz="6" w:space="0" w:color="auto"/>
            </w:tcBorders>
            <w:hideMark/>
          </w:tcPr>
          <w:p w14:paraId="616CA1BE" w14:textId="77777777" w:rsidR="00B81BDE" w:rsidRPr="000B2C17" w:rsidRDefault="00B81BDE" w:rsidP="000B2C17">
            <w:pPr>
              <w:rPr>
                <w:color w:val="000000"/>
                <w:sz w:val="24"/>
                <w:szCs w:val="24"/>
              </w:rPr>
            </w:pPr>
            <w:r w:rsidRPr="000B2C17">
              <w:rPr>
                <w:color w:val="000000"/>
                <w:sz w:val="24"/>
                <w:szCs w:val="24"/>
              </w:rPr>
              <w:t>Diarré</w:t>
            </w:r>
          </w:p>
        </w:tc>
        <w:tc>
          <w:tcPr>
            <w:tcW w:w="1439" w:type="pct"/>
            <w:tcBorders>
              <w:top w:val="single" w:sz="6" w:space="0" w:color="auto"/>
              <w:left w:val="single" w:sz="6" w:space="0" w:color="auto"/>
              <w:bottom w:val="single" w:sz="6" w:space="0" w:color="auto"/>
              <w:right w:val="single" w:sz="6" w:space="0" w:color="auto"/>
            </w:tcBorders>
            <w:hideMark/>
          </w:tcPr>
          <w:p w14:paraId="1F85CE37" w14:textId="77777777" w:rsidR="00B81BDE" w:rsidRPr="000B2C17" w:rsidRDefault="00B81BDE" w:rsidP="000B2C17">
            <w:pPr>
              <w:rPr>
                <w:color w:val="000000"/>
                <w:sz w:val="24"/>
                <w:szCs w:val="24"/>
              </w:rPr>
            </w:pPr>
            <w:r w:rsidRPr="000B2C17">
              <w:rPr>
                <w:color w:val="000000"/>
                <w:sz w:val="24"/>
                <w:szCs w:val="24"/>
              </w:rPr>
              <w:t>3 (2,7 %) almindelig</w:t>
            </w:r>
          </w:p>
        </w:tc>
        <w:tc>
          <w:tcPr>
            <w:tcW w:w="1293" w:type="pct"/>
            <w:tcBorders>
              <w:top w:val="single" w:sz="6" w:space="0" w:color="auto"/>
              <w:left w:val="single" w:sz="6" w:space="0" w:color="auto"/>
              <w:bottom w:val="single" w:sz="6" w:space="0" w:color="auto"/>
              <w:right w:val="single" w:sz="6" w:space="0" w:color="auto"/>
            </w:tcBorders>
            <w:hideMark/>
          </w:tcPr>
          <w:p w14:paraId="6B44E5CD" w14:textId="77777777" w:rsidR="00B81BDE" w:rsidRPr="000B2C17" w:rsidRDefault="00B81BDE" w:rsidP="000B2C17">
            <w:pPr>
              <w:rPr>
                <w:color w:val="000000"/>
                <w:sz w:val="24"/>
                <w:szCs w:val="24"/>
              </w:rPr>
            </w:pPr>
            <w:r w:rsidRPr="000B2C17">
              <w:rPr>
                <w:color w:val="000000"/>
                <w:sz w:val="24"/>
                <w:szCs w:val="24"/>
              </w:rPr>
              <w:t>3 (0,0007) sjælden</w:t>
            </w:r>
          </w:p>
        </w:tc>
      </w:tr>
      <w:tr w:rsidR="00B81BDE" w:rsidRPr="000B2C17" w14:paraId="21D76899" w14:textId="77777777" w:rsidTr="00A24BD2">
        <w:tc>
          <w:tcPr>
            <w:tcW w:w="1227" w:type="pct"/>
            <w:vMerge/>
            <w:tcBorders>
              <w:top w:val="single" w:sz="6" w:space="0" w:color="auto"/>
              <w:left w:val="single" w:sz="6" w:space="0" w:color="auto"/>
              <w:bottom w:val="single" w:sz="6" w:space="0" w:color="auto"/>
              <w:right w:val="single" w:sz="6" w:space="0" w:color="auto"/>
            </w:tcBorders>
            <w:vAlign w:val="center"/>
            <w:hideMark/>
          </w:tcPr>
          <w:p w14:paraId="64C70E87" w14:textId="77777777" w:rsidR="00B81BDE" w:rsidRPr="000B2C17" w:rsidRDefault="00B81BDE">
            <w:pPr>
              <w:rPr>
                <w:color w:val="000000"/>
                <w:sz w:val="24"/>
                <w:szCs w:val="24"/>
              </w:rPr>
            </w:pPr>
          </w:p>
        </w:tc>
        <w:tc>
          <w:tcPr>
            <w:tcW w:w="1042" w:type="pct"/>
            <w:tcBorders>
              <w:top w:val="single" w:sz="6" w:space="0" w:color="auto"/>
              <w:left w:val="single" w:sz="6" w:space="0" w:color="auto"/>
              <w:bottom w:val="single" w:sz="6" w:space="0" w:color="auto"/>
              <w:right w:val="single" w:sz="6" w:space="0" w:color="auto"/>
            </w:tcBorders>
            <w:hideMark/>
          </w:tcPr>
          <w:p w14:paraId="43854AE0" w14:textId="77777777" w:rsidR="00B81BDE" w:rsidRPr="000B2C17" w:rsidRDefault="00B81BDE" w:rsidP="000B2C17">
            <w:pPr>
              <w:rPr>
                <w:color w:val="000000"/>
                <w:sz w:val="24"/>
                <w:szCs w:val="24"/>
              </w:rPr>
            </w:pPr>
            <w:r w:rsidRPr="000B2C17">
              <w:rPr>
                <w:color w:val="000000"/>
                <w:sz w:val="24"/>
                <w:szCs w:val="24"/>
              </w:rPr>
              <w:t>Kvalme</w:t>
            </w:r>
          </w:p>
        </w:tc>
        <w:tc>
          <w:tcPr>
            <w:tcW w:w="1439" w:type="pct"/>
            <w:tcBorders>
              <w:top w:val="single" w:sz="6" w:space="0" w:color="auto"/>
              <w:left w:val="single" w:sz="6" w:space="0" w:color="auto"/>
              <w:bottom w:val="single" w:sz="6" w:space="0" w:color="auto"/>
              <w:right w:val="single" w:sz="6" w:space="0" w:color="auto"/>
            </w:tcBorders>
            <w:hideMark/>
          </w:tcPr>
          <w:p w14:paraId="6B965A8D" w14:textId="77777777" w:rsidR="00B81BDE" w:rsidRPr="000B2C17" w:rsidRDefault="00B81BDE" w:rsidP="000B2C17">
            <w:pPr>
              <w:rPr>
                <w:color w:val="000000"/>
                <w:sz w:val="24"/>
                <w:szCs w:val="24"/>
              </w:rPr>
            </w:pPr>
            <w:r w:rsidRPr="000B2C17">
              <w:rPr>
                <w:color w:val="000000"/>
                <w:sz w:val="24"/>
                <w:szCs w:val="24"/>
              </w:rPr>
              <w:t>2 (1,8 %) almindelig</w:t>
            </w:r>
          </w:p>
        </w:tc>
        <w:tc>
          <w:tcPr>
            <w:tcW w:w="1293" w:type="pct"/>
            <w:tcBorders>
              <w:top w:val="single" w:sz="6" w:space="0" w:color="auto"/>
              <w:left w:val="single" w:sz="6" w:space="0" w:color="auto"/>
              <w:bottom w:val="single" w:sz="6" w:space="0" w:color="auto"/>
              <w:right w:val="single" w:sz="6" w:space="0" w:color="auto"/>
            </w:tcBorders>
            <w:hideMark/>
          </w:tcPr>
          <w:p w14:paraId="021CB1A3" w14:textId="77777777" w:rsidR="00B81BDE" w:rsidRPr="000B2C17" w:rsidRDefault="00B81BDE" w:rsidP="000B2C17">
            <w:pPr>
              <w:rPr>
                <w:color w:val="000000"/>
                <w:sz w:val="24"/>
                <w:szCs w:val="24"/>
              </w:rPr>
            </w:pPr>
            <w:r w:rsidRPr="000B2C17">
              <w:rPr>
                <w:color w:val="000000"/>
                <w:sz w:val="24"/>
                <w:szCs w:val="24"/>
              </w:rPr>
              <w:t>2 (0,0005) sjælden</w:t>
            </w:r>
          </w:p>
        </w:tc>
      </w:tr>
      <w:tr w:rsidR="00B81BDE" w:rsidRPr="000B2C17" w14:paraId="1F05C65A" w14:textId="77777777" w:rsidTr="00A24BD2">
        <w:tc>
          <w:tcPr>
            <w:tcW w:w="1227" w:type="pct"/>
            <w:vMerge w:val="restart"/>
            <w:tcBorders>
              <w:top w:val="single" w:sz="6" w:space="0" w:color="auto"/>
              <w:left w:val="single" w:sz="6" w:space="0" w:color="auto"/>
              <w:bottom w:val="single" w:sz="6" w:space="0" w:color="auto"/>
              <w:right w:val="single" w:sz="6" w:space="0" w:color="auto"/>
            </w:tcBorders>
            <w:hideMark/>
          </w:tcPr>
          <w:p w14:paraId="5FD479C4" w14:textId="77777777" w:rsidR="00B81BDE" w:rsidRPr="000B2C17" w:rsidRDefault="00B81BDE">
            <w:pPr>
              <w:rPr>
                <w:color w:val="000000"/>
                <w:sz w:val="24"/>
                <w:szCs w:val="24"/>
              </w:rPr>
            </w:pPr>
            <w:r w:rsidRPr="000B2C17">
              <w:rPr>
                <w:color w:val="000000"/>
                <w:sz w:val="24"/>
                <w:szCs w:val="24"/>
              </w:rPr>
              <w:t>Hud og subkutane væv</w:t>
            </w:r>
          </w:p>
        </w:tc>
        <w:tc>
          <w:tcPr>
            <w:tcW w:w="1042" w:type="pct"/>
            <w:tcBorders>
              <w:top w:val="single" w:sz="6" w:space="0" w:color="auto"/>
              <w:left w:val="single" w:sz="6" w:space="0" w:color="auto"/>
              <w:bottom w:val="single" w:sz="6" w:space="0" w:color="auto"/>
              <w:right w:val="single" w:sz="6" w:space="0" w:color="auto"/>
            </w:tcBorders>
            <w:hideMark/>
          </w:tcPr>
          <w:p w14:paraId="75505048" w14:textId="77777777" w:rsidR="00B81BDE" w:rsidRPr="000B2C17" w:rsidRDefault="00B81BDE" w:rsidP="000B2C17">
            <w:pPr>
              <w:rPr>
                <w:color w:val="000000"/>
                <w:sz w:val="24"/>
                <w:szCs w:val="24"/>
              </w:rPr>
            </w:pPr>
            <w:proofErr w:type="spellStart"/>
            <w:r w:rsidRPr="000B2C17">
              <w:rPr>
                <w:color w:val="000000"/>
                <w:sz w:val="24"/>
                <w:szCs w:val="24"/>
              </w:rPr>
              <w:t>Papel</w:t>
            </w:r>
            <w:proofErr w:type="spellEnd"/>
          </w:p>
        </w:tc>
        <w:tc>
          <w:tcPr>
            <w:tcW w:w="1439" w:type="pct"/>
            <w:tcBorders>
              <w:top w:val="single" w:sz="6" w:space="0" w:color="auto"/>
              <w:left w:val="single" w:sz="6" w:space="0" w:color="auto"/>
              <w:bottom w:val="single" w:sz="6" w:space="0" w:color="auto"/>
              <w:right w:val="single" w:sz="6" w:space="0" w:color="auto"/>
            </w:tcBorders>
            <w:hideMark/>
          </w:tcPr>
          <w:p w14:paraId="2524D291" w14:textId="77777777" w:rsidR="00B81BDE" w:rsidRPr="000B2C17" w:rsidRDefault="00B81BDE" w:rsidP="000B2C17">
            <w:pPr>
              <w:rPr>
                <w:color w:val="000000"/>
                <w:sz w:val="24"/>
                <w:szCs w:val="24"/>
              </w:rPr>
            </w:pPr>
            <w:r w:rsidRPr="000B2C17">
              <w:rPr>
                <w:color w:val="000000"/>
                <w:sz w:val="24"/>
                <w:szCs w:val="24"/>
              </w:rPr>
              <w:t>2 (1,8 %) almindelig</w:t>
            </w:r>
          </w:p>
        </w:tc>
        <w:tc>
          <w:tcPr>
            <w:tcW w:w="1293" w:type="pct"/>
            <w:tcBorders>
              <w:top w:val="single" w:sz="6" w:space="0" w:color="auto"/>
              <w:left w:val="single" w:sz="6" w:space="0" w:color="auto"/>
              <w:bottom w:val="single" w:sz="6" w:space="0" w:color="auto"/>
              <w:right w:val="single" w:sz="6" w:space="0" w:color="auto"/>
            </w:tcBorders>
            <w:hideMark/>
          </w:tcPr>
          <w:p w14:paraId="10AEDA9F" w14:textId="77777777" w:rsidR="00B81BDE" w:rsidRPr="000B2C17" w:rsidRDefault="00B81BDE" w:rsidP="000B2C17">
            <w:pPr>
              <w:rPr>
                <w:color w:val="000000"/>
                <w:sz w:val="24"/>
                <w:szCs w:val="24"/>
              </w:rPr>
            </w:pPr>
            <w:r w:rsidRPr="000B2C17">
              <w:rPr>
                <w:color w:val="000000"/>
                <w:sz w:val="24"/>
                <w:szCs w:val="24"/>
              </w:rPr>
              <w:t>2 (0,0005) sjælden</w:t>
            </w:r>
          </w:p>
        </w:tc>
      </w:tr>
      <w:tr w:rsidR="00B81BDE" w:rsidRPr="000B2C17" w14:paraId="2C0EFB1B" w14:textId="77777777" w:rsidTr="00A24BD2">
        <w:tc>
          <w:tcPr>
            <w:tcW w:w="1227" w:type="pct"/>
            <w:vMerge/>
            <w:tcBorders>
              <w:top w:val="single" w:sz="6" w:space="0" w:color="auto"/>
              <w:left w:val="single" w:sz="6" w:space="0" w:color="auto"/>
              <w:bottom w:val="single" w:sz="6" w:space="0" w:color="auto"/>
              <w:right w:val="single" w:sz="6" w:space="0" w:color="auto"/>
            </w:tcBorders>
            <w:vAlign w:val="center"/>
            <w:hideMark/>
          </w:tcPr>
          <w:p w14:paraId="3B973433" w14:textId="77777777" w:rsidR="00B81BDE" w:rsidRPr="000B2C17" w:rsidRDefault="00B81BDE">
            <w:pPr>
              <w:rPr>
                <w:color w:val="000000"/>
                <w:sz w:val="24"/>
                <w:szCs w:val="24"/>
              </w:rPr>
            </w:pPr>
          </w:p>
        </w:tc>
        <w:tc>
          <w:tcPr>
            <w:tcW w:w="1042" w:type="pct"/>
            <w:tcBorders>
              <w:top w:val="single" w:sz="6" w:space="0" w:color="auto"/>
              <w:left w:val="single" w:sz="6" w:space="0" w:color="auto"/>
              <w:bottom w:val="single" w:sz="6" w:space="0" w:color="auto"/>
              <w:right w:val="single" w:sz="6" w:space="0" w:color="auto"/>
            </w:tcBorders>
            <w:hideMark/>
          </w:tcPr>
          <w:p w14:paraId="32BA69A3" w14:textId="77777777" w:rsidR="00B81BDE" w:rsidRPr="000B2C17" w:rsidRDefault="00B81BDE" w:rsidP="000B2C17">
            <w:pPr>
              <w:rPr>
                <w:color w:val="000000"/>
                <w:sz w:val="24"/>
                <w:szCs w:val="24"/>
              </w:rPr>
            </w:pPr>
            <w:proofErr w:type="spellStart"/>
            <w:r w:rsidRPr="000B2C17">
              <w:rPr>
                <w:color w:val="000000"/>
                <w:sz w:val="24"/>
                <w:szCs w:val="24"/>
              </w:rPr>
              <w:t>Pruritus</w:t>
            </w:r>
            <w:proofErr w:type="spellEnd"/>
          </w:p>
        </w:tc>
        <w:tc>
          <w:tcPr>
            <w:tcW w:w="1439" w:type="pct"/>
            <w:tcBorders>
              <w:top w:val="single" w:sz="6" w:space="0" w:color="auto"/>
              <w:left w:val="single" w:sz="6" w:space="0" w:color="auto"/>
              <w:bottom w:val="single" w:sz="6" w:space="0" w:color="auto"/>
              <w:right w:val="single" w:sz="6" w:space="0" w:color="auto"/>
            </w:tcBorders>
            <w:hideMark/>
          </w:tcPr>
          <w:p w14:paraId="34735547" w14:textId="77777777" w:rsidR="00B81BDE" w:rsidRPr="000B2C17" w:rsidRDefault="00B81BDE" w:rsidP="000B2C17">
            <w:pPr>
              <w:rPr>
                <w:color w:val="000000"/>
                <w:sz w:val="24"/>
                <w:szCs w:val="24"/>
              </w:rPr>
            </w:pPr>
            <w:r w:rsidRPr="000B2C17">
              <w:rPr>
                <w:color w:val="000000"/>
                <w:sz w:val="24"/>
                <w:szCs w:val="24"/>
              </w:rPr>
              <w:t>2 (1,8 %) almindelig</w:t>
            </w:r>
          </w:p>
        </w:tc>
        <w:tc>
          <w:tcPr>
            <w:tcW w:w="1293" w:type="pct"/>
            <w:tcBorders>
              <w:top w:val="single" w:sz="6" w:space="0" w:color="auto"/>
              <w:left w:val="single" w:sz="6" w:space="0" w:color="auto"/>
              <w:bottom w:val="single" w:sz="6" w:space="0" w:color="auto"/>
              <w:right w:val="single" w:sz="6" w:space="0" w:color="auto"/>
            </w:tcBorders>
            <w:hideMark/>
          </w:tcPr>
          <w:p w14:paraId="479B4E13" w14:textId="77777777" w:rsidR="00B81BDE" w:rsidRPr="000B2C17" w:rsidRDefault="00B81BDE" w:rsidP="000B2C17">
            <w:pPr>
              <w:rPr>
                <w:color w:val="000000"/>
                <w:sz w:val="24"/>
                <w:szCs w:val="24"/>
              </w:rPr>
            </w:pPr>
            <w:r w:rsidRPr="000B2C17">
              <w:rPr>
                <w:color w:val="000000"/>
                <w:sz w:val="24"/>
                <w:szCs w:val="24"/>
              </w:rPr>
              <w:t>2 (0,0005) sjælden</w:t>
            </w:r>
          </w:p>
        </w:tc>
      </w:tr>
      <w:tr w:rsidR="00B81BDE" w:rsidRPr="000B2C17" w14:paraId="682303EE" w14:textId="77777777" w:rsidTr="00A24BD2">
        <w:tc>
          <w:tcPr>
            <w:tcW w:w="1227" w:type="pct"/>
            <w:vMerge w:val="restart"/>
            <w:tcBorders>
              <w:top w:val="single" w:sz="6" w:space="0" w:color="auto"/>
              <w:left w:val="single" w:sz="6" w:space="0" w:color="auto"/>
              <w:bottom w:val="single" w:sz="6" w:space="0" w:color="auto"/>
              <w:right w:val="single" w:sz="6" w:space="0" w:color="auto"/>
            </w:tcBorders>
            <w:hideMark/>
          </w:tcPr>
          <w:p w14:paraId="55C40A3B" w14:textId="77777777" w:rsidR="00B81BDE" w:rsidRPr="000B2C17" w:rsidRDefault="00B81BDE">
            <w:pPr>
              <w:rPr>
                <w:color w:val="000000"/>
                <w:sz w:val="24"/>
                <w:szCs w:val="24"/>
              </w:rPr>
            </w:pPr>
            <w:r w:rsidRPr="000B2C17">
              <w:rPr>
                <w:color w:val="000000"/>
                <w:sz w:val="24"/>
                <w:szCs w:val="24"/>
              </w:rPr>
              <w:t>Knogler, led, muskler og bindevæv</w:t>
            </w:r>
          </w:p>
        </w:tc>
        <w:tc>
          <w:tcPr>
            <w:tcW w:w="1042" w:type="pct"/>
            <w:tcBorders>
              <w:top w:val="single" w:sz="6" w:space="0" w:color="auto"/>
              <w:left w:val="single" w:sz="6" w:space="0" w:color="auto"/>
              <w:bottom w:val="single" w:sz="6" w:space="0" w:color="auto"/>
              <w:right w:val="single" w:sz="6" w:space="0" w:color="auto"/>
            </w:tcBorders>
            <w:hideMark/>
          </w:tcPr>
          <w:p w14:paraId="5CC967F4" w14:textId="77777777" w:rsidR="00B81BDE" w:rsidRPr="000B2C17" w:rsidRDefault="00B81BDE" w:rsidP="000B2C17">
            <w:pPr>
              <w:rPr>
                <w:strike/>
                <w:sz w:val="24"/>
                <w:szCs w:val="24"/>
                <w:highlight w:val="cyan"/>
              </w:rPr>
            </w:pPr>
            <w:proofErr w:type="spellStart"/>
            <w:r w:rsidRPr="000B2C17">
              <w:rPr>
                <w:sz w:val="24"/>
                <w:szCs w:val="24"/>
              </w:rPr>
              <w:t>Artralgi</w:t>
            </w:r>
            <w:proofErr w:type="spellEnd"/>
          </w:p>
        </w:tc>
        <w:tc>
          <w:tcPr>
            <w:tcW w:w="1439" w:type="pct"/>
            <w:tcBorders>
              <w:top w:val="single" w:sz="6" w:space="0" w:color="auto"/>
              <w:left w:val="single" w:sz="6" w:space="0" w:color="auto"/>
              <w:bottom w:val="single" w:sz="6" w:space="0" w:color="auto"/>
              <w:right w:val="single" w:sz="6" w:space="0" w:color="auto"/>
            </w:tcBorders>
            <w:hideMark/>
          </w:tcPr>
          <w:p w14:paraId="35A5D269" w14:textId="77777777" w:rsidR="00B81BDE" w:rsidRPr="000B2C17" w:rsidRDefault="00B81BDE" w:rsidP="000B2C17">
            <w:pPr>
              <w:rPr>
                <w:strike/>
                <w:sz w:val="24"/>
                <w:szCs w:val="24"/>
                <w:highlight w:val="cyan"/>
              </w:rPr>
            </w:pPr>
            <w:r w:rsidRPr="000B2C17">
              <w:rPr>
                <w:sz w:val="24"/>
                <w:szCs w:val="24"/>
              </w:rPr>
              <w:t>3 (2,7 %) almindelig</w:t>
            </w:r>
          </w:p>
        </w:tc>
        <w:tc>
          <w:tcPr>
            <w:tcW w:w="1293" w:type="pct"/>
            <w:tcBorders>
              <w:top w:val="single" w:sz="6" w:space="0" w:color="auto"/>
              <w:left w:val="single" w:sz="6" w:space="0" w:color="auto"/>
              <w:bottom w:val="single" w:sz="6" w:space="0" w:color="auto"/>
              <w:right w:val="single" w:sz="6" w:space="0" w:color="auto"/>
            </w:tcBorders>
            <w:hideMark/>
          </w:tcPr>
          <w:p w14:paraId="3585C6A9" w14:textId="77777777" w:rsidR="00B81BDE" w:rsidRPr="000B2C17" w:rsidRDefault="00B81BDE" w:rsidP="000B2C17">
            <w:pPr>
              <w:rPr>
                <w:strike/>
                <w:sz w:val="24"/>
                <w:szCs w:val="24"/>
                <w:highlight w:val="cyan"/>
              </w:rPr>
            </w:pPr>
            <w:r w:rsidRPr="000B2C17">
              <w:rPr>
                <w:sz w:val="24"/>
                <w:szCs w:val="24"/>
              </w:rPr>
              <w:t>3 (0,0007) sjælden</w:t>
            </w:r>
          </w:p>
        </w:tc>
      </w:tr>
      <w:tr w:rsidR="00B81BDE" w:rsidRPr="000B2C17" w14:paraId="5868F3A6" w14:textId="77777777" w:rsidTr="00A24BD2">
        <w:tc>
          <w:tcPr>
            <w:tcW w:w="1227" w:type="pct"/>
            <w:vMerge/>
            <w:tcBorders>
              <w:top w:val="single" w:sz="6" w:space="0" w:color="auto"/>
              <w:left w:val="single" w:sz="6" w:space="0" w:color="auto"/>
              <w:bottom w:val="single" w:sz="6" w:space="0" w:color="auto"/>
              <w:right w:val="single" w:sz="6" w:space="0" w:color="auto"/>
            </w:tcBorders>
            <w:vAlign w:val="center"/>
            <w:hideMark/>
          </w:tcPr>
          <w:p w14:paraId="225AA6B1" w14:textId="77777777" w:rsidR="00B81BDE" w:rsidRPr="000B2C17" w:rsidRDefault="00B81BDE">
            <w:pPr>
              <w:rPr>
                <w:color w:val="000000"/>
                <w:sz w:val="24"/>
                <w:szCs w:val="24"/>
              </w:rPr>
            </w:pPr>
          </w:p>
        </w:tc>
        <w:tc>
          <w:tcPr>
            <w:tcW w:w="1042" w:type="pct"/>
            <w:tcBorders>
              <w:top w:val="single" w:sz="6" w:space="0" w:color="auto"/>
              <w:left w:val="single" w:sz="6" w:space="0" w:color="auto"/>
              <w:bottom w:val="single" w:sz="6" w:space="0" w:color="auto"/>
              <w:right w:val="single" w:sz="6" w:space="0" w:color="auto"/>
            </w:tcBorders>
            <w:hideMark/>
          </w:tcPr>
          <w:p w14:paraId="0AB996FE" w14:textId="77777777" w:rsidR="00B81BDE" w:rsidRPr="000B2C17" w:rsidRDefault="00B81BDE" w:rsidP="000B2C17">
            <w:pPr>
              <w:rPr>
                <w:strike/>
                <w:sz w:val="24"/>
                <w:szCs w:val="24"/>
                <w:highlight w:val="cyan"/>
              </w:rPr>
            </w:pPr>
            <w:r w:rsidRPr="000B2C17">
              <w:rPr>
                <w:sz w:val="24"/>
                <w:szCs w:val="24"/>
              </w:rPr>
              <w:t>Rygsmerter</w:t>
            </w:r>
          </w:p>
        </w:tc>
        <w:tc>
          <w:tcPr>
            <w:tcW w:w="1439" w:type="pct"/>
            <w:tcBorders>
              <w:top w:val="single" w:sz="6" w:space="0" w:color="auto"/>
              <w:left w:val="single" w:sz="6" w:space="0" w:color="auto"/>
              <w:bottom w:val="single" w:sz="6" w:space="0" w:color="auto"/>
              <w:right w:val="single" w:sz="6" w:space="0" w:color="auto"/>
            </w:tcBorders>
            <w:hideMark/>
          </w:tcPr>
          <w:p w14:paraId="0CE234B7" w14:textId="77777777" w:rsidR="00B81BDE" w:rsidRPr="000B2C17" w:rsidRDefault="00B81BDE" w:rsidP="000B2C17">
            <w:pPr>
              <w:rPr>
                <w:strike/>
                <w:sz w:val="24"/>
                <w:szCs w:val="24"/>
                <w:highlight w:val="cyan"/>
              </w:rPr>
            </w:pPr>
            <w:r w:rsidRPr="000B2C17">
              <w:rPr>
                <w:sz w:val="24"/>
                <w:szCs w:val="24"/>
              </w:rPr>
              <w:t>3 (2,7 %) almindelig</w:t>
            </w:r>
          </w:p>
        </w:tc>
        <w:tc>
          <w:tcPr>
            <w:tcW w:w="1293" w:type="pct"/>
            <w:tcBorders>
              <w:top w:val="single" w:sz="6" w:space="0" w:color="auto"/>
              <w:left w:val="single" w:sz="6" w:space="0" w:color="auto"/>
              <w:bottom w:val="single" w:sz="6" w:space="0" w:color="auto"/>
              <w:right w:val="single" w:sz="6" w:space="0" w:color="auto"/>
            </w:tcBorders>
            <w:hideMark/>
          </w:tcPr>
          <w:p w14:paraId="5D0D0AEC" w14:textId="77777777" w:rsidR="00B81BDE" w:rsidRPr="000B2C17" w:rsidRDefault="00B81BDE" w:rsidP="000B2C17">
            <w:pPr>
              <w:rPr>
                <w:strike/>
                <w:sz w:val="24"/>
                <w:szCs w:val="24"/>
                <w:highlight w:val="cyan"/>
              </w:rPr>
            </w:pPr>
            <w:r w:rsidRPr="000B2C17">
              <w:rPr>
                <w:sz w:val="24"/>
                <w:szCs w:val="24"/>
              </w:rPr>
              <w:t>3 (0,0007) sjælden</w:t>
            </w:r>
          </w:p>
        </w:tc>
      </w:tr>
      <w:tr w:rsidR="00B81BDE" w:rsidRPr="000B2C17" w14:paraId="56224989" w14:textId="77777777" w:rsidTr="00A24BD2">
        <w:tc>
          <w:tcPr>
            <w:tcW w:w="1227" w:type="pct"/>
            <w:vMerge w:val="restart"/>
            <w:tcBorders>
              <w:top w:val="single" w:sz="6" w:space="0" w:color="auto"/>
              <w:left w:val="single" w:sz="6" w:space="0" w:color="auto"/>
              <w:bottom w:val="single" w:sz="6" w:space="0" w:color="auto"/>
              <w:right w:val="single" w:sz="6" w:space="0" w:color="auto"/>
            </w:tcBorders>
            <w:hideMark/>
          </w:tcPr>
          <w:p w14:paraId="4D580111" w14:textId="77777777" w:rsidR="00B81BDE" w:rsidRPr="000B2C17" w:rsidRDefault="00B81BDE">
            <w:pPr>
              <w:rPr>
                <w:color w:val="000000"/>
                <w:sz w:val="24"/>
                <w:szCs w:val="24"/>
              </w:rPr>
            </w:pPr>
            <w:r w:rsidRPr="000B2C17">
              <w:rPr>
                <w:color w:val="000000"/>
                <w:sz w:val="24"/>
                <w:szCs w:val="24"/>
              </w:rPr>
              <w:t>Almene symptomer og reaktioner på administrationsstedet</w:t>
            </w:r>
          </w:p>
        </w:tc>
        <w:tc>
          <w:tcPr>
            <w:tcW w:w="1042" w:type="pct"/>
            <w:tcBorders>
              <w:top w:val="single" w:sz="6" w:space="0" w:color="auto"/>
              <w:left w:val="single" w:sz="6" w:space="0" w:color="auto"/>
              <w:bottom w:val="single" w:sz="6" w:space="0" w:color="auto"/>
              <w:right w:val="single" w:sz="6" w:space="0" w:color="auto"/>
            </w:tcBorders>
            <w:hideMark/>
          </w:tcPr>
          <w:p w14:paraId="442DDA3E" w14:textId="77777777" w:rsidR="00B81BDE" w:rsidRPr="000B2C17" w:rsidRDefault="00B81BDE" w:rsidP="000B2C17">
            <w:pPr>
              <w:rPr>
                <w:sz w:val="24"/>
                <w:szCs w:val="24"/>
              </w:rPr>
            </w:pPr>
            <w:r w:rsidRPr="000B2C17">
              <w:rPr>
                <w:sz w:val="24"/>
                <w:szCs w:val="24"/>
              </w:rPr>
              <w:t>Lokal reaktion på infusionsstedet</w:t>
            </w:r>
          </w:p>
        </w:tc>
        <w:tc>
          <w:tcPr>
            <w:tcW w:w="1439" w:type="pct"/>
            <w:tcBorders>
              <w:top w:val="single" w:sz="6" w:space="0" w:color="auto"/>
              <w:left w:val="single" w:sz="6" w:space="0" w:color="auto"/>
              <w:bottom w:val="single" w:sz="6" w:space="0" w:color="auto"/>
              <w:right w:val="single" w:sz="6" w:space="0" w:color="auto"/>
            </w:tcBorders>
            <w:hideMark/>
          </w:tcPr>
          <w:p w14:paraId="2E1A5A09" w14:textId="77777777" w:rsidR="00B81BDE" w:rsidRPr="000B2C17" w:rsidRDefault="00B81BDE" w:rsidP="000B2C17">
            <w:pPr>
              <w:rPr>
                <w:sz w:val="24"/>
                <w:szCs w:val="24"/>
              </w:rPr>
            </w:pPr>
            <w:r w:rsidRPr="000B2C17">
              <w:rPr>
                <w:sz w:val="24"/>
                <w:szCs w:val="24"/>
              </w:rPr>
              <w:t>35 (31,8 %) meget almindelig</w:t>
            </w:r>
          </w:p>
        </w:tc>
        <w:tc>
          <w:tcPr>
            <w:tcW w:w="1293" w:type="pct"/>
            <w:tcBorders>
              <w:top w:val="single" w:sz="6" w:space="0" w:color="auto"/>
              <w:left w:val="single" w:sz="6" w:space="0" w:color="auto"/>
              <w:bottom w:val="single" w:sz="6" w:space="0" w:color="auto"/>
              <w:right w:val="single" w:sz="6" w:space="0" w:color="auto"/>
            </w:tcBorders>
            <w:hideMark/>
          </w:tcPr>
          <w:p w14:paraId="43FCD91F" w14:textId="77777777" w:rsidR="00B81BDE" w:rsidRPr="000B2C17" w:rsidRDefault="00B81BDE" w:rsidP="000B2C17">
            <w:pPr>
              <w:rPr>
                <w:sz w:val="24"/>
                <w:szCs w:val="24"/>
              </w:rPr>
            </w:pPr>
            <w:r w:rsidRPr="000B2C17">
              <w:rPr>
                <w:sz w:val="24"/>
                <w:szCs w:val="24"/>
              </w:rPr>
              <w:t>125 (0,0305) almindelig</w:t>
            </w:r>
          </w:p>
        </w:tc>
      </w:tr>
      <w:tr w:rsidR="00B81BDE" w:rsidRPr="000B2C17" w14:paraId="34400F45" w14:textId="77777777" w:rsidTr="00A24BD2">
        <w:tc>
          <w:tcPr>
            <w:tcW w:w="1227" w:type="pct"/>
            <w:vMerge/>
            <w:tcBorders>
              <w:top w:val="single" w:sz="6" w:space="0" w:color="auto"/>
              <w:left w:val="single" w:sz="6" w:space="0" w:color="auto"/>
              <w:bottom w:val="single" w:sz="6" w:space="0" w:color="auto"/>
              <w:right w:val="single" w:sz="6" w:space="0" w:color="auto"/>
            </w:tcBorders>
            <w:vAlign w:val="center"/>
            <w:hideMark/>
          </w:tcPr>
          <w:p w14:paraId="7C6BED59" w14:textId="77777777" w:rsidR="00B81BDE" w:rsidRPr="000B2C17" w:rsidRDefault="00B81BDE">
            <w:pPr>
              <w:rPr>
                <w:color w:val="000000"/>
                <w:sz w:val="24"/>
                <w:szCs w:val="24"/>
              </w:rPr>
            </w:pPr>
          </w:p>
        </w:tc>
        <w:tc>
          <w:tcPr>
            <w:tcW w:w="1042" w:type="pct"/>
            <w:tcBorders>
              <w:top w:val="single" w:sz="6" w:space="0" w:color="auto"/>
              <w:left w:val="single" w:sz="6" w:space="0" w:color="auto"/>
              <w:bottom w:val="single" w:sz="6" w:space="0" w:color="auto"/>
              <w:right w:val="single" w:sz="6" w:space="0" w:color="auto"/>
            </w:tcBorders>
            <w:hideMark/>
          </w:tcPr>
          <w:p w14:paraId="537D74B4" w14:textId="77777777" w:rsidR="00B81BDE" w:rsidRPr="000B2C17" w:rsidRDefault="00B81BDE" w:rsidP="000B2C17">
            <w:pPr>
              <w:rPr>
                <w:color w:val="000000"/>
                <w:sz w:val="24"/>
                <w:szCs w:val="24"/>
                <w:highlight w:val="yellow"/>
              </w:rPr>
            </w:pPr>
            <w:proofErr w:type="spellStart"/>
            <w:r w:rsidRPr="000B2C17">
              <w:rPr>
                <w:color w:val="000000"/>
                <w:sz w:val="24"/>
                <w:szCs w:val="24"/>
              </w:rPr>
              <w:t>Pyreksi</w:t>
            </w:r>
            <w:proofErr w:type="spellEnd"/>
          </w:p>
        </w:tc>
        <w:tc>
          <w:tcPr>
            <w:tcW w:w="1439" w:type="pct"/>
            <w:tcBorders>
              <w:top w:val="single" w:sz="6" w:space="0" w:color="auto"/>
              <w:left w:val="single" w:sz="6" w:space="0" w:color="auto"/>
              <w:bottom w:val="single" w:sz="6" w:space="0" w:color="auto"/>
              <w:right w:val="single" w:sz="6" w:space="0" w:color="auto"/>
            </w:tcBorders>
            <w:hideMark/>
          </w:tcPr>
          <w:p w14:paraId="0EF30385" w14:textId="77777777" w:rsidR="00B81BDE" w:rsidRPr="000B2C17" w:rsidRDefault="00B81BDE" w:rsidP="000B2C17">
            <w:pPr>
              <w:rPr>
                <w:color w:val="000000"/>
                <w:sz w:val="24"/>
                <w:szCs w:val="24"/>
                <w:highlight w:val="yellow"/>
              </w:rPr>
            </w:pPr>
            <w:r w:rsidRPr="000B2C17">
              <w:rPr>
                <w:color w:val="000000"/>
                <w:sz w:val="24"/>
                <w:szCs w:val="24"/>
              </w:rPr>
              <w:t>2 (1,8 %) almindelig</w:t>
            </w:r>
          </w:p>
        </w:tc>
        <w:tc>
          <w:tcPr>
            <w:tcW w:w="1293" w:type="pct"/>
            <w:tcBorders>
              <w:top w:val="single" w:sz="6" w:space="0" w:color="auto"/>
              <w:left w:val="single" w:sz="6" w:space="0" w:color="auto"/>
              <w:bottom w:val="single" w:sz="6" w:space="0" w:color="auto"/>
              <w:right w:val="single" w:sz="6" w:space="0" w:color="auto"/>
            </w:tcBorders>
            <w:hideMark/>
          </w:tcPr>
          <w:p w14:paraId="1BDACEE6" w14:textId="77777777" w:rsidR="00B81BDE" w:rsidRPr="000B2C17" w:rsidRDefault="00B81BDE" w:rsidP="000B2C17">
            <w:pPr>
              <w:rPr>
                <w:color w:val="000000"/>
                <w:sz w:val="24"/>
                <w:szCs w:val="24"/>
                <w:highlight w:val="yellow"/>
              </w:rPr>
            </w:pPr>
            <w:r w:rsidRPr="000B2C17">
              <w:rPr>
                <w:color w:val="000000"/>
                <w:sz w:val="24"/>
                <w:szCs w:val="24"/>
              </w:rPr>
              <w:t>4 (0,0010) ikke almindelig</w:t>
            </w:r>
          </w:p>
        </w:tc>
      </w:tr>
      <w:tr w:rsidR="00B81BDE" w:rsidRPr="000B2C17" w14:paraId="34B471A3" w14:textId="77777777" w:rsidTr="00A24BD2">
        <w:tc>
          <w:tcPr>
            <w:tcW w:w="1227" w:type="pct"/>
            <w:tcBorders>
              <w:top w:val="single" w:sz="6" w:space="0" w:color="auto"/>
              <w:left w:val="single" w:sz="6" w:space="0" w:color="auto"/>
              <w:bottom w:val="single" w:sz="6" w:space="0" w:color="auto"/>
              <w:right w:val="single" w:sz="6" w:space="0" w:color="auto"/>
            </w:tcBorders>
            <w:hideMark/>
          </w:tcPr>
          <w:p w14:paraId="18968902" w14:textId="77777777" w:rsidR="00B81BDE" w:rsidRPr="000B2C17" w:rsidRDefault="00B81BDE">
            <w:pPr>
              <w:rPr>
                <w:color w:val="000000"/>
                <w:sz w:val="24"/>
                <w:szCs w:val="24"/>
              </w:rPr>
            </w:pPr>
            <w:r w:rsidRPr="000B2C17">
              <w:rPr>
                <w:color w:val="000000"/>
                <w:sz w:val="24"/>
                <w:szCs w:val="24"/>
              </w:rPr>
              <w:t>Undersøgelser</w:t>
            </w:r>
          </w:p>
        </w:tc>
        <w:tc>
          <w:tcPr>
            <w:tcW w:w="1042" w:type="pct"/>
            <w:tcBorders>
              <w:top w:val="single" w:sz="6" w:space="0" w:color="auto"/>
              <w:left w:val="single" w:sz="6" w:space="0" w:color="auto"/>
              <w:bottom w:val="single" w:sz="6" w:space="0" w:color="auto"/>
              <w:right w:val="single" w:sz="6" w:space="0" w:color="auto"/>
            </w:tcBorders>
            <w:hideMark/>
          </w:tcPr>
          <w:p w14:paraId="6212DB61" w14:textId="77777777" w:rsidR="00B81BDE" w:rsidRPr="000B2C17" w:rsidRDefault="00B81BDE" w:rsidP="000B2C17">
            <w:pPr>
              <w:rPr>
                <w:color w:val="000000"/>
                <w:sz w:val="24"/>
                <w:szCs w:val="24"/>
                <w:highlight w:val="yellow"/>
              </w:rPr>
            </w:pPr>
            <w:r w:rsidRPr="000B2C17">
              <w:rPr>
                <w:color w:val="000000"/>
                <w:sz w:val="24"/>
                <w:szCs w:val="24"/>
              </w:rPr>
              <w:t xml:space="preserve">Nedsat </w:t>
            </w:r>
            <w:proofErr w:type="spellStart"/>
            <w:r w:rsidRPr="000B2C17">
              <w:rPr>
                <w:color w:val="000000"/>
                <w:sz w:val="24"/>
                <w:szCs w:val="24"/>
              </w:rPr>
              <w:t>immunglobulin</w:t>
            </w:r>
            <w:proofErr w:type="spellEnd"/>
            <w:r w:rsidRPr="000B2C17">
              <w:rPr>
                <w:color w:val="000000"/>
                <w:sz w:val="24"/>
                <w:szCs w:val="24"/>
              </w:rPr>
              <w:t xml:space="preserve"> G i blodet</w:t>
            </w:r>
          </w:p>
        </w:tc>
        <w:tc>
          <w:tcPr>
            <w:tcW w:w="1439" w:type="pct"/>
            <w:tcBorders>
              <w:top w:val="single" w:sz="6" w:space="0" w:color="auto"/>
              <w:left w:val="single" w:sz="6" w:space="0" w:color="auto"/>
              <w:bottom w:val="single" w:sz="6" w:space="0" w:color="auto"/>
              <w:right w:val="single" w:sz="6" w:space="0" w:color="auto"/>
            </w:tcBorders>
            <w:hideMark/>
          </w:tcPr>
          <w:p w14:paraId="08770749" w14:textId="77777777" w:rsidR="00B81BDE" w:rsidRPr="000B2C17" w:rsidRDefault="00B81BDE" w:rsidP="000B2C17">
            <w:pPr>
              <w:rPr>
                <w:color w:val="000000"/>
                <w:sz w:val="24"/>
                <w:szCs w:val="24"/>
                <w:highlight w:val="yellow"/>
              </w:rPr>
            </w:pPr>
            <w:r w:rsidRPr="000B2C17">
              <w:rPr>
                <w:color w:val="000000"/>
                <w:sz w:val="24"/>
                <w:szCs w:val="24"/>
              </w:rPr>
              <w:t>2 (1,8 %) almindelig</w:t>
            </w:r>
          </w:p>
        </w:tc>
        <w:tc>
          <w:tcPr>
            <w:tcW w:w="1293" w:type="pct"/>
            <w:tcBorders>
              <w:top w:val="single" w:sz="6" w:space="0" w:color="auto"/>
              <w:left w:val="single" w:sz="6" w:space="0" w:color="auto"/>
              <w:bottom w:val="single" w:sz="6" w:space="0" w:color="auto"/>
              <w:right w:val="single" w:sz="6" w:space="0" w:color="auto"/>
            </w:tcBorders>
            <w:hideMark/>
          </w:tcPr>
          <w:p w14:paraId="595F3656" w14:textId="77777777" w:rsidR="00B81BDE" w:rsidRPr="000B2C17" w:rsidRDefault="00B81BDE" w:rsidP="000B2C17">
            <w:pPr>
              <w:rPr>
                <w:color w:val="000000"/>
                <w:sz w:val="24"/>
                <w:szCs w:val="24"/>
                <w:highlight w:val="yellow"/>
              </w:rPr>
            </w:pPr>
            <w:r w:rsidRPr="000B2C17">
              <w:rPr>
                <w:color w:val="000000"/>
                <w:sz w:val="24"/>
                <w:szCs w:val="24"/>
              </w:rPr>
              <w:t>2 (0,0005) sjælden</w:t>
            </w:r>
          </w:p>
        </w:tc>
      </w:tr>
    </w:tbl>
    <w:p w14:paraId="09783F61" w14:textId="77777777" w:rsidR="00B81BDE" w:rsidRPr="00CF3DBE" w:rsidRDefault="00B81BDE" w:rsidP="00B81BDE">
      <w:pPr>
        <w:tabs>
          <w:tab w:val="left" w:pos="180"/>
        </w:tabs>
        <w:autoSpaceDE w:val="0"/>
        <w:autoSpaceDN w:val="0"/>
        <w:adjustRightInd w:val="0"/>
        <w:ind w:left="180" w:hanging="180"/>
        <w:rPr>
          <w:sz w:val="24"/>
          <w:szCs w:val="24"/>
        </w:rPr>
      </w:pPr>
      <w:r w:rsidRPr="00CF3DBE">
        <w:rPr>
          <w:sz w:val="24"/>
          <w:szCs w:val="24"/>
          <w:vertAlign w:val="superscript"/>
        </w:rPr>
        <w:t>a</w:t>
      </w:r>
      <w:r w:rsidRPr="00CF3DBE">
        <w:rPr>
          <w:sz w:val="24"/>
          <w:szCs w:val="24"/>
          <w:vertAlign w:val="superscript"/>
        </w:rPr>
        <w:tab/>
      </w:r>
      <w:r w:rsidRPr="00CF3DBE">
        <w:rPr>
          <w:sz w:val="24"/>
          <w:szCs w:val="24"/>
        </w:rPr>
        <w:t xml:space="preserve">Hyppigheden pr. forsøgsperson beregnes ved hjælp af antallet af forsøgspersoner med bivirkninger, undtagen infektioner, hvor der var et i det mindste muligt kausalt forhold med </w:t>
      </w:r>
      <w:proofErr w:type="spellStart"/>
      <w:r w:rsidRPr="00CF3DBE">
        <w:rPr>
          <w:sz w:val="24"/>
          <w:szCs w:val="24"/>
        </w:rPr>
        <w:t>Xembify</w:t>
      </w:r>
      <w:proofErr w:type="spellEnd"/>
      <w:r w:rsidRPr="00CF3DBE">
        <w:rPr>
          <w:sz w:val="24"/>
          <w:szCs w:val="24"/>
        </w:rPr>
        <w:t>, divideret med det samlede antal forsøgspersoner.</w:t>
      </w:r>
    </w:p>
    <w:p w14:paraId="65241273" w14:textId="77777777" w:rsidR="00B81BDE" w:rsidRPr="00CF3DBE" w:rsidRDefault="00B81BDE" w:rsidP="00B81BDE">
      <w:pPr>
        <w:tabs>
          <w:tab w:val="left" w:pos="180"/>
        </w:tabs>
        <w:autoSpaceDE w:val="0"/>
        <w:autoSpaceDN w:val="0"/>
        <w:adjustRightInd w:val="0"/>
        <w:ind w:left="180" w:hanging="180"/>
        <w:rPr>
          <w:sz w:val="24"/>
          <w:szCs w:val="24"/>
        </w:rPr>
      </w:pPr>
      <w:r w:rsidRPr="00CF3DBE">
        <w:rPr>
          <w:sz w:val="24"/>
          <w:szCs w:val="24"/>
          <w:vertAlign w:val="superscript"/>
        </w:rPr>
        <w:t>b</w:t>
      </w:r>
      <w:r w:rsidRPr="00CF3DBE">
        <w:rPr>
          <w:sz w:val="24"/>
          <w:szCs w:val="24"/>
          <w:vertAlign w:val="superscript"/>
        </w:rPr>
        <w:tab/>
      </w:r>
      <w:r w:rsidRPr="00CF3DBE">
        <w:rPr>
          <w:sz w:val="24"/>
          <w:szCs w:val="24"/>
        </w:rPr>
        <w:t xml:space="preserve">Hyppigheden pr. infusion beregnes ved hjælp af antallet af infusioner forbundet med bivirkninger, undtagen infektioner, hvor der var et i det mindste kausalt sammenhæng med </w:t>
      </w:r>
      <w:proofErr w:type="spellStart"/>
      <w:r w:rsidRPr="00CF3DBE">
        <w:rPr>
          <w:sz w:val="24"/>
          <w:szCs w:val="24"/>
        </w:rPr>
        <w:t>Xembify</w:t>
      </w:r>
      <w:proofErr w:type="spellEnd"/>
      <w:r w:rsidRPr="00CF3DBE">
        <w:rPr>
          <w:sz w:val="24"/>
          <w:szCs w:val="24"/>
        </w:rPr>
        <w:t>, divideret med det samlede antal infusioner.</w:t>
      </w:r>
    </w:p>
    <w:p w14:paraId="33E4B80B" w14:textId="77777777" w:rsidR="00B81BDE" w:rsidRPr="00CF3DBE" w:rsidRDefault="00B81BDE" w:rsidP="00B81BDE">
      <w:pPr>
        <w:autoSpaceDE w:val="0"/>
        <w:autoSpaceDN w:val="0"/>
        <w:adjustRightInd w:val="0"/>
        <w:rPr>
          <w:sz w:val="24"/>
          <w:szCs w:val="24"/>
          <w:u w:val="single"/>
        </w:rPr>
      </w:pPr>
    </w:p>
    <w:p w14:paraId="687557E8" w14:textId="77777777" w:rsidR="00B81BDE" w:rsidRPr="00CF3DBE" w:rsidRDefault="00B81BDE" w:rsidP="00A24BD2">
      <w:pPr>
        <w:ind w:left="851"/>
        <w:rPr>
          <w:sz w:val="24"/>
          <w:szCs w:val="24"/>
          <w:u w:val="single"/>
        </w:rPr>
      </w:pPr>
      <w:r w:rsidRPr="00CF3DBE">
        <w:rPr>
          <w:sz w:val="24"/>
          <w:szCs w:val="24"/>
          <w:u w:val="single"/>
        </w:rPr>
        <w:t>Erfaring efter markedsføring</w:t>
      </w:r>
    </w:p>
    <w:p w14:paraId="20BFEBCA" w14:textId="77777777" w:rsidR="00B81BDE" w:rsidRPr="00CF3DBE" w:rsidRDefault="00B81BDE" w:rsidP="00A24BD2">
      <w:pPr>
        <w:ind w:left="851"/>
        <w:rPr>
          <w:sz w:val="24"/>
          <w:szCs w:val="24"/>
        </w:rPr>
      </w:pPr>
      <w:r w:rsidRPr="00CF3DBE">
        <w:rPr>
          <w:sz w:val="24"/>
          <w:szCs w:val="24"/>
        </w:rPr>
        <w:t xml:space="preserve">Følgende bivirkninger er blevet identificeret og rapporteret under brug af </w:t>
      </w:r>
      <w:proofErr w:type="spellStart"/>
      <w:r w:rsidRPr="00CF3DBE">
        <w:rPr>
          <w:sz w:val="24"/>
          <w:szCs w:val="24"/>
        </w:rPr>
        <w:t>Xembify</w:t>
      </w:r>
      <w:proofErr w:type="spellEnd"/>
      <w:r w:rsidRPr="00CF3DBE">
        <w:rPr>
          <w:sz w:val="24"/>
          <w:szCs w:val="24"/>
        </w:rPr>
        <w:t xml:space="preserve"> efter markedsføring: lokal reaktion på infusionsstedet, såsom </w:t>
      </w:r>
      <w:proofErr w:type="spellStart"/>
      <w:r w:rsidRPr="00CF3DBE">
        <w:rPr>
          <w:sz w:val="24"/>
          <w:szCs w:val="24"/>
        </w:rPr>
        <w:t>erytem</w:t>
      </w:r>
      <w:proofErr w:type="spellEnd"/>
      <w:r w:rsidRPr="00CF3DBE">
        <w:rPr>
          <w:sz w:val="24"/>
          <w:szCs w:val="24"/>
        </w:rPr>
        <w:t xml:space="preserve"> og hævelse, dyspnø, træthed, smerter, kvalme og hovedpine.</w:t>
      </w:r>
      <w:r w:rsidRPr="00CF3DBE">
        <w:rPr>
          <w:color w:val="000000"/>
          <w:sz w:val="24"/>
          <w:szCs w:val="24"/>
        </w:rPr>
        <w:t xml:space="preserve"> </w:t>
      </w:r>
      <w:r w:rsidRPr="00CF3DBE">
        <w:rPr>
          <w:sz w:val="24"/>
          <w:szCs w:val="24"/>
        </w:rPr>
        <w:t>Det er ikke altid muligt pålideligt at estimere hyppigheden af disse reaktioner.</w:t>
      </w:r>
    </w:p>
    <w:p w14:paraId="7DC57321" w14:textId="77777777" w:rsidR="00B81BDE" w:rsidRPr="00CF3DBE" w:rsidRDefault="00B81BDE" w:rsidP="00A24BD2">
      <w:pPr>
        <w:ind w:left="851"/>
        <w:rPr>
          <w:sz w:val="24"/>
          <w:szCs w:val="24"/>
        </w:rPr>
      </w:pPr>
    </w:p>
    <w:p w14:paraId="1ADEB586" w14:textId="77777777" w:rsidR="00B81BDE" w:rsidRPr="00CF3DBE" w:rsidRDefault="00B81BDE" w:rsidP="00A24BD2">
      <w:pPr>
        <w:ind w:left="851"/>
        <w:rPr>
          <w:sz w:val="24"/>
          <w:szCs w:val="24"/>
          <w:u w:val="single"/>
        </w:rPr>
      </w:pPr>
      <w:r w:rsidRPr="00CF3DBE">
        <w:rPr>
          <w:sz w:val="24"/>
          <w:szCs w:val="24"/>
          <w:u w:val="single"/>
        </w:rPr>
        <w:lastRenderedPageBreak/>
        <w:t>Pædiatrisk population</w:t>
      </w:r>
    </w:p>
    <w:p w14:paraId="62879C72" w14:textId="77777777" w:rsidR="00B81BDE" w:rsidRPr="00CF3DBE" w:rsidRDefault="00B81BDE" w:rsidP="00A24BD2">
      <w:pPr>
        <w:ind w:left="851"/>
        <w:rPr>
          <w:sz w:val="24"/>
          <w:szCs w:val="24"/>
        </w:rPr>
      </w:pPr>
      <w:r w:rsidRPr="00CF3DBE">
        <w:rPr>
          <w:sz w:val="24"/>
          <w:szCs w:val="24"/>
        </w:rPr>
        <w:t>Hyppigheden, typen og sværhedsgraden af bivirkninger i den pædiatriske population forventes at være den samme som for voksne.</w:t>
      </w:r>
    </w:p>
    <w:p w14:paraId="07899B8E" w14:textId="77777777" w:rsidR="00B81BDE" w:rsidRPr="00CF3DBE" w:rsidRDefault="00B81BDE" w:rsidP="00A24BD2">
      <w:pPr>
        <w:ind w:left="851"/>
        <w:rPr>
          <w:sz w:val="24"/>
          <w:szCs w:val="24"/>
        </w:rPr>
      </w:pPr>
    </w:p>
    <w:p w14:paraId="45215DC5" w14:textId="77777777" w:rsidR="00B81BDE" w:rsidRPr="00CF3DBE" w:rsidRDefault="00B81BDE" w:rsidP="00A24BD2">
      <w:pPr>
        <w:ind w:left="851"/>
        <w:rPr>
          <w:i/>
          <w:iCs/>
          <w:sz w:val="24"/>
          <w:szCs w:val="24"/>
          <w:u w:val="single"/>
        </w:rPr>
      </w:pPr>
      <w:r w:rsidRPr="00CF3DBE">
        <w:rPr>
          <w:sz w:val="24"/>
          <w:szCs w:val="24"/>
          <w:u w:val="single"/>
        </w:rPr>
        <w:t>Indberetning af formodede bivirkninger</w:t>
      </w:r>
    </w:p>
    <w:p w14:paraId="0CEC4CAF" w14:textId="64895312" w:rsidR="00B81BDE" w:rsidRPr="00CF3DBE" w:rsidRDefault="00B81BDE" w:rsidP="00A24BD2">
      <w:pPr>
        <w:ind w:left="851"/>
        <w:rPr>
          <w:sz w:val="24"/>
          <w:szCs w:val="24"/>
        </w:rPr>
      </w:pPr>
      <w:r w:rsidRPr="00CF3DBE">
        <w:rPr>
          <w:sz w:val="24"/>
          <w:szCs w:val="24"/>
        </w:rPr>
        <w:t>Når lægemidlet er godkendt, er indberetning af formodede bivirkninger vigtig. Det muliggør løbende overvågning af benefit/</w:t>
      </w:r>
      <w:proofErr w:type="spellStart"/>
      <w:r w:rsidRPr="00CF3DBE">
        <w:rPr>
          <w:sz w:val="24"/>
          <w:szCs w:val="24"/>
        </w:rPr>
        <w:t>risk</w:t>
      </w:r>
      <w:proofErr w:type="spellEnd"/>
      <w:r w:rsidRPr="00CF3DBE">
        <w:rPr>
          <w:sz w:val="24"/>
          <w:szCs w:val="24"/>
        </w:rPr>
        <w:t>-forholdet for lægemidlet. Sundhedspersoner anmodes om at indberette alle formodede bivirkninger via</w:t>
      </w:r>
    </w:p>
    <w:p w14:paraId="0344BC39" w14:textId="77777777" w:rsidR="00B946CD" w:rsidRPr="00CF3DBE" w:rsidRDefault="00B946CD" w:rsidP="00A24BD2">
      <w:pPr>
        <w:ind w:left="851"/>
        <w:rPr>
          <w:sz w:val="24"/>
          <w:szCs w:val="24"/>
        </w:rPr>
      </w:pPr>
    </w:p>
    <w:p w14:paraId="6046933D" w14:textId="77777777" w:rsidR="00B81BDE" w:rsidRPr="00CF3DBE" w:rsidRDefault="00B81BDE" w:rsidP="00A24BD2">
      <w:pPr>
        <w:ind w:left="851"/>
        <w:rPr>
          <w:sz w:val="24"/>
          <w:szCs w:val="24"/>
        </w:rPr>
      </w:pPr>
      <w:r w:rsidRPr="00CF3DBE">
        <w:rPr>
          <w:sz w:val="24"/>
          <w:szCs w:val="24"/>
        </w:rPr>
        <w:t>Lægemiddelstyrelsen</w:t>
      </w:r>
    </w:p>
    <w:p w14:paraId="0E8B77CF" w14:textId="77777777" w:rsidR="00B81BDE" w:rsidRPr="00CF3DBE" w:rsidRDefault="00B81BDE" w:rsidP="00A24BD2">
      <w:pPr>
        <w:ind w:left="851"/>
        <w:rPr>
          <w:sz w:val="24"/>
          <w:szCs w:val="24"/>
        </w:rPr>
      </w:pPr>
      <w:r w:rsidRPr="00CF3DBE">
        <w:rPr>
          <w:sz w:val="24"/>
          <w:szCs w:val="24"/>
        </w:rPr>
        <w:t>Axel Heides gade 1</w:t>
      </w:r>
    </w:p>
    <w:p w14:paraId="17800237" w14:textId="77777777" w:rsidR="00B81BDE" w:rsidRPr="00CF3DBE" w:rsidRDefault="00B81BDE" w:rsidP="00A24BD2">
      <w:pPr>
        <w:ind w:left="851"/>
        <w:rPr>
          <w:sz w:val="24"/>
          <w:szCs w:val="24"/>
        </w:rPr>
      </w:pPr>
      <w:r w:rsidRPr="00CF3DBE">
        <w:rPr>
          <w:sz w:val="24"/>
          <w:szCs w:val="24"/>
        </w:rPr>
        <w:t>DK-2300 København S</w:t>
      </w:r>
    </w:p>
    <w:p w14:paraId="24E1AC6F" w14:textId="77777777" w:rsidR="00B81BDE" w:rsidRPr="00CF3DBE" w:rsidRDefault="00B81BDE" w:rsidP="00A24BD2">
      <w:pPr>
        <w:ind w:left="851"/>
        <w:rPr>
          <w:sz w:val="24"/>
          <w:szCs w:val="24"/>
        </w:rPr>
      </w:pPr>
      <w:r w:rsidRPr="00CF3DBE">
        <w:rPr>
          <w:sz w:val="24"/>
          <w:szCs w:val="24"/>
        </w:rPr>
        <w:t xml:space="preserve">Websted: </w:t>
      </w:r>
      <w:hyperlink r:id="rId9" w:history="1">
        <w:r w:rsidRPr="00CF3DBE">
          <w:rPr>
            <w:rStyle w:val="Hyperlink"/>
            <w:sz w:val="24"/>
            <w:szCs w:val="24"/>
          </w:rPr>
          <w:t>www.meldenbivirkning.dk</w:t>
        </w:r>
      </w:hyperlink>
    </w:p>
    <w:p w14:paraId="3CEEE6EA" w14:textId="77777777" w:rsidR="009260DE" w:rsidRPr="00CF3DBE" w:rsidRDefault="009260DE" w:rsidP="00A10294">
      <w:pPr>
        <w:tabs>
          <w:tab w:val="left" w:pos="851"/>
        </w:tabs>
        <w:ind w:left="851"/>
        <w:rPr>
          <w:sz w:val="24"/>
          <w:szCs w:val="24"/>
        </w:rPr>
      </w:pPr>
    </w:p>
    <w:p w14:paraId="341D8237" w14:textId="77777777" w:rsidR="009260DE" w:rsidRPr="00CF3DBE" w:rsidRDefault="009260DE" w:rsidP="009260DE">
      <w:pPr>
        <w:tabs>
          <w:tab w:val="left" w:pos="851"/>
        </w:tabs>
        <w:ind w:left="851" w:hanging="851"/>
        <w:rPr>
          <w:b/>
          <w:sz w:val="24"/>
          <w:szCs w:val="24"/>
        </w:rPr>
      </w:pPr>
      <w:r w:rsidRPr="00CF3DBE">
        <w:rPr>
          <w:b/>
          <w:sz w:val="24"/>
          <w:szCs w:val="24"/>
        </w:rPr>
        <w:t>4.9</w:t>
      </w:r>
      <w:r w:rsidRPr="00CF3DBE">
        <w:rPr>
          <w:b/>
          <w:sz w:val="24"/>
          <w:szCs w:val="24"/>
        </w:rPr>
        <w:tab/>
        <w:t>Overdosering</w:t>
      </w:r>
    </w:p>
    <w:p w14:paraId="5AD2A242" w14:textId="77777777" w:rsidR="00B81BDE" w:rsidRPr="00CF3DBE" w:rsidRDefault="00B81BDE" w:rsidP="00A24BD2">
      <w:pPr>
        <w:autoSpaceDE w:val="0"/>
        <w:autoSpaceDN w:val="0"/>
        <w:adjustRightInd w:val="0"/>
        <w:ind w:left="851"/>
        <w:rPr>
          <w:sz w:val="24"/>
          <w:szCs w:val="24"/>
        </w:rPr>
      </w:pPr>
      <w:r w:rsidRPr="00CF3DBE">
        <w:rPr>
          <w:sz w:val="24"/>
          <w:szCs w:val="24"/>
        </w:rPr>
        <w:t>Konsekvenserne af en overdosering er ukendte.</w:t>
      </w:r>
    </w:p>
    <w:p w14:paraId="42795896" w14:textId="77777777" w:rsidR="009260DE" w:rsidRPr="00CF3DBE" w:rsidRDefault="009260DE" w:rsidP="009260DE">
      <w:pPr>
        <w:tabs>
          <w:tab w:val="left" w:pos="851"/>
        </w:tabs>
        <w:ind w:left="851"/>
        <w:rPr>
          <w:sz w:val="24"/>
          <w:szCs w:val="24"/>
        </w:rPr>
      </w:pPr>
    </w:p>
    <w:p w14:paraId="44484956" w14:textId="77777777" w:rsidR="009260DE" w:rsidRPr="00CF3DBE" w:rsidRDefault="009260DE" w:rsidP="009260DE">
      <w:pPr>
        <w:tabs>
          <w:tab w:val="left" w:pos="851"/>
        </w:tabs>
        <w:ind w:left="851" w:hanging="851"/>
        <w:rPr>
          <w:b/>
          <w:sz w:val="24"/>
          <w:szCs w:val="24"/>
        </w:rPr>
      </w:pPr>
      <w:r w:rsidRPr="00CF3DBE">
        <w:rPr>
          <w:b/>
          <w:sz w:val="24"/>
          <w:szCs w:val="24"/>
        </w:rPr>
        <w:t>4.10</w:t>
      </w:r>
      <w:r w:rsidRPr="00CF3DBE">
        <w:rPr>
          <w:b/>
          <w:sz w:val="24"/>
          <w:szCs w:val="24"/>
        </w:rPr>
        <w:tab/>
        <w:t>Udlevering</w:t>
      </w:r>
    </w:p>
    <w:p w14:paraId="24322FBA" w14:textId="037D6753" w:rsidR="009260DE" w:rsidRPr="00CF3DBE" w:rsidRDefault="00B81BDE" w:rsidP="009260DE">
      <w:pPr>
        <w:tabs>
          <w:tab w:val="left" w:pos="851"/>
        </w:tabs>
        <w:ind w:left="851"/>
        <w:rPr>
          <w:sz w:val="24"/>
          <w:szCs w:val="24"/>
        </w:rPr>
      </w:pPr>
      <w:r w:rsidRPr="00CF3DBE">
        <w:rPr>
          <w:sz w:val="24"/>
          <w:szCs w:val="24"/>
        </w:rPr>
        <w:t>B</w:t>
      </w:r>
    </w:p>
    <w:p w14:paraId="345DB0FD" w14:textId="77777777" w:rsidR="009260DE" w:rsidRPr="00CF3DBE" w:rsidRDefault="009260DE" w:rsidP="009260DE">
      <w:pPr>
        <w:tabs>
          <w:tab w:val="left" w:pos="851"/>
        </w:tabs>
        <w:ind w:left="851"/>
        <w:rPr>
          <w:sz w:val="24"/>
          <w:szCs w:val="24"/>
        </w:rPr>
      </w:pPr>
    </w:p>
    <w:p w14:paraId="095B9927" w14:textId="77777777" w:rsidR="009260DE" w:rsidRPr="00CF3DBE" w:rsidRDefault="009260DE" w:rsidP="009260DE">
      <w:pPr>
        <w:tabs>
          <w:tab w:val="left" w:pos="851"/>
        </w:tabs>
        <w:ind w:left="851"/>
        <w:rPr>
          <w:sz w:val="24"/>
          <w:szCs w:val="24"/>
        </w:rPr>
      </w:pPr>
    </w:p>
    <w:p w14:paraId="1A0F2C56" w14:textId="77777777" w:rsidR="009260DE" w:rsidRPr="00CF3DBE" w:rsidRDefault="009260DE" w:rsidP="009260DE">
      <w:pPr>
        <w:tabs>
          <w:tab w:val="left" w:pos="851"/>
        </w:tabs>
        <w:ind w:left="851" w:hanging="851"/>
        <w:rPr>
          <w:b/>
          <w:sz w:val="24"/>
          <w:szCs w:val="24"/>
        </w:rPr>
      </w:pPr>
      <w:r w:rsidRPr="00CF3DBE">
        <w:rPr>
          <w:b/>
          <w:sz w:val="24"/>
          <w:szCs w:val="24"/>
        </w:rPr>
        <w:t>5.</w:t>
      </w:r>
      <w:r w:rsidRPr="00CF3DBE">
        <w:rPr>
          <w:b/>
          <w:sz w:val="24"/>
          <w:szCs w:val="24"/>
        </w:rPr>
        <w:tab/>
        <w:t>FARMAKOLOGISKE EGENSKABER</w:t>
      </w:r>
    </w:p>
    <w:p w14:paraId="53249770" w14:textId="77777777" w:rsidR="009260DE" w:rsidRPr="00CF3DBE" w:rsidRDefault="009260DE" w:rsidP="009260DE">
      <w:pPr>
        <w:tabs>
          <w:tab w:val="left" w:pos="851"/>
        </w:tabs>
        <w:ind w:left="851"/>
        <w:rPr>
          <w:sz w:val="24"/>
          <w:szCs w:val="24"/>
        </w:rPr>
      </w:pPr>
    </w:p>
    <w:p w14:paraId="3DD2865E" w14:textId="77777777" w:rsidR="009260DE" w:rsidRPr="00CF3DBE" w:rsidRDefault="009260DE" w:rsidP="009260DE">
      <w:pPr>
        <w:tabs>
          <w:tab w:val="num" w:pos="851"/>
        </w:tabs>
        <w:ind w:left="851" w:hanging="851"/>
        <w:rPr>
          <w:b/>
          <w:sz w:val="24"/>
          <w:szCs w:val="24"/>
        </w:rPr>
      </w:pPr>
      <w:r w:rsidRPr="00CF3DBE">
        <w:rPr>
          <w:b/>
          <w:sz w:val="24"/>
          <w:szCs w:val="24"/>
        </w:rPr>
        <w:t>5.1</w:t>
      </w:r>
      <w:r w:rsidRPr="00CF3DBE">
        <w:rPr>
          <w:b/>
          <w:sz w:val="24"/>
          <w:szCs w:val="24"/>
        </w:rPr>
        <w:tab/>
      </w:r>
      <w:proofErr w:type="spellStart"/>
      <w:r w:rsidRPr="00CF3DBE">
        <w:rPr>
          <w:b/>
          <w:sz w:val="24"/>
          <w:szCs w:val="24"/>
        </w:rPr>
        <w:t>Farmakodynamiske</w:t>
      </w:r>
      <w:proofErr w:type="spellEnd"/>
      <w:r w:rsidRPr="00CF3DBE">
        <w:rPr>
          <w:b/>
          <w:sz w:val="24"/>
          <w:szCs w:val="24"/>
        </w:rPr>
        <w:t xml:space="preserve"> egenskaber</w:t>
      </w:r>
    </w:p>
    <w:p w14:paraId="2004CB54" w14:textId="77777777" w:rsidR="00B81BDE" w:rsidRPr="00CF3DBE" w:rsidRDefault="00B81BDE" w:rsidP="00A24BD2">
      <w:pPr>
        <w:ind w:left="851"/>
        <w:rPr>
          <w:sz w:val="24"/>
          <w:szCs w:val="24"/>
        </w:rPr>
      </w:pPr>
      <w:proofErr w:type="spellStart"/>
      <w:r w:rsidRPr="00CF3DBE">
        <w:rPr>
          <w:sz w:val="24"/>
          <w:szCs w:val="24"/>
        </w:rPr>
        <w:t>Farmakoterapeutisk</w:t>
      </w:r>
      <w:proofErr w:type="spellEnd"/>
      <w:r w:rsidRPr="00CF3DBE">
        <w:rPr>
          <w:sz w:val="24"/>
          <w:szCs w:val="24"/>
        </w:rPr>
        <w:t xml:space="preserve"> klassifikation: immunsera og </w:t>
      </w:r>
      <w:proofErr w:type="spellStart"/>
      <w:r w:rsidRPr="00CF3DBE">
        <w:rPr>
          <w:sz w:val="24"/>
          <w:szCs w:val="24"/>
        </w:rPr>
        <w:t>immunglobuliner</w:t>
      </w:r>
      <w:proofErr w:type="spellEnd"/>
      <w:r w:rsidRPr="00CF3DBE">
        <w:rPr>
          <w:sz w:val="24"/>
          <w:szCs w:val="24"/>
        </w:rPr>
        <w:t xml:space="preserve">: </w:t>
      </w:r>
      <w:proofErr w:type="spellStart"/>
      <w:r w:rsidRPr="00CF3DBE">
        <w:rPr>
          <w:sz w:val="24"/>
          <w:szCs w:val="24"/>
        </w:rPr>
        <w:t>immunglobuliner</w:t>
      </w:r>
      <w:proofErr w:type="spellEnd"/>
      <w:r w:rsidRPr="00CF3DBE">
        <w:rPr>
          <w:sz w:val="24"/>
          <w:szCs w:val="24"/>
        </w:rPr>
        <w:t xml:space="preserve">, normale humane, til </w:t>
      </w:r>
      <w:proofErr w:type="spellStart"/>
      <w:r w:rsidRPr="00CF3DBE">
        <w:rPr>
          <w:sz w:val="24"/>
          <w:szCs w:val="24"/>
        </w:rPr>
        <w:t>ekstravaskulær</w:t>
      </w:r>
      <w:proofErr w:type="spellEnd"/>
      <w:r w:rsidRPr="00CF3DBE">
        <w:rPr>
          <w:sz w:val="24"/>
          <w:szCs w:val="24"/>
        </w:rPr>
        <w:t xml:space="preserve"> administration, ATC-kode: J06BA01</w:t>
      </w:r>
    </w:p>
    <w:p w14:paraId="72F90A56" w14:textId="77777777" w:rsidR="00B81BDE" w:rsidRPr="00CF3DBE" w:rsidRDefault="00B81BDE" w:rsidP="00A24BD2">
      <w:pPr>
        <w:ind w:left="851"/>
        <w:rPr>
          <w:sz w:val="24"/>
          <w:szCs w:val="24"/>
        </w:rPr>
      </w:pPr>
    </w:p>
    <w:p w14:paraId="570E879E" w14:textId="77777777" w:rsidR="00B81BDE" w:rsidRPr="00CF3DBE" w:rsidRDefault="00B81BDE" w:rsidP="00A24BD2">
      <w:pPr>
        <w:ind w:left="851"/>
        <w:rPr>
          <w:sz w:val="24"/>
          <w:szCs w:val="24"/>
          <w:u w:val="single"/>
        </w:rPr>
      </w:pPr>
      <w:r w:rsidRPr="00CF3DBE">
        <w:rPr>
          <w:sz w:val="24"/>
          <w:szCs w:val="24"/>
          <w:u w:val="single"/>
        </w:rPr>
        <w:t>Virkningsmekanisme</w:t>
      </w:r>
    </w:p>
    <w:p w14:paraId="63759455" w14:textId="77777777" w:rsidR="00B81BDE" w:rsidRPr="00CF3DBE" w:rsidRDefault="00B81BDE" w:rsidP="00A24BD2">
      <w:pPr>
        <w:ind w:left="851"/>
        <w:rPr>
          <w:sz w:val="24"/>
          <w:szCs w:val="24"/>
          <w:u w:val="single"/>
        </w:rPr>
      </w:pPr>
    </w:p>
    <w:p w14:paraId="30C87C36" w14:textId="77777777" w:rsidR="00B81BDE" w:rsidRPr="00CF3DBE" w:rsidRDefault="00B81BDE" w:rsidP="00A24BD2">
      <w:pPr>
        <w:ind w:left="851"/>
        <w:rPr>
          <w:sz w:val="24"/>
          <w:szCs w:val="24"/>
        </w:rPr>
      </w:pPr>
      <w:proofErr w:type="spellStart"/>
      <w:r w:rsidRPr="00CF3DBE">
        <w:rPr>
          <w:sz w:val="24"/>
          <w:szCs w:val="24"/>
        </w:rPr>
        <w:t>Xembify</w:t>
      </w:r>
      <w:proofErr w:type="spellEnd"/>
      <w:r w:rsidRPr="00CF3DBE">
        <w:rPr>
          <w:sz w:val="24"/>
          <w:szCs w:val="24"/>
        </w:rPr>
        <w:t xml:space="preserve"> leverer et bredt spektrum af </w:t>
      </w:r>
      <w:proofErr w:type="spellStart"/>
      <w:r w:rsidRPr="00CF3DBE">
        <w:rPr>
          <w:sz w:val="24"/>
          <w:szCs w:val="24"/>
        </w:rPr>
        <w:t>opsoniserende</w:t>
      </w:r>
      <w:proofErr w:type="spellEnd"/>
      <w:r w:rsidRPr="00CF3DBE">
        <w:rPr>
          <w:sz w:val="24"/>
          <w:szCs w:val="24"/>
        </w:rPr>
        <w:t xml:space="preserve"> og neutraliserende </w:t>
      </w:r>
      <w:proofErr w:type="spellStart"/>
      <w:r w:rsidRPr="00CF3DBE">
        <w:rPr>
          <w:sz w:val="24"/>
          <w:szCs w:val="24"/>
        </w:rPr>
        <w:t>immunglobulin</w:t>
      </w:r>
      <w:proofErr w:type="spellEnd"/>
      <w:r w:rsidRPr="00CF3DBE">
        <w:rPr>
          <w:sz w:val="24"/>
          <w:szCs w:val="24"/>
        </w:rPr>
        <w:t xml:space="preserve"> G (</w:t>
      </w:r>
      <w:proofErr w:type="spellStart"/>
      <w:r w:rsidRPr="00CF3DBE">
        <w:rPr>
          <w:sz w:val="24"/>
          <w:szCs w:val="24"/>
        </w:rPr>
        <w:t>IgG</w:t>
      </w:r>
      <w:proofErr w:type="spellEnd"/>
      <w:r w:rsidRPr="00CF3DBE">
        <w:rPr>
          <w:sz w:val="24"/>
          <w:szCs w:val="24"/>
        </w:rPr>
        <w:t xml:space="preserve">)-antistoffer mod bakterielle, virale, parasitære og </w:t>
      </w:r>
      <w:proofErr w:type="spellStart"/>
      <w:r w:rsidRPr="00CF3DBE">
        <w:rPr>
          <w:sz w:val="24"/>
          <w:szCs w:val="24"/>
        </w:rPr>
        <w:t>mykoplasmale</w:t>
      </w:r>
      <w:proofErr w:type="spellEnd"/>
      <w:r w:rsidRPr="00CF3DBE">
        <w:rPr>
          <w:sz w:val="24"/>
          <w:szCs w:val="24"/>
        </w:rPr>
        <w:t xml:space="preserve"> stoffer og deres toksiner. Disse antistoffers rolle og virkningsmekanismen for </w:t>
      </w:r>
      <w:proofErr w:type="spellStart"/>
      <w:r w:rsidRPr="00CF3DBE">
        <w:rPr>
          <w:sz w:val="24"/>
          <w:szCs w:val="24"/>
        </w:rPr>
        <w:t>Xembify</w:t>
      </w:r>
      <w:proofErr w:type="spellEnd"/>
      <w:r w:rsidRPr="00CF3DBE">
        <w:rPr>
          <w:sz w:val="24"/>
          <w:szCs w:val="24"/>
        </w:rPr>
        <w:t xml:space="preserve"> er ikke fuldt belyst.</w:t>
      </w:r>
    </w:p>
    <w:p w14:paraId="1651FCB6" w14:textId="77777777" w:rsidR="00B81BDE" w:rsidRPr="00CF3DBE" w:rsidRDefault="00B81BDE" w:rsidP="00A24BD2">
      <w:pPr>
        <w:ind w:left="851"/>
        <w:rPr>
          <w:sz w:val="24"/>
          <w:szCs w:val="24"/>
        </w:rPr>
      </w:pPr>
    </w:p>
    <w:p w14:paraId="62588478" w14:textId="77777777" w:rsidR="00B81BDE" w:rsidRPr="00CF3DBE" w:rsidRDefault="00B81BDE" w:rsidP="00A24BD2">
      <w:pPr>
        <w:ind w:left="851"/>
        <w:rPr>
          <w:sz w:val="24"/>
          <w:szCs w:val="24"/>
          <w:u w:val="single"/>
        </w:rPr>
      </w:pPr>
      <w:proofErr w:type="spellStart"/>
      <w:r w:rsidRPr="00CF3DBE">
        <w:rPr>
          <w:sz w:val="24"/>
          <w:szCs w:val="24"/>
          <w:u w:val="single"/>
        </w:rPr>
        <w:t>Farmakodynamisk</w:t>
      </w:r>
      <w:proofErr w:type="spellEnd"/>
      <w:r w:rsidRPr="00CF3DBE">
        <w:rPr>
          <w:sz w:val="24"/>
          <w:szCs w:val="24"/>
          <w:u w:val="single"/>
        </w:rPr>
        <w:t xml:space="preserve"> virkning</w:t>
      </w:r>
    </w:p>
    <w:p w14:paraId="78DECBD4" w14:textId="77777777" w:rsidR="00B81BDE" w:rsidRPr="00CF3DBE" w:rsidRDefault="00B81BDE" w:rsidP="00A24BD2">
      <w:pPr>
        <w:ind w:left="851"/>
        <w:rPr>
          <w:sz w:val="24"/>
          <w:szCs w:val="24"/>
        </w:rPr>
      </w:pPr>
    </w:p>
    <w:p w14:paraId="163E74DC" w14:textId="77777777" w:rsidR="00B81BDE" w:rsidRPr="00CF3DBE" w:rsidRDefault="00B81BDE" w:rsidP="00A24BD2">
      <w:pPr>
        <w:ind w:left="851"/>
        <w:rPr>
          <w:sz w:val="24"/>
          <w:szCs w:val="24"/>
        </w:rPr>
      </w:pPr>
      <w:r w:rsidRPr="00CF3DBE">
        <w:rPr>
          <w:sz w:val="24"/>
          <w:szCs w:val="24"/>
        </w:rPr>
        <w:t xml:space="preserve">Humant normalt </w:t>
      </w:r>
      <w:proofErr w:type="spellStart"/>
      <w:r w:rsidRPr="00CF3DBE">
        <w:rPr>
          <w:sz w:val="24"/>
          <w:szCs w:val="24"/>
        </w:rPr>
        <w:t>immunglobulin</w:t>
      </w:r>
      <w:proofErr w:type="spellEnd"/>
      <w:r w:rsidRPr="00CF3DBE">
        <w:rPr>
          <w:sz w:val="24"/>
          <w:szCs w:val="24"/>
        </w:rPr>
        <w:t xml:space="preserve"> indeholder hovedsageligt </w:t>
      </w:r>
      <w:proofErr w:type="spellStart"/>
      <w:r w:rsidRPr="00CF3DBE">
        <w:rPr>
          <w:sz w:val="24"/>
          <w:szCs w:val="24"/>
        </w:rPr>
        <w:t>immunglobulin</w:t>
      </w:r>
      <w:proofErr w:type="spellEnd"/>
      <w:r w:rsidRPr="00CF3DBE">
        <w:rPr>
          <w:sz w:val="24"/>
          <w:szCs w:val="24"/>
        </w:rPr>
        <w:t xml:space="preserve"> G (</w:t>
      </w:r>
      <w:proofErr w:type="spellStart"/>
      <w:r w:rsidRPr="00CF3DBE">
        <w:rPr>
          <w:sz w:val="24"/>
          <w:szCs w:val="24"/>
        </w:rPr>
        <w:t>IgG</w:t>
      </w:r>
      <w:proofErr w:type="spellEnd"/>
      <w:r w:rsidRPr="00CF3DBE">
        <w:rPr>
          <w:sz w:val="24"/>
          <w:szCs w:val="24"/>
        </w:rPr>
        <w:t>) med et bredt spektrum af antistoffer mod infektionsstoffer.</w:t>
      </w:r>
    </w:p>
    <w:p w14:paraId="7515E4AD" w14:textId="77777777" w:rsidR="00B81BDE" w:rsidRPr="00CF3DBE" w:rsidRDefault="00B81BDE" w:rsidP="00A24BD2">
      <w:pPr>
        <w:ind w:left="851"/>
        <w:rPr>
          <w:sz w:val="24"/>
          <w:szCs w:val="24"/>
        </w:rPr>
      </w:pPr>
      <w:r w:rsidRPr="00CF3DBE">
        <w:rPr>
          <w:sz w:val="24"/>
          <w:szCs w:val="24"/>
        </w:rPr>
        <w:t xml:space="preserve">Humant normalt </w:t>
      </w:r>
      <w:proofErr w:type="spellStart"/>
      <w:r w:rsidRPr="00CF3DBE">
        <w:rPr>
          <w:sz w:val="24"/>
          <w:szCs w:val="24"/>
        </w:rPr>
        <w:t>immunglobulin</w:t>
      </w:r>
      <w:proofErr w:type="spellEnd"/>
      <w:r w:rsidRPr="00CF3DBE">
        <w:rPr>
          <w:sz w:val="24"/>
          <w:szCs w:val="24"/>
        </w:rPr>
        <w:t xml:space="preserve"> indeholder de </w:t>
      </w:r>
      <w:proofErr w:type="spellStart"/>
      <w:r w:rsidRPr="00CF3DBE">
        <w:rPr>
          <w:sz w:val="24"/>
          <w:szCs w:val="24"/>
        </w:rPr>
        <w:t>IgG</w:t>
      </w:r>
      <w:proofErr w:type="spellEnd"/>
      <w:r w:rsidRPr="00CF3DBE">
        <w:rPr>
          <w:sz w:val="24"/>
          <w:szCs w:val="24"/>
        </w:rPr>
        <w:t xml:space="preserve">-antistoffer, der forekommer i den normale befolkning. Det fremstilles normalt ud fra plasma </w:t>
      </w:r>
      <w:proofErr w:type="spellStart"/>
      <w:r w:rsidRPr="00CF3DBE">
        <w:rPr>
          <w:sz w:val="24"/>
          <w:szCs w:val="24"/>
        </w:rPr>
        <w:t>poolet</w:t>
      </w:r>
      <w:proofErr w:type="spellEnd"/>
      <w:r w:rsidRPr="00CF3DBE">
        <w:rPr>
          <w:sz w:val="24"/>
          <w:szCs w:val="24"/>
        </w:rPr>
        <w:t xml:space="preserve"> fra mindst 1 000 donationer. Fordelingen af </w:t>
      </w:r>
      <w:proofErr w:type="spellStart"/>
      <w:r w:rsidRPr="00CF3DBE">
        <w:rPr>
          <w:sz w:val="24"/>
          <w:szCs w:val="24"/>
        </w:rPr>
        <w:t>immunglobulin</w:t>
      </w:r>
      <w:proofErr w:type="spellEnd"/>
      <w:r w:rsidRPr="00CF3DBE">
        <w:rPr>
          <w:sz w:val="24"/>
          <w:szCs w:val="24"/>
        </w:rPr>
        <w:t xml:space="preserve"> G-underklasser er omtrent proportional med fordelingen i naturligt humant plasma. Tilstrækkelige doser af dette lægemiddel kan genetablere unormalt lave niveauer af </w:t>
      </w:r>
      <w:proofErr w:type="spellStart"/>
      <w:r w:rsidRPr="00CF3DBE">
        <w:rPr>
          <w:sz w:val="24"/>
          <w:szCs w:val="24"/>
        </w:rPr>
        <w:t>immunglobulin</w:t>
      </w:r>
      <w:proofErr w:type="spellEnd"/>
      <w:r w:rsidRPr="00CF3DBE">
        <w:rPr>
          <w:sz w:val="24"/>
          <w:szCs w:val="24"/>
        </w:rPr>
        <w:t xml:space="preserve"> G tilbage til normalområdet.</w:t>
      </w:r>
    </w:p>
    <w:p w14:paraId="63F2A8FF" w14:textId="77777777" w:rsidR="00B81BDE" w:rsidRPr="00CF3DBE" w:rsidRDefault="00B81BDE" w:rsidP="00A24BD2">
      <w:pPr>
        <w:ind w:left="851"/>
        <w:rPr>
          <w:i/>
          <w:sz w:val="24"/>
          <w:szCs w:val="24"/>
        </w:rPr>
      </w:pPr>
    </w:p>
    <w:p w14:paraId="6F4A2B0E" w14:textId="77777777" w:rsidR="00B81BDE" w:rsidRPr="00CF3DBE" w:rsidRDefault="00B81BDE" w:rsidP="00A24BD2">
      <w:pPr>
        <w:ind w:left="851"/>
        <w:rPr>
          <w:sz w:val="24"/>
          <w:szCs w:val="24"/>
          <w:u w:val="single"/>
        </w:rPr>
      </w:pPr>
      <w:r w:rsidRPr="00CF3DBE">
        <w:rPr>
          <w:sz w:val="24"/>
          <w:szCs w:val="24"/>
          <w:u w:val="single"/>
        </w:rPr>
        <w:t>Klinisk virkning ved PID</w:t>
      </w:r>
    </w:p>
    <w:p w14:paraId="0B62B1EC" w14:textId="77777777" w:rsidR="00B81BDE" w:rsidRPr="00CF3DBE" w:rsidRDefault="00B81BDE" w:rsidP="00A24BD2">
      <w:pPr>
        <w:ind w:left="851"/>
        <w:rPr>
          <w:sz w:val="24"/>
          <w:szCs w:val="24"/>
        </w:rPr>
      </w:pPr>
    </w:p>
    <w:p w14:paraId="64506BB2" w14:textId="77777777" w:rsidR="00B81BDE" w:rsidRPr="00CF3DBE" w:rsidRDefault="00B81BDE" w:rsidP="00A24BD2">
      <w:pPr>
        <w:ind w:left="851"/>
        <w:rPr>
          <w:i/>
          <w:iCs/>
          <w:sz w:val="24"/>
          <w:szCs w:val="24"/>
        </w:rPr>
      </w:pPr>
      <w:r w:rsidRPr="00CF3DBE">
        <w:rPr>
          <w:sz w:val="24"/>
          <w:szCs w:val="24"/>
        </w:rPr>
        <w:t xml:space="preserve">I det europæiske studie blev i alt 61 forsøgspersoner med primære immundefektsyndromer i alderen fra 2 år til 69 år behandlet med </w:t>
      </w:r>
      <w:proofErr w:type="spellStart"/>
      <w:r w:rsidRPr="00CF3DBE">
        <w:rPr>
          <w:sz w:val="24"/>
          <w:szCs w:val="24"/>
        </w:rPr>
        <w:t>Xembify</w:t>
      </w:r>
      <w:proofErr w:type="spellEnd"/>
      <w:r w:rsidRPr="00CF3DBE">
        <w:rPr>
          <w:sz w:val="24"/>
          <w:szCs w:val="24"/>
        </w:rPr>
        <w:t xml:space="preserve"> i op til 52 uger. Den gennemsnitlige dosis, der blev administreret hver uge, var 125,5 mg/kg legemsvægt. Derved blev der opnået vedvarende </w:t>
      </w:r>
      <w:proofErr w:type="spellStart"/>
      <w:r w:rsidRPr="00CF3DBE">
        <w:rPr>
          <w:sz w:val="24"/>
          <w:szCs w:val="24"/>
        </w:rPr>
        <w:t>IgG</w:t>
      </w:r>
      <w:proofErr w:type="spellEnd"/>
      <w:r w:rsidRPr="00CF3DBE">
        <w:rPr>
          <w:sz w:val="24"/>
          <w:szCs w:val="24"/>
        </w:rPr>
        <w:t xml:space="preserve">-minimumsniveauer med en gennemsnitlig koncentration på 947,64 mg/dl i behandlingsperioden. Forsøgspersonerne fik i alt 3 045 ugentlige </w:t>
      </w:r>
      <w:proofErr w:type="spellStart"/>
      <w:r w:rsidRPr="00CF3DBE">
        <w:rPr>
          <w:sz w:val="24"/>
          <w:szCs w:val="24"/>
        </w:rPr>
        <w:t>Xembify</w:t>
      </w:r>
      <w:proofErr w:type="spellEnd"/>
      <w:r w:rsidRPr="00CF3DBE">
        <w:rPr>
          <w:sz w:val="24"/>
          <w:szCs w:val="24"/>
        </w:rPr>
        <w:t>-infusioner. Den årlige hyppighed af alvorlige bakterielle infektioner (</w:t>
      </w:r>
      <w:proofErr w:type="spellStart"/>
      <w:r w:rsidRPr="00CF3DBE">
        <w:rPr>
          <w:sz w:val="24"/>
          <w:szCs w:val="24"/>
        </w:rPr>
        <w:t>SBI'er</w:t>
      </w:r>
      <w:proofErr w:type="spellEnd"/>
      <w:r w:rsidRPr="00CF3DBE">
        <w:rPr>
          <w:sz w:val="24"/>
          <w:szCs w:val="24"/>
        </w:rPr>
        <w:t xml:space="preserve">) var 0,017 pr. </w:t>
      </w:r>
      <w:proofErr w:type="spellStart"/>
      <w:r w:rsidRPr="00CF3DBE">
        <w:rPr>
          <w:sz w:val="24"/>
          <w:szCs w:val="24"/>
        </w:rPr>
        <w:lastRenderedPageBreak/>
        <w:t>forsøgspersonår</w:t>
      </w:r>
      <w:proofErr w:type="spellEnd"/>
      <w:r w:rsidRPr="00CF3DBE">
        <w:rPr>
          <w:sz w:val="24"/>
          <w:szCs w:val="24"/>
        </w:rPr>
        <w:t xml:space="preserve"> (1-sidet 99 % øvre </w:t>
      </w:r>
      <w:proofErr w:type="spellStart"/>
      <w:r w:rsidRPr="00CF3DBE">
        <w:rPr>
          <w:sz w:val="24"/>
          <w:szCs w:val="24"/>
        </w:rPr>
        <w:t>konfidensgrænse</w:t>
      </w:r>
      <w:proofErr w:type="spellEnd"/>
      <w:r w:rsidRPr="00CF3DBE">
        <w:rPr>
          <w:sz w:val="24"/>
          <w:szCs w:val="24"/>
        </w:rPr>
        <w:t xml:space="preserve"> 0,036), hvilket afspejlede en forsøgsperson med pneumoni, der blev behandlet ambulant med orale antibiotika. Pneumonien gik væk efter 4 dage.</w:t>
      </w:r>
      <w:r w:rsidRPr="00CF3DBE">
        <w:rPr>
          <w:i/>
          <w:sz w:val="24"/>
          <w:szCs w:val="24"/>
        </w:rPr>
        <w:t xml:space="preserve"> </w:t>
      </w:r>
    </w:p>
    <w:p w14:paraId="7C407802" w14:textId="77777777" w:rsidR="00B81BDE" w:rsidRPr="00CF3DBE" w:rsidRDefault="00B81BDE" w:rsidP="00A24BD2">
      <w:pPr>
        <w:ind w:left="851"/>
        <w:rPr>
          <w:i/>
          <w:iCs/>
          <w:sz w:val="24"/>
          <w:szCs w:val="24"/>
        </w:rPr>
      </w:pPr>
    </w:p>
    <w:p w14:paraId="5048D797" w14:textId="55D7D67E" w:rsidR="00B81BDE" w:rsidRPr="00CF3DBE" w:rsidRDefault="00B81BDE" w:rsidP="00A24BD2">
      <w:pPr>
        <w:ind w:left="851"/>
        <w:rPr>
          <w:iCs/>
          <w:sz w:val="24"/>
          <w:szCs w:val="24"/>
        </w:rPr>
      </w:pPr>
      <w:r w:rsidRPr="00CF3DBE">
        <w:rPr>
          <w:sz w:val="24"/>
          <w:szCs w:val="24"/>
        </w:rPr>
        <w:t>I det nordamerikanske studie blev i alt 49 forsøgspersoner med primære immundefekt</w:t>
      </w:r>
      <w:r w:rsidR="000B2C17">
        <w:rPr>
          <w:sz w:val="24"/>
          <w:szCs w:val="24"/>
        </w:rPr>
        <w:softHyphen/>
      </w:r>
      <w:r w:rsidRPr="00CF3DBE">
        <w:rPr>
          <w:sz w:val="24"/>
          <w:szCs w:val="24"/>
        </w:rPr>
        <w:t xml:space="preserve">syndromer i alderen fra 2 år til 72 år behandlet med </w:t>
      </w:r>
      <w:proofErr w:type="spellStart"/>
      <w:r w:rsidRPr="00CF3DBE">
        <w:rPr>
          <w:sz w:val="24"/>
          <w:szCs w:val="24"/>
        </w:rPr>
        <w:t>Xembify</w:t>
      </w:r>
      <w:proofErr w:type="spellEnd"/>
      <w:r w:rsidRPr="00CF3DBE">
        <w:rPr>
          <w:sz w:val="24"/>
          <w:szCs w:val="24"/>
        </w:rPr>
        <w:t xml:space="preserve"> i op til 24 uger. Den gennemsnitlige dosis, der blev administreret hver uge, var 178,9 mg/kg legemsvægt. Derved blev der opnået vedvarende </w:t>
      </w:r>
      <w:proofErr w:type="spellStart"/>
      <w:r w:rsidRPr="00CF3DBE">
        <w:rPr>
          <w:sz w:val="24"/>
          <w:szCs w:val="24"/>
        </w:rPr>
        <w:t>IgG</w:t>
      </w:r>
      <w:proofErr w:type="spellEnd"/>
      <w:r w:rsidRPr="00CF3DBE">
        <w:rPr>
          <w:sz w:val="24"/>
          <w:szCs w:val="24"/>
        </w:rPr>
        <w:t xml:space="preserve">-minimumsniveauer med en gennemsnitlig koncentration på 1 244,84 mg/dl i behandlingsperioden. Forsøgspersonerne fik i alt 1 053 ugentlige </w:t>
      </w:r>
      <w:proofErr w:type="spellStart"/>
      <w:r w:rsidRPr="00CF3DBE">
        <w:rPr>
          <w:sz w:val="24"/>
          <w:szCs w:val="24"/>
        </w:rPr>
        <w:t>Xembify</w:t>
      </w:r>
      <w:proofErr w:type="spellEnd"/>
      <w:r w:rsidRPr="00CF3DBE">
        <w:rPr>
          <w:sz w:val="24"/>
          <w:szCs w:val="24"/>
        </w:rPr>
        <w:t xml:space="preserve">-infusioner. Den årlige hyppighed af </w:t>
      </w:r>
      <w:proofErr w:type="spellStart"/>
      <w:r w:rsidRPr="00CF3DBE">
        <w:rPr>
          <w:sz w:val="24"/>
          <w:szCs w:val="24"/>
        </w:rPr>
        <w:t>SBI'er</w:t>
      </w:r>
      <w:proofErr w:type="spellEnd"/>
      <w:r w:rsidRPr="00CF3DBE">
        <w:rPr>
          <w:sz w:val="24"/>
          <w:szCs w:val="24"/>
        </w:rPr>
        <w:t xml:space="preserve"> under </w:t>
      </w:r>
      <w:proofErr w:type="spellStart"/>
      <w:r w:rsidRPr="00CF3DBE">
        <w:rPr>
          <w:sz w:val="24"/>
          <w:szCs w:val="24"/>
        </w:rPr>
        <w:t>Xembify</w:t>
      </w:r>
      <w:proofErr w:type="spellEnd"/>
      <w:r w:rsidRPr="00CF3DBE">
        <w:rPr>
          <w:sz w:val="24"/>
          <w:szCs w:val="24"/>
        </w:rPr>
        <w:t xml:space="preserve">-behandlingen var 0,049 pr. </w:t>
      </w:r>
      <w:proofErr w:type="spellStart"/>
      <w:r w:rsidRPr="00CF3DBE">
        <w:rPr>
          <w:sz w:val="24"/>
          <w:szCs w:val="24"/>
        </w:rPr>
        <w:t>forsøgspersonår</w:t>
      </w:r>
      <w:proofErr w:type="spellEnd"/>
      <w:r w:rsidRPr="00CF3DBE">
        <w:rPr>
          <w:sz w:val="24"/>
          <w:szCs w:val="24"/>
        </w:rPr>
        <w:t xml:space="preserve"> (1-sidet 99 % øvre </w:t>
      </w:r>
      <w:proofErr w:type="spellStart"/>
      <w:r w:rsidRPr="00CF3DBE">
        <w:rPr>
          <w:sz w:val="24"/>
          <w:szCs w:val="24"/>
        </w:rPr>
        <w:t>konfidensgrænse</w:t>
      </w:r>
      <w:proofErr w:type="spellEnd"/>
      <w:r w:rsidRPr="00CF3DBE">
        <w:rPr>
          <w:sz w:val="24"/>
          <w:szCs w:val="24"/>
        </w:rPr>
        <w:t xml:space="preserve"> 0,110), hvilket afspejlede en forsøgsperson med sepsis som følge af </w:t>
      </w:r>
      <w:proofErr w:type="spellStart"/>
      <w:r w:rsidRPr="00CF3DBE">
        <w:rPr>
          <w:sz w:val="24"/>
          <w:szCs w:val="24"/>
        </w:rPr>
        <w:t>kattebid</w:t>
      </w:r>
      <w:proofErr w:type="spellEnd"/>
      <w:r w:rsidRPr="00CF3DBE">
        <w:rPr>
          <w:sz w:val="24"/>
          <w:szCs w:val="24"/>
        </w:rPr>
        <w:t>.</w:t>
      </w:r>
    </w:p>
    <w:p w14:paraId="1583A73B" w14:textId="77777777" w:rsidR="00B81BDE" w:rsidRPr="00CF3DBE" w:rsidRDefault="00B81BDE" w:rsidP="00A24BD2">
      <w:pPr>
        <w:ind w:left="851"/>
        <w:rPr>
          <w:sz w:val="24"/>
          <w:szCs w:val="24"/>
        </w:rPr>
      </w:pPr>
    </w:p>
    <w:p w14:paraId="76B34112" w14:textId="77777777" w:rsidR="00B81BDE" w:rsidRPr="00CF3DBE" w:rsidRDefault="00B81BDE" w:rsidP="00A24BD2">
      <w:pPr>
        <w:ind w:left="851"/>
        <w:rPr>
          <w:bCs/>
          <w:iCs/>
          <w:sz w:val="24"/>
          <w:szCs w:val="24"/>
          <w:u w:val="single"/>
        </w:rPr>
      </w:pPr>
      <w:r w:rsidRPr="00CF3DBE">
        <w:rPr>
          <w:sz w:val="24"/>
          <w:szCs w:val="24"/>
          <w:u w:val="single"/>
        </w:rPr>
        <w:t>Pædiatrisk population</w:t>
      </w:r>
    </w:p>
    <w:p w14:paraId="55D44A0C" w14:textId="77777777" w:rsidR="00B81BDE" w:rsidRPr="00CF3DBE" w:rsidRDefault="00B81BDE" w:rsidP="00A24BD2">
      <w:pPr>
        <w:ind w:left="851"/>
        <w:rPr>
          <w:bCs/>
          <w:iCs/>
          <w:sz w:val="24"/>
          <w:szCs w:val="24"/>
        </w:rPr>
      </w:pPr>
    </w:p>
    <w:p w14:paraId="4C298799" w14:textId="77777777" w:rsidR="00B81BDE" w:rsidRPr="00CF3DBE" w:rsidRDefault="00B81BDE" w:rsidP="00A24BD2">
      <w:pPr>
        <w:ind w:left="851"/>
        <w:rPr>
          <w:iCs/>
          <w:sz w:val="24"/>
          <w:szCs w:val="24"/>
        </w:rPr>
      </w:pPr>
      <w:proofErr w:type="spellStart"/>
      <w:r w:rsidRPr="00CF3DBE">
        <w:rPr>
          <w:sz w:val="24"/>
          <w:szCs w:val="24"/>
        </w:rPr>
        <w:t>Xembifys</w:t>
      </w:r>
      <w:proofErr w:type="spellEnd"/>
      <w:r w:rsidRPr="00CF3DBE">
        <w:rPr>
          <w:sz w:val="24"/>
          <w:szCs w:val="24"/>
        </w:rPr>
        <w:t xml:space="preserve"> sikkerhed og virkning er blevet klarlagt hos pædiatriske forsøgspersoner. </w:t>
      </w:r>
      <w:proofErr w:type="spellStart"/>
      <w:r w:rsidRPr="00CF3DBE">
        <w:rPr>
          <w:sz w:val="24"/>
          <w:szCs w:val="24"/>
        </w:rPr>
        <w:t>Xembify</w:t>
      </w:r>
      <w:proofErr w:type="spellEnd"/>
      <w:r w:rsidRPr="00CF3DBE">
        <w:rPr>
          <w:sz w:val="24"/>
          <w:szCs w:val="24"/>
        </w:rPr>
        <w:t xml:space="preserve"> blev evalueret hos 28 pædiatriske forsøgspersoner med PID i alderen 2 år til 12 år (inklusive) og hos 15 pædiatriske forsøgspersoner i alderen over 12 år til under 17 år. Der var ingen forskelle i farmakokinetik, sikkerheds- og virkningsprofiler sammenlignet med voksne forsøgspersoner. Det var ikke nødvendigt med specifikke dosiskrav hos pædiatriske forsøgspersoner for at opnå de ønskede serum-</w:t>
      </w:r>
      <w:proofErr w:type="spellStart"/>
      <w:r w:rsidRPr="00CF3DBE">
        <w:rPr>
          <w:sz w:val="24"/>
          <w:szCs w:val="24"/>
        </w:rPr>
        <w:t>IgG</w:t>
      </w:r>
      <w:proofErr w:type="spellEnd"/>
      <w:r w:rsidRPr="00CF3DBE">
        <w:rPr>
          <w:sz w:val="24"/>
          <w:szCs w:val="24"/>
        </w:rPr>
        <w:t xml:space="preserve">-niveauer. Der sås ingen forskelle i de </w:t>
      </w:r>
      <w:proofErr w:type="spellStart"/>
      <w:r w:rsidRPr="00CF3DBE">
        <w:rPr>
          <w:sz w:val="24"/>
          <w:szCs w:val="24"/>
        </w:rPr>
        <w:t>farmakodynamiske</w:t>
      </w:r>
      <w:proofErr w:type="spellEnd"/>
      <w:r w:rsidRPr="00CF3DBE">
        <w:rPr>
          <w:sz w:val="24"/>
          <w:szCs w:val="24"/>
        </w:rPr>
        <w:t xml:space="preserve"> egenskaber mellem voksne og pædiatriske patienter med PID i studiet.</w:t>
      </w:r>
    </w:p>
    <w:p w14:paraId="7043DF3B" w14:textId="77777777" w:rsidR="00B81BDE" w:rsidRPr="00CF3DBE" w:rsidRDefault="00B81BDE" w:rsidP="00A24BD2">
      <w:pPr>
        <w:ind w:left="851"/>
        <w:rPr>
          <w:iCs/>
          <w:sz w:val="24"/>
          <w:szCs w:val="24"/>
        </w:rPr>
      </w:pPr>
    </w:p>
    <w:p w14:paraId="76D7D4CA" w14:textId="77777777" w:rsidR="00B81BDE" w:rsidRPr="00CF3DBE" w:rsidRDefault="00B81BDE" w:rsidP="00A24BD2">
      <w:pPr>
        <w:ind w:left="851"/>
        <w:rPr>
          <w:iCs/>
          <w:sz w:val="24"/>
          <w:szCs w:val="24"/>
        </w:rPr>
      </w:pPr>
      <w:r w:rsidRPr="00CF3DBE">
        <w:rPr>
          <w:sz w:val="24"/>
          <w:szCs w:val="24"/>
        </w:rPr>
        <w:t xml:space="preserve">Det Europæiske Lægemiddelagentur har dispenseret fra kravet om at fremlægge resultaterne af studier med </w:t>
      </w:r>
      <w:proofErr w:type="spellStart"/>
      <w:r w:rsidRPr="00CF3DBE">
        <w:rPr>
          <w:sz w:val="24"/>
          <w:szCs w:val="24"/>
        </w:rPr>
        <w:t>Xembify</w:t>
      </w:r>
      <w:proofErr w:type="spellEnd"/>
      <w:r w:rsidRPr="00CF3DBE">
        <w:rPr>
          <w:sz w:val="24"/>
          <w:szCs w:val="24"/>
        </w:rPr>
        <w:t xml:space="preserve"> i alle undergrupper af den pædiatriske population ved primær immundefekt hos for tidligt fødte og/eller nyfødte spædbørn (0</w:t>
      </w:r>
      <w:r w:rsidRPr="00CF3DBE">
        <w:rPr>
          <w:sz w:val="24"/>
          <w:szCs w:val="24"/>
        </w:rPr>
        <w:noBreakHyphen/>
        <w:t>27 dage) og hos spædbørn og små børn (28 dage til 23 måneder). Se pkt. 4.2 for oplysninger om pædiatrisk anvendelse.</w:t>
      </w:r>
    </w:p>
    <w:p w14:paraId="510B3B0C" w14:textId="77777777" w:rsidR="00B81BDE" w:rsidRPr="00CF3DBE" w:rsidRDefault="00B81BDE" w:rsidP="00A24BD2">
      <w:pPr>
        <w:ind w:left="851"/>
        <w:rPr>
          <w:iCs/>
          <w:sz w:val="24"/>
          <w:szCs w:val="24"/>
        </w:rPr>
      </w:pPr>
    </w:p>
    <w:p w14:paraId="36E52A54" w14:textId="77777777" w:rsidR="00B81BDE" w:rsidRPr="00CF3DBE" w:rsidRDefault="00B81BDE" w:rsidP="00A24BD2">
      <w:pPr>
        <w:ind w:left="851"/>
        <w:rPr>
          <w:iCs/>
          <w:sz w:val="24"/>
          <w:szCs w:val="24"/>
          <w:u w:val="single"/>
        </w:rPr>
      </w:pPr>
      <w:r w:rsidRPr="00CF3DBE">
        <w:rPr>
          <w:sz w:val="24"/>
          <w:szCs w:val="24"/>
          <w:u w:val="single"/>
        </w:rPr>
        <w:t xml:space="preserve">Ældre </w:t>
      </w:r>
    </w:p>
    <w:p w14:paraId="1095B2BC" w14:textId="77777777" w:rsidR="00B81BDE" w:rsidRPr="00CF3DBE" w:rsidRDefault="00B81BDE" w:rsidP="00A24BD2">
      <w:pPr>
        <w:ind w:left="851"/>
        <w:rPr>
          <w:iCs/>
          <w:sz w:val="24"/>
          <w:szCs w:val="24"/>
        </w:rPr>
      </w:pPr>
    </w:p>
    <w:p w14:paraId="59F67E15" w14:textId="77777777" w:rsidR="00B81BDE" w:rsidRPr="00CF3DBE" w:rsidRDefault="00B81BDE" w:rsidP="00A24BD2">
      <w:pPr>
        <w:ind w:left="851"/>
        <w:rPr>
          <w:iCs/>
          <w:sz w:val="24"/>
          <w:szCs w:val="24"/>
        </w:rPr>
      </w:pPr>
      <w:r w:rsidRPr="00CF3DBE">
        <w:rPr>
          <w:sz w:val="24"/>
          <w:szCs w:val="24"/>
        </w:rPr>
        <w:t xml:space="preserve">Der blev ikke observeret nogen overordnede forskelle i sikkerhed eller virkning mellem PID-forsøgspersoner &gt; 65 år og PID-forsøgspersoner i alderen 18 til 65 år. I de kliniske studier blev </w:t>
      </w:r>
      <w:proofErr w:type="spellStart"/>
      <w:r w:rsidRPr="00CF3DBE">
        <w:rPr>
          <w:sz w:val="24"/>
          <w:szCs w:val="24"/>
        </w:rPr>
        <w:t>Xembify</w:t>
      </w:r>
      <w:proofErr w:type="spellEnd"/>
      <w:r w:rsidRPr="00CF3DBE">
        <w:rPr>
          <w:sz w:val="24"/>
          <w:szCs w:val="24"/>
        </w:rPr>
        <w:t xml:space="preserve"> evalueret hos 5 patienter med PID &gt; 65 år.</w:t>
      </w:r>
    </w:p>
    <w:p w14:paraId="65F395F7" w14:textId="77777777" w:rsidR="009260DE" w:rsidRPr="00CF3DBE" w:rsidRDefault="009260DE" w:rsidP="009260DE">
      <w:pPr>
        <w:tabs>
          <w:tab w:val="left" w:pos="851"/>
        </w:tabs>
        <w:ind w:left="851"/>
        <w:rPr>
          <w:sz w:val="24"/>
          <w:szCs w:val="24"/>
        </w:rPr>
      </w:pPr>
    </w:p>
    <w:p w14:paraId="4CCD1F2A" w14:textId="77777777" w:rsidR="009260DE" w:rsidRPr="00CF3DBE" w:rsidRDefault="009260DE" w:rsidP="009260DE">
      <w:pPr>
        <w:tabs>
          <w:tab w:val="left" w:pos="851"/>
        </w:tabs>
        <w:ind w:left="851" w:hanging="851"/>
        <w:rPr>
          <w:b/>
          <w:sz w:val="24"/>
          <w:szCs w:val="24"/>
        </w:rPr>
      </w:pPr>
      <w:r w:rsidRPr="00CF3DBE">
        <w:rPr>
          <w:b/>
          <w:sz w:val="24"/>
          <w:szCs w:val="24"/>
        </w:rPr>
        <w:t>5.2</w:t>
      </w:r>
      <w:r w:rsidRPr="00CF3DBE">
        <w:rPr>
          <w:b/>
          <w:sz w:val="24"/>
          <w:szCs w:val="24"/>
        </w:rPr>
        <w:tab/>
      </w:r>
      <w:proofErr w:type="spellStart"/>
      <w:r w:rsidRPr="00CF3DBE">
        <w:rPr>
          <w:b/>
          <w:sz w:val="24"/>
          <w:szCs w:val="24"/>
        </w:rPr>
        <w:t>Farmakokinetiske</w:t>
      </w:r>
      <w:proofErr w:type="spellEnd"/>
      <w:r w:rsidRPr="00CF3DBE">
        <w:rPr>
          <w:b/>
          <w:sz w:val="24"/>
          <w:szCs w:val="24"/>
        </w:rPr>
        <w:t xml:space="preserve"> egenskaber</w:t>
      </w:r>
    </w:p>
    <w:p w14:paraId="0C35F6DB" w14:textId="77777777" w:rsidR="00804D92" w:rsidRPr="00CF3DBE" w:rsidRDefault="00804D92" w:rsidP="00A24BD2">
      <w:pPr>
        <w:ind w:left="851"/>
        <w:rPr>
          <w:sz w:val="24"/>
          <w:szCs w:val="24"/>
        </w:rPr>
      </w:pPr>
    </w:p>
    <w:p w14:paraId="10CB3E59" w14:textId="103995D6" w:rsidR="00B81BDE" w:rsidRPr="00CF3DBE" w:rsidRDefault="00B81BDE" w:rsidP="00A24BD2">
      <w:pPr>
        <w:ind w:left="851"/>
        <w:rPr>
          <w:sz w:val="24"/>
          <w:szCs w:val="24"/>
          <w:u w:val="single"/>
        </w:rPr>
      </w:pPr>
      <w:r w:rsidRPr="00CF3DBE">
        <w:rPr>
          <w:sz w:val="24"/>
          <w:szCs w:val="24"/>
          <w:u w:val="single"/>
        </w:rPr>
        <w:t>Absorption</w:t>
      </w:r>
    </w:p>
    <w:p w14:paraId="60239726" w14:textId="77777777" w:rsidR="00B81BDE" w:rsidRPr="00CF3DBE" w:rsidRDefault="00B81BDE" w:rsidP="00A24BD2">
      <w:pPr>
        <w:ind w:left="851"/>
        <w:rPr>
          <w:sz w:val="24"/>
          <w:szCs w:val="24"/>
        </w:rPr>
      </w:pPr>
    </w:p>
    <w:p w14:paraId="506A7D32" w14:textId="77777777" w:rsidR="00B81BDE" w:rsidRPr="00CF3DBE" w:rsidRDefault="00B81BDE" w:rsidP="00A24BD2">
      <w:pPr>
        <w:ind w:left="851"/>
        <w:rPr>
          <w:sz w:val="24"/>
          <w:szCs w:val="24"/>
        </w:rPr>
      </w:pPr>
      <w:r w:rsidRPr="00CF3DBE">
        <w:rPr>
          <w:sz w:val="24"/>
          <w:szCs w:val="24"/>
        </w:rPr>
        <w:t xml:space="preserve">Efter subkutan administration af </w:t>
      </w:r>
      <w:proofErr w:type="spellStart"/>
      <w:r w:rsidRPr="00CF3DBE">
        <w:rPr>
          <w:sz w:val="24"/>
          <w:szCs w:val="24"/>
        </w:rPr>
        <w:t>Xembify</w:t>
      </w:r>
      <w:proofErr w:type="spellEnd"/>
      <w:r w:rsidRPr="00CF3DBE">
        <w:rPr>
          <w:sz w:val="24"/>
          <w:szCs w:val="24"/>
        </w:rPr>
        <w:t xml:space="preserve"> opnås maksimale serumniveauer efter ca. tre dage.</w:t>
      </w:r>
    </w:p>
    <w:p w14:paraId="2051D2B0" w14:textId="77777777" w:rsidR="00B81BDE" w:rsidRPr="00CF3DBE" w:rsidRDefault="00B81BDE" w:rsidP="00A24BD2">
      <w:pPr>
        <w:ind w:left="851"/>
        <w:rPr>
          <w:sz w:val="24"/>
          <w:szCs w:val="24"/>
        </w:rPr>
      </w:pPr>
    </w:p>
    <w:p w14:paraId="7E0C7683" w14:textId="77777777" w:rsidR="00B81BDE" w:rsidRPr="00CF3DBE" w:rsidRDefault="00B81BDE" w:rsidP="00A24BD2">
      <w:pPr>
        <w:ind w:left="851"/>
        <w:rPr>
          <w:sz w:val="24"/>
          <w:szCs w:val="24"/>
          <w:u w:val="single"/>
        </w:rPr>
      </w:pPr>
      <w:r w:rsidRPr="00CF3DBE">
        <w:rPr>
          <w:sz w:val="24"/>
          <w:szCs w:val="24"/>
          <w:u w:val="single"/>
        </w:rPr>
        <w:t>Fordeling</w:t>
      </w:r>
    </w:p>
    <w:p w14:paraId="3F2B71DB" w14:textId="77777777" w:rsidR="00B81BDE" w:rsidRPr="00CF3DBE" w:rsidRDefault="00B81BDE" w:rsidP="00A24BD2">
      <w:pPr>
        <w:ind w:left="851"/>
        <w:rPr>
          <w:sz w:val="24"/>
          <w:szCs w:val="24"/>
        </w:rPr>
      </w:pPr>
    </w:p>
    <w:p w14:paraId="00BBB88D" w14:textId="77777777" w:rsidR="00B81BDE" w:rsidRPr="00CF3DBE" w:rsidRDefault="00B81BDE" w:rsidP="00A24BD2">
      <w:pPr>
        <w:ind w:left="851"/>
        <w:rPr>
          <w:i/>
          <w:iCs/>
          <w:sz w:val="24"/>
          <w:szCs w:val="24"/>
        </w:rPr>
      </w:pPr>
      <w:r w:rsidRPr="00CF3DBE">
        <w:rPr>
          <w:i/>
          <w:sz w:val="24"/>
          <w:szCs w:val="24"/>
        </w:rPr>
        <w:t>Ugentlig dosering</w:t>
      </w:r>
    </w:p>
    <w:p w14:paraId="3CA3B278" w14:textId="77777777" w:rsidR="00B81BDE" w:rsidRPr="00CF3DBE" w:rsidRDefault="00B81BDE" w:rsidP="00A24BD2">
      <w:pPr>
        <w:ind w:left="851"/>
        <w:rPr>
          <w:i/>
          <w:iCs/>
          <w:sz w:val="24"/>
          <w:szCs w:val="24"/>
        </w:rPr>
      </w:pPr>
    </w:p>
    <w:p w14:paraId="6F0276BD" w14:textId="77777777" w:rsidR="00B81BDE" w:rsidRPr="00CF3DBE" w:rsidRDefault="00B81BDE" w:rsidP="00A24BD2">
      <w:pPr>
        <w:ind w:left="851"/>
        <w:rPr>
          <w:color w:val="000000"/>
          <w:sz w:val="24"/>
          <w:szCs w:val="24"/>
        </w:rPr>
      </w:pPr>
      <w:r w:rsidRPr="00CF3DBE">
        <w:rPr>
          <w:color w:val="000000"/>
          <w:sz w:val="24"/>
          <w:szCs w:val="24"/>
        </w:rPr>
        <w:t xml:space="preserve">I et klinisk studie med </w:t>
      </w:r>
      <w:proofErr w:type="spellStart"/>
      <w:r w:rsidRPr="00CF3DBE">
        <w:rPr>
          <w:color w:val="000000"/>
          <w:sz w:val="24"/>
          <w:szCs w:val="24"/>
        </w:rPr>
        <w:t>Xembify</w:t>
      </w:r>
      <w:proofErr w:type="spellEnd"/>
      <w:r w:rsidRPr="00CF3DBE">
        <w:rPr>
          <w:color w:val="000000"/>
          <w:sz w:val="24"/>
          <w:szCs w:val="24"/>
        </w:rPr>
        <w:t xml:space="preserve"> (n=61) i Europa opnåede forsøgspersonerne vedvarende </w:t>
      </w:r>
      <w:proofErr w:type="spellStart"/>
      <w:r w:rsidRPr="00CF3DBE">
        <w:rPr>
          <w:color w:val="000000"/>
          <w:sz w:val="24"/>
          <w:szCs w:val="24"/>
        </w:rPr>
        <w:t>IgG</w:t>
      </w:r>
      <w:proofErr w:type="spellEnd"/>
      <w:r w:rsidRPr="00CF3DBE">
        <w:rPr>
          <w:color w:val="000000"/>
          <w:sz w:val="24"/>
          <w:szCs w:val="24"/>
        </w:rPr>
        <w:t xml:space="preserve">-minimumsniveauer (median 909,10 mg/dl) over en periode på 52 uger, når de fik </w:t>
      </w:r>
      <w:proofErr w:type="spellStart"/>
      <w:r w:rsidRPr="00CF3DBE">
        <w:rPr>
          <w:color w:val="000000"/>
          <w:sz w:val="24"/>
          <w:szCs w:val="24"/>
        </w:rPr>
        <w:t>mediane</w:t>
      </w:r>
      <w:proofErr w:type="spellEnd"/>
      <w:r w:rsidRPr="00CF3DBE">
        <w:rPr>
          <w:color w:val="000000"/>
          <w:sz w:val="24"/>
          <w:szCs w:val="24"/>
        </w:rPr>
        <w:t xml:space="preserve"> ugentlige doser på 113,0 mg/kg legemsvægt. Data fra det kliniske studie med </w:t>
      </w:r>
      <w:proofErr w:type="spellStart"/>
      <w:r w:rsidRPr="00CF3DBE">
        <w:rPr>
          <w:color w:val="000000"/>
          <w:sz w:val="24"/>
          <w:szCs w:val="24"/>
        </w:rPr>
        <w:t>Xembify</w:t>
      </w:r>
      <w:proofErr w:type="spellEnd"/>
      <w:r w:rsidRPr="00CF3DBE">
        <w:rPr>
          <w:color w:val="000000"/>
          <w:sz w:val="24"/>
          <w:szCs w:val="24"/>
        </w:rPr>
        <w:t xml:space="preserve"> viser, at serum-</w:t>
      </w:r>
      <w:proofErr w:type="spellStart"/>
      <w:r w:rsidRPr="00CF3DBE">
        <w:rPr>
          <w:color w:val="000000"/>
          <w:sz w:val="24"/>
          <w:szCs w:val="24"/>
        </w:rPr>
        <w:t>IgG</w:t>
      </w:r>
      <w:proofErr w:type="spellEnd"/>
      <w:r w:rsidRPr="00CF3DBE">
        <w:rPr>
          <w:color w:val="000000"/>
          <w:sz w:val="24"/>
          <w:szCs w:val="24"/>
        </w:rPr>
        <w:t>-minimumsniveauer kan opretholdes ved doseringsregimer på 400 mg til 848 mg/kg legemsvægt/4 uger.</w:t>
      </w:r>
    </w:p>
    <w:p w14:paraId="4C923176" w14:textId="77777777" w:rsidR="00B81BDE" w:rsidRPr="00CF3DBE" w:rsidRDefault="00B81BDE" w:rsidP="00A24BD2">
      <w:pPr>
        <w:ind w:left="851"/>
        <w:rPr>
          <w:color w:val="000000"/>
          <w:sz w:val="24"/>
          <w:szCs w:val="24"/>
          <w:lang w:eastAsia="es-ES"/>
        </w:rPr>
      </w:pPr>
    </w:p>
    <w:p w14:paraId="1F805F00" w14:textId="77777777" w:rsidR="00B81BDE" w:rsidRPr="00CF3DBE" w:rsidRDefault="00B81BDE" w:rsidP="00804D92">
      <w:pPr>
        <w:rPr>
          <w:b/>
          <w:color w:val="000000"/>
          <w:sz w:val="24"/>
          <w:szCs w:val="24"/>
        </w:rPr>
      </w:pPr>
      <w:r w:rsidRPr="00CF3DBE">
        <w:rPr>
          <w:b/>
          <w:sz w:val="24"/>
          <w:szCs w:val="24"/>
        </w:rPr>
        <w:t xml:space="preserve">Oversigt over </w:t>
      </w:r>
      <w:proofErr w:type="spellStart"/>
      <w:r w:rsidRPr="00CF3DBE">
        <w:rPr>
          <w:b/>
          <w:i/>
          <w:iCs/>
          <w:sz w:val="24"/>
          <w:szCs w:val="24"/>
        </w:rPr>
        <w:t>steady-state</w:t>
      </w:r>
      <w:proofErr w:type="spellEnd"/>
      <w:r w:rsidRPr="00CF3DBE">
        <w:rPr>
          <w:b/>
          <w:sz w:val="24"/>
          <w:szCs w:val="24"/>
        </w:rPr>
        <w:t xml:space="preserve"> minimumskoncentrationer af totalt </w:t>
      </w:r>
      <w:proofErr w:type="spellStart"/>
      <w:r w:rsidRPr="00CF3DBE">
        <w:rPr>
          <w:b/>
          <w:sz w:val="24"/>
          <w:szCs w:val="24"/>
        </w:rPr>
        <w:t>IgG</w:t>
      </w:r>
      <w:proofErr w:type="spellEnd"/>
      <w:r w:rsidRPr="00CF3DBE">
        <w:rPr>
          <w:b/>
          <w:sz w:val="24"/>
          <w:szCs w:val="24"/>
        </w:rPr>
        <w:t xml:space="preserve"> under det tidligere regime og subkutane faser (</w:t>
      </w:r>
      <w:proofErr w:type="spellStart"/>
      <w:r w:rsidRPr="00CF3DBE">
        <w:rPr>
          <w:b/>
          <w:sz w:val="24"/>
          <w:szCs w:val="24"/>
        </w:rPr>
        <w:t>IgG</w:t>
      </w:r>
      <w:proofErr w:type="spellEnd"/>
      <w:r w:rsidRPr="00CF3DBE">
        <w:rPr>
          <w:b/>
          <w:sz w:val="24"/>
          <w:szCs w:val="24"/>
        </w:rPr>
        <w:t>-population)</w:t>
      </w:r>
    </w:p>
    <w:tbl>
      <w:tblPr>
        <w:tblW w:w="5000" w:type="pct"/>
        <w:tblCellMar>
          <w:left w:w="0" w:type="dxa"/>
          <w:right w:w="0" w:type="dxa"/>
        </w:tblCellMar>
        <w:tblLook w:val="04A0" w:firstRow="1" w:lastRow="0" w:firstColumn="1" w:lastColumn="0" w:noHBand="0" w:noVBand="1"/>
      </w:tblPr>
      <w:tblGrid>
        <w:gridCol w:w="1655"/>
        <w:gridCol w:w="2329"/>
        <w:gridCol w:w="2047"/>
        <w:gridCol w:w="3607"/>
      </w:tblGrid>
      <w:tr w:rsidR="00B81BDE" w:rsidRPr="00CF3DBE" w14:paraId="399E6C39" w14:textId="77777777" w:rsidTr="00A24BD2">
        <w:trPr>
          <w:cantSplit/>
          <w:tblHeader/>
        </w:trPr>
        <w:tc>
          <w:tcPr>
            <w:tcW w:w="859" w:type="pct"/>
            <w:tcBorders>
              <w:top w:val="single" w:sz="12" w:space="0" w:color="auto"/>
              <w:left w:val="nil"/>
              <w:bottom w:val="single" w:sz="4" w:space="0" w:color="auto"/>
              <w:right w:val="single" w:sz="4" w:space="0" w:color="auto"/>
            </w:tcBorders>
            <w:shd w:val="clear" w:color="auto" w:fill="FFFFFF"/>
            <w:tcMar>
              <w:top w:w="0" w:type="dxa"/>
              <w:left w:w="10" w:type="dxa"/>
              <w:bottom w:w="0" w:type="dxa"/>
              <w:right w:w="10" w:type="dxa"/>
            </w:tcMar>
            <w:vAlign w:val="center"/>
          </w:tcPr>
          <w:p w14:paraId="1AC94264" w14:textId="77777777" w:rsidR="00B81BDE" w:rsidRPr="00CF3DBE" w:rsidRDefault="00B81BDE">
            <w:pPr>
              <w:pStyle w:val="TableHead"/>
              <w:keepNext/>
              <w:rPr>
                <w:szCs w:val="24"/>
              </w:rPr>
            </w:pPr>
          </w:p>
        </w:tc>
        <w:tc>
          <w:tcPr>
            <w:tcW w:w="1208" w:type="pct"/>
            <w:tcBorders>
              <w:top w:val="single" w:sz="12"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vAlign w:val="center"/>
            <w:hideMark/>
          </w:tcPr>
          <w:p w14:paraId="3604C36E" w14:textId="77777777" w:rsidR="00B81BDE" w:rsidRPr="00CF3DBE" w:rsidRDefault="00B81BDE">
            <w:pPr>
              <w:pStyle w:val="TableHead"/>
              <w:keepNext/>
              <w:rPr>
                <w:szCs w:val="24"/>
              </w:rPr>
            </w:pPr>
            <w:r w:rsidRPr="00CF3DBE">
              <w:rPr>
                <w:szCs w:val="24"/>
              </w:rPr>
              <w:t>Minimum under tidligere regimefase (mg/dl)</w:t>
            </w:r>
          </w:p>
        </w:tc>
        <w:tc>
          <w:tcPr>
            <w:tcW w:w="2933" w:type="pct"/>
            <w:gridSpan w:val="2"/>
            <w:tcBorders>
              <w:top w:val="single" w:sz="12" w:space="0" w:color="auto"/>
              <w:left w:val="single" w:sz="4" w:space="0" w:color="auto"/>
              <w:bottom w:val="single" w:sz="4" w:space="0" w:color="auto"/>
              <w:right w:val="nil"/>
            </w:tcBorders>
            <w:shd w:val="clear" w:color="auto" w:fill="FFFFFF"/>
            <w:tcMar>
              <w:top w:w="0" w:type="dxa"/>
              <w:left w:w="10" w:type="dxa"/>
              <w:bottom w:w="0" w:type="dxa"/>
              <w:right w:w="10" w:type="dxa"/>
            </w:tcMar>
            <w:vAlign w:val="center"/>
            <w:hideMark/>
          </w:tcPr>
          <w:p w14:paraId="6FCA2947" w14:textId="77777777" w:rsidR="00B81BDE" w:rsidRPr="00CF3DBE" w:rsidRDefault="00B81BDE">
            <w:pPr>
              <w:pStyle w:val="TableHead"/>
              <w:keepNext/>
              <w:rPr>
                <w:szCs w:val="24"/>
              </w:rPr>
            </w:pPr>
            <w:r w:rsidRPr="00CF3DBE">
              <w:rPr>
                <w:szCs w:val="24"/>
              </w:rPr>
              <w:t>Minimum under subkutan fase (mg/dl)</w:t>
            </w:r>
          </w:p>
        </w:tc>
      </w:tr>
      <w:tr w:rsidR="00B81BDE" w:rsidRPr="00CF3DBE" w14:paraId="6B4A885F" w14:textId="77777777" w:rsidTr="00A24BD2">
        <w:trPr>
          <w:cantSplit/>
          <w:tblHeader/>
        </w:trPr>
        <w:tc>
          <w:tcPr>
            <w:tcW w:w="859" w:type="pct"/>
            <w:tcBorders>
              <w:top w:val="single" w:sz="4" w:space="0" w:color="auto"/>
              <w:left w:val="nil"/>
              <w:bottom w:val="single" w:sz="12" w:space="0" w:color="auto"/>
              <w:right w:val="single" w:sz="4" w:space="0" w:color="auto"/>
            </w:tcBorders>
            <w:shd w:val="clear" w:color="auto" w:fill="FFFFFF"/>
            <w:tcMar>
              <w:top w:w="0" w:type="dxa"/>
              <w:left w:w="10" w:type="dxa"/>
              <w:bottom w:w="0" w:type="dxa"/>
              <w:right w:w="10" w:type="dxa"/>
            </w:tcMar>
            <w:vAlign w:val="center"/>
            <w:hideMark/>
          </w:tcPr>
          <w:p w14:paraId="0DAAA20C" w14:textId="77777777" w:rsidR="00B81BDE" w:rsidRPr="00CF3DBE" w:rsidRDefault="00B81BDE">
            <w:pPr>
              <w:pStyle w:val="TableHead"/>
              <w:keepNext/>
              <w:rPr>
                <w:szCs w:val="24"/>
              </w:rPr>
            </w:pPr>
            <w:r w:rsidRPr="00CF3DBE">
              <w:rPr>
                <w:szCs w:val="24"/>
              </w:rPr>
              <w:t>Statistik</w:t>
            </w:r>
          </w:p>
        </w:tc>
        <w:tc>
          <w:tcPr>
            <w:tcW w:w="1208" w:type="pct"/>
            <w:tcBorders>
              <w:top w:val="single" w:sz="4" w:space="0" w:color="auto"/>
              <w:left w:val="single" w:sz="4" w:space="0" w:color="auto"/>
              <w:bottom w:val="single" w:sz="12" w:space="0" w:color="auto"/>
              <w:right w:val="single" w:sz="4" w:space="0" w:color="auto"/>
            </w:tcBorders>
            <w:shd w:val="clear" w:color="auto" w:fill="FFFFFF"/>
            <w:tcMar>
              <w:top w:w="0" w:type="dxa"/>
              <w:left w:w="10" w:type="dxa"/>
              <w:bottom w:w="0" w:type="dxa"/>
              <w:right w:w="10" w:type="dxa"/>
            </w:tcMar>
            <w:vAlign w:val="center"/>
            <w:hideMark/>
          </w:tcPr>
          <w:p w14:paraId="661769F1" w14:textId="77777777" w:rsidR="00B81BDE" w:rsidRPr="00CF3DBE" w:rsidRDefault="00B81BDE">
            <w:pPr>
              <w:pStyle w:val="TableHead"/>
              <w:keepNext/>
              <w:rPr>
                <w:szCs w:val="24"/>
              </w:rPr>
            </w:pPr>
            <w:r w:rsidRPr="00CF3DBE">
              <w:rPr>
                <w:szCs w:val="24"/>
              </w:rPr>
              <w:t xml:space="preserve">Gennemsnitligt </w:t>
            </w:r>
            <w:proofErr w:type="spellStart"/>
            <w:r w:rsidRPr="00CF3DBE">
              <w:rPr>
                <w:szCs w:val="24"/>
              </w:rPr>
              <w:t>minimum</w:t>
            </w:r>
            <w:r w:rsidRPr="00CF3DBE">
              <w:rPr>
                <w:szCs w:val="24"/>
                <w:vertAlign w:val="superscript"/>
              </w:rPr>
              <w:t>a</w:t>
            </w:r>
            <w:proofErr w:type="spellEnd"/>
          </w:p>
        </w:tc>
        <w:tc>
          <w:tcPr>
            <w:tcW w:w="1062" w:type="pct"/>
            <w:tcBorders>
              <w:top w:val="single" w:sz="4" w:space="0" w:color="auto"/>
              <w:left w:val="single" w:sz="4" w:space="0" w:color="auto"/>
              <w:bottom w:val="single" w:sz="12" w:space="0" w:color="auto"/>
              <w:right w:val="single" w:sz="4" w:space="0" w:color="auto"/>
            </w:tcBorders>
            <w:shd w:val="clear" w:color="auto" w:fill="FFFFFF"/>
            <w:tcMar>
              <w:top w:w="0" w:type="dxa"/>
              <w:left w:w="10" w:type="dxa"/>
              <w:bottom w:w="0" w:type="dxa"/>
              <w:right w:w="10" w:type="dxa"/>
            </w:tcMar>
            <w:vAlign w:val="center"/>
            <w:hideMark/>
          </w:tcPr>
          <w:p w14:paraId="2B483C9C" w14:textId="77777777" w:rsidR="00B81BDE" w:rsidRPr="00CF3DBE" w:rsidRDefault="00B81BDE">
            <w:pPr>
              <w:pStyle w:val="TableHead"/>
              <w:keepNext/>
              <w:rPr>
                <w:szCs w:val="24"/>
              </w:rPr>
            </w:pPr>
            <w:r w:rsidRPr="00CF3DBE">
              <w:rPr>
                <w:szCs w:val="24"/>
              </w:rPr>
              <w:t xml:space="preserve">Gennemsnitligt </w:t>
            </w:r>
            <w:proofErr w:type="spellStart"/>
            <w:r w:rsidRPr="00CF3DBE">
              <w:rPr>
                <w:szCs w:val="24"/>
              </w:rPr>
              <w:t>minimum</w:t>
            </w:r>
            <w:r w:rsidRPr="00CF3DBE">
              <w:rPr>
                <w:szCs w:val="24"/>
                <w:vertAlign w:val="superscript"/>
              </w:rPr>
              <w:t>b</w:t>
            </w:r>
            <w:proofErr w:type="spellEnd"/>
          </w:p>
        </w:tc>
        <w:tc>
          <w:tcPr>
            <w:tcW w:w="1871" w:type="pct"/>
            <w:tcBorders>
              <w:top w:val="single" w:sz="4" w:space="0" w:color="auto"/>
              <w:left w:val="single" w:sz="4" w:space="0" w:color="auto"/>
              <w:bottom w:val="single" w:sz="12" w:space="0" w:color="auto"/>
              <w:right w:val="nil"/>
            </w:tcBorders>
            <w:shd w:val="clear" w:color="auto" w:fill="FFFFFF"/>
            <w:tcMar>
              <w:top w:w="0" w:type="dxa"/>
              <w:left w:w="10" w:type="dxa"/>
              <w:bottom w:w="0" w:type="dxa"/>
              <w:right w:w="10" w:type="dxa"/>
            </w:tcMar>
            <w:vAlign w:val="bottom"/>
            <w:hideMark/>
          </w:tcPr>
          <w:p w14:paraId="0D4A0265" w14:textId="77777777" w:rsidR="00B81BDE" w:rsidRPr="00CF3DBE" w:rsidRDefault="00B81BDE">
            <w:pPr>
              <w:pStyle w:val="TableHead"/>
              <w:keepNext/>
              <w:rPr>
                <w:szCs w:val="24"/>
              </w:rPr>
            </w:pPr>
            <w:r w:rsidRPr="00CF3DBE">
              <w:rPr>
                <w:szCs w:val="24"/>
              </w:rPr>
              <w:t>Forhold mellem gennemsnitligt minimum,</w:t>
            </w:r>
            <w:r w:rsidRPr="00CF3DBE">
              <w:rPr>
                <w:szCs w:val="24"/>
              </w:rPr>
              <w:br/>
              <w:t>subkutant/tidligere regime</w:t>
            </w:r>
          </w:p>
        </w:tc>
      </w:tr>
      <w:tr w:rsidR="00B81BDE" w:rsidRPr="00CF3DBE" w14:paraId="788A72F2" w14:textId="77777777" w:rsidTr="00A24BD2">
        <w:trPr>
          <w:cantSplit/>
        </w:trPr>
        <w:tc>
          <w:tcPr>
            <w:tcW w:w="859" w:type="pct"/>
            <w:tcBorders>
              <w:top w:val="single" w:sz="12" w:space="0" w:color="auto"/>
              <w:left w:val="nil"/>
              <w:bottom w:val="single" w:sz="4" w:space="0" w:color="auto"/>
              <w:right w:val="single" w:sz="4" w:space="0" w:color="auto"/>
            </w:tcBorders>
            <w:shd w:val="clear" w:color="auto" w:fill="FFFFFF"/>
            <w:tcMar>
              <w:top w:w="0" w:type="dxa"/>
              <w:left w:w="10" w:type="dxa"/>
              <w:bottom w:w="0" w:type="dxa"/>
              <w:right w:w="10" w:type="dxa"/>
            </w:tcMar>
            <w:hideMark/>
          </w:tcPr>
          <w:p w14:paraId="255EA0BF" w14:textId="77777777" w:rsidR="00B81BDE" w:rsidRPr="00CF3DBE" w:rsidRDefault="00B81BDE">
            <w:pPr>
              <w:pStyle w:val="TableText"/>
              <w:jc w:val="left"/>
              <w:rPr>
                <w:szCs w:val="24"/>
              </w:rPr>
            </w:pPr>
            <w:r w:rsidRPr="00CF3DBE">
              <w:rPr>
                <w:szCs w:val="24"/>
              </w:rPr>
              <w:t>n</w:t>
            </w:r>
          </w:p>
        </w:tc>
        <w:tc>
          <w:tcPr>
            <w:tcW w:w="1208" w:type="pct"/>
            <w:tcBorders>
              <w:top w:val="single" w:sz="12"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hideMark/>
          </w:tcPr>
          <w:p w14:paraId="3A497928" w14:textId="77777777" w:rsidR="00B81BDE" w:rsidRPr="00CF3DBE" w:rsidRDefault="00B81BDE">
            <w:pPr>
              <w:pStyle w:val="TableText"/>
              <w:rPr>
                <w:szCs w:val="24"/>
              </w:rPr>
            </w:pPr>
            <w:r w:rsidRPr="00CF3DBE">
              <w:rPr>
                <w:color w:val="000000"/>
                <w:szCs w:val="24"/>
              </w:rPr>
              <w:t>59</w:t>
            </w:r>
          </w:p>
        </w:tc>
        <w:tc>
          <w:tcPr>
            <w:tcW w:w="1062" w:type="pct"/>
            <w:tcBorders>
              <w:top w:val="single" w:sz="12"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hideMark/>
          </w:tcPr>
          <w:p w14:paraId="2FB9CF18" w14:textId="77777777" w:rsidR="00B81BDE" w:rsidRPr="00CF3DBE" w:rsidRDefault="00B81BDE">
            <w:pPr>
              <w:pStyle w:val="TableText"/>
              <w:rPr>
                <w:szCs w:val="24"/>
              </w:rPr>
            </w:pPr>
            <w:r w:rsidRPr="00CF3DBE">
              <w:rPr>
                <w:color w:val="000000"/>
                <w:szCs w:val="24"/>
              </w:rPr>
              <w:t>59</w:t>
            </w:r>
          </w:p>
        </w:tc>
        <w:tc>
          <w:tcPr>
            <w:tcW w:w="1871" w:type="pct"/>
            <w:tcBorders>
              <w:top w:val="single" w:sz="12" w:space="0" w:color="auto"/>
              <w:left w:val="single" w:sz="4" w:space="0" w:color="auto"/>
              <w:bottom w:val="single" w:sz="4" w:space="0" w:color="auto"/>
              <w:right w:val="nil"/>
            </w:tcBorders>
            <w:shd w:val="clear" w:color="auto" w:fill="FFFFFF"/>
            <w:tcMar>
              <w:top w:w="0" w:type="dxa"/>
              <w:left w:w="10" w:type="dxa"/>
              <w:bottom w:w="0" w:type="dxa"/>
              <w:right w:w="10" w:type="dxa"/>
            </w:tcMar>
            <w:hideMark/>
          </w:tcPr>
          <w:p w14:paraId="064AA437" w14:textId="77777777" w:rsidR="00B81BDE" w:rsidRPr="00CF3DBE" w:rsidRDefault="00B81BDE">
            <w:pPr>
              <w:pStyle w:val="TableText"/>
              <w:rPr>
                <w:szCs w:val="24"/>
              </w:rPr>
            </w:pPr>
            <w:r w:rsidRPr="00CF3DBE">
              <w:rPr>
                <w:color w:val="000000"/>
                <w:szCs w:val="24"/>
              </w:rPr>
              <w:t>59</w:t>
            </w:r>
          </w:p>
        </w:tc>
      </w:tr>
      <w:tr w:rsidR="00B81BDE" w:rsidRPr="00CF3DBE" w14:paraId="31099A86" w14:textId="77777777" w:rsidTr="00A24BD2">
        <w:trPr>
          <w:cantSplit/>
        </w:trPr>
        <w:tc>
          <w:tcPr>
            <w:tcW w:w="859" w:type="pct"/>
            <w:tcBorders>
              <w:top w:val="single" w:sz="4" w:space="0" w:color="auto"/>
              <w:left w:val="nil"/>
              <w:bottom w:val="single" w:sz="4" w:space="0" w:color="auto"/>
              <w:right w:val="single" w:sz="4" w:space="0" w:color="auto"/>
            </w:tcBorders>
            <w:shd w:val="clear" w:color="auto" w:fill="FFFFFF"/>
            <w:tcMar>
              <w:top w:w="0" w:type="dxa"/>
              <w:left w:w="10" w:type="dxa"/>
              <w:bottom w:w="0" w:type="dxa"/>
              <w:right w:w="10" w:type="dxa"/>
            </w:tcMar>
            <w:hideMark/>
          </w:tcPr>
          <w:p w14:paraId="7268AB1E" w14:textId="77777777" w:rsidR="00B81BDE" w:rsidRPr="00CF3DBE" w:rsidRDefault="00B81BDE">
            <w:pPr>
              <w:pStyle w:val="TableText"/>
              <w:spacing w:before="0" w:after="0"/>
              <w:jc w:val="left"/>
              <w:rPr>
                <w:szCs w:val="24"/>
              </w:rPr>
            </w:pPr>
            <w:proofErr w:type="spellStart"/>
            <w:r w:rsidRPr="00CF3DBE">
              <w:rPr>
                <w:szCs w:val="24"/>
              </w:rPr>
              <w:t>Gennemsnit±SD</w:t>
            </w:r>
            <w:proofErr w:type="spellEnd"/>
          </w:p>
        </w:tc>
        <w:tc>
          <w:tcPr>
            <w:tcW w:w="1208" w:type="pct"/>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hideMark/>
          </w:tcPr>
          <w:p w14:paraId="34798BD2" w14:textId="77777777" w:rsidR="00B81BDE" w:rsidRPr="00CF3DBE" w:rsidRDefault="00B81BDE">
            <w:pPr>
              <w:pStyle w:val="TableText"/>
              <w:spacing w:before="0" w:after="0"/>
              <w:rPr>
                <w:szCs w:val="24"/>
              </w:rPr>
            </w:pPr>
            <w:r w:rsidRPr="00CF3DBE">
              <w:rPr>
                <w:color w:val="000000"/>
                <w:szCs w:val="24"/>
              </w:rPr>
              <w:t>891,37 ± 165,943</w:t>
            </w:r>
          </w:p>
        </w:tc>
        <w:tc>
          <w:tcPr>
            <w:tcW w:w="1062" w:type="pct"/>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hideMark/>
          </w:tcPr>
          <w:p w14:paraId="35F5BCC0" w14:textId="77777777" w:rsidR="00B81BDE" w:rsidRPr="00CF3DBE" w:rsidRDefault="00B81BDE">
            <w:pPr>
              <w:pStyle w:val="TableText"/>
              <w:spacing w:before="0" w:after="0"/>
              <w:rPr>
                <w:szCs w:val="24"/>
              </w:rPr>
            </w:pPr>
            <w:r w:rsidRPr="00CF3DBE">
              <w:rPr>
                <w:color w:val="000000"/>
                <w:szCs w:val="24"/>
              </w:rPr>
              <w:t>947,64 ± 150,262</w:t>
            </w:r>
          </w:p>
        </w:tc>
        <w:tc>
          <w:tcPr>
            <w:tcW w:w="1871" w:type="pct"/>
            <w:tcBorders>
              <w:top w:val="single" w:sz="4" w:space="0" w:color="auto"/>
              <w:left w:val="single" w:sz="4" w:space="0" w:color="auto"/>
              <w:bottom w:val="single" w:sz="4" w:space="0" w:color="auto"/>
              <w:right w:val="nil"/>
            </w:tcBorders>
            <w:shd w:val="clear" w:color="auto" w:fill="FFFFFF"/>
            <w:tcMar>
              <w:top w:w="0" w:type="dxa"/>
              <w:left w:w="10" w:type="dxa"/>
              <w:bottom w:w="0" w:type="dxa"/>
              <w:right w:w="10" w:type="dxa"/>
            </w:tcMar>
            <w:hideMark/>
          </w:tcPr>
          <w:p w14:paraId="2F56D3D7" w14:textId="77777777" w:rsidR="00B81BDE" w:rsidRPr="00CF3DBE" w:rsidRDefault="00B81BDE">
            <w:pPr>
              <w:pStyle w:val="TableText"/>
              <w:spacing w:before="0" w:after="0"/>
              <w:rPr>
                <w:szCs w:val="24"/>
              </w:rPr>
            </w:pPr>
            <w:r w:rsidRPr="00CF3DBE">
              <w:rPr>
                <w:color w:val="000000"/>
                <w:szCs w:val="24"/>
              </w:rPr>
              <w:t>1,078 ± 0,1425</w:t>
            </w:r>
          </w:p>
        </w:tc>
      </w:tr>
      <w:tr w:rsidR="00B81BDE" w:rsidRPr="00CF3DBE" w14:paraId="3B7BC91B" w14:textId="77777777" w:rsidTr="00A24BD2">
        <w:trPr>
          <w:cantSplit/>
        </w:trPr>
        <w:tc>
          <w:tcPr>
            <w:tcW w:w="859" w:type="pct"/>
            <w:tcBorders>
              <w:top w:val="single" w:sz="4" w:space="0" w:color="auto"/>
              <w:left w:val="nil"/>
              <w:bottom w:val="single" w:sz="4" w:space="0" w:color="auto"/>
              <w:right w:val="single" w:sz="4" w:space="0" w:color="auto"/>
            </w:tcBorders>
            <w:shd w:val="clear" w:color="auto" w:fill="FFFFFF"/>
            <w:tcMar>
              <w:top w:w="0" w:type="dxa"/>
              <w:left w:w="10" w:type="dxa"/>
              <w:bottom w:w="0" w:type="dxa"/>
              <w:right w:w="10" w:type="dxa"/>
            </w:tcMar>
            <w:hideMark/>
          </w:tcPr>
          <w:p w14:paraId="5879E217" w14:textId="77777777" w:rsidR="00B81BDE" w:rsidRPr="00CF3DBE" w:rsidRDefault="00B81BDE">
            <w:pPr>
              <w:pStyle w:val="TableText"/>
              <w:spacing w:before="0" w:after="0"/>
              <w:jc w:val="left"/>
              <w:rPr>
                <w:szCs w:val="24"/>
              </w:rPr>
            </w:pPr>
            <w:r w:rsidRPr="00CF3DBE">
              <w:rPr>
                <w:szCs w:val="24"/>
              </w:rPr>
              <w:t>CV%</w:t>
            </w:r>
          </w:p>
        </w:tc>
        <w:tc>
          <w:tcPr>
            <w:tcW w:w="1208" w:type="pct"/>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hideMark/>
          </w:tcPr>
          <w:p w14:paraId="56E37D45" w14:textId="77777777" w:rsidR="00B81BDE" w:rsidRPr="00CF3DBE" w:rsidRDefault="00B81BDE">
            <w:pPr>
              <w:pStyle w:val="TableText"/>
              <w:spacing w:before="0" w:after="0"/>
              <w:rPr>
                <w:szCs w:val="24"/>
              </w:rPr>
            </w:pPr>
            <w:r w:rsidRPr="00CF3DBE">
              <w:rPr>
                <w:color w:val="000000"/>
                <w:szCs w:val="24"/>
              </w:rPr>
              <w:t>18,6</w:t>
            </w:r>
          </w:p>
        </w:tc>
        <w:tc>
          <w:tcPr>
            <w:tcW w:w="1062" w:type="pct"/>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hideMark/>
          </w:tcPr>
          <w:p w14:paraId="7049B600" w14:textId="77777777" w:rsidR="00B81BDE" w:rsidRPr="00CF3DBE" w:rsidRDefault="00B81BDE">
            <w:pPr>
              <w:pStyle w:val="TableText"/>
              <w:spacing w:before="0" w:after="0"/>
              <w:rPr>
                <w:szCs w:val="24"/>
              </w:rPr>
            </w:pPr>
            <w:r w:rsidRPr="00CF3DBE">
              <w:rPr>
                <w:color w:val="000000"/>
                <w:szCs w:val="24"/>
              </w:rPr>
              <w:t>15,9</w:t>
            </w:r>
          </w:p>
        </w:tc>
        <w:tc>
          <w:tcPr>
            <w:tcW w:w="1871" w:type="pct"/>
            <w:tcBorders>
              <w:top w:val="single" w:sz="4" w:space="0" w:color="auto"/>
              <w:left w:val="single" w:sz="4" w:space="0" w:color="auto"/>
              <w:bottom w:val="single" w:sz="4" w:space="0" w:color="auto"/>
              <w:right w:val="nil"/>
            </w:tcBorders>
            <w:shd w:val="clear" w:color="auto" w:fill="FFFFFF"/>
            <w:tcMar>
              <w:top w:w="0" w:type="dxa"/>
              <w:left w:w="10" w:type="dxa"/>
              <w:bottom w:w="0" w:type="dxa"/>
              <w:right w:w="10" w:type="dxa"/>
            </w:tcMar>
            <w:hideMark/>
          </w:tcPr>
          <w:p w14:paraId="56D81A74" w14:textId="77777777" w:rsidR="00B81BDE" w:rsidRPr="00CF3DBE" w:rsidRDefault="00B81BDE">
            <w:pPr>
              <w:pStyle w:val="TableText"/>
              <w:spacing w:before="0" w:after="0"/>
              <w:rPr>
                <w:szCs w:val="24"/>
              </w:rPr>
            </w:pPr>
            <w:r w:rsidRPr="00CF3DBE">
              <w:rPr>
                <w:color w:val="000000"/>
                <w:szCs w:val="24"/>
              </w:rPr>
              <w:t>13,22</w:t>
            </w:r>
          </w:p>
        </w:tc>
      </w:tr>
      <w:tr w:rsidR="00B81BDE" w:rsidRPr="00CF3DBE" w14:paraId="1EDAB653" w14:textId="77777777" w:rsidTr="00A24BD2">
        <w:trPr>
          <w:cantSplit/>
        </w:trPr>
        <w:tc>
          <w:tcPr>
            <w:tcW w:w="859" w:type="pct"/>
            <w:tcBorders>
              <w:top w:val="single" w:sz="4" w:space="0" w:color="auto"/>
              <w:left w:val="nil"/>
              <w:bottom w:val="single" w:sz="4" w:space="0" w:color="auto"/>
              <w:right w:val="single" w:sz="4" w:space="0" w:color="auto"/>
            </w:tcBorders>
            <w:shd w:val="clear" w:color="auto" w:fill="FFFFFF"/>
            <w:tcMar>
              <w:top w:w="0" w:type="dxa"/>
              <w:left w:w="10" w:type="dxa"/>
              <w:bottom w:w="0" w:type="dxa"/>
              <w:right w:w="10" w:type="dxa"/>
            </w:tcMar>
            <w:hideMark/>
          </w:tcPr>
          <w:p w14:paraId="16DED90B" w14:textId="77777777" w:rsidR="00B81BDE" w:rsidRPr="00CF3DBE" w:rsidRDefault="00B81BDE">
            <w:pPr>
              <w:pStyle w:val="TableText"/>
              <w:spacing w:before="0" w:after="0"/>
              <w:jc w:val="left"/>
              <w:rPr>
                <w:szCs w:val="24"/>
              </w:rPr>
            </w:pPr>
            <w:r w:rsidRPr="00CF3DBE">
              <w:rPr>
                <w:szCs w:val="24"/>
              </w:rPr>
              <w:t>Median</w:t>
            </w:r>
          </w:p>
        </w:tc>
        <w:tc>
          <w:tcPr>
            <w:tcW w:w="1208" w:type="pct"/>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hideMark/>
          </w:tcPr>
          <w:p w14:paraId="7E39325D" w14:textId="77777777" w:rsidR="00B81BDE" w:rsidRPr="00CF3DBE" w:rsidRDefault="00B81BDE">
            <w:pPr>
              <w:pStyle w:val="TableText"/>
              <w:spacing w:before="0" w:after="0"/>
              <w:rPr>
                <w:szCs w:val="24"/>
              </w:rPr>
            </w:pPr>
            <w:r w:rsidRPr="00CF3DBE">
              <w:rPr>
                <w:color w:val="000000"/>
                <w:szCs w:val="24"/>
              </w:rPr>
              <w:t>874,00</w:t>
            </w:r>
          </w:p>
        </w:tc>
        <w:tc>
          <w:tcPr>
            <w:tcW w:w="1062" w:type="pct"/>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hideMark/>
          </w:tcPr>
          <w:p w14:paraId="734E22E7" w14:textId="77777777" w:rsidR="00B81BDE" w:rsidRPr="00CF3DBE" w:rsidRDefault="00B81BDE">
            <w:pPr>
              <w:pStyle w:val="TableText"/>
              <w:spacing w:before="0" w:after="0"/>
              <w:rPr>
                <w:szCs w:val="24"/>
              </w:rPr>
            </w:pPr>
            <w:r w:rsidRPr="00CF3DBE">
              <w:rPr>
                <w:color w:val="000000"/>
                <w:szCs w:val="24"/>
              </w:rPr>
              <w:t>909,10</w:t>
            </w:r>
          </w:p>
        </w:tc>
        <w:tc>
          <w:tcPr>
            <w:tcW w:w="1871" w:type="pct"/>
            <w:tcBorders>
              <w:top w:val="single" w:sz="4" w:space="0" w:color="auto"/>
              <w:left w:val="single" w:sz="4" w:space="0" w:color="auto"/>
              <w:bottom w:val="single" w:sz="4" w:space="0" w:color="auto"/>
              <w:right w:val="nil"/>
            </w:tcBorders>
            <w:shd w:val="clear" w:color="auto" w:fill="FFFFFF"/>
            <w:tcMar>
              <w:top w:w="0" w:type="dxa"/>
              <w:left w:w="10" w:type="dxa"/>
              <w:bottom w:w="0" w:type="dxa"/>
              <w:right w:w="10" w:type="dxa"/>
            </w:tcMar>
            <w:hideMark/>
          </w:tcPr>
          <w:p w14:paraId="179DE158" w14:textId="77777777" w:rsidR="00B81BDE" w:rsidRPr="00CF3DBE" w:rsidRDefault="00B81BDE">
            <w:pPr>
              <w:pStyle w:val="TableText"/>
              <w:spacing w:before="0" w:after="0"/>
              <w:rPr>
                <w:szCs w:val="24"/>
              </w:rPr>
            </w:pPr>
            <w:r w:rsidRPr="00CF3DBE">
              <w:rPr>
                <w:color w:val="000000"/>
                <w:szCs w:val="24"/>
              </w:rPr>
              <w:t>1,050</w:t>
            </w:r>
          </w:p>
        </w:tc>
      </w:tr>
      <w:tr w:rsidR="00B81BDE" w:rsidRPr="00CF3DBE" w14:paraId="0FB6873A" w14:textId="77777777" w:rsidTr="00A24BD2">
        <w:trPr>
          <w:cantSplit/>
        </w:trPr>
        <w:tc>
          <w:tcPr>
            <w:tcW w:w="859" w:type="pct"/>
            <w:tcBorders>
              <w:top w:val="single" w:sz="4" w:space="0" w:color="auto"/>
              <w:left w:val="nil"/>
              <w:bottom w:val="single" w:sz="4" w:space="0" w:color="auto"/>
              <w:right w:val="single" w:sz="4" w:space="0" w:color="auto"/>
            </w:tcBorders>
            <w:shd w:val="clear" w:color="auto" w:fill="FFFFFF"/>
            <w:tcMar>
              <w:top w:w="0" w:type="dxa"/>
              <w:left w:w="10" w:type="dxa"/>
              <w:bottom w:w="0" w:type="dxa"/>
              <w:right w:w="10" w:type="dxa"/>
            </w:tcMar>
            <w:hideMark/>
          </w:tcPr>
          <w:p w14:paraId="47916153" w14:textId="77777777" w:rsidR="00B81BDE" w:rsidRPr="00CF3DBE" w:rsidRDefault="00B81BDE">
            <w:pPr>
              <w:pStyle w:val="TableText"/>
              <w:spacing w:before="0" w:after="0"/>
              <w:jc w:val="left"/>
              <w:rPr>
                <w:szCs w:val="24"/>
              </w:rPr>
            </w:pPr>
            <w:r w:rsidRPr="00CF3DBE">
              <w:rPr>
                <w:szCs w:val="24"/>
              </w:rPr>
              <w:t>Min; Maks</w:t>
            </w:r>
          </w:p>
        </w:tc>
        <w:tc>
          <w:tcPr>
            <w:tcW w:w="1208" w:type="pct"/>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hideMark/>
          </w:tcPr>
          <w:p w14:paraId="2F4F7875" w14:textId="77777777" w:rsidR="00B81BDE" w:rsidRPr="00CF3DBE" w:rsidRDefault="00B81BDE">
            <w:pPr>
              <w:pStyle w:val="TableText"/>
              <w:spacing w:before="0" w:after="0"/>
              <w:rPr>
                <w:szCs w:val="24"/>
              </w:rPr>
            </w:pPr>
            <w:r w:rsidRPr="00CF3DBE">
              <w:rPr>
                <w:color w:val="000000"/>
                <w:szCs w:val="24"/>
              </w:rPr>
              <w:t>516,5; 1 255,0</w:t>
            </w:r>
          </w:p>
        </w:tc>
        <w:tc>
          <w:tcPr>
            <w:tcW w:w="1062" w:type="pct"/>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hideMark/>
          </w:tcPr>
          <w:p w14:paraId="16CCE90A" w14:textId="77777777" w:rsidR="00B81BDE" w:rsidRPr="00CF3DBE" w:rsidRDefault="00B81BDE">
            <w:pPr>
              <w:pStyle w:val="TableText"/>
              <w:spacing w:before="0" w:after="0"/>
              <w:rPr>
                <w:szCs w:val="24"/>
              </w:rPr>
            </w:pPr>
            <w:r w:rsidRPr="00CF3DBE">
              <w:rPr>
                <w:color w:val="000000"/>
                <w:szCs w:val="24"/>
              </w:rPr>
              <w:t>629,2; 1 340,8</w:t>
            </w:r>
          </w:p>
        </w:tc>
        <w:tc>
          <w:tcPr>
            <w:tcW w:w="1871" w:type="pct"/>
            <w:tcBorders>
              <w:top w:val="single" w:sz="4" w:space="0" w:color="auto"/>
              <w:left w:val="single" w:sz="4" w:space="0" w:color="auto"/>
              <w:bottom w:val="single" w:sz="4" w:space="0" w:color="auto"/>
              <w:right w:val="nil"/>
            </w:tcBorders>
            <w:shd w:val="clear" w:color="auto" w:fill="FFFFFF"/>
            <w:tcMar>
              <w:top w:w="0" w:type="dxa"/>
              <w:left w:w="10" w:type="dxa"/>
              <w:bottom w:w="0" w:type="dxa"/>
              <w:right w:w="10" w:type="dxa"/>
            </w:tcMar>
            <w:hideMark/>
          </w:tcPr>
          <w:p w14:paraId="4E14D184" w14:textId="77777777" w:rsidR="00B81BDE" w:rsidRPr="00CF3DBE" w:rsidRDefault="00B81BDE">
            <w:pPr>
              <w:pStyle w:val="TableText"/>
              <w:spacing w:before="0" w:after="0"/>
              <w:rPr>
                <w:szCs w:val="24"/>
              </w:rPr>
            </w:pPr>
            <w:r w:rsidRPr="00CF3DBE">
              <w:rPr>
                <w:color w:val="000000"/>
                <w:szCs w:val="24"/>
              </w:rPr>
              <w:t>0,83; 1,54</w:t>
            </w:r>
          </w:p>
        </w:tc>
      </w:tr>
      <w:tr w:rsidR="00B81BDE" w:rsidRPr="00CF3DBE" w14:paraId="02DFB543" w14:textId="77777777" w:rsidTr="00A24BD2">
        <w:trPr>
          <w:cantSplit/>
        </w:trPr>
        <w:tc>
          <w:tcPr>
            <w:tcW w:w="859" w:type="pct"/>
            <w:tcBorders>
              <w:top w:val="single" w:sz="4" w:space="0" w:color="auto"/>
              <w:left w:val="nil"/>
              <w:bottom w:val="single" w:sz="12" w:space="0" w:color="auto"/>
              <w:right w:val="single" w:sz="4" w:space="0" w:color="auto"/>
            </w:tcBorders>
            <w:shd w:val="clear" w:color="auto" w:fill="FFFFFF"/>
            <w:tcMar>
              <w:top w:w="0" w:type="dxa"/>
              <w:left w:w="10" w:type="dxa"/>
              <w:bottom w:w="0" w:type="dxa"/>
              <w:right w:w="10" w:type="dxa"/>
            </w:tcMar>
            <w:hideMark/>
          </w:tcPr>
          <w:p w14:paraId="686E807A" w14:textId="77777777" w:rsidR="00B81BDE" w:rsidRPr="00CF3DBE" w:rsidRDefault="00B81BDE">
            <w:pPr>
              <w:pStyle w:val="TableText"/>
              <w:spacing w:before="0" w:after="0"/>
              <w:jc w:val="left"/>
              <w:rPr>
                <w:szCs w:val="24"/>
              </w:rPr>
            </w:pPr>
            <w:r w:rsidRPr="00CF3DBE">
              <w:rPr>
                <w:szCs w:val="24"/>
              </w:rPr>
              <w:t>Geometrisk gennemsnit</w:t>
            </w:r>
          </w:p>
        </w:tc>
        <w:tc>
          <w:tcPr>
            <w:tcW w:w="1208" w:type="pct"/>
            <w:tcBorders>
              <w:top w:val="single" w:sz="4" w:space="0" w:color="auto"/>
              <w:left w:val="single" w:sz="4" w:space="0" w:color="auto"/>
              <w:bottom w:val="single" w:sz="12" w:space="0" w:color="auto"/>
              <w:right w:val="single" w:sz="4" w:space="0" w:color="auto"/>
            </w:tcBorders>
            <w:shd w:val="clear" w:color="auto" w:fill="FFFFFF"/>
            <w:tcMar>
              <w:top w:w="0" w:type="dxa"/>
              <w:left w:w="10" w:type="dxa"/>
              <w:bottom w:w="0" w:type="dxa"/>
              <w:right w:w="10" w:type="dxa"/>
            </w:tcMar>
            <w:hideMark/>
          </w:tcPr>
          <w:p w14:paraId="7243C24D" w14:textId="77777777" w:rsidR="00B81BDE" w:rsidRPr="00CF3DBE" w:rsidRDefault="00B81BDE">
            <w:pPr>
              <w:pStyle w:val="TableText"/>
              <w:spacing w:before="0" w:after="0"/>
              <w:rPr>
                <w:szCs w:val="24"/>
              </w:rPr>
            </w:pPr>
            <w:r w:rsidRPr="00CF3DBE">
              <w:rPr>
                <w:color w:val="000000"/>
                <w:szCs w:val="24"/>
              </w:rPr>
              <w:t>875,96</w:t>
            </w:r>
          </w:p>
        </w:tc>
        <w:tc>
          <w:tcPr>
            <w:tcW w:w="1062" w:type="pct"/>
            <w:tcBorders>
              <w:top w:val="single" w:sz="4" w:space="0" w:color="auto"/>
              <w:left w:val="single" w:sz="4" w:space="0" w:color="auto"/>
              <w:bottom w:val="single" w:sz="12" w:space="0" w:color="auto"/>
              <w:right w:val="single" w:sz="4" w:space="0" w:color="auto"/>
            </w:tcBorders>
            <w:shd w:val="clear" w:color="auto" w:fill="FFFFFF"/>
            <w:tcMar>
              <w:top w:w="0" w:type="dxa"/>
              <w:left w:w="10" w:type="dxa"/>
              <w:bottom w:w="0" w:type="dxa"/>
              <w:right w:w="10" w:type="dxa"/>
            </w:tcMar>
            <w:hideMark/>
          </w:tcPr>
          <w:p w14:paraId="2C81F916" w14:textId="77777777" w:rsidR="00B81BDE" w:rsidRPr="00CF3DBE" w:rsidRDefault="00B81BDE">
            <w:pPr>
              <w:pStyle w:val="TableText"/>
              <w:spacing w:before="0" w:after="0"/>
              <w:rPr>
                <w:szCs w:val="24"/>
              </w:rPr>
            </w:pPr>
            <w:r w:rsidRPr="00CF3DBE">
              <w:rPr>
                <w:color w:val="000000"/>
                <w:szCs w:val="24"/>
              </w:rPr>
              <w:t>936,48</w:t>
            </w:r>
          </w:p>
        </w:tc>
        <w:tc>
          <w:tcPr>
            <w:tcW w:w="1871" w:type="pct"/>
            <w:tcBorders>
              <w:top w:val="single" w:sz="4" w:space="0" w:color="auto"/>
              <w:left w:val="single" w:sz="4" w:space="0" w:color="auto"/>
              <w:bottom w:val="single" w:sz="12" w:space="0" w:color="auto"/>
              <w:right w:val="nil"/>
            </w:tcBorders>
            <w:shd w:val="clear" w:color="auto" w:fill="FFFFFF"/>
            <w:tcMar>
              <w:top w:w="0" w:type="dxa"/>
              <w:left w:w="10" w:type="dxa"/>
              <w:bottom w:w="0" w:type="dxa"/>
              <w:right w:w="10" w:type="dxa"/>
            </w:tcMar>
            <w:hideMark/>
          </w:tcPr>
          <w:p w14:paraId="113D973D" w14:textId="77777777" w:rsidR="00B81BDE" w:rsidRPr="00CF3DBE" w:rsidRDefault="00B81BDE">
            <w:pPr>
              <w:pStyle w:val="TableText"/>
              <w:spacing w:before="0" w:after="0"/>
              <w:rPr>
                <w:szCs w:val="24"/>
              </w:rPr>
            </w:pPr>
            <w:r w:rsidRPr="00CF3DBE">
              <w:rPr>
                <w:color w:val="000000"/>
                <w:szCs w:val="24"/>
              </w:rPr>
              <w:t>1,069</w:t>
            </w:r>
          </w:p>
        </w:tc>
      </w:tr>
      <w:tr w:rsidR="00B81BDE" w:rsidRPr="00CF3DBE" w14:paraId="7BE31EE1" w14:textId="77777777" w:rsidTr="00A24BD2">
        <w:trPr>
          <w:cantSplit/>
        </w:trPr>
        <w:tc>
          <w:tcPr>
            <w:tcW w:w="5000" w:type="pct"/>
            <w:gridSpan w:val="4"/>
            <w:tcBorders>
              <w:top w:val="single" w:sz="12" w:space="0" w:color="auto"/>
              <w:left w:val="nil"/>
              <w:bottom w:val="nil"/>
              <w:right w:val="nil"/>
            </w:tcBorders>
            <w:shd w:val="clear" w:color="auto" w:fill="FFFFFF"/>
            <w:tcMar>
              <w:top w:w="0" w:type="dxa"/>
              <w:left w:w="10" w:type="dxa"/>
              <w:bottom w:w="0" w:type="dxa"/>
              <w:right w:w="10" w:type="dxa"/>
            </w:tcMar>
            <w:hideMark/>
          </w:tcPr>
          <w:p w14:paraId="5B39845C" w14:textId="77777777" w:rsidR="00B81BDE" w:rsidRPr="00CF3DBE" w:rsidRDefault="00B81BDE" w:rsidP="00B81BDE">
            <w:pPr>
              <w:pStyle w:val="TableFootnoteLetter"/>
              <w:numPr>
                <w:ilvl w:val="0"/>
                <w:numId w:val="8"/>
              </w:numPr>
              <w:rPr>
                <w:sz w:val="24"/>
                <w:szCs w:val="24"/>
              </w:rPr>
            </w:pPr>
            <w:r w:rsidRPr="00CF3DBE">
              <w:rPr>
                <w:sz w:val="24"/>
                <w:szCs w:val="24"/>
              </w:rPr>
              <w:t xml:space="preserve">Gennemsnitligt minimum i den tidligere regimefase beregnes som gennemsnittet af minimumskoncentrationer, mens forsøgspersonerne fik deres tidligere kommercielle </w:t>
            </w:r>
            <w:proofErr w:type="spellStart"/>
            <w:r w:rsidRPr="00CF3DBE">
              <w:rPr>
                <w:sz w:val="24"/>
                <w:szCs w:val="24"/>
              </w:rPr>
              <w:t>IgG</w:t>
            </w:r>
            <w:proofErr w:type="spellEnd"/>
            <w:r w:rsidRPr="00CF3DBE">
              <w:rPr>
                <w:sz w:val="24"/>
                <w:szCs w:val="24"/>
              </w:rPr>
              <w:t>-substitutionsregime.</w:t>
            </w:r>
          </w:p>
          <w:p w14:paraId="4897A008" w14:textId="77777777" w:rsidR="00B81BDE" w:rsidRPr="00CF3DBE" w:rsidRDefault="00B81BDE" w:rsidP="00B81BDE">
            <w:pPr>
              <w:pStyle w:val="TableFootnoteLetter"/>
              <w:numPr>
                <w:ilvl w:val="0"/>
                <w:numId w:val="8"/>
              </w:numPr>
              <w:rPr>
                <w:sz w:val="24"/>
                <w:szCs w:val="24"/>
              </w:rPr>
            </w:pPr>
            <w:r w:rsidRPr="00CF3DBE">
              <w:rPr>
                <w:sz w:val="24"/>
                <w:szCs w:val="24"/>
              </w:rPr>
              <w:t>Gennemsnitligt minimum i den subkutane (</w:t>
            </w:r>
            <w:proofErr w:type="spellStart"/>
            <w:r w:rsidRPr="00CF3DBE">
              <w:rPr>
                <w:sz w:val="24"/>
                <w:szCs w:val="24"/>
              </w:rPr>
              <w:t>s.c</w:t>
            </w:r>
            <w:proofErr w:type="spellEnd"/>
            <w:r w:rsidRPr="00CF3DBE">
              <w:rPr>
                <w:sz w:val="24"/>
                <w:szCs w:val="24"/>
              </w:rPr>
              <w:t xml:space="preserve">.) fase (mens de får </w:t>
            </w:r>
            <w:proofErr w:type="spellStart"/>
            <w:r w:rsidRPr="00CF3DBE">
              <w:rPr>
                <w:sz w:val="24"/>
                <w:szCs w:val="24"/>
              </w:rPr>
              <w:t>Xembify</w:t>
            </w:r>
            <w:proofErr w:type="spellEnd"/>
            <w:r w:rsidRPr="00CF3DBE">
              <w:rPr>
                <w:sz w:val="24"/>
                <w:szCs w:val="24"/>
              </w:rPr>
              <w:t>) beregnes som gennemsnittet af minimumskoncentrationerne ved besøgene s.c.#17, s.c.#18, s.c.#20, s.c.#24, s.c.#28, s.c.#32, s.c.#36, s.c.#40, s.c.#44, s.c.#48, s.c.#52 og s.c.#53.</w:t>
            </w:r>
          </w:p>
        </w:tc>
      </w:tr>
    </w:tbl>
    <w:p w14:paraId="5324A4FC" w14:textId="77777777" w:rsidR="00B81BDE" w:rsidRPr="00CF3DBE" w:rsidRDefault="00B81BDE" w:rsidP="00B81BDE">
      <w:pPr>
        <w:ind w:right="-2"/>
        <w:rPr>
          <w:color w:val="000000"/>
          <w:sz w:val="24"/>
          <w:szCs w:val="24"/>
          <w:lang w:eastAsia="es-ES"/>
        </w:rPr>
      </w:pPr>
    </w:p>
    <w:p w14:paraId="3FDA2C24" w14:textId="77777777" w:rsidR="00B81BDE" w:rsidRPr="00CF3DBE" w:rsidRDefault="00B81BDE" w:rsidP="00A24BD2">
      <w:pPr>
        <w:numPr>
          <w:ilvl w:val="12"/>
          <w:numId w:val="0"/>
        </w:numPr>
        <w:ind w:left="851" w:right="-2"/>
        <w:rPr>
          <w:color w:val="000000"/>
          <w:sz w:val="24"/>
          <w:szCs w:val="24"/>
        </w:rPr>
      </w:pPr>
      <w:proofErr w:type="spellStart"/>
      <w:r w:rsidRPr="00CF3DBE">
        <w:rPr>
          <w:color w:val="000000"/>
          <w:sz w:val="24"/>
          <w:szCs w:val="24"/>
        </w:rPr>
        <w:t>Xembifys</w:t>
      </w:r>
      <w:proofErr w:type="spellEnd"/>
      <w:r w:rsidRPr="00CF3DBE">
        <w:rPr>
          <w:color w:val="000000"/>
          <w:sz w:val="24"/>
          <w:szCs w:val="24"/>
        </w:rPr>
        <w:t xml:space="preserve"> farmakokinetik blev evalueret i fase 3-studiet af virkning og sikkerhed hos 27 voksne patienter med PID. De </w:t>
      </w:r>
      <w:proofErr w:type="spellStart"/>
      <w:r w:rsidRPr="00CF3DBE">
        <w:rPr>
          <w:color w:val="000000"/>
          <w:sz w:val="24"/>
          <w:szCs w:val="24"/>
        </w:rPr>
        <w:t>farmakokinetiske</w:t>
      </w:r>
      <w:proofErr w:type="spellEnd"/>
      <w:r w:rsidRPr="00CF3DBE">
        <w:rPr>
          <w:color w:val="000000"/>
          <w:sz w:val="24"/>
          <w:szCs w:val="24"/>
        </w:rPr>
        <w:t xml:space="preserve"> resultater fremgår af nedenstående tabel.</w:t>
      </w:r>
    </w:p>
    <w:p w14:paraId="2FDC3DB1" w14:textId="77777777" w:rsidR="00B81BDE" w:rsidRPr="00CF3DBE" w:rsidRDefault="00B81BDE" w:rsidP="00A24BD2">
      <w:pPr>
        <w:numPr>
          <w:ilvl w:val="12"/>
          <w:numId w:val="0"/>
        </w:numPr>
        <w:ind w:left="851" w:right="-2"/>
        <w:rPr>
          <w:color w:val="000000"/>
          <w:sz w:val="24"/>
          <w:szCs w:val="24"/>
          <w:lang w:eastAsia="es-ES"/>
        </w:rPr>
      </w:pPr>
    </w:p>
    <w:p w14:paraId="2F377642" w14:textId="77777777" w:rsidR="00B81BDE" w:rsidRPr="00CF3DBE" w:rsidRDefault="00B81BDE" w:rsidP="00A24BD2">
      <w:pPr>
        <w:rPr>
          <w:b/>
          <w:color w:val="000000"/>
          <w:sz w:val="24"/>
          <w:szCs w:val="24"/>
        </w:rPr>
      </w:pPr>
      <w:proofErr w:type="spellStart"/>
      <w:r w:rsidRPr="00CF3DBE">
        <w:rPr>
          <w:b/>
          <w:sz w:val="24"/>
          <w:szCs w:val="24"/>
        </w:rPr>
        <w:t>Farmakokinetiske</w:t>
      </w:r>
      <w:proofErr w:type="spellEnd"/>
      <w:r w:rsidRPr="00CF3DBE">
        <w:rPr>
          <w:b/>
          <w:sz w:val="24"/>
          <w:szCs w:val="24"/>
        </w:rPr>
        <w:t xml:space="preserve"> parametre for totalt </w:t>
      </w:r>
      <w:proofErr w:type="spellStart"/>
      <w:r w:rsidRPr="00CF3DBE">
        <w:rPr>
          <w:b/>
          <w:sz w:val="24"/>
          <w:szCs w:val="24"/>
        </w:rPr>
        <w:t>IgG</w:t>
      </w:r>
      <w:proofErr w:type="spellEnd"/>
      <w:r w:rsidRPr="00CF3DBE">
        <w:rPr>
          <w:b/>
          <w:sz w:val="24"/>
          <w:szCs w:val="24"/>
        </w:rPr>
        <w:t xml:space="preserve"> i serum for </w:t>
      </w:r>
      <w:proofErr w:type="spellStart"/>
      <w:r w:rsidRPr="00CF3DBE">
        <w:rPr>
          <w:b/>
          <w:sz w:val="24"/>
          <w:szCs w:val="24"/>
        </w:rPr>
        <w:t>Xembify</w:t>
      </w:r>
      <w:proofErr w:type="spellEnd"/>
      <w:r w:rsidRPr="00CF3DBE">
        <w:rPr>
          <w:b/>
          <w:sz w:val="24"/>
          <w:szCs w:val="24"/>
        </w:rPr>
        <w:t xml:space="preserve"> (</w:t>
      </w:r>
      <w:proofErr w:type="spellStart"/>
      <w:r w:rsidRPr="00CF3DBE">
        <w:rPr>
          <w:b/>
          <w:sz w:val="24"/>
          <w:szCs w:val="24"/>
        </w:rPr>
        <w:t>farmakokinetisk</w:t>
      </w:r>
      <w:proofErr w:type="spellEnd"/>
      <w:r w:rsidRPr="00CF3DBE">
        <w:rPr>
          <w:b/>
          <w:sz w:val="24"/>
          <w:szCs w:val="24"/>
        </w:rPr>
        <w:t xml:space="preserve"> population)</w:t>
      </w:r>
    </w:p>
    <w:tbl>
      <w:tblPr>
        <w:tblW w:w="5000" w:type="pct"/>
        <w:tblCellMar>
          <w:left w:w="0" w:type="dxa"/>
          <w:right w:w="0" w:type="dxa"/>
        </w:tblCellMar>
        <w:tblLook w:val="04A0" w:firstRow="1" w:lastRow="0" w:firstColumn="1" w:lastColumn="0" w:noHBand="0" w:noVBand="1"/>
      </w:tblPr>
      <w:tblGrid>
        <w:gridCol w:w="3022"/>
        <w:gridCol w:w="2396"/>
        <w:gridCol w:w="2292"/>
        <w:gridCol w:w="1928"/>
      </w:tblGrid>
      <w:tr w:rsidR="00B81BDE" w:rsidRPr="00CF3DBE" w14:paraId="1EF41649" w14:textId="77777777" w:rsidTr="00A24BD2">
        <w:trPr>
          <w:cantSplit/>
          <w:tblHeader/>
        </w:trPr>
        <w:tc>
          <w:tcPr>
            <w:tcW w:w="1568" w:type="pct"/>
            <w:vMerge w:val="restart"/>
            <w:tcBorders>
              <w:top w:val="single" w:sz="12" w:space="0" w:color="auto"/>
              <w:left w:val="nil"/>
              <w:bottom w:val="single" w:sz="12" w:space="0" w:color="auto"/>
              <w:right w:val="single" w:sz="4" w:space="0" w:color="auto"/>
            </w:tcBorders>
            <w:shd w:val="clear" w:color="auto" w:fill="FFFFFF"/>
            <w:tcMar>
              <w:top w:w="0" w:type="dxa"/>
              <w:left w:w="10" w:type="dxa"/>
              <w:bottom w:w="0" w:type="dxa"/>
              <w:right w:w="10" w:type="dxa"/>
            </w:tcMar>
            <w:vAlign w:val="bottom"/>
            <w:hideMark/>
          </w:tcPr>
          <w:p w14:paraId="7DC09C56" w14:textId="77777777" w:rsidR="00B81BDE" w:rsidRPr="00CF3DBE" w:rsidRDefault="00B81BDE">
            <w:pPr>
              <w:keepNext/>
              <w:jc w:val="center"/>
              <w:rPr>
                <w:b/>
                <w:sz w:val="24"/>
                <w:szCs w:val="24"/>
              </w:rPr>
            </w:pPr>
            <w:r w:rsidRPr="00CF3DBE">
              <w:rPr>
                <w:b/>
                <w:sz w:val="24"/>
                <w:szCs w:val="24"/>
              </w:rPr>
              <w:t xml:space="preserve">Statistik </w:t>
            </w:r>
          </w:p>
        </w:tc>
        <w:tc>
          <w:tcPr>
            <w:tcW w:w="3432" w:type="pct"/>
            <w:gridSpan w:val="3"/>
            <w:tcBorders>
              <w:top w:val="single" w:sz="12" w:space="0" w:color="auto"/>
              <w:left w:val="single" w:sz="4" w:space="0" w:color="auto"/>
              <w:bottom w:val="single" w:sz="4" w:space="0" w:color="auto"/>
              <w:right w:val="nil"/>
            </w:tcBorders>
            <w:shd w:val="clear" w:color="auto" w:fill="FFFFFF"/>
            <w:tcMar>
              <w:top w:w="0" w:type="dxa"/>
              <w:left w:w="10" w:type="dxa"/>
              <w:bottom w:w="0" w:type="dxa"/>
              <w:right w:w="10" w:type="dxa"/>
            </w:tcMar>
            <w:vAlign w:val="bottom"/>
            <w:hideMark/>
          </w:tcPr>
          <w:p w14:paraId="613A91B1" w14:textId="77777777" w:rsidR="00B81BDE" w:rsidRPr="00CF3DBE" w:rsidRDefault="00B81BDE">
            <w:pPr>
              <w:keepNext/>
              <w:jc w:val="center"/>
              <w:rPr>
                <w:b/>
                <w:sz w:val="24"/>
                <w:szCs w:val="24"/>
              </w:rPr>
            </w:pPr>
            <w:proofErr w:type="spellStart"/>
            <w:r w:rsidRPr="00CF3DBE">
              <w:rPr>
                <w:b/>
                <w:sz w:val="24"/>
                <w:szCs w:val="24"/>
              </w:rPr>
              <w:t>Farmakokinetiske</w:t>
            </w:r>
            <w:proofErr w:type="spellEnd"/>
            <w:r w:rsidRPr="00CF3DBE">
              <w:rPr>
                <w:b/>
                <w:sz w:val="24"/>
                <w:szCs w:val="24"/>
              </w:rPr>
              <w:t xml:space="preserve"> parametre</w:t>
            </w:r>
          </w:p>
        </w:tc>
      </w:tr>
      <w:tr w:rsidR="00B81BDE" w:rsidRPr="00CF3DBE" w14:paraId="5A66EB66" w14:textId="77777777" w:rsidTr="00A24BD2">
        <w:trPr>
          <w:cantSplit/>
          <w:tblHeader/>
        </w:trPr>
        <w:tc>
          <w:tcPr>
            <w:tcW w:w="1568" w:type="pct"/>
            <w:vMerge/>
            <w:tcBorders>
              <w:top w:val="single" w:sz="12" w:space="0" w:color="auto"/>
              <w:left w:val="nil"/>
              <w:bottom w:val="single" w:sz="12" w:space="0" w:color="auto"/>
              <w:right w:val="single" w:sz="4" w:space="0" w:color="auto"/>
            </w:tcBorders>
            <w:vAlign w:val="center"/>
            <w:hideMark/>
          </w:tcPr>
          <w:p w14:paraId="15079FFA" w14:textId="77777777" w:rsidR="00B81BDE" w:rsidRPr="00CF3DBE" w:rsidRDefault="00B81BDE">
            <w:pPr>
              <w:rPr>
                <w:b/>
                <w:sz w:val="24"/>
                <w:szCs w:val="24"/>
              </w:rPr>
            </w:pPr>
          </w:p>
        </w:tc>
        <w:tc>
          <w:tcPr>
            <w:tcW w:w="1243" w:type="pct"/>
            <w:tcBorders>
              <w:top w:val="single" w:sz="4" w:space="0" w:color="auto"/>
              <w:left w:val="single" w:sz="4" w:space="0" w:color="auto"/>
              <w:bottom w:val="single" w:sz="12" w:space="0" w:color="auto"/>
              <w:right w:val="single" w:sz="4" w:space="0" w:color="auto"/>
            </w:tcBorders>
            <w:shd w:val="clear" w:color="auto" w:fill="FFFFFF"/>
            <w:tcMar>
              <w:top w:w="0" w:type="dxa"/>
              <w:left w:w="10" w:type="dxa"/>
              <w:bottom w:w="0" w:type="dxa"/>
              <w:right w:w="10" w:type="dxa"/>
            </w:tcMar>
            <w:vAlign w:val="bottom"/>
            <w:hideMark/>
          </w:tcPr>
          <w:p w14:paraId="6090E8CC" w14:textId="77777777" w:rsidR="00B81BDE" w:rsidRPr="00CF3DBE" w:rsidRDefault="00B81BDE">
            <w:pPr>
              <w:keepNext/>
              <w:jc w:val="center"/>
              <w:rPr>
                <w:b/>
                <w:sz w:val="24"/>
                <w:szCs w:val="24"/>
              </w:rPr>
            </w:pPr>
            <w:r w:rsidRPr="00CF3DBE">
              <w:rPr>
                <w:b/>
                <w:sz w:val="24"/>
                <w:szCs w:val="24"/>
              </w:rPr>
              <w:t>AUC</w:t>
            </w:r>
            <w:r w:rsidRPr="00CF3DBE">
              <w:rPr>
                <w:b/>
                <w:sz w:val="24"/>
                <w:szCs w:val="24"/>
                <w:vertAlign w:val="subscript"/>
              </w:rPr>
              <w:t>0</w:t>
            </w:r>
            <w:r w:rsidRPr="00CF3DBE">
              <w:rPr>
                <w:b/>
                <w:sz w:val="24"/>
                <w:szCs w:val="24"/>
                <w:vertAlign w:val="subscript"/>
              </w:rPr>
              <w:noBreakHyphen/>
              <w:t>7 dage</w:t>
            </w:r>
          </w:p>
          <w:p w14:paraId="323FD60B" w14:textId="77777777" w:rsidR="00B81BDE" w:rsidRPr="00CF3DBE" w:rsidRDefault="00B81BDE">
            <w:pPr>
              <w:keepNext/>
              <w:jc w:val="center"/>
              <w:rPr>
                <w:b/>
                <w:sz w:val="24"/>
                <w:szCs w:val="24"/>
              </w:rPr>
            </w:pPr>
            <w:r w:rsidRPr="00CF3DBE">
              <w:rPr>
                <w:b/>
                <w:sz w:val="24"/>
                <w:szCs w:val="24"/>
              </w:rPr>
              <w:t>(t*mg/dl)</w:t>
            </w:r>
          </w:p>
        </w:tc>
        <w:tc>
          <w:tcPr>
            <w:tcW w:w="1189" w:type="pct"/>
            <w:tcBorders>
              <w:top w:val="single" w:sz="4" w:space="0" w:color="auto"/>
              <w:left w:val="single" w:sz="4" w:space="0" w:color="auto"/>
              <w:bottom w:val="single" w:sz="12" w:space="0" w:color="auto"/>
              <w:right w:val="single" w:sz="4" w:space="0" w:color="auto"/>
            </w:tcBorders>
            <w:shd w:val="clear" w:color="auto" w:fill="FFFFFF"/>
            <w:tcMar>
              <w:top w:w="0" w:type="dxa"/>
              <w:left w:w="10" w:type="dxa"/>
              <w:bottom w:w="0" w:type="dxa"/>
              <w:right w:w="10" w:type="dxa"/>
            </w:tcMar>
            <w:vAlign w:val="bottom"/>
            <w:hideMark/>
          </w:tcPr>
          <w:p w14:paraId="5603281B" w14:textId="77777777" w:rsidR="00B81BDE" w:rsidRPr="00CF3DBE" w:rsidRDefault="00B81BDE">
            <w:pPr>
              <w:keepNext/>
              <w:jc w:val="center"/>
              <w:rPr>
                <w:b/>
                <w:sz w:val="24"/>
                <w:szCs w:val="24"/>
              </w:rPr>
            </w:pPr>
            <w:proofErr w:type="spellStart"/>
            <w:r w:rsidRPr="00CF3DBE">
              <w:rPr>
                <w:b/>
                <w:sz w:val="24"/>
                <w:szCs w:val="24"/>
              </w:rPr>
              <w:t>C</w:t>
            </w:r>
            <w:r w:rsidRPr="00CF3DBE">
              <w:rPr>
                <w:b/>
                <w:sz w:val="24"/>
                <w:szCs w:val="24"/>
                <w:vertAlign w:val="subscript"/>
              </w:rPr>
              <w:t>max</w:t>
            </w:r>
            <w:proofErr w:type="spellEnd"/>
            <w:r w:rsidRPr="00CF3DBE">
              <w:rPr>
                <w:b/>
                <w:sz w:val="24"/>
                <w:szCs w:val="24"/>
              </w:rPr>
              <w:t xml:space="preserve"> </w:t>
            </w:r>
          </w:p>
          <w:p w14:paraId="522671EB" w14:textId="77777777" w:rsidR="00B81BDE" w:rsidRPr="00CF3DBE" w:rsidRDefault="00B81BDE">
            <w:pPr>
              <w:keepNext/>
              <w:jc w:val="center"/>
              <w:rPr>
                <w:b/>
                <w:sz w:val="24"/>
                <w:szCs w:val="24"/>
              </w:rPr>
            </w:pPr>
            <w:r w:rsidRPr="00CF3DBE">
              <w:rPr>
                <w:b/>
                <w:sz w:val="24"/>
                <w:szCs w:val="24"/>
              </w:rPr>
              <w:t>(mg/dl)</w:t>
            </w:r>
          </w:p>
        </w:tc>
        <w:tc>
          <w:tcPr>
            <w:tcW w:w="1001" w:type="pct"/>
            <w:tcBorders>
              <w:top w:val="single" w:sz="4" w:space="0" w:color="auto"/>
              <w:left w:val="single" w:sz="4" w:space="0" w:color="auto"/>
              <w:bottom w:val="single" w:sz="12" w:space="0" w:color="auto"/>
              <w:right w:val="nil"/>
            </w:tcBorders>
            <w:shd w:val="clear" w:color="auto" w:fill="FFFFFF"/>
            <w:tcMar>
              <w:top w:w="0" w:type="dxa"/>
              <w:left w:w="10" w:type="dxa"/>
              <w:bottom w:w="0" w:type="dxa"/>
              <w:right w:w="10" w:type="dxa"/>
            </w:tcMar>
            <w:vAlign w:val="bottom"/>
            <w:hideMark/>
          </w:tcPr>
          <w:p w14:paraId="27ED239B" w14:textId="77777777" w:rsidR="00B81BDE" w:rsidRPr="00CF3DBE" w:rsidRDefault="00B81BDE">
            <w:pPr>
              <w:keepNext/>
              <w:jc w:val="center"/>
              <w:rPr>
                <w:b/>
                <w:sz w:val="24"/>
                <w:szCs w:val="24"/>
              </w:rPr>
            </w:pPr>
            <w:proofErr w:type="spellStart"/>
            <w:r w:rsidRPr="00CF3DBE">
              <w:rPr>
                <w:b/>
                <w:sz w:val="24"/>
                <w:szCs w:val="24"/>
              </w:rPr>
              <w:t>T</w:t>
            </w:r>
            <w:r w:rsidRPr="00CF3DBE">
              <w:rPr>
                <w:b/>
                <w:sz w:val="24"/>
                <w:szCs w:val="24"/>
                <w:vertAlign w:val="subscript"/>
              </w:rPr>
              <w:t>max</w:t>
            </w:r>
            <w:proofErr w:type="spellEnd"/>
            <w:r w:rsidRPr="00CF3DBE">
              <w:rPr>
                <w:b/>
                <w:sz w:val="24"/>
                <w:szCs w:val="24"/>
              </w:rPr>
              <w:t xml:space="preserve"> </w:t>
            </w:r>
          </w:p>
          <w:p w14:paraId="4F7BC5FA" w14:textId="77777777" w:rsidR="00B81BDE" w:rsidRPr="00CF3DBE" w:rsidRDefault="00B81BDE">
            <w:pPr>
              <w:keepNext/>
              <w:jc w:val="center"/>
              <w:rPr>
                <w:b/>
                <w:sz w:val="24"/>
                <w:szCs w:val="24"/>
              </w:rPr>
            </w:pPr>
            <w:r w:rsidRPr="00CF3DBE">
              <w:rPr>
                <w:b/>
                <w:sz w:val="24"/>
                <w:szCs w:val="24"/>
              </w:rPr>
              <w:t>(t)</w:t>
            </w:r>
          </w:p>
        </w:tc>
      </w:tr>
      <w:tr w:rsidR="00B81BDE" w:rsidRPr="00CF3DBE" w14:paraId="2A24B40B" w14:textId="77777777" w:rsidTr="00A24BD2">
        <w:trPr>
          <w:cantSplit/>
        </w:trPr>
        <w:tc>
          <w:tcPr>
            <w:tcW w:w="1568" w:type="pct"/>
            <w:tcBorders>
              <w:top w:val="single" w:sz="12" w:space="0" w:color="auto"/>
              <w:left w:val="nil"/>
              <w:bottom w:val="single" w:sz="4" w:space="0" w:color="auto"/>
              <w:right w:val="single" w:sz="4" w:space="0" w:color="auto"/>
            </w:tcBorders>
            <w:shd w:val="clear" w:color="auto" w:fill="FFFFFF"/>
            <w:tcMar>
              <w:top w:w="0" w:type="dxa"/>
              <w:left w:w="10" w:type="dxa"/>
              <w:bottom w:w="0" w:type="dxa"/>
              <w:right w:w="10" w:type="dxa"/>
            </w:tcMar>
            <w:hideMark/>
          </w:tcPr>
          <w:p w14:paraId="39619141" w14:textId="77777777" w:rsidR="00B81BDE" w:rsidRPr="00CF3DBE" w:rsidRDefault="00B81BDE">
            <w:pPr>
              <w:ind w:firstLine="166"/>
              <w:rPr>
                <w:sz w:val="24"/>
                <w:szCs w:val="24"/>
              </w:rPr>
            </w:pPr>
            <w:r w:rsidRPr="00CF3DBE">
              <w:rPr>
                <w:sz w:val="24"/>
                <w:szCs w:val="24"/>
              </w:rPr>
              <w:t>n</w:t>
            </w:r>
          </w:p>
        </w:tc>
        <w:tc>
          <w:tcPr>
            <w:tcW w:w="1243" w:type="pct"/>
            <w:tcBorders>
              <w:top w:val="single" w:sz="12"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hideMark/>
          </w:tcPr>
          <w:p w14:paraId="6F0E4559" w14:textId="77777777" w:rsidR="00B81BDE" w:rsidRPr="00CF3DBE" w:rsidRDefault="00B81BDE">
            <w:pPr>
              <w:jc w:val="center"/>
              <w:rPr>
                <w:sz w:val="24"/>
                <w:szCs w:val="24"/>
              </w:rPr>
            </w:pPr>
            <w:r w:rsidRPr="00CF3DBE">
              <w:rPr>
                <w:sz w:val="24"/>
                <w:szCs w:val="24"/>
              </w:rPr>
              <w:t>27</w:t>
            </w:r>
          </w:p>
        </w:tc>
        <w:tc>
          <w:tcPr>
            <w:tcW w:w="1189" w:type="pct"/>
            <w:tcBorders>
              <w:top w:val="single" w:sz="12"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hideMark/>
          </w:tcPr>
          <w:p w14:paraId="11876644" w14:textId="77777777" w:rsidR="00B81BDE" w:rsidRPr="00CF3DBE" w:rsidRDefault="00B81BDE">
            <w:pPr>
              <w:jc w:val="center"/>
              <w:rPr>
                <w:sz w:val="24"/>
                <w:szCs w:val="24"/>
              </w:rPr>
            </w:pPr>
            <w:r w:rsidRPr="00CF3DBE">
              <w:rPr>
                <w:sz w:val="24"/>
                <w:szCs w:val="24"/>
              </w:rPr>
              <w:t>27</w:t>
            </w:r>
          </w:p>
        </w:tc>
        <w:tc>
          <w:tcPr>
            <w:tcW w:w="1001" w:type="pct"/>
            <w:tcBorders>
              <w:top w:val="single" w:sz="12" w:space="0" w:color="auto"/>
              <w:left w:val="single" w:sz="4" w:space="0" w:color="auto"/>
              <w:bottom w:val="single" w:sz="4" w:space="0" w:color="auto"/>
              <w:right w:val="nil"/>
            </w:tcBorders>
            <w:shd w:val="clear" w:color="auto" w:fill="FFFFFF"/>
            <w:tcMar>
              <w:top w:w="0" w:type="dxa"/>
              <w:left w:w="10" w:type="dxa"/>
              <w:bottom w:w="0" w:type="dxa"/>
              <w:right w:w="10" w:type="dxa"/>
            </w:tcMar>
            <w:hideMark/>
          </w:tcPr>
          <w:p w14:paraId="126AE6CB" w14:textId="77777777" w:rsidR="00B81BDE" w:rsidRPr="00CF3DBE" w:rsidRDefault="00B81BDE">
            <w:pPr>
              <w:jc w:val="center"/>
              <w:rPr>
                <w:sz w:val="24"/>
                <w:szCs w:val="24"/>
              </w:rPr>
            </w:pPr>
            <w:r w:rsidRPr="00CF3DBE">
              <w:rPr>
                <w:sz w:val="24"/>
                <w:szCs w:val="24"/>
              </w:rPr>
              <w:t>27</w:t>
            </w:r>
          </w:p>
        </w:tc>
      </w:tr>
      <w:tr w:rsidR="00B81BDE" w:rsidRPr="00CF3DBE" w14:paraId="429DF769" w14:textId="77777777" w:rsidTr="00A24BD2">
        <w:trPr>
          <w:cantSplit/>
        </w:trPr>
        <w:tc>
          <w:tcPr>
            <w:tcW w:w="1568" w:type="pct"/>
            <w:tcBorders>
              <w:top w:val="single" w:sz="4" w:space="0" w:color="auto"/>
              <w:left w:val="nil"/>
              <w:bottom w:val="single" w:sz="4" w:space="0" w:color="auto"/>
              <w:right w:val="single" w:sz="4" w:space="0" w:color="auto"/>
            </w:tcBorders>
            <w:shd w:val="clear" w:color="auto" w:fill="FFFFFF"/>
            <w:tcMar>
              <w:top w:w="0" w:type="dxa"/>
              <w:left w:w="10" w:type="dxa"/>
              <w:bottom w:w="0" w:type="dxa"/>
              <w:right w:w="10" w:type="dxa"/>
            </w:tcMar>
            <w:hideMark/>
          </w:tcPr>
          <w:p w14:paraId="5D1BC99C" w14:textId="77777777" w:rsidR="00B81BDE" w:rsidRPr="00CF3DBE" w:rsidRDefault="00B81BDE">
            <w:pPr>
              <w:ind w:firstLine="166"/>
              <w:rPr>
                <w:sz w:val="24"/>
                <w:szCs w:val="24"/>
              </w:rPr>
            </w:pPr>
            <w:r w:rsidRPr="00CF3DBE">
              <w:rPr>
                <w:sz w:val="24"/>
                <w:szCs w:val="24"/>
              </w:rPr>
              <w:t>Gennemsnit (SD)</w:t>
            </w:r>
          </w:p>
        </w:tc>
        <w:tc>
          <w:tcPr>
            <w:tcW w:w="1243" w:type="pct"/>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hideMark/>
          </w:tcPr>
          <w:p w14:paraId="0E1247AE" w14:textId="77777777" w:rsidR="00B81BDE" w:rsidRPr="00CF3DBE" w:rsidRDefault="00B81BDE">
            <w:pPr>
              <w:jc w:val="center"/>
              <w:rPr>
                <w:sz w:val="24"/>
                <w:szCs w:val="24"/>
              </w:rPr>
            </w:pPr>
            <w:r w:rsidRPr="00CF3DBE">
              <w:rPr>
                <w:sz w:val="24"/>
                <w:szCs w:val="24"/>
              </w:rPr>
              <w:t>177 445,7 (31 081,89)</w:t>
            </w:r>
          </w:p>
        </w:tc>
        <w:tc>
          <w:tcPr>
            <w:tcW w:w="1189" w:type="pct"/>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hideMark/>
          </w:tcPr>
          <w:p w14:paraId="6E54A82A" w14:textId="77777777" w:rsidR="00B81BDE" w:rsidRPr="00CF3DBE" w:rsidRDefault="00B81BDE">
            <w:pPr>
              <w:jc w:val="center"/>
              <w:rPr>
                <w:sz w:val="24"/>
                <w:szCs w:val="24"/>
              </w:rPr>
            </w:pPr>
            <w:r w:rsidRPr="00CF3DBE">
              <w:rPr>
                <w:sz w:val="24"/>
                <w:szCs w:val="24"/>
              </w:rPr>
              <w:t>1 126,6 (190,11)</w:t>
            </w:r>
          </w:p>
        </w:tc>
        <w:tc>
          <w:tcPr>
            <w:tcW w:w="1001" w:type="pct"/>
            <w:tcBorders>
              <w:top w:val="single" w:sz="4" w:space="0" w:color="auto"/>
              <w:left w:val="single" w:sz="4" w:space="0" w:color="auto"/>
              <w:bottom w:val="single" w:sz="4" w:space="0" w:color="auto"/>
              <w:right w:val="nil"/>
            </w:tcBorders>
            <w:shd w:val="clear" w:color="auto" w:fill="FFFFFF"/>
            <w:tcMar>
              <w:top w:w="0" w:type="dxa"/>
              <w:left w:w="10" w:type="dxa"/>
              <w:bottom w:w="0" w:type="dxa"/>
              <w:right w:w="10" w:type="dxa"/>
            </w:tcMar>
            <w:hideMark/>
          </w:tcPr>
          <w:p w14:paraId="40C437D0" w14:textId="77777777" w:rsidR="00B81BDE" w:rsidRPr="00CF3DBE" w:rsidRDefault="00B81BDE">
            <w:pPr>
              <w:jc w:val="center"/>
              <w:rPr>
                <w:sz w:val="24"/>
                <w:szCs w:val="24"/>
              </w:rPr>
            </w:pPr>
            <w:r w:rsidRPr="00CF3DBE">
              <w:rPr>
                <w:sz w:val="24"/>
                <w:szCs w:val="24"/>
              </w:rPr>
              <w:t>50,78 (44,596)</w:t>
            </w:r>
          </w:p>
        </w:tc>
      </w:tr>
      <w:tr w:rsidR="00B81BDE" w:rsidRPr="00CF3DBE" w14:paraId="0F009B97" w14:textId="77777777" w:rsidTr="00A24BD2">
        <w:trPr>
          <w:cantSplit/>
        </w:trPr>
        <w:tc>
          <w:tcPr>
            <w:tcW w:w="1568" w:type="pct"/>
            <w:tcBorders>
              <w:top w:val="single" w:sz="4" w:space="0" w:color="auto"/>
              <w:left w:val="nil"/>
              <w:bottom w:val="single" w:sz="4" w:space="0" w:color="auto"/>
              <w:right w:val="single" w:sz="4" w:space="0" w:color="auto"/>
            </w:tcBorders>
            <w:shd w:val="clear" w:color="auto" w:fill="FFFFFF"/>
            <w:tcMar>
              <w:top w:w="0" w:type="dxa"/>
              <w:left w:w="10" w:type="dxa"/>
              <w:bottom w:w="0" w:type="dxa"/>
              <w:right w:w="10" w:type="dxa"/>
            </w:tcMar>
            <w:hideMark/>
          </w:tcPr>
          <w:p w14:paraId="4129509C" w14:textId="77777777" w:rsidR="00B81BDE" w:rsidRPr="00CF3DBE" w:rsidRDefault="00B81BDE">
            <w:pPr>
              <w:ind w:firstLine="166"/>
              <w:rPr>
                <w:sz w:val="24"/>
                <w:szCs w:val="24"/>
              </w:rPr>
            </w:pPr>
            <w:r w:rsidRPr="00CF3DBE">
              <w:rPr>
                <w:sz w:val="24"/>
                <w:szCs w:val="24"/>
              </w:rPr>
              <w:t>CV%</w:t>
            </w:r>
          </w:p>
        </w:tc>
        <w:tc>
          <w:tcPr>
            <w:tcW w:w="1243" w:type="pct"/>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hideMark/>
          </w:tcPr>
          <w:p w14:paraId="690645DD" w14:textId="77777777" w:rsidR="00B81BDE" w:rsidRPr="00CF3DBE" w:rsidRDefault="00B81BDE">
            <w:pPr>
              <w:jc w:val="center"/>
              <w:rPr>
                <w:sz w:val="24"/>
                <w:szCs w:val="24"/>
              </w:rPr>
            </w:pPr>
            <w:r w:rsidRPr="00CF3DBE">
              <w:rPr>
                <w:sz w:val="24"/>
                <w:szCs w:val="24"/>
              </w:rPr>
              <w:t>18</w:t>
            </w:r>
          </w:p>
        </w:tc>
        <w:tc>
          <w:tcPr>
            <w:tcW w:w="1189" w:type="pct"/>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hideMark/>
          </w:tcPr>
          <w:p w14:paraId="30B31D48" w14:textId="77777777" w:rsidR="00B81BDE" w:rsidRPr="00CF3DBE" w:rsidRDefault="00B81BDE">
            <w:pPr>
              <w:jc w:val="center"/>
              <w:rPr>
                <w:sz w:val="24"/>
                <w:szCs w:val="24"/>
              </w:rPr>
            </w:pPr>
            <w:r w:rsidRPr="00CF3DBE">
              <w:rPr>
                <w:sz w:val="24"/>
                <w:szCs w:val="24"/>
              </w:rPr>
              <w:t>17</w:t>
            </w:r>
          </w:p>
        </w:tc>
        <w:tc>
          <w:tcPr>
            <w:tcW w:w="1001" w:type="pct"/>
            <w:tcBorders>
              <w:top w:val="single" w:sz="4" w:space="0" w:color="auto"/>
              <w:left w:val="single" w:sz="4" w:space="0" w:color="auto"/>
              <w:bottom w:val="single" w:sz="4" w:space="0" w:color="auto"/>
              <w:right w:val="nil"/>
            </w:tcBorders>
            <w:shd w:val="clear" w:color="auto" w:fill="FFFFFF"/>
            <w:tcMar>
              <w:top w:w="0" w:type="dxa"/>
              <w:left w:w="10" w:type="dxa"/>
              <w:bottom w:w="0" w:type="dxa"/>
              <w:right w:w="10" w:type="dxa"/>
            </w:tcMar>
            <w:hideMark/>
          </w:tcPr>
          <w:p w14:paraId="62771F82" w14:textId="77777777" w:rsidR="00B81BDE" w:rsidRPr="00CF3DBE" w:rsidRDefault="00B81BDE">
            <w:pPr>
              <w:jc w:val="center"/>
              <w:rPr>
                <w:sz w:val="24"/>
                <w:szCs w:val="24"/>
              </w:rPr>
            </w:pPr>
            <w:r w:rsidRPr="00CF3DBE">
              <w:rPr>
                <w:sz w:val="24"/>
                <w:szCs w:val="24"/>
              </w:rPr>
              <w:t>87,8</w:t>
            </w:r>
          </w:p>
        </w:tc>
      </w:tr>
      <w:tr w:rsidR="00B81BDE" w:rsidRPr="00CF3DBE" w14:paraId="27E98159" w14:textId="77777777" w:rsidTr="00A24BD2">
        <w:trPr>
          <w:cantSplit/>
        </w:trPr>
        <w:tc>
          <w:tcPr>
            <w:tcW w:w="1568" w:type="pct"/>
            <w:tcBorders>
              <w:top w:val="single" w:sz="4" w:space="0" w:color="auto"/>
              <w:left w:val="nil"/>
              <w:bottom w:val="single" w:sz="4" w:space="0" w:color="auto"/>
              <w:right w:val="single" w:sz="4" w:space="0" w:color="auto"/>
            </w:tcBorders>
            <w:shd w:val="clear" w:color="auto" w:fill="FFFFFF"/>
            <w:tcMar>
              <w:top w:w="0" w:type="dxa"/>
              <w:left w:w="10" w:type="dxa"/>
              <w:bottom w:w="0" w:type="dxa"/>
              <w:right w:w="10" w:type="dxa"/>
            </w:tcMar>
            <w:hideMark/>
          </w:tcPr>
          <w:p w14:paraId="255DAFC5" w14:textId="77777777" w:rsidR="00B81BDE" w:rsidRPr="00CF3DBE" w:rsidRDefault="00B81BDE">
            <w:pPr>
              <w:ind w:firstLine="166"/>
              <w:rPr>
                <w:sz w:val="24"/>
                <w:szCs w:val="24"/>
              </w:rPr>
            </w:pPr>
            <w:r w:rsidRPr="00CF3DBE">
              <w:rPr>
                <w:sz w:val="24"/>
                <w:szCs w:val="24"/>
              </w:rPr>
              <w:t>Median</w:t>
            </w:r>
          </w:p>
        </w:tc>
        <w:tc>
          <w:tcPr>
            <w:tcW w:w="1243" w:type="pct"/>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hideMark/>
          </w:tcPr>
          <w:p w14:paraId="162CF016" w14:textId="77777777" w:rsidR="00B81BDE" w:rsidRPr="00CF3DBE" w:rsidRDefault="00B81BDE">
            <w:pPr>
              <w:jc w:val="center"/>
              <w:rPr>
                <w:sz w:val="24"/>
                <w:szCs w:val="24"/>
              </w:rPr>
            </w:pPr>
            <w:r w:rsidRPr="00CF3DBE">
              <w:rPr>
                <w:sz w:val="24"/>
                <w:szCs w:val="24"/>
              </w:rPr>
              <w:t>172 369,0</w:t>
            </w:r>
          </w:p>
        </w:tc>
        <w:tc>
          <w:tcPr>
            <w:tcW w:w="1189" w:type="pct"/>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hideMark/>
          </w:tcPr>
          <w:p w14:paraId="55033576" w14:textId="77777777" w:rsidR="00B81BDE" w:rsidRPr="00CF3DBE" w:rsidRDefault="00B81BDE">
            <w:pPr>
              <w:jc w:val="center"/>
              <w:rPr>
                <w:sz w:val="24"/>
                <w:szCs w:val="24"/>
              </w:rPr>
            </w:pPr>
            <w:r w:rsidRPr="00CF3DBE">
              <w:rPr>
                <w:sz w:val="24"/>
                <w:szCs w:val="24"/>
              </w:rPr>
              <w:t>1 080,0</w:t>
            </w:r>
          </w:p>
        </w:tc>
        <w:tc>
          <w:tcPr>
            <w:tcW w:w="1001" w:type="pct"/>
            <w:tcBorders>
              <w:top w:val="single" w:sz="4" w:space="0" w:color="auto"/>
              <w:left w:val="single" w:sz="4" w:space="0" w:color="auto"/>
              <w:bottom w:val="single" w:sz="4" w:space="0" w:color="auto"/>
              <w:right w:val="nil"/>
            </w:tcBorders>
            <w:shd w:val="clear" w:color="auto" w:fill="FFFFFF"/>
            <w:tcMar>
              <w:top w:w="0" w:type="dxa"/>
              <w:left w:w="10" w:type="dxa"/>
              <w:bottom w:w="0" w:type="dxa"/>
              <w:right w:w="10" w:type="dxa"/>
            </w:tcMar>
            <w:hideMark/>
          </w:tcPr>
          <w:p w14:paraId="7726D5EB" w14:textId="77777777" w:rsidR="00B81BDE" w:rsidRPr="00CF3DBE" w:rsidRDefault="00B81BDE">
            <w:pPr>
              <w:jc w:val="center"/>
              <w:rPr>
                <w:sz w:val="24"/>
                <w:szCs w:val="24"/>
              </w:rPr>
            </w:pPr>
            <w:r w:rsidRPr="00CF3DBE">
              <w:rPr>
                <w:sz w:val="24"/>
                <w:szCs w:val="24"/>
              </w:rPr>
              <w:t>68,80</w:t>
            </w:r>
          </w:p>
        </w:tc>
      </w:tr>
      <w:tr w:rsidR="00B81BDE" w:rsidRPr="00CF3DBE" w14:paraId="3E5FFB78" w14:textId="77777777" w:rsidTr="00A24BD2">
        <w:trPr>
          <w:cantSplit/>
        </w:trPr>
        <w:tc>
          <w:tcPr>
            <w:tcW w:w="1568" w:type="pct"/>
            <w:tcBorders>
              <w:top w:val="single" w:sz="4" w:space="0" w:color="auto"/>
              <w:left w:val="nil"/>
              <w:bottom w:val="single" w:sz="4" w:space="0" w:color="auto"/>
              <w:right w:val="single" w:sz="4" w:space="0" w:color="auto"/>
            </w:tcBorders>
            <w:shd w:val="clear" w:color="auto" w:fill="FFFFFF"/>
            <w:tcMar>
              <w:top w:w="0" w:type="dxa"/>
              <w:left w:w="10" w:type="dxa"/>
              <w:bottom w:w="0" w:type="dxa"/>
              <w:right w:w="10" w:type="dxa"/>
            </w:tcMar>
            <w:hideMark/>
          </w:tcPr>
          <w:p w14:paraId="4413F93D" w14:textId="77777777" w:rsidR="00B81BDE" w:rsidRPr="00CF3DBE" w:rsidRDefault="00B81BDE">
            <w:pPr>
              <w:ind w:firstLine="166"/>
              <w:rPr>
                <w:sz w:val="24"/>
                <w:szCs w:val="24"/>
              </w:rPr>
            </w:pPr>
            <w:r w:rsidRPr="00CF3DBE">
              <w:rPr>
                <w:sz w:val="24"/>
                <w:szCs w:val="24"/>
              </w:rPr>
              <w:t>Min; Maks</w:t>
            </w:r>
          </w:p>
        </w:tc>
        <w:tc>
          <w:tcPr>
            <w:tcW w:w="1243" w:type="pct"/>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hideMark/>
          </w:tcPr>
          <w:p w14:paraId="4D4D850E" w14:textId="77777777" w:rsidR="00B81BDE" w:rsidRPr="00CF3DBE" w:rsidRDefault="00B81BDE">
            <w:pPr>
              <w:jc w:val="center"/>
              <w:rPr>
                <w:sz w:val="24"/>
                <w:szCs w:val="24"/>
              </w:rPr>
            </w:pPr>
            <w:r w:rsidRPr="00CF3DBE">
              <w:rPr>
                <w:sz w:val="24"/>
                <w:szCs w:val="24"/>
              </w:rPr>
              <w:t>132 728; 250 410</w:t>
            </w:r>
          </w:p>
        </w:tc>
        <w:tc>
          <w:tcPr>
            <w:tcW w:w="1189" w:type="pct"/>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hideMark/>
          </w:tcPr>
          <w:p w14:paraId="31F65981" w14:textId="77777777" w:rsidR="00B81BDE" w:rsidRPr="00CF3DBE" w:rsidRDefault="00B81BDE">
            <w:pPr>
              <w:jc w:val="center"/>
              <w:rPr>
                <w:sz w:val="24"/>
                <w:szCs w:val="24"/>
              </w:rPr>
            </w:pPr>
            <w:r w:rsidRPr="00CF3DBE">
              <w:rPr>
                <w:sz w:val="24"/>
                <w:szCs w:val="24"/>
              </w:rPr>
              <w:t>828; 1 610</w:t>
            </w:r>
          </w:p>
        </w:tc>
        <w:tc>
          <w:tcPr>
            <w:tcW w:w="1001" w:type="pct"/>
            <w:tcBorders>
              <w:top w:val="single" w:sz="4" w:space="0" w:color="auto"/>
              <w:left w:val="single" w:sz="4" w:space="0" w:color="auto"/>
              <w:bottom w:val="single" w:sz="4" w:space="0" w:color="auto"/>
              <w:right w:val="nil"/>
            </w:tcBorders>
            <w:shd w:val="clear" w:color="auto" w:fill="FFFFFF"/>
            <w:tcMar>
              <w:top w:w="0" w:type="dxa"/>
              <w:left w:w="10" w:type="dxa"/>
              <w:bottom w:w="0" w:type="dxa"/>
              <w:right w:w="10" w:type="dxa"/>
            </w:tcMar>
            <w:hideMark/>
          </w:tcPr>
          <w:p w14:paraId="52D48786" w14:textId="77777777" w:rsidR="00B81BDE" w:rsidRPr="00CF3DBE" w:rsidRDefault="00B81BDE">
            <w:pPr>
              <w:jc w:val="center"/>
              <w:rPr>
                <w:sz w:val="24"/>
                <w:szCs w:val="24"/>
              </w:rPr>
            </w:pPr>
            <w:r w:rsidRPr="00CF3DBE">
              <w:rPr>
                <w:sz w:val="24"/>
                <w:szCs w:val="24"/>
              </w:rPr>
              <w:t>0,0; 166,8</w:t>
            </w:r>
          </w:p>
        </w:tc>
      </w:tr>
      <w:tr w:rsidR="00B81BDE" w:rsidRPr="00CF3DBE" w14:paraId="52AEE4FF" w14:textId="77777777" w:rsidTr="00A24BD2">
        <w:trPr>
          <w:cantSplit/>
        </w:trPr>
        <w:tc>
          <w:tcPr>
            <w:tcW w:w="1568" w:type="pct"/>
            <w:tcBorders>
              <w:top w:val="single" w:sz="4" w:space="0" w:color="auto"/>
              <w:left w:val="nil"/>
              <w:bottom w:val="single" w:sz="4" w:space="0" w:color="auto"/>
              <w:right w:val="single" w:sz="4" w:space="0" w:color="auto"/>
            </w:tcBorders>
            <w:shd w:val="clear" w:color="auto" w:fill="FFFFFF"/>
            <w:tcMar>
              <w:top w:w="0" w:type="dxa"/>
              <w:left w:w="10" w:type="dxa"/>
              <w:bottom w:w="0" w:type="dxa"/>
              <w:right w:w="10" w:type="dxa"/>
            </w:tcMar>
            <w:hideMark/>
          </w:tcPr>
          <w:p w14:paraId="033EF1A1" w14:textId="77777777" w:rsidR="00B81BDE" w:rsidRPr="00CF3DBE" w:rsidRDefault="00B81BDE">
            <w:pPr>
              <w:ind w:firstLine="166"/>
              <w:rPr>
                <w:sz w:val="24"/>
                <w:szCs w:val="24"/>
              </w:rPr>
            </w:pPr>
            <w:r w:rsidRPr="00CF3DBE">
              <w:rPr>
                <w:sz w:val="24"/>
                <w:szCs w:val="24"/>
              </w:rPr>
              <w:t>Geometrisk gennemsnit</w:t>
            </w:r>
          </w:p>
        </w:tc>
        <w:tc>
          <w:tcPr>
            <w:tcW w:w="1243" w:type="pct"/>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hideMark/>
          </w:tcPr>
          <w:p w14:paraId="20C86876" w14:textId="77777777" w:rsidR="00B81BDE" w:rsidRPr="00CF3DBE" w:rsidRDefault="00B81BDE">
            <w:pPr>
              <w:jc w:val="center"/>
              <w:rPr>
                <w:sz w:val="24"/>
                <w:szCs w:val="24"/>
              </w:rPr>
            </w:pPr>
            <w:r w:rsidRPr="00CF3DBE">
              <w:rPr>
                <w:sz w:val="24"/>
                <w:szCs w:val="24"/>
              </w:rPr>
              <w:t>175 002,1</w:t>
            </w:r>
          </w:p>
        </w:tc>
        <w:tc>
          <w:tcPr>
            <w:tcW w:w="1189" w:type="pct"/>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hideMark/>
          </w:tcPr>
          <w:p w14:paraId="435C2879" w14:textId="77777777" w:rsidR="00B81BDE" w:rsidRPr="00CF3DBE" w:rsidRDefault="00B81BDE">
            <w:pPr>
              <w:jc w:val="center"/>
              <w:rPr>
                <w:sz w:val="24"/>
                <w:szCs w:val="24"/>
              </w:rPr>
            </w:pPr>
            <w:r w:rsidRPr="00CF3DBE">
              <w:rPr>
                <w:sz w:val="24"/>
                <w:szCs w:val="24"/>
              </w:rPr>
              <w:t>1 112,2</w:t>
            </w:r>
          </w:p>
        </w:tc>
        <w:tc>
          <w:tcPr>
            <w:tcW w:w="1001" w:type="pct"/>
            <w:tcBorders>
              <w:top w:val="single" w:sz="4" w:space="0" w:color="auto"/>
              <w:left w:val="single" w:sz="4" w:space="0" w:color="auto"/>
              <w:bottom w:val="single" w:sz="4" w:space="0" w:color="auto"/>
              <w:right w:val="nil"/>
            </w:tcBorders>
            <w:shd w:val="clear" w:color="auto" w:fill="FFFFFF"/>
            <w:tcMar>
              <w:top w:w="0" w:type="dxa"/>
              <w:left w:w="10" w:type="dxa"/>
              <w:bottom w:w="0" w:type="dxa"/>
              <w:right w:w="10" w:type="dxa"/>
            </w:tcMar>
          </w:tcPr>
          <w:p w14:paraId="41897DE0" w14:textId="77777777" w:rsidR="00B81BDE" w:rsidRPr="00CF3DBE" w:rsidRDefault="00B81BDE">
            <w:pPr>
              <w:jc w:val="center"/>
              <w:rPr>
                <w:sz w:val="24"/>
                <w:szCs w:val="24"/>
              </w:rPr>
            </w:pPr>
          </w:p>
        </w:tc>
      </w:tr>
      <w:tr w:rsidR="00B81BDE" w:rsidRPr="00CF3DBE" w14:paraId="5AEB5AF7" w14:textId="77777777" w:rsidTr="00A24BD2">
        <w:trPr>
          <w:cantSplit/>
        </w:trPr>
        <w:tc>
          <w:tcPr>
            <w:tcW w:w="1568" w:type="pct"/>
            <w:tcBorders>
              <w:top w:val="single" w:sz="4" w:space="0" w:color="auto"/>
              <w:left w:val="nil"/>
              <w:bottom w:val="single" w:sz="12" w:space="0" w:color="auto"/>
              <w:right w:val="single" w:sz="4" w:space="0" w:color="auto"/>
            </w:tcBorders>
            <w:shd w:val="clear" w:color="auto" w:fill="FFFFFF"/>
            <w:tcMar>
              <w:top w:w="0" w:type="dxa"/>
              <w:left w:w="10" w:type="dxa"/>
              <w:bottom w:w="0" w:type="dxa"/>
              <w:right w:w="10" w:type="dxa"/>
            </w:tcMar>
            <w:hideMark/>
          </w:tcPr>
          <w:p w14:paraId="1A93F6B0" w14:textId="77777777" w:rsidR="00B81BDE" w:rsidRPr="00CF3DBE" w:rsidRDefault="00B81BDE">
            <w:pPr>
              <w:ind w:left="129"/>
              <w:rPr>
                <w:sz w:val="24"/>
                <w:szCs w:val="24"/>
              </w:rPr>
            </w:pPr>
            <w:r w:rsidRPr="00CF3DBE">
              <w:rPr>
                <w:sz w:val="24"/>
                <w:szCs w:val="24"/>
              </w:rPr>
              <w:t>90 % CI for geometrisk gennemsnit</w:t>
            </w:r>
          </w:p>
        </w:tc>
        <w:tc>
          <w:tcPr>
            <w:tcW w:w="1243" w:type="pct"/>
            <w:tcBorders>
              <w:top w:val="single" w:sz="4" w:space="0" w:color="auto"/>
              <w:left w:val="single" w:sz="4" w:space="0" w:color="auto"/>
              <w:bottom w:val="single" w:sz="12" w:space="0" w:color="auto"/>
              <w:right w:val="single" w:sz="4" w:space="0" w:color="auto"/>
            </w:tcBorders>
            <w:shd w:val="clear" w:color="auto" w:fill="FFFFFF"/>
            <w:tcMar>
              <w:top w:w="0" w:type="dxa"/>
              <w:left w:w="10" w:type="dxa"/>
              <w:bottom w:w="0" w:type="dxa"/>
              <w:right w:w="10" w:type="dxa"/>
            </w:tcMar>
            <w:hideMark/>
          </w:tcPr>
          <w:p w14:paraId="396B6E91" w14:textId="77777777" w:rsidR="00B81BDE" w:rsidRPr="00CF3DBE" w:rsidRDefault="00B81BDE">
            <w:pPr>
              <w:jc w:val="center"/>
              <w:rPr>
                <w:sz w:val="24"/>
                <w:szCs w:val="24"/>
              </w:rPr>
            </w:pPr>
            <w:r w:rsidRPr="00CF3DBE">
              <w:rPr>
                <w:sz w:val="24"/>
                <w:szCs w:val="24"/>
              </w:rPr>
              <w:t>165 652,5; 184 879,5</w:t>
            </w:r>
          </w:p>
        </w:tc>
        <w:tc>
          <w:tcPr>
            <w:tcW w:w="1189" w:type="pct"/>
            <w:tcBorders>
              <w:top w:val="single" w:sz="4" w:space="0" w:color="auto"/>
              <w:left w:val="single" w:sz="4" w:space="0" w:color="auto"/>
              <w:bottom w:val="single" w:sz="12" w:space="0" w:color="auto"/>
              <w:right w:val="single" w:sz="4" w:space="0" w:color="auto"/>
            </w:tcBorders>
            <w:shd w:val="clear" w:color="auto" w:fill="FFFFFF"/>
            <w:tcMar>
              <w:top w:w="0" w:type="dxa"/>
              <w:left w:w="10" w:type="dxa"/>
              <w:bottom w:w="0" w:type="dxa"/>
              <w:right w:w="10" w:type="dxa"/>
            </w:tcMar>
            <w:hideMark/>
          </w:tcPr>
          <w:p w14:paraId="697D8618" w14:textId="77777777" w:rsidR="00B81BDE" w:rsidRPr="00CF3DBE" w:rsidRDefault="00B81BDE">
            <w:pPr>
              <w:jc w:val="center"/>
              <w:rPr>
                <w:sz w:val="24"/>
                <w:szCs w:val="24"/>
              </w:rPr>
            </w:pPr>
            <w:r w:rsidRPr="00CF3DBE">
              <w:rPr>
                <w:sz w:val="24"/>
                <w:szCs w:val="24"/>
              </w:rPr>
              <w:t>1 055,1; 1 172,4</w:t>
            </w:r>
          </w:p>
        </w:tc>
        <w:tc>
          <w:tcPr>
            <w:tcW w:w="1001" w:type="pct"/>
            <w:tcBorders>
              <w:top w:val="single" w:sz="4" w:space="0" w:color="auto"/>
              <w:left w:val="single" w:sz="4" w:space="0" w:color="auto"/>
              <w:bottom w:val="single" w:sz="12" w:space="0" w:color="auto"/>
              <w:right w:val="nil"/>
            </w:tcBorders>
            <w:shd w:val="clear" w:color="auto" w:fill="FFFFFF"/>
            <w:tcMar>
              <w:top w:w="0" w:type="dxa"/>
              <w:left w:w="10" w:type="dxa"/>
              <w:bottom w:w="0" w:type="dxa"/>
              <w:right w:w="10" w:type="dxa"/>
            </w:tcMar>
          </w:tcPr>
          <w:p w14:paraId="0F8E2342" w14:textId="77777777" w:rsidR="00B81BDE" w:rsidRPr="00CF3DBE" w:rsidRDefault="00B81BDE">
            <w:pPr>
              <w:jc w:val="center"/>
              <w:rPr>
                <w:sz w:val="24"/>
                <w:szCs w:val="24"/>
              </w:rPr>
            </w:pPr>
          </w:p>
        </w:tc>
      </w:tr>
      <w:tr w:rsidR="00B81BDE" w:rsidRPr="00CF3DBE" w14:paraId="2DFBDDB2" w14:textId="77777777" w:rsidTr="00A24BD2">
        <w:trPr>
          <w:cantSplit/>
        </w:trPr>
        <w:tc>
          <w:tcPr>
            <w:tcW w:w="5000" w:type="pct"/>
            <w:gridSpan w:val="4"/>
            <w:tcBorders>
              <w:top w:val="single" w:sz="12" w:space="0" w:color="auto"/>
              <w:left w:val="nil"/>
              <w:bottom w:val="nil"/>
              <w:right w:val="nil"/>
            </w:tcBorders>
            <w:shd w:val="clear" w:color="auto" w:fill="FFFFFF"/>
            <w:tcMar>
              <w:top w:w="0" w:type="dxa"/>
              <w:left w:w="10" w:type="dxa"/>
              <w:bottom w:w="0" w:type="dxa"/>
              <w:right w:w="10" w:type="dxa"/>
            </w:tcMar>
            <w:hideMark/>
          </w:tcPr>
          <w:p w14:paraId="120D9438" w14:textId="77777777" w:rsidR="00B81BDE" w:rsidRPr="00CF3DBE" w:rsidRDefault="00B81BDE">
            <w:pPr>
              <w:spacing w:after="60"/>
              <w:rPr>
                <w:sz w:val="24"/>
                <w:szCs w:val="24"/>
              </w:rPr>
            </w:pPr>
            <w:r w:rsidRPr="00CF3DBE">
              <w:rPr>
                <w:sz w:val="24"/>
                <w:szCs w:val="24"/>
              </w:rPr>
              <w:t>CI = konfidensinterval, CV = variationskoefficient, SD = standardafvigelse</w:t>
            </w:r>
          </w:p>
        </w:tc>
      </w:tr>
    </w:tbl>
    <w:p w14:paraId="3274B5BB" w14:textId="77777777" w:rsidR="00B81BDE" w:rsidRPr="00CF3DBE" w:rsidRDefault="00B81BDE" w:rsidP="00B81BDE">
      <w:pPr>
        <w:pStyle w:val="Brdtekstindrykning2"/>
        <w:spacing w:after="0" w:line="240" w:lineRule="auto"/>
        <w:ind w:left="0"/>
        <w:rPr>
          <w:color w:val="000000"/>
          <w:sz w:val="24"/>
          <w:szCs w:val="24"/>
          <w:lang w:eastAsia="es-ES"/>
        </w:rPr>
      </w:pPr>
    </w:p>
    <w:p w14:paraId="426C8606" w14:textId="77777777" w:rsidR="00B81BDE" w:rsidRPr="00CF3DBE" w:rsidRDefault="00B81BDE" w:rsidP="002411E5">
      <w:pPr>
        <w:ind w:left="851"/>
        <w:rPr>
          <w:bCs/>
          <w:i/>
          <w:sz w:val="24"/>
          <w:szCs w:val="24"/>
        </w:rPr>
      </w:pPr>
      <w:r w:rsidRPr="00CF3DBE">
        <w:rPr>
          <w:i/>
          <w:sz w:val="24"/>
          <w:szCs w:val="24"/>
        </w:rPr>
        <w:t>En gang ugentligt, hver anden uge eller hyppigere dosering (2</w:t>
      </w:r>
      <w:r w:rsidRPr="00CF3DBE">
        <w:rPr>
          <w:i/>
          <w:sz w:val="24"/>
          <w:szCs w:val="24"/>
        </w:rPr>
        <w:noBreakHyphen/>
        <w:t>7 gange ugentligt)</w:t>
      </w:r>
    </w:p>
    <w:p w14:paraId="585E6BC5" w14:textId="77777777" w:rsidR="00B81BDE" w:rsidRPr="00CF3DBE" w:rsidRDefault="00B81BDE" w:rsidP="002411E5">
      <w:pPr>
        <w:ind w:left="851"/>
        <w:rPr>
          <w:bCs/>
          <w:iCs/>
          <w:sz w:val="24"/>
          <w:szCs w:val="24"/>
        </w:rPr>
      </w:pPr>
    </w:p>
    <w:p w14:paraId="39594B5E" w14:textId="77777777" w:rsidR="00B81BDE" w:rsidRPr="00CF3DBE" w:rsidRDefault="00B81BDE" w:rsidP="002411E5">
      <w:pPr>
        <w:ind w:left="851"/>
        <w:rPr>
          <w:bCs/>
          <w:iCs/>
          <w:sz w:val="24"/>
          <w:szCs w:val="24"/>
        </w:rPr>
      </w:pPr>
      <w:proofErr w:type="spellStart"/>
      <w:r w:rsidRPr="00CF3DBE">
        <w:rPr>
          <w:sz w:val="24"/>
          <w:szCs w:val="24"/>
        </w:rPr>
        <w:t>Farmakokinetisk</w:t>
      </w:r>
      <w:proofErr w:type="spellEnd"/>
      <w:r w:rsidRPr="00CF3DBE">
        <w:rPr>
          <w:sz w:val="24"/>
          <w:szCs w:val="24"/>
        </w:rPr>
        <w:t xml:space="preserve"> karakterisering af dosering hver anden uge eller hyppigere af </w:t>
      </w:r>
      <w:proofErr w:type="spellStart"/>
      <w:r w:rsidRPr="00CF3DBE">
        <w:rPr>
          <w:sz w:val="24"/>
          <w:szCs w:val="24"/>
        </w:rPr>
        <w:t>Xembify</w:t>
      </w:r>
      <w:proofErr w:type="spellEnd"/>
      <w:r w:rsidRPr="00CF3DBE">
        <w:rPr>
          <w:sz w:val="24"/>
          <w:szCs w:val="24"/>
        </w:rPr>
        <w:t xml:space="preserve"> blev udført ved hjælp af </w:t>
      </w:r>
      <w:proofErr w:type="spellStart"/>
      <w:r w:rsidRPr="00CF3DBE">
        <w:rPr>
          <w:sz w:val="24"/>
          <w:szCs w:val="24"/>
        </w:rPr>
        <w:t>populationsfarmakokinetisk</w:t>
      </w:r>
      <w:proofErr w:type="spellEnd"/>
      <w:r w:rsidRPr="00CF3DBE">
        <w:rPr>
          <w:sz w:val="24"/>
          <w:szCs w:val="24"/>
        </w:rPr>
        <w:t xml:space="preserve"> baseret modellering og simulering. Serum-</w:t>
      </w:r>
      <w:proofErr w:type="spellStart"/>
      <w:r w:rsidRPr="00CF3DBE">
        <w:rPr>
          <w:sz w:val="24"/>
          <w:szCs w:val="24"/>
        </w:rPr>
        <w:t>IgG</w:t>
      </w:r>
      <w:proofErr w:type="spellEnd"/>
      <w:r w:rsidRPr="00CF3DBE">
        <w:rPr>
          <w:sz w:val="24"/>
          <w:szCs w:val="24"/>
        </w:rPr>
        <w:t xml:space="preserve">-koncentrationsdata bestod af 1 841 prøver fra 95 unikke pædiatriske og voksne forsøgspersoner med PID. Sammenlignet med ugentlig administration forudsagde den </w:t>
      </w:r>
      <w:proofErr w:type="spellStart"/>
      <w:r w:rsidRPr="00CF3DBE">
        <w:rPr>
          <w:sz w:val="24"/>
          <w:szCs w:val="24"/>
        </w:rPr>
        <w:lastRenderedPageBreak/>
        <w:t>farmakokinetiske</w:t>
      </w:r>
      <w:proofErr w:type="spellEnd"/>
      <w:r w:rsidRPr="00CF3DBE">
        <w:rPr>
          <w:sz w:val="24"/>
          <w:szCs w:val="24"/>
        </w:rPr>
        <w:t xml:space="preserve"> modellering og simulering, at administration af </w:t>
      </w:r>
      <w:proofErr w:type="spellStart"/>
      <w:r w:rsidRPr="00CF3DBE">
        <w:rPr>
          <w:sz w:val="24"/>
          <w:szCs w:val="24"/>
        </w:rPr>
        <w:t>Xembify</w:t>
      </w:r>
      <w:proofErr w:type="spellEnd"/>
      <w:r w:rsidRPr="00CF3DBE">
        <w:rPr>
          <w:sz w:val="24"/>
          <w:szCs w:val="24"/>
        </w:rPr>
        <w:t xml:space="preserve"> hver anden uge med en dosis, der er dobbelt så høj som den ugentlige dosis, fører til overlappende </w:t>
      </w:r>
      <w:proofErr w:type="spellStart"/>
      <w:r w:rsidRPr="00CF3DBE">
        <w:rPr>
          <w:sz w:val="24"/>
          <w:szCs w:val="24"/>
        </w:rPr>
        <w:t>IgG</w:t>
      </w:r>
      <w:proofErr w:type="spellEnd"/>
      <w:r w:rsidRPr="00CF3DBE">
        <w:rPr>
          <w:sz w:val="24"/>
          <w:szCs w:val="24"/>
        </w:rPr>
        <w:t xml:space="preserve">-eksponering over et helt 2-ugers interval. Derudover forudsagde den </w:t>
      </w:r>
      <w:proofErr w:type="spellStart"/>
      <w:r w:rsidRPr="00CF3DBE">
        <w:rPr>
          <w:sz w:val="24"/>
          <w:szCs w:val="24"/>
        </w:rPr>
        <w:t>farmakokinetiske</w:t>
      </w:r>
      <w:proofErr w:type="spellEnd"/>
      <w:r w:rsidRPr="00CF3DBE">
        <w:rPr>
          <w:sz w:val="24"/>
          <w:szCs w:val="24"/>
        </w:rPr>
        <w:t xml:space="preserve"> modellering og simulering, at </w:t>
      </w:r>
      <w:proofErr w:type="spellStart"/>
      <w:r w:rsidRPr="00CF3DBE">
        <w:rPr>
          <w:sz w:val="24"/>
          <w:szCs w:val="24"/>
        </w:rPr>
        <w:t>Xembify</w:t>
      </w:r>
      <w:proofErr w:type="spellEnd"/>
      <w:r w:rsidRPr="00CF3DBE">
        <w:rPr>
          <w:sz w:val="24"/>
          <w:szCs w:val="24"/>
        </w:rPr>
        <w:t>-infusioner givet 2</w:t>
      </w:r>
      <w:r w:rsidRPr="00CF3DBE">
        <w:rPr>
          <w:sz w:val="24"/>
          <w:szCs w:val="24"/>
        </w:rPr>
        <w:noBreakHyphen/>
        <w:t xml:space="preserve">7 gange ugentligt (hyppig dosering) med den samme totale ugentlige dosis også fører til overlappende </w:t>
      </w:r>
      <w:proofErr w:type="spellStart"/>
      <w:r w:rsidRPr="00CF3DBE">
        <w:rPr>
          <w:sz w:val="24"/>
          <w:szCs w:val="24"/>
        </w:rPr>
        <w:t>IgG</w:t>
      </w:r>
      <w:proofErr w:type="spellEnd"/>
      <w:r w:rsidRPr="00CF3DBE">
        <w:rPr>
          <w:sz w:val="24"/>
          <w:szCs w:val="24"/>
        </w:rPr>
        <w:t>-eksponering over hele behandlingsintervallet.</w:t>
      </w:r>
    </w:p>
    <w:p w14:paraId="31AD3715" w14:textId="77777777" w:rsidR="00B81BDE" w:rsidRPr="00CF3DBE" w:rsidRDefault="00B81BDE" w:rsidP="002411E5">
      <w:pPr>
        <w:ind w:left="851"/>
        <w:rPr>
          <w:color w:val="000000"/>
          <w:sz w:val="24"/>
          <w:szCs w:val="24"/>
          <w:u w:val="single"/>
          <w:lang w:eastAsia="es-ES"/>
        </w:rPr>
      </w:pPr>
    </w:p>
    <w:p w14:paraId="5D26E39D" w14:textId="77777777" w:rsidR="00B81BDE" w:rsidRPr="00CF3DBE" w:rsidRDefault="00B81BDE" w:rsidP="002411E5">
      <w:pPr>
        <w:ind w:left="851"/>
        <w:rPr>
          <w:color w:val="000000"/>
          <w:sz w:val="24"/>
          <w:szCs w:val="24"/>
          <w:u w:val="single"/>
        </w:rPr>
      </w:pPr>
      <w:r w:rsidRPr="00CF3DBE">
        <w:rPr>
          <w:color w:val="000000"/>
          <w:sz w:val="24"/>
          <w:szCs w:val="24"/>
          <w:u w:val="single"/>
        </w:rPr>
        <w:t>Elimination</w:t>
      </w:r>
    </w:p>
    <w:p w14:paraId="37F6E6B6" w14:textId="77777777" w:rsidR="00B81BDE" w:rsidRPr="00CF3DBE" w:rsidRDefault="00B81BDE" w:rsidP="002411E5">
      <w:pPr>
        <w:ind w:left="851"/>
        <w:rPr>
          <w:color w:val="000000"/>
          <w:sz w:val="24"/>
          <w:szCs w:val="24"/>
          <w:lang w:eastAsia="es-ES"/>
        </w:rPr>
      </w:pPr>
    </w:p>
    <w:p w14:paraId="15FDA471" w14:textId="77777777" w:rsidR="00B81BDE" w:rsidRPr="00CF3DBE" w:rsidRDefault="00B81BDE" w:rsidP="002411E5">
      <w:pPr>
        <w:ind w:left="851"/>
        <w:rPr>
          <w:color w:val="000000"/>
          <w:sz w:val="24"/>
          <w:szCs w:val="24"/>
        </w:rPr>
      </w:pPr>
      <w:proofErr w:type="spellStart"/>
      <w:r w:rsidRPr="00CF3DBE">
        <w:rPr>
          <w:color w:val="000000"/>
          <w:sz w:val="24"/>
          <w:szCs w:val="24"/>
        </w:rPr>
        <w:t>IgG</w:t>
      </w:r>
      <w:proofErr w:type="spellEnd"/>
      <w:r w:rsidRPr="00CF3DBE">
        <w:rPr>
          <w:color w:val="000000"/>
          <w:sz w:val="24"/>
          <w:szCs w:val="24"/>
        </w:rPr>
        <w:t xml:space="preserve"> og </w:t>
      </w:r>
      <w:proofErr w:type="spellStart"/>
      <w:r w:rsidRPr="00CF3DBE">
        <w:rPr>
          <w:color w:val="000000"/>
          <w:sz w:val="24"/>
          <w:szCs w:val="24"/>
        </w:rPr>
        <w:t>IgG</w:t>
      </w:r>
      <w:proofErr w:type="spellEnd"/>
      <w:r w:rsidRPr="00CF3DBE">
        <w:rPr>
          <w:color w:val="000000"/>
          <w:sz w:val="24"/>
          <w:szCs w:val="24"/>
        </w:rPr>
        <w:t xml:space="preserve">-komplekser nedbrydes i cellerne i det </w:t>
      </w:r>
      <w:proofErr w:type="spellStart"/>
      <w:r w:rsidRPr="00CF3DBE">
        <w:rPr>
          <w:color w:val="000000"/>
          <w:sz w:val="24"/>
          <w:szCs w:val="24"/>
        </w:rPr>
        <w:t>retikuloendoteliale</w:t>
      </w:r>
      <w:proofErr w:type="spellEnd"/>
      <w:r w:rsidRPr="00CF3DBE">
        <w:rPr>
          <w:color w:val="000000"/>
          <w:sz w:val="24"/>
          <w:szCs w:val="24"/>
        </w:rPr>
        <w:t xml:space="preserve"> system.</w:t>
      </w:r>
    </w:p>
    <w:p w14:paraId="3E9A521A" w14:textId="77777777" w:rsidR="00B81BDE" w:rsidRPr="00CF3DBE" w:rsidRDefault="00B81BDE" w:rsidP="002411E5">
      <w:pPr>
        <w:ind w:left="851"/>
        <w:rPr>
          <w:bCs/>
          <w:iCs/>
          <w:sz w:val="24"/>
          <w:szCs w:val="24"/>
          <w:u w:val="single"/>
        </w:rPr>
      </w:pPr>
    </w:p>
    <w:p w14:paraId="414C7B20" w14:textId="77777777" w:rsidR="00B81BDE" w:rsidRPr="00CF3DBE" w:rsidRDefault="00B81BDE" w:rsidP="002411E5">
      <w:pPr>
        <w:ind w:left="851"/>
        <w:rPr>
          <w:color w:val="000000"/>
          <w:sz w:val="24"/>
          <w:szCs w:val="24"/>
          <w:u w:val="single"/>
        </w:rPr>
      </w:pPr>
      <w:r w:rsidRPr="00CF3DBE">
        <w:rPr>
          <w:sz w:val="24"/>
          <w:szCs w:val="24"/>
          <w:u w:val="single"/>
        </w:rPr>
        <w:t>Pædiatrisk population</w:t>
      </w:r>
    </w:p>
    <w:p w14:paraId="2E1C3FA3" w14:textId="77777777" w:rsidR="00B81BDE" w:rsidRPr="00CF3DBE" w:rsidRDefault="00B81BDE" w:rsidP="002411E5">
      <w:pPr>
        <w:ind w:left="851"/>
        <w:rPr>
          <w:color w:val="000000"/>
          <w:sz w:val="24"/>
          <w:szCs w:val="24"/>
          <w:lang w:eastAsia="es-ES"/>
        </w:rPr>
      </w:pPr>
    </w:p>
    <w:p w14:paraId="0CC20EDC" w14:textId="77777777" w:rsidR="00B81BDE" w:rsidRPr="00CF3DBE" w:rsidRDefault="00B81BDE" w:rsidP="002411E5">
      <w:pPr>
        <w:ind w:left="851"/>
        <w:rPr>
          <w:sz w:val="24"/>
          <w:szCs w:val="24"/>
        </w:rPr>
      </w:pPr>
      <w:r w:rsidRPr="00CF3DBE">
        <w:rPr>
          <w:sz w:val="24"/>
          <w:szCs w:val="24"/>
        </w:rPr>
        <w:t xml:space="preserve">Der er ingen teoretiske eller observerede forskelle i virkningen af </w:t>
      </w:r>
      <w:proofErr w:type="spellStart"/>
      <w:r w:rsidRPr="00CF3DBE">
        <w:rPr>
          <w:sz w:val="24"/>
          <w:szCs w:val="24"/>
        </w:rPr>
        <w:t>immunglobuliner</w:t>
      </w:r>
      <w:proofErr w:type="spellEnd"/>
      <w:r w:rsidRPr="00CF3DBE">
        <w:rPr>
          <w:sz w:val="24"/>
          <w:szCs w:val="24"/>
        </w:rPr>
        <w:t xml:space="preserve"> hos børn sammenlignet med voksne.</w:t>
      </w:r>
    </w:p>
    <w:p w14:paraId="254E25F2" w14:textId="77777777" w:rsidR="009260DE" w:rsidRPr="00CF3DBE" w:rsidRDefault="009260DE" w:rsidP="009260DE">
      <w:pPr>
        <w:tabs>
          <w:tab w:val="left" w:pos="851"/>
        </w:tabs>
        <w:ind w:left="851"/>
        <w:rPr>
          <w:sz w:val="24"/>
          <w:szCs w:val="24"/>
        </w:rPr>
      </w:pPr>
    </w:p>
    <w:p w14:paraId="42128CA8" w14:textId="77777777" w:rsidR="009260DE" w:rsidRPr="00CF3DBE" w:rsidRDefault="009260DE" w:rsidP="009260DE">
      <w:pPr>
        <w:tabs>
          <w:tab w:val="left" w:pos="851"/>
        </w:tabs>
        <w:ind w:left="851" w:hanging="851"/>
        <w:rPr>
          <w:b/>
          <w:sz w:val="24"/>
          <w:szCs w:val="24"/>
        </w:rPr>
      </w:pPr>
      <w:r w:rsidRPr="00CF3DBE">
        <w:rPr>
          <w:b/>
          <w:sz w:val="24"/>
          <w:szCs w:val="24"/>
        </w:rPr>
        <w:t>5.3</w:t>
      </w:r>
      <w:r w:rsidRPr="00CF3DBE">
        <w:rPr>
          <w:b/>
          <w:sz w:val="24"/>
          <w:szCs w:val="24"/>
        </w:rPr>
        <w:tab/>
      </w:r>
      <w:r w:rsidR="00BD7931" w:rsidRPr="00CF3DBE">
        <w:rPr>
          <w:b/>
          <w:sz w:val="24"/>
          <w:szCs w:val="24"/>
        </w:rPr>
        <w:t>Non-</w:t>
      </w:r>
      <w:r w:rsidRPr="00CF3DBE">
        <w:rPr>
          <w:b/>
          <w:sz w:val="24"/>
          <w:szCs w:val="24"/>
        </w:rPr>
        <w:t>kliniske sikkerhedsdata</w:t>
      </w:r>
    </w:p>
    <w:p w14:paraId="1F5B5737" w14:textId="77777777" w:rsidR="00B81BDE" w:rsidRPr="00CF3DBE" w:rsidRDefault="00B81BDE" w:rsidP="002411E5">
      <w:pPr>
        <w:ind w:left="851"/>
        <w:rPr>
          <w:sz w:val="24"/>
          <w:szCs w:val="24"/>
        </w:rPr>
      </w:pPr>
      <w:proofErr w:type="spellStart"/>
      <w:r w:rsidRPr="00CF3DBE">
        <w:rPr>
          <w:sz w:val="24"/>
          <w:szCs w:val="24"/>
        </w:rPr>
        <w:t>Immunglobuliner</w:t>
      </w:r>
      <w:proofErr w:type="spellEnd"/>
      <w:r w:rsidRPr="00CF3DBE">
        <w:rPr>
          <w:sz w:val="24"/>
          <w:szCs w:val="24"/>
        </w:rPr>
        <w:t xml:space="preserve"> er en normal bestanddel af menneskekroppen. Non-kliniske data viser ingen speciel risiko for mennesker vurderet ud fra toksikologitestning.</w:t>
      </w:r>
    </w:p>
    <w:p w14:paraId="21168A79" w14:textId="77777777" w:rsidR="009260DE" w:rsidRPr="00CF3DBE" w:rsidRDefault="009260DE" w:rsidP="009260DE">
      <w:pPr>
        <w:tabs>
          <w:tab w:val="left" w:pos="851"/>
        </w:tabs>
        <w:ind w:left="851"/>
        <w:rPr>
          <w:sz w:val="24"/>
          <w:szCs w:val="24"/>
        </w:rPr>
      </w:pPr>
    </w:p>
    <w:p w14:paraId="78CB07B0" w14:textId="77777777" w:rsidR="009260DE" w:rsidRPr="00CF3DBE" w:rsidRDefault="009260DE" w:rsidP="009260DE">
      <w:pPr>
        <w:tabs>
          <w:tab w:val="left" w:pos="851"/>
        </w:tabs>
        <w:ind w:left="851"/>
        <w:rPr>
          <w:sz w:val="24"/>
          <w:szCs w:val="24"/>
        </w:rPr>
      </w:pPr>
    </w:p>
    <w:p w14:paraId="1FF2F2EF" w14:textId="77777777" w:rsidR="009260DE" w:rsidRPr="00CF3DBE" w:rsidRDefault="009260DE" w:rsidP="009260DE">
      <w:pPr>
        <w:tabs>
          <w:tab w:val="left" w:pos="851"/>
        </w:tabs>
        <w:ind w:left="851" w:hanging="851"/>
        <w:rPr>
          <w:b/>
          <w:sz w:val="24"/>
          <w:szCs w:val="24"/>
        </w:rPr>
      </w:pPr>
      <w:r w:rsidRPr="00CF3DBE">
        <w:rPr>
          <w:b/>
          <w:sz w:val="24"/>
          <w:szCs w:val="24"/>
        </w:rPr>
        <w:t>6.</w:t>
      </w:r>
      <w:r w:rsidRPr="00CF3DBE">
        <w:rPr>
          <w:b/>
          <w:sz w:val="24"/>
          <w:szCs w:val="24"/>
        </w:rPr>
        <w:tab/>
        <w:t>FARMACEUTISKE OPLYSNINGER</w:t>
      </w:r>
    </w:p>
    <w:p w14:paraId="465E8860" w14:textId="77777777" w:rsidR="009260DE" w:rsidRPr="00CF3DBE" w:rsidRDefault="009260DE" w:rsidP="009260DE">
      <w:pPr>
        <w:tabs>
          <w:tab w:val="left" w:pos="851"/>
        </w:tabs>
        <w:ind w:left="851"/>
        <w:rPr>
          <w:sz w:val="24"/>
          <w:szCs w:val="24"/>
        </w:rPr>
      </w:pPr>
    </w:p>
    <w:p w14:paraId="33A2A4A4" w14:textId="77777777" w:rsidR="009260DE" w:rsidRPr="00CF3DBE" w:rsidRDefault="009260DE" w:rsidP="009260DE">
      <w:pPr>
        <w:tabs>
          <w:tab w:val="left" w:pos="851"/>
        </w:tabs>
        <w:ind w:left="851" w:hanging="851"/>
        <w:rPr>
          <w:b/>
          <w:sz w:val="24"/>
          <w:szCs w:val="24"/>
        </w:rPr>
      </w:pPr>
      <w:r w:rsidRPr="00CF3DBE">
        <w:rPr>
          <w:b/>
          <w:sz w:val="24"/>
          <w:szCs w:val="24"/>
        </w:rPr>
        <w:t>6.1</w:t>
      </w:r>
      <w:r w:rsidRPr="00CF3DBE">
        <w:rPr>
          <w:b/>
          <w:sz w:val="24"/>
          <w:szCs w:val="24"/>
        </w:rPr>
        <w:tab/>
        <w:t>Hjælpestoffer</w:t>
      </w:r>
    </w:p>
    <w:p w14:paraId="568034C5" w14:textId="77777777" w:rsidR="00B81BDE" w:rsidRPr="00CF3DBE" w:rsidRDefault="00B81BDE" w:rsidP="002411E5">
      <w:pPr>
        <w:ind w:left="851"/>
        <w:rPr>
          <w:sz w:val="24"/>
          <w:szCs w:val="24"/>
        </w:rPr>
      </w:pPr>
      <w:proofErr w:type="spellStart"/>
      <w:r w:rsidRPr="00CF3DBE">
        <w:rPr>
          <w:sz w:val="24"/>
          <w:szCs w:val="24"/>
        </w:rPr>
        <w:t>Glycin</w:t>
      </w:r>
      <w:proofErr w:type="spellEnd"/>
      <w:r w:rsidRPr="00CF3DBE">
        <w:rPr>
          <w:sz w:val="24"/>
          <w:szCs w:val="24"/>
        </w:rPr>
        <w:t xml:space="preserve"> (E 640)</w:t>
      </w:r>
    </w:p>
    <w:p w14:paraId="0F7553E5" w14:textId="77777777" w:rsidR="00B81BDE" w:rsidRPr="00CF3DBE" w:rsidRDefault="00B81BDE" w:rsidP="002411E5">
      <w:pPr>
        <w:ind w:left="851"/>
        <w:rPr>
          <w:sz w:val="24"/>
          <w:szCs w:val="24"/>
        </w:rPr>
      </w:pPr>
      <w:proofErr w:type="spellStart"/>
      <w:r w:rsidRPr="00CF3DBE">
        <w:rPr>
          <w:sz w:val="24"/>
          <w:szCs w:val="24"/>
        </w:rPr>
        <w:t>Polysorbat</w:t>
      </w:r>
      <w:proofErr w:type="spellEnd"/>
      <w:r w:rsidRPr="00CF3DBE">
        <w:rPr>
          <w:sz w:val="24"/>
          <w:szCs w:val="24"/>
        </w:rPr>
        <w:t> 80 (E 433)</w:t>
      </w:r>
    </w:p>
    <w:p w14:paraId="23202201" w14:textId="77777777" w:rsidR="00B81BDE" w:rsidRPr="00CF3DBE" w:rsidRDefault="00B81BDE" w:rsidP="002411E5">
      <w:pPr>
        <w:ind w:left="851"/>
        <w:rPr>
          <w:sz w:val="24"/>
          <w:szCs w:val="24"/>
        </w:rPr>
      </w:pPr>
      <w:r w:rsidRPr="00CF3DBE">
        <w:rPr>
          <w:sz w:val="24"/>
          <w:szCs w:val="24"/>
        </w:rPr>
        <w:t xml:space="preserve">Vand til injektionsvæsker </w:t>
      </w:r>
    </w:p>
    <w:p w14:paraId="7D6591AA" w14:textId="77777777" w:rsidR="009260DE" w:rsidRPr="00CF3DBE" w:rsidRDefault="009260DE" w:rsidP="009260DE">
      <w:pPr>
        <w:tabs>
          <w:tab w:val="left" w:pos="851"/>
        </w:tabs>
        <w:ind w:left="851"/>
        <w:rPr>
          <w:sz w:val="24"/>
          <w:szCs w:val="24"/>
        </w:rPr>
      </w:pPr>
    </w:p>
    <w:p w14:paraId="3C921AF9" w14:textId="77777777" w:rsidR="009260DE" w:rsidRPr="00CF3DBE" w:rsidRDefault="009260DE" w:rsidP="009260DE">
      <w:pPr>
        <w:tabs>
          <w:tab w:val="left" w:pos="851"/>
        </w:tabs>
        <w:ind w:left="851" w:hanging="851"/>
        <w:rPr>
          <w:b/>
          <w:sz w:val="24"/>
          <w:szCs w:val="24"/>
        </w:rPr>
      </w:pPr>
      <w:r w:rsidRPr="00CF3DBE">
        <w:rPr>
          <w:b/>
          <w:sz w:val="24"/>
          <w:szCs w:val="24"/>
        </w:rPr>
        <w:t>6.2</w:t>
      </w:r>
      <w:r w:rsidRPr="00CF3DBE">
        <w:rPr>
          <w:b/>
          <w:sz w:val="24"/>
          <w:szCs w:val="24"/>
        </w:rPr>
        <w:tab/>
        <w:t>Uforligeligheder</w:t>
      </w:r>
    </w:p>
    <w:p w14:paraId="7B91220D" w14:textId="77777777" w:rsidR="00B81BDE" w:rsidRPr="00CF3DBE" w:rsidRDefault="00B81BDE" w:rsidP="002411E5">
      <w:pPr>
        <w:ind w:left="851"/>
        <w:rPr>
          <w:sz w:val="24"/>
          <w:szCs w:val="24"/>
        </w:rPr>
      </w:pPr>
      <w:r w:rsidRPr="00CF3DBE">
        <w:rPr>
          <w:sz w:val="24"/>
          <w:szCs w:val="24"/>
        </w:rPr>
        <w:t>Da der ikke foreligger studier af eventuelle uforligeligheder, må dette lægemiddel ikke blandes med andre lægemidler.</w:t>
      </w:r>
    </w:p>
    <w:p w14:paraId="409E1F79" w14:textId="77777777" w:rsidR="009260DE" w:rsidRPr="00CF3DBE" w:rsidRDefault="009260DE" w:rsidP="009260DE">
      <w:pPr>
        <w:tabs>
          <w:tab w:val="left" w:pos="851"/>
        </w:tabs>
        <w:ind w:left="851"/>
        <w:rPr>
          <w:sz w:val="24"/>
          <w:szCs w:val="24"/>
        </w:rPr>
      </w:pPr>
    </w:p>
    <w:p w14:paraId="0D2A2B05" w14:textId="77777777" w:rsidR="009260DE" w:rsidRPr="00CF3DBE" w:rsidRDefault="009260DE" w:rsidP="009260DE">
      <w:pPr>
        <w:tabs>
          <w:tab w:val="left" w:pos="851"/>
        </w:tabs>
        <w:ind w:left="851" w:hanging="851"/>
        <w:rPr>
          <w:b/>
          <w:sz w:val="24"/>
          <w:szCs w:val="24"/>
        </w:rPr>
      </w:pPr>
      <w:r w:rsidRPr="00CF3DBE">
        <w:rPr>
          <w:b/>
          <w:sz w:val="24"/>
          <w:szCs w:val="24"/>
        </w:rPr>
        <w:t>6.3</w:t>
      </w:r>
      <w:r w:rsidRPr="00CF3DBE">
        <w:rPr>
          <w:b/>
          <w:sz w:val="24"/>
          <w:szCs w:val="24"/>
        </w:rPr>
        <w:tab/>
        <w:t>Opbevaringstid</w:t>
      </w:r>
    </w:p>
    <w:p w14:paraId="4FD2D62C" w14:textId="6C26C244" w:rsidR="00B81BDE" w:rsidRPr="00CF3DBE" w:rsidRDefault="00B81BDE" w:rsidP="002411E5">
      <w:pPr>
        <w:ind w:left="851"/>
        <w:rPr>
          <w:sz w:val="24"/>
          <w:szCs w:val="24"/>
        </w:rPr>
      </w:pPr>
      <w:r w:rsidRPr="00CF3DBE">
        <w:rPr>
          <w:sz w:val="24"/>
          <w:szCs w:val="24"/>
        </w:rPr>
        <w:t xml:space="preserve">3 år </w:t>
      </w:r>
    </w:p>
    <w:p w14:paraId="666F2C3A" w14:textId="77777777" w:rsidR="00B81BDE" w:rsidRPr="00CF3DBE" w:rsidRDefault="00B81BDE" w:rsidP="002411E5">
      <w:pPr>
        <w:ind w:left="851"/>
        <w:rPr>
          <w:sz w:val="24"/>
          <w:szCs w:val="24"/>
        </w:rPr>
      </w:pPr>
      <w:r w:rsidRPr="00CF3DBE">
        <w:rPr>
          <w:sz w:val="24"/>
          <w:szCs w:val="24"/>
        </w:rPr>
        <w:t xml:space="preserve">Efter hætteglasset er blevet </w:t>
      </w:r>
      <w:proofErr w:type="spellStart"/>
      <w:r w:rsidRPr="00CF3DBE">
        <w:rPr>
          <w:sz w:val="24"/>
          <w:szCs w:val="24"/>
        </w:rPr>
        <w:t>anbrudt</w:t>
      </w:r>
      <w:proofErr w:type="spellEnd"/>
      <w:r w:rsidRPr="00CF3DBE">
        <w:rPr>
          <w:sz w:val="24"/>
          <w:szCs w:val="24"/>
        </w:rPr>
        <w:t>, anbefales det, at opløsningen straks anvendes.</w:t>
      </w:r>
    </w:p>
    <w:p w14:paraId="79F343E8" w14:textId="77777777" w:rsidR="009260DE" w:rsidRPr="00CF3DBE" w:rsidRDefault="009260DE" w:rsidP="009260DE">
      <w:pPr>
        <w:tabs>
          <w:tab w:val="left" w:pos="851"/>
        </w:tabs>
        <w:ind w:left="851"/>
        <w:rPr>
          <w:sz w:val="24"/>
          <w:szCs w:val="24"/>
        </w:rPr>
      </w:pPr>
    </w:p>
    <w:p w14:paraId="0481200F" w14:textId="77777777" w:rsidR="009260DE" w:rsidRPr="00CF3DBE" w:rsidRDefault="009260DE" w:rsidP="009260DE">
      <w:pPr>
        <w:tabs>
          <w:tab w:val="left" w:pos="851"/>
        </w:tabs>
        <w:ind w:left="851" w:hanging="851"/>
        <w:rPr>
          <w:b/>
          <w:sz w:val="24"/>
          <w:szCs w:val="24"/>
        </w:rPr>
      </w:pPr>
      <w:r w:rsidRPr="00CF3DBE">
        <w:rPr>
          <w:b/>
          <w:sz w:val="24"/>
          <w:szCs w:val="24"/>
        </w:rPr>
        <w:t>6.4</w:t>
      </w:r>
      <w:r w:rsidRPr="00CF3DBE">
        <w:rPr>
          <w:b/>
          <w:sz w:val="24"/>
          <w:szCs w:val="24"/>
        </w:rPr>
        <w:tab/>
        <w:t>Særlige opbevaringsforhold</w:t>
      </w:r>
    </w:p>
    <w:p w14:paraId="06C195CC" w14:textId="77777777" w:rsidR="00B81BDE" w:rsidRPr="00CF3DBE" w:rsidRDefault="00B81BDE" w:rsidP="00804D92">
      <w:pPr>
        <w:pStyle w:val="Listeafsnit"/>
        <w:numPr>
          <w:ilvl w:val="0"/>
          <w:numId w:val="12"/>
        </w:numPr>
        <w:ind w:left="1276" w:hanging="425"/>
        <w:rPr>
          <w:sz w:val="24"/>
          <w:szCs w:val="24"/>
        </w:rPr>
      </w:pPr>
      <w:r w:rsidRPr="00CF3DBE">
        <w:rPr>
          <w:sz w:val="24"/>
          <w:szCs w:val="24"/>
        </w:rPr>
        <w:t>Opbevares i køleskab (2 ºC </w:t>
      </w:r>
      <w:r w:rsidRPr="00CF3DBE">
        <w:rPr>
          <w:sz w:val="24"/>
          <w:szCs w:val="24"/>
        </w:rPr>
        <w:noBreakHyphen/>
        <w:t> 8 ºC).</w:t>
      </w:r>
    </w:p>
    <w:p w14:paraId="4B9C774C" w14:textId="77777777" w:rsidR="00B81BDE" w:rsidRPr="00CF3DBE" w:rsidRDefault="00B81BDE" w:rsidP="00804D92">
      <w:pPr>
        <w:pStyle w:val="Listeafsnit"/>
        <w:numPr>
          <w:ilvl w:val="0"/>
          <w:numId w:val="14"/>
        </w:numPr>
        <w:ind w:left="1701"/>
        <w:rPr>
          <w:sz w:val="24"/>
          <w:szCs w:val="24"/>
        </w:rPr>
      </w:pPr>
      <w:proofErr w:type="spellStart"/>
      <w:r w:rsidRPr="00CF3DBE">
        <w:rPr>
          <w:sz w:val="24"/>
          <w:szCs w:val="24"/>
        </w:rPr>
        <w:t>Xembify</w:t>
      </w:r>
      <w:proofErr w:type="spellEnd"/>
      <w:r w:rsidRPr="00CF3DBE">
        <w:rPr>
          <w:sz w:val="24"/>
          <w:szCs w:val="24"/>
        </w:rPr>
        <w:t xml:space="preserve"> kan opbevares ved temperaturer, der ikke må overstige 25 °C, i op til 6 måneder på ethvert tidspunkt inden udløbsdatoen. </w:t>
      </w:r>
    </w:p>
    <w:p w14:paraId="4C997451" w14:textId="77777777" w:rsidR="00B81BDE" w:rsidRPr="00CF3DBE" w:rsidRDefault="00B81BDE" w:rsidP="00804D92">
      <w:pPr>
        <w:pStyle w:val="Listeafsnit"/>
        <w:numPr>
          <w:ilvl w:val="0"/>
          <w:numId w:val="14"/>
        </w:numPr>
        <w:ind w:left="1701"/>
        <w:rPr>
          <w:sz w:val="24"/>
          <w:szCs w:val="24"/>
        </w:rPr>
      </w:pPr>
      <w:r w:rsidRPr="00CF3DBE">
        <w:rPr>
          <w:sz w:val="24"/>
          <w:szCs w:val="24"/>
        </w:rPr>
        <w:t>På datoen, hvor præparatet tages ud af køleskabet, skal der i feltet med ”Bortskaffelsesdato” på æsken enten skrives datoen 6 måneder fra anbrud eller udløbsdatoen, der er trykt på æskefligen, hvis denne dato er tidligere.</w:t>
      </w:r>
    </w:p>
    <w:p w14:paraId="3610308D" w14:textId="77777777" w:rsidR="00B81BDE" w:rsidRPr="00CF3DBE" w:rsidRDefault="00B81BDE" w:rsidP="00804D92">
      <w:pPr>
        <w:pStyle w:val="Listeafsnit"/>
        <w:numPr>
          <w:ilvl w:val="0"/>
          <w:numId w:val="14"/>
        </w:numPr>
        <w:ind w:left="1701"/>
        <w:rPr>
          <w:sz w:val="24"/>
          <w:szCs w:val="24"/>
        </w:rPr>
      </w:pPr>
      <w:r w:rsidRPr="00CF3DBE">
        <w:rPr>
          <w:sz w:val="24"/>
          <w:szCs w:val="24"/>
        </w:rPr>
        <w:t>Hvis præparatet opbevares ved stuetemperatur, må det ikke sættes tilbage i køleskabet. Anvend præparatet inden ”Bortskaffelsesdato” eller bortskaf det.</w:t>
      </w:r>
    </w:p>
    <w:p w14:paraId="262364FF" w14:textId="77777777" w:rsidR="00B81BDE" w:rsidRPr="00CF3DBE" w:rsidRDefault="00B81BDE" w:rsidP="00804D92">
      <w:pPr>
        <w:pStyle w:val="Listeafsnit"/>
        <w:numPr>
          <w:ilvl w:val="0"/>
          <w:numId w:val="12"/>
        </w:numPr>
        <w:ind w:left="1276" w:hanging="425"/>
        <w:rPr>
          <w:sz w:val="24"/>
          <w:szCs w:val="24"/>
        </w:rPr>
      </w:pPr>
      <w:r w:rsidRPr="00CF3DBE">
        <w:rPr>
          <w:sz w:val="24"/>
          <w:szCs w:val="24"/>
        </w:rPr>
        <w:t>Må ikke nedfryses.</w:t>
      </w:r>
    </w:p>
    <w:p w14:paraId="36E640F6" w14:textId="77777777" w:rsidR="00B81BDE" w:rsidRPr="00CF3DBE" w:rsidRDefault="00B81BDE" w:rsidP="00804D92">
      <w:pPr>
        <w:pStyle w:val="Listeafsnit"/>
        <w:numPr>
          <w:ilvl w:val="0"/>
          <w:numId w:val="12"/>
        </w:numPr>
        <w:ind w:left="1276" w:hanging="425"/>
        <w:rPr>
          <w:sz w:val="24"/>
          <w:szCs w:val="24"/>
        </w:rPr>
      </w:pPr>
      <w:r w:rsidRPr="00CF3DBE">
        <w:rPr>
          <w:sz w:val="24"/>
          <w:szCs w:val="24"/>
        </w:rPr>
        <w:t>Opbevar hætteglasset i den ydre æske for at beskytte mod lys.</w:t>
      </w:r>
    </w:p>
    <w:p w14:paraId="3A56EB4B" w14:textId="77777777" w:rsidR="00B81BDE" w:rsidRPr="00CF3DBE" w:rsidRDefault="00B81BDE" w:rsidP="00804D92">
      <w:pPr>
        <w:pStyle w:val="Listeafsnit"/>
        <w:numPr>
          <w:ilvl w:val="0"/>
          <w:numId w:val="12"/>
        </w:numPr>
        <w:ind w:left="1276" w:hanging="425"/>
        <w:rPr>
          <w:sz w:val="24"/>
          <w:szCs w:val="24"/>
        </w:rPr>
      </w:pPr>
      <w:r w:rsidRPr="00CF3DBE">
        <w:rPr>
          <w:sz w:val="24"/>
          <w:szCs w:val="24"/>
        </w:rPr>
        <w:t xml:space="preserve">Administreres så hurtigt som muligt, efter at </w:t>
      </w:r>
      <w:proofErr w:type="spellStart"/>
      <w:r w:rsidRPr="00CF3DBE">
        <w:rPr>
          <w:sz w:val="24"/>
          <w:szCs w:val="24"/>
        </w:rPr>
        <w:t>Xembify</w:t>
      </w:r>
      <w:proofErr w:type="spellEnd"/>
      <w:r w:rsidRPr="00CF3DBE">
        <w:rPr>
          <w:sz w:val="24"/>
          <w:szCs w:val="24"/>
        </w:rPr>
        <w:t xml:space="preserve"> er overført fra hætteglasset til en sprøjte.</w:t>
      </w:r>
    </w:p>
    <w:p w14:paraId="338D727D" w14:textId="77777777" w:rsidR="00B81BDE" w:rsidRPr="00CF3DBE" w:rsidRDefault="00B81BDE" w:rsidP="002411E5">
      <w:pPr>
        <w:ind w:left="851"/>
        <w:rPr>
          <w:sz w:val="24"/>
          <w:szCs w:val="24"/>
        </w:rPr>
      </w:pPr>
    </w:p>
    <w:p w14:paraId="546E01DF" w14:textId="77777777" w:rsidR="00B81BDE" w:rsidRPr="00CF3DBE" w:rsidRDefault="00B81BDE" w:rsidP="002411E5">
      <w:pPr>
        <w:ind w:left="851"/>
        <w:rPr>
          <w:sz w:val="24"/>
          <w:szCs w:val="24"/>
        </w:rPr>
      </w:pPr>
      <w:r w:rsidRPr="00CF3DBE">
        <w:rPr>
          <w:sz w:val="24"/>
          <w:szCs w:val="24"/>
        </w:rPr>
        <w:t>Opbevaringsforhold efter anbrud af lægemidlet, se pkt. 6.3.</w:t>
      </w:r>
    </w:p>
    <w:p w14:paraId="64C8E890" w14:textId="77777777" w:rsidR="009260DE" w:rsidRPr="00CF3DBE" w:rsidRDefault="009260DE" w:rsidP="009260DE">
      <w:pPr>
        <w:tabs>
          <w:tab w:val="left" w:pos="851"/>
        </w:tabs>
        <w:ind w:left="851"/>
        <w:rPr>
          <w:sz w:val="24"/>
          <w:szCs w:val="24"/>
        </w:rPr>
      </w:pPr>
    </w:p>
    <w:p w14:paraId="0A8EC165" w14:textId="77777777" w:rsidR="009260DE" w:rsidRPr="00CF3DBE" w:rsidRDefault="009260DE" w:rsidP="009260DE">
      <w:pPr>
        <w:tabs>
          <w:tab w:val="left" w:pos="851"/>
        </w:tabs>
        <w:ind w:left="851" w:hanging="851"/>
        <w:rPr>
          <w:b/>
          <w:sz w:val="24"/>
          <w:szCs w:val="24"/>
        </w:rPr>
      </w:pPr>
      <w:r w:rsidRPr="00CF3DBE">
        <w:rPr>
          <w:b/>
          <w:sz w:val="24"/>
          <w:szCs w:val="24"/>
        </w:rPr>
        <w:t>6.5</w:t>
      </w:r>
      <w:r w:rsidRPr="00CF3DBE">
        <w:rPr>
          <w:b/>
          <w:sz w:val="24"/>
          <w:szCs w:val="24"/>
        </w:rPr>
        <w:tab/>
        <w:t>Emballagetype og pakningsstørrelser</w:t>
      </w:r>
    </w:p>
    <w:p w14:paraId="24376AA4" w14:textId="77777777" w:rsidR="00B81BDE" w:rsidRPr="00CF3DBE" w:rsidRDefault="00B81BDE" w:rsidP="002411E5">
      <w:pPr>
        <w:ind w:left="851"/>
        <w:rPr>
          <w:sz w:val="24"/>
          <w:szCs w:val="24"/>
        </w:rPr>
      </w:pPr>
      <w:r w:rsidRPr="00CF3DBE">
        <w:rPr>
          <w:sz w:val="24"/>
          <w:szCs w:val="24"/>
        </w:rPr>
        <w:t xml:space="preserve">5, 10, 20 eller 50 ml opløsning i et hætteglas af klart glas med en </w:t>
      </w:r>
      <w:proofErr w:type="spellStart"/>
      <w:r w:rsidRPr="00CF3DBE">
        <w:rPr>
          <w:sz w:val="24"/>
          <w:szCs w:val="24"/>
        </w:rPr>
        <w:t>chlorbutylprop</w:t>
      </w:r>
      <w:proofErr w:type="spellEnd"/>
      <w:r w:rsidRPr="00CF3DBE">
        <w:rPr>
          <w:sz w:val="24"/>
          <w:szCs w:val="24"/>
        </w:rPr>
        <w:t>, en aluminiumsoverforsegling, plastictop og krympebånd, der garanterer, at emballagen er intakt.</w:t>
      </w:r>
    </w:p>
    <w:p w14:paraId="7D02CBF9" w14:textId="77777777" w:rsidR="00B81BDE" w:rsidRPr="00CF3DBE" w:rsidRDefault="00B81BDE" w:rsidP="002411E5">
      <w:pPr>
        <w:ind w:left="851"/>
        <w:rPr>
          <w:sz w:val="24"/>
          <w:szCs w:val="24"/>
        </w:rPr>
      </w:pPr>
    </w:p>
    <w:p w14:paraId="2952F5B6" w14:textId="728CCA09" w:rsidR="00726A2D" w:rsidRPr="00CF3DBE" w:rsidRDefault="00726A2D" w:rsidP="00726A2D">
      <w:pPr>
        <w:ind w:left="851"/>
        <w:rPr>
          <w:sz w:val="24"/>
          <w:szCs w:val="24"/>
        </w:rPr>
      </w:pPr>
      <w:r w:rsidRPr="00CF3DBE">
        <w:rPr>
          <w:sz w:val="24"/>
          <w:szCs w:val="24"/>
        </w:rPr>
        <w:t>Pakningsstørrelse</w:t>
      </w:r>
      <w:r>
        <w:rPr>
          <w:sz w:val="24"/>
          <w:szCs w:val="24"/>
        </w:rPr>
        <w:t>r</w:t>
      </w:r>
      <w:r w:rsidRPr="00CF3DBE">
        <w:rPr>
          <w:sz w:val="24"/>
          <w:szCs w:val="24"/>
        </w:rPr>
        <w:t>:</w:t>
      </w:r>
    </w:p>
    <w:p w14:paraId="6EA912A4" w14:textId="2829836D" w:rsidR="00726A2D" w:rsidRPr="00CF3DBE" w:rsidRDefault="00726A2D" w:rsidP="00726A2D">
      <w:pPr>
        <w:ind w:left="851"/>
        <w:rPr>
          <w:sz w:val="24"/>
          <w:szCs w:val="24"/>
        </w:rPr>
      </w:pPr>
      <w:r w:rsidRPr="004040CA">
        <w:rPr>
          <w:sz w:val="24"/>
          <w:szCs w:val="24"/>
        </w:rPr>
        <w:t xml:space="preserve">1 eller 10 hætteglas indeholdende 1 g humant normalt </w:t>
      </w:r>
      <w:proofErr w:type="spellStart"/>
      <w:r w:rsidRPr="004040CA">
        <w:rPr>
          <w:sz w:val="24"/>
          <w:szCs w:val="24"/>
        </w:rPr>
        <w:t>immunglobulin</w:t>
      </w:r>
      <w:proofErr w:type="spellEnd"/>
      <w:r w:rsidRPr="004040CA">
        <w:rPr>
          <w:sz w:val="24"/>
          <w:szCs w:val="24"/>
        </w:rPr>
        <w:t xml:space="preserve"> i</w:t>
      </w:r>
      <w:r>
        <w:rPr>
          <w:sz w:val="24"/>
          <w:szCs w:val="24"/>
        </w:rPr>
        <w:t xml:space="preserve"> </w:t>
      </w:r>
      <w:r w:rsidRPr="004040CA">
        <w:rPr>
          <w:sz w:val="24"/>
          <w:szCs w:val="24"/>
        </w:rPr>
        <w:t>5 m</w:t>
      </w:r>
      <w:r>
        <w:rPr>
          <w:sz w:val="24"/>
          <w:szCs w:val="24"/>
        </w:rPr>
        <w:t>l</w:t>
      </w:r>
      <w:r w:rsidRPr="004040CA">
        <w:rPr>
          <w:sz w:val="24"/>
          <w:szCs w:val="24"/>
        </w:rPr>
        <w:t xml:space="preserve"> </w:t>
      </w:r>
      <w:r>
        <w:t>subkutan injektionsvæske, opløsning</w:t>
      </w:r>
    </w:p>
    <w:p w14:paraId="673D2160" w14:textId="5BA3C22A" w:rsidR="00726A2D" w:rsidRPr="00CF3DBE" w:rsidRDefault="00726A2D" w:rsidP="00726A2D">
      <w:pPr>
        <w:ind w:left="851"/>
        <w:rPr>
          <w:sz w:val="24"/>
          <w:szCs w:val="24"/>
        </w:rPr>
      </w:pPr>
      <w:r w:rsidRPr="004040CA">
        <w:rPr>
          <w:sz w:val="24"/>
          <w:szCs w:val="24"/>
        </w:rPr>
        <w:t>1</w:t>
      </w:r>
      <w:r>
        <w:rPr>
          <w:sz w:val="24"/>
          <w:szCs w:val="24"/>
        </w:rPr>
        <w:t>, 10</w:t>
      </w:r>
      <w:r w:rsidRPr="004040CA">
        <w:rPr>
          <w:sz w:val="24"/>
          <w:szCs w:val="24"/>
        </w:rPr>
        <w:t xml:space="preserve"> eller </w:t>
      </w:r>
      <w:r>
        <w:rPr>
          <w:sz w:val="24"/>
          <w:szCs w:val="24"/>
        </w:rPr>
        <w:t>2</w:t>
      </w:r>
      <w:r w:rsidRPr="004040CA">
        <w:rPr>
          <w:sz w:val="24"/>
          <w:szCs w:val="24"/>
        </w:rPr>
        <w:t xml:space="preserve">0 hætteglas indeholdende </w:t>
      </w:r>
      <w:r>
        <w:rPr>
          <w:sz w:val="24"/>
          <w:szCs w:val="24"/>
        </w:rPr>
        <w:t>2</w:t>
      </w:r>
      <w:r w:rsidRPr="004040CA">
        <w:rPr>
          <w:sz w:val="24"/>
          <w:szCs w:val="24"/>
        </w:rPr>
        <w:t xml:space="preserve"> g humant normalt </w:t>
      </w:r>
      <w:proofErr w:type="spellStart"/>
      <w:r w:rsidRPr="004040CA">
        <w:rPr>
          <w:sz w:val="24"/>
          <w:szCs w:val="24"/>
        </w:rPr>
        <w:t>immunglobulin</w:t>
      </w:r>
      <w:proofErr w:type="spellEnd"/>
      <w:r w:rsidRPr="004040CA">
        <w:rPr>
          <w:sz w:val="24"/>
          <w:szCs w:val="24"/>
        </w:rPr>
        <w:t xml:space="preserve"> i</w:t>
      </w:r>
      <w:r>
        <w:rPr>
          <w:sz w:val="24"/>
          <w:szCs w:val="24"/>
        </w:rPr>
        <w:t xml:space="preserve"> 10 </w:t>
      </w:r>
      <w:r w:rsidRPr="004040CA">
        <w:rPr>
          <w:sz w:val="24"/>
          <w:szCs w:val="24"/>
        </w:rPr>
        <w:t>m</w:t>
      </w:r>
      <w:r>
        <w:rPr>
          <w:sz w:val="24"/>
          <w:szCs w:val="24"/>
        </w:rPr>
        <w:t>l</w:t>
      </w:r>
      <w:r w:rsidRPr="004040CA">
        <w:rPr>
          <w:sz w:val="24"/>
          <w:szCs w:val="24"/>
        </w:rPr>
        <w:t xml:space="preserve"> </w:t>
      </w:r>
      <w:r>
        <w:t>subkutan injektionsvæske, opløsning</w:t>
      </w:r>
    </w:p>
    <w:p w14:paraId="2F364D32" w14:textId="345CAFBB" w:rsidR="00726A2D" w:rsidRPr="00CF3DBE" w:rsidRDefault="00726A2D" w:rsidP="00726A2D">
      <w:pPr>
        <w:ind w:left="851"/>
        <w:rPr>
          <w:sz w:val="24"/>
          <w:szCs w:val="24"/>
        </w:rPr>
      </w:pPr>
      <w:r w:rsidRPr="004040CA">
        <w:rPr>
          <w:sz w:val="24"/>
          <w:szCs w:val="24"/>
        </w:rPr>
        <w:t xml:space="preserve">1 eller </w:t>
      </w:r>
      <w:r>
        <w:rPr>
          <w:sz w:val="24"/>
          <w:szCs w:val="24"/>
        </w:rPr>
        <w:t>2</w:t>
      </w:r>
      <w:r w:rsidRPr="004040CA">
        <w:rPr>
          <w:sz w:val="24"/>
          <w:szCs w:val="24"/>
        </w:rPr>
        <w:t xml:space="preserve">0 hætteglas indeholdende </w:t>
      </w:r>
      <w:r>
        <w:rPr>
          <w:sz w:val="24"/>
          <w:szCs w:val="24"/>
        </w:rPr>
        <w:t>4</w:t>
      </w:r>
      <w:r w:rsidRPr="004040CA">
        <w:rPr>
          <w:sz w:val="24"/>
          <w:szCs w:val="24"/>
        </w:rPr>
        <w:t xml:space="preserve"> g humant normalt </w:t>
      </w:r>
      <w:proofErr w:type="spellStart"/>
      <w:r w:rsidRPr="004040CA">
        <w:rPr>
          <w:sz w:val="24"/>
          <w:szCs w:val="24"/>
        </w:rPr>
        <w:t>immunglobulin</w:t>
      </w:r>
      <w:proofErr w:type="spellEnd"/>
      <w:r w:rsidRPr="004040CA">
        <w:rPr>
          <w:sz w:val="24"/>
          <w:szCs w:val="24"/>
        </w:rPr>
        <w:t xml:space="preserve"> i</w:t>
      </w:r>
      <w:r>
        <w:rPr>
          <w:sz w:val="24"/>
          <w:szCs w:val="24"/>
        </w:rPr>
        <w:t xml:space="preserve"> 20</w:t>
      </w:r>
      <w:r w:rsidRPr="004040CA">
        <w:rPr>
          <w:sz w:val="24"/>
          <w:szCs w:val="24"/>
        </w:rPr>
        <w:t xml:space="preserve"> m</w:t>
      </w:r>
      <w:r>
        <w:rPr>
          <w:sz w:val="24"/>
          <w:szCs w:val="24"/>
        </w:rPr>
        <w:t>l</w:t>
      </w:r>
      <w:r w:rsidRPr="004040CA">
        <w:rPr>
          <w:sz w:val="24"/>
          <w:szCs w:val="24"/>
        </w:rPr>
        <w:t xml:space="preserve"> </w:t>
      </w:r>
      <w:r>
        <w:t>subkutan injektionsvæske, opløsning</w:t>
      </w:r>
    </w:p>
    <w:p w14:paraId="513C5187" w14:textId="62CE770B" w:rsidR="00726A2D" w:rsidRPr="00CF3DBE" w:rsidRDefault="00726A2D" w:rsidP="00726A2D">
      <w:pPr>
        <w:ind w:left="851"/>
        <w:rPr>
          <w:sz w:val="24"/>
          <w:szCs w:val="24"/>
        </w:rPr>
      </w:pPr>
      <w:r w:rsidRPr="004040CA">
        <w:rPr>
          <w:sz w:val="24"/>
          <w:szCs w:val="24"/>
        </w:rPr>
        <w:t>1 eller 10 hætteglas indeholdende 1</w:t>
      </w:r>
      <w:r>
        <w:rPr>
          <w:sz w:val="24"/>
          <w:szCs w:val="24"/>
        </w:rPr>
        <w:t>0</w:t>
      </w:r>
      <w:r w:rsidRPr="004040CA">
        <w:rPr>
          <w:sz w:val="24"/>
          <w:szCs w:val="24"/>
        </w:rPr>
        <w:t xml:space="preserve"> g humant normalt </w:t>
      </w:r>
      <w:proofErr w:type="spellStart"/>
      <w:r w:rsidRPr="004040CA">
        <w:rPr>
          <w:sz w:val="24"/>
          <w:szCs w:val="24"/>
        </w:rPr>
        <w:t>immunglobulin</w:t>
      </w:r>
      <w:proofErr w:type="spellEnd"/>
      <w:r w:rsidRPr="004040CA">
        <w:rPr>
          <w:sz w:val="24"/>
          <w:szCs w:val="24"/>
        </w:rPr>
        <w:t xml:space="preserve"> i</w:t>
      </w:r>
      <w:r>
        <w:rPr>
          <w:sz w:val="24"/>
          <w:szCs w:val="24"/>
        </w:rPr>
        <w:t xml:space="preserve"> </w:t>
      </w:r>
      <w:r w:rsidRPr="004040CA">
        <w:rPr>
          <w:sz w:val="24"/>
          <w:szCs w:val="24"/>
        </w:rPr>
        <w:t>5</w:t>
      </w:r>
      <w:r>
        <w:rPr>
          <w:sz w:val="24"/>
          <w:szCs w:val="24"/>
        </w:rPr>
        <w:t>0 </w:t>
      </w:r>
      <w:r w:rsidRPr="004040CA">
        <w:rPr>
          <w:sz w:val="24"/>
          <w:szCs w:val="24"/>
        </w:rPr>
        <w:t>m</w:t>
      </w:r>
      <w:r>
        <w:rPr>
          <w:sz w:val="24"/>
          <w:szCs w:val="24"/>
        </w:rPr>
        <w:t>l</w:t>
      </w:r>
      <w:r w:rsidRPr="004040CA">
        <w:rPr>
          <w:sz w:val="24"/>
          <w:szCs w:val="24"/>
        </w:rPr>
        <w:t xml:space="preserve"> </w:t>
      </w:r>
      <w:r>
        <w:t>subkutan injektionsvæske, opløsning</w:t>
      </w:r>
    </w:p>
    <w:p w14:paraId="0AD07836" w14:textId="77777777" w:rsidR="00B81BDE" w:rsidRPr="00CF3DBE" w:rsidRDefault="00B81BDE" w:rsidP="002411E5">
      <w:pPr>
        <w:ind w:left="851"/>
        <w:rPr>
          <w:sz w:val="24"/>
          <w:szCs w:val="24"/>
        </w:rPr>
      </w:pPr>
    </w:p>
    <w:p w14:paraId="5334BFCC" w14:textId="77777777" w:rsidR="00A9765F" w:rsidRPr="002E1E78" w:rsidRDefault="00A9765F" w:rsidP="00A9765F">
      <w:pPr>
        <w:ind w:left="851"/>
        <w:rPr>
          <w:sz w:val="24"/>
          <w:szCs w:val="24"/>
        </w:rPr>
      </w:pPr>
      <w:r w:rsidRPr="002E1E78">
        <w:rPr>
          <w:sz w:val="24"/>
          <w:szCs w:val="24"/>
        </w:rPr>
        <w:t xml:space="preserve">Hver æske indeholder 1, 10 eller 20 hætteglas med </w:t>
      </w:r>
      <w:proofErr w:type="spellStart"/>
      <w:r w:rsidRPr="002E1E78">
        <w:rPr>
          <w:sz w:val="24"/>
          <w:szCs w:val="24"/>
        </w:rPr>
        <w:t>Xembify</w:t>
      </w:r>
      <w:proofErr w:type="spellEnd"/>
      <w:r w:rsidRPr="002E1E78">
        <w:rPr>
          <w:sz w:val="24"/>
          <w:szCs w:val="24"/>
        </w:rPr>
        <w:t xml:space="preserve"> og 1 indlægsseddel.</w:t>
      </w:r>
    </w:p>
    <w:p w14:paraId="0BD7E401" w14:textId="74529F86" w:rsidR="0012203D" w:rsidRDefault="0012203D" w:rsidP="002411E5">
      <w:pPr>
        <w:ind w:left="851"/>
        <w:rPr>
          <w:sz w:val="24"/>
          <w:szCs w:val="24"/>
        </w:rPr>
      </w:pPr>
    </w:p>
    <w:p w14:paraId="54F6C4A4" w14:textId="77777777" w:rsidR="0012203D" w:rsidRPr="00CF3DBE" w:rsidRDefault="0012203D" w:rsidP="0012203D">
      <w:pPr>
        <w:ind w:left="851"/>
        <w:rPr>
          <w:sz w:val="24"/>
          <w:szCs w:val="24"/>
        </w:rPr>
      </w:pPr>
      <w:r w:rsidRPr="00CF3DBE">
        <w:rPr>
          <w:sz w:val="24"/>
          <w:szCs w:val="24"/>
        </w:rPr>
        <w:t>Ikke alle pakningsstørrelser er nødvendigvis markedsført.</w:t>
      </w:r>
    </w:p>
    <w:p w14:paraId="43B76818" w14:textId="77777777" w:rsidR="009260DE" w:rsidRPr="00CF3DBE" w:rsidRDefault="009260DE" w:rsidP="009260DE">
      <w:pPr>
        <w:tabs>
          <w:tab w:val="left" w:pos="851"/>
        </w:tabs>
        <w:ind w:left="851"/>
        <w:rPr>
          <w:sz w:val="24"/>
          <w:szCs w:val="24"/>
        </w:rPr>
      </w:pPr>
    </w:p>
    <w:p w14:paraId="6E2140C6" w14:textId="77777777" w:rsidR="009260DE" w:rsidRPr="00CF3DBE" w:rsidRDefault="009260DE" w:rsidP="009260DE">
      <w:pPr>
        <w:tabs>
          <w:tab w:val="left" w:pos="851"/>
        </w:tabs>
        <w:ind w:left="851" w:hanging="851"/>
        <w:rPr>
          <w:b/>
          <w:sz w:val="24"/>
          <w:szCs w:val="24"/>
        </w:rPr>
      </w:pPr>
      <w:r w:rsidRPr="00CF3DBE">
        <w:rPr>
          <w:b/>
          <w:sz w:val="24"/>
          <w:szCs w:val="24"/>
        </w:rPr>
        <w:t>6.6</w:t>
      </w:r>
      <w:r w:rsidRPr="00CF3DBE">
        <w:rPr>
          <w:b/>
          <w:sz w:val="24"/>
          <w:szCs w:val="24"/>
        </w:rPr>
        <w:tab/>
        <w:t xml:space="preserve">Regler for </w:t>
      </w:r>
      <w:r w:rsidR="00BD7931" w:rsidRPr="00CF3DBE">
        <w:rPr>
          <w:b/>
          <w:sz w:val="24"/>
          <w:szCs w:val="24"/>
        </w:rPr>
        <w:t>bortskaffelse</w:t>
      </w:r>
      <w:r w:rsidRPr="00CF3DBE">
        <w:rPr>
          <w:b/>
          <w:sz w:val="24"/>
          <w:szCs w:val="24"/>
        </w:rPr>
        <w:t xml:space="preserve"> og anden håndtering</w:t>
      </w:r>
    </w:p>
    <w:p w14:paraId="080D1C8A" w14:textId="77777777" w:rsidR="00B81BDE" w:rsidRPr="00CF3DBE" w:rsidRDefault="00B81BDE" w:rsidP="002411E5">
      <w:pPr>
        <w:ind w:left="851"/>
        <w:rPr>
          <w:sz w:val="24"/>
          <w:szCs w:val="24"/>
        </w:rPr>
      </w:pPr>
      <w:r w:rsidRPr="00CF3DBE">
        <w:rPr>
          <w:sz w:val="24"/>
          <w:szCs w:val="24"/>
        </w:rPr>
        <w:t>Præparatet skal bringes til stue- eller legemstemperatur (20 ºC til 37 ºC) før brug.</w:t>
      </w:r>
    </w:p>
    <w:p w14:paraId="7A0C9CF8" w14:textId="77777777" w:rsidR="00B81BDE" w:rsidRPr="00CF3DBE" w:rsidRDefault="00B81BDE" w:rsidP="002411E5">
      <w:pPr>
        <w:ind w:left="851"/>
        <w:rPr>
          <w:sz w:val="24"/>
          <w:szCs w:val="24"/>
        </w:rPr>
      </w:pPr>
    </w:p>
    <w:p w14:paraId="50EEBC55" w14:textId="77777777" w:rsidR="00B81BDE" w:rsidRPr="00CF3DBE" w:rsidRDefault="00B81BDE" w:rsidP="002411E5">
      <w:pPr>
        <w:ind w:left="851"/>
        <w:rPr>
          <w:sz w:val="24"/>
          <w:szCs w:val="24"/>
        </w:rPr>
      </w:pPr>
      <w:r w:rsidRPr="00CF3DBE">
        <w:rPr>
          <w:sz w:val="24"/>
          <w:szCs w:val="24"/>
        </w:rPr>
        <w:t>Må ikke omrystes.</w:t>
      </w:r>
    </w:p>
    <w:p w14:paraId="71BBF034" w14:textId="77777777" w:rsidR="00B81BDE" w:rsidRPr="00CF3DBE" w:rsidRDefault="00B81BDE" w:rsidP="002411E5">
      <w:pPr>
        <w:ind w:left="851"/>
        <w:rPr>
          <w:sz w:val="24"/>
          <w:szCs w:val="24"/>
        </w:rPr>
      </w:pPr>
    </w:p>
    <w:p w14:paraId="51FAE73C" w14:textId="77777777" w:rsidR="00B81BDE" w:rsidRPr="00CF3DBE" w:rsidRDefault="00B81BDE" w:rsidP="002411E5">
      <w:pPr>
        <w:ind w:left="851"/>
        <w:rPr>
          <w:sz w:val="24"/>
          <w:szCs w:val="24"/>
        </w:rPr>
      </w:pPr>
      <w:r w:rsidRPr="00CF3DBE">
        <w:rPr>
          <w:sz w:val="24"/>
          <w:szCs w:val="24"/>
        </w:rPr>
        <w:t>Præparaterne skal inspiceres visuelt inden administration. Opløsninger, der er misfarvede, uklare eller har udfældninger, må ikke anvendes.</w:t>
      </w:r>
    </w:p>
    <w:p w14:paraId="2185DBD0" w14:textId="77777777" w:rsidR="00B81BDE" w:rsidRPr="00CF3DBE" w:rsidRDefault="00B81BDE" w:rsidP="002411E5">
      <w:pPr>
        <w:ind w:left="851"/>
        <w:rPr>
          <w:sz w:val="24"/>
          <w:szCs w:val="24"/>
        </w:rPr>
      </w:pPr>
    </w:p>
    <w:p w14:paraId="274E8D6F" w14:textId="77777777" w:rsidR="00B81BDE" w:rsidRPr="00CF3DBE" w:rsidRDefault="00B81BDE" w:rsidP="002411E5">
      <w:pPr>
        <w:ind w:left="851"/>
        <w:rPr>
          <w:sz w:val="24"/>
          <w:szCs w:val="24"/>
        </w:rPr>
      </w:pPr>
      <w:r w:rsidRPr="00CF3DBE">
        <w:rPr>
          <w:sz w:val="24"/>
          <w:szCs w:val="24"/>
        </w:rPr>
        <w:t>Ikke anvendt lægemiddel samt affald heraf skal bortskaffes i henhold til lokale retningslinjer.</w:t>
      </w:r>
    </w:p>
    <w:p w14:paraId="0B94B11F" w14:textId="77777777" w:rsidR="00B81BDE" w:rsidRPr="00CF3DBE" w:rsidRDefault="00B81BDE" w:rsidP="00B81BDE">
      <w:pPr>
        <w:rPr>
          <w:sz w:val="24"/>
          <w:szCs w:val="24"/>
        </w:rPr>
      </w:pPr>
    </w:p>
    <w:p w14:paraId="625BA4E9" w14:textId="77777777" w:rsidR="00B81BDE" w:rsidRPr="00CF3DBE" w:rsidRDefault="00B81BDE" w:rsidP="00057C1C">
      <w:pPr>
        <w:ind w:left="851"/>
        <w:rPr>
          <w:sz w:val="24"/>
          <w:szCs w:val="24"/>
          <w:u w:val="single"/>
        </w:rPr>
      </w:pPr>
      <w:r w:rsidRPr="00CF3DBE">
        <w:rPr>
          <w:sz w:val="24"/>
          <w:szCs w:val="24"/>
          <w:u w:val="single"/>
        </w:rPr>
        <w:t>Brugsanvisning</w:t>
      </w:r>
    </w:p>
    <w:p w14:paraId="70D276C0" w14:textId="77777777" w:rsidR="00B81BDE" w:rsidRPr="00CF3DBE" w:rsidRDefault="00B81BDE" w:rsidP="00057C1C">
      <w:pPr>
        <w:ind w:left="851"/>
        <w:rPr>
          <w:sz w:val="24"/>
          <w:szCs w:val="24"/>
        </w:rPr>
      </w:pPr>
    </w:p>
    <w:p w14:paraId="5522AA78" w14:textId="77777777" w:rsidR="00B81BDE" w:rsidRPr="00CF3DBE" w:rsidRDefault="00B81BDE" w:rsidP="00057C1C">
      <w:pPr>
        <w:ind w:left="851"/>
        <w:rPr>
          <w:b/>
          <w:sz w:val="24"/>
          <w:szCs w:val="24"/>
        </w:rPr>
      </w:pPr>
      <w:r w:rsidRPr="00CF3DBE">
        <w:rPr>
          <w:sz w:val="24"/>
          <w:szCs w:val="24"/>
        </w:rPr>
        <w:t>Kun til subkutan infusion.</w:t>
      </w:r>
    </w:p>
    <w:p w14:paraId="45E4466F" w14:textId="77777777" w:rsidR="00057C1C" w:rsidRPr="00CF3DBE" w:rsidRDefault="00057C1C" w:rsidP="00057C1C">
      <w:pPr>
        <w:ind w:left="851"/>
        <w:rPr>
          <w:sz w:val="24"/>
          <w:szCs w:val="24"/>
        </w:rPr>
      </w:pPr>
    </w:p>
    <w:p w14:paraId="2DF2AE36" w14:textId="67D7339F" w:rsidR="00B81BDE" w:rsidRPr="00CF3DBE" w:rsidRDefault="00B81BDE" w:rsidP="00057C1C">
      <w:pPr>
        <w:ind w:left="851"/>
        <w:rPr>
          <w:sz w:val="24"/>
          <w:szCs w:val="24"/>
        </w:rPr>
      </w:pPr>
      <w:r w:rsidRPr="00CF3DBE">
        <w:rPr>
          <w:sz w:val="24"/>
          <w:szCs w:val="24"/>
        </w:rPr>
        <w:t>Inden brug skal opløsningen have tid til at opnå stue- eller legemstemperatur (20 °C til 37 °C).</w:t>
      </w:r>
    </w:p>
    <w:p w14:paraId="7733FDC3" w14:textId="77777777" w:rsidR="00057C1C" w:rsidRPr="00CF3DBE" w:rsidRDefault="00057C1C" w:rsidP="00057C1C">
      <w:pPr>
        <w:ind w:left="851"/>
        <w:rPr>
          <w:sz w:val="24"/>
          <w:szCs w:val="24"/>
        </w:rPr>
      </w:pPr>
    </w:p>
    <w:p w14:paraId="521227AE" w14:textId="616EEAD6" w:rsidR="00B81BDE" w:rsidRPr="00CF3DBE" w:rsidRDefault="00B81BDE" w:rsidP="00057C1C">
      <w:pPr>
        <w:ind w:left="851"/>
        <w:rPr>
          <w:sz w:val="24"/>
          <w:szCs w:val="24"/>
        </w:rPr>
      </w:pPr>
      <w:r w:rsidRPr="00CF3DBE">
        <w:rPr>
          <w:sz w:val="24"/>
          <w:szCs w:val="24"/>
        </w:rPr>
        <w:t>Må ikke omrystes.</w:t>
      </w:r>
    </w:p>
    <w:p w14:paraId="7A957064" w14:textId="77777777" w:rsidR="00057C1C" w:rsidRPr="00CF3DBE" w:rsidRDefault="00057C1C" w:rsidP="00057C1C">
      <w:pPr>
        <w:ind w:left="851"/>
        <w:rPr>
          <w:sz w:val="24"/>
          <w:szCs w:val="24"/>
        </w:rPr>
      </w:pPr>
    </w:p>
    <w:p w14:paraId="1D8924CA" w14:textId="209B22DE" w:rsidR="00B81BDE" w:rsidRPr="00CF3DBE" w:rsidRDefault="00B81BDE" w:rsidP="00057C1C">
      <w:pPr>
        <w:ind w:left="851"/>
        <w:rPr>
          <w:sz w:val="24"/>
          <w:szCs w:val="24"/>
        </w:rPr>
      </w:pPr>
      <w:r w:rsidRPr="00CF3DBE">
        <w:rPr>
          <w:sz w:val="24"/>
          <w:szCs w:val="24"/>
        </w:rPr>
        <w:t xml:space="preserve">Følg nedenstående trin og brug aseptisk teknik til at administrere </w:t>
      </w:r>
      <w:proofErr w:type="spellStart"/>
      <w:r w:rsidRPr="00CF3DBE">
        <w:rPr>
          <w:sz w:val="24"/>
          <w:szCs w:val="24"/>
        </w:rPr>
        <w:t>Xembify</w:t>
      </w:r>
      <w:proofErr w:type="spellEnd"/>
      <w:r w:rsidRPr="00CF3DBE">
        <w:rPr>
          <w:sz w:val="24"/>
          <w:szCs w:val="24"/>
        </w:rPr>
        <w:t>.</w:t>
      </w:r>
    </w:p>
    <w:p w14:paraId="3FB2C3FA" w14:textId="54ECC026" w:rsidR="00057C1C" w:rsidRPr="00CF3DBE" w:rsidRDefault="00057C1C" w:rsidP="00057C1C">
      <w:pPr>
        <w:ind w:left="851"/>
        <w:rPr>
          <w:sz w:val="24"/>
          <w:szCs w:val="24"/>
        </w:rPr>
      </w:pPr>
    </w:p>
    <w:tbl>
      <w:tblPr>
        <w:tblStyle w:val="Tabel-Gitter"/>
        <w:tblW w:w="8642"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3774"/>
        <w:gridCol w:w="4164"/>
      </w:tblGrid>
      <w:tr w:rsidR="00D6055E" w:rsidRPr="00CF3DBE" w14:paraId="7817C686" w14:textId="77777777" w:rsidTr="00D6055E">
        <w:tc>
          <w:tcPr>
            <w:tcW w:w="704" w:type="dxa"/>
          </w:tcPr>
          <w:p w14:paraId="78A95B0B" w14:textId="64C8FD47" w:rsidR="00D6055E" w:rsidRPr="00CF3DBE" w:rsidRDefault="00D6055E" w:rsidP="00D6055E">
            <w:pPr>
              <w:rPr>
                <w:sz w:val="24"/>
                <w:szCs w:val="24"/>
              </w:rPr>
            </w:pPr>
            <w:r w:rsidRPr="00CF3DBE">
              <w:rPr>
                <w:sz w:val="24"/>
                <w:szCs w:val="24"/>
              </w:rPr>
              <w:t>1.</w:t>
            </w:r>
          </w:p>
        </w:tc>
        <w:tc>
          <w:tcPr>
            <w:tcW w:w="7938" w:type="dxa"/>
            <w:gridSpan w:val="2"/>
          </w:tcPr>
          <w:p w14:paraId="21581111" w14:textId="77777777" w:rsidR="00D6055E" w:rsidRPr="00CF3DBE" w:rsidRDefault="00D6055E" w:rsidP="00057C1C">
            <w:pPr>
              <w:rPr>
                <w:sz w:val="24"/>
                <w:szCs w:val="24"/>
              </w:rPr>
            </w:pPr>
            <w:r w:rsidRPr="00CF3DBE">
              <w:rPr>
                <w:sz w:val="24"/>
                <w:szCs w:val="24"/>
              </w:rPr>
              <w:t>Inspicer hætteglassene: inspicer for klarhed, farve og udløbsdato.</w:t>
            </w:r>
          </w:p>
          <w:p w14:paraId="3C392A47" w14:textId="37D92B1F" w:rsidR="00D6055E" w:rsidRPr="00CF3DBE" w:rsidRDefault="00D6055E" w:rsidP="00057C1C">
            <w:pPr>
              <w:rPr>
                <w:sz w:val="24"/>
                <w:szCs w:val="24"/>
              </w:rPr>
            </w:pPr>
          </w:p>
        </w:tc>
      </w:tr>
      <w:tr w:rsidR="00D6055E" w:rsidRPr="00CF3DBE" w14:paraId="76531C28" w14:textId="77777777" w:rsidTr="00D6055E">
        <w:tc>
          <w:tcPr>
            <w:tcW w:w="704" w:type="dxa"/>
          </w:tcPr>
          <w:p w14:paraId="42BCDF1B" w14:textId="3815180A" w:rsidR="00D6055E" w:rsidRPr="00CF3DBE" w:rsidRDefault="00D6055E" w:rsidP="00D6055E">
            <w:pPr>
              <w:rPr>
                <w:sz w:val="24"/>
                <w:szCs w:val="24"/>
              </w:rPr>
            </w:pPr>
            <w:r w:rsidRPr="00CF3DBE">
              <w:rPr>
                <w:sz w:val="24"/>
                <w:szCs w:val="24"/>
              </w:rPr>
              <w:t>2.</w:t>
            </w:r>
          </w:p>
        </w:tc>
        <w:tc>
          <w:tcPr>
            <w:tcW w:w="7938" w:type="dxa"/>
            <w:gridSpan w:val="2"/>
          </w:tcPr>
          <w:p w14:paraId="4FB471FA" w14:textId="77777777" w:rsidR="00D6055E" w:rsidRPr="00CF3DBE" w:rsidRDefault="00D6055E" w:rsidP="00D6055E">
            <w:pPr>
              <w:rPr>
                <w:sz w:val="24"/>
                <w:szCs w:val="24"/>
              </w:rPr>
            </w:pPr>
            <w:r w:rsidRPr="00CF3DBE">
              <w:rPr>
                <w:sz w:val="24"/>
                <w:szCs w:val="24"/>
              </w:rPr>
              <w:t>Forbered til infusion:</w:t>
            </w:r>
          </w:p>
          <w:p w14:paraId="588565FA" w14:textId="77777777" w:rsidR="00D6055E" w:rsidRPr="00CF3DBE" w:rsidRDefault="00D6055E" w:rsidP="00D6055E">
            <w:pPr>
              <w:rPr>
                <w:sz w:val="24"/>
                <w:szCs w:val="24"/>
              </w:rPr>
            </w:pPr>
            <w:r w:rsidRPr="00CF3DBE">
              <w:rPr>
                <w:sz w:val="24"/>
                <w:szCs w:val="24"/>
              </w:rPr>
              <w:t xml:space="preserve">Saml materialer: Hætteglas med </w:t>
            </w:r>
            <w:proofErr w:type="spellStart"/>
            <w:r w:rsidRPr="00CF3DBE">
              <w:rPr>
                <w:sz w:val="24"/>
                <w:szCs w:val="24"/>
              </w:rPr>
              <w:t>Xembify</w:t>
            </w:r>
            <w:proofErr w:type="spellEnd"/>
            <w:r w:rsidRPr="00CF3DBE">
              <w:rPr>
                <w:sz w:val="24"/>
                <w:szCs w:val="24"/>
              </w:rPr>
              <w:t>, hjælpematerialer, beholder til skarpe genstande, patientens behandlingsdagbog/logbog og infusionspumpen.</w:t>
            </w:r>
          </w:p>
          <w:p w14:paraId="15C76851" w14:textId="77777777" w:rsidR="00D6055E" w:rsidRPr="00CF3DBE" w:rsidRDefault="00D6055E" w:rsidP="00D6055E">
            <w:pPr>
              <w:rPr>
                <w:sz w:val="24"/>
                <w:szCs w:val="24"/>
              </w:rPr>
            </w:pPr>
          </w:p>
          <w:p w14:paraId="10A5FFB7" w14:textId="4A93739F" w:rsidR="00D6055E" w:rsidRPr="00CF3DBE" w:rsidRDefault="00D6055E" w:rsidP="00D6055E">
            <w:pPr>
              <w:rPr>
                <w:sz w:val="24"/>
                <w:szCs w:val="24"/>
              </w:rPr>
            </w:pPr>
            <w:r w:rsidRPr="00CF3DBE">
              <w:rPr>
                <w:sz w:val="24"/>
                <w:szCs w:val="24"/>
              </w:rPr>
              <w:t>Forbered et rent arbejdsområde.</w:t>
            </w:r>
          </w:p>
          <w:p w14:paraId="0C4EF5B9" w14:textId="77777777" w:rsidR="00D6055E" w:rsidRPr="00CF3DBE" w:rsidRDefault="00D6055E" w:rsidP="00D6055E">
            <w:pPr>
              <w:rPr>
                <w:sz w:val="24"/>
                <w:szCs w:val="24"/>
              </w:rPr>
            </w:pPr>
          </w:p>
          <w:p w14:paraId="4B4FC56E" w14:textId="1DF99ED4" w:rsidR="00D6055E" w:rsidRPr="00CF3DBE" w:rsidRDefault="00D6055E" w:rsidP="00D6055E">
            <w:pPr>
              <w:rPr>
                <w:sz w:val="24"/>
                <w:szCs w:val="24"/>
              </w:rPr>
            </w:pPr>
            <w:r w:rsidRPr="00CF3DBE">
              <w:rPr>
                <w:sz w:val="24"/>
                <w:szCs w:val="24"/>
              </w:rPr>
              <w:t>Vask hænder.</w:t>
            </w:r>
          </w:p>
          <w:p w14:paraId="6E20AB28" w14:textId="77777777" w:rsidR="00D6055E" w:rsidRPr="00CF3DBE" w:rsidRDefault="00D6055E" w:rsidP="00057C1C">
            <w:pPr>
              <w:rPr>
                <w:sz w:val="24"/>
                <w:szCs w:val="24"/>
              </w:rPr>
            </w:pPr>
          </w:p>
        </w:tc>
      </w:tr>
      <w:tr w:rsidR="00D6055E" w:rsidRPr="00CF3DBE" w14:paraId="7E48CFBD" w14:textId="77777777" w:rsidTr="00D6055E">
        <w:tc>
          <w:tcPr>
            <w:tcW w:w="704" w:type="dxa"/>
          </w:tcPr>
          <w:p w14:paraId="2BAD8909" w14:textId="1393E37A" w:rsidR="00D6055E" w:rsidRPr="00CF3DBE" w:rsidRDefault="00D6055E" w:rsidP="00D6055E">
            <w:pPr>
              <w:rPr>
                <w:sz w:val="24"/>
                <w:szCs w:val="24"/>
              </w:rPr>
            </w:pPr>
            <w:r w:rsidRPr="00CF3DBE">
              <w:rPr>
                <w:sz w:val="24"/>
                <w:szCs w:val="24"/>
              </w:rPr>
              <w:lastRenderedPageBreak/>
              <w:t>3.</w:t>
            </w:r>
          </w:p>
        </w:tc>
        <w:tc>
          <w:tcPr>
            <w:tcW w:w="7938" w:type="dxa"/>
            <w:gridSpan w:val="2"/>
          </w:tcPr>
          <w:p w14:paraId="394A7DE9" w14:textId="77777777" w:rsidR="00D6055E" w:rsidRPr="00CF3DBE" w:rsidRDefault="00D6055E" w:rsidP="00057C1C">
            <w:pPr>
              <w:rPr>
                <w:sz w:val="24"/>
                <w:szCs w:val="24"/>
              </w:rPr>
            </w:pPr>
            <w:r w:rsidRPr="00CF3DBE">
              <w:rPr>
                <w:sz w:val="24"/>
                <w:szCs w:val="24"/>
              </w:rPr>
              <w:t>Fjern beskyttelseshætten fra hætteglasset for at eksponere den centrale del af proppen.</w:t>
            </w:r>
          </w:p>
          <w:p w14:paraId="698DC198" w14:textId="4C35715B" w:rsidR="00D6055E" w:rsidRPr="00CF3DBE" w:rsidRDefault="00D6055E" w:rsidP="00057C1C">
            <w:pPr>
              <w:rPr>
                <w:sz w:val="24"/>
                <w:szCs w:val="24"/>
              </w:rPr>
            </w:pPr>
          </w:p>
        </w:tc>
      </w:tr>
      <w:tr w:rsidR="00D6055E" w:rsidRPr="00CF3DBE" w14:paraId="06D1597E" w14:textId="77777777" w:rsidTr="00D6055E">
        <w:tc>
          <w:tcPr>
            <w:tcW w:w="704" w:type="dxa"/>
          </w:tcPr>
          <w:p w14:paraId="2AB58168" w14:textId="7B683680" w:rsidR="00D6055E" w:rsidRPr="00CF3DBE" w:rsidRDefault="00D6055E" w:rsidP="00D6055E">
            <w:pPr>
              <w:rPr>
                <w:sz w:val="24"/>
                <w:szCs w:val="24"/>
              </w:rPr>
            </w:pPr>
            <w:r w:rsidRPr="00CF3DBE">
              <w:rPr>
                <w:sz w:val="24"/>
                <w:szCs w:val="24"/>
              </w:rPr>
              <w:t>4.</w:t>
            </w:r>
          </w:p>
        </w:tc>
        <w:tc>
          <w:tcPr>
            <w:tcW w:w="7938" w:type="dxa"/>
            <w:gridSpan w:val="2"/>
          </w:tcPr>
          <w:p w14:paraId="4DC171F4" w14:textId="77777777" w:rsidR="00D6055E" w:rsidRPr="00CF3DBE" w:rsidRDefault="00D6055E" w:rsidP="00057C1C">
            <w:pPr>
              <w:rPr>
                <w:sz w:val="24"/>
                <w:szCs w:val="24"/>
              </w:rPr>
            </w:pPr>
            <w:r w:rsidRPr="00CF3DBE">
              <w:rPr>
                <w:sz w:val="24"/>
                <w:szCs w:val="24"/>
              </w:rPr>
              <w:t>Tør proppen af med alkohol og lad den tørre.</w:t>
            </w:r>
          </w:p>
          <w:p w14:paraId="725D77FF" w14:textId="79CD22EA" w:rsidR="00D6055E" w:rsidRPr="00CF3DBE" w:rsidRDefault="00D6055E" w:rsidP="00057C1C">
            <w:pPr>
              <w:rPr>
                <w:sz w:val="24"/>
                <w:szCs w:val="24"/>
              </w:rPr>
            </w:pPr>
          </w:p>
        </w:tc>
      </w:tr>
      <w:tr w:rsidR="00D6055E" w:rsidRPr="00CF3DBE" w14:paraId="2E146EAF" w14:textId="77777777" w:rsidTr="00D6055E">
        <w:tc>
          <w:tcPr>
            <w:tcW w:w="704" w:type="dxa"/>
          </w:tcPr>
          <w:p w14:paraId="72707B6D" w14:textId="595D3E28" w:rsidR="00D6055E" w:rsidRPr="00CF3DBE" w:rsidRDefault="00D6055E" w:rsidP="00D6055E">
            <w:pPr>
              <w:rPr>
                <w:sz w:val="24"/>
                <w:szCs w:val="24"/>
              </w:rPr>
            </w:pPr>
            <w:r w:rsidRPr="00CF3DBE">
              <w:rPr>
                <w:sz w:val="24"/>
                <w:szCs w:val="24"/>
              </w:rPr>
              <w:t>5.</w:t>
            </w:r>
          </w:p>
        </w:tc>
        <w:tc>
          <w:tcPr>
            <w:tcW w:w="3774" w:type="dxa"/>
          </w:tcPr>
          <w:p w14:paraId="7EE6B24D" w14:textId="77777777" w:rsidR="00D6055E" w:rsidRPr="00CF3DBE" w:rsidRDefault="00D6055E" w:rsidP="00D6055E">
            <w:pPr>
              <w:rPr>
                <w:sz w:val="24"/>
                <w:szCs w:val="24"/>
              </w:rPr>
            </w:pPr>
            <w:r w:rsidRPr="00CF3DBE">
              <w:rPr>
                <w:sz w:val="24"/>
                <w:szCs w:val="24"/>
              </w:rPr>
              <w:t xml:space="preserve">Brug en steril sprøjte og kanyle til at trække </w:t>
            </w:r>
            <w:proofErr w:type="spellStart"/>
            <w:r w:rsidRPr="00CF3DBE">
              <w:rPr>
                <w:sz w:val="24"/>
                <w:szCs w:val="24"/>
              </w:rPr>
              <w:t>Xembify</w:t>
            </w:r>
            <w:proofErr w:type="spellEnd"/>
            <w:r w:rsidRPr="00CF3DBE">
              <w:rPr>
                <w:sz w:val="24"/>
                <w:szCs w:val="24"/>
              </w:rPr>
              <w:t xml:space="preserve"> op ved først at injicere en mængde luft i hætteglasset, der svarer til den mængde </w:t>
            </w:r>
            <w:proofErr w:type="spellStart"/>
            <w:r w:rsidRPr="00CF3DBE">
              <w:rPr>
                <w:sz w:val="24"/>
                <w:szCs w:val="24"/>
              </w:rPr>
              <w:t>Xembify</w:t>
            </w:r>
            <w:proofErr w:type="spellEnd"/>
            <w:r w:rsidRPr="00CF3DBE">
              <w:rPr>
                <w:sz w:val="24"/>
                <w:szCs w:val="24"/>
              </w:rPr>
              <w:t xml:space="preserve">, der skal trækkes op. Træk derefter det ønskede volumen </w:t>
            </w:r>
            <w:proofErr w:type="spellStart"/>
            <w:r w:rsidRPr="00CF3DBE">
              <w:rPr>
                <w:sz w:val="24"/>
                <w:szCs w:val="24"/>
              </w:rPr>
              <w:t>Xembify</w:t>
            </w:r>
            <w:proofErr w:type="spellEnd"/>
            <w:r w:rsidRPr="00CF3DBE">
              <w:rPr>
                <w:sz w:val="24"/>
                <w:szCs w:val="24"/>
              </w:rPr>
              <w:t xml:space="preserve"> op. Hvis der er brug for flere hætteglas for at opnå den ønskede dosis, skal du gentage dette trin. (Figur 1)</w:t>
            </w:r>
          </w:p>
          <w:p w14:paraId="2862E0F6" w14:textId="113D7CBA" w:rsidR="00D6055E" w:rsidRPr="00CF3DBE" w:rsidRDefault="00D6055E" w:rsidP="00D6055E">
            <w:pPr>
              <w:rPr>
                <w:sz w:val="24"/>
                <w:szCs w:val="24"/>
              </w:rPr>
            </w:pPr>
          </w:p>
        </w:tc>
        <w:tc>
          <w:tcPr>
            <w:tcW w:w="4164" w:type="dxa"/>
          </w:tcPr>
          <w:p w14:paraId="745CFAF5" w14:textId="5CF68D7C" w:rsidR="00D6055E" w:rsidRPr="00CF3DBE" w:rsidRDefault="00D6055E" w:rsidP="00057C1C">
            <w:pPr>
              <w:rPr>
                <w:sz w:val="24"/>
                <w:szCs w:val="24"/>
              </w:rPr>
            </w:pPr>
            <w:r w:rsidRPr="00CF3DBE">
              <w:rPr>
                <w:noProof/>
                <w:sz w:val="24"/>
                <w:szCs w:val="24"/>
              </w:rPr>
              <w:drawing>
                <wp:inline distT="0" distB="0" distL="0" distR="0" wp14:anchorId="4BD7CED9" wp14:editId="65F401D1">
                  <wp:extent cx="1600200" cy="1612900"/>
                  <wp:effectExtent l="0" t="0" r="0" b="6350"/>
                  <wp:docPr id="15" name="Billede 15" descr="Figure 1 shows to remove XEMBIFY from the vial with a sterile syri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igure 1 shows to remove XEMBIFY from the vial with a sterile syring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00200" cy="1612900"/>
                          </a:xfrm>
                          <a:prstGeom prst="rect">
                            <a:avLst/>
                          </a:prstGeom>
                          <a:noFill/>
                          <a:ln>
                            <a:noFill/>
                          </a:ln>
                        </pic:spPr>
                      </pic:pic>
                    </a:graphicData>
                  </a:graphic>
                </wp:inline>
              </w:drawing>
            </w:r>
          </w:p>
        </w:tc>
      </w:tr>
      <w:tr w:rsidR="00D6055E" w:rsidRPr="00CF3DBE" w14:paraId="046AF9B8" w14:textId="77777777" w:rsidTr="00D6055E">
        <w:tc>
          <w:tcPr>
            <w:tcW w:w="704" w:type="dxa"/>
          </w:tcPr>
          <w:p w14:paraId="7726F9F2" w14:textId="01AB80EB" w:rsidR="00D6055E" w:rsidRPr="00CF3DBE" w:rsidRDefault="00D6055E" w:rsidP="00D6055E">
            <w:pPr>
              <w:rPr>
                <w:sz w:val="24"/>
                <w:szCs w:val="24"/>
              </w:rPr>
            </w:pPr>
            <w:r w:rsidRPr="00CF3DBE">
              <w:rPr>
                <w:sz w:val="24"/>
                <w:szCs w:val="24"/>
              </w:rPr>
              <w:t>6.</w:t>
            </w:r>
          </w:p>
        </w:tc>
        <w:tc>
          <w:tcPr>
            <w:tcW w:w="7938" w:type="dxa"/>
            <w:gridSpan w:val="2"/>
          </w:tcPr>
          <w:p w14:paraId="56F79745" w14:textId="77777777" w:rsidR="00D6055E" w:rsidRPr="00CF3DBE" w:rsidRDefault="00D6055E" w:rsidP="00057C1C">
            <w:pPr>
              <w:rPr>
                <w:sz w:val="24"/>
                <w:szCs w:val="24"/>
              </w:rPr>
            </w:pPr>
            <w:r w:rsidRPr="00CF3DBE">
              <w:rPr>
                <w:sz w:val="24"/>
                <w:szCs w:val="24"/>
              </w:rPr>
              <w:t xml:space="preserve">Brug </w:t>
            </w:r>
            <w:proofErr w:type="spellStart"/>
            <w:r w:rsidRPr="00CF3DBE">
              <w:rPr>
                <w:sz w:val="24"/>
                <w:szCs w:val="24"/>
              </w:rPr>
              <w:t>Xembify</w:t>
            </w:r>
            <w:proofErr w:type="spellEnd"/>
            <w:r w:rsidRPr="00CF3DBE">
              <w:rPr>
                <w:sz w:val="24"/>
                <w:szCs w:val="24"/>
              </w:rPr>
              <w:t xml:space="preserve"> så hurtigt som praktisk muligt for at undgå potentiel dannelse af partikler forårsaget af silikonebelagte sprøjter.</w:t>
            </w:r>
          </w:p>
          <w:p w14:paraId="32B5D2F6" w14:textId="73531FCB" w:rsidR="00D6055E" w:rsidRPr="00CF3DBE" w:rsidRDefault="00D6055E" w:rsidP="00057C1C">
            <w:pPr>
              <w:rPr>
                <w:noProof/>
                <w:sz w:val="24"/>
                <w:szCs w:val="24"/>
              </w:rPr>
            </w:pPr>
          </w:p>
        </w:tc>
      </w:tr>
      <w:tr w:rsidR="00D6055E" w:rsidRPr="00CF3DBE" w14:paraId="7D9E4064" w14:textId="77777777" w:rsidTr="00D6055E">
        <w:tc>
          <w:tcPr>
            <w:tcW w:w="704" w:type="dxa"/>
          </w:tcPr>
          <w:p w14:paraId="66F92028" w14:textId="055EF9AD" w:rsidR="00D6055E" w:rsidRPr="00CF3DBE" w:rsidRDefault="00D6055E" w:rsidP="00D6055E">
            <w:pPr>
              <w:rPr>
                <w:sz w:val="24"/>
                <w:szCs w:val="24"/>
              </w:rPr>
            </w:pPr>
            <w:r w:rsidRPr="00CF3DBE">
              <w:rPr>
                <w:sz w:val="24"/>
                <w:szCs w:val="24"/>
              </w:rPr>
              <w:t>7.</w:t>
            </w:r>
          </w:p>
        </w:tc>
        <w:tc>
          <w:tcPr>
            <w:tcW w:w="7938" w:type="dxa"/>
            <w:gridSpan w:val="2"/>
          </w:tcPr>
          <w:p w14:paraId="516C425D" w14:textId="544C914A" w:rsidR="00D6055E" w:rsidRPr="00CF3DBE" w:rsidRDefault="00D6055E" w:rsidP="00D6055E">
            <w:pPr>
              <w:rPr>
                <w:sz w:val="24"/>
                <w:szCs w:val="24"/>
              </w:rPr>
            </w:pPr>
            <w:r w:rsidRPr="00CF3DBE">
              <w:rPr>
                <w:sz w:val="24"/>
                <w:szCs w:val="24"/>
              </w:rPr>
              <w:t>Følg producentens anvisninger for forberedelse af pumpe og administrations</w:t>
            </w:r>
            <w:r w:rsidR="000B2C17">
              <w:rPr>
                <w:sz w:val="24"/>
                <w:szCs w:val="24"/>
              </w:rPr>
              <w:softHyphen/>
            </w:r>
            <w:r w:rsidRPr="00CF3DBE">
              <w:rPr>
                <w:sz w:val="24"/>
                <w:szCs w:val="24"/>
              </w:rPr>
              <w:t xml:space="preserve">slange. Sørg for at prime administrationsslangen for at sikre, at der ikke er luft tilbage i slangen eller kanylen ved at fylde slangen/kanylen med </w:t>
            </w:r>
            <w:proofErr w:type="spellStart"/>
            <w:r w:rsidRPr="00CF3DBE">
              <w:rPr>
                <w:sz w:val="24"/>
                <w:szCs w:val="24"/>
              </w:rPr>
              <w:t>Xembify</w:t>
            </w:r>
            <w:proofErr w:type="spellEnd"/>
            <w:r w:rsidRPr="00CF3DBE">
              <w:rPr>
                <w:sz w:val="24"/>
                <w:szCs w:val="24"/>
              </w:rPr>
              <w:t>.</w:t>
            </w:r>
          </w:p>
          <w:p w14:paraId="4B1B9E8C" w14:textId="77777777" w:rsidR="00D6055E" w:rsidRPr="00CF3DBE" w:rsidRDefault="00D6055E" w:rsidP="00057C1C">
            <w:pPr>
              <w:rPr>
                <w:noProof/>
                <w:sz w:val="24"/>
                <w:szCs w:val="24"/>
              </w:rPr>
            </w:pPr>
          </w:p>
        </w:tc>
      </w:tr>
      <w:tr w:rsidR="00D6055E" w:rsidRPr="00CF3DBE" w14:paraId="30B63E15" w14:textId="77777777" w:rsidTr="00D6055E">
        <w:tc>
          <w:tcPr>
            <w:tcW w:w="704" w:type="dxa"/>
          </w:tcPr>
          <w:p w14:paraId="677395AF" w14:textId="4DB8804F" w:rsidR="00D6055E" w:rsidRPr="00CF3DBE" w:rsidRDefault="00D6055E" w:rsidP="00D6055E">
            <w:pPr>
              <w:rPr>
                <w:sz w:val="24"/>
                <w:szCs w:val="24"/>
              </w:rPr>
            </w:pPr>
            <w:r w:rsidRPr="00CF3DBE">
              <w:rPr>
                <w:sz w:val="24"/>
                <w:szCs w:val="24"/>
              </w:rPr>
              <w:t>8.</w:t>
            </w:r>
          </w:p>
        </w:tc>
        <w:tc>
          <w:tcPr>
            <w:tcW w:w="3774" w:type="dxa"/>
          </w:tcPr>
          <w:p w14:paraId="3843159B" w14:textId="7E539477" w:rsidR="00D6055E" w:rsidRPr="00CF3DBE" w:rsidRDefault="00D6055E" w:rsidP="00D6055E">
            <w:pPr>
              <w:rPr>
                <w:sz w:val="24"/>
                <w:szCs w:val="24"/>
              </w:rPr>
            </w:pPr>
            <w:r w:rsidRPr="00CF3DBE">
              <w:rPr>
                <w:sz w:val="24"/>
                <w:szCs w:val="24"/>
              </w:rPr>
              <w:t>Vælg antallet og placeringen af injektionssteder. Skift injektionssted for hver administration. (Figur 2)</w:t>
            </w:r>
          </w:p>
          <w:p w14:paraId="21DB7B17" w14:textId="77777777" w:rsidR="00D6055E" w:rsidRPr="00CF3DBE" w:rsidRDefault="00D6055E" w:rsidP="00D6055E">
            <w:pPr>
              <w:rPr>
                <w:sz w:val="24"/>
                <w:szCs w:val="24"/>
              </w:rPr>
            </w:pPr>
          </w:p>
          <w:p w14:paraId="00A0B78D" w14:textId="73731AE3" w:rsidR="00D6055E" w:rsidRPr="00CF3DBE" w:rsidRDefault="00D6055E" w:rsidP="00D6055E">
            <w:pPr>
              <w:rPr>
                <w:sz w:val="24"/>
                <w:szCs w:val="24"/>
              </w:rPr>
            </w:pPr>
            <w:proofErr w:type="spellStart"/>
            <w:r w:rsidRPr="00CF3DBE">
              <w:rPr>
                <w:sz w:val="24"/>
                <w:szCs w:val="24"/>
              </w:rPr>
              <w:t>Infunder</w:t>
            </w:r>
            <w:proofErr w:type="spellEnd"/>
            <w:r w:rsidRPr="00CF3DBE">
              <w:rPr>
                <w:sz w:val="24"/>
                <w:szCs w:val="24"/>
              </w:rPr>
              <w:t xml:space="preserve"> </w:t>
            </w:r>
            <w:proofErr w:type="spellStart"/>
            <w:r w:rsidRPr="00CF3DBE">
              <w:rPr>
                <w:sz w:val="24"/>
                <w:szCs w:val="24"/>
              </w:rPr>
              <w:t>Xembify</w:t>
            </w:r>
            <w:proofErr w:type="spellEnd"/>
            <w:r w:rsidRPr="00CF3DBE">
              <w:rPr>
                <w:sz w:val="24"/>
                <w:szCs w:val="24"/>
              </w:rPr>
              <w:t xml:space="preserve"> i maven, låret, overarmen, siderne, ryggen og/eller lateral hofte.</w:t>
            </w:r>
          </w:p>
          <w:p w14:paraId="3C961F6D" w14:textId="77777777" w:rsidR="00D6055E" w:rsidRPr="00CF3DBE" w:rsidRDefault="00D6055E" w:rsidP="00D6055E">
            <w:pPr>
              <w:rPr>
                <w:sz w:val="24"/>
                <w:szCs w:val="24"/>
              </w:rPr>
            </w:pPr>
          </w:p>
          <w:p w14:paraId="51CF0038" w14:textId="77777777" w:rsidR="00D6055E" w:rsidRPr="00CF3DBE" w:rsidRDefault="00D6055E" w:rsidP="00D6055E">
            <w:pPr>
              <w:rPr>
                <w:sz w:val="24"/>
                <w:szCs w:val="24"/>
              </w:rPr>
            </w:pPr>
            <w:r w:rsidRPr="00CF3DBE">
              <w:rPr>
                <w:sz w:val="24"/>
                <w:szCs w:val="24"/>
              </w:rPr>
              <w:t>Undgå knogleområder, ar, områder med betændelse, overfladisk infektion eller blodkar.</w:t>
            </w:r>
          </w:p>
          <w:p w14:paraId="56B20DE4" w14:textId="664074D5" w:rsidR="00D6055E" w:rsidRPr="00CF3DBE" w:rsidRDefault="00D6055E" w:rsidP="00D6055E">
            <w:pPr>
              <w:rPr>
                <w:sz w:val="24"/>
                <w:szCs w:val="24"/>
              </w:rPr>
            </w:pPr>
          </w:p>
        </w:tc>
        <w:tc>
          <w:tcPr>
            <w:tcW w:w="4164" w:type="dxa"/>
          </w:tcPr>
          <w:p w14:paraId="07CBCE4E" w14:textId="1B7A76DA" w:rsidR="00D6055E" w:rsidRPr="00CF3DBE" w:rsidRDefault="00D6055E" w:rsidP="000B2C17">
            <w:pPr>
              <w:jc w:val="center"/>
              <w:rPr>
                <w:noProof/>
                <w:sz w:val="24"/>
                <w:szCs w:val="24"/>
              </w:rPr>
            </w:pPr>
            <w:r w:rsidRPr="00CF3DBE">
              <w:rPr>
                <w:noProof/>
                <w:sz w:val="24"/>
                <w:szCs w:val="24"/>
              </w:rPr>
              <w:drawing>
                <wp:inline distT="0" distB="0" distL="0" distR="0" wp14:anchorId="7423E433" wp14:editId="525B8141">
                  <wp:extent cx="1416050" cy="1441450"/>
                  <wp:effectExtent l="0" t="0" r="0" b="6350"/>
                  <wp:docPr id="16" name="Billede 16" descr="Figure 2 shows you the body sites to chose to inject XEMBIFY.&#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igure 2 shows you the body sites to chose to inject XEMBIFY.&#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16050" cy="1441450"/>
                          </a:xfrm>
                          <a:prstGeom prst="rect">
                            <a:avLst/>
                          </a:prstGeom>
                          <a:noFill/>
                          <a:ln>
                            <a:noFill/>
                          </a:ln>
                        </pic:spPr>
                      </pic:pic>
                    </a:graphicData>
                  </a:graphic>
                </wp:inline>
              </w:drawing>
            </w:r>
          </w:p>
        </w:tc>
      </w:tr>
      <w:tr w:rsidR="00D6055E" w:rsidRPr="00CF3DBE" w14:paraId="62DF5166" w14:textId="77777777" w:rsidTr="00D6055E">
        <w:tc>
          <w:tcPr>
            <w:tcW w:w="704" w:type="dxa"/>
          </w:tcPr>
          <w:p w14:paraId="02F2295E" w14:textId="5C590FFD" w:rsidR="00D6055E" w:rsidRPr="00CF3DBE" w:rsidRDefault="00D6055E" w:rsidP="00D6055E">
            <w:pPr>
              <w:rPr>
                <w:sz w:val="24"/>
                <w:szCs w:val="24"/>
              </w:rPr>
            </w:pPr>
            <w:r w:rsidRPr="00CF3DBE">
              <w:rPr>
                <w:sz w:val="24"/>
                <w:szCs w:val="24"/>
              </w:rPr>
              <w:t>9.</w:t>
            </w:r>
          </w:p>
        </w:tc>
        <w:tc>
          <w:tcPr>
            <w:tcW w:w="3774" w:type="dxa"/>
          </w:tcPr>
          <w:p w14:paraId="6317B7F1" w14:textId="77777777" w:rsidR="00D6055E" w:rsidRPr="00CF3DBE" w:rsidRDefault="00D6055E" w:rsidP="00D6055E">
            <w:pPr>
              <w:rPr>
                <w:sz w:val="24"/>
                <w:szCs w:val="24"/>
              </w:rPr>
            </w:pPr>
            <w:r w:rsidRPr="00CF3DBE">
              <w:rPr>
                <w:sz w:val="24"/>
                <w:szCs w:val="24"/>
              </w:rPr>
              <w:t>Rens injektionsstedet/injektions</w:t>
            </w:r>
            <w:r w:rsidRPr="00CF3DBE">
              <w:rPr>
                <w:sz w:val="24"/>
                <w:szCs w:val="24"/>
              </w:rPr>
              <w:softHyphen/>
              <w:t>stederne med antiseptisk opløsning ved hjælp af en cirkulær bevægelse, hvor du arbejder fra midten af stedet og bevæger dig udad. Stederne skal være rene, tørre og mindst 5 cm fra hinanden. (Figur 3)</w:t>
            </w:r>
          </w:p>
          <w:p w14:paraId="5FB2285A" w14:textId="2AB0FE47" w:rsidR="00D6055E" w:rsidRPr="00CF3DBE" w:rsidRDefault="00D6055E" w:rsidP="00D6055E">
            <w:pPr>
              <w:rPr>
                <w:sz w:val="24"/>
                <w:szCs w:val="24"/>
              </w:rPr>
            </w:pPr>
          </w:p>
        </w:tc>
        <w:tc>
          <w:tcPr>
            <w:tcW w:w="4164" w:type="dxa"/>
          </w:tcPr>
          <w:p w14:paraId="50C2F935" w14:textId="2645985A" w:rsidR="00D6055E" w:rsidRPr="00CF3DBE" w:rsidRDefault="00D6055E" w:rsidP="000B2C17">
            <w:pPr>
              <w:jc w:val="center"/>
              <w:rPr>
                <w:noProof/>
                <w:sz w:val="24"/>
                <w:szCs w:val="24"/>
              </w:rPr>
            </w:pPr>
            <w:r w:rsidRPr="00CF3DBE">
              <w:rPr>
                <w:noProof/>
                <w:sz w:val="24"/>
                <w:szCs w:val="24"/>
              </w:rPr>
              <w:drawing>
                <wp:inline distT="0" distB="0" distL="0" distR="0" wp14:anchorId="0DCF432E" wp14:editId="37B4985A">
                  <wp:extent cx="1136650" cy="1098550"/>
                  <wp:effectExtent l="0" t="0" r="6350" b="6350"/>
                  <wp:docPr id="17" name="Billede 17" descr="Figure 3 shows how to clean your skin at an injection site with an antiseptic solu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igure 3 shows how to clean your skin at an injection site with an antiseptic solutio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36650" cy="1098550"/>
                          </a:xfrm>
                          <a:prstGeom prst="rect">
                            <a:avLst/>
                          </a:prstGeom>
                          <a:noFill/>
                          <a:ln>
                            <a:noFill/>
                          </a:ln>
                        </pic:spPr>
                      </pic:pic>
                    </a:graphicData>
                  </a:graphic>
                </wp:inline>
              </w:drawing>
            </w:r>
          </w:p>
        </w:tc>
      </w:tr>
      <w:tr w:rsidR="00D6055E" w:rsidRPr="00CF3DBE" w14:paraId="16DFC295" w14:textId="77777777" w:rsidTr="00D6055E">
        <w:tc>
          <w:tcPr>
            <w:tcW w:w="704" w:type="dxa"/>
          </w:tcPr>
          <w:p w14:paraId="1DB27B14" w14:textId="45216A23" w:rsidR="00D6055E" w:rsidRPr="00CF3DBE" w:rsidRDefault="00D6055E" w:rsidP="00D6055E">
            <w:pPr>
              <w:rPr>
                <w:sz w:val="24"/>
                <w:szCs w:val="24"/>
              </w:rPr>
            </w:pPr>
            <w:r w:rsidRPr="00CF3DBE">
              <w:rPr>
                <w:sz w:val="24"/>
                <w:szCs w:val="24"/>
              </w:rPr>
              <w:t>10.</w:t>
            </w:r>
          </w:p>
        </w:tc>
        <w:tc>
          <w:tcPr>
            <w:tcW w:w="3774" w:type="dxa"/>
          </w:tcPr>
          <w:p w14:paraId="1BE13A21" w14:textId="77777777" w:rsidR="00D6055E" w:rsidRPr="00CF3DBE" w:rsidRDefault="00D6055E" w:rsidP="00D6055E">
            <w:pPr>
              <w:rPr>
                <w:sz w:val="24"/>
                <w:szCs w:val="24"/>
              </w:rPr>
            </w:pPr>
            <w:r w:rsidRPr="00CF3DBE">
              <w:rPr>
                <w:sz w:val="24"/>
                <w:szCs w:val="24"/>
              </w:rPr>
              <w:t>Tag fat i huden mellem 2 fingre (klem mindst 2,5 cm hud) og indsæt kanylen i en 90 graders vinkel i det subkutane væv. (Figur 4)</w:t>
            </w:r>
          </w:p>
          <w:p w14:paraId="03DC16D8" w14:textId="1FF883B3" w:rsidR="00D6055E" w:rsidRPr="00CF3DBE" w:rsidRDefault="00D6055E" w:rsidP="00D6055E">
            <w:pPr>
              <w:rPr>
                <w:sz w:val="24"/>
                <w:szCs w:val="24"/>
              </w:rPr>
            </w:pPr>
          </w:p>
        </w:tc>
        <w:tc>
          <w:tcPr>
            <w:tcW w:w="4164" w:type="dxa"/>
          </w:tcPr>
          <w:p w14:paraId="2D6500E3" w14:textId="084F7411" w:rsidR="00D6055E" w:rsidRPr="00CF3DBE" w:rsidRDefault="00D6055E" w:rsidP="000B2C17">
            <w:pPr>
              <w:jc w:val="center"/>
              <w:rPr>
                <w:noProof/>
                <w:sz w:val="24"/>
                <w:szCs w:val="24"/>
              </w:rPr>
            </w:pPr>
            <w:r w:rsidRPr="00CF3DBE">
              <w:rPr>
                <w:noProof/>
                <w:sz w:val="24"/>
                <w:szCs w:val="24"/>
              </w:rPr>
              <w:drawing>
                <wp:inline distT="0" distB="0" distL="0" distR="0" wp14:anchorId="3872BC1B" wp14:editId="35B55375">
                  <wp:extent cx="1206500" cy="1117600"/>
                  <wp:effectExtent l="0" t="0" r="0" b="6350"/>
                  <wp:docPr id="18" name="Billede 18" descr="Figure 4 shows how to pinch your skin an insert the need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Figure 4 shows how to pinch your skin an insert the needl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06500" cy="1117600"/>
                          </a:xfrm>
                          <a:prstGeom prst="rect">
                            <a:avLst/>
                          </a:prstGeom>
                          <a:noFill/>
                          <a:ln>
                            <a:noFill/>
                          </a:ln>
                        </pic:spPr>
                      </pic:pic>
                    </a:graphicData>
                  </a:graphic>
                </wp:inline>
              </w:drawing>
            </w:r>
          </w:p>
        </w:tc>
      </w:tr>
      <w:tr w:rsidR="00D6055E" w:rsidRPr="00CF3DBE" w14:paraId="4681CBCE" w14:textId="77777777" w:rsidTr="00D6055E">
        <w:tc>
          <w:tcPr>
            <w:tcW w:w="704" w:type="dxa"/>
          </w:tcPr>
          <w:p w14:paraId="1F3D6791" w14:textId="2CD053B4" w:rsidR="00D6055E" w:rsidRPr="00CF3DBE" w:rsidRDefault="00D6055E" w:rsidP="00D6055E">
            <w:pPr>
              <w:rPr>
                <w:sz w:val="24"/>
                <w:szCs w:val="24"/>
              </w:rPr>
            </w:pPr>
            <w:r w:rsidRPr="00CF3DBE">
              <w:rPr>
                <w:sz w:val="24"/>
                <w:szCs w:val="24"/>
              </w:rPr>
              <w:lastRenderedPageBreak/>
              <w:t>11.</w:t>
            </w:r>
          </w:p>
        </w:tc>
        <w:tc>
          <w:tcPr>
            <w:tcW w:w="3774" w:type="dxa"/>
          </w:tcPr>
          <w:p w14:paraId="01ADF665" w14:textId="77777777" w:rsidR="00D6055E" w:rsidRPr="00CF3DBE" w:rsidRDefault="00D6055E" w:rsidP="00D6055E">
            <w:pPr>
              <w:rPr>
                <w:sz w:val="24"/>
                <w:szCs w:val="24"/>
              </w:rPr>
            </w:pPr>
            <w:r w:rsidRPr="00CF3DBE">
              <w:rPr>
                <w:sz w:val="24"/>
                <w:szCs w:val="24"/>
              </w:rPr>
              <w:t>Hver gang du har indsat en kanyle, skal du sikre, at du ikke er kommet til at stikke i et blodkar ved et uheld. Fastgør en steril sprøjte til enden af den primede administrationsslange, træk stemplet tilbage, og hvis du ser blod, skal du fjerne og bortskaffe kanylen og administrationsslangen. (Figur 5)</w:t>
            </w:r>
          </w:p>
          <w:p w14:paraId="4DE6B0CF" w14:textId="2A7FBE22" w:rsidR="00D6055E" w:rsidRPr="00CF3DBE" w:rsidRDefault="00D6055E" w:rsidP="00D6055E">
            <w:pPr>
              <w:rPr>
                <w:sz w:val="24"/>
                <w:szCs w:val="24"/>
              </w:rPr>
            </w:pPr>
          </w:p>
        </w:tc>
        <w:tc>
          <w:tcPr>
            <w:tcW w:w="4164" w:type="dxa"/>
          </w:tcPr>
          <w:p w14:paraId="2619CAB2" w14:textId="05991D85" w:rsidR="00D6055E" w:rsidRPr="00CF3DBE" w:rsidRDefault="00D6055E" w:rsidP="000B2C17">
            <w:pPr>
              <w:jc w:val="center"/>
              <w:rPr>
                <w:noProof/>
                <w:sz w:val="24"/>
                <w:szCs w:val="24"/>
              </w:rPr>
            </w:pPr>
            <w:r w:rsidRPr="00CF3DBE">
              <w:rPr>
                <w:noProof/>
                <w:sz w:val="24"/>
                <w:szCs w:val="24"/>
              </w:rPr>
              <w:drawing>
                <wp:inline distT="0" distB="0" distL="0" distR="0" wp14:anchorId="500B215F" wp14:editId="1DA2B226">
                  <wp:extent cx="1244600" cy="1289050"/>
                  <wp:effectExtent l="0" t="0" r="0" b="6350"/>
                  <wp:docPr id="19" name="Billede 19" descr="Figure 5 shows you how to determine if you inserted the needle proper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Figure 5 shows you how to determine if you inserted the needle properly."/>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44600" cy="1289050"/>
                          </a:xfrm>
                          <a:prstGeom prst="rect">
                            <a:avLst/>
                          </a:prstGeom>
                          <a:noFill/>
                          <a:ln>
                            <a:noFill/>
                          </a:ln>
                        </pic:spPr>
                      </pic:pic>
                    </a:graphicData>
                  </a:graphic>
                </wp:inline>
              </w:drawing>
            </w:r>
          </w:p>
        </w:tc>
      </w:tr>
      <w:tr w:rsidR="00D6055E" w:rsidRPr="00CF3DBE" w14:paraId="5A1DA2F5" w14:textId="77777777" w:rsidTr="00D6055E">
        <w:tc>
          <w:tcPr>
            <w:tcW w:w="704" w:type="dxa"/>
          </w:tcPr>
          <w:p w14:paraId="4D39E483" w14:textId="3A2EFBDB" w:rsidR="00D6055E" w:rsidRPr="00CF3DBE" w:rsidRDefault="00D6055E" w:rsidP="00D6055E">
            <w:pPr>
              <w:rPr>
                <w:sz w:val="24"/>
                <w:szCs w:val="24"/>
              </w:rPr>
            </w:pPr>
            <w:r w:rsidRPr="00CF3DBE">
              <w:rPr>
                <w:sz w:val="24"/>
                <w:szCs w:val="24"/>
              </w:rPr>
              <w:t>12.</w:t>
            </w:r>
          </w:p>
        </w:tc>
        <w:tc>
          <w:tcPr>
            <w:tcW w:w="7938" w:type="dxa"/>
            <w:gridSpan w:val="2"/>
          </w:tcPr>
          <w:p w14:paraId="4A275958" w14:textId="77777777" w:rsidR="00D6055E" w:rsidRPr="00CF3DBE" w:rsidRDefault="00D6055E" w:rsidP="00D6055E">
            <w:pPr>
              <w:rPr>
                <w:sz w:val="24"/>
                <w:szCs w:val="24"/>
              </w:rPr>
            </w:pPr>
            <w:r w:rsidRPr="00CF3DBE">
              <w:rPr>
                <w:sz w:val="24"/>
                <w:szCs w:val="24"/>
              </w:rPr>
              <w:t xml:space="preserve">Gentag </w:t>
            </w:r>
            <w:proofErr w:type="spellStart"/>
            <w:r w:rsidRPr="00CF3DBE">
              <w:rPr>
                <w:sz w:val="24"/>
                <w:szCs w:val="24"/>
              </w:rPr>
              <w:t>priming</w:t>
            </w:r>
            <w:proofErr w:type="spellEnd"/>
            <w:r w:rsidRPr="00CF3DBE">
              <w:rPr>
                <w:sz w:val="24"/>
                <w:szCs w:val="24"/>
              </w:rPr>
              <w:t>- og kanyleindsættelsestrinene med en ny kanyle, administrationsslange og et nyt infusionssted. Fastgør kanylen på stedet ved at påføre sterilt gazebind eller en gennemsigtig bandage over stedet.</w:t>
            </w:r>
          </w:p>
          <w:p w14:paraId="7FCF9896" w14:textId="77777777" w:rsidR="00D6055E" w:rsidRPr="00CF3DBE" w:rsidRDefault="00D6055E" w:rsidP="00057C1C">
            <w:pPr>
              <w:rPr>
                <w:noProof/>
                <w:sz w:val="24"/>
                <w:szCs w:val="24"/>
              </w:rPr>
            </w:pPr>
          </w:p>
        </w:tc>
      </w:tr>
      <w:tr w:rsidR="00D6055E" w:rsidRPr="00CF3DBE" w14:paraId="74B3CDDF" w14:textId="77777777" w:rsidTr="00D6055E">
        <w:tc>
          <w:tcPr>
            <w:tcW w:w="704" w:type="dxa"/>
          </w:tcPr>
          <w:p w14:paraId="47103CCF" w14:textId="500A5E45" w:rsidR="00D6055E" w:rsidRPr="00CF3DBE" w:rsidRDefault="00D6055E" w:rsidP="00D6055E">
            <w:pPr>
              <w:rPr>
                <w:sz w:val="24"/>
                <w:szCs w:val="24"/>
              </w:rPr>
            </w:pPr>
            <w:r w:rsidRPr="00CF3DBE">
              <w:rPr>
                <w:sz w:val="24"/>
                <w:szCs w:val="24"/>
              </w:rPr>
              <w:t>13.</w:t>
            </w:r>
          </w:p>
        </w:tc>
        <w:tc>
          <w:tcPr>
            <w:tcW w:w="7938" w:type="dxa"/>
            <w:gridSpan w:val="2"/>
          </w:tcPr>
          <w:p w14:paraId="2BAF4040" w14:textId="77777777" w:rsidR="00D6055E" w:rsidRPr="00CF3DBE" w:rsidRDefault="00D6055E" w:rsidP="00D6055E">
            <w:pPr>
              <w:rPr>
                <w:sz w:val="24"/>
                <w:szCs w:val="24"/>
              </w:rPr>
            </w:pPr>
            <w:r w:rsidRPr="00CF3DBE">
              <w:rPr>
                <w:sz w:val="24"/>
                <w:szCs w:val="24"/>
              </w:rPr>
              <w:t xml:space="preserve">For de første to infusioner starter infusionshastigheden med 10 ml pr. time pr. infusionssted. Hvis det tolereres godt, og du ikke får bivirkninger (se pkt. 4.4), kan hastigheden øges hvert 10. minut til maksimalt 20 ml pr. time pr. infusionssted for børn og unge, og 25 ml pr. time pr. infusionssted for voksne. Hvis det tolereres godt for to infusioner, kan infusionshastigheden gradvist øges til 35 ml pr. time pr. infusionssted. </w:t>
            </w:r>
          </w:p>
          <w:p w14:paraId="629DAAF9" w14:textId="77777777" w:rsidR="00D6055E" w:rsidRPr="00CF3DBE" w:rsidRDefault="00D6055E" w:rsidP="00D6055E">
            <w:pPr>
              <w:rPr>
                <w:sz w:val="24"/>
                <w:szCs w:val="24"/>
              </w:rPr>
            </w:pPr>
          </w:p>
          <w:p w14:paraId="7D40B0C9" w14:textId="09D24494" w:rsidR="00D6055E" w:rsidRPr="00CF3DBE" w:rsidRDefault="00D6055E" w:rsidP="00D6055E">
            <w:pPr>
              <w:rPr>
                <w:sz w:val="24"/>
                <w:szCs w:val="24"/>
              </w:rPr>
            </w:pPr>
            <w:r w:rsidRPr="00CF3DBE">
              <w:rPr>
                <w:sz w:val="24"/>
                <w:szCs w:val="24"/>
              </w:rPr>
              <w:t xml:space="preserve">Sørg for, at infusionsstederne er mindst 5 cm fra hinanden for patienter i alle aldre. Antallet af infusionssteder skønnes af sundhedsudbyderen. Hos voksne kan doser over 30 ml deles i henhold til patientens præference. Der er ingen grænse for antallet af infusionssteder. </w:t>
            </w:r>
          </w:p>
          <w:p w14:paraId="19359122" w14:textId="77777777" w:rsidR="00D6055E" w:rsidRPr="00CF3DBE" w:rsidRDefault="00D6055E" w:rsidP="00D6055E">
            <w:pPr>
              <w:rPr>
                <w:sz w:val="24"/>
                <w:szCs w:val="24"/>
              </w:rPr>
            </w:pPr>
          </w:p>
          <w:p w14:paraId="35CB118C" w14:textId="55B4EEAF" w:rsidR="00D6055E" w:rsidRPr="00CF3DBE" w:rsidRDefault="00D6055E" w:rsidP="00D6055E">
            <w:pPr>
              <w:rPr>
                <w:sz w:val="24"/>
                <w:szCs w:val="24"/>
              </w:rPr>
            </w:pPr>
            <w:r w:rsidRPr="00CF3DBE">
              <w:rPr>
                <w:sz w:val="24"/>
                <w:szCs w:val="24"/>
              </w:rPr>
              <w:t xml:space="preserve">Børn vil have behov for et mindre totalt volumen for en specifik </w:t>
            </w:r>
            <w:proofErr w:type="spellStart"/>
            <w:r w:rsidRPr="00CF3DBE">
              <w:rPr>
                <w:sz w:val="24"/>
                <w:szCs w:val="24"/>
              </w:rPr>
              <w:t>Xembify</w:t>
            </w:r>
            <w:proofErr w:type="spellEnd"/>
            <w:r w:rsidRPr="00CF3DBE">
              <w:rPr>
                <w:sz w:val="24"/>
                <w:szCs w:val="24"/>
              </w:rPr>
              <w:t xml:space="preserve">-dosis (mg/kg legemsvægt) end voksne. Sundhedsudbyderen kan vælge et mindre volumen/sted til børn og/eller færre infusionssteder for at opnå den samlede måldosis afhængigt af barnets behov. </w:t>
            </w:r>
          </w:p>
          <w:p w14:paraId="1DBB4DD7" w14:textId="77777777" w:rsidR="00D6055E" w:rsidRPr="00CF3DBE" w:rsidRDefault="00D6055E" w:rsidP="00D6055E">
            <w:pPr>
              <w:rPr>
                <w:sz w:val="24"/>
                <w:szCs w:val="24"/>
              </w:rPr>
            </w:pPr>
          </w:p>
          <w:p w14:paraId="4A6CEB85" w14:textId="370D8BDC" w:rsidR="00D6055E" w:rsidRPr="00CF3DBE" w:rsidRDefault="00D6055E" w:rsidP="00D6055E">
            <w:pPr>
              <w:rPr>
                <w:sz w:val="24"/>
                <w:szCs w:val="24"/>
              </w:rPr>
            </w:pPr>
            <w:r w:rsidRPr="00CF3DBE">
              <w:rPr>
                <w:sz w:val="24"/>
                <w:szCs w:val="24"/>
              </w:rPr>
              <w:t xml:space="preserve">Det totale dosisvolumen af </w:t>
            </w:r>
            <w:proofErr w:type="spellStart"/>
            <w:r w:rsidRPr="00CF3DBE">
              <w:rPr>
                <w:sz w:val="24"/>
                <w:szCs w:val="24"/>
              </w:rPr>
              <w:t>Xembify</w:t>
            </w:r>
            <w:proofErr w:type="spellEnd"/>
            <w:r w:rsidRPr="00CF3DBE">
              <w:rPr>
                <w:sz w:val="24"/>
                <w:szCs w:val="24"/>
              </w:rPr>
              <w:t xml:space="preserve"> deles med det ønskede volumen (ml/sted) for at opnå antallet af infusionssteder, der skal anvendes.</w:t>
            </w:r>
          </w:p>
          <w:p w14:paraId="3856CAEE" w14:textId="77777777" w:rsidR="00D6055E" w:rsidRPr="00CF3DBE" w:rsidRDefault="00D6055E" w:rsidP="00057C1C">
            <w:pPr>
              <w:rPr>
                <w:noProof/>
                <w:sz w:val="24"/>
                <w:szCs w:val="24"/>
              </w:rPr>
            </w:pPr>
          </w:p>
        </w:tc>
      </w:tr>
      <w:tr w:rsidR="00D6055E" w:rsidRPr="00CF3DBE" w14:paraId="2842EB52" w14:textId="77777777" w:rsidTr="00D6055E">
        <w:tc>
          <w:tcPr>
            <w:tcW w:w="704" w:type="dxa"/>
          </w:tcPr>
          <w:p w14:paraId="0A7980EB" w14:textId="5291EA8E" w:rsidR="00D6055E" w:rsidRPr="00CF3DBE" w:rsidRDefault="00D6055E" w:rsidP="00D6055E">
            <w:pPr>
              <w:rPr>
                <w:sz w:val="24"/>
                <w:szCs w:val="24"/>
              </w:rPr>
            </w:pPr>
            <w:r w:rsidRPr="00CF3DBE">
              <w:rPr>
                <w:sz w:val="24"/>
                <w:szCs w:val="24"/>
              </w:rPr>
              <w:t>14.</w:t>
            </w:r>
          </w:p>
        </w:tc>
        <w:tc>
          <w:tcPr>
            <w:tcW w:w="7938" w:type="dxa"/>
            <w:gridSpan w:val="2"/>
          </w:tcPr>
          <w:p w14:paraId="35F2B66B" w14:textId="186EA4D8" w:rsidR="00D6055E" w:rsidRPr="00CF3DBE" w:rsidRDefault="00D6055E" w:rsidP="00D6055E">
            <w:pPr>
              <w:rPr>
                <w:sz w:val="24"/>
                <w:szCs w:val="24"/>
              </w:rPr>
            </w:pPr>
            <w:r w:rsidRPr="00CF3DBE">
              <w:rPr>
                <w:sz w:val="24"/>
                <w:szCs w:val="24"/>
              </w:rPr>
              <w:t xml:space="preserve">Registrer oplysninger om infusionen (f.eks. </w:t>
            </w:r>
            <w:proofErr w:type="spellStart"/>
            <w:r w:rsidRPr="00CF3DBE">
              <w:rPr>
                <w:sz w:val="24"/>
                <w:szCs w:val="24"/>
              </w:rPr>
              <w:t>lotnummer</w:t>
            </w:r>
            <w:proofErr w:type="spellEnd"/>
            <w:r w:rsidRPr="00CF3DBE">
              <w:rPr>
                <w:sz w:val="24"/>
                <w:szCs w:val="24"/>
              </w:rPr>
              <w:t>, udløbsdato, dosis, dato, tidspunkt, placering af infusionssted(er), bivirkninger) i en patientbehandlings</w:t>
            </w:r>
            <w:r w:rsidR="000B2C17">
              <w:rPr>
                <w:sz w:val="24"/>
                <w:szCs w:val="24"/>
              </w:rPr>
              <w:softHyphen/>
            </w:r>
            <w:r w:rsidRPr="00CF3DBE">
              <w:rPr>
                <w:sz w:val="24"/>
                <w:szCs w:val="24"/>
              </w:rPr>
              <w:t>journal eller infusionslogbog.</w:t>
            </w:r>
          </w:p>
          <w:p w14:paraId="43EAF843" w14:textId="77777777" w:rsidR="00D6055E" w:rsidRPr="00CF3DBE" w:rsidRDefault="00D6055E" w:rsidP="00057C1C">
            <w:pPr>
              <w:rPr>
                <w:noProof/>
                <w:sz w:val="24"/>
                <w:szCs w:val="24"/>
              </w:rPr>
            </w:pPr>
          </w:p>
        </w:tc>
      </w:tr>
      <w:tr w:rsidR="00D6055E" w:rsidRPr="00CF3DBE" w14:paraId="2AFE814E" w14:textId="77777777" w:rsidTr="00D6055E">
        <w:tc>
          <w:tcPr>
            <w:tcW w:w="704" w:type="dxa"/>
          </w:tcPr>
          <w:p w14:paraId="0664AAEE" w14:textId="31756900" w:rsidR="00D6055E" w:rsidRPr="00CF3DBE" w:rsidRDefault="00D6055E" w:rsidP="00D6055E">
            <w:pPr>
              <w:rPr>
                <w:sz w:val="24"/>
                <w:szCs w:val="24"/>
              </w:rPr>
            </w:pPr>
            <w:r w:rsidRPr="00CF3DBE">
              <w:rPr>
                <w:sz w:val="24"/>
                <w:szCs w:val="24"/>
              </w:rPr>
              <w:t>15.</w:t>
            </w:r>
          </w:p>
        </w:tc>
        <w:tc>
          <w:tcPr>
            <w:tcW w:w="7938" w:type="dxa"/>
            <w:gridSpan w:val="2"/>
          </w:tcPr>
          <w:p w14:paraId="59221015" w14:textId="77777777" w:rsidR="00D6055E" w:rsidRPr="00CF3DBE" w:rsidRDefault="00D6055E" w:rsidP="00D6055E">
            <w:pPr>
              <w:rPr>
                <w:sz w:val="24"/>
                <w:szCs w:val="24"/>
              </w:rPr>
            </w:pPr>
            <w:r w:rsidRPr="00CF3DBE">
              <w:rPr>
                <w:sz w:val="24"/>
                <w:szCs w:val="24"/>
              </w:rPr>
              <w:t>Kanylen/kanylerne og infusionsslangen/-slangerne bortskaffes ved at anbringe dem i en egnet beholder. Følg fremstillerens anvisninger vedrørende opbevaring af infusionspumpen.</w:t>
            </w:r>
          </w:p>
          <w:p w14:paraId="46544C43" w14:textId="77777777" w:rsidR="00D6055E" w:rsidRPr="00CF3DBE" w:rsidRDefault="00D6055E" w:rsidP="00057C1C">
            <w:pPr>
              <w:rPr>
                <w:noProof/>
                <w:sz w:val="24"/>
                <w:szCs w:val="24"/>
              </w:rPr>
            </w:pPr>
          </w:p>
        </w:tc>
      </w:tr>
      <w:tr w:rsidR="00D6055E" w:rsidRPr="00CF3DBE" w14:paraId="43FF057A" w14:textId="77777777" w:rsidTr="00D6055E">
        <w:tc>
          <w:tcPr>
            <w:tcW w:w="704" w:type="dxa"/>
          </w:tcPr>
          <w:p w14:paraId="54729F00" w14:textId="2C32C64A" w:rsidR="00D6055E" w:rsidRPr="00CF3DBE" w:rsidRDefault="00D6055E" w:rsidP="00D6055E">
            <w:pPr>
              <w:rPr>
                <w:sz w:val="24"/>
                <w:szCs w:val="24"/>
              </w:rPr>
            </w:pPr>
            <w:r w:rsidRPr="00CF3DBE">
              <w:rPr>
                <w:sz w:val="24"/>
                <w:szCs w:val="24"/>
              </w:rPr>
              <w:t>16.</w:t>
            </w:r>
          </w:p>
        </w:tc>
        <w:tc>
          <w:tcPr>
            <w:tcW w:w="7938" w:type="dxa"/>
            <w:gridSpan w:val="2"/>
          </w:tcPr>
          <w:p w14:paraId="7F142C93" w14:textId="67B6A797" w:rsidR="00D6055E" w:rsidRPr="00CF3DBE" w:rsidRDefault="00D6055E" w:rsidP="000B2C17">
            <w:pPr>
              <w:rPr>
                <w:noProof/>
                <w:sz w:val="24"/>
                <w:szCs w:val="24"/>
              </w:rPr>
            </w:pPr>
            <w:r w:rsidRPr="00CF3DBE">
              <w:rPr>
                <w:sz w:val="24"/>
                <w:szCs w:val="24"/>
              </w:rPr>
              <w:t>Bortskaf delvist brugte hætteglas.</w:t>
            </w:r>
          </w:p>
        </w:tc>
      </w:tr>
    </w:tbl>
    <w:p w14:paraId="12AC6F27" w14:textId="77777777" w:rsidR="009260DE" w:rsidRPr="00CF3DBE" w:rsidRDefault="009260DE" w:rsidP="000730CA">
      <w:pPr>
        <w:tabs>
          <w:tab w:val="left" w:pos="851"/>
        </w:tabs>
        <w:ind w:left="851"/>
        <w:rPr>
          <w:sz w:val="24"/>
          <w:szCs w:val="24"/>
        </w:rPr>
      </w:pPr>
    </w:p>
    <w:p w14:paraId="7C30F917" w14:textId="77777777" w:rsidR="009260DE" w:rsidRPr="00CF3DBE" w:rsidRDefault="009260DE" w:rsidP="009260DE">
      <w:pPr>
        <w:tabs>
          <w:tab w:val="left" w:pos="851"/>
        </w:tabs>
        <w:ind w:left="851" w:hanging="851"/>
        <w:rPr>
          <w:b/>
          <w:sz w:val="24"/>
          <w:szCs w:val="24"/>
        </w:rPr>
      </w:pPr>
      <w:r w:rsidRPr="00CF3DBE">
        <w:rPr>
          <w:b/>
          <w:sz w:val="24"/>
          <w:szCs w:val="24"/>
        </w:rPr>
        <w:t>7.</w:t>
      </w:r>
      <w:r w:rsidRPr="00CF3DBE">
        <w:rPr>
          <w:b/>
          <w:sz w:val="24"/>
          <w:szCs w:val="24"/>
        </w:rPr>
        <w:tab/>
        <w:t>INDEHAVER AF MARKEDSFØRINGSTILLADELSEN</w:t>
      </w:r>
    </w:p>
    <w:p w14:paraId="3CEF64A2" w14:textId="77777777" w:rsidR="00B81BDE" w:rsidRPr="00CF3DBE" w:rsidRDefault="00B81BDE" w:rsidP="002411E5">
      <w:pPr>
        <w:ind w:left="851"/>
        <w:rPr>
          <w:sz w:val="24"/>
          <w:szCs w:val="24"/>
        </w:rPr>
      </w:pPr>
      <w:proofErr w:type="spellStart"/>
      <w:r w:rsidRPr="00CF3DBE">
        <w:rPr>
          <w:sz w:val="24"/>
          <w:szCs w:val="24"/>
        </w:rPr>
        <w:t>Instituto</w:t>
      </w:r>
      <w:proofErr w:type="spellEnd"/>
      <w:r w:rsidRPr="00CF3DBE">
        <w:rPr>
          <w:sz w:val="24"/>
          <w:szCs w:val="24"/>
        </w:rPr>
        <w:t xml:space="preserve"> Grifols, S.A.</w:t>
      </w:r>
    </w:p>
    <w:p w14:paraId="46F4681A" w14:textId="77777777" w:rsidR="00B81BDE" w:rsidRPr="00CF3DBE" w:rsidRDefault="00B81BDE" w:rsidP="002411E5">
      <w:pPr>
        <w:ind w:left="851"/>
        <w:rPr>
          <w:sz w:val="24"/>
          <w:szCs w:val="24"/>
        </w:rPr>
      </w:pPr>
      <w:r w:rsidRPr="00CF3DBE">
        <w:rPr>
          <w:sz w:val="24"/>
          <w:szCs w:val="24"/>
        </w:rPr>
        <w:t xml:space="preserve">Can </w:t>
      </w:r>
      <w:proofErr w:type="spellStart"/>
      <w:r w:rsidRPr="00CF3DBE">
        <w:rPr>
          <w:sz w:val="24"/>
          <w:szCs w:val="24"/>
        </w:rPr>
        <w:t>Guasc</w:t>
      </w:r>
      <w:proofErr w:type="spellEnd"/>
      <w:r w:rsidRPr="00CF3DBE">
        <w:rPr>
          <w:sz w:val="24"/>
          <w:szCs w:val="24"/>
        </w:rPr>
        <w:t xml:space="preserve">, 2 - </w:t>
      </w:r>
      <w:proofErr w:type="spellStart"/>
      <w:r w:rsidRPr="00CF3DBE">
        <w:rPr>
          <w:sz w:val="24"/>
          <w:szCs w:val="24"/>
        </w:rPr>
        <w:t>Parets</w:t>
      </w:r>
      <w:proofErr w:type="spellEnd"/>
      <w:r w:rsidRPr="00CF3DBE">
        <w:rPr>
          <w:sz w:val="24"/>
          <w:szCs w:val="24"/>
        </w:rPr>
        <w:t xml:space="preserve"> del </w:t>
      </w:r>
      <w:proofErr w:type="spellStart"/>
      <w:r w:rsidRPr="00CF3DBE">
        <w:rPr>
          <w:sz w:val="24"/>
          <w:szCs w:val="24"/>
        </w:rPr>
        <w:t>Vallès</w:t>
      </w:r>
      <w:proofErr w:type="spellEnd"/>
    </w:p>
    <w:p w14:paraId="5B669F90" w14:textId="77777777" w:rsidR="002411E5" w:rsidRPr="00CF3DBE" w:rsidRDefault="00B81BDE" w:rsidP="002411E5">
      <w:pPr>
        <w:ind w:left="851"/>
        <w:rPr>
          <w:sz w:val="24"/>
          <w:szCs w:val="24"/>
        </w:rPr>
      </w:pPr>
      <w:r w:rsidRPr="00CF3DBE">
        <w:rPr>
          <w:sz w:val="24"/>
          <w:szCs w:val="24"/>
        </w:rPr>
        <w:t>08150 Barcelona</w:t>
      </w:r>
    </w:p>
    <w:p w14:paraId="294A91B3" w14:textId="7B0073C7" w:rsidR="00B81BDE" w:rsidRPr="00CF3DBE" w:rsidRDefault="00B81BDE" w:rsidP="002411E5">
      <w:pPr>
        <w:ind w:left="851"/>
        <w:rPr>
          <w:sz w:val="24"/>
          <w:szCs w:val="24"/>
        </w:rPr>
      </w:pPr>
      <w:r w:rsidRPr="00CF3DBE">
        <w:rPr>
          <w:sz w:val="24"/>
          <w:szCs w:val="24"/>
        </w:rPr>
        <w:t>Spanien</w:t>
      </w:r>
    </w:p>
    <w:p w14:paraId="51C630E7" w14:textId="654843BD" w:rsidR="000B2C17" w:rsidRDefault="000B2C17">
      <w:pPr>
        <w:rPr>
          <w:sz w:val="24"/>
          <w:szCs w:val="24"/>
          <w:lang w:val="en-US"/>
        </w:rPr>
      </w:pPr>
      <w:r>
        <w:rPr>
          <w:sz w:val="24"/>
          <w:szCs w:val="24"/>
          <w:lang w:val="en-US"/>
        </w:rPr>
        <w:br w:type="page"/>
      </w:r>
    </w:p>
    <w:p w14:paraId="205B9B7A" w14:textId="77777777" w:rsidR="009260DE" w:rsidRPr="00CF3DBE" w:rsidRDefault="009260DE" w:rsidP="002411E5">
      <w:pPr>
        <w:ind w:left="851"/>
        <w:rPr>
          <w:sz w:val="24"/>
          <w:szCs w:val="24"/>
          <w:lang w:val="en-US"/>
        </w:rPr>
      </w:pPr>
    </w:p>
    <w:p w14:paraId="3B4EF458" w14:textId="77777777" w:rsidR="00641C65" w:rsidRPr="00CF3DBE" w:rsidRDefault="00641C65" w:rsidP="002411E5">
      <w:pPr>
        <w:ind w:left="851"/>
        <w:rPr>
          <w:sz w:val="24"/>
          <w:szCs w:val="24"/>
        </w:rPr>
      </w:pPr>
      <w:r w:rsidRPr="00CF3DBE">
        <w:rPr>
          <w:b/>
          <w:sz w:val="24"/>
          <w:szCs w:val="24"/>
        </w:rPr>
        <w:t>Repræsentant</w:t>
      </w:r>
    </w:p>
    <w:p w14:paraId="69E62300" w14:textId="7684D543" w:rsidR="00B81BDE" w:rsidRPr="00CF3DBE" w:rsidRDefault="00B81BDE" w:rsidP="002411E5">
      <w:pPr>
        <w:ind w:left="851"/>
        <w:rPr>
          <w:sz w:val="24"/>
          <w:szCs w:val="24"/>
        </w:rPr>
      </w:pPr>
      <w:r w:rsidRPr="00CF3DBE">
        <w:rPr>
          <w:sz w:val="24"/>
          <w:szCs w:val="24"/>
        </w:rPr>
        <w:t>Grifols Nordic AB</w:t>
      </w:r>
    </w:p>
    <w:p w14:paraId="60F66EFD" w14:textId="6C8FC088" w:rsidR="00603A12" w:rsidRPr="00CF3DBE" w:rsidRDefault="00603A12" w:rsidP="002411E5">
      <w:pPr>
        <w:ind w:left="851"/>
        <w:rPr>
          <w:sz w:val="24"/>
          <w:szCs w:val="24"/>
        </w:rPr>
      </w:pPr>
      <w:proofErr w:type="spellStart"/>
      <w:r w:rsidRPr="00CF3DBE">
        <w:rPr>
          <w:sz w:val="24"/>
          <w:szCs w:val="24"/>
        </w:rPr>
        <w:t>Sveavägen</w:t>
      </w:r>
      <w:proofErr w:type="spellEnd"/>
      <w:r w:rsidRPr="00CF3DBE">
        <w:rPr>
          <w:sz w:val="24"/>
          <w:szCs w:val="24"/>
        </w:rPr>
        <w:t xml:space="preserve"> 166</w:t>
      </w:r>
    </w:p>
    <w:p w14:paraId="61DA0B5A" w14:textId="6A2A476C" w:rsidR="00603A12" w:rsidRPr="00CF3DBE" w:rsidRDefault="00603A12" w:rsidP="002411E5">
      <w:pPr>
        <w:ind w:left="851"/>
        <w:rPr>
          <w:sz w:val="24"/>
          <w:szCs w:val="24"/>
        </w:rPr>
      </w:pPr>
      <w:r w:rsidRPr="00CF3DBE">
        <w:rPr>
          <w:sz w:val="24"/>
          <w:szCs w:val="24"/>
        </w:rPr>
        <w:t>133 46 Stockholm</w:t>
      </w:r>
    </w:p>
    <w:p w14:paraId="7302FBB5" w14:textId="20E80732" w:rsidR="00603A12" w:rsidRPr="00CF3DBE" w:rsidRDefault="00603A12" w:rsidP="002411E5">
      <w:pPr>
        <w:ind w:left="851"/>
        <w:rPr>
          <w:sz w:val="24"/>
          <w:szCs w:val="24"/>
        </w:rPr>
      </w:pPr>
      <w:r w:rsidRPr="00CF3DBE">
        <w:rPr>
          <w:sz w:val="24"/>
          <w:szCs w:val="24"/>
        </w:rPr>
        <w:t>Sverige</w:t>
      </w:r>
    </w:p>
    <w:p w14:paraId="39D63BD4" w14:textId="77777777" w:rsidR="00641C65" w:rsidRPr="00CF3DBE" w:rsidRDefault="00641C65" w:rsidP="009260DE">
      <w:pPr>
        <w:tabs>
          <w:tab w:val="left" w:pos="851"/>
        </w:tabs>
        <w:ind w:left="851"/>
        <w:rPr>
          <w:sz w:val="24"/>
          <w:szCs w:val="24"/>
        </w:rPr>
      </w:pPr>
    </w:p>
    <w:p w14:paraId="6AC1F474" w14:textId="77777777" w:rsidR="009260DE" w:rsidRPr="00CF3DBE" w:rsidRDefault="009260DE" w:rsidP="009260DE">
      <w:pPr>
        <w:tabs>
          <w:tab w:val="left" w:pos="851"/>
        </w:tabs>
        <w:ind w:left="851" w:hanging="851"/>
        <w:rPr>
          <w:b/>
          <w:sz w:val="24"/>
          <w:szCs w:val="24"/>
        </w:rPr>
      </w:pPr>
      <w:r w:rsidRPr="00CF3DBE">
        <w:rPr>
          <w:b/>
          <w:sz w:val="24"/>
          <w:szCs w:val="24"/>
        </w:rPr>
        <w:t>8.</w:t>
      </w:r>
      <w:r w:rsidRPr="00CF3DBE">
        <w:rPr>
          <w:b/>
          <w:sz w:val="24"/>
          <w:szCs w:val="24"/>
        </w:rPr>
        <w:tab/>
        <w:t>MARKEDSFØRINGSTILLADELSESNUMMER (</w:t>
      </w:r>
      <w:r w:rsidR="00BF6243" w:rsidRPr="00CF3DBE">
        <w:rPr>
          <w:b/>
          <w:sz w:val="24"/>
          <w:szCs w:val="24"/>
        </w:rPr>
        <w:t>-</w:t>
      </w:r>
      <w:r w:rsidRPr="00CF3DBE">
        <w:rPr>
          <w:b/>
          <w:sz w:val="24"/>
          <w:szCs w:val="24"/>
        </w:rPr>
        <w:t>NUMRE)</w:t>
      </w:r>
    </w:p>
    <w:p w14:paraId="2DCBE813" w14:textId="568D5AF9" w:rsidR="009260DE" w:rsidRPr="00CF3DBE" w:rsidRDefault="00B81BDE" w:rsidP="009260DE">
      <w:pPr>
        <w:tabs>
          <w:tab w:val="left" w:pos="851"/>
        </w:tabs>
        <w:ind w:left="851"/>
        <w:rPr>
          <w:sz w:val="24"/>
          <w:szCs w:val="24"/>
        </w:rPr>
      </w:pPr>
      <w:r w:rsidRPr="00CF3DBE">
        <w:rPr>
          <w:sz w:val="24"/>
          <w:szCs w:val="24"/>
        </w:rPr>
        <w:t>69283</w:t>
      </w:r>
    </w:p>
    <w:p w14:paraId="0292E3E4" w14:textId="77777777" w:rsidR="009260DE" w:rsidRPr="00CF3DBE" w:rsidRDefault="009260DE" w:rsidP="009260DE">
      <w:pPr>
        <w:tabs>
          <w:tab w:val="left" w:pos="851"/>
        </w:tabs>
        <w:ind w:left="851"/>
        <w:jc w:val="both"/>
        <w:rPr>
          <w:sz w:val="24"/>
          <w:szCs w:val="24"/>
        </w:rPr>
      </w:pPr>
    </w:p>
    <w:p w14:paraId="583D6423" w14:textId="77777777" w:rsidR="009260DE" w:rsidRPr="00CF3DBE" w:rsidRDefault="009260DE" w:rsidP="009260DE">
      <w:pPr>
        <w:tabs>
          <w:tab w:val="left" w:pos="851"/>
        </w:tabs>
        <w:ind w:left="851" w:hanging="851"/>
        <w:rPr>
          <w:b/>
          <w:sz w:val="24"/>
          <w:szCs w:val="24"/>
        </w:rPr>
      </w:pPr>
      <w:r w:rsidRPr="00CF3DBE">
        <w:rPr>
          <w:b/>
          <w:sz w:val="24"/>
          <w:szCs w:val="24"/>
        </w:rPr>
        <w:t>9.</w:t>
      </w:r>
      <w:r w:rsidRPr="00CF3DBE">
        <w:rPr>
          <w:b/>
          <w:sz w:val="24"/>
          <w:szCs w:val="24"/>
        </w:rPr>
        <w:tab/>
        <w:t>DATO FOR FØRSTE MARKEDSFØRINGSTILLADELSE</w:t>
      </w:r>
    </w:p>
    <w:p w14:paraId="5B9F1A78" w14:textId="2591EC73" w:rsidR="009260DE" w:rsidRDefault="00C82D3E" w:rsidP="009260DE">
      <w:pPr>
        <w:tabs>
          <w:tab w:val="left" w:pos="851"/>
        </w:tabs>
        <w:ind w:left="851"/>
        <w:rPr>
          <w:sz w:val="24"/>
          <w:szCs w:val="24"/>
        </w:rPr>
      </w:pPr>
      <w:r>
        <w:rPr>
          <w:sz w:val="24"/>
          <w:szCs w:val="24"/>
        </w:rPr>
        <w:t>17. august 2023</w:t>
      </w:r>
    </w:p>
    <w:p w14:paraId="6A28C1A8" w14:textId="77777777" w:rsidR="00C82D3E" w:rsidRPr="00CF3DBE" w:rsidRDefault="00C82D3E" w:rsidP="009260DE">
      <w:pPr>
        <w:tabs>
          <w:tab w:val="left" w:pos="851"/>
        </w:tabs>
        <w:ind w:left="851"/>
        <w:rPr>
          <w:sz w:val="24"/>
          <w:szCs w:val="24"/>
        </w:rPr>
      </w:pPr>
    </w:p>
    <w:p w14:paraId="01C75693" w14:textId="77777777" w:rsidR="009260DE" w:rsidRPr="00CF3DBE" w:rsidRDefault="009260DE" w:rsidP="009260DE">
      <w:pPr>
        <w:tabs>
          <w:tab w:val="left" w:pos="851"/>
        </w:tabs>
        <w:ind w:left="851" w:hanging="851"/>
        <w:rPr>
          <w:b/>
          <w:sz w:val="24"/>
          <w:szCs w:val="24"/>
        </w:rPr>
      </w:pPr>
      <w:r w:rsidRPr="00CF3DBE">
        <w:rPr>
          <w:b/>
          <w:sz w:val="24"/>
          <w:szCs w:val="24"/>
        </w:rPr>
        <w:t>10.</w:t>
      </w:r>
      <w:r w:rsidRPr="00CF3DBE">
        <w:rPr>
          <w:b/>
          <w:sz w:val="24"/>
          <w:szCs w:val="24"/>
        </w:rPr>
        <w:tab/>
        <w:t>DATO FOR ÆNDRING AF TEKSTEN</w:t>
      </w:r>
    </w:p>
    <w:p w14:paraId="5750E4DF" w14:textId="3BCB0762" w:rsidR="009260DE" w:rsidRPr="00CF3DBE" w:rsidRDefault="00A9765F" w:rsidP="009260DE">
      <w:pPr>
        <w:tabs>
          <w:tab w:val="left" w:pos="851"/>
        </w:tabs>
        <w:ind w:left="851"/>
        <w:rPr>
          <w:sz w:val="24"/>
          <w:szCs w:val="24"/>
        </w:rPr>
      </w:pPr>
      <w:r>
        <w:rPr>
          <w:sz w:val="24"/>
          <w:szCs w:val="24"/>
        </w:rPr>
        <w:t>30</w:t>
      </w:r>
      <w:bookmarkStart w:id="2" w:name="_GoBack"/>
      <w:bookmarkEnd w:id="2"/>
      <w:r w:rsidR="00EF6B85">
        <w:rPr>
          <w:sz w:val="24"/>
          <w:szCs w:val="24"/>
        </w:rPr>
        <w:t xml:space="preserve">. </w:t>
      </w:r>
      <w:r>
        <w:rPr>
          <w:sz w:val="24"/>
          <w:szCs w:val="24"/>
        </w:rPr>
        <w:t>oktober</w:t>
      </w:r>
      <w:r w:rsidR="00EF6B85">
        <w:rPr>
          <w:sz w:val="24"/>
          <w:szCs w:val="24"/>
        </w:rPr>
        <w:t xml:space="preserve"> 202</w:t>
      </w:r>
      <w:r w:rsidR="0012203D">
        <w:rPr>
          <w:sz w:val="24"/>
          <w:szCs w:val="24"/>
        </w:rPr>
        <w:t>4</w:t>
      </w:r>
    </w:p>
    <w:sectPr w:rsidR="009260DE" w:rsidRPr="00CF3DBE" w:rsidSect="00603A12">
      <w:footerReference w:type="default" r:id="rId15"/>
      <w:footerReference w:type="first" r:id="rId16"/>
      <w:pgSz w:w="11906" w:h="16838" w:code="9"/>
      <w:pgMar w:top="851" w:right="1134" w:bottom="170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691B5E" w14:textId="77777777" w:rsidR="00A24BD2" w:rsidRDefault="00A24BD2">
      <w:r>
        <w:separator/>
      </w:r>
    </w:p>
  </w:endnote>
  <w:endnote w:type="continuationSeparator" w:id="0">
    <w:p w14:paraId="4402C59C" w14:textId="77777777" w:rsidR="00A24BD2" w:rsidRDefault="00A24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97D3E3" w14:textId="77777777" w:rsidR="00A24BD2" w:rsidRDefault="00A24BD2">
    <w:pPr>
      <w:pStyle w:val="Sidefod"/>
      <w:pBdr>
        <w:bottom w:val="single" w:sz="6" w:space="1" w:color="auto"/>
      </w:pBdr>
    </w:pPr>
  </w:p>
  <w:p w14:paraId="78A88227" w14:textId="77777777" w:rsidR="00A24BD2" w:rsidRDefault="00A24BD2" w:rsidP="00C42586">
    <w:pPr>
      <w:pStyle w:val="Sidefod"/>
      <w:tabs>
        <w:tab w:val="clear" w:pos="4819"/>
        <w:tab w:val="left" w:pos="8505"/>
      </w:tabs>
      <w:rPr>
        <w:i/>
        <w:sz w:val="18"/>
        <w:szCs w:val="18"/>
      </w:rPr>
    </w:pPr>
  </w:p>
  <w:p w14:paraId="73961870" w14:textId="423A1370" w:rsidR="00A24BD2" w:rsidRPr="00B373D7" w:rsidRDefault="00A24BD2"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C82D3E">
      <w:rPr>
        <w:i/>
        <w:noProof/>
        <w:sz w:val="18"/>
        <w:szCs w:val="18"/>
      </w:rPr>
      <w:t>Xembify, injektionsvæske, opløsning 200 mg-ml.docx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7469F" w14:textId="77777777" w:rsidR="00A24BD2" w:rsidRDefault="00A24BD2" w:rsidP="004125F8">
    <w:pPr>
      <w:pStyle w:val="Sidefod"/>
      <w:pBdr>
        <w:bottom w:val="single" w:sz="6" w:space="1" w:color="auto"/>
      </w:pBdr>
    </w:pPr>
  </w:p>
  <w:p w14:paraId="41AD2B43" w14:textId="77777777" w:rsidR="00A24BD2" w:rsidRDefault="00A24BD2" w:rsidP="004125F8">
    <w:pPr>
      <w:pStyle w:val="Sidefod"/>
      <w:tabs>
        <w:tab w:val="clear" w:pos="4819"/>
        <w:tab w:val="left" w:pos="8505"/>
      </w:tabs>
      <w:rPr>
        <w:i/>
        <w:sz w:val="18"/>
        <w:szCs w:val="18"/>
      </w:rPr>
    </w:pPr>
  </w:p>
  <w:p w14:paraId="44C8BBEA" w14:textId="669F5C93" w:rsidR="00A24BD2" w:rsidRPr="004125F8" w:rsidRDefault="00A24BD2" w:rsidP="004125F8">
    <w:pPr>
      <w:pStyle w:val="Sidefod"/>
      <w:tabs>
        <w:tab w:val="clear" w:pos="4819"/>
        <w:tab w:val="left" w:pos="8505"/>
      </w:tabs>
      <w:rPr>
        <w:i/>
        <w:sz w:val="18"/>
        <w:szCs w:val="18"/>
      </w:rPr>
    </w:pPr>
    <w:r>
      <w:rPr>
        <w:i/>
        <w:sz w:val="18"/>
        <w:szCs w:val="18"/>
      </w:rPr>
      <w:fldChar w:fldCharType="begin"/>
    </w:r>
    <w:r>
      <w:rPr>
        <w:i/>
        <w:sz w:val="18"/>
        <w:szCs w:val="18"/>
      </w:rPr>
      <w:instrText xml:space="preserve"> FILENAME </w:instrText>
    </w:r>
    <w:r>
      <w:rPr>
        <w:i/>
        <w:sz w:val="18"/>
        <w:szCs w:val="18"/>
      </w:rPr>
      <w:fldChar w:fldCharType="separate"/>
    </w:r>
    <w:r w:rsidR="00C82D3E">
      <w:rPr>
        <w:i/>
        <w:noProof/>
        <w:sz w:val="18"/>
        <w:szCs w:val="18"/>
      </w:rPr>
      <w:t>Xembify, injektionsvæske, opløsning 200 mg-ml.docx</w:t>
    </w:r>
    <w:r>
      <w:rPr>
        <w:i/>
        <w:sz w:val="18"/>
        <w:szCs w:val="18"/>
      </w:rPr>
      <w:fldChar w:fldCharType="end"/>
    </w:r>
    <w:r>
      <w:rPr>
        <w:i/>
        <w:sz w:val="18"/>
        <w:szCs w:val="18"/>
      </w:rPr>
      <w:tab/>
      <w:t xml:space="preserve">Side </w:t>
    </w:r>
    <w:r>
      <w:rPr>
        <w:rStyle w:val="Sidetal"/>
        <w:i/>
        <w:sz w:val="18"/>
        <w:szCs w:val="18"/>
      </w:rPr>
      <w:fldChar w:fldCharType="begin"/>
    </w:r>
    <w:r>
      <w:rPr>
        <w:rStyle w:val="Sidetal"/>
        <w:i/>
        <w:sz w:val="18"/>
        <w:szCs w:val="18"/>
      </w:rPr>
      <w:instrText xml:space="preserve"> PAGE </w:instrText>
    </w:r>
    <w:r>
      <w:rPr>
        <w:rStyle w:val="Sidetal"/>
        <w:i/>
        <w:sz w:val="18"/>
        <w:szCs w:val="18"/>
      </w:rPr>
      <w:fldChar w:fldCharType="separate"/>
    </w:r>
    <w:r>
      <w:rPr>
        <w:rStyle w:val="Sidetal"/>
        <w:i/>
        <w:sz w:val="18"/>
        <w:szCs w:val="18"/>
      </w:rPr>
      <w:t>1</w:t>
    </w:r>
    <w:r>
      <w:rPr>
        <w:rStyle w:val="Sidetal"/>
        <w:i/>
        <w:sz w:val="18"/>
        <w:szCs w:val="18"/>
      </w:rPr>
      <w:fldChar w:fldCharType="end"/>
    </w:r>
    <w:r>
      <w:rPr>
        <w:rStyle w:val="Sidetal"/>
        <w:i/>
        <w:sz w:val="18"/>
        <w:szCs w:val="18"/>
      </w:rPr>
      <w:t xml:space="preserve"> af </w:t>
    </w:r>
    <w:r>
      <w:rPr>
        <w:rStyle w:val="Sidetal"/>
        <w:i/>
        <w:sz w:val="18"/>
        <w:szCs w:val="18"/>
      </w:rPr>
      <w:fldChar w:fldCharType="begin"/>
    </w:r>
    <w:r>
      <w:rPr>
        <w:rStyle w:val="Sidetal"/>
        <w:i/>
        <w:sz w:val="18"/>
        <w:szCs w:val="18"/>
      </w:rPr>
      <w:instrText xml:space="preserve"> NUMPAGES </w:instrText>
    </w:r>
    <w:r>
      <w:rPr>
        <w:rStyle w:val="Sidetal"/>
        <w:i/>
        <w:sz w:val="18"/>
        <w:szCs w:val="18"/>
      </w:rPr>
      <w:fldChar w:fldCharType="separate"/>
    </w:r>
    <w:r>
      <w:rPr>
        <w:rStyle w:val="Sidetal"/>
        <w:i/>
        <w:sz w:val="18"/>
        <w:szCs w:val="18"/>
      </w:rPr>
      <w:t>3</w:t>
    </w:r>
    <w:r>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CA773C" w14:textId="77777777" w:rsidR="00A24BD2" w:rsidRDefault="00A24BD2">
      <w:r>
        <w:separator/>
      </w:r>
    </w:p>
  </w:footnote>
  <w:footnote w:type="continuationSeparator" w:id="0">
    <w:p w14:paraId="0C197F35" w14:textId="77777777" w:rsidR="00A24BD2" w:rsidRDefault="00A24B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E056A"/>
    <w:multiLevelType w:val="hybridMultilevel"/>
    <w:tmpl w:val="C7BC0166"/>
    <w:lvl w:ilvl="0" w:tplc="0406000F">
      <w:start w:val="1"/>
      <w:numFmt w:val="decimal"/>
      <w:lvlText w:val="%1."/>
      <w:lvlJc w:val="left"/>
      <w:pPr>
        <w:ind w:left="1571" w:hanging="360"/>
      </w:pPr>
    </w:lvl>
    <w:lvl w:ilvl="1" w:tplc="04060019" w:tentative="1">
      <w:start w:val="1"/>
      <w:numFmt w:val="lowerLetter"/>
      <w:lvlText w:val="%2."/>
      <w:lvlJc w:val="left"/>
      <w:pPr>
        <w:ind w:left="2291" w:hanging="360"/>
      </w:pPr>
    </w:lvl>
    <w:lvl w:ilvl="2" w:tplc="0406001B" w:tentative="1">
      <w:start w:val="1"/>
      <w:numFmt w:val="lowerRoman"/>
      <w:lvlText w:val="%3."/>
      <w:lvlJc w:val="right"/>
      <w:pPr>
        <w:ind w:left="3011" w:hanging="180"/>
      </w:pPr>
    </w:lvl>
    <w:lvl w:ilvl="3" w:tplc="0406000F" w:tentative="1">
      <w:start w:val="1"/>
      <w:numFmt w:val="decimal"/>
      <w:lvlText w:val="%4."/>
      <w:lvlJc w:val="left"/>
      <w:pPr>
        <w:ind w:left="3731" w:hanging="360"/>
      </w:pPr>
    </w:lvl>
    <w:lvl w:ilvl="4" w:tplc="04060019" w:tentative="1">
      <w:start w:val="1"/>
      <w:numFmt w:val="lowerLetter"/>
      <w:lvlText w:val="%5."/>
      <w:lvlJc w:val="left"/>
      <w:pPr>
        <w:ind w:left="4451" w:hanging="360"/>
      </w:pPr>
    </w:lvl>
    <w:lvl w:ilvl="5" w:tplc="0406001B" w:tentative="1">
      <w:start w:val="1"/>
      <w:numFmt w:val="lowerRoman"/>
      <w:lvlText w:val="%6."/>
      <w:lvlJc w:val="right"/>
      <w:pPr>
        <w:ind w:left="5171" w:hanging="180"/>
      </w:pPr>
    </w:lvl>
    <w:lvl w:ilvl="6" w:tplc="0406000F" w:tentative="1">
      <w:start w:val="1"/>
      <w:numFmt w:val="decimal"/>
      <w:lvlText w:val="%7."/>
      <w:lvlJc w:val="left"/>
      <w:pPr>
        <w:ind w:left="5891" w:hanging="360"/>
      </w:pPr>
    </w:lvl>
    <w:lvl w:ilvl="7" w:tplc="04060019" w:tentative="1">
      <w:start w:val="1"/>
      <w:numFmt w:val="lowerLetter"/>
      <w:lvlText w:val="%8."/>
      <w:lvlJc w:val="left"/>
      <w:pPr>
        <w:ind w:left="6611" w:hanging="360"/>
      </w:pPr>
    </w:lvl>
    <w:lvl w:ilvl="8" w:tplc="0406001B" w:tentative="1">
      <w:start w:val="1"/>
      <w:numFmt w:val="lowerRoman"/>
      <w:lvlText w:val="%9."/>
      <w:lvlJc w:val="right"/>
      <w:pPr>
        <w:ind w:left="7331" w:hanging="180"/>
      </w:p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1A107CED"/>
    <w:multiLevelType w:val="hybridMultilevel"/>
    <w:tmpl w:val="0568A63C"/>
    <w:name w:val="WWtf3"/>
    <w:lvl w:ilvl="0" w:tplc="FFFFFFFF">
      <w:start w:val="1"/>
      <w:numFmt w:val="lowerLetter"/>
      <w:pStyle w:val="TableFootnoteLetter"/>
      <w:lvlText w:val="%1"/>
      <w:lvlJc w:val="left"/>
      <w:pPr>
        <w:tabs>
          <w:tab w:val="num" w:pos="360"/>
        </w:tabs>
        <w:ind w:left="360" w:hanging="360"/>
      </w:pPr>
      <w:rPr>
        <w:rFonts w:ascii="Times New Roman" w:hAnsi="Times New Roman" w:cs="Times New Roman"/>
        <w:b w:val="0"/>
        <w:i w:val="0"/>
        <w:caps w:val="0"/>
        <w:strike w:val="0"/>
        <w:dstrike w:val="0"/>
        <w:sz w:val="20"/>
        <w:u w:val="none"/>
        <w:effect w:val="none"/>
        <w:vertAlign w:val="superscrip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1A7F26A9"/>
    <w:multiLevelType w:val="hybridMultilevel"/>
    <w:tmpl w:val="8D5EEAF2"/>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 w15:restartNumberingAfterBreak="0">
    <w:nsid w:val="1CB8779C"/>
    <w:multiLevelType w:val="hybridMultilevel"/>
    <w:tmpl w:val="F6662AB0"/>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5" w15:restartNumberingAfterBreak="0">
    <w:nsid w:val="2F841F33"/>
    <w:multiLevelType w:val="hybridMultilevel"/>
    <w:tmpl w:val="1B829488"/>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6" w15:restartNumberingAfterBreak="0">
    <w:nsid w:val="32620A5E"/>
    <w:multiLevelType w:val="singleLevel"/>
    <w:tmpl w:val="AF40B964"/>
    <w:lvl w:ilvl="0">
      <w:start w:val="1"/>
      <w:numFmt w:val="decimal"/>
      <w:pStyle w:val="Opstilling-talellerbogst"/>
      <w:lvlText w:val="%1."/>
      <w:lvlJc w:val="left"/>
      <w:pPr>
        <w:tabs>
          <w:tab w:val="num" w:pos="360"/>
        </w:tabs>
        <w:ind w:left="360" w:hanging="360"/>
      </w:pPr>
      <w:rPr>
        <w:rFonts w:ascii="Times New Roman" w:hAnsi="Times New Roman" w:cs="Times New Roman" w:hint="default"/>
        <w:b w:val="0"/>
        <w:i w:val="0"/>
        <w:caps w:val="0"/>
        <w:strike w:val="0"/>
        <w:dstrike w:val="0"/>
        <w:sz w:val="22"/>
        <w:szCs w:val="22"/>
        <w:u w:val="none"/>
        <w:effect w:val="none"/>
        <w:vertAlign w:val="baseline"/>
      </w:rPr>
    </w:lvl>
  </w:abstractNum>
  <w:abstractNum w:abstractNumId="7"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9"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10"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6F0606FA"/>
    <w:multiLevelType w:val="hybridMultilevel"/>
    <w:tmpl w:val="9662B60A"/>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2" w15:restartNumberingAfterBreak="0">
    <w:nsid w:val="71336EAB"/>
    <w:multiLevelType w:val="hybridMultilevel"/>
    <w:tmpl w:val="DBC4A09E"/>
    <w:lvl w:ilvl="0" w:tplc="FFFFFFFF">
      <w:start w:val="1"/>
      <w:numFmt w:val="bullet"/>
      <w:lvlText w:val="o"/>
      <w:lvlJc w:val="left"/>
      <w:pPr>
        <w:ind w:left="1571" w:hanging="360"/>
      </w:pPr>
      <w:rPr>
        <w:rFonts w:ascii="Courier New" w:hAnsi="Courier New" w:cs="Courier New"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num>
  <w:num w:numId="10">
    <w:abstractNumId w:val="11"/>
  </w:num>
  <w:num w:numId="11">
    <w:abstractNumId w:val="5"/>
  </w:num>
  <w:num w:numId="12">
    <w:abstractNumId w:val="4"/>
  </w:num>
  <w:num w:numId="13">
    <w:abstractNumId w:val="2"/>
  </w:num>
  <w:num w:numId="14">
    <w:abstractNumId w:val="12"/>
  </w:num>
  <w:num w:numId="15">
    <w:abstractNumId w:val="0"/>
  </w:num>
  <w:num w:numId="16">
    <w:abstractNumId w:val="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1F8"/>
    <w:rsid w:val="000259B9"/>
    <w:rsid w:val="00041491"/>
    <w:rsid w:val="00050D16"/>
    <w:rsid w:val="00057C1C"/>
    <w:rsid w:val="000730CA"/>
    <w:rsid w:val="00074F2A"/>
    <w:rsid w:val="000A1CA8"/>
    <w:rsid w:val="000A466B"/>
    <w:rsid w:val="000B058C"/>
    <w:rsid w:val="000B2C17"/>
    <w:rsid w:val="000D68B0"/>
    <w:rsid w:val="000E4EE6"/>
    <w:rsid w:val="000F32F0"/>
    <w:rsid w:val="0012203D"/>
    <w:rsid w:val="001454E2"/>
    <w:rsid w:val="00206CE8"/>
    <w:rsid w:val="0021526C"/>
    <w:rsid w:val="002411E5"/>
    <w:rsid w:val="00283A2B"/>
    <w:rsid w:val="002B30AD"/>
    <w:rsid w:val="002C1EC0"/>
    <w:rsid w:val="002C2C01"/>
    <w:rsid w:val="003A29AE"/>
    <w:rsid w:val="003A32D7"/>
    <w:rsid w:val="003B4074"/>
    <w:rsid w:val="003C769A"/>
    <w:rsid w:val="003D3A90"/>
    <w:rsid w:val="003E093D"/>
    <w:rsid w:val="003F1838"/>
    <w:rsid w:val="004125F8"/>
    <w:rsid w:val="004317A0"/>
    <w:rsid w:val="0045746C"/>
    <w:rsid w:val="0049104B"/>
    <w:rsid w:val="004A51F8"/>
    <w:rsid w:val="004E3B12"/>
    <w:rsid w:val="00532310"/>
    <w:rsid w:val="00565F0F"/>
    <w:rsid w:val="00594A86"/>
    <w:rsid w:val="00596D86"/>
    <w:rsid w:val="005E5578"/>
    <w:rsid w:val="00603A12"/>
    <w:rsid w:val="00637F5A"/>
    <w:rsid w:val="00641C65"/>
    <w:rsid w:val="006560B1"/>
    <w:rsid w:val="006756DD"/>
    <w:rsid w:val="0071241E"/>
    <w:rsid w:val="00726A2D"/>
    <w:rsid w:val="00737275"/>
    <w:rsid w:val="00740EEC"/>
    <w:rsid w:val="007706EA"/>
    <w:rsid w:val="0078011A"/>
    <w:rsid w:val="00782AF4"/>
    <w:rsid w:val="00790EE7"/>
    <w:rsid w:val="007B6649"/>
    <w:rsid w:val="00804D92"/>
    <w:rsid w:val="0082576E"/>
    <w:rsid w:val="00907F75"/>
    <w:rsid w:val="009260DE"/>
    <w:rsid w:val="0093258A"/>
    <w:rsid w:val="009C7BA3"/>
    <w:rsid w:val="009D1F5A"/>
    <w:rsid w:val="00A10294"/>
    <w:rsid w:val="00A24BD2"/>
    <w:rsid w:val="00A9765F"/>
    <w:rsid w:val="00B003BF"/>
    <w:rsid w:val="00B373D7"/>
    <w:rsid w:val="00B55271"/>
    <w:rsid w:val="00B81BDE"/>
    <w:rsid w:val="00B83034"/>
    <w:rsid w:val="00B946CD"/>
    <w:rsid w:val="00BD7931"/>
    <w:rsid w:val="00BE519D"/>
    <w:rsid w:val="00BF6243"/>
    <w:rsid w:val="00C36276"/>
    <w:rsid w:val="00C42586"/>
    <w:rsid w:val="00C45F6B"/>
    <w:rsid w:val="00C60CCD"/>
    <w:rsid w:val="00C82D3E"/>
    <w:rsid w:val="00C84483"/>
    <w:rsid w:val="00C95551"/>
    <w:rsid w:val="00CB20D7"/>
    <w:rsid w:val="00CF3DBE"/>
    <w:rsid w:val="00D020B0"/>
    <w:rsid w:val="00D11748"/>
    <w:rsid w:val="00D237F6"/>
    <w:rsid w:val="00D34D98"/>
    <w:rsid w:val="00D366CF"/>
    <w:rsid w:val="00D6055E"/>
    <w:rsid w:val="00D93992"/>
    <w:rsid w:val="00E108AA"/>
    <w:rsid w:val="00E3749A"/>
    <w:rsid w:val="00E7437F"/>
    <w:rsid w:val="00E865B8"/>
    <w:rsid w:val="00EC0B9B"/>
    <w:rsid w:val="00ED5E9F"/>
    <w:rsid w:val="00EF6B85"/>
    <w:rsid w:val="00F66D4F"/>
    <w:rsid w:val="00F86F0B"/>
    <w:rsid w:val="00FB6D01"/>
    <w:rsid w:val="00FD188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9C81609"/>
  <w15:chartTrackingRefBased/>
  <w15:docId w15:val="{EF17142A-FCD9-454B-B729-97AF06539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uiPriority w:val="99"/>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uiPriority w:val="99"/>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link w:val="SidefodTegn"/>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uiPriority w:val="99"/>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Default">
    <w:name w:val="Default"/>
    <w:rsid w:val="00B81BDE"/>
    <w:pPr>
      <w:autoSpaceDE w:val="0"/>
      <w:autoSpaceDN w:val="0"/>
      <w:adjustRightInd w:val="0"/>
    </w:pPr>
    <w:rPr>
      <w:rFonts w:eastAsia="SimSun"/>
      <w:color w:val="000000"/>
      <w:sz w:val="24"/>
      <w:szCs w:val="24"/>
      <w:lang w:eastAsia="es-ES"/>
    </w:rPr>
  </w:style>
  <w:style w:type="character" w:styleId="Hyperlink">
    <w:name w:val="Hyperlink"/>
    <w:semiHidden/>
    <w:unhideWhenUsed/>
    <w:rsid w:val="00B81BDE"/>
    <w:rPr>
      <w:rFonts w:ascii="Times New Roman" w:hAnsi="Times New Roman" w:cs="Times New Roman" w:hint="default"/>
      <w:color w:val="0000FF"/>
      <w:u w:val="single"/>
    </w:rPr>
  </w:style>
  <w:style w:type="paragraph" w:styleId="Brdtekstindrykning2">
    <w:name w:val="Body Text Indent 2"/>
    <w:basedOn w:val="Normal"/>
    <w:link w:val="Brdtekstindrykning2Tegn"/>
    <w:semiHidden/>
    <w:unhideWhenUsed/>
    <w:rsid w:val="00B81BDE"/>
    <w:pPr>
      <w:tabs>
        <w:tab w:val="left" w:pos="567"/>
      </w:tabs>
      <w:spacing w:after="120" w:line="480" w:lineRule="auto"/>
      <w:ind w:left="283"/>
    </w:pPr>
    <w:rPr>
      <w:rFonts w:eastAsia="SimSun"/>
      <w:sz w:val="22"/>
    </w:rPr>
  </w:style>
  <w:style w:type="character" w:customStyle="1" w:styleId="Brdtekstindrykning2Tegn">
    <w:name w:val="Brødtekstindrykning 2 Tegn"/>
    <w:basedOn w:val="Standardskrifttypeiafsnit"/>
    <w:link w:val="Brdtekstindrykning2"/>
    <w:semiHidden/>
    <w:rsid w:val="00B81BDE"/>
    <w:rPr>
      <w:rFonts w:eastAsia="SimSun"/>
      <w:sz w:val="22"/>
      <w:lang w:eastAsia="en-US"/>
    </w:rPr>
  </w:style>
  <w:style w:type="character" w:customStyle="1" w:styleId="EstiloArial11pt">
    <w:name w:val="Estilo Arial 11 pt"/>
    <w:rsid w:val="00B81BDE"/>
    <w:rPr>
      <w:rFonts w:ascii="Times New Roman" w:hAnsi="Times New Roman" w:cs="Times New Roman" w:hint="default"/>
      <w:sz w:val="24"/>
    </w:rPr>
  </w:style>
  <w:style w:type="paragraph" w:customStyle="1" w:styleId="TableTitle">
    <w:name w:val="Table Title"/>
    <w:next w:val="Normal"/>
    <w:autoRedefine/>
    <w:rsid w:val="00B81BDE"/>
    <w:pPr>
      <w:keepNext/>
      <w:keepLines/>
      <w:tabs>
        <w:tab w:val="left" w:pos="1057"/>
      </w:tabs>
      <w:spacing w:before="60" w:after="120"/>
      <w:ind w:right="-104"/>
    </w:pPr>
    <w:rPr>
      <w:b/>
      <w:color w:val="000000"/>
      <w:sz w:val="22"/>
      <w:szCs w:val="22"/>
      <w:lang w:eastAsia="en-US"/>
    </w:rPr>
  </w:style>
  <w:style w:type="paragraph" w:customStyle="1" w:styleId="TableText">
    <w:name w:val="Table Text"/>
    <w:semiHidden/>
    <w:rsid w:val="00B81BDE"/>
    <w:pPr>
      <w:spacing w:before="60" w:after="60"/>
      <w:jc w:val="center"/>
    </w:pPr>
    <w:rPr>
      <w:sz w:val="24"/>
      <w:lang w:eastAsia="en-US"/>
    </w:rPr>
  </w:style>
  <w:style w:type="paragraph" w:customStyle="1" w:styleId="TableHead">
    <w:name w:val="Table Head"/>
    <w:basedOn w:val="TableText"/>
    <w:rsid w:val="00B81BDE"/>
    <w:rPr>
      <w:b/>
      <w:szCs w:val="48"/>
    </w:rPr>
  </w:style>
  <w:style w:type="paragraph" w:customStyle="1" w:styleId="TableFootnoteLetter">
    <w:name w:val="Table Footnote Letter"/>
    <w:basedOn w:val="Normal"/>
    <w:rsid w:val="00B81BDE"/>
    <w:pPr>
      <w:numPr>
        <w:numId w:val="7"/>
      </w:numPr>
      <w:spacing w:before="60" w:after="60"/>
    </w:pPr>
    <w:rPr>
      <w:sz w:val="20"/>
    </w:rPr>
  </w:style>
  <w:style w:type="paragraph" w:styleId="Opstilling-talellerbogst">
    <w:name w:val="List Number"/>
    <w:basedOn w:val="Normal"/>
    <w:unhideWhenUsed/>
    <w:rsid w:val="00B81BDE"/>
    <w:pPr>
      <w:numPr>
        <w:numId w:val="9"/>
      </w:numPr>
    </w:pPr>
    <w:rPr>
      <w:sz w:val="24"/>
      <w:szCs w:val="24"/>
    </w:rPr>
  </w:style>
  <w:style w:type="character" w:customStyle="1" w:styleId="ParagraphChar">
    <w:name w:val="Paragraph Char"/>
    <w:link w:val="Paragraph"/>
    <w:locked/>
    <w:rsid w:val="00B81BDE"/>
    <w:rPr>
      <w:sz w:val="24"/>
      <w:szCs w:val="24"/>
      <w:lang w:eastAsia="en-US"/>
    </w:rPr>
  </w:style>
  <w:style w:type="paragraph" w:customStyle="1" w:styleId="Paragraph">
    <w:name w:val="Paragraph"/>
    <w:link w:val="ParagraphChar"/>
    <w:rsid w:val="00B81BDE"/>
    <w:pPr>
      <w:spacing w:after="240"/>
    </w:pPr>
    <w:rPr>
      <w:sz w:val="24"/>
      <w:szCs w:val="24"/>
      <w:lang w:eastAsia="en-US"/>
    </w:rPr>
  </w:style>
  <w:style w:type="paragraph" w:customStyle="1" w:styleId="ListEnd">
    <w:name w:val="List End"/>
    <w:next w:val="Paragraph"/>
    <w:semiHidden/>
    <w:rsid w:val="00B81BDE"/>
    <w:rPr>
      <w:sz w:val="24"/>
      <w:lang w:eastAsia="en-US"/>
    </w:rPr>
  </w:style>
  <w:style w:type="character" w:customStyle="1" w:styleId="SidefodTegn">
    <w:name w:val="Sidefod Tegn"/>
    <w:basedOn w:val="Standardskrifttypeiafsnit"/>
    <w:link w:val="Sidefod"/>
    <w:rsid w:val="004125F8"/>
    <w:rPr>
      <w:sz w:val="23"/>
      <w:lang w:eastAsia="en-US"/>
    </w:rPr>
  </w:style>
  <w:style w:type="paragraph" w:styleId="Listeafsnit">
    <w:name w:val="List Paragraph"/>
    <w:basedOn w:val="Normal"/>
    <w:uiPriority w:val="34"/>
    <w:qFormat/>
    <w:rsid w:val="00B946CD"/>
    <w:pPr>
      <w:ind w:left="720"/>
      <w:contextualSpacing/>
    </w:pPr>
  </w:style>
  <w:style w:type="table" w:styleId="Tabel-Gitter">
    <w:name w:val="Table Grid"/>
    <w:basedOn w:val="Tabel-Normal"/>
    <w:uiPriority w:val="59"/>
    <w:rsid w:val="00057C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30845">
      <w:bodyDiv w:val="1"/>
      <w:marLeft w:val="0"/>
      <w:marRight w:val="0"/>
      <w:marTop w:val="0"/>
      <w:marBottom w:val="0"/>
      <w:divBdr>
        <w:top w:val="none" w:sz="0" w:space="0" w:color="auto"/>
        <w:left w:val="none" w:sz="0" w:space="0" w:color="auto"/>
        <w:bottom w:val="none" w:sz="0" w:space="0" w:color="auto"/>
        <w:right w:val="none" w:sz="0" w:space="0" w:color="auto"/>
      </w:divBdr>
    </w:div>
    <w:div w:id="27462058">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380329557">
      <w:bodyDiv w:val="1"/>
      <w:marLeft w:val="0"/>
      <w:marRight w:val="0"/>
      <w:marTop w:val="0"/>
      <w:marBottom w:val="0"/>
      <w:divBdr>
        <w:top w:val="none" w:sz="0" w:space="0" w:color="auto"/>
        <w:left w:val="none" w:sz="0" w:space="0" w:color="auto"/>
        <w:bottom w:val="none" w:sz="0" w:space="0" w:color="auto"/>
        <w:right w:val="none" w:sz="0" w:space="0" w:color="auto"/>
      </w:divBdr>
    </w:div>
    <w:div w:id="428619650">
      <w:bodyDiv w:val="1"/>
      <w:marLeft w:val="0"/>
      <w:marRight w:val="0"/>
      <w:marTop w:val="0"/>
      <w:marBottom w:val="0"/>
      <w:divBdr>
        <w:top w:val="none" w:sz="0" w:space="0" w:color="auto"/>
        <w:left w:val="none" w:sz="0" w:space="0" w:color="auto"/>
        <w:bottom w:val="none" w:sz="0" w:space="0" w:color="auto"/>
        <w:right w:val="none" w:sz="0" w:space="0" w:color="auto"/>
      </w:divBdr>
    </w:div>
    <w:div w:id="523859254">
      <w:bodyDiv w:val="1"/>
      <w:marLeft w:val="0"/>
      <w:marRight w:val="0"/>
      <w:marTop w:val="0"/>
      <w:marBottom w:val="0"/>
      <w:divBdr>
        <w:top w:val="none" w:sz="0" w:space="0" w:color="auto"/>
        <w:left w:val="none" w:sz="0" w:space="0" w:color="auto"/>
        <w:bottom w:val="none" w:sz="0" w:space="0" w:color="auto"/>
        <w:right w:val="none" w:sz="0" w:space="0" w:color="auto"/>
      </w:divBdr>
    </w:div>
    <w:div w:id="634918487">
      <w:bodyDiv w:val="1"/>
      <w:marLeft w:val="0"/>
      <w:marRight w:val="0"/>
      <w:marTop w:val="0"/>
      <w:marBottom w:val="0"/>
      <w:divBdr>
        <w:top w:val="none" w:sz="0" w:space="0" w:color="auto"/>
        <w:left w:val="none" w:sz="0" w:space="0" w:color="auto"/>
        <w:bottom w:val="none" w:sz="0" w:space="0" w:color="auto"/>
        <w:right w:val="none" w:sz="0" w:space="0" w:color="auto"/>
      </w:divBdr>
    </w:div>
    <w:div w:id="670256630">
      <w:bodyDiv w:val="1"/>
      <w:marLeft w:val="0"/>
      <w:marRight w:val="0"/>
      <w:marTop w:val="0"/>
      <w:marBottom w:val="0"/>
      <w:divBdr>
        <w:top w:val="none" w:sz="0" w:space="0" w:color="auto"/>
        <w:left w:val="none" w:sz="0" w:space="0" w:color="auto"/>
        <w:bottom w:val="none" w:sz="0" w:space="0" w:color="auto"/>
        <w:right w:val="none" w:sz="0" w:space="0" w:color="auto"/>
      </w:divBdr>
    </w:div>
    <w:div w:id="714081067">
      <w:bodyDiv w:val="1"/>
      <w:marLeft w:val="0"/>
      <w:marRight w:val="0"/>
      <w:marTop w:val="0"/>
      <w:marBottom w:val="0"/>
      <w:divBdr>
        <w:top w:val="none" w:sz="0" w:space="0" w:color="auto"/>
        <w:left w:val="none" w:sz="0" w:space="0" w:color="auto"/>
        <w:bottom w:val="none" w:sz="0" w:space="0" w:color="auto"/>
        <w:right w:val="none" w:sz="0" w:space="0" w:color="auto"/>
      </w:divBdr>
    </w:div>
    <w:div w:id="843008853">
      <w:bodyDiv w:val="1"/>
      <w:marLeft w:val="0"/>
      <w:marRight w:val="0"/>
      <w:marTop w:val="0"/>
      <w:marBottom w:val="0"/>
      <w:divBdr>
        <w:top w:val="none" w:sz="0" w:space="0" w:color="auto"/>
        <w:left w:val="none" w:sz="0" w:space="0" w:color="auto"/>
        <w:bottom w:val="none" w:sz="0" w:space="0" w:color="auto"/>
        <w:right w:val="none" w:sz="0" w:space="0" w:color="auto"/>
      </w:divBdr>
    </w:div>
    <w:div w:id="844827773">
      <w:bodyDiv w:val="1"/>
      <w:marLeft w:val="0"/>
      <w:marRight w:val="0"/>
      <w:marTop w:val="0"/>
      <w:marBottom w:val="0"/>
      <w:divBdr>
        <w:top w:val="none" w:sz="0" w:space="0" w:color="auto"/>
        <w:left w:val="none" w:sz="0" w:space="0" w:color="auto"/>
        <w:bottom w:val="none" w:sz="0" w:space="0" w:color="auto"/>
        <w:right w:val="none" w:sz="0" w:space="0" w:color="auto"/>
      </w:divBdr>
    </w:div>
    <w:div w:id="918368944">
      <w:bodyDiv w:val="1"/>
      <w:marLeft w:val="0"/>
      <w:marRight w:val="0"/>
      <w:marTop w:val="0"/>
      <w:marBottom w:val="0"/>
      <w:divBdr>
        <w:top w:val="none" w:sz="0" w:space="0" w:color="auto"/>
        <w:left w:val="none" w:sz="0" w:space="0" w:color="auto"/>
        <w:bottom w:val="none" w:sz="0" w:space="0" w:color="auto"/>
        <w:right w:val="none" w:sz="0" w:space="0" w:color="auto"/>
      </w:divBdr>
    </w:div>
    <w:div w:id="991636964">
      <w:bodyDiv w:val="1"/>
      <w:marLeft w:val="0"/>
      <w:marRight w:val="0"/>
      <w:marTop w:val="0"/>
      <w:marBottom w:val="0"/>
      <w:divBdr>
        <w:top w:val="none" w:sz="0" w:space="0" w:color="auto"/>
        <w:left w:val="none" w:sz="0" w:space="0" w:color="auto"/>
        <w:bottom w:val="none" w:sz="0" w:space="0" w:color="auto"/>
        <w:right w:val="none" w:sz="0" w:space="0" w:color="auto"/>
      </w:divBdr>
    </w:div>
    <w:div w:id="1070690847">
      <w:bodyDiv w:val="1"/>
      <w:marLeft w:val="0"/>
      <w:marRight w:val="0"/>
      <w:marTop w:val="0"/>
      <w:marBottom w:val="0"/>
      <w:divBdr>
        <w:top w:val="none" w:sz="0" w:space="0" w:color="auto"/>
        <w:left w:val="none" w:sz="0" w:space="0" w:color="auto"/>
        <w:bottom w:val="none" w:sz="0" w:space="0" w:color="auto"/>
        <w:right w:val="none" w:sz="0" w:space="0" w:color="auto"/>
      </w:divBdr>
    </w:div>
    <w:div w:id="1102336755">
      <w:bodyDiv w:val="1"/>
      <w:marLeft w:val="0"/>
      <w:marRight w:val="0"/>
      <w:marTop w:val="0"/>
      <w:marBottom w:val="0"/>
      <w:divBdr>
        <w:top w:val="none" w:sz="0" w:space="0" w:color="auto"/>
        <w:left w:val="none" w:sz="0" w:space="0" w:color="auto"/>
        <w:bottom w:val="none" w:sz="0" w:space="0" w:color="auto"/>
        <w:right w:val="none" w:sz="0" w:space="0" w:color="auto"/>
      </w:divBdr>
    </w:div>
    <w:div w:id="1149134712">
      <w:bodyDiv w:val="1"/>
      <w:marLeft w:val="0"/>
      <w:marRight w:val="0"/>
      <w:marTop w:val="0"/>
      <w:marBottom w:val="0"/>
      <w:divBdr>
        <w:top w:val="none" w:sz="0" w:space="0" w:color="auto"/>
        <w:left w:val="none" w:sz="0" w:space="0" w:color="auto"/>
        <w:bottom w:val="none" w:sz="0" w:space="0" w:color="auto"/>
        <w:right w:val="none" w:sz="0" w:space="0" w:color="auto"/>
      </w:divBdr>
    </w:div>
    <w:div w:id="1235965963">
      <w:bodyDiv w:val="1"/>
      <w:marLeft w:val="0"/>
      <w:marRight w:val="0"/>
      <w:marTop w:val="0"/>
      <w:marBottom w:val="0"/>
      <w:divBdr>
        <w:top w:val="none" w:sz="0" w:space="0" w:color="auto"/>
        <w:left w:val="none" w:sz="0" w:space="0" w:color="auto"/>
        <w:bottom w:val="none" w:sz="0" w:space="0" w:color="auto"/>
        <w:right w:val="none" w:sz="0" w:space="0" w:color="auto"/>
      </w:divBdr>
    </w:div>
    <w:div w:id="1282954694">
      <w:bodyDiv w:val="1"/>
      <w:marLeft w:val="0"/>
      <w:marRight w:val="0"/>
      <w:marTop w:val="0"/>
      <w:marBottom w:val="0"/>
      <w:divBdr>
        <w:top w:val="none" w:sz="0" w:space="0" w:color="auto"/>
        <w:left w:val="none" w:sz="0" w:space="0" w:color="auto"/>
        <w:bottom w:val="none" w:sz="0" w:space="0" w:color="auto"/>
        <w:right w:val="none" w:sz="0" w:space="0" w:color="auto"/>
      </w:divBdr>
    </w:div>
    <w:div w:id="1315984325">
      <w:bodyDiv w:val="1"/>
      <w:marLeft w:val="0"/>
      <w:marRight w:val="0"/>
      <w:marTop w:val="0"/>
      <w:marBottom w:val="0"/>
      <w:divBdr>
        <w:top w:val="none" w:sz="0" w:space="0" w:color="auto"/>
        <w:left w:val="none" w:sz="0" w:space="0" w:color="auto"/>
        <w:bottom w:val="none" w:sz="0" w:space="0" w:color="auto"/>
        <w:right w:val="none" w:sz="0" w:space="0" w:color="auto"/>
      </w:divBdr>
    </w:div>
    <w:div w:id="1322852011">
      <w:bodyDiv w:val="1"/>
      <w:marLeft w:val="0"/>
      <w:marRight w:val="0"/>
      <w:marTop w:val="0"/>
      <w:marBottom w:val="0"/>
      <w:divBdr>
        <w:top w:val="none" w:sz="0" w:space="0" w:color="auto"/>
        <w:left w:val="none" w:sz="0" w:space="0" w:color="auto"/>
        <w:bottom w:val="none" w:sz="0" w:space="0" w:color="auto"/>
        <w:right w:val="none" w:sz="0" w:space="0" w:color="auto"/>
      </w:divBdr>
    </w:div>
    <w:div w:id="1354648737">
      <w:bodyDiv w:val="1"/>
      <w:marLeft w:val="0"/>
      <w:marRight w:val="0"/>
      <w:marTop w:val="0"/>
      <w:marBottom w:val="0"/>
      <w:divBdr>
        <w:top w:val="none" w:sz="0" w:space="0" w:color="auto"/>
        <w:left w:val="none" w:sz="0" w:space="0" w:color="auto"/>
        <w:bottom w:val="none" w:sz="0" w:space="0" w:color="auto"/>
        <w:right w:val="none" w:sz="0" w:space="0" w:color="auto"/>
      </w:divBdr>
    </w:div>
    <w:div w:id="1407997661">
      <w:bodyDiv w:val="1"/>
      <w:marLeft w:val="0"/>
      <w:marRight w:val="0"/>
      <w:marTop w:val="0"/>
      <w:marBottom w:val="0"/>
      <w:divBdr>
        <w:top w:val="none" w:sz="0" w:space="0" w:color="auto"/>
        <w:left w:val="none" w:sz="0" w:space="0" w:color="auto"/>
        <w:bottom w:val="none" w:sz="0" w:space="0" w:color="auto"/>
        <w:right w:val="none" w:sz="0" w:space="0" w:color="auto"/>
      </w:divBdr>
    </w:div>
    <w:div w:id="1444690719">
      <w:bodyDiv w:val="1"/>
      <w:marLeft w:val="0"/>
      <w:marRight w:val="0"/>
      <w:marTop w:val="0"/>
      <w:marBottom w:val="0"/>
      <w:divBdr>
        <w:top w:val="none" w:sz="0" w:space="0" w:color="auto"/>
        <w:left w:val="none" w:sz="0" w:space="0" w:color="auto"/>
        <w:bottom w:val="none" w:sz="0" w:space="0" w:color="auto"/>
        <w:right w:val="none" w:sz="0" w:space="0" w:color="auto"/>
      </w:divBdr>
    </w:div>
    <w:div w:id="1524830906">
      <w:bodyDiv w:val="1"/>
      <w:marLeft w:val="0"/>
      <w:marRight w:val="0"/>
      <w:marTop w:val="0"/>
      <w:marBottom w:val="0"/>
      <w:divBdr>
        <w:top w:val="none" w:sz="0" w:space="0" w:color="auto"/>
        <w:left w:val="none" w:sz="0" w:space="0" w:color="auto"/>
        <w:bottom w:val="none" w:sz="0" w:space="0" w:color="auto"/>
        <w:right w:val="none" w:sz="0" w:space="0" w:color="auto"/>
      </w:divBdr>
    </w:div>
    <w:div w:id="1572232675">
      <w:bodyDiv w:val="1"/>
      <w:marLeft w:val="0"/>
      <w:marRight w:val="0"/>
      <w:marTop w:val="0"/>
      <w:marBottom w:val="0"/>
      <w:divBdr>
        <w:top w:val="none" w:sz="0" w:space="0" w:color="auto"/>
        <w:left w:val="none" w:sz="0" w:space="0" w:color="auto"/>
        <w:bottom w:val="none" w:sz="0" w:space="0" w:color="auto"/>
        <w:right w:val="none" w:sz="0" w:space="0" w:color="auto"/>
      </w:divBdr>
    </w:div>
    <w:div w:id="1581021757">
      <w:bodyDiv w:val="1"/>
      <w:marLeft w:val="0"/>
      <w:marRight w:val="0"/>
      <w:marTop w:val="0"/>
      <w:marBottom w:val="0"/>
      <w:divBdr>
        <w:top w:val="none" w:sz="0" w:space="0" w:color="auto"/>
        <w:left w:val="none" w:sz="0" w:space="0" w:color="auto"/>
        <w:bottom w:val="none" w:sz="0" w:space="0" w:color="auto"/>
        <w:right w:val="none" w:sz="0" w:space="0" w:color="auto"/>
      </w:divBdr>
    </w:div>
    <w:div w:id="1599828706">
      <w:bodyDiv w:val="1"/>
      <w:marLeft w:val="0"/>
      <w:marRight w:val="0"/>
      <w:marTop w:val="0"/>
      <w:marBottom w:val="0"/>
      <w:divBdr>
        <w:top w:val="none" w:sz="0" w:space="0" w:color="auto"/>
        <w:left w:val="none" w:sz="0" w:space="0" w:color="auto"/>
        <w:bottom w:val="none" w:sz="0" w:space="0" w:color="auto"/>
        <w:right w:val="none" w:sz="0" w:space="0" w:color="auto"/>
      </w:divBdr>
    </w:div>
    <w:div w:id="1611667111">
      <w:bodyDiv w:val="1"/>
      <w:marLeft w:val="0"/>
      <w:marRight w:val="0"/>
      <w:marTop w:val="0"/>
      <w:marBottom w:val="0"/>
      <w:divBdr>
        <w:top w:val="none" w:sz="0" w:space="0" w:color="auto"/>
        <w:left w:val="none" w:sz="0" w:space="0" w:color="auto"/>
        <w:bottom w:val="none" w:sz="0" w:space="0" w:color="auto"/>
        <w:right w:val="none" w:sz="0" w:space="0" w:color="auto"/>
      </w:divBdr>
    </w:div>
    <w:div w:id="1700742293">
      <w:bodyDiv w:val="1"/>
      <w:marLeft w:val="0"/>
      <w:marRight w:val="0"/>
      <w:marTop w:val="0"/>
      <w:marBottom w:val="0"/>
      <w:divBdr>
        <w:top w:val="none" w:sz="0" w:space="0" w:color="auto"/>
        <w:left w:val="none" w:sz="0" w:space="0" w:color="auto"/>
        <w:bottom w:val="none" w:sz="0" w:space="0" w:color="auto"/>
        <w:right w:val="none" w:sz="0" w:space="0" w:color="auto"/>
      </w:divBdr>
    </w:div>
    <w:div w:id="1775399038">
      <w:bodyDiv w:val="1"/>
      <w:marLeft w:val="0"/>
      <w:marRight w:val="0"/>
      <w:marTop w:val="0"/>
      <w:marBottom w:val="0"/>
      <w:divBdr>
        <w:top w:val="none" w:sz="0" w:space="0" w:color="auto"/>
        <w:left w:val="none" w:sz="0" w:space="0" w:color="auto"/>
        <w:bottom w:val="none" w:sz="0" w:space="0" w:color="auto"/>
        <w:right w:val="none" w:sz="0" w:space="0" w:color="auto"/>
      </w:divBdr>
    </w:div>
    <w:div w:id="1797676147">
      <w:bodyDiv w:val="1"/>
      <w:marLeft w:val="0"/>
      <w:marRight w:val="0"/>
      <w:marTop w:val="0"/>
      <w:marBottom w:val="0"/>
      <w:divBdr>
        <w:top w:val="none" w:sz="0" w:space="0" w:color="auto"/>
        <w:left w:val="none" w:sz="0" w:space="0" w:color="auto"/>
        <w:bottom w:val="none" w:sz="0" w:space="0" w:color="auto"/>
        <w:right w:val="none" w:sz="0" w:space="0" w:color="auto"/>
      </w:divBdr>
    </w:div>
    <w:div w:id="1803841852">
      <w:bodyDiv w:val="1"/>
      <w:marLeft w:val="0"/>
      <w:marRight w:val="0"/>
      <w:marTop w:val="0"/>
      <w:marBottom w:val="0"/>
      <w:divBdr>
        <w:top w:val="none" w:sz="0" w:space="0" w:color="auto"/>
        <w:left w:val="none" w:sz="0" w:space="0" w:color="auto"/>
        <w:bottom w:val="none" w:sz="0" w:space="0" w:color="auto"/>
        <w:right w:val="none" w:sz="0" w:space="0" w:color="auto"/>
      </w:divBdr>
    </w:div>
    <w:div w:id="1851332556">
      <w:bodyDiv w:val="1"/>
      <w:marLeft w:val="0"/>
      <w:marRight w:val="0"/>
      <w:marTop w:val="0"/>
      <w:marBottom w:val="0"/>
      <w:divBdr>
        <w:top w:val="none" w:sz="0" w:space="0" w:color="auto"/>
        <w:left w:val="none" w:sz="0" w:space="0" w:color="auto"/>
        <w:bottom w:val="none" w:sz="0" w:space="0" w:color="auto"/>
        <w:right w:val="none" w:sz="0" w:space="0" w:color="auto"/>
      </w:divBdr>
    </w:div>
    <w:div w:id="1895655300">
      <w:bodyDiv w:val="1"/>
      <w:marLeft w:val="0"/>
      <w:marRight w:val="0"/>
      <w:marTop w:val="0"/>
      <w:marBottom w:val="0"/>
      <w:divBdr>
        <w:top w:val="none" w:sz="0" w:space="0" w:color="auto"/>
        <w:left w:val="none" w:sz="0" w:space="0" w:color="auto"/>
        <w:bottom w:val="none" w:sz="0" w:space="0" w:color="auto"/>
        <w:right w:val="none" w:sz="0" w:space="0" w:color="auto"/>
      </w:divBdr>
    </w:div>
    <w:div w:id="2049792302">
      <w:bodyDiv w:val="1"/>
      <w:marLeft w:val="0"/>
      <w:marRight w:val="0"/>
      <w:marTop w:val="0"/>
      <w:marBottom w:val="0"/>
      <w:divBdr>
        <w:top w:val="none" w:sz="0" w:space="0" w:color="auto"/>
        <w:left w:val="none" w:sz="0" w:space="0" w:color="auto"/>
        <w:bottom w:val="none" w:sz="0" w:space="0" w:color="auto"/>
        <w:right w:val="none" w:sz="0" w:space="0" w:color="auto"/>
      </w:divBdr>
    </w:div>
    <w:div w:id="2144807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e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e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hyperlink" Target="http://www.meldenbivirkning.dk" TargetMode="External"/><Relationship Id="rId14" Type="http://schemas.openxmlformats.org/officeDocument/2006/relationships/image" Target="media/image7.emf"/></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Template>
  <TotalTime>1</TotalTime>
  <Pages>16</Pages>
  <Words>4531</Words>
  <Characters>28826</Characters>
  <Application>Microsoft Office Word</Application>
  <DocSecurity>0</DocSecurity>
  <Lines>240</Lines>
  <Paragraphs>66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Helle Søndersted</dc:creator>
  <cp:keywords/>
  <dc:description>2024012131 pkt. 6.5.</dc:description>
  <cp:lastModifiedBy>Helle Søndersted</cp:lastModifiedBy>
  <cp:revision>2</cp:revision>
  <cp:lastPrinted>2012-08-22T08:53:00Z</cp:lastPrinted>
  <dcterms:created xsi:type="dcterms:W3CDTF">2024-10-31T07:09:00Z</dcterms:created>
  <dcterms:modified xsi:type="dcterms:W3CDTF">2024-10-31T07:09:00Z</dcterms:modified>
</cp:coreProperties>
</file>