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00D" w:rsidRDefault="0033400D" w:rsidP="0033400D">
      <w:bookmarkStart w:id="0" w:name="_GoBack"/>
      <w:bookmarkEnd w:id="0"/>
      <w:r>
        <w:rPr>
          <w:noProof/>
          <w:lang w:eastAsia="da-DK"/>
        </w:rPr>
        <w:drawing>
          <wp:inline distT="0" distB="0" distL="0" distR="0" wp14:anchorId="7AD2CABA" wp14:editId="03B8283A">
            <wp:extent cx="2428875" cy="685800"/>
            <wp:effectExtent l="0" t="0" r="9525" b="0"/>
            <wp:docPr id="5"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44AD4" w:rsidRPr="00955972" w:rsidRDefault="00E44AD4" w:rsidP="0033400D"/>
    <w:p w:rsidR="0033400D" w:rsidRDefault="0033400D" w:rsidP="0033400D">
      <w:pPr>
        <w:pStyle w:val="Titel"/>
        <w:jc w:val="left"/>
        <w:rPr>
          <w:b w:val="0"/>
        </w:rPr>
      </w:pPr>
    </w:p>
    <w:p w:rsidR="0033400D" w:rsidRDefault="00E44AD4" w:rsidP="00183DD0">
      <w:pPr>
        <w:pStyle w:val="Titel"/>
        <w:jc w:val="right"/>
      </w:pPr>
      <w:r>
        <w:t>30</w:t>
      </w:r>
      <w:r w:rsidR="004E56D0">
        <w:t xml:space="preserve">. </w:t>
      </w:r>
      <w:r>
        <w:t>juni</w:t>
      </w:r>
      <w:r w:rsidR="004E56D0">
        <w:t xml:space="preserve"> 202</w:t>
      </w:r>
      <w:r>
        <w:t>3</w:t>
      </w:r>
    </w:p>
    <w:p w:rsidR="00183DD0" w:rsidRPr="00183DD0" w:rsidRDefault="00183DD0" w:rsidP="00183DD0">
      <w:pPr>
        <w:pStyle w:val="Titel"/>
        <w:jc w:val="right"/>
      </w:pPr>
    </w:p>
    <w:p w:rsidR="0033400D" w:rsidRDefault="0033400D" w:rsidP="0033400D">
      <w:pPr>
        <w:pStyle w:val="Titel"/>
        <w:jc w:val="left"/>
        <w:rPr>
          <w:b w:val="0"/>
        </w:rPr>
      </w:pPr>
    </w:p>
    <w:p w:rsidR="0033400D" w:rsidRPr="00EC0B9B" w:rsidRDefault="0033400D" w:rsidP="0033400D">
      <w:pPr>
        <w:jc w:val="center"/>
        <w:rPr>
          <w:b/>
          <w:sz w:val="24"/>
          <w:szCs w:val="24"/>
        </w:rPr>
      </w:pPr>
      <w:r w:rsidRPr="00EC0B9B">
        <w:rPr>
          <w:b/>
          <w:sz w:val="24"/>
          <w:szCs w:val="24"/>
        </w:rPr>
        <w:t>PRODUKTRESUMÉ</w:t>
      </w:r>
    </w:p>
    <w:p w:rsidR="0033400D" w:rsidRPr="00EC0B9B" w:rsidRDefault="0033400D" w:rsidP="00150E8D">
      <w:pPr>
        <w:rPr>
          <w:b/>
          <w:sz w:val="24"/>
          <w:szCs w:val="24"/>
        </w:rPr>
      </w:pPr>
    </w:p>
    <w:p w:rsidR="0033400D" w:rsidRPr="00EC0B9B" w:rsidRDefault="0033400D" w:rsidP="0033400D">
      <w:pPr>
        <w:jc w:val="center"/>
        <w:rPr>
          <w:b/>
          <w:sz w:val="24"/>
          <w:szCs w:val="24"/>
        </w:rPr>
      </w:pPr>
      <w:r w:rsidRPr="00EC0B9B">
        <w:rPr>
          <w:b/>
          <w:sz w:val="24"/>
          <w:szCs w:val="24"/>
        </w:rPr>
        <w:t>for</w:t>
      </w:r>
    </w:p>
    <w:p w:rsidR="0033400D" w:rsidRPr="00EC0B9B" w:rsidRDefault="0033400D" w:rsidP="0033400D">
      <w:pPr>
        <w:jc w:val="center"/>
        <w:rPr>
          <w:b/>
          <w:sz w:val="24"/>
          <w:szCs w:val="24"/>
        </w:rPr>
      </w:pPr>
    </w:p>
    <w:p w:rsidR="0033400D" w:rsidRPr="0049104B" w:rsidRDefault="0033400D" w:rsidP="0033400D">
      <w:pPr>
        <w:jc w:val="center"/>
        <w:rPr>
          <w:b/>
          <w:sz w:val="24"/>
          <w:szCs w:val="24"/>
        </w:rPr>
      </w:pPr>
      <w:proofErr w:type="spellStart"/>
      <w:r>
        <w:rPr>
          <w:b/>
          <w:sz w:val="24"/>
          <w:szCs w:val="24"/>
        </w:rPr>
        <w:t>Xeomin</w:t>
      </w:r>
      <w:proofErr w:type="spellEnd"/>
      <w:r>
        <w:rPr>
          <w:b/>
          <w:sz w:val="24"/>
          <w:szCs w:val="24"/>
        </w:rPr>
        <w:t>, pulver til injektionsvæske, opløsning 50 enheder</w:t>
      </w:r>
    </w:p>
    <w:p w:rsidR="0033400D" w:rsidRPr="00EC0B9B" w:rsidRDefault="0033400D" w:rsidP="0033400D">
      <w:pPr>
        <w:jc w:val="both"/>
        <w:rPr>
          <w:sz w:val="24"/>
          <w:szCs w:val="24"/>
        </w:rPr>
      </w:pPr>
    </w:p>
    <w:p w:rsidR="0033400D" w:rsidRPr="00F50095" w:rsidRDefault="0033400D" w:rsidP="0033400D">
      <w:pPr>
        <w:ind w:left="851" w:hanging="851"/>
        <w:jc w:val="both"/>
        <w:rPr>
          <w:sz w:val="24"/>
          <w:szCs w:val="24"/>
        </w:rPr>
      </w:pPr>
    </w:p>
    <w:p w:rsidR="0033400D" w:rsidRPr="00F50095" w:rsidRDefault="0033400D" w:rsidP="0033400D">
      <w:pPr>
        <w:numPr>
          <w:ilvl w:val="0"/>
          <w:numId w:val="1"/>
        </w:numPr>
        <w:tabs>
          <w:tab w:val="clear" w:pos="855"/>
        </w:tabs>
        <w:ind w:left="851" w:hanging="851"/>
        <w:rPr>
          <w:b/>
          <w:sz w:val="24"/>
          <w:szCs w:val="24"/>
        </w:rPr>
      </w:pPr>
      <w:r w:rsidRPr="00F50095">
        <w:rPr>
          <w:b/>
          <w:sz w:val="24"/>
          <w:szCs w:val="24"/>
        </w:rPr>
        <w:t>D.SP.NR.</w:t>
      </w:r>
    </w:p>
    <w:p w:rsidR="0033400D" w:rsidRPr="00F50095" w:rsidRDefault="0033400D" w:rsidP="0033400D">
      <w:pPr>
        <w:ind w:left="851" w:hanging="851"/>
        <w:rPr>
          <w:sz w:val="24"/>
          <w:szCs w:val="24"/>
        </w:rPr>
      </w:pPr>
      <w:r w:rsidRPr="00F50095">
        <w:rPr>
          <w:sz w:val="24"/>
          <w:szCs w:val="24"/>
        </w:rPr>
        <w:tab/>
        <w:t>24755</w:t>
      </w:r>
    </w:p>
    <w:p w:rsidR="0033400D" w:rsidRPr="00F50095" w:rsidRDefault="0033400D" w:rsidP="0033400D">
      <w:pPr>
        <w:ind w:left="851" w:hanging="851"/>
        <w:rPr>
          <w:sz w:val="24"/>
          <w:szCs w:val="24"/>
        </w:rPr>
      </w:pPr>
    </w:p>
    <w:p w:rsidR="0033400D" w:rsidRPr="00F50095" w:rsidRDefault="0033400D" w:rsidP="0033400D">
      <w:pPr>
        <w:numPr>
          <w:ilvl w:val="0"/>
          <w:numId w:val="1"/>
        </w:numPr>
        <w:tabs>
          <w:tab w:val="clear" w:pos="855"/>
        </w:tabs>
        <w:ind w:left="851" w:hanging="851"/>
        <w:rPr>
          <w:b/>
          <w:sz w:val="24"/>
          <w:szCs w:val="24"/>
        </w:rPr>
      </w:pPr>
      <w:r w:rsidRPr="00F50095">
        <w:rPr>
          <w:b/>
          <w:sz w:val="24"/>
          <w:szCs w:val="24"/>
        </w:rPr>
        <w:t>LÆGEMIDLETS NAVN</w:t>
      </w:r>
    </w:p>
    <w:p w:rsidR="0033400D" w:rsidRPr="00F50095" w:rsidRDefault="0033400D" w:rsidP="0033400D">
      <w:pPr>
        <w:ind w:left="851" w:hanging="851"/>
        <w:rPr>
          <w:sz w:val="24"/>
          <w:szCs w:val="24"/>
        </w:rPr>
      </w:pPr>
      <w:r w:rsidRPr="00F50095">
        <w:rPr>
          <w:sz w:val="24"/>
          <w:szCs w:val="24"/>
        </w:rPr>
        <w:tab/>
      </w:r>
      <w:proofErr w:type="spellStart"/>
      <w:r w:rsidRPr="00F50095">
        <w:rPr>
          <w:sz w:val="24"/>
          <w:szCs w:val="24"/>
        </w:rPr>
        <w:t>X</w:t>
      </w:r>
      <w:r>
        <w:rPr>
          <w:sz w:val="24"/>
          <w:szCs w:val="24"/>
        </w:rPr>
        <w:t>eomin</w:t>
      </w:r>
      <w:proofErr w:type="spellEnd"/>
    </w:p>
    <w:p w:rsidR="0033400D" w:rsidRPr="00F50095" w:rsidRDefault="0033400D" w:rsidP="0033400D">
      <w:pPr>
        <w:ind w:left="851" w:hanging="851"/>
        <w:rPr>
          <w:sz w:val="24"/>
          <w:szCs w:val="24"/>
        </w:rPr>
      </w:pPr>
      <w:r w:rsidRPr="00F50095">
        <w:rPr>
          <w:sz w:val="24"/>
          <w:szCs w:val="24"/>
        </w:rPr>
        <w:tab/>
      </w:r>
    </w:p>
    <w:p w:rsidR="0033400D" w:rsidRPr="009A21DF" w:rsidRDefault="0033400D" w:rsidP="0033400D">
      <w:pPr>
        <w:numPr>
          <w:ilvl w:val="0"/>
          <w:numId w:val="1"/>
        </w:numPr>
        <w:tabs>
          <w:tab w:val="clear" w:pos="855"/>
        </w:tabs>
        <w:ind w:left="851" w:hanging="851"/>
        <w:rPr>
          <w:b/>
          <w:sz w:val="24"/>
          <w:szCs w:val="24"/>
        </w:rPr>
      </w:pPr>
      <w:r w:rsidRPr="00F50095">
        <w:rPr>
          <w:b/>
          <w:sz w:val="24"/>
          <w:szCs w:val="24"/>
        </w:rPr>
        <w:t>KVALITATIV OG KVANTITATIV SAMMENSÆTNING</w:t>
      </w:r>
    </w:p>
    <w:p w:rsidR="0033400D" w:rsidRPr="00F50095" w:rsidRDefault="0033400D" w:rsidP="0033400D">
      <w:pPr>
        <w:suppressAutoHyphens/>
        <w:ind w:left="851"/>
        <w:rPr>
          <w:i/>
          <w:spacing w:val="-2"/>
          <w:sz w:val="24"/>
          <w:szCs w:val="24"/>
        </w:rPr>
      </w:pPr>
      <w:proofErr w:type="spellStart"/>
      <w:r w:rsidRPr="00F50095">
        <w:rPr>
          <w:i/>
          <w:sz w:val="24"/>
          <w:szCs w:val="24"/>
        </w:rPr>
        <w:t>X</w:t>
      </w:r>
      <w:r>
        <w:rPr>
          <w:i/>
          <w:sz w:val="24"/>
          <w:szCs w:val="24"/>
        </w:rPr>
        <w:t>eomin</w:t>
      </w:r>
      <w:proofErr w:type="spellEnd"/>
      <w:r w:rsidRPr="00F50095">
        <w:rPr>
          <w:i/>
          <w:sz w:val="24"/>
          <w:szCs w:val="24"/>
        </w:rPr>
        <w:t xml:space="preserve"> 50 enheder pulver til injektionsvæske, opløsning</w:t>
      </w:r>
    </w:p>
    <w:p w:rsidR="0033400D" w:rsidRPr="00F50095" w:rsidRDefault="0033400D" w:rsidP="0033400D">
      <w:pPr>
        <w:suppressAutoHyphens/>
        <w:ind w:left="851"/>
        <w:rPr>
          <w:sz w:val="24"/>
          <w:szCs w:val="24"/>
        </w:rPr>
      </w:pPr>
      <w:r w:rsidRPr="00F50095">
        <w:rPr>
          <w:spacing w:val="-2"/>
          <w:sz w:val="24"/>
          <w:szCs w:val="24"/>
        </w:rPr>
        <w:t xml:space="preserve">1 hætteglas indeholder 50 enheder </w:t>
      </w:r>
      <w:proofErr w:type="spellStart"/>
      <w:r w:rsidRPr="00F50095">
        <w:rPr>
          <w:spacing w:val="-2"/>
          <w:sz w:val="24"/>
          <w:szCs w:val="24"/>
        </w:rPr>
        <w:t>Clostridium</w:t>
      </w:r>
      <w:proofErr w:type="spellEnd"/>
      <w:r w:rsidRPr="00F50095">
        <w:rPr>
          <w:spacing w:val="-2"/>
          <w:sz w:val="24"/>
          <w:szCs w:val="24"/>
        </w:rPr>
        <w:t xml:space="preserve"> </w:t>
      </w:r>
      <w:proofErr w:type="spellStart"/>
      <w:r w:rsidRPr="00F50095">
        <w:rPr>
          <w:spacing w:val="-2"/>
          <w:sz w:val="24"/>
          <w:szCs w:val="24"/>
        </w:rPr>
        <w:t>botulinum</w:t>
      </w:r>
      <w:proofErr w:type="spellEnd"/>
      <w:r w:rsidRPr="00F50095">
        <w:rPr>
          <w:spacing w:val="-2"/>
          <w:sz w:val="24"/>
          <w:szCs w:val="24"/>
        </w:rPr>
        <w:t xml:space="preserve"> type A-</w:t>
      </w:r>
      <w:proofErr w:type="spellStart"/>
      <w:r w:rsidRPr="00F50095">
        <w:rPr>
          <w:spacing w:val="-2"/>
          <w:sz w:val="24"/>
          <w:szCs w:val="24"/>
        </w:rPr>
        <w:t>neurotoksin</w:t>
      </w:r>
      <w:proofErr w:type="spellEnd"/>
      <w:r w:rsidRPr="00F50095">
        <w:rPr>
          <w:spacing w:val="-2"/>
          <w:sz w:val="24"/>
          <w:szCs w:val="24"/>
        </w:rPr>
        <w:t xml:space="preserve"> (150 </w:t>
      </w:r>
      <w:proofErr w:type="spellStart"/>
      <w:r w:rsidRPr="00F50095">
        <w:rPr>
          <w:spacing w:val="-2"/>
          <w:sz w:val="24"/>
          <w:szCs w:val="24"/>
        </w:rPr>
        <w:t>kD</w:t>
      </w:r>
      <w:proofErr w:type="spellEnd"/>
      <w:r w:rsidRPr="00F50095">
        <w:rPr>
          <w:spacing w:val="-2"/>
          <w:sz w:val="24"/>
          <w:szCs w:val="24"/>
        </w:rPr>
        <w:t>) uden kompleksdannende proteiner*</w:t>
      </w:r>
    </w:p>
    <w:p w:rsidR="0033400D" w:rsidRPr="00F50095" w:rsidRDefault="0033400D" w:rsidP="0033400D">
      <w:pPr>
        <w:suppressAutoHyphens/>
        <w:ind w:left="1276" w:hanging="425"/>
        <w:rPr>
          <w:b/>
          <w:i/>
          <w:sz w:val="24"/>
          <w:szCs w:val="24"/>
        </w:rPr>
      </w:pPr>
      <w:r w:rsidRPr="00F50095">
        <w:rPr>
          <w:b/>
          <w:i/>
          <w:sz w:val="24"/>
          <w:szCs w:val="24"/>
        </w:rPr>
        <w:t>*</w:t>
      </w:r>
      <w:r w:rsidRPr="00F50095">
        <w:rPr>
          <w:b/>
          <w:i/>
          <w:sz w:val="24"/>
          <w:szCs w:val="24"/>
        </w:rPr>
        <w:tab/>
      </w:r>
      <w:proofErr w:type="spellStart"/>
      <w:r w:rsidRPr="00F50095">
        <w:rPr>
          <w:sz w:val="24"/>
          <w:szCs w:val="24"/>
        </w:rPr>
        <w:t>Clostridium</w:t>
      </w:r>
      <w:proofErr w:type="spellEnd"/>
      <w:r w:rsidRPr="00F50095">
        <w:rPr>
          <w:sz w:val="24"/>
          <w:szCs w:val="24"/>
        </w:rPr>
        <w:t xml:space="preserve"> </w:t>
      </w:r>
      <w:proofErr w:type="spellStart"/>
      <w:r w:rsidRPr="00F50095">
        <w:rPr>
          <w:sz w:val="24"/>
          <w:szCs w:val="24"/>
        </w:rPr>
        <w:t>botulinum</w:t>
      </w:r>
      <w:proofErr w:type="spellEnd"/>
      <w:r w:rsidRPr="00F50095">
        <w:rPr>
          <w:sz w:val="24"/>
          <w:szCs w:val="24"/>
        </w:rPr>
        <w:t xml:space="preserve"> type A-</w:t>
      </w:r>
      <w:proofErr w:type="spellStart"/>
      <w:r w:rsidRPr="00F50095">
        <w:rPr>
          <w:sz w:val="24"/>
          <w:szCs w:val="24"/>
        </w:rPr>
        <w:t>neurotoksin</w:t>
      </w:r>
      <w:proofErr w:type="spellEnd"/>
      <w:r w:rsidRPr="00F50095">
        <w:rPr>
          <w:sz w:val="24"/>
          <w:szCs w:val="24"/>
        </w:rPr>
        <w:t xml:space="preserve">, </w:t>
      </w:r>
      <w:r>
        <w:rPr>
          <w:sz w:val="24"/>
          <w:szCs w:val="24"/>
        </w:rPr>
        <w:t>o</w:t>
      </w:r>
      <w:r w:rsidRPr="00F50095">
        <w:rPr>
          <w:sz w:val="24"/>
          <w:szCs w:val="24"/>
        </w:rPr>
        <w:t xml:space="preserve">prenset af kulturer af </w:t>
      </w:r>
      <w:proofErr w:type="spellStart"/>
      <w:r w:rsidRPr="00F50095">
        <w:rPr>
          <w:sz w:val="24"/>
          <w:szCs w:val="24"/>
        </w:rPr>
        <w:t>Clostridium</w:t>
      </w:r>
      <w:proofErr w:type="spellEnd"/>
      <w:r w:rsidRPr="00F50095">
        <w:rPr>
          <w:sz w:val="24"/>
          <w:szCs w:val="24"/>
        </w:rPr>
        <w:t xml:space="preserve"> </w:t>
      </w:r>
      <w:proofErr w:type="spellStart"/>
      <w:r w:rsidRPr="00F50095">
        <w:rPr>
          <w:sz w:val="24"/>
          <w:szCs w:val="24"/>
        </w:rPr>
        <w:t>botulinum</w:t>
      </w:r>
      <w:proofErr w:type="spellEnd"/>
      <w:r w:rsidRPr="00F50095">
        <w:rPr>
          <w:sz w:val="24"/>
          <w:szCs w:val="24"/>
        </w:rPr>
        <w:t xml:space="preserve"> (Hall-stammen)</w:t>
      </w:r>
    </w:p>
    <w:p w:rsidR="0033400D" w:rsidRPr="00F50095" w:rsidRDefault="0033400D" w:rsidP="0033400D">
      <w:pPr>
        <w:suppressAutoHyphens/>
        <w:ind w:left="851" w:hanging="851"/>
        <w:rPr>
          <w:sz w:val="24"/>
          <w:szCs w:val="24"/>
        </w:rPr>
      </w:pPr>
    </w:p>
    <w:p w:rsidR="0033400D" w:rsidRPr="00F50095" w:rsidRDefault="0033400D" w:rsidP="0033400D">
      <w:pPr>
        <w:pStyle w:val="Brdtekstindrykning2"/>
        <w:tabs>
          <w:tab w:val="clear" w:pos="0"/>
          <w:tab w:val="clear" w:pos="720"/>
        </w:tabs>
        <w:ind w:left="851" w:hanging="851"/>
        <w:jc w:val="left"/>
        <w:rPr>
          <w:rFonts w:ascii="Times New Roman" w:hAnsi="Times New Roman" w:cs="Times New Roman"/>
          <w:spacing w:val="-2"/>
          <w:sz w:val="24"/>
          <w:szCs w:val="24"/>
          <w:lang w:val="da-DK"/>
        </w:rPr>
      </w:pPr>
      <w:r w:rsidRPr="00F50095">
        <w:rPr>
          <w:rFonts w:ascii="Times New Roman" w:hAnsi="Times New Roman" w:cs="Times New Roman"/>
          <w:spacing w:val="-2"/>
          <w:sz w:val="24"/>
          <w:szCs w:val="24"/>
          <w:lang w:val="da-DK"/>
        </w:rPr>
        <w:tab/>
        <w:t>Alle hjælpestoffer er anført under pkt. 6.1.</w:t>
      </w:r>
    </w:p>
    <w:p w:rsidR="0033400D" w:rsidRPr="00F50095" w:rsidRDefault="0033400D" w:rsidP="0033400D">
      <w:pPr>
        <w:ind w:left="851" w:hanging="851"/>
        <w:rPr>
          <w:sz w:val="24"/>
          <w:szCs w:val="24"/>
        </w:rPr>
      </w:pPr>
    </w:p>
    <w:p w:rsidR="0033400D" w:rsidRPr="00F50095" w:rsidRDefault="0033400D" w:rsidP="0033400D">
      <w:pPr>
        <w:numPr>
          <w:ilvl w:val="0"/>
          <w:numId w:val="1"/>
        </w:numPr>
        <w:tabs>
          <w:tab w:val="clear" w:pos="855"/>
        </w:tabs>
        <w:ind w:left="851" w:hanging="851"/>
        <w:rPr>
          <w:b/>
          <w:sz w:val="24"/>
          <w:szCs w:val="24"/>
        </w:rPr>
      </w:pPr>
      <w:r w:rsidRPr="00F50095">
        <w:rPr>
          <w:b/>
          <w:sz w:val="24"/>
          <w:szCs w:val="24"/>
        </w:rPr>
        <w:t>LÆGEMIDDELFORM</w:t>
      </w:r>
    </w:p>
    <w:p w:rsidR="0033400D" w:rsidRPr="00F50095" w:rsidRDefault="0033400D" w:rsidP="0033400D">
      <w:pPr>
        <w:suppressAutoHyphens/>
        <w:ind w:left="851"/>
        <w:rPr>
          <w:spacing w:val="-2"/>
          <w:sz w:val="24"/>
          <w:szCs w:val="24"/>
        </w:rPr>
      </w:pPr>
      <w:r w:rsidRPr="00F50095">
        <w:rPr>
          <w:spacing w:val="-2"/>
          <w:sz w:val="24"/>
          <w:szCs w:val="24"/>
        </w:rPr>
        <w:t>Pulver til injektionsvæske, opløsning</w:t>
      </w:r>
    </w:p>
    <w:p w:rsidR="0033400D" w:rsidRPr="00F50095" w:rsidRDefault="0033400D" w:rsidP="0033400D">
      <w:pPr>
        <w:suppressAutoHyphens/>
        <w:ind w:left="851"/>
        <w:rPr>
          <w:spacing w:val="-2"/>
          <w:sz w:val="24"/>
          <w:szCs w:val="24"/>
        </w:rPr>
      </w:pPr>
      <w:r w:rsidRPr="00F50095">
        <w:rPr>
          <w:spacing w:val="-2"/>
          <w:sz w:val="24"/>
          <w:szCs w:val="24"/>
        </w:rPr>
        <w:t>Hvidt pulver</w:t>
      </w:r>
    </w:p>
    <w:p w:rsidR="0033400D" w:rsidRPr="00F50095" w:rsidRDefault="0033400D" w:rsidP="0033400D">
      <w:pPr>
        <w:ind w:left="851" w:hanging="851"/>
        <w:rPr>
          <w:sz w:val="24"/>
          <w:szCs w:val="24"/>
        </w:rPr>
      </w:pPr>
    </w:p>
    <w:p w:rsidR="0033400D" w:rsidRPr="00F50095" w:rsidRDefault="0033400D" w:rsidP="0033400D">
      <w:pPr>
        <w:ind w:left="851" w:hanging="851"/>
        <w:rPr>
          <w:sz w:val="24"/>
          <w:szCs w:val="24"/>
        </w:rPr>
      </w:pPr>
    </w:p>
    <w:p w:rsidR="0033400D" w:rsidRPr="00F50095" w:rsidRDefault="0033400D" w:rsidP="0033400D">
      <w:pPr>
        <w:numPr>
          <w:ilvl w:val="0"/>
          <w:numId w:val="1"/>
        </w:numPr>
        <w:tabs>
          <w:tab w:val="clear" w:pos="855"/>
        </w:tabs>
        <w:ind w:left="851" w:hanging="851"/>
        <w:rPr>
          <w:b/>
          <w:sz w:val="24"/>
          <w:szCs w:val="24"/>
        </w:rPr>
      </w:pPr>
      <w:r w:rsidRPr="00F50095">
        <w:rPr>
          <w:b/>
          <w:sz w:val="24"/>
          <w:szCs w:val="24"/>
        </w:rPr>
        <w:t>KLINISKE OPLYSNINGER</w:t>
      </w:r>
    </w:p>
    <w:p w:rsidR="0033400D" w:rsidRPr="00F50095" w:rsidRDefault="0033400D" w:rsidP="0033400D">
      <w:pPr>
        <w:ind w:left="851" w:hanging="851"/>
        <w:rPr>
          <w:b/>
          <w:sz w:val="24"/>
          <w:szCs w:val="24"/>
        </w:rPr>
      </w:pPr>
    </w:p>
    <w:p w:rsidR="0033400D" w:rsidRPr="00F50095" w:rsidRDefault="0033400D" w:rsidP="0033400D">
      <w:pPr>
        <w:numPr>
          <w:ilvl w:val="1"/>
          <w:numId w:val="1"/>
        </w:numPr>
        <w:ind w:left="851" w:hanging="851"/>
        <w:rPr>
          <w:b/>
          <w:sz w:val="24"/>
          <w:szCs w:val="24"/>
          <w:u w:val="single"/>
        </w:rPr>
      </w:pPr>
      <w:r w:rsidRPr="00F50095">
        <w:rPr>
          <w:b/>
          <w:sz w:val="24"/>
          <w:szCs w:val="24"/>
        </w:rPr>
        <w:t>Terapeutiske indikationer</w:t>
      </w:r>
    </w:p>
    <w:p w:rsidR="0033400D" w:rsidRDefault="0033400D" w:rsidP="0033400D">
      <w:pPr>
        <w:ind w:left="855"/>
        <w:rPr>
          <w:spacing w:val="-2"/>
          <w:sz w:val="24"/>
          <w:szCs w:val="24"/>
        </w:rPr>
      </w:pPr>
      <w:proofErr w:type="spellStart"/>
      <w:r>
        <w:rPr>
          <w:spacing w:val="-2"/>
          <w:sz w:val="24"/>
          <w:szCs w:val="24"/>
        </w:rPr>
        <w:t>Xeomin</w:t>
      </w:r>
      <w:proofErr w:type="spellEnd"/>
      <w:r>
        <w:rPr>
          <w:spacing w:val="-2"/>
          <w:sz w:val="24"/>
          <w:szCs w:val="24"/>
        </w:rPr>
        <w:t xml:space="preserve"> er indiceret til voksne til symptombehandling af:</w:t>
      </w:r>
    </w:p>
    <w:p w:rsidR="00183DD0" w:rsidRDefault="00183DD0" w:rsidP="00183DD0">
      <w:pPr>
        <w:pStyle w:val="Listeafsnit"/>
        <w:numPr>
          <w:ilvl w:val="0"/>
          <w:numId w:val="14"/>
        </w:numPr>
        <w:rPr>
          <w:spacing w:val="-2"/>
          <w:sz w:val="24"/>
          <w:szCs w:val="24"/>
        </w:rPr>
      </w:pPr>
      <w:proofErr w:type="spellStart"/>
      <w:r>
        <w:rPr>
          <w:spacing w:val="-2"/>
          <w:sz w:val="24"/>
          <w:szCs w:val="24"/>
        </w:rPr>
        <w:t>blefarospasme</w:t>
      </w:r>
      <w:proofErr w:type="spellEnd"/>
      <w:r>
        <w:rPr>
          <w:spacing w:val="-2"/>
          <w:sz w:val="24"/>
          <w:szCs w:val="24"/>
        </w:rPr>
        <w:t xml:space="preserve"> og </w:t>
      </w:r>
      <w:proofErr w:type="spellStart"/>
      <w:r>
        <w:rPr>
          <w:spacing w:val="-2"/>
          <w:sz w:val="24"/>
          <w:szCs w:val="24"/>
        </w:rPr>
        <w:t>hemifaciale</w:t>
      </w:r>
      <w:proofErr w:type="spellEnd"/>
      <w:r>
        <w:rPr>
          <w:spacing w:val="-2"/>
          <w:sz w:val="24"/>
          <w:szCs w:val="24"/>
        </w:rPr>
        <w:t xml:space="preserve"> spasmer,</w:t>
      </w:r>
    </w:p>
    <w:p w:rsidR="00183DD0" w:rsidRDefault="00183DD0" w:rsidP="00183DD0">
      <w:pPr>
        <w:pStyle w:val="Listeafsnit"/>
        <w:numPr>
          <w:ilvl w:val="0"/>
          <w:numId w:val="14"/>
        </w:numPr>
        <w:rPr>
          <w:spacing w:val="-2"/>
          <w:sz w:val="24"/>
          <w:szCs w:val="24"/>
        </w:rPr>
      </w:pPr>
      <w:proofErr w:type="spellStart"/>
      <w:r>
        <w:rPr>
          <w:spacing w:val="-2"/>
          <w:sz w:val="24"/>
          <w:szCs w:val="24"/>
        </w:rPr>
        <w:t>cervikal</w:t>
      </w:r>
      <w:proofErr w:type="spellEnd"/>
      <w:r>
        <w:rPr>
          <w:spacing w:val="-2"/>
          <w:sz w:val="24"/>
          <w:szCs w:val="24"/>
        </w:rPr>
        <w:t xml:space="preserve"> </w:t>
      </w:r>
      <w:proofErr w:type="spellStart"/>
      <w:r>
        <w:rPr>
          <w:spacing w:val="-2"/>
          <w:sz w:val="24"/>
          <w:szCs w:val="24"/>
        </w:rPr>
        <w:t>dystoni</w:t>
      </w:r>
      <w:proofErr w:type="spellEnd"/>
      <w:r>
        <w:rPr>
          <w:spacing w:val="-2"/>
          <w:sz w:val="24"/>
          <w:szCs w:val="24"/>
        </w:rPr>
        <w:t xml:space="preserve">, specielt i form af en rotation (spastisk </w:t>
      </w:r>
      <w:proofErr w:type="spellStart"/>
      <w:r>
        <w:rPr>
          <w:spacing w:val="-2"/>
          <w:sz w:val="24"/>
          <w:szCs w:val="24"/>
        </w:rPr>
        <w:t>torticollis</w:t>
      </w:r>
      <w:proofErr w:type="spellEnd"/>
      <w:r>
        <w:rPr>
          <w:spacing w:val="-2"/>
          <w:sz w:val="24"/>
          <w:szCs w:val="24"/>
        </w:rPr>
        <w:t>),</w:t>
      </w:r>
    </w:p>
    <w:p w:rsidR="00183DD0" w:rsidRDefault="00183DD0" w:rsidP="00183DD0">
      <w:pPr>
        <w:pStyle w:val="Listeafsnit"/>
        <w:numPr>
          <w:ilvl w:val="0"/>
          <w:numId w:val="14"/>
        </w:numPr>
        <w:rPr>
          <w:spacing w:val="-2"/>
          <w:sz w:val="24"/>
          <w:szCs w:val="24"/>
        </w:rPr>
      </w:pPr>
      <w:r>
        <w:rPr>
          <w:spacing w:val="-2"/>
          <w:sz w:val="24"/>
          <w:szCs w:val="24"/>
        </w:rPr>
        <w:t>spasticitet i overekstremitet</w:t>
      </w:r>
    </w:p>
    <w:p w:rsidR="00183DD0" w:rsidRDefault="00183DD0" w:rsidP="00183DD0">
      <w:pPr>
        <w:pStyle w:val="Listeafsnit"/>
        <w:numPr>
          <w:ilvl w:val="0"/>
          <w:numId w:val="14"/>
        </w:numPr>
        <w:rPr>
          <w:spacing w:val="-2"/>
          <w:sz w:val="24"/>
          <w:szCs w:val="24"/>
        </w:rPr>
      </w:pPr>
      <w:r>
        <w:rPr>
          <w:spacing w:val="-2"/>
          <w:sz w:val="24"/>
          <w:szCs w:val="24"/>
        </w:rPr>
        <w:t xml:space="preserve">kronisk </w:t>
      </w:r>
      <w:proofErr w:type="spellStart"/>
      <w:r>
        <w:rPr>
          <w:spacing w:val="-2"/>
          <w:sz w:val="24"/>
          <w:szCs w:val="24"/>
        </w:rPr>
        <w:t>hypersalivation</w:t>
      </w:r>
      <w:proofErr w:type="spellEnd"/>
      <w:r>
        <w:rPr>
          <w:spacing w:val="-2"/>
          <w:sz w:val="24"/>
          <w:szCs w:val="24"/>
        </w:rPr>
        <w:t xml:space="preserve"> forårsaget af neurologisk sygdom.</w:t>
      </w:r>
    </w:p>
    <w:p w:rsidR="00183DD0" w:rsidRDefault="00183DD0" w:rsidP="00183DD0">
      <w:pPr>
        <w:rPr>
          <w:spacing w:val="-2"/>
          <w:sz w:val="24"/>
          <w:szCs w:val="24"/>
        </w:rPr>
      </w:pPr>
    </w:p>
    <w:p w:rsidR="00183DD0" w:rsidRPr="00245E8D" w:rsidRDefault="00183DD0" w:rsidP="00183DD0">
      <w:pPr>
        <w:ind w:left="851"/>
        <w:rPr>
          <w:spacing w:val="-2"/>
          <w:sz w:val="24"/>
          <w:szCs w:val="24"/>
        </w:rPr>
      </w:pPr>
      <w:proofErr w:type="spellStart"/>
      <w:r w:rsidRPr="00554B25">
        <w:rPr>
          <w:spacing w:val="-2"/>
          <w:sz w:val="24"/>
          <w:szCs w:val="24"/>
        </w:rPr>
        <w:t>Xeomin</w:t>
      </w:r>
      <w:proofErr w:type="spellEnd"/>
      <w:r w:rsidRPr="00554B25">
        <w:rPr>
          <w:spacing w:val="-2"/>
          <w:sz w:val="24"/>
          <w:szCs w:val="24"/>
        </w:rPr>
        <w:t xml:space="preserve"> er indice</w:t>
      </w:r>
      <w:r w:rsidRPr="00245E8D">
        <w:rPr>
          <w:spacing w:val="-2"/>
          <w:sz w:val="24"/>
          <w:szCs w:val="24"/>
        </w:rPr>
        <w:t xml:space="preserve">ret til børn og unge i alderen </w:t>
      </w:r>
      <w:r w:rsidRPr="00415680">
        <w:rPr>
          <w:spacing w:val="-2"/>
          <w:sz w:val="24"/>
          <w:szCs w:val="24"/>
        </w:rPr>
        <w:t xml:space="preserve">2-17 år, der vejer </w:t>
      </w:r>
      <w:r w:rsidRPr="00FF3346">
        <w:rPr>
          <w:spacing w:val="-2"/>
          <w:sz w:val="24"/>
          <w:szCs w:val="24"/>
        </w:rPr>
        <w:t xml:space="preserve">≥ 12 kg, til </w:t>
      </w:r>
      <w:r w:rsidRPr="00554B25">
        <w:rPr>
          <w:spacing w:val="-2"/>
          <w:sz w:val="24"/>
          <w:szCs w:val="24"/>
        </w:rPr>
        <w:t>sy</w:t>
      </w:r>
      <w:r w:rsidRPr="00245E8D">
        <w:rPr>
          <w:spacing w:val="-2"/>
          <w:sz w:val="24"/>
          <w:szCs w:val="24"/>
        </w:rPr>
        <w:t>mptombehandling af:</w:t>
      </w:r>
    </w:p>
    <w:p w:rsidR="00183DD0" w:rsidRPr="00FF3346" w:rsidRDefault="00183DD0" w:rsidP="00183DD0">
      <w:pPr>
        <w:pStyle w:val="Listeafsnit"/>
        <w:numPr>
          <w:ilvl w:val="0"/>
          <w:numId w:val="14"/>
        </w:numPr>
        <w:ind w:right="-143"/>
        <w:rPr>
          <w:spacing w:val="-2"/>
          <w:sz w:val="24"/>
          <w:szCs w:val="24"/>
        </w:rPr>
      </w:pPr>
      <w:r w:rsidRPr="00340364">
        <w:rPr>
          <w:spacing w:val="-2"/>
          <w:sz w:val="24"/>
          <w:szCs w:val="24"/>
        </w:rPr>
        <w:t xml:space="preserve">kronisk </w:t>
      </w:r>
      <w:proofErr w:type="spellStart"/>
      <w:r w:rsidRPr="00340364">
        <w:rPr>
          <w:spacing w:val="-2"/>
          <w:sz w:val="24"/>
          <w:szCs w:val="24"/>
        </w:rPr>
        <w:t>hypersalivation</w:t>
      </w:r>
      <w:proofErr w:type="spellEnd"/>
      <w:r w:rsidRPr="00340364">
        <w:rPr>
          <w:spacing w:val="-2"/>
          <w:sz w:val="24"/>
          <w:szCs w:val="24"/>
        </w:rPr>
        <w:t xml:space="preserve"> forårsaget af neurologisk</w:t>
      </w:r>
      <w:r>
        <w:rPr>
          <w:spacing w:val="-2"/>
          <w:sz w:val="24"/>
          <w:szCs w:val="24"/>
        </w:rPr>
        <w:t>e</w:t>
      </w:r>
      <w:r w:rsidRPr="00340364">
        <w:rPr>
          <w:spacing w:val="-2"/>
          <w:sz w:val="24"/>
          <w:szCs w:val="24"/>
        </w:rPr>
        <w:t xml:space="preserve"> sygdom</w:t>
      </w:r>
      <w:r>
        <w:rPr>
          <w:spacing w:val="-2"/>
          <w:sz w:val="24"/>
          <w:szCs w:val="24"/>
        </w:rPr>
        <w:t>me</w:t>
      </w:r>
      <w:r w:rsidRPr="00340364">
        <w:rPr>
          <w:spacing w:val="-2"/>
          <w:sz w:val="24"/>
          <w:szCs w:val="24"/>
        </w:rPr>
        <w:t>/</w:t>
      </w:r>
      <w:r w:rsidRPr="00FF3346">
        <w:rPr>
          <w:rStyle w:val="trns-org-res"/>
          <w:sz w:val="24"/>
          <w:szCs w:val="24"/>
        </w:rPr>
        <w:t>udvikling</w:t>
      </w:r>
      <w:r w:rsidRPr="00340364">
        <w:rPr>
          <w:rStyle w:val="trns-org-res"/>
          <w:sz w:val="24"/>
          <w:szCs w:val="24"/>
        </w:rPr>
        <w:t>sforstyrrelser</w:t>
      </w:r>
      <w:r w:rsidRPr="00FF3346">
        <w:rPr>
          <w:rStyle w:val="trns-org-res"/>
          <w:sz w:val="24"/>
          <w:szCs w:val="24"/>
        </w:rPr>
        <w:t>.</w:t>
      </w:r>
    </w:p>
    <w:p w:rsidR="00183DD0" w:rsidRDefault="00183DD0" w:rsidP="0033400D">
      <w:pPr>
        <w:pStyle w:val="Brdtekstindrykning2"/>
        <w:tabs>
          <w:tab w:val="clear" w:pos="0"/>
        </w:tabs>
        <w:ind w:left="851" w:hanging="851"/>
        <w:jc w:val="left"/>
        <w:rPr>
          <w:rFonts w:ascii="Times New Roman" w:hAnsi="Times New Roman" w:cs="Times New Roman"/>
          <w:sz w:val="24"/>
          <w:szCs w:val="24"/>
          <w:lang w:val="da-DK"/>
        </w:rPr>
      </w:pPr>
    </w:p>
    <w:p w:rsidR="00E44AD4" w:rsidRDefault="00E44AD4" w:rsidP="0033400D">
      <w:pPr>
        <w:pStyle w:val="Brdtekstindrykning2"/>
        <w:tabs>
          <w:tab w:val="clear" w:pos="0"/>
        </w:tabs>
        <w:ind w:left="851" w:hanging="851"/>
        <w:jc w:val="left"/>
        <w:rPr>
          <w:rFonts w:ascii="Times New Roman" w:hAnsi="Times New Roman" w:cs="Times New Roman"/>
          <w:sz w:val="24"/>
          <w:szCs w:val="24"/>
          <w:lang w:val="da-DK"/>
        </w:rPr>
      </w:pPr>
    </w:p>
    <w:p w:rsidR="00E44AD4" w:rsidRDefault="00E44AD4" w:rsidP="0033400D">
      <w:pPr>
        <w:pStyle w:val="Brdtekstindrykning2"/>
        <w:tabs>
          <w:tab w:val="clear" w:pos="0"/>
        </w:tabs>
        <w:ind w:left="851" w:hanging="851"/>
        <w:jc w:val="left"/>
        <w:rPr>
          <w:rFonts w:ascii="Times New Roman" w:hAnsi="Times New Roman" w:cs="Times New Roman"/>
          <w:sz w:val="24"/>
          <w:szCs w:val="24"/>
          <w:lang w:val="da-DK"/>
        </w:rPr>
      </w:pPr>
    </w:p>
    <w:p w:rsidR="00E44AD4" w:rsidRPr="00F50095" w:rsidRDefault="00E44AD4" w:rsidP="0033400D">
      <w:pPr>
        <w:pStyle w:val="Brdtekstindrykning2"/>
        <w:tabs>
          <w:tab w:val="clear" w:pos="0"/>
        </w:tabs>
        <w:ind w:left="851" w:hanging="851"/>
        <w:jc w:val="left"/>
        <w:rPr>
          <w:rFonts w:ascii="Times New Roman" w:hAnsi="Times New Roman" w:cs="Times New Roman"/>
          <w:sz w:val="24"/>
          <w:szCs w:val="24"/>
          <w:lang w:val="da-DK"/>
        </w:rPr>
      </w:pPr>
    </w:p>
    <w:p w:rsidR="0033400D" w:rsidRPr="00F50095" w:rsidRDefault="0033400D" w:rsidP="0033400D">
      <w:pPr>
        <w:numPr>
          <w:ilvl w:val="1"/>
          <w:numId w:val="1"/>
        </w:numPr>
        <w:ind w:left="851" w:hanging="851"/>
        <w:rPr>
          <w:b/>
          <w:sz w:val="24"/>
          <w:szCs w:val="24"/>
        </w:rPr>
      </w:pPr>
      <w:r w:rsidRPr="00F50095">
        <w:rPr>
          <w:b/>
          <w:sz w:val="24"/>
          <w:szCs w:val="24"/>
        </w:rPr>
        <w:t xml:space="preserve">Dosering og </w:t>
      </w:r>
      <w:r w:rsidR="00E44AD4">
        <w:rPr>
          <w:b/>
          <w:sz w:val="24"/>
          <w:szCs w:val="24"/>
        </w:rPr>
        <w:t>administration</w:t>
      </w:r>
    </w:p>
    <w:p w:rsidR="004E56D0" w:rsidRDefault="004E56D0" w:rsidP="0033400D">
      <w:pPr>
        <w:pStyle w:val="Listeafsnit"/>
        <w:suppressAutoHyphens/>
        <w:ind w:left="855"/>
        <w:rPr>
          <w:b/>
          <w:spacing w:val="-2"/>
          <w:sz w:val="24"/>
          <w:szCs w:val="24"/>
        </w:rPr>
      </w:pPr>
    </w:p>
    <w:p w:rsidR="0033400D" w:rsidRDefault="0033400D" w:rsidP="0033400D">
      <w:pPr>
        <w:pStyle w:val="Listeafsnit"/>
        <w:suppressAutoHyphens/>
        <w:ind w:left="855"/>
        <w:rPr>
          <w:b/>
          <w:sz w:val="24"/>
          <w:szCs w:val="24"/>
        </w:rPr>
      </w:pPr>
      <w:r>
        <w:rPr>
          <w:b/>
          <w:spacing w:val="-2"/>
          <w:sz w:val="24"/>
          <w:szCs w:val="24"/>
        </w:rPr>
        <w:t xml:space="preserve">På grund af forskelle i styrkebestemmelsen kan de anbefalede antal enheder af </w:t>
      </w:r>
      <w:proofErr w:type="spellStart"/>
      <w:r>
        <w:rPr>
          <w:b/>
          <w:spacing w:val="-2"/>
          <w:sz w:val="24"/>
          <w:szCs w:val="24"/>
        </w:rPr>
        <w:t>Xeomin</w:t>
      </w:r>
      <w:proofErr w:type="spellEnd"/>
      <w:r>
        <w:rPr>
          <w:b/>
          <w:spacing w:val="-2"/>
          <w:sz w:val="24"/>
          <w:szCs w:val="24"/>
        </w:rPr>
        <w:t xml:space="preserve"> ikke erstattes med enheder af andre præparater med </w:t>
      </w:r>
      <w:proofErr w:type="spellStart"/>
      <w:r>
        <w:rPr>
          <w:b/>
          <w:spacing w:val="-2"/>
          <w:sz w:val="24"/>
          <w:szCs w:val="24"/>
        </w:rPr>
        <w:t>botulinum</w:t>
      </w:r>
      <w:proofErr w:type="spellEnd"/>
      <w:r>
        <w:rPr>
          <w:sz w:val="24"/>
          <w:szCs w:val="24"/>
        </w:rPr>
        <w:t xml:space="preserve"> </w:t>
      </w:r>
      <w:r>
        <w:rPr>
          <w:b/>
          <w:spacing w:val="-2"/>
          <w:sz w:val="24"/>
          <w:szCs w:val="24"/>
        </w:rPr>
        <w:t>type A</w:t>
      </w:r>
      <w:r>
        <w:rPr>
          <w:b/>
          <w:spacing w:val="-2"/>
          <w:sz w:val="24"/>
          <w:szCs w:val="24"/>
        </w:rPr>
        <w:noBreakHyphen/>
        <w:t>toksin.</w:t>
      </w:r>
    </w:p>
    <w:p w:rsidR="0033400D" w:rsidRDefault="0033400D" w:rsidP="0033400D">
      <w:pPr>
        <w:suppressAutoHyphens/>
        <w:ind w:left="851" w:hanging="851"/>
        <w:rPr>
          <w:b/>
          <w:spacing w:val="-2"/>
          <w:sz w:val="24"/>
          <w:szCs w:val="24"/>
        </w:rPr>
      </w:pPr>
    </w:p>
    <w:p w:rsidR="0033400D" w:rsidRDefault="0033400D" w:rsidP="0033400D">
      <w:pPr>
        <w:ind w:left="851"/>
        <w:rPr>
          <w:sz w:val="24"/>
          <w:szCs w:val="24"/>
        </w:rPr>
      </w:pPr>
      <w:r>
        <w:rPr>
          <w:sz w:val="24"/>
          <w:szCs w:val="24"/>
        </w:rPr>
        <w:t xml:space="preserve">Nærmere oplysninger om kliniske studier med </w:t>
      </w:r>
      <w:proofErr w:type="spellStart"/>
      <w:r>
        <w:rPr>
          <w:sz w:val="24"/>
          <w:szCs w:val="24"/>
        </w:rPr>
        <w:t>Xeomin</w:t>
      </w:r>
      <w:proofErr w:type="spellEnd"/>
      <w:r>
        <w:rPr>
          <w:sz w:val="24"/>
          <w:szCs w:val="24"/>
        </w:rPr>
        <w:t xml:space="preserve"> sammenlignet med konventionelt </w:t>
      </w:r>
      <w:proofErr w:type="spellStart"/>
      <w:r>
        <w:rPr>
          <w:sz w:val="24"/>
          <w:szCs w:val="24"/>
        </w:rPr>
        <w:t>botulinum</w:t>
      </w:r>
      <w:proofErr w:type="spellEnd"/>
      <w:r>
        <w:rPr>
          <w:sz w:val="24"/>
          <w:szCs w:val="24"/>
        </w:rPr>
        <w:t xml:space="preserve"> type A-toksinkompleks (900 </w:t>
      </w:r>
      <w:proofErr w:type="spellStart"/>
      <w:r>
        <w:rPr>
          <w:sz w:val="24"/>
          <w:szCs w:val="24"/>
        </w:rPr>
        <w:t>kD</w:t>
      </w:r>
      <w:proofErr w:type="spellEnd"/>
      <w:r>
        <w:rPr>
          <w:sz w:val="24"/>
          <w:szCs w:val="24"/>
        </w:rPr>
        <w:t>) – se pkt. 5.1.</w:t>
      </w:r>
    </w:p>
    <w:p w:rsidR="0033400D" w:rsidRDefault="0033400D" w:rsidP="0033400D">
      <w:pPr>
        <w:ind w:left="851"/>
        <w:rPr>
          <w:sz w:val="24"/>
          <w:szCs w:val="24"/>
        </w:rPr>
      </w:pPr>
    </w:p>
    <w:p w:rsidR="0033400D" w:rsidRDefault="0033400D" w:rsidP="0033400D">
      <w:pPr>
        <w:suppressAutoHyphens/>
        <w:ind w:left="851"/>
        <w:rPr>
          <w:sz w:val="24"/>
          <w:szCs w:val="24"/>
        </w:rPr>
      </w:pPr>
      <w:proofErr w:type="spellStart"/>
      <w:r>
        <w:rPr>
          <w:sz w:val="24"/>
          <w:szCs w:val="24"/>
        </w:rPr>
        <w:t>Xeomin</w:t>
      </w:r>
      <w:proofErr w:type="spellEnd"/>
      <w:r>
        <w:rPr>
          <w:sz w:val="24"/>
          <w:szCs w:val="24"/>
        </w:rPr>
        <w:t xml:space="preserve"> må kun anvendes af læger med specialviden og den nødvendige erfaring i administration af </w:t>
      </w:r>
      <w:proofErr w:type="spellStart"/>
      <w:r>
        <w:rPr>
          <w:sz w:val="24"/>
          <w:szCs w:val="24"/>
        </w:rPr>
        <w:t>botulinum</w:t>
      </w:r>
      <w:proofErr w:type="spellEnd"/>
      <w:r>
        <w:rPr>
          <w:b/>
          <w:spacing w:val="-2"/>
          <w:sz w:val="24"/>
          <w:szCs w:val="24"/>
        </w:rPr>
        <w:t xml:space="preserve"> </w:t>
      </w:r>
      <w:r>
        <w:rPr>
          <w:spacing w:val="-2"/>
          <w:sz w:val="24"/>
          <w:szCs w:val="24"/>
        </w:rPr>
        <w:t>type A</w:t>
      </w:r>
      <w:r>
        <w:rPr>
          <w:b/>
          <w:spacing w:val="-2"/>
          <w:sz w:val="24"/>
          <w:szCs w:val="24"/>
        </w:rPr>
        <w:noBreakHyphen/>
      </w:r>
      <w:r>
        <w:rPr>
          <w:sz w:val="24"/>
          <w:szCs w:val="24"/>
        </w:rPr>
        <w:t>toksin.</w:t>
      </w:r>
    </w:p>
    <w:p w:rsidR="0033400D" w:rsidRDefault="0033400D" w:rsidP="0033400D">
      <w:pPr>
        <w:pStyle w:val="Brdtekstindrykning3"/>
        <w:spacing w:after="0"/>
        <w:ind w:left="851" w:hanging="851"/>
        <w:rPr>
          <w:sz w:val="24"/>
          <w:szCs w:val="24"/>
        </w:rPr>
      </w:pPr>
    </w:p>
    <w:p w:rsidR="0033400D" w:rsidRDefault="0033400D" w:rsidP="0033400D">
      <w:pPr>
        <w:pStyle w:val="Brdtekstindrykning3"/>
        <w:spacing w:after="0"/>
        <w:ind w:left="851"/>
        <w:rPr>
          <w:sz w:val="24"/>
          <w:szCs w:val="24"/>
        </w:rPr>
      </w:pPr>
      <w:r>
        <w:rPr>
          <w:sz w:val="24"/>
          <w:szCs w:val="24"/>
        </w:rPr>
        <w:t>Den optimale dosis, hyppighed og antallet af injektionssteder fastsættes af lægen til den enkelte patient. Dosis skal titreres.</w:t>
      </w:r>
    </w:p>
    <w:p w:rsidR="0033400D" w:rsidRDefault="0033400D" w:rsidP="0033400D">
      <w:pPr>
        <w:suppressAutoHyphens/>
        <w:ind w:left="851"/>
        <w:rPr>
          <w:i/>
          <w:spacing w:val="-2"/>
          <w:sz w:val="24"/>
          <w:szCs w:val="24"/>
          <w:lang w:bidi="da-DK"/>
        </w:rPr>
      </w:pPr>
    </w:p>
    <w:p w:rsidR="0033400D" w:rsidRDefault="0033400D" w:rsidP="0033400D">
      <w:pPr>
        <w:suppressAutoHyphens/>
        <w:ind w:left="851"/>
        <w:rPr>
          <w:i/>
          <w:spacing w:val="-2"/>
          <w:sz w:val="24"/>
          <w:szCs w:val="24"/>
          <w:lang w:bidi="da-DK"/>
        </w:rPr>
      </w:pPr>
      <w:r>
        <w:rPr>
          <w:i/>
          <w:spacing w:val="-2"/>
          <w:sz w:val="24"/>
          <w:szCs w:val="24"/>
          <w:lang w:bidi="da-DK"/>
        </w:rPr>
        <w:t xml:space="preserve">De anbefalede enkeltdoser af </w:t>
      </w:r>
      <w:proofErr w:type="spellStart"/>
      <w:r>
        <w:rPr>
          <w:i/>
          <w:spacing w:val="-2"/>
          <w:sz w:val="24"/>
          <w:szCs w:val="24"/>
          <w:lang w:bidi="da-DK"/>
        </w:rPr>
        <w:t>Xeomin</w:t>
      </w:r>
      <w:proofErr w:type="spellEnd"/>
      <w:r>
        <w:rPr>
          <w:i/>
          <w:spacing w:val="-2"/>
          <w:sz w:val="24"/>
          <w:szCs w:val="24"/>
          <w:lang w:bidi="da-DK"/>
        </w:rPr>
        <w:t xml:space="preserve"> bør ikke overskrides.</w:t>
      </w:r>
    </w:p>
    <w:p w:rsidR="0033400D" w:rsidRDefault="0033400D" w:rsidP="0033400D">
      <w:pPr>
        <w:suppressAutoHyphens/>
        <w:ind w:left="851" w:hanging="851"/>
        <w:rPr>
          <w:spacing w:val="-2"/>
          <w:sz w:val="24"/>
          <w:szCs w:val="24"/>
        </w:rPr>
      </w:pPr>
    </w:p>
    <w:p w:rsidR="0033400D" w:rsidRDefault="0033400D" w:rsidP="0033400D">
      <w:pPr>
        <w:suppressAutoHyphens/>
        <w:ind w:left="851"/>
        <w:rPr>
          <w:spacing w:val="-2"/>
          <w:sz w:val="24"/>
          <w:szCs w:val="24"/>
          <w:u w:val="single"/>
        </w:rPr>
      </w:pPr>
      <w:r>
        <w:rPr>
          <w:spacing w:val="-2"/>
          <w:sz w:val="24"/>
          <w:szCs w:val="24"/>
          <w:u w:val="single"/>
        </w:rPr>
        <w:t>Dosering</w:t>
      </w:r>
    </w:p>
    <w:p w:rsidR="0033400D" w:rsidRDefault="0033400D" w:rsidP="0033400D">
      <w:pPr>
        <w:suppressAutoHyphens/>
        <w:ind w:left="851"/>
        <w:rPr>
          <w:spacing w:val="-2"/>
          <w:sz w:val="24"/>
          <w:szCs w:val="24"/>
          <w:u w:val="single"/>
        </w:rPr>
      </w:pPr>
    </w:p>
    <w:p w:rsidR="0033400D" w:rsidRPr="00183DD0" w:rsidRDefault="0033400D" w:rsidP="0033400D">
      <w:pPr>
        <w:suppressAutoHyphens/>
        <w:ind w:left="851"/>
        <w:rPr>
          <w:i/>
          <w:sz w:val="24"/>
          <w:szCs w:val="24"/>
        </w:rPr>
      </w:pPr>
      <w:bookmarkStart w:id="1" w:name="_Hlk22628258"/>
      <w:proofErr w:type="spellStart"/>
      <w:r w:rsidRPr="00183DD0">
        <w:rPr>
          <w:i/>
          <w:sz w:val="24"/>
          <w:szCs w:val="24"/>
        </w:rPr>
        <w:t>Blefarospasme</w:t>
      </w:r>
      <w:proofErr w:type="spellEnd"/>
      <w:r w:rsidRPr="00183DD0">
        <w:rPr>
          <w:i/>
          <w:sz w:val="24"/>
          <w:szCs w:val="24"/>
        </w:rPr>
        <w:t xml:space="preserve"> og </w:t>
      </w:r>
      <w:proofErr w:type="spellStart"/>
      <w:r w:rsidRPr="00183DD0">
        <w:rPr>
          <w:i/>
          <w:sz w:val="24"/>
          <w:szCs w:val="24"/>
        </w:rPr>
        <w:t>hemifaciale</w:t>
      </w:r>
      <w:proofErr w:type="spellEnd"/>
      <w:r w:rsidRPr="00183DD0">
        <w:rPr>
          <w:i/>
          <w:sz w:val="24"/>
          <w:szCs w:val="24"/>
        </w:rPr>
        <w:t xml:space="preserve"> spasmer</w:t>
      </w:r>
    </w:p>
    <w:p w:rsidR="0033400D" w:rsidRDefault="0033400D" w:rsidP="0033400D">
      <w:pPr>
        <w:suppressAutoHyphens/>
        <w:ind w:left="851"/>
        <w:rPr>
          <w:sz w:val="24"/>
          <w:szCs w:val="24"/>
        </w:rPr>
      </w:pPr>
      <w:r>
        <w:rPr>
          <w:spacing w:val="-2"/>
          <w:sz w:val="24"/>
          <w:szCs w:val="24"/>
        </w:rPr>
        <w:t xml:space="preserve">Den anbefalede initialdosis er 1,25 til 2,5 enheder pr. injektionssted. Initialdosen må ikke overstige 25 enheder pr. øje. Den totale administrerede dosis må ikke overstige 50 enheder pr. øje pr. behandlingsforløb. </w:t>
      </w:r>
      <w:r>
        <w:rPr>
          <w:sz w:val="24"/>
          <w:szCs w:val="24"/>
          <w:lang w:eastAsia="de-DE"/>
        </w:rPr>
        <w:t xml:space="preserve">Behandlingen bør generelt ikke gives hyppigere end </w:t>
      </w:r>
      <w:r>
        <w:rPr>
          <w:spacing w:val="-2"/>
          <w:sz w:val="24"/>
          <w:szCs w:val="24"/>
        </w:rPr>
        <w:t>hver 12. uge. Behandlingsintervaller fastsættes ud fra den enkelte patients aktuelle kliniske behov.</w:t>
      </w:r>
    </w:p>
    <w:p w:rsidR="0033400D" w:rsidRDefault="0033400D" w:rsidP="0033400D">
      <w:pPr>
        <w:suppressAutoHyphens/>
        <w:ind w:left="851" w:hanging="851"/>
        <w:rPr>
          <w:spacing w:val="-2"/>
          <w:sz w:val="24"/>
          <w:szCs w:val="24"/>
        </w:rPr>
      </w:pPr>
    </w:p>
    <w:p w:rsidR="0033400D" w:rsidRDefault="0033400D" w:rsidP="0033400D">
      <w:pPr>
        <w:suppressAutoHyphens/>
        <w:ind w:left="851"/>
        <w:rPr>
          <w:sz w:val="24"/>
          <w:szCs w:val="24"/>
        </w:rPr>
      </w:pPr>
      <w:r>
        <w:rPr>
          <w:spacing w:val="-2"/>
          <w:sz w:val="24"/>
          <w:szCs w:val="24"/>
        </w:rPr>
        <w:t xml:space="preserve">Den </w:t>
      </w:r>
      <w:proofErr w:type="spellStart"/>
      <w:r>
        <w:rPr>
          <w:spacing w:val="-2"/>
          <w:sz w:val="24"/>
          <w:szCs w:val="24"/>
        </w:rPr>
        <w:t>mediane</w:t>
      </w:r>
      <w:proofErr w:type="spellEnd"/>
      <w:r>
        <w:rPr>
          <w:spacing w:val="-2"/>
          <w:sz w:val="24"/>
          <w:szCs w:val="24"/>
        </w:rPr>
        <w:t xml:space="preserve"> tid til første virkning indtræffer fire dage efter injektion. Generelt holder virkningen af en behandling med </w:t>
      </w:r>
      <w:proofErr w:type="spellStart"/>
      <w:r>
        <w:rPr>
          <w:spacing w:val="-2"/>
          <w:sz w:val="24"/>
          <w:szCs w:val="24"/>
        </w:rPr>
        <w:t>Xeomin</w:t>
      </w:r>
      <w:proofErr w:type="spellEnd"/>
      <w:r>
        <w:rPr>
          <w:spacing w:val="-2"/>
          <w:sz w:val="24"/>
          <w:szCs w:val="24"/>
        </w:rPr>
        <w:t xml:space="preserve"> i ca. 3-5 måneder, men den kan dog holde signifikant længere eller kortere. </w:t>
      </w:r>
    </w:p>
    <w:p w:rsidR="0033400D" w:rsidRDefault="0033400D" w:rsidP="0033400D">
      <w:pPr>
        <w:suppressAutoHyphens/>
        <w:ind w:left="851" w:hanging="851"/>
        <w:rPr>
          <w:spacing w:val="-2"/>
          <w:sz w:val="24"/>
          <w:szCs w:val="24"/>
        </w:rPr>
      </w:pPr>
    </w:p>
    <w:p w:rsidR="0033400D" w:rsidRDefault="0033400D" w:rsidP="0033400D">
      <w:pPr>
        <w:suppressAutoHyphens/>
        <w:ind w:left="851"/>
        <w:rPr>
          <w:spacing w:val="-2"/>
          <w:sz w:val="24"/>
          <w:szCs w:val="24"/>
        </w:rPr>
      </w:pPr>
      <w:r>
        <w:rPr>
          <w:spacing w:val="-2"/>
          <w:sz w:val="24"/>
          <w:szCs w:val="24"/>
        </w:rPr>
        <w:t xml:space="preserve">Ved gentagne behandlingsforløb kan dosis øges op til det dobbelte, hvis respons på den indledende behandling anses for utilstrækkelig. Injektion af mere end 5,0 enheder pr. injektionssted synes imidlertid ikke at indebære yderligere fordele. </w:t>
      </w:r>
    </w:p>
    <w:p w:rsidR="0033400D" w:rsidRDefault="0033400D" w:rsidP="0033400D">
      <w:pPr>
        <w:suppressAutoHyphens/>
        <w:ind w:left="851"/>
        <w:rPr>
          <w:spacing w:val="-2"/>
          <w:sz w:val="24"/>
          <w:szCs w:val="24"/>
        </w:rPr>
      </w:pPr>
    </w:p>
    <w:p w:rsidR="0033400D" w:rsidRDefault="0033400D" w:rsidP="0033400D">
      <w:pPr>
        <w:suppressAutoHyphens/>
        <w:ind w:left="851"/>
        <w:rPr>
          <w:sz w:val="24"/>
          <w:szCs w:val="24"/>
        </w:rPr>
      </w:pPr>
      <w:r>
        <w:rPr>
          <w:sz w:val="24"/>
          <w:szCs w:val="24"/>
        </w:rPr>
        <w:t xml:space="preserve">Patienter med </w:t>
      </w:r>
      <w:proofErr w:type="spellStart"/>
      <w:r>
        <w:rPr>
          <w:sz w:val="24"/>
          <w:szCs w:val="24"/>
        </w:rPr>
        <w:t>hemifaciale</w:t>
      </w:r>
      <w:proofErr w:type="spellEnd"/>
      <w:r>
        <w:rPr>
          <w:sz w:val="24"/>
          <w:szCs w:val="24"/>
        </w:rPr>
        <w:t xml:space="preserve"> spasmer</w:t>
      </w:r>
      <w:r>
        <w:rPr>
          <w:spacing w:val="-2"/>
          <w:sz w:val="24"/>
          <w:szCs w:val="24"/>
        </w:rPr>
        <w:t xml:space="preserve"> skal behandles som ved ensidig </w:t>
      </w:r>
      <w:proofErr w:type="spellStart"/>
      <w:r>
        <w:rPr>
          <w:spacing w:val="-2"/>
          <w:sz w:val="24"/>
          <w:szCs w:val="24"/>
        </w:rPr>
        <w:t>blefarospasme</w:t>
      </w:r>
      <w:proofErr w:type="spellEnd"/>
      <w:r>
        <w:rPr>
          <w:spacing w:val="-2"/>
          <w:sz w:val="24"/>
          <w:szCs w:val="24"/>
        </w:rPr>
        <w:t>.</w:t>
      </w:r>
    </w:p>
    <w:bookmarkEnd w:id="1"/>
    <w:p w:rsidR="0033400D" w:rsidRDefault="0033400D" w:rsidP="0033400D">
      <w:pPr>
        <w:suppressAutoHyphens/>
        <w:ind w:left="851" w:hanging="851"/>
        <w:rPr>
          <w:spacing w:val="-2"/>
          <w:sz w:val="24"/>
          <w:szCs w:val="24"/>
        </w:rPr>
      </w:pPr>
    </w:p>
    <w:p w:rsidR="0033400D" w:rsidRPr="00183DD0" w:rsidRDefault="0033400D" w:rsidP="0033400D">
      <w:pPr>
        <w:ind w:left="851"/>
        <w:rPr>
          <w:i/>
          <w:sz w:val="24"/>
          <w:szCs w:val="24"/>
        </w:rPr>
      </w:pPr>
      <w:r w:rsidRPr="00183DD0">
        <w:rPr>
          <w:i/>
          <w:sz w:val="24"/>
          <w:szCs w:val="24"/>
        </w:rPr>
        <w:t xml:space="preserve">Spasmodisk </w:t>
      </w:r>
      <w:proofErr w:type="spellStart"/>
      <w:r w:rsidRPr="00183DD0">
        <w:rPr>
          <w:i/>
          <w:sz w:val="24"/>
          <w:szCs w:val="24"/>
        </w:rPr>
        <w:t>torticollis</w:t>
      </w:r>
      <w:proofErr w:type="spellEnd"/>
    </w:p>
    <w:p w:rsidR="0033400D" w:rsidRDefault="0033400D" w:rsidP="0033400D">
      <w:pPr>
        <w:suppressAutoHyphens/>
        <w:ind w:left="851"/>
        <w:rPr>
          <w:spacing w:val="-2"/>
          <w:sz w:val="24"/>
          <w:szCs w:val="24"/>
        </w:rPr>
      </w:pPr>
      <w:r>
        <w:rPr>
          <w:spacing w:val="-2"/>
          <w:sz w:val="24"/>
          <w:szCs w:val="24"/>
        </w:rPr>
        <w:t xml:space="preserve">Ved behandlingen af spasmodisk </w:t>
      </w:r>
      <w:proofErr w:type="spellStart"/>
      <w:r>
        <w:rPr>
          <w:spacing w:val="-2"/>
          <w:sz w:val="24"/>
          <w:szCs w:val="24"/>
        </w:rPr>
        <w:t>torticollis</w:t>
      </w:r>
      <w:proofErr w:type="spellEnd"/>
      <w:r>
        <w:rPr>
          <w:spacing w:val="-2"/>
          <w:sz w:val="24"/>
          <w:szCs w:val="24"/>
        </w:rPr>
        <w:t xml:space="preserve"> skal doseringen af </w:t>
      </w:r>
      <w:proofErr w:type="spellStart"/>
      <w:r>
        <w:rPr>
          <w:spacing w:val="-2"/>
          <w:sz w:val="24"/>
          <w:szCs w:val="24"/>
        </w:rPr>
        <w:t>Xeomin</w:t>
      </w:r>
      <w:proofErr w:type="spellEnd"/>
      <w:r>
        <w:rPr>
          <w:spacing w:val="-2"/>
          <w:sz w:val="24"/>
          <w:szCs w:val="24"/>
        </w:rPr>
        <w:t xml:space="preserve"> tilpasses den enkelte patient ud fra patientens hoved- og nakkestilling, smertens eventuelle placering, muskel</w:t>
      </w:r>
      <w:r>
        <w:rPr>
          <w:spacing w:val="-2"/>
          <w:sz w:val="24"/>
          <w:szCs w:val="24"/>
        </w:rPr>
        <w:softHyphen/>
        <w:t>hypertrofi, legemsvægt og respons på injektionen.</w:t>
      </w:r>
    </w:p>
    <w:p w:rsidR="0033400D" w:rsidRDefault="0033400D" w:rsidP="0033400D">
      <w:pPr>
        <w:pStyle w:val="BlockQuotation"/>
        <w:tabs>
          <w:tab w:val="clear" w:pos="-720"/>
          <w:tab w:val="clear" w:pos="0"/>
          <w:tab w:val="clear" w:pos="720"/>
          <w:tab w:val="left" w:pos="1304"/>
        </w:tabs>
        <w:ind w:left="851" w:right="0" w:hanging="851"/>
        <w:jc w:val="left"/>
        <w:rPr>
          <w:rFonts w:ascii="Times New Roman" w:hAnsi="Times New Roman" w:cs="Times New Roman"/>
          <w:sz w:val="24"/>
          <w:szCs w:val="24"/>
          <w:lang w:val="da-DK"/>
        </w:rPr>
      </w:pPr>
    </w:p>
    <w:p w:rsidR="0033400D" w:rsidRDefault="0033400D" w:rsidP="0033400D">
      <w:pPr>
        <w:pStyle w:val="BlockQuotation"/>
        <w:tabs>
          <w:tab w:val="clear" w:pos="-720"/>
          <w:tab w:val="clear" w:pos="0"/>
          <w:tab w:val="clear" w:pos="720"/>
          <w:tab w:val="left" w:pos="1304"/>
        </w:tabs>
        <w:ind w:left="851" w:right="0"/>
        <w:jc w:val="left"/>
        <w:rPr>
          <w:rFonts w:ascii="Times New Roman" w:hAnsi="Times New Roman" w:cs="Times New Roman"/>
          <w:sz w:val="24"/>
          <w:szCs w:val="24"/>
          <w:lang w:val="da-DK"/>
        </w:rPr>
      </w:pPr>
      <w:r>
        <w:rPr>
          <w:rFonts w:ascii="Times New Roman" w:hAnsi="Times New Roman" w:cs="Times New Roman"/>
          <w:sz w:val="24"/>
          <w:szCs w:val="24"/>
          <w:lang w:val="da-DK"/>
        </w:rPr>
        <w:t>Der må ikke injiceres mere end 200 enheder i det første behandlingsforløb med justeringer i de efterfølgende forløb afhængigt af respons. Der bør højst gives 300 enheder under en enkelt behandling. Der må ikke administreres mere end 50 enheder på hvert injektionssted.</w:t>
      </w:r>
    </w:p>
    <w:p w:rsidR="0033400D" w:rsidRDefault="0033400D" w:rsidP="0033400D">
      <w:pPr>
        <w:suppressAutoHyphens/>
        <w:ind w:left="851" w:hanging="851"/>
        <w:rPr>
          <w:spacing w:val="-2"/>
          <w:sz w:val="24"/>
          <w:szCs w:val="24"/>
        </w:rPr>
      </w:pPr>
    </w:p>
    <w:p w:rsidR="0033400D" w:rsidRDefault="0033400D" w:rsidP="0033400D">
      <w:pPr>
        <w:suppressAutoHyphens/>
        <w:ind w:left="851"/>
        <w:rPr>
          <w:sz w:val="24"/>
          <w:szCs w:val="24"/>
        </w:rPr>
      </w:pPr>
      <w:r>
        <w:rPr>
          <w:spacing w:val="-2"/>
          <w:sz w:val="24"/>
          <w:szCs w:val="24"/>
        </w:rPr>
        <w:t xml:space="preserve">Den </w:t>
      </w:r>
      <w:proofErr w:type="spellStart"/>
      <w:r>
        <w:rPr>
          <w:spacing w:val="-2"/>
          <w:sz w:val="24"/>
          <w:szCs w:val="24"/>
        </w:rPr>
        <w:t>mediane</w:t>
      </w:r>
      <w:proofErr w:type="spellEnd"/>
      <w:r>
        <w:rPr>
          <w:spacing w:val="-2"/>
          <w:sz w:val="24"/>
          <w:szCs w:val="24"/>
        </w:rPr>
        <w:t xml:space="preserve"> første virkning indtræffer i løbet af syv dage efter injektion. Generelt holder virkningen af en behandling med </w:t>
      </w:r>
      <w:proofErr w:type="spellStart"/>
      <w:r>
        <w:rPr>
          <w:spacing w:val="-2"/>
          <w:sz w:val="24"/>
          <w:szCs w:val="24"/>
        </w:rPr>
        <w:t>Xeomin</w:t>
      </w:r>
      <w:proofErr w:type="spellEnd"/>
      <w:r>
        <w:rPr>
          <w:spacing w:val="-2"/>
          <w:sz w:val="24"/>
          <w:szCs w:val="24"/>
        </w:rPr>
        <w:t xml:space="preserve"> i ca. 3</w:t>
      </w:r>
      <w:r>
        <w:rPr>
          <w:spacing w:val="-2"/>
          <w:sz w:val="24"/>
          <w:szCs w:val="24"/>
        </w:rPr>
        <w:noBreakHyphen/>
        <w:t>4 måneder, men den kan dog holde signifikant længere eller kortere. Behandlingsintervaller på mindre end 10 uger kan ikke anbefales. Behandlings</w:t>
      </w:r>
      <w:r>
        <w:rPr>
          <w:spacing w:val="-2"/>
          <w:sz w:val="24"/>
          <w:szCs w:val="24"/>
        </w:rPr>
        <w:softHyphen/>
        <w:t>intervaller fastsættes ud fra den enkelte patients kliniske behov.</w:t>
      </w:r>
    </w:p>
    <w:p w:rsidR="0033400D" w:rsidRDefault="0033400D" w:rsidP="0033400D">
      <w:pPr>
        <w:suppressAutoHyphens/>
        <w:ind w:left="851" w:hanging="851"/>
        <w:rPr>
          <w:spacing w:val="-2"/>
          <w:sz w:val="24"/>
          <w:szCs w:val="24"/>
        </w:rPr>
      </w:pPr>
    </w:p>
    <w:p w:rsidR="00183DD0" w:rsidRDefault="00183DD0" w:rsidP="0033400D">
      <w:pPr>
        <w:suppressAutoHyphens/>
        <w:ind w:left="851" w:hanging="851"/>
        <w:rPr>
          <w:spacing w:val="-2"/>
          <w:sz w:val="24"/>
          <w:szCs w:val="24"/>
        </w:rPr>
      </w:pPr>
    </w:p>
    <w:p w:rsidR="00183DD0" w:rsidRDefault="00183DD0" w:rsidP="0033400D">
      <w:pPr>
        <w:suppressAutoHyphens/>
        <w:ind w:left="851" w:hanging="851"/>
        <w:rPr>
          <w:spacing w:val="-2"/>
          <w:sz w:val="24"/>
          <w:szCs w:val="24"/>
        </w:rPr>
      </w:pPr>
    </w:p>
    <w:p w:rsidR="00183DD0" w:rsidRDefault="00183DD0" w:rsidP="0033400D">
      <w:pPr>
        <w:suppressAutoHyphens/>
        <w:ind w:left="851" w:hanging="851"/>
        <w:rPr>
          <w:spacing w:val="-2"/>
          <w:sz w:val="24"/>
          <w:szCs w:val="24"/>
        </w:rPr>
      </w:pPr>
    </w:p>
    <w:p w:rsidR="0033400D" w:rsidRDefault="0033400D" w:rsidP="0033400D">
      <w:pPr>
        <w:suppressAutoHyphens/>
        <w:ind w:left="851"/>
        <w:rPr>
          <w:b/>
          <w:i/>
          <w:spacing w:val="-2"/>
          <w:sz w:val="24"/>
          <w:szCs w:val="24"/>
        </w:rPr>
      </w:pPr>
      <w:r>
        <w:rPr>
          <w:b/>
          <w:i/>
          <w:spacing w:val="-2"/>
          <w:sz w:val="24"/>
          <w:szCs w:val="24"/>
        </w:rPr>
        <w:t xml:space="preserve">Spasticitet af overekstremitet </w:t>
      </w:r>
    </w:p>
    <w:p w:rsidR="0033400D" w:rsidRDefault="0033400D" w:rsidP="0033400D">
      <w:pPr>
        <w:suppressAutoHyphens/>
        <w:ind w:left="851"/>
        <w:rPr>
          <w:spacing w:val="-2"/>
          <w:sz w:val="24"/>
          <w:szCs w:val="24"/>
        </w:rPr>
      </w:pPr>
      <w:r>
        <w:rPr>
          <w:spacing w:val="-2"/>
          <w:sz w:val="24"/>
          <w:szCs w:val="24"/>
        </w:rPr>
        <w:t>Den nøjagtige dosis og antallet af injektionssteder skal tilpasses den enkelte patient ud fra størrelse, antal og placering af de implicerede muskler, sværhedsgraden af spasticitet og forekomst af lokal muskelsvækkelse.</w:t>
      </w:r>
    </w:p>
    <w:p w:rsidR="0033400D" w:rsidRDefault="0033400D" w:rsidP="0033400D">
      <w:pPr>
        <w:rPr>
          <w:spacing w:val="-2"/>
          <w:sz w:val="24"/>
          <w:szCs w:val="24"/>
        </w:rPr>
      </w:pPr>
    </w:p>
    <w:p w:rsidR="0033400D" w:rsidRDefault="001F264E" w:rsidP="003261A0">
      <w:pPr>
        <w:keepNext/>
        <w:tabs>
          <w:tab w:val="left" w:pos="-1440"/>
          <w:tab w:val="left" w:pos="-720"/>
          <w:tab w:val="left" w:pos="0"/>
          <w:tab w:val="left" w:pos="851"/>
        </w:tabs>
        <w:suppressAutoHyphens/>
        <w:ind w:left="851"/>
        <w:jc w:val="both"/>
        <w:rPr>
          <w:spacing w:val="-2"/>
          <w:sz w:val="24"/>
          <w:szCs w:val="24"/>
        </w:rPr>
      </w:pPr>
      <w:r w:rsidRPr="001F264E">
        <w:rPr>
          <w:i/>
          <w:iCs/>
          <w:spacing w:val="-2"/>
          <w:sz w:val="24"/>
          <w:szCs w:val="24"/>
        </w:rPr>
        <w:t>Anbefalede behandlingsdoser pr. muskel:</w:t>
      </w:r>
    </w:p>
    <w:tbl>
      <w:tblPr>
        <w:tblW w:w="4370" w:type="pct"/>
        <w:tblInd w:w="846" w:type="dxa"/>
        <w:tblLook w:val="04A0" w:firstRow="1" w:lastRow="0" w:firstColumn="1" w:lastColumn="0" w:noHBand="0" w:noVBand="1"/>
      </w:tblPr>
      <w:tblGrid>
        <w:gridCol w:w="3893"/>
        <w:gridCol w:w="2028"/>
        <w:gridCol w:w="2494"/>
      </w:tblGrid>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keepNext/>
              <w:tabs>
                <w:tab w:val="left" w:pos="571"/>
              </w:tabs>
              <w:ind w:left="176"/>
              <w:rPr>
                <w:sz w:val="24"/>
                <w:szCs w:val="24"/>
                <w:lang w:val="da-DK"/>
              </w:rPr>
            </w:pPr>
            <w:r>
              <w:rPr>
                <w:b/>
                <w:sz w:val="24"/>
                <w:szCs w:val="24"/>
                <w:lang w:val="da-DK"/>
              </w:rPr>
              <w:t>Klinisk billede</w:t>
            </w:r>
            <w:r>
              <w:rPr>
                <w:b/>
                <w:spacing w:val="-2"/>
                <w:sz w:val="24"/>
                <w:szCs w:val="24"/>
                <w:lang w:val="da-DK"/>
              </w:rPr>
              <w:br/>
            </w:r>
            <w:r>
              <w:rPr>
                <w:b/>
                <w:spacing w:val="-2"/>
                <w:sz w:val="24"/>
                <w:szCs w:val="24"/>
                <w:lang w:val="da-DK"/>
              </w:rPr>
              <w:tab/>
            </w:r>
            <w:r>
              <w:rPr>
                <w:i/>
                <w:sz w:val="24"/>
                <w:szCs w:val="24"/>
                <w:lang w:val="da-DK"/>
              </w:rPr>
              <w:t>Muskel</w:t>
            </w:r>
          </w:p>
        </w:tc>
        <w:tc>
          <w:tcPr>
            <w:tcW w:w="1205" w:type="pct"/>
            <w:tcBorders>
              <w:top w:val="single" w:sz="4" w:space="0" w:color="auto"/>
              <w:left w:val="nil"/>
              <w:bottom w:val="single" w:sz="4" w:space="0" w:color="auto"/>
              <w:right w:val="nil"/>
            </w:tcBorders>
            <w:hideMark/>
          </w:tcPr>
          <w:p w:rsidR="0033400D" w:rsidRDefault="0033400D" w:rsidP="00183DD0">
            <w:pPr>
              <w:pStyle w:val="standard"/>
              <w:tabs>
                <w:tab w:val="left" w:pos="851"/>
              </w:tabs>
              <w:ind w:left="175"/>
              <w:jc w:val="center"/>
              <w:rPr>
                <w:sz w:val="24"/>
                <w:szCs w:val="24"/>
                <w:lang w:val="da-DK"/>
              </w:rPr>
            </w:pPr>
            <w:r>
              <w:rPr>
                <w:b/>
                <w:sz w:val="24"/>
                <w:szCs w:val="24"/>
                <w:lang w:val="da-DK"/>
              </w:rPr>
              <w:t>Enheder (interval)</w:t>
            </w:r>
          </w:p>
        </w:tc>
        <w:tc>
          <w:tcPr>
            <w:tcW w:w="1482" w:type="pct"/>
            <w:tcBorders>
              <w:top w:val="single" w:sz="4" w:space="0" w:color="auto"/>
              <w:left w:val="nil"/>
              <w:bottom w:val="single" w:sz="4" w:space="0" w:color="auto"/>
              <w:right w:val="single" w:sz="4" w:space="0" w:color="auto"/>
            </w:tcBorders>
            <w:hideMark/>
          </w:tcPr>
          <w:p w:rsidR="0033400D" w:rsidRDefault="0033400D" w:rsidP="00183DD0">
            <w:pPr>
              <w:pStyle w:val="standard"/>
              <w:tabs>
                <w:tab w:val="left" w:pos="851"/>
              </w:tabs>
              <w:ind w:left="175"/>
              <w:jc w:val="center"/>
              <w:rPr>
                <w:sz w:val="24"/>
                <w:szCs w:val="24"/>
                <w:lang w:val="da-DK"/>
              </w:rPr>
            </w:pPr>
            <w:r>
              <w:rPr>
                <w:b/>
                <w:sz w:val="24"/>
                <w:szCs w:val="24"/>
                <w:lang w:val="da-DK"/>
              </w:rPr>
              <w:t>Antal injektions</w:t>
            </w:r>
            <w:r>
              <w:rPr>
                <w:b/>
                <w:sz w:val="24"/>
                <w:szCs w:val="24"/>
                <w:lang w:val="da-DK"/>
              </w:rPr>
              <w:softHyphen/>
            </w:r>
            <w:r>
              <w:rPr>
                <w:b/>
                <w:sz w:val="24"/>
                <w:szCs w:val="24"/>
                <w:lang w:val="da-DK"/>
              </w:rPr>
              <w:softHyphen/>
              <w:t>steder/muskel</w:t>
            </w:r>
          </w:p>
        </w:tc>
      </w:tr>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keepNext/>
              <w:tabs>
                <w:tab w:val="left" w:pos="571"/>
              </w:tabs>
              <w:ind w:left="176"/>
              <w:rPr>
                <w:sz w:val="24"/>
                <w:szCs w:val="24"/>
                <w:lang w:val="da-DK"/>
              </w:rPr>
            </w:pPr>
            <w:r>
              <w:rPr>
                <w:b/>
                <w:sz w:val="24"/>
                <w:szCs w:val="24"/>
                <w:lang w:val="da-DK"/>
              </w:rPr>
              <w:t>Bøjet håndled</w:t>
            </w:r>
          </w:p>
        </w:tc>
        <w:tc>
          <w:tcPr>
            <w:tcW w:w="1205" w:type="pct"/>
            <w:tcBorders>
              <w:top w:val="single" w:sz="4" w:space="0" w:color="auto"/>
              <w:left w:val="nil"/>
              <w:bottom w:val="single" w:sz="4" w:space="0" w:color="auto"/>
              <w:right w:val="nil"/>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c>
          <w:tcPr>
            <w:tcW w:w="1482" w:type="pct"/>
            <w:tcBorders>
              <w:top w:val="single" w:sz="4" w:space="0" w:color="auto"/>
              <w:left w:val="nil"/>
              <w:bottom w:val="single" w:sz="4" w:space="0" w:color="auto"/>
              <w:right w:val="single" w:sz="4" w:space="0" w:color="auto"/>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r>
      <w:tr w:rsidR="0033400D" w:rsidTr="00183DD0">
        <w:trPr>
          <w:cantSplit/>
        </w:trPr>
        <w:tc>
          <w:tcPr>
            <w:tcW w:w="2313" w:type="pct"/>
            <w:tcBorders>
              <w:top w:val="single" w:sz="4" w:space="0" w:color="auto"/>
              <w:left w:val="single" w:sz="4" w:space="0" w:color="auto"/>
              <w:bottom w:val="nil"/>
              <w:right w:val="nil"/>
            </w:tcBorders>
            <w:hideMark/>
          </w:tcPr>
          <w:p w:rsidR="0033400D" w:rsidRDefault="0033400D" w:rsidP="00183DD0">
            <w:pPr>
              <w:pStyle w:val="standard"/>
              <w:tabs>
                <w:tab w:val="left" w:pos="306"/>
                <w:tab w:val="left" w:pos="571"/>
              </w:tabs>
              <w:ind w:left="175"/>
              <w:rPr>
                <w:i/>
                <w:sz w:val="24"/>
                <w:szCs w:val="24"/>
                <w:lang w:val="da-DK"/>
              </w:rPr>
            </w:pPr>
            <w:r>
              <w:rPr>
                <w:i/>
                <w:sz w:val="24"/>
                <w:szCs w:val="24"/>
                <w:lang w:val="da-DK"/>
              </w:rPr>
              <w:tab/>
            </w:r>
            <w:proofErr w:type="spellStart"/>
            <w:r>
              <w:rPr>
                <w:i/>
                <w:sz w:val="24"/>
                <w:szCs w:val="24"/>
                <w:lang w:val="da-DK"/>
              </w:rPr>
              <w:t>Flexor</w:t>
            </w:r>
            <w:proofErr w:type="spellEnd"/>
            <w:r>
              <w:rPr>
                <w:i/>
                <w:sz w:val="24"/>
                <w:szCs w:val="24"/>
                <w:lang w:val="da-DK"/>
              </w:rPr>
              <w:t xml:space="preserve"> </w:t>
            </w:r>
            <w:proofErr w:type="spellStart"/>
            <w:r>
              <w:rPr>
                <w:i/>
                <w:sz w:val="24"/>
                <w:szCs w:val="24"/>
                <w:lang w:val="da-DK"/>
              </w:rPr>
              <w:t>carpi</w:t>
            </w:r>
            <w:proofErr w:type="spellEnd"/>
            <w:r>
              <w:rPr>
                <w:i/>
                <w:sz w:val="24"/>
                <w:szCs w:val="24"/>
                <w:lang w:val="da-DK"/>
              </w:rPr>
              <w:t xml:space="preserve"> </w:t>
            </w:r>
            <w:proofErr w:type="spellStart"/>
            <w:r>
              <w:rPr>
                <w:i/>
                <w:sz w:val="24"/>
                <w:szCs w:val="24"/>
                <w:lang w:val="da-DK"/>
              </w:rPr>
              <w:t>radialis</w:t>
            </w:r>
            <w:proofErr w:type="spellEnd"/>
          </w:p>
        </w:tc>
        <w:tc>
          <w:tcPr>
            <w:tcW w:w="1205" w:type="pct"/>
            <w:tcBorders>
              <w:top w:val="single" w:sz="4" w:space="0" w:color="auto"/>
              <w:left w:val="nil"/>
              <w:bottom w:val="nil"/>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25-100</w:t>
            </w:r>
          </w:p>
        </w:tc>
        <w:tc>
          <w:tcPr>
            <w:tcW w:w="1482" w:type="pct"/>
            <w:tcBorders>
              <w:top w:val="single" w:sz="4" w:space="0" w:color="auto"/>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1-2</w:t>
            </w:r>
          </w:p>
        </w:tc>
      </w:tr>
      <w:tr w:rsidR="0033400D" w:rsidTr="00183DD0">
        <w:trPr>
          <w:cantSplit/>
        </w:trPr>
        <w:tc>
          <w:tcPr>
            <w:tcW w:w="2313" w:type="pct"/>
            <w:tcBorders>
              <w:top w:val="nil"/>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i/>
                <w:sz w:val="24"/>
                <w:szCs w:val="24"/>
                <w:lang w:val="da-DK"/>
              </w:rPr>
            </w:pPr>
            <w:r>
              <w:rPr>
                <w:i/>
                <w:sz w:val="24"/>
                <w:szCs w:val="24"/>
                <w:lang w:val="da-DK"/>
              </w:rPr>
              <w:tab/>
            </w:r>
            <w:proofErr w:type="spellStart"/>
            <w:r>
              <w:rPr>
                <w:i/>
                <w:sz w:val="24"/>
                <w:szCs w:val="24"/>
                <w:lang w:val="da-DK"/>
              </w:rPr>
              <w:t>Flexor</w:t>
            </w:r>
            <w:proofErr w:type="spellEnd"/>
            <w:r>
              <w:rPr>
                <w:i/>
                <w:sz w:val="24"/>
                <w:szCs w:val="24"/>
                <w:lang w:val="da-DK"/>
              </w:rPr>
              <w:t xml:space="preserve"> </w:t>
            </w:r>
            <w:proofErr w:type="spellStart"/>
            <w:r>
              <w:rPr>
                <w:i/>
                <w:sz w:val="24"/>
                <w:szCs w:val="24"/>
                <w:lang w:val="da-DK"/>
              </w:rPr>
              <w:t>carpi</w:t>
            </w:r>
            <w:proofErr w:type="spellEnd"/>
            <w:r>
              <w:rPr>
                <w:i/>
                <w:sz w:val="24"/>
                <w:szCs w:val="24"/>
                <w:lang w:val="da-DK"/>
              </w:rPr>
              <w:t xml:space="preserve"> </w:t>
            </w:r>
            <w:proofErr w:type="spellStart"/>
            <w:r>
              <w:rPr>
                <w:i/>
                <w:sz w:val="24"/>
                <w:szCs w:val="24"/>
                <w:lang w:val="da-DK"/>
              </w:rPr>
              <w:t>ulnaris</w:t>
            </w:r>
            <w:proofErr w:type="spellEnd"/>
          </w:p>
        </w:tc>
        <w:tc>
          <w:tcPr>
            <w:tcW w:w="1205" w:type="pct"/>
            <w:tcBorders>
              <w:top w:val="nil"/>
              <w:left w:val="nil"/>
              <w:bottom w:val="single" w:sz="4" w:space="0" w:color="auto"/>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20-100</w:t>
            </w:r>
          </w:p>
        </w:tc>
        <w:tc>
          <w:tcPr>
            <w:tcW w:w="1482" w:type="pct"/>
            <w:tcBorders>
              <w:top w:val="nil"/>
              <w:left w:val="nil"/>
              <w:bottom w:val="single" w:sz="4" w:space="0" w:color="auto"/>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1-2</w:t>
            </w:r>
          </w:p>
        </w:tc>
      </w:tr>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tabs>
                <w:tab w:val="left" w:pos="571"/>
              </w:tabs>
              <w:ind w:left="175"/>
              <w:rPr>
                <w:sz w:val="24"/>
                <w:szCs w:val="24"/>
                <w:lang w:val="da-DK"/>
              </w:rPr>
            </w:pPr>
            <w:r>
              <w:rPr>
                <w:b/>
                <w:sz w:val="24"/>
                <w:szCs w:val="24"/>
                <w:lang w:val="da-DK"/>
              </w:rPr>
              <w:t>Knyttet hånd</w:t>
            </w:r>
          </w:p>
        </w:tc>
        <w:tc>
          <w:tcPr>
            <w:tcW w:w="1205" w:type="pct"/>
            <w:tcBorders>
              <w:top w:val="single" w:sz="4" w:space="0" w:color="auto"/>
              <w:left w:val="nil"/>
              <w:bottom w:val="single" w:sz="4" w:space="0" w:color="auto"/>
              <w:right w:val="nil"/>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c>
          <w:tcPr>
            <w:tcW w:w="1482" w:type="pct"/>
            <w:tcBorders>
              <w:top w:val="single" w:sz="4" w:space="0" w:color="auto"/>
              <w:left w:val="nil"/>
              <w:bottom w:val="single" w:sz="4" w:space="0" w:color="auto"/>
              <w:right w:val="single" w:sz="4" w:space="0" w:color="auto"/>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r>
      <w:tr w:rsidR="0033400D" w:rsidTr="00183DD0">
        <w:trPr>
          <w:cantSplit/>
        </w:trPr>
        <w:tc>
          <w:tcPr>
            <w:tcW w:w="2313" w:type="pct"/>
            <w:tcBorders>
              <w:top w:val="single" w:sz="4" w:space="0" w:color="auto"/>
              <w:left w:val="single" w:sz="4" w:space="0" w:color="auto"/>
              <w:bottom w:val="nil"/>
              <w:right w:val="nil"/>
            </w:tcBorders>
            <w:hideMark/>
          </w:tcPr>
          <w:p w:rsidR="0033400D" w:rsidRDefault="0033400D" w:rsidP="00183DD0">
            <w:pPr>
              <w:pStyle w:val="standard"/>
              <w:tabs>
                <w:tab w:val="left" w:pos="306"/>
                <w:tab w:val="left" w:pos="571"/>
              </w:tabs>
              <w:ind w:left="175"/>
              <w:rPr>
                <w:i/>
                <w:sz w:val="24"/>
                <w:szCs w:val="24"/>
                <w:lang w:val="da-DK"/>
              </w:rPr>
            </w:pPr>
            <w:r>
              <w:rPr>
                <w:i/>
                <w:sz w:val="24"/>
                <w:szCs w:val="24"/>
                <w:lang w:val="da-DK"/>
              </w:rPr>
              <w:tab/>
            </w:r>
            <w:proofErr w:type="spellStart"/>
            <w:r>
              <w:rPr>
                <w:i/>
                <w:sz w:val="24"/>
                <w:szCs w:val="24"/>
                <w:lang w:val="da-DK"/>
              </w:rPr>
              <w:t>Flexor</w:t>
            </w:r>
            <w:proofErr w:type="spellEnd"/>
            <w:r>
              <w:rPr>
                <w:i/>
                <w:sz w:val="24"/>
                <w:szCs w:val="24"/>
                <w:lang w:val="da-DK"/>
              </w:rPr>
              <w:t xml:space="preserve"> </w:t>
            </w:r>
            <w:proofErr w:type="spellStart"/>
            <w:r>
              <w:rPr>
                <w:i/>
                <w:sz w:val="24"/>
                <w:szCs w:val="24"/>
                <w:lang w:val="da-DK"/>
              </w:rPr>
              <w:t>digitorum</w:t>
            </w:r>
            <w:proofErr w:type="spellEnd"/>
            <w:r>
              <w:rPr>
                <w:i/>
                <w:sz w:val="24"/>
                <w:szCs w:val="24"/>
                <w:lang w:val="da-DK"/>
              </w:rPr>
              <w:t xml:space="preserve"> </w:t>
            </w:r>
            <w:proofErr w:type="spellStart"/>
            <w:r>
              <w:rPr>
                <w:i/>
                <w:sz w:val="24"/>
                <w:szCs w:val="24"/>
                <w:lang w:val="da-DK"/>
              </w:rPr>
              <w:t>superficialis</w:t>
            </w:r>
            <w:proofErr w:type="spellEnd"/>
          </w:p>
        </w:tc>
        <w:tc>
          <w:tcPr>
            <w:tcW w:w="1205" w:type="pct"/>
            <w:tcBorders>
              <w:top w:val="single" w:sz="4" w:space="0" w:color="auto"/>
              <w:left w:val="nil"/>
              <w:bottom w:val="nil"/>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25-100</w:t>
            </w:r>
          </w:p>
        </w:tc>
        <w:tc>
          <w:tcPr>
            <w:tcW w:w="1482" w:type="pct"/>
            <w:tcBorders>
              <w:top w:val="single" w:sz="4" w:space="0" w:color="auto"/>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w:t>
            </w:r>
          </w:p>
        </w:tc>
      </w:tr>
      <w:tr w:rsidR="0033400D" w:rsidTr="00183DD0">
        <w:trPr>
          <w:cantSplit/>
        </w:trPr>
        <w:tc>
          <w:tcPr>
            <w:tcW w:w="2313" w:type="pct"/>
            <w:tcBorders>
              <w:top w:val="nil"/>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i/>
                <w:sz w:val="24"/>
                <w:szCs w:val="24"/>
                <w:lang w:val="da-DK"/>
              </w:rPr>
            </w:pPr>
            <w:r>
              <w:rPr>
                <w:i/>
                <w:sz w:val="24"/>
                <w:szCs w:val="24"/>
                <w:lang w:val="da-DK"/>
              </w:rPr>
              <w:tab/>
            </w:r>
            <w:proofErr w:type="spellStart"/>
            <w:r>
              <w:rPr>
                <w:i/>
                <w:sz w:val="24"/>
                <w:szCs w:val="24"/>
                <w:lang w:val="da-DK"/>
              </w:rPr>
              <w:t>Flexor</w:t>
            </w:r>
            <w:proofErr w:type="spellEnd"/>
            <w:r>
              <w:rPr>
                <w:i/>
                <w:sz w:val="24"/>
                <w:szCs w:val="24"/>
                <w:lang w:val="da-DK"/>
              </w:rPr>
              <w:t xml:space="preserve"> </w:t>
            </w:r>
            <w:proofErr w:type="spellStart"/>
            <w:r>
              <w:rPr>
                <w:i/>
                <w:sz w:val="24"/>
                <w:szCs w:val="24"/>
                <w:lang w:val="da-DK"/>
              </w:rPr>
              <w:t>digitorum</w:t>
            </w:r>
            <w:proofErr w:type="spellEnd"/>
            <w:r>
              <w:rPr>
                <w:i/>
                <w:sz w:val="24"/>
                <w:szCs w:val="24"/>
                <w:lang w:val="da-DK"/>
              </w:rPr>
              <w:t xml:space="preserve"> </w:t>
            </w:r>
            <w:proofErr w:type="spellStart"/>
            <w:r>
              <w:rPr>
                <w:i/>
                <w:sz w:val="24"/>
                <w:szCs w:val="24"/>
                <w:lang w:val="da-DK"/>
              </w:rPr>
              <w:t>profundus</w:t>
            </w:r>
            <w:proofErr w:type="spellEnd"/>
          </w:p>
        </w:tc>
        <w:tc>
          <w:tcPr>
            <w:tcW w:w="1205" w:type="pct"/>
            <w:tcBorders>
              <w:top w:val="nil"/>
              <w:left w:val="nil"/>
              <w:bottom w:val="single" w:sz="4" w:space="0" w:color="auto"/>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25-100</w:t>
            </w:r>
          </w:p>
        </w:tc>
        <w:tc>
          <w:tcPr>
            <w:tcW w:w="1482" w:type="pct"/>
            <w:tcBorders>
              <w:top w:val="nil"/>
              <w:left w:val="nil"/>
              <w:bottom w:val="single" w:sz="4" w:space="0" w:color="auto"/>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w:t>
            </w:r>
          </w:p>
        </w:tc>
      </w:tr>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tabs>
                <w:tab w:val="left" w:pos="571"/>
              </w:tabs>
              <w:ind w:left="175"/>
              <w:rPr>
                <w:sz w:val="24"/>
                <w:szCs w:val="24"/>
                <w:lang w:val="da-DK"/>
              </w:rPr>
            </w:pPr>
            <w:r>
              <w:rPr>
                <w:b/>
                <w:sz w:val="24"/>
                <w:szCs w:val="24"/>
                <w:lang w:val="da-DK"/>
              </w:rPr>
              <w:t>Bøjet albue</w:t>
            </w:r>
          </w:p>
        </w:tc>
        <w:tc>
          <w:tcPr>
            <w:tcW w:w="1205" w:type="pct"/>
            <w:tcBorders>
              <w:top w:val="single" w:sz="4" w:space="0" w:color="auto"/>
              <w:left w:val="nil"/>
              <w:bottom w:val="single" w:sz="4" w:space="0" w:color="auto"/>
              <w:right w:val="nil"/>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c>
          <w:tcPr>
            <w:tcW w:w="1482" w:type="pct"/>
            <w:tcBorders>
              <w:top w:val="single" w:sz="4" w:space="0" w:color="auto"/>
              <w:left w:val="nil"/>
              <w:bottom w:val="single" w:sz="4" w:space="0" w:color="auto"/>
              <w:right w:val="single" w:sz="4" w:space="0" w:color="auto"/>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r>
      <w:tr w:rsidR="0033400D" w:rsidTr="00183DD0">
        <w:trPr>
          <w:cantSplit/>
        </w:trPr>
        <w:tc>
          <w:tcPr>
            <w:tcW w:w="2313" w:type="pct"/>
            <w:tcBorders>
              <w:top w:val="single" w:sz="4" w:space="0" w:color="auto"/>
              <w:left w:val="single" w:sz="4" w:space="0" w:color="auto"/>
              <w:bottom w:val="nil"/>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Brachioradialis</w:t>
            </w:r>
            <w:proofErr w:type="spellEnd"/>
          </w:p>
        </w:tc>
        <w:tc>
          <w:tcPr>
            <w:tcW w:w="1205" w:type="pct"/>
            <w:tcBorders>
              <w:top w:val="single" w:sz="4" w:space="0" w:color="auto"/>
              <w:left w:val="nil"/>
              <w:bottom w:val="nil"/>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25-100</w:t>
            </w:r>
          </w:p>
        </w:tc>
        <w:tc>
          <w:tcPr>
            <w:tcW w:w="1482" w:type="pct"/>
            <w:tcBorders>
              <w:top w:val="single" w:sz="4" w:space="0" w:color="auto"/>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1-3</w:t>
            </w:r>
          </w:p>
        </w:tc>
      </w:tr>
      <w:tr w:rsidR="0033400D" w:rsidTr="00183DD0">
        <w:trPr>
          <w:cantSplit/>
        </w:trPr>
        <w:tc>
          <w:tcPr>
            <w:tcW w:w="2313" w:type="pct"/>
            <w:tcBorders>
              <w:top w:val="nil"/>
              <w:left w:val="single" w:sz="4" w:space="0" w:color="auto"/>
              <w:bottom w:val="nil"/>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t>Biceps</w:t>
            </w:r>
          </w:p>
        </w:tc>
        <w:tc>
          <w:tcPr>
            <w:tcW w:w="1205" w:type="pct"/>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50-200</w:t>
            </w:r>
          </w:p>
        </w:tc>
        <w:tc>
          <w:tcPr>
            <w:tcW w:w="1482" w:type="pct"/>
            <w:tcBorders>
              <w:top w:val="nil"/>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1-4</w:t>
            </w:r>
          </w:p>
        </w:tc>
      </w:tr>
      <w:tr w:rsidR="0033400D" w:rsidTr="00183DD0">
        <w:trPr>
          <w:cantSplit/>
        </w:trPr>
        <w:tc>
          <w:tcPr>
            <w:tcW w:w="2313" w:type="pct"/>
            <w:tcBorders>
              <w:top w:val="nil"/>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Brachialis</w:t>
            </w:r>
            <w:proofErr w:type="spellEnd"/>
          </w:p>
        </w:tc>
        <w:tc>
          <w:tcPr>
            <w:tcW w:w="1205" w:type="pct"/>
            <w:tcBorders>
              <w:top w:val="nil"/>
              <w:left w:val="nil"/>
              <w:bottom w:val="single" w:sz="4" w:space="0" w:color="auto"/>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25-100</w:t>
            </w:r>
          </w:p>
        </w:tc>
        <w:tc>
          <w:tcPr>
            <w:tcW w:w="1482" w:type="pct"/>
            <w:tcBorders>
              <w:top w:val="nil"/>
              <w:left w:val="nil"/>
              <w:bottom w:val="single" w:sz="4" w:space="0" w:color="auto"/>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1-2</w:t>
            </w:r>
          </w:p>
        </w:tc>
      </w:tr>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tabs>
                <w:tab w:val="left" w:pos="571"/>
              </w:tabs>
              <w:ind w:left="175"/>
              <w:rPr>
                <w:sz w:val="24"/>
                <w:szCs w:val="24"/>
                <w:lang w:val="da-DK"/>
              </w:rPr>
            </w:pPr>
            <w:proofErr w:type="spellStart"/>
            <w:r>
              <w:rPr>
                <w:b/>
                <w:sz w:val="24"/>
                <w:szCs w:val="24"/>
                <w:lang w:val="da-DK"/>
              </w:rPr>
              <w:t>Indadroteret</w:t>
            </w:r>
            <w:proofErr w:type="spellEnd"/>
            <w:r>
              <w:rPr>
                <w:b/>
                <w:sz w:val="24"/>
                <w:szCs w:val="24"/>
                <w:lang w:val="da-DK"/>
              </w:rPr>
              <w:t xml:space="preserve"> underarm</w:t>
            </w:r>
          </w:p>
        </w:tc>
        <w:tc>
          <w:tcPr>
            <w:tcW w:w="1205" w:type="pct"/>
            <w:tcBorders>
              <w:top w:val="single" w:sz="4" w:space="0" w:color="auto"/>
              <w:left w:val="nil"/>
              <w:bottom w:val="single" w:sz="4" w:space="0" w:color="auto"/>
              <w:right w:val="nil"/>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c>
          <w:tcPr>
            <w:tcW w:w="1482" w:type="pct"/>
            <w:tcBorders>
              <w:top w:val="single" w:sz="4" w:space="0" w:color="auto"/>
              <w:left w:val="nil"/>
              <w:bottom w:val="single" w:sz="4" w:space="0" w:color="auto"/>
              <w:right w:val="single" w:sz="4" w:space="0" w:color="auto"/>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r>
      <w:tr w:rsidR="0033400D" w:rsidTr="00183DD0">
        <w:trPr>
          <w:cantSplit/>
        </w:trPr>
        <w:tc>
          <w:tcPr>
            <w:tcW w:w="2313" w:type="pct"/>
            <w:tcBorders>
              <w:top w:val="single" w:sz="4" w:space="0" w:color="auto"/>
              <w:left w:val="single" w:sz="4" w:space="0" w:color="auto"/>
              <w:bottom w:val="nil"/>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Pronator</w:t>
            </w:r>
            <w:proofErr w:type="spellEnd"/>
            <w:r>
              <w:rPr>
                <w:i/>
                <w:sz w:val="24"/>
                <w:szCs w:val="24"/>
                <w:lang w:val="da-DK"/>
              </w:rPr>
              <w:t xml:space="preserve"> </w:t>
            </w:r>
            <w:proofErr w:type="spellStart"/>
            <w:r>
              <w:rPr>
                <w:i/>
                <w:sz w:val="24"/>
                <w:szCs w:val="24"/>
                <w:lang w:val="da-DK"/>
              </w:rPr>
              <w:t>quadratus</w:t>
            </w:r>
            <w:proofErr w:type="spellEnd"/>
          </w:p>
        </w:tc>
        <w:tc>
          <w:tcPr>
            <w:tcW w:w="1205" w:type="pct"/>
            <w:tcBorders>
              <w:top w:val="single" w:sz="4" w:space="0" w:color="auto"/>
              <w:left w:val="nil"/>
              <w:bottom w:val="nil"/>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10-50</w:t>
            </w:r>
          </w:p>
        </w:tc>
        <w:tc>
          <w:tcPr>
            <w:tcW w:w="1482" w:type="pct"/>
            <w:tcBorders>
              <w:top w:val="single" w:sz="4" w:space="0" w:color="auto"/>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w:t>
            </w:r>
          </w:p>
        </w:tc>
      </w:tr>
      <w:tr w:rsidR="0033400D" w:rsidTr="00183DD0">
        <w:trPr>
          <w:cantSplit/>
        </w:trPr>
        <w:tc>
          <w:tcPr>
            <w:tcW w:w="2313" w:type="pct"/>
            <w:tcBorders>
              <w:top w:val="nil"/>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Pronator</w:t>
            </w:r>
            <w:proofErr w:type="spellEnd"/>
            <w:r>
              <w:rPr>
                <w:i/>
                <w:sz w:val="24"/>
                <w:szCs w:val="24"/>
                <w:lang w:val="da-DK"/>
              </w:rPr>
              <w:t xml:space="preserve"> </w:t>
            </w:r>
            <w:proofErr w:type="spellStart"/>
            <w:r>
              <w:rPr>
                <w:i/>
                <w:sz w:val="24"/>
                <w:szCs w:val="24"/>
                <w:lang w:val="da-DK"/>
              </w:rPr>
              <w:t>teres</w:t>
            </w:r>
            <w:proofErr w:type="spellEnd"/>
          </w:p>
        </w:tc>
        <w:tc>
          <w:tcPr>
            <w:tcW w:w="1205" w:type="pct"/>
            <w:tcBorders>
              <w:top w:val="nil"/>
              <w:left w:val="nil"/>
              <w:bottom w:val="single" w:sz="4" w:space="0" w:color="auto"/>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25-75</w:t>
            </w:r>
          </w:p>
        </w:tc>
        <w:tc>
          <w:tcPr>
            <w:tcW w:w="1482" w:type="pct"/>
            <w:tcBorders>
              <w:top w:val="nil"/>
              <w:left w:val="nil"/>
              <w:bottom w:val="single" w:sz="4" w:space="0" w:color="auto"/>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1-2</w:t>
            </w:r>
          </w:p>
        </w:tc>
      </w:tr>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tabs>
                <w:tab w:val="left" w:pos="571"/>
              </w:tabs>
              <w:ind w:left="175"/>
              <w:rPr>
                <w:sz w:val="24"/>
                <w:szCs w:val="24"/>
                <w:lang w:val="da-DK"/>
              </w:rPr>
            </w:pPr>
            <w:r>
              <w:rPr>
                <w:b/>
                <w:sz w:val="24"/>
                <w:szCs w:val="24"/>
                <w:lang w:val="da-DK"/>
              </w:rPr>
              <w:t>Tommelfinger i håndflade</w:t>
            </w:r>
          </w:p>
        </w:tc>
        <w:tc>
          <w:tcPr>
            <w:tcW w:w="1205" w:type="pct"/>
            <w:tcBorders>
              <w:top w:val="single" w:sz="4" w:space="0" w:color="auto"/>
              <w:left w:val="nil"/>
              <w:bottom w:val="single" w:sz="4" w:space="0" w:color="auto"/>
              <w:right w:val="nil"/>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c>
          <w:tcPr>
            <w:tcW w:w="1482" w:type="pct"/>
            <w:tcBorders>
              <w:top w:val="single" w:sz="4" w:space="0" w:color="auto"/>
              <w:left w:val="nil"/>
              <w:bottom w:val="single" w:sz="4" w:space="0" w:color="auto"/>
              <w:right w:val="single" w:sz="4" w:space="0" w:color="auto"/>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r>
      <w:tr w:rsidR="0033400D" w:rsidTr="00183DD0">
        <w:trPr>
          <w:cantSplit/>
        </w:trPr>
        <w:tc>
          <w:tcPr>
            <w:tcW w:w="2313" w:type="pct"/>
            <w:tcBorders>
              <w:top w:val="single" w:sz="4" w:space="0" w:color="auto"/>
              <w:left w:val="single" w:sz="4" w:space="0" w:color="auto"/>
              <w:bottom w:val="nil"/>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Flexor</w:t>
            </w:r>
            <w:proofErr w:type="spellEnd"/>
            <w:r>
              <w:rPr>
                <w:i/>
                <w:sz w:val="24"/>
                <w:szCs w:val="24"/>
                <w:lang w:val="da-DK"/>
              </w:rPr>
              <w:t xml:space="preserve"> </w:t>
            </w:r>
            <w:proofErr w:type="spellStart"/>
            <w:r>
              <w:rPr>
                <w:i/>
                <w:sz w:val="24"/>
                <w:szCs w:val="24"/>
                <w:lang w:val="da-DK"/>
              </w:rPr>
              <w:t>pollicis</w:t>
            </w:r>
            <w:proofErr w:type="spellEnd"/>
            <w:r>
              <w:rPr>
                <w:i/>
                <w:sz w:val="24"/>
                <w:szCs w:val="24"/>
                <w:lang w:val="da-DK"/>
              </w:rPr>
              <w:t xml:space="preserve"> </w:t>
            </w:r>
            <w:proofErr w:type="spellStart"/>
            <w:r>
              <w:rPr>
                <w:i/>
                <w:sz w:val="24"/>
                <w:szCs w:val="24"/>
                <w:lang w:val="da-DK"/>
              </w:rPr>
              <w:t>longus</w:t>
            </w:r>
            <w:proofErr w:type="spellEnd"/>
          </w:p>
        </w:tc>
        <w:tc>
          <w:tcPr>
            <w:tcW w:w="1205" w:type="pct"/>
            <w:tcBorders>
              <w:top w:val="single" w:sz="4" w:space="0" w:color="auto"/>
              <w:left w:val="nil"/>
              <w:bottom w:val="nil"/>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10-50</w:t>
            </w:r>
          </w:p>
        </w:tc>
        <w:tc>
          <w:tcPr>
            <w:tcW w:w="1482" w:type="pct"/>
            <w:tcBorders>
              <w:top w:val="single" w:sz="4" w:space="0" w:color="auto"/>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w:t>
            </w:r>
          </w:p>
        </w:tc>
      </w:tr>
      <w:tr w:rsidR="0033400D" w:rsidTr="00183DD0">
        <w:trPr>
          <w:cantSplit/>
        </w:trPr>
        <w:tc>
          <w:tcPr>
            <w:tcW w:w="2313" w:type="pct"/>
            <w:tcBorders>
              <w:top w:val="nil"/>
              <w:left w:val="single" w:sz="4" w:space="0" w:color="auto"/>
              <w:bottom w:val="nil"/>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Adductor</w:t>
            </w:r>
            <w:proofErr w:type="spellEnd"/>
            <w:r>
              <w:rPr>
                <w:i/>
                <w:sz w:val="24"/>
                <w:szCs w:val="24"/>
                <w:lang w:val="da-DK"/>
              </w:rPr>
              <w:t xml:space="preserve"> </w:t>
            </w:r>
            <w:proofErr w:type="spellStart"/>
            <w:r>
              <w:rPr>
                <w:i/>
                <w:sz w:val="24"/>
                <w:szCs w:val="24"/>
                <w:lang w:val="da-DK"/>
              </w:rPr>
              <w:t>pollicis</w:t>
            </w:r>
            <w:proofErr w:type="spellEnd"/>
          </w:p>
        </w:tc>
        <w:tc>
          <w:tcPr>
            <w:tcW w:w="1205" w:type="pct"/>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5-30</w:t>
            </w:r>
          </w:p>
        </w:tc>
        <w:tc>
          <w:tcPr>
            <w:tcW w:w="1482" w:type="pct"/>
            <w:tcBorders>
              <w:top w:val="nil"/>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w:t>
            </w:r>
          </w:p>
        </w:tc>
      </w:tr>
      <w:tr w:rsidR="0033400D" w:rsidTr="00183DD0">
        <w:trPr>
          <w:cantSplit/>
        </w:trPr>
        <w:tc>
          <w:tcPr>
            <w:tcW w:w="2313" w:type="pct"/>
            <w:tcBorders>
              <w:top w:val="nil"/>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sz w:val="24"/>
                <w:szCs w:val="24"/>
                <w:lang w:val="da-DK"/>
              </w:rPr>
            </w:pPr>
            <w:r>
              <w:rPr>
                <w:i/>
                <w:sz w:val="24"/>
                <w:szCs w:val="24"/>
                <w:lang w:val="da-DK"/>
              </w:rPr>
              <w:tab/>
            </w:r>
            <w:proofErr w:type="spellStart"/>
            <w:r>
              <w:rPr>
                <w:i/>
                <w:sz w:val="24"/>
                <w:szCs w:val="24"/>
                <w:lang w:val="da-DK"/>
              </w:rPr>
              <w:t>Flexor</w:t>
            </w:r>
            <w:proofErr w:type="spellEnd"/>
            <w:r>
              <w:rPr>
                <w:i/>
                <w:sz w:val="24"/>
                <w:szCs w:val="24"/>
                <w:lang w:val="da-DK"/>
              </w:rPr>
              <w:t xml:space="preserve"> </w:t>
            </w:r>
            <w:proofErr w:type="spellStart"/>
            <w:r>
              <w:rPr>
                <w:i/>
                <w:sz w:val="24"/>
                <w:szCs w:val="24"/>
                <w:lang w:val="da-DK"/>
              </w:rPr>
              <w:t>pollicis</w:t>
            </w:r>
            <w:proofErr w:type="spellEnd"/>
            <w:r>
              <w:rPr>
                <w:i/>
                <w:sz w:val="24"/>
                <w:szCs w:val="24"/>
                <w:lang w:val="da-DK"/>
              </w:rPr>
              <w:t xml:space="preserve"> </w:t>
            </w:r>
            <w:proofErr w:type="spellStart"/>
            <w:r>
              <w:rPr>
                <w:i/>
                <w:sz w:val="24"/>
                <w:szCs w:val="24"/>
                <w:lang w:val="da-DK"/>
              </w:rPr>
              <w:t>brevis</w:t>
            </w:r>
            <w:proofErr w:type="spellEnd"/>
            <w:r>
              <w:rPr>
                <w:i/>
                <w:sz w:val="24"/>
                <w:szCs w:val="24"/>
                <w:lang w:val="da-DK"/>
              </w:rPr>
              <w:t>/</w:t>
            </w:r>
            <w:proofErr w:type="spellStart"/>
            <w:r>
              <w:rPr>
                <w:i/>
                <w:sz w:val="24"/>
                <w:szCs w:val="24"/>
                <w:lang w:val="da-DK"/>
              </w:rPr>
              <w:t>Opponens</w:t>
            </w:r>
            <w:proofErr w:type="spellEnd"/>
            <w:r>
              <w:rPr>
                <w:i/>
                <w:sz w:val="24"/>
                <w:szCs w:val="24"/>
                <w:lang w:val="da-DK"/>
              </w:rPr>
              <w:t xml:space="preserve"> </w:t>
            </w:r>
            <w:proofErr w:type="spellStart"/>
            <w:r>
              <w:rPr>
                <w:i/>
                <w:sz w:val="24"/>
                <w:szCs w:val="24"/>
                <w:lang w:val="da-DK"/>
              </w:rPr>
              <w:t>pollicis</w:t>
            </w:r>
            <w:proofErr w:type="spellEnd"/>
          </w:p>
        </w:tc>
        <w:tc>
          <w:tcPr>
            <w:tcW w:w="1205" w:type="pct"/>
            <w:tcBorders>
              <w:top w:val="nil"/>
              <w:left w:val="nil"/>
              <w:bottom w:val="single" w:sz="4" w:space="0" w:color="auto"/>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5-30</w:t>
            </w:r>
          </w:p>
        </w:tc>
        <w:tc>
          <w:tcPr>
            <w:tcW w:w="1482" w:type="pct"/>
            <w:tcBorders>
              <w:top w:val="nil"/>
              <w:left w:val="nil"/>
              <w:bottom w:val="single" w:sz="4" w:space="0" w:color="auto"/>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w:t>
            </w:r>
          </w:p>
        </w:tc>
      </w:tr>
      <w:tr w:rsidR="0033400D" w:rsidTr="00183DD0">
        <w:trPr>
          <w:cantSplit/>
        </w:trPr>
        <w:tc>
          <w:tcPr>
            <w:tcW w:w="2313" w:type="pct"/>
            <w:tcBorders>
              <w:top w:val="single" w:sz="4" w:space="0" w:color="auto"/>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b/>
                <w:sz w:val="24"/>
                <w:szCs w:val="24"/>
                <w:lang w:val="da-DK"/>
              </w:rPr>
            </w:pPr>
            <w:proofErr w:type="spellStart"/>
            <w:r>
              <w:rPr>
                <w:b/>
                <w:sz w:val="24"/>
                <w:szCs w:val="24"/>
                <w:lang w:val="da-DK"/>
              </w:rPr>
              <w:t>Indadroteret</w:t>
            </w:r>
            <w:proofErr w:type="spellEnd"/>
            <w:r>
              <w:rPr>
                <w:b/>
                <w:sz w:val="24"/>
                <w:szCs w:val="24"/>
                <w:lang w:val="da-DK"/>
              </w:rPr>
              <w:t>/udstrakt/</w:t>
            </w:r>
            <w:proofErr w:type="spellStart"/>
            <w:r>
              <w:rPr>
                <w:b/>
                <w:sz w:val="24"/>
                <w:szCs w:val="24"/>
                <w:lang w:val="da-DK"/>
              </w:rPr>
              <w:t>adduceret</w:t>
            </w:r>
            <w:proofErr w:type="spellEnd"/>
            <w:r>
              <w:rPr>
                <w:b/>
                <w:sz w:val="24"/>
                <w:szCs w:val="24"/>
                <w:lang w:val="da-DK"/>
              </w:rPr>
              <w:t xml:space="preserve"> skulder</w:t>
            </w:r>
          </w:p>
        </w:tc>
        <w:tc>
          <w:tcPr>
            <w:tcW w:w="1205" w:type="pct"/>
            <w:tcBorders>
              <w:top w:val="single" w:sz="4" w:space="0" w:color="auto"/>
              <w:left w:val="nil"/>
              <w:bottom w:val="single" w:sz="4" w:space="0" w:color="auto"/>
              <w:right w:val="nil"/>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c>
          <w:tcPr>
            <w:tcW w:w="1482" w:type="pct"/>
            <w:tcBorders>
              <w:top w:val="single" w:sz="4" w:space="0" w:color="auto"/>
              <w:left w:val="nil"/>
              <w:bottom w:val="single" w:sz="4" w:space="0" w:color="auto"/>
              <w:right w:val="single" w:sz="4" w:space="0" w:color="auto"/>
            </w:tcBorders>
          </w:tcPr>
          <w:p w:rsidR="0033400D" w:rsidRDefault="0033400D" w:rsidP="00183DD0">
            <w:pPr>
              <w:tabs>
                <w:tab w:val="left" w:pos="-1440"/>
                <w:tab w:val="left" w:pos="-720"/>
                <w:tab w:val="left" w:pos="0"/>
                <w:tab w:val="left" w:pos="851"/>
              </w:tabs>
              <w:suppressAutoHyphens/>
              <w:ind w:left="175"/>
              <w:jc w:val="center"/>
              <w:rPr>
                <w:spacing w:val="-2"/>
                <w:sz w:val="24"/>
                <w:szCs w:val="24"/>
              </w:rPr>
            </w:pPr>
          </w:p>
        </w:tc>
      </w:tr>
      <w:tr w:rsidR="0033400D" w:rsidTr="00183DD0">
        <w:trPr>
          <w:cantSplit/>
        </w:trPr>
        <w:tc>
          <w:tcPr>
            <w:tcW w:w="2313" w:type="pct"/>
            <w:tcBorders>
              <w:top w:val="single" w:sz="4" w:space="0" w:color="auto"/>
              <w:left w:val="single" w:sz="4" w:space="0" w:color="auto"/>
              <w:bottom w:val="nil"/>
              <w:right w:val="nil"/>
            </w:tcBorders>
            <w:hideMark/>
          </w:tcPr>
          <w:p w:rsidR="0033400D" w:rsidRDefault="0033400D" w:rsidP="00183DD0">
            <w:pPr>
              <w:pStyle w:val="standard"/>
              <w:tabs>
                <w:tab w:val="left" w:pos="306"/>
                <w:tab w:val="left" w:pos="571"/>
              </w:tabs>
              <w:ind w:left="175"/>
              <w:rPr>
                <w:i/>
                <w:sz w:val="24"/>
                <w:szCs w:val="24"/>
                <w:lang w:val="da-DK"/>
              </w:rPr>
            </w:pPr>
            <w:r>
              <w:rPr>
                <w:i/>
                <w:iCs/>
                <w:sz w:val="24"/>
                <w:szCs w:val="24"/>
                <w:lang w:val="da-DK"/>
              </w:rPr>
              <w:tab/>
            </w:r>
            <w:proofErr w:type="spellStart"/>
            <w:r>
              <w:rPr>
                <w:i/>
                <w:iCs/>
                <w:sz w:val="24"/>
                <w:szCs w:val="24"/>
                <w:lang w:val="da-DK"/>
              </w:rPr>
              <w:t>Deltoideus</w:t>
            </w:r>
            <w:proofErr w:type="spellEnd"/>
            <w:r>
              <w:rPr>
                <w:i/>
                <w:iCs/>
                <w:sz w:val="24"/>
                <w:szCs w:val="24"/>
                <w:lang w:val="da-DK"/>
              </w:rPr>
              <w:t xml:space="preserve">, pars </w:t>
            </w:r>
            <w:proofErr w:type="spellStart"/>
            <w:r>
              <w:rPr>
                <w:i/>
                <w:iCs/>
                <w:sz w:val="24"/>
                <w:szCs w:val="24"/>
                <w:lang w:val="da-DK"/>
              </w:rPr>
              <w:t>clavicularis</w:t>
            </w:r>
            <w:proofErr w:type="spellEnd"/>
          </w:p>
        </w:tc>
        <w:tc>
          <w:tcPr>
            <w:tcW w:w="1205" w:type="pct"/>
            <w:tcBorders>
              <w:top w:val="single" w:sz="4" w:space="0" w:color="auto"/>
              <w:left w:val="nil"/>
              <w:bottom w:val="nil"/>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20-150</w:t>
            </w:r>
          </w:p>
        </w:tc>
        <w:tc>
          <w:tcPr>
            <w:tcW w:w="1482" w:type="pct"/>
            <w:tcBorders>
              <w:top w:val="single" w:sz="4" w:space="0" w:color="auto"/>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1-3</w:t>
            </w:r>
          </w:p>
        </w:tc>
      </w:tr>
      <w:tr w:rsidR="0033400D" w:rsidTr="00183DD0">
        <w:trPr>
          <w:cantSplit/>
        </w:trPr>
        <w:tc>
          <w:tcPr>
            <w:tcW w:w="2313" w:type="pct"/>
            <w:tcBorders>
              <w:top w:val="nil"/>
              <w:left w:val="single" w:sz="4" w:space="0" w:color="auto"/>
              <w:bottom w:val="nil"/>
              <w:right w:val="nil"/>
            </w:tcBorders>
            <w:hideMark/>
          </w:tcPr>
          <w:p w:rsidR="0033400D" w:rsidRDefault="0033400D" w:rsidP="00183DD0">
            <w:pPr>
              <w:pStyle w:val="standard"/>
              <w:tabs>
                <w:tab w:val="left" w:pos="306"/>
                <w:tab w:val="left" w:pos="571"/>
              </w:tabs>
              <w:ind w:left="175"/>
              <w:rPr>
                <w:i/>
                <w:sz w:val="24"/>
                <w:szCs w:val="24"/>
                <w:lang w:val="da-DK"/>
              </w:rPr>
            </w:pPr>
            <w:r>
              <w:rPr>
                <w:i/>
                <w:iCs/>
                <w:sz w:val="24"/>
                <w:szCs w:val="24"/>
                <w:lang w:val="da-DK"/>
              </w:rPr>
              <w:tab/>
            </w:r>
            <w:proofErr w:type="spellStart"/>
            <w:r>
              <w:rPr>
                <w:i/>
                <w:iCs/>
                <w:sz w:val="24"/>
                <w:szCs w:val="24"/>
                <w:lang w:val="da-DK"/>
              </w:rPr>
              <w:t>Latissimus</w:t>
            </w:r>
            <w:proofErr w:type="spellEnd"/>
            <w:r>
              <w:rPr>
                <w:i/>
                <w:iCs/>
                <w:sz w:val="24"/>
                <w:szCs w:val="24"/>
                <w:lang w:val="da-DK"/>
              </w:rPr>
              <w:t xml:space="preserve"> </w:t>
            </w:r>
            <w:proofErr w:type="spellStart"/>
            <w:r>
              <w:rPr>
                <w:i/>
                <w:iCs/>
                <w:sz w:val="24"/>
                <w:szCs w:val="24"/>
                <w:lang w:val="da-DK"/>
              </w:rPr>
              <w:t>dorsi</w:t>
            </w:r>
            <w:proofErr w:type="spellEnd"/>
          </w:p>
        </w:tc>
        <w:tc>
          <w:tcPr>
            <w:tcW w:w="1205" w:type="pct"/>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25-150</w:t>
            </w:r>
          </w:p>
        </w:tc>
        <w:tc>
          <w:tcPr>
            <w:tcW w:w="1482" w:type="pct"/>
            <w:tcBorders>
              <w:top w:val="nil"/>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1-4</w:t>
            </w:r>
          </w:p>
        </w:tc>
      </w:tr>
      <w:tr w:rsidR="0033400D" w:rsidTr="00183DD0">
        <w:trPr>
          <w:cantSplit/>
        </w:trPr>
        <w:tc>
          <w:tcPr>
            <w:tcW w:w="2313" w:type="pct"/>
            <w:tcBorders>
              <w:top w:val="nil"/>
              <w:left w:val="single" w:sz="4" w:space="0" w:color="auto"/>
              <w:bottom w:val="nil"/>
              <w:right w:val="nil"/>
            </w:tcBorders>
            <w:hideMark/>
          </w:tcPr>
          <w:p w:rsidR="0033400D" w:rsidRDefault="0033400D" w:rsidP="00183DD0">
            <w:pPr>
              <w:pStyle w:val="standard"/>
              <w:tabs>
                <w:tab w:val="left" w:pos="306"/>
                <w:tab w:val="left" w:pos="571"/>
              </w:tabs>
              <w:ind w:left="175"/>
              <w:rPr>
                <w:i/>
                <w:sz w:val="24"/>
                <w:szCs w:val="24"/>
                <w:lang w:val="da-DK"/>
              </w:rPr>
            </w:pPr>
            <w:r>
              <w:rPr>
                <w:i/>
                <w:iCs/>
                <w:sz w:val="24"/>
                <w:szCs w:val="24"/>
                <w:lang w:val="da-DK"/>
              </w:rPr>
              <w:tab/>
            </w:r>
            <w:proofErr w:type="spellStart"/>
            <w:r>
              <w:rPr>
                <w:i/>
                <w:iCs/>
                <w:sz w:val="24"/>
                <w:szCs w:val="24"/>
                <w:lang w:val="da-DK"/>
              </w:rPr>
              <w:t>Pectoralis</w:t>
            </w:r>
            <w:proofErr w:type="spellEnd"/>
            <w:r>
              <w:rPr>
                <w:i/>
                <w:iCs/>
                <w:sz w:val="24"/>
                <w:szCs w:val="24"/>
                <w:lang w:val="da-DK"/>
              </w:rPr>
              <w:t xml:space="preserve"> major</w:t>
            </w:r>
          </w:p>
        </w:tc>
        <w:tc>
          <w:tcPr>
            <w:tcW w:w="1205" w:type="pct"/>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20-200</w:t>
            </w:r>
          </w:p>
        </w:tc>
        <w:tc>
          <w:tcPr>
            <w:tcW w:w="1482" w:type="pct"/>
            <w:tcBorders>
              <w:top w:val="nil"/>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1-6</w:t>
            </w:r>
          </w:p>
        </w:tc>
      </w:tr>
      <w:tr w:rsidR="0033400D" w:rsidTr="00183DD0">
        <w:trPr>
          <w:cantSplit/>
        </w:trPr>
        <w:tc>
          <w:tcPr>
            <w:tcW w:w="2313" w:type="pct"/>
            <w:tcBorders>
              <w:top w:val="nil"/>
              <w:left w:val="single" w:sz="4" w:space="0" w:color="auto"/>
              <w:bottom w:val="nil"/>
              <w:right w:val="nil"/>
            </w:tcBorders>
            <w:hideMark/>
          </w:tcPr>
          <w:p w:rsidR="0033400D" w:rsidRDefault="0033400D" w:rsidP="00183DD0">
            <w:pPr>
              <w:pStyle w:val="standard"/>
              <w:tabs>
                <w:tab w:val="left" w:pos="306"/>
                <w:tab w:val="left" w:pos="571"/>
              </w:tabs>
              <w:ind w:left="175"/>
              <w:rPr>
                <w:i/>
                <w:sz w:val="24"/>
                <w:szCs w:val="24"/>
                <w:lang w:val="da-DK"/>
              </w:rPr>
            </w:pPr>
            <w:r>
              <w:rPr>
                <w:i/>
                <w:iCs/>
                <w:sz w:val="24"/>
                <w:szCs w:val="24"/>
                <w:lang w:val="da-DK"/>
              </w:rPr>
              <w:tab/>
            </w:r>
            <w:proofErr w:type="spellStart"/>
            <w:r>
              <w:rPr>
                <w:i/>
                <w:iCs/>
                <w:sz w:val="24"/>
                <w:szCs w:val="24"/>
                <w:lang w:val="da-DK"/>
              </w:rPr>
              <w:t>Subscapularis</w:t>
            </w:r>
            <w:proofErr w:type="spellEnd"/>
          </w:p>
        </w:tc>
        <w:tc>
          <w:tcPr>
            <w:tcW w:w="1205" w:type="pct"/>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15-100</w:t>
            </w:r>
          </w:p>
        </w:tc>
        <w:tc>
          <w:tcPr>
            <w:tcW w:w="1482" w:type="pct"/>
            <w:tcBorders>
              <w:top w:val="nil"/>
              <w:left w:val="nil"/>
              <w:bottom w:val="nil"/>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1-4</w:t>
            </w:r>
          </w:p>
        </w:tc>
      </w:tr>
      <w:tr w:rsidR="0033400D" w:rsidTr="00183DD0">
        <w:trPr>
          <w:cantSplit/>
        </w:trPr>
        <w:tc>
          <w:tcPr>
            <w:tcW w:w="2313" w:type="pct"/>
            <w:tcBorders>
              <w:top w:val="nil"/>
              <w:left w:val="single" w:sz="4" w:space="0" w:color="auto"/>
              <w:bottom w:val="single" w:sz="4" w:space="0" w:color="auto"/>
              <w:right w:val="nil"/>
            </w:tcBorders>
            <w:hideMark/>
          </w:tcPr>
          <w:p w:rsidR="0033400D" w:rsidRDefault="0033400D" w:rsidP="00183DD0">
            <w:pPr>
              <w:pStyle w:val="standard"/>
              <w:tabs>
                <w:tab w:val="left" w:pos="306"/>
                <w:tab w:val="left" w:pos="571"/>
              </w:tabs>
              <w:ind w:left="175"/>
              <w:rPr>
                <w:i/>
                <w:iCs/>
                <w:sz w:val="24"/>
                <w:szCs w:val="24"/>
                <w:lang w:val="da-DK"/>
              </w:rPr>
            </w:pPr>
            <w:r>
              <w:rPr>
                <w:i/>
                <w:iCs/>
                <w:sz w:val="24"/>
                <w:szCs w:val="24"/>
                <w:lang w:val="da-DK"/>
              </w:rPr>
              <w:tab/>
            </w:r>
            <w:proofErr w:type="spellStart"/>
            <w:r>
              <w:rPr>
                <w:i/>
                <w:iCs/>
                <w:sz w:val="24"/>
                <w:szCs w:val="24"/>
                <w:lang w:val="da-DK"/>
              </w:rPr>
              <w:t>Teres</w:t>
            </w:r>
            <w:proofErr w:type="spellEnd"/>
            <w:r>
              <w:rPr>
                <w:i/>
                <w:iCs/>
                <w:sz w:val="24"/>
                <w:szCs w:val="24"/>
                <w:lang w:val="da-DK"/>
              </w:rPr>
              <w:t xml:space="preserve"> major</w:t>
            </w:r>
          </w:p>
        </w:tc>
        <w:tc>
          <w:tcPr>
            <w:tcW w:w="1205" w:type="pct"/>
            <w:tcBorders>
              <w:top w:val="nil"/>
              <w:left w:val="nil"/>
              <w:bottom w:val="single" w:sz="4" w:space="0" w:color="auto"/>
              <w:right w:val="nil"/>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20-100</w:t>
            </w:r>
          </w:p>
        </w:tc>
        <w:tc>
          <w:tcPr>
            <w:tcW w:w="1482" w:type="pct"/>
            <w:tcBorders>
              <w:top w:val="nil"/>
              <w:left w:val="nil"/>
              <w:bottom w:val="single" w:sz="4" w:space="0" w:color="auto"/>
              <w:right w:val="single" w:sz="4" w:space="0" w:color="auto"/>
            </w:tcBorders>
            <w:hideMark/>
          </w:tcPr>
          <w:p w:rsidR="0033400D" w:rsidRDefault="0033400D" w:rsidP="00183DD0">
            <w:pPr>
              <w:tabs>
                <w:tab w:val="left" w:pos="-1440"/>
                <w:tab w:val="left" w:pos="-720"/>
                <w:tab w:val="left" w:pos="0"/>
                <w:tab w:val="left" w:pos="851"/>
              </w:tabs>
              <w:suppressAutoHyphens/>
              <w:ind w:left="175"/>
              <w:jc w:val="center"/>
              <w:rPr>
                <w:spacing w:val="-2"/>
                <w:sz w:val="24"/>
                <w:szCs w:val="24"/>
              </w:rPr>
            </w:pPr>
            <w:r>
              <w:rPr>
                <w:spacing w:val="-2"/>
                <w:sz w:val="24"/>
                <w:szCs w:val="24"/>
              </w:rPr>
              <w:t>1-2</w:t>
            </w:r>
          </w:p>
        </w:tc>
      </w:tr>
    </w:tbl>
    <w:p w:rsidR="0033400D" w:rsidRDefault="0033400D" w:rsidP="0033400D">
      <w:pPr>
        <w:tabs>
          <w:tab w:val="left" w:pos="-1440"/>
          <w:tab w:val="left" w:pos="-720"/>
          <w:tab w:val="left" w:pos="0"/>
          <w:tab w:val="left" w:pos="851"/>
        </w:tabs>
        <w:suppressAutoHyphens/>
        <w:ind w:left="851"/>
        <w:jc w:val="both"/>
        <w:rPr>
          <w:spacing w:val="-2"/>
          <w:sz w:val="24"/>
          <w:szCs w:val="24"/>
        </w:rPr>
      </w:pPr>
    </w:p>
    <w:p w:rsidR="0033400D" w:rsidRDefault="0033400D" w:rsidP="0033400D">
      <w:pPr>
        <w:tabs>
          <w:tab w:val="left" w:pos="-1440"/>
          <w:tab w:val="left" w:pos="-720"/>
          <w:tab w:val="left" w:pos="0"/>
          <w:tab w:val="left" w:pos="851"/>
        </w:tabs>
        <w:suppressAutoHyphens/>
        <w:ind w:left="851"/>
        <w:rPr>
          <w:sz w:val="24"/>
          <w:szCs w:val="24"/>
        </w:rPr>
      </w:pPr>
      <w:r>
        <w:rPr>
          <w:spacing w:val="-2"/>
          <w:sz w:val="24"/>
          <w:szCs w:val="24"/>
        </w:rPr>
        <w:t>Den maksimale totaldosis til behandling af s</w:t>
      </w:r>
      <w:r>
        <w:rPr>
          <w:sz w:val="24"/>
          <w:szCs w:val="24"/>
          <w:lang w:eastAsia="de-DE"/>
        </w:rPr>
        <w:t xml:space="preserve">pasticitet af overekstremitet bør ikke overstige </w:t>
      </w:r>
      <w:r>
        <w:rPr>
          <w:spacing w:val="-2"/>
          <w:sz w:val="24"/>
          <w:szCs w:val="24"/>
        </w:rPr>
        <w:t>500 enheder pr. behandlingsforløb, og der bør højst administreres 250 enheder i skuldermusklerne.</w:t>
      </w:r>
    </w:p>
    <w:p w:rsidR="0033400D" w:rsidRDefault="0033400D" w:rsidP="0033400D">
      <w:pPr>
        <w:ind w:left="851"/>
        <w:rPr>
          <w:sz w:val="24"/>
          <w:szCs w:val="24"/>
          <w:lang w:eastAsia="de-DE"/>
        </w:rPr>
      </w:pPr>
      <w:r>
        <w:rPr>
          <w:sz w:val="24"/>
          <w:szCs w:val="24"/>
          <w:lang w:eastAsia="de-DE"/>
        </w:rPr>
        <w:t xml:space="preserve">Patienter rapporterede begyndende virkning 4 dage efter behandlingen. Den maksimale virkning i form af forbedret </w:t>
      </w:r>
      <w:proofErr w:type="spellStart"/>
      <w:r>
        <w:rPr>
          <w:sz w:val="24"/>
          <w:szCs w:val="24"/>
          <w:lang w:eastAsia="de-DE"/>
        </w:rPr>
        <w:t>muskeltonus</w:t>
      </w:r>
      <w:proofErr w:type="spellEnd"/>
      <w:r>
        <w:rPr>
          <w:sz w:val="24"/>
          <w:szCs w:val="24"/>
          <w:lang w:eastAsia="de-DE"/>
        </w:rPr>
        <w:t xml:space="preserve"> registreredes i løbet af 4 uger. Generelt holdt virkningen i 12 uger men kan imidlertid holde betydeligt længere eller kortere tid. Behandlingen bør generelt ikke gives hyppigere end hver 12. uge. Behandlingsintervaller fastsættes ud fra den enkelte patients aktuelle kliniske behov.</w:t>
      </w:r>
    </w:p>
    <w:p w:rsidR="0033400D" w:rsidRDefault="0033400D" w:rsidP="0033400D">
      <w:pPr>
        <w:ind w:left="851"/>
        <w:rPr>
          <w:sz w:val="24"/>
          <w:szCs w:val="24"/>
          <w:lang w:eastAsia="de-DE"/>
        </w:rPr>
      </w:pPr>
    </w:p>
    <w:p w:rsidR="00183DD0" w:rsidRPr="00FF3346" w:rsidRDefault="00183DD0" w:rsidP="00183DD0">
      <w:pPr>
        <w:ind w:left="851"/>
        <w:rPr>
          <w:bCs/>
          <w:i/>
          <w:sz w:val="24"/>
          <w:szCs w:val="24"/>
          <w:lang w:eastAsia="de-DE"/>
        </w:rPr>
      </w:pPr>
      <w:r w:rsidRPr="00FF3346">
        <w:rPr>
          <w:bCs/>
          <w:i/>
          <w:sz w:val="24"/>
          <w:szCs w:val="24"/>
          <w:lang w:eastAsia="de-DE"/>
        </w:rPr>
        <w:t xml:space="preserve">Kronisk </w:t>
      </w:r>
      <w:proofErr w:type="spellStart"/>
      <w:r w:rsidRPr="00FF3346">
        <w:rPr>
          <w:bCs/>
          <w:i/>
          <w:sz w:val="24"/>
          <w:szCs w:val="24"/>
          <w:lang w:eastAsia="de-DE"/>
        </w:rPr>
        <w:t>hypersalivation</w:t>
      </w:r>
      <w:proofErr w:type="spellEnd"/>
      <w:r w:rsidRPr="00FF3346">
        <w:rPr>
          <w:bCs/>
          <w:i/>
          <w:sz w:val="24"/>
          <w:szCs w:val="24"/>
          <w:lang w:eastAsia="de-DE"/>
        </w:rPr>
        <w:t xml:space="preserve"> (voksne)</w:t>
      </w:r>
    </w:p>
    <w:p w:rsidR="0033400D" w:rsidRDefault="0033400D" w:rsidP="0033400D">
      <w:pPr>
        <w:ind w:left="851"/>
        <w:rPr>
          <w:sz w:val="24"/>
          <w:szCs w:val="24"/>
          <w:lang w:eastAsia="en-GB"/>
        </w:rPr>
      </w:pPr>
      <w:r>
        <w:rPr>
          <w:sz w:val="24"/>
          <w:szCs w:val="24"/>
          <w:lang w:eastAsia="de-DE"/>
        </w:rPr>
        <w:t xml:space="preserve">Der bør anvendes en </w:t>
      </w:r>
      <w:proofErr w:type="spellStart"/>
      <w:r>
        <w:rPr>
          <w:sz w:val="24"/>
          <w:szCs w:val="24"/>
          <w:lang w:eastAsia="de-DE"/>
        </w:rPr>
        <w:t>rekonstitueret</w:t>
      </w:r>
      <w:proofErr w:type="spellEnd"/>
      <w:r>
        <w:rPr>
          <w:sz w:val="24"/>
          <w:szCs w:val="24"/>
          <w:lang w:eastAsia="de-DE"/>
        </w:rPr>
        <w:t xml:space="preserve"> opløsning med en koncentration på </w:t>
      </w:r>
      <w:r>
        <w:rPr>
          <w:sz w:val="24"/>
          <w:szCs w:val="24"/>
          <w:lang w:eastAsia="en-GB"/>
        </w:rPr>
        <w:t>5 enheder/0,1 ml.</w:t>
      </w:r>
    </w:p>
    <w:p w:rsidR="0033400D" w:rsidRDefault="0033400D" w:rsidP="0033400D">
      <w:pPr>
        <w:ind w:left="851"/>
        <w:rPr>
          <w:sz w:val="24"/>
          <w:szCs w:val="24"/>
          <w:lang w:eastAsia="de-DE"/>
        </w:rPr>
      </w:pPr>
    </w:p>
    <w:p w:rsidR="0033400D" w:rsidRDefault="0033400D" w:rsidP="0033400D">
      <w:pPr>
        <w:ind w:left="851"/>
        <w:rPr>
          <w:rStyle w:val="trns-org-res"/>
        </w:rPr>
      </w:pPr>
      <w:proofErr w:type="spellStart"/>
      <w:r>
        <w:rPr>
          <w:rStyle w:val="trns-org-res"/>
          <w:szCs w:val="24"/>
        </w:rPr>
        <w:lastRenderedPageBreak/>
        <w:t>Xeomin</w:t>
      </w:r>
      <w:proofErr w:type="spellEnd"/>
      <w:r>
        <w:rPr>
          <w:rStyle w:val="trns-org-res"/>
          <w:szCs w:val="24"/>
        </w:rPr>
        <w:t xml:space="preserve"> injiceres i </w:t>
      </w:r>
      <w:proofErr w:type="spellStart"/>
      <w:r>
        <w:rPr>
          <w:rStyle w:val="trns-org-res"/>
          <w:szCs w:val="24"/>
        </w:rPr>
        <w:t>glandula</w:t>
      </w:r>
      <w:proofErr w:type="spellEnd"/>
      <w:r>
        <w:rPr>
          <w:rStyle w:val="trns-org-res"/>
          <w:szCs w:val="24"/>
        </w:rPr>
        <w:t xml:space="preserve"> </w:t>
      </w:r>
      <w:proofErr w:type="spellStart"/>
      <w:r>
        <w:rPr>
          <w:rStyle w:val="trns-org-res"/>
          <w:szCs w:val="24"/>
        </w:rPr>
        <w:t>parotidea</w:t>
      </w:r>
      <w:proofErr w:type="spellEnd"/>
      <w:r>
        <w:rPr>
          <w:rStyle w:val="trns-org-res"/>
          <w:szCs w:val="24"/>
        </w:rPr>
        <w:t xml:space="preserve"> og </w:t>
      </w:r>
      <w:proofErr w:type="spellStart"/>
      <w:r>
        <w:rPr>
          <w:rStyle w:val="trns-org-res"/>
          <w:szCs w:val="24"/>
        </w:rPr>
        <w:t>glandula</w:t>
      </w:r>
      <w:proofErr w:type="spellEnd"/>
      <w:r>
        <w:rPr>
          <w:rStyle w:val="trns-org-res"/>
          <w:szCs w:val="24"/>
        </w:rPr>
        <w:t xml:space="preserve"> </w:t>
      </w:r>
      <w:proofErr w:type="spellStart"/>
      <w:r>
        <w:rPr>
          <w:rStyle w:val="trns-org-res"/>
          <w:szCs w:val="24"/>
        </w:rPr>
        <w:t>submandibularis</w:t>
      </w:r>
      <w:proofErr w:type="spellEnd"/>
      <w:r>
        <w:rPr>
          <w:rStyle w:val="trns-org-res"/>
          <w:szCs w:val="24"/>
        </w:rPr>
        <w:t xml:space="preserve"> på begge sider (i alt fire injektioner pr. behandling). Dosis opdeles i forholdet 3:2 mellem </w:t>
      </w:r>
      <w:proofErr w:type="spellStart"/>
      <w:r>
        <w:rPr>
          <w:rStyle w:val="trns-org-res"/>
          <w:szCs w:val="24"/>
        </w:rPr>
        <w:t>glandula</w:t>
      </w:r>
      <w:proofErr w:type="spellEnd"/>
      <w:r>
        <w:rPr>
          <w:rStyle w:val="trns-org-res"/>
          <w:szCs w:val="24"/>
        </w:rPr>
        <w:t xml:space="preserve"> </w:t>
      </w:r>
      <w:proofErr w:type="spellStart"/>
      <w:r>
        <w:rPr>
          <w:rStyle w:val="trns-org-res"/>
          <w:szCs w:val="24"/>
        </w:rPr>
        <w:t>parotidea</w:t>
      </w:r>
      <w:proofErr w:type="spellEnd"/>
      <w:r>
        <w:rPr>
          <w:rStyle w:val="trns-org-res"/>
          <w:szCs w:val="24"/>
        </w:rPr>
        <w:t xml:space="preserve"> og </w:t>
      </w:r>
      <w:proofErr w:type="spellStart"/>
      <w:r>
        <w:rPr>
          <w:rStyle w:val="trns-org-res"/>
          <w:szCs w:val="24"/>
        </w:rPr>
        <w:t>glandula</w:t>
      </w:r>
      <w:proofErr w:type="spellEnd"/>
      <w:r>
        <w:rPr>
          <w:rStyle w:val="trns-org-res"/>
          <w:szCs w:val="24"/>
        </w:rPr>
        <w:t xml:space="preserve"> </w:t>
      </w:r>
      <w:proofErr w:type="spellStart"/>
      <w:r>
        <w:rPr>
          <w:rStyle w:val="trns-org-res"/>
          <w:szCs w:val="24"/>
        </w:rPr>
        <w:t>submandibularis</w:t>
      </w:r>
      <w:proofErr w:type="spellEnd"/>
      <w:r>
        <w:rPr>
          <w:rStyle w:val="trns-org-res"/>
          <w:szCs w:val="24"/>
        </w:rPr>
        <w:t xml:space="preserve"> som følger:</w:t>
      </w:r>
    </w:p>
    <w:p w:rsidR="0033400D" w:rsidRDefault="0033400D" w:rsidP="0033400D">
      <w:pPr>
        <w:rPr>
          <w:rStyle w:val="trns-org-res"/>
          <w:szCs w:val="24"/>
        </w:rPr>
      </w:pPr>
    </w:p>
    <w:tbl>
      <w:tblPr>
        <w:tblStyle w:val="Tabellenraster1"/>
        <w:tblW w:w="0" w:type="auto"/>
        <w:tblInd w:w="871" w:type="dxa"/>
        <w:tblLook w:val="04A0" w:firstRow="1" w:lastRow="0" w:firstColumn="1" w:lastColumn="0" w:noHBand="0" w:noVBand="1"/>
      </w:tblPr>
      <w:tblGrid>
        <w:gridCol w:w="2810"/>
        <w:gridCol w:w="2152"/>
        <w:gridCol w:w="2864"/>
      </w:tblGrid>
      <w:tr w:rsidR="0033400D" w:rsidTr="00183DD0">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3261A0">
            <w:pPr>
              <w:keepNext/>
              <w:jc w:val="center"/>
            </w:pPr>
            <w:proofErr w:type="spellStart"/>
            <w:r>
              <w:rPr>
                <w:sz w:val="24"/>
                <w:szCs w:val="24"/>
              </w:rPr>
              <w:t>Kirtel</w:t>
            </w:r>
            <w:proofErr w:type="spellEnd"/>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3261A0">
            <w:pPr>
              <w:keepNext/>
              <w:jc w:val="center"/>
              <w:rPr>
                <w:sz w:val="24"/>
                <w:szCs w:val="24"/>
              </w:rPr>
            </w:pPr>
            <w:proofErr w:type="spellStart"/>
            <w:r>
              <w:rPr>
                <w:sz w:val="24"/>
                <w:szCs w:val="24"/>
              </w:rPr>
              <w:t>Enheder</w:t>
            </w:r>
            <w:proofErr w:type="spellEnd"/>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3261A0">
            <w:pPr>
              <w:keepNext/>
              <w:jc w:val="center"/>
              <w:rPr>
                <w:sz w:val="24"/>
                <w:szCs w:val="24"/>
              </w:rPr>
            </w:pPr>
            <w:proofErr w:type="spellStart"/>
            <w:r>
              <w:rPr>
                <w:sz w:val="24"/>
                <w:szCs w:val="24"/>
              </w:rPr>
              <w:t>Mængde</w:t>
            </w:r>
            <w:proofErr w:type="spellEnd"/>
          </w:p>
        </w:tc>
      </w:tr>
      <w:tr w:rsidR="0033400D" w:rsidTr="00183DD0">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3261A0">
            <w:pPr>
              <w:keepNext/>
              <w:rPr>
                <w:sz w:val="24"/>
                <w:szCs w:val="24"/>
              </w:rPr>
            </w:pPr>
            <w:proofErr w:type="spellStart"/>
            <w:r>
              <w:rPr>
                <w:rStyle w:val="trns-org-res"/>
                <w:szCs w:val="24"/>
              </w:rPr>
              <w:t>Glandula</w:t>
            </w:r>
            <w:proofErr w:type="spellEnd"/>
            <w:r>
              <w:rPr>
                <w:rStyle w:val="trns-org-res"/>
                <w:szCs w:val="24"/>
              </w:rPr>
              <w:t xml:space="preserve"> </w:t>
            </w:r>
            <w:proofErr w:type="spellStart"/>
            <w:r>
              <w:rPr>
                <w:rStyle w:val="trns-org-res"/>
                <w:szCs w:val="24"/>
              </w:rPr>
              <w:t>parotidea</w:t>
            </w:r>
            <w:proofErr w:type="spellEnd"/>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3261A0">
            <w:pPr>
              <w:keepNext/>
              <w:rPr>
                <w:sz w:val="24"/>
                <w:szCs w:val="24"/>
              </w:rPr>
            </w:pPr>
            <w:r>
              <w:rPr>
                <w:sz w:val="24"/>
                <w:szCs w:val="24"/>
              </w:rPr>
              <w:t>30 per side</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3261A0">
            <w:pPr>
              <w:keepNext/>
              <w:rPr>
                <w:sz w:val="24"/>
                <w:szCs w:val="24"/>
              </w:rPr>
            </w:pPr>
            <w:r>
              <w:rPr>
                <w:sz w:val="24"/>
                <w:szCs w:val="24"/>
              </w:rPr>
              <w:t xml:space="preserve">0,6 ml per </w:t>
            </w:r>
            <w:proofErr w:type="spellStart"/>
            <w:r>
              <w:rPr>
                <w:sz w:val="24"/>
                <w:szCs w:val="24"/>
              </w:rPr>
              <w:t>injektion</w:t>
            </w:r>
            <w:proofErr w:type="spellEnd"/>
          </w:p>
        </w:tc>
      </w:tr>
      <w:tr w:rsidR="0033400D" w:rsidTr="00183DD0">
        <w:tc>
          <w:tcPr>
            <w:tcW w:w="2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183DD0">
            <w:pPr>
              <w:rPr>
                <w:sz w:val="24"/>
                <w:szCs w:val="24"/>
              </w:rPr>
            </w:pPr>
            <w:proofErr w:type="spellStart"/>
            <w:r>
              <w:rPr>
                <w:rStyle w:val="trns-org-res"/>
                <w:szCs w:val="24"/>
              </w:rPr>
              <w:t>Glandula</w:t>
            </w:r>
            <w:proofErr w:type="spellEnd"/>
            <w:r>
              <w:rPr>
                <w:rStyle w:val="trns-org-res"/>
                <w:szCs w:val="24"/>
              </w:rPr>
              <w:t xml:space="preserve"> </w:t>
            </w:r>
            <w:proofErr w:type="spellStart"/>
            <w:r>
              <w:rPr>
                <w:rStyle w:val="trns-org-res"/>
                <w:szCs w:val="24"/>
              </w:rPr>
              <w:t>submandibularis</w:t>
            </w:r>
            <w:proofErr w:type="spellEnd"/>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183DD0">
            <w:pPr>
              <w:rPr>
                <w:sz w:val="24"/>
                <w:szCs w:val="24"/>
              </w:rPr>
            </w:pPr>
            <w:r>
              <w:rPr>
                <w:sz w:val="24"/>
                <w:szCs w:val="24"/>
              </w:rPr>
              <w:t>20 per side</w:t>
            </w:r>
          </w:p>
        </w:tc>
        <w:tc>
          <w:tcPr>
            <w:tcW w:w="28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400D" w:rsidRDefault="0033400D" w:rsidP="00183DD0">
            <w:pPr>
              <w:rPr>
                <w:sz w:val="24"/>
                <w:szCs w:val="24"/>
              </w:rPr>
            </w:pPr>
            <w:r>
              <w:rPr>
                <w:sz w:val="24"/>
                <w:szCs w:val="24"/>
              </w:rPr>
              <w:t xml:space="preserve">0,4 ml per </w:t>
            </w:r>
            <w:proofErr w:type="spellStart"/>
            <w:r>
              <w:rPr>
                <w:sz w:val="24"/>
                <w:szCs w:val="24"/>
              </w:rPr>
              <w:t>injektion</w:t>
            </w:r>
            <w:proofErr w:type="spellEnd"/>
          </w:p>
        </w:tc>
      </w:tr>
    </w:tbl>
    <w:p w:rsidR="0033400D" w:rsidRDefault="0033400D" w:rsidP="0033400D">
      <w:pPr>
        <w:rPr>
          <w:sz w:val="24"/>
          <w:szCs w:val="24"/>
          <w:lang w:eastAsia="de-DE"/>
        </w:rPr>
      </w:pPr>
    </w:p>
    <w:p w:rsidR="0033400D" w:rsidRDefault="0033400D" w:rsidP="0033400D">
      <w:pPr>
        <w:ind w:firstLine="851"/>
        <w:rPr>
          <w:sz w:val="24"/>
          <w:szCs w:val="24"/>
          <w:lang w:eastAsia="de-DE"/>
        </w:rPr>
      </w:pPr>
      <w:r>
        <w:rPr>
          <w:sz w:val="24"/>
          <w:szCs w:val="24"/>
          <w:lang w:eastAsia="de-DE"/>
        </w:rPr>
        <w:t>Injektionsstedet skal være tæt på midten af kirtlen.</w:t>
      </w:r>
    </w:p>
    <w:p w:rsidR="0033400D" w:rsidRDefault="0033400D" w:rsidP="0033400D">
      <w:pPr>
        <w:ind w:left="851"/>
        <w:rPr>
          <w:sz w:val="24"/>
          <w:szCs w:val="24"/>
          <w:lang w:eastAsia="de-DE"/>
        </w:rPr>
      </w:pPr>
      <w:bookmarkStart w:id="2" w:name="_Hlk22628373"/>
    </w:p>
    <w:p w:rsidR="00183DD0" w:rsidRDefault="00183DD0" w:rsidP="00183DD0">
      <w:pPr>
        <w:ind w:left="851"/>
        <w:rPr>
          <w:sz w:val="24"/>
          <w:szCs w:val="24"/>
          <w:lang w:eastAsia="de-DE"/>
        </w:rPr>
      </w:pPr>
      <w:bookmarkStart w:id="3" w:name="_Hlk22628382"/>
      <w:bookmarkEnd w:id="2"/>
      <w:r>
        <w:rPr>
          <w:sz w:val="24"/>
          <w:szCs w:val="24"/>
          <w:lang w:eastAsia="de-DE"/>
        </w:rPr>
        <w:t xml:space="preserve">Den anbefalede dosis pr. behandling er 100 enheder. Denne maksimale dosis bør ikke overskrides. </w:t>
      </w:r>
    </w:p>
    <w:p w:rsidR="00183DD0" w:rsidRDefault="00183DD0" w:rsidP="00183DD0">
      <w:pPr>
        <w:ind w:left="851"/>
        <w:rPr>
          <w:sz w:val="24"/>
          <w:szCs w:val="24"/>
          <w:lang w:eastAsia="de-DE"/>
        </w:rPr>
      </w:pPr>
      <w:r>
        <w:rPr>
          <w:spacing w:val="-2"/>
          <w:sz w:val="24"/>
          <w:szCs w:val="24"/>
        </w:rPr>
        <w:t>Behandlingsintervaller fastsættes ud fra den enkelte patients aktuelle kliniske behov.</w:t>
      </w:r>
    </w:p>
    <w:p w:rsidR="00183DD0" w:rsidRDefault="00183DD0" w:rsidP="00183DD0">
      <w:pPr>
        <w:ind w:left="851"/>
        <w:rPr>
          <w:sz w:val="24"/>
          <w:szCs w:val="24"/>
          <w:lang w:eastAsia="de-DE"/>
        </w:rPr>
      </w:pPr>
      <w:bookmarkStart w:id="4" w:name="_Hlk22631068"/>
      <w:r>
        <w:rPr>
          <w:sz w:val="24"/>
          <w:szCs w:val="24"/>
          <w:lang w:eastAsia="de-DE"/>
        </w:rPr>
        <w:t>Behandlingen bør ikke gives hyppigere end hver 16. uge</w:t>
      </w:r>
      <w:r>
        <w:rPr>
          <w:spacing w:val="-2"/>
          <w:sz w:val="24"/>
          <w:szCs w:val="24"/>
        </w:rPr>
        <w:t>.</w:t>
      </w:r>
    </w:p>
    <w:bookmarkEnd w:id="3"/>
    <w:bookmarkEnd w:id="4"/>
    <w:p w:rsidR="00183DD0" w:rsidRDefault="00183DD0" w:rsidP="00183DD0">
      <w:pPr>
        <w:ind w:left="851"/>
        <w:rPr>
          <w:spacing w:val="-2"/>
          <w:sz w:val="24"/>
          <w:szCs w:val="24"/>
        </w:rPr>
      </w:pPr>
    </w:p>
    <w:p w:rsidR="00183DD0" w:rsidRPr="00FF3346" w:rsidRDefault="00183DD0" w:rsidP="00183DD0">
      <w:pPr>
        <w:suppressAutoHyphens/>
        <w:ind w:left="851"/>
        <w:rPr>
          <w:bCs/>
          <w:i/>
          <w:spacing w:val="-2"/>
          <w:sz w:val="24"/>
          <w:szCs w:val="24"/>
        </w:rPr>
      </w:pPr>
      <w:r w:rsidRPr="00FF3346">
        <w:rPr>
          <w:bCs/>
          <w:i/>
          <w:sz w:val="24"/>
          <w:szCs w:val="24"/>
          <w:lang w:eastAsia="de-DE"/>
        </w:rPr>
        <w:t xml:space="preserve">Kronisk </w:t>
      </w:r>
      <w:proofErr w:type="spellStart"/>
      <w:r w:rsidRPr="00FF3346">
        <w:rPr>
          <w:bCs/>
          <w:i/>
          <w:sz w:val="24"/>
          <w:szCs w:val="24"/>
          <w:lang w:eastAsia="de-DE"/>
        </w:rPr>
        <w:t>hypersalivation</w:t>
      </w:r>
      <w:proofErr w:type="spellEnd"/>
      <w:r w:rsidRPr="00FF3346">
        <w:rPr>
          <w:bCs/>
          <w:i/>
          <w:sz w:val="24"/>
          <w:szCs w:val="24"/>
          <w:lang w:eastAsia="de-DE"/>
        </w:rPr>
        <w:t xml:space="preserve"> </w:t>
      </w:r>
      <w:r w:rsidRPr="00FF3346">
        <w:rPr>
          <w:bCs/>
          <w:i/>
          <w:spacing w:val="-2"/>
          <w:sz w:val="24"/>
          <w:szCs w:val="24"/>
        </w:rPr>
        <w:t>(børn/unge)</w:t>
      </w:r>
    </w:p>
    <w:p w:rsidR="00183DD0" w:rsidRPr="00DF7E53" w:rsidRDefault="00183DD0" w:rsidP="00183DD0">
      <w:pPr>
        <w:ind w:left="851"/>
        <w:rPr>
          <w:spacing w:val="-2"/>
          <w:sz w:val="24"/>
          <w:szCs w:val="24"/>
        </w:rPr>
      </w:pPr>
      <w:r>
        <w:rPr>
          <w:sz w:val="24"/>
          <w:szCs w:val="24"/>
          <w:lang w:eastAsia="de-DE"/>
        </w:rPr>
        <w:t xml:space="preserve">Der bør anvendes en </w:t>
      </w:r>
      <w:proofErr w:type="spellStart"/>
      <w:r>
        <w:rPr>
          <w:sz w:val="24"/>
          <w:szCs w:val="24"/>
          <w:lang w:eastAsia="de-DE"/>
        </w:rPr>
        <w:t>rekonstitueret</w:t>
      </w:r>
      <w:proofErr w:type="spellEnd"/>
      <w:r>
        <w:rPr>
          <w:sz w:val="24"/>
          <w:szCs w:val="24"/>
          <w:lang w:eastAsia="de-DE"/>
        </w:rPr>
        <w:t xml:space="preserve"> opløsning med en koncentration på </w:t>
      </w:r>
      <w:r w:rsidRPr="00DF7E53">
        <w:rPr>
          <w:spacing w:val="-2"/>
          <w:sz w:val="24"/>
          <w:szCs w:val="24"/>
        </w:rPr>
        <w:t>2</w:t>
      </w:r>
      <w:r>
        <w:rPr>
          <w:spacing w:val="-2"/>
          <w:sz w:val="24"/>
          <w:szCs w:val="24"/>
        </w:rPr>
        <w:t>,</w:t>
      </w:r>
      <w:r w:rsidRPr="00DF7E53">
        <w:rPr>
          <w:spacing w:val="-2"/>
          <w:sz w:val="24"/>
          <w:szCs w:val="24"/>
        </w:rPr>
        <w:t>5 </w:t>
      </w:r>
      <w:r>
        <w:rPr>
          <w:spacing w:val="-2"/>
          <w:sz w:val="24"/>
          <w:szCs w:val="24"/>
        </w:rPr>
        <w:t>enheder</w:t>
      </w:r>
      <w:r w:rsidRPr="00DF7E53">
        <w:rPr>
          <w:spacing w:val="-2"/>
          <w:sz w:val="24"/>
          <w:szCs w:val="24"/>
        </w:rPr>
        <w:t>/0</w:t>
      </w:r>
      <w:r>
        <w:rPr>
          <w:spacing w:val="-2"/>
          <w:sz w:val="24"/>
          <w:szCs w:val="24"/>
        </w:rPr>
        <w:t>,</w:t>
      </w:r>
      <w:r w:rsidRPr="00DF7E53">
        <w:rPr>
          <w:spacing w:val="-2"/>
          <w:sz w:val="24"/>
          <w:szCs w:val="24"/>
        </w:rPr>
        <w:t xml:space="preserve">1 ml. </w:t>
      </w:r>
    </w:p>
    <w:p w:rsidR="00183DD0" w:rsidRPr="00DF7E53" w:rsidRDefault="00183DD0" w:rsidP="00183DD0">
      <w:pPr>
        <w:ind w:left="851"/>
        <w:rPr>
          <w:spacing w:val="-2"/>
          <w:sz w:val="24"/>
          <w:szCs w:val="24"/>
        </w:rPr>
      </w:pPr>
    </w:p>
    <w:p w:rsidR="00183DD0" w:rsidRDefault="00183DD0" w:rsidP="00183DD0">
      <w:pPr>
        <w:ind w:left="851"/>
        <w:rPr>
          <w:rStyle w:val="trns-org-res"/>
          <w:szCs w:val="24"/>
        </w:rPr>
      </w:pPr>
      <w:proofErr w:type="spellStart"/>
      <w:r w:rsidRPr="00DF7E53">
        <w:rPr>
          <w:spacing w:val="-2"/>
          <w:sz w:val="24"/>
          <w:szCs w:val="24"/>
        </w:rPr>
        <w:t>X</w:t>
      </w:r>
      <w:r w:rsidRPr="009D7DB4">
        <w:rPr>
          <w:spacing w:val="-2"/>
          <w:sz w:val="24"/>
          <w:szCs w:val="24"/>
        </w:rPr>
        <w:t>eomin</w:t>
      </w:r>
      <w:proofErr w:type="spellEnd"/>
      <w:r w:rsidRPr="00DF7E53">
        <w:rPr>
          <w:spacing w:val="-2"/>
          <w:sz w:val="24"/>
          <w:szCs w:val="24"/>
        </w:rPr>
        <w:t xml:space="preserve"> </w:t>
      </w:r>
      <w:r w:rsidRPr="009D7DB4">
        <w:rPr>
          <w:rStyle w:val="trns-org-res"/>
          <w:szCs w:val="24"/>
        </w:rPr>
        <w:t>injiceres i</w:t>
      </w:r>
      <w:r w:rsidRPr="00DF7E53">
        <w:rPr>
          <w:spacing w:val="-2"/>
          <w:sz w:val="24"/>
          <w:szCs w:val="24"/>
        </w:rPr>
        <w:t xml:space="preserve"> </w:t>
      </w:r>
      <w:proofErr w:type="spellStart"/>
      <w:r>
        <w:rPr>
          <w:rStyle w:val="trns-org-res"/>
          <w:szCs w:val="24"/>
        </w:rPr>
        <w:t>glandula</w:t>
      </w:r>
      <w:proofErr w:type="spellEnd"/>
      <w:r>
        <w:rPr>
          <w:rStyle w:val="trns-org-res"/>
          <w:szCs w:val="24"/>
        </w:rPr>
        <w:t xml:space="preserve"> </w:t>
      </w:r>
      <w:proofErr w:type="spellStart"/>
      <w:r>
        <w:rPr>
          <w:rStyle w:val="trns-org-res"/>
          <w:szCs w:val="24"/>
        </w:rPr>
        <w:t>parotidea</w:t>
      </w:r>
      <w:proofErr w:type="spellEnd"/>
      <w:r>
        <w:rPr>
          <w:rStyle w:val="trns-org-res"/>
          <w:szCs w:val="24"/>
        </w:rPr>
        <w:t xml:space="preserve"> og </w:t>
      </w:r>
      <w:proofErr w:type="spellStart"/>
      <w:r>
        <w:rPr>
          <w:rStyle w:val="trns-org-res"/>
          <w:szCs w:val="24"/>
        </w:rPr>
        <w:t>glandula</w:t>
      </w:r>
      <w:proofErr w:type="spellEnd"/>
      <w:r>
        <w:rPr>
          <w:rStyle w:val="trns-org-res"/>
          <w:szCs w:val="24"/>
        </w:rPr>
        <w:t xml:space="preserve"> </w:t>
      </w:r>
      <w:proofErr w:type="spellStart"/>
      <w:r>
        <w:rPr>
          <w:rStyle w:val="trns-org-res"/>
          <w:szCs w:val="24"/>
        </w:rPr>
        <w:t>submandibularis</w:t>
      </w:r>
      <w:proofErr w:type="spellEnd"/>
      <w:r>
        <w:rPr>
          <w:rStyle w:val="trns-org-res"/>
          <w:szCs w:val="24"/>
        </w:rPr>
        <w:t xml:space="preserve"> på begge sider (i alt fire injektioner pr. behandling). Den vægtjusterede dosis opdeles i forholdet 3:2 mellem </w:t>
      </w:r>
      <w:proofErr w:type="spellStart"/>
      <w:r>
        <w:rPr>
          <w:rStyle w:val="trns-org-res"/>
          <w:szCs w:val="24"/>
        </w:rPr>
        <w:t>glandula</w:t>
      </w:r>
      <w:proofErr w:type="spellEnd"/>
      <w:r>
        <w:rPr>
          <w:rStyle w:val="trns-org-res"/>
          <w:szCs w:val="24"/>
        </w:rPr>
        <w:t xml:space="preserve"> </w:t>
      </w:r>
      <w:proofErr w:type="spellStart"/>
      <w:r>
        <w:rPr>
          <w:rStyle w:val="trns-org-res"/>
          <w:szCs w:val="24"/>
        </w:rPr>
        <w:t>parotidea</w:t>
      </w:r>
      <w:proofErr w:type="spellEnd"/>
      <w:r>
        <w:rPr>
          <w:rStyle w:val="trns-org-res"/>
          <w:szCs w:val="24"/>
        </w:rPr>
        <w:t xml:space="preserve"> og </w:t>
      </w:r>
      <w:proofErr w:type="spellStart"/>
      <w:r>
        <w:rPr>
          <w:rStyle w:val="trns-org-res"/>
          <w:szCs w:val="24"/>
        </w:rPr>
        <w:t>glandula</w:t>
      </w:r>
      <w:proofErr w:type="spellEnd"/>
      <w:r>
        <w:rPr>
          <w:rStyle w:val="trns-org-res"/>
          <w:szCs w:val="24"/>
        </w:rPr>
        <w:t xml:space="preserve"> </w:t>
      </w:r>
      <w:proofErr w:type="spellStart"/>
      <w:r>
        <w:rPr>
          <w:rStyle w:val="trns-org-res"/>
          <w:szCs w:val="24"/>
        </w:rPr>
        <w:t>submandibularis</w:t>
      </w:r>
      <w:proofErr w:type="spellEnd"/>
      <w:r>
        <w:rPr>
          <w:rStyle w:val="trns-org-res"/>
          <w:szCs w:val="24"/>
        </w:rPr>
        <w:t xml:space="preserve"> som vist i nedenstående tabel.</w:t>
      </w:r>
    </w:p>
    <w:p w:rsidR="00183DD0" w:rsidRDefault="00183DD0" w:rsidP="00183DD0">
      <w:pPr>
        <w:ind w:left="851"/>
        <w:rPr>
          <w:rStyle w:val="trns-org-res"/>
          <w:szCs w:val="24"/>
        </w:rPr>
      </w:pPr>
    </w:p>
    <w:p w:rsidR="00183DD0" w:rsidRDefault="00183DD0" w:rsidP="00183DD0">
      <w:pPr>
        <w:ind w:left="851"/>
        <w:rPr>
          <w:rStyle w:val="trns-org-res"/>
          <w:szCs w:val="24"/>
        </w:rPr>
      </w:pPr>
      <w:r w:rsidRPr="00F426B1">
        <w:rPr>
          <w:rStyle w:val="trns-org-res"/>
          <w:szCs w:val="24"/>
        </w:rPr>
        <w:t>Der kan ikke gives dosisanbefalinger til børn, der vejer mindre end 12 kg.</w:t>
      </w:r>
    </w:p>
    <w:p w:rsidR="00183DD0" w:rsidRDefault="00183DD0" w:rsidP="00183DD0">
      <w:pPr>
        <w:ind w:left="851"/>
        <w:rPr>
          <w:rStyle w:val="trns-org-res"/>
          <w:szCs w:val="24"/>
        </w:rPr>
      </w:pPr>
    </w:p>
    <w:tbl>
      <w:tblPr>
        <w:tblW w:w="8206" w:type="dxa"/>
        <w:tblInd w:w="14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6" w:type="dxa"/>
          <w:right w:w="56" w:type="dxa"/>
        </w:tblCellMar>
        <w:tblLook w:val="0600" w:firstRow="0" w:lastRow="0" w:firstColumn="0" w:lastColumn="0" w:noHBand="1" w:noVBand="1"/>
      </w:tblPr>
      <w:tblGrid>
        <w:gridCol w:w="1701"/>
        <w:gridCol w:w="1134"/>
        <w:gridCol w:w="1305"/>
        <w:gridCol w:w="1304"/>
        <w:gridCol w:w="1304"/>
        <w:gridCol w:w="1458"/>
      </w:tblGrid>
      <w:tr w:rsidR="00183DD0" w:rsidRPr="00D0528A" w:rsidTr="00183DD0">
        <w:trPr>
          <w:cantSplit/>
        </w:trPr>
        <w:tc>
          <w:tcPr>
            <w:tcW w:w="1701" w:type="dxa"/>
            <w:vMerge w:val="restart"/>
            <w:shd w:val="clear" w:color="auto" w:fill="EEECE1"/>
            <w:tcMar>
              <w:top w:w="15" w:type="dxa"/>
              <w:left w:w="15" w:type="dxa"/>
              <w:bottom w:w="0" w:type="dxa"/>
              <w:right w:w="15" w:type="dxa"/>
            </w:tcMar>
            <w:vAlign w:val="center"/>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Pr>
                <w:b/>
                <w:bCs/>
                <w:sz w:val="24"/>
                <w:szCs w:val="24"/>
                <w:lang w:val="en-GB"/>
              </w:rPr>
              <w:t>Kropsvægt</w:t>
            </w:r>
            <w:proofErr w:type="spellEnd"/>
          </w:p>
        </w:tc>
        <w:tc>
          <w:tcPr>
            <w:tcW w:w="2439" w:type="dxa"/>
            <w:gridSpan w:val="2"/>
            <w:tcBorders>
              <w:bottom w:val="single" w:sz="8" w:space="0" w:color="auto"/>
            </w:tcBorders>
            <w:shd w:val="clear" w:color="auto" w:fill="EEECE1"/>
            <w:tcMar>
              <w:top w:w="15" w:type="dxa"/>
              <w:left w:w="15" w:type="dxa"/>
              <w:bottom w:w="0" w:type="dxa"/>
              <w:right w:w="15" w:type="dxa"/>
            </w:tcMar>
            <w:vAlign w:val="center"/>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sidRPr="00DF7E53">
              <w:rPr>
                <w:rStyle w:val="trns-org-res"/>
                <w:b/>
                <w:bCs/>
                <w:szCs w:val="24"/>
                <w:lang w:val="en-US"/>
              </w:rPr>
              <w:t>Glandula</w:t>
            </w:r>
            <w:proofErr w:type="spellEnd"/>
            <w:r w:rsidRPr="00DF7E53">
              <w:rPr>
                <w:rStyle w:val="trns-org-res"/>
                <w:b/>
                <w:bCs/>
                <w:szCs w:val="24"/>
                <w:lang w:val="en-US"/>
              </w:rPr>
              <w:t xml:space="preserve"> </w:t>
            </w:r>
            <w:proofErr w:type="spellStart"/>
            <w:r w:rsidRPr="00DF7E53">
              <w:rPr>
                <w:rStyle w:val="trns-org-res"/>
                <w:b/>
                <w:bCs/>
                <w:szCs w:val="24"/>
                <w:lang w:val="en-US"/>
              </w:rPr>
              <w:t>parotidea</w:t>
            </w:r>
            <w:proofErr w:type="spellEnd"/>
            <w:r w:rsidRPr="00DF7E53">
              <w:rPr>
                <w:b/>
                <w:bCs/>
                <w:sz w:val="24"/>
                <w:szCs w:val="24"/>
                <w:lang w:val="en-GB"/>
              </w:rPr>
              <w:t>,</w:t>
            </w:r>
            <w:r w:rsidRPr="00DF7E53">
              <w:rPr>
                <w:b/>
                <w:bCs/>
                <w:sz w:val="24"/>
                <w:szCs w:val="24"/>
                <w:lang w:val="en-GB"/>
              </w:rPr>
              <w:br/>
            </w:r>
            <w:proofErr w:type="spellStart"/>
            <w:r>
              <w:rPr>
                <w:b/>
                <w:bCs/>
                <w:sz w:val="24"/>
                <w:szCs w:val="24"/>
                <w:lang w:val="en-GB"/>
              </w:rPr>
              <w:t>hver</w:t>
            </w:r>
            <w:proofErr w:type="spellEnd"/>
            <w:r>
              <w:rPr>
                <w:b/>
                <w:bCs/>
                <w:sz w:val="24"/>
                <w:szCs w:val="24"/>
                <w:lang w:val="en-GB"/>
              </w:rPr>
              <w:t xml:space="preserve"> side</w:t>
            </w:r>
          </w:p>
        </w:tc>
        <w:tc>
          <w:tcPr>
            <w:tcW w:w="2608" w:type="dxa"/>
            <w:gridSpan w:val="2"/>
            <w:tcBorders>
              <w:bottom w:val="single" w:sz="8" w:space="0" w:color="auto"/>
              <w:right w:val="single" w:sz="8" w:space="0" w:color="auto"/>
            </w:tcBorders>
            <w:shd w:val="clear" w:color="auto" w:fill="EEECE1"/>
            <w:tcMar>
              <w:top w:w="15" w:type="dxa"/>
              <w:left w:w="15" w:type="dxa"/>
              <w:bottom w:w="0" w:type="dxa"/>
              <w:right w:w="15" w:type="dxa"/>
            </w:tcMar>
            <w:vAlign w:val="center"/>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sidRPr="00DF7E53">
              <w:rPr>
                <w:rStyle w:val="trns-org-res"/>
                <w:b/>
                <w:bCs/>
                <w:szCs w:val="24"/>
                <w:lang w:val="en-US"/>
              </w:rPr>
              <w:t>Glandula</w:t>
            </w:r>
            <w:proofErr w:type="spellEnd"/>
            <w:r w:rsidRPr="00DF7E53">
              <w:rPr>
                <w:rStyle w:val="trns-org-res"/>
                <w:b/>
                <w:bCs/>
                <w:szCs w:val="24"/>
                <w:lang w:val="en-US"/>
              </w:rPr>
              <w:t xml:space="preserve"> </w:t>
            </w:r>
            <w:proofErr w:type="spellStart"/>
            <w:r w:rsidRPr="00DF7E53">
              <w:rPr>
                <w:rStyle w:val="trns-org-res"/>
                <w:b/>
                <w:bCs/>
                <w:szCs w:val="24"/>
                <w:lang w:val="en-US"/>
              </w:rPr>
              <w:t>submandibularis</w:t>
            </w:r>
            <w:proofErr w:type="spellEnd"/>
            <w:r w:rsidRPr="00DF7E53">
              <w:rPr>
                <w:b/>
                <w:bCs/>
                <w:sz w:val="24"/>
                <w:szCs w:val="24"/>
                <w:lang w:val="en-GB"/>
              </w:rPr>
              <w:t>,</w:t>
            </w:r>
            <w:r w:rsidRPr="00DF7E53">
              <w:rPr>
                <w:b/>
                <w:bCs/>
                <w:sz w:val="24"/>
                <w:szCs w:val="24"/>
                <w:lang w:val="en-GB"/>
              </w:rPr>
              <w:br/>
            </w:r>
            <w:proofErr w:type="spellStart"/>
            <w:r>
              <w:rPr>
                <w:b/>
                <w:bCs/>
                <w:sz w:val="24"/>
                <w:szCs w:val="24"/>
                <w:lang w:val="en-GB"/>
              </w:rPr>
              <w:t>hver</w:t>
            </w:r>
            <w:proofErr w:type="spellEnd"/>
            <w:r>
              <w:rPr>
                <w:b/>
                <w:bCs/>
                <w:sz w:val="24"/>
                <w:szCs w:val="24"/>
                <w:lang w:val="en-GB"/>
              </w:rPr>
              <w:t xml:space="preserve"> side</w:t>
            </w:r>
          </w:p>
        </w:tc>
        <w:tc>
          <w:tcPr>
            <w:tcW w:w="1458" w:type="dxa"/>
            <w:vMerge w:val="restart"/>
            <w:tcBorders>
              <w:right w:val="single" w:sz="8" w:space="0" w:color="auto"/>
            </w:tcBorders>
            <w:shd w:val="clear" w:color="auto" w:fill="EEECE1"/>
            <w:vAlign w:val="center"/>
          </w:tcPr>
          <w:p w:rsidR="00183DD0" w:rsidRPr="00DF7E53" w:rsidRDefault="00183DD0" w:rsidP="00183DD0">
            <w:pPr>
              <w:keepNext/>
              <w:tabs>
                <w:tab w:val="left" w:pos="567"/>
              </w:tabs>
              <w:suppressAutoHyphens/>
              <w:autoSpaceDN w:val="0"/>
              <w:jc w:val="center"/>
              <w:textAlignment w:val="baseline"/>
              <w:rPr>
                <w:b/>
                <w:bCs/>
                <w:sz w:val="24"/>
                <w:szCs w:val="24"/>
              </w:rPr>
            </w:pPr>
            <w:r w:rsidRPr="00DF7E53">
              <w:rPr>
                <w:b/>
                <w:bCs/>
                <w:sz w:val="24"/>
                <w:szCs w:val="24"/>
              </w:rPr>
              <w:t xml:space="preserve">Total dosis, begge kirtler, </w:t>
            </w:r>
            <w:r>
              <w:rPr>
                <w:b/>
                <w:bCs/>
                <w:sz w:val="24"/>
                <w:szCs w:val="24"/>
              </w:rPr>
              <w:t>hver</w:t>
            </w:r>
            <w:r w:rsidRPr="00DF7E53">
              <w:rPr>
                <w:b/>
                <w:bCs/>
                <w:sz w:val="24"/>
                <w:szCs w:val="24"/>
              </w:rPr>
              <w:t xml:space="preserve"> side</w:t>
            </w:r>
          </w:p>
        </w:tc>
      </w:tr>
      <w:tr w:rsidR="00183DD0" w:rsidRPr="00D0528A" w:rsidTr="00183DD0">
        <w:trPr>
          <w:cantSplit/>
        </w:trPr>
        <w:tc>
          <w:tcPr>
            <w:tcW w:w="1701" w:type="dxa"/>
            <w:vMerge/>
            <w:shd w:val="clear" w:color="auto" w:fill="EEECE1"/>
            <w:tcMar>
              <w:top w:w="15" w:type="dxa"/>
              <w:left w:w="15" w:type="dxa"/>
              <w:bottom w:w="0" w:type="dxa"/>
              <w:right w:w="15" w:type="dxa"/>
            </w:tcMar>
            <w:vAlign w:val="bottom"/>
          </w:tcPr>
          <w:p w:rsidR="00183DD0" w:rsidRPr="00DF7E53" w:rsidRDefault="00183DD0" w:rsidP="00183DD0">
            <w:pPr>
              <w:keepNext/>
              <w:tabs>
                <w:tab w:val="left" w:pos="567"/>
              </w:tabs>
              <w:suppressAutoHyphens/>
              <w:autoSpaceDN w:val="0"/>
              <w:jc w:val="center"/>
              <w:textAlignment w:val="baseline"/>
              <w:rPr>
                <w:b/>
                <w:sz w:val="24"/>
                <w:szCs w:val="24"/>
              </w:rPr>
            </w:pPr>
          </w:p>
        </w:tc>
        <w:tc>
          <w:tcPr>
            <w:tcW w:w="1134" w:type="dxa"/>
            <w:tcBorders>
              <w:bottom w:val="single" w:sz="4" w:space="0" w:color="auto"/>
            </w:tcBorders>
            <w:shd w:val="clear" w:color="auto" w:fill="EEECE1"/>
            <w:tcMar>
              <w:top w:w="15" w:type="dxa"/>
              <w:left w:w="15" w:type="dxa"/>
              <w:bottom w:w="0" w:type="dxa"/>
              <w:right w:w="15" w:type="dxa"/>
            </w:tcMar>
            <w:vAlign w:val="bottom"/>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sidRPr="00DF7E53">
              <w:rPr>
                <w:b/>
                <w:bCs/>
                <w:sz w:val="24"/>
                <w:szCs w:val="24"/>
                <w:lang w:val="en-GB"/>
              </w:rPr>
              <w:t>Dos</w:t>
            </w:r>
            <w:r>
              <w:rPr>
                <w:b/>
                <w:bCs/>
                <w:sz w:val="24"/>
                <w:szCs w:val="24"/>
                <w:lang w:val="en-GB"/>
              </w:rPr>
              <w:t>is</w:t>
            </w:r>
            <w:proofErr w:type="spellEnd"/>
            <w:r w:rsidRPr="00DF7E53">
              <w:rPr>
                <w:b/>
                <w:bCs/>
                <w:sz w:val="24"/>
                <w:szCs w:val="24"/>
                <w:lang w:val="en-GB"/>
              </w:rPr>
              <w:t xml:space="preserve"> pr</w:t>
            </w:r>
            <w:r>
              <w:rPr>
                <w:b/>
                <w:bCs/>
                <w:sz w:val="24"/>
                <w:szCs w:val="24"/>
                <w:lang w:val="en-GB"/>
              </w:rPr>
              <w:t xml:space="preserve">. </w:t>
            </w:r>
            <w:proofErr w:type="spellStart"/>
            <w:r>
              <w:rPr>
                <w:b/>
                <w:bCs/>
                <w:sz w:val="24"/>
                <w:szCs w:val="24"/>
                <w:lang w:val="en-GB"/>
              </w:rPr>
              <w:t>kirtel</w:t>
            </w:r>
            <w:proofErr w:type="spellEnd"/>
          </w:p>
        </w:tc>
        <w:tc>
          <w:tcPr>
            <w:tcW w:w="1305" w:type="dxa"/>
            <w:tcBorders>
              <w:bottom w:val="single" w:sz="4" w:space="0" w:color="auto"/>
            </w:tcBorders>
            <w:shd w:val="clear" w:color="auto" w:fill="EEECE1"/>
            <w:tcMar>
              <w:top w:w="15" w:type="dxa"/>
              <w:left w:w="15" w:type="dxa"/>
              <w:bottom w:w="0" w:type="dxa"/>
              <w:right w:w="15" w:type="dxa"/>
            </w:tcMar>
            <w:vAlign w:val="bottom"/>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sidRPr="00DF7E53">
              <w:rPr>
                <w:b/>
                <w:bCs/>
                <w:sz w:val="24"/>
                <w:szCs w:val="24"/>
                <w:lang w:val="en-GB"/>
              </w:rPr>
              <w:t>Volume</w:t>
            </w:r>
            <w:r>
              <w:rPr>
                <w:b/>
                <w:bCs/>
                <w:sz w:val="24"/>
                <w:szCs w:val="24"/>
                <w:lang w:val="en-GB"/>
              </w:rPr>
              <w:t>n</w:t>
            </w:r>
            <w:proofErr w:type="spellEnd"/>
            <w:r w:rsidRPr="00DF7E53">
              <w:rPr>
                <w:b/>
                <w:bCs/>
                <w:sz w:val="24"/>
                <w:szCs w:val="24"/>
                <w:lang w:val="en-GB"/>
              </w:rPr>
              <w:t xml:space="preserve"> pr</w:t>
            </w:r>
            <w:r>
              <w:rPr>
                <w:b/>
                <w:bCs/>
                <w:sz w:val="24"/>
                <w:szCs w:val="24"/>
                <w:lang w:val="en-GB"/>
              </w:rPr>
              <w:t>.</w:t>
            </w:r>
            <w:r w:rsidRPr="00DF7E53">
              <w:rPr>
                <w:b/>
                <w:bCs/>
                <w:sz w:val="24"/>
                <w:szCs w:val="24"/>
                <w:lang w:val="en-GB"/>
              </w:rPr>
              <w:t xml:space="preserve"> </w:t>
            </w:r>
            <w:proofErr w:type="spellStart"/>
            <w:r w:rsidRPr="00DF7E53">
              <w:rPr>
                <w:b/>
                <w:bCs/>
                <w:sz w:val="24"/>
                <w:szCs w:val="24"/>
                <w:lang w:val="en-GB"/>
              </w:rPr>
              <w:t>inje</w:t>
            </w:r>
            <w:r>
              <w:rPr>
                <w:b/>
                <w:bCs/>
                <w:sz w:val="24"/>
                <w:szCs w:val="24"/>
                <w:lang w:val="en-GB"/>
              </w:rPr>
              <w:t>k</w:t>
            </w:r>
            <w:r w:rsidRPr="00DF7E53">
              <w:rPr>
                <w:b/>
                <w:bCs/>
                <w:sz w:val="24"/>
                <w:szCs w:val="24"/>
                <w:lang w:val="en-GB"/>
              </w:rPr>
              <w:t>tion</w:t>
            </w:r>
            <w:proofErr w:type="spellEnd"/>
          </w:p>
        </w:tc>
        <w:tc>
          <w:tcPr>
            <w:tcW w:w="1304" w:type="dxa"/>
            <w:tcBorders>
              <w:bottom w:val="single" w:sz="4" w:space="0" w:color="auto"/>
            </w:tcBorders>
            <w:shd w:val="clear" w:color="auto" w:fill="EEECE1"/>
            <w:tcMar>
              <w:top w:w="15" w:type="dxa"/>
              <w:left w:w="15" w:type="dxa"/>
              <w:bottom w:w="0" w:type="dxa"/>
              <w:right w:w="15" w:type="dxa"/>
            </w:tcMar>
            <w:vAlign w:val="bottom"/>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sidRPr="00140795">
              <w:rPr>
                <w:b/>
                <w:bCs/>
                <w:sz w:val="24"/>
                <w:szCs w:val="24"/>
                <w:lang w:val="en-GB"/>
              </w:rPr>
              <w:t>Dos</w:t>
            </w:r>
            <w:r>
              <w:rPr>
                <w:b/>
                <w:bCs/>
                <w:sz w:val="24"/>
                <w:szCs w:val="24"/>
                <w:lang w:val="en-GB"/>
              </w:rPr>
              <w:t>is</w:t>
            </w:r>
            <w:proofErr w:type="spellEnd"/>
            <w:r w:rsidRPr="00140795">
              <w:rPr>
                <w:b/>
                <w:bCs/>
                <w:sz w:val="24"/>
                <w:szCs w:val="24"/>
                <w:lang w:val="en-GB"/>
              </w:rPr>
              <w:t xml:space="preserve"> pr</w:t>
            </w:r>
            <w:r>
              <w:rPr>
                <w:b/>
                <w:bCs/>
                <w:sz w:val="24"/>
                <w:szCs w:val="24"/>
                <w:lang w:val="en-GB"/>
              </w:rPr>
              <w:t xml:space="preserve">. </w:t>
            </w:r>
            <w:proofErr w:type="spellStart"/>
            <w:r>
              <w:rPr>
                <w:b/>
                <w:bCs/>
                <w:sz w:val="24"/>
                <w:szCs w:val="24"/>
                <w:lang w:val="en-GB"/>
              </w:rPr>
              <w:t>kirtel</w:t>
            </w:r>
            <w:proofErr w:type="spellEnd"/>
          </w:p>
        </w:tc>
        <w:tc>
          <w:tcPr>
            <w:tcW w:w="1304" w:type="dxa"/>
            <w:tcBorders>
              <w:bottom w:val="single" w:sz="4" w:space="0" w:color="auto"/>
              <w:right w:val="single" w:sz="8" w:space="0" w:color="auto"/>
            </w:tcBorders>
            <w:shd w:val="clear" w:color="auto" w:fill="EEECE1"/>
            <w:tcMar>
              <w:top w:w="15" w:type="dxa"/>
              <w:left w:w="15" w:type="dxa"/>
              <w:bottom w:w="0" w:type="dxa"/>
              <w:right w:w="15" w:type="dxa"/>
            </w:tcMar>
            <w:vAlign w:val="bottom"/>
          </w:tcPr>
          <w:p w:rsidR="00183DD0" w:rsidRPr="00DF7E53" w:rsidRDefault="00183DD0" w:rsidP="00183DD0">
            <w:pPr>
              <w:keepNext/>
              <w:tabs>
                <w:tab w:val="left" w:pos="567"/>
              </w:tabs>
              <w:suppressAutoHyphens/>
              <w:autoSpaceDN w:val="0"/>
              <w:jc w:val="center"/>
              <w:textAlignment w:val="baseline"/>
              <w:rPr>
                <w:b/>
                <w:sz w:val="24"/>
                <w:szCs w:val="24"/>
                <w:lang w:val="en-GB"/>
              </w:rPr>
            </w:pPr>
            <w:proofErr w:type="spellStart"/>
            <w:r w:rsidRPr="00140795">
              <w:rPr>
                <w:b/>
                <w:bCs/>
                <w:sz w:val="24"/>
                <w:szCs w:val="24"/>
                <w:lang w:val="en-GB"/>
              </w:rPr>
              <w:t>Volume</w:t>
            </w:r>
            <w:r>
              <w:rPr>
                <w:b/>
                <w:bCs/>
                <w:sz w:val="24"/>
                <w:szCs w:val="24"/>
                <w:lang w:val="en-GB"/>
              </w:rPr>
              <w:t>n</w:t>
            </w:r>
            <w:proofErr w:type="spellEnd"/>
            <w:r w:rsidRPr="00140795">
              <w:rPr>
                <w:b/>
                <w:bCs/>
                <w:sz w:val="24"/>
                <w:szCs w:val="24"/>
                <w:lang w:val="en-GB"/>
              </w:rPr>
              <w:t xml:space="preserve"> pr</w:t>
            </w:r>
            <w:r>
              <w:rPr>
                <w:b/>
                <w:bCs/>
                <w:sz w:val="24"/>
                <w:szCs w:val="24"/>
                <w:lang w:val="en-GB"/>
              </w:rPr>
              <w:t>.</w:t>
            </w:r>
            <w:r w:rsidRPr="00140795">
              <w:rPr>
                <w:b/>
                <w:bCs/>
                <w:sz w:val="24"/>
                <w:szCs w:val="24"/>
                <w:lang w:val="en-GB"/>
              </w:rPr>
              <w:t xml:space="preserve"> </w:t>
            </w:r>
            <w:proofErr w:type="spellStart"/>
            <w:r w:rsidRPr="00140795">
              <w:rPr>
                <w:b/>
                <w:bCs/>
                <w:sz w:val="24"/>
                <w:szCs w:val="24"/>
                <w:lang w:val="en-GB"/>
              </w:rPr>
              <w:t>inje</w:t>
            </w:r>
            <w:r>
              <w:rPr>
                <w:b/>
                <w:bCs/>
                <w:sz w:val="24"/>
                <w:szCs w:val="24"/>
                <w:lang w:val="en-GB"/>
              </w:rPr>
              <w:t>k</w:t>
            </w:r>
            <w:r w:rsidRPr="00140795">
              <w:rPr>
                <w:b/>
                <w:bCs/>
                <w:sz w:val="24"/>
                <w:szCs w:val="24"/>
                <w:lang w:val="en-GB"/>
              </w:rPr>
              <w:t>tion</w:t>
            </w:r>
            <w:proofErr w:type="spellEnd"/>
          </w:p>
        </w:tc>
        <w:tc>
          <w:tcPr>
            <w:tcW w:w="1458" w:type="dxa"/>
            <w:vMerge/>
            <w:shd w:val="clear" w:color="auto" w:fill="EEECE1"/>
          </w:tcPr>
          <w:p w:rsidR="00183DD0" w:rsidRPr="00DF7E53" w:rsidRDefault="00183DD0" w:rsidP="00183DD0">
            <w:pPr>
              <w:keepNext/>
              <w:tabs>
                <w:tab w:val="left" w:pos="567"/>
              </w:tabs>
              <w:suppressAutoHyphens/>
              <w:autoSpaceDN w:val="0"/>
              <w:jc w:val="center"/>
              <w:textAlignment w:val="baseline"/>
              <w:rPr>
                <w:b/>
                <w:bCs/>
                <w:sz w:val="24"/>
                <w:szCs w:val="24"/>
                <w:lang w:val="en-GB"/>
              </w:rPr>
            </w:pPr>
          </w:p>
        </w:tc>
      </w:tr>
      <w:tr w:rsidR="00183DD0" w:rsidRPr="00D0528A" w:rsidTr="00183DD0">
        <w:trPr>
          <w:cantSplit/>
        </w:trPr>
        <w:tc>
          <w:tcPr>
            <w:tcW w:w="1701" w:type="dxa"/>
            <w:tcBorders>
              <w:top w:val="nil"/>
              <w:bottom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[kg]</w:t>
            </w:r>
          </w:p>
        </w:tc>
        <w:tc>
          <w:tcPr>
            <w:tcW w:w="1134" w:type="dxa"/>
            <w:tcBorders>
              <w:top w:val="single" w:sz="4" w:space="0" w:color="auto"/>
              <w:bottom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w:t>
            </w:r>
            <w:proofErr w:type="spellStart"/>
            <w:r>
              <w:rPr>
                <w:bCs/>
                <w:sz w:val="24"/>
                <w:szCs w:val="24"/>
                <w:lang w:val="en-GB"/>
              </w:rPr>
              <w:t>Enheder</w:t>
            </w:r>
            <w:proofErr w:type="spellEnd"/>
            <w:r w:rsidRPr="00DF7E53">
              <w:rPr>
                <w:bCs/>
                <w:sz w:val="24"/>
                <w:szCs w:val="24"/>
                <w:lang w:val="en-GB"/>
              </w:rPr>
              <w:t>]</w:t>
            </w:r>
          </w:p>
        </w:tc>
        <w:tc>
          <w:tcPr>
            <w:tcW w:w="1305" w:type="dxa"/>
            <w:tcBorders>
              <w:top w:val="single" w:sz="4" w:space="0" w:color="auto"/>
              <w:bottom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[ml]</w:t>
            </w:r>
          </w:p>
        </w:tc>
        <w:tc>
          <w:tcPr>
            <w:tcW w:w="1304" w:type="dxa"/>
            <w:tcBorders>
              <w:top w:val="single" w:sz="4" w:space="0" w:color="auto"/>
              <w:bottom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w:t>
            </w:r>
            <w:proofErr w:type="spellStart"/>
            <w:r>
              <w:rPr>
                <w:bCs/>
                <w:sz w:val="24"/>
                <w:szCs w:val="24"/>
                <w:lang w:val="en-GB"/>
              </w:rPr>
              <w:t>Enheder</w:t>
            </w:r>
            <w:proofErr w:type="spellEnd"/>
            <w:r w:rsidRPr="00DF7E53">
              <w:rPr>
                <w:bCs/>
                <w:sz w:val="24"/>
                <w:szCs w:val="24"/>
                <w:lang w:val="en-GB"/>
              </w:rPr>
              <w:t>]</w:t>
            </w:r>
          </w:p>
        </w:tc>
        <w:tc>
          <w:tcPr>
            <w:tcW w:w="1304" w:type="dxa"/>
            <w:tcBorders>
              <w:top w:val="single" w:sz="4" w:space="0" w:color="auto"/>
              <w:bottom w:val="single" w:sz="8" w:space="0" w:color="auto"/>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[ml]</w:t>
            </w:r>
          </w:p>
        </w:tc>
        <w:tc>
          <w:tcPr>
            <w:tcW w:w="1458" w:type="dxa"/>
            <w:tcBorders>
              <w:top w:val="nil"/>
              <w:bottom w:val="single" w:sz="8" w:space="0" w:color="auto"/>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w:t>
            </w:r>
            <w:proofErr w:type="spellStart"/>
            <w:r>
              <w:rPr>
                <w:bCs/>
                <w:sz w:val="24"/>
                <w:szCs w:val="24"/>
                <w:lang w:val="en-GB"/>
              </w:rPr>
              <w:t>Enheder</w:t>
            </w:r>
            <w:proofErr w:type="spellEnd"/>
            <w:r w:rsidRPr="00DF7E53">
              <w:rPr>
                <w:bCs/>
                <w:sz w:val="24"/>
                <w:szCs w:val="24"/>
                <w:lang w:val="en-GB"/>
              </w:rPr>
              <w:t>]</w:t>
            </w:r>
          </w:p>
        </w:tc>
      </w:tr>
      <w:tr w:rsidR="00183DD0" w:rsidRPr="00D0528A" w:rsidTr="00183DD0">
        <w:trPr>
          <w:cantSplit/>
        </w:trPr>
        <w:tc>
          <w:tcPr>
            <w:tcW w:w="1701" w:type="dxa"/>
            <w:tcBorders>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 xml:space="preserve">≥ 12 </w:t>
            </w:r>
            <w:proofErr w:type="spellStart"/>
            <w:r>
              <w:rPr>
                <w:bCs/>
                <w:sz w:val="24"/>
                <w:szCs w:val="24"/>
                <w:lang w:val="en-GB"/>
              </w:rPr>
              <w:t>og</w:t>
            </w:r>
            <w:proofErr w:type="spellEnd"/>
            <w:r w:rsidRPr="00DF7E53">
              <w:rPr>
                <w:bCs/>
                <w:sz w:val="24"/>
                <w:szCs w:val="24"/>
                <w:lang w:val="en-GB"/>
              </w:rPr>
              <w:t xml:space="preserve"> &lt; 15</w:t>
            </w:r>
          </w:p>
        </w:tc>
        <w:tc>
          <w:tcPr>
            <w:tcW w:w="1134" w:type="dxa"/>
            <w:tcBorders>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6</w:t>
            </w:r>
          </w:p>
        </w:tc>
        <w:tc>
          <w:tcPr>
            <w:tcW w:w="1305" w:type="dxa"/>
            <w:tcBorders>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24</w:t>
            </w:r>
          </w:p>
        </w:tc>
        <w:tc>
          <w:tcPr>
            <w:tcW w:w="1304" w:type="dxa"/>
            <w:tcBorders>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4</w:t>
            </w:r>
          </w:p>
        </w:tc>
        <w:tc>
          <w:tcPr>
            <w:tcW w:w="1304" w:type="dxa"/>
            <w:tcBorders>
              <w:bottom w:val="single" w:sz="8" w:space="0" w:color="C0C0C0"/>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16</w:t>
            </w:r>
          </w:p>
        </w:tc>
        <w:tc>
          <w:tcPr>
            <w:tcW w:w="1458" w:type="dxa"/>
            <w:tcBorders>
              <w:bottom w:val="single" w:sz="8" w:space="0" w:color="C0C0C0"/>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20</w:t>
            </w:r>
          </w:p>
        </w:tc>
      </w:tr>
      <w:tr w:rsidR="00183DD0" w:rsidRPr="00D0528A" w:rsidTr="00183DD0">
        <w:trPr>
          <w:cantSplit/>
        </w:trPr>
        <w:tc>
          <w:tcPr>
            <w:tcW w:w="1701"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 xml:space="preserve">≥ 15 </w:t>
            </w:r>
            <w:proofErr w:type="spellStart"/>
            <w:r>
              <w:rPr>
                <w:bCs/>
                <w:sz w:val="24"/>
                <w:szCs w:val="24"/>
                <w:lang w:val="en-GB"/>
              </w:rPr>
              <w:t>og</w:t>
            </w:r>
            <w:proofErr w:type="spellEnd"/>
            <w:r w:rsidRPr="00DF7E53">
              <w:rPr>
                <w:bCs/>
                <w:sz w:val="24"/>
                <w:szCs w:val="24"/>
                <w:lang w:val="en-GB"/>
              </w:rPr>
              <w:t xml:space="preserve"> &lt; 19</w:t>
            </w:r>
          </w:p>
        </w:tc>
        <w:tc>
          <w:tcPr>
            <w:tcW w:w="1134"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9</w:t>
            </w:r>
          </w:p>
        </w:tc>
        <w:tc>
          <w:tcPr>
            <w:tcW w:w="1305"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36</w:t>
            </w:r>
          </w:p>
        </w:tc>
        <w:tc>
          <w:tcPr>
            <w:tcW w:w="1304"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6</w:t>
            </w:r>
          </w:p>
        </w:tc>
        <w:tc>
          <w:tcPr>
            <w:tcW w:w="1304" w:type="dxa"/>
            <w:tcBorders>
              <w:top w:val="single" w:sz="8" w:space="0" w:color="C0C0C0"/>
              <w:bottom w:val="single" w:sz="8" w:space="0" w:color="C0C0C0"/>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24</w:t>
            </w:r>
          </w:p>
        </w:tc>
        <w:tc>
          <w:tcPr>
            <w:tcW w:w="1458" w:type="dxa"/>
            <w:tcBorders>
              <w:top w:val="single" w:sz="8" w:space="0" w:color="C0C0C0"/>
              <w:bottom w:val="single" w:sz="8" w:space="0" w:color="C0C0C0"/>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30</w:t>
            </w:r>
          </w:p>
        </w:tc>
      </w:tr>
      <w:tr w:rsidR="00183DD0" w:rsidRPr="00D0528A" w:rsidTr="00183DD0">
        <w:trPr>
          <w:cantSplit/>
        </w:trPr>
        <w:tc>
          <w:tcPr>
            <w:tcW w:w="1701"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 xml:space="preserve">≥ 19 </w:t>
            </w:r>
            <w:proofErr w:type="spellStart"/>
            <w:r>
              <w:rPr>
                <w:bCs/>
                <w:sz w:val="24"/>
                <w:szCs w:val="24"/>
                <w:lang w:val="en-GB"/>
              </w:rPr>
              <w:t>og</w:t>
            </w:r>
            <w:proofErr w:type="spellEnd"/>
            <w:r w:rsidRPr="00DF7E53">
              <w:rPr>
                <w:bCs/>
                <w:sz w:val="24"/>
                <w:szCs w:val="24"/>
                <w:lang w:val="en-GB"/>
              </w:rPr>
              <w:t xml:space="preserve"> &lt; 23</w:t>
            </w:r>
          </w:p>
        </w:tc>
        <w:tc>
          <w:tcPr>
            <w:tcW w:w="1134"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12</w:t>
            </w:r>
          </w:p>
        </w:tc>
        <w:tc>
          <w:tcPr>
            <w:tcW w:w="1305"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48</w:t>
            </w:r>
          </w:p>
        </w:tc>
        <w:tc>
          <w:tcPr>
            <w:tcW w:w="1304"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8</w:t>
            </w:r>
          </w:p>
        </w:tc>
        <w:tc>
          <w:tcPr>
            <w:tcW w:w="1304" w:type="dxa"/>
            <w:tcBorders>
              <w:top w:val="single" w:sz="8" w:space="0" w:color="C0C0C0"/>
              <w:bottom w:val="single" w:sz="8" w:space="0" w:color="C0C0C0"/>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32</w:t>
            </w:r>
          </w:p>
        </w:tc>
        <w:tc>
          <w:tcPr>
            <w:tcW w:w="1458" w:type="dxa"/>
            <w:tcBorders>
              <w:top w:val="single" w:sz="8" w:space="0" w:color="C0C0C0"/>
              <w:bottom w:val="single" w:sz="8" w:space="0" w:color="C0C0C0"/>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40</w:t>
            </w:r>
          </w:p>
        </w:tc>
      </w:tr>
      <w:tr w:rsidR="00183DD0" w:rsidRPr="00D0528A" w:rsidTr="00183DD0">
        <w:trPr>
          <w:cantSplit/>
        </w:trPr>
        <w:tc>
          <w:tcPr>
            <w:tcW w:w="1701"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 xml:space="preserve">≥ 23 </w:t>
            </w:r>
            <w:proofErr w:type="spellStart"/>
            <w:r>
              <w:rPr>
                <w:bCs/>
                <w:sz w:val="24"/>
                <w:szCs w:val="24"/>
                <w:lang w:val="en-GB"/>
              </w:rPr>
              <w:t>og</w:t>
            </w:r>
            <w:proofErr w:type="spellEnd"/>
            <w:r w:rsidRPr="00DF7E53">
              <w:rPr>
                <w:bCs/>
                <w:sz w:val="24"/>
                <w:szCs w:val="24"/>
                <w:lang w:val="en-GB"/>
              </w:rPr>
              <w:t xml:space="preserve"> &lt; 27</w:t>
            </w:r>
          </w:p>
        </w:tc>
        <w:tc>
          <w:tcPr>
            <w:tcW w:w="1134"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15</w:t>
            </w:r>
          </w:p>
        </w:tc>
        <w:tc>
          <w:tcPr>
            <w:tcW w:w="1305"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60</w:t>
            </w:r>
          </w:p>
        </w:tc>
        <w:tc>
          <w:tcPr>
            <w:tcW w:w="1304"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10</w:t>
            </w:r>
          </w:p>
        </w:tc>
        <w:tc>
          <w:tcPr>
            <w:tcW w:w="1304" w:type="dxa"/>
            <w:tcBorders>
              <w:top w:val="single" w:sz="8" w:space="0" w:color="C0C0C0"/>
              <w:bottom w:val="single" w:sz="8" w:space="0" w:color="C0C0C0"/>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40</w:t>
            </w:r>
          </w:p>
        </w:tc>
        <w:tc>
          <w:tcPr>
            <w:tcW w:w="1458" w:type="dxa"/>
            <w:tcBorders>
              <w:top w:val="single" w:sz="8" w:space="0" w:color="C0C0C0"/>
              <w:bottom w:val="single" w:sz="8" w:space="0" w:color="C0C0C0"/>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50</w:t>
            </w:r>
          </w:p>
        </w:tc>
      </w:tr>
      <w:tr w:rsidR="00183DD0" w:rsidRPr="00D0528A" w:rsidTr="00183DD0">
        <w:trPr>
          <w:cantSplit/>
        </w:trPr>
        <w:tc>
          <w:tcPr>
            <w:tcW w:w="1701"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 xml:space="preserve">≥ 27 </w:t>
            </w:r>
            <w:proofErr w:type="spellStart"/>
            <w:r>
              <w:rPr>
                <w:bCs/>
                <w:sz w:val="24"/>
                <w:szCs w:val="24"/>
                <w:lang w:val="en-GB"/>
              </w:rPr>
              <w:t>og</w:t>
            </w:r>
            <w:proofErr w:type="spellEnd"/>
            <w:r w:rsidRPr="00DF7E53">
              <w:rPr>
                <w:bCs/>
                <w:sz w:val="24"/>
                <w:szCs w:val="24"/>
                <w:lang w:val="en-GB"/>
              </w:rPr>
              <w:t xml:space="preserve"> &lt; 30</w:t>
            </w:r>
          </w:p>
        </w:tc>
        <w:tc>
          <w:tcPr>
            <w:tcW w:w="1134" w:type="dxa"/>
            <w:tcBorders>
              <w:top w:val="single" w:sz="8" w:space="0" w:color="C0C0C0"/>
              <w:bottom w:val="single" w:sz="8" w:space="0" w:color="C0C0C0"/>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18</w:t>
            </w:r>
          </w:p>
        </w:tc>
        <w:tc>
          <w:tcPr>
            <w:tcW w:w="1305"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72</w:t>
            </w:r>
          </w:p>
        </w:tc>
        <w:tc>
          <w:tcPr>
            <w:tcW w:w="1304" w:type="dxa"/>
            <w:tcBorders>
              <w:top w:val="single" w:sz="8" w:space="0" w:color="C0C0C0"/>
              <w:bottom w:val="single" w:sz="8" w:space="0" w:color="C0C0C0"/>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12</w:t>
            </w:r>
          </w:p>
        </w:tc>
        <w:tc>
          <w:tcPr>
            <w:tcW w:w="1304" w:type="dxa"/>
            <w:tcBorders>
              <w:top w:val="single" w:sz="8" w:space="0" w:color="C0C0C0"/>
              <w:bottom w:val="single" w:sz="8" w:space="0" w:color="C0C0C0"/>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48</w:t>
            </w:r>
          </w:p>
        </w:tc>
        <w:tc>
          <w:tcPr>
            <w:tcW w:w="1458" w:type="dxa"/>
            <w:tcBorders>
              <w:top w:val="single" w:sz="8" w:space="0" w:color="C0C0C0"/>
              <w:bottom w:val="single" w:sz="8" w:space="0" w:color="C0C0C0"/>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60</w:t>
            </w:r>
          </w:p>
        </w:tc>
      </w:tr>
      <w:tr w:rsidR="00183DD0" w:rsidRPr="00D0528A" w:rsidTr="00183DD0">
        <w:trPr>
          <w:cantSplit/>
        </w:trPr>
        <w:tc>
          <w:tcPr>
            <w:tcW w:w="1701" w:type="dxa"/>
            <w:tcBorders>
              <w:top w:val="single" w:sz="8" w:space="0" w:color="C0C0C0"/>
              <w:bottom w:val="single" w:sz="4" w:space="0" w:color="auto"/>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 30</w:t>
            </w:r>
          </w:p>
        </w:tc>
        <w:tc>
          <w:tcPr>
            <w:tcW w:w="1134" w:type="dxa"/>
            <w:tcBorders>
              <w:top w:val="single" w:sz="8" w:space="0" w:color="C0C0C0"/>
              <w:bottom w:val="single" w:sz="4" w:space="0" w:color="auto"/>
            </w:tcBorders>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22</w:t>
            </w:r>
            <w:r>
              <w:rPr>
                <w:bCs/>
                <w:sz w:val="24"/>
                <w:szCs w:val="24"/>
                <w:lang w:val="en-GB"/>
              </w:rPr>
              <w:t>,</w:t>
            </w:r>
            <w:r w:rsidRPr="00DF7E53">
              <w:rPr>
                <w:bCs/>
                <w:sz w:val="24"/>
                <w:szCs w:val="24"/>
                <w:lang w:val="en-GB"/>
              </w:rPr>
              <w:t>5</w:t>
            </w:r>
          </w:p>
        </w:tc>
        <w:tc>
          <w:tcPr>
            <w:tcW w:w="1305" w:type="dxa"/>
            <w:tcBorders>
              <w:top w:val="single" w:sz="8" w:space="0" w:color="C0C0C0"/>
              <w:bottom w:val="single" w:sz="4"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90</w:t>
            </w:r>
          </w:p>
        </w:tc>
        <w:tc>
          <w:tcPr>
            <w:tcW w:w="1304" w:type="dxa"/>
            <w:tcBorders>
              <w:top w:val="single" w:sz="8" w:space="0" w:color="C0C0C0"/>
              <w:bottom w:val="single" w:sz="4"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15</w:t>
            </w:r>
          </w:p>
        </w:tc>
        <w:tc>
          <w:tcPr>
            <w:tcW w:w="1304" w:type="dxa"/>
            <w:tcBorders>
              <w:top w:val="single" w:sz="8" w:space="0" w:color="C0C0C0"/>
              <w:bottom w:val="single" w:sz="4" w:space="0" w:color="auto"/>
              <w:right w:val="single" w:sz="8" w:space="0" w:color="auto"/>
            </w:tcBorders>
            <w:shd w:val="clear" w:color="auto" w:fill="auto"/>
            <w:tcMar>
              <w:top w:w="15" w:type="dxa"/>
              <w:left w:w="15" w:type="dxa"/>
              <w:bottom w:w="0" w:type="dxa"/>
              <w:right w:w="15" w:type="dxa"/>
            </w:tcMar>
          </w:tcPr>
          <w:p w:rsidR="00183DD0" w:rsidRPr="00DF7E53" w:rsidRDefault="00183DD0" w:rsidP="00183DD0">
            <w:pPr>
              <w:keepNext/>
              <w:tabs>
                <w:tab w:val="left" w:pos="567"/>
              </w:tabs>
              <w:suppressAutoHyphens/>
              <w:autoSpaceDN w:val="0"/>
              <w:jc w:val="center"/>
              <w:textAlignment w:val="baseline"/>
              <w:rPr>
                <w:sz w:val="24"/>
                <w:szCs w:val="24"/>
                <w:lang w:val="en-GB"/>
              </w:rPr>
            </w:pPr>
            <w:r w:rsidRPr="00DF7E53">
              <w:rPr>
                <w:bCs/>
                <w:sz w:val="24"/>
                <w:szCs w:val="24"/>
                <w:lang w:val="en-GB"/>
              </w:rPr>
              <w:t>0</w:t>
            </w:r>
            <w:r>
              <w:rPr>
                <w:bCs/>
                <w:sz w:val="24"/>
                <w:szCs w:val="24"/>
                <w:lang w:val="en-GB"/>
              </w:rPr>
              <w:t>,</w:t>
            </w:r>
            <w:r w:rsidRPr="00DF7E53">
              <w:rPr>
                <w:bCs/>
                <w:sz w:val="24"/>
                <w:szCs w:val="24"/>
                <w:lang w:val="en-GB"/>
              </w:rPr>
              <w:t>60</w:t>
            </w:r>
          </w:p>
        </w:tc>
        <w:tc>
          <w:tcPr>
            <w:tcW w:w="1458" w:type="dxa"/>
            <w:tcBorders>
              <w:top w:val="single" w:sz="8" w:space="0" w:color="C0C0C0"/>
              <w:bottom w:val="single" w:sz="4" w:space="0" w:color="auto"/>
              <w:right w:val="single" w:sz="8" w:space="0" w:color="auto"/>
            </w:tcBorders>
          </w:tcPr>
          <w:p w:rsidR="00183DD0" w:rsidRPr="00DF7E53" w:rsidRDefault="00183DD0" w:rsidP="00183DD0">
            <w:pPr>
              <w:keepNext/>
              <w:tabs>
                <w:tab w:val="left" w:pos="567"/>
              </w:tabs>
              <w:suppressAutoHyphens/>
              <w:autoSpaceDN w:val="0"/>
              <w:jc w:val="center"/>
              <w:textAlignment w:val="baseline"/>
              <w:rPr>
                <w:bCs/>
                <w:sz w:val="24"/>
                <w:szCs w:val="24"/>
                <w:lang w:val="en-GB"/>
              </w:rPr>
            </w:pPr>
            <w:r w:rsidRPr="00DF7E53">
              <w:rPr>
                <w:bCs/>
                <w:sz w:val="24"/>
                <w:szCs w:val="24"/>
                <w:lang w:val="en-GB"/>
              </w:rPr>
              <w:t>75</w:t>
            </w:r>
          </w:p>
        </w:tc>
      </w:tr>
    </w:tbl>
    <w:p w:rsidR="00183DD0" w:rsidRDefault="00183DD0" w:rsidP="00183DD0">
      <w:pPr>
        <w:ind w:left="851"/>
        <w:rPr>
          <w:rStyle w:val="trns-org-res"/>
          <w:szCs w:val="24"/>
        </w:rPr>
      </w:pPr>
    </w:p>
    <w:p w:rsidR="00183DD0" w:rsidRDefault="00183DD0" w:rsidP="00183DD0">
      <w:pPr>
        <w:ind w:left="851"/>
        <w:rPr>
          <w:spacing w:val="-2"/>
          <w:sz w:val="24"/>
          <w:szCs w:val="24"/>
        </w:rPr>
      </w:pPr>
      <w:r w:rsidRPr="00830D08">
        <w:rPr>
          <w:spacing w:val="-2"/>
          <w:sz w:val="24"/>
          <w:szCs w:val="24"/>
        </w:rPr>
        <w:t>Injektionsstedet skal være tæt på midten af kirtlen.</w:t>
      </w:r>
    </w:p>
    <w:p w:rsidR="00183DD0" w:rsidRDefault="00183DD0" w:rsidP="00183DD0">
      <w:pPr>
        <w:ind w:left="851"/>
        <w:rPr>
          <w:spacing w:val="-2"/>
          <w:sz w:val="24"/>
          <w:szCs w:val="24"/>
        </w:rPr>
      </w:pPr>
    </w:p>
    <w:p w:rsidR="00183DD0" w:rsidRDefault="00183DD0" w:rsidP="00183DD0">
      <w:pPr>
        <w:ind w:left="851"/>
        <w:rPr>
          <w:sz w:val="24"/>
          <w:szCs w:val="24"/>
          <w:lang w:eastAsia="de-DE"/>
        </w:rPr>
      </w:pPr>
      <w:r>
        <w:rPr>
          <w:spacing w:val="-2"/>
          <w:sz w:val="24"/>
          <w:szCs w:val="24"/>
        </w:rPr>
        <w:t>Behandlingsintervaller fastsættes ud fra den enkelte patients aktuelle kliniske behov.</w:t>
      </w:r>
    </w:p>
    <w:p w:rsidR="00183DD0" w:rsidRPr="00FF3346" w:rsidRDefault="00183DD0" w:rsidP="00183DD0">
      <w:pPr>
        <w:ind w:left="851"/>
        <w:rPr>
          <w:rStyle w:val="trns-org-res"/>
          <w:spacing w:val="-2"/>
          <w:sz w:val="24"/>
          <w:szCs w:val="24"/>
        </w:rPr>
      </w:pPr>
      <w:r>
        <w:rPr>
          <w:sz w:val="24"/>
          <w:szCs w:val="24"/>
          <w:lang w:eastAsia="de-DE"/>
        </w:rPr>
        <w:t>Behandlingen bør ikke gives hyppigere end hver 16. uge</w:t>
      </w:r>
      <w:r>
        <w:rPr>
          <w:spacing w:val="-2"/>
          <w:sz w:val="24"/>
          <w:szCs w:val="24"/>
        </w:rPr>
        <w:t>.</w:t>
      </w:r>
    </w:p>
    <w:p w:rsidR="00183DD0" w:rsidRDefault="00183DD0" w:rsidP="00183DD0">
      <w:pPr>
        <w:suppressAutoHyphens/>
        <w:ind w:left="851" w:hanging="851"/>
        <w:rPr>
          <w:spacing w:val="-2"/>
          <w:sz w:val="24"/>
          <w:szCs w:val="24"/>
        </w:rPr>
      </w:pPr>
    </w:p>
    <w:p w:rsidR="00183DD0" w:rsidRPr="00FF3346" w:rsidRDefault="00183DD0" w:rsidP="00183DD0">
      <w:pPr>
        <w:suppressAutoHyphens/>
        <w:ind w:left="851"/>
        <w:rPr>
          <w:bCs/>
          <w:i/>
          <w:spacing w:val="-2"/>
          <w:sz w:val="24"/>
          <w:szCs w:val="24"/>
        </w:rPr>
      </w:pPr>
      <w:r w:rsidRPr="00FF3346">
        <w:rPr>
          <w:bCs/>
          <w:i/>
          <w:spacing w:val="-2"/>
          <w:sz w:val="24"/>
          <w:szCs w:val="24"/>
        </w:rPr>
        <w:t>Alle indikationer</w:t>
      </w:r>
    </w:p>
    <w:p w:rsidR="00183DD0" w:rsidRDefault="00183DD0" w:rsidP="00183DD0">
      <w:pPr>
        <w:suppressAutoHyphens/>
        <w:ind w:left="851"/>
        <w:rPr>
          <w:spacing w:val="-2"/>
          <w:sz w:val="24"/>
          <w:szCs w:val="24"/>
        </w:rPr>
      </w:pPr>
      <w:r>
        <w:rPr>
          <w:spacing w:val="-2"/>
          <w:sz w:val="24"/>
          <w:szCs w:val="24"/>
        </w:rPr>
        <w:t>Hvis der ikke opnås behandlingseffekt i løbet af en måned efter den initiale injektion, bør der tages følgende skridt:</w:t>
      </w:r>
    </w:p>
    <w:p w:rsidR="00183DD0" w:rsidRDefault="00183DD0" w:rsidP="00183DD0">
      <w:pPr>
        <w:suppressAutoHyphens/>
        <w:ind w:left="851"/>
        <w:rPr>
          <w:spacing w:val="-2"/>
          <w:sz w:val="24"/>
          <w:szCs w:val="24"/>
        </w:rPr>
      </w:pPr>
    </w:p>
    <w:p w:rsidR="00183DD0" w:rsidRDefault="00183DD0" w:rsidP="00183DD0">
      <w:pPr>
        <w:numPr>
          <w:ilvl w:val="0"/>
          <w:numId w:val="9"/>
        </w:numPr>
        <w:suppressAutoHyphens/>
        <w:snapToGrid w:val="0"/>
        <w:ind w:left="1418" w:hanging="567"/>
        <w:rPr>
          <w:sz w:val="24"/>
          <w:szCs w:val="24"/>
        </w:rPr>
      </w:pPr>
      <w:r>
        <w:rPr>
          <w:spacing w:val="-2"/>
          <w:sz w:val="24"/>
          <w:szCs w:val="24"/>
        </w:rPr>
        <w:t xml:space="preserve">klinisk verifikation af </w:t>
      </w:r>
      <w:proofErr w:type="spellStart"/>
      <w:r>
        <w:rPr>
          <w:spacing w:val="-2"/>
          <w:sz w:val="24"/>
          <w:szCs w:val="24"/>
        </w:rPr>
        <w:t>neurotoksinets</w:t>
      </w:r>
      <w:proofErr w:type="spellEnd"/>
      <w:r>
        <w:rPr>
          <w:spacing w:val="-2"/>
          <w:sz w:val="24"/>
          <w:szCs w:val="24"/>
        </w:rPr>
        <w:t xml:space="preserve"> virkning på den injicerede muskel: f.eks. en </w:t>
      </w:r>
      <w:proofErr w:type="spellStart"/>
      <w:r>
        <w:rPr>
          <w:spacing w:val="-2"/>
          <w:sz w:val="24"/>
          <w:szCs w:val="24"/>
        </w:rPr>
        <w:t>elektromyografisk</w:t>
      </w:r>
      <w:proofErr w:type="spellEnd"/>
      <w:r>
        <w:rPr>
          <w:spacing w:val="-2"/>
          <w:sz w:val="24"/>
          <w:szCs w:val="24"/>
        </w:rPr>
        <w:t xml:space="preserve"> undersøgelse på en specialafdeling</w:t>
      </w:r>
    </w:p>
    <w:p w:rsidR="00183DD0" w:rsidRDefault="00183DD0" w:rsidP="00183DD0">
      <w:pPr>
        <w:numPr>
          <w:ilvl w:val="0"/>
          <w:numId w:val="9"/>
        </w:numPr>
        <w:suppressAutoHyphens/>
        <w:snapToGrid w:val="0"/>
        <w:ind w:left="1418" w:hanging="567"/>
        <w:rPr>
          <w:spacing w:val="-2"/>
          <w:sz w:val="24"/>
          <w:szCs w:val="24"/>
        </w:rPr>
      </w:pPr>
      <w:r>
        <w:rPr>
          <w:spacing w:val="-2"/>
          <w:sz w:val="24"/>
          <w:szCs w:val="24"/>
        </w:rPr>
        <w:lastRenderedPageBreak/>
        <w:t xml:space="preserve">analyse af årsagerne til manglende respons, f.eks. dårlig isolation af de muskler, der skal injiceres, for lav dosis, dårlig injektionsteknik, fikseret </w:t>
      </w:r>
      <w:proofErr w:type="spellStart"/>
      <w:r>
        <w:rPr>
          <w:spacing w:val="-2"/>
          <w:sz w:val="24"/>
          <w:szCs w:val="24"/>
        </w:rPr>
        <w:t>kontraktur</w:t>
      </w:r>
      <w:proofErr w:type="spellEnd"/>
      <w:r>
        <w:rPr>
          <w:spacing w:val="-2"/>
          <w:sz w:val="24"/>
          <w:szCs w:val="24"/>
        </w:rPr>
        <w:t>, for svag antagonist, eventuel udvikling af antistoffer</w:t>
      </w:r>
    </w:p>
    <w:p w:rsidR="00183DD0" w:rsidRDefault="00183DD0" w:rsidP="00183DD0">
      <w:pPr>
        <w:numPr>
          <w:ilvl w:val="0"/>
          <w:numId w:val="9"/>
        </w:numPr>
        <w:suppressAutoHyphens/>
        <w:snapToGrid w:val="0"/>
        <w:ind w:left="1418" w:hanging="567"/>
        <w:rPr>
          <w:spacing w:val="-2"/>
          <w:sz w:val="24"/>
          <w:szCs w:val="24"/>
        </w:rPr>
      </w:pPr>
      <w:r>
        <w:rPr>
          <w:spacing w:val="-2"/>
          <w:sz w:val="24"/>
          <w:szCs w:val="24"/>
        </w:rPr>
        <w:t xml:space="preserve">revurdering af behandlingen med </w:t>
      </w:r>
      <w:proofErr w:type="spellStart"/>
      <w:r>
        <w:rPr>
          <w:spacing w:val="-2"/>
          <w:sz w:val="24"/>
          <w:szCs w:val="24"/>
        </w:rPr>
        <w:t>botulinum</w:t>
      </w:r>
      <w:proofErr w:type="spellEnd"/>
      <w:r>
        <w:rPr>
          <w:spacing w:val="-2"/>
          <w:sz w:val="24"/>
          <w:szCs w:val="24"/>
        </w:rPr>
        <w:t xml:space="preserve"> type A-</w:t>
      </w:r>
      <w:proofErr w:type="spellStart"/>
      <w:r>
        <w:rPr>
          <w:spacing w:val="-2"/>
          <w:sz w:val="24"/>
          <w:szCs w:val="24"/>
        </w:rPr>
        <w:t>neurotoksin</w:t>
      </w:r>
      <w:proofErr w:type="spellEnd"/>
      <w:r>
        <w:rPr>
          <w:spacing w:val="-2"/>
          <w:sz w:val="24"/>
          <w:szCs w:val="24"/>
        </w:rPr>
        <w:t xml:space="preserve"> som en adækvat behandling</w:t>
      </w:r>
    </w:p>
    <w:p w:rsidR="00183DD0" w:rsidRDefault="00183DD0" w:rsidP="00183DD0">
      <w:pPr>
        <w:numPr>
          <w:ilvl w:val="0"/>
          <w:numId w:val="9"/>
        </w:numPr>
        <w:suppressAutoHyphens/>
        <w:snapToGrid w:val="0"/>
        <w:ind w:left="1418" w:hanging="567"/>
        <w:rPr>
          <w:sz w:val="24"/>
          <w:szCs w:val="24"/>
        </w:rPr>
      </w:pPr>
      <w:r>
        <w:rPr>
          <w:spacing w:val="-2"/>
          <w:sz w:val="24"/>
          <w:szCs w:val="24"/>
        </w:rPr>
        <w:t xml:space="preserve">hvis der ikke er forekommet bivirkninger under den initiale behandling, kan der udføres yderligere et behandlingsforløb under følgende betingelser: 1) dosisjustering under hensyntagen til analyse af det seneste behandlingssvigt, 2) </w:t>
      </w:r>
      <w:r>
        <w:rPr>
          <w:sz w:val="24"/>
          <w:szCs w:val="24"/>
          <w:lang w:eastAsia="de-DE"/>
        </w:rPr>
        <w:t xml:space="preserve">lokalisering af de pågældende muskler med teknikker som f.eks. </w:t>
      </w:r>
      <w:proofErr w:type="spellStart"/>
      <w:r>
        <w:rPr>
          <w:sz w:val="24"/>
          <w:szCs w:val="24"/>
          <w:lang w:eastAsia="de-DE"/>
        </w:rPr>
        <w:t>elektromyografisk</w:t>
      </w:r>
      <w:proofErr w:type="spellEnd"/>
      <w:r>
        <w:rPr>
          <w:spacing w:val="-2"/>
          <w:sz w:val="24"/>
          <w:szCs w:val="24"/>
        </w:rPr>
        <w:t xml:space="preserve"> vejledning, 3) det anbefalede mindste interval mellem initial og gentaget behandling overholdes</w:t>
      </w:r>
    </w:p>
    <w:p w:rsidR="00183DD0" w:rsidRDefault="00183DD0" w:rsidP="00183DD0">
      <w:pPr>
        <w:suppressAutoHyphens/>
        <w:ind w:left="851" w:hanging="851"/>
        <w:rPr>
          <w:spacing w:val="-2"/>
          <w:sz w:val="24"/>
          <w:szCs w:val="24"/>
        </w:rPr>
      </w:pPr>
    </w:p>
    <w:p w:rsidR="00183DD0" w:rsidRPr="00FF3346" w:rsidRDefault="00183DD0" w:rsidP="00183DD0">
      <w:pPr>
        <w:ind w:left="851"/>
        <w:rPr>
          <w:i/>
          <w:sz w:val="24"/>
          <w:szCs w:val="24"/>
        </w:rPr>
      </w:pPr>
      <w:bookmarkStart w:id="5" w:name="_Hlk22628407"/>
      <w:bookmarkStart w:id="6" w:name="_Hlk23156977"/>
      <w:r w:rsidRPr="00FF3346">
        <w:rPr>
          <w:i/>
          <w:sz w:val="24"/>
          <w:szCs w:val="24"/>
        </w:rPr>
        <w:t>Pædiatrisk population</w:t>
      </w:r>
    </w:p>
    <w:p w:rsidR="00183DD0" w:rsidRDefault="00183DD0" w:rsidP="00183DD0">
      <w:pPr>
        <w:ind w:left="851"/>
        <w:rPr>
          <w:spacing w:val="-2"/>
          <w:sz w:val="24"/>
          <w:szCs w:val="24"/>
        </w:rPr>
      </w:pPr>
      <w:bookmarkStart w:id="7" w:name="_Hlk23155788"/>
      <w:proofErr w:type="spellStart"/>
      <w:r>
        <w:rPr>
          <w:sz w:val="24"/>
          <w:szCs w:val="24"/>
        </w:rPr>
        <w:t>Xeomins</w:t>
      </w:r>
      <w:proofErr w:type="spellEnd"/>
      <w:r>
        <w:rPr>
          <w:sz w:val="24"/>
          <w:szCs w:val="24"/>
        </w:rPr>
        <w:t xml:space="preserve"> sikkerhed og virkning til andre indikationer end den indikation, der er beskrevet til den pædiatriske population i pkt. 4.1, er ikke klarlagt. Der kan ikke gives nogen anbefalinger vedrørende dosering til andre indikationer end </w:t>
      </w:r>
      <w:r w:rsidRPr="00F32C74">
        <w:rPr>
          <w:spacing w:val="-2"/>
          <w:sz w:val="24"/>
          <w:szCs w:val="24"/>
        </w:rPr>
        <w:t xml:space="preserve">kronisk </w:t>
      </w:r>
      <w:proofErr w:type="spellStart"/>
      <w:r>
        <w:rPr>
          <w:spacing w:val="-2"/>
          <w:sz w:val="24"/>
          <w:szCs w:val="24"/>
        </w:rPr>
        <w:t>hypersalivation</w:t>
      </w:r>
      <w:proofErr w:type="spellEnd"/>
      <w:r>
        <w:rPr>
          <w:spacing w:val="-2"/>
          <w:sz w:val="24"/>
          <w:szCs w:val="24"/>
        </w:rPr>
        <w:t xml:space="preserve"> hos børn og unge i alderen 2-17 år, der vejer </w:t>
      </w:r>
      <w:r>
        <w:rPr>
          <w:spacing w:val="-2"/>
        </w:rPr>
        <w:t>≥ 12 kg.</w:t>
      </w:r>
      <w:r>
        <w:rPr>
          <w:sz w:val="24"/>
          <w:szCs w:val="24"/>
        </w:rPr>
        <w:t xml:space="preserve"> </w:t>
      </w:r>
    </w:p>
    <w:p w:rsidR="00183DD0" w:rsidRDefault="00183DD0" w:rsidP="00183DD0">
      <w:pPr>
        <w:ind w:left="851"/>
        <w:rPr>
          <w:sz w:val="24"/>
          <w:szCs w:val="24"/>
        </w:rPr>
      </w:pPr>
      <w:r>
        <w:rPr>
          <w:spacing w:val="-2"/>
          <w:sz w:val="24"/>
          <w:szCs w:val="24"/>
        </w:rPr>
        <w:t>De tilgængelige kliniske pædiatriske data er beskrevet i pkt. 5.1</w:t>
      </w:r>
      <w:r>
        <w:rPr>
          <w:sz w:val="24"/>
          <w:szCs w:val="24"/>
        </w:rPr>
        <w:t>.</w:t>
      </w:r>
    </w:p>
    <w:bookmarkEnd w:id="5"/>
    <w:p w:rsidR="00183DD0" w:rsidRDefault="00183DD0" w:rsidP="00183DD0">
      <w:pPr>
        <w:ind w:left="851"/>
        <w:rPr>
          <w:sz w:val="24"/>
          <w:szCs w:val="24"/>
        </w:rPr>
      </w:pPr>
    </w:p>
    <w:bookmarkEnd w:id="6"/>
    <w:bookmarkEnd w:id="7"/>
    <w:p w:rsidR="00183DD0" w:rsidRDefault="00183DD0" w:rsidP="00183DD0">
      <w:pPr>
        <w:ind w:left="851"/>
        <w:rPr>
          <w:sz w:val="24"/>
          <w:szCs w:val="24"/>
          <w:u w:val="single"/>
          <w:lang w:eastAsia="de-DE"/>
        </w:rPr>
      </w:pPr>
      <w:r>
        <w:rPr>
          <w:sz w:val="24"/>
          <w:szCs w:val="24"/>
          <w:u w:val="single"/>
          <w:lang w:eastAsia="de-DE"/>
        </w:rPr>
        <w:t>Administration</w:t>
      </w:r>
    </w:p>
    <w:p w:rsidR="00183DD0" w:rsidRDefault="00183DD0" w:rsidP="00183DD0">
      <w:pPr>
        <w:ind w:left="851"/>
        <w:rPr>
          <w:sz w:val="24"/>
          <w:szCs w:val="24"/>
          <w:lang w:eastAsia="de-DE"/>
        </w:rPr>
      </w:pPr>
    </w:p>
    <w:p w:rsidR="00183DD0" w:rsidRDefault="00183DD0" w:rsidP="00183DD0">
      <w:pPr>
        <w:ind w:left="851"/>
        <w:rPr>
          <w:i/>
          <w:sz w:val="24"/>
          <w:szCs w:val="24"/>
        </w:rPr>
      </w:pPr>
      <w:r>
        <w:rPr>
          <w:i/>
          <w:sz w:val="24"/>
          <w:szCs w:val="24"/>
        </w:rPr>
        <w:t>Alle indikationer</w:t>
      </w:r>
    </w:p>
    <w:p w:rsidR="00183DD0" w:rsidRDefault="00183DD0" w:rsidP="00183DD0">
      <w:pPr>
        <w:ind w:left="851"/>
        <w:rPr>
          <w:sz w:val="24"/>
          <w:szCs w:val="24"/>
          <w:lang w:eastAsia="de-DE"/>
        </w:rPr>
      </w:pPr>
      <w:r>
        <w:rPr>
          <w:sz w:val="24"/>
          <w:szCs w:val="24"/>
          <w:lang w:eastAsia="de-DE"/>
        </w:rPr>
        <w:t xml:space="preserve">Vedrørende vejledning i </w:t>
      </w:r>
      <w:proofErr w:type="spellStart"/>
      <w:r>
        <w:rPr>
          <w:sz w:val="24"/>
          <w:szCs w:val="24"/>
          <w:lang w:eastAsia="de-DE"/>
        </w:rPr>
        <w:t>rekonstitution</w:t>
      </w:r>
      <w:proofErr w:type="spellEnd"/>
      <w:r>
        <w:rPr>
          <w:sz w:val="24"/>
          <w:szCs w:val="24"/>
          <w:lang w:eastAsia="de-DE"/>
        </w:rPr>
        <w:t xml:space="preserve"> af lægemidlet før administration, se pkt. 6.6. Efter </w:t>
      </w:r>
      <w:proofErr w:type="spellStart"/>
      <w:r>
        <w:rPr>
          <w:sz w:val="24"/>
          <w:szCs w:val="24"/>
          <w:lang w:eastAsia="de-DE"/>
        </w:rPr>
        <w:t>rekonstitution</w:t>
      </w:r>
      <w:proofErr w:type="spellEnd"/>
      <w:r>
        <w:rPr>
          <w:sz w:val="24"/>
          <w:szCs w:val="24"/>
          <w:lang w:eastAsia="de-DE"/>
        </w:rPr>
        <w:t xml:space="preserve"> må </w:t>
      </w:r>
      <w:proofErr w:type="spellStart"/>
      <w:r>
        <w:rPr>
          <w:sz w:val="24"/>
          <w:szCs w:val="24"/>
          <w:lang w:eastAsia="de-DE"/>
        </w:rPr>
        <w:t>Xeomin</w:t>
      </w:r>
      <w:proofErr w:type="spellEnd"/>
      <w:r>
        <w:rPr>
          <w:sz w:val="24"/>
          <w:szCs w:val="24"/>
          <w:lang w:eastAsia="de-DE"/>
        </w:rPr>
        <w:t xml:space="preserve"> kun anvendes til et enkelt injektionsforløb og kun til én patient.</w:t>
      </w:r>
    </w:p>
    <w:p w:rsidR="00183DD0" w:rsidRDefault="00183DD0" w:rsidP="00183DD0">
      <w:pPr>
        <w:ind w:left="851"/>
        <w:rPr>
          <w:sz w:val="24"/>
          <w:szCs w:val="24"/>
          <w:lang w:eastAsia="de-DE"/>
        </w:rPr>
      </w:pPr>
    </w:p>
    <w:p w:rsidR="00183DD0" w:rsidRDefault="00183DD0" w:rsidP="00183DD0">
      <w:pPr>
        <w:ind w:left="851"/>
        <w:rPr>
          <w:sz w:val="24"/>
          <w:szCs w:val="24"/>
          <w:lang w:eastAsia="de-DE"/>
        </w:rPr>
      </w:pPr>
      <w:proofErr w:type="spellStart"/>
      <w:r>
        <w:rPr>
          <w:sz w:val="24"/>
          <w:szCs w:val="24"/>
          <w:lang w:eastAsia="de-DE"/>
        </w:rPr>
        <w:t>Xeomin</w:t>
      </w:r>
      <w:proofErr w:type="spellEnd"/>
      <w:r>
        <w:rPr>
          <w:sz w:val="24"/>
          <w:szCs w:val="24"/>
          <w:lang w:eastAsia="de-DE"/>
        </w:rPr>
        <w:t xml:space="preserve"> er beregnet til intramuskulær og </w:t>
      </w:r>
      <w:proofErr w:type="spellStart"/>
      <w:r>
        <w:rPr>
          <w:sz w:val="24"/>
          <w:szCs w:val="24"/>
          <w:lang w:eastAsia="de-DE"/>
        </w:rPr>
        <w:t>intraglandulær</w:t>
      </w:r>
      <w:proofErr w:type="spellEnd"/>
      <w:r>
        <w:rPr>
          <w:sz w:val="24"/>
          <w:szCs w:val="24"/>
          <w:lang w:eastAsia="de-DE"/>
        </w:rPr>
        <w:t xml:space="preserve"> (</w:t>
      </w:r>
      <w:r>
        <w:rPr>
          <w:rStyle w:val="st"/>
          <w:sz w:val="24"/>
          <w:szCs w:val="24"/>
        </w:rPr>
        <w:t>intraorale</w:t>
      </w:r>
      <w:r>
        <w:rPr>
          <w:rStyle w:val="st"/>
          <w:i/>
          <w:sz w:val="24"/>
          <w:szCs w:val="24"/>
        </w:rPr>
        <w:t xml:space="preserve"> </w:t>
      </w:r>
      <w:r>
        <w:rPr>
          <w:rStyle w:val="Fremhv"/>
          <w:sz w:val="24"/>
          <w:szCs w:val="24"/>
        </w:rPr>
        <w:t>spytkirtler</w:t>
      </w:r>
      <w:r>
        <w:rPr>
          <w:sz w:val="24"/>
          <w:szCs w:val="24"/>
          <w:lang w:eastAsia="de-DE"/>
        </w:rPr>
        <w:t xml:space="preserve">) anvendelse. </w:t>
      </w:r>
    </w:p>
    <w:p w:rsidR="00183DD0" w:rsidRDefault="00183DD0" w:rsidP="00183DD0">
      <w:pPr>
        <w:ind w:left="851"/>
        <w:rPr>
          <w:sz w:val="24"/>
          <w:szCs w:val="24"/>
          <w:lang w:eastAsia="de-DE"/>
        </w:rPr>
      </w:pPr>
    </w:p>
    <w:p w:rsidR="00183DD0" w:rsidRDefault="00183DD0" w:rsidP="00183DD0">
      <w:pPr>
        <w:ind w:left="851"/>
        <w:rPr>
          <w:b/>
          <w:i/>
          <w:sz w:val="24"/>
          <w:szCs w:val="24"/>
          <w:lang w:eastAsia="de-DE"/>
        </w:rPr>
      </w:pPr>
      <w:bookmarkStart w:id="8" w:name="_Hlk22628420"/>
      <w:proofErr w:type="spellStart"/>
      <w:r>
        <w:rPr>
          <w:i/>
          <w:sz w:val="24"/>
          <w:szCs w:val="24"/>
          <w:lang w:eastAsia="de-DE"/>
        </w:rPr>
        <w:t>Blefarospasme</w:t>
      </w:r>
      <w:proofErr w:type="spellEnd"/>
      <w:r>
        <w:rPr>
          <w:i/>
          <w:sz w:val="24"/>
          <w:szCs w:val="24"/>
          <w:lang w:eastAsia="de-DE"/>
        </w:rPr>
        <w:t xml:space="preserve"> og </w:t>
      </w:r>
      <w:proofErr w:type="spellStart"/>
      <w:r>
        <w:rPr>
          <w:i/>
          <w:sz w:val="24"/>
          <w:szCs w:val="24"/>
          <w:lang w:eastAsia="de-DE"/>
        </w:rPr>
        <w:t>hemifaciale</w:t>
      </w:r>
      <w:proofErr w:type="spellEnd"/>
      <w:r>
        <w:rPr>
          <w:i/>
          <w:sz w:val="24"/>
          <w:szCs w:val="24"/>
          <w:lang w:eastAsia="de-DE"/>
        </w:rPr>
        <w:t xml:space="preserve"> spasmer</w:t>
      </w:r>
    </w:p>
    <w:p w:rsidR="00183DD0" w:rsidRDefault="00183DD0" w:rsidP="00183DD0">
      <w:pPr>
        <w:ind w:left="851"/>
        <w:rPr>
          <w:sz w:val="24"/>
          <w:szCs w:val="24"/>
          <w:lang w:eastAsia="de-DE"/>
        </w:rPr>
      </w:pPr>
      <w:r>
        <w:rPr>
          <w:sz w:val="24"/>
          <w:szCs w:val="24"/>
          <w:lang w:eastAsia="de-DE"/>
        </w:rPr>
        <w:t xml:space="preserve">Efter </w:t>
      </w:r>
      <w:proofErr w:type="spellStart"/>
      <w:r>
        <w:rPr>
          <w:sz w:val="24"/>
          <w:szCs w:val="24"/>
          <w:lang w:eastAsia="de-DE"/>
        </w:rPr>
        <w:t>rekonstitution</w:t>
      </w:r>
      <w:proofErr w:type="spellEnd"/>
      <w:r>
        <w:rPr>
          <w:sz w:val="24"/>
          <w:szCs w:val="24"/>
          <w:lang w:eastAsia="de-DE"/>
        </w:rPr>
        <w:t xml:space="preserve"> injiceres </w:t>
      </w:r>
      <w:proofErr w:type="spellStart"/>
      <w:r>
        <w:rPr>
          <w:sz w:val="24"/>
          <w:szCs w:val="24"/>
          <w:lang w:eastAsia="de-DE"/>
        </w:rPr>
        <w:t>Xeomin</w:t>
      </w:r>
      <w:proofErr w:type="spellEnd"/>
      <w:r>
        <w:rPr>
          <w:sz w:val="24"/>
          <w:szCs w:val="24"/>
          <w:lang w:eastAsia="de-DE"/>
        </w:rPr>
        <w:t xml:space="preserve">-opløsningen intramuskulært ved hjælp af en egnet, steril kanyle (f.eks. 27-30 gauge / 0,30-0,40 mm i diameter/12,5 mm lang). </w:t>
      </w:r>
      <w:proofErr w:type="spellStart"/>
      <w:r>
        <w:rPr>
          <w:sz w:val="24"/>
          <w:szCs w:val="24"/>
          <w:lang w:eastAsia="de-DE"/>
        </w:rPr>
        <w:t>Elektromyografisk</w:t>
      </w:r>
      <w:proofErr w:type="spellEnd"/>
      <w:r>
        <w:rPr>
          <w:sz w:val="24"/>
          <w:szCs w:val="24"/>
          <w:lang w:eastAsia="de-DE"/>
        </w:rPr>
        <w:t xml:space="preserve"> vejledning er ikke nødvendig. Det anbefalede injektionsvolumen er ca. 0,05 til 0,1 ml.</w:t>
      </w:r>
    </w:p>
    <w:bookmarkEnd w:id="8"/>
    <w:p w:rsidR="00183DD0" w:rsidRDefault="00183DD0" w:rsidP="00183DD0">
      <w:pPr>
        <w:ind w:left="851" w:hanging="851"/>
        <w:rPr>
          <w:sz w:val="24"/>
          <w:szCs w:val="24"/>
          <w:lang w:eastAsia="de-DE"/>
        </w:rPr>
      </w:pPr>
    </w:p>
    <w:p w:rsidR="00183DD0" w:rsidRDefault="00183DD0" w:rsidP="00183DD0">
      <w:pPr>
        <w:ind w:left="851"/>
        <w:rPr>
          <w:sz w:val="24"/>
          <w:szCs w:val="24"/>
          <w:lang w:eastAsia="de-DE"/>
        </w:rPr>
      </w:pPr>
      <w:bookmarkStart w:id="9" w:name="_Hlk22631297"/>
      <w:proofErr w:type="spellStart"/>
      <w:r>
        <w:rPr>
          <w:sz w:val="24"/>
          <w:szCs w:val="24"/>
          <w:lang w:eastAsia="de-DE"/>
        </w:rPr>
        <w:t>Xeomin</w:t>
      </w:r>
      <w:proofErr w:type="spellEnd"/>
      <w:r>
        <w:rPr>
          <w:sz w:val="24"/>
          <w:szCs w:val="24"/>
          <w:lang w:eastAsia="de-DE"/>
        </w:rPr>
        <w:t xml:space="preserve"> injiceres i den </w:t>
      </w:r>
      <w:proofErr w:type="spellStart"/>
      <w:r>
        <w:rPr>
          <w:sz w:val="24"/>
          <w:szCs w:val="24"/>
          <w:lang w:eastAsia="de-DE"/>
        </w:rPr>
        <w:t>mediale</w:t>
      </w:r>
      <w:proofErr w:type="spellEnd"/>
      <w:r>
        <w:rPr>
          <w:sz w:val="24"/>
          <w:szCs w:val="24"/>
          <w:lang w:eastAsia="de-DE"/>
        </w:rPr>
        <w:t xml:space="preserve"> og laterale m. </w:t>
      </w:r>
      <w:proofErr w:type="spellStart"/>
      <w:r>
        <w:rPr>
          <w:sz w:val="24"/>
          <w:szCs w:val="24"/>
          <w:lang w:eastAsia="de-DE"/>
        </w:rPr>
        <w:t>orbicularis</w:t>
      </w:r>
      <w:proofErr w:type="spellEnd"/>
      <w:r>
        <w:rPr>
          <w:sz w:val="24"/>
          <w:szCs w:val="24"/>
          <w:lang w:eastAsia="de-DE"/>
        </w:rPr>
        <w:t xml:space="preserve"> </w:t>
      </w:r>
      <w:proofErr w:type="spellStart"/>
      <w:r>
        <w:rPr>
          <w:sz w:val="24"/>
          <w:szCs w:val="24"/>
          <w:lang w:eastAsia="de-DE"/>
        </w:rPr>
        <w:t>oculi</w:t>
      </w:r>
      <w:proofErr w:type="spellEnd"/>
      <w:r>
        <w:rPr>
          <w:sz w:val="24"/>
          <w:szCs w:val="24"/>
          <w:lang w:eastAsia="de-DE"/>
        </w:rPr>
        <w:t xml:space="preserve"> i det øvre øjenlåg og i den laterale m. </w:t>
      </w:r>
      <w:proofErr w:type="spellStart"/>
      <w:r>
        <w:rPr>
          <w:sz w:val="24"/>
          <w:szCs w:val="24"/>
          <w:lang w:eastAsia="de-DE"/>
        </w:rPr>
        <w:t>orbicularis</w:t>
      </w:r>
      <w:proofErr w:type="spellEnd"/>
      <w:r>
        <w:rPr>
          <w:sz w:val="24"/>
          <w:szCs w:val="24"/>
          <w:lang w:eastAsia="de-DE"/>
        </w:rPr>
        <w:t xml:space="preserve"> </w:t>
      </w:r>
      <w:proofErr w:type="spellStart"/>
      <w:r>
        <w:rPr>
          <w:sz w:val="24"/>
          <w:szCs w:val="24"/>
          <w:lang w:eastAsia="de-DE"/>
        </w:rPr>
        <w:t>oculi</w:t>
      </w:r>
      <w:proofErr w:type="spellEnd"/>
      <w:r>
        <w:rPr>
          <w:sz w:val="24"/>
          <w:szCs w:val="24"/>
          <w:lang w:eastAsia="de-DE"/>
        </w:rPr>
        <w:t xml:space="preserve"> i det nedre øjenlåg. Endvidere kan injektionen gives i øjenbrynet, den laterale m. </w:t>
      </w:r>
      <w:proofErr w:type="spellStart"/>
      <w:r>
        <w:rPr>
          <w:sz w:val="24"/>
          <w:szCs w:val="24"/>
          <w:lang w:eastAsia="de-DE"/>
        </w:rPr>
        <w:t>orbicularis</w:t>
      </w:r>
      <w:proofErr w:type="spellEnd"/>
      <w:r>
        <w:rPr>
          <w:sz w:val="24"/>
          <w:szCs w:val="24"/>
          <w:lang w:eastAsia="de-DE"/>
        </w:rPr>
        <w:t xml:space="preserve"> og i overansigtet, hvis spasmer i disse regioner påvirker synet.</w:t>
      </w:r>
    </w:p>
    <w:p w:rsidR="00183DD0" w:rsidRDefault="00183DD0" w:rsidP="00183DD0">
      <w:pPr>
        <w:ind w:left="851"/>
        <w:rPr>
          <w:sz w:val="24"/>
          <w:szCs w:val="24"/>
          <w:lang w:eastAsia="de-DE"/>
        </w:rPr>
      </w:pPr>
    </w:p>
    <w:p w:rsidR="00183DD0" w:rsidRDefault="00183DD0" w:rsidP="00183DD0">
      <w:pPr>
        <w:ind w:left="851"/>
        <w:rPr>
          <w:sz w:val="24"/>
          <w:szCs w:val="24"/>
          <w:lang w:eastAsia="de-DE"/>
        </w:rPr>
      </w:pPr>
      <w:bookmarkStart w:id="10" w:name="_Hlk22629314"/>
      <w:r>
        <w:rPr>
          <w:sz w:val="24"/>
          <w:szCs w:val="24"/>
          <w:lang w:eastAsia="de-DE"/>
        </w:rPr>
        <w:t xml:space="preserve">I tilfælde af ensidig </w:t>
      </w:r>
      <w:proofErr w:type="spellStart"/>
      <w:r>
        <w:rPr>
          <w:sz w:val="24"/>
          <w:szCs w:val="24"/>
          <w:lang w:eastAsia="de-DE"/>
        </w:rPr>
        <w:t>blefarospasme</w:t>
      </w:r>
      <w:proofErr w:type="spellEnd"/>
      <w:r>
        <w:rPr>
          <w:sz w:val="24"/>
          <w:szCs w:val="24"/>
          <w:lang w:eastAsia="de-DE"/>
        </w:rPr>
        <w:t xml:space="preserve"> skal injektionerne begrænses til det pågældende øje.</w:t>
      </w:r>
    </w:p>
    <w:p w:rsidR="00183DD0" w:rsidRDefault="00183DD0" w:rsidP="00183DD0">
      <w:pPr>
        <w:suppressAutoHyphens/>
        <w:ind w:left="851"/>
        <w:rPr>
          <w:sz w:val="24"/>
          <w:szCs w:val="24"/>
        </w:rPr>
      </w:pPr>
    </w:p>
    <w:p w:rsidR="00183DD0" w:rsidRDefault="00183DD0" w:rsidP="00183DD0">
      <w:pPr>
        <w:suppressAutoHyphens/>
        <w:ind w:left="851"/>
        <w:rPr>
          <w:sz w:val="24"/>
          <w:szCs w:val="24"/>
        </w:rPr>
      </w:pPr>
      <w:r>
        <w:rPr>
          <w:sz w:val="24"/>
          <w:szCs w:val="24"/>
        </w:rPr>
        <w:t xml:space="preserve">Patienter med </w:t>
      </w:r>
      <w:proofErr w:type="spellStart"/>
      <w:r>
        <w:rPr>
          <w:spacing w:val="-2"/>
          <w:sz w:val="24"/>
          <w:szCs w:val="24"/>
        </w:rPr>
        <w:t>hemifaciale</w:t>
      </w:r>
      <w:proofErr w:type="spellEnd"/>
      <w:r>
        <w:rPr>
          <w:spacing w:val="-2"/>
          <w:sz w:val="24"/>
          <w:szCs w:val="24"/>
        </w:rPr>
        <w:t xml:space="preserve"> spasmer skal behandles som ved ensidig </w:t>
      </w:r>
      <w:proofErr w:type="spellStart"/>
      <w:r>
        <w:rPr>
          <w:spacing w:val="-2"/>
          <w:sz w:val="24"/>
          <w:szCs w:val="24"/>
        </w:rPr>
        <w:t>blefarospasme</w:t>
      </w:r>
      <w:proofErr w:type="spellEnd"/>
      <w:r>
        <w:rPr>
          <w:spacing w:val="-2"/>
          <w:sz w:val="24"/>
          <w:szCs w:val="24"/>
        </w:rPr>
        <w:t>.</w:t>
      </w:r>
    </w:p>
    <w:p w:rsidR="00183DD0" w:rsidRDefault="00183DD0" w:rsidP="00183DD0">
      <w:pPr>
        <w:ind w:left="851"/>
        <w:rPr>
          <w:sz w:val="24"/>
          <w:szCs w:val="24"/>
          <w:lang w:eastAsia="de-DE"/>
        </w:rPr>
      </w:pPr>
    </w:p>
    <w:p w:rsidR="00183DD0" w:rsidRDefault="00183DD0" w:rsidP="00183DD0">
      <w:pPr>
        <w:ind w:left="851"/>
        <w:rPr>
          <w:sz w:val="24"/>
          <w:szCs w:val="24"/>
          <w:lang w:eastAsia="de-DE"/>
        </w:rPr>
      </w:pPr>
      <w:r>
        <w:rPr>
          <w:sz w:val="24"/>
          <w:szCs w:val="24"/>
          <w:lang w:eastAsia="de-DE"/>
        </w:rPr>
        <w:t xml:space="preserve">Der foreligger ingen erfaring fra kliniske studier med </w:t>
      </w:r>
      <w:proofErr w:type="spellStart"/>
      <w:r>
        <w:rPr>
          <w:sz w:val="24"/>
          <w:szCs w:val="24"/>
          <w:lang w:eastAsia="de-DE"/>
        </w:rPr>
        <w:t>Xeomin</w:t>
      </w:r>
      <w:proofErr w:type="spellEnd"/>
      <w:r>
        <w:rPr>
          <w:sz w:val="24"/>
          <w:szCs w:val="24"/>
          <w:lang w:eastAsia="de-DE"/>
        </w:rPr>
        <w:t xml:space="preserve"> vedr. injektion i underansigt.</w:t>
      </w:r>
    </w:p>
    <w:p w:rsidR="00183DD0" w:rsidRDefault="00183DD0" w:rsidP="00183DD0">
      <w:pPr>
        <w:ind w:left="851"/>
        <w:rPr>
          <w:sz w:val="24"/>
          <w:szCs w:val="24"/>
          <w:lang w:eastAsia="de-DE"/>
        </w:rPr>
      </w:pPr>
      <w:r>
        <w:rPr>
          <w:sz w:val="24"/>
          <w:szCs w:val="24"/>
          <w:lang w:eastAsia="de-DE"/>
        </w:rPr>
        <w:t xml:space="preserve">Muskler i underansigtet bør ikke behandles på grund af udtalt risiko for lokal muskelsvækkelse, hvilket er rapporteret i litteraturen efter injektion med </w:t>
      </w:r>
      <w:proofErr w:type="spellStart"/>
      <w:r>
        <w:rPr>
          <w:sz w:val="24"/>
          <w:szCs w:val="24"/>
          <w:lang w:eastAsia="de-DE"/>
        </w:rPr>
        <w:t>botulinumtoksin</w:t>
      </w:r>
      <w:proofErr w:type="spellEnd"/>
      <w:r>
        <w:rPr>
          <w:sz w:val="24"/>
          <w:szCs w:val="24"/>
          <w:lang w:eastAsia="de-DE"/>
        </w:rPr>
        <w:t xml:space="preserve"> i underansigt hos patienter med </w:t>
      </w:r>
      <w:proofErr w:type="spellStart"/>
      <w:r>
        <w:rPr>
          <w:spacing w:val="-2"/>
          <w:sz w:val="24"/>
          <w:szCs w:val="24"/>
        </w:rPr>
        <w:t>hemifaciale</w:t>
      </w:r>
      <w:proofErr w:type="spellEnd"/>
      <w:r>
        <w:rPr>
          <w:spacing w:val="-2"/>
          <w:sz w:val="24"/>
          <w:szCs w:val="24"/>
        </w:rPr>
        <w:t xml:space="preserve"> spasmer.</w:t>
      </w:r>
    </w:p>
    <w:bookmarkEnd w:id="10"/>
    <w:p w:rsidR="00183DD0" w:rsidRDefault="00183DD0" w:rsidP="00183DD0">
      <w:pPr>
        <w:ind w:left="851"/>
        <w:rPr>
          <w:sz w:val="24"/>
          <w:szCs w:val="24"/>
          <w:lang w:eastAsia="de-DE"/>
        </w:rPr>
      </w:pPr>
    </w:p>
    <w:bookmarkEnd w:id="9"/>
    <w:p w:rsidR="00183DD0" w:rsidRDefault="00183DD0" w:rsidP="00183DD0">
      <w:pPr>
        <w:ind w:left="851"/>
        <w:rPr>
          <w:i/>
          <w:sz w:val="24"/>
          <w:szCs w:val="24"/>
          <w:lang w:eastAsia="de-DE"/>
        </w:rPr>
      </w:pPr>
      <w:r>
        <w:rPr>
          <w:i/>
          <w:sz w:val="24"/>
          <w:szCs w:val="24"/>
          <w:lang w:eastAsia="de-DE"/>
        </w:rPr>
        <w:t xml:space="preserve">Spasmodisk </w:t>
      </w:r>
      <w:proofErr w:type="spellStart"/>
      <w:r>
        <w:rPr>
          <w:i/>
          <w:sz w:val="24"/>
          <w:szCs w:val="24"/>
          <w:lang w:eastAsia="de-DE"/>
        </w:rPr>
        <w:t>torticollis</w:t>
      </w:r>
      <w:proofErr w:type="spellEnd"/>
    </w:p>
    <w:p w:rsidR="00183DD0" w:rsidRDefault="00183DD0" w:rsidP="00183DD0">
      <w:pPr>
        <w:ind w:left="851"/>
        <w:rPr>
          <w:sz w:val="24"/>
          <w:szCs w:val="24"/>
          <w:lang w:eastAsia="de-DE"/>
        </w:rPr>
      </w:pPr>
      <w:r>
        <w:rPr>
          <w:sz w:val="24"/>
          <w:szCs w:val="24"/>
          <w:lang w:eastAsia="de-DE"/>
        </w:rPr>
        <w:t>En egnet steril kanyle (f.eks. 25-30 gauge / 0,30-0,50 mm i diameter/37 mm lang) anvendes til injektioner i overfladiske muskler, og f.eks. en 22 gauge / 0,70</w:t>
      </w:r>
      <w:r>
        <w:rPr>
          <w:sz w:val="24"/>
          <w:szCs w:val="24"/>
        </w:rPr>
        <w:t> </w:t>
      </w:r>
      <w:r>
        <w:rPr>
          <w:sz w:val="24"/>
          <w:szCs w:val="24"/>
          <w:lang w:eastAsia="de-DE"/>
        </w:rPr>
        <w:t>mm i diameter/75 mm lang kanyle kan anvendes til injektioner i dybere muskulatur. Det anbefalede injektionsvolumen er ca. 0,1 til 0,5 ml pr. injektionssted.</w:t>
      </w:r>
    </w:p>
    <w:p w:rsidR="00183DD0" w:rsidRDefault="00183DD0" w:rsidP="00183DD0">
      <w:pPr>
        <w:ind w:left="851" w:hanging="851"/>
        <w:rPr>
          <w:sz w:val="24"/>
          <w:szCs w:val="24"/>
          <w:lang w:eastAsia="de-DE"/>
        </w:rPr>
      </w:pPr>
    </w:p>
    <w:p w:rsidR="00183DD0" w:rsidRDefault="00183DD0" w:rsidP="00183DD0">
      <w:pPr>
        <w:ind w:left="851"/>
        <w:rPr>
          <w:sz w:val="24"/>
          <w:szCs w:val="24"/>
          <w:lang w:eastAsia="de-DE"/>
        </w:rPr>
      </w:pPr>
      <w:r>
        <w:rPr>
          <w:sz w:val="24"/>
          <w:szCs w:val="24"/>
          <w:lang w:eastAsia="de-DE"/>
        </w:rPr>
        <w:t xml:space="preserve">Ved behandling af spasmodisk </w:t>
      </w:r>
      <w:proofErr w:type="spellStart"/>
      <w:r>
        <w:rPr>
          <w:sz w:val="24"/>
          <w:szCs w:val="24"/>
          <w:lang w:eastAsia="de-DE"/>
        </w:rPr>
        <w:t>torticollis</w:t>
      </w:r>
      <w:proofErr w:type="spellEnd"/>
      <w:r>
        <w:rPr>
          <w:sz w:val="24"/>
          <w:szCs w:val="24"/>
          <w:lang w:eastAsia="de-DE"/>
        </w:rPr>
        <w:t xml:space="preserve"> injiceres </w:t>
      </w:r>
      <w:proofErr w:type="spellStart"/>
      <w:r>
        <w:rPr>
          <w:sz w:val="24"/>
          <w:szCs w:val="24"/>
          <w:lang w:eastAsia="de-DE"/>
        </w:rPr>
        <w:t>Xeomin</w:t>
      </w:r>
      <w:proofErr w:type="spellEnd"/>
      <w:r>
        <w:rPr>
          <w:sz w:val="24"/>
          <w:szCs w:val="24"/>
          <w:lang w:eastAsia="de-DE"/>
        </w:rPr>
        <w:t xml:space="preserve"> i m. </w:t>
      </w:r>
      <w:proofErr w:type="spellStart"/>
      <w:r>
        <w:rPr>
          <w:sz w:val="24"/>
          <w:szCs w:val="24"/>
          <w:lang w:eastAsia="de-DE"/>
        </w:rPr>
        <w:t>sternocleidomastoideus</w:t>
      </w:r>
      <w:proofErr w:type="spellEnd"/>
      <w:r>
        <w:rPr>
          <w:sz w:val="24"/>
          <w:szCs w:val="24"/>
          <w:lang w:eastAsia="de-DE"/>
        </w:rPr>
        <w:t xml:space="preserve">, m. </w:t>
      </w:r>
      <w:proofErr w:type="spellStart"/>
      <w:r>
        <w:rPr>
          <w:sz w:val="24"/>
          <w:szCs w:val="24"/>
          <w:lang w:eastAsia="de-DE"/>
        </w:rPr>
        <w:t>levator</w:t>
      </w:r>
      <w:proofErr w:type="spellEnd"/>
      <w:r>
        <w:rPr>
          <w:sz w:val="24"/>
          <w:szCs w:val="24"/>
          <w:lang w:eastAsia="de-DE"/>
        </w:rPr>
        <w:t xml:space="preserve"> </w:t>
      </w:r>
      <w:proofErr w:type="spellStart"/>
      <w:r>
        <w:rPr>
          <w:sz w:val="24"/>
          <w:szCs w:val="24"/>
          <w:lang w:eastAsia="de-DE"/>
        </w:rPr>
        <w:t>scapulae</w:t>
      </w:r>
      <w:proofErr w:type="spellEnd"/>
      <w:r>
        <w:rPr>
          <w:sz w:val="24"/>
          <w:szCs w:val="24"/>
          <w:lang w:eastAsia="de-DE"/>
        </w:rPr>
        <w:t xml:space="preserve">, m. </w:t>
      </w:r>
      <w:proofErr w:type="spellStart"/>
      <w:r>
        <w:rPr>
          <w:sz w:val="24"/>
          <w:szCs w:val="24"/>
          <w:lang w:eastAsia="de-DE"/>
        </w:rPr>
        <w:t>scalenus</w:t>
      </w:r>
      <w:proofErr w:type="spellEnd"/>
      <w:r>
        <w:rPr>
          <w:sz w:val="24"/>
          <w:szCs w:val="24"/>
          <w:lang w:eastAsia="de-DE"/>
        </w:rPr>
        <w:t xml:space="preserve">, m. </w:t>
      </w:r>
      <w:proofErr w:type="spellStart"/>
      <w:r>
        <w:rPr>
          <w:sz w:val="24"/>
          <w:szCs w:val="24"/>
          <w:lang w:eastAsia="de-DE"/>
        </w:rPr>
        <w:t>splenius</w:t>
      </w:r>
      <w:proofErr w:type="spellEnd"/>
      <w:r>
        <w:rPr>
          <w:sz w:val="24"/>
          <w:szCs w:val="24"/>
          <w:lang w:eastAsia="de-DE"/>
        </w:rPr>
        <w:t xml:space="preserve"> </w:t>
      </w:r>
      <w:proofErr w:type="spellStart"/>
      <w:r>
        <w:rPr>
          <w:sz w:val="24"/>
          <w:szCs w:val="24"/>
          <w:lang w:eastAsia="de-DE"/>
        </w:rPr>
        <w:t>capitis</w:t>
      </w:r>
      <w:proofErr w:type="spellEnd"/>
      <w:r>
        <w:rPr>
          <w:sz w:val="24"/>
          <w:szCs w:val="24"/>
          <w:lang w:eastAsia="de-DE"/>
        </w:rPr>
        <w:t xml:space="preserve"> og/eller m. trapezius. Denne liste er ikke udtømmende, da enhver muskel, der medvirker til at kontrollere hovedets stilling, kan være involveret og derfor kræve behandling. Hvis der opstår vanskeligheder med at isolere de enkelte muskler, bør injektionerne udføres ved hjælp af teknikker som f.eks. </w:t>
      </w:r>
      <w:proofErr w:type="spellStart"/>
      <w:r>
        <w:rPr>
          <w:sz w:val="24"/>
          <w:szCs w:val="24"/>
          <w:lang w:eastAsia="de-DE"/>
        </w:rPr>
        <w:t>elektromyografisk</w:t>
      </w:r>
      <w:proofErr w:type="spellEnd"/>
      <w:r>
        <w:rPr>
          <w:sz w:val="24"/>
          <w:szCs w:val="24"/>
          <w:lang w:eastAsia="de-DE"/>
        </w:rPr>
        <w:t xml:space="preserve"> vejledning eller ultralyd. Ved valg af en passende dosis skal der tages højde for muskelmassen og graden af hypertrofi eller atrofi.</w:t>
      </w:r>
    </w:p>
    <w:p w:rsidR="00183DD0" w:rsidRDefault="00183DD0" w:rsidP="00183DD0">
      <w:pPr>
        <w:ind w:left="851" w:hanging="851"/>
        <w:rPr>
          <w:sz w:val="24"/>
          <w:szCs w:val="24"/>
          <w:lang w:eastAsia="de-DE"/>
        </w:rPr>
      </w:pPr>
    </w:p>
    <w:p w:rsidR="00183DD0" w:rsidRDefault="00183DD0" w:rsidP="00183DD0">
      <w:pPr>
        <w:ind w:left="851"/>
        <w:rPr>
          <w:sz w:val="24"/>
          <w:szCs w:val="24"/>
          <w:lang w:eastAsia="de-DE"/>
        </w:rPr>
      </w:pPr>
      <w:r>
        <w:rPr>
          <w:sz w:val="24"/>
          <w:szCs w:val="24"/>
          <w:lang w:eastAsia="de-DE"/>
        </w:rPr>
        <w:t xml:space="preserve">Ved at anvende flere injektionssteder opnås en mere ensartet udbredelse af </w:t>
      </w:r>
      <w:proofErr w:type="spellStart"/>
      <w:r>
        <w:rPr>
          <w:sz w:val="24"/>
          <w:szCs w:val="24"/>
          <w:lang w:eastAsia="de-DE"/>
        </w:rPr>
        <w:t>Xeomin</w:t>
      </w:r>
      <w:proofErr w:type="spellEnd"/>
      <w:r>
        <w:rPr>
          <w:sz w:val="24"/>
          <w:szCs w:val="24"/>
          <w:lang w:eastAsia="de-DE"/>
        </w:rPr>
        <w:t xml:space="preserve"> i de </w:t>
      </w:r>
      <w:proofErr w:type="spellStart"/>
      <w:r>
        <w:rPr>
          <w:sz w:val="24"/>
          <w:szCs w:val="24"/>
          <w:lang w:eastAsia="de-DE"/>
        </w:rPr>
        <w:t>innerverede</w:t>
      </w:r>
      <w:proofErr w:type="spellEnd"/>
      <w:r>
        <w:rPr>
          <w:sz w:val="24"/>
          <w:szCs w:val="24"/>
          <w:lang w:eastAsia="de-DE"/>
        </w:rPr>
        <w:t xml:space="preserve"> områder af den </w:t>
      </w:r>
      <w:proofErr w:type="spellStart"/>
      <w:r>
        <w:rPr>
          <w:sz w:val="24"/>
          <w:szCs w:val="24"/>
          <w:lang w:eastAsia="de-DE"/>
        </w:rPr>
        <w:t>dystoniske</w:t>
      </w:r>
      <w:proofErr w:type="spellEnd"/>
      <w:r>
        <w:rPr>
          <w:sz w:val="24"/>
          <w:szCs w:val="24"/>
          <w:lang w:eastAsia="de-DE"/>
        </w:rPr>
        <w:t xml:space="preserve"> muskel, hvilket især er en fordel i større muskler. Det optimale antal injektionssteder afhænger af størrelsen på den muskel, der skal kemisk </w:t>
      </w:r>
      <w:proofErr w:type="spellStart"/>
      <w:r>
        <w:rPr>
          <w:sz w:val="24"/>
          <w:szCs w:val="24"/>
          <w:lang w:eastAsia="de-DE"/>
        </w:rPr>
        <w:t>denerveres</w:t>
      </w:r>
      <w:proofErr w:type="spellEnd"/>
      <w:r>
        <w:rPr>
          <w:sz w:val="24"/>
          <w:szCs w:val="24"/>
          <w:lang w:eastAsia="de-DE"/>
        </w:rPr>
        <w:t xml:space="preserve">. </w:t>
      </w:r>
    </w:p>
    <w:p w:rsidR="00183DD0" w:rsidRDefault="00183DD0" w:rsidP="00183DD0">
      <w:pPr>
        <w:ind w:left="851" w:hanging="851"/>
        <w:rPr>
          <w:sz w:val="24"/>
          <w:szCs w:val="24"/>
          <w:lang w:eastAsia="de-DE"/>
        </w:rPr>
      </w:pPr>
    </w:p>
    <w:p w:rsidR="00183DD0" w:rsidRDefault="00183DD0" w:rsidP="00183DD0">
      <w:pPr>
        <w:ind w:left="851"/>
        <w:rPr>
          <w:sz w:val="24"/>
          <w:szCs w:val="24"/>
          <w:lang w:eastAsia="de-DE"/>
        </w:rPr>
      </w:pPr>
      <w:proofErr w:type="spellStart"/>
      <w:r>
        <w:rPr>
          <w:sz w:val="24"/>
          <w:szCs w:val="24"/>
          <w:lang w:eastAsia="de-DE"/>
        </w:rPr>
        <w:t>Musculus</w:t>
      </w:r>
      <w:proofErr w:type="spellEnd"/>
      <w:r>
        <w:rPr>
          <w:sz w:val="24"/>
          <w:szCs w:val="24"/>
          <w:lang w:eastAsia="de-DE"/>
        </w:rPr>
        <w:t xml:space="preserve"> </w:t>
      </w:r>
      <w:proofErr w:type="spellStart"/>
      <w:r>
        <w:rPr>
          <w:sz w:val="24"/>
          <w:szCs w:val="24"/>
          <w:lang w:eastAsia="de-DE"/>
        </w:rPr>
        <w:t>sternocleidomastoideus</w:t>
      </w:r>
      <w:proofErr w:type="spellEnd"/>
      <w:r>
        <w:rPr>
          <w:sz w:val="24"/>
          <w:szCs w:val="24"/>
          <w:lang w:eastAsia="de-DE"/>
        </w:rPr>
        <w:t xml:space="preserve"> bør ikke injiceres bilateralt, da der er en øget risiko for bivirkninger (især </w:t>
      </w:r>
      <w:proofErr w:type="spellStart"/>
      <w:r>
        <w:rPr>
          <w:sz w:val="24"/>
          <w:szCs w:val="24"/>
          <w:lang w:eastAsia="de-DE"/>
        </w:rPr>
        <w:t>dysfagi</w:t>
      </w:r>
      <w:proofErr w:type="spellEnd"/>
      <w:r>
        <w:rPr>
          <w:sz w:val="24"/>
          <w:szCs w:val="24"/>
          <w:lang w:eastAsia="de-DE"/>
        </w:rPr>
        <w:t>), når bilaterale injektioner eller doser over 100 E indgives i denne muskel.</w:t>
      </w:r>
    </w:p>
    <w:p w:rsidR="00183DD0" w:rsidRDefault="00183DD0" w:rsidP="00183DD0">
      <w:pPr>
        <w:ind w:left="851" w:hanging="851"/>
        <w:rPr>
          <w:sz w:val="24"/>
          <w:szCs w:val="24"/>
          <w:lang w:eastAsia="de-DE"/>
        </w:rPr>
      </w:pPr>
    </w:p>
    <w:p w:rsidR="00183DD0" w:rsidRDefault="00183DD0" w:rsidP="00183DD0">
      <w:pPr>
        <w:tabs>
          <w:tab w:val="left" w:pos="-1440"/>
          <w:tab w:val="left" w:pos="-720"/>
          <w:tab w:val="left" w:pos="0"/>
          <w:tab w:val="left" w:pos="851"/>
        </w:tabs>
        <w:suppressAutoHyphens/>
        <w:ind w:left="851"/>
        <w:jc w:val="both"/>
        <w:rPr>
          <w:sz w:val="24"/>
          <w:szCs w:val="24"/>
        </w:rPr>
      </w:pPr>
      <w:r>
        <w:rPr>
          <w:i/>
          <w:spacing w:val="-2"/>
          <w:sz w:val="24"/>
          <w:szCs w:val="24"/>
        </w:rPr>
        <w:t xml:space="preserve">Spasticitet af overekstremitet </w:t>
      </w:r>
    </w:p>
    <w:p w:rsidR="00183DD0" w:rsidRDefault="00183DD0" w:rsidP="00183DD0">
      <w:pPr>
        <w:ind w:left="851"/>
        <w:rPr>
          <w:sz w:val="24"/>
          <w:szCs w:val="24"/>
          <w:lang w:eastAsia="de-DE"/>
        </w:rPr>
      </w:pPr>
      <w:proofErr w:type="spellStart"/>
      <w:r>
        <w:rPr>
          <w:sz w:val="24"/>
          <w:szCs w:val="24"/>
          <w:lang w:eastAsia="de-DE"/>
        </w:rPr>
        <w:t>Rekonstitueret</w:t>
      </w:r>
      <w:proofErr w:type="spellEnd"/>
      <w:r>
        <w:rPr>
          <w:sz w:val="24"/>
          <w:szCs w:val="24"/>
          <w:lang w:eastAsia="de-DE"/>
        </w:rPr>
        <w:t xml:space="preserve"> </w:t>
      </w:r>
      <w:proofErr w:type="spellStart"/>
      <w:r>
        <w:rPr>
          <w:sz w:val="24"/>
          <w:szCs w:val="24"/>
          <w:lang w:eastAsia="de-DE"/>
        </w:rPr>
        <w:t>Xeomin</w:t>
      </w:r>
      <w:proofErr w:type="spellEnd"/>
      <w:r>
        <w:rPr>
          <w:sz w:val="24"/>
          <w:szCs w:val="24"/>
          <w:lang w:eastAsia="de-DE"/>
        </w:rPr>
        <w:t xml:space="preserve"> injiceres ved hjælp af en egnet, steril kanyle (f.eks. 26 gauge / 0,45 mm i diameter / 37 mm lang for overfladiske muskler og en længere kanyle, f.eks. 22 gauge / 0,7 mm i diameter / 75 mm lang, for dybere muskulatur). </w:t>
      </w:r>
    </w:p>
    <w:p w:rsidR="00183DD0" w:rsidRDefault="00183DD0" w:rsidP="00183DD0">
      <w:pPr>
        <w:ind w:left="851"/>
        <w:rPr>
          <w:sz w:val="24"/>
          <w:szCs w:val="24"/>
          <w:lang w:eastAsia="de-DE"/>
        </w:rPr>
      </w:pPr>
    </w:p>
    <w:p w:rsidR="00183DD0" w:rsidRDefault="00183DD0" w:rsidP="00183DD0">
      <w:pPr>
        <w:ind w:left="851"/>
        <w:rPr>
          <w:sz w:val="24"/>
          <w:szCs w:val="24"/>
          <w:lang w:eastAsia="de-DE"/>
        </w:rPr>
      </w:pPr>
      <w:r>
        <w:rPr>
          <w:sz w:val="24"/>
          <w:szCs w:val="24"/>
          <w:lang w:eastAsia="de-DE"/>
        </w:rPr>
        <w:t xml:space="preserve">Lokalisering af de pågældende muskler ved hjælp af </w:t>
      </w:r>
      <w:proofErr w:type="spellStart"/>
      <w:r>
        <w:rPr>
          <w:sz w:val="24"/>
          <w:szCs w:val="24"/>
          <w:lang w:eastAsia="de-DE"/>
        </w:rPr>
        <w:t>elektromyografisk</w:t>
      </w:r>
      <w:proofErr w:type="spellEnd"/>
      <w:r>
        <w:rPr>
          <w:sz w:val="24"/>
          <w:szCs w:val="24"/>
          <w:lang w:eastAsia="de-DE"/>
        </w:rPr>
        <w:t xml:space="preserve"> vejledning eller ultralyd anbefales, hvis isolering af de enkelte muskler viser sig at være vanskeligt. Ved at anvende flere injektionssteder kan der opnås en mere ensartet kontakt mellem </w:t>
      </w:r>
      <w:proofErr w:type="spellStart"/>
      <w:r>
        <w:rPr>
          <w:sz w:val="24"/>
          <w:szCs w:val="24"/>
          <w:lang w:eastAsia="de-DE"/>
        </w:rPr>
        <w:t>Xeomin</w:t>
      </w:r>
      <w:proofErr w:type="spellEnd"/>
      <w:r>
        <w:rPr>
          <w:sz w:val="24"/>
          <w:szCs w:val="24"/>
          <w:lang w:eastAsia="de-DE"/>
        </w:rPr>
        <w:t xml:space="preserve"> og musklens </w:t>
      </w:r>
      <w:proofErr w:type="spellStart"/>
      <w:r>
        <w:rPr>
          <w:sz w:val="24"/>
          <w:szCs w:val="24"/>
          <w:lang w:eastAsia="de-DE"/>
        </w:rPr>
        <w:t>innerverede</w:t>
      </w:r>
      <w:proofErr w:type="spellEnd"/>
      <w:r>
        <w:rPr>
          <w:sz w:val="24"/>
          <w:szCs w:val="24"/>
          <w:lang w:eastAsia="de-DE"/>
        </w:rPr>
        <w:t xml:space="preserve"> områder, hvilket især er en fordel ved injektion i større muskler.</w:t>
      </w:r>
    </w:p>
    <w:p w:rsidR="00183DD0" w:rsidRDefault="00183DD0" w:rsidP="00183DD0">
      <w:pPr>
        <w:ind w:left="851"/>
        <w:rPr>
          <w:sz w:val="24"/>
          <w:szCs w:val="24"/>
          <w:lang w:eastAsia="de-DE"/>
        </w:rPr>
      </w:pPr>
    </w:p>
    <w:p w:rsidR="00183DD0" w:rsidRDefault="00183DD0" w:rsidP="00183DD0">
      <w:pPr>
        <w:ind w:left="851"/>
        <w:rPr>
          <w:i/>
          <w:sz w:val="24"/>
          <w:szCs w:val="24"/>
          <w:lang w:eastAsia="de-DE"/>
        </w:rPr>
      </w:pPr>
      <w:r>
        <w:rPr>
          <w:i/>
          <w:sz w:val="24"/>
          <w:szCs w:val="24"/>
          <w:lang w:eastAsia="de-DE"/>
        </w:rPr>
        <w:t xml:space="preserve">Kronisk </w:t>
      </w:r>
      <w:proofErr w:type="spellStart"/>
      <w:r>
        <w:rPr>
          <w:i/>
          <w:sz w:val="24"/>
          <w:szCs w:val="24"/>
          <w:lang w:eastAsia="de-DE"/>
        </w:rPr>
        <w:t>hypersalivation</w:t>
      </w:r>
      <w:proofErr w:type="spellEnd"/>
      <w:r>
        <w:rPr>
          <w:i/>
          <w:sz w:val="24"/>
          <w:szCs w:val="24"/>
          <w:lang w:eastAsia="de-DE"/>
        </w:rPr>
        <w:t xml:space="preserve"> (voksne/børn/unge)</w:t>
      </w:r>
    </w:p>
    <w:p w:rsidR="00183DD0" w:rsidRDefault="00183DD0" w:rsidP="00183DD0">
      <w:pPr>
        <w:ind w:left="851"/>
        <w:rPr>
          <w:sz w:val="24"/>
          <w:szCs w:val="24"/>
          <w:lang w:eastAsia="de-DE"/>
        </w:rPr>
      </w:pPr>
      <w:bookmarkStart w:id="11" w:name="_Hlk22629382"/>
      <w:r>
        <w:rPr>
          <w:sz w:val="24"/>
          <w:szCs w:val="24"/>
        </w:rPr>
        <w:t xml:space="preserve">Efter </w:t>
      </w:r>
      <w:proofErr w:type="spellStart"/>
      <w:r>
        <w:rPr>
          <w:sz w:val="24"/>
          <w:szCs w:val="24"/>
          <w:lang w:eastAsia="de-DE"/>
        </w:rPr>
        <w:t>rekonstitution</w:t>
      </w:r>
      <w:proofErr w:type="spellEnd"/>
      <w:r>
        <w:rPr>
          <w:sz w:val="24"/>
          <w:szCs w:val="24"/>
          <w:lang w:eastAsia="de-DE"/>
        </w:rPr>
        <w:t xml:space="preserve"> injiceres </w:t>
      </w:r>
      <w:proofErr w:type="spellStart"/>
      <w:r>
        <w:rPr>
          <w:sz w:val="24"/>
          <w:szCs w:val="24"/>
          <w:lang w:eastAsia="de-DE"/>
        </w:rPr>
        <w:t>Xeomin</w:t>
      </w:r>
      <w:proofErr w:type="spellEnd"/>
      <w:r>
        <w:rPr>
          <w:sz w:val="24"/>
          <w:szCs w:val="24"/>
          <w:lang w:eastAsia="de-DE"/>
        </w:rPr>
        <w:t xml:space="preserve">-opløsningen </w:t>
      </w:r>
      <w:proofErr w:type="spellStart"/>
      <w:r>
        <w:rPr>
          <w:sz w:val="24"/>
          <w:szCs w:val="24"/>
          <w:lang w:eastAsia="de-DE"/>
        </w:rPr>
        <w:t>intraglandulært</w:t>
      </w:r>
      <w:proofErr w:type="spellEnd"/>
      <w:r>
        <w:rPr>
          <w:sz w:val="24"/>
          <w:szCs w:val="24"/>
          <w:lang w:eastAsia="de-DE"/>
        </w:rPr>
        <w:t xml:space="preserve"> ved hjælp af en egnet, steril kanyle (f.eks. 27-30 gauge/0,30-0,40 mm i diameter/12,5 mm lang). </w:t>
      </w:r>
    </w:p>
    <w:p w:rsidR="00183DD0" w:rsidRDefault="00183DD0" w:rsidP="00183DD0">
      <w:pPr>
        <w:ind w:left="851"/>
        <w:rPr>
          <w:sz w:val="24"/>
          <w:szCs w:val="24"/>
          <w:lang w:eastAsia="de-DE"/>
        </w:rPr>
      </w:pPr>
      <w:r>
        <w:rPr>
          <w:sz w:val="24"/>
          <w:szCs w:val="24"/>
          <w:lang w:eastAsia="de-DE"/>
        </w:rPr>
        <w:t>Hos voksne er lokalisering af de pågældende kirtler ved hjælp af anatomiske landemærker eller ultralyd begge mulige. Den ultralydsguidede metode bør dog foretrækkes, da det kan medføre et bedre terapeutisk resultat (se pkt. 5.1).</w:t>
      </w:r>
      <w:bookmarkEnd w:id="11"/>
    </w:p>
    <w:p w:rsidR="00183DD0" w:rsidRDefault="00183DD0" w:rsidP="00183DD0">
      <w:pPr>
        <w:ind w:left="851"/>
        <w:rPr>
          <w:sz w:val="24"/>
          <w:szCs w:val="24"/>
          <w:lang w:eastAsia="de-DE"/>
        </w:rPr>
      </w:pPr>
      <w:r>
        <w:rPr>
          <w:sz w:val="24"/>
          <w:szCs w:val="24"/>
          <w:lang w:eastAsia="de-DE"/>
        </w:rPr>
        <w:t xml:space="preserve">Ved behandling af børn og unge bør der anvendes en ultralydsguidet metode. Efter </w:t>
      </w:r>
      <w:r>
        <w:rPr>
          <w:rStyle w:val="trns-org-res"/>
        </w:rPr>
        <w:t>en grundig vurdering af benefit/</w:t>
      </w:r>
      <w:proofErr w:type="spellStart"/>
      <w:r>
        <w:rPr>
          <w:rStyle w:val="trns-org-res"/>
        </w:rPr>
        <w:t>risk</w:t>
      </w:r>
      <w:proofErr w:type="spellEnd"/>
      <w:r>
        <w:rPr>
          <w:rStyle w:val="trns-org-res"/>
        </w:rPr>
        <w:t>-forholdet og ifølge lokal praksis kan d</w:t>
      </w:r>
      <w:r>
        <w:rPr>
          <w:sz w:val="24"/>
          <w:szCs w:val="24"/>
          <w:lang w:eastAsia="de-DE"/>
        </w:rPr>
        <w:t>er anvendes lokalanæstesi (f.eks. lokalbedøvende creme), sedation eller anæstesi kombineret med sedation hos børn og unge før injektion.</w:t>
      </w:r>
    </w:p>
    <w:p w:rsidR="0033400D" w:rsidRPr="00F50095" w:rsidRDefault="0033400D" w:rsidP="0033400D">
      <w:pPr>
        <w:ind w:left="851" w:hanging="851"/>
        <w:rPr>
          <w:sz w:val="24"/>
          <w:szCs w:val="24"/>
        </w:rPr>
      </w:pPr>
    </w:p>
    <w:p w:rsidR="0033400D" w:rsidRPr="00F50095" w:rsidRDefault="0033400D" w:rsidP="0033400D">
      <w:pPr>
        <w:numPr>
          <w:ilvl w:val="1"/>
          <w:numId w:val="1"/>
        </w:numPr>
        <w:tabs>
          <w:tab w:val="clear" w:pos="855"/>
        </w:tabs>
        <w:ind w:left="851" w:hanging="851"/>
        <w:rPr>
          <w:b/>
          <w:sz w:val="24"/>
          <w:szCs w:val="24"/>
        </w:rPr>
      </w:pPr>
      <w:r w:rsidRPr="00F50095">
        <w:rPr>
          <w:b/>
          <w:sz w:val="24"/>
          <w:szCs w:val="24"/>
        </w:rPr>
        <w:t>Kontraindikationer</w:t>
      </w:r>
    </w:p>
    <w:p w:rsidR="0033400D" w:rsidRPr="00F50095" w:rsidRDefault="0033400D" w:rsidP="0033400D">
      <w:pPr>
        <w:pStyle w:val="Listeafsnit"/>
        <w:numPr>
          <w:ilvl w:val="1"/>
          <w:numId w:val="11"/>
        </w:numPr>
        <w:suppressAutoHyphens/>
        <w:ind w:left="1276" w:hanging="425"/>
        <w:rPr>
          <w:sz w:val="24"/>
          <w:szCs w:val="24"/>
        </w:rPr>
      </w:pPr>
      <w:r w:rsidRPr="00F50095">
        <w:rPr>
          <w:sz w:val="24"/>
          <w:szCs w:val="24"/>
        </w:rPr>
        <w:t xml:space="preserve">Overfølsomhed over for det aktive stof eller over for et eller flere af hjælpestofferne anført i </w:t>
      </w:r>
      <w:r w:rsidRPr="00F50095">
        <w:rPr>
          <w:spacing w:val="-2"/>
          <w:sz w:val="24"/>
          <w:szCs w:val="24"/>
        </w:rPr>
        <w:t>pkt.</w:t>
      </w:r>
      <w:r w:rsidRPr="00F50095">
        <w:rPr>
          <w:sz w:val="24"/>
          <w:szCs w:val="24"/>
        </w:rPr>
        <w:t>6.1.</w:t>
      </w:r>
    </w:p>
    <w:p w:rsidR="0033400D" w:rsidRPr="00F50095" w:rsidRDefault="0033400D" w:rsidP="0033400D">
      <w:pPr>
        <w:pStyle w:val="Listeafsnit"/>
        <w:numPr>
          <w:ilvl w:val="1"/>
          <w:numId w:val="11"/>
        </w:numPr>
        <w:suppressAutoHyphens/>
        <w:ind w:left="1276" w:hanging="425"/>
        <w:rPr>
          <w:spacing w:val="-2"/>
          <w:sz w:val="24"/>
          <w:szCs w:val="24"/>
        </w:rPr>
      </w:pPr>
      <w:r w:rsidRPr="00F50095">
        <w:rPr>
          <w:spacing w:val="-2"/>
          <w:sz w:val="24"/>
          <w:szCs w:val="24"/>
        </w:rPr>
        <w:t xml:space="preserve">Generaliserede forstyrrelser i muskelaktivitet (f.eks. </w:t>
      </w:r>
      <w:proofErr w:type="spellStart"/>
      <w:r w:rsidRPr="00F50095">
        <w:rPr>
          <w:spacing w:val="-2"/>
          <w:sz w:val="24"/>
          <w:szCs w:val="24"/>
        </w:rPr>
        <w:t>myasthenia</w:t>
      </w:r>
      <w:proofErr w:type="spellEnd"/>
      <w:r w:rsidRPr="00F50095">
        <w:rPr>
          <w:spacing w:val="-2"/>
          <w:sz w:val="24"/>
          <w:szCs w:val="24"/>
        </w:rPr>
        <w:t xml:space="preserve"> </w:t>
      </w:r>
      <w:proofErr w:type="spellStart"/>
      <w:r w:rsidRPr="00F50095">
        <w:rPr>
          <w:spacing w:val="-2"/>
          <w:sz w:val="24"/>
          <w:szCs w:val="24"/>
        </w:rPr>
        <w:t>gravis</w:t>
      </w:r>
      <w:proofErr w:type="spellEnd"/>
      <w:r w:rsidRPr="00F50095">
        <w:rPr>
          <w:spacing w:val="-2"/>
          <w:sz w:val="24"/>
          <w:szCs w:val="24"/>
        </w:rPr>
        <w:t>, Lambert-Eatons syndrom).</w:t>
      </w:r>
    </w:p>
    <w:p w:rsidR="0033400D" w:rsidRPr="00F50095" w:rsidRDefault="0033400D" w:rsidP="0033400D">
      <w:pPr>
        <w:pStyle w:val="Listeafsnit"/>
        <w:numPr>
          <w:ilvl w:val="1"/>
          <w:numId w:val="11"/>
        </w:numPr>
        <w:suppressAutoHyphens/>
        <w:ind w:left="1276" w:hanging="425"/>
        <w:rPr>
          <w:spacing w:val="-2"/>
          <w:sz w:val="24"/>
          <w:szCs w:val="24"/>
        </w:rPr>
      </w:pPr>
      <w:r w:rsidRPr="00F50095">
        <w:rPr>
          <w:spacing w:val="-2"/>
          <w:sz w:val="24"/>
          <w:szCs w:val="24"/>
        </w:rPr>
        <w:t>Infektion eller inflammation på det foreslåede injektionssted.</w:t>
      </w:r>
    </w:p>
    <w:p w:rsidR="0033400D" w:rsidRPr="00F50095" w:rsidRDefault="0033400D" w:rsidP="0033400D">
      <w:pPr>
        <w:suppressAutoHyphens/>
        <w:ind w:left="851" w:hanging="851"/>
        <w:rPr>
          <w:sz w:val="24"/>
          <w:szCs w:val="24"/>
        </w:rPr>
      </w:pPr>
    </w:p>
    <w:p w:rsidR="0033400D" w:rsidRPr="00F50095" w:rsidRDefault="0033400D" w:rsidP="0033400D">
      <w:pPr>
        <w:numPr>
          <w:ilvl w:val="1"/>
          <w:numId w:val="1"/>
        </w:numPr>
        <w:ind w:left="851" w:hanging="851"/>
        <w:rPr>
          <w:b/>
          <w:sz w:val="24"/>
          <w:szCs w:val="24"/>
        </w:rPr>
      </w:pPr>
      <w:r w:rsidRPr="00F50095">
        <w:rPr>
          <w:b/>
          <w:sz w:val="24"/>
          <w:szCs w:val="24"/>
        </w:rPr>
        <w:t>Særlige advarsler og forsigtighedsregler vedrørende brugen</w:t>
      </w:r>
    </w:p>
    <w:p w:rsidR="004E56D0" w:rsidRDefault="004E56D0" w:rsidP="004E56D0">
      <w:pPr>
        <w:autoSpaceDE w:val="0"/>
        <w:autoSpaceDN w:val="0"/>
        <w:adjustRightInd w:val="0"/>
        <w:ind w:left="851"/>
        <w:rPr>
          <w:rFonts w:ascii="TimesNewRomanPSMT" w:hAnsi="TimesNewRomanPSMT" w:cs="TimesNewRomanPSMT"/>
          <w:szCs w:val="22"/>
          <w:u w:val="single"/>
          <w:lang w:eastAsia="en-GB"/>
        </w:rPr>
      </w:pPr>
    </w:p>
    <w:p w:rsidR="00183DD0" w:rsidRPr="004E56D0" w:rsidRDefault="00183DD0" w:rsidP="00183DD0">
      <w:pPr>
        <w:autoSpaceDE w:val="0"/>
        <w:autoSpaceDN w:val="0"/>
        <w:adjustRightInd w:val="0"/>
        <w:ind w:left="851"/>
        <w:rPr>
          <w:rFonts w:ascii="TimesNewRomanPSMT" w:hAnsi="TimesNewRomanPSMT" w:cs="TimesNewRomanPSMT"/>
          <w:szCs w:val="22"/>
          <w:u w:val="single"/>
          <w:lang w:eastAsia="en-GB"/>
        </w:rPr>
      </w:pPr>
      <w:r w:rsidRPr="004E56D0">
        <w:rPr>
          <w:rFonts w:ascii="TimesNewRomanPSMT" w:hAnsi="TimesNewRomanPSMT" w:cs="TimesNewRomanPSMT"/>
          <w:szCs w:val="22"/>
          <w:u w:val="single"/>
          <w:lang w:eastAsia="en-GB"/>
        </w:rPr>
        <w:t>Sporbarhed</w:t>
      </w:r>
    </w:p>
    <w:p w:rsidR="00183DD0" w:rsidRPr="004E56D0" w:rsidRDefault="00183DD0" w:rsidP="00183DD0">
      <w:pPr>
        <w:suppressAutoHyphens/>
        <w:ind w:left="851"/>
        <w:rPr>
          <w:spacing w:val="-2"/>
          <w:sz w:val="24"/>
          <w:szCs w:val="24"/>
          <w:lang w:bidi="da-DK"/>
        </w:rPr>
      </w:pPr>
      <w:r w:rsidRPr="004E56D0">
        <w:rPr>
          <w:rFonts w:ascii="TimesNewRomanPSMT" w:hAnsi="TimesNewRomanPSMT" w:cs="TimesNewRomanPSMT"/>
          <w:szCs w:val="22"/>
          <w:lang w:eastAsia="en-GB"/>
        </w:rPr>
        <w:t>For at forbedre sporbarheden af biologiske lægemidler skal det administrerede produkts navn og batchnummer tydeligt registreres.</w:t>
      </w:r>
    </w:p>
    <w:p w:rsidR="00183DD0" w:rsidRPr="004E56D0" w:rsidRDefault="00183DD0" w:rsidP="00183DD0">
      <w:pPr>
        <w:suppressAutoHyphens/>
        <w:ind w:left="851"/>
        <w:rPr>
          <w:spacing w:val="-2"/>
          <w:sz w:val="24"/>
          <w:szCs w:val="24"/>
          <w:lang w:bidi="da-DK"/>
        </w:rPr>
      </w:pPr>
    </w:p>
    <w:p w:rsidR="00183DD0" w:rsidRPr="00FF3346" w:rsidRDefault="00183DD0" w:rsidP="00183DD0">
      <w:pPr>
        <w:suppressAutoHyphens/>
        <w:ind w:left="851"/>
        <w:rPr>
          <w:spacing w:val="-2"/>
          <w:sz w:val="24"/>
          <w:szCs w:val="24"/>
          <w:u w:val="single"/>
          <w:lang w:bidi="da-DK"/>
        </w:rPr>
      </w:pPr>
      <w:r w:rsidRPr="00FF3346">
        <w:rPr>
          <w:spacing w:val="-2"/>
          <w:sz w:val="24"/>
          <w:szCs w:val="24"/>
          <w:u w:val="single"/>
          <w:lang w:bidi="da-DK"/>
        </w:rPr>
        <w:t>Generelt</w:t>
      </w: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Før administration af </w:t>
      </w: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 xml:space="preserve"> skal lægen gøre sig bekendt med patientens anatomi og eventuelle ændringer af anatomien grundet tidligere kirurgiske indgreb.</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Det er vigtigt at sørge for, at </w:t>
      </w: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 xml:space="preserve"> ikke injiceres i et blodkar. </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 xml:space="preserve"> bør anvendes med forsigtighed:</w:t>
      </w:r>
    </w:p>
    <w:p w:rsidR="00183DD0" w:rsidRPr="00F50095" w:rsidRDefault="00183DD0" w:rsidP="00183DD0">
      <w:pPr>
        <w:numPr>
          <w:ilvl w:val="0"/>
          <w:numId w:val="12"/>
        </w:numPr>
        <w:suppressAutoHyphens/>
        <w:ind w:left="1276" w:hanging="425"/>
        <w:rPr>
          <w:spacing w:val="-2"/>
          <w:sz w:val="24"/>
          <w:szCs w:val="24"/>
          <w:lang w:bidi="da-DK"/>
        </w:rPr>
      </w:pPr>
      <w:r w:rsidRPr="00F50095">
        <w:rPr>
          <w:spacing w:val="-2"/>
          <w:sz w:val="24"/>
          <w:szCs w:val="24"/>
          <w:lang w:bidi="da-DK"/>
        </w:rPr>
        <w:t>hvis patienten har en blødningsforstyrrelse uanset art</w:t>
      </w:r>
    </w:p>
    <w:p w:rsidR="00183DD0" w:rsidRPr="00F50095" w:rsidRDefault="00183DD0" w:rsidP="00183DD0">
      <w:pPr>
        <w:numPr>
          <w:ilvl w:val="0"/>
          <w:numId w:val="12"/>
        </w:numPr>
        <w:suppressAutoHyphens/>
        <w:ind w:left="1276" w:hanging="425"/>
        <w:rPr>
          <w:spacing w:val="-2"/>
          <w:sz w:val="24"/>
          <w:szCs w:val="24"/>
          <w:lang w:bidi="da-DK"/>
        </w:rPr>
      </w:pPr>
      <w:r w:rsidRPr="00F50095">
        <w:rPr>
          <w:spacing w:val="-2"/>
          <w:sz w:val="24"/>
          <w:szCs w:val="24"/>
          <w:lang w:bidi="da-DK"/>
        </w:rPr>
        <w:t>til patienter, der er i AK-behandling eller får andre stoffer, der kunne have en koagulationshæmmende effekt.</w:t>
      </w:r>
    </w:p>
    <w:p w:rsidR="00183DD0" w:rsidRPr="00F50095" w:rsidRDefault="00183DD0" w:rsidP="00183DD0">
      <w:pPr>
        <w:suppressAutoHyphens/>
        <w:ind w:left="851"/>
        <w:rPr>
          <w:i/>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Den kliniske virkning af </w:t>
      </w:r>
      <w:proofErr w:type="spellStart"/>
      <w:r w:rsidRPr="00F50095">
        <w:rPr>
          <w:spacing w:val="-2"/>
          <w:sz w:val="24"/>
          <w:szCs w:val="24"/>
          <w:lang w:bidi="da-DK"/>
        </w:rPr>
        <w:t>botulinum</w:t>
      </w:r>
      <w:proofErr w:type="spellEnd"/>
      <w:r w:rsidRPr="00F50095">
        <w:rPr>
          <w:spacing w:val="-2"/>
          <w:sz w:val="24"/>
          <w:szCs w:val="24"/>
          <w:lang w:bidi="da-DK"/>
        </w:rPr>
        <w:t xml:space="preserve"> type A-</w:t>
      </w:r>
      <w:proofErr w:type="spellStart"/>
      <w:r w:rsidRPr="00F50095">
        <w:rPr>
          <w:spacing w:val="-2"/>
          <w:sz w:val="24"/>
          <w:szCs w:val="24"/>
          <w:lang w:bidi="da-DK"/>
        </w:rPr>
        <w:t>neurotoksin</w:t>
      </w:r>
      <w:proofErr w:type="spellEnd"/>
      <w:r w:rsidRPr="00F50095">
        <w:rPr>
          <w:spacing w:val="-2"/>
          <w:sz w:val="24"/>
          <w:szCs w:val="24"/>
          <w:lang w:bidi="da-DK"/>
        </w:rPr>
        <w:t xml:space="preserve"> vil måske blive øget eller reduceret ved gentagne injektioner. Mulige årsager til forandringer i den klinisk virkning kan være forskellige </w:t>
      </w:r>
      <w:proofErr w:type="spellStart"/>
      <w:r w:rsidRPr="00F50095">
        <w:rPr>
          <w:spacing w:val="-2"/>
          <w:sz w:val="24"/>
          <w:szCs w:val="24"/>
          <w:lang w:bidi="da-DK"/>
        </w:rPr>
        <w:t>rekonstitutionsmetoder</w:t>
      </w:r>
      <w:proofErr w:type="spellEnd"/>
      <w:r w:rsidRPr="00F50095">
        <w:rPr>
          <w:spacing w:val="-2"/>
          <w:sz w:val="24"/>
          <w:szCs w:val="24"/>
          <w:lang w:bidi="da-DK"/>
        </w:rPr>
        <w:t>, de valgte intervaller mellem injektioner, injektionsstedet og marginale forskelle mellem toksinets virkning, der skyldes den anvendte biologiske testprocedure eller sekundært manglende respons.</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u w:val="single"/>
          <w:lang w:bidi="da-DK"/>
        </w:rPr>
        <w:t xml:space="preserve">Lokal og </w:t>
      </w:r>
      <w:r>
        <w:rPr>
          <w:spacing w:val="-2"/>
          <w:sz w:val="24"/>
          <w:szCs w:val="24"/>
          <w:u w:val="single"/>
          <w:lang w:bidi="da-DK"/>
        </w:rPr>
        <w:t>fjern</w:t>
      </w:r>
      <w:r w:rsidRPr="00F50095">
        <w:rPr>
          <w:spacing w:val="-2"/>
          <w:sz w:val="24"/>
          <w:szCs w:val="24"/>
          <w:u w:val="single"/>
          <w:lang w:bidi="da-DK"/>
        </w:rPr>
        <w:t>spredning af toksinets effekt</w:t>
      </w: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Bivirkninger kan opstå på grund af fejlplacerede injektioner af </w:t>
      </w:r>
      <w:proofErr w:type="spellStart"/>
      <w:r w:rsidRPr="00F50095">
        <w:rPr>
          <w:spacing w:val="-2"/>
          <w:sz w:val="24"/>
          <w:szCs w:val="24"/>
          <w:lang w:bidi="da-DK"/>
        </w:rPr>
        <w:t>botulinum</w:t>
      </w:r>
      <w:proofErr w:type="spellEnd"/>
      <w:r w:rsidRPr="00F50095">
        <w:rPr>
          <w:spacing w:val="-2"/>
          <w:sz w:val="24"/>
          <w:szCs w:val="24"/>
          <w:lang w:bidi="da-DK"/>
        </w:rPr>
        <w:t xml:space="preserve"> type A-</w:t>
      </w:r>
      <w:proofErr w:type="spellStart"/>
      <w:r w:rsidRPr="00F50095">
        <w:rPr>
          <w:spacing w:val="-2"/>
          <w:sz w:val="24"/>
          <w:szCs w:val="24"/>
          <w:lang w:bidi="da-DK"/>
        </w:rPr>
        <w:t>neurotoksin</w:t>
      </w:r>
      <w:proofErr w:type="spellEnd"/>
      <w:r w:rsidRPr="00F50095">
        <w:rPr>
          <w:spacing w:val="-2"/>
          <w:sz w:val="24"/>
          <w:szCs w:val="24"/>
          <w:lang w:bidi="da-DK"/>
        </w:rPr>
        <w:t>, der midlertidigt paralyserer nærliggende muskelgrupper. Store doser kan lamme muskler fjernt fra injektionsstedet.</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Der er indberettet bivirkninger, som kunne være forbundet med spredning af </w:t>
      </w:r>
      <w:proofErr w:type="spellStart"/>
      <w:r w:rsidRPr="00F50095">
        <w:rPr>
          <w:spacing w:val="-2"/>
          <w:sz w:val="24"/>
          <w:szCs w:val="24"/>
          <w:lang w:bidi="da-DK"/>
        </w:rPr>
        <w:t>botulinum</w:t>
      </w:r>
      <w:proofErr w:type="spellEnd"/>
      <w:r w:rsidRPr="00F50095">
        <w:rPr>
          <w:spacing w:val="-2"/>
          <w:sz w:val="24"/>
          <w:szCs w:val="24"/>
          <w:lang w:bidi="da-DK"/>
        </w:rPr>
        <w:t xml:space="preserve"> type A-toksin til steder, fjernt fra injektionsstedet (se pkt. 4.8). Nogle af disse bivirkninger kan være livstruende, og der er indberettet dødsfald, som i visse tilfælde var forbundet med </w:t>
      </w:r>
      <w:proofErr w:type="spellStart"/>
      <w:r w:rsidRPr="00F50095">
        <w:rPr>
          <w:spacing w:val="-2"/>
          <w:sz w:val="24"/>
          <w:szCs w:val="24"/>
          <w:lang w:bidi="da-DK"/>
        </w:rPr>
        <w:t>dysfagi</w:t>
      </w:r>
      <w:proofErr w:type="spellEnd"/>
      <w:r w:rsidRPr="00F50095">
        <w:rPr>
          <w:spacing w:val="-2"/>
          <w:sz w:val="24"/>
          <w:szCs w:val="24"/>
          <w:lang w:bidi="da-DK"/>
        </w:rPr>
        <w:t>, pneumoni og/eller signifikant svækkelse.</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rPr>
        <w:t>Patienter, der behandles med terapeutiske doser, kan opleve voldsom muskelsvaghed.</w:t>
      </w:r>
    </w:p>
    <w:p w:rsidR="00183DD0" w:rsidRPr="00F50095" w:rsidRDefault="00183DD0" w:rsidP="00183DD0">
      <w:pPr>
        <w:suppressAutoHyphens/>
        <w:ind w:left="851"/>
        <w:rPr>
          <w:spacing w:val="-2"/>
          <w:sz w:val="24"/>
          <w:szCs w:val="24"/>
        </w:rPr>
      </w:pPr>
      <w:r w:rsidRPr="00F50095">
        <w:rPr>
          <w:spacing w:val="-2"/>
          <w:sz w:val="24"/>
          <w:szCs w:val="24"/>
        </w:rPr>
        <w:t>Patienter eller deres omsorgspersoner bør rådgives om, at de omgående skal søge lægehjælp, hvis der opstår synke-, tale- eller vejrtrækningsbesvær.</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Der er også indberettet </w:t>
      </w:r>
      <w:proofErr w:type="spellStart"/>
      <w:r w:rsidRPr="00F50095">
        <w:rPr>
          <w:spacing w:val="-2"/>
          <w:sz w:val="24"/>
          <w:szCs w:val="24"/>
          <w:lang w:bidi="da-DK"/>
        </w:rPr>
        <w:t>dysfagi</w:t>
      </w:r>
      <w:proofErr w:type="spellEnd"/>
      <w:r w:rsidRPr="00F50095">
        <w:rPr>
          <w:spacing w:val="-2"/>
          <w:sz w:val="24"/>
          <w:szCs w:val="24"/>
          <w:lang w:bidi="da-DK"/>
        </w:rPr>
        <w:t xml:space="preserve"> efter injektion andre steder end i halsmuskulaturen.</w:t>
      </w:r>
    </w:p>
    <w:p w:rsidR="00183DD0" w:rsidRPr="00F50095" w:rsidRDefault="00183DD0" w:rsidP="00183DD0">
      <w:pPr>
        <w:suppressAutoHyphens/>
        <w:ind w:left="851"/>
        <w:rPr>
          <w:spacing w:val="-2"/>
          <w:sz w:val="24"/>
          <w:szCs w:val="24"/>
          <w:lang w:bidi="da-DK"/>
        </w:rPr>
      </w:pPr>
    </w:p>
    <w:p w:rsidR="00183DD0" w:rsidRPr="00F50095" w:rsidRDefault="00183DD0" w:rsidP="00183DD0">
      <w:pPr>
        <w:suppressAutoHyphens/>
        <w:ind w:left="851"/>
        <w:rPr>
          <w:spacing w:val="-2"/>
          <w:sz w:val="24"/>
          <w:szCs w:val="24"/>
          <w:lang w:bidi="da-DK"/>
        </w:rPr>
      </w:pPr>
      <w:r w:rsidRPr="00F50095">
        <w:rPr>
          <w:spacing w:val="-2"/>
          <w:sz w:val="24"/>
          <w:szCs w:val="24"/>
          <w:u w:val="single"/>
          <w:lang w:bidi="da-DK"/>
        </w:rPr>
        <w:t xml:space="preserve">Eksisterende </w:t>
      </w:r>
      <w:proofErr w:type="spellStart"/>
      <w:r w:rsidRPr="00F50095">
        <w:rPr>
          <w:spacing w:val="-2"/>
          <w:sz w:val="24"/>
          <w:szCs w:val="24"/>
          <w:u w:val="single"/>
          <w:lang w:bidi="da-DK"/>
        </w:rPr>
        <w:t>neuromuskulære</w:t>
      </w:r>
      <w:proofErr w:type="spellEnd"/>
      <w:r w:rsidRPr="00F50095">
        <w:rPr>
          <w:spacing w:val="-2"/>
          <w:sz w:val="24"/>
          <w:szCs w:val="24"/>
          <w:u w:val="single"/>
          <w:lang w:bidi="da-DK"/>
        </w:rPr>
        <w:t xml:space="preserve"> sygdomme</w:t>
      </w:r>
    </w:p>
    <w:p w:rsidR="00183DD0" w:rsidRPr="00F50095" w:rsidRDefault="00183DD0" w:rsidP="00183DD0">
      <w:pPr>
        <w:suppressAutoHyphens/>
        <w:ind w:left="851"/>
        <w:rPr>
          <w:spacing w:val="-2"/>
          <w:sz w:val="24"/>
          <w:szCs w:val="24"/>
        </w:rPr>
      </w:pPr>
      <w:r w:rsidRPr="00F50095">
        <w:rPr>
          <w:spacing w:val="-2"/>
          <w:sz w:val="24"/>
          <w:szCs w:val="24"/>
        </w:rPr>
        <w:t xml:space="preserve">Patienter med </w:t>
      </w:r>
      <w:proofErr w:type="spellStart"/>
      <w:r w:rsidRPr="00F50095">
        <w:rPr>
          <w:spacing w:val="-2"/>
          <w:sz w:val="24"/>
          <w:szCs w:val="24"/>
        </w:rPr>
        <w:t>neuromuskulære</w:t>
      </w:r>
      <w:proofErr w:type="spellEnd"/>
      <w:r w:rsidRPr="00F50095">
        <w:rPr>
          <w:spacing w:val="-2"/>
          <w:sz w:val="24"/>
          <w:szCs w:val="24"/>
        </w:rPr>
        <w:t xml:space="preserve"> lidelser kan have en øget risiko for voldsom muskelsvaghed, især hvis de behandles intramuskulært. Hos disse patienter bør </w:t>
      </w:r>
      <w:proofErr w:type="spellStart"/>
      <w:r w:rsidRPr="00F50095">
        <w:rPr>
          <w:spacing w:val="-2"/>
          <w:sz w:val="24"/>
          <w:szCs w:val="24"/>
        </w:rPr>
        <w:t>botulinum</w:t>
      </w:r>
      <w:proofErr w:type="spellEnd"/>
      <w:r w:rsidRPr="00F50095">
        <w:rPr>
          <w:spacing w:val="-2"/>
          <w:sz w:val="24"/>
          <w:szCs w:val="24"/>
        </w:rPr>
        <w:t xml:space="preserve"> type A-toksinproduktet anvendes under tilsyn af en speciallæge, og det må kun anvendes, hvis fordelene ved behandlingen anses for at overstige risikoen. </w:t>
      </w:r>
    </w:p>
    <w:p w:rsidR="00183DD0" w:rsidRPr="00F50095" w:rsidRDefault="00183DD0" w:rsidP="00183DD0">
      <w:pPr>
        <w:suppressAutoHyphens/>
        <w:ind w:left="851"/>
        <w:rPr>
          <w:spacing w:val="-2"/>
          <w:sz w:val="24"/>
          <w:szCs w:val="24"/>
        </w:rPr>
      </w:pPr>
    </w:p>
    <w:p w:rsidR="00183DD0" w:rsidRPr="00F50095" w:rsidRDefault="00183DD0" w:rsidP="00183DD0">
      <w:pPr>
        <w:suppressAutoHyphens/>
        <w:ind w:left="851"/>
        <w:rPr>
          <w:spacing w:val="-2"/>
          <w:sz w:val="24"/>
          <w:szCs w:val="24"/>
        </w:rPr>
      </w:pPr>
      <w:r w:rsidRPr="00F50095">
        <w:rPr>
          <w:spacing w:val="-2"/>
          <w:sz w:val="24"/>
          <w:szCs w:val="24"/>
        </w:rPr>
        <w:t xml:space="preserve">Patienter med </w:t>
      </w:r>
      <w:proofErr w:type="spellStart"/>
      <w:r w:rsidRPr="00F50095">
        <w:rPr>
          <w:spacing w:val="-2"/>
          <w:sz w:val="24"/>
          <w:szCs w:val="24"/>
        </w:rPr>
        <w:t>dysfagi</w:t>
      </w:r>
      <w:proofErr w:type="spellEnd"/>
      <w:r w:rsidRPr="00F50095">
        <w:rPr>
          <w:spacing w:val="-2"/>
          <w:sz w:val="24"/>
          <w:szCs w:val="24"/>
        </w:rPr>
        <w:t xml:space="preserve"> og aspiration i anamnesen bør behandles med ekstrem forsigtighed. Der bør udvises ekstrem forsigtighed ved behandling af </w:t>
      </w:r>
      <w:proofErr w:type="spellStart"/>
      <w:r w:rsidRPr="00F50095">
        <w:rPr>
          <w:spacing w:val="-2"/>
          <w:sz w:val="24"/>
          <w:szCs w:val="24"/>
        </w:rPr>
        <w:t>cervikal</w:t>
      </w:r>
      <w:proofErr w:type="spellEnd"/>
      <w:r w:rsidRPr="00F50095">
        <w:rPr>
          <w:spacing w:val="-2"/>
          <w:sz w:val="24"/>
          <w:szCs w:val="24"/>
        </w:rPr>
        <w:t xml:space="preserve"> </w:t>
      </w:r>
      <w:proofErr w:type="spellStart"/>
      <w:r w:rsidRPr="00F50095">
        <w:rPr>
          <w:spacing w:val="-2"/>
          <w:sz w:val="24"/>
          <w:szCs w:val="24"/>
        </w:rPr>
        <w:t>dystoni</w:t>
      </w:r>
      <w:proofErr w:type="spellEnd"/>
      <w:r w:rsidRPr="00F50095">
        <w:rPr>
          <w:spacing w:val="-2"/>
          <w:sz w:val="24"/>
          <w:szCs w:val="24"/>
        </w:rPr>
        <w:t xml:space="preserve"> hos disse patienter.</w:t>
      </w:r>
    </w:p>
    <w:p w:rsidR="00183DD0" w:rsidRPr="00F50095" w:rsidRDefault="00183DD0" w:rsidP="00183DD0">
      <w:pPr>
        <w:suppressAutoHyphens/>
        <w:ind w:left="851"/>
        <w:rPr>
          <w:spacing w:val="-2"/>
          <w:sz w:val="24"/>
          <w:szCs w:val="24"/>
        </w:rPr>
      </w:pPr>
    </w:p>
    <w:p w:rsidR="00183DD0" w:rsidRPr="00F50095" w:rsidRDefault="00183DD0" w:rsidP="00183DD0">
      <w:pPr>
        <w:suppressAutoHyphens/>
        <w:ind w:left="851"/>
        <w:rPr>
          <w:spacing w:val="-2"/>
          <w:sz w:val="24"/>
          <w:szCs w:val="24"/>
        </w:rPr>
      </w:pPr>
      <w:proofErr w:type="spellStart"/>
      <w:r w:rsidRPr="00F50095">
        <w:rPr>
          <w:spacing w:val="-2"/>
          <w:sz w:val="24"/>
          <w:szCs w:val="24"/>
        </w:rPr>
        <w:t>X</w:t>
      </w:r>
      <w:r>
        <w:rPr>
          <w:spacing w:val="-2"/>
          <w:sz w:val="24"/>
          <w:szCs w:val="24"/>
        </w:rPr>
        <w:t>eomin</w:t>
      </w:r>
      <w:proofErr w:type="spellEnd"/>
      <w:r w:rsidRPr="00F50095">
        <w:rPr>
          <w:spacing w:val="-2"/>
          <w:sz w:val="24"/>
          <w:szCs w:val="24"/>
        </w:rPr>
        <w:t xml:space="preserve"> bør anvendes med forsigtighed:</w:t>
      </w:r>
    </w:p>
    <w:p w:rsidR="00183DD0" w:rsidRPr="00F50095" w:rsidRDefault="00183DD0" w:rsidP="00183DD0">
      <w:pPr>
        <w:numPr>
          <w:ilvl w:val="0"/>
          <w:numId w:val="10"/>
        </w:numPr>
        <w:suppressAutoHyphens/>
        <w:snapToGrid w:val="0"/>
        <w:ind w:left="1276" w:hanging="425"/>
        <w:rPr>
          <w:sz w:val="24"/>
          <w:szCs w:val="24"/>
        </w:rPr>
      </w:pPr>
      <w:r w:rsidRPr="00F50095">
        <w:rPr>
          <w:spacing w:val="-2"/>
          <w:sz w:val="24"/>
          <w:szCs w:val="24"/>
        </w:rPr>
        <w:t xml:space="preserve">hos patienter, der lider af </w:t>
      </w:r>
      <w:proofErr w:type="spellStart"/>
      <w:r w:rsidRPr="00F50095">
        <w:rPr>
          <w:spacing w:val="-2"/>
          <w:sz w:val="24"/>
          <w:szCs w:val="24"/>
        </w:rPr>
        <w:t>amyotrofisk</w:t>
      </w:r>
      <w:proofErr w:type="spellEnd"/>
      <w:r w:rsidRPr="00F50095">
        <w:rPr>
          <w:spacing w:val="-2"/>
          <w:sz w:val="24"/>
          <w:szCs w:val="24"/>
        </w:rPr>
        <w:t xml:space="preserve"> lateralsklerose </w:t>
      </w:r>
    </w:p>
    <w:p w:rsidR="00183DD0" w:rsidRPr="00F50095" w:rsidRDefault="00183DD0" w:rsidP="00183DD0">
      <w:pPr>
        <w:numPr>
          <w:ilvl w:val="0"/>
          <w:numId w:val="10"/>
        </w:numPr>
        <w:suppressAutoHyphens/>
        <w:snapToGrid w:val="0"/>
        <w:ind w:left="1276" w:hanging="425"/>
        <w:rPr>
          <w:sz w:val="24"/>
          <w:szCs w:val="24"/>
        </w:rPr>
      </w:pPr>
      <w:r w:rsidRPr="00F50095">
        <w:rPr>
          <w:spacing w:val="-2"/>
          <w:sz w:val="24"/>
          <w:szCs w:val="24"/>
        </w:rPr>
        <w:t xml:space="preserve">hos patienter med andre sygdomme, der resulterer i perifer </w:t>
      </w:r>
      <w:proofErr w:type="spellStart"/>
      <w:r w:rsidRPr="00F50095">
        <w:rPr>
          <w:spacing w:val="-2"/>
          <w:sz w:val="24"/>
          <w:szCs w:val="24"/>
        </w:rPr>
        <w:t>neuromuskulær</w:t>
      </w:r>
      <w:proofErr w:type="spellEnd"/>
      <w:r w:rsidRPr="00F50095">
        <w:rPr>
          <w:spacing w:val="-2"/>
          <w:sz w:val="24"/>
          <w:szCs w:val="24"/>
        </w:rPr>
        <w:t xml:space="preserve"> dysfunktion</w:t>
      </w:r>
    </w:p>
    <w:p w:rsidR="00183DD0" w:rsidRPr="00F50095" w:rsidRDefault="00183DD0" w:rsidP="00183DD0">
      <w:pPr>
        <w:numPr>
          <w:ilvl w:val="0"/>
          <w:numId w:val="10"/>
        </w:numPr>
        <w:suppressAutoHyphens/>
        <w:snapToGrid w:val="0"/>
        <w:ind w:left="1276" w:hanging="425"/>
        <w:rPr>
          <w:sz w:val="24"/>
          <w:szCs w:val="24"/>
        </w:rPr>
      </w:pPr>
      <w:r w:rsidRPr="00F50095">
        <w:rPr>
          <w:spacing w:val="-2"/>
          <w:sz w:val="24"/>
          <w:szCs w:val="24"/>
        </w:rPr>
        <w:t>i målmuskler, der udviser udtalt svaghed eller atrofi</w:t>
      </w:r>
    </w:p>
    <w:p w:rsidR="00183DD0" w:rsidRDefault="00183DD0" w:rsidP="00183DD0">
      <w:pPr>
        <w:suppressAutoHyphens/>
        <w:ind w:left="851" w:hanging="851"/>
        <w:rPr>
          <w:spacing w:val="-2"/>
          <w:sz w:val="24"/>
          <w:szCs w:val="24"/>
        </w:rPr>
      </w:pPr>
    </w:p>
    <w:p w:rsidR="00E44AD4" w:rsidRDefault="00E44AD4" w:rsidP="00183DD0">
      <w:pPr>
        <w:suppressAutoHyphens/>
        <w:ind w:left="851" w:hanging="851"/>
        <w:rPr>
          <w:spacing w:val="-2"/>
          <w:sz w:val="24"/>
          <w:szCs w:val="24"/>
        </w:rPr>
      </w:pPr>
    </w:p>
    <w:p w:rsidR="00E44AD4" w:rsidRDefault="00E44AD4" w:rsidP="00183DD0">
      <w:pPr>
        <w:suppressAutoHyphens/>
        <w:ind w:left="851" w:hanging="851"/>
        <w:rPr>
          <w:spacing w:val="-2"/>
          <w:sz w:val="24"/>
          <w:szCs w:val="24"/>
        </w:rPr>
      </w:pPr>
    </w:p>
    <w:p w:rsidR="00E44AD4" w:rsidRPr="00F50095" w:rsidRDefault="00E44AD4" w:rsidP="00183DD0">
      <w:pPr>
        <w:suppressAutoHyphens/>
        <w:ind w:left="851" w:hanging="851"/>
        <w:rPr>
          <w:spacing w:val="-2"/>
          <w:sz w:val="24"/>
          <w:szCs w:val="24"/>
        </w:rPr>
      </w:pPr>
    </w:p>
    <w:p w:rsidR="00183DD0" w:rsidRPr="00F50095" w:rsidRDefault="00183DD0" w:rsidP="00183DD0">
      <w:pPr>
        <w:suppressAutoHyphens/>
        <w:ind w:left="851"/>
        <w:rPr>
          <w:spacing w:val="-2"/>
          <w:sz w:val="24"/>
          <w:szCs w:val="24"/>
        </w:rPr>
      </w:pPr>
      <w:r w:rsidRPr="00F50095">
        <w:rPr>
          <w:spacing w:val="-2"/>
          <w:sz w:val="24"/>
          <w:szCs w:val="24"/>
          <w:u w:val="single"/>
        </w:rPr>
        <w:lastRenderedPageBreak/>
        <w:t>Overfølsomhedsreaktioner</w:t>
      </w:r>
    </w:p>
    <w:p w:rsidR="00183DD0" w:rsidRPr="00F50095" w:rsidRDefault="00183DD0" w:rsidP="00183DD0">
      <w:pPr>
        <w:suppressAutoHyphens/>
        <w:ind w:left="851"/>
        <w:rPr>
          <w:spacing w:val="-2"/>
          <w:sz w:val="24"/>
          <w:szCs w:val="24"/>
        </w:rPr>
      </w:pPr>
      <w:r w:rsidRPr="00F50095">
        <w:rPr>
          <w:spacing w:val="-2"/>
          <w:sz w:val="24"/>
          <w:szCs w:val="24"/>
        </w:rPr>
        <w:t xml:space="preserve">Der er indberettet overfølsomhedsreaktioner i forbindelse med præparater med </w:t>
      </w:r>
      <w:proofErr w:type="spellStart"/>
      <w:r w:rsidRPr="00F50095">
        <w:rPr>
          <w:spacing w:val="-2"/>
          <w:sz w:val="24"/>
          <w:szCs w:val="24"/>
        </w:rPr>
        <w:t>botulinum</w:t>
      </w:r>
      <w:proofErr w:type="spellEnd"/>
      <w:r w:rsidRPr="00F50095">
        <w:rPr>
          <w:spacing w:val="-2"/>
          <w:sz w:val="24"/>
          <w:szCs w:val="24"/>
        </w:rPr>
        <w:t xml:space="preserve"> type A-</w:t>
      </w:r>
      <w:proofErr w:type="spellStart"/>
      <w:r w:rsidRPr="00F50095">
        <w:rPr>
          <w:spacing w:val="-2"/>
          <w:sz w:val="24"/>
          <w:szCs w:val="24"/>
        </w:rPr>
        <w:t>neurotoksin</w:t>
      </w:r>
      <w:proofErr w:type="spellEnd"/>
      <w:r w:rsidRPr="00F50095">
        <w:rPr>
          <w:spacing w:val="-2"/>
          <w:sz w:val="24"/>
          <w:szCs w:val="24"/>
        </w:rPr>
        <w:t xml:space="preserve">. I alvorlige tilfælde (f.eks. </w:t>
      </w:r>
      <w:proofErr w:type="spellStart"/>
      <w:r w:rsidRPr="00F50095">
        <w:rPr>
          <w:spacing w:val="-2"/>
          <w:sz w:val="24"/>
          <w:szCs w:val="24"/>
        </w:rPr>
        <w:t>anafylaktiske</w:t>
      </w:r>
      <w:proofErr w:type="spellEnd"/>
      <w:r w:rsidRPr="00F50095">
        <w:rPr>
          <w:spacing w:val="-2"/>
          <w:sz w:val="24"/>
          <w:szCs w:val="24"/>
        </w:rPr>
        <w:t xml:space="preserve"> reaktioner) og/eller ved akutte overfølsomhedsreaktioner skal der gives passende medicinsk behandling.</w:t>
      </w:r>
    </w:p>
    <w:p w:rsidR="00183DD0" w:rsidRPr="00F50095" w:rsidRDefault="00183DD0" w:rsidP="00183DD0">
      <w:pPr>
        <w:rPr>
          <w:spacing w:val="-2"/>
          <w:sz w:val="24"/>
          <w:szCs w:val="24"/>
        </w:rPr>
      </w:pPr>
    </w:p>
    <w:p w:rsidR="00183DD0" w:rsidRPr="00F50095" w:rsidRDefault="00183DD0" w:rsidP="00183DD0">
      <w:pPr>
        <w:suppressAutoHyphens/>
        <w:ind w:left="851"/>
        <w:rPr>
          <w:bCs/>
          <w:sz w:val="24"/>
          <w:szCs w:val="24"/>
          <w:lang w:bidi="da-DK"/>
        </w:rPr>
      </w:pPr>
      <w:r w:rsidRPr="00F50095">
        <w:rPr>
          <w:sz w:val="24"/>
          <w:szCs w:val="24"/>
          <w:u w:val="single"/>
          <w:lang w:bidi="da-DK"/>
        </w:rPr>
        <w:t>Dannelse af antistoffer</w:t>
      </w:r>
    </w:p>
    <w:p w:rsidR="00183DD0" w:rsidRPr="00F50095" w:rsidRDefault="00183DD0" w:rsidP="00183DD0">
      <w:pPr>
        <w:suppressAutoHyphens/>
        <w:ind w:left="851"/>
        <w:rPr>
          <w:sz w:val="24"/>
          <w:szCs w:val="24"/>
          <w:lang w:bidi="da-DK"/>
        </w:rPr>
      </w:pPr>
      <w:r w:rsidRPr="00F50095">
        <w:rPr>
          <w:sz w:val="24"/>
          <w:szCs w:val="24"/>
          <w:lang w:bidi="da-DK"/>
        </w:rPr>
        <w:t>Alt for hyppige doser kan øge risikoen for dannelse af antistoffer, hvilket kan føre til behandlingssvigt (se pkt.  4.2).</w:t>
      </w:r>
    </w:p>
    <w:p w:rsidR="00183DD0" w:rsidRPr="00F50095" w:rsidRDefault="00183DD0" w:rsidP="00183DD0">
      <w:pPr>
        <w:suppressAutoHyphens/>
        <w:ind w:left="851"/>
        <w:rPr>
          <w:sz w:val="24"/>
          <w:szCs w:val="24"/>
          <w:lang w:bidi="da-DK"/>
        </w:rPr>
      </w:pPr>
      <w:r w:rsidRPr="00F50095">
        <w:rPr>
          <w:sz w:val="24"/>
          <w:szCs w:val="24"/>
          <w:lang w:bidi="da-DK"/>
        </w:rPr>
        <w:t>Potentialet for dannelse af antistoffer kan minimeres ved at injicere den laveste virksomme dosis med de længste klinisk indicerede intervaller mellem injektionerne.</w:t>
      </w:r>
    </w:p>
    <w:p w:rsidR="00183DD0" w:rsidRPr="00F50095" w:rsidRDefault="00183DD0" w:rsidP="00183DD0">
      <w:pPr>
        <w:suppressAutoHyphens/>
        <w:ind w:left="851"/>
        <w:rPr>
          <w:sz w:val="24"/>
          <w:szCs w:val="24"/>
          <w:u w:val="single"/>
          <w:lang w:bidi="da-DK"/>
        </w:rPr>
      </w:pPr>
    </w:p>
    <w:p w:rsidR="00183DD0" w:rsidRDefault="00183DD0" w:rsidP="00183DD0">
      <w:pPr>
        <w:suppressAutoHyphens/>
        <w:ind w:left="851"/>
        <w:rPr>
          <w:sz w:val="24"/>
          <w:szCs w:val="24"/>
          <w:u w:val="single"/>
          <w:lang w:bidi="da-DK"/>
        </w:rPr>
      </w:pPr>
      <w:r>
        <w:rPr>
          <w:sz w:val="24"/>
          <w:szCs w:val="24"/>
          <w:u w:val="single"/>
          <w:lang w:bidi="da-DK"/>
        </w:rPr>
        <w:t>Pædiatrisk population</w:t>
      </w:r>
    </w:p>
    <w:p w:rsidR="00183DD0" w:rsidRDefault="00183DD0" w:rsidP="00183DD0">
      <w:pPr>
        <w:ind w:left="851"/>
        <w:jc w:val="both"/>
        <w:rPr>
          <w:sz w:val="24"/>
          <w:szCs w:val="24"/>
        </w:rPr>
      </w:pPr>
      <w:r>
        <w:rPr>
          <w:sz w:val="24"/>
          <w:szCs w:val="24"/>
          <w:lang w:bidi="da-DK"/>
        </w:rPr>
        <w:t xml:space="preserve">Der foreligger spontane rapporter </w:t>
      </w:r>
      <w:r>
        <w:rPr>
          <w:sz w:val="24"/>
          <w:szCs w:val="24"/>
        </w:rPr>
        <w:t xml:space="preserve">om mulig fjernspredning af toksinet med hyppigheden meget sjælden for andre præparater med </w:t>
      </w:r>
      <w:proofErr w:type="spellStart"/>
      <w:r>
        <w:rPr>
          <w:sz w:val="24"/>
          <w:szCs w:val="24"/>
        </w:rPr>
        <w:t>botulinum</w:t>
      </w:r>
      <w:proofErr w:type="spellEnd"/>
      <w:r>
        <w:rPr>
          <w:sz w:val="24"/>
          <w:szCs w:val="24"/>
        </w:rPr>
        <w:t xml:space="preserve"> type A</w:t>
      </w:r>
      <w:r>
        <w:rPr>
          <w:sz w:val="24"/>
          <w:szCs w:val="24"/>
        </w:rPr>
        <w:noBreakHyphen/>
        <w:t xml:space="preserve">toksin hos børn med </w:t>
      </w:r>
      <w:proofErr w:type="spellStart"/>
      <w:r>
        <w:rPr>
          <w:sz w:val="24"/>
          <w:szCs w:val="24"/>
        </w:rPr>
        <w:t>comorbiditet</w:t>
      </w:r>
      <w:proofErr w:type="spellEnd"/>
      <w:r>
        <w:rPr>
          <w:sz w:val="24"/>
          <w:szCs w:val="24"/>
        </w:rPr>
        <w:t xml:space="preserve">, hovedsageligt børn med cerebral parese. Generelt oversteg doserne anvendt i disse tilfælde rekommandationerne for disse lægemidler. </w:t>
      </w:r>
    </w:p>
    <w:p w:rsidR="00183DD0" w:rsidRDefault="00183DD0" w:rsidP="00183DD0">
      <w:pPr>
        <w:ind w:left="851"/>
        <w:rPr>
          <w:sz w:val="24"/>
          <w:szCs w:val="24"/>
        </w:rPr>
      </w:pPr>
      <w:r>
        <w:rPr>
          <w:sz w:val="24"/>
          <w:szCs w:val="24"/>
        </w:rPr>
        <w:t xml:space="preserve">Der foreligger sjældne spontane rapporter om dødsfald, der i visse tilfælde er sat i forbindelse med aspirationspneumoni, hos børn med svær cerebral parese også efter ikke godkendt behandling med </w:t>
      </w:r>
      <w:proofErr w:type="spellStart"/>
      <w:r>
        <w:rPr>
          <w:sz w:val="24"/>
          <w:szCs w:val="24"/>
        </w:rPr>
        <w:t>botulinumtoksin</w:t>
      </w:r>
      <w:proofErr w:type="spellEnd"/>
      <w:r>
        <w:rPr>
          <w:sz w:val="24"/>
          <w:szCs w:val="24"/>
        </w:rPr>
        <w:t xml:space="preserve"> (f.eks. i nakkeområdet). Risikoen anses for værende særlig høj hos pædiatriske patienter med underliggende dårlig helbredstilstand eller hos patienter, som har en væsentligt neurologisk svækkelse eller </w:t>
      </w:r>
      <w:proofErr w:type="spellStart"/>
      <w:r>
        <w:rPr>
          <w:sz w:val="24"/>
          <w:szCs w:val="24"/>
        </w:rPr>
        <w:t>dysfagi</w:t>
      </w:r>
      <w:proofErr w:type="spellEnd"/>
      <w:r>
        <w:rPr>
          <w:sz w:val="24"/>
          <w:szCs w:val="24"/>
        </w:rPr>
        <w:t>, eller som for nylig har haft aspirationspneumoni eller lungesygdom.</w:t>
      </w:r>
    </w:p>
    <w:p w:rsidR="00183DD0" w:rsidRDefault="00183DD0" w:rsidP="00183DD0">
      <w:pPr>
        <w:suppressAutoHyphens/>
        <w:ind w:left="851"/>
        <w:rPr>
          <w:sz w:val="24"/>
          <w:szCs w:val="24"/>
          <w:lang w:bidi="da-DK"/>
        </w:rPr>
      </w:pPr>
    </w:p>
    <w:p w:rsidR="00183DD0" w:rsidRDefault="00183DD0" w:rsidP="00183DD0">
      <w:pPr>
        <w:suppressAutoHyphens/>
        <w:ind w:left="851"/>
        <w:rPr>
          <w:bCs/>
          <w:iCs/>
          <w:sz w:val="24"/>
          <w:szCs w:val="24"/>
          <w:lang w:bidi="da-DK"/>
        </w:rPr>
      </w:pPr>
      <w:r>
        <w:rPr>
          <w:sz w:val="24"/>
          <w:szCs w:val="24"/>
          <w:u w:val="single"/>
          <w:lang w:bidi="da-DK"/>
        </w:rPr>
        <w:t xml:space="preserve">Indikationsspecifikke advarsler </w:t>
      </w:r>
    </w:p>
    <w:p w:rsidR="00183DD0" w:rsidRDefault="00183DD0" w:rsidP="00183DD0">
      <w:pPr>
        <w:suppressAutoHyphens/>
        <w:ind w:left="851"/>
        <w:rPr>
          <w:i/>
          <w:sz w:val="24"/>
          <w:szCs w:val="24"/>
          <w:lang w:bidi="da-DK"/>
        </w:rPr>
      </w:pPr>
    </w:p>
    <w:p w:rsidR="00183DD0" w:rsidRDefault="00183DD0" w:rsidP="00183DD0">
      <w:pPr>
        <w:suppressAutoHyphens/>
        <w:ind w:left="851"/>
        <w:rPr>
          <w:i/>
          <w:sz w:val="24"/>
          <w:szCs w:val="24"/>
          <w:lang w:bidi="da-DK"/>
        </w:rPr>
      </w:pPr>
      <w:bookmarkStart w:id="12" w:name="_Hlk22629427"/>
      <w:proofErr w:type="spellStart"/>
      <w:r>
        <w:rPr>
          <w:i/>
          <w:sz w:val="24"/>
          <w:szCs w:val="24"/>
          <w:lang w:bidi="da-DK"/>
        </w:rPr>
        <w:t>Blefarospasme</w:t>
      </w:r>
      <w:proofErr w:type="spellEnd"/>
      <w:r>
        <w:rPr>
          <w:i/>
          <w:sz w:val="24"/>
          <w:szCs w:val="24"/>
          <w:lang w:bidi="da-DK"/>
        </w:rPr>
        <w:t xml:space="preserve"> og </w:t>
      </w:r>
      <w:proofErr w:type="spellStart"/>
      <w:r>
        <w:rPr>
          <w:i/>
          <w:sz w:val="24"/>
          <w:szCs w:val="24"/>
          <w:lang w:bidi="da-DK"/>
        </w:rPr>
        <w:t>hemifaciale</w:t>
      </w:r>
      <w:proofErr w:type="spellEnd"/>
      <w:r>
        <w:rPr>
          <w:i/>
          <w:sz w:val="24"/>
          <w:szCs w:val="24"/>
          <w:lang w:bidi="da-DK"/>
        </w:rPr>
        <w:t xml:space="preserve"> spasmer</w:t>
      </w:r>
      <w:bookmarkEnd w:id="12"/>
    </w:p>
    <w:p w:rsidR="00183DD0" w:rsidRPr="00F50095" w:rsidRDefault="00183DD0" w:rsidP="00183DD0">
      <w:pPr>
        <w:suppressAutoHyphens/>
        <w:ind w:left="851"/>
        <w:rPr>
          <w:sz w:val="24"/>
          <w:szCs w:val="24"/>
          <w:lang w:bidi="da-DK"/>
        </w:rPr>
      </w:pPr>
      <w:r w:rsidRPr="00F50095">
        <w:rPr>
          <w:sz w:val="24"/>
          <w:szCs w:val="24"/>
          <w:lang w:bidi="da-DK"/>
        </w:rPr>
        <w:t xml:space="preserve">For at reducere forekomsten af </w:t>
      </w:r>
      <w:proofErr w:type="spellStart"/>
      <w:r w:rsidRPr="00F50095">
        <w:rPr>
          <w:sz w:val="24"/>
          <w:szCs w:val="24"/>
          <w:lang w:bidi="da-DK"/>
        </w:rPr>
        <w:t>ptose</w:t>
      </w:r>
      <w:proofErr w:type="spellEnd"/>
      <w:r w:rsidRPr="00F50095">
        <w:rPr>
          <w:sz w:val="24"/>
          <w:szCs w:val="24"/>
          <w:lang w:bidi="da-DK"/>
        </w:rPr>
        <w:t xml:space="preserve"> må injektionerne helst ikke gives nær m. </w:t>
      </w:r>
      <w:proofErr w:type="spellStart"/>
      <w:r w:rsidRPr="00F50095">
        <w:rPr>
          <w:sz w:val="24"/>
          <w:szCs w:val="24"/>
          <w:lang w:bidi="da-DK"/>
        </w:rPr>
        <w:t>levator</w:t>
      </w:r>
      <w:proofErr w:type="spellEnd"/>
      <w:r w:rsidRPr="00F50095">
        <w:rPr>
          <w:sz w:val="24"/>
          <w:szCs w:val="24"/>
          <w:lang w:bidi="da-DK"/>
        </w:rPr>
        <w:t xml:space="preserve"> </w:t>
      </w:r>
      <w:proofErr w:type="spellStart"/>
      <w:r w:rsidRPr="00F50095">
        <w:rPr>
          <w:sz w:val="24"/>
          <w:szCs w:val="24"/>
          <w:lang w:bidi="da-DK"/>
        </w:rPr>
        <w:t>palpebrae</w:t>
      </w:r>
      <w:proofErr w:type="spellEnd"/>
      <w:r w:rsidRPr="00F50095">
        <w:rPr>
          <w:sz w:val="24"/>
          <w:szCs w:val="24"/>
          <w:lang w:bidi="da-DK"/>
        </w:rPr>
        <w:t xml:space="preserve"> </w:t>
      </w:r>
      <w:proofErr w:type="spellStart"/>
      <w:r w:rsidRPr="00F50095">
        <w:rPr>
          <w:sz w:val="24"/>
          <w:szCs w:val="24"/>
          <w:lang w:bidi="da-DK"/>
        </w:rPr>
        <w:t>superioris</w:t>
      </w:r>
      <w:proofErr w:type="spellEnd"/>
      <w:r w:rsidRPr="00F50095">
        <w:rPr>
          <w:sz w:val="24"/>
          <w:szCs w:val="24"/>
          <w:lang w:bidi="da-DK"/>
        </w:rPr>
        <w:t xml:space="preserve">. Der kan udvikles </w:t>
      </w:r>
      <w:proofErr w:type="spellStart"/>
      <w:r w:rsidRPr="00F50095">
        <w:rPr>
          <w:sz w:val="24"/>
          <w:szCs w:val="24"/>
          <w:lang w:bidi="da-DK"/>
        </w:rPr>
        <w:t>diplopi</w:t>
      </w:r>
      <w:proofErr w:type="spellEnd"/>
      <w:r w:rsidRPr="00F50095">
        <w:rPr>
          <w:sz w:val="24"/>
          <w:szCs w:val="24"/>
          <w:lang w:bidi="da-DK"/>
        </w:rPr>
        <w:t xml:space="preserve"> som følge af diffusion af </w:t>
      </w:r>
      <w:proofErr w:type="spellStart"/>
      <w:r w:rsidRPr="00F50095">
        <w:rPr>
          <w:sz w:val="24"/>
          <w:szCs w:val="24"/>
          <w:lang w:bidi="da-DK"/>
        </w:rPr>
        <w:t>botulinum</w:t>
      </w:r>
      <w:proofErr w:type="spellEnd"/>
      <w:r w:rsidRPr="00F50095">
        <w:rPr>
          <w:sz w:val="24"/>
          <w:szCs w:val="24"/>
          <w:lang w:bidi="da-DK"/>
        </w:rPr>
        <w:t xml:space="preserve"> type A-</w:t>
      </w:r>
      <w:proofErr w:type="spellStart"/>
      <w:r w:rsidRPr="00F50095">
        <w:rPr>
          <w:sz w:val="24"/>
          <w:szCs w:val="24"/>
          <w:lang w:bidi="da-DK"/>
        </w:rPr>
        <w:t>neurotoksin</w:t>
      </w:r>
      <w:proofErr w:type="spellEnd"/>
      <w:r w:rsidRPr="00F50095">
        <w:rPr>
          <w:sz w:val="24"/>
          <w:szCs w:val="24"/>
          <w:lang w:bidi="da-DK"/>
        </w:rPr>
        <w:t xml:space="preserve"> ind i m. </w:t>
      </w:r>
      <w:proofErr w:type="spellStart"/>
      <w:r w:rsidRPr="00F50095">
        <w:rPr>
          <w:sz w:val="24"/>
          <w:szCs w:val="24"/>
          <w:lang w:bidi="da-DK"/>
        </w:rPr>
        <w:t>obliquus</w:t>
      </w:r>
      <w:proofErr w:type="spellEnd"/>
      <w:r w:rsidRPr="00F50095">
        <w:rPr>
          <w:sz w:val="24"/>
          <w:szCs w:val="24"/>
          <w:lang w:bidi="da-DK"/>
        </w:rPr>
        <w:t xml:space="preserve"> </w:t>
      </w:r>
      <w:proofErr w:type="spellStart"/>
      <w:r w:rsidRPr="00F50095">
        <w:rPr>
          <w:sz w:val="24"/>
          <w:szCs w:val="24"/>
          <w:lang w:bidi="da-DK"/>
        </w:rPr>
        <w:t>inferior</w:t>
      </w:r>
      <w:proofErr w:type="spellEnd"/>
      <w:r w:rsidRPr="00F50095">
        <w:rPr>
          <w:sz w:val="24"/>
          <w:szCs w:val="24"/>
          <w:lang w:bidi="da-DK"/>
        </w:rPr>
        <w:t xml:space="preserve"> </w:t>
      </w:r>
      <w:proofErr w:type="spellStart"/>
      <w:r w:rsidRPr="00F50095">
        <w:rPr>
          <w:sz w:val="24"/>
          <w:szCs w:val="24"/>
          <w:lang w:bidi="da-DK"/>
        </w:rPr>
        <w:t>bulbi</w:t>
      </w:r>
      <w:proofErr w:type="spellEnd"/>
      <w:r w:rsidRPr="00F50095">
        <w:rPr>
          <w:sz w:val="24"/>
          <w:szCs w:val="24"/>
          <w:lang w:bidi="da-DK"/>
        </w:rPr>
        <w:t xml:space="preserve">. Ved at undgå </w:t>
      </w:r>
      <w:proofErr w:type="spellStart"/>
      <w:r w:rsidRPr="00F50095">
        <w:rPr>
          <w:sz w:val="24"/>
          <w:szCs w:val="24"/>
          <w:lang w:bidi="da-DK"/>
        </w:rPr>
        <w:t>mediale</w:t>
      </w:r>
      <w:proofErr w:type="spellEnd"/>
      <w:r w:rsidRPr="00F50095">
        <w:rPr>
          <w:sz w:val="24"/>
          <w:szCs w:val="24"/>
          <w:lang w:bidi="da-DK"/>
        </w:rPr>
        <w:t xml:space="preserve"> injektioner i det nedre øjenlåg kan bivirkningen reduceres.</w:t>
      </w:r>
    </w:p>
    <w:p w:rsidR="00183DD0" w:rsidRPr="00F50095" w:rsidRDefault="00183DD0" w:rsidP="00183DD0">
      <w:pPr>
        <w:suppressAutoHyphens/>
        <w:ind w:left="851"/>
        <w:rPr>
          <w:sz w:val="24"/>
          <w:szCs w:val="24"/>
          <w:lang w:bidi="da-DK"/>
        </w:rPr>
      </w:pPr>
    </w:p>
    <w:p w:rsidR="00183DD0" w:rsidRPr="00F50095" w:rsidRDefault="00183DD0" w:rsidP="00183DD0">
      <w:pPr>
        <w:suppressAutoHyphens/>
        <w:ind w:left="851"/>
        <w:rPr>
          <w:spacing w:val="-2"/>
          <w:sz w:val="24"/>
          <w:szCs w:val="24"/>
        </w:rPr>
      </w:pPr>
      <w:r w:rsidRPr="00F50095">
        <w:rPr>
          <w:spacing w:val="-2"/>
          <w:sz w:val="24"/>
          <w:szCs w:val="24"/>
        </w:rPr>
        <w:t xml:space="preserve">På grund af den </w:t>
      </w:r>
      <w:proofErr w:type="spellStart"/>
      <w:r w:rsidRPr="00F50095">
        <w:rPr>
          <w:spacing w:val="-2"/>
          <w:sz w:val="24"/>
          <w:szCs w:val="24"/>
        </w:rPr>
        <w:t>antikolinerge</w:t>
      </w:r>
      <w:proofErr w:type="spellEnd"/>
      <w:r w:rsidRPr="00F50095">
        <w:rPr>
          <w:spacing w:val="-2"/>
          <w:sz w:val="24"/>
          <w:szCs w:val="24"/>
        </w:rPr>
        <w:t xml:space="preserve"> virkning af </w:t>
      </w:r>
      <w:proofErr w:type="spellStart"/>
      <w:r w:rsidRPr="00F50095">
        <w:rPr>
          <w:spacing w:val="-2"/>
          <w:sz w:val="24"/>
          <w:szCs w:val="24"/>
        </w:rPr>
        <w:t>botulinum</w:t>
      </w:r>
      <w:proofErr w:type="spellEnd"/>
      <w:r w:rsidRPr="00F50095">
        <w:rPr>
          <w:spacing w:val="-2"/>
          <w:sz w:val="24"/>
          <w:szCs w:val="24"/>
        </w:rPr>
        <w:t xml:space="preserve"> type A-</w:t>
      </w:r>
      <w:proofErr w:type="spellStart"/>
      <w:r w:rsidRPr="00F50095">
        <w:rPr>
          <w:spacing w:val="-2"/>
          <w:sz w:val="24"/>
          <w:szCs w:val="24"/>
        </w:rPr>
        <w:t>neurotoksin</w:t>
      </w:r>
      <w:proofErr w:type="spellEnd"/>
      <w:r w:rsidRPr="00F50095">
        <w:rPr>
          <w:spacing w:val="-2"/>
          <w:sz w:val="24"/>
          <w:szCs w:val="24"/>
        </w:rPr>
        <w:t xml:space="preserve"> bør </w:t>
      </w:r>
      <w:proofErr w:type="spellStart"/>
      <w:r w:rsidRPr="00F50095">
        <w:rPr>
          <w:sz w:val="24"/>
          <w:szCs w:val="24"/>
        </w:rPr>
        <w:t>X</w:t>
      </w:r>
      <w:r>
        <w:rPr>
          <w:sz w:val="24"/>
          <w:szCs w:val="24"/>
        </w:rPr>
        <w:t>eomin</w:t>
      </w:r>
      <w:proofErr w:type="spellEnd"/>
      <w:r w:rsidRPr="00F50095">
        <w:rPr>
          <w:sz w:val="24"/>
          <w:szCs w:val="24"/>
        </w:rPr>
        <w:t xml:space="preserve"> </w:t>
      </w:r>
      <w:r w:rsidRPr="00F50095">
        <w:rPr>
          <w:spacing w:val="-2"/>
          <w:sz w:val="24"/>
          <w:szCs w:val="24"/>
        </w:rPr>
        <w:t xml:space="preserve">anvendes med forsigtighed hos patienter med risiko for at udvikle </w:t>
      </w:r>
      <w:proofErr w:type="spellStart"/>
      <w:r w:rsidRPr="00F50095">
        <w:rPr>
          <w:spacing w:val="-2"/>
          <w:sz w:val="24"/>
          <w:szCs w:val="24"/>
        </w:rPr>
        <w:t>vinkelblokglaukom</w:t>
      </w:r>
      <w:proofErr w:type="spellEnd"/>
      <w:r w:rsidRPr="00F50095">
        <w:rPr>
          <w:spacing w:val="-2"/>
          <w:sz w:val="24"/>
          <w:szCs w:val="24"/>
        </w:rPr>
        <w:t>.</w:t>
      </w:r>
    </w:p>
    <w:p w:rsidR="00183DD0" w:rsidRPr="00F50095" w:rsidRDefault="00183DD0" w:rsidP="00183DD0">
      <w:pPr>
        <w:suppressAutoHyphens/>
        <w:ind w:left="851" w:hanging="851"/>
        <w:rPr>
          <w:spacing w:val="-2"/>
          <w:sz w:val="24"/>
          <w:szCs w:val="24"/>
        </w:rPr>
      </w:pPr>
    </w:p>
    <w:p w:rsidR="00183DD0" w:rsidRPr="00F50095" w:rsidRDefault="00183DD0" w:rsidP="00183DD0">
      <w:pPr>
        <w:suppressAutoHyphens/>
        <w:ind w:left="851"/>
        <w:rPr>
          <w:sz w:val="24"/>
          <w:szCs w:val="24"/>
        </w:rPr>
      </w:pPr>
      <w:r w:rsidRPr="00F50095">
        <w:rPr>
          <w:spacing w:val="-2"/>
          <w:sz w:val="24"/>
          <w:szCs w:val="24"/>
        </w:rPr>
        <w:t xml:space="preserve">For at forebygge </w:t>
      </w:r>
      <w:proofErr w:type="spellStart"/>
      <w:r w:rsidRPr="00F50095">
        <w:rPr>
          <w:spacing w:val="-2"/>
          <w:sz w:val="24"/>
          <w:szCs w:val="24"/>
        </w:rPr>
        <w:t>ektropion</w:t>
      </w:r>
      <w:proofErr w:type="spellEnd"/>
      <w:r w:rsidRPr="00F50095">
        <w:rPr>
          <w:spacing w:val="-2"/>
          <w:sz w:val="24"/>
          <w:szCs w:val="24"/>
        </w:rPr>
        <w:t xml:space="preserve"> bør injektioner ikke gives i området ved det nedre øjenlåg, og omhyggelig behandling af enhver epiteldefekt er nødvendig. Dette kan kræve beskyttende dråber, salver, bløde bandage-kontaktlinser eller tillukning af øjet med klap eller lignende tiltag.</w:t>
      </w:r>
    </w:p>
    <w:p w:rsidR="00183DD0" w:rsidRPr="00F50095" w:rsidRDefault="00183DD0" w:rsidP="00183DD0">
      <w:pPr>
        <w:suppressAutoHyphens/>
        <w:ind w:left="851" w:hanging="851"/>
        <w:rPr>
          <w:spacing w:val="-2"/>
          <w:sz w:val="24"/>
          <w:szCs w:val="24"/>
        </w:rPr>
      </w:pPr>
    </w:p>
    <w:p w:rsidR="00183DD0" w:rsidRPr="00F50095" w:rsidRDefault="00183DD0" w:rsidP="00183DD0">
      <w:pPr>
        <w:suppressAutoHyphens/>
        <w:ind w:left="851"/>
        <w:rPr>
          <w:sz w:val="24"/>
          <w:szCs w:val="24"/>
        </w:rPr>
      </w:pPr>
      <w:r w:rsidRPr="00F50095">
        <w:rPr>
          <w:spacing w:val="-2"/>
          <w:sz w:val="24"/>
          <w:szCs w:val="24"/>
        </w:rPr>
        <w:t xml:space="preserve">Reduceret blinken efter injektion af </w:t>
      </w:r>
      <w:proofErr w:type="spellStart"/>
      <w:r w:rsidRPr="00F50095">
        <w:rPr>
          <w:sz w:val="24"/>
          <w:szCs w:val="24"/>
        </w:rPr>
        <w:t>X</w:t>
      </w:r>
      <w:r>
        <w:rPr>
          <w:sz w:val="24"/>
          <w:szCs w:val="24"/>
        </w:rPr>
        <w:t>eomin</w:t>
      </w:r>
      <w:proofErr w:type="spellEnd"/>
      <w:r w:rsidRPr="00F50095">
        <w:rPr>
          <w:sz w:val="24"/>
          <w:szCs w:val="24"/>
        </w:rPr>
        <w:t xml:space="preserve"> </w:t>
      </w:r>
      <w:r w:rsidRPr="00F50095">
        <w:rPr>
          <w:spacing w:val="-2"/>
          <w:sz w:val="24"/>
          <w:szCs w:val="24"/>
        </w:rPr>
        <w:t xml:space="preserve">i m. </w:t>
      </w:r>
      <w:proofErr w:type="spellStart"/>
      <w:r w:rsidRPr="00F50095">
        <w:rPr>
          <w:spacing w:val="-2"/>
          <w:sz w:val="24"/>
          <w:szCs w:val="24"/>
        </w:rPr>
        <w:t>orbicularis</w:t>
      </w:r>
      <w:proofErr w:type="spellEnd"/>
      <w:r w:rsidRPr="00F50095">
        <w:rPr>
          <w:spacing w:val="-2"/>
          <w:sz w:val="24"/>
          <w:szCs w:val="24"/>
        </w:rPr>
        <w:t xml:space="preserve"> kan føre til eksposition af </w:t>
      </w:r>
      <w:proofErr w:type="spellStart"/>
      <w:r w:rsidRPr="00F50095">
        <w:rPr>
          <w:spacing w:val="-2"/>
          <w:sz w:val="24"/>
          <w:szCs w:val="24"/>
        </w:rPr>
        <w:t>cornea</w:t>
      </w:r>
      <w:proofErr w:type="spellEnd"/>
      <w:r w:rsidRPr="00F50095">
        <w:rPr>
          <w:spacing w:val="-2"/>
          <w:sz w:val="24"/>
          <w:szCs w:val="24"/>
        </w:rPr>
        <w:t xml:space="preserve">, vedvarende epiteldefekter og </w:t>
      </w:r>
      <w:proofErr w:type="spellStart"/>
      <w:r w:rsidRPr="00F50095">
        <w:rPr>
          <w:spacing w:val="-2"/>
          <w:sz w:val="24"/>
          <w:szCs w:val="24"/>
        </w:rPr>
        <w:t>cornea-ulceration</w:t>
      </w:r>
      <w:proofErr w:type="spellEnd"/>
      <w:r w:rsidRPr="00F50095">
        <w:rPr>
          <w:spacing w:val="-2"/>
          <w:sz w:val="24"/>
          <w:szCs w:val="24"/>
        </w:rPr>
        <w:t xml:space="preserve">, især hos patienter med lidelser i kranienerver (ansigtsnerven). Patienter, der tidligere har fået øjenoperationer, skal testes omhyggeligt for følsomhed i </w:t>
      </w:r>
      <w:proofErr w:type="spellStart"/>
      <w:r w:rsidRPr="00F50095">
        <w:rPr>
          <w:spacing w:val="-2"/>
          <w:sz w:val="24"/>
          <w:szCs w:val="24"/>
        </w:rPr>
        <w:t>cornea</w:t>
      </w:r>
      <w:proofErr w:type="spellEnd"/>
      <w:r w:rsidRPr="00F50095">
        <w:rPr>
          <w:spacing w:val="-2"/>
          <w:sz w:val="24"/>
          <w:szCs w:val="24"/>
        </w:rPr>
        <w:t>.</w:t>
      </w:r>
    </w:p>
    <w:p w:rsidR="00183DD0" w:rsidRPr="00F50095" w:rsidRDefault="00183DD0" w:rsidP="00183DD0">
      <w:pPr>
        <w:suppressAutoHyphens/>
        <w:ind w:left="851" w:hanging="851"/>
        <w:rPr>
          <w:spacing w:val="-2"/>
          <w:sz w:val="24"/>
          <w:szCs w:val="24"/>
        </w:rPr>
      </w:pPr>
    </w:p>
    <w:p w:rsidR="00183DD0" w:rsidRPr="00F50095" w:rsidRDefault="00183DD0" w:rsidP="00183DD0">
      <w:pPr>
        <w:suppressAutoHyphens/>
        <w:ind w:left="851"/>
        <w:rPr>
          <w:sz w:val="24"/>
          <w:szCs w:val="24"/>
        </w:rPr>
      </w:pPr>
      <w:proofErr w:type="spellStart"/>
      <w:r w:rsidRPr="00F50095">
        <w:rPr>
          <w:spacing w:val="-2"/>
          <w:sz w:val="24"/>
          <w:szCs w:val="24"/>
        </w:rPr>
        <w:t>Ekkymose</w:t>
      </w:r>
      <w:proofErr w:type="spellEnd"/>
      <w:r w:rsidRPr="00F50095">
        <w:rPr>
          <w:spacing w:val="-2"/>
          <w:sz w:val="24"/>
          <w:szCs w:val="24"/>
        </w:rPr>
        <w:t xml:space="preserve"> opstår let i øjenlågets bløde væv. Risikoen kan mindskes ved øjeblikkeligt at påføre et let tryk.</w:t>
      </w:r>
    </w:p>
    <w:p w:rsidR="00183DD0" w:rsidRPr="00F50095" w:rsidRDefault="00183DD0" w:rsidP="00183DD0">
      <w:pPr>
        <w:suppressAutoHyphens/>
        <w:ind w:left="851" w:hanging="851"/>
        <w:rPr>
          <w:spacing w:val="-2"/>
          <w:sz w:val="24"/>
          <w:szCs w:val="24"/>
        </w:rPr>
      </w:pPr>
    </w:p>
    <w:p w:rsidR="00183DD0" w:rsidRPr="00F50095" w:rsidRDefault="00183DD0" w:rsidP="00183DD0">
      <w:pPr>
        <w:ind w:firstLine="851"/>
        <w:rPr>
          <w:i/>
          <w:sz w:val="24"/>
          <w:szCs w:val="24"/>
        </w:rPr>
      </w:pPr>
      <w:r w:rsidRPr="00F50095">
        <w:rPr>
          <w:i/>
          <w:sz w:val="24"/>
          <w:szCs w:val="24"/>
        </w:rPr>
        <w:t xml:space="preserve">Spasmodisk </w:t>
      </w:r>
      <w:proofErr w:type="spellStart"/>
      <w:r w:rsidRPr="00F50095">
        <w:rPr>
          <w:i/>
          <w:sz w:val="24"/>
          <w:szCs w:val="24"/>
        </w:rPr>
        <w:t>torticollis</w:t>
      </w:r>
      <w:proofErr w:type="spellEnd"/>
    </w:p>
    <w:p w:rsidR="00183DD0" w:rsidRPr="00F50095" w:rsidRDefault="00183DD0" w:rsidP="00183DD0">
      <w:pPr>
        <w:suppressAutoHyphens/>
        <w:ind w:left="851"/>
        <w:rPr>
          <w:spacing w:val="-2"/>
          <w:sz w:val="24"/>
          <w:szCs w:val="24"/>
          <w:lang w:bidi="da-DK"/>
        </w:rPr>
      </w:pP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 xml:space="preserve"> bør injiceres med stor forsigtighed, når injektionen udføres tæt på følsomme strukturer såsom halspulsåre, lungespidser og spiserør. </w:t>
      </w:r>
    </w:p>
    <w:p w:rsidR="00183DD0" w:rsidRPr="00F50095" w:rsidRDefault="00183DD0" w:rsidP="00183DD0">
      <w:pPr>
        <w:suppressAutoHyphens/>
        <w:ind w:left="851"/>
        <w:rPr>
          <w:spacing w:val="-2"/>
          <w:sz w:val="24"/>
          <w:szCs w:val="24"/>
        </w:rPr>
      </w:pPr>
    </w:p>
    <w:p w:rsidR="00183DD0" w:rsidRPr="00F50095" w:rsidRDefault="00183DD0" w:rsidP="00183DD0">
      <w:pPr>
        <w:suppressAutoHyphens/>
        <w:ind w:left="851"/>
        <w:rPr>
          <w:spacing w:val="-2"/>
          <w:sz w:val="24"/>
          <w:szCs w:val="24"/>
          <w:lang w:bidi="da-DK"/>
        </w:rPr>
      </w:pPr>
      <w:r w:rsidRPr="00F50095">
        <w:rPr>
          <w:spacing w:val="-2"/>
          <w:sz w:val="24"/>
          <w:szCs w:val="24"/>
          <w:lang w:bidi="da-DK"/>
        </w:rPr>
        <w:lastRenderedPageBreak/>
        <w:t xml:space="preserve">Patienter, der tidligere har været ubevægelige eller inaktive, skal mindes om, at genoptræning skal ske gradvist efter injektion af </w:t>
      </w: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w:t>
      </w:r>
    </w:p>
    <w:p w:rsidR="00183DD0" w:rsidRPr="00F50095" w:rsidRDefault="00183DD0" w:rsidP="00183DD0">
      <w:pPr>
        <w:suppressAutoHyphens/>
        <w:ind w:left="851"/>
        <w:rPr>
          <w:spacing w:val="-2"/>
          <w:sz w:val="24"/>
          <w:szCs w:val="24"/>
        </w:rPr>
      </w:pPr>
    </w:p>
    <w:p w:rsidR="00183DD0" w:rsidRPr="00F50095" w:rsidRDefault="00183DD0" w:rsidP="00183DD0">
      <w:pPr>
        <w:suppressAutoHyphens/>
        <w:ind w:left="851"/>
        <w:rPr>
          <w:sz w:val="24"/>
          <w:szCs w:val="24"/>
        </w:rPr>
      </w:pPr>
      <w:r w:rsidRPr="00F50095">
        <w:rPr>
          <w:spacing w:val="-2"/>
          <w:sz w:val="24"/>
          <w:szCs w:val="24"/>
        </w:rPr>
        <w:t xml:space="preserve">Patienterne bør oplyses om, at injektioner med </w:t>
      </w:r>
      <w:proofErr w:type="spellStart"/>
      <w:r w:rsidRPr="00F50095">
        <w:rPr>
          <w:sz w:val="24"/>
          <w:szCs w:val="24"/>
        </w:rPr>
        <w:t>X</w:t>
      </w:r>
      <w:r>
        <w:rPr>
          <w:sz w:val="24"/>
          <w:szCs w:val="24"/>
        </w:rPr>
        <w:t>eomin</w:t>
      </w:r>
      <w:proofErr w:type="spellEnd"/>
      <w:r w:rsidRPr="00F50095">
        <w:rPr>
          <w:sz w:val="24"/>
          <w:szCs w:val="24"/>
        </w:rPr>
        <w:t xml:space="preserve"> </w:t>
      </w:r>
      <w:r w:rsidRPr="00F50095">
        <w:rPr>
          <w:spacing w:val="-2"/>
          <w:sz w:val="24"/>
          <w:szCs w:val="24"/>
        </w:rPr>
        <w:t xml:space="preserve">til behandling af spasmodisk </w:t>
      </w:r>
      <w:proofErr w:type="spellStart"/>
      <w:r w:rsidRPr="00F50095">
        <w:rPr>
          <w:spacing w:val="-2"/>
          <w:sz w:val="24"/>
          <w:szCs w:val="24"/>
        </w:rPr>
        <w:t>torticollis</w:t>
      </w:r>
      <w:proofErr w:type="spellEnd"/>
      <w:r w:rsidRPr="00F50095">
        <w:rPr>
          <w:spacing w:val="-2"/>
          <w:sz w:val="24"/>
          <w:szCs w:val="24"/>
        </w:rPr>
        <w:t xml:space="preserve"> kan medføre let til svær </w:t>
      </w:r>
      <w:proofErr w:type="spellStart"/>
      <w:r w:rsidRPr="00F50095">
        <w:rPr>
          <w:spacing w:val="-2"/>
          <w:sz w:val="24"/>
          <w:szCs w:val="24"/>
        </w:rPr>
        <w:t>dysfagi</w:t>
      </w:r>
      <w:proofErr w:type="spellEnd"/>
      <w:r w:rsidRPr="00F50095">
        <w:rPr>
          <w:spacing w:val="-2"/>
          <w:sz w:val="24"/>
          <w:szCs w:val="24"/>
        </w:rPr>
        <w:t xml:space="preserve"> med risiko for aspiration og dyspnø. Det kan kræve medicinske indgreb (f.eks. i form af en </w:t>
      </w:r>
      <w:proofErr w:type="spellStart"/>
      <w:r w:rsidRPr="00F50095">
        <w:rPr>
          <w:spacing w:val="-2"/>
          <w:sz w:val="24"/>
          <w:szCs w:val="24"/>
        </w:rPr>
        <w:t>mavesonde</w:t>
      </w:r>
      <w:proofErr w:type="spellEnd"/>
      <w:r w:rsidRPr="00F50095">
        <w:rPr>
          <w:spacing w:val="-2"/>
          <w:sz w:val="24"/>
          <w:szCs w:val="24"/>
        </w:rPr>
        <w:t xml:space="preserve">) (se også pkt. 4.8). Begrænsning af den dosis, der injiceres i m. </w:t>
      </w:r>
      <w:proofErr w:type="spellStart"/>
      <w:r w:rsidRPr="00F50095">
        <w:rPr>
          <w:spacing w:val="-2"/>
          <w:sz w:val="24"/>
          <w:szCs w:val="24"/>
        </w:rPr>
        <w:t>sternocleidomastoideus</w:t>
      </w:r>
      <w:proofErr w:type="spellEnd"/>
      <w:r w:rsidRPr="00F50095">
        <w:rPr>
          <w:spacing w:val="-2"/>
          <w:sz w:val="24"/>
          <w:szCs w:val="24"/>
        </w:rPr>
        <w:t xml:space="preserve">, til mindre end 100 enheder kan muligvis nedsætte forekomsten af </w:t>
      </w:r>
      <w:proofErr w:type="spellStart"/>
      <w:r w:rsidRPr="00F50095">
        <w:rPr>
          <w:spacing w:val="-2"/>
          <w:sz w:val="24"/>
          <w:szCs w:val="24"/>
        </w:rPr>
        <w:t>dysfagi</w:t>
      </w:r>
      <w:proofErr w:type="spellEnd"/>
      <w:r w:rsidRPr="00F50095">
        <w:rPr>
          <w:spacing w:val="-2"/>
          <w:sz w:val="24"/>
          <w:szCs w:val="24"/>
        </w:rPr>
        <w:t xml:space="preserve">. Patienter med mindre halsmuskelmasse eller patienter med behov for bilaterale injektioner i m. </w:t>
      </w:r>
      <w:proofErr w:type="spellStart"/>
      <w:r w:rsidRPr="00F50095">
        <w:rPr>
          <w:spacing w:val="-2"/>
          <w:sz w:val="24"/>
          <w:szCs w:val="24"/>
        </w:rPr>
        <w:t>sternocleidomastoideus</w:t>
      </w:r>
      <w:proofErr w:type="spellEnd"/>
      <w:r w:rsidRPr="00F50095">
        <w:rPr>
          <w:spacing w:val="-2"/>
          <w:sz w:val="24"/>
          <w:szCs w:val="24"/>
        </w:rPr>
        <w:t xml:space="preserve"> har større risiko for </w:t>
      </w:r>
      <w:proofErr w:type="spellStart"/>
      <w:r w:rsidRPr="00F50095">
        <w:rPr>
          <w:spacing w:val="-2"/>
          <w:sz w:val="24"/>
          <w:szCs w:val="24"/>
        </w:rPr>
        <w:t>dysfagi</w:t>
      </w:r>
      <w:proofErr w:type="spellEnd"/>
      <w:r w:rsidRPr="00F50095">
        <w:rPr>
          <w:spacing w:val="-2"/>
          <w:sz w:val="24"/>
          <w:szCs w:val="24"/>
        </w:rPr>
        <w:t xml:space="preserve">. Forekomsten af </w:t>
      </w:r>
      <w:proofErr w:type="spellStart"/>
      <w:r w:rsidRPr="00F50095">
        <w:rPr>
          <w:spacing w:val="-2"/>
          <w:sz w:val="24"/>
          <w:szCs w:val="24"/>
        </w:rPr>
        <w:t>dysfagi</w:t>
      </w:r>
      <w:proofErr w:type="spellEnd"/>
      <w:r w:rsidRPr="00F50095">
        <w:rPr>
          <w:spacing w:val="-2"/>
          <w:sz w:val="24"/>
          <w:szCs w:val="24"/>
        </w:rPr>
        <w:t xml:space="preserve"> kan henføres til spredningen af </w:t>
      </w:r>
      <w:proofErr w:type="spellStart"/>
      <w:r w:rsidRPr="00F50095">
        <w:rPr>
          <w:sz w:val="24"/>
          <w:szCs w:val="24"/>
        </w:rPr>
        <w:t>X</w:t>
      </w:r>
      <w:r>
        <w:rPr>
          <w:sz w:val="24"/>
          <w:szCs w:val="24"/>
        </w:rPr>
        <w:t>eomin</w:t>
      </w:r>
      <w:r w:rsidRPr="00F50095">
        <w:rPr>
          <w:sz w:val="24"/>
          <w:szCs w:val="24"/>
        </w:rPr>
        <w:t>s</w:t>
      </w:r>
      <w:proofErr w:type="spellEnd"/>
      <w:r w:rsidRPr="00F50095">
        <w:rPr>
          <w:spacing w:val="-2"/>
          <w:sz w:val="24"/>
          <w:szCs w:val="24"/>
        </w:rPr>
        <w:t xml:space="preserve"> farmakologiske virkning som følge af </w:t>
      </w:r>
      <w:proofErr w:type="spellStart"/>
      <w:r w:rsidRPr="00F50095">
        <w:rPr>
          <w:spacing w:val="-2"/>
          <w:sz w:val="24"/>
          <w:szCs w:val="24"/>
        </w:rPr>
        <w:t>neurotoksinets</w:t>
      </w:r>
      <w:proofErr w:type="spellEnd"/>
      <w:r w:rsidRPr="00F50095">
        <w:rPr>
          <w:spacing w:val="-2"/>
          <w:sz w:val="24"/>
          <w:szCs w:val="24"/>
        </w:rPr>
        <w:t xml:space="preserve"> spredning ind i den </w:t>
      </w:r>
      <w:proofErr w:type="spellStart"/>
      <w:r w:rsidRPr="00F50095">
        <w:rPr>
          <w:spacing w:val="-2"/>
          <w:sz w:val="24"/>
          <w:szCs w:val="24"/>
        </w:rPr>
        <w:t>øsofageale</w:t>
      </w:r>
      <w:proofErr w:type="spellEnd"/>
      <w:r w:rsidRPr="00F50095">
        <w:rPr>
          <w:spacing w:val="-2"/>
          <w:sz w:val="24"/>
          <w:szCs w:val="24"/>
        </w:rPr>
        <w:t xml:space="preserve"> muskulatur.</w:t>
      </w:r>
    </w:p>
    <w:p w:rsidR="00183DD0" w:rsidRPr="00F50095" w:rsidRDefault="00183DD0" w:rsidP="00183DD0">
      <w:pPr>
        <w:suppressAutoHyphens/>
        <w:ind w:left="851" w:hanging="851"/>
        <w:rPr>
          <w:spacing w:val="-2"/>
          <w:sz w:val="24"/>
          <w:szCs w:val="24"/>
        </w:rPr>
      </w:pPr>
    </w:p>
    <w:p w:rsidR="00183DD0" w:rsidRPr="00F50095" w:rsidRDefault="00183DD0" w:rsidP="00183DD0">
      <w:pPr>
        <w:suppressAutoHyphens/>
        <w:ind w:left="851"/>
        <w:rPr>
          <w:i/>
          <w:sz w:val="24"/>
          <w:szCs w:val="24"/>
        </w:rPr>
      </w:pPr>
      <w:r w:rsidRPr="00F50095">
        <w:rPr>
          <w:i/>
          <w:spacing w:val="-2"/>
          <w:sz w:val="24"/>
          <w:szCs w:val="24"/>
        </w:rPr>
        <w:t xml:space="preserve">Spasticitet af overekstremitet </w:t>
      </w:r>
    </w:p>
    <w:p w:rsidR="00183DD0" w:rsidRPr="00F50095" w:rsidRDefault="00183DD0" w:rsidP="00183DD0">
      <w:pPr>
        <w:suppressAutoHyphens/>
        <w:ind w:left="851"/>
        <w:rPr>
          <w:spacing w:val="-2"/>
          <w:sz w:val="24"/>
          <w:szCs w:val="24"/>
          <w:lang w:bidi="da-DK"/>
        </w:rPr>
      </w:pP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 xml:space="preserve"> bør injiceres med stor forsigtighed, når injektionen udføres tæt på følsomme strukturer såsom halspulsåre, lungespidser og spiserør. </w:t>
      </w:r>
    </w:p>
    <w:p w:rsidR="00183DD0" w:rsidRPr="00F50095" w:rsidRDefault="00183DD0" w:rsidP="00183DD0">
      <w:pPr>
        <w:suppressAutoHyphens/>
        <w:ind w:left="851"/>
        <w:rPr>
          <w:sz w:val="24"/>
          <w:szCs w:val="24"/>
        </w:rPr>
      </w:pPr>
    </w:p>
    <w:p w:rsidR="00183DD0" w:rsidRPr="00F50095" w:rsidRDefault="00183DD0" w:rsidP="00183DD0">
      <w:pPr>
        <w:suppressAutoHyphens/>
        <w:ind w:left="851"/>
        <w:rPr>
          <w:spacing w:val="-2"/>
          <w:sz w:val="24"/>
          <w:szCs w:val="24"/>
          <w:lang w:bidi="da-DK"/>
        </w:rPr>
      </w:pPr>
      <w:r w:rsidRPr="00F50095">
        <w:rPr>
          <w:spacing w:val="-2"/>
          <w:sz w:val="24"/>
          <w:szCs w:val="24"/>
          <w:lang w:bidi="da-DK"/>
        </w:rPr>
        <w:t xml:space="preserve">Patienter, der tidligere har været ubevægelige eller inaktive, skal mindes om, at genoptræning skal ske gradvist efter injektion af </w:t>
      </w:r>
      <w:proofErr w:type="spellStart"/>
      <w:r w:rsidRPr="00F50095">
        <w:rPr>
          <w:spacing w:val="-2"/>
          <w:sz w:val="24"/>
          <w:szCs w:val="24"/>
          <w:lang w:bidi="da-DK"/>
        </w:rPr>
        <w:t>X</w:t>
      </w:r>
      <w:r>
        <w:rPr>
          <w:spacing w:val="-2"/>
          <w:sz w:val="24"/>
          <w:szCs w:val="24"/>
          <w:lang w:bidi="da-DK"/>
        </w:rPr>
        <w:t>eomin</w:t>
      </w:r>
      <w:proofErr w:type="spellEnd"/>
      <w:r w:rsidRPr="00F50095">
        <w:rPr>
          <w:spacing w:val="-2"/>
          <w:sz w:val="24"/>
          <w:szCs w:val="24"/>
          <w:lang w:bidi="da-DK"/>
        </w:rPr>
        <w:t>.</w:t>
      </w:r>
    </w:p>
    <w:p w:rsidR="00183DD0" w:rsidRPr="00F50095" w:rsidRDefault="00183DD0" w:rsidP="00183DD0">
      <w:pPr>
        <w:suppressAutoHyphens/>
        <w:ind w:left="851"/>
        <w:rPr>
          <w:sz w:val="24"/>
          <w:szCs w:val="24"/>
        </w:rPr>
      </w:pPr>
    </w:p>
    <w:p w:rsidR="00183DD0" w:rsidRDefault="00183DD0" w:rsidP="00183DD0">
      <w:pPr>
        <w:suppressAutoHyphens/>
        <w:ind w:left="851"/>
        <w:rPr>
          <w:spacing w:val="-2"/>
          <w:sz w:val="24"/>
          <w:szCs w:val="24"/>
        </w:rPr>
      </w:pPr>
      <w:proofErr w:type="spellStart"/>
      <w:r>
        <w:rPr>
          <w:sz w:val="24"/>
          <w:szCs w:val="24"/>
        </w:rPr>
        <w:t>Xeomin</w:t>
      </w:r>
      <w:proofErr w:type="spellEnd"/>
      <w:r>
        <w:rPr>
          <w:spacing w:val="-2"/>
          <w:sz w:val="24"/>
          <w:szCs w:val="24"/>
        </w:rPr>
        <w:t xml:space="preserve"> til behandling af </w:t>
      </w:r>
      <w:proofErr w:type="spellStart"/>
      <w:r>
        <w:rPr>
          <w:spacing w:val="-2"/>
          <w:sz w:val="24"/>
          <w:szCs w:val="24"/>
        </w:rPr>
        <w:t>fokal</w:t>
      </w:r>
      <w:proofErr w:type="spellEnd"/>
      <w:r>
        <w:rPr>
          <w:spacing w:val="-2"/>
          <w:sz w:val="24"/>
          <w:szCs w:val="24"/>
        </w:rPr>
        <w:t xml:space="preserve"> spasticitet er undersøgt som supplement til den sædvanlige standardbehandling, og det er ikke beregnet til erstatning for standardbehandlingen. Det er usandsynligt, at </w:t>
      </w:r>
      <w:proofErr w:type="spellStart"/>
      <w:r>
        <w:rPr>
          <w:sz w:val="24"/>
          <w:szCs w:val="24"/>
        </w:rPr>
        <w:t>Xeomin</w:t>
      </w:r>
      <w:proofErr w:type="spellEnd"/>
      <w:r>
        <w:rPr>
          <w:spacing w:val="-2"/>
          <w:sz w:val="24"/>
          <w:szCs w:val="24"/>
        </w:rPr>
        <w:t xml:space="preserve"> vil forbedre bevægeligheden af et led berørt af fikseret </w:t>
      </w:r>
      <w:bookmarkStart w:id="13" w:name="_Hlk22629450"/>
      <w:proofErr w:type="spellStart"/>
      <w:r>
        <w:rPr>
          <w:spacing w:val="-2"/>
          <w:sz w:val="24"/>
          <w:szCs w:val="24"/>
        </w:rPr>
        <w:t>muskelkontraktur</w:t>
      </w:r>
      <w:proofErr w:type="spellEnd"/>
      <w:r>
        <w:rPr>
          <w:spacing w:val="-2"/>
          <w:sz w:val="24"/>
          <w:szCs w:val="24"/>
        </w:rPr>
        <w:t>.</w:t>
      </w:r>
      <w:bookmarkEnd w:id="13"/>
    </w:p>
    <w:p w:rsidR="00183DD0" w:rsidRDefault="00183DD0" w:rsidP="00183DD0">
      <w:pPr>
        <w:suppressAutoHyphens/>
        <w:ind w:left="851"/>
        <w:rPr>
          <w:sz w:val="24"/>
          <w:szCs w:val="24"/>
        </w:rPr>
      </w:pPr>
    </w:p>
    <w:p w:rsidR="00183DD0" w:rsidRDefault="00183DD0" w:rsidP="00183DD0">
      <w:pPr>
        <w:ind w:left="851"/>
        <w:rPr>
          <w:spacing w:val="-2"/>
          <w:sz w:val="24"/>
          <w:szCs w:val="24"/>
        </w:rPr>
      </w:pPr>
      <w:r>
        <w:rPr>
          <w:spacing w:val="-2"/>
          <w:sz w:val="24"/>
          <w:szCs w:val="24"/>
        </w:rPr>
        <w:t xml:space="preserve">Der er rapporteret om nye eller tilbagevendende krampeanfald, typisk hos patienter, som er prædisponeret for disse hændelser. Den præcise sammenhæng mellem disse hændelser og injektion med </w:t>
      </w:r>
      <w:proofErr w:type="spellStart"/>
      <w:r>
        <w:rPr>
          <w:sz w:val="24"/>
          <w:szCs w:val="24"/>
          <w:lang w:eastAsia="de-DE"/>
        </w:rPr>
        <w:t>botulinumtoksin</w:t>
      </w:r>
      <w:proofErr w:type="spellEnd"/>
      <w:r>
        <w:rPr>
          <w:spacing w:val="-2"/>
          <w:sz w:val="24"/>
          <w:szCs w:val="24"/>
        </w:rPr>
        <w:t xml:space="preserve"> er ikke påvist.</w:t>
      </w:r>
    </w:p>
    <w:p w:rsidR="00183DD0" w:rsidRDefault="00183DD0" w:rsidP="00183DD0">
      <w:pPr>
        <w:ind w:left="851"/>
        <w:rPr>
          <w:spacing w:val="-2"/>
          <w:sz w:val="24"/>
          <w:szCs w:val="24"/>
        </w:rPr>
      </w:pPr>
    </w:p>
    <w:p w:rsidR="00183DD0" w:rsidRDefault="00183DD0" w:rsidP="00183DD0">
      <w:pPr>
        <w:tabs>
          <w:tab w:val="left" w:pos="2977"/>
        </w:tabs>
        <w:ind w:left="851"/>
        <w:rPr>
          <w:i/>
          <w:spacing w:val="-2"/>
          <w:sz w:val="24"/>
          <w:szCs w:val="24"/>
        </w:rPr>
      </w:pPr>
      <w:r>
        <w:rPr>
          <w:i/>
          <w:spacing w:val="-2"/>
          <w:sz w:val="24"/>
          <w:szCs w:val="24"/>
        </w:rPr>
        <w:t xml:space="preserve">Kronisk </w:t>
      </w:r>
      <w:proofErr w:type="spellStart"/>
      <w:r>
        <w:rPr>
          <w:i/>
          <w:sz w:val="24"/>
          <w:szCs w:val="24"/>
          <w:lang w:eastAsia="de-DE"/>
        </w:rPr>
        <w:t>hypersalivation</w:t>
      </w:r>
      <w:proofErr w:type="spellEnd"/>
      <w:r>
        <w:rPr>
          <w:i/>
          <w:sz w:val="24"/>
          <w:szCs w:val="24"/>
          <w:lang w:eastAsia="de-DE"/>
        </w:rPr>
        <w:t xml:space="preserve"> (voksne/børn/unge)</w:t>
      </w:r>
    </w:p>
    <w:p w:rsidR="00183DD0" w:rsidRDefault="00183DD0" w:rsidP="00183DD0">
      <w:pPr>
        <w:ind w:left="851"/>
        <w:rPr>
          <w:spacing w:val="-2"/>
          <w:sz w:val="24"/>
          <w:szCs w:val="24"/>
        </w:rPr>
      </w:pPr>
      <w:bookmarkStart w:id="14" w:name="_Hlk22629476"/>
      <w:bookmarkStart w:id="15" w:name="_Hlk22631409"/>
      <w:r>
        <w:rPr>
          <w:spacing w:val="-2"/>
          <w:sz w:val="24"/>
          <w:szCs w:val="24"/>
        </w:rPr>
        <w:t xml:space="preserve">I tilfælde af lægemiddelinduceret </w:t>
      </w:r>
      <w:proofErr w:type="spellStart"/>
      <w:r>
        <w:rPr>
          <w:i/>
          <w:sz w:val="24"/>
          <w:szCs w:val="24"/>
          <w:lang w:eastAsia="de-DE"/>
        </w:rPr>
        <w:t>hypersalivation</w:t>
      </w:r>
      <w:proofErr w:type="spellEnd"/>
      <w:r>
        <w:rPr>
          <w:spacing w:val="-2"/>
          <w:sz w:val="24"/>
          <w:szCs w:val="24"/>
        </w:rPr>
        <w:t xml:space="preserve"> (f.eks. pga. </w:t>
      </w:r>
      <w:proofErr w:type="spellStart"/>
      <w:r>
        <w:rPr>
          <w:spacing w:val="-2"/>
          <w:sz w:val="24"/>
          <w:szCs w:val="24"/>
        </w:rPr>
        <w:t>aripiprazol</w:t>
      </w:r>
      <w:proofErr w:type="spellEnd"/>
      <w:r>
        <w:rPr>
          <w:spacing w:val="-2"/>
          <w:sz w:val="24"/>
          <w:szCs w:val="24"/>
        </w:rPr>
        <w:t xml:space="preserve">, </w:t>
      </w:r>
      <w:proofErr w:type="spellStart"/>
      <w:r>
        <w:rPr>
          <w:spacing w:val="-2"/>
          <w:sz w:val="24"/>
          <w:szCs w:val="24"/>
        </w:rPr>
        <w:t>clozapin</w:t>
      </w:r>
      <w:proofErr w:type="spellEnd"/>
      <w:r>
        <w:rPr>
          <w:spacing w:val="-2"/>
          <w:sz w:val="24"/>
          <w:szCs w:val="24"/>
        </w:rPr>
        <w:t xml:space="preserve">, </w:t>
      </w:r>
      <w:bookmarkEnd w:id="14"/>
      <w:proofErr w:type="spellStart"/>
      <w:r>
        <w:rPr>
          <w:spacing w:val="-2"/>
          <w:sz w:val="24"/>
          <w:szCs w:val="24"/>
        </w:rPr>
        <w:t>pyridostigmin</w:t>
      </w:r>
      <w:proofErr w:type="spellEnd"/>
      <w:r>
        <w:rPr>
          <w:spacing w:val="-2"/>
          <w:sz w:val="24"/>
          <w:szCs w:val="24"/>
        </w:rPr>
        <w:t xml:space="preserve">) bør det først og fremmest overvejes at udskifte, reducere eller helt seponere det inducerende lægemiddel, før </w:t>
      </w:r>
      <w:proofErr w:type="spellStart"/>
      <w:r>
        <w:rPr>
          <w:spacing w:val="-2"/>
          <w:sz w:val="24"/>
          <w:szCs w:val="24"/>
        </w:rPr>
        <w:t>Xeomin</w:t>
      </w:r>
      <w:proofErr w:type="spellEnd"/>
      <w:r>
        <w:rPr>
          <w:spacing w:val="-2"/>
          <w:sz w:val="24"/>
          <w:szCs w:val="24"/>
        </w:rPr>
        <w:t xml:space="preserve"> anvendes til behandling af </w:t>
      </w:r>
      <w:proofErr w:type="spellStart"/>
      <w:r>
        <w:rPr>
          <w:sz w:val="24"/>
          <w:szCs w:val="24"/>
          <w:lang w:eastAsia="de-DE"/>
        </w:rPr>
        <w:t>hypersalivation</w:t>
      </w:r>
      <w:proofErr w:type="spellEnd"/>
      <w:r>
        <w:rPr>
          <w:spacing w:val="-2"/>
          <w:sz w:val="24"/>
          <w:szCs w:val="24"/>
        </w:rPr>
        <w:t>.</w:t>
      </w:r>
    </w:p>
    <w:p w:rsidR="00183DD0" w:rsidRDefault="00183DD0" w:rsidP="00183DD0">
      <w:pPr>
        <w:ind w:left="851"/>
        <w:rPr>
          <w:spacing w:val="-2"/>
          <w:sz w:val="24"/>
          <w:szCs w:val="24"/>
        </w:rPr>
      </w:pPr>
      <w:proofErr w:type="spellStart"/>
      <w:r>
        <w:rPr>
          <w:spacing w:val="-2"/>
          <w:sz w:val="24"/>
          <w:szCs w:val="24"/>
        </w:rPr>
        <w:t>Xeomins</w:t>
      </w:r>
      <w:proofErr w:type="spellEnd"/>
      <w:r>
        <w:rPr>
          <w:spacing w:val="-2"/>
          <w:sz w:val="24"/>
          <w:szCs w:val="24"/>
        </w:rPr>
        <w:t xml:space="preserve"> sikkerhed og virkning hos patienter med lægemiddelinduceret </w:t>
      </w:r>
      <w:proofErr w:type="spellStart"/>
      <w:r>
        <w:rPr>
          <w:sz w:val="24"/>
          <w:szCs w:val="24"/>
          <w:lang w:eastAsia="de-DE"/>
        </w:rPr>
        <w:t>hypersalivation</w:t>
      </w:r>
      <w:proofErr w:type="spellEnd"/>
      <w:r>
        <w:rPr>
          <w:spacing w:val="-2"/>
          <w:sz w:val="24"/>
          <w:szCs w:val="24"/>
        </w:rPr>
        <w:t xml:space="preserve"> er ikke undersøgt.</w:t>
      </w:r>
      <w:bookmarkEnd w:id="15"/>
    </w:p>
    <w:p w:rsidR="00183DD0" w:rsidRPr="00C11CA6" w:rsidRDefault="00183DD0" w:rsidP="00183DD0">
      <w:pPr>
        <w:ind w:left="851"/>
        <w:rPr>
          <w:spacing w:val="-2"/>
          <w:sz w:val="24"/>
          <w:szCs w:val="24"/>
        </w:rPr>
      </w:pPr>
    </w:p>
    <w:p w:rsidR="00183DD0" w:rsidRPr="00C11CA6" w:rsidRDefault="00183DD0" w:rsidP="00183DD0">
      <w:pPr>
        <w:ind w:left="851"/>
        <w:rPr>
          <w:spacing w:val="-2"/>
          <w:sz w:val="24"/>
          <w:szCs w:val="24"/>
        </w:rPr>
      </w:pPr>
      <w:r w:rsidRPr="00C11CA6">
        <w:rPr>
          <w:spacing w:val="-2"/>
          <w:sz w:val="24"/>
          <w:szCs w:val="24"/>
        </w:rPr>
        <w:t xml:space="preserve">Hvis der opstår tilfælde af mundtørhed i forbindelse med administration af </w:t>
      </w:r>
      <w:proofErr w:type="spellStart"/>
      <w:r w:rsidRPr="00C11CA6">
        <w:rPr>
          <w:spacing w:val="-2"/>
          <w:sz w:val="24"/>
          <w:szCs w:val="24"/>
        </w:rPr>
        <w:t>Xeomin</w:t>
      </w:r>
      <w:proofErr w:type="spellEnd"/>
      <w:r w:rsidRPr="00C11CA6">
        <w:rPr>
          <w:spacing w:val="-2"/>
          <w:sz w:val="24"/>
          <w:szCs w:val="24"/>
        </w:rPr>
        <w:t>, bør det overvejes at reducere dosis.</w:t>
      </w:r>
    </w:p>
    <w:p w:rsidR="00183DD0" w:rsidRPr="00C11CA6" w:rsidRDefault="00183DD0" w:rsidP="00183DD0">
      <w:pPr>
        <w:ind w:left="851"/>
        <w:rPr>
          <w:spacing w:val="-2"/>
          <w:sz w:val="24"/>
          <w:szCs w:val="24"/>
        </w:rPr>
      </w:pPr>
    </w:p>
    <w:p w:rsidR="00183DD0" w:rsidRPr="00C11CA6" w:rsidRDefault="00183DD0" w:rsidP="00183DD0">
      <w:pPr>
        <w:ind w:left="851"/>
        <w:rPr>
          <w:spacing w:val="-2"/>
          <w:sz w:val="24"/>
          <w:szCs w:val="24"/>
        </w:rPr>
      </w:pPr>
      <w:r w:rsidRPr="00C11CA6">
        <w:rPr>
          <w:spacing w:val="-2"/>
          <w:sz w:val="24"/>
          <w:szCs w:val="24"/>
        </w:rPr>
        <w:t xml:space="preserve">Et tandlægebesøg anbefales ved behandlingsstart. Tandlægen bør informeres om, at patienten behandles med </w:t>
      </w:r>
      <w:proofErr w:type="spellStart"/>
      <w:r w:rsidRPr="00C11CA6">
        <w:rPr>
          <w:spacing w:val="-2"/>
          <w:sz w:val="24"/>
          <w:szCs w:val="24"/>
        </w:rPr>
        <w:t>Xeomin</w:t>
      </w:r>
      <w:proofErr w:type="spellEnd"/>
      <w:r w:rsidRPr="00C11CA6">
        <w:rPr>
          <w:spacing w:val="-2"/>
          <w:sz w:val="24"/>
          <w:szCs w:val="24"/>
        </w:rPr>
        <w:t xml:space="preserve"> mod </w:t>
      </w:r>
      <w:proofErr w:type="spellStart"/>
      <w:r w:rsidRPr="00C11CA6">
        <w:rPr>
          <w:sz w:val="24"/>
          <w:szCs w:val="24"/>
          <w:lang w:eastAsia="de-DE"/>
        </w:rPr>
        <w:t>hypersalivation</w:t>
      </w:r>
      <w:proofErr w:type="spellEnd"/>
      <w:r w:rsidRPr="00C11CA6">
        <w:rPr>
          <w:spacing w:val="-2"/>
          <w:sz w:val="24"/>
          <w:szCs w:val="24"/>
        </w:rPr>
        <w:t xml:space="preserve"> for derved at kunne træffe de nødvendige foranstaltninger til cariesforebyggelse. </w:t>
      </w:r>
    </w:p>
    <w:p w:rsidR="0033400D" w:rsidRPr="00C11CA6" w:rsidRDefault="0033400D" w:rsidP="0033400D">
      <w:pPr>
        <w:ind w:left="851" w:hanging="851"/>
        <w:rPr>
          <w:sz w:val="24"/>
          <w:szCs w:val="24"/>
        </w:rPr>
      </w:pPr>
    </w:p>
    <w:p w:rsidR="0033400D" w:rsidRPr="00F50095" w:rsidRDefault="0033400D" w:rsidP="0033400D">
      <w:pPr>
        <w:numPr>
          <w:ilvl w:val="1"/>
          <w:numId w:val="1"/>
        </w:numPr>
        <w:ind w:left="851" w:hanging="851"/>
        <w:rPr>
          <w:b/>
          <w:sz w:val="24"/>
          <w:szCs w:val="24"/>
        </w:rPr>
      </w:pPr>
      <w:r w:rsidRPr="00F50095">
        <w:rPr>
          <w:b/>
          <w:sz w:val="24"/>
          <w:szCs w:val="24"/>
        </w:rPr>
        <w:t>Interaktion med andre lægemidler og andre former for interaktion</w:t>
      </w:r>
    </w:p>
    <w:p w:rsidR="0033400D" w:rsidRPr="00F50095" w:rsidRDefault="0033400D" w:rsidP="0033400D">
      <w:pPr>
        <w:pStyle w:val="Listeafsnit"/>
        <w:suppressAutoHyphens/>
        <w:ind w:left="855"/>
        <w:rPr>
          <w:spacing w:val="-2"/>
          <w:sz w:val="24"/>
          <w:szCs w:val="24"/>
        </w:rPr>
      </w:pPr>
      <w:r w:rsidRPr="00F50095">
        <w:rPr>
          <w:spacing w:val="-2"/>
          <w:sz w:val="24"/>
          <w:szCs w:val="24"/>
        </w:rPr>
        <w:t>Der er ikke udført interaktionsstudier.</w:t>
      </w:r>
    </w:p>
    <w:p w:rsidR="0033400D" w:rsidRPr="00F50095" w:rsidRDefault="0033400D" w:rsidP="0033400D">
      <w:pPr>
        <w:suppressAutoHyphens/>
        <w:ind w:left="851" w:hanging="851"/>
        <w:rPr>
          <w:spacing w:val="-2"/>
          <w:sz w:val="24"/>
          <w:szCs w:val="24"/>
        </w:rPr>
      </w:pPr>
    </w:p>
    <w:p w:rsidR="0033400D" w:rsidRDefault="0033400D" w:rsidP="0033400D">
      <w:pPr>
        <w:pStyle w:val="Brdtekstindrykning3"/>
        <w:spacing w:after="0"/>
        <w:ind w:left="851"/>
        <w:rPr>
          <w:sz w:val="24"/>
          <w:szCs w:val="24"/>
        </w:rPr>
      </w:pPr>
      <w:r w:rsidRPr="00F50095">
        <w:rPr>
          <w:sz w:val="24"/>
          <w:szCs w:val="24"/>
        </w:rPr>
        <w:t xml:space="preserve">Teoretisk set kan virkningen af </w:t>
      </w:r>
      <w:proofErr w:type="spellStart"/>
      <w:r w:rsidRPr="00F50095">
        <w:rPr>
          <w:sz w:val="24"/>
          <w:szCs w:val="24"/>
        </w:rPr>
        <w:t>botulinum</w:t>
      </w:r>
      <w:proofErr w:type="spellEnd"/>
      <w:r w:rsidRPr="00F50095">
        <w:rPr>
          <w:sz w:val="24"/>
          <w:szCs w:val="24"/>
        </w:rPr>
        <w:t xml:space="preserve"> </w:t>
      </w:r>
      <w:proofErr w:type="spellStart"/>
      <w:r w:rsidRPr="00F50095">
        <w:rPr>
          <w:sz w:val="24"/>
          <w:szCs w:val="24"/>
        </w:rPr>
        <w:t>neurotoksin</w:t>
      </w:r>
      <w:proofErr w:type="spellEnd"/>
      <w:r w:rsidRPr="00F50095">
        <w:rPr>
          <w:sz w:val="24"/>
          <w:szCs w:val="24"/>
        </w:rPr>
        <w:t xml:space="preserve"> blive forstærket af aminoglykosid-antibiotika eller andre lægemidler, der interfererer med </w:t>
      </w:r>
      <w:proofErr w:type="spellStart"/>
      <w:r w:rsidRPr="00F50095">
        <w:rPr>
          <w:sz w:val="24"/>
          <w:szCs w:val="24"/>
        </w:rPr>
        <w:t>neuromuskulær</w:t>
      </w:r>
      <w:proofErr w:type="spellEnd"/>
      <w:r w:rsidRPr="00F50095">
        <w:rPr>
          <w:sz w:val="24"/>
          <w:szCs w:val="24"/>
        </w:rPr>
        <w:t xml:space="preserve"> transmission, f.eks. muskelafslappende midler af </w:t>
      </w:r>
      <w:proofErr w:type="spellStart"/>
      <w:r w:rsidRPr="00F50095">
        <w:rPr>
          <w:sz w:val="24"/>
          <w:szCs w:val="24"/>
        </w:rPr>
        <w:t>tubocurarintypen</w:t>
      </w:r>
      <w:proofErr w:type="spellEnd"/>
      <w:r w:rsidRPr="00F50095">
        <w:rPr>
          <w:sz w:val="24"/>
          <w:szCs w:val="24"/>
        </w:rPr>
        <w:t>.</w:t>
      </w:r>
    </w:p>
    <w:p w:rsidR="0033400D" w:rsidRPr="00F50095" w:rsidRDefault="0033400D" w:rsidP="0033400D">
      <w:pPr>
        <w:pStyle w:val="Brdtekstindrykning3"/>
        <w:spacing w:after="0"/>
        <w:ind w:left="851"/>
        <w:rPr>
          <w:sz w:val="24"/>
          <w:szCs w:val="24"/>
        </w:rPr>
      </w:pPr>
    </w:p>
    <w:p w:rsidR="0033400D" w:rsidRPr="00F50095" w:rsidRDefault="0033400D" w:rsidP="0033400D">
      <w:pPr>
        <w:pStyle w:val="Brdtekstindrykning3"/>
        <w:spacing w:after="0"/>
        <w:ind w:left="851"/>
        <w:rPr>
          <w:sz w:val="24"/>
          <w:szCs w:val="24"/>
        </w:rPr>
      </w:pPr>
      <w:r w:rsidRPr="00F50095">
        <w:rPr>
          <w:sz w:val="24"/>
          <w:szCs w:val="24"/>
        </w:rPr>
        <w:t xml:space="preserve">Derfor kræver samtidig anvendelse af </w:t>
      </w:r>
      <w:proofErr w:type="spellStart"/>
      <w:r w:rsidRPr="00F50095">
        <w:rPr>
          <w:sz w:val="24"/>
          <w:szCs w:val="24"/>
        </w:rPr>
        <w:t>X</w:t>
      </w:r>
      <w:r>
        <w:rPr>
          <w:sz w:val="24"/>
          <w:szCs w:val="24"/>
        </w:rPr>
        <w:t>eomin</w:t>
      </w:r>
      <w:proofErr w:type="spellEnd"/>
      <w:r w:rsidRPr="00F50095">
        <w:rPr>
          <w:sz w:val="24"/>
          <w:szCs w:val="24"/>
        </w:rPr>
        <w:t xml:space="preserve"> og aminoglykosider eller </w:t>
      </w:r>
      <w:proofErr w:type="spellStart"/>
      <w:r w:rsidRPr="00F50095">
        <w:rPr>
          <w:sz w:val="24"/>
          <w:szCs w:val="24"/>
        </w:rPr>
        <w:t>spectinomycin</w:t>
      </w:r>
      <w:proofErr w:type="spellEnd"/>
      <w:r w:rsidRPr="00F50095">
        <w:rPr>
          <w:sz w:val="24"/>
          <w:szCs w:val="24"/>
        </w:rPr>
        <w:t xml:space="preserve"> særlig omhu. Perifere </w:t>
      </w:r>
      <w:proofErr w:type="spellStart"/>
      <w:r w:rsidRPr="00F50095">
        <w:rPr>
          <w:sz w:val="24"/>
          <w:szCs w:val="24"/>
        </w:rPr>
        <w:t>muskelrelaksantia</w:t>
      </w:r>
      <w:proofErr w:type="spellEnd"/>
      <w:r w:rsidRPr="00F50095">
        <w:rPr>
          <w:sz w:val="24"/>
          <w:szCs w:val="24"/>
        </w:rPr>
        <w:t xml:space="preserve"> bør anvendes med forsigtighed, om nødvendigt </w:t>
      </w:r>
      <w:r w:rsidRPr="00F50095">
        <w:rPr>
          <w:sz w:val="24"/>
          <w:szCs w:val="24"/>
        </w:rPr>
        <w:lastRenderedPageBreak/>
        <w:t xml:space="preserve">med reduktion af initialdosis af det muskelafslappende middel eller ved brug af et </w:t>
      </w:r>
      <w:proofErr w:type="spellStart"/>
      <w:r w:rsidRPr="00F50095">
        <w:rPr>
          <w:sz w:val="24"/>
          <w:szCs w:val="24"/>
        </w:rPr>
        <w:t>intermediært</w:t>
      </w:r>
      <w:proofErr w:type="spellEnd"/>
      <w:r w:rsidRPr="00F50095">
        <w:rPr>
          <w:sz w:val="24"/>
          <w:szCs w:val="24"/>
        </w:rPr>
        <w:t xml:space="preserve"> virkende stof såsom </w:t>
      </w:r>
      <w:proofErr w:type="spellStart"/>
      <w:r w:rsidRPr="00F50095">
        <w:rPr>
          <w:sz w:val="24"/>
          <w:szCs w:val="24"/>
        </w:rPr>
        <w:t>vecuronium</w:t>
      </w:r>
      <w:proofErr w:type="spellEnd"/>
      <w:r w:rsidRPr="00F50095">
        <w:rPr>
          <w:sz w:val="24"/>
          <w:szCs w:val="24"/>
        </w:rPr>
        <w:t xml:space="preserve"> eller </w:t>
      </w:r>
      <w:proofErr w:type="spellStart"/>
      <w:r w:rsidRPr="00F50095">
        <w:rPr>
          <w:sz w:val="24"/>
          <w:szCs w:val="24"/>
        </w:rPr>
        <w:t>atracurium</w:t>
      </w:r>
      <w:proofErr w:type="spellEnd"/>
      <w:r w:rsidRPr="00F50095">
        <w:rPr>
          <w:sz w:val="24"/>
          <w:szCs w:val="24"/>
        </w:rPr>
        <w:t xml:space="preserve"> frem for stoffer med længerevarende virkning.</w:t>
      </w:r>
    </w:p>
    <w:p w:rsidR="0033400D" w:rsidRPr="00F50095" w:rsidRDefault="0033400D" w:rsidP="0033400D">
      <w:pPr>
        <w:pStyle w:val="Brdtekstindrykning3"/>
        <w:spacing w:after="0"/>
        <w:ind w:left="851"/>
        <w:rPr>
          <w:sz w:val="24"/>
          <w:szCs w:val="24"/>
        </w:rPr>
      </w:pPr>
    </w:p>
    <w:p w:rsidR="0033400D" w:rsidRPr="00F50095" w:rsidRDefault="0033400D" w:rsidP="0033400D">
      <w:pPr>
        <w:pStyle w:val="Brdtekstindrykning3"/>
        <w:spacing w:after="0"/>
        <w:ind w:left="851"/>
        <w:rPr>
          <w:sz w:val="24"/>
          <w:szCs w:val="24"/>
        </w:rPr>
      </w:pPr>
      <w:r w:rsidRPr="00F50095">
        <w:rPr>
          <w:sz w:val="24"/>
          <w:szCs w:val="24"/>
        </w:rPr>
        <w:t xml:space="preserve">Derudover kan bestråling af hoved og hals, inklusive spytkirtler og/eller samtidig administration af </w:t>
      </w:r>
      <w:proofErr w:type="spellStart"/>
      <w:r w:rsidRPr="00F50095">
        <w:rPr>
          <w:sz w:val="24"/>
          <w:szCs w:val="24"/>
        </w:rPr>
        <w:t>antikolinergika</w:t>
      </w:r>
      <w:proofErr w:type="spellEnd"/>
      <w:r w:rsidRPr="00F50095">
        <w:rPr>
          <w:sz w:val="24"/>
          <w:szCs w:val="24"/>
        </w:rPr>
        <w:t xml:space="preserve"> (f.eks. atropin, </w:t>
      </w:r>
      <w:proofErr w:type="spellStart"/>
      <w:r w:rsidRPr="00F50095">
        <w:rPr>
          <w:sz w:val="24"/>
          <w:szCs w:val="24"/>
        </w:rPr>
        <w:t>glycopyrronium</w:t>
      </w:r>
      <w:proofErr w:type="spellEnd"/>
      <w:r w:rsidRPr="00F50095">
        <w:rPr>
          <w:sz w:val="24"/>
          <w:szCs w:val="24"/>
        </w:rPr>
        <w:t xml:space="preserve">, </w:t>
      </w:r>
      <w:proofErr w:type="spellStart"/>
      <w:r w:rsidRPr="00F50095">
        <w:rPr>
          <w:sz w:val="24"/>
          <w:szCs w:val="24"/>
        </w:rPr>
        <w:t>scopolamin</w:t>
      </w:r>
      <w:proofErr w:type="spellEnd"/>
      <w:r w:rsidRPr="00F50095">
        <w:rPr>
          <w:sz w:val="24"/>
          <w:szCs w:val="24"/>
        </w:rPr>
        <w:t xml:space="preserve">) til behandling af kronisk </w:t>
      </w:r>
      <w:proofErr w:type="spellStart"/>
      <w:r w:rsidRPr="00F50095">
        <w:rPr>
          <w:sz w:val="24"/>
          <w:szCs w:val="24"/>
          <w:lang w:eastAsia="de-DE"/>
        </w:rPr>
        <w:t>hypersalivation</w:t>
      </w:r>
      <w:proofErr w:type="spellEnd"/>
      <w:r w:rsidRPr="00F50095">
        <w:rPr>
          <w:sz w:val="24"/>
          <w:szCs w:val="24"/>
        </w:rPr>
        <w:t xml:space="preserve"> øge effekten af toksinet. Brug af </w:t>
      </w:r>
      <w:proofErr w:type="spellStart"/>
      <w:r w:rsidRPr="00F50095">
        <w:rPr>
          <w:sz w:val="24"/>
          <w:szCs w:val="24"/>
        </w:rPr>
        <w:t>X</w:t>
      </w:r>
      <w:r>
        <w:rPr>
          <w:sz w:val="24"/>
          <w:szCs w:val="24"/>
        </w:rPr>
        <w:t>eomin</w:t>
      </w:r>
      <w:proofErr w:type="spellEnd"/>
      <w:r w:rsidRPr="00F50095">
        <w:rPr>
          <w:sz w:val="24"/>
          <w:szCs w:val="24"/>
        </w:rPr>
        <w:t xml:space="preserve"> til behandling af </w:t>
      </w:r>
      <w:proofErr w:type="spellStart"/>
      <w:r w:rsidRPr="00F50095">
        <w:rPr>
          <w:sz w:val="24"/>
          <w:szCs w:val="24"/>
          <w:lang w:eastAsia="de-DE"/>
        </w:rPr>
        <w:t>hypersalivation</w:t>
      </w:r>
      <w:proofErr w:type="spellEnd"/>
      <w:r w:rsidRPr="00F50095">
        <w:rPr>
          <w:sz w:val="24"/>
          <w:szCs w:val="24"/>
        </w:rPr>
        <w:t xml:space="preserve"> kan ikke anbefales samtidig med strålebehandling.</w:t>
      </w:r>
    </w:p>
    <w:p w:rsidR="0033400D" w:rsidRPr="00F50095" w:rsidRDefault="0033400D" w:rsidP="0033400D">
      <w:pPr>
        <w:pStyle w:val="Brdtekstindrykning3"/>
        <w:spacing w:after="0"/>
        <w:ind w:left="851" w:hanging="851"/>
        <w:rPr>
          <w:sz w:val="24"/>
          <w:szCs w:val="24"/>
        </w:rPr>
      </w:pPr>
    </w:p>
    <w:p w:rsidR="0033400D" w:rsidRPr="00F50095" w:rsidRDefault="0033400D" w:rsidP="0033400D">
      <w:pPr>
        <w:pStyle w:val="Brdtekstindrykning3"/>
        <w:spacing w:after="0"/>
        <w:ind w:left="851"/>
        <w:rPr>
          <w:sz w:val="24"/>
          <w:szCs w:val="24"/>
        </w:rPr>
      </w:pPr>
      <w:r w:rsidRPr="00F50095">
        <w:rPr>
          <w:sz w:val="24"/>
          <w:szCs w:val="24"/>
        </w:rPr>
        <w:t xml:space="preserve">4-Aminoquinoliner kan nedsætte virkningen af </w:t>
      </w:r>
      <w:proofErr w:type="spellStart"/>
      <w:r w:rsidRPr="00F50095">
        <w:rPr>
          <w:sz w:val="24"/>
          <w:szCs w:val="24"/>
        </w:rPr>
        <w:t>X</w:t>
      </w:r>
      <w:r>
        <w:rPr>
          <w:sz w:val="24"/>
          <w:szCs w:val="24"/>
        </w:rPr>
        <w:t>eomin</w:t>
      </w:r>
      <w:proofErr w:type="spellEnd"/>
      <w:r w:rsidRPr="00F50095">
        <w:rPr>
          <w:sz w:val="24"/>
          <w:szCs w:val="24"/>
        </w:rPr>
        <w:t>.</w:t>
      </w:r>
    </w:p>
    <w:p w:rsidR="0033400D" w:rsidRPr="00F50095" w:rsidRDefault="0033400D" w:rsidP="0033400D">
      <w:pPr>
        <w:pStyle w:val="Brdtekstindrykning3"/>
        <w:spacing w:after="0"/>
        <w:ind w:left="851"/>
        <w:rPr>
          <w:sz w:val="24"/>
          <w:szCs w:val="24"/>
        </w:rPr>
      </w:pPr>
    </w:p>
    <w:p w:rsidR="0033400D" w:rsidRPr="009A21DF" w:rsidRDefault="00E44AD4" w:rsidP="0033400D">
      <w:pPr>
        <w:numPr>
          <w:ilvl w:val="1"/>
          <w:numId w:val="1"/>
        </w:numPr>
        <w:ind w:left="851" w:hanging="851"/>
        <w:rPr>
          <w:b/>
          <w:sz w:val="24"/>
          <w:szCs w:val="24"/>
        </w:rPr>
      </w:pPr>
      <w:r>
        <w:rPr>
          <w:b/>
          <w:sz w:val="24"/>
          <w:szCs w:val="24"/>
        </w:rPr>
        <w:t>Fertilitet, g</w:t>
      </w:r>
      <w:r w:rsidR="0033400D" w:rsidRPr="00F50095">
        <w:rPr>
          <w:b/>
          <w:sz w:val="24"/>
          <w:szCs w:val="24"/>
        </w:rPr>
        <w:t>raviditet og amning</w:t>
      </w:r>
    </w:p>
    <w:p w:rsidR="004E56D0" w:rsidRPr="004E56D0" w:rsidRDefault="004E56D0" w:rsidP="0033400D">
      <w:pPr>
        <w:pStyle w:val="Brdtekstindrykning3"/>
        <w:spacing w:after="0"/>
        <w:ind w:left="855"/>
        <w:rPr>
          <w:sz w:val="24"/>
          <w:szCs w:val="24"/>
        </w:rPr>
      </w:pPr>
    </w:p>
    <w:p w:rsidR="0033400D" w:rsidRPr="00F50095" w:rsidRDefault="0033400D" w:rsidP="0033400D">
      <w:pPr>
        <w:pStyle w:val="Brdtekstindrykning3"/>
        <w:spacing w:after="0"/>
        <w:ind w:left="855"/>
        <w:rPr>
          <w:sz w:val="24"/>
          <w:szCs w:val="24"/>
        </w:rPr>
      </w:pPr>
      <w:r w:rsidRPr="00F50095">
        <w:rPr>
          <w:sz w:val="24"/>
          <w:szCs w:val="24"/>
          <w:u w:val="single"/>
        </w:rPr>
        <w:t>Fertilitet</w:t>
      </w:r>
    </w:p>
    <w:p w:rsidR="0033400D" w:rsidRPr="00F50095" w:rsidRDefault="0033400D" w:rsidP="0033400D">
      <w:pPr>
        <w:ind w:left="851"/>
        <w:rPr>
          <w:sz w:val="24"/>
          <w:szCs w:val="24"/>
        </w:rPr>
      </w:pPr>
      <w:r w:rsidRPr="00F50095">
        <w:rPr>
          <w:sz w:val="24"/>
          <w:szCs w:val="24"/>
        </w:rPr>
        <w:t xml:space="preserve">Der foreligger ikke tilstrækkelige data fra anvendelse af </w:t>
      </w:r>
      <w:proofErr w:type="spellStart"/>
      <w:r w:rsidRPr="00F50095">
        <w:rPr>
          <w:sz w:val="24"/>
          <w:szCs w:val="24"/>
        </w:rPr>
        <w:t>botulinum</w:t>
      </w:r>
      <w:proofErr w:type="spellEnd"/>
      <w:r w:rsidRPr="00F50095">
        <w:rPr>
          <w:sz w:val="24"/>
          <w:szCs w:val="24"/>
        </w:rPr>
        <w:t xml:space="preserve"> type A-</w:t>
      </w:r>
      <w:proofErr w:type="spellStart"/>
      <w:r w:rsidRPr="00F50095">
        <w:rPr>
          <w:sz w:val="24"/>
          <w:szCs w:val="24"/>
        </w:rPr>
        <w:t>neurotoksin</w:t>
      </w:r>
      <w:proofErr w:type="spellEnd"/>
      <w:r w:rsidRPr="00F50095">
        <w:rPr>
          <w:sz w:val="24"/>
          <w:szCs w:val="24"/>
        </w:rPr>
        <w:t>. I kaniner sås ingen påvirkning af fertiliteten hos han- eller hundyr (se pkt. 5.3).</w:t>
      </w:r>
    </w:p>
    <w:p w:rsidR="0033400D" w:rsidRPr="00F50095" w:rsidRDefault="0033400D" w:rsidP="0033400D">
      <w:pPr>
        <w:rPr>
          <w:sz w:val="24"/>
          <w:szCs w:val="24"/>
        </w:rPr>
      </w:pPr>
    </w:p>
    <w:p w:rsidR="0033400D" w:rsidRPr="00F50095" w:rsidRDefault="0033400D" w:rsidP="0033400D">
      <w:pPr>
        <w:ind w:firstLine="851"/>
        <w:rPr>
          <w:sz w:val="24"/>
          <w:szCs w:val="24"/>
          <w:u w:val="single"/>
        </w:rPr>
      </w:pPr>
      <w:r w:rsidRPr="00F50095">
        <w:rPr>
          <w:sz w:val="24"/>
          <w:szCs w:val="24"/>
          <w:u w:val="single"/>
        </w:rPr>
        <w:t>Graviditet</w:t>
      </w:r>
    </w:p>
    <w:p w:rsidR="0033400D" w:rsidRPr="00F50095" w:rsidRDefault="0033400D" w:rsidP="0033400D">
      <w:pPr>
        <w:ind w:left="851"/>
        <w:rPr>
          <w:sz w:val="24"/>
          <w:szCs w:val="24"/>
        </w:rPr>
      </w:pPr>
      <w:r w:rsidRPr="00F50095">
        <w:rPr>
          <w:sz w:val="24"/>
          <w:szCs w:val="24"/>
        </w:rPr>
        <w:t xml:space="preserve">Der foreligger ikke tilstrækkelige data fra anvendelse af </w:t>
      </w:r>
      <w:proofErr w:type="spellStart"/>
      <w:r w:rsidRPr="00F50095">
        <w:rPr>
          <w:sz w:val="24"/>
          <w:szCs w:val="24"/>
        </w:rPr>
        <w:t>botulinum</w:t>
      </w:r>
      <w:proofErr w:type="spellEnd"/>
      <w:r w:rsidRPr="00F50095">
        <w:rPr>
          <w:sz w:val="24"/>
          <w:szCs w:val="24"/>
        </w:rPr>
        <w:t xml:space="preserve"> type A-</w:t>
      </w:r>
      <w:proofErr w:type="spellStart"/>
      <w:r w:rsidRPr="00F50095">
        <w:rPr>
          <w:sz w:val="24"/>
          <w:szCs w:val="24"/>
        </w:rPr>
        <w:t>neurotoksin</w:t>
      </w:r>
      <w:proofErr w:type="spellEnd"/>
      <w:r w:rsidRPr="00F50095">
        <w:rPr>
          <w:sz w:val="24"/>
          <w:szCs w:val="24"/>
        </w:rPr>
        <w:t xml:space="preserve"> til gravide kvinder. Dyreforsøg har påvist reproduktionstoksicitet (se pkt. 5.3). Den mulige risiko for mennesker kendes ikke. </w:t>
      </w:r>
    </w:p>
    <w:p w:rsidR="0033400D" w:rsidRPr="00F50095" w:rsidRDefault="0033400D" w:rsidP="0033400D">
      <w:pPr>
        <w:ind w:left="851"/>
        <w:rPr>
          <w:sz w:val="24"/>
          <w:szCs w:val="24"/>
        </w:rPr>
      </w:pPr>
    </w:p>
    <w:p w:rsidR="0033400D" w:rsidRPr="00F50095" w:rsidRDefault="0033400D" w:rsidP="0033400D">
      <w:pPr>
        <w:ind w:left="851"/>
        <w:rPr>
          <w:sz w:val="24"/>
          <w:szCs w:val="24"/>
        </w:rPr>
      </w:pPr>
      <w:proofErr w:type="spellStart"/>
      <w:r w:rsidRPr="00F50095">
        <w:rPr>
          <w:sz w:val="24"/>
          <w:szCs w:val="24"/>
        </w:rPr>
        <w:t>X</w:t>
      </w:r>
      <w:r>
        <w:rPr>
          <w:sz w:val="24"/>
          <w:szCs w:val="24"/>
        </w:rPr>
        <w:t>eomin</w:t>
      </w:r>
      <w:proofErr w:type="spellEnd"/>
      <w:r w:rsidRPr="00F50095">
        <w:rPr>
          <w:sz w:val="24"/>
          <w:szCs w:val="24"/>
        </w:rPr>
        <w:t xml:space="preserve"> bør derfor ikke anvendes under graviditet, medmindre det er klart nødvendigt, og kun såfremt risikoen retfærdiggøres af den potentielle fordel.</w:t>
      </w:r>
    </w:p>
    <w:p w:rsidR="0033400D" w:rsidRPr="00F50095" w:rsidRDefault="0033400D" w:rsidP="0033400D">
      <w:pPr>
        <w:pStyle w:val="Brdtekstindrykning3"/>
        <w:ind w:left="851" w:hanging="851"/>
        <w:rPr>
          <w:sz w:val="24"/>
          <w:szCs w:val="24"/>
          <w:u w:val="single"/>
        </w:rPr>
      </w:pPr>
    </w:p>
    <w:p w:rsidR="0033400D" w:rsidRPr="00F50095" w:rsidRDefault="0033400D" w:rsidP="0033400D">
      <w:pPr>
        <w:pStyle w:val="Brdtekstindrykning3"/>
        <w:spacing w:after="0"/>
        <w:ind w:left="851"/>
        <w:rPr>
          <w:sz w:val="24"/>
          <w:szCs w:val="24"/>
          <w:u w:val="single"/>
        </w:rPr>
      </w:pPr>
      <w:r w:rsidRPr="00F50095">
        <w:rPr>
          <w:sz w:val="24"/>
          <w:szCs w:val="24"/>
          <w:u w:val="single"/>
        </w:rPr>
        <w:t>Amning</w:t>
      </w:r>
    </w:p>
    <w:p w:rsidR="0033400D" w:rsidRPr="00F50095" w:rsidRDefault="0033400D" w:rsidP="0033400D">
      <w:pPr>
        <w:pStyle w:val="Brdtekstindrykning3"/>
        <w:spacing w:after="0"/>
        <w:ind w:left="855"/>
        <w:rPr>
          <w:sz w:val="24"/>
          <w:szCs w:val="24"/>
          <w:u w:val="single"/>
        </w:rPr>
      </w:pPr>
      <w:r w:rsidRPr="00F50095">
        <w:rPr>
          <w:sz w:val="24"/>
          <w:szCs w:val="24"/>
          <w:lang w:eastAsia="en-US"/>
        </w:rPr>
        <w:t xml:space="preserve">Det er ukendt, om </w:t>
      </w:r>
      <w:proofErr w:type="spellStart"/>
      <w:r w:rsidRPr="00F50095">
        <w:rPr>
          <w:sz w:val="24"/>
          <w:szCs w:val="24"/>
          <w:lang w:eastAsia="en-US"/>
        </w:rPr>
        <w:t>botulinum</w:t>
      </w:r>
      <w:proofErr w:type="spellEnd"/>
      <w:r w:rsidRPr="00F50095">
        <w:rPr>
          <w:sz w:val="24"/>
          <w:szCs w:val="24"/>
          <w:lang w:eastAsia="en-US"/>
        </w:rPr>
        <w:t xml:space="preserve"> type A-</w:t>
      </w:r>
      <w:proofErr w:type="spellStart"/>
      <w:r w:rsidRPr="00F50095">
        <w:rPr>
          <w:sz w:val="24"/>
          <w:szCs w:val="24"/>
          <w:lang w:eastAsia="en-US"/>
        </w:rPr>
        <w:t>neurotoksin</w:t>
      </w:r>
      <w:proofErr w:type="spellEnd"/>
      <w:r w:rsidRPr="00F50095">
        <w:rPr>
          <w:sz w:val="24"/>
          <w:szCs w:val="24"/>
          <w:lang w:eastAsia="en-US"/>
        </w:rPr>
        <w:t xml:space="preserve"> udskilles i brystmælk. Derfor bør </w:t>
      </w:r>
      <w:proofErr w:type="spellStart"/>
      <w:r w:rsidRPr="00F50095">
        <w:rPr>
          <w:sz w:val="24"/>
          <w:szCs w:val="24"/>
        </w:rPr>
        <w:t>X</w:t>
      </w:r>
      <w:r>
        <w:rPr>
          <w:sz w:val="24"/>
          <w:szCs w:val="24"/>
        </w:rPr>
        <w:t>eomin</w:t>
      </w:r>
      <w:proofErr w:type="spellEnd"/>
      <w:r w:rsidRPr="00F50095">
        <w:rPr>
          <w:sz w:val="24"/>
          <w:szCs w:val="24"/>
          <w:lang w:eastAsia="en-US"/>
        </w:rPr>
        <w:t xml:space="preserve"> ikke anvendes under amningen.</w:t>
      </w:r>
      <w:r w:rsidRPr="00F50095">
        <w:rPr>
          <w:sz w:val="24"/>
          <w:szCs w:val="24"/>
          <w:u w:val="single"/>
        </w:rPr>
        <w:t xml:space="preserve"> </w:t>
      </w:r>
    </w:p>
    <w:p w:rsidR="0033400D" w:rsidRPr="00F50095" w:rsidRDefault="0033400D" w:rsidP="0033400D">
      <w:pPr>
        <w:rPr>
          <w:sz w:val="24"/>
          <w:szCs w:val="24"/>
        </w:rPr>
      </w:pPr>
    </w:p>
    <w:p w:rsidR="0033400D" w:rsidRPr="00F50095" w:rsidRDefault="0033400D" w:rsidP="0033400D">
      <w:pPr>
        <w:numPr>
          <w:ilvl w:val="1"/>
          <w:numId w:val="1"/>
        </w:numPr>
        <w:ind w:left="851" w:hanging="851"/>
        <w:rPr>
          <w:b/>
          <w:sz w:val="24"/>
          <w:szCs w:val="24"/>
        </w:rPr>
      </w:pPr>
      <w:r w:rsidRPr="00F50095">
        <w:rPr>
          <w:b/>
          <w:sz w:val="24"/>
          <w:szCs w:val="24"/>
        </w:rPr>
        <w:t xml:space="preserve">Virkninger på evnen til at føre motorkøretøj </w:t>
      </w:r>
      <w:r w:rsidR="00E44AD4">
        <w:rPr>
          <w:b/>
          <w:sz w:val="24"/>
          <w:szCs w:val="24"/>
        </w:rPr>
        <w:t>og</w:t>
      </w:r>
      <w:r w:rsidRPr="00F50095">
        <w:rPr>
          <w:b/>
          <w:sz w:val="24"/>
          <w:szCs w:val="24"/>
        </w:rPr>
        <w:t xml:space="preserve"> betjene maskiner</w:t>
      </w:r>
    </w:p>
    <w:p w:rsidR="0033400D" w:rsidRPr="00F50095"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z w:val="24"/>
          <w:szCs w:val="24"/>
          <w:lang w:val="da-DK"/>
        </w:rPr>
      </w:pPr>
      <w:r w:rsidRPr="00F50095">
        <w:rPr>
          <w:rFonts w:ascii="Times New Roman" w:hAnsi="Times New Roman" w:cs="Times New Roman"/>
          <w:sz w:val="24"/>
          <w:szCs w:val="24"/>
          <w:lang w:val="da-DK"/>
        </w:rPr>
        <w:t>Ikke mærkning.</w:t>
      </w:r>
    </w:p>
    <w:p w:rsidR="0033400D" w:rsidRPr="00F50095"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pacing w:val="-2"/>
          <w:sz w:val="24"/>
          <w:szCs w:val="24"/>
          <w:lang w:val="da-DK"/>
        </w:rPr>
      </w:pPr>
      <w:proofErr w:type="spellStart"/>
      <w:r w:rsidRPr="00F50095">
        <w:rPr>
          <w:rFonts w:ascii="Times New Roman" w:hAnsi="Times New Roman" w:cs="Times New Roman"/>
          <w:spacing w:val="-2"/>
          <w:sz w:val="24"/>
          <w:szCs w:val="24"/>
          <w:lang w:val="da-DK"/>
        </w:rPr>
        <w:t>X</w:t>
      </w:r>
      <w:r>
        <w:rPr>
          <w:rFonts w:ascii="Times New Roman" w:hAnsi="Times New Roman" w:cs="Times New Roman"/>
          <w:spacing w:val="-2"/>
          <w:sz w:val="24"/>
          <w:szCs w:val="24"/>
          <w:lang w:val="da-DK"/>
        </w:rPr>
        <w:t>eomin</w:t>
      </w:r>
      <w:proofErr w:type="spellEnd"/>
      <w:r w:rsidRPr="00F50095">
        <w:rPr>
          <w:rFonts w:ascii="Times New Roman" w:hAnsi="Times New Roman" w:cs="Times New Roman"/>
          <w:spacing w:val="-2"/>
          <w:sz w:val="24"/>
          <w:szCs w:val="24"/>
          <w:lang w:val="da-DK"/>
        </w:rPr>
        <w:t xml:space="preserve"> påvirker i mindre eller moderat grad evnen til at føre motorkøretøj og betjene maskiner. Patienterne bør rådgives om, at i tilfælde af asteni, muskelsvaghed, svimmelhed, synsforstyrrelser eller hængende øjenlåg skal de undgå at køre eller udføre andre potentielt farlige aktiviteter.</w:t>
      </w:r>
    </w:p>
    <w:p w:rsidR="0033400D" w:rsidRPr="00F50095" w:rsidRDefault="0033400D" w:rsidP="0033400D">
      <w:pPr>
        <w:pStyle w:val="Brdtekstindrykning2"/>
        <w:tabs>
          <w:tab w:val="clear" w:pos="-1440"/>
          <w:tab w:val="clear" w:pos="-720"/>
          <w:tab w:val="clear" w:pos="0"/>
          <w:tab w:val="clear" w:pos="720"/>
        </w:tabs>
        <w:ind w:left="851"/>
        <w:jc w:val="left"/>
        <w:rPr>
          <w:rFonts w:ascii="Times New Roman" w:hAnsi="Times New Roman" w:cs="Times New Roman"/>
          <w:sz w:val="24"/>
          <w:szCs w:val="24"/>
          <w:lang w:val="da-DK"/>
        </w:rPr>
      </w:pPr>
    </w:p>
    <w:p w:rsidR="0033400D" w:rsidRPr="00F50095" w:rsidRDefault="0033400D" w:rsidP="003261A0">
      <w:pPr>
        <w:keepNext/>
        <w:numPr>
          <w:ilvl w:val="1"/>
          <w:numId w:val="1"/>
        </w:numPr>
        <w:ind w:left="851" w:hanging="851"/>
        <w:rPr>
          <w:b/>
          <w:sz w:val="24"/>
          <w:szCs w:val="24"/>
        </w:rPr>
      </w:pPr>
      <w:r w:rsidRPr="00F50095">
        <w:rPr>
          <w:b/>
          <w:sz w:val="24"/>
          <w:szCs w:val="24"/>
        </w:rPr>
        <w:t>Bivirkninger</w:t>
      </w:r>
    </w:p>
    <w:p w:rsidR="0033400D" w:rsidRPr="00F50095" w:rsidRDefault="0033400D" w:rsidP="0033400D">
      <w:pPr>
        <w:suppressAutoHyphens/>
        <w:ind w:left="851"/>
        <w:rPr>
          <w:sz w:val="24"/>
          <w:szCs w:val="24"/>
        </w:rPr>
      </w:pPr>
      <w:r w:rsidRPr="00F50095">
        <w:rPr>
          <w:spacing w:val="-2"/>
          <w:sz w:val="24"/>
          <w:szCs w:val="24"/>
        </w:rPr>
        <w:t>Sædvanligvis indtræffer bivirkninger i løbet af den første uge efter behandlingen, og de er normalt midlertidige</w:t>
      </w:r>
      <w:r w:rsidRPr="00F50095">
        <w:rPr>
          <w:sz w:val="24"/>
          <w:szCs w:val="24"/>
        </w:rPr>
        <w:t>. Bivirkninger kan være relateret til det aktive stof, injektions</w:t>
      </w:r>
      <w:r w:rsidRPr="00F50095">
        <w:rPr>
          <w:sz w:val="24"/>
          <w:szCs w:val="24"/>
        </w:rPr>
        <w:softHyphen/>
        <w:t>proceduren eller begge dele.</w:t>
      </w:r>
    </w:p>
    <w:p w:rsidR="0033400D" w:rsidRPr="00F50095" w:rsidRDefault="0033400D" w:rsidP="0033400D">
      <w:pPr>
        <w:suppressAutoHyphens/>
        <w:ind w:left="851" w:hanging="851"/>
        <w:rPr>
          <w:spacing w:val="-2"/>
          <w:sz w:val="24"/>
          <w:szCs w:val="24"/>
        </w:rPr>
      </w:pPr>
    </w:p>
    <w:p w:rsidR="0033400D" w:rsidRPr="00F50095" w:rsidRDefault="0033400D" w:rsidP="0033400D">
      <w:pPr>
        <w:suppressAutoHyphens/>
        <w:ind w:left="851"/>
        <w:rPr>
          <w:spacing w:val="-2"/>
          <w:sz w:val="24"/>
          <w:szCs w:val="24"/>
        </w:rPr>
      </w:pPr>
      <w:r w:rsidRPr="00F50095">
        <w:rPr>
          <w:spacing w:val="-2"/>
          <w:sz w:val="24"/>
          <w:szCs w:val="24"/>
          <w:u w:val="single"/>
        </w:rPr>
        <w:t>Bivirkninger uanset indikation</w:t>
      </w:r>
      <w:r w:rsidRPr="00F50095">
        <w:rPr>
          <w:spacing w:val="-2"/>
          <w:sz w:val="24"/>
          <w:szCs w:val="24"/>
        </w:rPr>
        <w:t xml:space="preserve"> </w:t>
      </w:r>
    </w:p>
    <w:p w:rsidR="0033400D" w:rsidRPr="00F50095" w:rsidRDefault="0033400D" w:rsidP="0033400D">
      <w:pPr>
        <w:suppressAutoHyphens/>
        <w:ind w:left="851"/>
        <w:rPr>
          <w:spacing w:val="-2"/>
          <w:sz w:val="24"/>
          <w:szCs w:val="24"/>
        </w:rPr>
      </w:pPr>
    </w:p>
    <w:p w:rsidR="0033400D" w:rsidRPr="00F50095" w:rsidRDefault="0033400D" w:rsidP="0033400D">
      <w:pPr>
        <w:suppressAutoHyphens/>
        <w:ind w:left="851"/>
        <w:rPr>
          <w:i/>
          <w:spacing w:val="-2"/>
          <w:sz w:val="24"/>
          <w:szCs w:val="24"/>
        </w:rPr>
      </w:pPr>
      <w:r w:rsidRPr="00F50095">
        <w:rPr>
          <w:i/>
          <w:spacing w:val="-2"/>
          <w:sz w:val="24"/>
          <w:szCs w:val="24"/>
        </w:rPr>
        <w:t>Bivirkninger relateret til administrationen</w:t>
      </w:r>
    </w:p>
    <w:p w:rsidR="0033400D" w:rsidRPr="00F50095" w:rsidRDefault="0033400D" w:rsidP="0033400D">
      <w:pPr>
        <w:suppressAutoHyphens/>
        <w:ind w:left="851"/>
        <w:rPr>
          <w:spacing w:val="-2"/>
          <w:sz w:val="24"/>
          <w:szCs w:val="24"/>
        </w:rPr>
      </w:pPr>
      <w:r w:rsidRPr="00F50095">
        <w:rPr>
          <w:spacing w:val="-2"/>
          <w:sz w:val="24"/>
          <w:szCs w:val="24"/>
        </w:rPr>
        <w:t xml:space="preserve">Lokaliserede smerter, inflammation, </w:t>
      </w:r>
      <w:proofErr w:type="spellStart"/>
      <w:r w:rsidRPr="00F50095">
        <w:rPr>
          <w:spacing w:val="-2"/>
          <w:sz w:val="24"/>
          <w:szCs w:val="24"/>
        </w:rPr>
        <w:t>paræstesi</w:t>
      </w:r>
      <w:proofErr w:type="spellEnd"/>
      <w:r w:rsidRPr="00F50095">
        <w:rPr>
          <w:spacing w:val="-2"/>
          <w:sz w:val="24"/>
          <w:szCs w:val="24"/>
        </w:rPr>
        <w:t xml:space="preserve">, </w:t>
      </w:r>
      <w:proofErr w:type="spellStart"/>
      <w:r w:rsidRPr="00F50095">
        <w:rPr>
          <w:spacing w:val="-2"/>
          <w:sz w:val="24"/>
          <w:szCs w:val="24"/>
        </w:rPr>
        <w:t>hypæstesi</w:t>
      </w:r>
      <w:proofErr w:type="spellEnd"/>
      <w:r w:rsidRPr="00F50095">
        <w:rPr>
          <w:spacing w:val="-2"/>
          <w:sz w:val="24"/>
          <w:szCs w:val="24"/>
        </w:rPr>
        <w:t xml:space="preserve">, ømhed, hævelse, ødem, </w:t>
      </w:r>
      <w:proofErr w:type="spellStart"/>
      <w:r w:rsidRPr="00F50095">
        <w:rPr>
          <w:spacing w:val="-2"/>
          <w:sz w:val="24"/>
          <w:szCs w:val="24"/>
        </w:rPr>
        <w:t>erytem</w:t>
      </w:r>
      <w:proofErr w:type="spellEnd"/>
      <w:r w:rsidRPr="00F50095">
        <w:rPr>
          <w:spacing w:val="-2"/>
          <w:sz w:val="24"/>
          <w:szCs w:val="24"/>
        </w:rPr>
        <w:t xml:space="preserve">, kløe, lokaliseret infektion, </w:t>
      </w:r>
      <w:proofErr w:type="spellStart"/>
      <w:r w:rsidRPr="00F50095">
        <w:rPr>
          <w:spacing w:val="-2"/>
          <w:sz w:val="24"/>
          <w:szCs w:val="24"/>
        </w:rPr>
        <w:t>hæmatom</w:t>
      </w:r>
      <w:proofErr w:type="spellEnd"/>
      <w:r w:rsidRPr="00F50095">
        <w:rPr>
          <w:spacing w:val="-2"/>
          <w:sz w:val="24"/>
          <w:szCs w:val="24"/>
        </w:rPr>
        <w:t>, blødning og/eller blå mærker kan være forbundet med injektionen.</w:t>
      </w:r>
    </w:p>
    <w:p w:rsidR="0033400D" w:rsidRPr="00F50095" w:rsidRDefault="0033400D" w:rsidP="0033400D">
      <w:pPr>
        <w:suppressAutoHyphens/>
        <w:ind w:left="851"/>
        <w:rPr>
          <w:spacing w:val="-2"/>
          <w:sz w:val="24"/>
          <w:szCs w:val="24"/>
        </w:rPr>
      </w:pPr>
      <w:r w:rsidRPr="00F50095">
        <w:rPr>
          <w:spacing w:val="-2"/>
          <w:sz w:val="24"/>
          <w:szCs w:val="24"/>
        </w:rPr>
        <w:t xml:space="preserve">Smerter efter injektion eller angst for kanyler kan føre til </w:t>
      </w:r>
      <w:proofErr w:type="spellStart"/>
      <w:r w:rsidRPr="00F50095">
        <w:rPr>
          <w:spacing w:val="-2"/>
          <w:sz w:val="24"/>
          <w:szCs w:val="24"/>
        </w:rPr>
        <w:t>vasovagale</w:t>
      </w:r>
      <w:proofErr w:type="spellEnd"/>
      <w:r w:rsidRPr="00F50095">
        <w:rPr>
          <w:spacing w:val="-2"/>
          <w:sz w:val="24"/>
          <w:szCs w:val="24"/>
        </w:rPr>
        <w:t xml:space="preserve"> reaktioner med forbigående symptomatisk hypotension, kvalme, tinnitus og synkope.</w:t>
      </w:r>
    </w:p>
    <w:p w:rsidR="0033400D" w:rsidRPr="00F50095" w:rsidRDefault="0033400D" w:rsidP="0033400D">
      <w:pPr>
        <w:suppressAutoHyphens/>
        <w:ind w:left="851" w:hanging="851"/>
        <w:rPr>
          <w:spacing w:val="-2"/>
          <w:sz w:val="24"/>
          <w:szCs w:val="24"/>
        </w:rPr>
      </w:pPr>
    </w:p>
    <w:p w:rsidR="0033400D" w:rsidRPr="00F50095" w:rsidRDefault="0033400D" w:rsidP="0033400D">
      <w:pPr>
        <w:keepNext/>
        <w:suppressAutoHyphens/>
        <w:ind w:left="851"/>
        <w:rPr>
          <w:i/>
          <w:sz w:val="24"/>
          <w:szCs w:val="24"/>
        </w:rPr>
      </w:pPr>
      <w:r w:rsidRPr="00F50095">
        <w:rPr>
          <w:i/>
          <w:sz w:val="24"/>
          <w:szCs w:val="24"/>
        </w:rPr>
        <w:lastRenderedPageBreak/>
        <w:t xml:space="preserve">Bivirkninger der skyldes lægemiddelklassen </w:t>
      </w:r>
      <w:proofErr w:type="spellStart"/>
      <w:r w:rsidRPr="00F50095">
        <w:rPr>
          <w:i/>
          <w:sz w:val="24"/>
          <w:szCs w:val="24"/>
        </w:rPr>
        <w:t>botulinum</w:t>
      </w:r>
      <w:proofErr w:type="spellEnd"/>
      <w:r w:rsidRPr="00F50095">
        <w:rPr>
          <w:i/>
          <w:sz w:val="24"/>
          <w:szCs w:val="24"/>
        </w:rPr>
        <w:t xml:space="preserve"> type A-toksin </w:t>
      </w:r>
    </w:p>
    <w:p w:rsidR="0033400D" w:rsidRPr="00F50095" w:rsidRDefault="0033400D" w:rsidP="0033400D">
      <w:pPr>
        <w:suppressAutoHyphens/>
        <w:ind w:left="851"/>
        <w:rPr>
          <w:sz w:val="24"/>
          <w:szCs w:val="24"/>
        </w:rPr>
      </w:pPr>
      <w:r w:rsidRPr="00F50095">
        <w:rPr>
          <w:sz w:val="24"/>
          <w:szCs w:val="24"/>
        </w:rPr>
        <w:t xml:space="preserve">Lokaliseret muskelsvaghed er en af de forventede farmakologiske virkninger af </w:t>
      </w:r>
      <w:proofErr w:type="spellStart"/>
      <w:r w:rsidRPr="00F50095">
        <w:rPr>
          <w:sz w:val="24"/>
          <w:szCs w:val="24"/>
        </w:rPr>
        <w:t>botulinum</w:t>
      </w:r>
      <w:proofErr w:type="spellEnd"/>
      <w:r w:rsidRPr="00F50095">
        <w:rPr>
          <w:sz w:val="24"/>
          <w:szCs w:val="24"/>
        </w:rPr>
        <w:t xml:space="preserve"> type A-toksin.</w:t>
      </w:r>
    </w:p>
    <w:p w:rsidR="0033400D" w:rsidRPr="00F50095" w:rsidRDefault="0033400D" w:rsidP="0033400D">
      <w:pPr>
        <w:suppressAutoHyphens/>
        <w:ind w:left="851"/>
        <w:rPr>
          <w:i/>
          <w:sz w:val="24"/>
          <w:szCs w:val="24"/>
          <w:lang w:bidi="da-DK"/>
        </w:rPr>
      </w:pPr>
    </w:p>
    <w:p w:rsidR="0033400D" w:rsidRPr="00F50095" w:rsidRDefault="0033400D" w:rsidP="001F264E">
      <w:pPr>
        <w:keepNext/>
        <w:suppressAutoHyphens/>
        <w:ind w:left="851"/>
        <w:rPr>
          <w:sz w:val="24"/>
          <w:szCs w:val="24"/>
          <w:lang w:bidi="da-DK"/>
        </w:rPr>
      </w:pPr>
      <w:r w:rsidRPr="00F50095">
        <w:rPr>
          <w:i/>
          <w:sz w:val="24"/>
          <w:szCs w:val="24"/>
          <w:lang w:bidi="da-DK"/>
        </w:rPr>
        <w:t>Spredning af toksinet</w:t>
      </w:r>
    </w:p>
    <w:p w:rsidR="0033400D" w:rsidRPr="00F50095" w:rsidRDefault="0033400D" w:rsidP="0033400D">
      <w:pPr>
        <w:suppressAutoHyphens/>
        <w:ind w:left="851"/>
        <w:rPr>
          <w:sz w:val="24"/>
          <w:szCs w:val="24"/>
          <w:lang w:bidi="da-DK"/>
        </w:rPr>
      </w:pPr>
      <w:r w:rsidRPr="00F50095">
        <w:rPr>
          <w:sz w:val="24"/>
          <w:szCs w:val="24"/>
          <w:lang w:bidi="da-DK"/>
        </w:rPr>
        <w:t xml:space="preserve">Der er rapporteret meget sjældne tilfælde af bivirkninger, der skyldtes spredning af toksinet fjernt fra administrationsstedet og som forårsager symptomer svarende til bivirkningerne ved </w:t>
      </w:r>
      <w:proofErr w:type="spellStart"/>
      <w:r w:rsidRPr="00F50095">
        <w:rPr>
          <w:sz w:val="24"/>
          <w:szCs w:val="24"/>
          <w:lang w:bidi="da-DK"/>
        </w:rPr>
        <w:t>botulinum</w:t>
      </w:r>
      <w:proofErr w:type="spellEnd"/>
      <w:r w:rsidRPr="00F50095">
        <w:rPr>
          <w:sz w:val="24"/>
          <w:szCs w:val="24"/>
          <w:lang w:bidi="da-DK"/>
        </w:rPr>
        <w:t xml:space="preserve"> type A-toksin (voldsom muskelsvaghed, </w:t>
      </w:r>
      <w:proofErr w:type="spellStart"/>
      <w:r w:rsidRPr="00F50095">
        <w:rPr>
          <w:sz w:val="24"/>
          <w:szCs w:val="24"/>
          <w:lang w:bidi="da-DK"/>
        </w:rPr>
        <w:t>dysfagi</w:t>
      </w:r>
      <w:proofErr w:type="spellEnd"/>
      <w:r w:rsidRPr="00F50095">
        <w:rPr>
          <w:sz w:val="24"/>
          <w:szCs w:val="24"/>
          <w:lang w:bidi="da-DK"/>
        </w:rPr>
        <w:t xml:space="preserve"> og aspirationspneumoni med dødeligt udfald i nogle tilfælde) (se pkt. 4.4).</w:t>
      </w:r>
    </w:p>
    <w:p w:rsidR="0033400D" w:rsidRPr="00F50095" w:rsidRDefault="0033400D" w:rsidP="0033400D">
      <w:pPr>
        <w:suppressAutoHyphens/>
        <w:ind w:left="851"/>
        <w:rPr>
          <w:sz w:val="24"/>
          <w:szCs w:val="24"/>
          <w:lang w:bidi="da-DK"/>
        </w:rPr>
      </w:pPr>
    </w:p>
    <w:p w:rsidR="0033400D" w:rsidRPr="001F264E" w:rsidRDefault="0033400D" w:rsidP="0033400D">
      <w:pPr>
        <w:suppressAutoHyphens/>
        <w:ind w:left="851"/>
        <w:rPr>
          <w:sz w:val="24"/>
          <w:szCs w:val="24"/>
          <w:lang w:bidi="da-DK"/>
        </w:rPr>
      </w:pPr>
      <w:r w:rsidRPr="001F264E">
        <w:rPr>
          <w:i/>
          <w:sz w:val="24"/>
          <w:szCs w:val="24"/>
          <w:lang w:bidi="da-DK"/>
        </w:rPr>
        <w:t>Overfølsomhedsreaktioner</w:t>
      </w:r>
    </w:p>
    <w:p w:rsidR="0033400D" w:rsidRPr="001F264E" w:rsidRDefault="0033400D" w:rsidP="0033400D">
      <w:pPr>
        <w:suppressAutoHyphens/>
        <w:ind w:left="851"/>
        <w:rPr>
          <w:sz w:val="24"/>
          <w:szCs w:val="24"/>
          <w:lang w:bidi="da-DK"/>
        </w:rPr>
      </w:pPr>
      <w:r w:rsidRPr="001F264E">
        <w:rPr>
          <w:sz w:val="24"/>
          <w:szCs w:val="24"/>
          <w:lang w:bidi="da-DK"/>
        </w:rPr>
        <w:t xml:space="preserve">Der er indberettet sjældne tilfælde af alvorlige og/eller akutte overfølsomhedsreaktioner, der omfattede anafylaksi, serumsyge, </w:t>
      </w:r>
      <w:proofErr w:type="spellStart"/>
      <w:r w:rsidRPr="001F264E">
        <w:rPr>
          <w:sz w:val="24"/>
          <w:szCs w:val="24"/>
          <w:lang w:bidi="da-DK"/>
        </w:rPr>
        <w:t>urticaria</w:t>
      </w:r>
      <w:proofErr w:type="spellEnd"/>
      <w:r w:rsidRPr="001F264E">
        <w:rPr>
          <w:sz w:val="24"/>
          <w:szCs w:val="24"/>
          <w:lang w:bidi="da-DK"/>
        </w:rPr>
        <w:t xml:space="preserve">, ødemer i bløde væv og dyspnø. Nogle af disse reaktioner forekom efter brug af konventionelt </w:t>
      </w:r>
      <w:proofErr w:type="spellStart"/>
      <w:r w:rsidRPr="001F264E">
        <w:rPr>
          <w:sz w:val="24"/>
          <w:szCs w:val="24"/>
          <w:lang w:bidi="da-DK"/>
        </w:rPr>
        <w:t>botulinum</w:t>
      </w:r>
      <w:proofErr w:type="spellEnd"/>
      <w:r w:rsidRPr="001F264E">
        <w:rPr>
          <w:sz w:val="24"/>
          <w:szCs w:val="24"/>
          <w:lang w:bidi="da-DK"/>
        </w:rPr>
        <w:t xml:space="preserve"> type A-toksinkompleks enten alene eller i kombination med andre midler, der er kendt for at medføre lignende reaktioner.</w:t>
      </w:r>
    </w:p>
    <w:p w:rsidR="0033400D" w:rsidRPr="001F264E" w:rsidRDefault="0033400D" w:rsidP="0033400D">
      <w:pPr>
        <w:suppressAutoHyphens/>
        <w:ind w:left="851"/>
        <w:rPr>
          <w:bCs/>
          <w:sz w:val="24"/>
          <w:szCs w:val="24"/>
          <w:u w:val="single"/>
          <w:lang w:bidi="da-DK"/>
        </w:rPr>
      </w:pPr>
    </w:p>
    <w:p w:rsidR="001F264E" w:rsidRPr="001F264E" w:rsidRDefault="001F264E" w:rsidP="001F264E">
      <w:pPr>
        <w:suppressAutoHyphens/>
        <w:ind w:left="851"/>
        <w:rPr>
          <w:sz w:val="24"/>
          <w:szCs w:val="24"/>
        </w:rPr>
      </w:pPr>
      <w:r w:rsidRPr="001F264E">
        <w:rPr>
          <w:sz w:val="24"/>
          <w:szCs w:val="24"/>
          <w:u w:val="single"/>
          <w:lang w:bidi="da-DK"/>
        </w:rPr>
        <w:t>Bivirkninger baseret på kliniske erfaringer</w:t>
      </w:r>
    </w:p>
    <w:p w:rsidR="001F264E" w:rsidRPr="001F264E" w:rsidRDefault="001F264E" w:rsidP="001F264E">
      <w:pPr>
        <w:suppressAutoHyphens/>
        <w:ind w:left="851"/>
        <w:rPr>
          <w:sz w:val="24"/>
          <w:szCs w:val="24"/>
        </w:rPr>
      </w:pPr>
      <w:bookmarkStart w:id="16" w:name="_Hlk25225173"/>
      <w:r w:rsidRPr="001F264E">
        <w:rPr>
          <w:sz w:val="24"/>
          <w:szCs w:val="24"/>
        </w:rPr>
        <w:t xml:space="preserve">Følgende bivirkninger er rapporteret for </w:t>
      </w:r>
      <w:proofErr w:type="spellStart"/>
      <w:r w:rsidRPr="001F264E">
        <w:rPr>
          <w:sz w:val="24"/>
          <w:szCs w:val="24"/>
        </w:rPr>
        <w:t>Xeomin</w:t>
      </w:r>
      <w:proofErr w:type="spellEnd"/>
      <w:r w:rsidRPr="001F264E">
        <w:rPr>
          <w:sz w:val="24"/>
          <w:szCs w:val="24"/>
        </w:rPr>
        <w:t xml:space="preserve">. </w:t>
      </w:r>
      <w:bookmarkEnd w:id="16"/>
      <w:r w:rsidRPr="001F264E">
        <w:rPr>
          <w:sz w:val="24"/>
          <w:szCs w:val="24"/>
        </w:rPr>
        <w:t>Hyppigheden klassificeres som følger: meget almindelig (≥1/10), almindelig (≥1/100 til &lt;1/10), ikke almindelig (≥1/1.000 til &lt;1/100), sjælden (≥1/10.000 til &lt;1/1.000), meget sjælden (&lt;1/10.000), ikke kendt (kan ikke estimeres ud fra forhåndenværende data).</w:t>
      </w:r>
    </w:p>
    <w:p w:rsidR="001F264E" w:rsidRPr="001F264E" w:rsidRDefault="001F264E" w:rsidP="001F264E">
      <w:pPr>
        <w:pStyle w:val="Brdtekstindrykning2"/>
        <w:tabs>
          <w:tab w:val="clear" w:pos="-720"/>
          <w:tab w:val="clear" w:pos="0"/>
          <w:tab w:val="clear" w:pos="720"/>
          <w:tab w:val="left" w:pos="1304"/>
        </w:tabs>
        <w:ind w:left="851"/>
        <w:jc w:val="left"/>
        <w:rPr>
          <w:rFonts w:ascii="Times New Roman" w:hAnsi="Times New Roman" w:cs="Times New Roman"/>
          <w:spacing w:val="-2"/>
          <w:sz w:val="24"/>
          <w:szCs w:val="24"/>
          <w:lang w:val="da-DK"/>
        </w:rPr>
      </w:pPr>
    </w:p>
    <w:p w:rsidR="001F264E" w:rsidRPr="001F264E" w:rsidRDefault="001F264E" w:rsidP="001F264E">
      <w:pPr>
        <w:suppressAutoHyphens/>
        <w:ind w:left="851"/>
        <w:rPr>
          <w:bCs/>
          <w:i/>
          <w:iCs/>
        </w:rPr>
      </w:pPr>
      <w:proofErr w:type="spellStart"/>
      <w:r w:rsidRPr="001F264E">
        <w:rPr>
          <w:bCs/>
          <w:i/>
          <w:iCs/>
        </w:rPr>
        <w:t>Blefarospasme</w:t>
      </w:r>
      <w:proofErr w:type="spellEnd"/>
    </w:p>
    <w:tbl>
      <w:tblPr>
        <w:tblStyle w:val="Tabel-Gitter"/>
        <w:tblW w:w="9209" w:type="dxa"/>
        <w:tblInd w:w="886" w:type="dxa"/>
        <w:tblLook w:val="04A0" w:firstRow="1" w:lastRow="0" w:firstColumn="1" w:lastColumn="0" w:noHBand="0" w:noVBand="1"/>
      </w:tblPr>
      <w:tblGrid>
        <w:gridCol w:w="3794"/>
        <w:gridCol w:w="3679"/>
        <w:gridCol w:w="1736"/>
      </w:tblGrid>
      <w:tr w:rsidR="001F264E" w:rsidRPr="003261A0" w:rsidTr="00183DD0">
        <w:tc>
          <w:tcPr>
            <w:tcW w:w="3794" w:type="dxa"/>
          </w:tcPr>
          <w:p w:rsidR="001F264E" w:rsidRPr="003261A0" w:rsidRDefault="001F264E" w:rsidP="00183DD0">
            <w:pPr>
              <w:rPr>
                <w:b/>
                <w:bCs/>
                <w:iCs/>
                <w:sz w:val="22"/>
                <w:szCs w:val="22"/>
              </w:rPr>
            </w:pPr>
            <w:r w:rsidRPr="003261A0">
              <w:rPr>
                <w:b/>
                <w:bCs/>
                <w:iCs/>
                <w:sz w:val="22"/>
                <w:szCs w:val="22"/>
              </w:rPr>
              <w:t>Systemorganklasse</w:t>
            </w:r>
          </w:p>
        </w:tc>
        <w:tc>
          <w:tcPr>
            <w:tcW w:w="3679" w:type="dxa"/>
          </w:tcPr>
          <w:p w:rsidR="001F264E" w:rsidRPr="003261A0" w:rsidRDefault="001F264E" w:rsidP="00183DD0">
            <w:pPr>
              <w:rPr>
                <w:b/>
                <w:bCs/>
                <w:iCs/>
                <w:sz w:val="22"/>
                <w:szCs w:val="22"/>
              </w:rPr>
            </w:pPr>
            <w:r w:rsidRPr="003261A0">
              <w:rPr>
                <w:b/>
                <w:bCs/>
                <w:iCs/>
                <w:sz w:val="22"/>
                <w:szCs w:val="22"/>
              </w:rPr>
              <w:t>Bivirkning</w:t>
            </w:r>
          </w:p>
        </w:tc>
        <w:tc>
          <w:tcPr>
            <w:tcW w:w="1736" w:type="dxa"/>
          </w:tcPr>
          <w:p w:rsidR="001F264E" w:rsidRPr="003261A0" w:rsidRDefault="001F264E" w:rsidP="00183DD0">
            <w:pPr>
              <w:rPr>
                <w:b/>
                <w:bCs/>
                <w:iCs/>
                <w:sz w:val="22"/>
                <w:szCs w:val="22"/>
              </w:rPr>
            </w:pPr>
            <w:r w:rsidRPr="003261A0">
              <w:rPr>
                <w:b/>
                <w:bCs/>
                <w:iCs/>
                <w:sz w:val="22"/>
                <w:szCs w:val="22"/>
              </w:rPr>
              <w:t>Hyppighed</w:t>
            </w:r>
          </w:p>
        </w:tc>
      </w:tr>
      <w:tr w:rsidR="001F264E" w:rsidRPr="003261A0" w:rsidTr="00183DD0">
        <w:tc>
          <w:tcPr>
            <w:tcW w:w="3794" w:type="dxa"/>
          </w:tcPr>
          <w:p w:rsidR="001F264E" w:rsidRPr="003261A0" w:rsidRDefault="001F264E" w:rsidP="00183DD0">
            <w:pPr>
              <w:rPr>
                <w:bCs/>
                <w:iCs/>
                <w:sz w:val="22"/>
                <w:szCs w:val="22"/>
              </w:rPr>
            </w:pPr>
            <w:r w:rsidRPr="003261A0">
              <w:rPr>
                <w:bCs/>
                <w:iCs/>
                <w:sz w:val="22"/>
                <w:szCs w:val="22"/>
              </w:rPr>
              <w:t>Nervesystemet</w:t>
            </w:r>
          </w:p>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r w:rsidRPr="003261A0">
              <w:rPr>
                <w:bCs/>
                <w:iCs/>
                <w:sz w:val="22"/>
                <w:szCs w:val="22"/>
              </w:rPr>
              <w:t xml:space="preserve">Hovedpine, </w:t>
            </w:r>
            <w:proofErr w:type="spellStart"/>
            <w:r w:rsidRPr="003261A0">
              <w:rPr>
                <w:bCs/>
                <w:iCs/>
                <w:sz w:val="22"/>
                <w:szCs w:val="22"/>
              </w:rPr>
              <w:t>facialisparese</w:t>
            </w:r>
            <w:proofErr w:type="spellEnd"/>
          </w:p>
        </w:tc>
        <w:tc>
          <w:tcPr>
            <w:tcW w:w="1736" w:type="dxa"/>
          </w:tcPr>
          <w:p w:rsidR="001F264E" w:rsidRPr="003261A0" w:rsidRDefault="001F264E" w:rsidP="00183DD0">
            <w:pPr>
              <w:rPr>
                <w:bCs/>
                <w:iCs/>
                <w:sz w:val="22"/>
                <w:szCs w:val="22"/>
              </w:rPr>
            </w:pPr>
            <w:r w:rsidRPr="003261A0">
              <w:rPr>
                <w:bCs/>
                <w:iCs/>
                <w:sz w:val="22"/>
                <w:szCs w:val="22"/>
              </w:rPr>
              <w:t>Ikke almindelig</w:t>
            </w:r>
          </w:p>
        </w:tc>
      </w:tr>
      <w:tr w:rsidR="001F264E" w:rsidRPr="003261A0" w:rsidTr="00183DD0">
        <w:tc>
          <w:tcPr>
            <w:tcW w:w="3794" w:type="dxa"/>
            <w:vMerge w:val="restart"/>
          </w:tcPr>
          <w:p w:rsidR="001F264E" w:rsidRPr="003261A0" w:rsidRDefault="001F264E" w:rsidP="00183DD0">
            <w:pPr>
              <w:rPr>
                <w:bCs/>
                <w:iCs/>
                <w:sz w:val="22"/>
                <w:szCs w:val="22"/>
              </w:rPr>
            </w:pPr>
            <w:r w:rsidRPr="003261A0">
              <w:rPr>
                <w:bCs/>
                <w:iCs/>
                <w:sz w:val="22"/>
                <w:szCs w:val="22"/>
              </w:rPr>
              <w:t>Øjne</w:t>
            </w:r>
          </w:p>
        </w:tc>
        <w:tc>
          <w:tcPr>
            <w:tcW w:w="3679" w:type="dxa"/>
          </w:tcPr>
          <w:p w:rsidR="001F264E" w:rsidRPr="003261A0" w:rsidRDefault="001F264E" w:rsidP="00183DD0">
            <w:pPr>
              <w:rPr>
                <w:bCs/>
                <w:iCs/>
                <w:sz w:val="22"/>
                <w:szCs w:val="22"/>
              </w:rPr>
            </w:pPr>
            <w:proofErr w:type="spellStart"/>
            <w:r w:rsidRPr="003261A0">
              <w:rPr>
                <w:bCs/>
                <w:iCs/>
                <w:sz w:val="22"/>
                <w:szCs w:val="22"/>
              </w:rPr>
              <w:t>Øjenlågsptose</w:t>
            </w:r>
            <w:proofErr w:type="spellEnd"/>
          </w:p>
        </w:tc>
        <w:tc>
          <w:tcPr>
            <w:tcW w:w="1736" w:type="dxa"/>
          </w:tcPr>
          <w:p w:rsidR="001F264E" w:rsidRPr="003261A0" w:rsidRDefault="001F264E" w:rsidP="00183DD0">
            <w:pPr>
              <w:rPr>
                <w:bCs/>
                <w:iCs/>
                <w:sz w:val="22"/>
                <w:szCs w:val="22"/>
              </w:rPr>
            </w:pPr>
            <w:r w:rsidRPr="003261A0">
              <w:rPr>
                <w:bCs/>
                <w:iCs/>
                <w:sz w:val="22"/>
                <w:szCs w:val="22"/>
              </w:rPr>
              <w:t>Meget almindelig</w:t>
            </w:r>
          </w:p>
        </w:tc>
      </w:tr>
      <w:tr w:rsidR="001F264E" w:rsidRPr="003261A0" w:rsidTr="00183DD0">
        <w:tc>
          <w:tcPr>
            <w:tcW w:w="3794" w:type="dxa"/>
            <w:vMerge/>
          </w:tcPr>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r w:rsidRPr="003261A0">
              <w:rPr>
                <w:bCs/>
                <w:iCs/>
                <w:sz w:val="22"/>
                <w:szCs w:val="22"/>
              </w:rPr>
              <w:t>Tørre øjne, uskarpt syn, nedsat syn</w:t>
            </w:r>
          </w:p>
        </w:tc>
        <w:tc>
          <w:tcPr>
            <w:tcW w:w="1736" w:type="dxa"/>
          </w:tcPr>
          <w:p w:rsidR="001F264E" w:rsidRPr="003261A0" w:rsidRDefault="001F264E" w:rsidP="00183DD0">
            <w:pPr>
              <w:rPr>
                <w:bCs/>
                <w:iCs/>
                <w:sz w:val="22"/>
                <w:szCs w:val="22"/>
              </w:rPr>
            </w:pPr>
            <w:r w:rsidRPr="003261A0">
              <w:rPr>
                <w:bCs/>
                <w:iCs/>
                <w:sz w:val="22"/>
                <w:szCs w:val="22"/>
              </w:rPr>
              <w:t>Almindelig</w:t>
            </w:r>
          </w:p>
        </w:tc>
      </w:tr>
      <w:tr w:rsidR="001F264E" w:rsidRPr="003261A0" w:rsidTr="00183DD0">
        <w:tc>
          <w:tcPr>
            <w:tcW w:w="3794" w:type="dxa"/>
            <w:vMerge/>
          </w:tcPr>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proofErr w:type="spellStart"/>
            <w:r w:rsidRPr="003261A0">
              <w:rPr>
                <w:bCs/>
                <w:iCs/>
                <w:sz w:val="22"/>
                <w:szCs w:val="22"/>
              </w:rPr>
              <w:t>Diplopi</w:t>
            </w:r>
            <w:proofErr w:type="spellEnd"/>
            <w:r w:rsidRPr="003261A0">
              <w:rPr>
                <w:bCs/>
                <w:iCs/>
                <w:sz w:val="22"/>
                <w:szCs w:val="22"/>
              </w:rPr>
              <w:t>, øget tåreproduktion</w:t>
            </w:r>
          </w:p>
        </w:tc>
        <w:tc>
          <w:tcPr>
            <w:tcW w:w="1736" w:type="dxa"/>
          </w:tcPr>
          <w:p w:rsidR="001F264E" w:rsidRPr="003261A0" w:rsidRDefault="001F264E" w:rsidP="00183DD0">
            <w:pPr>
              <w:rPr>
                <w:bCs/>
                <w:iCs/>
                <w:sz w:val="22"/>
                <w:szCs w:val="22"/>
              </w:rPr>
            </w:pPr>
            <w:r w:rsidRPr="003261A0">
              <w:rPr>
                <w:bCs/>
                <w:iCs/>
                <w:sz w:val="22"/>
                <w:szCs w:val="22"/>
              </w:rPr>
              <w:t>Ikke almindelig</w:t>
            </w:r>
          </w:p>
        </w:tc>
      </w:tr>
      <w:tr w:rsidR="001F264E" w:rsidRPr="003261A0" w:rsidTr="00183DD0">
        <w:tc>
          <w:tcPr>
            <w:tcW w:w="3794" w:type="dxa"/>
            <w:vMerge w:val="restart"/>
          </w:tcPr>
          <w:p w:rsidR="001F264E" w:rsidRPr="003261A0" w:rsidRDefault="001F264E" w:rsidP="00183DD0">
            <w:pPr>
              <w:rPr>
                <w:bCs/>
                <w:iCs/>
                <w:sz w:val="22"/>
                <w:szCs w:val="22"/>
              </w:rPr>
            </w:pPr>
            <w:r w:rsidRPr="003261A0">
              <w:rPr>
                <w:bCs/>
                <w:iCs/>
                <w:sz w:val="22"/>
                <w:szCs w:val="22"/>
              </w:rPr>
              <w:t>Mave-tarm-kanalen</w:t>
            </w:r>
          </w:p>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r w:rsidRPr="003261A0">
              <w:rPr>
                <w:bCs/>
                <w:iCs/>
                <w:sz w:val="22"/>
                <w:szCs w:val="22"/>
              </w:rPr>
              <w:t>Mundtørhed</w:t>
            </w:r>
          </w:p>
        </w:tc>
        <w:tc>
          <w:tcPr>
            <w:tcW w:w="1736" w:type="dxa"/>
          </w:tcPr>
          <w:p w:rsidR="001F264E" w:rsidRPr="003261A0" w:rsidRDefault="001F264E" w:rsidP="00183DD0">
            <w:pPr>
              <w:rPr>
                <w:bCs/>
                <w:iCs/>
                <w:sz w:val="22"/>
                <w:szCs w:val="22"/>
              </w:rPr>
            </w:pPr>
            <w:r w:rsidRPr="003261A0">
              <w:rPr>
                <w:bCs/>
                <w:iCs/>
                <w:sz w:val="22"/>
                <w:szCs w:val="22"/>
              </w:rPr>
              <w:t>Almindelig</w:t>
            </w:r>
          </w:p>
        </w:tc>
      </w:tr>
      <w:tr w:rsidR="001F264E" w:rsidRPr="003261A0" w:rsidTr="00183DD0">
        <w:tc>
          <w:tcPr>
            <w:tcW w:w="3794" w:type="dxa"/>
            <w:vMerge/>
          </w:tcPr>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proofErr w:type="spellStart"/>
            <w:r w:rsidRPr="003261A0">
              <w:rPr>
                <w:bCs/>
                <w:iCs/>
                <w:sz w:val="22"/>
                <w:szCs w:val="22"/>
              </w:rPr>
              <w:t>Dysfagi</w:t>
            </w:r>
            <w:proofErr w:type="spellEnd"/>
          </w:p>
        </w:tc>
        <w:tc>
          <w:tcPr>
            <w:tcW w:w="1736" w:type="dxa"/>
          </w:tcPr>
          <w:p w:rsidR="001F264E" w:rsidRPr="003261A0" w:rsidRDefault="001F264E" w:rsidP="00183DD0">
            <w:pPr>
              <w:rPr>
                <w:bCs/>
                <w:iCs/>
                <w:sz w:val="22"/>
                <w:szCs w:val="22"/>
              </w:rPr>
            </w:pPr>
            <w:r w:rsidRPr="003261A0">
              <w:rPr>
                <w:bCs/>
                <w:iCs/>
                <w:sz w:val="22"/>
                <w:szCs w:val="22"/>
              </w:rPr>
              <w:t>Ikke almindelig</w:t>
            </w:r>
          </w:p>
        </w:tc>
      </w:tr>
      <w:tr w:rsidR="001F264E" w:rsidRPr="003261A0" w:rsidTr="00183DD0">
        <w:tc>
          <w:tcPr>
            <w:tcW w:w="3794" w:type="dxa"/>
          </w:tcPr>
          <w:p w:rsidR="001F264E" w:rsidRPr="003261A0" w:rsidRDefault="001F264E" w:rsidP="00183DD0">
            <w:pPr>
              <w:rPr>
                <w:bCs/>
                <w:iCs/>
                <w:sz w:val="22"/>
                <w:szCs w:val="22"/>
              </w:rPr>
            </w:pPr>
            <w:r w:rsidRPr="003261A0">
              <w:rPr>
                <w:bCs/>
                <w:iCs/>
                <w:sz w:val="22"/>
                <w:szCs w:val="22"/>
              </w:rPr>
              <w:t>Hud og subkutane væv</w:t>
            </w:r>
          </w:p>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r w:rsidRPr="003261A0">
              <w:rPr>
                <w:bCs/>
                <w:iCs/>
                <w:sz w:val="22"/>
                <w:szCs w:val="22"/>
              </w:rPr>
              <w:t>Udslæt</w:t>
            </w:r>
          </w:p>
        </w:tc>
        <w:tc>
          <w:tcPr>
            <w:tcW w:w="1736" w:type="dxa"/>
          </w:tcPr>
          <w:p w:rsidR="001F264E" w:rsidRPr="003261A0" w:rsidRDefault="001F264E" w:rsidP="00183DD0">
            <w:pPr>
              <w:rPr>
                <w:bCs/>
                <w:iCs/>
                <w:sz w:val="22"/>
                <w:szCs w:val="22"/>
              </w:rPr>
            </w:pPr>
            <w:r w:rsidRPr="003261A0">
              <w:rPr>
                <w:bCs/>
                <w:iCs/>
                <w:sz w:val="22"/>
                <w:szCs w:val="22"/>
              </w:rPr>
              <w:t>Ikke almindelig</w:t>
            </w:r>
          </w:p>
        </w:tc>
      </w:tr>
      <w:tr w:rsidR="001F264E" w:rsidRPr="003261A0" w:rsidTr="00183DD0">
        <w:tc>
          <w:tcPr>
            <w:tcW w:w="3794" w:type="dxa"/>
          </w:tcPr>
          <w:p w:rsidR="001F264E" w:rsidRPr="003261A0" w:rsidRDefault="001F264E" w:rsidP="00183DD0">
            <w:pPr>
              <w:rPr>
                <w:bCs/>
                <w:iCs/>
                <w:sz w:val="22"/>
                <w:szCs w:val="22"/>
              </w:rPr>
            </w:pPr>
            <w:r w:rsidRPr="003261A0">
              <w:rPr>
                <w:bCs/>
                <w:iCs/>
                <w:sz w:val="22"/>
                <w:szCs w:val="22"/>
              </w:rPr>
              <w:t>Knogler, led, muskler og bindevæv</w:t>
            </w:r>
          </w:p>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r w:rsidRPr="003261A0">
              <w:rPr>
                <w:bCs/>
                <w:iCs/>
                <w:sz w:val="22"/>
                <w:szCs w:val="22"/>
              </w:rPr>
              <w:t>Muskelsvaghed</w:t>
            </w:r>
          </w:p>
        </w:tc>
        <w:tc>
          <w:tcPr>
            <w:tcW w:w="1736" w:type="dxa"/>
          </w:tcPr>
          <w:p w:rsidR="001F264E" w:rsidRPr="003261A0" w:rsidRDefault="001F264E" w:rsidP="00183DD0">
            <w:pPr>
              <w:rPr>
                <w:bCs/>
                <w:iCs/>
                <w:sz w:val="22"/>
                <w:szCs w:val="22"/>
              </w:rPr>
            </w:pPr>
            <w:r w:rsidRPr="003261A0">
              <w:rPr>
                <w:bCs/>
                <w:iCs/>
                <w:sz w:val="22"/>
                <w:szCs w:val="22"/>
              </w:rPr>
              <w:t>Ikke almindelig</w:t>
            </w:r>
          </w:p>
        </w:tc>
      </w:tr>
      <w:tr w:rsidR="001F264E" w:rsidRPr="003261A0" w:rsidTr="00183DD0">
        <w:tc>
          <w:tcPr>
            <w:tcW w:w="3794" w:type="dxa"/>
            <w:vMerge w:val="restart"/>
          </w:tcPr>
          <w:p w:rsidR="001F264E" w:rsidRPr="003261A0" w:rsidRDefault="001F264E" w:rsidP="00183DD0">
            <w:pPr>
              <w:rPr>
                <w:bCs/>
                <w:iCs/>
                <w:sz w:val="22"/>
                <w:szCs w:val="22"/>
              </w:rPr>
            </w:pPr>
            <w:r w:rsidRPr="003261A0">
              <w:rPr>
                <w:bCs/>
                <w:iCs/>
                <w:sz w:val="22"/>
                <w:szCs w:val="22"/>
              </w:rPr>
              <w:t>Almene symptomer og reaktioner på administrationsstedet</w:t>
            </w:r>
          </w:p>
        </w:tc>
        <w:tc>
          <w:tcPr>
            <w:tcW w:w="3679" w:type="dxa"/>
          </w:tcPr>
          <w:p w:rsidR="001F264E" w:rsidRPr="003261A0" w:rsidRDefault="001F264E" w:rsidP="00183DD0">
            <w:pPr>
              <w:rPr>
                <w:bCs/>
                <w:iCs/>
                <w:sz w:val="22"/>
                <w:szCs w:val="22"/>
              </w:rPr>
            </w:pPr>
            <w:r w:rsidRPr="003261A0">
              <w:rPr>
                <w:bCs/>
                <w:iCs/>
                <w:sz w:val="22"/>
                <w:szCs w:val="22"/>
              </w:rPr>
              <w:t>Smerter på injektionsstedet</w:t>
            </w:r>
          </w:p>
        </w:tc>
        <w:tc>
          <w:tcPr>
            <w:tcW w:w="1736" w:type="dxa"/>
          </w:tcPr>
          <w:p w:rsidR="001F264E" w:rsidRPr="003261A0" w:rsidRDefault="001F264E" w:rsidP="00183DD0">
            <w:pPr>
              <w:rPr>
                <w:bCs/>
                <w:iCs/>
                <w:sz w:val="22"/>
                <w:szCs w:val="22"/>
              </w:rPr>
            </w:pPr>
            <w:r w:rsidRPr="003261A0">
              <w:rPr>
                <w:bCs/>
                <w:iCs/>
                <w:sz w:val="22"/>
                <w:szCs w:val="22"/>
              </w:rPr>
              <w:t>Almindelig</w:t>
            </w:r>
          </w:p>
        </w:tc>
      </w:tr>
      <w:tr w:rsidR="001F264E" w:rsidRPr="003261A0" w:rsidTr="00183DD0">
        <w:tc>
          <w:tcPr>
            <w:tcW w:w="3794" w:type="dxa"/>
            <w:vMerge/>
          </w:tcPr>
          <w:p w:rsidR="001F264E" w:rsidRPr="003261A0" w:rsidRDefault="001F264E" w:rsidP="00183DD0">
            <w:pPr>
              <w:rPr>
                <w:bCs/>
                <w:iCs/>
                <w:sz w:val="22"/>
                <w:szCs w:val="22"/>
              </w:rPr>
            </w:pPr>
          </w:p>
        </w:tc>
        <w:tc>
          <w:tcPr>
            <w:tcW w:w="3679" w:type="dxa"/>
          </w:tcPr>
          <w:p w:rsidR="001F264E" w:rsidRPr="003261A0" w:rsidRDefault="001F264E" w:rsidP="00183DD0">
            <w:pPr>
              <w:rPr>
                <w:bCs/>
                <w:iCs/>
                <w:sz w:val="22"/>
                <w:szCs w:val="22"/>
              </w:rPr>
            </w:pPr>
            <w:r w:rsidRPr="003261A0">
              <w:rPr>
                <w:bCs/>
                <w:iCs/>
                <w:sz w:val="22"/>
                <w:szCs w:val="22"/>
              </w:rPr>
              <w:t>Træthed</w:t>
            </w:r>
          </w:p>
        </w:tc>
        <w:tc>
          <w:tcPr>
            <w:tcW w:w="1736" w:type="dxa"/>
          </w:tcPr>
          <w:p w:rsidR="001F264E" w:rsidRPr="003261A0" w:rsidRDefault="001F264E" w:rsidP="00183DD0">
            <w:pPr>
              <w:rPr>
                <w:bCs/>
                <w:iCs/>
                <w:sz w:val="22"/>
                <w:szCs w:val="22"/>
              </w:rPr>
            </w:pPr>
            <w:r w:rsidRPr="003261A0">
              <w:rPr>
                <w:bCs/>
                <w:iCs/>
                <w:sz w:val="22"/>
                <w:szCs w:val="22"/>
              </w:rPr>
              <w:t>Ikke almindelig</w:t>
            </w:r>
          </w:p>
        </w:tc>
      </w:tr>
    </w:tbl>
    <w:p w:rsidR="0033400D" w:rsidRPr="00073A0F" w:rsidRDefault="0033400D" w:rsidP="0033400D">
      <w:pPr>
        <w:pStyle w:val="Brdtekstindrykning2"/>
        <w:tabs>
          <w:tab w:val="clear" w:pos="-720"/>
          <w:tab w:val="clear" w:pos="0"/>
          <w:tab w:val="clear" w:pos="720"/>
          <w:tab w:val="left" w:pos="1304"/>
          <w:tab w:val="left" w:pos="3969"/>
        </w:tabs>
        <w:ind w:left="851"/>
        <w:jc w:val="left"/>
        <w:rPr>
          <w:rFonts w:ascii="Times New Roman" w:hAnsi="Times New Roman" w:cs="Times New Roman"/>
          <w:spacing w:val="-2"/>
          <w:sz w:val="24"/>
          <w:szCs w:val="24"/>
          <w:lang w:val="da-DK"/>
        </w:rPr>
      </w:pPr>
    </w:p>
    <w:p w:rsidR="0033400D" w:rsidRPr="00073A0F" w:rsidRDefault="0033400D" w:rsidP="0033400D">
      <w:pPr>
        <w:keepNext/>
        <w:suppressAutoHyphens/>
        <w:ind w:left="851"/>
        <w:rPr>
          <w:i/>
          <w:sz w:val="24"/>
          <w:szCs w:val="24"/>
        </w:rPr>
      </w:pPr>
      <w:proofErr w:type="spellStart"/>
      <w:r w:rsidRPr="00073A0F">
        <w:rPr>
          <w:i/>
          <w:sz w:val="24"/>
          <w:szCs w:val="24"/>
        </w:rPr>
        <w:t>Hemifaciale</w:t>
      </w:r>
      <w:proofErr w:type="spellEnd"/>
      <w:r w:rsidRPr="00073A0F">
        <w:rPr>
          <w:i/>
          <w:sz w:val="24"/>
          <w:szCs w:val="24"/>
        </w:rPr>
        <w:t xml:space="preserve"> spasmer</w:t>
      </w:r>
    </w:p>
    <w:p w:rsidR="0033400D" w:rsidRPr="00073A0F" w:rsidRDefault="0033400D" w:rsidP="0033400D">
      <w:pPr>
        <w:suppressAutoHyphens/>
        <w:ind w:left="851"/>
        <w:rPr>
          <w:sz w:val="24"/>
          <w:szCs w:val="24"/>
          <w:lang w:bidi="da-DK"/>
        </w:rPr>
      </w:pPr>
      <w:r w:rsidRPr="00073A0F">
        <w:rPr>
          <w:sz w:val="24"/>
          <w:szCs w:val="24"/>
          <w:lang w:bidi="da-DK"/>
        </w:rPr>
        <w:t xml:space="preserve">Ved </w:t>
      </w:r>
      <w:proofErr w:type="spellStart"/>
      <w:r w:rsidRPr="00073A0F">
        <w:rPr>
          <w:sz w:val="24"/>
          <w:szCs w:val="24"/>
          <w:lang w:bidi="da-DK"/>
        </w:rPr>
        <w:t>hemifaciale</w:t>
      </w:r>
      <w:proofErr w:type="spellEnd"/>
      <w:r w:rsidRPr="00073A0F">
        <w:rPr>
          <w:sz w:val="24"/>
          <w:szCs w:val="24"/>
          <w:lang w:bidi="da-DK"/>
        </w:rPr>
        <w:t xml:space="preserve"> spasmer kan der forventes lignende bivirkninger som ved </w:t>
      </w:r>
      <w:proofErr w:type="spellStart"/>
      <w:r w:rsidRPr="00073A0F">
        <w:rPr>
          <w:spacing w:val="-2"/>
          <w:sz w:val="24"/>
          <w:szCs w:val="24"/>
        </w:rPr>
        <w:t>blefarospasme</w:t>
      </w:r>
      <w:proofErr w:type="spellEnd"/>
      <w:r w:rsidRPr="00073A0F">
        <w:rPr>
          <w:spacing w:val="-2"/>
          <w:sz w:val="24"/>
          <w:szCs w:val="24"/>
        </w:rPr>
        <w:t>.</w:t>
      </w:r>
    </w:p>
    <w:p w:rsidR="0033400D" w:rsidRPr="00073A0F" w:rsidRDefault="0033400D" w:rsidP="0033400D">
      <w:pPr>
        <w:pStyle w:val="Brdtekstindrykning2"/>
        <w:tabs>
          <w:tab w:val="clear" w:pos="-720"/>
          <w:tab w:val="clear" w:pos="0"/>
          <w:tab w:val="clear" w:pos="720"/>
          <w:tab w:val="left" w:pos="1304"/>
        </w:tabs>
        <w:ind w:left="851" w:hanging="851"/>
        <w:jc w:val="left"/>
        <w:rPr>
          <w:rFonts w:ascii="Times New Roman" w:hAnsi="Times New Roman" w:cs="Times New Roman"/>
          <w:spacing w:val="-2"/>
          <w:sz w:val="24"/>
          <w:szCs w:val="24"/>
          <w:lang w:val="da-DK"/>
        </w:rPr>
      </w:pPr>
    </w:p>
    <w:p w:rsidR="001F264E" w:rsidRPr="00073A0F" w:rsidRDefault="001F264E" w:rsidP="0033400D">
      <w:pPr>
        <w:suppressAutoHyphens/>
        <w:ind w:left="851"/>
        <w:rPr>
          <w:sz w:val="24"/>
          <w:szCs w:val="24"/>
          <w:lang w:bidi="da-DK"/>
        </w:rPr>
      </w:pPr>
      <w:r w:rsidRPr="00073A0F">
        <w:rPr>
          <w:bCs/>
          <w:i/>
          <w:sz w:val="24"/>
          <w:szCs w:val="24"/>
        </w:rPr>
        <w:t xml:space="preserve">Spasmodisk </w:t>
      </w:r>
      <w:proofErr w:type="spellStart"/>
      <w:r w:rsidRPr="00073A0F">
        <w:rPr>
          <w:bCs/>
          <w:i/>
          <w:sz w:val="24"/>
          <w:szCs w:val="24"/>
        </w:rPr>
        <w:t>torticollis</w:t>
      </w:r>
      <w:proofErr w:type="spellEnd"/>
      <w:r w:rsidRPr="00073A0F">
        <w:rPr>
          <w:sz w:val="24"/>
          <w:szCs w:val="24"/>
          <w:lang w:bidi="da-DK"/>
        </w:rPr>
        <w:t xml:space="preserve"> </w:t>
      </w:r>
    </w:p>
    <w:tbl>
      <w:tblPr>
        <w:tblStyle w:val="Tabel-Gitter"/>
        <w:tblW w:w="9209" w:type="dxa"/>
        <w:tblInd w:w="886" w:type="dxa"/>
        <w:tblLook w:val="04A0" w:firstRow="1" w:lastRow="0" w:firstColumn="1" w:lastColumn="0" w:noHBand="0" w:noVBand="1"/>
      </w:tblPr>
      <w:tblGrid>
        <w:gridCol w:w="3794"/>
        <w:gridCol w:w="3969"/>
        <w:gridCol w:w="1446"/>
      </w:tblGrid>
      <w:tr w:rsidR="001F264E" w:rsidRPr="00073A0F" w:rsidTr="00183DD0">
        <w:tc>
          <w:tcPr>
            <w:tcW w:w="3794" w:type="dxa"/>
          </w:tcPr>
          <w:p w:rsidR="001F264E" w:rsidRPr="00073A0F" w:rsidRDefault="001F264E" w:rsidP="00183DD0">
            <w:pPr>
              <w:rPr>
                <w:b/>
                <w:bCs/>
                <w:iCs/>
                <w:sz w:val="22"/>
                <w:szCs w:val="22"/>
              </w:rPr>
            </w:pPr>
            <w:r w:rsidRPr="00073A0F">
              <w:rPr>
                <w:b/>
                <w:bCs/>
                <w:iCs/>
                <w:sz w:val="22"/>
                <w:szCs w:val="22"/>
              </w:rPr>
              <w:t>Systemorganklasse</w:t>
            </w:r>
          </w:p>
        </w:tc>
        <w:tc>
          <w:tcPr>
            <w:tcW w:w="3969" w:type="dxa"/>
          </w:tcPr>
          <w:p w:rsidR="001F264E" w:rsidRPr="00073A0F" w:rsidRDefault="001F264E" w:rsidP="00183DD0">
            <w:pPr>
              <w:rPr>
                <w:b/>
                <w:bCs/>
                <w:iCs/>
                <w:sz w:val="22"/>
                <w:szCs w:val="22"/>
              </w:rPr>
            </w:pPr>
            <w:r w:rsidRPr="00073A0F">
              <w:rPr>
                <w:b/>
                <w:sz w:val="22"/>
                <w:szCs w:val="22"/>
              </w:rPr>
              <w:t>Bivirkning</w:t>
            </w:r>
          </w:p>
        </w:tc>
        <w:tc>
          <w:tcPr>
            <w:tcW w:w="1446" w:type="dxa"/>
          </w:tcPr>
          <w:p w:rsidR="001F264E" w:rsidRPr="00073A0F" w:rsidRDefault="001F264E" w:rsidP="00183DD0">
            <w:pPr>
              <w:rPr>
                <w:b/>
                <w:bCs/>
                <w:iCs/>
                <w:sz w:val="22"/>
                <w:szCs w:val="22"/>
              </w:rPr>
            </w:pPr>
            <w:r w:rsidRPr="00073A0F">
              <w:rPr>
                <w:b/>
                <w:bCs/>
                <w:iCs/>
                <w:sz w:val="22"/>
                <w:szCs w:val="22"/>
              </w:rPr>
              <w:t xml:space="preserve">Hyppighed </w:t>
            </w:r>
          </w:p>
        </w:tc>
      </w:tr>
      <w:tr w:rsidR="001F264E" w:rsidRPr="00073A0F" w:rsidTr="00183DD0">
        <w:tc>
          <w:tcPr>
            <w:tcW w:w="3794" w:type="dxa"/>
          </w:tcPr>
          <w:p w:rsidR="001F264E" w:rsidRPr="00073A0F" w:rsidRDefault="001F264E" w:rsidP="00183DD0">
            <w:pPr>
              <w:rPr>
                <w:bCs/>
                <w:iCs/>
                <w:sz w:val="22"/>
                <w:szCs w:val="22"/>
              </w:rPr>
            </w:pPr>
            <w:r w:rsidRPr="00073A0F">
              <w:rPr>
                <w:bCs/>
                <w:iCs/>
                <w:sz w:val="22"/>
                <w:szCs w:val="22"/>
              </w:rPr>
              <w:t>Infektioner og parasitære sygdomme</w:t>
            </w:r>
          </w:p>
        </w:tc>
        <w:tc>
          <w:tcPr>
            <w:tcW w:w="3969" w:type="dxa"/>
          </w:tcPr>
          <w:p w:rsidR="001F264E" w:rsidRPr="00073A0F" w:rsidRDefault="001F264E" w:rsidP="00183DD0">
            <w:pPr>
              <w:rPr>
                <w:bCs/>
                <w:iCs/>
                <w:sz w:val="22"/>
                <w:szCs w:val="22"/>
              </w:rPr>
            </w:pPr>
            <w:r w:rsidRPr="00073A0F">
              <w:rPr>
                <w:bCs/>
                <w:iCs/>
                <w:sz w:val="22"/>
                <w:szCs w:val="22"/>
              </w:rPr>
              <w:t>Øvre luftvejsinfektioner</w:t>
            </w:r>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vMerge w:val="restart"/>
          </w:tcPr>
          <w:p w:rsidR="001F264E" w:rsidRPr="00073A0F" w:rsidRDefault="001F264E" w:rsidP="00183DD0">
            <w:pPr>
              <w:rPr>
                <w:bCs/>
                <w:iCs/>
                <w:sz w:val="22"/>
                <w:szCs w:val="22"/>
              </w:rPr>
            </w:pPr>
            <w:r w:rsidRPr="00073A0F">
              <w:rPr>
                <w:bCs/>
                <w:iCs/>
                <w:sz w:val="22"/>
                <w:szCs w:val="22"/>
              </w:rPr>
              <w:t>Nervesystemet</w:t>
            </w:r>
          </w:p>
        </w:tc>
        <w:tc>
          <w:tcPr>
            <w:tcW w:w="3969" w:type="dxa"/>
          </w:tcPr>
          <w:p w:rsidR="001F264E" w:rsidRPr="00073A0F" w:rsidRDefault="001F264E" w:rsidP="00183DD0">
            <w:pPr>
              <w:rPr>
                <w:bCs/>
                <w:iCs/>
                <w:sz w:val="22"/>
                <w:szCs w:val="22"/>
              </w:rPr>
            </w:pPr>
            <w:r w:rsidRPr="00073A0F">
              <w:rPr>
                <w:bCs/>
                <w:iCs/>
                <w:sz w:val="22"/>
                <w:szCs w:val="22"/>
              </w:rPr>
              <w:t>Hovedpine, præsynkope, svimmelhed</w:t>
            </w:r>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Taleforstyrrelser</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rPr>
          <w:trHeight w:val="470"/>
        </w:trPr>
        <w:tc>
          <w:tcPr>
            <w:tcW w:w="3794" w:type="dxa"/>
          </w:tcPr>
          <w:p w:rsidR="001F264E" w:rsidRPr="00073A0F" w:rsidRDefault="001F264E" w:rsidP="00183DD0">
            <w:pPr>
              <w:rPr>
                <w:bCs/>
                <w:iCs/>
                <w:sz w:val="22"/>
                <w:szCs w:val="22"/>
              </w:rPr>
            </w:pPr>
            <w:r w:rsidRPr="00073A0F">
              <w:rPr>
                <w:bCs/>
                <w:iCs/>
                <w:sz w:val="22"/>
                <w:szCs w:val="22"/>
              </w:rPr>
              <w:t xml:space="preserve">Luftveje, thorax og </w:t>
            </w:r>
            <w:proofErr w:type="spellStart"/>
            <w:r w:rsidRPr="00073A0F">
              <w:rPr>
                <w:bCs/>
                <w:iCs/>
                <w:sz w:val="22"/>
                <w:szCs w:val="22"/>
              </w:rPr>
              <w:t>mediastinum</w:t>
            </w:r>
            <w:proofErr w:type="spellEnd"/>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proofErr w:type="spellStart"/>
            <w:r w:rsidRPr="00073A0F">
              <w:rPr>
                <w:bCs/>
                <w:iCs/>
                <w:sz w:val="22"/>
                <w:szCs w:val="22"/>
              </w:rPr>
              <w:t>Dysfoni</w:t>
            </w:r>
            <w:proofErr w:type="spellEnd"/>
            <w:r w:rsidRPr="00073A0F">
              <w:rPr>
                <w:bCs/>
                <w:iCs/>
                <w:sz w:val="22"/>
                <w:szCs w:val="22"/>
              </w:rPr>
              <w:t>, dyspnø</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vMerge w:val="restart"/>
          </w:tcPr>
          <w:p w:rsidR="001F264E" w:rsidRPr="00073A0F" w:rsidRDefault="001F264E" w:rsidP="00183DD0">
            <w:pPr>
              <w:rPr>
                <w:bCs/>
                <w:iCs/>
                <w:sz w:val="22"/>
                <w:szCs w:val="22"/>
              </w:rPr>
            </w:pPr>
            <w:r w:rsidRPr="00073A0F">
              <w:rPr>
                <w:bCs/>
                <w:iCs/>
                <w:sz w:val="22"/>
                <w:szCs w:val="22"/>
              </w:rPr>
              <w:t>Mave-tarm-kanalen</w:t>
            </w:r>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proofErr w:type="spellStart"/>
            <w:r w:rsidRPr="00073A0F">
              <w:rPr>
                <w:bCs/>
                <w:iCs/>
                <w:sz w:val="22"/>
                <w:szCs w:val="22"/>
              </w:rPr>
              <w:t>Dysfagi</w:t>
            </w:r>
            <w:proofErr w:type="spellEnd"/>
          </w:p>
        </w:tc>
        <w:tc>
          <w:tcPr>
            <w:tcW w:w="1446" w:type="dxa"/>
          </w:tcPr>
          <w:p w:rsidR="001F264E" w:rsidRPr="00073A0F" w:rsidRDefault="001F264E" w:rsidP="00183DD0">
            <w:pPr>
              <w:rPr>
                <w:bCs/>
                <w:iCs/>
                <w:sz w:val="22"/>
                <w:szCs w:val="22"/>
              </w:rPr>
            </w:pPr>
            <w:r w:rsidRPr="00073A0F">
              <w:rPr>
                <w:bCs/>
                <w:iCs/>
                <w:sz w:val="22"/>
                <w:szCs w:val="22"/>
              </w:rPr>
              <w:t>Meget almindelig</w:t>
            </w:r>
          </w:p>
        </w:tc>
      </w:tr>
      <w:tr w:rsidR="001F264E" w:rsidRPr="00073A0F" w:rsidTr="00183DD0">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Mundtørhed, kvalme</w:t>
            </w:r>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vMerge w:val="restart"/>
          </w:tcPr>
          <w:p w:rsidR="001F264E" w:rsidRPr="00073A0F" w:rsidRDefault="001F264E" w:rsidP="00183DD0">
            <w:pPr>
              <w:rPr>
                <w:bCs/>
                <w:iCs/>
                <w:sz w:val="22"/>
                <w:szCs w:val="22"/>
              </w:rPr>
            </w:pPr>
            <w:r w:rsidRPr="00073A0F">
              <w:rPr>
                <w:bCs/>
                <w:iCs/>
                <w:sz w:val="22"/>
                <w:szCs w:val="22"/>
              </w:rPr>
              <w:t>Hud og subkutane væv</w:t>
            </w:r>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proofErr w:type="spellStart"/>
            <w:r w:rsidRPr="00073A0F">
              <w:rPr>
                <w:bCs/>
                <w:iCs/>
                <w:sz w:val="22"/>
                <w:szCs w:val="22"/>
              </w:rPr>
              <w:t>Hyperhidrose</w:t>
            </w:r>
            <w:proofErr w:type="spellEnd"/>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Udslæt</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tcPr>
          <w:p w:rsidR="001F264E" w:rsidRPr="00073A0F" w:rsidRDefault="001F264E" w:rsidP="00183DD0">
            <w:pPr>
              <w:rPr>
                <w:bCs/>
                <w:iCs/>
                <w:sz w:val="22"/>
                <w:szCs w:val="22"/>
              </w:rPr>
            </w:pPr>
            <w:r w:rsidRPr="00073A0F">
              <w:rPr>
                <w:bCs/>
                <w:iCs/>
                <w:sz w:val="22"/>
                <w:szCs w:val="22"/>
              </w:rPr>
              <w:t>Knogler, led, muskler og bindevæv</w:t>
            </w:r>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Nakkesmerter, muskelsvaghed, myalgi, muskelspasmer, muskelstivhed</w:t>
            </w:r>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tcPr>
          <w:p w:rsidR="001F264E" w:rsidRPr="00073A0F" w:rsidRDefault="001F264E" w:rsidP="00183DD0">
            <w:pPr>
              <w:rPr>
                <w:bCs/>
                <w:iCs/>
                <w:sz w:val="22"/>
                <w:szCs w:val="22"/>
              </w:rPr>
            </w:pPr>
            <w:r w:rsidRPr="00073A0F">
              <w:rPr>
                <w:bCs/>
                <w:iCs/>
                <w:sz w:val="22"/>
                <w:szCs w:val="22"/>
              </w:rPr>
              <w:t>Almene symptomer og reaktioner på administrationsstedet</w:t>
            </w:r>
          </w:p>
        </w:tc>
        <w:tc>
          <w:tcPr>
            <w:tcW w:w="3969" w:type="dxa"/>
          </w:tcPr>
          <w:p w:rsidR="001F264E" w:rsidRPr="00073A0F" w:rsidRDefault="001F264E" w:rsidP="00183DD0">
            <w:pPr>
              <w:rPr>
                <w:bCs/>
                <w:iCs/>
                <w:sz w:val="22"/>
                <w:szCs w:val="22"/>
              </w:rPr>
            </w:pPr>
            <w:r w:rsidRPr="00073A0F">
              <w:rPr>
                <w:bCs/>
                <w:iCs/>
                <w:sz w:val="22"/>
                <w:szCs w:val="22"/>
              </w:rPr>
              <w:t>Smerter på injektionsstedet, asteni</w:t>
            </w:r>
          </w:p>
        </w:tc>
        <w:tc>
          <w:tcPr>
            <w:tcW w:w="1446" w:type="dxa"/>
          </w:tcPr>
          <w:p w:rsidR="001F264E" w:rsidRPr="00073A0F" w:rsidRDefault="001F264E" w:rsidP="00183DD0">
            <w:pPr>
              <w:rPr>
                <w:bCs/>
                <w:iCs/>
                <w:sz w:val="22"/>
                <w:szCs w:val="22"/>
              </w:rPr>
            </w:pPr>
            <w:r w:rsidRPr="00073A0F">
              <w:rPr>
                <w:bCs/>
                <w:iCs/>
                <w:sz w:val="22"/>
                <w:szCs w:val="22"/>
              </w:rPr>
              <w:t>Almindelig</w:t>
            </w:r>
          </w:p>
        </w:tc>
      </w:tr>
    </w:tbl>
    <w:p w:rsidR="001F264E" w:rsidRPr="00073A0F" w:rsidRDefault="001F264E" w:rsidP="0033400D">
      <w:pPr>
        <w:suppressAutoHyphens/>
        <w:ind w:left="851"/>
        <w:rPr>
          <w:sz w:val="24"/>
          <w:szCs w:val="24"/>
          <w:lang w:bidi="da-DK"/>
        </w:rPr>
      </w:pPr>
    </w:p>
    <w:p w:rsidR="0033400D" w:rsidRPr="00073A0F" w:rsidRDefault="0033400D" w:rsidP="0033400D">
      <w:pPr>
        <w:suppressAutoHyphens/>
        <w:ind w:left="851"/>
        <w:rPr>
          <w:sz w:val="24"/>
          <w:szCs w:val="24"/>
          <w:lang w:bidi="da-DK"/>
        </w:rPr>
      </w:pPr>
      <w:r w:rsidRPr="00073A0F">
        <w:rPr>
          <w:sz w:val="24"/>
          <w:szCs w:val="24"/>
          <w:lang w:bidi="da-DK"/>
        </w:rPr>
        <w:t xml:space="preserve">Behandlingen af spasmodisk </w:t>
      </w:r>
      <w:proofErr w:type="spellStart"/>
      <w:r w:rsidRPr="00073A0F">
        <w:rPr>
          <w:sz w:val="24"/>
          <w:szCs w:val="24"/>
          <w:lang w:bidi="da-DK"/>
        </w:rPr>
        <w:t>torticollis</w:t>
      </w:r>
      <w:proofErr w:type="spellEnd"/>
      <w:r w:rsidRPr="00073A0F">
        <w:rPr>
          <w:sz w:val="24"/>
          <w:szCs w:val="24"/>
          <w:lang w:bidi="da-DK"/>
        </w:rPr>
        <w:t xml:space="preserve"> kan medføre </w:t>
      </w:r>
      <w:proofErr w:type="spellStart"/>
      <w:r w:rsidRPr="00073A0F">
        <w:rPr>
          <w:sz w:val="24"/>
          <w:szCs w:val="24"/>
          <w:lang w:bidi="da-DK"/>
        </w:rPr>
        <w:t>dysfagi</w:t>
      </w:r>
      <w:proofErr w:type="spellEnd"/>
      <w:r w:rsidRPr="00073A0F">
        <w:rPr>
          <w:sz w:val="24"/>
          <w:szCs w:val="24"/>
          <w:lang w:bidi="da-DK"/>
        </w:rPr>
        <w:t xml:space="preserve"> af forskellig sværhedsgrad, som potentielt kan udvikle sig til aspiration med behov for medicinsk intervention. </w:t>
      </w:r>
      <w:proofErr w:type="spellStart"/>
      <w:r w:rsidRPr="00073A0F">
        <w:rPr>
          <w:sz w:val="24"/>
          <w:szCs w:val="24"/>
          <w:lang w:bidi="da-DK"/>
        </w:rPr>
        <w:t>Dysfagi</w:t>
      </w:r>
      <w:proofErr w:type="spellEnd"/>
      <w:r w:rsidRPr="00073A0F">
        <w:rPr>
          <w:sz w:val="24"/>
          <w:szCs w:val="24"/>
          <w:lang w:bidi="da-DK"/>
        </w:rPr>
        <w:t xml:space="preserve"> kan vare i 2-3 uger efter injektion, men et tilfælde rapporteredes at have varet 5 måneder. </w:t>
      </w:r>
    </w:p>
    <w:p w:rsidR="0033400D" w:rsidRPr="00073A0F" w:rsidRDefault="0033400D" w:rsidP="001F264E">
      <w:pPr>
        <w:suppressAutoHyphens/>
        <w:rPr>
          <w:sz w:val="24"/>
          <w:szCs w:val="24"/>
        </w:rPr>
      </w:pPr>
    </w:p>
    <w:p w:rsidR="001F264E" w:rsidRPr="00073A0F" w:rsidRDefault="001F264E" w:rsidP="001F264E">
      <w:pPr>
        <w:suppressAutoHyphens/>
        <w:ind w:left="851"/>
        <w:rPr>
          <w:i/>
          <w:spacing w:val="-2"/>
          <w:sz w:val="24"/>
          <w:szCs w:val="24"/>
        </w:rPr>
      </w:pPr>
      <w:r w:rsidRPr="00073A0F">
        <w:rPr>
          <w:i/>
          <w:spacing w:val="-2"/>
          <w:sz w:val="24"/>
          <w:szCs w:val="24"/>
        </w:rPr>
        <w:t xml:space="preserve">Spasticitet af overekstremitet </w:t>
      </w:r>
    </w:p>
    <w:tbl>
      <w:tblPr>
        <w:tblStyle w:val="Tabel-Gitter"/>
        <w:tblW w:w="9209" w:type="dxa"/>
        <w:tblInd w:w="826" w:type="dxa"/>
        <w:tblLook w:val="04A0" w:firstRow="1" w:lastRow="0" w:firstColumn="1" w:lastColumn="0" w:noHBand="0" w:noVBand="1"/>
      </w:tblPr>
      <w:tblGrid>
        <w:gridCol w:w="3794"/>
        <w:gridCol w:w="3969"/>
        <w:gridCol w:w="1446"/>
      </w:tblGrid>
      <w:tr w:rsidR="001F264E" w:rsidRPr="00073A0F" w:rsidTr="00183DD0">
        <w:tc>
          <w:tcPr>
            <w:tcW w:w="3794" w:type="dxa"/>
          </w:tcPr>
          <w:p w:rsidR="001F264E" w:rsidRPr="00073A0F" w:rsidRDefault="001F264E" w:rsidP="00183DD0">
            <w:pPr>
              <w:rPr>
                <w:b/>
                <w:bCs/>
                <w:iCs/>
                <w:sz w:val="22"/>
                <w:szCs w:val="22"/>
              </w:rPr>
            </w:pPr>
            <w:r w:rsidRPr="00073A0F">
              <w:rPr>
                <w:b/>
                <w:bCs/>
                <w:iCs/>
                <w:sz w:val="22"/>
                <w:szCs w:val="22"/>
              </w:rPr>
              <w:t>Systemorganklasse</w:t>
            </w:r>
          </w:p>
        </w:tc>
        <w:tc>
          <w:tcPr>
            <w:tcW w:w="3969" w:type="dxa"/>
          </w:tcPr>
          <w:p w:rsidR="001F264E" w:rsidRPr="00073A0F" w:rsidRDefault="001F264E" w:rsidP="00183DD0">
            <w:pPr>
              <w:rPr>
                <w:b/>
                <w:bCs/>
                <w:iCs/>
                <w:sz w:val="22"/>
                <w:szCs w:val="22"/>
              </w:rPr>
            </w:pPr>
            <w:r w:rsidRPr="00073A0F">
              <w:rPr>
                <w:b/>
                <w:sz w:val="22"/>
                <w:szCs w:val="22"/>
              </w:rPr>
              <w:t>Bivirkning</w:t>
            </w:r>
          </w:p>
        </w:tc>
        <w:tc>
          <w:tcPr>
            <w:tcW w:w="1446" w:type="dxa"/>
          </w:tcPr>
          <w:p w:rsidR="001F264E" w:rsidRPr="00073A0F" w:rsidRDefault="001F264E" w:rsidP="00183DD0">
            <w:pPr>
              <w:rPr>
                <w:b/>
                <w:bCs/>
                <w:iCs/>
                <w:sz w:val="22"/>
                <w:szCs w:val="22"/>
              </w:rPr>
            </w:pPr>
            <w:r w:rsidRPr="00073A0F">
              <w:rPr>
                <w:b/>
                <w:bCs/>
                <w:iCs/>
                <w:sz w:val="22"/>
                <w:szCs w:val="22"/>
              </w:rPr>
              <w:t xml:space="preserve">Hyppighed </w:t>
            </w:r>
          </w:p>
        </w:tc>
      </w:tr>
      <w:tr w:rsidR="001F264E" w:rsidRPr="00073A0F" w:rsidTr="00183DD0">
        <w:trPr>
          <w:trHeight w:val="211"/>
        </w:trPr>
        <w:tc>
          <w:tcPr>
            <w:tcW w:w="3794" w:type="dxa"/>
          </w:tcPr>
          <w:p w:rsidR="001F264E" w:rsidRPr="00073A0F" w:rsidRDefault="001F264E" w:rsidP="00183DD0">
            <w:pPr>
              <w:rPr>
                <w:bCs/>
                <w:iCs/>
                <w:sz w:val="22"/>
                <w:szCs w:val="22"/>
              </w:rPr>
            </w:pPr>
            <w:r w:rsidRPr="00073A0F">
              <w:rPr>
                <w:bCs/>
                <w:iCs/>
                <w:sz w:val="22"/>
                <w:szCs w:val="22"/>
              </w:rPr>
              <w:t>Nervesystemet</w:t>
            </w:r>
          </w:p>
        </w:tc>
        <w:tc>
          <w:tcPr>
            <w:tcW w:w="3969" w:type="dxa"/>
          </w:tcPr>
          <w:p w:rsidR="001F264E" w:rsidRPr="00073A0F" w:rsidRDefault="001F264E" w:rsidP="00183DD0">
            <w:pPr>
              <w:rPr>
                <w:bCs/>
                <w:iCs/>
                <w:sz w:val="22"/>
                <w:szCs w:val="22"/>
              </w:rPr>
            </w:pPr>
            <w:r w:rsidRPr="00073A0F">
              <w:rPr>
                <w:bCs/>
                <w:iCs/>
                <w:sz w:val="22"/>
                <w:szCs w:val="22"/>
              </w:rPr>
              <w:t xml:space="preserve">Hovedpine, </w:t>
            </w:r>
            <w:proofErr w:type="spellStart"/>
            <w:r w:rsidRPr="00073A0F">
              <w:rPr>
                <w:bCs/>
                <w:iCs/>
                <w:sz w:val="22"/>
                <w:szCs w:val="22"/>
              </w:rPr>
              <w:t>hypæstesi</w:t>
            </w:r>
            <w:proofErr w:type="spellEnd"/>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vMerge w:val="restart"/>
          </w:tcPr>
          <w:p w:rsidR="001F264E" w:rsidRPr="00073A0F" w:rsidRDefault="001F264E" w:rsidP="00183DD0">
            <w:pPr>
              <w:rPr>
                <w:bCs/>
                <w:iCs/>
                <w:sz w:val="22"/>
                <w:szCs w:val="22"/>
              </w:rPr>
            </w:pPr>
            <w:r w:rsidRPr="00073A0F">
              <w:rPr>
                <w:bCs/>
                <w:iCs/>
                <w:sz w:val="22"/>
                <w:szCs w:val="22"/>
              </w:rPr>
              <w:t>Mave-tarm-kanalen</w:t>
            </w:r>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Mundtørhed</w:t>
            </w:r>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proofErr w:type="spellStart"/>
            <w:r w:rsidRPr="00073A0F">
              <w:rPr>
                <w:bCs/>
                <w:iCs/>
                <w:sz w:val="22"/>
                <w:szCs w:val="22"/>
              </w:rPr>
              <w:t>Dysfagi</w:t>
            </w:r>
            <w:proofErr w:type="spellEnd"/>
            <w:r w:rsidRPr="00073A0F">
              <w:rPr>
                <w:bCs/>
                <w:iCs/>
                <w:sz w:val="22"/>
                <w:szCs w:val="22"/>
              </w:rPr>
              <w:t>, kvalme</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tcPr>
          <w:p w:rsidR="001F264E" w:rsidRPr="00073A0F" w:rsidRDefault="001F264E" w:rsidP="00183DD0">
            <w:pPr>
              <w:rPr>
                <w:bCs/>
                <w:iCs/>
                <w:sz w:val="22"/>
                <w:szCs w:val="22"/>
              </w:rPr>
            </w:pPr>
            <w:r w:rsidRPr="00073A0F">
              <w:rPr>
                <w:bCs/>
                <w:iCs/>
                <w:sz w:val="22"/>
                <w:szCs w:val="22"/>
              </w:rPr>
              <w:t>Knogler, led, muskler og bindevæv</w:t>
            </w:r>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Muskelsvaghed, smerter i ekstremitet, myalgi</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vMerge w:val="restart"/>
          </w:tcPr>
          <w:p w:rsidR="001F264E" w:rsidRPr="00073A0F" w:rsidRDefault="001F264E" w:rsidP="00183DD0">
            <w:pPr>
              <w:rPr>
                <w:bCs/>
                <w:iCs/>
                <w:sz w:val="22"/>
                <w:szCs w:val="22"/>
              </w:rPr>
            </w:pPr>
            <w:r w:rsidRPr="00073A0F">
              <w:rPr>
                <w:bCs/>
                <w:iCs/>
                <w:sz w:val="22"/>
                <w:szCs w:val="22"/>
              </w:rPr>
              <w:t>Almene symptomer og reaktioner på administrationsstedet</w:t>
            </w:r>
          </w:p>
        </w:tc>
        <w:tc>
          <w:tcPr>
            <w:tcW w:w="3969" w:type="dxa"/>
          </w:tcPr>
          <w:p w:rsidR="001F264E" w:rsidRPr="00073A0F" w:rsidRDefault="001F264E" w:rsidP="00183DD0">
            <w:pPr>
              <w:rPr>
                <w:bCs/>
                <w:iCs/>
                <w:sz w:val="22"/>
                <w:szCs w:val="22"/>
              </w:rPr>
            </w:pPr>
            <w:r w:rsidRPr="00073A0F">
              <w:rPr>
                <w:bCs/>
                <w:iCs/>
                <w:sz w:val="22"/>
                <w:szCs w:val="22"/>
              </w:rPr>
              <w:t>Asteni</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Smerter på injektionsstedet</w:t>
            </w:r>
          </w:p>
        </w:tc>
        <w:tc>
          <w:tcPr>
            <w:tcW w:w="1446" w:type="dxa"/>
          </w:tcPr>
          <w:p w:rsidR="001F264E" w:rsidRPr="00073A0F" w:rsidRDefault="001F264E" w:rsidP="00183DD0">
            <w:pPr>
              <w:rPr>
                <w:bCs/>
                <w:iCs/>
                <w:sz w:val="22"/>
                <w:szCs w:val="22"/>
              </w:rPr>
            </w:pPr>
            <w:r w:rsidRPr="00073A0F">
              <w:rPr>
                <w:bCs/>
                <w:iCs/>
                <w:sz w:val="22"/>
                <w:szCs w:val="22"/>
              </w:rPr>
              <w:t>Ikke kendt</w:t>
            </w:r>
          </w:p>
        </w:tc>
      </w:tr>
    </w:tbl>
    <w:p w:rsidR="0033400D" w:rsidRPr="00073A0F" w:rsidRDefault="0033400D" w:rsidP="001F264E">
      <w:pPr>
        <w:suppressAutoHyphens/>
        <w:rPr>
          <w:sz w:val="24"/>
          <w:szCs w:val="24"/>
        </w:rPr>
      </w:pPr>
    </w:p>
    <w:p w:rsidR="00310358" w:rsidRPr="00073A0F" w:rsidRDefault="00310358" w:rsidP="00310358">
      <w:pPr>
        <w:suppressAutoHyphens/>
        <w:ind w:left="851"/>
        <w:rPr>
          <w:i/>
          <w:iCs/>
          <w:sz w:val="24"/>
          <w:szCs w:val="24"/>
          <w:lang w:eastAsia="de-DE"/>
        </w:rPr>
      </w:pPr>
      <w:r w:rsidRPr="00073A0F">
        <w:rPr>
          <w:i/>
          <w:iCs/>
          <w:spacing w:val="-2"/>
          <w:sz w:val="24"/>
          <w:szCs w:val="24"/>
        </w:rPr>
        <w:t xml:space="preserve">Kronisk </w:t>
      </w:r>
      <w:proofErr w:type="spellStart"/>
      <w:r w:rsidRPr="00073A0F">
        <w:rPr>
          <w:i/>
          <w:iCs/>
          <w:sz w:val="24"/>
          <w:szCs w:val="24"/>
          <w:lang w:eastAsia="de-DE"/>
        </w:rPr>
        <w:t>hypersalivation</w:t>
      </w:r>
      <w:proofErr w:type="spellEnd"/>
      <w:r>
        <w:rPr>
          <w:i/>
          <w:iCs/>
          <w:sz w:val="24"/>
          <w:szCs w:val="24"/>
          <w:lang w:eastAsia="de-DE"/>
        </w:rPr>
        <w:t xml:space="preserve"> (voksne)</w:t>
      </w:r>
    </w:p>
    <w:tbl>
      <w:tblPr>
        <w:tblStyle w:val="Tabel-Gitter"/>
        <w:tblW w:w="9209" w:type="dxa"/>
        <w:tblInd w:w="901" w:type="dxa"/>
        <w:tblLook w:val="04A0" w:firstRow="1" w:lastRow="0" w:firstColumn="1" w:lastColumn="0" w:noHBand="0" w:noVBand="1"/>
      </w:tblPr>
      <w:tblGrid>
        <w:gridCol w:w="3794"/>
        <w:gridCol w:w="3969"/>
        <w:gridCol w:w="1446"/>
      </w:tblGrid>
      <w:tr w:rsidR="001F264E" w:rsidRPr="00073A0F" w:rsidTr="00183DD0">
        <w:tc>
          <w:tcPr>
            <w:tcW w:w="3794" w:type="dxa"/>
          </w:tcPr>
          <w:p w:rsidR="001F264E" w:rsidRPr="00073A0F" w:rsidRDefault="001F264E" w:rsidP="00183DD0">
            <w:pPr>
              <w:rPr>
                <w:b/>
                <w:bCs/>
                <w:iCs/>
                <w:sz w:val="22"/>
                <w:szCs w:val="22"/>
              </w:rPr>
            </w:pPr>
            <w:r w:rsidRPr="00073A0F">
              <w:rPr>
                <w:b/>
                <w:bCs/>
                <w:iCs/>
                <w:sz w:val="22"/>
                <w:szCs w:val="22"/>
              </w:rPr>
              <w:t>Systemorganklasse</w:t>
            </w:r>
          </w:p>
        </w:tc>
        <w:tc>
          <w:tcPr>
            <w:tcW w:w="3969" w:type="dxa"/>
          </w:tcPr>
          <w:p w:rsidR="001F264E" w:rsidRPr="00073A0F" w:rsidRDefault="001F264E" w:rsidP="00183DD0">
            <w:pPr>
              <w:rPr>
                <w:b/>
                <w:bCs/>
                <w:iCs/>
                <w:sz w:val="22"/>
                <w:szCs w:val="22"/>
              </w:rPr>
            </w:pPr>
            <w:r w:rsidRPr="00073A0F">
              <w:rPr>
                <w:b/>
                <w:sz w:val="22"/>
                <w:szCs w:val="22"/>
              </w:rPr>
              <w:t>Bivirkning</w:t>
            </w:r>
          </w:p>
        </w:tc>
        <w:tc>
          <w:tcPr>
            <w:tcW w:w="1446" w:type="dxa"/>
          </w:tcPr>
          <w:p w:rsidR="001F264E" w:rsidRPr="00073A0F" w:rsidRDefault="001F264E" w:rsidP="00183DD0">
            <w:pPr>
              <w:rPr>
                <w:b/>
                <w:bCs/>
                <w:iCs/>
                <w:sz w:val="22"/>
                <w:szCs w:val="22"/>
              </w:rPr>
            </w:pPr>
            <w:r w:rsidRPr="00073A0F">
              <w:rPr>
                <w:b/>
                <w:bCs/>
                <w:iCs/>
                <w:sz w:val="22"/>
                <w:szCs w:val="22"/>
              </w:rPr>
              <w:t xml:space="preserve">Hyppighed </w:t>
            </w:r>
          </w:p>
        </w:tc>
      </w:tr>
      <w:tr w:rsidR="001F264E" w:rsidRPr="00073A0F" w:rsidTr="00183DD0">
        <w:trPr>
          <w:trHeight w:val="211"/>
        </w:trPr>
        <w:tc>
          <w:tcPr>
            <w:tcW w:w="3794" w:type="dxa"/>
            <w:vMerge w:val="restart"/>
          </w:tcPr>
          <w:p w:rsidR="001F264E" w:rsidRPr="00073A0F" w:rsidRDefault="001F264E" w:rsidP="00183DD0">
            <w:pPr>
              <w:rPr>
                <w:bCs/>
                <w:iCs/>
                <w:sz w:val="22"/>
                <w:szCs w:val="22"/>
              </w:rPr>
            </w:pPr>
            <w:r w:rsidRPr="00073A0F">
              <w:rPr>
                <w:bCs/>
                <w:iCs/>
                <w:sz w:val="22"/>
                <w:szCs w:val="22"/>
              </w:rPr>
              <w:t>Nervesystemet</w:t>
            </w:r>
          </w:p>
        </w:tc>
        <w:tc>
          <w:tcPr>
            <w:tcW w:w="3969" w:type="dxa"/>
          </w:tcPr>
          <w:p w:rsidR="001F264E" w:rsidRPr="00073A0F" w:rsidRDefault="001F264E" w:rsidP="00183DD0">
            <w:pPr>
              <w:rPr>
                <w:bCs/>
                <w:iCs/>
                <w:sz w:val="22"/>
                <w:szCs w:val="22"/>
              </w:rPr>
            </w:pPr>
            <w:proofErr w:type="spellStart"/>
            <w:r w:rsidRPr="00073A0F">
              <w:rPr>
                <w:bCs/>
                <w:iCs/>
                <w:sz w:val="22"/>
                <w:szCs w:val="22"/>
              </w:rPr>
              <w:t>Paræstesi</w:t>
            </w:r>
            <w:proofErr w:type="spellEnd"/>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rPr>
          <w:trHeight w:val="211"/>
        </w:trPr>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Taleforstyrrelser</w:t>
            </w:r>
          </w:p>
        </w:tc>
        <w:tc>
          <w:tcPr>
            <w:tcW w:w="1446" w:type="dxa"/>
          </w:tcPr>
          <w:p w:rsidR="001F264E" w:rsidRPr="00073A0F" w:rsidRDefault="001F264E" w:rsidP="00183DD0">
            <w:pPr>
              <w:rPr>
                <w:bCs/>
                <w:iCs/>
                <w:sz w:val="22"/>
                <w:szCs w:val="22"/>
              </w:rPr>
            </w:pPr>
            <w:r w:rsidRPr="00073A0F">
              <w:rPr>
                <w:bCs/>
                <w:iCs/>
                <w:sz w:val="22"/>
                <w:szCs w:val="22"/>
              </w:rPr>
              <w:t>Ikke almindelig</w:t>
            </w:r>
          </w:p>
        </w:tc>
      </w:tr>
      <w:tr w:rsidR="001F264E" w:rsidRPr="00073A0F" w:rsidTr="00183DD0">
        <w:tc>
          <w:tcPr>
            <w:tcW w:w="3794" w:type="dxa"/>
            <w:vMerge w:val="restart"/>
          </w:tcPr>
          <w:p w:rsidR="001F264E" w:rsidRPr="00073A0F" w:rsidRDefault="001F264E" w:rsidP="00183DD0">
            <w:pPr>
              <w:rPr>
                <w:bCs/>
                <w:iCs/>
                <w:sz w:val="22"/>
                <w:szCs w:val="22"/>
              </w:rPr>
            </w:pPr>
            <w:r w:rsidRPr="00073A0F">
              <w:rPr>
                <w:bCs/>
                <w:iCs/>
                <w:sz w:val="22"/>
                <w:szCs w:val="22"/>
              </w:rPr>
              <w:t>Mave-tarm-kanalen</w:t>
            </w:r>
          </w:p>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 xml:space="preserve">Mundtørhed, </w:t>
            </w:r>
            <w:proofErr w:type="spellStart"/>
            <w:r w:rsidRPr="00073A0F">
              <w:rPr>
                <w:bCs/>
                <w:iCs/>
                <w:sz w:val="22"/>
                <w:szCs w:val="22"/>
              </w:rPr>
              <w:t>dysfagi</w:t>
            </w:r>
            <w:proofErr w:type="spellEnd"/>
          </w:p>
        </w:tc>
        <w:tc>
          <w:tcPr>
            <w:tcW w:w="1446" w:type="dxa"/>
          </w:tcPr>
          <w:p w:rsidR="001F264E" w:rsidRPr="00073A0F" w:rsidRDefault="001F264E" w:rsidP="00183DD0">
            <w:pPr>
              <w:rPr>
                <w:bCs/>
                <w:iCs/>
                <w:sz w:val="22"/>
                <w:szCs w:val="22"/>
              </w:rPr>
            </w:pPr>
            <w:r w:rsidRPr="00073A0F">
              <w:rPr>
                <w:bCs/>
                <w:iCs/>
                <w:sz w:val="22"/>
                <w:szCs w:val="22"/>
              </w:rPr>
              <w:t>Almindelig</w:t>
            </w:r>
          </w:p>
        </w:tc>
      </w:tr>
      <w:tr w:rsidR="001F264E" w:rsidRPr="00073A0F" w:rsidTr="00183DD0">
        <w:tc>
          <w:tcPr>
            <w:tcW w:w="3794" w:type="dxa"/>
            <w:vMerge/>
          </w:tcPr>
          <w:p w:rsidR="001F264E" w:rsidRPr="00073A0F" w:rsidRDefault="001F264E" w:rsidP="00183DD0">
            <w:pPr>
              <w:rPr>
                <w:bCs/>
                <w:iCs/>
                <w:sz w:val="22"/>
                <w:szCs w:val="22"/>
              </w:rPr>
            </w:pPr>
          </w:p>
        </w:tc>
        <w:tc>
          <w:tcPr>
            <w:tcW w:w="3969" w:type="dxa"/>
          </w:tcPr>
          <w:p w:rsidR="001F264E" w:rsidRPr="00073A0F" w:rsidRDefault="001F264E" w:rsidP="00183DD0">
            <w:pPr>
              <w:rPr>
                <w:bCs/>
                <w:iCs/>
                <w:sz w:val="22"/>
                <w:szCs w:val="22"/>
              </w:rPr>
            </w:pPr>
            <w:r w:rsidRPr="00073A0F">
              <w:rPr>
                <w:bCs/>
                <w:iCs/>
                <w:sz w:val="22"/>
                <w:szCs w:val="22"/>
              </w:rPr>
              <w:t xml:space="preserve">Ændret (tyktflydende) mundvand, </w:t>
            </w:r>
            <w:proofErr w:type="spellStart"/>
            <w:r w:rsidRPr="00073A0F">
              <w:rPr>
                <w:bCs/>
                <w:iCs/>
                <w:sz w:val="22"/>
                <w:szCs w:val="22"/>
              </w:rPr>
              <w:t>dysgeusi</w:t>
            </w:r>
            <w:proofErr w:type="spellEnd"/>
          </w:p>
        </w:tc>
        <w:tc>
          <w:tcPr>
            <w:tcW w:w="1446" w:type="dxa"/>
          </w:tcPr>
          <w:p w:rsidR="001F264E" w:rsidRPr="00073A0F" w:rsidRDefault="001F264E" w:rsidP="00183DD0">
            <w:pPr>
              <w:rPr>
                <w:bCs/>
                <w:iCs/>
                <w:sz w:val="22"/>
                <w:szCs w:val="22"/>
              </w:rPr>
            </w:pPr>
            <w:r w:rsidRPr="00073A0F">
              <w:rPr>
                <w:bCs/>
                <w:iCs/>
                <w:sz w:val="22"/>
                <w:szCs w:val="22"/>
              </w:rPr>
              <w:t>Ikke almindelig</w:t>
            </w:r>
          </w:p>
        </w:tc>
      </w:tr>
    </w:tbl>
    <w:p w:rsidR="0033400D" w:rsidRPr="00073A0F" w:rsidRDefault="0033400D" w:rsidP="001F264E">
      <w:pPr>
        <w:suppressAutoHyphens/>
        <w:rPr>
          <w:bCs/>
          <w:iCs/>
          <w:spacing w:val="-2"/>
          <w:sz w:val="24"/>
          <w:szCs w:val="24"/>
        </w:rPr>
      </w:pPr>
    </w:p>
    <w:p w:rsidR="00310358" w:rsidRPr="00073A0F" w:rsidRDefault="00310358" w:rsidP="00310358">
      <w:pPr>
        <w:suppressAutoHyphens/>
        <w:ind w:left="851"/>
        <w:rPr>
          <w:bCs/>
          <w:iCs/>
          <w:spacing w:val="-2"/>
          <w:sz w:val="24"/>
          <w:szCs w:val="24"/>
        </w:rPr>
      </w:pPr>
      <w:bookmarkStart w:id="17" w:name="_Hlk22629560"/>
      <w:r w:rsidRPr="00073A0F">
        <w:rPr>
          <w:bCs/>
          <w:iCs/>
          <w:spacing w:val="-2"/>
          <w:sz w:val="24"/>
          <w:szCs w:val="24"/>
        </w:rPr>
        <w:t xml:space="preserve">Der er rapporteret tilfælde af vedvarende mundtørhed (&gt; 110 dage) af svær grad, som kan forårsage yderligere komplikationer som f.eks. </w:t>
      </w:r>
      <w:proofErr w:type="spellStart"/>
      <w:r w:rsidRPr="00073A0F">
        <w:rPr>
          <w:bCs/>
          <w:iCs/>
          <w:spacing w:val="-2"/>
          <w:sz w:val="24"/>
          <w:szCs w:val="24"/>
        </w:rPr>
        <w:t>gingivitis</w:t>
      </w:r>
      <w:proofErr w:type="spellEnd"/>
      <w:r w:rsidRPr="00073A0F">
        <w:rPr>
          <w:bCs/>
          <w:iCs/>
          <w:spacing w:val="-2"/>
          <w:sz w:val="24"/>
          <w:szCs w:val="24"/>
        </w:rPr>
        <w:t xml:space="preserve">, </w:t>
      </w:r>
      <w:proofErr w:type="spellStart"/>
      <w:r w:rsidRPr="00073A0F">
        <w:rPr>
          <w:bCs/>
          <w:iCs/>
          <w:spacing w:val="-2"/>
          <w:sz w:val="24"/>
          <w:szCs w:val="24"/>
        </w:rPr>
        <w:t>dysfagi</w:t>
      </w:r>
      <w:proofErr w:type="spellEnd"/>
      <w:r w:rsidRPr="00073A0F">
        <w:rPr>
          <w:bCs/>
          <w:iCs/>
          <w:spacing w:val="-2"/>
          <w:sz w:val="24"/>
          <w:szCs w:val="24"/>
        </w:rPr>
        <w:t xml:space="preserve"> og caries.</w:t>
      </w:r>
      <w:bookmarkEnd w:id="17"/>
    </w:p>
    <w:p w:rsidR="00310358" w:rsidRDefault="00310358" w:rsidP="00310358">
      <w:pPr>
        <w:suppressAutoHyphens/>
        <w:ind w:left="851"/>
        <w:rPr>
          <w:sz w:val="24"/>
          <w:szCs w:val="24"/>
        </w:rPr>
      </w:pPr>
    </w:p>
    <w:p w:rsidR="00310358" w:rsidRDefault="00310358" w:rsidP="00310358">
      <w:pPr>
        <w:suppressAutoHyphens/>
        <w:ind w:left="851"/>
        <w:rPr>
          <w:i/>
          <w:iCs/>
          <w:sz w:val="24"/>
          <w:szCs w:val="24"/>
          <w:lang w:eastAsia="de-DE"/>
        </w:rPr>
      </w:pPr>
      <w:r>
        <w:rPr>
          <w:i/>
          <w:iCs/>
          <w:spacing w:val="-2"/>
          <w:sz w:val="24"/>
          <w:szCs w:val="24"/>
        </w:rPr>
        <w:t xml:space="preserve">Kronisk </w:t>
      </w:r>
      <w:proofErr w:type="spellStart"/>
      <w:r>
        <w:rPr>
          <w:i/>
          <w:iCs/>
          <w:sz w:val="24"/>
          <w:szCs w:val="24"/>
          <w:lang w:eastAsia="de-DE"/>
        </w:rPr>
        <w:t>hypersalivation</w:t>
      </w:r>
      <w:proofErr w:type="spellEnd"/>
      <w:r>
        <w:rPr>
          <w:i/>
          <w:iCs/>
          <w:sz w:val="24"/>
          <w:szCs w:val="24"/>
          <w:lang w:eastAsia="de-DE"/>
        </w:rPr>
        <w:t xml:space="preserve"> (børn/unge)</w:t>
      </w:r>
    </w:p>
    <w:tbl>
      <w:tblPr>
        <w:tblStyle w:val="Tabel-Gitter"/>
        <w:tblW w:w="9209" w:type="dxa"/>
        <w:tblInd w:w="901" w:type="dxa"/>
        <w:tblLook w:val="04A0" w:firstRow="1" w:lastRow="0" w:firstColumn="1" w:lastColumn="0" w:noHBand="0" w:noVBand="1"/>
      </w:tblPr>
      <w:tblGrid>
        <w:gridCol w:w="3794"/>
        <w:gridCol w:w="3969"/>
        <w:gridCol w:w="1446"/>
      </w:tblGrid>
      <w:tr w:rsidR="00310358" w:rsidRPr="00B22A69" w:rsidTr="00FF3346">
        <w:tc>
          <w:tcPr>
            <w:tcW w:w="3794" w:type="dxa"/>
            <w:tcBorders>
              <w:top w:val="single" w:sz="4" w:space="0" w:color="auto"/>
              <w:left w:val="single" w:sz="4" w:space="0" w:color="auto"/>
              <w:bottom w:val="single" w:sz="4" w:space="0" w:color="auto"/>
              <w:right w:val="single" w:sz="4" w:space="0" w:color="auto"/>
            </w:tcBorders>
            <w:hideMark/>
          </w:tcPr>
          <w:p w:rsidR="00310358" w:rsidRPr="00FF3346" w:rsidRDefault="00310358" w:rsidP="00FF3346">
            <w:pPr>
              <w:rPr>
                <w:b/>
                <w:bCs/>
                <w:iCs/>
                <w:sz w:val="22"/>
                <w:szCs w:val="22"/>
              </w:rPr>
            </w:pPr>
            <w:r w:rsidRPr="00FF3346">
              <w:rPr>
                <w:b/>
                <w:bCs/>
                <w:iCs/>
                <w:sz w:val="22"/>
                <w:szCs w:val="22"/>
              </w:rPr>
              <w:t>Systemorganklasse</w:t>
            </w:r>
          </w:p>
        </w:tc>
        <w:tc>
          <w:tcPr>
            <w:tcW w:w="3969" w:type="dxa"/>
            <w:tcBorders>
              <w:top w:val="single" w:sz="4" w:space="0" w:color="auto"/>
              <w:left w:val="single" w:sz="4" w:space="0" w:color="auto"/>
              <w:bottom w:val="single" w:sz="4" w:space="0" w:color="auto"/>
              <w:right w:val="single" w:sz="4" w:space="0" w:color="auto"/>
            </w:tcBorders>
            <w:hideMark/>
          </w:tcPr>
          <w:p w:rsidR="00310358" w:rsidRPr="00FF3346" w:rsidRDefault="00310358" w:rsidP="00FF3346">
            <w:pPr>
              <w:rPr>
                <w:b/>
                <w:bCs/>
                <w:iCs/>
                <w:sz w:val="22"/>
                <w:szCs w:val="22"/>
              </w:rPr>
            </w:pPr>
            <w:r w:rsidRPr="00FF3346">
              <w:rPr>
                <w:b/>
                <w:sz w:val="22"/>
                <w:szCs w:val="22"/>
              </w:rPr>
              <w:t>Bivirkning</w:t>
            </w:r>
          </w:p>
        </w:tc>
        <w:tc>
          <w:tcPr>
            <w:tcW w:w="1446" w:type="dxa"/>
            <w:tcBorders>
              <w:top w:val="single" w:sz="4" w:space="0" w:color="auto"/>
              <w:left w:val="single" w:sz="4" w:space="0" w:color="auto"/>
              <w:bottom w:val="single" w:sz="4" w:space="0" w:color="auto"/>
              <w:right w:val="single" w:sz="4" w:space="0" w:color="auto"/>
            </w:tcBorders>
            <w:hideMark/>
          </w:tcPr>
          <w:p w:rsidR="00310358" w:rsidRPr="00FF3346" w:rsidRDefault="00310358" w:rsidP="00FF3346">
            <w:pPr>
              <w:rPr>
                <w:b/>
                <w:bCs/>
                <w:iCs/>
                <w:sz w:val="22"/>
                <w:szCs w:val="22"/>
              </w:rPr>
            </w:pPr>
            <w:r w:rsidRPr="00FF3346">
              <w:rPr>
                <w:b/>
                <w:bCs/>
                <w:iCs/>
                <w:sz w:val="22"/>
                <w:szCs w:val="22"/>
              </w:rPr>
              <w:t xml:space="preserve">Hyppighed </w:t>
            </w:r>
          </w:p>
        </w:tc>
      </w:tr>
      <w:tr w:rsidR="00310358" w:rsidRPr="00B22A69" w:rsidTr="00FF3346">
        <w:tc>
          <w:tcPr>
            <w:tcW w:w="3794" w:type="dxa"/>
            <w:vMerge w:val="restart"/>
            <w:tcBorders>
              <w:top w:val="single" w:sz="4" w:space="0" w:color="auto"/>
              <w:left w:val="single" w:sz="4" w:space="0" w:color="auto"/>
              <w:bottom w:val="single" w:sz="4" w:space="0" w:color="auto"/>
              <w:right w:val="single" w:sz="4" w:space="0" w:color="auto"/>
            </w:tcBorders>
          </w:tcPr>
          <w:p w:rsidR="00310358" w:rsidRPr="00FF3346" w:rsidRDefault="00310358" w:rsidP="00FF3346">
            <w:pPr>
              <w:rPr>
                <w:bCs/>
                <w:iCs/>
                <w:sz w:val="22"/>
                <w:szCs w:val="22"/>
              </w:rPr>
            </w:pPr>
            <w:r w:rsidRPr="00FF3346">
              <w:rPr>
                <w:bCs/>
                <w:iCs/>
                <w:sz w:val="22"/>
                <w:szCs w:val="22"/>
              </w:rPr>
              <w:t>Mave-tarm-kanalen</w:t>
            </w:r>
          </w:p>
          <w:p w:rsidR="00310358" w:rsidRPr="00FF3346" w:rsidRDefault="00310358" w:rsidP="00FF3346">
            <w:pPr>
              <w:rPr>
                <w:bCs/>
                <w:iCs/>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10358" w:rsidRPr="00FF3346" w:rsidRDefault="00310358" w:rsidP="00FF3346">
            <w:pPr>
              <w:rPr>
                <w:bCs/>
                <w:iCs/>
                <w:sz w:val="22"/>
                <w:szCs w:val="22"/>
              </w:rPr>
            </w:pPr>
            <w:proofErr w:type="spellStart"/>
            <w:r w:rsidRPr="00FF3346">
              <w:rPr>
                <w:bCs/>
                <w:iCs/>
                <w:sz w:val="22"/>
                <w:szCs w:val="22"/>
              </w:rPr>
              <w:t>Dysfagi</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310358" w:rsidRPr="00FF3346" w:rsidRDefault="00310358" w:rsidP="00FF3346">
            <w:pPr>
              <w:rPr>
                <w:bCs/>
                <w:iCs/>
                <w:sz w:val="22"/>
                <w:szCs w:val="22"/>
              </w:rPr>
            </w:pPr>
            <w:r w:rsidRPr="00FF3346">
              <w:rPr>
                <w:bCs/>
                <w:iCs/>
                <w:sz w:val="22"/>
                <w:szCs w:val="22"/>
              </w:rPr>
              <w:t>Ikke almindelig</w:t>
            </w:r>
          </w:p>
        </w:tc>
      </w:tr>
      <w:tr w:rsidR="00310358" w:rsidRPr="00B22A69" w:rsidTr="00FF3346">
        <w:tc>
          <w:tcPr>
            <w:tcW w:w="0" w:type="auto"/>
            <w:vMerge/>
            <w:tcBorders>
              <w:top w:val="single" w:sz="4" w:space="0" w:color="auto"/>
              <w:left w:val="single" w:sz="4" w:space="0" w:color="auto"/>
              <w:bottom w:val="single" w:sz="4" w:space="0" w:color="auto"/>
              <w:right w:val="single" w:sz="4" w:space="0" w:color="auto"/>
            </w:tcBorders>
            <w:vAlign w:val="center"/>
            <w:hideMark/>
          </w:tcPr>
          <w:p w:rsidR="00310358" w:rsidRPr="00FF3346" w:rsidRDefault="00310358" w:rsidP="00FF3346">
            <w:pPr>
              <w:rPr>
                <w:bCs/>
                <w:iCs/>
                <w:sz w:val="22"/>
                <w:szCs w:val="22"/>
              </w:rPr>
            </w:pPr>
          </w:p>
        </w:tc>
        <w:tc>
          <w:tcPr>
            <w:tcW w:w="3969" w:type="dxa"/>
            <w:tcBorders>
              <w:top w:val="single" w:sz="4" w:space="0" w:color="auto"/>
              <w:left w:val="single" w:sz="4" w:space="0" w:color="auto"/>
              <w:bottom w:val="single" w:sz="4" w:space="0" w:color="auto"/>
              <w:right w:val="single" w:sz="4" w:space="0" w:color="auto"/>
            </w:tcBorders>
            <w:hideMark/>
          </w:tcPr>
          <w:p w:rsidR="00310358" w:rsidRPr="00B22A69" w:rsidRDefault="00310358" w:rsidP="00FF3346">
            <w:pPr>
              <w:rPr>
                <w:bCs/>
                <w:iCs/>
                <w:sz w:val="22"/>
                <w:szCs w:val="22"/>
              </w:rPr>
            </w:pPr>
            <w:r w:rsidRPr="00B22A69">
              <w:rPr>
                <w:bCs/>
                <w:iCs/>
                <w:sz w:val="22"/>
                <w:szCs w:val="22"/>
              </w:rPr>
              <w:t xml:space="preserve">Ændret (tyktflydende) mundvand, mundtørhed, </w:t>
            </w:r>
            <w:r w:rsidRPr="00F426B1">
              <w:rPr>
                <w:bCs/>
                <w:iCs/>
                <w:sz w:val="22"/>
                <w:szCs w:val="22"/>
              </w:rPr>
              <w:t>oral smerte, caries</w:t>
            </w:r>
          </w:p>
        </w:tc>
        <w:tc>
          <w:tcPr>
            <w:tcW w:w="1446" w:type="dxa"/>
            <w:tcBorders>
              <w:top w:val="single" w:sz="4" w:space="0" w:color="auto"/>
              <w:left w:val="single" w:sz="4" w:space="0" w:color="auto"/>
              <w:bottom w:val="single" w:sz="4" w:space="0" w:color="auto"/>
              <w:right w:val="single" w:sz="4" w:space="0" w:color="auto"/>
            </w:tcBorders>
            <w:hideMark/>
          </w:tcPr>
          <w:p w:rsidR="00310358" w:rsidRPr="00FF3346" w:rsidRDefault="00310358" w:rsidP="00FF3346">
            <w:pPr>
              <w:rPr>
                <w:bCs/>
                <w:iCs/>
                <w:sz w:val="22"/>
                <w:szCs w:val="22"/>
              </w:rPr>
            </w:pPr>
            <w:r w:rsidRPr="00FF3346">
              <w:rPr>
                <w:bCs/>
                <w:iCs/>
                <w:sz w:val="22"/>
                <w:szCs w:val="22"/>
              </w:rPr>
              <w:t>Ikke kendt</w:t>
            </w:r>
          </w:p>
        </w:tc>
      </w:tr>
    </w:tbl>
    <w:p w:rsidR="00310358" w:rsidRPr="00073A0F" w:rsidRDefault="00310358" w:rsidP="00310358">
      <w:pPr>
        <w:suppressAutoHyphens/>
        <w:ind w:left="851"/>
        <w:rPr>
          <w:sz w:val="24"/>
          <w:szCs w:val="24"/>
        </w:rPr>
      </w:pPr>
    </w:p>
    <w:p w:rsidR="00310358" w:rsidRPr="00073A0F" w:rsidRDefault="00310358" w:rsidP="00310358">
      <w:pPr>
        <w:suppressAutoHyphens/>
        <w:ind w:left="851"/>
        <w:rPr>
          <w:sz w:val="24"/>
          <w:szCs w:val="24"/>
          <w:u w:val="single"/>
        </w:rPr>
      </w:pPr>
      <w:r w:rsidRPr="00073A0F">
        <w:rPr>
          <w:sz w:val="24"/>
          <w:szCs w:val="24"/>
          <w:u w:val="single"/>
        </w:rPr>
        <w:t>Erfaringer efter markedsføring</w:t>
      </w:r>
    </w:p>
    <w:p w:rsidR="00310358" w:rsidRPr="00073A0F" w:rsidRDefault="00310358" w:rsidP="00310358">
      <w:pPr>
        <w:ind w:left="851"/>
        <w:rPr>
          <w:sz w:val="24"/>
          <w:szCs w:val="24"/>
        </w:rPr>
      </w:pPr>
      <w:r w:rsidRPr="00073A0F">
        <w:rPr>
          <w:sz w:val="24"/>
          <w:szCs w:val="24"/>
        </w:rPr>
        <w:t xml:space="preserve">Efter markedsføring er følgende bivirkninger blevet rapporteret med ikke kendt hyppighed ved brug af </w:t>
      </w:r>
      <w:proofErr w:type="spellStart"/>
      <w:r w:rsidRPr="00073A0F">
        <w:rPr>
          <w:sz w:val="24"/>
          <w:szCs w:val="24"/>
        </w:rPr>
        <w:t>Xeomin</w:t>
      </w:r>
      <w:proofErr w:type="spellEnd"/>
      <w:r w:rsidRPr="00073A0F">
        <w:rPr>
          <w:sz w:val="24"/>
          <w:szCs w:val="24"/>
        </w:rPr>
        <w:t xml:space="preserve"> uafhængig af indikationen:</w:t>
      </w:r>
    </w:p>
    <w:p w:rsidR="00310358" w:rsidRPr="00073A0F" w:rsidRDefault="00310358" w:rsidP="00310358">
      <w:pPr>
        <w:rPr>
          <w:sz w:val="24"/>
          <w:szCs w:val="24"/>
        </w:rPr>
      </w:pPr>
    </w:p>
    <w:tbl>
      <w:tblPr>
        <w:tblStyle w:val="Tabel-Gitter"/>
        <w:tblW w:w="9180" w:type="dxa"/>
        <w:tblInd w:w="856" w:type="dxa"/>
        <w:tblLook w:val="04A0" w:firstRow="1" w:lastRow="0" w:firstColumn="1" w:lastColumn="0" w:noHBand="0" w:noVBand="1"/>
      </w:tblPr>
      <w:tblGrid>
        <w:gridCol w:w="3794"/>
        <w:gridCol w:w="5386"/>
      </w:tblGrid>
      <w:tr w:rsidR="00310358" w:rsidRPr="00073A0F" w:rsidTr="00FF3346">
        <w:tc>
          <w:tcPr>
            <w:tcW w:w="3794" w:type="dxa"/>
          </w:tcPr>
          <w:p w:rsidR="00310358" w:rsidRPr="00073A0F" w:rsidRDefault="00310358" w:rsidP="00FF3346">
            <w:pPr>
              <w:rPr>
                <w:b/>
                <w:bCs/>
                <w:iCs/>
                <w:sz w:val="22"/>
                <w:szCs w:val="22"/>
              </w:rPr>
            </w:pPr>
            <w:r w:rsidRPr="00073A0F">
              <w:rPr>
                <w:b/>
                <w:bCs/>
                <w:iCs/>
                <w:sz w:val="22"/>
                <w:szCs w:val="22"/>
              </w:rPr>
              <w:t>Systemorganklasse</w:t>
            </w:r>
          </w:p>
        </w:tc>
        <w:tc>
          <w:tcPr>
            <w:tcW w:w="5386" w:type="dxa"/>
          </w:tcPr>
          <w:p w:rsidR="00310358" w:rsidRPr="00073A0F" w:rsidRDefault="00310358" w:rsidP="00FF3346">
            <w:pPr>
              <w:rPr>
                <w:b/>
                <w:bCs/>
                <w:iCs/>
                <w:sz w:val="22"/>
                <w:szCs w:val="22"/>
              </w:rPr>
            </w:pPr>
            <w:r w:rsidRPr="00073A0F">
              <w:rPr>
                <w:b/>
                <w:sz w:val="22"/>
                <w:szCs w:val="22"/>
              </w:rPr>
              <w:t>Bivirkning</w:t>
            </w:r>
          </w:p>
        </w:tc>
      </w:tr>
      <w:tr w:rsidR="00310358" w:rsidRPr="00073A0F" w:rsidTr="00FF3346">
        <w:tc>
          <w:tcPr>
            <w:tcW w:w="3794" w:type="dxa"/>
          </w:tcPr>
          <w:p w:rsidR="00310358" w:rsidRPr="00073A0F" w:rsidRDefault="00310358" w:rsidP="00FF3346">
            <w:pPr>
              <w:rPr>
                <w:bCs/>
                <w:iCs/>
                <w:sz w:val="22"/>
                <w:szCs w:val="22"/>
              </w:rPr>
            </w:pPr>
            <w:r w:rsidRPr="00073A0F">
              <w:rPr>
                <w:bCs/>
                <w:iCs/>
                <w:sz w:val="22"/>
                <w:szCs w:val="22"/>
              </w:rPr>
              <w:t>Immunsystemet</w:t>
            </w:r>
          </w:p>
        </w:tc>
        <w:tc>
          <w:tcPr>
            <w:tcW w:w="5386" w:type="dxa"/>
          </w:tcPr>
          <w:p w:rsidR="00310358" w:rsidRPr="00073A0F" w:rsidRDefault="00310358" w:rsidP="00FF3346">
            <w:pPr>
              <w:rPr>
                <w:bCs/>
                <w:iCs/>
                <w:sz w:val="22"/>
                <w:szCs w:val="22"/>
              </w:rPr>
            </w:pPr>
            <w:r w:rsidRPr="00073A0F">
              <w:rPr>
                <w:bCs/>
                <w:iCs/>
                <w:sz w:val="22"/>
                <w:szCs w:val="22"/>
              </w:rPr>
              <w:t xml:space="preserve">Overfølsomhedsreaktioner som f.eks. hævelse, ødem (også fjernt fra injektionsstedet), </w:t>
            </w:r>
            <w:proofErr w:type="spellStart"/>
            <w:r w:rsidRPr="00073A0F">
              <w:rPr>
                <w:bCs/>
                <w:iCs/>
                <w:sz w:val="22"/>
                <w:szCs w:val="22"/>
              </w:rPr>
              <w:t>erytem</w:t>
            </w:r>
            <w:proofErr w:type="spellEnd"/>
            <w:r w:rsidRPr="00073A0F">
              <w:rPr>
                <w:bCs/>
                <w:iCs/>
                <w:sz w:val="22"/>
                <w:szCs w:val="22"/>
              </w:rPr>
              <w:t xml:space="preserve">, </w:t>
            </w:r>
            <w:proofErr w:type="spellStart"/>
            <w:r w:rsidRPr="00073A0F">
              <w:rPr>
                <w:bCs/>
                <w:iCs/>
                <w:sz w:val="22"/>
                <w:szCs w:val="22"/>
              </w:rPr>
              <w:t>pruritus</w:t>
            </w:r>
            <w:proofErr w:type="spellEnd"/>
            <w:r w:rsidRPr="00073A0F">
              <w:rPr>
                <w:bCs/>
                <w:iCs/>
                <w:sz w:val="22"/>
                <w:szCs w:val="22"/>
              </w:rPr>
              <w:t>, udslæt (lokalt og generelt) og åndenød</w:t>
            </w:r>
          </w:p>
        </w:tc>
      </w:tr>
      <w:tr w:rsidR="00310358" w:rsidRPr="00073A0F" w:rsidTr="00FF3346">
        <w:tc>
          <w:tcPr>
            <w:tcW w:w="3794" w:type="dxa"/>
          </w:tcPr>
          <w:p w:rsidR="00310358" w:rsidRPr="00073A0F" w:rsidRDefault="00310358" w:rsidP="00FF3346">
            <w:pPr>
              <w:rPr>
                <w:bCs/>
                <w:iCs/>
                <w:sz w:val="22"/>
                <w:szCs w:val="22"/>
              </w:rPr>
            </w:pPr>
            <w:r w:rsidRPr="00073A0F">
              <w:rPr>
                <w:bCs/>
                <w:iCs/>
                <w:sz w:val="22"/>
                <w:szCs w:val="22"/>
              </w:rPr>
              <w:lastRenderedPageBreak/>
              <w:t>Knogler, led, muskler og bindevæv</w:t>
            </w:r>
          </w:p>
          <w:p w:rsidR="00310358" w:rsidRPr="00073A0F" w:rsidRDefault="00310358" w:rsidP="00FF3346">
            <w:pPr>
              <w:rPr>
                <w:bCs/>
                <w:iCs/>
                <w:sz w:val="22"/>
                <w:szCs w:val="22"/>
              </w:rPr>
            </w:pPr>
          </w:p>
        </w:tc>
        <w:tc>
          <w:tcPr>
            <w:tcW w:w="5386" w:type="dxa"/>
          </w:tcPr>
          <w:p w:rsidR="00310358" w:rsidRPr="00073A0F" w:rsidRDefault="00310358" w:rsidP="00FF3346">
            <w:pPr>
              <w:rPr>
                <w:bCs/>
                <w:iCs/>
                <w:sz w:val="22"/>
                <w:szCs w:val="22"/>
              </w:rPr>
            </w:pPr>
            <w:r w:rsidRPr="00073A0F">
              <w:rPr>
                <w:bCs/>
                <w:iCs/>
                <w:sz w:val="22"/>
                <w:szCs w:val="22"/>
              </w:rPr>
              <w:t>Muskelatrofi</w:t>
            </w:r>
          </w:p>
        </w:tc>
      </w:tr>
      <w:tr w:rsidR="00310358" w:rsidRPr="00073A0F" w:rsidTr="00FF3346">
        <w:tc>
          <w:tcPr>
            <w:tcW w:w="3794" w:type="dxa"/>
          </w:tcPr>
          <w:p w:rsidR="00310358" w:rsidRPr="00073A0F" w:rsidRDefault="00310358" w:rsidP="00FF3346">
            <w:pPr>
              <w:rPr>
                <w:bCs/>
                <w:iCs/>
                <w:sz w:val="22"/>
                <w:szCs w:val="22"/>
              </w:rPr>
            </w:pPr>
            <w:r w:rsidRPr="00073A0F">
              <w:rPr>
                <w:bCs/>
                <w:iCs/>
                <w:sz w:val="22"/>
                <w:szCs w:val="22"/>
              </w:rPr>
              <w:t>Almene symptomer og reaktioner på administrationsstedet</w:t>
            </w:r>
          </w:p>
        </w:tc>
        <w:tc>
          <w:tcPr>
            <w:tcW w:w="5386" w:type="dxa"/>
          </w:tcPr>
          <w:p w:rsidR="00310358" w:rsidRPr="00073A0F" w:rsidRDefault="00310358" w:rsidP="00FF3346">
            <w:pPr>
              <w:rPr>
                <w:bCs/>
                <w:iCs/>
                <w:sz w:val="22"/>
                <w:szCs w:val="22"/>
              </w:rPr>
            </w:pPr>
            <w:r w:rsidRPr="00073A0F">
              <w:rPr>
                <w:bCs/>
                <w:iCs/>
                <w:sz w:val="22"/>
                <w:szCs w:val="22"/>
              </w:rPr>
              <w:t>Influenza-lignende symptomer</w:t>
            </w:r>
          </w:p>
        </w:tc>
      </w:tr>
    </w:tbl>
    <w:p w:rsidR="00310358" w:rsidRPr="00073A0F" w:rsidRDefault="00310358" w:rsidP="00310358">
      <w:pPr>
        <w:rPr>
          <w:sz w:val="24"/>
          <w:szCs w:val="24"/>
        </w:rPr>
      </w:pPr>
    </w:p>
    <w:p w:rsidR="00310358" w:rsidRPr="001F264E" w:rsidRDefault="00310358" w:rsidP="00310358">
      <w:pPr>
        <w:keepNext/>
        <w:suppressAutoHyphens/>
        <w:ind w:left="851"/>
        <w:rPr>
          <w:sz w:val="24"/>
          <w:szCs w:val="24"/>
          <w:u w:val="single"/>
        </w:rPr>
      </w:pPr>
      <w:r w:rsidRPr="001F264E">
        <w:rPr>
          <w:sz w:val="24"/>
          <w:szCs w:val="24"/>
          <w:u w:val="single"/>
        </w:rPr>
        <w:t>Indberetning af formodede bivirkninger</w:t>
      </w:r>
    </w:p>
    <w:p w:rsidR="00310358" w:rsidRPr="00FC6CF4" w:rsidRDefault="00310358" w:rsidP="00310358">
      <w:pPr>
        <w:pStyle w:val="Sidehoved"/>
        <w:ind w:left="851"/>
        <w:rPr>
          <w:szCs w:val="24"/>
        </w:rPr>
      </w:pPr>
      <w:r w:rsidRPr="001F264E">
        <w:rPr>
          <w:szCs w:val="24"/>
        </w:rPr>
        <w:t>Når lægemidlet er godkendt, er indberetning af formodede</w:t>
      </w:r>
      <w:r w:rsidRPr="00FC6CF4">
        <w:rPr>
          <w:szCs w:val="24"/>
        </w:rPr>
        <w:t xml:space="preserve"> bivirkninger vigtig. Det muliggør løbende overvågning af benefit/</w:t>
      </w:r>
      <w:proofErr w:type="spellStart"/>
      <w:r w:rsidRPr="00FC6CF4">
        <w:rPr>
          <w:szCs w:val="24"/>
        </w:rPr>
        <w:t>risk</w:t>
      </w:r>
      <w:proofErr w:type="spellEnd"/>
      <w:r w:rsidRPr="00FC6CF4">
        <w:rPr>
          <w:szCs w:val="24"/>
        </w:rPr>
        <w:t xml:space="preserve">-forholdet for lægemidlet. </w:t>
      </w:r>
      <w:r>
        <w:rPr>
          <w:szCs w:val="24"/>
        </w:rPr>
        <w:t xml:space="preserve">Sundhedspersoner </w:t>
      </w:r>
      <w:r w:rsidRPr="00FC6CF4">
        <w:rPr>
          <w:szCs w:val="24"/>
        </w:rPr>
        <w:t xml:space="preserve">anmodes om at indberette alle formodede bivirkninger via </w:t>
      </w:r>
    </w:p>
    <w:p w:rsidR="00310358" w:rsidRPr="00F50095" w:rsidRDefault="00310358" w:rsidP="00310358">
      <w:pPr>
        <w:pStyle w:val="Sidehoved"/>
        <w:ind w:left="851"/>
        <w:rPr>
          <w:iCs/>
          <w:szCs w:val="24"/>
        </w:rPr>
      </w:pPr>
    </w:p>
    <w:p w:rsidR="00310358" w:rsidRPr="00F50095" w:rsidRDefault="00310358" w:rsidP="00310358">
      <w:pPr>
        <w:pStyle w:val="Sidehoved"/>
        <w:ind w:left="851"/>
        <w:rPr>
          <w:iCs/>
          <w:szCs w:val="24"/>
        </w:rPr>
      </w:pPr>
      <w:r w:rsidRPr="00F50095">
        <w:rPr>
          <w:iCs/>
          <w:szCs w:val="24"/>
        </w:rPr>
        <w:t>Lægemiddelstyrelsen</w:t>
      </w:r>
    </w:p>
    <w:p w:rsidR="00310358" w:rsidRPr="00F50095" w:rsidRDefault="00310358" w:rsidP="00310358">
      <w:pPr>
        <w:pStyle w:val="Sidehoved"/>
        <w:ind w:left="851"/>
        <w:rPr>
          <w:iCs/>
          <w:szCs w:val="24"/>
        </w:rPr>
      </w:pPr>
      <w:r w:rsidRPr="00F50095">
        <w:rPr>
          <w:iCs/>
          <w:szCs w:val="24"/>
        </w:rPr>
        <w:t>Axel Heides Gade 1</w:t>
      </w:r>
    </w:p>
    <w:p w:rsidR="00310358" w:rsidRPr="00F50095" w:rsidRDefault="00310358" w:rsidP="00310358">
      <w:pPr>
        <w:pStyle w:val="Sidehoved"/>
        <w:ind w:left="851"/>
        <w:rPr>
          <w:iCs/>
          <w:szCs w:val="24"/>
        </w:rPr>
      </w:pPr>
      <w:r w:rsidRPr="00F50095">
        <w:rPr>
          <w:iCs/>
          <w:szCs w:val="24"/>
        </w:rPr>
        <w:t>DK-2300 København S</w:t>
      </w:r>
    </w:p>
    <w:p w:rsidR="00310358" w:rsidRPr="00B74EEC" w:rsidRDefault="00310358" w:rsidP="00310358">
      <w:pPr>
        <w:pStyle w:val="Sidehoved"/>
        <w:ind w:left="851"/>
        <w:rPr>
          <w:iCs/>
          <w:szCs w:val="24"/>
        </w:rPr>
      </w:pPr>
      <w:r w:rsidRPr="00B74EEC">
        <w:rPr>
          <w:iCs/>
          <w:szCs w:val="24"/>
        </w:rPr>
        <w:t xml:space="preserve">Websted: </w:t>
      </w:r>
      <w:hyperlink r:id="rId8" w:history="1">
        <w:r w:rsidRPr="00B74EEC">
          <w:rPr>
            <w:rStyle w:val="Hyperlink"/>
            <w:iCs/>
            <w:szCs w:val="24"/>
          </w:rPr>
          <w:t>www.meldenbivirkning.dk</w:t>
        </w:r>
      </w:hyperlink>
    </w:p>
    <w:p w:rsidR="0033400D" w:rsidRPr="00B74EEC" w:rsidRDefault="0033400D" w:rsidP="0033400D">
      <w:pPr>
        <w:pStyle w:val="Sidehoved"/>
        <w:ind w:left="851"/>
        <w:rPr>
          <w:iCs/>
          <w:szCs w:val="24"/>
        </w:rPr>
      </w:pPr>
    </w:p>
    <w:p w:rsidR="0033400D" w:rsidRPr="00B74EEC" w:rsidRDefault="0033400D" w:rsidP="0033400D">
      <w:pPr>
        <w:pStyle w:val="Sidehoved"/>
        <w:tabs>
          <w:tab w:val="clear" w:pos="4819"/>
          <w:tab w:val="clear" w:pos="9638"/>
        </w:tabs>
        <w:ind w:left="851" w:hanging="851"/>
        <w:rPr>
          <w:szCs w:val="24"/>
        </w:rPr>
      </w:pPr>
    </w:p>
    <w:p w:rsidR="0033400D" w:rsidRPr="00F50095" w:rsidRDefault="0033400D" w:rsidP="0033400D">
      <w:pPr>
        <w:numPr>
          <w:ilvl w:val="1"/>
          <w:numId w:val="1"/>
        </w:numPr>
        <w:tabs>
          <w:tab w:val="clear" w:pos="855"/>
        </w:tabs>
        <w:ind w:left="851" w:hanging="851"/>
        <w:rPr>
          <w:b/>
          <w:sz w:val="24"/>
          <w:szCs w:val="24"/>
        </w:rPr>
      </w:pPr>
      <w:r w:rsidRPr="00F50095">
        <w:rPr>
          <w:b/>
          <w:sz w:val="24"/>
          <w:szCs w:val="24"/>
        </w:rPr>
        <w:t>Overdosering</w:t>
      </w:r>
    </w:p>
    <w:p w:rsidR="0033400D" w:rsidRPr="00F50095" w:rsidRDefault="0033400D" w:rsidP="0033400D">
      <w:pPr>
        <w:pStyle w:val="Brdtekstindrykning2"/>
        <w:tabs>
          <w:tab w:val="clear" w:pos="-1440"/>
          <w:tab w:val="clear" w:pos="-720"/>
          <w:tab w:val="clear" w:pos="0"/>
          <w:tab w:val="clear" w:pos="720"/>
        </w:tabs>
        <w:ind w:left="851"/>
        <w:jc w:val="left"/>
        <w:rPr>
          <w:rFonts w:ascii="Times New Roman" w:hAnsi="Times New Roman" w:cs="Times New Roman"/>
          <w:sz w:val="24"/>
          <w:szCs w:val="24"/>
          <w:lang w:val="da-DK"/>
        </w:rPr>
      </w:pPr>
      <w:r w:rsidRPr="00F50095">
        <w:rPr>
          <w:rFonts w:ascii="Times New Roman" w:hAnsi="Times New Roman" w:cs="Times New Roman"/>
          <w:sz w:val="24"/>
          <w:szCs w:val="24"/>
          <w:lang w:val="da-DK"/>
        </w:rPr>
        <w:t>Se oplysninger om risici forbundet med lokal og fjerntliggende spredning af toksinet i pkt. 4.4.</w:t>
      </w:r>
    </w:p>
    <w:p w:rsidR="0033400D" w:rsidRPr="00F50095" w:rsidRDefault="0033400D" w:rsidP="0033400D">
      <w:pPr>
        <w:pStyle w:val="Brdtekstindrykning2"/>
        <w:tabs>
          <w:tab w:val="clear" w:pos="-1440"/>
          <w:tab w:val="clear" w:pos="-720"/>
          <w:tab w:val="clear" w:pos="0"/>
          <w:tab w:val="clear" w:pos="720"/>
        </w:tabs>
        <w:ind w:left="851" w:hanging="851"/>
        <w:jc w:val="left"/>
        <w:rPr>
          <w:rFonts w:ascii="Times New Roman" w:hAnsi="Times New Roman" w:cs="Times New Roman"/>
          <w:sz w:val="24"/>
          <w:szCs w:val="24"/>
          <w:lang w:val="da-DK"/>
        </w:rPr>
      </w:pPr>
    </w:p>
    <w:p w:rsidR="0033400D" w:rsidRPr="00F50095" w:rsidRDefault="0033400D" w:rsidP="0033400D">
      <w:pPr>
        <w:pStyle w:val="Brdtekstindrykning2"/>
        <w:tabs>
          <w:tab w:val="clear" w:pos="-1440"/>
          <w:tab w:val="clear" w:pos="-720"/>
          <w:tab w:val="clear" w:pos="0"/>
          <w:tab w:val="clear" w:pos="720"/>
        </w:tabs>
        <w:ind w:left="851"/>
        <w:jc w:val="left"/>
        <w:rPr>
          <w:rFonts w:ascii="Times New Roman" w:hAnsi="Times New Roman" w:cs="Times New Roman"/>
          <w:spacing w:val="-2"/>
          <w:sz w:val="24"/>
          <w:szCs w:val="24"/>
          <w:u w:val="single"/>
          <w:lang w:val="da-DK"/>
        </w:rPr>
      </w:pPr>
      <w:r w:rsidRPr="00F50095">
        <w:rPr>
          <w:rFonts w:ascii="Times New Roman" w:hAnsi="Times New Roman" w:cs="Times New Roman"/>
          <w:spacing w:val="-2"/>
          <w:sz w:val="24"/>
          <w:szCs w:val="24"/>
          <w:u w:val="single"/>
          <w:lang w:val="da-DK"/>
        </w:rPr>
        <w:t>Symptomer på overdosering</w:t>
      </w:r>
    </w:p>
    <w:p w:rsidR="0033400D" w:rsidRPr="00F50095" w:rsidRDefault="0033400D" w:rsidP="0033400D">
      <w:pPr>
        <w:pStyle w:val="Brdtekstindrykning2"/>
        <w:tabs>
          <w:tab w:val="clear" w:pos="-1440"/>
          <w:tab w:val="clear" w:pos="-720"/>
          <w:tab w:val="clear" w:pos="0"/>
          <w:tab w:val="clear" w:pos="720"/>
        </w:tabs>
        <w:ind w:left="851"/>
        <w:jc w:val="left"/>
        <w:rPr>
          <w:rFonts w:ascii="Times New Roman" w:hAnsi="Times New Roman" w:cs="Times New Roman"/>
          <w:spacing w:val="-2"/>
          <w:sz w:val="24"/>
          <w:szCs w:val="24"/>
          <w:lang w:val="da-DK"/>
        </w:rPr>
      </w:pPr>
      <w:r w:rsidRPr="00F50095">
        <w:rPr>
          <w:rFonts w:ascii="Times New Roman" w:hAnsi="Times New Roman" w:cs="Times New Roman"/>
          <w:spacing w:val="-2"/>
          <w:sz w:val="24"/>
          <w:szCs w:val="24"/>
          <w:lang w:val="da-DK"/>
        </w:rPr>
        <w:t xml:space="preserve">Øgede doseringer af </w:t>
      </w:r>
      <w:proofErr w:type="spellStart"/>
      <w:r w:rsidRPr="00F50095">
        <w:rPr>
          <w:rFonts w:ascii="Times New Roman" w:hAnsi="Times New Roman" w:cs="Times New Roman"/>
          <w:spacing w:val="-2"/>
          <w:sz w:val="24"/>
          <w:szCs w:val="24"/>
          <w:lang w:val="da-DK"/>
        </w:rPr>
        <w:t>botulinum</w:t>
      </w:r>
      <w:proofErr w:type="spellEnd"/>
      <w:r w:rsidRPr="00F50095">
        <w:rPr>
          <w:rFonts w:ascii="Times New Roman" w:hAnsi="Times New Roman" w:cs="Times New Roman"/>
          <w:spacing w:val="-2"/>
          <w:sz w:val="24"/>
          <w:szCs w:val="24"/>
          <w:lang w:val="da-DK"/>
        </w:rPr>
        <w:t xml:space="preserve"> type A-</w:t>
      </w:r>
      <w:proofErr w:type="spellStart"/>
      <w:r w:rsidRPr="00F50095">
        <w:rPr>
          <w:rFonts w:ascii="Times New Roman" w:hAnsi="Times New Roman" w:cs="Times New Roman"/>
          <w:spacing w:val="-2"/>
          <w:sz w:val="24"/>
          <w:szCs w:val="24"/>
          <w:lang w:val="da-DK"/>
        </w:rPr>
        <w:t>neurotoksin</w:t>
      </w:r>
      <w:proofErr w:type="spellEnd"/>
      <w:r w:rsidRPr="00F50095">
        <w:rPr>
          <w:rFonts w:ascii="Times New Roman" w:hAnsi="Times New Roman" w:cs="Times New Roman"/>
          <w:spacing w:val="-2"/>
          <w:sz w:val="24"/>
          <w:szCs w:val="24"/>
          <w:lang w:val="da-DK"/>
        </w:rPr>
        <w:t xml:space="preserve"> kan resultere i udtalt </w:t>
      </w:r>
      <w:proofErr w:type="spellStart"/>
      <w:r w:rsidRPr="00F50095">
        <w:rPr>
          <w:rFonts w:ascii="Times New Roman" w:hAnsi="Times New Roman" w:cs="Times New Roman"/>
          <w:spacing w:val="-2"/>
          <w:sz w:val="24"/>
          <w:szCs w:val="24"/>
          <w:lang w:val="da-DK"/>
        </w:rPr>
        <w:t>neuromuskulær</w:t>
      </w:r>
      <w:proofErr w:type="spellEnd"/>
      <w:r w:rsidRPr="00F50095">
        <w:rPr>
          <w:rFonts w:ascii="Times New Roman" w:hAnsi="Times New Roman" w:cs="Times New Roman"/>
          <w:spacing w:val="-2"/>
          <w:sz w:val="24"/>
          <w:szCs w:val="24"/>
          <w:lang w:val="da-DK"/>
        </w:rPr>
        <w:t xml:space="preserve"> paralyse fjernt fra injektionsstedet med en række forskellige symptomer. </w:t>
      </w:r>
      <w:r w:rsidRPr="00F50095">
        <w:rPr>
          <w:rFonts w:ascii="Times New Roman" w:hAnsi="Times New Roman" w:cs="Times New Roman"/>
          <w:sz w:val="24"/>
          <w:szCs w:val="24"/>
          <w:lang w:val="da-DK"/>
        </w:rPr>
        <w:t xml:space="preserve">Symptomerne kan omfatte generel svækkelse, </w:t>
      </w:r>
      <w:proofErr w:type="spellStart"/>
      <w:r w:rsidRPr="00F50095">
        <w:rPr>
          <w:rFonts w:ascii="Times New Roman" w:hAnsi="Times New Roman" w:cs="Times New Roman"/>
          <w:sz w:val="24"/>
          <w:szCs w:val="24"/>
          <w:lang w:val="da-DK"/>
        </w:rPr>
        <w:t>ptose</w:t>
      </w:r>
      <w:proofErr w:type="spellEnd"/>
      <w:r w:rsidRPr="00F50095">
        <w:rPr>
          <w:rFonts w:ascii="Times New Roman" w:hAnsi="Times New Roman" w:cs="Times New Roman"/>
          <w:sz w:val="24"/>
          <w:szCs w:val="24"/>
          <w:lang w:val="da-DK"/>
        </w:rPr>
        <w:t xml:space="preserve">, </w:t>
      </w:r>
      <w:proofErr w:type="spellStart"/>
      <w:r w:rsidRPr="00F50095">
        <w:rPr>
          <w:rFonts w:ascii="Times New Roman" w:hAnsi="Times New Roman" w:cs="Times New Roman"/>
          <w:sz w:val="24"/>
          <w:szCs w:val="24"/>
          <w:lang w:val="da-DK"/>
        </w:rPr>
        <w:t>diplopi</w:t>
      </w:r>
      <w:proofErr w:type="spellEnd"/>
      <w:r w:rsidRPr="00F50095">
        <w:rPr>
          <w:rFonts w:ascii="Times New Roman" w:hAnsi="Times New Roman" w:cs="Times New Roman"/>
          <w:sz w:val="24"/>
          <w:szCs w:val="24"/>
          <w:lang w:val="da-DK"/>
        </w:rPr>
        <w:t>, vejrtrækningsbesvær, talebesvær, lammelse af åndedrætsmusklerne eller synkebesvær, der kan føre til aspirationspneumoni.</w:t>
      </w:r>
    </w:p>
    <w:p w:rsidR="0033400D" w:rsidRPr="00F50095" w:rsidRDefault="0033400D" w:rsidP="0033400D">
      <w:pPr>
        <w:suppressAutoHyphens/>
        <w:ind w:left="851" w:hanging="851"/>
        <w:rPr>
          <w:spacing w:val="-2"/>
          <w:sz w:val="24"/>
          <w:szCs w:val="24"/>
        </w:rPr>
      </w:pPr>
    </w:p>
    <w:p w:rsidR="0033400D" w:rsidRPr="00F50095" w:rsidRDefault="0033400D" w:rsidP="0033400D">
      <w:pPr>
        <w:pStyle w:val="Brdtekstindrykning2"/>
        <w:tabs>
          <w:tab w:val="clear" w:pos="-1440"/>
          <w:tab w:val="clear" w:pos="-720"/>
          <w:tab w:val="clear" w:pos="0"/>
          <w:tab w:val="clear" w:pos="720"/>
        </w:tabs>
        <w:ind w:left="851"/>
        <w:jc w:val="left"/>
        <w:rPr>
          <w:rFonts w:ascii="Times New Roman" w:hAnsi="Times New Roman" w:cs="Times New Roman"/>
          <w:spacing w:val="-2"/>
          <w:sz w:val="24"/>
          <w:szCs w:val="24"/>
          <w:u w:val="single"/>
          <w:lang w:val="da-DK"/>
        </w:rPr>
      </w:pPr>
      <w:r w:rsidRPr="00F50095">
        <w:rPr>
          <w:rFonts w:ascii="Times New Roman" w:hAnsi="Times New Roman" w:cs="Times New Roman"/>
          <w:spacing w:val="-2"/>
          <w:sz w:val="24"/>
          <w:szCs w:val="24"/>
          <w:u w:val="single"/>
          <w:lang w:val="da-DK"/>
        </w:rPr>
        <w:t>Tiltag i tilfælde af overdosering</w:t>
      </w:r>
    </w:p>
    <w:p w:rsidR="0033400D" w:rsidRPr="00F50095" w:rsidRDefault="0033400D" w:rsidP="0033400D">
      <w:pPr>
        <w:suppressAutoHyphens/>
        <w:ind w:left="851"/>
        <w:rPr>
          <w:sz w:val="24"/>
          <w:szCs w:val="24"/>
        </w:rPr>
      </w:pPr>
      <w:r w:rsidRPr="00F50095">
        <w:rPr>
          <w:spacing w:val="-2"/>
          <w:sz w:val="24"/>
          <w:szCs w:val="24"/>
        </w:rPr>
        <w:t>I tilfælde af overdosering bør patienten monitoreres af en læge for symptomer på voldsom muskelsvaghed eller muskellammelse. Symptombehandling gives efter behov. I tilfælde af lammelse af åndedrætsmusklerne kan der være behov for at understøtte vejrtrækningen.</w:t>
      </w:r>
    </w:p>
    <w:p w:rsidR="0033400D" w:rsidRPr="00F50095" w:rsidRDefault="0033400D" w:rsidP="0033400D">
      <w:pPr>
        <w:ind w:left="851" w:hanging="851"/>
        <w:rPr>
          <w:sz w:val="24"/>
          <w:szCs w:val="24"/>
        </w:rPr>
      </w:pPr>
    </w:p>
    <w:p w:rsidR="0033400D" w:rsidRPr="00F50095" w:rsidRDefault="0033400D" w:rsidP="0033400D">
      <w:pPr>
        <w:numPr>
          <w:ilvl w:val="1"/>
          <w:numId w:val="1"/>
        </w:numPr>
        <w:tabs>
          <w:tab w:val="clear" w:pos="855"/>
        </w:tabs>
        <w:ind w:left="851" w:hanging="851"/>
        <w:rPr>
          <w:b/>
          <w:sz w:val="24"/>
          <w:szCs w:val="24"/>
        </w:rPr>
      </w:pPr>
      <w:r w:rsidRPr="00F50095">
        <w:rPr>
          <w:b/>
          <w:sz w:val="24"/>
          <w:szCs w:val="24"/>
        </w:rPr>
        <w:t>Udlevering</w:t>
      </w:r>
    </w:p>
    <w:p w:rsidR="0033400D" w:rsidRPr="00F50095" w:rsidRDefault="0033400D" w:rsidP="0033400D">
      <w:pPr>
        <w:ind w:firstLine="851"/>
        <w:rPr>
          <w:sz w:val="24"/>
          <w:szCs w:val="24"/>
        </w:rPr>
      </w:pPr>
      <w:r w:rsidRPr="00F50095">
        <w:rPr>
          <w:sz w:val="24"/>
          <w:szCs w:val="24"/>
        </w:rPr>
        <w:t>NBS</w:t>
      </w:r>
    </w:p>
    <w:p w:rsidR="0033400D" w:rsidRDefault="0033400D" w:rsidP="0033400D">
      <w:pPr>
        <w:ind w:left="851"/>
        <w:rPr>
          <w:sz w:val="24"/>
          <w:szCs w:val="24"/>
        </w:rPr>
      </w:pPr>
      <w:r w:rsidRPr="00F50095">
        <w:rPr>
          <w:sz w:val="24"/>
          <w:szCs w:val="24"/>
        </w:rPr>
        <w:t xml:space="preserve">Må kun udleveres til sygehuse eller efter ordination af speciallæger i </w:t>
      </w:r>
      <w:proofErr w:type="spellStart"/>
      <w:r w:rsidRPr="00F50095">
        <w:rPr>
          <w:sz w:val="24"/>
          <w:szCs w:val="24"/>
        </w:rPr>
        <w:t>oftamologi</w:t>
      </w:r>
      <w:proofErr w:type="spellEnd"/>
      <w:r w:rsidRPr="00F50095">
        <w:rPr>
          <w:sz w:val="24"/>
          <w:szCs w:val="24"/>
        </w:rPr>
        <w:t xml:space="preserve">, neurologi, plastikkirurgi eller </w:t>
      </w:r>
      <w:proofErr w:type="spellStart"/>
      <w:r w:rsidRPr="00F50095">
        <w:rPr>
          <w:sz w:val="24"/>
          <w:szCs w:val="24"/>
        </w:rPr>
        <w:t>dermato</w:t>
      </w:r>
      <w:proofErr w:type="spellEnd"/>
      <w:r w:rsidRPr="00F50095">
        <w:rPr>
          <w:sz w:val="24"/>
          <w:szCs w:val="24"/>
        </w:rPr>
        <w:t>-venerologi.</w:t>
      </w:r>
    </w:p>
    <w:p w:rsidR="0033400D" w:rsidRDefault="0033400D" w:rsidP="0033400D">
      <w:pPr>
        <w:ind w:left="851"/>
        <w:rPr>
          <w:sz w:val="24"/>
          <w:szCs w:val="24"/>
        </w:rPr>
      </w:pPr>
    </w:p>
    <w:p w:rsidR="0033400D" w:rsidRPr="00F50095" w:rsidRDefault="0033400D" w:rsidP="0033400D">
      <w:pPr>
        <w:ind w:left="851"/>
        <w:rPr>
          <w:sz w:val="24"/>
          <w:szCs w:val="24"/>
        </w:rPr>
      </w:pPr>
    </w:p>
    <w:p w:rsidR="0033400D" w:rsidRPr="00F50095" w:rsidRDefault="0033400D" w:rsidP="0033400D">
      <w:pPr>
        <w:numPr>
          <w:ilvl w:val="0"/>
          <w:numId w:val="1"/>
        </w:numPr>
        <w:tabs>
          <w:tab w:val="clear" w:pos="855"/>
        </w:tabs>
        <w:ind w:left="851" w:hanging="851"/>
        <w:rPr>
          <w:b/>
          <w:sz w:val="24"/>
          <w:szCs w:val="24"/>
        </w:rPr>
      </w:pPr>
      <w:r w:rsidRPr="00F50095">
        <w:rPr>
          <w:b/>
          <w:sz w:val="24"/>
          <w:szCs w:val="24"/>
        </w:rPr>
        <w:t>FARMAKOLOGISKE EGENSKABER</w:t>
      </w:r>
    </w:p>
    <w:p w:rsidR="0033400D" w:rsidRPr="00E45459" w:rsidRDefault="0033400D" w:rsidP="0033400D">
      <w:pPr>
        <w:ind w:left="851" w:hanging="851"/>
        <w:rPr>
          <w:sz w:val="24"/>
          <w:szCs w:val="24"/>
        </w:rPr>
      </w:pPr>
    </w:p>
    <w:p w:rsidR="0033400D" w:rsidRPr="00F50095" w:rsidRDefault="0033400D" w:rsidP="003261A0">
      <w:pPr>
        <w:keepNext/>
        <w:numPr>
          <w:ilvl w:val="1"/>
          <w:numId w:val="2"/>
        </w:numPr>
        <w:tabs>
          <w:tab w:val="clear" w:pos="2159"/>
        </w:tabs>
        <w:ind w:left="851" w:hanging="851"/>
        <w:rPr>
          <w:b/>
          <w:sz w:val="24"/>
          <w:szCs w:val="24"/>
        </w:rPr>
      </w:pPr>
      <w:proofErr w:type="spellStart"/>
      <w:r w:rsidRPr="00F50095">
        <w:rPr>
          <w:b/>
          <w:sz w:val="24"/>
          <w:szCs w:val="24"/>
        </w:rPr>
        <w:t>Farmakodynamiske</w:t>
      </w:r>
      <w:proofErr w:type="spellEnd"/>
      <w:r w:rsidRPr="00F50095">
        <w:rPr>
          <w:b/>
          <w:sz w:val="24"/>
          <w:szCs w:val="24"/>
        </w:rPr>
        <w:t xml:space="preserve"> egenskaber</w:t>
      </w:r>
    </w:p>
    <w:p w:rsidR="00E44AD4" w:rsidRDefault="00E44AD4" w:rsidP="0033400D">
      <w:pPr>
        <w:suppressAutoHyphens/>
        <w:ind w:left="851"/>
        <w:rPr>
          <w:spacing w:val="-2"/>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45459">
        <w:rPr>
          <w:spacing w:val="-2"/>
          <w:sz w:val="24"/>
          <w:szCs w:val="24"/>
        </w:rPr>
        <w:t xml:space="preserve">Andre </w:t>
      </w:r>
      <w:proofErr w:type="spellStart"/>
      <w:r w:rsidRPr="00E45459">
        <w:rPr>
          <w:spacing w:val="-2"/>
          <w:sz w:val="24"/>
          <w:szCs w:val="24"/>
        </w:rPr>
        <w:t>muskelrelaksantia</w:t>
      </w:r>
      <w:proofErr w:type="spellEnd"/>
      <w:r w:rsidRPr="00E45459">
        <w:rPr>
          <w:spacing w:val="-2"/>
          <w:sz w:val="24"/>
          <w:szCs w:val="24"/>
        </w:rPr>
        <w:t>, perifert virkende.</w:t>
      </w:r>
    </w:p>
    <w:p w:rsidR="00E44AD4" w:rsidRDefault="00E44AD4" w:rsidP="0033400D">
      <w:pPr>
        <w:suppressAutoHyphens/>
        <w:ind w:left="851"/>
        <w:rPr>
          <w:spacing w:val="-2"/>
          <w:sz w:val="24"/>
          <w:szCs w:val="24"/>
        </w:rPr>
      </w:pPr>
      <w:r w:rsidRPr="00E45459">
        <w:rPr>
          <w:spacing w:val="-2"/>
          <w:sz w:val="24"/>
          <w:szCs w:val="24"/>
        </w:rPr>
        <w:t>ATC-kode: M 03 AX 01.</w:t>
      </w:r>
    </w:p>
    <w:p w:rsidR="00E44AD4" w:rsidRDefault="00E44AD4" w:rsidP="0033400D">
      <w:pPr>
        <w:suppressAutoHyphens/>
        <w:ind w:left="851"/>
        <w:rPr>
          <w:spacing w:val="-2"/>
          <w:sz w:val="24"/>
          <w:szCs w:val="24"/>
        </w:rPr>
      </w:pPr>
    </w:p>
    <w:p w:rsidR="0033400D" w:rsidRDefault="0033400D" w:rsidP="0033400D">
      <w:pPr>
        <w:suppressAutoHyphens/>
        <w:ind w:left="851"/>
        <w:rPr>
          <w:sz w:val="24"/>
          <w:szCs w:val="24"/>
        </w:rPr>
      </w:pPr>
      <w:proofErr w:type="spellStart"/>
      <w:r>
        <w:rPr>
          <w:spacing w:val="-2"/>
          <w:sz w:val="24"/>
          <w:szCs w:val="24"/>
        </w:rPr>
        <w:t>Botulinum</w:t>
      </w:r>
      <w:proofErr w:type="spellEnd"/>
      <w:r>
        <w:rPr>
          <w:spacing w:val="-2"/>
          <w:sz w:val="24"/>
          <w:szCs w:val="24"/>
        </w:rPr>
        <w:t xml:space="preserve"> type A-</w:t>
      </w:r>
      <w:proofErr w:type="spellStart"/>
      <w:r>
        <w:rPr>
          <w:spacing w:val="-2"/>
          <w:sz w:val="24"/>
          <w:szCs w:val="24"/>
        </w:rPr>
        <w:t>neurotoksin</w:t>
      </w:r>
      <w:proofErr w:type="spellEnd"/>
      <w:r>
        <w:rPr>
          <w:spacing w:val="-2"/>
          <w:sz w:val="24"/>
          <w:szCs w:val="24"/>
        </w:rPr>
        <w:t xml:space="preserve"> blokerer </w:t>
      </w:r>
      <w:proofErr w:type="spellStart"/>
      <w:r>
        <w:rPr>
          <w:spacing w:val="-2"/>
          <w:sz w:val="24"/>
          <w:szCs w:val="24"/>
        </w:rPr>
        <w:t>kolinerg</w:t>
      </w:r>
      <w:proofErr w:type="spellEnd"/>
      <w:r>
        <w:rPr>
          <w:spacing w:val="-2"/>
          <w:sz w:val="24"/>
          <w:szCs w:val="24"/>
        </w:rPr>
        <w:t xml:space="preserve"> transmission ved den </w:t>
      </w:r>
      <w:proofErr w:type="spellStart"/>
      <w:r>
        <w:rPr>
          <w:spacing w:val="-2"/>
          <w:sz w:val="24"/>
          <w:szCs w:val="24"/>
        </w:rPr>
        <w:t>neuromuskulære</w:t>
      </w:r>
      <w:proofErr w:type="spellEnd"/>
      <w:r>
        <w:rPr>
          <w:spacing w:val="-2"/>
          <w:sz w:val="24"/>
          <w:szCs w:val="24"/>
        </w:rPr>
        <w:t xml:space="preserve"> forbindelse ved at hæmme frigivelsen af </w:t>
      </w:r>
      <w:proofErr w:type="spellStart"/>
      <w:r>
        <w:rPr>
          <w:spacing w:val="-2"/>
          <w:sz w:val="24"/>
          <w:szCs w:val="24"/>
        </w:rPr>
        <w:t>acetylcholin</w:t>
      </w:r>
      <w:proofErr w:type="spellEnd"/>
      <w:r>
        <w:rPr>
          <w:spacing w:val="-2"/>
          <w:sz w:val="24"/>
          <w:szCs w:val="24"/>
        </w:rPr>
        <w:t xml:space="preserve">. Nerveterminalerne ved den </w:t>
      </w:r>
      <w:proofErr w:type="spellStart"/>
      <w:r>
        <w:rPr>
          <w:spacing w:val="-2"/>
          <w:sz w:val="24"/>
          <w:szCs w:val="24"/>
        </w:rPr>
        <w:t>neuromuskulære</w:t>
      </w:r>
      <w:proofErr w:type="spellEnd"/>
      <w:r>
        <w:rPr>
          <w:spacing w:val="-2"/>
          <w:sz w:val="24"/>
          <w:szCs w:val="24"/>
        </w:rPr>
        <w:t xml:space="preserve"> forbindelse responderer ikke længere på nerveimpulser, og sekretion af neurotransmitteren ved de motoriske endeplader forhindres (kemisk </w:t>
      </w:r>
      <w:proofErr w:type="spellStart"/>
      <w:r>
        <w:rPr>
          <w:spacing w:val="-2"/>
          <w:sz w:val="24"/>
          <w:szCs w:val="24"/>
        </w:rPr>
        <w:t>denervering</w:t>
      </w:r>
      <w:proofErr w:type="spellEnd"/>
      <w:r>
        <w:rPr>
          <w:spacing w:val="-2"/>
          <w:sz w:val="24"/>
          <w:szCs w:val="24"/>
        </w:rPr>
        <w:t>). Restitution af impulstransmission opnås ved dannelse af nye nerveterminaler og retablere forbindelsen med de motoriske endeplader.</w:t>
      </w:r>
    </w:p>
    <w:p w:rsidR="00310358" w:rsidRDefault="00310358" w:rsidP="0033400D">
      <w:pPr>
        <w:suppressAutoHyphens/>
        <w:ind w:left="851" w:hanging="851"/>
        <w:rPr>
          <w:i/>
          <w:spacing w:val="-2"/>
          <w:sz w:val="24"/>
          <w:szCs w:val="24"/>
        </w:rPr>
      </w:pPr>
    </w:p>
    <w:p w:rsidR="00E44AD4" w:rsidRDefault="00E44AD4" w:rsidP="0033400D">
      <w:pPr>
        <w:suppressAutoHyphens/>
        <w:ind w:left="851" w:hanging="851"/>
        <w:rPr>
          <w:i/>
          <w:spacing w:val="-2"/>
          <w:sz w:val="24"/>
          <w:szCs w:val="24"/>
        </w:rPr>
      </w:pPr>
    </w:p>
    <w:p w:rsidR="0033400D" w:rsidRDefault="0033400D" w:rsidP="0033400D">
      <w:pPr>
        <w:suppressAutoHyphens/>
        <w:ind w:left="851"/>
        <w:rPr>
          <w:sz w:val="24"/>
          <w:szCs w:val="24"/>
          <w:u w:val="single"/>
        </w:rPr>
      </w:pPr>
      <w:r>
        <w:rPr>
          <w:sz w:val="24"/>
          <w:szCs w:val="24"/>
          <w:u w:val="single"/>
        </w:rPr>
        <w:lastRenderedPageBreak/>
        <w:t>Virkningsmekanisme</w:t>
      </w:r>
    </w:p>
    <w:p w:rsidR="0033400D" w:rsidRDefault="0033400D" w:rsidP="0033400D">
      <w:pPr>
        <w:suppressAutoHyphens/>
        <w:ind w:left="851"/>
        <w:rPr>
          <w:sz w:val="24"/>
          <w:szCs w:val="24"/>
        </w:rPr>
      </w:pPr>
      <w:r>
        <w:rPr>
          <w:sz w:val="24"/>
          <w:szCs w:val="24"/>
        </w:rPr>
        <w:t xml:space="preserve">Virkningsmekanismen, hvorved </w:t>
      </w:r>
      <w:proofErr w:type="spellStart"/>
      <w:r>
        <w:rPr>
          <w:sz w:val="24"/>
          <w:szCs w:val="24"/>
        </w:rPr>
        <w:t>botulinum</w:t>
      </w:r>
      <w:proofErr w:type="spellEnd"/>
      <w:r>
        <w:rPr>
          <w:sz w:val="24"/>
          <w:szCs w:val="24"/>
        </w:rPr>
        <w:t xml:space="preserve"> type A-</w:t>
      </w:r>
      <w:proofErr w:type="spellStart"/>
      <w:r>
        <w:rPr>
          <w:sz w:val="24"/>
          <w:szCs w:val="24"/>
        </w:rPr>
        <w:t>neurotoksin</w:t>
      </w:r>
      <w:proofErr w:type="spellEnd"/>
      <w:r>
        <w:rPr>
          <w:sz w:val="24"/>
          <w:szCs w:val="24"/>
        </w:rPr>
        <w:t xml:space="preserve"> udøver sin virkning på </w:t>
      </w:r>
      <w:proofErr w:type="spellStart"/>
      <w:r>
        <w:rPr>
          <w:sz w:val="24"/>
          <w:szCs w:val="24"/>
        </w:rPr>
        <w:t>kolinerge</w:t>
      </w:r>
      <w:proofErr w:type="spellEnd"/>
      <w:r>
        <w:rPr>
          <w:sz w:val="24"/>
          <w:szCs w:val="24"/>
        </w:rPr>
        <w:t xml:space="preserve"> nerveterminaler, kan beskrives ved en </w:t>
      </w:r>
      <w:proofErr w:type="spellStart"/>
      <w:r>
        <w:rPr>
          <w:sz w:val="24"/>
          <w:szCs w:val="24"/>
        </w:rPr>
        <w:t>firtrins</w:t>
      </w:r>
      <w:proofErr w:type="spellEnd"/>
      <w:r>
        <w:rPr>
          <w:sz w:val="24"/>
          <w:szCs w:val="24"/>
        </w:rPr>
        <w:t xml:space="preserve"> sekventiel proces, der omfatter følgende trin:</w:t>
      </w:r>
    </w:p>
    <w:p w:rsidR="0033400D" w:rsidRDefault="0033400D" w:rsidP="0033400D">
      <w:pPr>
        <w:suppressAutoHyphens/>
        <w:ind w:left="851" w:hanging="851"/>
        <w:rPr>
          <w:sz w:val="24"/>
          <w:szCs w:val="24"/>
        </w:rPr>
      </w:pPr>
    </w:p>
    <w:p w:rsidR="0033400D" w:rsidRDefault="0033400D" w:rsidP="0033400D">
      <w:pPr>
        <w:numPr>
          <w:ilvl w:val="0"/>
          <w:numId w:val="10"/>
        </w:numPr>
        <w:suppressAutoHyphens/>
        <w:snapToGrid w:val="0"/>
        <w:ind w:left="1276" w:hanging="425"/>
        <w:rPr>
          <w:sz w:val="24"/>
          <w:szCs w:val="24"/>
        </w:rPr>
      </w:pPr>
      <w:r>
        <w:rPr>
          <w:spacing w:val="-2"/>
          <w:sz w:val="24"/>
          <w:szCs w:val="24"/>
        </w:rPr>
        <w:t xml:space="preserve">Binding: </w:t>
      </w:r>
      <w:proofErr w:type="spellStart"/>
      <w:r>
        <w:rPr>
          <w:spacing w:val="-2"/>
          <w:sz w:val="24"/>
          <w:szCs w:val="24"/>
        </w:rPr>
        <w:t>Botulinum</w:t>
      </w:r>
      <w:proofErr w:type="spellEnd"/>
      <w:r>
        <w:rPr>
          <w:spacing w:val="-2"/>
          <w:sz w:val="24"/>
          <w:szCs w:val="24"/>
        </w:rPr>
        <w:t xml:space="preserve"> type A-</w:t>
      </w:r>
      <w:proofErr w:type="spellStart"/>
      <w:r>
        <w:rPr>
          <w:spacing w:val="-2"/>
          <w:sz w:val="24"/>
          <w:szCs w:val="24"/>
        </w:rPr>
        <w:t>neurotoksins</w:t>
      </w:r>
      <w:proofErr w:type="spellEnd"/>
      <w:r>
        <w:rPr>
          <w:spacing w:val="-2"/>
          <w:sz w:val="24"/>
          <w:szCs w:val="24"/>
        </w:rPr>
        <w:t xml:space="preserve"> tunge kæde bindes med exceptionel høj selektivitet og affinitet til receptorer, der kun findes på </w:t>
      </w:r>
      <w:proofErr w:type="spellStart"/>
      <w:r>
        <w:rPr>
          <w:spacing w:val="-2"/>
          <w:sz w:val="24"/>
          <w:szCs w:val="24"/>
        </w:rPr>
        <w:t>kolinerge</w:t>
      </w:r>
      <w:proofErr w:type="spellEnd"/>
      <w:r>
        <w:rPr>
          <w:spacing w:val="-2"/>
          <w:sz w:val="24"/>
          <w:szCs w:val="24"/>
        </w:rPr>
        <w:t xml:space="preserve"> terminaler.</w:t>
      </w:r>
    </w:p>
    <w:p w:rsidR="0033400D" w:rsidRDefault="0033400D" w:rsidP="0033400D">
      <w:pPr>
        <w:numPr>
          <w:ilvl w:val="0"/>
          <w:numId w:val="10"/>
        </w:numPr>
        <w:suppressAutoHyphens/>
        <w:snapToGrid w:val="0"/>
        <w:ind w:left="1276" w:hanging="425"/>
        <w:rPr>
          <w:sz w:val="24"/>
          <w:szCs w:val="24"/>
        </w:rPr>
      </w:pPr>
      <w:r>
        <w:rPr>
          <w:spacing w:val="-2"/>
          <w:sz w:val="24"/>
          <w:szCs w:val="24"/>
        </w:rPr>
        <w:t>Internalisering: Indsnævring af nerveterminalens membran og absorption af toksinet i nerveterminalen (</w:t>
      </w:r>
      <w:proofErr w:type="spellStart"/>
      <w:r>
        <w:rPr>
          <w:spacing w:val="-2"/>
          <w:sz w:val="24"/>
          <w:szCs w:val="24"/>
        </w:rPr>
        <w:t>endocytose</w:t>
      </w:r>
      <w:proofErr w:type="spellEnd"/>
      <w:r>
        <w:rPr>
          <w:spacing w:val="-2"/>
          <w:sz w:val="24"/>
          <w:szCs w:val="24"/>
        </w:rPr>
        <w:t>).</w:t>
      </w:r>
    </w:p>
    <w:p w:rsidR="0033400D" w:rsidRDefault="0033400D" w:rsidP="0033400D">
      <w:pPr>
        <w:numPr>
          <w:ilvl w:val="0"/>
          <w:numId w:val="10"/>
        </w:numPr>
        <w:suppressAutoHyphens/>
        <w:snapToGrid w:val="0"/>
        <w:ind w:left="1276" w:hanging="425"/>
        <w:rPr>
          <w:sz w:val="24"/>
          <w:szCs w:val="24"/>
        </w:rPr>
      </w:pPr>
      <w:r>
        <w:rPr>
          <w:spacing w:val="-2"/>
          <w:sz w:val="24"/>
          <w:szCs w:val="24"/>
        </w:rPr>
        <w:t xml:space="preserve">Translokation: Det </w:t>
      </w:r>
      <w:proofErr w:type="spellStart"/>
      <w:r>
        <w:rPr>
          <w:spacing w:val="-2"/>
          <w:sz w:val="24"/>
          <w:szCs w:val="24"/>
        </w:rPr>
        <w:t>amino</w:t>
      </w:r>
      <w:proofErr w:type="spellEnd"/>
      <w:r>
        <w:rPr>
          <w:spacing w:val="-2"/>
          <w:sz w:val="24"/>
          <w:szCs w:val="24"/>
        </w:rPr>
        <w:t xml:space="preserve">-terminale segment i </w:t>
      </w:r>
      <w:proofErr w:type="spellStart"/>
      <w:r>
        <w:rPr>
          <w:spacing w:val="-2"/>
          <w:sz w:val="24"/>
          <w:szCs w:val="24"/>
        </w:rPr>
        <w:t>neurotoksinets</w:t>
      </w:r>
      <w:proofErr w:type="spellEnd"/>
      <w:r>
        <w:rPr>
          <w:spacing w:val="-2"/>
          <w:sz w:val="24"/>
          <w:szCs w:val="24"/>
        </w:rPr>
        <w:t xml:space="preserve"> tunge kæde danner en pore i </w:t>
      </w:r>
      <w:proofErr w:type="spellStart"/>
      <w:r>
        <w:rPr>
          <w:spacing w:val="-2"/>
          <w:sz w:val="24"/>
          <w:szCs w:val="24"/>
        </w:rPr>
        <w:t>membranvesiklet</w:t>
      </w:r>
      <w:proofErr w:type="spellEnd"/>
      <w:r>
        <w:rPr>
          <w:spacing w:val="-2"/>
          <w:sz w:val="24"/>
          <w:szCs w:val="24"/>
        </w:rPr>
        <w:t xml:space="preserve">, </w:t>
      </w:r>
      <w:proofErr w:type="spellStart"/>
      <w:r>
        <w:rPr>
          <w:spacing w:val="-2"/>
          <w:sz w:val="24"/>
          <w:szCs w:val="24"/>
        </w:rPr>
        <w:t>disulfidbindingen</w:t>
      </w:r>
      <w:proofErr w:type="spellEnd"/>
      <w:r>
        <w:rPr>
          <w:spacing w:val="-2"/>
          <w:sz w:val="24"/>
          <w:szCs w:val="24"/>
        </w:rPr>
        <w:t xml:space="preserve"> spaltes, og </w:t>
      </w:r>
      <w:proofErr w:type="spellStart"/>
      <w:r>
        <w:rPr>
          <w:spacing w:val="-2"/>
          <w:sz w:val="24"/>
          <w:szCs w:val="24"/>
        </w:rPr>
        <w:t>neurotoksinets</w:t>
      </w:r>
      <w:proofErr w:type="spellEnd"/>
      <w:r>
        <w:rPr>
          <w:spacing w:val="-2"/>
          <w:sz w:val="24"/>
          <w:szCs w:val="24"/>
        </w:rPr>
        <w:t xml:space="preserve"> lette kæde passerer gennem poren ind i </w:t>
      </w:r>
      <w:proofErr w:type="spellStart"/>
      <w:r>
        <w:rPr>
          <w:spacing w:val="-2"/>
          <w:sz w:val="24"/>
          <w:szCs w:val="24"/>
        </w:rPr>
        <w:t>cytosolen</w:t>
      </w:r>
      <w:proofErr w:type="spellEnd"/>
      <w:r>
        <w:rPr>
          <w:spacing w:val="-2"/>
          <w:sz w:val="24"/>
          <w:szCs w:val="24"/>
        </w:rPr>
        <w:t>.</w:t>
      </w:r>
    </w:p>
    <w:p w:rsidR="0033400D" w:rsidRDefault="0033400D" w:rsidP="0033400D">
      <w:pPr>
        <w:numPr>
          <w:ilvl w:val="0"/>
          <w:numId w:val="10"/>
        </w:numPr>
        <w:suppressAutoHyphens/>
        <w:snapToGrid w:val="0"/>
        <w:ind w:left="1276" w:hanging="425"/>
        <w:rPr>
          <w:sz w:val="24"/>
          <w:szCs w:val="24"/>
        </w:rPr>
      </w:pPr>
      <w:r>
        <w:rPr>
          <w:spacing w:val="-2"/>
          <w:sz w:val="24"/>
          <w:szCs w:val="24"/>
        </w:rPr>
        <w:t xml:space="preserve">Virkning: Når den lette kæde frigøres, spalter den meget specifikt et målprotein (SNAP-25), som er essentielt for frigivelse af </w:t>
      </w:r>
      <w:proofErr w:type="spellStart"/>
      <w:r>
        <w:rPr>
          <w:spacing w:val="-2"/>
          <w:sz w:val="24"/>
          <w:szCs w:val="24"/>
        </w:rPr>
        <w:t>acetylcholin</w:t>
      </w:r>
      <w:proofErr w:type="spellEnd"/>
      <w:r>
        <w:rPr>
          <w:spacing w:val="-2"/>
          <w:sz w:val="24"/>
          <w:szCs w:val="24"/>
        </w:rPr>
        <w:t>.</w:t>
      </w:r>
    </w:p>
    <w:p w:rsidR="0033400D" w:rsidRDefault="0033400D" w:rsidP="0033400D">
      <w:pPr>
        <w:suppressAutoHyphens/>
        <w:ind w:left="851" w:hanging="851"/>
        <w:rPr>
          <w:sz w:val="24"/>
          <w:szCs w:val="24"/>
        </w:rPr>
      </w:pPr>
    </w:p>
    <w:p w:rsidR="0033400D" w:rsidRDefault="0033400D" w:rsidP="0033400D">
      <w:pPr>
        <w:suppressAutoHyphens/>
        <w:ind w:left="851"/>
        <w:rPr>
          <w:spacing w:val="-2"/>
          <w:sz w:val="24"/>
          <w:szCs w:val="24"/>
        </w:rPr>
      </w:pPr>
      <w:r>
        <w:rPr>
          <w:spacing w:val="-2"/>
          <w:sz w:val="24"/>
          <w:szCs w:val="24"/>
        </w:rPr>
        <w:t>Fuldstændig gendannelse af endepladens funktion/impulstransmission efter en intramuskulær injektion finder normalt sted i løbet af 3-4 måneder, efterhånden som nerveterminaler skyder frem og igen forbindes med den motoriske endeplade.</w:t>
      </w:r>
    </w:p>
    <w:p w:rsidR="0033400D" w:rsidRDefault="0033400D" w:rsidP="0033400D">
      <w:pPr>
        <w:rPr>
          <w:sz w:val="24"/>
          <w:szCs w:val="24"/>
        </w:rPr>
      </w:pPr>
    </w:p>
    <w:p w:rsidR="0033400D"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pacing w:val="-2"/>
          <w:sz w:val="24"/>
          <w:szCs w:val="24"/>
          <w:u w:val="single"/>
          <w:lang w:val="da-DK"/>
        </w:rPr>
      </w:pPr>
      <w:r>
        <w:rPr>
          <w:rFonts w:ascii="Times New Roman" w:hAnsi="Times New Roman" w:cs="Times New Roman"/>
          <w:spacing w:val="-2"/>
          <w:sz w:val="24"/>
          <w:szCs w:val="24"/>
          <w:u w:val="single"/>
          <w:lang w:val="da-DK"/>
        </w:rPr>
        <w:t>Resultater af kliniske studier</w:t>
      </w:r>
    </w:p>
    <w:p w:rsidR="0033400D"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pacing w:val="-2"/>
          <w:sz w:val="24"/>
          <w:szCs w:val="24"/>
          <w:lang w:val="da-DK"/>
        </w:rPr>
      </w:pPr>
      <w:r>
        <w:rPr>
          <w:rFonts w:ascii="Times New Roman" w:hAnsi="Times New Roman" w:cs="Times New Roman"/>
          <w:spacing w:val="-2"/>
          <w:sz w:val="24"/>
          <w:szCs w:val="24"/>
          <w:lang w:val="da-DK"/>
        </w:rPr>
        <w:t xml:space="preserve">Der blev påvist terapeutisk ækvivalens mellem </w:t>
      </w:r>
      <w:proofErr w:type="spellStart"/>
      <w:r>
        <w:rPr>
          <w:rFonts w:ascii="Times New Roman" w:hAnsi="Times New Roman" w:cs="Times New Roman"/>
          <w:spacing w:val="-2"/>
          <w:sz w:val="24"/>
          <w:szCs w:val="24"/>
          <w:lang w:val="da-DK"/>
        </w:rPr>
        <w:t>Xeomin</w:t>
      </w:r>
      <w:proofErr w:type="spellEnd"/>
      <w:r>
        <w:rPr>
          <w:rFonts w:ascii="Times New Roman" w:hAnsi="Times New Roman" w:cs="Times New Roman"/>
          <w:spacing w:val="-2"/>
          <w:sz w:val="24"/>
          <w:szCs w:val="24"/>
          <w:lang w:val="da-DK"/>
        </w:rPr>
        <w:t xml:space="preserve"> og </w:t>
      </w:r>
      <w:proofErr w:type="spellStart"/>
      <w:r>
        <w:rPr>
          <w:rFonts w:ascii="Times New Roman" w:hAnsi="Times New Roman" w:cs="Times New Roman"/>
          <w:spacing w:val="-2"/>
          <w:sz w:val="24"/>
          <w:szCs w:val="24"/>
          <w:lang w:val="da-DK"/>
        </w:rPr>
        <w:t>komparatorproduktet</w:t>
      </w:r>
      <w:proofErr w:type="spellEnd"/>
      <w:r>
        <w:rPr>
          <w:rFonts w:ascii="Times New Roman" w:hAnsi="Times New Roman" w:cs="Times New Roman"/>
          <w:spacing w:val="-2"/>
          <w:sz w:val="24"/>
          <w:szCs w:val="24"/>
          <w:lang w:val="da-DK"/>
        </w:rPr>
        <w:t xml:space="preserve"> Botox, der indeholdt </w:t>
      </w:r>
      <w:proofErr w:type="spellStart"/>
      <w:r>
        <w:rPr>
          <w:rFonts w:ascii="Times New Roman" w:hAnsi="Times New Roman" w:cs="Times New Roman"/>
          <w:spacing w:val="-2"/>
          <w:sz w:val="24"/>
          <w:szCs w:val="24"/>
          <w:lang w:val="da-DK"/>
        </w:rPr>
        <w:t>botulinum</w:t>
      </w:r>
      <w:proofErr w:type="spellEnd"/>
      <w:r>
        <w:rPr>
          <w:rFonts w:ascii="Times New Roman" w:hAnsi="Times New Roman" w:cs="Times New Roman"/>
          <w:spacing w:val="-2"/>
          <w:sz w:val="24"/>
          <w:szCs w:val="24"/>
          <w:lang w:val="da-DK"/>
        </w:rPr>
        <w:t xml:space="preserve"> type A-toksinkompleks (</w:t>
      </w:r>
      <w:proofErr w:type="spellStart"/>
      <w:r>
        <w:rPr>
          <w:rFonts w:ascii="Times New Roman" w:hAnsi="Times New Roman" w:cs="Times New Roman"/>
          <w:spacing w:val="-2"/>
          <w:sz w:val="24"/>
          <w:szCs w:val="24"/>
          <w:lang w:val="da-DK"/>
        </w:rPr>
        <w:t>onabotulinumtoxinA</w:t>
      </w:r>
      <w:proofErr w:type="spellEnd"/>
      <w:r>
        <w:rPr>
          <w:rFonts w:ascii="Times New Roman" w:hAnsi="Times New Roman" w:cs="Times New Roman"/>
          <w:spacing w:val="-2"/>
          <w:sz w:val="24"/>
          <w:szCs w:val="24"/>
          <w:lang w:val="da-DK"/>
        </w:rPr>
        <w:t xml:space="preserve"> 900 </w:t>
      </w:r>
      <w:proofErr w:type="spellStart"/>
      <w:r>
        <w:rPr>
          <w:rFonts w:ascii="Times New Roman" w:hAnsi="Times New Roman" w:cs="Times New Roman"/>
          <w:spacing w:val="-2"/>
          <w:sz w:val="24"/>
          <w:szCs w:val="24"/>
          <w:lang w:val="da-DK"/>
        </w:rPr>
        <w:t>kD</w:t>
      </w:r>
      <w:proofErr w:type="spellEnd"/>
      <w:r>
        <w:rPr>
          <w:rFonts w:ascii="Times New Roman" w:hAnsi="Times New Roman" w:cs="Times New Roman"/>
          <w:spacing w:val="-2"/>
          <w:sz w:val="24"/>
          <w:szCs w:val="24"/>
          <w:lang w:val="da-DK"/>
        </w:rPr>
        <w:t xml:space="preserve">) i to sammenlignende fase III-studier med en enkelt dosis, det ene med patienter med </w:t>
      </w:r>
      <w:proofErr w:type="spellStart"/>
      <w:r>
        <w:rPr>
          <w:rFonts w:ascii="Times New Roman" w:hAnsi="Times New Roman" w:cs="Times New Roman"/>
          <w:spacing w:val="-2"/>
          <w:sz w:val="24"/>
          <w:szCs w:val="24"/>
          <w:lang w:val="da-DK"/>
        </w:rPr>
        <w:t>blefarospasme</w:t>
      </w:r>
      <w:proofErr w:type="spellEnd"/>
      <w:r>
        <w:rPr>
          <w:rFonts w:ascii="Times New Roman" w:hAnsi="Times New Roman" w:cs="Times New Roman"/>
          <w:spacing w:val="-2"/>
          <w:sz w:val="24"/>
          <w:szCs w:val="24"/>
          <w:lang w:val="da-DK"/>
        </w:rPr>
        <w:t xml:space="preserve"> (studie MRZ 60201-0003, n=300) og det andet med patienter med </w:t>
      </w:r>
      <w:proofErr w:type="spellStart"/>
      <w:r>
        <w:rPr>
          <w:rFonts w:ascii="Times New Roman" w:hAnsi="Times New Roman" w:cs="Times New Roman"/>
          <w:spacing w:val="-2"/>
          <w:sz w:val="24"/>
          <w:szCs w:val="24"/>
          <w:lang w:val="da-DK"/>
        </w:rPr>
        <w:t>cervikal</w:t>
      </w:r>
      <w:proofErr w:type="spellEnd"/>
      <w:r>
        <w:rPr>
          <w:rFonts w:ascii="Times New Roman" w:hAnsi="Times New Roman" w:cs="Times New Roman"/>
          <w:spacing w:val="-2"/>
          <w:sz w:val="24"/>
          <w:szCs w:val="24"/>
          <w:lang w:val="da-DK"/>
        </w:rPr>
        <w:t xml:space="preserve"> </w:t>
      </w:r>
      <w:proofErr w:type="spellStart"/>
      <w:r>
        <w:rPr>
          <w:rFonts w:ascii="Times New Roman" w:hAnsi="Times New Roman" w:cs="Times New Roman"/>
          <w:spacing w:val="-2"/>
          <w:sz w:val="24"/>
          <w:szCs w:val="24"/>
          <w:lang w:val="da-DK"/>
        </w:rPr>
        <w:t>dystoni</w:t>
      </w:r>
      <w:proofErr w:type="spellEnd"/>
      <w:r>
        <w:rPr>
          <w:rFonts w:ascii="Times New Roman" w:hAnsi="Times New Roman" w:cs="Times New Roman"/>
          <w:spacing w:val="-2"/>
          <w:sz w:val="24"/>
          <w:szCs w:val="24"/>
          <w:lang w:val="da-DK"/>
        </w:rPr>
        <w:t xml:space="preserve"> (studie MRZ 60201-0013, n=463). Studieresultaterne tyder desuden på, at </w:t>
      </w:r>
      <w:proofErr w:type="spellStart"/>
      <w:r>
        <w:rPr>
          <w:rFonts w:ascii="Times New Roman" w:hAnsi="Times New Roman" w:cs="Times New Roman"/>
          <w:spacing w:val="-2"/>
          <w:sz w:val="24"/>
          <w:szCs w:val="24"/>
          <w:lang w:val="da-DK"/>
        </w:rPr>
        <w:t>Xeomin</w:t>
      </w:r>
      <w:proofErr w:type="spellEnd"/>
      <w:r>
        <w:rPr>
          <w:rFonts w:ascii="Times New Roman" w:hAnsi="Times New Roman" w:cs="Times New Roman"/>
          <w:spacing w:val="-2"/>
          <w:sz w:val="24"/>
          <w:szCs w:val="24"/>
          <w:lang w:val="da-DK"/>
        </w:rPr>
        <w:t xml:space="preserve"> og dette </w:t>
      </w:r>
      <w:proofErr w:type="spellStart"/>
      <w:r>
        <w:rPr>
          <w:rFonts w:ascii="Times New Roman" w:hAnsi="Times New Roman" w:cs="Times New Roman"/>
          <w:spacing w:val="-2"/>
          <w:sz w:val="24"/>
          <w:szCs w:val="24"/>
          <w:lang w:val="da-DK"/>
        </w:rPr>
        <w:t>komparatorprodukt</w:t>
      </w:r>
      <w:proofErr w:type="spellEnd"/>
      <w:r>
        <w:rPr>
          <w:rFonts w:ascii="Times New Roman" w:hAnsi="Times New Roman" w:cs="Times New Roman"/>
          <w:spacing w:val="-2"/>
          <w:sz w:val="24"/>
          <w:szCs w:val="24"/>
          <w:lang w:val="da-DK"/>
        </w:rPr>
        <w:t xml:space="preserve"> har omtrent samme sikkerheds- og virkningsprofil hos patienter med </w:t>
      </w:r>
      <w:proofErr w:type="spellStart"/>
      <w:r>
        <w:rPr>
          <w:rFonts w:ascii="Times New Roman" w:hAnsi="Times New Roman" w:cs="Times New Roman"/>
          <w:spacing w:val="-2"/>
          <w:sz w:val="24"/>
          <w:szCs w:val="24"/>
          <w:lang w:val="da-DK"/>
        </w:rPr>
        <w:t>blefarospasme</w:t>
      </w:r>
      <w:proofErr w:type="spellEnd"/>
      <w:r>
        <w:rPr>
          <w:rFonts w:ascii="Times New Roman" w:hAnsi="Times New Roman" w:cs="Times New Roman"/>
          <w:spacing w:val="-2"/>
          <w:sz w:val="24"/>
          <w:szCs w:val="24"/>
          <w:lang w:val="da-DK"/>
        </w:rPr>
        <w:t xml:space="preserve"> eller </w:t>
      </w:r>
      <w:proofErr w:type="spellStart"/>
      <w:r>
        <w:rPr>
          <w:rFonts w:ascii="Times New Roman" w:hAnsi="Times New Roman" w:cs="Times New Roman"/>
          <w:spacing w:val="-2"/>
          <w:sz w:val="24"/>
          <w:szCs w:val="24"/>
          <w:lang w:val="da-DK"/>
        </w:rPr>
        <w:t>cervikal</w:t>
      </w:r>
      <w:proofErr w:type="spellEnd"/>
      <w:r>
        <w:rPr>
          <w:rFonts w:ascii="Times New Roman" w:hAnsi="Times New Roman" w:cs="Times New Roman"/>
          <w:spacing w:val="-2"/>
          <w:sz w:val="24"/>
          <w:szCs w:val="24"/>
          <w:lang w:val="da-DK"/>
        </w:rPr>
        <w:t xml:space="preserve"> </w:t>
      </w:r>
      <w:proofErr w:type="spellStart"/>
      <w:r>
        <w:rPr>
          <w:rFonts w:ascii="Times New Roman" w:hAnsi="Times New Roman" w:cs="Times New Roman"/>
          <w:spacing w:val="-2"/>
          <w:sz w:val="24"/>
          <w:szCs w:val="24"/>
          <w:lang w:val="da-DK"/>
        </w:rPr>
        <w:t>dystoni</w:t>
      </w:r>
      <w:proofErr w:type="spellEnd"/>
      <w:r>
        <w:rPr>
          <w:rFonts w:ascii="Times New Roman" w:hAnsi="Times New Roman" w:cs="Times New Roman"/>
          <w:spacing w:val="-2"/>
          <w:sz w:val="24"/>
          <w:szCs w:val="24"/>
          <w:lang w:val="da-DK"/>
        </w:rPr>
        <w:t>, når de anvendes med konvertering af doser i forholdet 1:1.</w:t>
      </w:r>
    </w:p>
    <w:p w:rsidR="0033400D"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pacing w:val="-2"/>
          <w:sz w:val="24"/>
          <w:szCs w:val="24"/>
          <w:u w:val="single"/>
          <w:lang w:val="da-DK"/>
        </w:rPr>
      </w:pPr>
    </w:p>
    <w:p w:rsidR="0033400D" w:rsidRPr="00310358" w:rsidRDefault="0033400D" w:rsidP="0033400D">
      <w:pPr>
        <w:suppressAutoHyphens/>
        <w:ind w:left="851"/>
        <w:rPr>
          <w:bCs/>
          <w:i/>
          <w:iCs/>
          <w:spacing w:val="-2"/>
          <w:sz w:val="24"/>
          <w:szCs w:val="24"/>
          <w:lang w:bidi="da-DK"/>
        </w:rPr>
      </w:pPr>
      <w:proofErr w:type="spellStart"/>
      <w:r w:rsidRPr="00310358">
        <w:rPr>
          <w:i/>
          <w:spacing w:val="-2"/>
          <w:sz w:val="24"/>
          <w:szCs w:val="24"/>
          <w:lang w:bidi="da-DK"/>
        </w:rPr>
        <w:t>Blefarospasme</w:t>
      </w:r>
      <w:proofErr w:type="spellEnd"/>
    </w:p>
    <w:p w:rsidR="0033400D" w:rsidRDefault="0033400D" w:rsidP="0033400D">
      <w:pPr>
        <w:suppressAutoHyphens/>
        <w:ind w:left="851"/>
        <w:rPr>
          <w:spacing w:val="-2"/>
          <w:sz w:val="24"/>
          <w:szCs w:val="24"/>
          <w:lang w:bidi="da-DK"/>
        </w:rPr>
      </w:pPr>
      <w:proofErr w:type="spellStart"/>
      <w:r>
        <w:rPr>
          <w:spacing w:val="-2"/>
          <w:sz w:val="24"/>
          <w:szCs w:val="24"/>
          <w:lang w:bidi="da-DK"/>
        </w:rPr>
        <w:t>Xeomin</w:t>
      </w:r>
      <w:proofErr w:type="spellEnd"/>
      <w:r>
        <w:rPr>
          <w:spacing w:val="-2"/>
          <w:sz w:val="24"/>
          <w:szCs w:val="24"/>
          <w:lang w:bidi="da-DK"/>
        </w:rPr>
        <w:t xml:space="preserve"> blev undersøgt i et randomiseret, dobbeltblindt, placebokontrolleret fase III-multicenterstudie med 109 patienter i alt med </w:t>
      </w:r>
      <w:proofErr w:type="spellStart"/>
      <w:r>
        <w:rPr>
          <w:spacing w:val="-2"/>
          <w:sz w:val="24"/>
          <w:szCs w:val="24"/>
          <w:lang w:bidi="da-DK"/>
        </w:rPr>
        <w:t>blefarospasme</w:t>
      </w:r>
      <w:proofErr w:type="spellEnd"/>
      <w:r>
        <w:rPr>
          <w:spacing w:val="-2"/>
          <w:sz w:val="24"/>
          <w:szCs w:val="24"/>
          <w:lang w:bidi="da-DK"/>
        </w:rPr>
        <w:t xml:space="preserve">. Patienterne havde fået stillet den kliniske diagnose godartet essentiel </w:t>
      </w:r>
      <w:proofErr w:type="spellStart"/>
      <w:r>
        <w:rPr>
          <w:spacing w:val="-2"/>
          <w:sz w:val="24"/>
          <w:szCs w:val="24"/>
          <w:lang w:bidi="da-DK"/>
        </w:rPr>
        <w:t>blefarospasme</w:t>
      </w:r>
      <w:proofErr w:type="spellEnd"/>
      <w:r>
        <w:rPr>
          <w:spacing w:val="-2"/>
          <w:sz w:val="24"/>
          <w:szCs w:val="24"/>
          <w:lang w:bidi="da-DK"/>
        </w:rPr>
        <w:t xml:space="preserve"> med en </w:t>
      </w:r>
      <w:r>
        <w:rPr>
          <w:i/>
          <w:spacing w:val="-2"/>
          <w:sz w:val="24"/>
          <w:szCs w:val="24"/>
          <w:lang w:bidi="da-DK"/>
        </w:rPr>
        <w:t xml:space="preserve">Jankovic Rating </w:t>
      </w:r>
      <w:proofErr w:type="spellStart"/>
      <w:r>
        <w:rPr>
          <w:i/>
          <w:spacing w:val="-2"/>
          <w:sz w:val="24"/>
          <w:szCs w:val="24"/>
          <w:lang w:bidi="da-DK"/>
        </w:rPr>
        <w:t>Scale</w:t>
      </w:r>
      <w:proofErr w:type="spellEnd"/>
      <w:r>
        <w:rPr>
          <w:spacing w:val="-2"/>
          <w:sz w:val="24"/>
          <w:szCs w:val="24"/>
          <w:lang w:bidi="da-DK"/>
        </w:rPr>
        <w:t xml:space="preserve"> (JRS) delscore </w:t>
      </w:r>
      <w:bookmarkStart w:id="18" w:name="_Hlk23156747"/>
      <w:r>
        <w:rPr>
          <w:spacing w:val="-2"/>
          <w:sz w:val="24"/>
          <w:szCs w:val="24"/>
          <w:lang w:bidi="da-DK"/>
        </w:rPr>
        <w:t xml:space="preserve">for sværhedsgrad </w:t>
      </w:r>
      <w:bookmarkEnd w:id="18"/>
      <w:r>
        <w:rPr>
          <w:spacing w:val="-2"/>
          <w:sz w:val="24"/>
          <w:szCs w:val="24"/>
          <w:lang w:bidi="da-DK"/>
        </w:rPr>
        <w:t xml:space="preserve">≥ 2 ved </w:t>
      </w:r>
      <w:bookmarkStart w:id="19" w:name="_Hlk22629627"/>
      <w:r>
        <w:rPr>
          <w:i/>
          <w:iCs/>
          <w:spacing w:val="-2"/>
          <w:sz w:val="24"/>
          <w:szCs w:val="24"/>
          <w:lang w:bidi="da-DK"/>
        </w:rPr>
        <w:t>baseline</w:t>
      </w:r>
      <w:bookmarkEnd w:id="19"/>
      <w:r>
        <w:rPr>
          <w:spacing w:val="-2"/>
          <w:sz w:val="24"/>
          <w:szCs w:val="24"/>
          <w:lang w:bidi="da-DK"/>
        </w:rPr>
        <w:t xml:space="preserve"> og et stabilt, tilfredsstillende terapeutisk respons på hidtidige administrationer af </w:t>
      </w:r>
      <w:proofErr w:type="spellStart"/>
      <w:r>
        <w:rPr>
          <w:spacing w:val="-2"/>
          <w:sz w:val="24"/>
          <w:szCs w:val="24"/>
        </w:rPr>
        <w:t>komparatorproduktet</w:t>
      </w:r>
      <w:proofErr w:type="spellEnd"/>
      <w:r>
        <w:rPr>
          <w:spacing w:val="-2"/>
          <w:sz w:val="24"/>
          <w:szCs w:val="24"/>
          <w:lang w:bidi="da-DK"/>
        </w:rPr>
        <w:t xml:space="preserve"> (</w:t>
      </w:r>
      <w:proofErr w:type="spellStart"/>
      <w:r>
        <w:rPr>
          <w:spacing w:val="-2"/>
          <w:sz w:val="24"/>
          <w:szCs w:val="24"/>
          <w:lang w:bidi="da-DK"/>
        </w:rPr>
        <w:t>onabotulinum</w:t>
      </w:r>
      <w:proofErr w:type="spellEnd"/>
      <w:r>
        <w:rPr>
          <w:spacing w:val="-2"/>
          <w:sz w:val="24"/>
          <w:szCs w:val="24"/>
          <w:lang w:bidi="da-DK"/>
        </w:rPr>
        <w:t xml:space="preserve"> type A-toksin). </w:t>
      </w:r>
    </w:p>
    <w:p w:rsidR="0033400D" w:rsidRDefault="0033400D" w:rsidP="0033400D">
      <w:pPr>
        <w:suppressAutoHyphens/>
        <w:ind w:left="851"/>
        <w:rPr>
          <w:spacing w:val="-2"/>
          <w:sz w:val="24"/>
          <w:szCs w:val="24"/>
          <w:lang w:bidi="da-DK"/>
        </w:rPr>
      </w:pPr>
      <w:r>
        <w:rPr>
          <w:spacing w:val="-2"/>
          <w:sz w:val="24"/>
          <w:szCs w:val="24"/>
          <w:lang w:bidi="da-DK"/>
        </w:rPr>
        <w:t xml:space="preserve">Patienterne blev randomiseret (2:1) til behandling med en enkelt administration af </w:t>
      </w:r>
      <w:proofErr w:type="spellStart"/>
      <w:r>
        <w:rPr>
          <w:spacing w:val="-2"/>
          <w:sz w:val="24"/>
          <w:szCs w:val="24"/>
          <w:lang w:bidi="da-DK"/>
        </w:rPr>
        <w:t>Xeomin</w:t>
      </w:r>
      <w:proofErr w:type="spellEnd"/>
      <w:r>
        <w:rPr>
          <w:spacing w:val="-2"/>
          <w:sz w:val="24"/>
          <w:szCs w:val="24"/>
          <w:lang w:bidi="da-DK"/>
        </w:rPr>
        <w:t xml:space="preserve"> (n=75) eller placebo (n=34) i en dosis, der svarede (+/- 10 %) til de to seneste injektioner af Botox, før de indgik i studiet. Den højeste tilladte dosis i dette studie var 50 enheder pr. øje, mens middeldosen af </w:t>
      </w:r>
      <w:proofErr w:type="spellStart"/>
      <w:r>
        <w:rPr>
          <w:spacing w:val="-2"/>
          <w:sz w:val="24"/>
          <w:szCs w:val="24"/>
          <w:lang w:bidi="da-DK"/>
        </w:rPr>
        <w:t>Xeomin</w:t>
      </w:r>
      <w:proofErr w:type="spellEnd"/>
      <w:r>
        <w:rPr>
          <w:spacing w:val="-2"/>
          <w:sz w:val="24"/>
          <w:szCs w:val="24"/>
          <w:lang w:bidi="da-DK"/>
        </w:rPr>
        <w:t xml:space="preserve"> var 32 enheder pr. øje.</w:t>
      </w:r>
    </w:p>
    <w:p w:rsidR="0033400D" w:rsidRDefault="0033400D" w:rsidP="0033400D">
      <w:pPr>
        <w:suppressAutoHyphens/>
        <w:ind w:left="851"/>
        <w:rPr>
          <w:spacing w:val="-2"/>
          <w:sz w:val="24"/>
          <w:szCs w:val="24"/>
          <w:lang w:bidi="da-DK"/>
        </w:rPr>
      </w:pPr>
      <w:r>
        <w:rPr>
          <w:spacing w:val="-2"/>
          <w:sz w:val="24"/>
          <w:szCs w:val="24"/>
          <w:lang w:bidi="da-DK"/>
        </w:rPr>
        <w:t xml:space="preserve">Det primære effektmål var ændringen i JRS delscore i sværhedsgrad fra baseline til uge 6 efter injektionen i </w:t>
      </w:r>
      <w:r>
        <w:rPr>
          <w:i/>
          <w:spacing w:val="-2"/>
          <w:sz w:val="24"/>
          <w:szCs w:val="24"/>
          <w:lang w:bidi="da-DK"/>
        </w:rPr>
        <w:t>intent-to-</w:t>
      </w:r>
      <w:proofErr w:type="spellStart"/>
      <w:r>
        <w:rPr>
          <w:i/>
          <w:spacing w:val="-2"/>
          <w:sz w:val="24"/>
          <w:szCs w:val="24"/>
          <w:lang w:bidi="da-DK"/>
        </w:rPr>
        <w:t>treat</w:t>
      </w:r>
      <w:proofErr w:type="spellEnd"/>
      <w:r>
        <w:rPr>
          <w:i/>
          <w:spacing w:val="-2"/>
          <w:sz w:val="24"/>
          <w:szCs w:val="24"/>
          <w:lang w:bidi="da-DK"/>
        </w:rPr>
        <w:t>-</w:t>
      </w:r>
      <w:r>
        <w:rPr>
          <w:spacing w:val="-2"/>
          <w:sz w:val="24"/>
          <w:szCs w:val="24"/>
          <w:lang w:bidi="da-DK"/>
        </w:rPr>
        <w:t xml:space="preserve">(ITT-) populationen, hvor de manglende værdier blev erstattet af patientens senest opnåede værdi (sidste observation overført). I ITT-populationen var forskellen mellem </w:t>
      </w:r>
      <w:proofErr w:type="spellStart"/>
      <w:r>
        <w:rPr>
          <w:spacing w:val="-2"/>
          <w:sz w:val="24"/>
          <w:szCs w:val="24"/>
          <w:lang w:bidi="da-DK"/>
        </w:rPr>
        <w:t>Xeomin</w:t>
      </w:r>
      <w:proofErr w:type="spellEnd"/>
      <w:r>
        <w:rPr>
          <w:spacing w:val="-2"/>
          <w:sz w:val="24"/>
          <w:szCs w:val="24"/>
          <w:lang w:bidi="da-DK"/>
        </w:rPr>
        <w:t>-gruppen og placebogruppen i ændring i JRS delscore i sværhedsgrad fra baseline til uge 6 -1,0 (95 % CI -1,4; -0,5) point og statistisk signifikant (p&lt;0,001).</w:t>
      </w:r>
    </w:p>
    <w:p w:rsidR="0033400D" w:rsidRDefault="0033400D" w:rsidP="0033400D">
      <w:pPr>
        <w:suppressAutoHyphens/>
        <w:ind w:left="851"/>
        <w:rPr>
          <w:spacing w:val="-2"/>
          <w:sz w:val="24"/>
          <w:szCs w:val="24"/>
          <w:lang w:bidi="da-DK"/>
        </w:rPr>
      </w:pPr>
      <w:r>
        <w:rPr>
          <w:spacing w:val="-2"/>
          <w:sz w:val="24"/>
          <w:szCs w:val="24"/>
          <w:lang w:bidi="da-DK"/>
        </w:rPr>
        <w:t xml:space="preserve">Patienterne kunne fortsætte i studiets forlængelse, hvis der var behov for en til injektion. Patienterne fik op til fem injektioner af </w:t>
      </w:r>
      <w:proofErr w:type="spellStart"/>
      <w:r>
        <w:rPr>
          <w:spacing w:val="-2"/>
          <w:sz w:val="24"/>
          <w:szCs w:val="24"/>
          <w:lang w:bidi="da-DK"/>
        </w:rPr>
        <w:t>Xeomin</w:t>
      </w:r>
      <w:proofErr w:type="spellEnd"/>
      <w:r>
        <w:rPr>
          <w:spacing w:val="-2"/>
          <w:sz w:val="24"/>
          <w:szCs w:val="24"/>
          <w:lang w:bidi="da-DK"/>
        </w:rPr>
        <w:t xml:space="preserve"> med et interval mellem injektionerne på mindst seks uger (48</w:t>
      </w:r>
      <w:r>
        <w:rPr>
          <w:spacing w:val="-2"/>
          <w:sz w:val="24"/>
          <w:szCs w:val="24"/>
          <w:lang w:bidi="da-DK"/>
        </w:rPr>
        <w:noBreakHyphen/>
        <w:t xml:space="preserve">69 ugers studievarighed i alt og en maksimal dosis på 50 enheder pr. øje). Gennem hele studiet lå det </w:t>
      </w:r>
      <w:proofErr w:type="spellStart"/>
      <w:r>
        <w:rPr>
          <w:spacing w:val="-2"/>
          <w:sz w:val="24"/>
          <w:szCs w:val="24"/>
          <w:lang w:bidi="da-DK"/>
        </w:rPr>
        <w:t>mediane</w:t>
      </w:r>
      <w:proofErr w:type="spellEnd"/>
      <w:r>
        <w:rPr>
          <w:spacing w:val="-2"/>
          <w:sz w:val="24"/>
          <w:szCs w:val="24"/>
          <w:lang w:bidi="da-DK"/>
        </w:rPr>
        <w:t xml:space="preserve"> interval mellem to injektioner hos forsøgspersoner, der fik </w:t>
      </w:r>
      <w:proofErr w:type="spellStart"/>
      <w:r>
        <w:rPr>
          <w:spacing w:val="-2"/>
          <w:sz w:val="24"/>
          <w:szCs w:val="24"/>
          <w:lang w:bidi="da-DK"/>
        </w:rPr>
        <w:t>Xeomin</w:t>
      </w:r>
      <w:proofErr w:type="spellEnd"/>
      <w:r>
        <w:rPr>
          <w:spacing w:val="-2"/>
          <w:sz w:val="24"/>
          <w:szCs w:val="24"/>
          <w:lang w:bidi="da-DK"/>
        </w:rPr>
        <w:t>, mellem 10,14 (1. interval) og 12.00 uger (2. til 5. interval).</w:t>
      </w:r>
    </w:p>
    <w:p w:rsidR="0033400D" w:rsidRDefault="0033400D" w:rsidP="0033400D">
      <w:pPr>
        <w:suppressAutoHyphens/>
        <w:ind w:left="851"/>
        <w:rPr>
          <w:spacing w:val="-2"/>
          <w:sz w:val="24"/>
          <w:szCs w:val="24"/>
          <w:lang w:bidi="da-DK"/>
        </w:rPr>
      </w:pPr>
      <w:bookmarkStart w:id="20" w:name="_Hlk22629689"/>
    </w:p>
    <w:p w:rsidR="0033400D" w:rsidRDefault="0033400D" w:rsidP="0033400D">
      <w:pPr>
        <w:suppressAutoHyphens/>
        <w:ind w:left="851"/>
        <w:rPr>
          <w:bCs/>
          <w:iCs/>
          <w:sz w:val="24"/>
          <w:szCs w:val="24"/>
        </w:rPr>
      </w:pPr>
      <w:bookmarkStart w:id="21" w:name="_Hlk23156253"/>
      <w:r>
        <w:rPr>
          <w:sz w:val="24"/>
          <w:szCs w:val="24"/>
        </w:rPr>
        <w:lastRenderedPageBreak/>
        <w:t xml:space="preserve">Et andet dobbeltblindt, </w:t>
      </w:r>
      <w:r>
        <w:rPr>
          <w:bCs/>
          <w:iCs/>
          <w:sz w:val="24"/>
          <w:szCs w:val="24"/>
        </w:rPr>
        <w:t xml:space="preserve">placebokontrolleret klinisk fase III-studie med en åben forlængelse undersøgte </w:t>
      </w:r>
      <w:proofErr w:type="spellStart"/>
      <w:r>
        <w:rPr>
          <w:bCs/>
          <w:iCs/>
          <w:sz w:val="24"/>
          <w:szCs w:val="24"/>
        </w:rPr>
        <w:t>Xeomins</w:t>
      </w:r>
      <w:proofErr w:type="spellEnd"/>
      <w:r>
        <w:rPr>
          <w:bCs/>
          <w:iCs/>
          <w:sz w:val="24"/>
          <w:szCs w:val="24"/>
        </w:rPr>
        <w:t xml:space="preserve"> virkning hos i alt 61 patienter, som havde fået den kliniske diagnose </w:t>
      </w:r>
      <w:r>
        <w:rPr>
          <w:spacing w:val="-2"/>
          <w:sz w:val="24"/>
          <w:szCs w:val="24"/>
          <w:lang w:bidi="da-DK"/>
        </w:rPr>
        <w:t xml:space="preserve">godartet essentiel </w:t>
      </w:r>
      <w:proofErr w:type="spellStart"/>
      <w:r>
        <w:rPr>
          <w:spacing w:val="-2"/>
          <w:sz w:val="24"/>
          <w:szCs w:val="24"/>
          <w:lang w:bidi="da-DK"/>
        </w:rPr>
        <w:t>blefarospasme</w:t>
      </w:r>
      <w:proofErr w:type="spellEnd"/>
      <w:r>
        <w:rPr>
          <w:spacing w:val="-2"/>
          <w:sz w:val="24"/>
          <w:szCs w:val="24"/>
          <w:lang w:bidi="da-DK"/>
        </w:rPr>
        <w:t xml:space="preserve"> og med en </w:t>
      </w:r>
      <w:r>
        <w:rPr>
          <w:i/>
          <w:spacing w:val="-2"/>
          <w:sz w:val="24"/>
          <w:szCs w:val="24"/>
          <w:lang w:bidi="da-DK"/>
        </w:rPr>
        <w:t xml:space="preserve">Jankovic Rating </w:t>
      </w:r>
      <w:proofErr w:type="spellStart"/>
      <w:r>
        <w:rPr>
          <w:i/>
          <w:spacing w:val="-2"/>
          <w:sz w:val="24"/>
          <w:szCs w:val="24"/>
          <w:lang w:bidi="da-DK"/>
        </w:rPr>
        <w:t>Scale</w:t>
      </w:r>
      <w:proofErr w:type="spellEnd"/>
      <w:r>
        <w:rPr>
          <w:spacing w:val="-2"/>
          <w:sz w:val="24"/>
          <w:szCs w:val="24"/>
          <w:lang w:bidi="da-DK"/>
        </w:rPr>
        <w:t xml:space="preserve"> (JRS) delscore ≥ 2 ved </w:t>
      </w:r>
      <w:r>
        <w:rPr>
          <w:i/>
          <w:iCs/>
          <w:spacing w:val="-2"/>
          <w:sz w:val="24"/>
          <w:szCs w:val="24"/>
          <w:lang w:bidi="da-DK"/>
        </w:rPr>
        <w:t>baseline</w:t>
      </w:r>
      <w:r>
        <w:rPr>
          <w:bCs/>
          <w:iCs/>
          <w:sz w:val="24"/>
          <w:szCs w:val="24"/>
          <w:shd w:val="clear" w:color="auto" w:fill="FFFFFF" w:themeFill="background1"/>
        </w:rPr>
        <w:t xml:space="preserve">, som var </w:t>
      </w:r>
      <w:proofErr w:type="spellStart"/>
      <w:r>
        <w:rPr>
          <w:rStyle w:val="trns-org-res"/>
          <w:szCs w:val="24"/>
        </w:rPr>
        <w:t>botulinumtoksin</w:t>
      </w:r>
      <w:proofErr w:type="spellEnd"/>
      <w:r>
        <w:rPr>
          <w:rStyle w:val="trns-org-res"/>
          <w:szCs w:val="24"/>
        </w:rPr>
        <w:t xml:space="preserve"> behandlingsnaive, dvs. som ikke havde modtaget nogen form for </w:t>
      </w:r>
      <w:proofErr w:type="spellStart"/>
      <w:r>
        <w:rPr>
          <w:rStyle w:val="trns-org-res"/>
          <w:szCs w:val="24"/>
        </w:rPr>
        <w:t>botulinumtoksin</w:t>
      </w:r>
      <w:proofErr w:type="spellEnd"/>
      <w:r>
        <w:rPr>
          <w:rStyle w:val="trns-org-res"/>
          <w:szCs w:val="24"/>
        </w:rPr>
        <w:noBreakHyphen/>
        <w:t xml:space="preserve">behandling af </w:t>
      </w:r>
      <w:proofErr w:type="spellStart"/>
      <w:r>
        <w:rPr>
          <w:bCs/>
          <w:iCs/>
          <w:sz w:val="24"/>
          <w:szCs w:val="24"/>
          <w:shd w:val="clear" w:color="auto" w:fill="FFFFFF" w:themeFill="background1"/>
        </w:rPr>
        <w:t>blefarospasme</w:t>
      </w:r>
      <w:proofErr w:type="spellEnd"/>
      <w:r>
        <w:rPr>
          <w:bCs/>
          <w:iCs/>
          <w:sz w:val="24"/>
          <w:szCs w:val="24"/>
          <w:shd w:val="clear" w:color="auto" w:fill="FFFFFF" w:themeFill="background1"/>
        </w:rPr>
        <w:t xml:space="preserve"> i mindst 12 måneder forud for administration af </w:t>
      </w:r>
      <w:proofErr w:type="spellStart"/>
      <w:r>
        <w:rPr>
          <w:bCs/>
          <w:iCs/>
          <w:sz w:val="24"/>
          <w:szCs w:val="24"/>
          <w:shd w:val="clear" w:color="auto" w:fill="FFFFFF" w:themeFill="background1"/>
        </w:rPr>
        <w:t>Xeomin</w:t>
      </w:r>
      <w:proofErr w:type="spellEnd"/>
      <w:r>
        <w:rPr>
          <w:bCs/>
          <w:iCs/>
          <w:sz w:val="24"/>
          <w:szCs w:val="24"/>
          <w:shd w:val="clear" w:color="auto" w:fill="FFFFFF" w:themeFill="background1"/>
        </w:rPr>
        <w:t xml:space="preserve">. I behandlingsperioden </w:t>
      </w:r>
      <w:r>
        <w:rPr>
          <w:bCs/>
          <w:iCs/>
          <w:sz w:val="24"/>
          <w:szCs w:val="24"/>
        </w:rPr>
        <w:t>(6</w:t>
      </w:r>
      <w:r>
        <w:rPr>
          <w:bCs/>
          <w:iCs/>
          <w:sz w:val="24"/>
          <w:szCs w:val="24"/>
        </w:rPr>
        <w:noBreakHyphen/>
        <w:t xml:space="preserve">20 uger) blev </w:t>
      </w:r>
      <w:r>
        <w:rPr>
          <w:bCs/>
          <w:iCs/>
          <w:sz w:val="24"/>
          <w:szCs w:val="24"/>
          <w:shd w:val="clear" w:color="auto" w:fill="FFFFFF" w:themeFill="background1"/>
        </w:rPr>
        <w:t>p</w:t>
      </w:r>
      <w:r>
        <w:rPr>
          <w:bCs/>
          <w:iCs/>
          <w:sz w:val="24"/>
          <w:szCs w:val="24"/>
        </w:rPr>
        <w:t xml:space="preserve">atienterne randomiseret til at få </w:t>
      </w:r>
      <w:r>
        <w:rPr>
          <w:spacing w:val="-2"/>
          <w:sz w:val="24"/>
          <w:szCs w:val="24"/>
          <w:lang w:bidi="da-DK"/>
        </w:rPr>
        <w:t xml:space="preserve">en enkelt administration af </w:t>
      </w:r>
      <w:proofErr w:type="spellStart"/>
      <w:r>
        <w:rPr>
          <w:bCs/>
          <w:iCs/>
          <w:sz w:val="24"/>
          <w:szCs w:val="24"/>
        </w:rPr>
        <w:t>Xeomin</w:t>
      </w:r>
      <w:proofErr w:type="spellEnd"/>
      <w:r>
        <w:rPr>
          <w:bCs/>
          <w:iCs/>
          <w:sz w:val="24"/>
          <w:szCs w:val="24"/>
        </w:rPr>
        <w:t xml:space="preserve"> i en dosis på henholdsvis 12,5 enheder pr. øje (n=22), 25 enheder pr. øje (n=19) eller placebo (n=20)</w:t>
      </w:r>
      <w:r>
        <w:rPr>
          <w:bCs/>
          <w:iCs/>
          <w:sz w:val="24"/>
          <w:szCs w:val="24"/>
          <w:shd w:val="clear" w:color="auto" w:fill="FFFFFF" w:themeFill="background1"/>
        </w:rPr>
        <w:t xml:space="preserve">. Patienter, der havde behov for en yderligere injektion, kunne fortsætte i studiets forlængelse og få en yderligere injektion med </w:t>
      </w:r>
      <w:proofErr w:type="spellStart"/>
      <w:r>
        <w:rPr>
          <w:bCs/>
          <w:iCs/>
          <w:sz w:val="24"/>
          <w:szCs w:val="24"/>
        </w:rPr>
        <w:t>Xeomin</w:t>
      </w:r>
      <w:proofErr w:type="spellEnd"/>
      <w:r>
        <w:rPr>
          <w:bCs/>
          <w:iCs/>
          <w:sz w:val="24"/>
          <w:szCs w:val="24"/>
          <w:shd w:val="clear" w:color="auto" w:fill="FFFFFF" w:themeFill="background1"/>
        </w:rPr>
        <w:t>.</w:t>
      </w:r>
    </w:p>
    <w:p w:rsidR="0033400D" w:rsidRDefault="0033400D" w:rsidP="0033400D">
      <w:pPr>
        <w:suppressAutoHyphens/>
        <w:ind w:left="851"/>
        <w:rPr>
          <w:bCs/>
          <w:iCs/>
          <w:sz w:val="24"/>
          <w:szCs w:val="24"/>
        </w:rPr>
      </w:pPr>
      <w:r>
        <w:rPr>
          <w:bCs/>
          <w:iCs/>
          <w:sz w:val="24"/>
          <w:szCs w:val="24"/>
        </w:rPr>
        <w:t xml:space="preserve">I behandlingsperioden var det </w:t>
      </w:r>
      <w:proofErr w:type="spellStart"/>
      <w:r>
        <w:rPr>
          <w:bCs/>
          <w:iCs/>
          <w:sz w:val="24"/>
          <w:szCs w:val="24"/>
        </w:rPr>
        <w:t>mediane</w:t>
      </w:r>
      <w:proofErr w:type="spellEnd"/>
      <w:r>
        <w:rPr>
          <w:bCs/>
          <w:iCs/>
          <w:sz w:val="24"/>
          <w:szCs w:val="24"/>
        </w:rPr>
        <w:t xml:space="preserve"> behandlingsinterval 6 uger i placebogruppen, 11 uger i gruppen, der blev behandlet med 12,5 enheder pr. øje og 20 uger i gruppen, der blev behandlet med 25 enheder pr. øje. ANCOVA MK-middelændring </w:t>
      </w:r>
      <w:r>
        <w:rPr>
          <w:bCs/>
          <w:i/>
          <w:sz w:val="24"/>
          <w:szCs w:val="24"/>
        </w:rPr>
        <w:t xml:space="preserve">versus </w:t>
      </w:r>
      <w:r>
        <w:rPr>
          <w:bCs/>
          <w:iCs/>
          <w:sz w:val="24"/>
          <w:szCs w:val="24"/>
        </w:rPr>
        <w:t xml:space="preserve">placebo (95 %KI) i forskel i JRS delscore fra </w:t>
      </w:r>
      <w:r>
        <w:rPr>
          <w:bCs/>
          <w:i/>
          <w:sz w:val="24"/>
          <w:szCs w:val="24"/>
        </w:rPr>
        <w:t xml:space="preserve">baseline </w:t>
      </w:r>
      <w:r>
        <w:rPr>
          <w:bCs/>
          <w:iCs/>
          <w:sz w:val="24"/>
          <w:szCs w:val="24"/>
        </w:rPr>
        <w:t xml:space="preserve">til uge 6 var -1,2 (-1,9; -0,6) i gruppen, der fik 25 enheder </w:t>
      </w:r>
      <w:proofErr w:type="spellStart"/>
      <w:r>
        <w:rPr>
          <w:bCs/>
          <w:iCs/>
          <w:sz w:val="24"/>
          <w:szCs w:val="24"/>
        </w:rPr>
        <w:t>Xeomin</w:t>
      </w:r>
      <w:proofErr w:type="spellEnd"/>
      <w:r>
        <w:rPr>
          <w:bCs/>
          <w:iCs/>
          <w:sz w:val="24"/>
          <w:szCs w:val="24"/>
        </w:rPr>
        <w:t xml:space="preserve"> pr. øje, hvilket var statistisk signifikant, hvorimod den respektive </w:t>
      </w:r>
      <w:r>
        <w:rPr>
          <w:bCs/>
          <w:iCs/>
          <w:sz w:val="24"/>
          <w:szCs w:val="24"/>
          <w:shd w:val="clear" w:color="auto" w:fill="FFFFFF" w:themeFill="background1"/>
        </w:rPr>
        <w:t xml:space="preserve">forskel </w:t>
      </w:r>
      <w:r>
        <w:rPr>
          <w:bCs/>
          <w:i/>
          <w:sz w:val="24"/>
          <w:szCs w:val="24"/>
          <w:shd w:val="clear" w:color="auto" w:fill="FFFFFF" w:themeFill="background1"/>
        </w:rPr>
        <w:t xml:space="preserve">versus </w:t>
      </w:r>
      <w:r>
        <w:rPr>
          <w:bCs/>
          <w:iCs/>
          <w:sz w:val="24"/>
          <w:szCs w:val="24"/>
        </w:rPr>
        <w:t xml:space="preserve">placebo </w:t>
      </w:r>
      <w:r>
        <w:rPr>
          <w:bCs/>
          <w:iCs/>
          <w:sz w:val="24"/>
          <w:szCs w:val="24"/>
          <w:shd w:val="clear" w:color="auto" w:fill="FFFFFF" w:themeFill="background1"/>
        </w:rPr>
        <w:t xml:space="preserve">i gruppen, som fik </w:t>
      </w:r>
      <w:proofErr w:type="spellStart"/>
      <w:r>
        <w:rPr>
          <w:bCs/>
          <w:iCs/>
          <w:sz w:val="24"/>
          <w:szCs w:val="24"/>
          <w:shd w:val="clear" w:color="auto" w:fill="FFFFFF" w:themeFill="background1"/>
        </w:rPr>
        <w:t>Xeomin</w:t>
      </w:r>
      <w:proofErr w:type="spellEnd"/>
      <w:r>
        <w:rPr>
          <w:bCs/>
          <w:iCs/>
          <w:sz w:val="24"/>
          <w:szCs w:val="24"/>
        </w:rPr>
        <w:t xml:space="preserve"> </w:t>
      </w:r>
      <w:r>
        <w:rPr>
          <w:bCs/>
          <w:iCs/>
          <w:sz w:val="24"/>
          <w:szCs w:val="24"/>
          <w:shd w:val="clear" w:color="auto" w:fill="FFFFFF" w:themeFill="background1"/>
        </w:rPr>
        <w:t>12,5 enheder var -0,5 (-1,1; 0,2), hvilket ikke var statistisk signifikant.</w:t>
      </w:r>
    </w:p>
    <w:p w:rsidR="0033400D" w:rsidRDefault="0033400D" w:rsidP="0033400D">
      <w:pPr>
        <w:suppressAutoHyphens/>
        <w:ind w:left="851"/>
        <w:rPr>
          <w:bCs/>
          <w:iCs/>
          <w:sz w:val="24"/>
          <w:szCs w:val="24"/>
        </w:rPr>
      </w:pPr>
      <w:r>
        <w:rPr>
          <w:bCs/>
          <w:iCs/>
          <w:sz w:val="24"/>
          <w:szCs w:val="24"/>
        </w:rPr>
        <w:t xml:space="preserve">I løbet af forlængelsen fik patienterne en injektion med </w:t>
      </w:r>
      <w:proofErr w:type="spellStart"/>
      <w:r>
        <w:rPr>
          <w:bCs/>
          <w:iCs/>
          <w:sz w:val="24"/>
          <w:szCs w:val="24"/>
        </w:rPr>
        <w:t>Xeomin</w:t>
      </w:r>
      <w:proofErr w:type="spellEnd"/>
      <w:r>
        <w:rPr>
          <w:bCs/>
          <w:iCs/>
          <w:sz w:val="24"/>
          <w:szCs w:val="24"/>
        </w:rPr>
        <w:t xml:space="preserve"> (n=39) ved en gennemsnitlig dosis tæt på 25 enheder (interval: 15</w:t>
      </w:r>
      <w:r>
        <w:rPr>
          <w:bCs/>
          <w:iCs/>
          <w:sz w:val="24"/>
          <w:szCs w:val="24"/>
        </w:rPr>
        <w:noBreakHyphen/>
        <w:t>30 enheder) pr. øje</w:t>
      </w:r>
      <w:r>
        <w:rPr>
          <w:bCs/>
          <w:iCs/>
          <w:sz w:val="24"/>
          <w:szCs w:val="24"/>
          <w:shd w:val="clear" w:color="auto" w:fill="FFFFFF" w:themeFill="background1"/>
        </w:rPr>
        <w:t xml:space="preserve">, og den </w:t>
      </w:r>
      <w:proofErr w:type="spellStart"/>
      <w:r>
        <w:rPr>
          <w:bCs/>
          <w:iCs/>
          <w:sz w:val="24"/>
          <w:szCs w:val="24"/>
          <w:shd w:val="clear" w:color="auto" w:fill="FFFFFF" w:themeFill="background1"/>
        </w:rPr>
        <w:t>mediane</w:t>
      </w:r>
      <w:proofErr w:type="spellEnd"/>
      <w:r>
        <w:rPr>
          <w:bCs/>
          <w:iCs/>
          <w:sz w:val="24"/>
          <w:szCs w:val="24"/>
          <w:shd w:val="clear" w:color="auto" w:fill="FFFFFF" w:themeFill="background1"/>
        </w:rPr>
        <w:t xml:space="preserve"> varighed af behandlingsintervallet var </w:t>
      </w:r>
      <w:r>
        <w:rPr>
          <w:bCs/>
          <w:iCs/>
          <w:sz w:val="24"/>
          <w:szCs w:val="24"/>
        </w:rPr>
        <w:t>19,9 uger.</w:t>
      </w:r>
    </w:p>
    <w:bookmarkEnd w:id="20"/>
    <w:bookmarkEnd w:id="21"/>
    <w:p w:rsidR="0033400D" w:rsidRDefault="0033400D" w:rsidP="0033400D">
      <w:pPr>
        <w:suppressAutoHyphens/>
        <w:ind w:left="851"/>
        <w:rPr>
          <w:bCs/>
          <w:iCs/>
          <w:spacing w:val="-2"/>
          <w:sz w:val="24"/>
          <w:szCs w:val="24"/>
          <w:lang w:bidi="da-DK"/>
        </w:rPr>
      </w:pPr>
    </w:p>
    <w:p w:rsidR="0033400D" w:rsidRPr="00310358" w:rsidRDefault="0033400D" w:rsidP="0033400D">
      <w:pPr>
        <w:suppressAutoHyphens/>
        <w:ind w:left="851"/>
        <w:rPr>
          <w:bCs/>
          <w:i/>
          <w:iCs/>
          <w:spacing w:val="-2"/>
          <w:sz w:val="24"/>
          <w:szCs w:val="24"/>
          <w:lang w:bidi="da-DK"/>
        </w:rPr>
      </w:pPr>
      <w:r w:rsidRPr="00310358">
        <w:rPr>
          <w:i/>
          <w:spacing w:val="-2"/>
          <w:sz w:val="24"/>
          <w:szCs w:val="24"/>
          <w:lang w:bidi="da-DK"/>
        </w:rPr>
        <w:t xml:space="preserve">Spasmodisk </w:t>
      </w:r>
      <w:proofErr w:type="spellStart"/>
      <w:r w:rsidRPr="00310358">
        <w:rPr>
          <w:i/>
          <w:spacing w:val="-2"/>
          <w:sz w:val="24"/>
          <w:szCs w:val="24"/>
          <w:lang w:bidi="da-DK"/>
        </w:rPr>
        <w:t>torticollis</w:t>
      </w:r>
      <w:proofErr w:type="spellEnd"/>
    </w:p>
    <w:p w:rsidR="0033400D" w:rsidRDefault="0033400D" w:rsidP="0033400D">
      <w:pPr>
        <w:suppressAutoHyphens/>
        <w:ind w:left="851"/>
        <w:rPr>
          <w:spacing w:val="-2"/>
          <w:sz w:val="24"/>
          <w:szCs w:val="24"/>
          <w:lang w:bidi="da-DK"/>
        </w:rPr>
      </w:pPr>
      <w:proofErr w:type="spellStart"/>
      <w:r>
        <w:rPr>
          <w:spacing w:val="-2"/>
          <w:sz w:val="24"/>
          <w:szCs w:val="24"/>
          <w:lang w:bidi="da-DK"/>
        </w:rPr>
        <w:t>Xeomin</w:t>
      </w:r>
      <w:proofErr w:type="spellEnd"/>
      <w:r>
        <w:rPr>
          <w:spacing w:val="-2"/>
          <w:sz w:val="24"/>
          <w:szCs w:val="24"/>
          <w:lang w:bidi="da-DK"/>
        </w:rPr>
        <w:t xml:space="preserve"> blev undersøgt i et randomiseret, dobbeltblindt, placebokontrolleret fase III-multicenterstudie med 233 patienter i alt med </w:t>
      </w:r>
      <w:proofErr w:type="spellStart"/>
      <w:r>
        <w:rPr>
          <w:spacing w:val="-2"/>
          <w:sz w:val="24"/>
          <w:szCs w:val="24"/>
          <w:lang w:bidi="da-DK"/>
        </w:rPr>
        <w:t>cervikal</w:t>
      </w:r>
      <w:proofErr w:type="spellEnd"/>
      <w:r>
        <w:rPr>
          <w:spacing w:val="-2"/>
          <w:sz w:val="24"/>
          <w:szCs w:val="24"/>
          <w:lang w:bidi="da-DK"/>
        </w:rPr>
        <w:t xml:space="preserve"> </w:t>
      </w:r>
      <w:proofErr w:type="spellStart"/>
      <w:r>
        <w:rPr>
          <w:spacing w:val="-2"/>
          <w:sz w:val="24"/>
          <w:szCs w:val="24"/>
          <w:lang w:bidi="da-DK"/>
        </w:rPr>
        <w:t>dystoni</w:t>
      </w:r>
      <w:proofErr w:type="spellEnd"/>
      <w:r>
        <w:rPr>
          <w:spacing w:val="-2"/>
          <w:sz w:val="24"/>
          <w:szCs w:val="24"/>
          <w:lang w:bidi="da-DK"/>
        </w:rPr>
        <w:t xml:space="preserve">. Patienterne havde fået stillet den kliniske diagnose </w:t>
      </w:r>
      <w:proofErr w:type="spellStart"/>
      <w:r>
        <w:rPr>
          <w:spacing w:val="-2"/>
          <w:sz w:val="24"/>
          <w:szCs w:val="24"/>
          <w:lang w:bidi="da-DK"/>
        </w:rPr>
        <w:t>cervikal</w:t>
      </w:r>
      <w:proofErr w:type="spellEnd"/>
      <w:r>
        <w:rPr>
          <w:spacing w:val="-2"/>
          <w:sz w:val="24"/>
          <w:szCs w:val="24"/>
          <w:lang w:bidi="da-DK"/>
        </w:rPr>
        <w:t xml:space="preserve"> </w:t>
      </w:r>
      <w:proofErr w:type="spellStart"/>
      <w:r>
        <w:rPr>
          <w:spacing w:val="-2"/>
          <w:sz w:val="24"/>
          <w:szCs w:val="24"/>
          <w:lang w:bidi="da-DK"/>
        </w:rPr>
        <w:t>dystoni</w:t>
      </w:r>
      <w:proofErr w:type="spellEnd"/>
      <w:r>
        <w:rPr>
          <w:spacing w:val="-2"/>
          <w:sz w:val="24"/>
          <w:szCs w:val="24"/>
          <w:lang w:bidi="da-DK"/>
        </w:rPr>
        <w:t xml:space="preserve">, hovedsagelig </w:t>
      </w:r>
      <w:proofErr w:type="spellStart"/>
      <w:r>
        <w:rPr>
          <w:spacing w:val="-2"/>
          <w:sz w:val="24"/>
          <w:szCs w:val="24"/>
          <w:lang w:bidi="da-DK"/>
        </w:rPr>
        <w:t>rotationsdystoni</w:t>
      </w:r>
      <w:proofErr w:type="spellEnd"/>
      <w:r>
        <w:rPr>
          <w:spacing w:val="-2"/>
          <w:sz w:val="24"/>
          <w:szCs w:val="24"/>
          <w:lang w:bidi="da-DK"/>
        </w:rPr>
        <w:t xml:space="preserve">, med en totalscore ved baseline på </w:t>
      </w:r>
      <w:r>
        <w:rPr>
          <w:i/>
          <w:spacing w:val="-2"/>
          <w:sz w:val="24"/>
          <w:szCs w:val="24"/>
          <w:lang w:bidi="da-DK"/>
        </w:rPr>
        <w:t xml:space="preserve">Toronto Western </w:t>
      </w:r>
      <w:proofErr w:type="spellStart"/>
      <w:r>
        <w:rPr>
          <w:i/>
          <w:spacing w:val="-2"/>
          <w:sz w:val="24"/>
          <w:szCs w:val="24"/>
          <w:lang w:bidi="da-DK"/>
        </w:rPr>
        <w:t>Spasmodic</w:t>
      </w:r>
      <w:proofErr w:type="spellEnd"/>
      <w:r>
        <w:rPr>
          <w:i/>
          <w:spacing w:val="-2"/>
          <w:sz w:val="24"/>
          <w:szCs w:val="24"/>
          <w:lang w:bidi="da-DK"/>
        </w:rPr>
        <w:t xml:space="preserve"> </w:t>
      </w:r>
      <w:proofErr w:type="spellStart"/>
      <w:r>
        <w:rPr>
          <w:i/>
          <w:spacing w:val="-2"/>
          <w:sz w:val="24"/>
          <w:szCs w:val="24"/>
          <w:lang w:bidi="da-DK"/>
        </w:rPr>
        <w:t>Torticollis</w:t>
      </w:r>
      <w:proofErr w:type="spellEnd"/>
      <w:r>
        <w:rPr>
          <w:i/>
          <w:spacing w:val="-2"/>
          <w:sz w:val="24"/>
          <w:szCs w:val="24"/>
          <w:lang w:bidi="da-DK"/>
        </w:rPr>
        <w:t xml:space="preserve"> Rating </w:t>
      </w:r>
      <w:proofErr w:type="spellStart"/>
      <w:r>
        <w:rPr>
          <w:i/>
          <w:spacing w:val="-2"/>
          <w:sz w:val="24"/>
          <w:szCs w:val="24"/>
          <w:lang w:bidi="da-DK"/>
        </w:rPr>
        <w:t>Scale</w:t>
      </w:r>
      <w:proofErr w:type="spellEnd"/>
      <w:r>
        <w:rPr>
          <w:spacing w:val="-2"/>
          <w:sz w:val="24"/>
          <w:szCs w:val="24"/>
          <w:lang w:bidi="da-DK"/>
        </w:rPr>
        <w:t xml:space="preserve"> (TWSTRS) på ≥ 20. Patienterne blev randomiseret (1:1:1) til at få en enkelt administration af </w:t>
      </w:r>
      <w:proofErr w:type="spellStart"/>
      <w:r>
        <w:rPr>
          <w:spacing w:val="-2"/>
          <w:sz w:val="24"/>
          <w:szCs w:val="24"/>
          <w:lang w:bidi="da-DK"/>
        </w:rPr>
        <w:t>Xeomin</w:t>
      </w:r>
      <w:proofErr w:type="spellEnd"/>
      <w:r>
        <w:rPr>
          <w:spacing w:val="-2"/>
          <w:sz w:val="24"/>
          <w:szCs w:val="24"/>
          <w:lang w:bidi="da-DK"/>
        </w:rPr>
        <w:t xml:space="preserve"> 240 enheder (n=81), </w:t>
      </w:r>
      <w:proofErr w:type="spellStart"/>
      <w:r>
        <w:rPr>
          <w:spacing w:val="-2"/>
          <w:sz w:val="24"/>
          <w:szCs w:val="24"/>
          <w:lang w:bidi="da-DK"/>
        </w:rPr>
        <w:t>Xeomin</w:t>
      </w:r>
      <w:proofErr w:type="spellEnd"/>
      <w:r>
        <w:rPr>
          <w:spacing w:val="-2"/>
          <w:sz w:val="24"/>
          <w:szCs w:val="24"/>
          <w:lang w:bidi="da-DK"/>
        </w:rPr>
        <w:t xml:space="preserve"> 120 enheder (n=78) eller placebo (n=74). Antal injektioner og injektionssteder blev fastsat af </w:t>
      </w:r>
      <w:proofErr w:type="spellStart"/>
      <w:r>
        <w:rPr>
          <w:spacing w:val="-2"/>
          <w:sz w:val="24"/>
          <w:szCs w:val="24"/>
          <w:lang w:bidi="da-DK"/>
        </w:rPr>
        <w:t>investigator</w:t>
      </w:r>
      <w:proofErr w:type="spellEnd"/>
      <w:r>
        <w:rPr>
          <w:spacing w:val="-2"/>
          <w:sz w:val="24"/>
          <w:szCs w:val="24"/>
          <w:lang w:bidi="da-DK"/>
        </w:rPr>
        <w:t>.</w:t>
      </w:r>
    </w:p>
    <w:p w:rsidR="0033400D" w:rsidRDefault="0033400D" w:rsidP="0033400D">
      <w:pPr>
        <w:suppressAutoHyphens/>
        <w:ind w:left="851"/>
        <w:rPr>
          <w:spacing w:val="-2"/>
          <w:sz w:val="24"/>
          <w:szCs w:val="24"/>
          <w:lang w:bidi="da-DK"/>
        </w:rPr>
      </w:pPr>
      <w:r>
        <w:rPr>
          <w:spacing w:val="-2"/>
          <w:sz w:val="24"/>
          <w:szCs w:val="24"/>
          <w:lang w:bidi="da-DK"/>
        </w:rPr>
        <w:t xml:space="preserve">Den primære effektvariable var forskellen i middelværdien ved mindste kvadraters metode fra baseline til uge 4 efter injektion på TWSTRS-totalscore hos </w:t>
      </w:r>
      <w:r>
        <w:rPr>
          <w:i/>
          <w:spacing w:val="-2"/>
          <w:sz w:val="24"/>
          <w:szCs w:val="24"/>
          <w:lang w:bidi="da-DK"/>
        </w:rPr>
        <w:t>intent-to-</w:t>
      </w:r>
      <w:proofErr w:type="spellStart"/>
      <w:r>
        <w:rPr>
          <w:i/>
          <w:spacing w:val="-2"/>
          <w:sz w:val="24"/>
          <w:szCs w:val="24"/>
          <w:lang w:bidi="da-DK"/>
        </w:rPr>
        <w:t>treat</w:t>
      </w:r>
      <w:proofErr w:type="spellEnd"/>
      <w:r>
        <w:rPr>
          <w:spacing w:val="-2"/>
          <w:sz w:val="24"/>
          <w:szCs w:val="24"/>
          <w:lang w:bidi="da-DK"/>
        </w:rPr>
        <w:t xml:space="preserve">- (ITT-) populationen, idet manglende værdier blev erstattet af patientens baselineværdi (fuld statistisk model). Ændringen i TWSTRS-totalscore fra baseline til uge 4 var signifikant større i </w:t>
      </w:r>
      <w:proofErr w:type="spellStart"/>
      <w:r>
        <w:rPr>
          <w:spacing w:val="-2"/>
          <w:sz w:val="24"/>
          <w:szCs w:val="24"/>
          <w:lang w:bidi="da-DK"/>
        </w:rPr>
        <w:t>Xeomin</w:t>
      </w:r>
      <w:proofErr w:type="spellEnd"/>
      <w:r>
        <w:rPr>
          <w:spacing w:val="-2"/>
          <w:sz w:val="24"/>
          <w:szCs w:val="24"/>
          <w:lang w:bidi="da-DK"/>
        </w:rPr>
        <w:t xml:space="preserve">-grupperne i forhold til ændringen i placebogruppen (p &lt; 0,001 på tværs af alle statistiske modeller). Disse forskelle var også af klinisk betydning: f.eks. </w:t>
      </w:r>
      <w:r>
        <w:rPr>
          <w:spacing w:val="-2"/>
          <w:sz w:val="24"/>
          <w:szCs w:val="24"/>
          <w:lang w:bidi="da-DK"/>
        </w:rPr>
        <w:noBreakHyphen/>
        <w:t xml:space="preserve">9,0 point for 240 enheder vs. placebo og </w:t>
      </w:r>
      <w:r>
        <w:rPr>
          <w:spacing w:val="-2"/>
          <w:sz w:val="24"/>
          <w:szCs w:val="24"/>
          <w:lang w:bidi="da-DK"/>
        </w:rPr>
        <w:noBreakHyphen/>
        <w:t xml:space="preserve">7,5 points for 120 enheder vs. placebo i den fulde statistiske model. </w:t>
      </w:r>
    </w:p>
    <w:p w:rsidR="00E44AD4" w:rsidRDefault="00E44AD4" w:rsidP="00E44AD4">
      <w:pPr>
        <w:suppressAutoHyphens/>
        <w:ind w:left="851"/>
        <w:rPr>
          <w:bCs/>
          <w:iCs/>
          <w:sz w:val="24"/>
          <w:szCs w:val="24"/>
        </w:rPr>
      </w:pPr>
      <w:r>
        <w:rPr>
          <w:spacing w:val="-2"/>
          <w:sz w:val="24"/>
          <w:szCs w:val="24"/>
          <w:lang w:bidi="da-DK"/>
        </w:rPr>
        <w:t xml:space="preserve">Patienterne kunne fortsætte i studiets forlængelse, hvis der var behov for en til injektion. Patienterne fik op til fem injektioner med 120 enheder eller 240 enheder af </w:t>
      </w:r>
      <w:proofErr w:type="spellStart"/>
      <w:r>
        <w:rPr>
          <w:spacing w:val="-2"/>
          <w:sz w:val="24"/>
          <w:szCs w:val="24"/>
          <w:lang w:bidi="da-DK"/>
        </w:rPr>
        <w:t>Xeomin</w:t>
      </w:r>
      <w:proofErr w:type="spellEnd"/>
      <w:r>
        <w:rPr>
          <w:spacing w:val="-2"/>
          <w:sz w:val="24"/>
          <w:szCs w:val="24"/>
          <w:lang w:bidi="da-DK"/>
        </w:rPr>
        <w:t xml:space="preserve"> med et interval mellem injektionerne på mindst seks uger (48</w:t>
      </w:r>
      <w:r>
        <w:rPr>
          <w:spacing w:val="-2"/>
          <w:sz w:val="24"/>
          <w:szCs w:val="24"/>
          <w:lang w:bidi="da-DK"/>
        </w:rPr>
        <w:noBreakHyphen/>
        <w:t xml:space="preserve">69 ugers studievarighed i alt). </w:t>
      </w:r>
      <w:bookmarkStart w:id="22" w:name="_Hlk94690155"/>
      <w:r>
        <w:rPr>
          <w:spacing w:val="-2"/>
          <w:sz w:val="24"/>
          <w:szCs w:val="24"/>
        </w:rPr>
        <w:t xml:space="preserve">Baseret på patientens behov for genbehandling var den gennemsnitlige varighed af respons efter behandling med </w:t>
      </w:r>
      <w:proofErr w:type="spellStart"/>
      <w:r>
        <w:rPr>
          <w:spacing w:val="-2"/>
          <w:sz w:val="24"/>
          <w:szCs w:val="24"/>
        </w:rPr>
        <w:t>Xeomin</w:t>
      </w:r>
      <w:proofErr w:type="spellEnd"/>
      <w:r>
        <w:rPr>
          <w:spacing w:val="-2"/>
          <w:sz w:val="24"/>
          <w:szCs w:val="24"/>
        </w:rPr>
        <w:t xml:space="preserve"> i dette studie (både i den </w:t>
      </w:r>
      <w:r>
        <w:rPr>
          <w:bCs/>
          <w:iCs/>
          <w:sz w:val="24"/>
          <w:szCs w:val="24"/>
        </w:rPr>
        <w:t xml:space="preserve">dobbeltblinde del og i den åbne forlængelse) 12 uger </w:t>
      </w:r>
      <w:r>
        <w:rPr>
          <w:spacing w:val="-2"/>
          <w:sz w:val="24"/>
          <w:szCs w:val="24"/>
        </w:rPr>
        <w:t>(</w:t>
      </w:r>
      <w:proofErr w:type="spellStart"/>
      <w:r>
        <w:rPr>
          <w:spacing w:val="-2"/>
          <w:sz w:val="24"/>
          <w:szCs w:val="24"/>
        </w:rPr>
        <w:t>interkvartilt</w:t>
      </w:r>
      <w:proofErr w:type="spellEnd"/>
      <w:r>
        <w:rPr>
          <w:spacing w:val="-2"/>
          <w:sz w:val="24"/>
          <w:szCs w:val="24"/>
        </w:rPr>
        <w:t xml:space="preserve"> interval: 9-15 uger). I størstedelen af injektionscyklerne (96,3 %) var tid til genbehandling 6-22 uger og i enkelte tilfælde op til 28 uger.</w:t>
      </w:r>
    </w:p>
    <w:bookmarkEnd w:id="22"/>
    <w:p w:rsidR="0033400D" w:rsidRDefault="0033400D" w:rsidP="0033400D">
      <w:pPr>
        <w:suppressAutoHyphens/>
        <w:ind w:left="851"/>
        <w:rPr>
          <w:bCs/>
          <w:iCs/>
          <w:spacing w:val="-2"/>
          <w:sz w:val="24"/>
          <w:szCs w:val="24"/>
          <w:lang w:bidi="da-DK"/>
        </w:rPr>
      </w:pPr>
    </w:p>
    <w:p w:rsidR="0033400D" w:rsidRPr="00310358" w:rsidRDefault="0033400D" w:rsidP="0033400D">
      <w:pPr>
        <w:suppressAutoHyphens/>
        <w:ind w:left="851"/>
        <w:rPr>
          <w:i/>
          <w:spacing w:val="-2"/>
          <w:sz w:val="24"/>
          <w:szCs w:val="24"/>
          <w:lang w:bidi="da-DK"/>
        </w:rPr>
      </w:pPr>
      <w:bookmarkStart w:id="23" w:name="_Hlk22629712"/>
      <w:r w:rsidRPr="00310358">
        <w:rPr>
          <w:i/>
          <w:spacing w:val="-2"/>
          <w:sz w:val="24"/>
          <w:szCs w:val="24"/>
          <w:lang w:bidi="da-DK"/>
        </w:rPr>
        <w:t>Spasticitet af overekstremitet (voksne)</w:t>
      </w:r>
    </w:p>
    <w:p w:rsidR="00310358" w:rsidRDefault="00310358" w:rsidP="00310358">
      <w:pPr>
        <w:suppressAutoHyphens/>
        <w:ind w:left="851"/>
        <w:rPr>
          <w:sz w:val="24"/>
          <w:szCs w:val="24"/>
        </w:rPr>
      </w:pPr>
      <w:bookmarkStart w:id="24" w:name="_Hlk22631571"/>
      <w:bookmarkEnd w:id="23"/>
      <w:r>
        <w:rPr>
          <w:spacing w:val="-2"/>
          <w:sz w:val="24"/>
          <w:szCs w:val="24"/>
        </w:rPr>
        <w:t xml:space="preserve">I det centrale studie (et dobbeltblindt, placebokontrolleret multicenterstudie, der omfattede patienter med spasticitet i overekstremitet efter slagtilfælde, blev 148 patienter randomiseret til behandling med </w:t>
      </w:r>
      <w:proofErr w:type="spellStart"/>
      <w:r>
        <w:rPr>
          <w:spacing w:val="-2"/>
          <w:sz w:val="24"/>
          <w:szCs w:val="24"/>
        </w:rPr>
        <w:t>Xeomin</w:t>
      </w:r>
      <w:proofErr w:type="spellEnd"/>
      <w:r>
        <w:rPr>
          <w:spacing w:val="-2"/>
          <w:sz w:val="24"/>
          <w:szCs w:val="24"/>
        </w:rPr>
        <w:t xml:space="preserve"> (n=73) eller placebo (n=75). Den kumulative dosis efter op til 6 gentagne behandlinger i et klinisk forsøg var i gennemsnit 1333 enheder (maksimalt 2395 enheder) i løbet af en periode på op til 89 uger.</w:t>
      </w:r>
    </w:p>
    <w:bookmarkEnd w:id="24"/>
    <w:p w:rsidR="0033400D" w:rsidRDefault="0033400D" w:rsidP="0033400D">
      <w:pPr>
        <w:suppressAutoHyphens/>
        <w:ind w:left="851" w:hanging="851"/>
        <w:rPr>
          <w:spacing w:val="-2"/>
          <w:sz w:val="24"/>
          <w:szCs w:val="24"/>
        </w:rPr>
      </w:pPr>
    </w:p>
    <w:p w:rsidR="0033400D" w:rsidRDefault="0033400D" w:rsidP="0033400D">
      <w:pPr>
        <w:suppressAutoHyphens/>
        <w:ind w:left="851"/>
        <w:rPr>
          <w:sz w:val="24"/>
          <w:szCs w:val="24"/>
        </w:rPr>
      </w:pPr>
      <w:r>
        <w:rPr>
          <w:spacing w:val="-2"/>
          <w:sz w:val="24"/>
          <w:szCs w:val="24"/>
        </w:rPr>
        <w:t xml:space="preserve">I forhold til det primære effektparameter (responsrater for håndleddets </w:t>
      </w:r>
      <w:proofErr w:type="spellStart"/>
      <w:r>
        <w:rPr>
          <w:spacing w:val="-2"/>
          <w:sz w:val="24"/>
          <w:szCs w:val="24"/>
        </w:rPr>
        <w:t>fleksorer</w:t>
      </w:r>
      <w:proofErr w:type="spellEnd"/>
      <w:r>
        <w:rPr>
          <w:spacing w:val="-2"/>
          <w:sz w:val="24"/>
          <w:szCs w:val="24"/>
        </w:rPr>
        <w:t xml:space="preserve"> på </w:t>
      </w:r>
      <w:proofErr w:type="spellStart"/>
      <w:r>
        <w:rPr>
          <w:spacing w:val="-2"/>
          <w:sz w:val="24"/>
          <w:szCs w:val="24"/>
        </w:rPr>
        <w:t>Ashworth</w:t>
      </w:r>
      <w:proofErr w:type="spellEnd"/>
      <w:r>
        <w:rPr>
          <w:spacing w:val="-2"/>
          <w:sz w:val="24"/>
          <w:szCs w:val="24"/>
        </w:rPr>
        <w:t xml:space="preserve">-skalaen i uge 4, idet respons defineres som mindst 1 points forbedring ud af de 5 point på skalaen) havde patienter behandlet med </w:t>
      </w:r>
      <w:proofErr w:type="spellStart"/>
      <w:r>
        <w:rPr>
          <w:spacing w:val="-2"/>
          <w:sz w:val="24"/>
          <w:szCs w:val="24"/>
        </w:rPr>
        <w:t>Xeomin</w:t>
      </w:r>
      <w:proofErr w:type="spellEnd"/>
      <w:r>
        <w:rPr>
          <w:spacing w:val="-2"/>
          <w:sz w:val="24"/>
          <w:szCs w:val="24"/>
        </w:rPr>
        <w:t xml:space="preserve"> (responsrate: 68,5 %) 3,97 gange så stor sandsynlighed for at respondere i forhold til patienter, der fik placebo (responsrate: 37,3 %; 95 % KI: 1,90 til 8,30; p &lt; 0,001, ITT-population).</w:t>
      </w:r>
    </w:p>
    <w:p w:rsidR="0033400D" w:rsidRDefault="0033400D" w:rsidP="0033400D">
      <w:pPr>
        <w:suppressAutoHyphens/>
        <w:ind w:left="851" w:hanging="851"/>
        <w:rPr>
          <w:spacing w:val="-2"/>
          <w:sz w:val="24"/>
          <w:szCs w:val="24"/>
        </w:rPr>
      </w:pPr>
    </w:p>
    <w:p w:rsidR="0033400D" w:rsidRDefault="0033400D" w:rsidP="0033400D">
      <w:pPr>
        <w:suppressAutoHyphens/>
        <w:ind w:left="851"/>
        <w:rPr>
          <w:sz w:val="24"/>
          <w:szCs w:val="24"/>
        </w:rPr>
      </w:pPr>
      <w:r>
        <w:rPr>
          <w:spacing w:val="-2"/>
          <w:sz w:val="24"/>
          <w:szCs w:val="24"/>
        </w:rPr>
        <w:t xml:space="preserve">Dette studie med faste doser var ikke designet til at differentiere mellem kvindelige og mandlige patienter. I en post-hoc analyse var responsraterne imidlertid højere hos kvindelige (89,3 %) end hos mandlige (55,6 %) patienter, idet forskellen kun var statistisk signifikant for kvinder. For mandlige patienter var responsraterne på </w:t>
      </w:r>
      <w:proofErr w:type="spellStart"/>
      <w:r>
        <w:rPr>
          <w:spacing w:val="-2"/>
          <w:sz w:val="24"/>
          <w:szCs w:val="24"/>
        </w:rPr>
        <w:t>Ashworth</w:t>
      </w:r>
      <w:proofErr w:type="spellEnd"/>
      <w:r>
        <w:rPr>
          <w:spacing w:val="-2"/>
          <w:sz w:val="24"/>
          <w:szCs w:val="24"/>
        </w:rPr>
        <w:t xml:space="preserve">-skalaen efter 4 ugers behandling med </w:t>
      </w:r>
      <w:proofErr w:type="spellStart"/>
      <w:r>
        <w:rPr>
          <w:spacing w:val="-2"/>
          <w:sz w:val="24"/>
          <w:szCs w:val="24"/>
        </w:rPr>
        <w:t>Xeomin</w:t>
      </w:r>
      <w:proofErr w:type="spellEnd"/>
      <w:r>
        <w:rPr>
          <w:spacing w:val="-2"/>
          <w:sz w:val="24"/>
          <w:szCs w:val="24"/>
        </w:rPr>
        <w:t xml:space="preserve"> dog konsekvent højere i alle behandlede muskelgrupper sammenlignet med placebo.</w:t>
      </w:r>
      <w:r w:rsidR="004E56D0">
        <w:rPr>
          <w:spacing w:val="-2"/>
          <w:sz w:val="24"/>
          <w:szCs w:val="24"/>
        </w:rPr>
        <w:t xml:space="preserve"> Baseret på patientens behov for genbehandling var den gennemsnitlige varighed af virkningen i dette pivotale studie, som blev efterfulgt af en åben forlængelse, 14 uger (</w:t>
      </w:r>
      <w:proofErr w:type="spellStart"/>
      <w:r w:rsidR="004E56D0">
        <w:rPr>
          <w:spacing w:val="-2"/>
          <w:sz w:val="24"/>
          <w:szCs w:val="24"/>
        </w:rPr>
        <w:t>interkvartilt</w:t>
      </w:r>
      <w:proofErr w:type="spellEnd"/>
      <w:r w:rsidR="004E56D0">
        <w:rPr>
          <w:spacing w:val="-2"/>
          <w:sz w:val="24"/>
          <w:szCs w:val="24"/>
        </w:rPr>
        <w:t xml:space="preserve"> interval: 13-17 uger), og i størstedelen af injektionscyklerne (95,9 %) var tid til genbehandling 12-28 uger.</w:t>
      </w:r>
    </w:p>
    <w:p w:rsidR="0033400D" w:rsidRDefault="0033400D" w:rsidP="0033400D">
      <w:pPr>
        <w:suppressAutoHyphens/>
        <w:ind w:left="851" w:hanging="851"/>
        <w:rPr>
          <w:spacing w:val="-2"/>
          <w:sz w:val="24"/>
          <w:szCs w:val="24"/>
        </w:rPr>
      </w:pPr>
    </w:p>
    <w:p w:rsidR="0033400D" w:rsidRDefault="0033400D" w:rsidP="0033400D">
      <w:pPr>
        <w:suppressAutoHyphens/>
        <w:ind w:left="851"/>
        <w:rPr>
          <w:spacing w:val="-2"/>
          <w:sz w:val="24"/>
          <w:szCs w:val="24"/>
        </w:rPr>
      </w:pPr>
      <w:r>
        <w:rPr>
          <w:spacing w:val="-2"/>
          <w:sz w:val="24"/>
          <w:szCs w:val="24"/>
        </w:rPr>
        <w:t xml:space="preserve">Mænd opnåede samme </w:t>
      </w:r>
      <w:proofErr w:type="spellStart"/>
      <w:r>
        <w:rPr>
          <w:spacing w:val="-2"/>
          <w:sz w:val="24"/>
          <w:szCs w:val="24"/>
        </w:rPr>
        <w:t>responderrater</w:t>
      </w:r>
      <w:proofErr w:type="spellEnd"/>
      <w:r>
        <w:rPr>
          <w:spacing w:val="-2"/>
          <w:sz w:val="24"/>
          <w:szCs w:val="24"/>
        </w:rPr>
        <w:t xml:space="preserve"> som kvinder i den åbne forlængelse af det centrale studie (i denne forsøgsperiode var fleksibel dosering mulig) med 145 patienter, der fik op til 5 injektionscykler, samt i studiet med blindet observatør (</w:t>
      </w:r>
      <w:proofErr w:type="spellStart"/>
      <w:r>
        <w:rPr>
          <w:spacing w:val="-2"/>
          <w:sz w:val="24"/>
          <w:szCs w:val="24"/>
        </w:rPr>
        <w:t>EudraCT</w:t>
      </w:r>
      <w:proofErr w:type="spellEnd"/>
      <w:r>
        <w:rPr>
          <w:spacing w:val="-2"/>
          <w:sz w:val="24"/>
          <w:szCs w:val="24"/>
        </w:rPr>
        <w:t xml:space="preserve">-nummer 2006-003036-30), hvor sikkerheden og virkningen af </w:t>
      </w:r>
      <w:proofErr w:type="spellStart"/>
      <w:r>
        <w:rPr>
          <w:spacing w:val="-2"/>
          <w:sz w:val="24"/>
          <w:szCs w:val="24"/>
        </w:rPr>
        <w:t>Xeomin</w:t>
      </w:r>
      <w:proofErr w:type="spellEnd"/>
      <w:r>
        <w:rPr>
          <w:spacing w:val="-2"/>
          <w:sz w:val="24"/>
          <w:szCs w:val="24"/>
        </w:rPr>
        <w:t xml:space="preserve"> i to forskellige fortyndinger blev undersøgt hos 192 patienter, der havde spasticitet i overekstremitet med forskellig ætiologi.</w:t>
      </w:r>
    </w:p>
    <w:p w:rsidR="0033400D" w:rsidRDefault="0033400D" w:rsidP="0033400D">
      <w:pPr>
        <w:suppressAutoHyphens/>
        <w:ind w:left="851"/>
        <w:rPr>
          <w:spacing w:val="-2"/>
          <w:sz w:val="24"/>
          <w:szCs w:val="24"/>
        </w:rPr>
      </w:pPr>
    </w:p>
    <w:p w:rsidR="0033400D" w:rsidRDefault="0033400D" w:rsidP="0033400D">
      <w:pPr>
        <w:ind w:left="851"/>
        <w:rPr>
          <w:spacing w:val="-2"/>
          <w:sz w:val="24"/>
          <w:szCs w:val="24"/>
        </w:rPr>
      </w:pPr>
      <w:r>
        <w:rPr>
          <w:spacing w:val="-2"/>
          <w:sz w:val="24"/>
          <w:szCs w:val="24"/>
        </w:rPr>
        <w:t>Et andet dobbeltblindt, placebokontrolleret fase III-studie omfattede i alt 317 behandlings</w:t>
      </w:r>
      <w:r>
        <w:rPr>
          <w:spacing w:val="-2"/>
          <w:sz w:val="24"/>
          <w:szCs w:val="24"/>
        </w:rPr>
        <w:softHyphen/>
        <w:t>naive patienter med s</w:t>
      </w:r>
      <w:r>
        <w:rPr>
          <w:sz w:val="24"/>
          <w:szCs w:val="24"/>
          <w:lang w:eastAsia="de-DE" w:bidi="da-DK"/>
        </w:rPr>
        <w:t>pasticitet af overekstremitet efter et slagtilfælde mindst tre måneder forinden</w:t>
      </w:r>
      <w:r>
        <w:rPr>
          <w:spacing w:val="-2"/>
          <w:sz w:val="24"/>
          <w:szCs w:val="24"/>
        </w:rPr>
        <w:t xml:space="preserve">. I behandlingsperioden blev der indgivet en fast totaldosis af </w:t>
      </w:r>
      <w:proofErr w:type="spellStart"/>
      <w:r>
        <w:rPr>
          <w:spacing w:val="-2"/>
          <w:sz w:val="24"/>
          <w:szCs w:val="24"/>
        </w:rPr>
        <w:t>Xeomin</w:t>
      </w:r>
      <w:proofErr w:type="spellEnd"/>
      <w:r>
        <w:rPr>
          <w:spacing w:val="-2"/>
          <w:sz w:val="24"/>
          <w:szCs w:val="24"/>
        </w:rPr>
        <w:t xml:space="preserve"> (400 enheder) ved intramuskulær injektion i det definerede kliniske målområde udvalgt blandt bøjet albue, bøjet håndled eller knyttet hånd og i andre berørte muskelgrupper (n=210). Den bekræftende analyse af de primære og </w:t>
      </w:r>
      <w:proofErr w:type="spellStart"/>
      <w:r>
        <w:rPr>
          <w:spacing w:val="-2"/>
          <w:sz w:val="24"/>
          <w:szCs w:val="24"/>
        </w:rPr>
        <w:t>co</w:t>
      </w:r>
      <w:proofErr w:type="spellEnd"/>
      <w:r>
        <w:rPr>
          <w:spacing w:val="-2"/>
          <w:sz w:val="24"/>
          <w:szCs w:val="24"/>
        </w:rPr>
        <w:t xml:space="preserve">-primære effektvariabler ved uge 4 efter injektion viste signifikant forbedret responsrate på </w:t>
      </w:r>
      <w:proofErr w:type="spellStart"/>
      <w:r>
        <w:rPr>
          <w:spacing w:val="-2"/>
          <w:sz w:val="24"/>
          <w:szCs w:val="24"/>
        </w:rPr>
        <w:t>Ashworth</w:t>
      </w:r>
      <w:proofErr w:type="spellEnd"/>
      <w:r>
        <w:rPr>
          <w:spacing w:val="-2"/>
          <w:sz w:val="24"/>
          <w:szCs w:val="24"/>
        </w:rPr>
        <w:t xml:space="preserve">-skalaen eller ændringer fra </w:t>
      </w:r>
      <w:r>
        <w:rPr>
          <w:i/>
          <w:spacing w:val="-2"/>
          <w:sz w:val="24"/>
          <w:szCs w:val="24"/>
        </w:rPr>
        <w:t>baseline</w:t>
      </w:r>
      <w:r>
        <w:rPr>
          <w:spacing w:val="-2"/>
          <w:sz w:val="24"/>
          <w:szCs w:val="24"/>
        </w:rPr>
        <w:t xml:space="preserve"> på </w:t>
      </w:r>
      <w:proofErr w:type="spellStart"/>
      <w:r>
        <w:rPr>
          <w:spacing w:val="-2"/>
          <w:sz w:val="24"/>
          <w:szCs w:val="24"/>
        </w:rPr>
        <w:t>Ashworth</w:t>
      </w:r>
      <w:proofErr w:type="spellEnd"/>
      <w:r>
        <w:rPr>
          <w:spacing w:val="-2"/>
          <w:sz w:val="24"/>
          <w:szCs w:val="24"/>
        </w:rPr>
        <w:t xml:space="preserve">-skalaen og </w:t>
      </w:r>
      <w:proofErr w:type="spellStart"/>
      <w:r>
        <w:rPr>
          <w:spacing w:val="-2"/>
          <w:sz w:val="24"/>
          <w:szCs w:val="24"/>
        </w:rPr>
        <w:t>investigators</w:t>
      </w:r>
      <w:proofErr w:type="spellEnd"/>
      <w:r>
        <w:rPr>
          <w:spacing w:val="-2"/>
          <w:sz w:val="24"/>
          <w:szCs w:val="24"/>
        </w:rPr>
        <w:t xml:space="preserve"> </w:t>
      </w:r>
      <w:r>
        <w:rPr>
          <w:i/>
          <w:spacing w:val="-2"/>
          <w:sz w:val="24"/>
          <w:szCs w:val="24"/>
        </w:rPr>
        <w:t xml:space="preserve">Global </w:t>
      </w:r>
      <w:proofErr w:type="spellStart"/>
      <w:r>
        <w:rPr>
          <w:i/>
          <w:spacing w:val="-2"/>
          <w:sz w:val="24"/>
          <w:szCs w:val="24"/>
        </w:rPr>
        <w:t>Impression</w:t>
      </w:r>
      <w:proofErr w:type="spellEnd"/>
      <w:r>
        <w:rPr>
          <w:i/>
          <w:spacing w:val="-2"/>
          <w:sz w:val="24"/>
          <w:szCs w:val="24"/>
        </w:rPr>
        <w:t xml:space="preserve"> of Change</w:t>
      </w:r>
      <w:r>
        <w:rPr>
          <w:spacing w:val="-2"/>
          <w:sz w:val="24"/>
          <w:szCs w:val="24"/>
        </w:rPr>
        <w:t xml:space="preserve"> (global vurdering af ændring).</w:t>
      </w:r>
    </w:p>
    <w:p w:rsidR="0033400D" w:rsidRDefault="0033400D" w:rsidP="0033400D">
      <w:pPr>
        <w:ind w:left="851"/>
        <w:rPr>
          <w:spacing w:val="-2"/>
          <w:sz w:val="24"/>
          <w:szCs w:val="24"/>
        </w:rPr>
      </w:pPr>
      <w:r>
        <w:rPr>
          <w:spacing w:val="-2"/>
          <w:sz w:val="24"/>
          <w:szCs w:val="24"/>
        </w:rPr>
        <w:t>296 patienter gennemførte behandlingsperioden og deltog i den første åbne forlængelsesperiode (</w:t>
      </w:r>
      <w:r>
        <w:rPr>
          <w:i/>
          <w:sz w:val="24"/>
          <w:szCs w:val="24"/>
        </w:rPr>
        <w:t>Open-label Extension (OLEX)</w:t>
      </w:r>
      <w:r>
        <w:rPr>
          <w:spacing w:val="-2"/>
          <w:sz w:val="24"/>
          <w:szCs w:val="24"/>
        </w:rPr>
        <w:t xml:space="preserve">). I forlængelsesperioden fik patienterne op til tre injektioner. Hver OLEX-periode bestod af et enkelt behandlingsforløb (400 enheder af </w:t>
      </w:r>
      <w:proofErr w:type="spellStart"/>
      <w:r>
        <w:rPr>
          <w:spacing w:val="-2"/>
          <w:sz w:val="24"/>
          <w:szCs w:val="24"/>
        </w:rPr>
        <w:t>Xeomin</w:t>
      </w:r>
      <w:proofErr w:type="spellEnd"/>
      <w:r>
        <w:rPr>
          <w:spacing w:val="-2"/>
          <w:sz w:val="24"/>
          <w:szCs w:val="24"/>
        </w:rPr>
        <w:t xml:space="preserve"> totaldosis fordelt fleksibelt blandt alle de berørte muskelgrupper) efterfulgt af en 12 ugers observationsperiode. Den samlede studievarighed var 48 uger.</w:t>
      </w:r>
    </w:p>
    <w:p w:rsidR="0033400D" w:rsidRDefault="0033400D" w:rsidP="0033400D">
      <w:pPr>
        <w:ind w:left="851"/>
        <w:rPr>
          <w:spacing w:val="-2"/>
          <w:sz w:val="24"/>
          <w:szCs w:val="24"/>
        </w:rPr>
      </w:pPr>
    </w:p>
    <w:p w:rsidR="0033400D" w:rsidRDefault="0033400D" w:rsidP="0033400D">
      <w:pPr>
        <w:ind w:left="851"/>
        <w:rPr>
          <w:spacing w:val="-2"/>
          <w:sz w:val="24"/>
          <w:szCs w:val="24"/>
        </w:rPr>
      </w:pPr>
      <w:r>
        <w:rPr>
          <w:spacing w:val="-2"/>
          <w:sz w:val="24"/>
          <w:szCs w:val="24"/>
        </w:rPr>
        <w:t xml:space="preserve">Behandling af skuldermuskler blev undersøgt i et åbent fase III-studie, som omfattede 155 patienter med et klinisk behov for behandling af kombineret </w:t>
      </w:r>
      <w:r>
        <w:rPr>
          <w:sz w:val="24"/>
          <w:szCs w:val="24"/>
          <w:lang w:eastAsia="de-DE" w:bidi="da-DK"/>
        </w:rPr>
        <w:t>spasticitet af over- og underekstremiteter</w:t>
      </w:r>
      <w:r>
        <w:rPr>
          <w:spacing w:val="-2"/>
          <w:sz w:val="24"/>
          <w:szCs w:val="24"/>
        </w:rPr>
        <w:t xml:space="preserve">. Studieprotokollen tillod administration af doser på op til 600 enheder </w:t>
      </w:r>
      <w:proofErr w:type="spellStart"/>
      <w:r>
        <w:rPr>
          <w:spacing w:val="-2"/>
          <w:sz w:val="24"/>
          <w:szCs w:val="24"/>
        </w:rPr>
        <w:t>Xeomin</w:t>
      </w:r>
      <w:proofErr w:type="spellEnd"/>
      <w:r>
        <w:rPr>
          <w:spacing w:val="-2"/>
          <w:sz w:val="24"/>
          <w:szCs w:val="24"/>
        </w:rPr>
        <w:t xml:space="preserve"> i over</w:t>
      </w:r>
      <w:r>
        <w:rPr>
          <w:sz w:val="24"/>
          <w:szCs w:val="24"/>
          <w:lang w:eastAsia="de-DE" w:bidi="da-DK"/>
        </w:rPr>
        <w:t>ekstremiteter</w:t>
      </w:r>
      <w:r>
        <w:rPr>
          <w:spacing w:val="-2"/>
          <w:sz w:val="24"/>
          <w:szCs w:val="24"/>
        </w:rPr>
        <w:t xml:space="preserve">. </w:t>
      </w:r>
    </w:p>
    <w:p w:rsidR="0033400D" w:rsidRDefault="0033400D" w:rsidP="0033400D">
      <w:pPr>
        <w:ind w:left="851"/>
        <w:rPr>
          <w:spacing w:val="-2"/>
          <w:sz w:val="24"/>
          <w:szCs w:val="24"/>
        </w:rPr>
      </w:pPr>
      <w:r>
        <w:rPr>
          <w:spacing w:val="-2"/>
          <w:sz w:val="24"/>
          <w:szCs w:val="24"/>
        </w:rPr>
        <w:t xml:space="preserve">Studiet viste et positivt forhold mellem stigende doser </w:t>
      </w:r>
      <w:proofErr w:type="spellStart"/>
      <w:r>
        <w:rPr>
          <w:spacing w:val="-2"/>
          <w:sz w:val="24"/>
          <w:szCs w:val="24"/>
        </w:rPr>
        <w:t>Xeomin</w:t>
      </w:r>
      <w:proofErr w:type="spellEnd"/>
      <w:r>
        <w:rPr>
          <w:spacing w:val="-2"/>
          <w:sz w:val="24"/>
          <w:szCs w:val="24"/>
        </w:rPr>
        <w:t xml:space="preserve"> og bedring i patientens tilstand målt med </w:t>
      </w:r>
      <w:proofErr w:type="spellStart"/>
      <w:r>
        <w:rPr>
          <w:spacing w:val="-2"/>
          <w:sz w:val="24"/>
          <w:szCs w:val="24"/>
        </w:rPr>
        <w:t>Ashworth</w:t>
      </w:r>
      <w:proofErr w:type="spellEnd"/>
      <w:r>
        <w:rPr>
          <w:spacing w:val="-2"/>
          <w:sz w:val="24"/>
          <w:szCs w:val="24"/>
        </w:rPr>
        <w:t xml:space="preserve">-skalaen og andre effektvariabler uden at kompromittere patientsikkerhed eller tolerans over for </w:t>
      </w:r>
      <w:proofErr w:type="spellStart"/>
      <w:r>
        <w:rPr>
          <w:spacing w:val="-2"/>
          <w:sz w:val="24"/>
          <w:szCs w:val="24"/>
        </w:rPr>
        <w:t>Xeomin</w:t>
      </w:r>
      <w:proofErr w:type="spellEnd"/>
      <w:r>
        <w:rPr>
          <w:spacing w:val="-2"/>
          <w:sz w:val="24"/>
          <w:szCs w:val="24"/>
        </w:rPr>
        <w:t xml:space="preserve">. </w:t>
      </w:r>
    </w:p>
    <w:p w:rsidR="0033400D" w:rsidRDefault="0033400D" w:rsidP="0033400D">
      <w:pPr>
        <w:ind w:left="851"/>
        <w:rPr>
          <w:spacing w:val="-2"/>
          <w:sz w:val="24"/>
          <w:szCs w:val="24"/>
        </w:rPr>
      </w:pPr>
      <w:bookmarkStart w:id="25" w:name="_Hlk22631601"/>
      <w:bookmarkStart w:id="26" w:name="_Hlk22629742"/>
    </w:p>
    <w:p w:rsidR="00310358" w:rsidRDefault="00310358" w:rsidP="00310358">
      <w:pPr>
        <w:ind w:left="851"/>
        <w:rPr>
          <w:i/>
          <w:sz w:val="24"/>
          <w:szCs w:val="24"/>
        </w:rPr>
      </w:pPr>
      <w:bookmarkStart w:id="27" w:name="_Hlk23156338"/>
      <w:r>
        <w:rPr>
          <w:i/>
          <w:iCs/>
          <w:spacing w:val="-2"/>
          <w:sz w:val="24"/>
          <w:szCs w:val="24"/>
        </w:rPr>
        <w:t>Spasticitet i under- og overekstremitet</w:t>
      </w:r>
      <w:r>
        <w:rPr>
          <w:spacing w:val="-2"/>
          <w:sz w:val="24"/>
          <w:szCs w:val="24"/>
        </w:rPr>
        <w:t xml:space="preserve"> </w:t>
      </w:r>
      <w:r>
        <w:rPr>
          <w:i/>
          <w:sz w:val="24"/>
          <w:szCs w:val="24"/>
        </w:rPr>
        <w:t>på grund af cerebral parese (børn/unge)</w:t>
      </w:r>
    </w:p>
    <w:p w:rsidR="00310358" w:rsidRDefault="00310358" w:rsidP="00310358">
      <w:pPr>
        <w:ind w:firstLine="851"/>
        <w:rPr>
          <w:bCs/>
          <w:i/>
          <w:sz w:val="24"/>
          <w:szCs w:val="24"/>
        </w:rPr>
      </w:pPr>
      <w:r>
        <w:rPr>
          <w:bCs/>
          <w:i/>
          <w:sz w:val="24"/>
          <w:szCs w:val="24"/>
        </w:rPr>
        <w:t>Underekstremitet - evaluering</w:t>
      </w:r>
    </w:p>
    <w:p w:rsidR="0033400D" w:rsidRDefault="0033400D" w:rsidP="0033400D">
      <w:pPr>
        <w:ind w:left="851"/>
        <w:rPr>
          <w:bCs/>
          <w:iCs/>
          <w:sz w:val="24"/>
          <w:szCs w:val="24"/>
        </w:rPr>
      </w:pPr>
      <w:r>
        <w:rPr>
          <w:bCs/>
          <w:iCs/>
          <w:sz w:val="24"/>
          <w:szCs w:val="24"/>
        </w:rPr>
        <w:t>I et dobbeltblindt, klinisk dosis-respons fase III-studie med parallelgruppebehandling deltog 311 børn og unge (i alderen 2</w:t>
      </w:r>
      <w:r>
        <w:rPr>
          <w:bCs/>
          <w:iCs/>
          <w:sz w:val="24"/>
          <w:szCs w:val="24"/>
        </w:rPr>
        <w:noBreakHyphen/>
        <w:t xml:space="preserve">17 år) med uni- eller bilateral spasticitet i underekstremitet på grund af cerebral parese. </w:t>
      </w:r>
      <w:proofErr w:type="spellStart"/>
      <w:r>
        <w:rPr>
          <w:bCs/>
          <w:iCs/>
          <w:sz w:val="24"/>
          <w:szCs w:val="24"/>
        </w:rPr>
        <w:t>Xeomin</w:t>
      </w:r>
      <w:proofErr w:type="spellEnd"/>
      <w:r>
        <w:rPr>
          <w:bCs/>
          <w:iCs/>
          <w:sz w:val="24"/>
          <w:szCs w:val="24"/>
        </w:rPr>
        <w:t xml:space="preserve"> blev administreret til behandling af </w:t>
      </w:r>
      <w:r>
        <w:rPr>
          <w:bCs/>
          <w:iCs/>
          <w:sz w:val="24"/>
          <w:szCs w:val="24"/>
        </w:rPr>
        <w:lastRenderedPageBreak/>
        <w:t>spasticitet i underekstremitet i tre behandlingsgrupper (henholdsvis 4 enheder/kg kropsvægt op til højst 100 enheder, 12 enheder/kg kropsvægt op til højst 300 enheder eller 16 enheder/kg kropsvægt op til højst 400 enheder) til behandling af to udvalgte kliniske mønstre i underekstremitet (</w:t>
      </w:r>
      <w:proofErr w:type="spellStart"/>
      <w:r>
        <w:rPr>
          <w:bCs/>
          <w:iCs/>
          <w:sz w:val="24"/>
          <w:szCs w:val="24"/>
        </w:rPr>
        <w:t>pes</w:t>
      </w:r>
      <w:proofErr w:type="spellEnd"/>
      <w:r>
        <w:rPr>
          <w:bCs/>
          <w:iCs/>
          <w:sz w:val="24"/>
          <w:szCs w:val="24"/>
        </w:rPr>
        <w:t xml:space="preserve"> </w:t>
      </w:r>
      <w:proofErr w:type="spellStart"/>
      <w:r>
        <w:rPr>
          <w:bCs/>
          <w:iCs/>
          <w:sz w:val="24"/>
          <w:szCs w:val="24"/>
        </w:rPr>
        <w:t>equinus</w:t>
      </w:r>
      <w:proofErr w:type="spellEnd"/>
      <w:r>
        <w:rPr>
          <w:bCs/>
          <w:iCs/>
          <w:sz w:val="24"/>
          <w:szCs w:val="24"/>
        </w:rPr>
        <w:t xml:space="preserve">, flekteret knæ, </w:t>
      </w:r>
      <w:proofErr w:type="spellStart"/>
      <w:r>
        <w:rPr>
          <w:bCs/>
          <w:iCs/>
          <w:sz w:val="24"/>
          <w:szCs w:val="24"/>
        </w:rPr>
        <w:t>adductor</w:t>
      </w:r>
      <w:proofErr w:type="spellEnd"/>
      <w:r>
        <w:rPr>
          <w:bCs/>
          <w:iCs/>
          <w:sz w:val="24"/>
          <w:szCs w:val="24"/>
        </w:rPr>
        <w:t xml:space="preserve"> i lår). </w:t>
      </w:r>
    </w:p>
    <w:p w:rsidR="0033400D" w:rsidRDefault="0033400D" w:rsidP="0033400D">
      <w:pPr>
        <w:ind w:left="851"/>
        <w:rPr>
          <w:sz w:val="24"/>
          <w:szCs w:val="24"/>
        </w:rPr>
      </w:pPr>
      <w:r>
        <w:rPr>
          <w:bCs/>
          <w:iCs/>
          <w:sz w:val="24"/>
          <w:szCs w:val="24"/>
        </w:rPr>
        <w:t xml:space="preserve">I dette studie skulle lavdosis-gruppen udgøre kontrolgruppe. Der blev ikke påvist nogen statistisk signifikant forskel i sammenligningen af den høje dosis </w:t>
      </w:r>
      <w:r>
        <w:rPr>
          <w:bCs/>
          <w:i/>
          <w:sz w:val="24"/>
          <w:szCs w:val="24"/>
        </w:rPr>
        <w:t>versus</w:t>
      </w:r>
      <w:r>
        <w:rPr>
          <w:bCs/>
          <w:iCs/>
          <w:sz w:val="24"/>
          <w:szCs w:val="24"/>
        </w:rPr>
        <w:t xml:space="preserve"> den lave dosis, hverken for det primære eller </w:t>
      </w:r>
      <w:proofErr w:type="spellStart"/>
      <w:r>
        <w:rPr>
          <w:bCs/>
          <w:iCs/>
          <w:sz w:val="24"/>
          <w:szCs w:val="24"/>
        </w:rPr>
        <w:t>co</w:t>
      </w:r>
      <w:proofErr w:type="spellEnd"/>
      <w:r>
        <w:rPr>
          <w:bCs/>
          <w:iCs/>
          <w:sz w:val="24"/>
          <w:szCs w:val="24"/>
        </w:rPr>
        <w:t xml:space="preserve">-primære endepunkt for effekt. LS-middelændring (SE, 95 % KI) fra </w:t>
      </w:r>
      <w:r>
        <w:rPr>
          <w:bCs/>
          <w:i/>
          <w:sz w:val="24"/>
          <w:szCs w:val="24"/>
        </w:rPr>
        <w:t>baseline</w:t>
      </w:r>
      <w:r>
        <w:rPr>
          <w:bCs/>
          <w:iCs/>
          <w:sz w:val="24"/>
          <w:szCs w:val="24"/>
        </w:rPr>
        <w:t xml:space="preserve"> på </w:t>
      </w:r>
      <w:proofErr w:type="spellStart"/>
      <w:r>
        <w:rPr>
          <w:spacing w:val="-2"/>
          <w:sz w:val="24"/>
          <w:szCs w:val="24"/>
        </w:rPr>
        <w:t>Ashworth</w:t>
      </w:r>
      <w:proofErr w:type="spellEnd"/>
      <w:r>
        <w:rPr>
          <w:spacing w:val="-2"/>
          <w:sz w:val="24"/>
          <w:szCs w:val="24"/>
        </w:rPr>
        <w:t xml:space="preserve">-skalaen for </w:t>
      </w:r>
      <w:proofErr w:type="spellStart"/>
      <w:r>
        <w:rPr>
          <w:bCs/>
          <w:iCs/>
          <w:sz w:val="24"/>
          <w:szCs w:val="24"/>
        </w:rPr>
        <w:t>plantar</w:t>
      </w:r>
      <w:proofErr w:type="spellEnd"/>
      <w:r>
        <w:rPr>
          <w:bCs/>
          <w:iCs/>
          <w:sz w:val="24"/>
          <w:szCs w:val="24"/>
        </w:rPr>
        <w:t xml:space="preserve"> </w:t>
      </w:r>
      <w:proofErr w:type="spellStart"/>
      <w:r>
        <w:rPr>
          <w:bCs/>
          <w:iCs/>
          <w:sz w:val="24"/>
          <w:szCs w:val="24"/>
        </w:rPr>
        <w:t>fleksor</w:t>
      </w:r>
      <w:proofErr w:type="spellEnd"/>
      <w:r>
        <w:rPr>
          <w:bCs/>
          <w:iCs/>
          <w:sz w:val="24"/>
          <w:szCs w:val="24"/>
        </w:rPr>
        <w:t xml:space="preserve"> </w:t>
      </w:r>
      <w:r>
        <w:rPr>
          <w:spacing w:val="-2"/>
          <w:sz w:val="24"/>
          <w:szCs w:val="24"/>
        </w:rPr>
        <w:t>4 uger efter injektion var</w:t>
      </w:r>
      <w:r>
        <w:rPr>
          <w:bCs/>
          <w:iCs/>
          <w:sz w:val="24"/>
          <w:szCs w:val="24"/>
        </w:rPr>
        <w:t xml:space="preserve"> -0,</w:t>
      </w:r>
      <w:r>
        <w:rPr>
          <w:sz w:val="24"/>
          <w:szCs w:val="24"/>
        </w:rPr>
        <w:t xml:space="preserve">70 (0,061, 95 % KI: -0,82; -0,58) for den høje dosis og -0,66 (0,084, 95 % KI: -0,82; -0,50) for den lave dosis med en </w:t>
      </w:r>
      <w:proofErr w:type="spellStart"/>
      <w:r>
        <w:rPr>
          <w:sz w:val="24"/>
          <w:szCs w:val="24"/>
        </w:rPr>
        <w:t>p-værdi</w:t>
      </w:r>
      <w:proofErr w:type="spellEnd"/>
      <w:r>
        <w:rPr>
          <w:sz w:val="24"/>
          <w:szCs w:val="24"/>
        </w:rPr>
        <w:t xml:space="preserve"> på 0,650. </w:t>
      </w:r>
    </w:p>
    <w:p w:rsidR="0033400D" w:rsidRDefault="0033400D" w:rsidP="0033400D">
      <w:pPr>
        <w:ind w:left="851"/>
        <w:rPr>
          <w:sz w:val="24"/>
          <w:szCs w:val="24"/>
        </w:rPr>
      </w:pPr>
      <w:r>
        <w:rPr>
          <w:sz w:val="24"/>
          <w:szCs w:val="24"/>
        </w:rPr>
        <w:t xml:space="preserve">Bedring af </w:t>
      </w:r>
      <w:proofErr w:type="spellStart"/>
      <w:r>
        <w:rPr>
          <w:sz w:val="24"/>
          <w:szCs w:val="24"/>
        </w:rPr>
        <w:t>muskeltonus</w:t>
      </w:r>
      <w:proofErr w:type="spellEnd"/>
      <w:r>
        <w:rPr>
          <w:sz w:val="24"/>
          <w:szCs w:val="24"/>
        </w:rPr>
        <w:t xml:space="preserve"> blev ikke afspejlet i virkning på funktion eller på </w:t>
      </w:r>
      <w:proofErr w:type="spellStart"/>
      <w:r>
        <w:rPr>
          <w:bCs/>
          <w:iCs/>
          <w:sz w:val="24"/>
          <w:szCs w:val="24"/>
        </w:rPr>
        <w:t>investigators</w:t>
      </w:r>
      <w:proofErr w:type="spellEnd"/>
      <w:r>
        <w:rPr>
          <w:bCs/>
          <w:iCs/>
          <w:sz w:val="24"/>
          <w:szCs w:val="24"/>
        </w:rPr>
        <w:t xml:space="preserve"> </w:t>
      </w:r>
      <w:r>
        <w:rPr>
          <w:bCs/>
          <w:i/>
          <w:sz w:val="24"/>
          <w:szCs w:val="24"/>
        </w:rPr>
        <w:t xml:space="preserve">Global </w:t>
      </w:r>
      <w:proofErr w:type="spellStart"/>
      <w:r>
        <w:rPr>
          <w:bCs/>
          <w:i/>
          <w:sz w:val="24"/>
          <w:szCs w:val="24"/>
        </w:rPr>
        <w:t>Impression</w:t>
      </w:r>
      <w:proofErr w:type="spellEnd"/>
      <w:r>
        <w:rPr>
          <w:bCs/>
          <w:i/>
          <w:sz w:val="24"/>
          <w:szCs w:val="24"/>
        </w:rPr>
        <w:t xml:space="preserve"> of Change</w:t>
      </w:r>
      <w:r>
        <w:rPr>
          <w:bCs/>
          <w:iCs/>
          <w:sz w:val="24"/>
          <w:szCs w:val="24"/>
        </w:rPr>
        <w:t xml:space="preserve">-skala. Der kan ikke fastlægges en fyldestgørende dosering af </w:t>
      </w:r>
      <w:proofErr w:type="spellStart"/>
      <w:r>
        <w:rPr>
          <w:bCs/>
          <w:iCs/>
          <w:sz w:val="24"/>
          <w:szCs w:val="24"/>
        </w:rPr>
        <w:t>Xeomin</w:t>
      </w:r>
      <w:proofErr w:type="spellEnd"/>
      <w:r>
        <w:rPr>
          <w:bCs/>
          <w:iCs/>
          <w:sz w:val="24"/>
          <w:szCs w:val="24"/>
        </w:rPr>
        <w:t xml:space="preserve"> til behandling af spasticitet i underekstremitet hos børn og unge. Der blev ikke rapporteret uventede bivirkninger i den dobbeltblinde behandling og åbne studie med langtidsbehandling med </w:t>
      </w:r>
      <w:proofErr w:type="spellStart"/>
      <w:r>
        <w:rPr>
          <w:bCs/>
          <w:iCs/>
          <w:sz w:val="24"/>
          <w:szCs w:val="24"/>
        </w:rPr>
        <w:t>Xeomin</w:t>
      </w:r>
      <w:proofErr w:type="spellEnd"/>
      <w:r>
        <w:rPr>
          <w:bCs/>
          <w:iCs/>
          <w:sz w:val="24"/>
          <w:szCs w:val="24"/>
        </w:rPr>
        <w:t xml:space="preserve"> i løbet af fire injektionscykler.</w:t>
      </w:r>
    </w:p>
    <w:p w:rsidR="0033400D" w:rsidRDefault="0033400D" w:rsidP="0033400D">
      <w:pPr>
        <w:ind w:left="851"/>
        <w:rPr>
          <w:sz w:val="24"/>
          <w:szCs w:val="24"/>
        </w:rPr>
      </w:pPr>
    </w:p>
    <w:bookmarkEnd w:id="25"/>
    <w:bookmarkEnd w:id="26"/>
    <w:bookmarkEnd w:id="27"/>
    <w:p w:rsidR="00A250D2" w:rsidRDefault="00A250D2" w:rsidP="00A250D2">
      <w:pPr>
        <w:ind w:left="851"/>
        <w:rPr>
          <w:bCs/>
          <w:i/>
          <w:sz w:val="24"/>
          <w:szCs w:val="24"/>
        </w:rPr>
      </w:pPr>
      <w:r>
        <w:rPr>
          <w:bCs/>
          <w:i/>
          <w:sz w:val="24"/>
          <w:szCs w:val="24"/>
        </w:rPr>
        <w:t>Overekstremitet - evaluering</w:t>
      </w:r>
    </w:p>
    <w:p w:rsidR="00A250D2" w:rsidRDefault="00A250D2" w:rsidP="00A250D2">
      <w:pPr>
        <w:tabs>
          <w:tab w:val="left" w:pos="-1440"/>
          <w:tab w:val="left" w:pos="-720"/>
          <w:tab w:val="left" w:pos="720"/>
        </w:tabs>
        <w:suppressAutoHyphens/>
        <w:ind w:left="851"/>
        <w:rPr>
          <w:sz w:val="24"/>
          <w:szCs w:val="24"/>
        </w:rPr>
      </w:pPr>
      <w:r>
        <w:rPr>
          <w:bCs/>
          <w:iCs/>
          <w:sz w:val="24"/>
          <w:szCs w:val="24"/>
        </w:rPr>
        <w:t>I et andet dobbeltblindt dosis-respons fase III-studie med parallelgruppebehandling blev i alt 350 børn og unge (i alderen 2</w:t>
      </w:r>
      <w:r>
        <w:rPr>
          <w:bCs/>
          <w:iCs/>
          <w:sz w:val="24"/>
          <w:szCs w:val="24"/>
        </w:rPr>
        <w:noBreakHyphen/>
        <w:t xml:space="preserve">17 år) med spasticitet i udelukkende overekstremitet eller med spasticitet i både over- og underekstremitet på grund af cerebral parese behandlet med </w:t>
      </w:r>
      <w:proofErr w:type="spellStart"/>
      <w:r>
        <w:rPr>
          <w:bCs/>
          <w:iCs/>
          <w:sz w:val="24"/>
          <w:szCs w:val="24"/>
        </w:rPr>
        <w:t>Xeomin</w:t>
      </w:r>
      <w:proofErr w:type="spellEnd"/>
      <w:r>
        <w:rPr>
          <w:bCs/>
          <w:iCs/>
          <w:sz w:val="24"/>
          <w:szCs w:val="24"/>
        </w:rPr>
        <w:t xml:space="preserve">. </w:t>
      </w:r>
      <w:proofErr w:type="spellStart"/>
      <w:r>
        <w:rPr>
          <w:bCs/>
          <w:iCs/>
          <w:sz w:val="24"/>
          <w:szCs w:val="24"/>
        </w:rPr>
        <w:t>Xeomin</w:t>
      </w:r>
      <w:proofErr w:type="spellEnd"/>
      <w:r>
        <w:rPr>
          <w:bCs/>
          <w:iCs/>
          <w:sz w:val="24"/>
          <w:szCs w:val="24"/>
        </w:rPr>
        <w:t xml:space="preserve"> blev administreret til behandling af spasticitet i overekstremitet (flekteret albue, flekteret håndled, knyttet næve, </w:t>
      </w:r>
      <w:proofErr w:type="spellStart"/>
      <w:r>
        <w:rPr>
          <w:bCs/>
          <w:iCs/>
          <w:sz w:val="24"/>
          <w:szCs w:val="24"/>
        </w:rPr>
        <w:t>proneret</w:t>
      </w:r>
      <w:proofErr w:type="spellEnd"/>
      <w:r>
        <w:rPr>
          <w:bCs/>
          <w:iCs/>
          <w:sz w:val="24"/>
          <w:szCs w:val="24"/>
        </w:rPr>
        <w:t xml:space="preserve"> underarm, tommelfinger i hånd) eller spasticitet i både over- og underekstremitet (</w:t>
      </w:r>
      <w:proofErr w:type="spellStart"/>
      <w:r>
        <w:rPr>
          <w:bCs/>
          <w:iCs/>
          <w:sz w:val="24"/>
          <w:szCs w:val="24"/>
        </w:rPr>
        <w:t>pes</w:t>
      </w:r>
      <w:proofErr w:type="spellEnd"/>
      <w:r>
        <w:rPr>
          <w:bCs/>
          <w:iCs/>
          <w:sz w:val="24"/>
          <w:szCs w:val="24"/>
        </w:rPr>
        <w:t xml:space="preserve"> </w:t>
      </w:r>
      <w:proofErr w:type="spellStart"/>
      <w:r>
        <w:rPr>
          <w:bCs/>
          <w:iCs/>
          <w:sz w:val="24"/>
          <w:szCs w:val="24"/>
        </w:rPr>
        <w:t>equinus</w:t>
      </w:r>
      <w:proofErr w:type="spellEnd"/>
      <w:r>
        <w:rPr>
          <w:bCs/>
          <w:iCs/>
          <w:sz w:val="24"/>
          <w:szCs w:val="24"/>
        </w:rPr>
        <w:t xml:space="preserve">, flekteret knæ, </w:t>
      </w:r>
      <w:proofErr w:type="spellStart"/>
      <w:r>
        <w:rPr>
          <w:bCs/>
          <w:iCs/>
          <w:sz w:val="24"/>
          <w:szCs w:val="24"/>
        </w:rPr>
        <w:t>adductor</w:t>
      </w:r>
      <w:proofErr w:type="spellEnd"/>
      <w:r>
        <w:rPr>
          <w:bCs/>
          <w:iCs/>
          <w:sz w:val="24"/>
          <w:szCs w:val="24"/>
        </w:rPr>
        <w:t xml:space="preserve"> i lår) i de tre behandlingsgrupper i behandlingsperioden med en injektionscyklus: 2 til 5 enheder/kg kropsvægt op til højst 50 til 125 enheder, 6 til 15 enheder/kg kropsvægt op til højst 150 til 375 enheder og 8 til 20 enheder/kg kropsvægt op til højst 200 til 500 enheder. P</w:t>
      </w:r>
      <w:r>
        <w:rPr>
          <w:sz w:val="24"/>
          <w:szCs w:val="24"/>
        </w:rPr>
        <w:t xml:space="preserve">atienterne fortsatte med den højeste dosis i den åbne forlængelse af studiet med tre injektionscykler. </w:t>
      </w:r>
    </w:p>
    <w:p w:rsidR="00A250D2" w:rsidRDefault="00A250D2" w:rsidP="00A250D2">
      <w:pPr>
        <w:tabs>
          <w:tab w:val="left" w:pos="-1440"/>
          <w:tab w:val="left" w:pos="-720"/>
          <w:tab w:val="left" w:pos="720"/>
        </w:tabs>
        <w:suppressAutoHyphens/>
        <w:ind w:left="851"/>
        <w:rPr>
          <w:bCs/>
          <w:iCs/>
          <w:sz w:val="24"/>
          <w:szCs w:val="24"/>
        </w:rPr>
      </w:pPr>
      <w:r>
        <w:rPr>
          <w:sz w:val="24"/>
          <w:szCs w:val="24"/>
        </w:rPr>
        <w:t xml:space="preserve">Der blev observeret en statistisk signifikant forskel mellem den høje dosis og den lave dosis i ændring fra </w:t>
      </w:r>
      <w:r>
        <w:rPr>
          <w:i/>
          <w:iCs/>
          <w:sz w:val="24"/>
          <w:szCs w:val="24"/>
        </w:rPr>
        <w:t>baseline</w:t>
      </w:r>
      <w:r>
        <w:rPr>
          <w:sz w:val="24"/>
          <w:szCs w:val="24"/>
        </w:rPr>
        <w:t xml:space="preserve"> </w:t>
      </w:r>
      <w:r>
        <w:rPr>
          <w:spacing w:val="-2"/>
          <w:sz w:val="24"/>
          <w:szCs w:val="24"/>
        </w:rPr>
        <w:t xml:space="preserve">på </w:t>
      </w:r>
      <w:proofErr w:type="spellStart"/>
      <w:r>
        <w:rPr>
          <w:spacing w:val="-2"/>
          <w:sz w:val="24"/>
          <w:szCs w:val="24"/>
        </w:rPr>
        <w:t>Ashworth</w:t>
      </w:r>
      <w:proofErr w:type="spellEnd"/>
      <w:r>
        <w:rPr>
          <w:spacing w:val="-2"/>
          <w:sz w:val="24"/>
          <w:szCs w:val="24"/>
        </w:rPr>
        <w:t xml:space="preserve">-skalaen for </w:t>
      </w:r>
      <w:proofErr w:type="spellStart"/>
      <w:r>
        <w:rPr>
          <w:spacing w:val="-2"/>
          <w:sz w:val="24"/>
          <w:szCs w:val="24"/>
        </w:rPr>
        <w:t>albuefleksorer</w:t>
      </w:r>
      <w:proofErr w:type="spellEnd"/>
      <w:r>
        <w:rPr>
          <w:spacing w:val="-2"/>
          <w:sz w:val="24"/>
          <w:szCs w:val="24"/>
        </w:rPr>
        <w:t xml:space="preserve"> eller </w:t>
      </w:r>
      <w:proofErr w:type="spellStart"/>
      <w:r>
        <w:rPr>
          <w:spacing w:val="-2"/>
          <w:sz w:val="24"/>
          <w:szCs w:val="24"/>
        </w:rPr>
        <w:t>håndledsfleksorer</w:t>
      </w:r>
      <w:proofErr w:type="spellEnd"/>
      <w:r>
        <w:rPr>
          <w:spacing w:val="-2"/>
          <w:sz w:val="24"/>
          <w:szCs w:val="24"/>
        </w:rPr>
        <w:t xml:space="preserve"> ved uge 4 efter injektion </w:t>
      </w:r>
      <w:r>
        <w:rPr>
          <w:bCs/>
          <w:iCs/>
          <w:sz w:val="24"/>
          <w:szCs w:val="24"/>
        </w:rPr>
        <w:t>(-0,22 [95 % KI -0,</w:t>
      </w:r>
      <w:proofErr w:type="gramStart"/>
      <w:r>
        <w:rPr>
          <w:bCs/>
          <w:iCs/>
          <w:sz w:val="24"/>
          <w:szCs w:val="24"/>
        </w:rPr>
        <w:t>4;-</w:t>
      </w:r>
      <w:proofErr w:type="gramEnd"/>
      <w:r>
        <w:rPr>
          <w:bCs/>
          <w:iCs/>
          <w:sz w:val="24"/>
          <w:szCs w:val="24"/>
        </w:rPr>
        <w:t>0,04] p=0,017)</w:t>
      </w:r>
      <w:r>
        <w:rPr>
          <w:spacing w:val="-2"/>
          <w:sz w:val="24"/>
          <w:szCs w:val="24"/>
        </w:rPr>
        <w:t xml:space="preserve">. </w:t>
      </w:r>
      <w:r>
        <w:rPr>
          <w:sz w:val="24"/>
          <w:szCs w:val="24"/>
        </w:rPr>
        <w:t xml:space="preserve">Bedring af </w:t>
      </w:r>
      <w:proofErr w:type="spellStart"/>
      <w:r>
        <w:rPr>
          <w:sz w:val="24"/>
          <w:szCs w:val="24"/>
        </w:rPr>
        <w:t>muskeltonus</w:t>
      </w:r>
      <w:proofErr w:type="spellEnd"/>
      <w:r>
        <w:rPr>
          <w:sz w:val="24"/>
          <w:szCs w:val="24"/>
        </w:rPr>
        <w:t xml:space="preserve"> blev ikke afspejlet i virkning på funktion eller på </w:t>
      </w:r>
      <w:proofErr w:type="spellStart"/>
      <w:r>
        <w:rPr>
          <w:bCs/>
          <w:iCs/>
          <w:sz w:val="24"/>
          <w:szCs w:val="24"/>
        </w:rPr>
        <w:t>investigators</w:t>
      </w:r>
      <w:proofErr w:type="spellEnd"/>
      <w:r>
        <w:rPr>
          <w:bCs/>
          <w:iCs/>
          <w:sz w:val="24"/>
          <w:szCs w:val="24"/>
        </w:rPr>
        <w:t xml:space="preserve"> </w:t>
      </w:r>
      <w:r>
        <w:rPr>
          <w:bCs/>
          <w:i/>
          <w:sz w:val="24"/>
          <w:szCs w:val="24"/>
        </w:rPr>
        <w:t xml:space="preserve">Global </w:t>
      </w:r>
      <w:proofErr w:type="spellStart"/>
      <w:r>
        <w:rPr>
          <w:bCs/>
          <w:i/>
          <w:sz w:val="24"/>
          <w:szCs w:val="24"/>
        </w:rPr>
        <w:t>Impression</w:t>
      </w:r>
      <w:proofErr w:type="spellEnd"/>
      <w:r>
        <w:rPr>
          <w:bCs/>
          <w:i/>
          <w:sz w:val="24"/>
          <w:szCs w:val="24"/>
        </w:rPr>
        <w:t xml:space="preserve"> of Change</w:t>
      </w:r>
      <w:r>
        <w:rPr>
          <w:bCs/>
          <w:iCs/>
          <w:sz w:val="24"/>
          <w:szCs w:val="24"/>
        </w:rPr>
        <w:t>-skala</w:t>
      </w:r>
      <w:r>
        <w:rPr>
          <w:sz w:val="24"/>
          <w:szCs w:val="24"/>
        </w:rPr>
        <w:t>.</w:t>
      </w:r>
      <w:r>
        <w:rPr>
          <w:bCs/>
          <w:iCs/>
          <w:sz w:val="24"/>
          <w:szCs w:val="24"/>
        </w:rPr>
        <w:t xml:space="preserve"> Der kan ud fra dette studie derfor ikke fastlægges fyldestgørende dosering af </w:t>
      </w:r>
      <w:proofErr w:type="spellStart"/>
      <w:r>
        <w:rPr>
          <w:bCs/>
          <w:iCs/>
          <w:sz w:val="24"/>
          <w:szCs w:val="24"/>
        </w:rPr>
        <w:t>Xeomin</w:t>
      </w:r>
      <w:proofErr w:type="spellEnd"/>
      <w:r>
        <w:rPr>
          <w:bCs/>
          <w:iCs/>
          <w:sz w:val="24"/>
          <w:szCs w:val="24"/>
        </w:rPr>
        <w:t xml:space="preserve"> til behandling af spasticitet i overekstremitet hos pædiatriske patienter.</w:t>
      </w:r>
    </w:p>
    <w:p w:rsidR="00A250D2" w:rsidRDefault="00A250D2" w:rsidP="00A250D2">
      <w:pPr>
        <w:tabs>
          <w:tab w:val="left" w:pos="-1440"/>
          <w:tab w:val="left" w:pos="-720"/>
          <w:tab w:val="left" w:pos="720"/>
        </w:tabs>
        <w:suppressAutoHyphens/>
        <w:ind w:left="851"/>
        <w:rPr>
          <w:bCs/>
          <w:iCs/>
          <w:sz w:val="24"/>
          <w:szCs w:val="24"/>
        </w:rPr>
      </w:pPr>
    </w:p>
    <w:p w:rsidR="00A250D2" w:rsidRDefault="00A250D2" w:rsidP="00A250D2">
      <w:pPr>
        <w:tabs>
          <w:tab w:val="left" w:pos="-1440"/>
          <w:tab w:val="left" w:pos="-720"/>
          <w:tab w:val="left" w:pos="720"/>
        </w:tabs>
        <w:suppressAutoHyphens/>
        <w:ind w:left="851"/>
        <w:rPr>
          <w:bCs/>
          <w:iCs/>
          <w:sz w:val="24"/>
          <w:szCs w:val="24"/>
        </w:rPr>
      </w:pPr>
      <w:r>
        <w:rPr>
          <w:bCs/>
          <w:iCs/>
          <w:sz w:val="24"/>
          <w:szCs w:val="24"/>
        </w:rPr>
        <w:t xml:space="preserve">Der blev ikke observeret uventede sikkerhedsmæssige problemer i </w:t>
      </w:r>
      <w:proofErr w:type="spellStart"/>
      <w:r>
        <w:rPr>
          <w:bCs/>
          <w:iCs/>
          <w:sz w:val="24"/>
          <w:szCs w:val="24"/>
        </w:rPr>
        <w:t>Xeomin</w:t>
      </w:r>
      <w:proofErr w:type="spellEnd"/>
      <w:r>
        <w:rPr>
          <w:bCs/>
          <w:iCs/>
          <w:sz w:val="24"/>
          <w:szCs w:val="24"/>
        </w:rPr>
        <w:t xml:space="preserve">-behandlingen af spasticitet i over- og underekstremitet med op til fire injektionscykler (14± 2 uger hver). </w:t>
      </w:r>
    </w:p>
    <w:p w:rsidR="0033400D" w:rsidRDefault="0033400D" w:rsidP="0033400D">
      <w:pPr>
        <w:ind w:left="851"/>
        <w:rPr>
          <w:b/>
          <w:i/>
          <w:spacing w:val="-2"/>
          <w:sz w:val="24"/>
          <w:szCs w:val="24"/>
        </w:rPr>
      </w:pPr>
    </w:p>
    <w:p w:rsidR="00A250D2" w:rsidRPr="00FF3346" w:rsidRDefault="00A250D2" w:rsidP="00A250D2">
      <w:pPr>
        <w:keepNext/>
        <w:ind w:left="851"/>
        <w:rPr>
          <w:bCs/>
          <w:i/>
          <w:spacing w:val="-2"/>
          <w:sz w:val="24"/>
          <w:szCs w:val="24"/>
        </w:rPr>
      </w:pPr>
      <w:r w:rsidRPr="00FF3346">
        <w:rPr>
          <w:bCs/>
          <w:i/>
          <w:spacing w:val="-2"/>
          <w:sz w:val="24"/>
          <w:szCs w:val="24"/>
        </w:rPr>
        <w:t xml:space="preserve">Kronisk </w:t>
      </w:r>
      <w:proofErr w:type="spellStart"/>
      <w:r w:rsidRPr="00FF3346">
        <w:rPr>
          <w:bCs/>
          <w:i/>
          <w:spacing w:val="-2"/>
          <w:sz w:val="24"/>
          <w:szCs w:val="24"/>
        </w:rPr>
        <w:t>hypersalivation</w:t>
      </w:r>
      <w:proofErr w:type="spellEnd"/>
      <w:r w:rsidRPr="00FF3346">
        <w:rPr>
          <w:bCs/>
          <w:i/>
          <w:spacing w:val="-2"/>
          <w:sz w:val="24"/>
          <w:szCs w:val="24"/>
        </w:rPr>
        <w:t xml:space="preserve"> (voksne)</w:t>
      </w:r>
    </w:p>
    <w:p w:rsidR="0033400D" w:rsidRDefault="0033400D" w:rsidP="0033400D">
      <w:pPr>
        <w:ind w:left="851"/>
        <w:rPr>
          <w:spacing w:val="-2"/>
          <w:sz w:val="24"/>
          <w:szCs w:val="24"/>
        </w:rPr>
      </w:pPr>
      <w:r>
        <w:rPr>
          <w:spacing w:val="-2"/>
          <w:sz w:val="24"/>
          <w:szCs w:val="24"/>
        </w:rPr>
        <w:t xml:space="preserve">I det pivotale dobbeltblinde, placebokontrollerede, kliniske fase 3-studie deltog i alt 184 patienter, som havde haft </w:t>
      </w:r>
      <w:proofErr w:type="spellStart"/>
      <w:r>
        <w:rPr>
          <w:spacing w:val="-2"/>
          <w:sz w:val="24"/>
          <w:szCs w:val="24"/>
        </w:rPr>
        <w:t>hypersalivation</w:t>
      </w:r>
      <w:proofErr w:type="spellEnd"/>
      <w:r>
        <w:rPr>
          <w:spacing w:val="-2"/>
          <w:sz w:val="24"/>
          <w:szCs w:val="24"/>
        </w:rPr>
        <w:t xml:space="preserve"> i mindst tre måneder som følge af Parkinsons sygdom, atypisk parkinsonisme, apopleksi eller traumatisk hjerneskade. I behandlings</w:t>
      </w:r>
      <w:r>
        <w:rPr>
          <w:spacing w:val="-2"/>
          <w:sz w:val="24"/>
          <w:szCs w:val="24"/>
        </w:rPr>
        <w:softHyphen/>
        <w:t xml:space="preserve">perioden blev der administreret en fast samlet dosis </w:t>
      </w:r>
      <w:proofErr w:type="spellStart"/>
      <w:r>
        <w:rPr>
          <w:spacing w:val="-2"/>
          <w:sz w:val="24"/>
          <w:szCs w:val="24"/>
        </w:rPr>
        <w:t>Xeomin</w:t>
      </w:r>
      <w:proofErr w:type="spellEnd"/>
      <w:r>
        <w:rPr>
          <w:spacing w:val="-2"/>
          <w:sz w:val="24"/>
          <w:szCs w:val="24"/>
        </w:rPr>
        <w:t xml:space="preserve"> (100 eller 75 enheder) eller placebo </w:t>
      </w:r>
      <w:proofErr w:type="spellStart"/>
      <w:r>
        <w:rPr>
          <w:spacing w:val="-2"/>
          <w:sz w:val="24"/>
          <w:szCs w:val="24"/>
        </w:rPr>
        <w:t>intraglandulært</w:t>
      </w:r>
      <w:proofErr w:type="spellEnd"/>
      <w:r>
        <w:rPr>
          <w:spacing w:val="-2"/>
          <w:sz w:val="24"/>
          <w:szCs w:val="24"/>
        </w:rPr>
        <w:t xml:space="preserve"> ved en fastlagt dosisratio på 3:2 i henholdsvis </w:t>
      </w:r>
      <w:proofErr w:type="spellStart"/>
      <w:r>
        <w:rPr>
          <w:rStyle w:val="trns-org-res"/>
          <w:szCs w:val="24"/>
        </w:rPr>
        <w:t>glandula</w:t>
      </w:r>
      <w:proofErr w:type="spellEnd"/>
      <w:r>
        <w:rPr>
          <w:rStyle w:val="trns-org-res"/>
          <w:szCs w:val="24"/>
        </w:rPr>
        <w:t xml:space="preserve"> </w:t>
      </w:r>
      <w:proofErr w:type="spellStart"/>
      <w:r>
        <w:rPr>
          <w:rStyle w:val="trns-org-res"/>
          <w:szCs w:val="24"/>
        </w:rPr>
        <w:t>parotidea</w:t>
      </w:r>
      <w:proofErr w:type="spellEnd"/>
      <w:r>
        <w:rPr>
          <w:rStyle w:val="trns-org-res"/>
          <w:szCs w:val="24"/>
        </w:rPr>
        <w:t xml:space="preserve"> og </w:t>
      </w:r>
      <w:proofErr w:type="spellStart"/>
      <w:r>
        <w:rPr>
          <w:rStyle w:val="trns-org-res"/>
          <w:szCs w:val="24"/>
        </w:rPr>
        <w:t>glandula</w:t>
      </w:r>
      <w:proofErr w:type="spellEnd"/>
      <w:r>
        <w:rPr>
          <w:rStyle w:val="trns-org-res"/>
          <w:szCs w:val="24"/>
        </w:rPr>
        <w:t xml:space="preserve"> </w:t>
      </w:r>
      <w:proofErr w:type="spellStart"/>
      <w:r>
        <w:rPr>
          <w:rStyle w:val="trns-org-res"/>
          <w:szCs w:val="24"/>
        </w:rPr>
        <w:t>submandibularis</w:t>
      </w:r>
      <w:proofErr w:type="spellEnd"/>
      <w:r>
        <w:rPr>
          <w:spacing w:val="-2"/>
          <w:sz w:val="24"/>
          <w:szCs w:val="24"/>
        </w:rPr>
        <w:t xml:space="preserve">. </w:t>
      </w:r>
    </w:p>
    <w:p w:rsidR="0033400D" w:rsidRDefault="0033400D" w:rsidP="0033400D">
      <w:pPr>
        <w:ind w:left="851"/>
        <w:rPr>
          <w:spacing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8"/>
        <w:gridCol w:w="1209"/>
        <w:gridCol w:w="892"/>
        <w:gridCol w:w="2376"/>
        <w:gridCol w:w="1040"/>
        <w:gridCol w:w="2523"/>
      </w:tblGrid>
      <w:tr w:rsidR="0033400D" w:rsidTr="00183DD0">
        <w:trPr>
          <w:cantSplit/>
          <w:tblHeader/>
        </w:trPr>
        <w:tc>
          <w:tcPr>
            <w:tcW w:w="825"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tcPr>
          <w:p w:rsidR="0033400D" w:rsidRDefault="0033400D" w:rsidP="00183DD0">
            <w:pPr>
              <w:keepNext/>
              <w:keepLines/>
              <w:widowControl w:val="0"/>
              <w:ind w:left="137"/>
              <w:rPr>
                <w:b/>
                <w:sz w:val="20"/>
                <w:lang w:eastAsia="de-DE"/>
              </w:rPr>
            </w:pPr>
          </w:p>
        </w:tc>
        <w:tc>
          <w:tcPr>
            <w:tcW w:w="628" w:type="pct"/>
            <w:tcBorders>
              <w:top w:val="single" w:sz="4" w:space="0" w:color="auto"/>
              <w:left w:val="single" w:sz="4" w:space="0" w:color="auto"/>
              <w:bottom w:val="single" w:sz="4" w:space="0" w:color="auto"/>
              <w:right w:val="single" w:sz="4" w:space="0" w:color="auto"/>
            </w:tcBorders>
          </w:tcPr>
          <w:p w:rsidR="0033400D" w:rsidRDefault="0033400D" w:rsidP="00183DD0">
            <w:pPr>
              <w:keepNext/>
              <w:keepLines/>
              <w:widowControl w:val="0"/>
              <w:jc w:val="center"/>
              <w:rPr>
                <w:b/>
                <w:sz w:val="20"/>
                <w:lang w:eastAsia="de-DE"/>
              </w:rPr>
            </w:pPr>
          </w:p>
        </w:tc>
        <w:tc>
          <w:tcPr>
            <w:tcW w:w="1697" w:type="pct"/>
            <w:gridSpan w:val="2"/>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33400D" w:rsidRDefault="0033400D" w:rsidP="00183DD0">
            <w:pPr>
              <w:keepNext/>
              <w:keepLines/>
              <w:widowControl w:val="0"/>
              <w:jc w:val="center"/>
              <w:rPr>
                <w:b/>
                <w:sz w:val="20"/>
                <w:lang w:eastAsia="de-DE"/>
              </w:rPr>
            </w:pPr>
            <w:proofErr w:type="spellStart"/>
            <w:r>
              <w:rPr>
                <w:b/>
                <w:sz w:val="20"/>
                <w:lang w:eastAsia="de-DE"/>
              </w:rPr>
              <w:t>uSFR</w:t>
            </w:r>
            <w:proofErr w:type="spellEnd"/>
            <w:r>
              <w:rPr>
                <w:b/>
                <w:sz w:val="20"/>
                <w:lang w:eastAsia="de-DE"/>
              </w:rPr>
              <w:t xml:space="preserve"> (g/min)</w:t>
            </w:r>
          </w:p>
        </w:tc>
        <w:tc>
          <w:tcPr>
            <w:tcW w:w="1851" w:type="pct"/>
            <w:gridSpan w:val="2"/>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b/>
                <w:sz w:val="20"/>
                <w:lang w:eastAsia="de-DE"/>
              </w:rPr>
            </w:pPr>
            <w:r>
              <w:rPr>
                <w:b/>
                <w:sz w:val="20"/>
                <w:lang w:eastAsia="de-DE"/>
              </w:rPr>
              <w:t>GICS (point)</w:t>
            </w:r>
          </w:p>
        </w:tc>
      </w:tr>
      <w:tr w:rsidR="0033400D" w:rsidTr="00183DD0">
        <w:trPr>
          <w:cantSplit/>
          <w:tblHeader/>
        </w:trPr>
        <w:tc>
          <w:tcPr>
            <w:tcW w:w="825"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33400D" w:rsidRDefault="0033400D" w:rsidP="00183DD0">
            <w:pPr>
              <w:keepNext/>
              <w:keepLines/>
              <w:widowControl w:val="0"/>
              <w:ind w:left="137"/>
              <w:rPr>
                <w:b/>
                <w:sz w:val="20"/>
                <w:lang w:eastAsia="de-DE"/>
              </w:rPr>
            </w:pPr>
            <w:r>
              <w:rPr>
                <w:b/>
                <w:sz w:val="20"/>
                <w:lang w:eastAsia="de-DE"/>
              </w:rPr>
              <w:t>Behandling</w:t>
            </w:r>
          </w:p>
        </w:tc>
        <w:tc>
          <w:tcPr>
            <w:tcW w:w="628"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b/>
                <w:sz w:val="20"/>
                <w:lang w:eastAsia="de-DE"/>
              </w:rPr>
            </w:pPr>
            <w:r>
              <w:rPr>
                <w:b/>
                <w:sz w:val="20"/>
                <w:lang w:eastAsia="de-DE"/>
              </w:rPr>
              <w:t>Tidspunkt</w:t>
            </w:r>
          </w:p>
        </w:tc>
        <w:tc>
          <w:tcPr>
            <w:tcW w:w="463"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33400D" w:rsidRDefault="0033400D" w:rsidP="00183DD0">
            <w:pPr>
              <w:keepNext/>
              <w:keepLines/>
              <w:widowControl w:val="0"/>
              <w:jc w:val="center"/>
              <w:rPr>
                <w:b/>
                <w:sz w:val="20"/>
                <w:lang w:eastAsia="de-DE"/>
              </w:rPr>
            </w:pPr>
            <w:r>
              <w:rPr>
                <w:b/>
                <w:sz w:val="20"/>
                <w:lang w:eastAsia="de-DE"/>
              </w:rPr>
              <w:t xml:space="preserve">n </w:t>
            </w:r>
            <w:proofErr w:type="spellStart"/>
            <w:r>
              <w:rPr>
                <w:b/>
                <w:sz w:val="20"/>
                <w:lang w:eastAsia="de-DE"/>
              </w:rPr>
              <w:t>obs</w:t>
            </w:r>
            <w:proofErr w:type="spellEnd"/>
          </w:p>
        </w:tc>
        <w:tc>
          <w:tcPr>
            <w:tcW w:w="1234" w:type="pct"/>
            <w:tcBorders>
              <w:top w:val="single" w:sz="4" w:space="0" w:color="auto"/>
              <w:left w:val="single" w:sz="4" w:space="0" w:color="auto"/>
              <w:bottom w:val="single" w:sz="4" w:space="0" w:color="auto"/>
              <w:right w:val="single" w:sz="4" w:space="0" w:color="auto"/>
            </w:tcBorders>
            <w:vAlign w:val="bottom"/>
            <w:hideMark/>
          </w:tcPr>
          <w:p w:rsidR="0033400D" w:rsidRDefault="0033400D" w:rsidP="00183DD0">
            <w:pPr>
              <w:keepNext/>
              <w:keepLines/>
              <w:widowControl w:val="0"/>
              <w:jc w:val="center"/>
              <w:rPr>
                <w:b/>
                <w:sz w:val="20"/>
                <w:lang w:eastAsia="de-DE"/>
              </w:rPr>
            </w:pPr>
            <w:proofErr w:type="gramStart"/>
            <w:r>
              <w:rPr>
                <w:b/>
                <w:sz w:val="20"/>
                <w:lang w:eastAsia="de-DE"/>
              </w:rPr>
              <w:t>LS middelværdi</w:t>
            </w:r>
            <w:proofErr w:type="gramEnd"/>
            <w:r>
              <w:rPr>
                <w:b/>
                <w:sz w:val="20"/>
                <w:lang w:eastAsia="de-DE"/>
              </w:rPr>
              <w:t xml:space="preserve"> (SE)</w:t>
            </w:r>
          </w:p>
        </w:tc>
        <w:tc>
          <w:tcPr>
            <w:tcW w:w="540"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b/>
                <w:sz w:val="20"/>
                <w:lang w:eastAsia="de-DE"/>
              </w:rPr>
            </w:pPr>
            <w:r>
              <w:rPr>
                <w:b/>
                <w:sz w:val="20"/>
                <w:lang w:eastAsia="de-DE"/>
              </w:rPr>
              <w:t xml:space="preserve">n </w:t>
            </w:r>
            <w:proofErr w:type="spellStart"/>
            <w:r>
              <w:rPr>
                <w:b/>
                <w:sz w:val="20"/>
                <w:lang w:eastAsia="de-DE"/>
              </w:rPr>
              <w:t>obs</w:t>
            </w:r>
            <w:proofErr w:type="spellEnd"/>
          </w:p>
        </w:tc>
        <w:tc>
          <w:tcPr>
            <w:tcW w:w="1311"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vAlign w:val="bottom"/>
            <w:hideMark/>
          </w:tcPr>
          <w:p w:rsidR="0033400D" w:rsidRDefault="0033400D" w:rsidP="00183DD0">
            <w:pPr>
              <w:keepNext/>
              <w:keepLines/>
              <w:widowControl w:val="0"/>
              <w:jc w:val="center"/>
              <w:rPr>
                <w:b/>
                <w:sz w:val="20"/>
                <w:lang w:eastAsia="de-DE"/>
              </w:rPr>
            </w:pPr>
            <w:proofErr w:type="gramStart"/>
            <w:r>
              <w:rPr>
                <w:b/>
                <w:sz w:val="20"/>
                <w:lang w:eastAsia="de-DE"/>
              </w:rPr>
              <w:t>LS middelværdi</w:t>
            </w:r>
            <w:proofErr w:type="gramEnd"/>
            <w:r>
              <w:rPr>
                <w:b/>
                <w:sz w:val="20"/>
                <w:lang w:eastAsia="de-DE"/>
              </w:rPr>
              <w:t xml:space="preserve"> (SE)</w:t>
            </w:r>
          </w:p>
        </w:tc>
      </w:tr>
      <w:tr w:rsidR="0033400D" w:rsidTr="00183DD0">
        <w:trPr>
          <w:cantSplit/>
        </w:trPr>
        <w:tc>
          <w:tcPr>
            <w:tcW w:w="825" w:type="pct"/>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38" w:type="dxa"/>
            </w:tcMar>
            <w:hideMark/>
          </w:tcPr>
          <w:p w:rsidR="0033400D" w:rsidRDefault="0033400D" w:rsidP="00183DD0">
            <w:pPr>
              <w:keepNext/>
              <w:keepLines/>
              <w:ind w:left="137"/>
              <w:rPr>
                <w:sz w:val="20"/>
                <w:lang w:eastAsia="zh-CN"/>
              </w:rPr>
            </w:pPr>
            <w:r>
              <w:rPr>
                <w:sz w:val="20"/>
                <w:lang w:eastAsia="zh-CN"/>
              </w:rPr>
              <w:t>Placebo</w:t>
            </w:r>
          </w:p>
        </w:tc>
        <w:tc>
          <w:tcPr>
            <w:tcW w:w="628"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zh-CN"/>
              </w:rPr>
              <w:t>Uge 4</w:t>
            </w:r>
            <w:r>
              <w:rPr>
                <w:sz w:val="20"/>
                <w:lang w:eastAsia="de-DE"/>
              </w:rPr>
              <w:t xml:space="preserve"> </w:t>
            </w:r>
          </w:p>
        </w:tc>
        <w:tc>
          <w:tcPr>
            <w:tcW w:w="463"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36</w:t>
            </w:r>
          </w:p>
        </w:tc>
        <w:tc>
          <w:tcPr>
            <w:tcW w:w="1234" w:type="pct"/>
            <w:tcBorders>
              <w:top w:val="single" w:sz="4" w:space="0" w:color="auto"/>
              <w:left w:val="single" w:sz="4" w:space="0" w:color="auto"/>
              <w:bottom w:val="single" w:sz="4" w:space="0" w:color="auto"/>
              <w:right w:val="single" w:sz="4" w:space="0" w:color="auto"/>
            </w:tcBorders>
            <w:hideMark/>
          </w:tcPr>
          <w:p w:rsidR="0033400D" w:rsidRDefault="0033400D" w:rsidP="00183DD0">
            <w:pPr>
              <w:widowControl w:val="0"/>
              <w:jc w:val="center"/>
              <w:rPr>
                <w:sz w:val="20"/>
                <w:lang w:eastAsia="de-DE"/>
              </w:rPr>
            </w:pPr>
            <w:r>
              <w:rPr>
                <w:sz w:val="20"/>
                <w:lang w:eastAsia="de-DE"/>
              </w:rPr>
              <w:t>-0,04 (0,033)</w:t>
            </w:r>
          </w:p>
        </w:tc>
        <w:tc>
          <w:tcPr>
            <w:tcW w:w="540"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jc w:val="center"/>
              <w:rPr>
                <w:sz w:val="20"/>
                <w:lang w:eastAsia="de-DE"/>
              </w:rPr>
            </w:pPr>
            <w:r>
              <w:rPr>
                <w:sz w:val="20"/>
                <w:lang w:eastAsia="de-DE"/>
              </w:rPr>
              <w:t>36</w:t>
            </w:r>
          </w:p>
        </w:tc>
        <w:tc>
          <w:tcPr>
            <w:tcW w:w="1311"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jc w:val="center"/>
              <w:rPr>
                <w:color w:val="000000"/>
                <w:sz w:val="20"/>
                <w:lang w:eastAsia="ja-JP"/>
              </w:rPr>
            </w:pPr>
            <w:r>
              <w:rPr>
                <w:sz w:val="20"/>
                <w:lang w:eastAsia="de-DE"/>
              </w:rPr>
              <w:t>0,67 (0,186)</w:t>
            </w:r>
          </w:p>
        </w:tc>
      </w:tr>
      <w:tr w:rsidR="0033400D" w:rsidTr="00183DD0">
        <w:trPr>
          <w:cantSplit/>
        </w:trPr>
        <w:tc>
          <w:tcPr>
            <w:tcW w:w="825" w:type="pct"/>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38" w:type="dxa"/>
            </w:tcMar>
            <w:hideMark/>
          </w:tcPr>
          <w:p w:rsidR="0033400D" w:rsidRDefault="0033400D" w:rsidP="00183DD0">
            <w:pPr>
              <w:keepNext/>
              <w:keepLines/>
              <w:ind w:left="137"/>
              <w:rPr>
                <w:sz w:val="20"/>
                <w:lang w:eastAsia="zh-CN"/>
              </w:rPr>
            </w:pPr>
            <w:r>
              <w:rPr>
                <w:sz w:val="20"/>
                <w:lang w:eastAsia="zh-CN"/>
              </w:rPr>
              <w:t>100 enheder</w:t>
            </w:r>
          </w:p>
        </w:tc>
        <w:tc>
          <w:tcPr>
            <w:tcW w:w="628"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zh-CN"/>
              </w:rPr>
              <w:t>Uge 4</w:t>
            </w:r>
          </w:p>
        </w:tc>
        <w:tc>
          <w:tcPr>
            <w:tcW w:w="463"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73</w:t>
            </w:r>
          </w:p>
        </w:tc>
        <w:tc>
          <w:tcPr>
            <w:tcW w:w="1234"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-0,13 (0,026)</w:t>
            </w:r>
          </w:p>
        </w:tc>
        <w:tc>
          <w:tcPr>
            <w:tcW w:w="540"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74</w:t>
            </w:r>
          </w:p>
        </w:tc>
        <w:tc>
          <w:tcPr>
            <w:tcW w:w="1311"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1,25 (0,144)</w:t>
            </w:r>
          </w:p>
        </w:tc>
      </w:tr>
      <w:tr w:rsidR="0033400D" w:rsidTr="00183DD0">
        <w:trPr>
          <w:cantSplit/>
        </w:trPr>
        <w:tc>
          <w:tcPr>
            <w:tcW w:w="825" w:type="pct"/>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38" w:type="dxa"/>
            </w:tcMar>
            <w:hideMark/>
          </w:tcPr>
          <w:p w:rsidR="0033400D" w:rsidRDefault="0033400D" w:rsidP="00183DD0">
            <w:pPr>
              <w:keepNext/>
              <w:keepLines/>
              <w:ind w:left="137"/>
              <w:rPr>
                <w:sz w:val="20"/>
                <w:lang w:eastAsia="zh-CN"/>
              </w:rPr>
            </w:pPr>
            <w:r>
              <w:rPr>
                <w:sz w:val="20"/>
                <w:lang w:eastAsia="zh-CN"/>
              </w:rPr>
              <w:t>100 enheder</w:t>
            </w:r>
          </w:p>
        </w:tc>
        <w:tc>
          <w:tcPr>
            <w:tcW w:w="628"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zh-CN"/>
              </w:rPr>
            </w:pPr>
            <w:r>
              <w:rPr>
                <w:sz w:val="20"/>
                <w:lang w:eastAsia="zh-CN"/>
              </w:rPr>
              <w:t>Uge 8</w:t>
            </w:r>
          </w:p>
        </w:tc>
        <w:tc>
          <w:tcPr>
            <w:tcW w:w="463"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73</w:t>
            </w:r>
          </w:p>
        </w:tc>
        <w:tc>
          <w:tcPr>
            <w:tcW w:w="1234"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-0,13 (0,026)</w:t>
            </w:r>
          </w:p>
        </w:tc>
        <w:tc>
          <w:tcPr>
            <w:tcW w:w="540" w:type="pct"/>
            <w:tcBorders>
              <w:top w:val="single" w:sz="4" w:space="0" w:color="auto"/>
              <w:left w:val="single" w:sz="4" w:space="0" w:color="auto"/>
              <w:bottom w:val="single" w:sz="4" w:space="0" w:color="auto"/>
              <w:right w:val="single" w:sz="4" w:space="0" w:color="auto"/>
            </w:tcBorders>
            <w:hideMark/>
          </w:tcPr>
          <w:p w:rsidR="0033400D" w:rsidRDefault="0033400D" w:rsidP="00183DD0">
            <w:pPr>
              <w:autoSpaceDE w:val="0"/>
              <w:autoSpaceDN w:val="0"/>
              <w:adjustRightInd w:val="0"/>
              <w:jc w:val="center"/>
              <w:rPr>
                <w:color w:val="000000"/>
                <w:sz w:val="20"/>
                <w:lang w:eastAsia="ja-JP"/>
              </w:rPr>
            </w:pPr>
            <w:r>
              <w:rPr>
                <w:color w:val="000000"/>
                <w:sz w:val="20"/>
                <w:lang w:eastAsia="ja-JP"/>
              </w:rPr>
              <w:t>74</w:t>
            </w:r>
          </w:p>
        </w:tc>
        <w:tc>
          <w:tcPr>
            <w:tcW w:w="1311"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autoSpaceDE w:val="0"/>
              <w:autoSpaceDN w:val="0"/>
              <w:adjustRightInd w:val="0"/>
              <w:jc w:val="center"/>
              <w:rPr>
                <w:color w:val="000000"/>
                <w:sz w:val="20"/>
                <w:lang w:eastAsia="ja-JP"/>
              </w:rPr>
            </w:pPr>
            <w:r>
              <w:rPr>
                <w:color w:val="000000"/>
                <w:sz w:val="20"/>
                <w:lang w:eastAsia="ja-JP"/>
              </w:rPr>
              <w:t>1,30 (0,148)</w:t>
            </w:r>
          </w:p>
        </w:tc>
      </w:tr>
      <w:tr w:rsidR="0033400D" w:rsidTr="00183DD0">
        <w:trPr>
          <w:cantSplit/>
        </w:trPr>
        <w:tc>
          <w:tcPr>
            <w:tcW w:w="825" w:type="pct"/>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38" w:type="dxa"/>
            </w:tcMar>
            <w:hideMark/>
          </w:tcPr>
          <w:p w:rsidR="0033400D" w:rsidRDefault="0033400D" w:rsidP="00183DD0">
            <w:pPr>
              <w:keepNext/>
              <w:keepLines/>
              <w:ind w:left="137"/>
              <w:rPr>
                <w:sz w:val="20"/>
                <w:lang w:eastAsia="zh-CN"/>
              </w:rPr>
            </w:pPr>
            <w:r>
              <w:rPr>
                <w:sz w:val="20"/>
                <w:lang w:eastAsia="zh-CN"/>
              </w:rPr>
              <w:t>100 enheder</w:t>
            </w:r>
          </w:p>
        </w:tc>
        <w:tc>
          <w:tcPr>
            <w:tcW w:w="628"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zh-CN"/>
              </w:rPr>
              <w:t>Uge 12</w:t>
            </w:r>
          </w:p>
        </w:tc>
        <w:tc>
          <w:tcPr>
            <w:tcW w:w="463"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73</w:t>
            </w:r>
          </w:p>
        </w:tc>
        <w:tc>
          <w:tcPr>
            <w:tcW w:w="1234"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-0,12 (0,026)</w:t>
            </w:r>
          </w:p>
        </w:tc>
        <w:tc>
          <w:tcPr>
            <w:tcW w:w="540"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74</w:t>
            </w:r>
          </w:p>
        </w:tc>
        <w:tc>
          <w:tcPr>
            <w:tcW w:w="1311"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1,21 (0,152)</w:t>
            </w:r>
          </w:p>
        </w:tc>
      </w:tr>
      <w:tr w:rsidR="0033400D" w:rsidTr="00183DD0">
        <w:trPr>
          <w:cantSplit/>
        </w:trPr>
        <w:tc>
          <w:tcPr>
            <w:tcW w:w="825" w:type="pct"/>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38" w:type="dxa"/>
            </w:tcMar>
            <w:hideMark/>
          </w:tcPr>
          <w:p w:rsidR="0033400D" w:rsidRDefault="0033400D" w:rsidP="00183DD0">
            <w:pPr>
              <w:keepNext/>
              <w:keepLines/>
              <w:ind w:left="137"/>
              <w:rPr>
                <w:sz w:val="20"/>
                <w:lang w:eastAsia="zh-CN"/>
              </w:rPr>
            </w:pPr>
            <w:r>
              <w:rPr>
                <w:sz w:val="20"/>
                <w:lang w:eastAsia="zh-CN"/>
              </w:rPr>
              <w:t>100 enheder</w:t>
            </w:r>
          </w:p>
        </w:tc>
        <w:tc>
          <w:tcPr>
            <w:tcW w:w="628"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zh-CN"/>
              </w:rPr>
              <w:t>Uge 16</w:t>
            </w:r>
          </w:p>
        </w:tc>
        <w:tc>
          <w:tcPr>
            <w:tcW w:w="463"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73</w:t>
            </w:r>
          </w:p>
        </w:tc>
        <w:tc>
          <w:tcPr>
            <w:tcW w:w="1234"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-0,11 (0,027)</w:t>
            </w:r>
          </w:p>
        </w:tc>
        <w:tc>
          <w:tcPr>
            <w:tcW w:w="540" w:type="pct"/>
            <w:tcBorders>
              <w:top w:val="single" w:sz="4" w:space="0" w:color="auto"/>
              <w:left w:val="single" w:sz="4" w:space="0" w:color="auto"/>
              <w:bottom w:val="single" w:sz="4" w:space="0" w:color="auto"/>
              <w:right w:val="single" w:sz="4" w:space="0" w:color="auto"/>
            </w:tcBorders>
            <w:hideMark/>
          </w:tcPr>
          <w:p w:rsidR="0033400D" w:rsidRDefault="0033400D" w:rsidP="00183DD0">
            <w:pPr>
              <w:keepNext/>
              <w:keepLines/>
              <w:widowControl w:val="0"/>
              <w:jc w:val="center"/>
              <w:rPr>
                <w:sz w:val="20"/>
                <w:lang w:eastAsia="de-DE"/>
              </w:rPr>
            </w:pPr>
            <w:r>
              <w:rPr>
                <w:sz w:val="20"/>
                <w:lang w:eastAsia="de-DE"/>
              </w:rPr>
              <w:t>74</w:t>
            </w:r>
          </w:p>
        </w:tc>
        <w:tc>
          <w:tcPr>
            <w:tcW w:w="1311" w:type="pct"/>
            <w:tcBorders>
              <w:top w:val="single" w:sz="4" w:space="0" w:color="auto"/>
              <w:left w:val="single" w:sz="4" w:space="0" w:color="auto"/>
              <w:bottom w:val="single" w:sz="4" w:space="0" w:color="auto"/>
              <w:right w:val="single" w:sz="4" w:space="0" w:color="auto"/>
            </w:tcBorders>
            <w:tcMar>
              <w:top w:w="0" w:type="dxa"/>
              <w:left w:w="38" w:type="dxa"/>
              <w:bottom w:w="0" w:type="dxa"/>
              <w:right w:w="38" w:type="dxa"/>
            </w:tcMar>
            <w:hideMark/>
          </w:tcPr>
          <w:p w:rsidR="0033400D" w:rsidRDefault="0033400D" w:rsidP="00183DD0">
            <w:pPr>
              <w:keepNext/>
              <w:keepLines/>
              <w:widowControl w:val="0"/>
              <w:jc w:val="center"/>
              <w:rPr>
                <w:sz w:val="20"/>
                <w:lang w:eastAsia="de-DE"/>
              </w:rPr>
            </w:pPr>
            <w:r>
              <w:rPr>
                <w:sz w:val="20"/>
                <w:lang w:eastAsia="de-DE"/>
              </w:rPr>
              <w:t>0,93 (0,152)</w:t>
            </w:r>
          </w:p>
        </w:tc>
      </w:tr>
      <w:tr w:rsidR="0033400D" w:rsidTr="00183DD0">
        <w:trPr>
          <w:cantSplit/>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hideMark/>
          </w:tcPr>
          <w:p w:rsidR="0033400D" w:rsidRDefault="0033400D" w:rsidP="00183DD0">
            <w:pPr>
              <w:keepNext/>
              <w:keepLines/>
              <w:widowControl w:val="0"/>
              <w:ind w:left="137"/>
              <w:jc w:val="both"/>
              <w:rPr>
                <w:i/>
                <w:sz w:val="20"/>
                <w:lang w:eastAsia="zh-CN"/>
              </w:rPr>
            </w:pPr>
            <w:proofErr w:type="spellStart"/>
            <w:r>
              <w:rPr>
                <w:i/>
                <w:sz w:val="20"/>
                <w:lang w:eastAsia="zh-CN"/>
              </w:rPr>
              <w:t>uSFR</w:t>
            </w:r>
            <w:proofErr w:type="spellEnd"/>
            <w:r>
              <w:rPr>
                <w:i/>
                <w:sz w:val="20"/>
                <w:lang w:eastAsia="zh-CN"/>
              </w:rPr>
              <w:t xml:space="preserve">: Ikke stimuleret spytafsondringshastighed; GICS: Global </w:t>
            </w:r>
            <w:proofErr w:type="spellStart"/>
            <w:r>
              <w:rPr>
                <w:i/>
                <w:sz w:val="20"/>
                <w:lang w:eastAsia="zh-CN"/>
              </w:rPr>
              <w:t>Impression</w:t>
            </w:r>
            <w:proofErr w:type="spellEnd"/>
            <w:r>
              <w:rPr>
                <w:i/>
                <w:sz w:val="20"/>
                <w:lang w:eastAsia="zh-CN"/>
              </w:rPr>
              <w:t xml:space="preserve"> of Change </w:t>
            </w:r>
            <w:proofErr w:type="spellStart"/>
            <w:r>
              <w:rPr>
                <w:i/>
                <w:sz w:val="20"/>
                <w:lang w:eastAsia="zh-CN"/>
              </w:rPr>
              <w:t>Scale</w:t>
            </w:r>
            <w:proofErr w:type="spellEnd"/>
            <w:r>
              <w:rPr>
                <w:i/>
                <w:sz w:val="20"/>
                <w:lang w:eastAsia="zh-CN"/>
              </w:rPr>
              <w:t xml:space="preserve"> (skala for global vurdering af ændring) </w:t>
            </w:r>
          </w:p>
          <w:p w:rsidR="0033400D" w:rsidRDefault="00A250D2" w:rsidP="00183DD0">
            <w:pPr>
              <w:keepNext/>
              <w:keepLines/>
              <w:widowControl w:val="0"/>
              <w:ind w:left="137"/>
              <w:jc w:val="both"/>
              <w:rPr>
                <w:i/>
                <w:sz w:val="20"/>
                <w:lang w:eastAsia="zh-CN"/>
              </w:rPr>
            </w:pPr>
            <w:r>
              <w:rPr>
                <w:i/>
                <w:sz w:val="20"/>
                <w:lang w:eastAsia="zh-CN"/>
              </w:rPr>
              <w:t xml:space="preserve">n </w:t>
            </w:r>
            <w:proofErr w:type="spellStart"/>
            <w:r>
              <w:rPr>
                <w:i/>
                <w:sz w:val="20"/>
                <w:lang w:eastAsia="zh-CN"/>
              </w:rPr>
              <w:t>obs</w:t>
            </w:r>
            <w:proofErr w:type="spellEnd"/>
            <w:r>
              <w:rPr>
                <w:i/>
                <w:sz w:val="20"/>
                <w:lang w:eastAsia="zh-CN"/>
              </w:rPr>
              <w:t>: Antal observerede; LS: forskellen i middelværdien fra baseline; SE: standardafvigelse</w:t>
            </w:r>
          </w:p>
        </w:tc>
      </w:tr>
    </w:tbl>
    <w:p w:rsidR="0033400D" w:rsidRDefault="0033400D" w:rsidP="0033400D">
      <w:pPr>
        <w:ind w:left="851"/>
        <w:rPr>
          <w:spacing w:val="-2"/>
          <w:sz w:val="24"/>
          <w:szCs w:val="24"/>
        </w:rPr>
      </w:pPr>
    </w:p>
    <w:p w:rsidR="0033400D" w:rsidRDefault="0033400D" w:rsidP="0033400D">
      <w:pPr>
        <w:ind w:left="851"/>
        <w:rPr>
          <w:spacing w:val="-2"/>
          <w:sz w:val="24"/>
          <w:szCs w:val="24"/>
        </w:rPr>
      </w:pPr>
      <w:bookmarkStart w:id="28" w:name="_Hlk22631634"/>
      <w:bookmarkStart w:id="29" w:name="_Hlk22629775"/>
      <w:r>
        <w:rPr>
          <w:spacing w:val="-2"/>
          <w:sz w:val="24"/>
          <w:szCs w:val="24"/>
        </w:rPr>
        <w:t>Ved uge 4 blev der observeret mindst 1 point forbedring på GICS (</w:t>
      </w:r>
      <w:proofErr w:type="spellStart"/>
      <w:r>
        <w:rPr>
          <w:spacing w:val="-2"/>
          <w:sz w:val="24"/>
          <w:szCs w:val="24"/>
        </w:rPr>
        <w:t>co</w:t>
      </w:r>
      <w:proofErr w:type="spellEnd"/>
      <w:r>
        <w:rPr>
          <w:spacing w:val="-2"/>
          <w:sz w:val="24"/>
          <w:szCs w:val="24"/>
        </w:rPr>
        <w:t xml:space="preserve">-primært endepunkt) hos 73 % af de patienter, der blev behandlet med 100 enheder </w:t>
      </w:r>
      <w:proofErr w:type="spellStart"/>
      <w:r>
        <w:rPr>
          <w:spacing w:val="-2"/>
          <w:sz w:val="24"/>
          <w:szCs w:val="24"/>
        </w:rPr>
        <w:t>Xeomin</w:t>
      </w:r>
      <w:proofErr w:type="spellEnd"/>
      <w:r>
        <w:rPr>
          <w:spacing w:val="-2"/>
          <w:sz w:val="24"/>
          <w:szCs w:val="24"/>
        </w:rPr>
        <w:t xml:space="preserve"> sammenlignet med 44 % af patienterne i placebogruppen. Den bekræftende analyse af begge </w:t>
      </w:r>
      <w:proofErr w:type="spellStart"/>
      <w:r>
        <w:rPr>
          <w:spacing w:val="-2"/>
          <w:sz w:val="24"/>
          <w:szCs w:val="24"/>
        </w:rPr>
        <w:t>co</w:t>
      </w:r>
      <w:proofErr w:type="spellEnd"/>
      <w:r>
        <w:rPr>
          <w:spacing w:val="-2"/>
          <w:sz w:val="24"/>
          <w:szCs w:val="24"/>
        </w:rPr>
        <w:t>-primære effektvariable (</w:t>
      </w:r>
      <w:proofErr w:type="spellStart"/>
      <w:r>
        <w:rPr>
          <w:spacing w:val="-2"/>
          <w:sz w:val="24"/>
          <w:szCs w:val="24"/>
        </w:rPr>
        <w:t>uSFR</w:t>
      </w:r>
      <w:proofErr w:type="spellEnd"/>
      <w:r>
        <w:rPr>
          <w:spacing w:val="-2"/>
          <w:sz w:val="24"/>
          <w:szCs w:val="24"/>
        </w:rPr>
        <w:t xml:space="preserve"> og GICS ved uge 4 efter injektionen) viste statistisk signifikant forbedring i behandlingsgruppen med 100 enheder sammenlignet med placebo. Der kunne påvises forbedrede effektparametre ved uge 8 og uge 12 efter injektion, som blev opretholdt indtil sidste observationstidspunkt i behandlingsperioden ved uge 16. Co-primære effektvariable ved uge 4 viste bedre resultater for </w:t>
      </w:r>
      <w:r>
        <w:rPr>
          <w:sz w:val="24"/>
          <w:szCs w:val="24"/>
          <w:lang w:eastAsia="de-DE"/>
        </w:rPr>
        <w:t xml:space="preserve">den ultralydsguidede administration sammenlignet med anatomisk landemærke-metode </w:t>
      </w:r>
      <w:r>
        <w:rPr>
          <w:sz w:val="24"/>
          <w:szCs w:val="24"/>
        </w:rPr>
        <w:t>(</w:t>
      </w:r>
      <w:proofErr w:type="spellStart"/>
      <w:r>
        <w:rPr>
          <w:spacing w:val="-2"/>
          <w:sz w:val="24"/>
          <w:szCs w:val="24"/>
        </w:rPr>
        <w:t>uSFR</w:t>
      </w:r>
      <w:proofErr w:type="spellEnd"/>
      <w:r>
        <w:rPr>
          <w:spacing w:val="-2"/>
          <w:sz w:val="24"/>
          <w:szCs w:val="24"/>
        </w:rPr>
        <w:t xml:space="preserve"> </w:t>
      </w:r>
      <w:proofErr w:type="spellStart"/>
      <w:r>
        <w:rPr>
          <w:spacing w:val="-2"/>
          <w:sz w:val="24"/>
          <w:szCs w:val="24"/>
        </w:rPr>
        <w:t>p-værdi</w:t>
      </w:r>
      <w:proofErr w:type="spellEnd"/>
      <w:r>
        <w:rPr>
          <w:spacing w:val="-2"/>
          <w:sz w:val="24"/>
          <w:szCs w:val="24"/>
        </w:rPr>
        <w:t xml:space="preserve"> 0,019 </w:t>
      </w:r>
      <w:r>
        <w:rPr>
          <w:i/>
          <w:spacing w:val="-2"/>
          <w:sz w:val="24"/>
          <w:szCs w:val="24"/>
        </w:rPr>
        <w:t>versus</w:t>
      </w:r>
      <w:r>
        <w:rPr>
          <w:spacing w:val="-2"/>
          <w:sz w:val="24"/>
          <w:szCs w:val="24"/>
        </w:rPr>
        <w:t xml:space="preserve"> 0,099 og GICS 0,003 </w:t>
      </w:r>
      <w:r>
        <w:rPr>
          <w:i/>
          <w:spacing w:val="-2"/>
          <w:sz w:val="24"/>
          <w:szCs w:val="24"/>
        </w:rPr>
        <w:t>versus</w:t>
      </w:r>
      <w:r>
        <w:rPr>
          <w:spacing w:val="-2"/>
          <w:sz w:val="24"/>
          <w:szCs w:val="24"/>
        </w:rPr>
        <w:t xml:space="preserve"> 0,171).</w:t>
      </w:r>
    </w:p>
    <w:p w:rsidR="0033400D" w:rsidRDefault="0033400D" w:rsidP="0033400D">
      <w:pPr>
        <w:ind w:left="851"/>
        <w:rPr>
          <w:spacing w:val="-2"/>
          <w:sz w:val="24"/>
          <w:szCs w:val="24"/>
        </w:rPr>
      </w:pPr>
      <w:r>
        <w:rPr>
          <w:spacing w:val="-2"/>
          <w:sz w:val="24"/>
          <w:szCs w:val="24"/>
        </w:rPr>
        <w:t xml:space="preserve">173 behandlede patienter gennemførte behandlingsperioden og kunne deltage i studiets forlængelse. Studiets forlængelse bestod af tre dosis-blindede cyklusser med en enkelt behandling hver (100 eller 75 enheder </w:t>
      </w:r>
      <w:proofErr w:type="spellStart"/>
      <w:r>
        <w:rPr>
          <w:spacing w:val="-2"/>
          <w:sz w:val="24"/>
          <w:szCs w:val="24"/>
        </w:rPr>
        <w:t>Xeomin</w:t>
      </w:r>
      <w:proofErr w:type="spellEnd"/>
      <w:r>
        <w:rPr>
          <w:spacing w:val="-2"/>
          <w:sz w:val="24"/>
          <w:szCs w:val="24"/>
        </w:rPr>
        <w:t xml:space="preserve"> totaldosis med samme dosisratio som i behandlingsperioden) efterfulgt af en 16 ugers observationsperiode. 151 patienter gennemførte studiets forlængelse. Resultaterne fra studiets forlængelse bekræftede fundene fra behandlingsperioden, som viste vedvarende terapeutiske fordele ved 100 enheder </w:t>
      </w:r>
      <w:proofErr w:type="spellStart"/>
      <w:r>
        <w:rPr>
          <w:spacing w:val="-2"/>
          <w:sz w:val="24"/>
          <w:szCs w:val="24"/>
        </w:rPr>
        <w:t>Xeomin</w:t>
      </w:r>
      <w:proofErr w:type="spellEnd"/>
      <w:r>
        <w:rPr>
          <w:spacing w:val="-2"/>
          <w:sz w:val="24"/>
          <w:szCs w:val="24"/>
        </w:rPr>
        <w:t>.</w:t>
      </w:r>
    </w:p>
    <w:bookmarkEnd w:id="28"/>
    <w:p w:rsidR="0033400D" w:rsidRDefault="0033400D" w:rsidP="0033400D">
      <w:pPr>
        <w:suppressAutoHyphens/>
        <w:ind w:left="851"/>
        <w:rPr>
          <w:spacing w:val="-2"/>
          <w:sz w:val="24"/>
          <w:szCs w:val="24"/>
        </w:rPr>
      </w:pPr>
    </w:p>
    <w:bookmarkEnd w:id="29"/>
    <w:p w:rsidR="00A250D2" w:rsidRPr="00FF3346" w:rsidRDefault="00A250D2" w:rsidP="00A250D2">
      <w:pPr>
        <w:keepNext/>
        <w:ind w:left="851"/>
        <w:rPr>
          <w:bCs/>
          <w:i/>
          <w:spacing w:val="-2"/>
          <w:sz w:val="24"/>
          <w:szCs w:val="24"/>
        </w:rPr>
      </w:pPr>
      <w:r w:rsidRPr="00FF3346">
        <w:rPr>
          <w:bCs/>
          <w:i/>
          <w:spacing w:val="-2"/>
          <w:sz w:val="24"/>
          <w:szCs w:val="24"/>
        </w:rPr>
        <w:t xml:space="preserve">Kronisk </w:t>
      </w:r>
      <w:proofErr w:type="spellStart"/>
      <w:r w:rsidRPr="00FF3346">
        <w:rPr>
          <w:bCs/>
          <w:i/>
          <w:spacing w:val="-2"/>
          <w:sz w:val="24"/>
          <w:szCs w:val="24"/>
        </w:rPr>
        <w:t>hypersalivation</w:t>
      </w:r>
      <w:proofErr w:type="spellEnd"/>
      <w:r w:rsidRPr="00FF3346">
        <w:rPr>
          <w:bCs/>
          <w:i/>
          <w:spacing w:val="-2"/>
          <w:sz w:val="24"/>
          <w:szCs w:val="24"/>
        </w:rPr>
        <w:t xml:space="preserve"> (børn/unge)</w:t>
      </w:r>
    </w:p>
    <w:p w:rsidR="00A250D2" w:rsidRDefault="00A250D2" w:rsidP="00A250D2">
      <w:pPr>
        <w:ind w:left="851"/>
        <w:rPr>
          <w:spacing w:val="-2"/>
          <w:sz w:val="24"/>
          <w:szCs w:val="24"/>
        </w:rPr>
      </w:pPr>
      <w:r>
        <w:rPr>
          <w:spacing w:val="-2"/>
          <w:sz w:val="24"/>
          <w:szCs w:val="24"/>
        </w:rPr>
        <w:t xml:space="preserve">I et dobbeltblindt, placebokontrolleret, klinisk fase 3-studie blev i alt 255 børn og unge (12-17 år) med en kropsvægt på mindst 12 kg og som havde kronisk </w:t>
      </w:r>
      <w:proofErr w:type="spellStart"/>
      <w:r w:rsidRPr="00DF7E53">
        <w:rPr>
          <w:bCs/>
          <w:iCs/>
          <w:spacing w:val="-2"/>
          <w:sz w:val="24"/>
          <w:szCs w:val="24"/>
        </w:rPr>
        <w:t>hypersalivation</w:t>
      </w:r>
      <w:proofErr w:type="spellEnd"/>
      <w:r w:rsidRPr="00663533">
        <w:rPr>
          <w:bCs/>
          <w:iCs/>
          <w:spacing w:val="-2"/>
          <w:sz w:val="24"/>
          <w:szCs w:val="24"/>
        </w:rPr>
        <w:t xml:space="preserve"> </w:t>
      </w:r>
      <w:r>
        <w:rPr>
          <w:bCs/>
          <w:iCs/>
          <w:spacing w:val="-2"/>
          <w:sz w:val="24"/>
          <w:szCs w:val="24"/>
        </w:rPr>
        <w:t xml:space="preserve">associeret med neurologiske sygdomme og/eller mental retardering, behandlet. </w:t>
      </w:r>
      <w:r>
        <w:rPr>
          <w:spacing w:val="-2"/>
          <w:sz w:val="24"/>
          <w:szCs w:val="24"/>
        </w:rPr>
        <w:t xml:space="preserve">I behandlingsperioden fik 220 patienter i alderen 6-17 år behandling med </w:t>
      </w:r>
      <w:proofErr w:type="spellStart"/>
      <w:r>
        <w:rPr>
          <w:spacing w:val="-2"/>
          <w:sz w:val="24"/>
          <w:szCs w:val="24"/>
        </w:rPr>
        <w:t>Xeomin</w:t>
      </w:r>
      <w:proofErr w:type="spellEnd"/>
      <w:r>
        <w:rPr>
          <w:spacing w:val="-2"/>
          <w:sz w:val="24"/>
          <w:szCs w:val="24"/>
        </w:rPr>
        <w:t xml:space="preserve"> i henhold til vægtklasse op til 75 enheder eller placebo. Behandlingen blev administreret </w:t>
      </w:r>
      <w:proofErr w:type="spellStart"/>
      <w:r>
        <w:rPr>
          <w:sz w:val="24"/>
          <w:szCs w:val="24"/>
          <w:lang w:eastAsia="de-DE"/>
        </w:rPr>
        <w:t>intraglandulært</w:t>
      </w:r>
      <w:proofErr w:type="spellEnd"/>
      <w:r>
        <w:rPr>
          <w:spacing w:val="-2"/>
          <w:sz w:val="24"/>
          <w:szCs w:val="24"/>
        </w:rPr>
        <w:t xml:space="preserve"> ved hjælp af ultralydsguidning </w:t>
      </w:r>
      <w:r w:rsidRPr="00797EE5">
        <w:rPr>
          <w:spacing w:val="-2"/>
          <w:sz w:val="24"/>
          <w:szCs w:val="24"/>
        </w:rPr>
        <w:t xml:space="preserve">ved en fastlagt dosisratio på 3:2 i henholdsvis </w:t>
      </w:r>
      <w:proofErr w:type="spellStart"/>
      <w:r w:rsidRPr="00797EE5">
        <w:rPr>
          <w:spacing w:val="-2"/>
          <w:sz w:val="24"/>
          <w:szCs w:val="24"/>
        </w:rPr>
        <w:t>glandula</w:t>
      </w:r>
      <w:proofErr w:type="spellEnd"/>
      <w:r w:rsidRPr="00797EE5">
        <w:rPr>
          <w:spacing w:val="-2"/>
          <w:sz w:val="24"/>
          <w:szCs w:val="24"/>
        </w:rPr>
        <w:t xml:space="preserve"> </w:t>
      </w:r>
      <w:proofErr w:type="spellStart"/>
      <w:r w:rsidRPr="00797EE5">
        <w:rPr>
          <w:spacing w:val="-2"/>
          <w:sz w:val="24"/>
          <w:szCs w:val="24"/>
        </w:rPr>
        <w:t>parotidea</w:t>
      </w:r>
      <w:proofErr w:type="spellEnd"/>
      <w:r w:rsidRPr="00797EE5">
        <w:rPr>
          <w:spacing w:val="-2"/>
          <w:sz w:val="24"/>
          <w:szCs w:val="24"/>
        </w:rPr>
        <w:t xml:space="preserve"> og </w:t>
      </w:r>
      <w:proofErr w:type="spellStart"/>
      <w:r w:rsidRPr="00797EE5">
        <w:rPr>
          <w:spacing w:val="-2"/>
          <w:sz w:val="24"/>
          <w:szCs w:val="24"/>
        </w:rPr>
        <w:t>glandula</w:t>
      </w:r>
      <w:proofErr w:type="spellEnd"/>
      <w:r w:rsidRPr="00797EE5">
        <w:rPr>
          <w:spacing w:val="-2"/>
          <w:sz w:val="24"/>
          <w:szCs w:val="24"/>
        </w:rPr>
        <w:t xml:space="preserve"> </w:t>
      </w:r>
      <w:proofErr w:type="spellStart"/>
      <w:r w:rsidRPr="00797EE5">
        <w:rPr>
          <w:spacing w:val="-2"/>
          <w:sz w:val="24"/>
          <w:szCs w:val="24"/>
        </w:rPr>
        <w:t>submandibularis</w:t>
      </w:r>
      <w:proofErr w:type="spellEnd"/>
      <w:r w:rsidRPr="00797EE5">
        <w:rPr>
          <w:spacing w:val="-2"/>
          <w:sz w:val="24"/>
          <w:szCs w:val="24"/>
        </w:rPr>
        <w:t>.</w:t>
      </w:r>
    </w:p>
    <w:p w:rsidR="00A250D2" w:rsidRDefault="00A250D2" w:rsidP="00A250D2">
      <w:pPr>
        <w:ind w:left="851"/>
        <w:rPr>
          <w:spacing w:val="-2"/>
          <w:sz w:val="24"/>
          <w:szCs w:val="24"/>
        </w:rPr>
      </w:pPr>
    </w:p>
    <w:tbl>
      <w:tblPr>
        <w:tblW w:w="850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9"/>
        <w:gridCol w:w="1183"/>
        <w:gridCol w:w="993"/>
        <w:gridCol w:w="1984"/>
        <w:gridCol w:w="1040"/>
        <w:gridCol w:w="2126"/>
      </w:tblGrid>
      <w:tr w:rsidR="00A250D2" w:rsidRPr="001644A3" w:rsidTr="00FF3346">
        <w:trPr>
          <w:cantSplit/>
          <w:tblHeader/>
        </w:trPr>
        <w:tc>
          <w:tcPr>
            <w:tcW w:w="1179" w:type="dxa"/>
            <w:shd w:val="clear" w:color="auto" w:fill="auto"/>
            <w:tcMar>
              <w:left w:w="38" w:type="dxa"/>
              <w:right w:w="38" w:type="dxa"/>
            </w:tcMar>
            <w:vAlign w:val="bottom"/>
          </w:tcPr>
          <w:p w:rsidR="00A250D2" w:rsidRPr="001E1167" w:rsidRDefault="00A250D2" w:rsidP="00FF3346">
            <w:pPr>
              <w:keepNext/>
              <w:keepLines/>
              <w:widowControl w:val="0"/>
              <w:spacing w:before="40" w:after="40"/>
              <w:rPr>
                <w:b/>
                <w:sz w:val="20"/>
              </w:rPr>
            </w:pPr>
          </w:p>
        </w:tc>
        <w:tc>
          <w:tcPr>
            <w:tcW w:w="1183" w:type="dxa"/>
          </w:tcPr>
          <w:p w:rsidR="00A250D2" w:rsidRPr="001E1167" w:rsidRDefault="00A250D2" w:rsidP="00FF3346">
            <w:pPr>
              <w:keepNext/>
              <w:keepLines/>
              <w:widowControl w:val="0"/>
              <w:spacing w:before="40" w:after="40"/>
              <w:jc w:val="center"/>
              <w:rPr>
                <w:b/>
                <w:sz w:val="20"/>
              </w:rPr>
            </w:pPr>
          </w:p>
        </w:tc>
        <w:tc>
          <w:tcPr>
            <w:tcW w:w="2977" w:type="dxa"/>
            <w:gridSpan w:val="2"/>
          </w:tcPr>
          <w:p w:rsidR="00A250D2" w:rsidRPr="006253F5" w:rsidRDefault="00A250D2" w:rsidP="00FF3346">
            <w:pPr>
              <w:keepNext/>
              <w:keepLines/>
              <w:widowControl w:val="0"/>
              <w:spacing w:before="40" w:after="40"/>
              <w:jc w:val="center"/>
              <w:rPr>
                <w:b/>
                <w:sz w:val="20"/>
              </w:rPr>
            </w:pPr>
            <w:proofErr w:type="spellStart"/>
            <w:r w:rsidRPr="001E1167">
              <w:rPr>
                <w:b/>
                <w:sz w:val="20"/>
              </w:rPr>
              <w:t>uSFR</w:t>
            </w:r>
            <w:proofErr w:type="spellEnd"/>
            <w:r w:rsidRPr="001E1167">
              <w:rPr>
                <w:b/>
                <w:sz w:val="20"/>
              </w:rPr>
              <w:t xml:space="preserve"> (g/min)</w:t>
            </w:r>
          </w:p>
        </w:tc>
        <w:tc>
          <w:tcPr>
            <w:tcW w:w="3166" w:type="dxa"/>
            <w:gridSpan w:val="2"/>
          </w:tcPr>
          <w:p w:rsidR="00A250D2" w:rsidRPr="00552BDD" w:rsidRDefault="00A250D2" w:rsidP="00FF3346">
            <w:pPr>
              <w:keepNext/>
              <w:keepLines/>
              <w:widowControl w:val="0"/>
              <w:spacing w:before="40" w:after="40"/>
              <w:jc w:val="center"/>
              <w:rPr>
                <w:b/>
                <w:sz w:val="20"/>
              </w:rPr>
            </w:pPr>
            <w:r w:rsidRPr="00705DED">
              <w:rPr>
                <w:b/>
                <w:sz w:val="20"/>
              </w:rPr>
              <w:t>GICS (point</w:t>
            </w:r>
            <w:r w:rsidRPr="00552BDD">
              <w:rPr>
                <w:b/>
                <w:sz w:val="20"/>
              </w:rPr>
              <w:t>)</w:t>
            </w:r>
          </w:p>
        </w:tc>
      </w:tr>
      <w:tr w:rsidR="00A250D2" w:rsidRPr="001644A3" w:rsidTr="00FF3346">
        <w:trPr>
          <w:cantSplit/>
          <w:tblHeader/>
        </w:trPr>
        <w:tc>
          <w:tcPr>
            <w:tcW w:w="1179" w:type="dxa"/>
            <w:shd w:val="clear" w:color="auto" w:fill="auto"/>
            <w:tcMar>
              <w:left w:w="38" w:type="dxa"/>
              <w:right w:w="38" w:type="dxa"/>
            </w:tcMar>
            <w:vAlign w:val="bottom"/>
          </w:tcPr>
          <w:p w:rsidR="00A250D2" w:rsidRPr="001E1167" w:rsidRDefault="00A250D2" w:rsidP="00FF3346">
            <w:pPr>
              <w:keepNext/>
              <w:keepLines/>
              <w:widowControl w:val="0"/>
              <w:spacing w:before="40" w:after="40"/>
              <w:rPr>
                <w:b/>
                <w:sz w:val="20"/>
              </w:rPr>
            </w:pPr>
            <w:r w:rsidRPr="00DF7E53">
              <w:rPr>
                <w:b/>
                <w:sz w:val="20"/>
              </w:rPr>
              <w:t>Behandling</w:t>
            </w:r>
          </w:p>
        </w:tc>
        <w:tc>
          <w:tcPr>
            <w:tcW w:w="1183" w:type="dxa"/>
          </w:tcPr>
          <w:p w:rsidR="00A250D2" w:rsidRPr="001E1167" w:rsidRDefault="00A250D2" w:rsidP="00FF3346">
            <w:pPr>
              <w:keepNext/>
              <w:keepLines/>
              <w:widowControl w:val="0"/>
              <w:spacing w:before="40" w:after="40"/>
              <w:jc w:val="center"/>
              <w:rPr>
                <w:b/>
                <w:sz w:val="20"/>
              </w:rPr>
            </w:pPr>
            <w:r w:rsidRPr="001E1167">
              <w:rPr>
                <w:b/>
                <w:sz w:val="20"/>
              </w:rPr>
              <w:t>Ti</w:t>
            </w:r>
            <w:r w:rsidRPr="00DF7E53">
              <w:rPr>
                <w:b/>
                <w:sz w:val="20"/>
              </w:rPr>
              <w:t>dspunkt</w:t>
            </w:r>
          </w:p>
        </w:tc>
        <w:tc>
          <w:tcPr>
            <w:tcW w:w="993" w:type="dxa"/>
            <w:vAlign w:val="bottom"/>
          </w:tcPr>
          <w:p w:rsidR="00A250D2" w:rsidRPr="001E1167" w:rsidRDefault="00A250D2" w:rsidP="00FF3346">
            <w:pPr>
              <w:keepNext/>
              <w:keepLines/>
              <w:widowControl w:val="0"/>
              <w:spacing w:before="40" w:after="40"/>
              <w:jc w:val="center"/>
              <w:rPr>
                <w:b/>
                <w:sz w:val="20"/>
              </w:rPr>
            </w:pPr>
            <w:r w:rsidRPr="001E1167">
              <w:rPr>
                <w:b/>
                <w:sz w:val="20"/>
              </w:rPr>
              <w:t xml:space="preserve">n </w:t>
            </w:r>
            <w:proofErr w:type="spellStart"/>
            <w:r w:rsidRPr="001E1167">
              <w:rPr>
                <w:b/>
                <w:sz w:val="20"/>
              </w:rPr>
              <w:t>obs</w:t>
            </w:r>
            <w:proofErr w:type="spellEnd"/>
          </w:p>
        </w:tc>
        <w:tc>
          <w:tcPr>
            <w:tcW w:w="1984" w:type="dxa"/>
            <w:shd w:val="clear" w:color="auto" w:fill="auto"/>
            <w:vAlign w:val="bottom"/>
          </w:tcPr>
          <w:p w:rsidR="00A250D2" w:rsidRPr="001E1167" w:rsidRDefault="00A250D2" w:rsidP="00FF3346">
            <w:pPr>
              <w:keepNext/>
              <w:keepLines/>
              <w:widowControl w:val="0"/>
              <w:spacing w:before="40" w:after="40"/>
              <w:jc w:val="center"/>
              <w:rPr>
                <w:b/>
                <w:sz w:val="20"/>
              </w:rPr>
            </w:pPr>
            <w:proofErr w:type="gramStart"/>
            <w:r w:rsidRPr="006253F5">
              <w:rPr>
                <w:b/>
                <w:sz w:val="20"/>
              </w:rPr>
              <w:t>LS m</w:t>
            </w:r>
            <w:r w:rsidRPr="00DF7E53">
              <w:rPr>
                <w:b/>
                <w:sz w:val="20"/>
              </w:rPr>
              <w:t>iddelværdi</w:t>
            </w:r>
            <w:proofErr w:type="gramEnd"/>
            <w:r w:rsidRPr="001E1167">
              <w:rPr>
                <w:b/>
                <w:sz w:val="20"/>
              </w:rPr>
              <w:t xml:space="preserve"> (SE)</w:t>
            </w:r>
          </w:p>
        </w:tc>
        <w:tc>
          <w:tcPr>
            <w:tcW w:w="1040" w:type="dxa"/>
            <w:vAlign w:val="bottom"/>
          </w:tcPr>
          <w:p w:rsidR="00A250D2" w:rsidRPr="001E1167" w:rsidRDefault="00A250D2" w:rsidP="00FF3346">
            <w:pPr>
              <w:keepNext/>
              <w:keepLines/>
              <w:widowControl w:val="0"/>
              <w:spacing w:before="40" w:after="40"/>
              <w:jc w:val="center"/>
              <w:rPr>
                <w:b/>
                <w:sz w:val="20"/>
              </w:rPr>
            </w:pPr>
            <w:r w:rsidRPr="001E1167">
              <w:rPr>
                <w:b/>
                <w:sz w:val="20"/>
              </w:rPr>
              <w:t xml:space="preserve">n </w:t>
            </w:r>
            <w:proofErr w:type="spellStart"/>
            <w:r w:rsidRPr="001E1167">
              <w:rPr>
                <w:b/>
                <w:sz w:val="20"/>
              </w:rPr>
              <w:t>obs</w:t>
            </w:r>
            <w:proofErr w:type="spellEnd"/>
          </w:p>
        </w:tc>
        <w:tc>
          <w:tcPr>
            <w:tcW w:w="2126" w:type="dxa"/>
            <w:shd w:val="clear" w:color="auto" w:fill="auto"/>
            <w:tcMar>
              <w:left w:w="38" w:type="dxa"/>
              <w:right w:w="38" w:type="dxa"/>
            </w:tcMar>
            <w:vAlign w:val="bottom"/>
          </w:tcPr>
          <w:p w:rsidR="00A250D2" w:rsidRPr="001E1167" w:rsidRDefault="00A250D2" w:rsidP="00FF3346">
            <w:pPr>
              <w:keepNext/>
              <w:keepLines/>
              <w:widowControl w:val="0"/>
              <w:spacing w:before="40" w:after="40"/>
              <w:jc w:val="center"/>
              <w:rPr>
                <w:b/>
                <w:sz w:val="20"/>
              </w:rPr>
            </w:pPr>
            <w:proofErr w:type="gramStart"/>
            <w:r w:rsidRPr="006253F5">
              <w:rPr>
                <w:b/>
                <w:sz w:val="20"/>
              </w:rPr>
              <w:t>LS m</w:t>
            </w:r>
            <w:r w:rsidRPr="00DF7E53">
              <w:rPr>
                <w:b/>
                <w:sz w:val="20"/>
              </w:rPr>
              <w:t>iddelværdi</w:t>
            </w:r>
            <w:proofErr w:type="gramEnd"/>
            <w:r w:rsidRPr="00DF7E53">
              <w:rPr>
                <w:b/>
                <w:sz w:val="20"/>
              </w:rPr>
              <w:t xml:space="preserve"> </w:t>
            </w:r>
            <w:r w:rsidRPr="001E1167">
              <w:rPr>
                <w:b/>
                <w:sz w:val="20"/>
              </w:rPr>
              <w:t>(SE)</w:t>
            </w:r>
          </w:p>
        </w:tc>
      </w:tr>
      <w:tr w:rsidR="00A250D2" w:rsidRPr="001644A3" w:rsidTr="00FF3346">
        <w:trPr>
          <w:cantSplit/>
        </w:trPr>
        <w:tc>
          <w:tcPr>
            <w:tcW w:w="1179" w:type="dxa"/>
            <w:shd w:val="clear" w:color="auto" w:fill="FFFFFF"/>
            <w:tcMar>
              <w:left w:w="38" w:type="dxa"/>
              <w:right w:w="38" w:type="dxa"/>
            </w:tcMar>
          </w:tcPr>
          <w:p w:rsidR="00A250D2" w:rsidRPr="001E1167" w:rsidRDefault="00A250D2" w:rsidP="00FF3346">
            <w:pPr>
              <w:keepNext/>
              <w:keepLines/>
              <w:ind w:firstLine="159"/>
              <w:rPr>
                <w:sz w:val="20"/>
                <w:lang w:eastAsia="zh-CN"/>
              </w:rPr>
            </w:pPr>
            <w:r w:rsidRPr="001E1167">
              <w:rPr>
                <w:sz w:val="20"/>
                <w:lang w:eastAsia="zh-CN"/>
              </w:rPr>
              <w:t>Placebo</w:t>
            </w:r>
          </w:p>
        </w:tc>
        <w:tc>
          <w:tcPr>
            <w:tcW w:w="1183" w:type="dxa"/>
          </w:tcPr>
          <w:p w:rsidR="00A250D2" w:rsidRPr="001E1167" w:rsidRDefault="00A250D2" w:rsidP="00FF3346">
            <w:pPr>
              <w:keepNext/>
              <w:keepLines/>
              <w:widowControl w:val="0"/>
              <w:spacing w:before="40" w:after="40"/>
              <w:jc w:val="center"/>
              <w:rPr>
                <w:sz w:val="20"/>
              </w:rPr>
            </w:pPr>
            <w:r w:rsidRPr="00DF7E53">
              <w:rPr>
                <w:sz w:val="20"/>
                <w:lang w:eastAsia="zh-CN"/>
              </w:rPr>
              <w:t>Uge</w:t>
            </w:r>
            <w:r w:rsidRPr="001E1167">
              <w:rPr>
                <w:sz w:val="20"/>
                <w:lang w:eastAsia="zh-CN"/>
              </w:rPr>
              <w:t> 4</w:t>
            </w:r>
            <w:r w:rsidRPr="001E1167">
              <w:rPr>
                <w:sz w:val="20"/>
              </w:rPr>
              <w:t xml:space="preserve"> </w:t>
            </w:r>
          </w:p>
        </w:tc>
        <w:tc>
          <w:tcPr>
            <w:tcW w:w="993" w:type="dxa"/>
          </w:tcPr>
          <w:p w:rsidR="00A250D2" w:rsidRPr="006253F5" w:rsidRDefault="00A250D2" w:rsidP="00FF3346">
            <w:pPr>
              <w:keepNext/>
              <w:keepLines/>
              <w:widowControl w:val="0"/>
              <w:spacing w:before="40" w:after="40"/>
              <w:jc w:val="center"/>
              <w:rPr>
                <w:sz w:val="20"/>
              </w:rPr>
            </w:pPr>
            <w:r w:rsidRPr="001E1167">
              <w:rPr>
                <w:sz w:val="20"/>
              </w:rPr>
              <w:t>72</w:t>
            </w:r>
          </w:p>
        </w:tc>
        <w:tc>
          <w:tcPr>
            <w:tcW w:w="1984" w:type="dxa"/>
            <w:shd w:val="clear" w:color="auto" w:fill="auto"/>
          </w:tcPr>
          <w:p w:rsidR="00A250D2" w:rsidRPr="001E1167" w:rsidRDefault="00A250D2" w:rsidP="00FF3346">
            <w:pPr>
              <w:widowControl w:val="0"/>
              <w:spacing w:before="40" w:after="40"/>
              <w:jc w:val="center"/>
              <w:rPr>
                <w:sz w:val="20"/>
              </w:rPr>
            </w:pPr>
            <w:r w:rsidRPr="006253F5">
              <w:rPr>
                <w:sz w:val="20"/>
              </w:rPr>
              <w:t>-0</w:t>
            </w:r>
            <w:r w:rsidRPr="00DF7E53">
              <w:rPr>
                <w:sz w:val="20"/>
              </w:rPr>
              <w:t>,</w:t>
            </w:r>
            <w:r w:rsidRPr="001E1167">
              <w:rPr>
                <w:sz w:val="20"/>
              </w:rPr>
              <w:t>07 (0</w:t>
            </w:r>
            <w:r w:rsidRPr="00DF7E53">
              <w:rPr>
                <w:sz w:val="20"/>
              </w:rPr>
              <w:t>,</w:t>
            </w:r>
            <w:r w:rsidRPr="001E1167">
              <w:rPr>
                <w:sz w:val="20"/>
              </w:rPr>
              <w:t>015)</w:t>
            </w:r>
          </w:p>
        </w:tc>
        <w:tc>
          <w:tcPr>
            <w:tcW w:w="1040" w:type="dxa"/>
          </w:tcPr>
          <w:p w:rsidR="00A250D2" w:rsidRPr="001E1167" w:rsidRDefault="00A250D2" w:rsidP="00FF3346">
            <w:pPr>
              <w:keepNext/>
              <w:keepLines/>
              <w:spacing w:before="40" w:after="40"/>
              <w:jc w:val="center"/>
              <w:rPr>
                <w:color w:val="000000"/>
                <w:sz w:val="20"/>
                <w:lang w:eastAsia="ja-JP"/>
              </w:rPr>
            </w:pPr>
            <w:r w:rsidRPr="001E1167">
              <w:rPr>
                <w:sz w:val="20"/>
              </w:rPr>
              <w:t>72</w:t>
            </w:r>
          </w:p>
        </w:tc>
        <w:tc>
          <w:tcPr>
            <w:tcW w:w="2126" w:type="dxa"/>
            <w:shd w:val="clear" w:color="auto" w:fill="auto"/>
            <w:tcMar>
              <w:left w:w="38" w:type="dxa"/>
              <w:right w:w="38" w:type="dxa"/>
            </w:tcMar>
          </w:tcPr>
          <w:p w:rsidR="00A250D2" w:rsidRPr="001E1167" w:rsidRDefault="00A250D2" w:rsidP="00FF3346">
            <w:pPr>
              <w:keepNext/>
              <w:keepLines/>
              <w:spacing w:before="40" w:after="40"/>
              <w:jc w:val="center"/>
              <w:rPr>
                <w:color w:val="000000"/>
                <w:sz w:val="20"/>
                <w:lang w:eastAsia="ja-JP"/>
              </w:rPr>
            </w:pPr>
            <w:r w:rsidRPr="006253F5">
              <w:rPr>
                <w:color w:val="000000"/>
                <w:sz w:val="20"/>
                <w:lang w:eastAsia="ja-JP"/>
              </w:rPr>
              <w:t>0</w:t>
            </w:r>
            <w:r w:rsidRPr="00DF7E53">
              <w:rPr>
                <w:color w:val="000000"/>
                <w:sz w:val="20"/>
                <w:lang w:eastAsia="ja-JP"/>
              </w:rPr>
              <w:t>,</w:t>
            </w:r>
            <w:r w:rsidRPr="001E1167">
              <w:rPr>
                <w:color w:val="000000"/>
                <w:sz w:val="20"/>
                <w:lang w:eastAsia="ja-JP"/>
              </w:rPr>
              <w:t>63 (0</w:t>
            </w:r>
            <w:r w:rsidRPr="00DF7E53">
              <w:rPr>
                <w:color w:val="000000"/>
                <w:sz w:val="20"/>
                <w:lang w:eastAsia="ja-JP"/>
              </w:rPr>
              <w:t>,</w:t>
            </w:r>
            <w:r w:rsidRPr="001E1167">
              <w:rPr>
                <w:color w:val="000000"/>
                <w:sz w:val="20"/>
                <w:lang w:eastAsia="ja-JP"/>
              </w:rPr>
              <w:t>104)</w:t>
            </w:r>
          </w:p>
        </w:tc>
      </w:tr>
      <w:tr w:rsidR="00A250D2" w:rsidRPr="001644A3" w:rsidTr="00FF3346">
        <w:trPr>
          <w:cantSplit/>
        </w:trPr>
        <w:tc>
          <w:tcPr>
            <w:tcW w:w="1179" w:type="dxa"/>
            <w:vMerge w:val="restart"/>
            <w:shd w:val="clear" w:color="auto" w:fill="FFFFFF"/>
            <w:tcMar>
              <w:left w:w="38" w:type="dxa"/>
              <w:right w:w="38" w:type="dxa"/>
            </w:tcMar>
            <w:vAlign w:val="center"/>
          </w:tcPr>
          <w:p w:rsidR="00A250D2" w:rsidRPr="00755A90" w:rsidRDefault="00A250D2" w:rsidP="00FF3346">
            <w:pPr>
              <w:keepNext/>
              <w:keepLines/>
              <w:jc w:val="center"/>
              <w:rPr>
                <w:sz w:val="20"/>
                <w:lang w:eastAsia="zh-CN"/>
              </w:rPr>
            </w:pPr>
            <w:proofErr w:type="spellStart"/>
            <w:r w:rsidRPr="00755A90">
              <w:rPr>
                <w:sz w:val="20"/>
                <w:lang w:eastAsia="zh-CN"/>
              </w:rPr>
              <w:t>X</w:t>
            </w:r>
            <w:r>
              <w:rPr>
                <w:sz w:val="20"/>
                <w:lang w:eastAsia="zh-CN"/>
              </w:rPr>
              <w:t>eomin</w:t>
            </w:r>
            <w:proofErr w:type="spellEnd"/>
            <w:r w:rsidRPr="00755A90">
              <w:rPr>
                <w:sz w:val="20"/>
                <w:lang w:eastAsia="zh-CN"/>
              </w:rPr>
              <w:t xml:space="preserve"> </w:t>
            </w:r>
            <w:r w:rsidRPr="00DF7E53">
              <w:rPr>
                <w:sz w:val="20"/>
                <w:lang w:eastAsia="zh-CN"/>
              </w:rPr>
              <w:t>i henhold til vægt</w:t>
            </w:r>
            <w:r>
              <w:rPr>
                <w:sz w:val="20"/>
                <w:lang w:eastAsia="zh-CN"/>
              </w:rPr>
              <w:t>klasse</w:t>
            </w:r>
          </w:p>
        </w:tc>
        <w:tc>
          <w:tcPr>
            <w:tcW w:w="1183" w:type="dxa"/>
          </w:tcPr>
          <w:p w:rsidR="00A250D2" w:rsidRPr="001E1167" w:rsidRDefault="00A250D2" w:rsidP="00FF3346">
            <w:pPr>
              <w:keepNext/>
              <w:keepLines/>
              <w:widowControl w:val="0"/>
              <w:spacing w:before="40" w:after="40"/>
              <w:jc w:val="center"/>
              <w:rPr>
                <w:sz w:val="20"/>
              </w:rPr>
            </w:pPr>
            <w:r w:rsidRPr="00DF7E53">
              <w:rPr>
                <w:sz w:val="20"/>
                <w:lang w:eastAsia="zh-CN"/>
              </w:rPr>
              <w:t>Uge</w:t>
            </w:r>
            <w:r w:rsidRPr="001E1167">
              <w:rPr>
                <w:sz w:val="20"/>
                <w:lang w:eastAsia="zh-CN"/>
              </w:rPr>
              <w:t> 4</w:t>
            </w:r>
          </w:p>
        </w:tc>
        <w:tc>
          <w:tcPr>
            <w:tcW w:w="993" w:type="dxa"/>
          </w:tcPr>
          <w:p w:rsidR="00A250D2" w:rsidRPr="001E1167" w:rsidRDefault="00A250D2" w:rsidP="00FF3346">
            <w:pPr>
              <w:keepNext/>
              <w:keepLines/>
              <w:widowControl w:val="0"/>
              <w:spacing w:before="40" w:after="40"/>
              <w:jc w:val="center"/>
              <w:rPr>
                <w:sz w:val="20"/>
              </w:rPr>
            </w:pPr>
            <w:r w:rsidRPr="001E1167">
              <w:rPr>
                <w:sz w:val="20"/>
              </w:rPr>
              <w:t>148</w:t>
            </w:r>
          </w:p>
        </w:tc>
        <w:tc>
          <w:tcPr>
            <w:tcW w:w="1984" w:type="dxa"/>
            <w:shd w:val="clear" w:color="auto" w:fill="auto"/>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14 (0</w:t>
            </w:r>
            <w:r w:rsidRPr="00DF7E53">
              <w:rPr>
                <w:sz w:val="20"/>
              </w:rPr>
              <w:t>,</w:t>
            </w:r>
            <w:r w:rsidRPr="001E1167">
              <w:rPr>
                <w:sz w:val="20"/>
              </w:rPr>
              <w:t>012)</w:t>
            </w:r>
          </w:p>
        </w:tc>
        <w:tc>
          <w:tcPr>
            <w:tcW w:w="1040" w:type="dxa"/>
          </w:tcPr>
          <w:p w:rsidR="00A250D2" w:rsidRPr="001E1167" w:rsidRDefault="00A250D2" w:rsidP="00FF3346">
            <w:pPr>
              <w:keepNext/>
              <w:keepLines/>
              <w:widowControl w:val="0"/>
              <w:spacing w:before="40" w:after="40"/>
              <w:jc w:val="center"/>
              <w:rPr>
                <w:sz w:val="20"/>
              </w:rPr>
            </w:pPr>
            <w:r w:rsidRPr="001E1167">
              <w:rPr>
                <w:sz w:val="20"/>
              </w:rPr>
              <w:t>148</w:t>
            </w:r>
          </w:p>
        </w:tc>
        <w:tc>
          <w:tcPr>
            <w:tcW w:w="2126" w:type="dxa"/>
            <w:shd w:val="clear" w:color="auto" w:fill="auto"/>
            <w:tcMar>
              <w:left w:w="38" w:type="dxa"/>
              <w:right w:w="38" w:type="dxa"/>
            </w:tcMar>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91 (0</w:t>
            </w:r>
            <w:r w:rsidRPr="00DF7E53">
              <w:rPr>
                <w:sz w:val="20"/>
              </w:rPr>
              <w:t>,</w:t>
            </w:r>
            <w:r w:rsidRPr="001E1167">
              <w:rPr>
                <w:sz w:val="20"/>
              </w:rPr>
              <w:t>075)</w:t>
            </w:r>
          </w:p>
        </w:tc>
      </w:tr>
      <w:tr w:rsidR="00A250D2" w:rsidRPr="001644A3" w:rsidTr="00FF3346">
        <w:trPr>
          <w:cantSplit/>
        </w:trPr>
        <w:tc>
          <w:tcPr>
            <w:tcW w:w="1179" w:type="dxa"/>
            <w:vMerge/>
            <w:shd w:val="clear" w:color="auto" w:fill="FFFFFF"/>
            <w:tcMar>
              <w:left w:w="38" w:type="dxa"/>
              <w:right w:w="38" w:type="dxa"/>
            </w:tcMar>
          </w:tcPr>
          <w:p w:rsidR="00A250D2" w:rsidRPr="001E1167" w:rsidRDefault="00A250D2" w:rsidP="00FF3346">
            <w:pPr>
              <w:keepNext/>
              <w:keepLines/>
              <w:spacing w:before="40" w:after="40"/>
              <w:ind w:left="57" w:firstLine="157"/>
              <w:rPr>
                <w:sz w:val="20"/>
                <w:lang w:eastAsia="zh-CN"/>
              </w:rPr>
            </w:pPr>
          </w:p>
        </w:tc>
        <w:tc>
          <w:tcPr>
            <w:tcW w:w="1183" w:type="dxa"/>
          </w:tcPr>
          <w:p w:rsidR="00A250D2" w:rsidRPr="001E1167" w:rsidRDefault="00A250D2" w:rsidP="00FF3346">
            <w:pPr>
              <w:keepNext/>
              <w:keepLines/>
              <w:widowControl w:val="0"/>
              <w:spacing w:before="40" w:after="40"/>
              <w:jc w:val="center"/>
              <w:rPr>
                <w:sz w:val="20"/>
                <w:lang w:eastAsia="zh-CN"/>
              </w:rPr>
            </w:pPr>
            <w:r w:rsidRPr="00DF7E53">
              <w:rPr>
                <w:sz w:val="20"/>
                <w:lang w:eastAsia="zh-CN"/>
              </w:rPr>
              <w:t>Uge</w:t>
            </w:r>
            <w:r w:rsidRPr="001E1167">
              <w:rPr>
                <w:sz w:val="20"/>
                <w:lang w:eastAsia="zh-CN"/>
              </w:rPr>
              <w:t> 8</w:t>
            </w:r>
          </w:p>
        </w:tc>
        <w:tc>
          <w:tcPr>
            <w:tcW w:w="993" w:type="dxa"/>
          </w:tcPr>
          <w:p w:rsidR="00A250D2" w:rsidRPr="001E1167" w:rsidRDefault="00A250D2" w:rsidP="00FF3346">
            <w:pPr>
              <w:keepNext/>
              <w:keepLines/>
              <w:widowControl w:val="0"/>
              <w:spacing w:before="40" w:after="40"/>
              <w:jc w:val="center"/>
              <w:rPr>
                <w:sz w:val="20"/>
              </w:rPr>
            </w:pPr>
            <w:r w:rsidRPr="001E1167">
              <w:rPr>
                <w:sz w:val="20"/>
              </w:rPr>
              <w:t>146</w:t>
            </w:r>
          </w:p>
        </w:tc>
        <w:tc>
          <w:tcPr>
            <w:tcW w:w="1984" w:type="dxa"/>
            <w:shd w:val="clear" w:color="auto" w:fill="auto"/>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16 (0</w:t>
            </w:r>
            <w:r w:rsidRPr="00DF7E53">
              <w:rPr>
                <w:sz w:val="20"/>
              </w:rPr>
              <w:t>,</w:t>
            </w:r>
            <w:r w:rsidRPr="001E1167">
              <w:rPr>
                <w:sz w:val="20"/>
              </w:rPr>
              <w:t>012)</w:t>
            </w:r>
          </w:p>
        </w:tc>
        <w:tc>
          <w:tcPr>
            <w:tcW w:w="1040" w:type="dxa"/>
          </w:tcPr>
          <w:p w:rsidR="00A250D2" w:rsidRPr="001E1167" w:rsidRDefault="00A250D2" w:rsidP="00FF3346">
            <w:pPr>
              <w:keepNext/>
              <w:keepLines/>
              <w:widowControl w:val="0"/>
              <w:spacing w:before="40" w:after="40"/>
              <w:jc w:val="center"/>
              <w:rPr>
                <w:sz w:val="20"/>
              </w:rPr>
            </w:pPr>
            <w:r w:rsidRPr="001E1167">
              <w:rPr>
                <w:sz w:val="20"/>
              </w:rPr>
              <w:t>146</w:t>
            </w:r>
          </w:p>
        </w:tc>
        <w:tc>
          <w:tcPr>
            <w:tcW w:w="2126" w:type="dxa"/>
            <w:shd w:val="clear" w:color="auto" w:fill="auto"/>
            <w:tcMar>
              <w:left w:w="38" w:type="dxa"/>
              <w:right w:w="38" w:type="dxa"/>
            </w:tcMar>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94 (0</w:t>
            </w:r>
            <w:r w:rsidRPr="00DF7E53">
              <w:rPr>
                <w:sz w:val="20"/>
              </w:rPr>
              <w:t>,</w:t>
            </w:r>
            <w:r w:rsidRPr="001E1167">
              <w:rPr>
                <w:sz w:val="20"/>
              </w:rPr>
              <w:t>068)</w:t>
            </w:r>
          </w:p>
        </w:tc>
      </w:tr>
      <w:tr w:rsidR="00A250D2" w:rsidRPr="001644A3" w:rsidTr="00FF3346">
        <w:trPr>
          <w:cantSplit/>
        </w:trPr>
        <w:tc>
          <w:tcPr>
            <w:tcW w:w="1179" w:type="dxa"/>
            <w:vMerge/>
            <w:shd w:val="clear" w:color="auto" w:fill="FFFFFF"/>
            <w:tcMar>
              <w:left w:w="38" w:type="dxa"/>
              <w:right w:w="38" w:type="dxa"/>
            </w:tcMar>
          </w:tcPr>
          <w:p w:rsidR="00A250D2" w:rsidRPr="001E1167" w:rsidRDefault="00A250D2" w:rsidP="00FF3346">
            <w:pPr>
              <w:keepNext/>
              <w:keepLines/>
              <w:spacing w:before="40" w:after="40"/>
              <w:ind w:left="57" w:firstLine="157"/>
              <w:rPr>
                <w:sz w:val="20"/>
                <w:lang w:eastAsia="zh-CN"/>
              </w:rPr>
            </w:pPr>
          </w:p>
        </w:tc>
        <w:tc>
          <w:tcPr>
            <w:tcW w:w="1183" w:type="dxa"/>
          </w:tcPr>
          <w:p w:rsidR="00A250D2" w:rsidRPr="001E1167" w:rsidRDefault="00A250D2" w:rsidP="00FF3346">
            <w:pPr>
              <w:keepNext/>
              <w:keepLines/>
              <w:widowControl w:val="0"/>
              <w:spacing w:before="40" w:after="40"/>
              <w:jc w:val="center"/>
              <w:rPr>
                <w:sz w:val="20"/>
              </w:rPr>
            </w:pPr>
            <w:r w:rsidRPr="00DF7E53">
              <w:rPr>
                <w:sz w:val="20"/>
                <w:lang w:eastAsia="zh-CN"/>
              </w:rPr>
              <w:t>Uge</w:t>
            </w:r>
            <w:r w:rsidRPr="001E1167">
              <w:rPr>
                <w:sz w:val="20"/>
                <w:lang w:eastAsia="zh-CN"/>
              </w:rPr>
              <w:t> 12</w:t>
            </w:r>
          </w:p>
        </w:tc>
        <w:tc>
          <w:tcPr>
            <w:tcW w:w="993" w:type="dxa"/>
          </w:tcPr>
          <w:p w:rsidR="00A250D2" w:rsidRPr="001E1167" w:rsidRDefault="00A250D2" w:rsidP="00FF3346">
            <w:pPr>
              <w:keepNext/>
              <w:keepLines/>
              <w:widowControl w:val="0"/>
              <w:spacing w:before="40" w:after="40"/>
              <w:jc w:val="center"/>
              <w:rPr>
                <w:sz w:val="20"/>
              </w:rPr>
            </w:pPr>
            <w:r w:rsidRPr="001E1167">
              <w:rPr>
                <w:sz w:val="20"/>
              </w:rPr>
              <w:t>147</w:t>
            </w:r>
          </w:p>
        </w:tc>
        <w:tc>
          <w:tcPr>
            <w:tcW w:w="1984" w:type="dxa"/>
            <w:shd w:val="clear" w:color="auto" w:fill="auto"/>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16 (0</w:t>
            </w:r>
            <w:r w:rsidRPr="00DF7E53">
              <w:rPr>
                <w:sz w:val="20"/>
              </w:rPr>
              <w:t>,</w:t>
            </w:r>
            <w:r w:rsidRPr="001E1167">
              <w:rPr>
                <w:sz w:val="20"/>
              </w:rPr>
              <w:t>013)</w:t>
            </w:r>
          </w:p>
        </w:tc>
        <w:tc>
          <w:tcPr>
            <w:tcW w:w="1040" w:type="dxa"/>
          </w:tcPr>
          <w:p w:rsidR="00A250D2" w:rsidRPr="001E1167" w:rsidRDefault="00A250D2" w:rsidP="00FF3346">
            <w:pPr>
              <w:keepNext/>
              <w:keepLines/>
              <w:widowControl w:val="0"/>
              <w:spacing w:before="40" w:after="40"/>
              <w:jc w:val="center"/>
              <w:rPr>
                <w:sz w:val="20"/>
              </w:rPr>
            </w:pPr>
            <w:r w:rsidRPr="001E1167">
              <w:rPr>
                <w:sz w:val="20"/>
              </w:rPr>
              <w:t>147</w:t>
            </w:r>
          </w:p>
        </w:tc>
        <w:tc>
          <w:tcPr>
            <w:tcW w:w="2126" w:type="dxa"/>
            <w:shd w:val="clear" w:color="auto" w:fill="auto"/>
            <w:tcMar>
              <w:left w:w="38" w:type="dxa"/>
              <w:right w:w="38" w:type="dxa"/>
            </w:tcMar>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87 (0</w:t>
            </w:r>
            <w:r w:rsidRPr="00DF7E53">
              <w:rPr>
                <w:sz w:val="20"/>
              </w:rPr>
              <w:t>,</w:t>
            </w:r>
            <w:r w:rsidRPr="001E1167">
              <w:rPr>
                <w:sz w:val="20"/>
              </w:rPr>
              <w:t>073)</w:t>
            </w:r>
          </w:p>
        </w:tc>
      </w:tr>
      <w:tr w:rsidR="00A250D2" w:rsidRPr="001644A3" w:rsidTr="00FF3346">
        <w:trPr>
          <w:cantSplit/>
        </w:trPr>
        <w:tc>
          <w:tcPr>
            <w:tcW w:w="1179" w:type="dxa"/>
            <w:vMerge/>
            <w:shd w:val="clear" w:color="auto" w:fill="FFFFFF"/>
            <w:tcMar>
              <w:left w:w="38" w:type="dxa"/>
              <w:right w:w="38" w:type="dxa"/>
            </w:tcMar>
          </w:tcPr>
          <w:p w:rsidR="00A250D2" w:rsidRPr="001E1167" w:rsidRDefault="00A250D2" w:rsidP="00FF3346">
            <w:pPr>
              <w:keepNext/>
              <w:keepLines/>
              <w:spacing w:before="40" w:after="40"/>
              <w:ind w:left="57" w:firstLine="157"/>
              <w:rPr>
                <w:sz w:val="20"/>
                <w:lang w:eastAsia="zh-CN"/>
              </w:rPr>
            </w:pPr>
          </w:p>
        </w:tc>
        <w:tc>
          <w:tcPr>
            <w:tcW w:w="1183" w:type="dxa"/>
          </w:tcPr>
          <w:p w:rsidR="00A250D2" w:rsidRPr="001E1167" w:rsidRDefault="00A250D2" w:rsidP="00FF3346">
            <w:pPr>
              <w:keepNext/>
              <w:keepLines/>
              <w:widowControl w:val="0"/>
              <w:spacing w:before="40" w:after="40"/>
              <w:jc w:val="center"/>
              <w:rPr>
                <w:sz w:val="20"/>
              </w:rPr>
            </w:pPr>
            <w:r w:rsidRPr="00DF7E53">
              <w:rPr>
                <w:sz w:val="20"/>
                <w:lang w:eastAsia="zh-CN"/>
              </w:rPr>
              <w:t>Uge</w:t>
            </w:r>
            <w:r w:rsidRPr="001E1167">
              <w:rPr>
                <w:sz w:val="20"/>
                <w:lang w:eastAsia="zh-CN"/>
              </w:rPr>
              <w:t> 16</w:t>
            </w:r>
          </w:p>
        </w:tc>
        <w:tc>
          <w:tcPr>
            <w:tcW w:w="993" w:type="dxa"/>
          </w:tcPr>
          <w:p w:rsidR="00A250D2" w:rsidRPr="001E1167" w:rsidRDefault="00A250D2" w:rsidP="00FF3346">
            <w:pPr>
              <w:keepNext/>
              <w:keepLines/>
              <w:widowControl w:val="0"/>
              <w:spacing w:before="40" w:after="40"/>
              <w:jc w:val="center"/>
              <w:rPr>
                <w:sz w:val="20"/>
              </w:rPr>
            </w:pPr>
            <w:r w:rsidRPr="001E1167">
              <w:rPr>
                <w:sz w:val="20"/>
              </w:rPr>
              <w:t>145</w:t>
            </w:r>
          </w:p>
        </w:tc>
        <w:tc>
          <w:tcPr>
            <w:tcW w:w="1984" w:type="dxa"/>
            <w:shd w:val="clear" w:color="auto" w:fill="auto"/>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15 (0</w:t>
            </w:r>
            <w:r w:rsidRPr="00DF7E53">
              <w:rPr>
                <w:sz w:val="20"/>
              </w:rPr>
              <w:t>,</w:t>
            </w:r>
            <w:r w:rsidRPr="001E1167">
              <w:rPr>
                <w:sz w:val="20"/>
              </w:rPr>
              <w:t>013)</w:t>
            </w:r>
          </w:p>
        </w:tc>
        <w:tc>
          <w:tcPr>
            <w:tcW w:w="1040" w:type="dxa"/>
          </w:tcPr>
          <w:p w:rsidR="00A250D2" w:rsidRPr="001E1167" w:rsidRDefault="00A250D2" w:rsidP="00FF3346">
            <w:pPr>
              <w:keepNext/>
              <w:keepLines/>
              <w:widowControl w:val="0"/>
              <w:spacing w:before="40" w:after="40"/>
              <w:jc w:val="center"/>
              <w:rPr>
                <w:sz w:val="20"/>
              </w:rPr>
            </w:pPr>
            <w:r w:rsidRPr="001E1167">
              <w:rPr>
                <w:sz w:val="20"/>
              </w:rPr>
              <w:t>146</w:t>
            </w:r>
          </w:p>
        </w:tc>
        <w:tc>
          <w:tcPr>
            <w:tcW w:w="2126" w:type="dxa"/>
            <w:shd w:val="clear" w:color="auto" w:fill="auto"/>
            <w:tcMar>
              <w:left w:w="38" w:type="dxa"/>
              <w:right w:w="38" w:type="dxa"/>
            </w:tcMar>
          </w:tcPr>
          <w:p w:rsidR="00A250D2" w:rsidRPr="001E1167" w:rsidRDefault="00A250D2" w:rsidP="00FF3346">
            <w:pPr>
              <w:keepNext/>
              <w:keepLines/>
              <w:widowControl w:val="0"/>
              <w:spacing w:before="40" w:after="40"/>
              <w:jc w:val="center"/>
              <w:rPr>
                <w:sz w:val="20"/>
              </w:rPr>
            </w:pPr>
            <w:r w:rsidRPr="006253F5">
              <w:rPr>
                <w:sz w:val="20"/>
              </w:rPr>
              <w:t>0</w:t>
            </w:r>
            <w:r w:rsidRPr="00DF7E53">
              <w:rPr>
                <w:sz w:val="20"/>
              </w:rPr>
              <w:t>,</w:t>
            </w:r>
            <w:r w:rsidRPr="001E1167">
              <w:rPr>
                <w:sz w:val="20"/>
              </w:rPr>
              <w:t>77 (0</w:t>
            </w:r>
            <w:r w:rsidRPr="00DF7E53">
              <w:rPr>
                <w:sz w:val="20"/>
              </w:rPr>
              <w:t>,</w:t>
            </w:r>
            <w:r w:rsidRPr="001E1167">
              <w:rPr>
                <w:sz w:val="20"/>
              </w:rPr>
              <w:t>070)</w:t>
            </w:r>
          </w:p>
        </w:tc>
      </w:tr>
      <w:tr w:rsidR="00A250D2" w:rsidRPr="00C36073" w:rsidTr="00FF3346">
        <w:trPr>
          <w:cantSplit/>
        </w:trPr>
        <w:tc>
          <w:tcPr>
            <w:tcW w:w="8505" w:type="dxa"/>
            <w:gridSpan w:val="6"/>
            <w:shd w:val="clear" w:color="auto" w:fill="FFFFFF"/>
          </w:tcPr>
          <w:p w:rsidR="00A250D2" w:rsidRPr="00DF7E53" w:rsidRDefault="00A250D2" w:rsidP="00FF3346">
            <w:pPr>
              <w:keepNext/>
              <w:keepLines/>
              <w:widowControl w:val="0"/>
              <w:jc w:val="both"/>
              <w:rPr>
                <w:i/>
                <w:sz w:val="20"/>
                <w:lang w:eastAsia="zh-CN"/>
              </w:rPr>
            </w:pPr>
            <w:r>
              <w:rPr>
                <w:i/>
                <w:sz w:val="20"/>
                <w:lang w:eastAsia="zh-CN"/>
              </w:rPr>
              <w:t xml:space="preserve"> </w:t>
            </w:r>
            <w:proofErr w:type="spellStart"/>
            <w:r w:rsidRPr="00DF7E53">
              <w:rPr>
                <w:i/>
                <w:sz w:val="20"/>
                <w:lang w:eastAsia="zh-CN"/>
              </w:rPr>
              <w:t>uSFR</w:t>
            </w:r>
            <w:proofErr w:type="spellEnd"/>
            <w:r w:rsidRPr="00DF7E53">
              <w:rPr>
                <w:i/>
                <w:sz w:val="20"/>
                <w:lang w:eastAsia="zh-CN"/>
              </w:rPr>
              <w:t xml:space="preserve">: </w:t>
            </w:r>
            <w:r w:rsidRPr="009D273E">
              <w:rPr>
                <w:i/>
                <w:sz w:val="20"/>
                <w:lang w:eastAsia="zh-CN"/>
              </w:rPr>
              <w:t xml:space="preserve">Ikke stimuleret spytafsondringshastighed; GICS: Global </w:t>
            </w:r>
            <w:proofErr w:type="spellStart"/>
            <w:r w:rsidRPr="009D273E">
              <w:rPr>
                <w:i/>
                <w:sz w:val="20"/>
                <w:lang w:eastAsia="zh-CN"/>
              </w:rPr>
              <w:t>Impression</w:t>
            </w:r>
            <w:proofErr w:type="spellEnd"/>
            <w:r w:rsidRPr="009D273E">
              <w:rPr>
                <w:i/>
                <w:sz w:val="20"/>
                <w:lang w:eastAsia="zh-CN"/>
              </w:rPr>
              <w:t xml:space="preserve"> of Change </w:t>
            </w:r>
            <w:proofErr w:type="spellStart"/>
            <w:r w:rsidRPr="009D273E">
              <w:rPr>
                <w:i/>
                <w:sz w:val="20"/>
                <w:lang w:eastAsia="zh-CN"/>
              </w:rPr>
              <w:t>Scale</w:t>
            </w:r>
            <w:proofErr w:type="spellEnd"/>
            <w:r w:rsidRPr="009D273E">
              <w:rPr>
                <w:i/>
                <w:sz w:val="20"/>
                <w:lang w:eastAsia="zh-CN"/>
              </w:rPr>
              <w:t xml:space="preserve"> (skala for global vurdering af ændring)</w:t>
            </w:r>
            <w:r w:rsidRPr="00DF7E53">
              <w:rPr>
                <w:i/>
                <w:sz w:val="20"/>
                <w:lang w:eastAsia="zh-CN"/>
              </w:rPr>
              <w:t>;</w:t>
            </w:r>
          </w:p>
          <w:p w:rsidR="00A250D2" w:rsidRPr="00DF7E53" w:rsidRDefault="00A250D2" w:rsidP="00FF3346">
            <w:pPr>
              <w:keepNext/>
              <w:keepLines/>
              <w:widowControl w:val="0"/>
              <w:jc w:val="both"/>
              <w:rPr>
                <w:i/>
                <w:sz w:val="24"/>
                <w:szCs w:val="24"/>
                <w:lang w:eastAsia="zh-CN"/>
              </w:rPr>
            </w:pPr>
            <w:r w:rsidRPr="00DF7E53">
              <w:rPr>
                <w:i/>
                <w:sz w:val="20"/>
                <w:lang w:eastAsia="zh-CN"/>
              </w:rPr>
              <w:t xml:space="preserve"> n </w:t>
            </w:r>
            <w:proofErr w:type="spellStart"/>
            <w:r w:rsidRPr="00DF7E53">
              <w:rPr>
                <w:i/>
                <w:sz w:val="20"/>
                <w:lang w:eastAsia="zh-CN"/>
              </w:rPr>
              <w:t>obs</w:t>
            </w:r>
            <w:proofErr w:type="spellEnd"/>
            <w:r w:rsidRPr="00DF7E53">
              <w:rPr>
                <w:i/>
                <w:sz w:val="20"/>
                <w:lang w:eastAsia="zh-CN"/>
              </w:rPr>
              <w:t xml:space="preserve">: </w:t>
            </w:r>
            <w:r w:rsidRPr="009D273E">
              <w:rPr>
                <w:i/>
                <w:sz w:val="20"/>
                <w:lang w:eastAsia="zh-CN"/>
              </w:rPr>
              <w:t>Antal</w:t>
            </w:r>
            <w:r>
              <w:rPr>
                <w:i/>
                <w:sz w:val="20"/>
                <w:lang w:eastAsia="zh-CN"/>
              </w:rPr>
              <w:t xml:space="preserve"> observerede; LS: forskellen i middelværdien fra baseline; SE: standardafvigelse</w:t>
            </w:r>
          </w:p>
        </w:tc>
      </w:tr>
    </w:tbl>
    <w:p w:rsidR="00A250D2" w:rsidRPr="00C36073" w:rsidRDefault="00A250D2" w:rsidP="00A250D2">
      <w:pPr>
        <w:ind w:left="851"/>
        <w:rPr>
          <w:spacing w:val="-2"/>
          <w:sz w:val="24"/>
          <w:szCs w:val="24"/>
        </w:rPr>
      </w:pPr>
    </w:p>
    <w:p w:rsidR="00A250D2" w:rsidRPr="00DF7E53" w:rsidRDefault="00A250D2" w:rsidP="00A250D2">
      <w:pPr>
        <w:ind w:left="851"/>
        <w:rPr>
          <w:spacing w:val="-2"/>
          <w:sz w:val="24"/>
          <w:szCs w:val="24"/>
        </w:rPr>
      </w:pPr>
      <w:r>
        <w:rPr>
          <w:spacing w:val="-2"/>
          <w:sz w:val="24"/>
          <w:szCs w:val="24"/>
        </w:rPr>
        <w:t xml:space="preserve">Den bekræftende analyse af begge </w:t>
      </w:r>
      <w:proofErr w:type="spellStart"/>
      <w:r>
        <w:rPr>
          <w:spacing w:val="-2"/>
          <w:sz w:val="24"/>
          <w:szCs w:val="24"/>
        </w:rPr>
        <w:t>co</w:t>
      </w:r>
      <w:proofErr w:type="spellEnd"/>
      <w:r>
        <w:rPr>
          <w:spacing w:val="-2"/>
          <w:sz w:val="24"/>
          <w:szCs w:val="24"/>
        </w:rPr>
        <w:t>-primære effektvariable (</w:t>
      </w:r>
      <w:proofErr w:type="spellStart"/>
      <w:r>
        <w:rPr>
          <w:spacing w:val="-2"/>
          <w:sz w:val="24"/>
          <w:szCs w:val="24"/>
        </w:rPr>
        <w:t>uSFR</w:t>
      </w:r>
      <w:proofErr w:type="spellEnd"/>
      <w:r>
        <w:rPr>
          <w:spacing w:val="-2"/>
          <w:sz w:val="24"/>
          <w:szCs w:val="24"/>
        </w:rPr>
        <w:t xml:space="preserve"> og GICS ved uge 4 efter injektionen) viste statistisk signifikant og klinisk relevant forbedring i </w:t>
      </w:r>
      <w:proofErr w:type="spellStart"/>
      <w:r>
        <w:rPr>
          <w:spacing w:val="-2"/>
          <w:sz w:val="24"/>
          <w:szCs w:val="24"/>
        </w:rPr>
        <w:t>Xeomin</w:t>
      </w:r>
      <w:proofErr w:type="spellEnd"/>
      <w:r>
        <w:rPr>
          <w:spacing w:val="-2"/>
          <w:sz w:val="24"/>
          <w:szCs w:val="24"/>
        </w:rPr>
        <w:t>-gruppen sammenlignet med placebo</w:t>
      </w:r>
      <w:r w:rsidRPr="00DF7E53">
        <w:rPr>
          <w:spacing w:val="-2"/>
          <w:sz w:val="24"/>
          <w:szCs w:val="24"/>
        </w:rPr>
        <w:t xml:space="preserve">. For begge effektparametre blev der observeret statistisk </w:t>
      </w:r>
      <w:r w:rsidRPr="00DF7E53">
        <w:rPr>
          <w:spacing w:val="-2"/>
          <w:sz w:val="24"/>
          <w:szCs w:val="24"/>
        </w:rPr>
        <w:lastRenderedPageBreak/>
        <w:t>signifikante forskelle mellem behandlings</w:t>
      </w:r>
      <w:r>
        <w:rPr>
          <w:spacing w:val="-2"/>
          <w:sz w:val="24"/>
          <w:szCs w:val="24"/>
        </w:rPr>
        <w:t>grupperne indtil slutningen af behandlingsperioden ved uge 16</w:t>
      </w:r>
      <w:r w:rsidRPr="00DF7E53">
        <w:rPr>
          <w:spacing w:val="-2"/>
          <w:sz w:val="24"/>
          <w:szCs w:val="24"/>
        </w:rPr>
        <w:t>.</w:t>
      </w:r>
    </w:p>
    <w:p w:rsidR="00A250D2" w:rsidRPr="00DF7E53" w:rsidRDefault="00A250D2" w:rsidP="00A250D2">
      <w:pPr>
        <w:ind w:left="851"/>
        <w:rPr>
          <w:spacing w:val="-2"/>
          <w:sz w:val="24"/>
          <w:szCs w:val="24"/>
        </w:rPr>
      </w:pPr>
      <w:r w:rsidRPr="00DF7E53">
        <w:rPr>
          <w:spacing w:val="-2"/>
          <w:sz w:val="24"/>
          <w:szCs w:val="24"/>
        </w:rPr>
        <w:t>All</w:t>
      </w:r>
      <w:r w:rsidRPr="00297FE5">
        <w:rPr>
          <w:spacing w:val="-2"/>
          <w:sz w:val="24"/>
          <w:szCs w:val="24"/>
        </w:rPr>
        <w:t>e</w:t>
      </w:r>
      <w:r w:rsidRPr="00DF7E53">
        <w:rPr>
          <w:spacing w:val="-2"/>
          <w:sz w:val="24"/>
          <w:szCs w:val="24"/>
        </w:rPr>
        <w:t xml:space="preserve"> 35 </w:t>
      </w:r>
      <w:r w:rsidRPr="00297FE5">
        <w:rPr>
          <w:spacing w:val="-2"/>
          <w:sz w:val="24"/>
          <w:szCs w:val="24"/>
        </w:rPr>
        <w:t xml:space="preserve">børn i alderen </w:t>
      </w:r>
      <w:r w:rsidRPr="00DF7E53">
        <w:rPr>
          <w:spacing w:val="-2"/>
          <w:sz w:val="24"/>
          <w:szCs w:val="24"/>
        </w:rPr>
        <w:t>2</w:t>
      </w:r>
      <w:r w:rsidRPr="00DF7E53">
        <w:rPr>
          <w:spacing w:val="-2"/>
          <w:sz w:val="24"/>
          <w:szCs w:val="24"/>
        </w:rPr>
        <w:noBreakHyphen/>
        <w:t xml:space="preserve">5 år blev behandlet med </w:t>
      </w:r>
      <w:proofErr w:type="spellStart"/>
      <w:r w:rsidRPr="00DF7E53">
        <w:rPr>
          <w:spacing w:val="-2"/>
          <w:sz w:val="24"/>
          <w:szCs w:val="24"/>
        </w:rPr>
        <w:t>Xeomin</w:t>
      </w:r>
      <w:proofErr w:type="spellEnd"/>
      <w:r w:rsidRPr="00DF7E53">
        <w:rPr>
          <w:spacing w:val="-2"/>
          <w:sz w:val="24"/>
          <w:szCs w:val="24"/>
        </w:rPr>
        <w:t xml:space="preserve"> i henhold til deres vægtklasse, der blev ikke anvendt nogen placeboarm som kontrol, hvilket </w:t>
      </w:r>
      <w:r>
        <w:rPr>
          <w:spacing w:val="-2"/>
          <w:sz w:val="24"/>
          <w:szCs w:val="24"/>
        </w:rPr>
        <w:t xml:space="preserve">viser en forbedring af de undersøgte effektvariabler, som er tilsvarende de forbedringer, der blev observeret hos </w:t>
      </w:r>
      <w:proofErr w:type="spellStart"/>
      <w:r>
        <w:rPr>
          <w:spacing w:val="-2"/>
          <w:sz w:val="24"/>
          <w:szCs w:val="24"/>
        </w:rPr>
        <w:t>Xeomin</w:t>
      </w:r>
      <w:proofErr w:type="spellEnd"/>
      <w:r>
        <w:rPr>
          <w:spacing w:val="-2"/>
          <w:sz w:val="24"/>
          <w:szCs w:val="24"/>
        </w:rPr>
        <w:t xml:space="preserve"> behandlingsgruppen med de 6-17-årige</w:t>
      </w:r>
      <w:r w:rsidRPr="00DF7E53">
        <w:rPr>
          <w:spacing w:val="-2"/>
          <w:sz w:val="24"/>
          <w:szCs w:val="24"/>
        </w:rPr>
        <w:t>.</w:t>
      </w:r>
    </w:p>
    <w:p w:rsidR="00A250D2" w:rsidRPr="00DF7E53" w:rsidRDefault="00A250D2" w:rsidP="00A250D2">
      <w:pPr>
        <w:ind w:left="851"/>
        <w:rPr>
          <w:spacing w:val="-2"/>
          <w:sz w:val="24"/>
          <w:szCs w:val="24"/>
        </w:rPr>
      </w:pPr>
      <w:r w:rsidRPr="00DF7E53">
        <w:rPr>
          <w:spacing w:val="-2"/>
          <w:sz w:val="24"/>
          <w:szCs w:val="24"/>
        </w:rPr>
        <w:t>247 patient</w:t>
      </w:r>
      <w:r w:rsidRPr="00A00331">
        <w:rPr>
          <w:spacing w:val="-2"/>
          <w:sz w:val="24"/>
          <w:szCs w:val="24"/>
        </w:rPr>
        <w:t xml:space="preserve">er deltog i den </w:t>
      </w:r>
      <w:r w:rsidRPr="00DF7E53">
        <w:rPr>
          <w:spacing w:val="-2"/>
          <w:sz w:val="24"/>
          <w:szCs w:val="24"/>
        </w:rPr>
        <w:t xml:space="preserve">efterfølgende første cyklus af den </w:t>
      </w:r>
      <w:r>
        <w:rPr>
          <w:spacing w:val="-2"/>
          <w:sz w:val="24"/>
          <w:szCs w:val="24"/>
        </w:rPr>
        <w:t>åbne forlængelse (</w:t>
      </w:r>
      <w:r w:rsidRPr="00DF7E53">
        <w:rPr>
          <w:i/>
          <w:iCs/>
          <w:spacing w:val="-2"/>
          <w:sz w:val="24"/>
          <w:szCs w:val="24"/>
        </w:rPr>
        <w:t xml:space="preserve">Open-label Extension </w:t>
      </w:r>
      <w:proofErr w:type="spellStart"/>
      <w:r w:rsidRPr="00DF7E53">
        <w:rPr>
          <w:i/>
          <w:iCs/>
          <w:spacing w:val="-2"/>
          <w:sz w:val="24"/>
          <w:szCs w:val="24"/>
        </w:rPr>
        <w:t>Period</w:t>
      </w:r>
      <w:proofErr w:type="spellEnd"/>
      <w:r w:rsidRPr="00DF7E53">
        <w:rPr>
          <w:spacing w:val="-2"/>
          <w:sz w:val="24"/>
          <w:szCs w:val="24"/>
        </w:rPr>
        <w:t xml:space="preserve"> (OLEX). OLEX bestod af</w:t>
      </w:r>
      <w:r>
        <w:rPr>
          <w:spacing w:val="-2"/>
          <w:sz w:val="24"/>
          <w:szCs w:val="24"/>
        </w:rPr>
        <w:t xml:space="preserve"> </w:t>
      </w:r>
      <w:r w:rsidRPr="00DF7E53">
        <w:rPr>
          <w:spacing w:val="-2"/>
          <w:sz w:val="24"/>
          <w:szCs w:val="24"/>
        </w:rPr>
        <w:t>tre yderligere cyklusser med et enkelt behandlingsforløb</w:t>
      </w:r>
      <w:r>
        <w:rPr>
          <w:spacing w:val="-2"/>
          <w:sz w:val="24"/>
          <w:szCs w:val="24"/>
        </w:rPr>
        <w:t xml:space="preserve"> </w:t>
      </w:r>
      <w:r w:rsidRPr="00140795">
        <w:rPr>
          <w:spacing w:val="-2"/>
          <w:sz w:val="24"/>
          <w:szCs w:val="24"/>
        </w:rPr>
        <w:t>hver</w:t>
      </w:r>
      <w:r>
        <w:rPr>
          <w:spacing w:val="-2"/>
          <w:sz w:val="24"/>
          <w:szCs w:val="24"/>
        </w:rPr>
        <w:t xml:space="preserve"> efterfulgt af en 16 ugers observationsperiode</w:t>
      </w:r>
      <w:r w:rsidRPr="00DF7E53">
        <w:rPr>
          <w:spacing w:val="-2"/>
          <w:sz w:val="24"/>
          <w:szCs w:val="24"/>
        </w:rPr>
        <w:t xml:space="preserve">. Alle patienter fik </w:t>
      </w:r>
      <w:proofErr w:type="spellStart"/>
      <w:r w:rsidRPr="00DF7E53">
        <w:rPr>
          <w:spacing w:val="-2"/>
          <w:sz w:val="24"/>
          <w:szCs w:val="24"/>
        </w:rPr>
        <w:t>X</w:t>
      </w:r>
      <w:r>
        <w:rPr>
          <w:spacing w:val="-2"/>
          <w:sz w:val="24"/>
          <w:szCs w:val="24"/>
        </w:rPr>
        <w:t>eomin</w:t>
      </w:r>
      <w:proofErr w:type="spellEnd"/>
      <w:r w:rsidRPr="00DF7E53">
        <w:rPr>
          <w:spacing w:val="-2"/>
          <w:sz w:val="24"/>
          <w:szCs w:val="24"/>
        </w:rPr>
        <w:t xml:space="preserve"> ifølge samme fastsatte doseringsplan </w:t>
      </w:r>
      <w:r>
        <w:rPr>
          <w:spacing w:val="-2"/>
          <w:sz w:val="24"/>
          <w:szCs w:val="24"/>
        </w:rPr>
        <w:t>og</w:t>
      </w:r>
      <w:r w:rsidRPr="00DF7E53">
        <w:rPr>
          <w:spacing w:val="-2"/>
          <w:sz w:val="24"/>
          <w:szCs w:val="24"/>
        </w:rPr>
        <w:t xml:space="preserve"> dosis</w:t>
      </w:r>
      <w:r>
        <w:rPr>
          <w:spacing w:val="-2"/>
          <w:sz w:val="24"/>
          <w:szCs w:val="24"/>
        </w:rPr>
        <w:t>ratio</w:t>
      </w:r>
      <w:r w:rsidRPr="00DF7E53">
        <w:rPr>
          <w:spacing w:val="-2"/>
          <w:sz w:val="24"/>
          <w:szCs w:val="24"/>
        </w:rPr>
        <w:t xml:space="preserve"> som </w:t>
      </w:r>
      <w:r>
        <w:rPr>
          <w:spacing w:val="-2"/>
          <w:sz w:val="24"/>
          <w:szCs w:val="24"/>
        </w:rPr>
        <w:t>blev anvendt i behandlingsperioden</w:t>
      </w:r>
      <w:r w:rsidRPr="00DF7E53">
        <w:rPr>
          <w:spacing w:val="-2"/>
          <w:sz w:val="24"/>
          <w:szCs w:val="24"/>
        </w:rPr>
        <w:t>. I alt 222 patienter gennemførte OLEX. Resultaterne fra OLEX bekræftede de fund, der blev observeret i behandlingsperioden, hvilket viste vedvarende ford</w:t>
      </w:r>
      <w:r>
        <w:rPr>
          <w:spacing w:val="-2"/>
          <w:sz w:val="24"/>
          <w:szCs w:val="24"/>
        </w:rPr>
        <w:t>ele ved behandlingen</w:t>
      </w:r>
      <w:r w:rsidRPr="00DF7E53">
        <w:rPr>
          <w:spacing w:val="-2"/>
          <w:sz w:val="24"/>
          <w:szCs w:val="24"/>
        </w:rPr>
        <w:t xml:space="preserve">. </w:t>
      </w:r>
      <w:r w:rsidRPr="00511201">
        <w:rPr>
          <w:spacing w:val="-2"/>
          <w:sz w:val="24"/>
          <w:szCs w:val="24"/>
        </w:rPr>
        <w:t>Der blev ikke identi</w:t>
      </w:r>
      <w:r w:rsidRPr="00DF7E53">
        <w:rPr>
          <w:spacing w:val="-2"/>
          <w:sz w:val="24"/>
          <w:szCs w:val="24"/>
        </w:rPr>
        <w:t>ficeret nye eller uventede sikkerhedsproblemer.</w:t>
      </w:r>
    </w:p>
    <w:p w:rsidR="00A250D2" w:rsidRDefault="00A250D2" w:rsidP="00A250D2">
      <w:pPr>
        <w:suppressAutoHyphens/>
        <w:ind w:left="851"/>
        <w:rPr>
          <w:spacing w:val="-2"/>
          <w:sz w:val="24"/>
          <w:szCs w:val="24"/>
        </w:rPr>
      </w:pPr>
    </w:p>
    <w:p w:rsidR="00A250D2" w:rsidRDefault="00A250D2" w:rsidP="00A250D2">
      <w:pPr>
        <w:suppressAutoHyphens/>
        <w:ind w:left="851"/>
        <w:rPr>
          <w:spacing w:val="-2"/>
          <w:sz w:val="24"/>
          <w:szCs w:val="24"/>
          <w:u w:val="single"/>
        </w:rPr>
      </w:pPr>
      <w:r>
        <w:rPr>
          <w:spacing w:val="-2"/>
          <w:sz w:val="24"/>
          <w:szCs w:val="24"/>
          <w:u w:val="single"/>
        </w:rPr>
        <w:t>Pædiatrisk population</w:t>
      </w:r>
    </w:p>
    <w:p w:rsidR="00A250D2" w:rsidRDefault="00A250D2" w:rsidP="00A250D2">
      <w:pPr>
        <w:suppressAutoHyphens/>
        <w:ind w:left="851"/>
        <w:rPr>
          <w:spacing w:val="-2"/>
          <w:sz w:val="24"/>
          <w:szCs w:val="24"/>
        </w:rPr>
      </w:pPr>
      <w:r>
        <w:rPr>
          <w:spacing w:val="-2"/>
          <w:sz w:val="24"/>
          <w:szCs w:val="24"/>
        </w:rPr>
        <w:t xml:space="preserve">Det Europæiske Lægemiddelagentur har dispenseret fra kravet om at fremlægge resultaterne af studier med </w:t>
      </w:r>
      <w:proofErr w:type="spellStart"/>
      <w:r>
        <w:rPr>
          <w:spacing w:val="-2"/>
          <w:sz w:val="24"/>
          <w:szCs w:val="24"/>
        </w:rPr>
        <w:t>Xeomin</w:t>
      </w:r>
      <w:proofErr w:type="spellEnd"/>
      <w:r>
        <w:rPr>
          <w:spacing w:val="-2"/>
          <w:sz w:val="24"/>
          <w:szCs w:val="24"/>
        </w:rPr>
        <w:t>:</w:t>
      </w:r>
    </w:p>
    <w:p w:rsidR="00A250D2" w:rsidRDefault="00A250D2" w:rsidP="00A250D2">
      <w:pPr>
        <w:pStyle w:val="Listeafsnit"/>
        <w:numPr>
          <w:ilvl w:val="0"/>
          <w:numId w:val="13"/>
        </w:numPr>
        <w:tabs>
          <w:tab w:val="left" w:pos="1276"/>
        </w:tabs>
        <w:suppressAutoHyphens/>
        <w:ind w:left="1276" w:hanging="425"/>
        <w:rPr>
          <w:spacing w:val="-2"/>
          <w:sz w:val="24"/>
          <w:szCs w:val="24"/>
        </w:rPr>
      </w:pPr>
      <w:r>
        <w:rPr>
          <w:spacing w:val="-2"/>
          <w:sz w:val="24"/>
          <w:szCs w:val="24"/>
        </w:rPr>
        <w:t xml:space="preserve">i alle undergrupper af den pædiatriske population til behandling af </w:t>
      </w:r>
      <w:proofErr w:type="spellStart"/>
      <w:r>
        <w:rPr>
          <w:spacing w:val="-2"/>
          <w:sz w:val="24"/>
          <w:szCs w:val="24"/>
        </w:rPr>
        <w:t>dystoni</w:t>
      </w:r>
      <w:proofErr w:type="spellEnd"/>
      <w:r>
        <w:rPr>
          <w:spacing w:val="-2"/>
          <w:sz w:val="24"/>
          <w:szCs w:val="24"/>
        </w:rPr>
        <w:t xml:space="preserve"> </w:t>
      </w:r>
    </w:p>
    <w:p w:rsidR="00A250D2" w:rsidRDefault="00A250D2" w:rsidP="00A250D2">
      <w:pPr>
        <w:pStyle w:val="Listeafsnit"/>
        <w:numPr>
          <w:ilvl w:val="0"/>
          <w:numId w:val="13"/>
        </w:numPr>
        <w:tabs>
          <w:tab w:val="left" w:pos="1276"/>
        </w:tabs>
        <w:suppressAutoHyphens/>
        <w:ind w:left="1276" w:hanging="425"/>
        <w:rPr>
          <w:spacing w:val="-2"/>
          <w:sz w:val="24"/>
          <w:szCs w:val="24"/>
        </w:rPr>
      </w:pPr>
      <w:r>
        <w:rPr>
          <w:spacing w:val="-2"/>
          <w:sz w:val="24"/>
          <w:szCs w:val="24"/>
        </w:rPr>
        <w:t xml:space="preserve">hos spædbørn og mindre børn i alderen 0 til 24 måneder </w:t>
      </w:r>
      <w:r>
        <w:rPr>
          <w:rFonts w:eastAsia="SimSun"/>
          <w:sz w:val="24"/>
          <w:szCs w:val="24"/>
          <w:lang w:eastAsia="zh-CN"/>
        </w:rPr>
        <w:t xml:space="preserve">til behandling af muskelspasticitet og kronisk </w:t>
      </w:r>
      <w:proofErr w:type="spellStart"/>
      <w:r>
        <w:rPr>
          <w:rFonts w:eastAsia="SimSun"/>
          <w:sz w:val="24"/>
          <w:szCs w:val="24"/>
          <w:lang w:eastAsia="zh-CN"/>
        </w:rPr>
        <w:t>hypersalivation</w:t>
      </w:r>
      <w:proofErr w:type="spellEnd"/>
      <w:r>
        <w:rPr>
          <w:rFonts w:eastAsia="SimSun"/>
          <w:sz w:val="24"/>
          <w:szCs w:val="24"/>
          <w:lang w:eastAsia="zh-CN"/>
        </w:rPr>
        <w:t>.</w:t>
      </w:r>
    </w:p>
    <w:p w:rsidR="00A250D2" w:rsidRDefault="00A250D2" w:rsidP="00A250D2">
      <w:pPr>
        <w:suppressAutoHyphens/>
        <w:ind w:left="851"/>
        <w:rPr>
          <w:spacing w:val="-2"/>
          <w:sz w:val="24"/>
          <w:szCs w:val="24"/>
        </w:rPr>
      </w:pPr>
      <w:r>
        <w:rPr>
          <w:spacing w:val="-2"/>
          <w:sz w:val="24"/>
          <w:szCs w:val="24"/>
        </w:rPr>
        <w:t>Se pkt. 4.2 for oplysninger om pædiatrisk anvendelse.</w:t>
      </w:r>
    </w:p>
    <w:p w:rsidR="0033400D" w:rsidRPr="00F50095" w:rsidRDefault="0033400D" w:rsidP="0033400D">
      <w:pPr>
        <w:ind w:left="851" w:hanging="851"/>
        <w:rPr>
          <w:sz w:val="24"/>
          <w:szCs w:val="24"/>
        </w:rPr>
      </w:pPr>
    </w:p>
    <w:p w:rsidR="0033400D" w:rsidRPr="009A21DF" w:rsidRDefault="0033400D" w:rsidP="0033400D">
      <w:pPr>
        <w:numPr>
          <w:ilvl w:val="1"/>
          <w:numId w:val="3"/>
        </w:numPr>
        <w:ind w:left="851" w:hanging="851"/>
        <w:rPr>
          <w:b/>
          <w:sz w:val="24"/>
          <w:szCs w:val="24"/>
        </w:rPr>
      </w:pPr>
      <w:proofErr w:type="spellStart"/>
      <w:r w:rsidRPr="00F50095">
        <w:rPr>
          <w:b/>
          <w:sz w:val="24"/>
          <w:szCs w:val="24"/>
        </w:rPr>
        <w:t>Farmakokinetiske</w:t>
      </w:r>
      <w:proofErr w:type="spellEnd"/>
      <w:r w:rsidRPr="00F50095">
        <w:rPr>
          <w:b/>
          <w:sz w:val="24"/>
          <w:szCs w:val="24"/>
        </w:rPr>
        <w:t xml:space="preserve"> egenskaber</w:t>
      </w:r>
    </w:p>
    <w:p w:rsidR="0033400D" w:rsidRPr="00F50095" w:rsidRDefault="0033400D" w:rsidP="0033400D">
      <w:pPr>
        <w:suppressAutoHyphens/>
        <w:ind w:left="851" w:hanging="851"/>
        <w:rPr>
          <w:spacing w:val="-2"/>
          <w:sz w:val="24"/>
          <w:szCs w:val="24"/>
          <w:u w:val="single"/>
        </w:rPr>
      </w:pPr>
      <w:r w:rsidRPr="00F50095">
        <w:rPr>
          <w:sz w:val="24"/>
          <w:szCs w:val="24"/>
        </w:rPr>
        <w:tab/>
      </w:r>
      <w:r w:rsidRPr="00F50095">
        <w:rPr>
          <w:spacing w:val="-2"/>
          <w:sz w:val="24"/>
          <w:szCs w:val="24"/>
          <w:u w:val="single"/>
        </w:rPr>
        <w:t>Generel beskrivelse af det aktive stof</w:t>
      </w:r>
    </w:p>
    <w:p w:rsidR="0033400D" w:rsidRPr="00F50095" w:rsidRDefault="0033400D" w:rsidP="0033400D">
      <w:pPr>
        <w:pStyle w:val="BlockQuotation"/>
        <w:tabs>
          <w:tab w:val="clear" w:pos="-720"/>
          <w:tab w:val="clear" w:pos="0"/>
          <w:tab w:val="clear" w:pos="720"/>
          <w:tab w:val="left" w:pos="1304"/>
        </w:tabs>
        <w:ind w:left="851" w:right="0"/>
        <w:jc w:val="left"/>
        <w:rPr>
          <w:rFonts w:ascii="Times New Roman" w:hAnsi="Times New Roman" w:cs="Times New Roman"/>
          <w:sz w:val="24"/>
          <w:szCs w:val="24"/>
          <w:lang w:val="da-DK"/>
        </w:rPr>
      </w:pPr>
      <w:r w:rsidRPr="00F50095">
        <w:rPr>
          <w:rFonts w:ascii="Times New Roman" w:hAnsi="Times New Roman" w:cs="Times New Roman"/>
          <w:sz w:val="24"/>
          <w:szCs w:val="24"/>
          <w:lang w:val="da-DK"/>
        </w:rPr>
        <w:t xml:space="preserve">Klassiske undersøgelser af kinetik og fordeling kan ikke gennemføres med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w:t>
      </w:r>
      <w:proofErr w:type="spellStart"/>
      <w:r w:rsidRPr="00F50095">
        <w:rPr>
          <w:rFonts w:ascii="Times New Roman" w:hAnsi="Times New Roman" w:cs="Times New Roman"/>
          <w:sz w:val="24"/>
          <w:szCs w:val="24"/>
          <w:lang w:val="da-DK"/>
        </w:rPr>
        <w:t>neurotoksin</w:t>
      </w:r>
      <w:proofErr w:type="spellEnd"/>
      <w:r w:rsidRPr="00F50095">
        <w:rPr>
          <w:rFonts w:ascii="Times New Roman" w:hAnsi="Times New Roman" w:cs="Times New Roman"/>
          <w:sz w:val="24"/>
          <w:szCs w:val="24"/>
          <w:lang w:val="da-DK"/>
        </w:rPr>
        <w:t>, fordi det aktive stof administreres i så små mængder (</w:t>
      </w:r>
      <w:proofErr w:type="spellStart"/>
      <w:r w:rsidRPr="00F50095">
        <w:rPr>
          <w:rFonts w:ascii="Times New Roman" w:hAnsi="Times New Roman" w:cs="Times New Roman"/>
          <w:sz w:val="24"/>
          <w:szCs w:val="24"/>
          <w:lang w:val="da-DK"/>
        </w:rPr>
        <w:t>pikogram</w:t>
      </w:r>
      <w:proofErr w:type="spellEnd"/>
      <w:r w:rsidRPr="00F50095">
        <w:rPr>
          <w:rFonts w:ascii="Times New Roman" w:hAnsi="Times New Roman" w:cs="Times New Roman"/>
          <w:sz w:val="24"/>
          <w:szCs w:val="24"/>
          <w:lang w:val="da-DK"/>
        </w:rPr>
        <w:t xml:space="preserve"> pr. injektion), og fordi det bindes så hurtigt og irreversibelt til de </w:t>
      </w:r>
      <w:proofErr w:type="spellStart"/>
      <w:r w:rsidRPr="00F50095">
        <w:rPr>
          <w:rFonts w:ascii="Times New Roman" w:hAnsi="Times New Roman" w:cs="Times New Roman"/>
          <w:sz w:val="24"/>
          <w:szCs w:val="24"/>
          <w:lang w:val="da-DK"/>
        </w:rPr>
        <w:t>kolinerge</w:t>
      </w:r>
      <w:proofErr w:type="spellEnd"/>
      <w:r w:rsidRPr="00F50095">
        <w:rPr>
          <w:rFonts w:ascii="Times New Roman" w:hAnsi="Times New Roman" w:cs="Times New Roman"/>
          <w:sz w:val="24"/>
          <w:szCs w:val="24"/>
          <w:lang w:val="da-DK"/>
        </w:rPr>
        <w:t xml:space="preserve"> nerveterminaler.</w:t>
      </w:r>
    </w:p>
    <w:p w:rsidR="0033400D" w:rsidRPr="00F50095" w:rsidRDefault="0033400D" w:rsidP="0033400D">
      <w:pPr>
        <w:pStyle w:val="BlockQuotation"/>
        <w:tabs>
          <w:tab w:val="clear" w:pos="-720"/>
          <w:tab w:val="clear" w:pos="0"/>
          <w:tab w:val="clear" w:pos="720"/>
          <w:tab w:val="left" w:pos="1304"/>
        </w:tabs>
        <w:ind w:left="851" w:right="0" w:hanging="851"/>
        <w:jc w:val="left"/>
        <w:rPr>
          <w:rFonts w:ascii="Times New Roman" w:hAnsi="Times New Roman" w:cs="Times New Roman"/>
          <w:sz w:val="24"/>
          <w:szCs w:val="24"/>
          <w:lang w:val="da-DK"/>
        </w:rPr>
      </w:pPr>
    </w:p>
    <w:p w:rsidR="0033400D" w:rsidRPr="00F50095" w:rsidRDefault="0033400D" w:rsidP="0033400D">
      <w:pPr>
        <w:pStyle w:val="Text"/>
        <w:ind w:left="851"/>
        <w:jc w:val="left"/>
        <w:rPr>
          <w:rFonts w:ascii="Times New Roman" w:hAnsi="Times New Roman" w:cs="Times New Roman"/>
          <w:sz w:val="24"/>
          <w:szCs w:val="24"/>
          <w:lang w:val="da-DK"/>
        </w:rPr>
      </w:pPr>
      <w:proofErr w:type="spellStart"/>
      <w:r w:rsidRPr="00F50095">
        <w:rPr>
          <w:rFonts w:ascii="Times New Roman" w:hAnsi="Times New Roman" w:cs="Times New Roman"/>
          <w:sz w:val="24"/>
          <w:szCs w:val="24"/>
          <w:lang w:val="da-DK"/>
        </w:rPr>
        <w:t>Nativt</w:t>
      </w:r>
      <w:proofErr w:type="spellEnd"/>
      <w:r w:rsidRPr="00F50095">
        <w:rPr>
          <w:rFonts w:ascii="Times New Roman" w:hAnsi="Times New Roman" w:cs="Times New Roman"/>
          <w:sz w:val="24"/>
          <w:szCs w:val="24"/>
          <w:lang w:val="da-DK"/>
        </w:rPr>
        <w:t xml:space="preserve">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A-toksin er et kompleks med høj molekylvægt, som ud over </w:t>
      </w:r>
      <w:proofErr w:type="spellStart"/>
      <w:r w:rsidRPr="00F50095">
        <w:rPr>
          <w:rFonts w:ascii="Times New Roman" w:hAnsi="Times New Roman" w:cs="Times New Roman"/>
          <w:sz w:val="24"/>
          <w:szCs w:val="24"/>
          <w:lang w:val="da-DK"/>
        </w:rPr>
        <w:t>neurotoksinet</w:t>
      </w:r>
      <w:proofErr w:type="spellEnd"/>
      <w:r w:rsidRPr="00F50095">
        <w:rPr>
          <w:rFonts w:ascii="Times New Roman" w:hAnsi="Times New Roman" w:cs="Times New Roman"/>
          <w:sz w:val="24"/>
          <w:szCs w:val="24"/>
          <w:lang w:val="da-DK"/>
        </w:rPr>
        <w:t xml:space="preserve"> (150 </w:t>
      </w:r>
      <w:proofErr w:type="spellStart"/>
      <w:r w:rsidRPr="00F50095">
        <w:rPr>
          <w:rFonts w:ascii="Times New Roman" w:hAnsi="Times New Roman" w:cs="Times New Roman"/>
          <w:sz w:val="24"/>
          <w:szCs w:val="24"/>
          <w:lang w:val="da-DK"/>
        </w:rPr>
        <w:t>kD</w:t>
      </w:r>
      <w:proofErr w:type="spellEnd"/>
      <w:r w:rsidRPr="00F50095">
        <w:rPr>
          <w:rFonts w:ascii="Times New Roman" w:hAnsi="Times New Roman" w:cs="Times New Roman"/>
          <w:sz w:val="24"/>
          <w:szCs w:val="24"/>
          <w:lang w:val="da-DK"/>
        </w:rPr>
        <w:t xml:space="preserve">) indeholder andre non-toksiske proteiner som </w:t>
      </w:r>
      <w:proofErr w:type="spellStart"/>
      <w:r w:rsidRPr="00F50095">
        <w:rPr>
          <w:rFonts w:ascii="Times New Roman" w:hAnsi="Times New Roman" w:cs="Times New Roman"/>
          <w:sz w:val="24"/>
          <w:szCs w:val="24"/>
          <w:lang w:val="da-DK"/>
        </w:rPr>
        <w:t>hæmagglutininer</w:t>
      </w:r>
      <w:proofErr w:type="spellEnd"/>
      <w:r w:rsidRPr="00F50095">
        <w:rPr>
          <w:rFonts w:ascii="Times New Roman" w:hAnsi="Times New Roman" w:cs="Times New Roman"/>
          <w:sz w:val="24"/>
          <w:szCs w:val="24"/>
          <w:lang w:val="da-DK"/>
        </w:rPr>
        <w:t xml:space="preserve"> og non-</w:t>
      </w:r>
      <w:proofErr w:type="spellStart"/>
      <w:r w:rsidRPr="00F50095">
        <w:rPr>
          <w:rFonts w:ascii="Times New Roman" w:hAnsi="Times New Roman" w:cs="Times New Roman"/>
          <w:sz w:val="24"/>
          <w:szCs w:val="24"/>
          <w:lang w:val="da-DK"/>
        </w:rPr>
        <w:t>hæmagglutininer</w:t>
      </w:r>
      <w:proofErr w:type="spellEnd"/>
      <w:r w:rsidRPr="00F50095">
        <w:rPr>
          <w:rFonts w:ascii="Times New Roman" w:hAnsi="Times New Roman" w:cs="Times New Roman"/>
          <w:sz w:val="24"/>
          <w:szCs w:val="24"/>
          <w:lang w:val="da-DK"/>
        </w:rPr>
        <w:t xml:space="preserve">. Modsat konventionelt fremstillede præparater med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A-toksinkompleks indeholder </w:t>
      </w:r>
      <w:proofErr w:type="spellStart"/>
      <w:r w:rsidRPr="00F50095">
        <w:rPr>
          <w:rFonts w:ascii="Times New Roman" w:hAnsi="Times New Roman" w:cs="Times New Roman"/>
          <w:sz w:val="24"/>
          <w:szCs w:val="24"/>
          <w:lang w:val="da-DK"/>
        </w:rPr>
        <w:t>X</w:t>
      </w:r>
      <w:r>
        <w:rPr>
          <w:rFonts w:ascii="Times New Roman" w:hAnsi="Times New Roman" w:cs="Times New Roman"/>
          <w:sz w:val="24"/>
          <w:szCs w:val="24"/>
          <w:lang w:val="da-DK"/>
        </w:rPr>
        <w:t>eomin</w:t>
      </w:r>
      <w:proofErr w:type="spellEnd"/>
      <w:r w:rsidRPr="00F50095">
        <w:rPr>
          <w:rFonts w:ascii="Times New Roman" w:hAnsi="Times New Roman" w:cs="Times New Roman"/>
          <w:sz w:val="24"/>
          <w:szCs w:val="24"/>
          <w:lang w:val="da-DK"/>
        </w:rPr>
        <w:t xml:space="preserve"> rent (150 </w:t>
      </w:r>
      <w:proofErr w:type="spellStart"/>
      <w:r w:rsidRPr="00F50095">
        <w:rPr>
          <w:rFonts w:ascii="Times New Roman" w:hAnsi="Times New Roman" w:cs="Times New Roman"/>
          <w:sz w:val="24"/>
          <w:szCs w:val="24"/>
          <w:lang w:val="da-DK"/>
        </w:rPr>
        <w:t>kD</w:t>
      </w:r>
      <w:proofErr w:type="spellEnd"/>
      <w:r w:rsidRPr="00F50095">
        <w:rPr>
          <w:rFonts w:ascii="Times New Roman" w:hAnsi="Times New Roman" w:cs="Times New Roman"/>
          <w:sz w:val="24"/>
          <w:szCs w:val="24"/>
          <w:lang w:val="da-DK"/>
        </w:rPr>
        <w:t xml:space="preserve">) </w:t>
      </w:r>
      <w:proofErr w:type="spellStart"/>
      <w:r w:rsidRPr="00F50095">
        <w:rPr>
          <w:rFonts w:ascii="Times New Roman" w:hAnsi="Times New Roman" w:cs="Times New Roman"/>
          <w:sz w:val="24"/>
          <w:szCs w:val="24"/>
          <w:lang w:val="da-DK"/>
        </w:rPr>
        <w:t>neurotoksin</w:t>
      </w:r>
      <w:proofErr w:type="spellEnd"/>
      <w:r w:rsidRPr="00F50095">
        <w:rPr>
          <w:rFonts w:ascii="Times New Roman" w:hAnsi="Times New Roman" w:cs="Times New Roman"/>
          <w:sz w:val="24"/>
          <w:szCs w:val="24"/>
          <w:lang w:val="da-DK"/>
        </w:rPr>
        <w:t>, eftersom det ikke indeholder kompleks</w:t>
      </w:r>
      <w:r w:rsidRPr="00F50095">
        <w:rPr>
          <w:rFonts w:ascii="Times New Roman" w:hAnsi="Times New Roman" w:cs="Times New Roman"/>
          <w:sz w:val="24"/>
          <w:szCs w:val="24"/>
          <w:lang w:val="da-DK"/>
        </w:rPr>
        <w:softHyphen/>
        <w:t xml:space="preserve">dannende proteiner og således har et lavt indhold af fremmede proteiner. </w:t>
      </w:r>
      <w:r w:rsidRPr="00F50095">
        <w:rPr>
          <w:rFonts w:ascii="Times New Roman" w:hAnsi="Times New Roman" w:cs="Times New Roman"/>
          <w:spacing w:val="-2"/>
          <w:sz w:val="24"/>
          <w:szCs w:val="24"/>
          <w:lang w:val="da-DK"/>
        </w:rPr>
        <w:t>Det administrerede indhold af fremmed protein anses for at være en af de faktorer, der medfører sekundært behandlingssvigt</w:t>
      </w:r>
      <w:r w:rsidRPr="00F50095">
        <w:rPr>
          <w:rFonts w:ascii="Times New Roman" w:hAnsi="Times New Roman" w:cs="Times New Roman"/>
          <w:sz w:val="24"/>
          <w:szCs w:val="24"/>
          <w:lang w:val="da-DK"/>
        </w:rPr>
        <w:t>.</w:t>
      </w:r>
    </w:p>
    <w:p w:rsidR="0033400D" w:rsidRPr="00F50095" w:rsidRDefault="0033400D" w:rsidP="0033400D">
      <w:pPr>
        <w:pStyle w:val="Text"/>
        <w:ind w:left="851" w:hanging="851"/>
        <w:jc w:val="left"/>
        <w:rPr>
          <w:rFonts w:ascii="Times New Roman" w:hAnsi="Times New Roman" w:cs="Times New Roman"/>
          <w:sz w:val="24"/>
          <w:szCs w:val="24"/>
          <w:lang w:val="da-DK"/>
        </w:rPr>
      </w:pPr>
    </w:p>
    <w:p w:rsidR="0033400D" w:rsidRPr="00F50095" w:rsidRDefault="0033400D" w:rsidP="0033400D">
      <w:pPr>
        <w:pStyle w:val="Text"/>
        <w:ind w:left="851"/>
        <w:jc w:val="left"/>
        <w:rPr>
          <w:rFonts w:ascii="Times New Roman" w:hAnsi="Times New Roman" w:cs="Times New Roman"/>
          <w:sz w:val="24"/>
          <w:szCs w:val="24"/>
          <w:lang w:val="da-DK"/>
        </w:rPr>
      </w:pPr>
      <w:r w:rsidRPr="00F50095">
        <w:rPr>
          <w:rFonts w:ascii="Times New Roman" w:hAnsi="Times New Roman" w:cs="Times New Roman"/>
          <w:sz w:val="24"/>
          <w:szCs w:val="24"/>
          <w:lang w:val="da-DK"/>
        </w:rPr>
        <w:t xml:space="preserve">Det er påvist, at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w:t>
      </w:r>
      <w:proofErr w:type="spellStart"/>
      <w:r w:rsidRPr="00F50095">
        <w:rPr>
          <w:rFonts w:ascii="Times New Roman" w:hAnsi="Times New Roman" w:cs="Times New Roman"/>
          <w:sz w:val="24"/>
          <w:szCs w:val="24"/>
          <w:lang w:val="da-DK"/>
        </w:rPr>
        <w:t>neurotoksin</w:t>
      </w:r>
      <w:proofErr w:type="spellEnd"/>
      <w:r w:rsidRPr="00F50095">
        <w:rPr>
          <w:rFonts w:ascii="Times New Roman" w:hAnsi="Times New Roman" w:cs="Times New Roman"/>
          <w:sz w:val="24"/>
          <w:szCs w:val="24"/>
          <w:lang w:val="da-DK"/>
        </w:rPr>
        <w:t xml:space="preserve"> gennemgår retrograd </w:t>
      </w:r>
      <w:proofErr w:type="spellStart"/>
      <w:r w:rsidRPr="00F50095">
        <w:rPr>
          <w:rFonts w:ascii="Times New Roman" w:hAnsi="Times New Roman" w:cs="Times New Roman"/>
          <w:sz w:val="24"/>
          <w:szCs w:val="24"/>
          <w:lang w:val="da-DK"/>
        </w:rPr>
        <w:t>aksonal</w:t>
      </w:r>
      <w:proofErr w:type="spellEnd"/>
      <w:r w:rsidRPr="00F50095">
        <w:rPr>
          <w:rFonts w:ascii="Times New Roman" w:hAnsi="Times New Roman" w:cs="Times New Roman"/>
          <w:sz w:val="24"/>
          <w:szCs w:val="24"/>
          <w:lang w:val="da-DK"/>
        </w:rPr>
        <w:t xml:space="preserve"> transport efter intramuskulær injektion. Imidlertid er der ved terapeutisk relevante doser ikke påvist retrograd </w:t>
      </w:r>
      <w:proofErr w:type="spellStart"/>
      <w:r w:rsidRPr="00F50095">
        <w:rPr>
          <w:rFonts w:ascii="Times New Roman" w:hAnsi="Times New Roman" w:cs="Times New Roman"/>
          <w:sz w:val="24"/>
          <w:szCs w:val="24"/>
          <w:lang w:val="da-DK"/>
        </w:rPr>
        <w:t>transsynaptisk</w:t>
      </w:r>
      <w:proofErr w:type="spellEnd"/>
      <w:r w:rsidRPr="00F50095">
        <w:rPr>
          <w:rFonts w:ascii="Times New Roman" w:hAnsi="Times New Roman" w:cs="Times New Roman"/>
          <w:sz w:val="24"/>
          <w:szCs w:val="24"/>
          <w:lang w:val="da-DK"/>
        </w:rPr>
        <w:t xml:space="preserve"> passage af aktivt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w:t>
      </w:r>
      <w:proofErr w:type="spellStart"/>
      <w:r w:rsidRPr="00F50095">
        <w:rPr>
          <w:rFonts w:ascii="Times New Roman" w:hAnsi="Times New Roman" w:cs="Times New Roman"/>
          <w:sz w:val="24"/>
          <w:szCs w:val="24"/>
          <w:lang w:val="da-DK"/>
        </w:rPr>
        <w:t>neurotoksin</w:t>
      </w:r>
      <w:proofErr w:type="spellEnd"/>
      <w:r w:rsidRPr="00F50095">
        <w:rPr>
          <w:rFonts w:ascii="Times New Roman" w:hAnsi="Times New Roman" w:cs="Times New Roman"/>
          <w:sz w:val="24"/>
          <w:szCs w:val="24"/>
          <w:lang w:val="da-DK"/>
        </w:rPr>
        <w:t xml:space="preserve"> ind i central</w:t>
      </w:r>
      <w:r w:rsidRPr="00F50095">
        <w:rPr>
          <w:rFonts w:ascii="Times New Roman" w:hAnsi="Times New Roman" w:cs="Times New Roman"/>
          <w:sz w:val="24"/>
          <w:szCs w:val="24"/>
          <w:lang w:val="da-DK"/>
        </w:rPr>
        <w:softHyphen/>
        <w:t xml:space="preserve">nervesystemet. </w:t>
      </w:r>
    </w:p>
    <w:p w:rsidR="0033400D" w:rsidRPr="00F50095" w:rsidRDefault="0033400D" w:rsidP="0033400D">
      <w:pPr>
        <w:pStyle w:val="Text"/>
        <w:ind w:left="851" w:hanging="851"/>
        <w:jc w:val="left"/>
        <w:rPr>
          <w:rFonts w:ascii="Times New Roman" w:hAnsi="Times New Roman" w:cs="Times New Roman"/>
          <w:sz w:val="24"/>
          <w:szCs w:val="24"/>
          <w:lang w:val="da-DK"/>
        </w:rPr>
      </w:pPr>
    </w:p>
    <w:p w:rsidR="0033400D" w:rsidRPr="00F50095" w:rsidRDefault="0033400D" w:rsidP="0033400D">
      <w:pPr>
        <w:pStyle w:val="Text"/>
        <w:ind w:left="851"/>
        <w:jc w:val="left"/>
        <w:rPr>
          <w:rFonts w:ascii="Times New Roman" w:hAnsi="Times New Roman" w:cs="Times New Roman"/>
          <w:sz w:val="24"/>
          <w:szCs w:val="24"/>
          <w:lang w:val="da-DK"/>
        </w:rPr>
      </w:pPr>
      <w:r w:rsidRPr="00F50095">
        <w:rPr>
          <w:rFonts w:ascii="Times New Roman" w:hAnsi="Times New Roman" w:cs="Times New Roman"/>
          <w:sz w:val="24"/>
          <w:szCs w:val="24"/>
          <w:lang w:val="da-DK"/>
        </w:rPr>
        <w:t xml:space="preserve">Receptorbundet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w:t>
      </w:r>
      <w:proofErr w:type="spellStart"/>
      <w:r w:rsidRPr="00F50095">
        <w:rPr>
          <w:rFonts w:ascii="Times New Roman" w:hAnsi="Times New Roman" w:cs="Times New Roman"/>
          <w:sz w:val="24"/>
          <w:szCs w:val="24"/>
          <w:lang w:val="da-DK"/>
        </w:rPr>
        <w:t>neurotoksin</w:t>
      </w:r>
      <w:proofErr w:type="spellEnd"/>
      <w:r w:rsidRPr="00F50095">
        <w:rPr>
          <w:rFonts w:ascii="Times New Roman" w:hAnsi="Times New Roman" w:cs="Times New Roman"/>
          <w:sz w:val="24"/>
          <w:szCs w:val="24"/>
          <w:lang w:val="da-DK"/>
        </w:rPr>
        <w:t xml:space="preserve"> optages i nerveterminalen ved </w:t>
      </w:r>
      <w:proofErr w:type="spellStart"/>
      <w:r w:rsidRPr="00F50095">
        <w:rPr>
          <w:rFonts w:ascii="Times New Roman" w:hAnsi="Times New Roman" w:cs="Times New Roman"/>
          <w:sz w:val="24"/>
          <w:szCs w:val="24"/>
          <w:lang w:val="da-DK"/>
        </w:rPr>
        <w:t>endocytose</w:t>
      </w:r>
      <w:proofErr w:type="spellEnd"/>
      <w:r w:rsidRPr="00F50095">
        <w:rPr>
          <w:rFonts w:ascii="Times New Roman" w:hAnsi="Times New Roman" w:cs="Times New Roman"/>
          <w:sz w:val="24"/>
          <w:szCs w:val="24"/>
          <w:lang w:val="da-DK"/>
        </w:rPr>
        <w:t xml:space="preserve">, før det når sit mål (SNAP 25), hvorefter det nedbrydes intracellulært. Frit cirkulerende </w:t>
      </w:r>
      <w:proofErr w:type="spellStart"/>
      <w:r w:rsidRPr="00F50095">
        <w:rPr>
          <w:rFonts w:ascii="Times New Roman" w:hAnsi="Times New Roman" w:cs="Times New Roman"/>
          <w:sz w:val="24"/>
          <w:szCs w:val="24"/>
          <w:lang w:val="da-DK"/>
        </w:rPr>
        <w:t>botulinum</w:t>
      </w:r>
      <w:proofErr w:type="spellEnd"/>
      <w:r w:rsidRPr="00F50095">
        <w:rPr>
          <w:rFonts w:ascii="Times New Roman" w:hAnsi="Times New Roman" w:cs="Times New Roman"/>
          <w:sz w:val="24"/>
          <w:szCs w:val="24"/>
          <w:lang w:val="da-DK"/>
        </w:rPr>
        <w:t xml:space="preserve"> type A-</w:t>
      </w:r>
      <w:proofErr w:type="spellStart"/>
      <w:r w:rsidRPr="00F50095">
        <w:rPr>
          <w:rFonts w:ascii="Times New Roman" w:hAnsi="Times New Roman" w:cs="Times New Roman"/>
          <w:sz w:val="24"/>
          <w:szCs w:val="24"/>
          <w:lang w:val="da-DK"/>
        </w:rPr>
        <w:t>neurotoksinmolekyler</w:t>
      </w:r>
      <w:proofErr w:type="spellEnd"/>
      <w:r w:rsidRPr="00F50095">
        <w:rPr>
          <w:rFonts w:ascii="Times New Roman" w:hAnsi="Times New Roman" w:cs="Times New Roman"/>
          <w:sz w:val="24"/>
          <w:szCs w:val="24"/>
          <w:lang w:val="da-DK"/>
        </w:rPr>
        <w:t xml:space="preserve">, der ikke er bundet til </w:t>
      </w:r>
      <w:proofErr w:type="spellStart"/>
      <w:r w:rsidRPr="00F50095">
        <w:rPr>
          <w:rFonts w:ascii="Times New Roman" w:hAnsi="Times New Roman" w:cs="Times New Roman"/>
          <w:sz w:val="24"/>
          <w:szCs w:val="24"/>
          <w:lang w:val="da-DK"/>
        </w:rPr>
        <w:t>præsynaptiske</w:t>
      </w:r>
      <w:proofErr w:type="spellEnd"/>
      <w:r w:rsidRPr="00F50095">
        <w:rPr>
          <w:rFonts w:ascii="Times New Roman" w:hAnsi="Times New Roman" w:cs="Times New Roman"/>
          <w:sz w:val="24"/>
          <w:szCs w:val="24"/>
          <w:lang w:val="da-DK"/>
        </w:rPr>
        <w:t xml:space="preserve"> </w:t>
      </w:r>
      <w:proofErr w:type="spellStart"/>
      <w:r w:rsidRPr="00F50095">
        <w:rPr>
          <w:rFonts w:ascii="Times New Roman" w:hAnsi="Times New Roman" w:cs="Times New Roman"/>
          <w:sz w:val="24"/>
          <w:szCs w:val="24"/>
          <w:lang w:val="da-DK"/>
        </w:rPr>
        <w:t>kolinerge</w:t>
      </w:r>
      <w:proofErr w:type="spellEnd"/>
      <w:r w:rsidRPr="00F50095">
        <w:rPr>
          <w:rFonts w:ascii="Times New Roman" w:hAnsi="Times New Roman" w:cs="Times New Roman"/>
          <w:sz w:val="24"/>
          <w:szCs w:val="24"/>
          <w:lang w:val="da-DK"/>
        </w:rPr>
        <w:t xml:space="preserve"> nerveterminalreceptorer, optages ved fagocytose eller </w:t>
      </w:r>
      <w:proofErr w:type="spellStart"/>
      <w:r w:rsidRPr="00F50095">
        <w:rPr>
          <w:rFonts w:ascii="Times New Roman" w:hAnsi="Times New Roman" w:cs="Times New Roman"/>
          <w:sz w:val="24"/>
          <w:szCs w:val="24"/>
          <w:lang w:val="da-DK"/>
        </w:rPr>
        <w:t>pinocytose</w:t>
      </w:r>
      <w:proofErr w:type="spellEnd"/>
      <w:r w:rsidRPr="00F50095">
        <w:rPr>
          <w:rFonts w:ascii="Times New Roman" w:hAnsi="Times New Roman" w:cs="Times New Roman"/>
          <w:sz w:val="24"/>
          <w:szCs w:val="24"/>
          <w:lang w:val="da-DK"/>
        </w:rPr>
        <w:t xml:space="preserve"> og nedbrudt som ethvert andet frit cirkulerende protein.</w:t>
      </w:r>
    </w:p>
    <w:p w:rsidR="0033400D" w:rsidRPr="00F50095" w:rsidRDefault="0033400D" w:rsidP="0033400D">
      <w:pPr>
        <w:pStyle w:val="BlockQuotation"/>
        <w:tabs>
          <w:tab w:val="clear" w:pos="-720"/>
          <w:tab w:val="clear" w:pos="0"/>
          <w:tab w:val="clear" w:pos="720"/>
          <w:tab w:val="left" w:pos="1304"/>
        </w:tabs>
        <w:ind w:left="851" w:right="0" w:hanging="851"/>
        <w:jc w:val="left"/>
        <w:rPr>
          <w:rFonts w:ascii="Times New Roman" w:hAnsi="Times New Roman" w:cs="Times New Roman"/>
          <w:sz w:val="24"/>
          <w:szCs w:val="24"/>
          <w:lang w:val="da-DK"/>
        </w:rPr>
      </w:pPr>
    </w:p>
    <w:p w:rsidR="0033400D" w:rsidRPr="00F50095"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pacing w:val="-2"/>
          <w:sz w:val="24"/>
          <w:szCs w:val="24"/>
          <w:u w:val="single"/>
          <w:lang w:val="da-DK"/>
        </w:rPr>
      </w:pPr>
      <w:r w:rsidRPr="00F50095">
        <w:rPr>
          <w:rFonts w:ascii="Times New Roman" w:hAnsi="Times New Roman" w:cs="Times New Roman"/>
          <w:spacing w:val="-2"/>
          <w:sz w:val="24"/>
          <w:szCs w:val="24"/>
          <w:u w:val="single"/>
          <w:lang w:val="da-DK"/>
        </w:rPr>
        <w:t>Fordeling af det aktive stof hos patienter:</w:t>
      </w:r>
    </w:p>
    <w:p w:rsidR="0033400D" w:rsidRPr="00F50095" w:rsidRDefault="0033400D" w:rsidP="0033400D">
      <w:pPr>
        <w:pStyle w:val="Brdtekst"/>
        <w:spacing w:after="0"/>
        <w:ind w:left="851"/>
        <w:rPr>
          <w:szCs w:val="24"/>
        </w:rPr>
      </w:pPr>
      <w:r w:rsidRPr="00F50095">
        <w:rPr>
          <w:szCs w:val="24"/>
        </w:rPr>
        <w:t xml:space="preserve">Humane </w:t>
      </w:r>
      <w:proofErr w:type="spellStart"/>
      <w:r w:rsidRPr="00F50095">
        <w:rPr>
          <w:szCs w:val="24"/>
        </w:rPr>
        <w:t>farmakokinetiske</w:t>
      </w:r>
      <w:proofErr w:type="spellEnd"/>
      <w:r w:rsidRPr="00F50095">
        <w:rPr>
          <w:szCs w:val="24"/>
        </w:rPr>
        <w:t xml:space="preserve"> undersøgelser med </w:t>
      </w:r>
      <w:proofErr w:type="spellStart"/>
      <w:r w:rsidRPr="00F50095">
        <w:rPr>
          <w:szCs w:val="24"/>
        </w:rPr>
        <w:t>X</w:t>
      </w:r>
      <w:r>
        <w:rPr>
          <w:szCs w:val="24"/>
        </w:rPr>
        <w:t>eomin</w:t>
      </w:r>
      <w:proofErr w:type="spellEnd"/>
      <w:r w:rsidRPr="00F50095">
        <w:rPr>
          <w:szCs w:val="24"/>
        </w:rPr>
        <w:t xml:space="preserve"> er ikke udført af de ovenfor angivne grunde.</w:t>
      </w:r>
    </w:p>
    <w:p w:rsidR="0033400D" w:rsidRPr="00F50095" w:rsidRDefault="0033400D" w:rsidP="0033400D">
      <w:pPr>
        <w:ind w:left="851" w:hanging="851"/>
        <w:rPr>
          <w:sz w:val="24"/>
          <w:szCs w:val="24"/>
        </w:rPr>
      </w:pPr>
    </w:p>
    <w:p w:rsidR="0033400D" w:rsidRPr="009A21DF" w:rsidRDefault="00E44AD4" w:rsidP="001F264E">
      <w:pPr>
        <w:keepNext/>
        <w:numPr>
          <w:ilvl w:val="1"/>
          <w:numId w:val="4"/>
        </w:numPr>
        <w:ind w:left="851" w:hanging="851"/>
        <w:rPr>
          <w:b/>
          <w:sz w:val="24"/>
          <w:szCs w:val="24"/>
        </w:rPr>
      </w:pPr>
      <w:r>
        <w:rPr>
          <w:b/>
          <w:sz w:val="24"/>
          <w:szCs w:val="24"/>
        </w:rPr>
        <w:t>Non-</w:t>
      </w:r>
      <w:r w:rsidR="0033400D" w:rsidRPr="00F50095">
        <w:rPr>
          <w:b/>
          <w:sz w:val="24"/>
          <w:szCs w:val="24"/>
        </w:rPr>
        <w:t>kliniske sikkerhedsdata</w:t>
      </w:r>
    </w:p>
    <w:p w:rsidR="0033400D" w:rsidRDefault="00E44AD4" w:rsidP="0033400D">
      <w:pPr>
        <w:suppressAutoHyphens/>
        <w:ind w:left="851"/>
        <w:rPr>
          <w:spacing w:val="-2"/>
          <w:sz w:val="24"/>
          <w:szCs w:val="24"/>
        </w:rPr>
      </w:pPr>
      <w:r>
        <w:rPr>
          <w:spacing w:val="-2"/>
          <w:sz w:val="24"/>
          <w:szCs w:val="24"/>
        </w:rPr>
        <w:t>Non-</w:t>
      </w:r>
      <w:r w:rsidR="0033400D">
        <w:rPr>
          <w:spacing w:val="-2"/>
          <w:sz w:val="24"/>
          <w:szCs w:val="24"/>
        </w:rPr>
        <w:t xml:space="preserve">kliniske data viser ingen speciel risiko for mennesker vurderet ud fra konventionelle studier af </w:t>
      </w:r>
      <w:proofErr w:type="spellStart"/>
      <w:r w:rsidR="0033400D">
        <w:rPr>
          <w:spacing w:val="-2"/>
          <w:sz w:val="24"/>
          <w:szCs w:val="24"/>
        </w:rPr>
        <w:t>kardiovaskulær</w:t>
      </w:r>
      <w:proofErr w:type="spellEnd"/>
      <w:r w:rsidR="0033400D">
        <w:rPr>
          <w:spacing w:val="-2"/>
          <w:sz w:val="24"/>
          <w:szCs w:val="24"/>
        </w:rPr>
        <w:t xml:space="preserve"> og </w:t>
      </w:r>
      <w:proofErr w:type="spellStart"/>
      <w:r w:rsidR="0033400D">
        <w:rPr>
          <w:spacing w:val="-2"/>
          <w:sz w:val="24"/>
          <w:szCs w:val="24"/>
        </w:rPr>
        <w:t>intestinal</w:t>
      </w:r>
      <w:proofErr w:type="spellEnd"/>
      <w:r w:rsidR="0033400D">
        <w:rPr>
          <w:spacing w:val="-2"/>
          <w:sz w:val="24"/>
          <w:szCs w:val="24"/>
        </w:rPr>
        <w:t xml:space="preserve"> sikkerhedsfarmakologi.</w:t>
      </w:r>
    </w:p>
    <w:p w:rsidR="0033400D" w:rsidRDefault="0033400D" w:rsidP="0033400D">
      <w:pPr>
        <w:suppressAutoHyphens/>
        <w:ind w:left="851" w:hanging="851"/>
        <w:rPr>
          <w:spacing w:val="-2"/>
          <w:sz w:val="24"/>
          <w:szCs w:val="24"/>
        </w:rPr>
      </w:pPr>
    </w:p>
    <w:p w:rsidR="0033400D" w:rsidRDefault="0033400D" w:rsidP="0033400D">
      <w:pPr>
        <w:suppressAutoHyphens/>
        <w:ind w:left="851"/>
        <w:rPr>
          <w:spacing w:val="-2"/>
          <w:sz w:val="24"/>
          <w:szCs w:val="24"/>
        </w:rPr>
      </w:pPr>
      <w:r>
        <w:rPr>
          <w:spacing w:val="-2"/>
          <w:sz w:val="24"/>
          <w:szCs w:val="24"/>
        </w:rPr>
        <w:t xml:space="preserve">I studier af </w:t>
      </w:r>
      <w:proofErr w:type="spellStart"/>
      <w:r>
        <w:rPr>
          <w:spacing w:val="-2"/>
          <w:sz w:val="24"/>
          <w:szCs w:val="24"/>
        </w:rPr>
        <w:t>Xeomins</w:t>
      </w:r>
      <w:proofErr w:type="spellEnd"/>
      <w:r>
        <w:rPr>
          <w:spacing w:val="-2"/>
          <w:sz w:val="24"/>
          <w:szCs w:val="24"/>
        </w:rPr>
        <w:t xml:space="preserve"> systemiske toksicitet efter intramuskulær injektion i dyr efter gentagne doser var fundene især relateret til stoffets </w:t>
      </w:r>
      <w:proofErr w:type="spellStart"/>
      <w:r>
        <w:rPr>
          <w:spacing w:val="-2"/>
          <w:sz w:val="24"/>
          <w:szCs w:val="24"/>
        </w:rPr>
        <w:t>farmakodynamiske</w:t>
      </w:r>
      <w:proofErr w:type="spellEnd"/>
      <w:r>
        <w:rPr>
          <w:spacing w:val="-2"/>
          <w:sz w:val="24"/>
          <w:szCs w:val="24"/>
        </w:rPr>
        <w:t xml:space="preserve"> virkning, dvs. atoni, parese og atrofi i den injicerede muskel.</w:t>
      </w:r>
    </w:p>
    <w:p w:rsidR="0033400D" w:rsidRDefault="0033400D" w:rsidP="0033400D">
      <w:pPr>
        <w:suppressAutoHyphens/>
        <w:ind w:left="851"/>
        <w:rPr>
          <w:spacing w:val="-2"/>
          <w:sz w:val="24"/>
          <w:szCs w:val="24"/>
        </w:rPr>
      </w:pPr>
    </w:p>
    <w:p w:rsidR="0033400D" w:rsidRDefault="0033400D" w:rsidP="0033400D">
      <w:pPr>
        <w:suppressAutoHyphens/>
        <w:ind w:left="851"/>
        <w:rPr>
          <w:spacing w:val="-2"/>
          <w:sz w:val="24"/>
          <w:szCs w:val="24"/>
        </w:rPr>
      </w:pPr>
      <w:r>
        <w:rPr>
          <w:spacing w:val="-2"/>
          <w:sz w:val="24"/>
          <w:szCs w:val="24"/>
        </w:rPr>
        <w:t xml:space="preserve">Ligeledes blev vægten af den injicerede </w:t>
      </w:r>
      <w:proofErr w:type="spellStart"/>
      <w:r>
        <w:rPr>
          <w:spacing w:val="-2"/>
          <w:sz w:val="24"/>
          <w:szCs w:val="24"/>
        </w:rPr>
        <w:t>submandibulære</w:t>
      </w:r>
      <w:proofErr w:type="spellEnd"/>
      <w:r>
        <w:rPr>
          <w:spacing w:val="-2"/>
          <w:sz w:val="24"/>
          <w:szCs w:val="24"/>
        </w:rPr>
        <w:t xml:space="preserve"> spytkirtel reduceret på alle dosisniveauer, og </w:t>
      </w:r>
      <w:proofErr w:type="spellStart"/>
      <w:r>
        <w:rPr>
          <w:spacing w:val="-2"/>
          <w:sz w:val="24"/>
          <w:szCs w:val="24"/>
        </w:rPr>
        <w:t>acinær</w:t>
      </w:r>
      <w:proofErr w:type="spellEnd"/>
      <w:r>
        <w:rPr>
          <w:spacing w:val="-2"/>
          <w:sz w:val="24"/>
          <w:szCs w:val="24"/>
        </w:rPr>
        <w:t xml:space="preserve"> atrofi i spytkirtlen blev observeret ved den højeste dosis på 40 enheder/kg efter fire gentagne injektioner med </w:t>
      </w:r>
      <w:proofErr w:type="spellStart"/>
      <w:r>
        <w:rPr>
          <w:spacing w:val="-2"/>
          <w:sz w:val="24"/>
          <w:szCs w:val="24"/>
        </w:rPr>
        <w:t>Xeomin</w:t>
      </w:r>
      <w:proofErr w:type="spellEnd"/>
      <w:r>
        <w:rPr>
          <w:spacing w:val="-2"/>
          <w:sz w:val="24"/>
          <w:szCs w:val="24"/>
        </w:rPr>
        <w:t xml:space="preserve"> med 8 ugers intervaller i rotter.</w:t>
      </w:r>
    </w:p>
    <w:p w:rsidR="0033400D" w:rsidRDefault="0033400D" w:rsidP="0033400D">
      <w:pPr>
        <w:suppressAutoHyphens/>
        <w:ind w:left="851" w:hanging="851"/>
        <w:rPr>
          <w:spacing w:val="-2"/>
          <w:sz w:val="24"/>
          <w:szCs w:val="24"/>
        </w:rPr>
      </w:pPr>
    </w:p>
    <w:p w:rsidR="0033400D" w:rsidRDefault="0033400D" w:rsidP="0033400D">
      <w:pPr>
        <w:suppressAutoHyphens/>
        <w:ind w:left="851"/>
        <w:rPr>
          <w:spacing w:val="-2"/>
          <w:sz w:val="24"/>
          <w:szCs w:val="24"/>
        </w:rPr>
      </w:pPr>
      <w:r>
        <w:rPr>
          <w:spacing w:val="-2"/>
          <w:sz w:val="24"/>
          <w:szCs w:val="24"/>
        </w:rPr>
        <w:t xml:space="preserve">Lokal </w:t>
      </w:r>
      <w:proofErr w:type="spellStart"/>
      <w:r>
        <w:rPr>
          <w:spacing w:val="-2"/>
          <w:sz w:val="24"/>
          <w:szCs w:val="24"/>
        </w:rPr>
        <w:t>intolerans</w:t>
      </w:r>
      <w:proofErr w:type="spellEnd"/>
      <w:r>
        <w:rPr>
          <w:spacing w:val="-2"/>
          <w:sz w:val="24"/>
          <w:szCs w:val="24"/>
        </w:rPr>
        <w:t xml:space="preserve"> blev ikke påvist. Studier af </w:t>
      </w:r>
      <w:proofErr w:type="spellStart"/>
      <w:r>
        <w:rPr>
          <w:spacing w:val="-2"/>
          <w:sz w:val="24"/>
          <w:szCs w:val="24"/>
        </w:rPr>
        <w:t>Xeomins</w:t>
      </w:r>
      <w:proofErr w:type="spellEnd"/>
      <w:r>
        <w:rPr>
          <w:spacing w:val="-2"/>
          <w:sz w:val="24"/>
          <w:szCs w:val="24"/>
        </w:rPr>
        <w:t xml:space="preserve"> reproduktionstoksicitet viste hverken uønskede virkninger på fertiliteten hos han- eller hunkaniner eller direkte virkninger for embryoets/fosterets udvikling eller udviklingen før eller efter fødslen hos rotter eller kaniner. I embryotoksicitetsstudier med administration af </w:t>
      </w:r>
      <w:proofErr w:type="spellStart"/>
      <w:r>
        <w:rPr>
          <w:spacing w:val="-2"/>
          <w:sz w:val="24"/>
          <w:szCs w:val="24"/>
        </w:rPr>
        <w:t>Xeomin</w:t>
      </w:r>
      <w:proofErr w:type="spellEnd"/>
      <w:r>
        <w:rPr>
          <w:spacing w:val="-2"/>
          <w:sz w:val="24"/>
          <w:szCs w:val="24"/>
        </w:rPr>
        <w:t xml:space="preserve"> dagligt eller med en eller to ugers interval i dosisniveauer, der udviser </w:t>
      </w:r>
      <w:proofErr w:type="spellStart"/>
      <w:r>
        <w:rPr>
          <w:spacing w:val="-2"/>
          <w:sz w:val="24"/>
          <w:szCs w:val="24"/>
        </w:rPr>
        <w:t>maternel</w:t>
      </w:r>
      <w:proofErr w:type="spellEnd"/>
      <w:r>
        <w:rPr>
          <w:spacing w:val="-2"/>
          <w:sz w:val="24"/>
          <w:szCs w:val="24"/>
        </w:rPr>
        <w:t xml:space="preserve"> vægtreduktion, øgede imidlertid antallet af aborter hos kaniner og nedsatte </w:t>
      </w:r>
      <w:proofErr w:type="spellStart"/>
      <w:r>
        <w:rPr>
          <w:spacing w:val="-2"/>
          <w:sz w:val="24"/>
          <w:szCs w:val="24"/>
        </w:rPr>
        <w:t>føtal</w:t>
      </w:r>
      <w:proofErr w:type="spellEnd"/>
      <w:r>
        <w:rPr>
          <w:spacing w:val="-2"/>
          <w:sz w:val="24"/>
          <w:szCs w:val="24"/>
        </w:rPr>
        <w:t xml:space="preserve"> legemsvægt hos rotter. Det kan dog ikke nødvendigvis antages, at kontinuerlig systemisk eksponering af moder</w:t>
      </w:r>
      <w:r>
        <w:rPr>
          <w:spacing w:val="-2"/>
          <w:sz w:val="24"/>
          <w:szCs w:val="24"/>
        </w:rPr>
        <w:softHyphen/>
        <w:t xml:space="preserve">dyrene i den (ukendte) følsomme fase af </w:t>
      </w:r>
      <w:proofErr w:type="spellStart"/>
      <w:r>
        <w:rPr>
          <w:spacing w:val="-2"/>
          <w:sz w:val="24"/>
          <w:szCs w:val="24"/>
        </w:rPr>
        <w:t>organogenesen</w:t>
      </w:r>
      <w:proofErr w:type="spellEnd"/>
      <w:r>
        <w:rPr>
          <w:spacing w:val="-2"/>
          <w:sz w:val="24"/>
          <w:szCs w:val="24"/>
        </w:rPr>
        <w:t xml:space="preserve"> er forudsætningen for induktion af </w:t>
      </w:r>
      <w:proofErr w:type="spellStart"/>
      <w:r>
        <w:rPr>
          <w:spacing w:val="-2"/>
          <w:sz w:val="24"/>
          <w:szCs w:val="24"/>
        </w:rPr>
        <w:t>teratogene</w:t>
      </w:r>
      <w:proofErr w:type="spellEnd"/>
      <w:r>
        <w:rPr>
          <w:spacing w:val="-2"/>
          <w:sz w:val="24"/>
          <w:szCs w:val="24"/>
        </w:rPr>
        <w:t xml:space="preserve"> virkninger i disse studier. </w:t>
      </w:r>
    </w:p>
    <w:p w:rsidR="0033400D" w:rsidRDefault="0033400D" w:rsidP="0033400D">
      <w:pPr>
        <w:suppressAutoHyphens/>
        <w:ind w:left="851"/>
        <w:rPr>
          <w:spacing w:val="-2"/>
          <w:sz w:val="24"/>
          <w:szCs w:val="24"/>
        </w:rPr>
      </w:pPr>
      <w:bookmarkStart w:id="30" w:name="_Hlk22631654"/>
      <w:bookmarkStart w:id="31" w:name="_Hlk22629798"/>
    </w:p>
    <w:p w:rsidR="0033400D" w:rsidRDefault="0033400D" w:rsidP="0033400D">
      <w:pPr>
        <w:suppressAutoHyphens/>
        <w:ind w:left="851"/>
        <w:rPr>
          <w:spacing w:val="-2"/>
          <w:sz w:val="24"/>
          <w:szCs w:val="24"/>
        </w:rPr>
      </w:pPr>
      <w:r>
        <w:rPr>
          <w:spacing w:val="-2"/>
          <w:sz w:val="24"/>
          <w:szCs w:val="24"/>
        </w:rPr>
        <w:t xml:space="preserve">I et toksicitetsstudie med unge rotter efter fravænning blev der observeret atrofi i testiklernes kimepitel og </w:t>
      </w:r>
      <w:proofErr w:type="spellStart"/>
      <w:r>
        <w:rPr>
          <w:spacing w:val="-2"/>
          <w:sz w:val="24"/>
          <w:szCs w:val="24"/>
        </w:rPr>
        <w:t>hypospermi</w:t>
      </w:r>
      <w:proofErr w:type="spellEnd"/>
      <w:r>
        <w:rPr>
          <w:spacing w:val="-2"/>
          <w:sz w:val="24"/>
          <w:szCs w:val="24"/>
        </w:rPr>
        <w:t xml:space="preserve"> ved den højeste undersøgte dosis (30 enheder/kg/</w:t>
      </w:r>
      <w:proofErr w:type="spellStart"/>
      <w:r>
        <w:rPr>
          <w:spacing w:val="-2"/>
          <w:sz w:val="24"/>
          <w:szCs w:val="24"/>
        </w:rPr>
        <w:t>adm</w:t>
      </w:r>
      <w:proofErr w:type="spellEnd"/>
      <w:r>
        <w:rPr>
          <w:spacing w:val="-2"/>
          <w:sz w:val="24"/>
          <w:szCs w:val="24"/>
        </w:rPr>
        <w:t xml:space="preserve">) uden påvirkning af fertiliteten hos handyr. Når hanner og hunner blev opdelt i par i en alder af 14 uger var parringsevnen reduceret hos hanner, der fik høje doser, muligvis på grund af svaghed i lemmer eller den markant lavere kropsvægt. På grund af manglende effekt på det gennemsnitlige antal af </w:t>
      </w:r>
      <w:proofErr w:type="spellStart"/>
      <w:r>
        <w:rPr>
          <w:spacing w:val="-2"/>
          <w:sz w:val="24"/>
          <w:szCs w:val="24"/>
        </w:rPr>
        <w:t>corpora</w:t>
      </w:r>
      <w:proofErr w:type="spellEnd"/>
      <w:r>
        <w:rPr>
          <w:spacing w:val="-2"/>
          <w:sz w:val="24"/>
          <w:szCs w:val="24"/>
        </w:rPr>
        <w:t xml:space="preserve"> </w:t>
      </w:r>
      <w:proofErr w:type="spellStart"/>
      <w:r>
        <w:rPr>
          <w:spacing w:val="-2"/>
          <w:sz w:val="24"/>
          <w:szCs w:val="24"/>
        </w:rPr>
        <w:t>lutea</w:t>
      </w:r>
      <w:proofErr w:type="spellEnd"/>
      <w:r>
        <w:rPr>
          <w:spacing w:val="-2"/>
          <w:sz w:val="24"/>
          <w:szCs w:val="24"/>
        </w:rPr>
        <w:t xml:space="preserve"> var præimplantationstab øget ved 10 enheder/kg/</w:t>
      </w:r>
      <w:proofErr w:type="spellStart"/>
      <w:r>
        <w:rPr>
          <w:spacing w:val="-2"/>
          <w:sz w:val="24"/>
          <w:szCs w:val="24"/>
        </w:rPr>
        <w:t>adm</w:t>
      </w:r>
      <w:proofErr w:type="spellEnd"/>
      <w:r>
        <w:rPr>
          <w:spacing w:val="-2"/>
          <w:sz w:val="24"/>
          <w:szCs w:val="24"/>
        </w:rPr>
        <w:t xml:space="preserve"> og derover. Hvorvidt dette fund var medieret hos haner eller hunner kunne ikke endegyldigt klarlægges.</w:t>
      </w:r>
    </w:p>
    <w:bookmarkEnd w:id="30"/>
    <w:p w:rsidR="0033400D" w:rsidRDefault="0033400D" w:rsidP="0033400D">
      <w:pPr>
        <w:suppressAutoHyphens/>
        <w:ind w:left="851"/>
        <w:rPr>
          <w:spacing w:val="-2"/>
          <w:sz w:val="24"/>
          <w:szCs w:val="24"/>
        </w:rPr>
      </w:pPr>
    </w:p>
    <w:p w:rsidR="0033400D" w:rsidRDefault="0033400D" w:rsidP="0033400D">
      <w:pPr>
        <w:suppressAutoHyphens/>
        <w:ind w:left="851"/>
        <w:rPr>
          <w:sz w:val="24"/>
          <w:szCs w:val="24"/>
        </w:rPr>
      </w:pPr>
      <w:r>
        <w:rPr>
          <w:spacing w:val="-2"/>
          <w:sz w:val="24"/>
          <w:szCs w:val="24"/>
          <w:lang w:bidi="da-DK"/>
        </w:rPr>
        <w:t>Følgelig var sikkerhedsmarginerne for klinisk behandling generelt lave, hvad angik høje kliniske doser.</w:t>
      </w:r>
    </w:p>
    <w:bookmarkEnd w:id="31"/>
    <w:p w:rsidR="0033400D" w:rsidRDefault="0033400D" w:rsidP="0033400D">
      <w:pPr>
        <w:suppressAutoHyphens/>
        <w:ind w:left="851" w:hanging="851"/>
        <w:rPr>
          <w:spacing w:val="-2"/>
          <w:sz w:val="24"/>
          <w:szCs w:val="24"/>
        </w:rPr>
      </w:pPr>
    </w:p>
    <w:p w:rsidR="0033400D" w:rsidRDefault="0033400D" w:rsidP="0033400D">
      <w:pPr>
        <w:pStyle w:val="Brdtekstindrykning3"/>
        <w:spacing w:after="0"/>
        <w:ind w:left="851"/>
        <w:rPr>
          <w:b/>
          <w:sz w:val="24"/>
          <w:szCs w:val="24"/>
        </w:rPr>
      </w:pPr>
      <w:r>
        <w:rPr>
          <w:sz w:val="24"/>
          <w:szCs w:val="24"/>
        </w:rPr>
        <w:t xml:space="preserve">Der er ikke udført studier af </w:t>
      </w:r>
      <w:proofErr w:type="spellStart"/>
      <w:r>
        <w:rPr>
          <w:sz w:val="24"/>
          <w:szCs w:val="24"/>
        </w:rPr>
        <w:t>Xeomin</w:t>
      </w:r>
      <w:proofErr w:type="spellEnd"/>
      <w:r>
        <w:rPr>
          <w:sz w:val="24"/>
          <w:szCs w:val="24"/>
        </w:rPr>
        <w:t xml:space="preserve"> for genotoksicitet eller </w:t>
      </w:r>
      <w:proofErr w:type="spellStart"/>
      <w:r>
        <w:rPr>
          <w:sz w:val="24"/>
          <w:szCs w:val="24"/>
        </w:rPr>
        <w:t>karcino</w:t>
      </w:r>
      <w:r>
        <w:rPr>
          <w:sz w:val="24"/>
          <w:szCs w:val="24"/>
          <w:lang w:eastAsia="de-DE"/>
        </w:rPr>
        <w:t>gen</w:t>
      </w:r>
      <w:r>
        <w:rPr>
          <w:sz w:val="24"/>
          <w:szCs w:val="24"/>
        </w:rPr>
        <w:t>icitet</w:t>
      </w:r>
      <w:proofErr w:type="spellEnd"/>
      <w:r>
        <w:rPr>
          <w:sz w:val="24"/>
          <w:szCs w:val="24"/>
        </w:rPr>
        <w:t xml:space="preserve">. </w:t>
      </w:r>
    </w:p>
    <w:p w:rsidR="0033400D" w:rsidRPr="00F50095" w:rsidRDefault="0033400D" w:rsidP="0033400D">
      <w:pPr>
        <w:rPr>
          <w:sz w:val="24"/>
          <w:szCs w:val="24"/>
        </w:rPr>
      </w:pPr>
    </w:p>
    <w:p w:rsidR="0033400D" w:rsidRPr="00F50095" w:rsidRDefault="0033400D" w:rsidP="0033400D">
      <w:pPr>
        <w:rPr>
          <w:sz w:val="24"/>
          <w:szCs w:val="24"/>
        </w:rPr>
      </w:pPr>
    </w:p>
    <w:p w:rsidR="0033400D" w:rsidRPr="00F50095" w:rsidRDefault="0033400D" w:rsidP="0033400D">
      <w:pPr>
        <w:numPr>
          <w:ilvl w:val="0"/>
          <w:numId w:val="3"/>
        </w:numPr>
        <w:tabs>
          <w:tab w:val="clear" w:pos="855"/>
        </w:tabs>
        <w:ind w:left="851" w:hanging="851"/>
        <w:rPr>
          <w:b/>
          <w:sz w:val="24"/>
          <w:szCs w:val="24"/>
        </w:rPr>
      </w:pPr>
      <w:r w:rsidRPr="00F50095">
        <w:rPr>
          <w:b/>
          <w:sz w:val="24"/>
          <w:szCs w:val="24"/>
        </w:rPr>
        <w:t>FARMACEUTISKE OPLYSNINGER</w:t>
      </w:r>
    </w:p>
    <w:p w:rsidR="0033400D" w:rsidRPr="00F50095" w:rsidRDefault="0033400D" w:rsidP="0033400D">
      <w:pPr>
        <w:ind w:left="851" w:hanging="851"/>
        <w:rPr>
          <w:b/>
          <w:sz w:val="24"/>
          <w:szCs w:val="24"/>
        </w:rPr>
      </w:pPr>
    </w:p>
    <w:p w:rsidR="0033400D" w:rsidRPr="00F50095" w:rsidRDefault="0033400D" w:rsidP="0033400D">
      <w:pPr>
        <w:numPr>
          <w:ilvl w:val="1"/>
          <w:numId w:val="5"/>
        </w:numPr>
        <w:tabs>
          <w:tab w:val="clear" w:pos="855"/>
        </w:tabs>
        <w:ind w:left="851" w:hanging="851"/>
        <w:rPr>
          <w:b/>
          <w:sz w:val="24"/>
          <w:szCs w:val="24"/>
        </w:rPr>
      </w:pPr>
      <w:r w:rsidRPr="00F50095">
        <w:rPr>
          <w:b/>
          <w:sz w:val="24"/>
          <w:szCs w:val="24"/>
        </w:rPr>
        <w:t>Hjælpestoffer</w:t>
      </w:r>
    </w:p>
    <w:p w:rsidR="0033400D" w:rsidRPr="00F50095" w:rsidRDefault="0033400D" w:rsidP="0033400D">
      <w:pPr>
        <w:pStyle w:val="Brdtekstindrykning3"/>
        <w:spacing w:after="0"/>
        <w:ind w:left="851"/>
        <w:rPr>
          <w:b/>
          <w:sz w:val="24"/>
          <w:szCs w:val="24"/>
        </w:rPr>
      </w:pPr>
      <w:r w:rsidRPr="00F50095">
        <w:rPr>
          <w:sz w:val="24"/>
          <w:szCs w:val="24"/>
        </w:rPr>
        <w:t>Humant albumin</w:t>
      </w:r>
    </w:p>
    <w:p w:rsidR="0033400D" w:rsidRPr="00F50095" w:rsidRDefault="0033400D" w:rsidP="0033400D">
      <w:pPr>
        <w:pStyle w:val="Brdtekstindrykning3"/>
        <w:spacing w:after="0"/>
        <w:ind w:left="851"/>
        <w:rPr>
          <w:b/>
          <w:sz w:val="24"/>
          <w:szCs w:val="24"/>
        </w:rPr>
      </w:pPr>
      <w:proofErr w:type="spellStart"/>
      <w:r w:rsidRPr="00F50095">
        <w:rPr>
          <w:sz w:val="24"/>
          <w:szCs w:val="24"/>
        </w:rPr>
        <w:t>Saccharose</w:t>
      </w:r>
      <w:proofErr w:type="spellEnd"/>
    </w:p>
    <w:p w:rsidR="0033400D" w:rsidRPr="00F50095" w:rsidRDefault="0033400D" w:rsidP="0033400D">
      <w:pPr>
        <w:ind w:left="851" w:hanging="851"/>
        <w:rPr>
          <w:sz w:val="24"/>
          <w:szCs w:val="24"/>
        </w:rPr>
      </w:pPr>
    </w:p>
    <w:p w:rsidR="0033400D" w:rsidRPr="00F50095" w:rsidRDefault="0033400D" w:rsidP="0033400D">
      <w:pPr>
        <w:numPr>
          <w:ilvl w:val="1"/>
          <w:numId w:val="5"/>
        </w:numPr>
        <w:tabs>
          <w:tab w:val="clear" w:pos="855"/>
        </w:tabs>
        <w:ind w:left="851" w:hanging="851"/>
        <w:rPr>
          <w:b/>
          <w:sz w:val="24"/>
          <w:szCs w:val="24"/>
        </w:rPr>
      </w:pPr>
      <w:r w:rsidRPr="00F50095">
        <w:rPr>
          <w:b/>
          <w:sz w:val="24"/>
          <w:szCs w:val="24"/>
        </w:rPr>
        <w:t>Uforligeligheder</w:t>
      </w:r>
    </w:p>
    <w:p w:rsidR="0033400D" w:rsidRPr="00F50095" w:rsidRDefault="0033400D" w:rsidP="0033400D">
      <w:pPr>
        <w:pStyle w:val="Brdtekstindrykning3"/>
        <w:spacing w:after="0"/>
        <w:ind w:left="851"/>
        <w:rPr>
          <w:b/>
          <w:sz w:val="24"/>
          <w:szCs w:val="24"/>
        </w:rPr>
      </w:pPr>
      <w:r w:rsidRPr="00F50095">
        <w:rPr>
          <w:sz w:val="24"/>
          <w:szCs w:val="24"/>
        </w:rPr>
        <w:t>Dette lægemiddel må ikke blandes med andre lægemidler end dem, der er anført under pkt. 6.6.</w:t>
      </w:r>
    </w:p>
    <w:p w:rsidR="0033400D" w:rsidRPr="00F50095" w:rsidRDefault="0033400D" w:rsidP="0033400D">
      <w:pPr>
        <w:ind w:left="851" w:hanging="851"/>
        <w:rPr>
          <w:sz w:val="24"/>
          <w:szCs w:val="24"/>
        </w:rPr>
      </w:pPr>
    </w:p>
    <w:p w:rsidR="0033400D" w:rsidRPr="009A21DF" w:rsidRDefault="0033400D" w:rsidP="0033400D">
      <w:pPr>
        <w:pStyle w:val="Listeafsnit"/>
        <w:numPr>
          <w:ilvl w:val="1"/>
          <w:numId w:val="5"/>
        </w:numPr>
        <w:rPr>
          <w:b/>
          <w:sz w:val="24"/>
          <w:szCs w:val="24"/>
        </w:rPr>
      </w:pPr>
      <w:r w:rsidRPr="00F50095">
        <w:rPr>
          <w:b/>
          <w:sz w:val="24"/>
          <w:szCs w:val="24"/>
        </w:rPr>
        <w:t>Opbevaringstid</w:t>
      </w:r>
    </w:p>
    <w:p w:rsidR="0033400D" w:rsidRDefault="0033400D" w:rsidP="0033400D">
      <w:pPr>
        <w:suppressAutoHyphens/>
        <w:ind w:left="851" w:hanging="851"/>
        <w:rPr>
          <w:spacing w:val="-2"/>
          <w:sz w:val="24"/>
          <w:szCs w:val="24"/>
        </w:rPr>
      </w:pPr>
      <w:r w:rsidRPr="00F50095">
        <w:rPr>
          <w:sz w:val="24"/>
          <w:szCs w:val="24"/>
        </w:rPr>
        <w:tab/>
      </w:r>
      <w:proofErr w:type="spellStart"/>
      <w:r>
        <w:rPr>
          <w:spacing w:val="-2"/>
          <w:sz w:val="24"/>
          <w:szCs w:val="24"/>
        </w:rPr>
        <w:t>Xeomin</w:t>
      </w:r>
      <w:proofErr w:type="spellEnd"/>
      <w:r>
        <w:rPr>
          <w:spacing w:val="-2"/>
          <w:sz w:val="24"/>
          <w:szCs w:val="24"/>
        </w:rPr>
        <w:t xml:space="preserve"> 50 enheder pulver til injektionsvæske, opløsning: 3 år</w:t>
      </w:r>
    </w:p>
    <w:p w:rsidR="0033400D" w:rsidRDefault="0033400D" w:rsidP="0033400D">
      <w:pPr>
        <w:suppressAutoHyphens/>
        <w:ind w:left="851" w:hanging="851"/>
        <w:rPr>
          <w:spacing w:val="-2"/>
          <w:sz w:val="24"/>
          <w:szCs w:val="24"/>
        </w:rPr>
      </w:pPr>
    </w:p>
    <w:p w:rsidR="0033400D" w:rsidRDefault="0033400D" w:rsidP="001F264E">
      <w:pPr>
        <w:pStyle w:val="Brdtekstindrykning2"/>
        <w:keepNext/>
        <w:tabs>
          <w:tab w:val="clear" w:pos="-720"/>
          <w:tab w:val="clear" w:pos="0"/>
          <w:tab w:val="clear" w:pos="720"/>
          <w:tab w:val="left" w:pos="1304"/>
        </w:tabs>
        <w:ind w:left="851"/>
        <w:jc w:val="left"/>
        <w:rPr>
          <w:rFonts w:ascii="Times New Roman" w:hAnsi="Times New Roman" w:cs="Times New Roman"/>
          <w:spacing w:val="-2"/>
          <w:sz w:val="24"/>
          <w:szCs w:val="24"/>
          <w:u w:val="single"/>
          <w:lang w:val="da-DK"/>
        </w:rPr>
      </w:pPr>
      <w:proofErr w:type="spellStart"/>
      <w:r>
        <w:rPr>
          <w:rFonts w:ascii="Times New Roman" w:hAnsi="Times New Roman" w:cs="Times New Roman"/>
          <w:spacing w:val="-2"/>
          <w:sz w:val="24"/>
          <w:szCs w:val="24"/>
          <w:u w:val="single"/>
          <w:lang w:val="da-DK"/>
        </w:rPr>
        <w:lastRenderedPageBreak/>
        <w:t>Rekonstitueret</w:t>
      </w:r>
      <w:proofErr w:type="spellEnd"/>
      <w:r>
        <w:rPr>
          <w:rFonts w:ascii="Times New Roman" w:hAnsi="Times New Roman" w:cs="Times New Roman"/>
          <w:spacing w:val="-2"/>
          <w:sz w:val="24"/>
          <w:szCs w:val="24"/>
          <w:u w:val="single"/>
          <w:lang w:val="da-DK"/>
        </w:rPr>
        <w:t xml:space="preserve"> opløsning:</w:t>
      </w:r>
    </w:p>
    <w:p w:rsidR="0033400D" w:rsidRDefault="0033400D" w:rsidP="0033400D">
      <w:pPr>
        <w:ind w:left="851"/>
        <w:rPr>
          <w:snapToGrid w:val="0"/>
          <w:spacing w:val="-2"/>
          <w:sz w:val="24"/>
          <w:szCs w:val="24"/>
        </w:rPr>
      </w:pPr>
      <w:r>
        <w:rPr>
          <w:snapToGrid w:val="0"/>
          <w:spacing w:val="-2"/>
          <w:sz w:val="24"/>
          <w:szCs w:val="24"/>
        </w:rPr>
        <w:t xml:space="preserve">Kemisk og fysisk holdbarhed efter åbning er påvist i 24 timer ved 2 ºC til 8 ºC. </w:t>
      </w:r>
    </w:p>
    <w:p w:rsidR="0033400D" w:rsidRDefault="0033400D" w:rsidP="0033400D">
      <w:pPr>
        <w:ind w:left="851"/>
        <w:rPr>
          <w:snapToGrid w:val="0"/>
          <w:spacing w:val="-2"/>
          <w:sz w:val="24"/>
          <w:szCs w:val="24"/>
        </w:rPr>
      </w:pPr>
      <w:bookmarkStart w:id="32" w:name="_Hlk22629861"/>
    </w:p>
    <w:bookmarkEnd w:id="32"/>
    <w:p w:rsidR="0033400D" w:rsidRDefault="0033400D" w:rsidP="0033400D">
      <w:pPr>
        <w:ind w:left="851"/>
        <w:rPr>
          <w:sz w:val="24"/>
          <w:szCs w:val="24"/>
        </w:rPr>
      </w:pPr>
      <w:r>
        <w:rPr>
          <w:sz w:val="24"/>
          <w:szCs w:val="24"/>
        </w:rPr>
        <w:t xml:space="preserve">Ud fra et mikrobiologisk synspunkt skal præparatet bruges med det samme. Hvis det ikke bruges med det samme, er opbevaringstid og -betingelser efter anbrud på brugerens eget ansvar, og de må normalt ikke </w:t>
      </w:r>
      <w:r>
        <w:rPr>
          <w:sz w:val="24"/>
          <w:szCs w:val="24"/>
          <w:lang w:eastAsia="da-DK"/>
        </w:rPr>
        <w:t>overstige 24 timer ved 2</w:t>
      </w:r>
      <w:r>
        <w:rPr>
          <w:sz w:val="24"/>
          <w:szCs w:val="24"/>
        </w:rPr>
        <w:t> °</w:t>
      </w:r>
      <w:r>
        <w:rPr>
          <w:sz w:val="24"/>
          <w:szCs w:val="24"/>
          <w:lang w:eastAsia="da-DK"/>
        </w:rPr>
        <w:t xml:space="preserve">C </w:t>
      </w:r>
      <w:r>
        <w:rPr>
          <w:sz w:val="24"/>
          <w:szCs w:val="24"/>
        </w:rPr>
        <w:t>–</w:t>
      </w:r>
      <w:r>
        <w:rPr>
          <w:sz w:val="24"/>
          <w:szCs w:val="24"/>
          <w:lang w:eastAsia="da-DK"/>
        </w:rPr>
        <w:t xml:space="preserve"> 8</w:t>
      </w:r>
      <w:r>
        <w:rPr>
          <w:sz w:val="24"/>
          <w:szCs w:val="24"/>
        </w:rPr>
        <w:t> °</w:t>
      </w:r>
      <w:r>
        <w:rPr>
          <w:sz w:val="24"/>
          <w:szCs w:val="24"/>
          <w:lang w:eastAsia="da-DK"/>
        </w:rPr>
        <w:t xml:space="preserve">C, medmindre </w:t>
      </w:r>
      <w:proofErr w:type="spellStart"/>
      <w:r>
        <w:rPr>
          <w:sz w:val="24"/>
          <w:szCs w:val="24"/>
        </w:rPr>
        <w:t>rekonstitutionen</w:t>
      </w:r>
      <w:proofErr w:type="spellEnd"/>
      <w:r>
        <w:rPr>
          <w:sz w:val="24"/>
          <w:szCs w:val="24"/>
        </w:rPr>
        <w:t xml:space="preserve"> er udført </w:t>
      </w:r>
      <w:r>
        <w:rPr>
          <w:sz w:val="24"/>
          <w:szCs w:val="24"/>
          <w:lang w:eastAsia="da-DK"/>
        </w:rPr>
        <w:t>under kontrollerede og validerede aseptiske betingelser.</w:t>
      </w:r>
    </w:p>
    <w:p w:rsidR="0033400D" w:rsidRPr="00F50095" w:rsidRDefault="0033400D" w:rsidP="0033400D">
      <w:pPr>
        <w:suppressAutoHyphens/>
        <w:ind w:left="851" w:hanging="851"/>
        <w:rPr>
          <w:sz w:val="24"/>
          <w:szCs w:val="24"/>
        </w:rPr>
      </w:pPr>
    </w:p>
    <w:p w:rsidR="0033400D" w:rsidRPr="00F50095" w:rsidRDefault="0033400D" w:rsidP="0033400D">
      <w:pPr>
        <w:numPr>
          <w:ilvl w:val="1"/>
          <w:numId w:val="5"/>
        </w:numPr>
        <w:tabs>
          <w:tab w:val="clear" w:pos="855"/>
        </w:tabs>
        <w:ind w:left="851" w:hanging="851"/>
        <w:rPr>
          <w:b/>
          <w:sz w:val="24"/>
          <w:szCs w:val="24"/>
        </w:rPr>
      </w:pPr>
      <w:r w:rsidRPr="00F50095">
        <w:rPr>
          <w:b/>
          <w:sz w:val="24"/>
          <w:szCs w:val="24"/>
        </w:rPr>
        <w:t>Særlige opbevaringsforhold</w:t>
      </w:r>
    </w:p>
    <w:p w:rsidR="0033400D" w:rsidRPr="00F50095" w:rsidRDefault="0033400D" w:rsidP="0033400D">
      <w:pPr>
        <w:pStyle w:val="Brdtekstindrykning3"/>
        <w:spacing w:after="0"/>
        <w:ind w:left="851" w:hanging="851"/>
        <w:rPr>
          <w:spacing w:val="-2"/>
          <w:sz w:val="24"/>
          <w:szCs w:val="24"/>
        </w:rPr>
      </w:pPr>
      <w:r w:rsidRPr="00F50095">
        <w:rPr>
          <w:sz w:val="24"/>
          <w:szCs w:val="24"/>
        </w:rPr>
        <w:tab/>
      </w:r>
      <w:r w:rsidRPr="00F50095">
        <w:rPr>
          <w:spacing w:val="-2"/>
          <w:sz w:val="24"/>
          <w:szCs w:val="24"/>
        </w:rPr>
        <w:t>Må ikke opbevares ved temperaturer over 25 ºC.</w:t>
      </w:r>
    </w:p>
    <w:p w:rsidR="0033400D" w:rsidRPr="00F50095" w:rsidRDefault="0033400D" w:rsidP="0033400D">
      <w:pPr>
        <w:pStyle w:val="Brdtekstindrykning3"/>
        <w:spacing w:after="0"/>
        <w:ind w:left="851"/>
        <w:rPr>
          <w:sz w:val="24"/>
          <w:szCs w:val="24"/>
        </w:rPr>
      </w:pPr>
      <w:r w:rsidRPr="00F50095">
        <w:rPr>
          <w:sz w:val="24"/>
          <w:szCs w:val="24"/>
        </w:rPr>
        <w:t xml:space="preserve">Opbevaringsbetingelser efter </w:t>
      </w:r>
      <w:proofErr w:type="spellStart"/>
      <w:r w:rsidRPr="00F50095">
        <w:rPr>
          <w:sz w:val="24"/>
          <w:szCs w:val="24"/>
        </w:rPr>
        <w:t>rekonstitution</w:t>
      </w:r>
      <w:proofErr w:type="spellEnd"/>
      <w:r w:rsidRPr="00F50095">
        <w:rPr>
          <w:sz w:val="24"/>
          <w:szCs w:val="24"/>
        </w:rPr>
        <w:t xml:space="preserve"> af lægemidlet, se pkt. 6.3.</w:t>
      </w:r>
    </w:p>
    <w:p w:rsidR="0033400D" w:rsidRPr="00F50095" w:rsidRDefault="0033400D" w:rsidP="0033400D">
      <w:pPr>
        <w:pStyle w:val="Brdtekstindrykning3"/>
        <w:spacing w:after="0"/>
        <w:ind w:left="0"/>
        <w:rPr>
          <w:sz w:val="24"/>
          <w:szCs w:val="24"/>
        </w:rPr>
      </w:pPr>
    </w:p>
    <w:p w:rsidR="0033400D" w:rsidRPr="009A21DF" w:rsidRDefault="0033400D" w:rsidP="0033400D">
      <w:pPr>
        <w:numPr>
          <w:ilvl w:val="1"/>
          <w:numId w:val="5"/>
        </w:numPr>
        <w:tabs>
          <w:tab w:val="clear" w:pos="855"/>
        </w:tabs>
        <w:ind w:left="851" w:hanging="851"/>
        <w:rPr>
          <w:b/>
          <w:sz w:val="24"/>
          <w:szCs w:val="24"/>
        </w:rPr>
      </w:pPr>
      <w:r w:rsidRPr="00F50095">
        <w:rPr>
          <w:b/>
          <w:sz w:val="24"/>
          <w:szCs w:val="24"/>
        </w:rPr>
        <w:t>Emballagetype og pakningsstørrelser</w:t>
      </w:r>
    </w:p>
    <w:p w:rsidR="0033400D" w:rsidRDefault="0033400D" w:rsidP="0033400D">
      <w:pPr>
        <w:ind w:left="851"/>
        <w:rPr>
          <w:sz w:val="24"/>
          <w:szCs w:val="24"/>
        </w:rPr>
      </w:pPr>
      <w:r>
        <w:rPr>
          <w:sz w:val="24"/>
          <w:szCs w:val="24"/>
        </w:rPr>
        <w:t>Hætteglas (type 1-glas) med prop (</w:t>
      </w:r>
      <w:proofErr w:type="spellStart"/>
      <w:r>
        <w:rPr>
          <w:sz w:val="24"/>
          <w:szCs w:val="24"/>
        </w:rPr>
        <w:t>brombutylgummi</w:t>
      </w:r>
      <w:proofErr w:type="spellEnd"/>
      <w:r>
        <w:rPr>
          <w:sz w:val="24"/>
          <w:szCs w:val="24"/>
        </w:rPr>
        <w:t xml:space="preserve">) og forsegling (aluminium). </w:t>
      </w:r>
    </w:p>
    <w:p w:rsidR="0033400D" w:rsidRDefault="0033400D" w:rsidP="0033400D">
      <w:pPr>
        <w:ind w:left="851"/>
        <w:rPr>
          <w:sz w:val="24"/>
          <w:szCs w:val="24"/>
        </w:rPr>
      </w:pPr>
    </w:p>
    <w:p w:rsidR="0033400D" w:rsidRDefault="0033400D" w:rsidP="0033400D">
      <w:pPr>
        <w:ind w:left="851"/>
        <w:rPr>
          <w:sz w:val="24"/>
          <w:szCs w:val="24"/>
        </w:rPr>
      </w:pPr>
      <w:r>
        <w:rPr>
          <w:sz w:val="24"/>
          <w:szCs w:val="24"/>
        </w:rPr>
        <w:t>Pakningsstørrelser: 1, 2, 3 eller 6 hætteglas med hver 50 enheder.</w:t>
      </w:r>
    </w:p>
    <w:p w:rsidR="0033400D" w:rsidRDefault="0033400D" w:rsidP="0033400D">
      <w:pPr>
        <w:ind w:left="851"/>
        <w:rPr>
          <w:sz w:val="24"/>
          <w:szCs w:val="24"/>
        </w:rPr>
      </w:pPr>
    </w:p>
    <w:p w:rsidR="0033400D" w:rsidRDefault="0033400D" w:rsidP="0033400D">
      <w:pPr>
        <w:ind w:left="851"/>
        <w:rPr>
          <w:sz w:val="24"/>
          <w:szCs w:val="24"/>
        </w:rPr>
      </w:pPr>
      <w:r>
        <w:rPr>
          <w:sz w:val="24"/>
          <w:szCs w:val="24"/>
        </w:rPr>
        <w:t>Ikke alle pakningsstørrelser er nødvendigvis markedsført.</w:t>
      </w:r>
    </w:p>
    <w:p w:rsidR="0033400D" w:rsidRPr="00B55591" w:rsidRDefault="0033400D" w:rsidP="0033400D">
      <w:pPr>
        <w:rPr>
          <w:sz w:val="24"/>
          <w:szCs w:val="24"/>
        </w:rPr>
      </w:pPr>
    </w:p>
    <w:p w:rsidR="0033400D" w:rsidRPr="009A21DF" w:rsidRDefault="0033400D" w:rsidP="0033400D">
      <w:pPr>
        <w:numPr>
          <w:ilvl w:val="1"/>
          <w:numId w:val="5"/>
        </w:numPr>
        <w:ind w:left="851" w:hanging="851"/>
        <w:rPr>
          <w:b/>
          <w:sz w:val="24"/>
          <w:szCs w:val="24"/>
        </w:rPr>
      </w:pPr>
      <w:r w:rsidRPr="00F50095">
        <w:rPr>
          <w:b/>
          <w:sz w:val="24"/>
          <w:szCs w:val="24"/>
        </w:rPr>
        <w:t xml:space="preserve">Regler for </w:t>
      </w:r>
      <w:r w:rsidR="00E44AD4">
        <w:rPr>
          <w:b/>
          <w:sz w:val="24"/>
          <w:szCs w:val="24"/>
        </w:rPr>
        <w:t>bortskaffelse</w:t>
      </w:r>
      <w:r w:rsidRPr="00F50095">
        <w:rPr>
          <w:b/>
          <w:sz w:val="24"/>
          <w:szCs w:val="24"/>
        </w:rPr>
        <w:t xml:space="preserve"> og anden håndtering</w:t>
      </w:r>
    </w:p>
    <w:p w:rsidR="0033400D" w:rsidRPr="00F50095" w:rsidRDefault="0033400D" w:rsidP="0033400D">
      <w:pPr>
        <w:suppressAutoHyphens/>
        <w:ind w:left="851"/>
        <w:rPr>
          <w:spacing w:val="-2"/>
          <w:sz w:val="24"/>
          <w:szCs w:val="24"/>
          <w:u w:val="single"/>
        </w:rPr>
      </w:pPr>
      <w:proofErr w:type="spellStart"/>
      <w:r w:rsidRPr="00F50095">
        <w:rPr>
          <w:spacing w:val="-2"/>
          <w:sz w:val="24"/>
          <w:szCs w:val="24"/>
          <w:u w:val="single"/>
        </w:rPr>
        <w:t>Rekonstitution</w:t>
      </w:r>
      <w:proofErr w:type="spellEnd"/>
    </w:p>
    <w:p w:rsidR="0033400D" w:rsidRPr="00F50095" w:rsidRDefault="0033400D" w:rsidP="0033400D">
      <w:pPr>
        <w:suppressAutoHyphens/>
        <w:ind w:left="851"/>
        <w:rPr>
          <w:sz w:val="24"/>
          <w:szCs w:val="24"/>
        </w:rPr>
      </w:pPr>
      <w:proofErr w:type="spellStart"/>
      <w:r w:rsidRPr="00F50095">
        <w:rPr>
          <w:spacing w:val="-2"/>
          <w:sz w:val="24"/>
          <w:szCs w:val="24"/>
        </w:rPr>
        <w:t>X</w:t>
      </w:r>
      <w:r>
        <w:rPr>
          <w:spacing w:val="-2"/>
          <w:sz w:val="24"/>
          <w:szCs w:val="24"/>
        </w:rPr>
        <w:t>eomin</w:t>
      </w:r>
      <w:proofErr w:type="spellEnd"/>
      <w:r w:rsidRPr="00F50095">
        <w:rPr>
          <w:spacing w:val="-2"/>
          <w:sz w:val="24"/>
          <w:szCs w:val="24"/>
        </w:rPr>
        <w:t xml:space="preserve"> </w:t>
      </w:r>
      <w:proofErr w:type="spellStart"/>
      <w:r w:rsidRPr="00F50095">
        <w:rPr>
          <w:spacing w:val="-2"/>
          <w:sz w:val="24"/>
          <w:szCs w:val="24"/>
        </w:rPr>
        <w:t>rekonstitueres</w:t>
      </w:r>
      <w:proofErr w:type="spellEnd"/>
      <w:r w:rsidRPr="00F50095">
        <w:rPr>
          <w:spacing w:val="-2"/>
          <w:sz w:val="24"/>
          <w:szCs w:val="24"/>
        </w:rPr>
        <w:t xml:space="preserve"> før brug med </w:t>
      </w:r>
      <w:proofErr w:type="spellStart"/>
      <w:r w:rsidRPr="00F50095">
        <w:rPr>
          <w:spacing w:val="-2"/>
          <w:sz w:val="24"/>
          <w:szCs w:val="24"/>
        </w:rPr>
        <w:t>natriumchlorid</w:t>
      </w:r>
      <w:proofErr w:type="spellEnd"/>
      <w:r w:rsidRPr="00F50095">
        <w:rPr>
          <w:spacing w:val="-2"/>
          <w:sz w:val="24"/>
          <w:szCs w:val="24"/>
        </w:rPr>
        <w:t xml:space="preserve"> 9 mg/ml injektionsvæske, opløsning. </w:t>
      </w:r>
      <w:proofErr w:type="spellStart"/>
      <w:r w:rsidRPr="00F50095">
        <w:rPr>
          <w:spacing w:val="-2"/>
          <w:sz w:val="24"/>
          <w:szCs w:val="24"/>
        </w:rPr>
        <w:t>Rekonstitution</w:t>
      </w:r>
      <w:proofErr w:type="spellEnd"/>
      <w:r w:rsidRPr="00F50095">
        <w:rPr>
          <w:spacing w:val="-2"/>
          <w:sz w:val="24"/>
          <w:szCs w:val="24"/>
        </w:rPr>
        <w:t xml:space="preserve"> og fortynding bør udføres i henhold til reglerne for god klinisk praksis – især med henblik på aseptik.</w:t>
      </w:r>
    </w:p>
    <w:p w:rsidR="0033400D" w:rsidRPr="00F50095" w:rsidRDefault="0033400D" w:rsidP="0033400D">
      <w:pPr>
        <w:suppressAutoHyphens/>
        <w:ind w:left="851" w:hanging="851"/>
        <w:rPr>
          <w:spacing w:val="-2"/>
          <w:sz w:val="24"/>
          <w:szCs w:val="24"/>
        </w:rPr>
      </w:pPr>
    </w:p>
    <w:p w:rsidR="0033400D" w:rsidRPr="00F50095" w:rsidRDefault="0033400D" w:rsidP="0033400D">
      <w:pPr>
        <w:pStyle w:val="Brdtekstindrykning2"/>
        <w:tabs>
          <w:tab w:val="clear" w:pos="-720"/>
          <w:tab w:val="clear" w:pos="0"/>
          <w:tab w:val="clear" w:pos="720"/>
          <w:tab w:val="left" w:pos="1304"/>
        </w:tabs>
        <w:ind w:left="851"/>
        <w:jc w:val="left"/>
        <w:rPr>
          <w:rFonts w:ascii="Times New Roman" w:hAnsi="Times New Roman" w:cs="Times New Roman"/>
          <w:sz w:val="24"/>
          <w:szCs w:val="24"/>
          <w:lang w:val="da-DK"/>
        </w:rPr>
      </w:pPr>
      <w:r w:rsidRPr="00F50095">
        <w:rPr>
          <w:rFonts w:ascii="Times New Roman" w:hAnsi="Times New Roman" w:cs="Times New Roman"/>
          <w:spacing w:val="-2"/>
          <w:sz w:val="24"/>
          <w:szCs w:val="24"/>
          <w:lang w:val="da-DK"/>
        </w:rPr>
        <w:t xml:space="preserve">Det er god praksis at </w:t>
      </w:r>
      <w:proofErr w:type="spellStart"/>
      <w:r w:rsidRPr="00F50095">
        <w:rPr>
          <w:rFonts w:ascii="Times New Roman" w:hAnsi="Times New Roman" w:cs="Times New Roman"/>
          <w:spacing w:val="-2"/>
          <w:sz w:val="24"/>
          <w:szCs w:val="24"/>
          <w:lang w:val="da-DK"/>
        </w:rPr>
        <w:t>rekonstituere</w:t>
      </w:r>
      <w:proofErr w:type="spellEnd"/>
      <w:r w:rsidRPr="00F50095">
        <w:rPr>
          <w:rFonts w:ascii="Times New Roman" w:hAnsi="Times New Roman" w:cs="Times New Roman"/>
          <w:spacing w:val="-2"/>
          <w:sz w:val="24"/>
          <w:szCs w:val="24"/>
          <w:lang w:val="da-DK"/>
        </w:rPr>
        <w:t xml:space="preserve"> hætteglassets indhold og tilberede injektionssprøjten over plastforede papirhåndklæder for at opsamle spild. En passende mængde </w:t>
      </w:r>
      <w:proofErr w:type="spellStart"/>
      <w:r w:rsidRPr="00F50095">
        <w:rPr>
          <w:rFonts w:ascii="Times New Roman" w:hAnsi="Times New Roman" w:cs="Times New Roman"/>
          <w:spacing w:val="-2"/>
          <w:sz w:val="24"/>
          <w:szCs w:val="24"/>
          <w:lang w:val="da-DK"/>
        </w:rPr>
        <w:t>natriumchlorid</w:t>
      </w:r>
      <w:proofErr w:type="spellEnd"/>
      <w:r w:rsidRPr="00F50095">
        <w:rPr>
          <w:rFonts w:ascii="Times New Roman" w:hAnsi="Times New Roman" w:cs="Times New Roman"/>
          <w:spacing w:val="-2"/>
          <w:sz w:val="24"/>
          <w:szCs w:val="24"/>
          <w:lang w:val="da-DK"/>
        </w:rPr>
        <w:t xml:space="preserve">-opløsning (se fortyndingsskemaet) trækkes op i en sprøjte. </w:t>
      </w:r>
      <w:r w:rsidRPr="00F50095">
        <w:rPr>
          <w:rFonts w:ascii="Times New Roman" w:hAnsi="Times New Roman" w:cs="Times New Roman"/>
          <w:spacing w:val="-2"/>
          <w:sz w:val="24"/>
          <w:szCs w:val="24"/>
          <w:lang w:val="da-DK" w:bidi="da-DK"/>
        </w:rPr>
        <w:t xml:space="preserve">Til </w:t>
      </w:r>
      <w:proofErr w:type="spellStart"/>
      <w:r w:rsidRPr="00F50095">
        <w:rPr>
          <w:rFonts w:ascii="Times New Roman" w:hAnsi="Times New Roman" w:cs="Times New Roman"/>
          <w:spacing w:val="-2"/>
          <w:sz w:val="24"/>
          <w:szCs w:val="24"/>
          <w:lang w:val="da-DK" w:bidi="da-DK"/>
        </w:rPr>
        <w:t>rekonstitution</w:t>
      </w:r>
      <w:proofErr w:type="spellEnd"/>
      <w:r w:rsidRPr="00F50095">
        <w:rPr>
          <w:rFonts w:ascii="Times New Roman" w:hAnsi="Times New Roman" w:cs="Times New Roman"/>
          <w:spacing w:val="-2"/>
          <w:sz w:val="24"/>
          <w:szCs w:val="24"/>
          <w:lang w:val="da-DK" w:bidi="da-DK"/>
        </w:rPr>
        <w:t xml:space="preserve"> anbefales en 20</w:t>
      </w:r>
      <w:r w:rsidRPr="00F50095">
        <w:rPr>
          <w:rFonts w:ascii="Times New Roman" w:hAnsi="Times New Roman" w:cs="Times New Roman"/>
          <w:spacing w:val="-2"/>
          <w:sz w:val="24"/>
          <w:szCs w:val="24"/>
          <w:lang w:val="da-DK" w:bidi="da-DK"/>
        </w:rPr>
        <w:noBreakHyphen/>
        <w:t>27 gauge kort kanyle med skråspids</w:t>
      </w:r>
      <w:r w:rsidRPr="00F50095">
        <w:rPr>
          <w:rFonts w:ascii="Times New Roman" w:hAnsi="Times New Roman" w:cs="Times New Roman"/>
          <w:spacing w:val="-2"/>
          <w:sz w:val="24"/>
          <w:szCs w:val="24"/>
          <w:lang w:val="da-DK"/>
        </w:rPr>
        <w:t xml:space="preserve"> Efter vertikal indføring af kanylen gennem gummiproppen sprøjtes solvensen forsigtigt ind i hætteglasset for at undgå skumdannelse.</w:t>
      </w:r>
      <w:r w:rsidRPr="00F50095">
        <w:rPr>
          <w:rFonts w:ascii="Times New Roman" w:hAnsi="Times New Roman" w:cs="Times New Roman"/>
          <w:spacing w:val="-2"/>
          <w:sz w:val="24"/>
          <w:szCs w:val="24"/>
          <w:lang w:val="da-DK" w:bidi="da-DK"/>
        </w:rPr>
        <w:t xml:space="preserve"> </w:t>
      </w:r>
      <w:r w:rsidRPr="00F50095">
        <w:rPr>
          <w:rFonts w:ascii="Times New Roman" w:hAnsi="Times New Roman" w:cs="Times New Roman"/>
          <w:spacing w:val="-2"/>
          <w:sz w:val="24"/>
          <w:szCs w:val="24"/>
          <w:lang w:val="da-DK"/>
        </w:rPr>
        <w:t xml:space="preserve">Hvis vakuummet ikke trækker solvensen ind i hætteglasset, skal hætteglasset kasseres. </w:t>
      </w:r>
      <w:r w:rsidRPr="00F50095">
        <w:rPr>
          <w:rFonts w:ascii="Times New Roman" w:hAnsi="Times New Roman" w:cs="Times New Roman"/>
          <w:spacing w:val="-2"/>
          <w:sz w:val="24"/>
          <w:szCs w:val="24"/>
          <w:lang w:val="da-DK" w:bidi="da-DK"/>
        </w:rPr>
        <w:t xml:space="preserve">Sprøjten fjernes fra hætteglasset og </w:t>
      </w:r>
      <w:proofErr w:type="spellStart"/>
      <w:r w:rsidRPr="00F50095">
        <w:rPr>
          <w:rFonts w:ascii="Times New Roman" w:hAnsi="Times New Roman" w:cs="Times New Roman"/>
          <w:spacing w:val="-2"/>
          <w:sz w:val="24"/>
          <w:szCs w:val="24"/>
          <w:lang w:val="da-DK" w:bidi="da-DK"/>
        </w:rPr>
        <w:t>X</w:t>
      </w:r>
      <w:r>
        <w:rPr>
          <w:rFonts w:ascii="Times New Roman" w:hAnsi="Times New Roman" w:cs="Times New Roman"/>
          <w:spacing w:val="-2"/>
          <w:sz w:val="24"/>
          <w:szCs w:val="24"/>
          <w:lang w:val="da-DK" w:bidi="da-DK"/>
        </w:rPr>
        <w:t>eomin</w:t>
      </w:r>
      <w:proofErr w:type="spellEnd"/>
      <w:r w:rsidRPr="00F50095">
        <w:rPr>
          <w:rFonts w:ascii="Times New Roman" w:hAnsi="Times New Roman" w:cs="Times New Roman"/>
          <w:spacing w:val="-2"/>
          <w:sz w:val="24"/>
          <w:szCs w:val="24"/>
          <w:lang w:val="da-DK" w:bidi="da-DK"/>
        </w:rPr>
        <w:t xml:space="preserve"> blandes med solvens ved forsigtigt at vippe og vende hætteglasset – opløsningen må ikke rystes kraftigt. Om nødvendigt bør kanylen anvendt til </w:t>
      </w:r>
      <w:proofErr w:type="spellStart"/>
      <w:r w:rsidRPr="00F50095">
        <w:rPr>
          <w:rFonts w:ascii="Times New Roman" w:hAnsi="Times New Roman" w:cs="Times New Roman"/>
          <w:spacing w:val="-2"/>
          <w:sz w:val="24"/>
          <w:szCs w:val="24"/>
          <w:lang w:val="da-DK" w:bidi="da-DK"/>
        </w:rPr>
        <w:t>rekonstitution</w:t>
      </w:r>
      <w:proofErr w:type="spellEnd"/>
      <w:r w:rsidRPr="00F50095">
        <w:rPr>
          <w:rFonts w:ascii="Times New Roman" w:hAnsi="Times New Roman" w:cs="Times New Roman"/>
          <w:spacing w:val="-2"/>
          <w:sz w:val="24"/>
          <w:szCs w:val="24"/>
          <w:lang w:val="da-DK" w:bidi="da-DK"/>
        </w:rPr>
        <w:t xml:space="preserve"> blive i hætteglasset, og den ønskede mængde opløsning udtages med en ny steril sprøjte, der egner sig til injektion.</w:t>
      </w:r>
    </w:p>
    <w:p w:rsidR="0033400D" w:rsidRPr="00F50095" w:rsidRDefault="0033400D" w:rsidP="0033400D">
      <w:pPr>
        <w:suppressAutoHyphens/>
        <w:ind w:left="851" w:hanging="851"/>
        <w:rPr>
          <w:spacing w:val="-2"/>
          <w:sz w:val="24"/>
          <w:szCs w:val="24"/>
        </w:rPr>
      </w:pPr>
    </w:p>
    <w:p w:rsidR="0033400D" w:rsidRPr="00F50095" w:rsidRDefault="0033400D" w:rsidP="0033400D">
      <w:pPr>
        <w:suppressAutoHyphens/>
        <w:ind w:left="851"/>
        <w:rPr>
          <w:spacing w:val="-2"/>
          <w:sz w:val="24"/>
          <w:szCs w:val="24"/>
        </w:rPr>
      </w:pPr>
      <w:r w:rsidRPr="00F50095">
        <w:rPr>
          <w:noProof/>
          <w:spacing w:val="-2"/>
          <w:sz w:val="24"/>
          <w:szCs w:val="24"/>
          <w:lang w:eastAsia="da-DK"/>
        </w:rPr>
        <w:drawing>
          <wp:inline distT="0" distB="0" distL="0" distR="0" wp14:anchorId="4AEBE6DA" wp14:editId="5704125C">
            <wp:extent cx="769620" cy="20040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20" cy="2004060"/>
                    </a:xfrm>
                    <a:prstGeom prst="rect">
                      <a:avLst/>
                    </a:prstGeom>
                    <a:noFill/>
                    <a:ln>
                      <a:noFill/>
                    </a:ln>
                  </pic:spPr>
                </pic:pic>
              </a:graphicData>
            </a:graphic>
          </wp:inline>
        </w:drawing>
      </w:r>
      <w:r w:rsidRPr="00F50095">
        <w:rPr>
          <w:spacing w:val="-2"/>
          <w:sz w:val="24"/>
          <w:szCs w:val="24"/>
        </w:rPr>
        <w:t xml:space="preserve"> </w:t>
      </w:r>
      <w:r w:rsidRPr="00F50095">
        <w:rPr>
          <w:noProof/>
          <w:spacing w:val="-2"/>
          <w:sz w:val="24"/>
          <w:szCs w:val="24"/>
          <w:lang w:eastAsia="da-DK"/>
        </w:rPr>
        <w:drawing>
          <wp:inline distT="0" distB="0" distL="0" distR="0" wp14:anchorId="5241331B" wp14:editId="2A526AED">
            <wp:extent cx="2179320" cy="18897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9320" cy="1889760"/>
                    </a:xfrm>
                    <a:prstGeom prst="rect">
                      <a:avLst/>
                    </a:prstGeom>
                    <a:noFill/>
                    <a:ln>
                      <a:noFill/>
                    </a:ln>
                  </pic:spPr>
                </pic:pic>
              </a:graphicData>
            </a:graphic>
          </wp:inline>
        </w:drawing>
      </w:r>
      <w:r w:rsidRPr="00F50095">
        <w:rPr>
          <w:spacing w:val="-2"/>
          <w:sz w:val="24"/>
          <w:szCs w:val="24"/>
        </w:rPr>
        <w:t xml:space="preserve"> </w:t>
      </w:r>
      <w:r w:rsidRPr="00F50095">
        <w:rPr>
          <w:noProof/>
          <w:spacing w:val="-2"/>
          <w:sz w:val="24"/>
          <w:szCs w:val="24"/>
          <w:lang w:eastAsia="da-DK"/>
        </w:rPr>
        <w:drawing>
          <wp:inline distT="0" distB="0" distL="0" distR="0" wp14:anchorId="36DCD0F4" wp14:editId="5048E5B9">
            <wp:extent cx="1165860" cy="20269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5860" cy="2026920"/>
                    </a:xfrm>
                    <a:prstGeom prst="rect">
                      <a:avLst/>
                    </a:prstGeom>
                    <a:noFill/>
                    <a:ln>
                      <a:noFill/>
                    </a:ln>
                  </pic:spPr>
                </pic:pic>
              </a:graphicData>
            </a:graphic>
          </wp:inline>
        </w:drawing>
      </w:r>
    </w:p>
    <w:p w:rsidR="0033400D" w:rsidRPr="00F50095" w:rsidRDefault="0033400D" w:rsidP="0033400D">
      <w:pPr>
        <w:suppressAutoHyphens/>
        <w:ind w:left="851"/>
        <w:rPr>
          <w:spacing w:val="-2"/>
          <w:sz w:val="24"/>
          <w:szCs w:val="24"/>
        </w:rPr>
      </w:pPr>
    </w:p>
    <w:p w:rsidR="0033400D" w:rsidRPr="00F50095" w:rsidRDefault="0033400D" w:rsidP="0033400D">
      <w:pPr>
        <w:suppressAutoHyphens/>
        <w:ind w:left="851"/>
        <w:rPr>
          <w:spacing w:val="-2"/>
          <w:sz w:val="24"/>
          <w:szCs w:val="24"/>
        </w:rPr>
      </w:pPr>
      <w:proofErr w:type="spellStart"/>
      <w:r w:rsidRPr="00F50095">
        <w:rPr>
          <w:spacing w:val="-2"/>
          <w:sz w:val="24"/>
          <w:szCs w:val="24"/>
        </w:rPr>
        <w:t>Rekonstitueret</w:t>
      </w:r>
      <w:proofErr w:type="spellEnd"/>
      <w:r w:rsidRPr="00F50095">
        <w:rPr>
          <w:spacing w:val="-2"/>
          <w:sz w:val="24"/>
          <w:szCs w:val="24"/>
        </w:rPr>
        <w:t xml:space="preserve"> </w:t>
      </w:r>
      <w:proofErr w:type="spellStart"/>
      <w:r w:rsidRPr="00F50095">
        <w:rPr>
          <w:spacing w:val="-2"/>
          <w:sz w:val="24"/>
          <w:szCs w:val="24"/>
        </w:rPr>
        <w:t>X</w:t>
      </w:r>
      <w:r>
        <w:rPr>
          <w:spacing w:val="-2"/>
          <w:sz w:val="24"/>
          <w:szCs w:val="24"/>
        </w:rPr>
        <w:t>eomin</w:t>
      </w:r>
      <w:proofErr w:type="spellEnd"/>
      <w:r w:rsidRPr="00F50095">
        <w:rPr>
          <w:spacing w:val="-2"/>
          <w:sz w:val="24"/>
          <w:szCs w:val="24"/>
        </w:rPr>
        <w:t xml:space="preserve"> er en klar, farveløs opløsning.</w:t>
      </w:r>
    </w:p>
    <w:p w:rsidR="0033400D" w:rsidRPr="00F50095" w:rsidRDefault="0033400D" w:rsidP="0033400D">
      <w:pPr>
        <w:suppressAutoHyphens/>
        <w:ind w:left="851"/>
        <w:rPr>
          <w:spacing w:val="-2"/>
          <w:sz w:val="24"/>
          <w:szCs w:val="24"/>
        </w:rPr>
      </w:pPr>
    </w:p>
    <w:p w:rsidR="0033400D" w:rsidRPr="00F50095" w:rsidRDefault="0033400D" w:rsidP="0033400D">
      <w:pPr>
        <w:suppressAutoHyphens/>
        <w:ind w:left="851"/>
        <w:rPr>
          <w:sz w:val="24"/>
          <w:szCs w:val="24"/>
        </w:rPr>
      </w:pPr>
      <w:proofErr w:type="spellStart"/>
      <w:r w:rsidRPr="00F50095">
        <w:rPr>
          <w:spacing w:val="-2"/>
          <w:sz w:val="24"/>
          <w:szCs w:val="24"/>
        </w:rPr>
        <w:lastRenderedPageBreak/>
        <w:t>X</w:t>
      </w:r>
      <w:r>
        <w:rPr>
          <w:spacing w:val="-2"/>
          <w:sz w:val="24"/>
          <w:szCs w:val="24"/>
        </w:rPr>
        <w:t>eomin</w:t>
      </w:r>
      <w:proofErr w:type="spellEnd"/>
      <w:r w:rsidRPr="00F50095">
        <w:rPr>
          <w:spacing w:val="-2"/>
          <w:sz w:val="24"/>
          <w:szCs w:val="24"/>
        </w:rPr>
        <w:t xml:space="preserve"> </w:t>
      </w:r>
      <w:r w:rsidRPr="00F50095">
        <w:rPr>
          <w:sz w:val="24"/>
          <w:szCs w:val="24"/>
        </w:rPr>
        <w:t xml:space="preserve">må ikke anvendes, hvis den </w:t>
      </w:r>
      <w:proofErr w:type="spellStart"/>
      <w:r w:rsidRPr="00F50095">
        <w:rPr>
          <w:sz w:val="24"/>
          <w:szCs w:val="24"/>
        </w:rPr>
        <w:t>rekonstituerede</w:t>
      </w:r>
      <w:proofErr w:type="spellEnd"/>
      <w:r w:rsidRPr="00F50095">
        <w:rPr>
          <w:sz w:val="24"/>
          <w:szCs w:val="24"/>
        </w:rPr>
        <w:t xml:space="preserve"> opløsning er uklar eller indeholder fnug eller partikler.</w:t>
      </w:r>
    </w:p>
    <w:p w:rsidR="0033400D" w:rsidRPr="00F50095" w:rsidRDefault="0033400D" w:rsidP="0033400D">
      <w:pPr>
        <w:suppressAutoHyphens/>
        <w:ind w:left="851"/>
        <w:rPr>
          <w:sz w:val="24"/>
          <w:szCs w:val="24"/>
        </w:rPr>
      </w:pPr>
    </w:p>
    <w:p w:rsidR="0033400D" w:rsidRPr="00F50095" w:rsidRDefault="0033400D" w:rsidP="0033400D">
      <w:pPr>
        <w:ind w:left="851"/>
        <w:rPr>
          <w:sz w:val="24"/>
          <w:szCs w:val="24"/>
          <w:u w:val="single"/>
          <w:lang w:eastAsia="de-DE"/>
        </w:rPr>
      </w:pPr>
      <w:r w:rsidRPr="00F50095">
        <w:rPr>
          <w:sz w:val="24"/>
          <w:szCs w:val="24"/>
          <w:lang w:eastAsia="de-DE"/>
        </w:rPr>
        <w:t xml:space="preserve">Der skal udvises omhu med at anvende det korrekte volumen solvens til den valgte præsentation for at undgå overdosering ved et uheld. Hvis der anvendes forskellige størrelser af hætteglas med </w:t>
      </w:r>
      <w:proofErr w:type="spellStart"/>
      <w:r w:rsidRPr="00F50095">
        <w:rPr>
          <w:spacing w:val="-2"/>
          <w:sz w:val="24"/>
          <w:szCs w:val="24"/>
        </w:rPr>
        <w:t>X</w:t>
      </w:r>
      <w:r>
        <w:rPr>
          <w:spacing w:val="-2"/>
          <w:sz w:val="24"/>
          <w:szCs w:val="24"/>
        </w:rPr>
        <w:t>eomin</w:t>
      </w:r>
      <w:proofErr w:type="spellEnd"/>
      <w:r w:rsidRPr="00F50095">
        <w:rPr>
          <w:sz w:val="24"/>
          <w:szCs w:val="24"/>
          <w:lang w:eastAsia="de-DE"/>
        </w:rPr>
        <w:t xml:space="preserve"> som del af én injektionsprocedure, skal der udvises omhu med at anvende den korrekte mængde solvens ved </w:t>
      </w:r>
      <w:proofErr w:type="spellStart"/>
      <w:r w:rsidRPr="00F50095">
        <w:rPr>
          <w:sz w:val="24"/>
          <w:szCs w:val="24"/>
          <w:lang w:eastAsia="de-DE"/>
        </w:rPr>
        <w:t>rekonstituering</w:t>
      </w:r>
      <w:proofErr w:type="spellEnd"/>
      <w:r w:rsidRPr="00F50095">
        <w:rPr>
          <w:sz w:val="24"/>
          <w:szCs w:val="24"/>
          <w:lang w:eastAsia="de-DE"/>
        </w:rPr>
        <w:t xml:space="preserve"> af et bestemt antal enheder pr. 0,1 ml. Mængden af solvens varierer mellem </w:t>
      </w:r>
      <w:proofErr w:type="spellStart"/>
      <w:r w:rsidRPr="00F50095">
        <w:rPr>
          <w:spacing w:val="-2"/>
          <w:sz w:val="24"/>
          <w:szCs w:val="24"/>
        </w:rPr>
        <w:t>X</w:t>
      </w:r>
      <w:r>
        <w:rPr>
          <w:spacing w:val="-2"/>
          <w:sz w:val="24"/>
          <w:szCs w:val="24"/>
        </w:rPr>
        <w:t>eomin</w:t>
      </w:r>
      <w:proofErr w:type="spellEnd"/>
      <w:r w:rsidRPr="00F50095">
        <w:rPr>
          <w:sz w:val="24"/>
          <w:szCs w:val="24"/>
          <w:lang w:eastAsia="de-DE"/>
        </w:rPr>
        <w:t xml:space="preserve"> 50 enheder, </w:t>
      </w:r>
      <w:proofErr w:type="spellStart"/>
      <w:r w:rsidRPr="00F50095">
        <w:rPr>
          <w:spacing w:val="-2"/>
          <w:sz w:val="24"/>
          <w:szCs w:val="24"/>
        </w:rPr>
        <w:t>X</w:t>
      </w:r>
      <w:r>
        <w:rPr>
          <w:spacing w:val="-2"/>
          <w:sz w:val="24"/>
          <w:szCs w:val="24"/>
        </w:rPr>
        <w:t>eomin</w:t>
      </w:r>
      <w:proofErr w:type="spellEnd"/>
      <w:r w:rsidRPr="00F50095">
        <w:rPr>
          <w:sz w:val="24"/>
          <w:szCs w:val="24"/>
          <w:lang w:eastAsia="de-DE"/>
        </w:rPr>
        <w:t xml:space="preserve"> 100 enheder og </w:t>
      </w:r>
      <w:proofErr w:type="spellStart"/>
      <w:r w:rsidRPr="00F50095">
        <w:rPr>
          <w:spacing w:val="-2"/>
          <w:sz w:val="24"/>
          <w:szCs w:val="24"/>
        </w:rPr>
        <w:t>X</w:t>
      </w:r>
      <w:r>
        <w:rPr>
          <w:spacing w:val="-2"/>
          <w:sz w:val="24"/>
          <w:szCs w:val="24"/>
        </w:rPr>
        <w:t>eomin</w:t>
      </w:r>
      <w:proofErr w:type="spellEnd"/>
      <w:r w:rsidRPr="00F50095">
        <w:rPr>
          <w:sz w:val="24"/>
          <w:szCs w:val="24"/>
          <w:lang w:eastAsia="de-DE"/>
        </w:rPr>
        <w:t xml:space="preserve"> 200 enheder. </w:t>
      </w:r>
      <w:r w:rsidRPr="00F50095">
        <w:rPr>
          <w:sz w:val="24"/>
          <w:szCs w:val="24"/>
          <w:u w:val="single"/>
          <w:lang w:eastAsia="de-DE"/>
        </w:rPr>
        <w:t>Hver sprøjte skal mærkes i overensstemmelse hermed.</w:t>
      </w:r>
    </w:p>
    <w:p w:rsidR="0033400D" w:rsidRPr="00F50095" w:rsidRDefault="0033400D" w:rsidP="0033400D">
      <w:pPr>
        <w:rPr>
          <w:sz w:val="24"/>
          <w:szCs w:val="24"/>
          <w:lang w:eastAsia="de-DE"/>
        </w:rPr>
      </w:pPr>
    </w:p>
    <w:p w:rsidR="0033400D" w:rsidRPr="00F50095" w:rsidRDefault="0033400D" w:rsidP="0033400D">
      <w:pPr>
        <w:ind w:left="851"/>
        <w:rPr>
          <w:sz w:val="24"/>
          <w:szCs w:val="24"/>
        </w:rPr>
      </w:pPr>
      <w:r w:rsidRPr="00F50095">
        <w:rPr>
          <w:sz w:val="24"/>
          <w:szCs w:val="24"/>
          <w:lang w:eastAsia="de-DE"/>
        </w:rPr>
        <w:t>Mulige koncentrationer af</w:t>
      </w:r>
      <w:r w:rsidRPr="00F50095">
        <w:rPr>
          <w:spacing w:val="-2"/>
          <w:sz w:val="24"/>
          <w:szCs w:val="24"/>
        </w:rPr>
        <w:t xml:space="preserve"> </w:t>
      </w:r>
      <w:proofErr w:type="spellStart"/>
      <w:r w:rsidRPr="00F50095">
        <w:rPr>
          <w:spacing w:val="-2"/>
          <w:sz w:val="24"/>
          <w:szCs w:val="24"/>
        </w:rPr>
        <w:t>X</w:t>
      </w:r>
      <w:r>
        <w:rPr>
          <w:spacing w:val="-2"/>
          <w:sz w:val="24"/>
          <w:szCs w:val="24"/>
        </w:rPr>
        <w:t>eomin</w:t>
      </w:r>
      <w:proofErr w:type="spellEnd"/>
      <w:r w:rsidRPr="00F50095">
        <w:rPr>
          <w:spacing w:val="-2"/>
          <w:sz w:val="24"/>
          <w:szCs w:val="24"/>
        </w:rPr>
        <w:t xml:space="preserve"> 50, 100 og 200 enheder </w:t>
      </w:r>
      <w:r w:rsidRPr="00F50095">
        <w:rPr>
          <w:sz w:val="24"/>
          <w:szCs w:val="24"/>
          <w:lang w:eastAsia="de-DE"/>
        </w:rPr>
        <w:t>fremgår af tabellen nedenfor:</w:t>
      </w:r>
      <w:r w:rsidRPr="00F50095">
        <w:rPr>
          <w:sz w:val="24"/>
          <w:szCs w:val="24"/>
        </w:rPr>
        <w:t xml:space="preserve"> </w:t>
      </w:r>
    </w:p>
    <w:p w:rsidR="0033400D" w:rsidRPr="00F50095" w:rsidRDefault="0033400D" w:rsidP="0033400D">
      <w:pPr>
        <w:ind w:left="851"/>
        <w:rPr>
          <w:spacing w:val="-2"/>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1978"/>
        <w:gridCol w:w="2303"/>
      </w:tblGrid>
      <w:tr w:rsidR="0033400D" w:rsidRPr="009A21DF" w:rsidTr="00183DD0">
        <w:tc>
          <w:tcPr>
            <w:tcW w:w="1701" w:type="dxa"/>
            <w:tcBorders>
              <w:top w:val="single" w:sz="4" w:space="0" w:color="auto"/>
              <w:left w:val="single" w:sz="4" w:space="0" w:color="auto"/>
              <w:bottom w:val="single" w:sz="4" w:space="0" w:color="auto"/>
              <w:right w:val="single" w:sz="4" w:space="0" w:color="auto"/>
            </w:tcBorders>
            <w:vAlign w:val="center"/>
            <w:hideMark/>
          </w:tcPr>
          <w:p w:rsidR="0033400D" w:rsidRPr="009A21DF" w:rsidRDefault="0033400D" w:rsidP="00183DD0">
            <w:pPr>
              <w:tabs>
                <w:tab w:val="left" w:pos="-1440"/>
                <w:tab w:val="left" w:pos="-720"/>
                <w:tab w:val="left" w:pos="0"/>
                <w:tab w:val="left" w:pos="720"/>
              </w:tabs>
              <w:suppressAutoHyphens/>
              <w:jc w:val="center"/>
              <w:rPr>
                <w:spacing w:val="-2"/>
                <w:sz w:val="20"/>
                <w:szCs w:val="24"/>
              </w:rPr>
            </w:pPr>
            <w:r w:rsidRPr="009A21DF">
              <w:rPr>
                <w:b/>
                <w:spacing w:val="-2"/>
                <w:sz w:val="20"/>
                <w:szCs w:val="24"/>
              </w:rPr>
              <w:t>Dosis efter fortynding</w:t>
            </w:r>
          </w:p>
          <w:p w:rsidR="0033400D" w:rsidRPr="009A21DF" w:rsidRDefault="0033400D" w:rsidP="00183DD0">
            <w:pPr>
              <w:tabs>
                <w:tab w:val="left" w:pos="-1440"/>
                <w:tab w:val="left" w:pos="-720"/>
                <w:tab w:val="left" w:pos="0"/>
                <w:tab w:val="left" w:pos="720"/>
              </w:tabs>
              <w:suppressAutoHyphens/>
              <w:spacing w:before="60" w:after="60"/>
              <w:jc w:val="center"/>
              <w:rPr>
                <w:b/>
                <w:spacing w:val="-2"/>
                <w:sz w:val="20"/>
                <w:szCs w:val="24"/>
              </w:rPr>
            </w:pPr>
            <w:r w:rsidRPr="009A21DF">
              <w:rPr>
                <w:spacing w:val="-2"/>
                <w:sz w:val="20"/>
                <w:szCs w:val="24"/>
              </w:rPr>
              <w:t>(enheder pr. 0,1 ml)</w:t>
            </w:r>
          </w:p>
        </w:tc>
        <w:tc>
          <w:tcPr>
            <w:tcW w:w="6407" w:type="dxa"/>
            <w:gridSpan w:val="3"/>
            <w:tcBorders>
              <w:top w:val="single" w:sz="4" w:space="0" w:color="auto"/>
              <w:left w:val="single" w:sz="4" w:space="0" w:color="auto"/>
              <w:bottom w:val="single" w:sz="4" w:space="0" w:color="auto"/>
              <w:right w:val="single" w:sz="4" w:space="0" w:color="auto"/>
            </w:tcBorders>
            <w:vAlign w:val="center"/>
            <w:hideMark/>
          </w:tcPr>
          <w:p w:rsidR="0033400D" w:rsidRPr="009A21DF" w:rsidRDefault="0033400D" w:rsidP="00183DD0">
            <w:pPr>
              <w:tabs>
                <w:tab w:val="left" w:pos="-1440"/>
                <w:tab w:val="left" w:pos="-720"/>
                <w:tab w:val="left" w:pos="0"/>
                <w:tab w:val="left" w:pos="720"/>
              </w:tabs>
              <w:suppressAutoHyphens/>
              <w:jc w:val="center"/>
              <w:rPr>
                <w:b/>
                <w:spacing w:val="-2"/>
                <w:sz w:val="20"/>
                <w:szCs w:val="24"/>
              </w:rPr>
            </w:pPr>
            <w:r w:rsidRPr="009A21DF">
              <w:rPr>
                <w:b/>
                <w:spacing w:val="-2"/>
                <w:sz w:val="20"/>
                <w:szCs w:val="24"/>
              </w:rPr>
              <w:t>Tilsat solvens</w:t>
            </w:r>
          </w:p>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w:t>
            </w:r>
            <w:proofErr w:type="spellStart"/>
            <w:r w:rsidRPr="009A21DF">
              <w:rPr>
                <w:spacing w:val="-2"/>
                <w:sz w:val="20"/>
                <w:szCs w:val="24"/>
              </w:rPr>
              <w:t>natriumchlorid</w:t>
            </w:r>
            <w:proofErr w:type="spellEnd"/>
            <w:r w:rsidRPr="009A21DF">
              <w:rPr>
                <w:spacing w:val="-2"/>
                <w:sz w:val="20"/>
                <w:szCs w:val="24"/>
              </w:rPr>
              <w:t xml:space="preserve"> 9 mg/ml (0,9 %) injektionsvæske, opløsning)</w:t>
            </w:r>
          </w:p>
        </w:tc>
      </w:tr>
      <w:tr w:rsidR="0033400D" w:rsidRPr="009A21DF" w:rsidTr="00183DD0">
        <w:trPr>
          <w:trHeight w:val="423"/>
        </w:trPr>
        <w:tc>
          <w:tcPr>
            <w:tcW w:w="1701" w:type="dxa"/>
            <w:tcBorders>
              <w:top w:val="single" w:sz="4" w:space="0" w:color="auto"/>
              <w:left w:val="single" w:sz="4" w:space="0" w:color="auto"/>
              <w:bottom w:val="single" w:sz="4" w:space="0" w:color="auto"/>
              <w:right w:val="single" w:sz="4" w:space="0" w:color="auto"/>
            </w:tcBorders>
          </w:tcPr>
          <w:p w:rsidR="0033400D" w:rsidRPr="009A21DF" w:rsidRDefault="0033400D" w:rsidP="00183DD0">
            <w:pPr>
              <w:tabs>
                <w:tab w:val="left" w:pos="-1440"/>
                <w:tab w:val="left" w:pos="-720"/>
                <w:tab w:val="left" w:pos="0"/>
                <w:tab w:val="left" w:pos="720"/>
              </w:tabs>
              <w:suppressAutoHyphens/>
              <w:jc w:val="center"/>
              <w:rPr>
                <w:spacing w:val="-2"/>
                <w:sz w:val="20"/>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3400D" w:rsidRPr="009A21DF" w:rsidRDefault="0033400D" w:rsidP="00183DD0">
            <w:pPr>
              <w:tabs>
                <w:tab w:val="left" w:pos="-1440"/>
                <w:tab w:val="left" w:pos="-720"/>
                <w:tab w:val="left" w:pos="0"/>
                <w:tab w:val="left" w:pos="720"/>
              </w:tabs>
              <w:suppressAutoHyphens/>
              <w:jc w:val="center"/>
              <w:rPr>
                <w:b/>
                <w:spacing w:val="-2"/>
                <w:sz w:val="20"/>
                <w:szCs w:val="24"/>
              </w:rPr>
            </w:pPr>
            <w:r w:rsidRPr="009A21DF">
              <w:rPr>
                <w:b/>
                <w:spacing w:val="-2"/>
                <w:sz w:val="20"/>
                <w:szCs w:val="24"/>
              </w:rPr>
              <w:t>Hætteglas med 50 enheder</w:t>
            </w:r>
          </w:p>
        </w:tc>
        <w:tc>
          <w:tcPr>
            <w:tcW w:w="1978" w:type="dxa"/>
            <w:tcBorders>
              <w:top w:val="single" w:sz="4" w:space="0" w:color="auto"/>
              <w:left w:val="single" w:sz="4" w:space="0" w:color="auto"/>
              <w:bottom w:val="single" w:sz="4" w:space="0" w:color="auto"/>
              <w:right w:val="single" w:sz="4" w:space="0" w:color="auto"/>
            </w:tcBorders>
            <w:vAlign w:val="center"/>
            <w:hideMark/>
          </w:tcPr>
          <w:p w:rsidR="0033400D" w:rsidRPr="009A21DF" w:rsidRDefault="0033400D" w:rsidP="00183DD0">
            <w:pPr>
              <w:tabs>
                <w:tab w:val="left" w:pos="-1440"/>
                <w:tab w:val="left" w:pos="-720"/>
                <w:tab w:val="left" w:pos="0"/>
                <w:tab w:val="left" w:pos="720"/>
              </w:tabs>
              <w:suppressAutoHyphens/>
              <w:jc w:val="center"/>
              <w:rPr>
                <w:b/>
                <w:spacing w:val="-2"/>
                <w:sz w:val="20"/>
                <w:szCs w:val="24"/>
              </w:rPr>
            </w:pPr>
            <w:r w:rsidRPr="009A21DF">
              <w:rPr>
                <w:b/>
                <w:spacing w:val="-2"/>
                <w:sz w:val="20"/>
                <w:szCs w:val="24"/>
              </w:rPr>
              <w:t>Hætteglas med 100 enheder</w:t>
            </w:r>
          </w:p>
        </w:tc>
        <w:tc>
          <w:tcPr>
            <w:tcW w:w="2303" w:type="dxa"/>
            <w:tcBorders>
              <w:top w:val="single" w:sz="4" w:space="0" w:color="auto"/>
              <w:left w:val="single" w:sz="4" w:space="0" w:color="auto"/>
              <w:bottom w:val="single" w:sz="4" w:space="0" w:color="auto"/>
              <w:right w:val="single" w:sz="4" w:space="0" w:color="auto"/>
            </w:tcBorders>
            <w:vAlign w:val="center"/>
            <w:hideMark/>
          </w:tcPr>
          <w:p w:rsidR="0033400D" w:rsidRPr="009A21DF" w:rsidRDefault="0033400D" w:rsidP="00183DD0">
            <w:pPr>
              <w:tabs>
                <w:tab w:val="left" w:pos="-1440"/>
                <w:tab w:val="left" w:pos="-720"/>
                <w:tab w:val="left" w:pos="0"/>
                <w:tab w:val="left" w:pos="720"/>
              </w:tabs>
              <w:suppressAutoHyphens/>
              <w:jc w:val="center"/>
              <w:rPr>
                <w:b/>
                <w:spacing w:val="-2"/>
                <w:sz w:val="20"/>
                <w:szCs w:val="24"/>
              </w:rPr>
            </w:pPr>
            <w:r w:rsidRPr="009A21DF">
              <w:rPr>
                <w:b/>
                <w:spacing w:val="-2"/>
                <w:sz w:val="20"/>
                <w:szCs w:val="24"/>
              </w:rPr>
              <w:t>Hætteglas med 200 enheder</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pacing w:val="-2"/>
                <w:sz w:val="20"/>
                <w:szCs w:val="24"/>
              </w:rPr>
            </w:pPr>
            <w:r w:rsidRPr="009A21DF">
              <w:rPr>
                <w:b/>
                <w:sz w:val="20"/>
                <w:szCs w:val="24"/>
              </w:rPr>
              <w:t>20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0,25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0,5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1 ml</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pacing w:val="-2"/>
                <w:sz w:val="20"/>
                <w:szCs w:val="24"/>
              </w:rPr>
            </w:pPr>
            <w:r w:rsidRPr="009A21DF">
              <w:rPr>
                <w:b/>
                <w:sz w:val="20"/>
                <w:szCs w:val="24"/>
              </w:rPr>
              <w:t>10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0,5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1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2 ml</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z w:val="20"/>
                <w:szCs w:val="24"/>
              </w:rPr>
            </w:pPr>
            <w:r w:rsidRPr="009A21DF">
              <w:rPr>
                <w:b/>
                <w:sz w:val="20"/>
                <w:szCs w:val="24"/>
              </w:rPr>
              <w:t>8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0,625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1,25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2,5 ml</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pacing w:val="-2"/>
                <w:sz w:val="20"/>
                <w:szCs w:val="24"/>
              </w:rPr>
            </w:pPr>
            <w:r w:rsidRPr="009A21DF">
              <w:rPr>
                <w:b/>
                <w:sz w:val="20"/>
                <w:szCs w:val="24"/>
              </w:rPr>
              <w:t>5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1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2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4 ml</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z w:val="20"/>
                <w:szCs w:val="24"/>
              </w:rPr>
            </w:pPr>
            <w:r w:rsidRPr="009A21DF">
              <w:rPr>
                <w:b/>
                <w:sz w:val="20"/>
                <w:szCs w:val="24"/>
              </w:rPr>
              <w:t>4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1,25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2,5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5 ml</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pacing w:val="-2"/>
                <w:sz w:val="20"/>
                <w:szCs w:val="24"/>
              </w:rPr>
            </w:pPr>
            <w:r w:rsidRPr="009A21DF">
              <w:rPr>
                <w:b/>
                <w:sz w:val="20"/>
                <w:szCs w:val="24"/>
              </w:rPr>
              <w:t>2,5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2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4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Ikke relevant</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z w:val="20"/>
                <w:szCs w:val="24"/>
              </w:rPr>
            </w:pPr>
            <w:r w:rsidRPr="009A21DF">
              <w:rPr>
                <w:b/>
                <w:sz w:val="20"/>
                <w:szCs w:val="24"/>
              </w:rPr>
              <w:t>2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2,5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5 ml</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Ikke relevant</w:t>
            </w:r>
          </w:p>
        </w:tc>
      </w:tr>
      <w:tr w:rsidR="0033400D" w:rsidRPr="009A21DF" w:rsidTr="00183DD0">
        <w:tc>
          <w:tcPr>
            <w:tcW w:w="1701"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b/>
                <w:spacing w:val="-2"/>
                <w:sz w:val="20"/>
                <w:szCs w:val="24"/>
              </w:rPr>
            </w:pPr>
            <w:r w:rsidRPr="009A21DF">
              <w:rPr>
                <w:b/>
                <w:spacing w:val="-2"/>
                <w:sz w:val="20"/>
                <w:szCs w:val="24"/>
              </w:rPr>
              <w:t>1,25 enheder</w:t>
            </w:r>
          </w:p>
        </w:tc>
        <w:tc>
          <w:tcPr>
            <w:tcW w:w="2126"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4 ml</w:t>
            </w:r>
          </w:p>
        </w:tc>
        <w:tc>
          <w:tcPr>
            <w:tcW w:w="1978"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Ikke relevant</w:t>
            </w:r>
          </w:p>
        </w:tc>
        <w:tc>
          <w:tcPr>
            <w:tcW w:w="2303" w:type="dxa"/>
            <w:tcBorders>
              <w:top w:val="single" w:sz="4" w:space="0" w:color="auto"/>
              <w:left w:val="single" w:sz="4" w:space="0" w:color="auto"/>
              <w:bottom w:val="single" w:sz="4" w:space="0" w:color="auto"/>
              <w:right w:val="single" w:sz="4" w:space="0" w:color="auto"/>
            </w:tcBorders>
            <w:hideMark/>
          </w:tcPr>
          <w:p w:rsidR="0033400D" w:rsidRPr="009A21DF" w:rsidRDefault="0033400D" w:rsidP="00183DD0">
            <w:pPr>
              <w:tabs>
                <w:tab w:val="left" w:pos="-1440"/>
                <w:tab w:val="left" w:pos="-720"/>
                <w:tab w:val="left" w:pos="0"/>
                <w:tab w:val="left" w:pos="720"/>
              </w:tabs>
              <w:suppressAutoHyphens/>
              <w:spacing w:before="60" w:after="60"/>
              <w:jc w:val="center"/>
              <w:rPr>
                <w:spacing w:val="-2"/>
                <w:sz w:val="20"/>
                <w:szCs w:val="24"/>
              </w:rPr>
            </w:pPr>
            <w:r w:rsidRPr="009A21DF">
              <w:rPr>
                <w:spacing w:val="-2"/>
                <w:sz w:val="20"/>
                <w:szCs w:val="24"/>
              </w:rPr>
              <w:t>Ikke relevant</w:t>
            </w:r>
          </w:p>
        </w:tc>
      </w:tr>
    </w:tbl>
    <w:p w:rsidR="0033400D" w:rsidRPr="00F50095" w:rsidRDefault="0033400D" w:rsidP="0033400D">
      <w:pPr>
        <w:ind w:left="851" w:hanging="851"/>
        <w:rPr>
          <w:sz w:val="24"/>
          <w:szCs w:val="24"/>
        </w:rPr>
      </w:pPr>
    </w:p>
    <w:p w:rsidR="0033400D" w:rsidRPr="00F50095" w:rsidRDefault="0033400D" w:rsidP="0033400D">
      <w:pPr>
        <w:suppressAutoHyphens/>
        <w:ind w:left="851"/>
        <w:rPr>
          <w:spacing w:val="-2"/>
          <w:sz w:val="24"/>
          <w:szCs w:val="24"/>
        </w:rPr>
      </w:pPr>
      <w:r w:rsidRPr="00F50095">
        <w:rPr>
          <w:spacing w:val="-2"/>
          <w:sz w:val="24"/>
          <w:szCs w:val="24"/>
        </w:rPr>
        <w:t>Opløsning, der har været opbevaret i over 24 timer, samt ikke anvendt opløsning skal kasseres.</w:t>
      </w:r>
    </w:p>
    <w:p w:rsidR="0033400D" w:rsidRPr="00F50095" w:rsidRDefault="0033400D" w:rsidP="0033400D">
      <w:pPr>
        <w:suppressAutoHyphens/>
        <w:ind w:left="851" w:hanging="851"/>
        <w:rPr>
          <w:spacing w:val="-2"/>
          <w:sz w:val="24"/>
          <w:szCs w:val="24"/>
        </w:rPr>
      </w:pPr>
    </w:p>
    <w:p w:rsidR="0033400D" w:rsidRPr="00F50095" w:rsidRDefault="0033400D" w:rsidP="0033400D">
      <w:pPr>
        <w:ind w:left="851"/>
        <w:rPr>
          <w:caps/>
          <w:spacing w:val="-2"/>
          <w:sz w:val="24"/>
          <w:szCs w:val="24"/>
          <w:u w:val="single"/>
        </w:rPr>
      </w:pPr>
      <w:r w:rsidRPr="00F50095">
        <w:rPr>
          <w:spacing w:val="-2"/>
          <w:sz w:val="24"/>
          <w:szCs w:val="24"/>
          <w:u w:val="single"/>
        </w:rPr>
        <w:t>Procedure for sikker bortskaffelse af hætteglas, sprøjter og anvendte materialer</w:t>
      </w:r>
    </w:p>
    <w:p w:rsidR="0033400D" w:rsidRPr="00F50095" w:rsidRDefault="0033400D" w:rsidP="0033400D">
      <w:pPr>
        <w:suppressAutoHyphens/>
        <w:ind w:left="851"/>
        <w:rPr>
          <w:sz w:val="24"/>
          <w:szCs w:val="24"/>
        </w:rPr>
      </w:pPr>
      <w:r w:rsidRPr="00F50095">
        <w:rPr>
          <w:spacing w:val="-2"/>
          <w:sz w:val="24"/>
          <w:szCs w:val="24"/>
        </w:rPr>
        <w:t xml:space="preserve">Eventuelle ubrugte hætteglas eller resterende opløsning i hætteglasset og/eller sprøjter skal autoklaveres. Alternativt kan rester af </w:t>
      </w:r>
      <w:proofErr w:type="spellStart"/>
      <w:r w:rsidRPr="00F50095">
        <w:rPr>
          <w:spacing w:val="-2"/>
          <w:sz w:val="24"/>
          <w:szCs w:val="24"/>
        </w:rPr>
        <w:t>X</w:t>
      </w:r>
      <w:r>
        <w:rPr>
          <w:spacing w:val="-2"/>
          <w:sz w:val="24"/>
          <w:szCs w:val="24"/>
        </w:rPr>
        <w:t>eomin</w:t>
      </w:r>
      <w:proofErr w:type="spellEnd"/>
      <w:r w:rsidRPr="00F50095">
        <w:rPr>
          <w:spacing w:val="-2"/>
          <w:sz w:val="24"/>
          <w:szCs w:val="24"/>
        </w:rPr>
        <w:t xml:space="preserve"> inaktiveres ved at tilsætte en af følgende opløsninger: 70</w:t>
      </w:r>
      <w:r>
        <w:rPr>
          <w:spacing w:val="-2"/>
          <w:sz w:val="24"/>
          <w:szCs w:val="24"/>
        </w:rPr>
        <w:t xml:space="preserve"> %</w:t>
      </w:r>
      <w:r w:rsidRPr="00F50095">
        <w:rPr>
          <w:spacing w:val="-2"/>
          <w:sz w:val="24"/>
          <w:szCs w:val="24"/>
        </w:rPr>
        <w:t xml:space="preserve"> </w:t>
      </w:r>
      <w:proofErr w:type="spellStart"/>
      <w:r w:rsidRPr="00F50095">
        <w:rPr>
          <w:spacing w:val="-2"/>
          <w:sz w:val="24"/>
          <w:szCs w:val="24"/>
        </w:rPr>
        <w:t>ethanol</w:t>
      </w:r>
      <w:proofErr w:type="spellEnd"/>
      <w:r w:rsidRPr="00F50095">
        <w:rPr>
          <w:spacing w:val="-2"/>
          <w:sz w:val="24"/>
          <w:szCs w:val="24"/>
        </w:rPr>
        <w:t>, 50</w:t>
      </w:r>
      <w:r>
        <w:rPr>
          <w:spacing w:val="-2"/>
          <w:sz w:val="24"/>
          <w:szCs w:val="24"/>
        </w:rPr>
        <w:t xml:space="preserve"> %</w:t>
      </w:r>
      <w:r w:rsidRPr="00F50095">
        <w:rPr>
          <w:spacing w:val="-2"/>
          <w:sz w:val="24"/>
          <w:szCs w:val="24"/>
        </w:rPr>
        <w:t xml:space="preserve"> </w:t>
      </w:r>
      <w:proofErr w:type="spellStart"/>
      <w:r w:rsidRPr="00F50095">
        <w:rPr>
          <w:spacing w:val="-2"/>
          <w:sz w:val="24"/>
          <w:szCs w:val="24"/>
        </w:rPr>
        <w:t>isopropanol</w:t>
      </w:r>
      <w:proofErr w:type="spellEnd"/>
      <w:r w:rsidRPr="00F50095">
        <w:rPr>
          <w:spacing w:val="-2"/>
          <w:sz w:val="24"/>
          <w:szCs w:val="24"/>
        </w:rPr>
        <w:t>, 0,1</w:t>
      </w:r>
      <w:r>
        <w:rPr>
          <w:spacing w:val="-2"/>
          <w:sz w:val="24"/>
          <w:szCs w:val="24"/>
        </w:rPr>
        <w:t xml:space="preserve"> %</w:t>
      </w:r>
      <w:r w:rsidRPr="00F50095">
        <w:rPr>
          <w:spacing w:val="-2"/>
          <w:sz w:val="24"/>
          <w:szCs w:val="24"/>
        </w:rPr>
        <w:t xml:space="preserve"> </w:t>
      </w:r>
      <w:proofErr w:type="spellStart"/>
      <w:r w:rsidRPr="00F50095">
        <w:rPr>
          <w:spacing w:val="-2"/>
          <w:sz w:val="24"/>
          <w:szCs w:val="24"/>
        </w:rPr>
        <w:t>natriumdodecylsulfat</w:t>
      </w:r>
      <w:proofErr w:type="spellEnd"/>
      <w:r w:rsidRPr="00F50095">
        <w:rPr>
          <w:spacing w:val="-2"/>
          <w:sz w:val="24"/>
          <w:szCs w:val="24"/>
        </w:rPr>
        <w:t xml:space="preserve"> (</w:t>
      </w:r>
      <w:proofErr w:type="spellStart"/>
      <w:r w:rsidRPr="00F50095">
        <w:rPr>
          <w:spacing w:val="-2"/>
          <w:sz w:val="24"/>
          <w:szCs w:val="24"/>
        </w:rPr>
        <w:t>anionisk</w:t>
      </w:r>
      <w:proofErr w:type="spellEnd"/>
      <w:r w:rsidRPr="00F50095">
        <w:rPr>
          <w:spacing w:val="-2"/>
          <w:sz w:val="24"/>
          <w:szCs w:val="24"/>
        </w:rPr>
        <w:t xml:space="preserve"> rensemiddel), fortyndet natriumhydroxidopløsning (0,1 N </w:t>
      </w:r>
      <w:proofErr w:type="spellStart"/>
      <w:r w:rsidRPr="00F50095">
        <w:rPr>
          <w:spacing w:val="-2"/>
          <w:sz w:val="24"/>
          <w:szCs w:val="24"/>
        </w:rPr>
        <w:t>NaOH</w:t>
      </w:r>
      <w:proofErr w:type="spellEnd"/>
      <w:r w:rsidRPr="00F50095">
        <w:rPr>
          <w:spacing w:val="-2"/>
          <w:sz w:val="24"/>
          <w:szCs w:val="24"/>
        </w:rPr>
        <w:t xml:space="preserve">) eller fortyndet </w:t>
      </w:r>
      <w:proofErr w:type="spellStart"/>
      <w:r w:rsidRPr="00F50095">
        <w:rPr>
          <w:spacing w:val="-2"/>
          <w:sz w:val="24"/>
          <w:szCs w:val="24"/>
        </w:rPr>
        <w:t>natrium</w:t>
      </w:r>
      <w:r w:rsidRPr="00F50095">
        <w:rPr>
          <w:spacing w:val="-2"/>
          <w:sz w:val="24"/>
          <w:szCs w:val="24"/>
        </w:rPr>
        <w:softHyphen/>
        <w:t>hypochloritopløsning</w:t>
      </w:r>
      <w:proofErr w:type="spellEnd"/>
      <w:r w:rsidRPr="00F50095">
        <w:rPr>
          <w:spacing w:val="-2"/>
          <w:sz w:val="24"/>
          <w:szCs w:val="24"/>
        </w:rPr>
        <w:t xml:space="preserve"> (mindst 0,1</w:t>
      </w:r>
      <w:r>
        <w:rPr>
          <w:spacing w:val="-2"/>
          <w:sz w:val="24"/>
          <w:szCs w:val="24"/>
        </w:rPr>
        <w:t xml:space="preserve"> %</w:t>
      </w:r>
      <w:r w:rsidRPr="00F50095">
        <w:rPr>
          <w:spacing w:val="-2"/>
          <w:sz w:val="24"/>
          <w:szCs w:val="24"/>
        </w:rPr>
        <w:t xml:space="preserve"> </w:t>
      </w:r>
      <w:proofErr w:type="spellStart"/>
      <w:r w:rsidRPr="00F50095">
        <w:rPr>
          <w:spacing w:val="-2"/>
          <w:sz w:val="24"/>
          <w:szCs w:val="24"/>
        </w:rPr>
        <w:t>NaOCl</w:t>
      </w:r>
      <w:proofErr w:type="spellEnd"/>
      <w:r w:rsidRPr="00F50095">
        <w:rPr>
          <w:spacing w:val="-2"/>
          <w:sz w:val="24"/>
          <w:szCs w:val="24"/>
        </w:rPr>
        <w:t>).</w:t>
      </w:r>
    </w:p>
    <w:p w:rsidR="0033400D" w:rsidRPr="00F50095" w:rsidRDefault="0033400D" w:rsidP="0033400D">
      <w:pPr>
        <w:suppressAutoHyphens/>
        <w:ind w:left="851" w:hanging="851"/>
        <w:rPr>
          <w:spacing w:val="-2"/>
          <w:sz w:val="24"/>
          <w:szCs w:val="24"/>
        </w:rPr>
      </w:pPr>
    </w:p>
    <w:p w:rsidR="0033400D" w:rsidRPr="00F50095" w:rsidRDefault="0033400D" w:rsidP="0033400D">
      <w:pPr>
        <w:suppressAutoHyphens/>
        <w:ind w:left="851"/>
        <w:rPr>
          <w:spacing w:val="-2"/>
          <w:sz w:val="24"/>
          <w:szCs w:val="24"/>
        </w:rPr>
      </w:pPr>
      <w:r w:rsidRPr="00F50095">
        <w:rPr>
          <w:spacing w:val="-2"/>
          <w:sz w:val="24"/>
          <w:szCs w:val="24"/>
        </w:rPr>
        <w:t>Efter inaktivering må hætteglas, sprøjter og andre materialer ikke tømmes, og de skal anbringes i dertil egnede beholdere og bortskaffes i henhold til lokale retningslinjer.</w:t>
      </w:r>
    </w:p>
    <w:p w:rsidR="0033400D" w:rsidRPr="00F50095" w:rsidRDefault="0033400D" w:rsidP="0033400D">
      <w:pPr>
        <w:suppressAutoHyphens/>
        <w:ind w:left="851" w:hanging="851"/>
        <w:rPr>
          <w:spacing w:val="-2"/>
          <w:sz w:val="24"/>
          <w:szCs w:val="24"/>
        </w:rPr>
      </w:pPr>
    </w:p>
    <w:p w:rsidR="0033400D" w:rsidRPr="00F50095" w:rsidRDefault="0033400D" w:rsidP="0033400D">
      <w:pPr>
        <w:suppressAutoHyphens/>
        <w:ind w:left="851"/>
        <w:rPr>
          <w:caps/>
          <w:spacing w:val="-2"/>
          <w:sz w:val="24"/>
          <w:szCs w:val="24"/>
          <w:u w:val="single"/>
        </w:rPr>
      </w:pPr>
      <w:r w:rsidRPr="00F50095">
        <w:rPr>
          <w:spacing w:val="-2"/>
          <w:sz w:val="24"/>
          <w:szCs w:val="24"/>
          <w:u w:val="single"/>
        </w:rPr>
        <w:t xml:space="preserve">Anbefalinger i tilfælde af uheld under håndtering af </w:t>
      </w:r>
      <w:proofErr w:type="spellStart"/>
      <w:r w:rsidRPr="00F50095">
        <w:rPr>
          <w:spacing w:val="-2"/>
          <w:sz w:val="24"/>
          <w:szCs w:val="24"/>
          <w:u w:val="single"/>
        </w:rPr>
        <w:t>botulinum</w:t>
      </w:r>
      <w:proofErr w:type="spellEnd"/>
      <w:r w:rsidRPr="00F50095">
        <w:rPr>
          <w:spacing w:val="-2"/>
          <w:sz w:val="24"/>
          <w:szCs w:val="24"/>
          <w:u w:val="single"/>
        </w:rPr>
        <w:t xml:space="preserve"> type A-toksin</w:t>
      </w:r>
    </w:p>
    <w:p w:rsidR="0033400D" w:rsidRPr="00F50095" w:rsidRDefault="0033400D" w:rsidP="0033400D">
      <w:pPr>
        <w:suppressAutoHyphens/>
        <w:ind w:left="851" w:hanging="851"/>
        <w:rPr>
          <w:caps/>
          <w:spacing w:val="-2"/>
          <w:sz w:val="24"/>
          <w:szCs w:val="24"/>
          <w:highlight w:val="yellow"/>
        </w:rPr>
      </w:pPr>
    </w:p>
    <w:p w:rsidR="0033400D" w:rsidRPr="00F50095" w:rsidRDefault="0033400D" w:rsidP="0033400D">
      <w:pPr>
        <w:numPr>
          <w:ilvl w:val="0"/>
          <w:numId w:val="10"/>
        </w:numPr>
        <w:tabs>
          <w:tab w:val="clear" w:pos="1500"/>
        </w:tabs>
        <w:suppressAutoHyphens/>
        <w:snapToGrid w:val="0"/>
        <w:ind w:left="1276" w:hanging="425"/>
        <w:rPr>
          <w:sz w:val="24"/>
          <w:szCs w:val="24"/>
        </w:rPr>
      </w:pPr>
      <w:r w:rsidRPr="00F50095">
        <w:rPr>
          <w:spacing w:val="-2"/>
          <w:sz w:val="24"/>
          <w:szCs w:val="24"/>
        </w:rPr>
        <w:t xml:space="preserve">Spild af produktet skal tørres op: enten ved hjælp af et absorberende materiale gennemvædet med en af ovennævnte opløsninger, når det drejer sig om pulveret, eller med et tørt, absorberende materiale, når det drejer sig om det </w:t>
      </w:r>
      <w:proofErr w:type="spellStart"/>
      <w:r w:rsidRPr="00F50095">
        <w:rPr>
          <w:spacing w:val="-2"/>
          <w:sz w:val="24"/>
          <w:szCs w:val="24"/>
        </w:rPr>
        <w:t>rekonstituerede</w:t>
      </w:r>
      <w:proofErr w:type="spellEnd"/>
      <w:r w:rsidRPr="00F50095">
        <w:rPr>
          <w:spacing w:val="-2"/>
          <w:sz w:val="24"/>
          <w:szCs w:val="24"/>
        </w:rPr>
        <w:t xml:space="preserve"> produkt. </w:t>
      </w:r>
    </w:p>
    <w:p w:rsidR="0033400D" w:rsidRPr="00F50095" w:rsidRDefault="0033400D" w:rsidP="0033400D">
      <w:pPr>
        <w:numPr>
          <w:ilvl w:val="0"/>
          <w:numId w:val="10"/>
        </w:numPr>
        <w:tabs>
          <w:tab w:val="clear" w:pos="1500"/>
        </w:tabs>
        <w:suppressAutoHyphens/>
        <w:snapToGrid w:val="0"/>
        <w:ind w:left="1276" w:hanging="425"/>
        <w:rPr>
          <w:sz w:val="24"/>
          <w:szCs w:val="24"/>
        </w:rPr>
      </w:pPr>
      <w:r w:rsidRPr="00F50095">
        <w:rPr>
          <w:spacing w:val="-2"/>
          <w:sz w:val="24"/>
          <w:szCs w:val="24"/>
        </w:rPr>
        <w:t xml:space="preserve">Forurenede overflader skal rengøres ved hjælp af et absorberende materiale imprægneret med en af ovennævnte opløsninger og dernæst tørres. </w:t>
      </w:r>
    </w:p>
    <w:p w:rsidR="0033400D" w:rsidRPr="00F50095" w:rsidRDefault="0033400D" w:rsidP="0033400D">
      <w:pPr>
        <w:numPr>
          <w:ilvl w:val="0"/>
          <w:numId w:val="10"/>
        </w:numPr>
        <w:tabs>
          <w:tab w:val="clear" w:pos="1500"/>
        </w:tabs>
        <w:suppressAutoHyphens/>
        <w:snapToGrid w:val="0"/>
        <w:ind w:left="1276" w:hanging="425"/>
        <w:rPr>
          <w:sz w:val="24"/>
          <w:szCs w:val="24"/>
        </w:rPr>
      </w:pPr>
      <w:r w:rsidRPr="00F50095">
        <w:rPr>
          <w:spacing w:val="-2"/>
          <w:sz w:val="24"/>
          <w:szCs w:val="24"/>
        </w:rPr>
        <w:lastRenderedPageBreak/>
        <w:t xml:space="preserve">Hvis et hætteglas går itu, bør man følge anvisningerne ovenfor ved omhyggeligt at samle glasskårene sammen og tørre produktet op. Undgå snitsår i huden. </w:t>
      </w:r>
    </w:p>
    <w:p w:rsidR="0033400D" w:rsidRPr="00F50095" w:rsidRDefault="0033400D" w:rsidP="0033400D">
      <w:pPr>
        <w:numPr>
          <w:ilvl w:val="0"/>
          <w:numId w:val="10"/>
        </w:numPr>
        <w:tabs>
          <w:tab w:val="clear" w:pos="1500"/>
        </w:tabs>
        <w:suppressAutoHyphens/>
        <w:snapToGrid w:val="0"/>
        <w:ind w:left="1276" w:hanging="425"/>
        <w:rPr>
          <w:sz w:val="24"/>
          <w:szCs w:val="24"/>
        </w:rPr>
      </w:pPr>
      <w:r w:rsidRPr="00F50095">
        <w:rPr>
          <w:spacing w:val="-2"/>
          <w:sz w:val="24"/>
          <w:szCs w:val="24"/>
        </w:rPr>
        <w:t xml:space="preserve">Hvis produktet kommer i kontakt med huden, bør det berørte område skylles med rigeligt vand. </w:t>
      </w:r>
    </w:p>
    <w:p w:rsidR="0033400D" w:rsidRPr="00F50095" w:rsidRDefault="0033400D" w:rsidP="0033400D">
      <w:pPr>
        <w:numPr>
          <w:ilvl w:val="0"/>
          <w:numId w:val="10"/>
        </w:numPr>
        <w:tabs>
          <w:tab w:val="clear" w:pos="1500"/>
        </w:tabs>
        <w:suppressAutoHyphens/>
        <w:snapToGrid w:val="0"/>
        <w:ind w:left="1276" w:hanging="425"/>
        <w:rPr>
          <w:sz w:val="24"/>
          <w:szCs w:val="24"/>
        </w:rPr>
      </w:pPr>
      <w:r w:rsidRPr="00F50095">
        <w:rPr>
          <w:spacing w:val="-2"/>
          <w:sz w:val="24"/>
          <w:szCs w:val="24"/>
        </w:rPr>
        <w:t xml:space="preserve">Hvis produktet kommer i øjnene, skylles de omhyggeligt med rigeligt vand eller med et øjenskyllemiddel. </w:t>
      </w:r>
    </w:p>
    <w:p w:rsidR="0033400D" w:rsidRPr="00F50095" w:rsidRDefault="0033400D" w:rsidP="0033400D">
      <w:pPr>
        <w:numPr>
          <w:ilvl w:val="0"/>
          <w:numId w:val="10"/>
        </w:numPr>
        <w:tabs>
          <w:tab w:val="clear" w:pos="1500"/>
          <w:tab w:val="num" w:pos="1276"/>
        </w:tabs>
        <w:suppressAutoHyphens/>
        <w:snapToGrid w:val="0"/>
        <w:ind w:left="1276" w:hanging="425"/>
        <w:rPr>
          <w:sz w:val="24"/>
          <w:szCs w:val="24"/>
        </w:rPr>
      </w:pPr>
      <w:r w:rsidRPr="00F50095">
        <w:rPr>
          <w:spacing w:val="-2"/>
          <w:sz w:val="24"/>
          <w:szCs w:val="24"/>
        </w:rPr>
        <w:t xml:space="preserve">Hvis produktet kommer i kontakt med et sår eller med en flænge eller revne i huden, skylles huden omhyggeligt med rigeligt vand. Passende medicinske tiltag i forhold til den injicerede dosis bør iværksættes. </w:t>
      </w:r>
    </w:p>
    <w:p w:rsidR="0033400D" w:rsidRPr="00F50095" w:rsidRDefault="0033400D" w:rsidP="0033400D">
      <w:pPr>
        <w:suppressAutoHyphens/>
        <w:ind w:left="851" w:hanging="851"/>
        <w:rPr>
          <w:spacing w:val="-2"/>
          <w:sz w:val="24"/>
          <w:szCs w:val="24"/>
        </w:rPr>
      </w:pPr>
    </w:p>
    <w:p w:rsidR="0033400D" w:rsidRPr="00F50095" w:rsidRDefault="0033400D" w:rsidP="0033400D">
      <w:pPr>
        <w:suppressAutoHyphens/>
        <w:ind w:left="851"/>
        <w:rPr>
          <w:spacing w:val="-2"/>
          <w:sz w:val="24"/>
          <w:szCs w:val="24"/>
        </w:rPr>
      </w:pPr>
      <w:r w:rsidRPr="00F50095">
        <w:rPr>
          <w:spacing w:val="-2"/>
          <w:sz w:val="24"/>
          <w:szCs w:val="24"/>
        </w:rPr>
        <w:t>Disse vejledninger i brug, håndtering og bortskaffelse skal følges nøje.</w:t>
      </w:r>
    </w:p>
    <w:p w:rsidR="0033400D" w:rsidRPr="00F50095" w:rsidRDefault="0033400D" w:rsidP="0033400D">
      <w:pPr>
        <w:jc w:val="both"/>
        <w:rPr>
          <w:sz w:val="24"/>
          <w:szCs w:val="24"/>
        </w:rPr>
      </w:pPr>
    </w:p>
    <w:p w:rsidR="0033400D" w:rsidRPr="00F50095" w:rsidRDefault="0033400D" w:rsidP="0033400D">
      <w:pPr>
        <w:ind w:left="851" w:hanging="851"/>
        <w:rPr>
          <w:b/>
          <w:sz w:val="24"/>
          <w:szCs w:val="24"/>
        </w:rPr>
      </w:pPr>
      <w:r w:rsidRPr="00F50095">
        <w:rPr>
          <w:b/>
          <w:sz w:val="24"/>
          <w:szCs w:val="24"/>
        </w:rPr>
        <w:t>7.</w:t>
      </w:r>
      <w:r w:rsidRPr="00F50095">
        <w:rPr>
          <w:b/>
          <w:sz w:val="24"/>
          <w:szCs w:val="24"/>
        </w:rPr>
        <w:tab/>
        <w:t>INDEHAVER AF MARKEDSFØRINGSTILLADELSEN</w:t>
      </w:r>
    </w:p>
    <w:p w:rsidR="0033400D" w:rsidRPr="00F50095" w:rsidRDefault="0033400D" w:rsidP="0033400D">
      <w:pPr>
        <w:ind w:left="851"/>
        <w:rPr>
          <w:sz w:val="24"/>
          <w:szCs w:val="24"/>
        </w:rPr>
      </w:pPr>
      <w:proofErr w:type="spellStart"/>
      <w:r w:rsidRPr="00F50095">
        <w:rPr>
          <w:sz w:val="24"/>
          <w:szCs w:val="24"/>
        </w:rPr>
        <w:t>Merz</w:t>
      </w:r>
      <w:proofErr w:type="spellEnd"/>
      <w:r w:rsidRPr="00F50095">
        <w:rPr>
          <w:sz w:val="24"/>
          <w:szCs w:val="24"/>
        </w:rPr>
        <w:t xml:space="preserve"> Pharmaceuticals GmbH</w:t>
      </w:r>
    </w:p>
    <w:p w:rsidR="0033400D" w:rsidRPr="00B74EEC" w:rsidRDefault="0033400D" w:rsidP="0033400D">
      <w:pPr>
        <w:ind w:left="851"/>
        <w:rPr>
          <w:sz w:val="24"/>
          <w:szCs w:val="24"/>
          <w:lang w:val="de-DE"/>
        </w:rPr>
      </w:pPr>
      <w:r w:rsidRPr="00B74EEC">
        <w:rPr>
          <w:sz w:val="24"/>
          <w:szCs w:val="24"/>
          <w:lang w:val="de-DE"/>
        </w:rPr>
        <w:t>Eckenheimer Landstraße 100</w:t>
      </w:r>
    </w:p>
    <w:p w:rsidR="0033400D" w:rsidRPr="00B74EEC" w:rsidRDefault="0033400D" w:rsidP="0033400D">
      <w:pPr>
        <w:ind w:left="851"/>
        <w:rPr>
          <w:sz w:val="24"/>
          <w:szCs w:val="24"/>
          <w:lang w:val="de-DE"/>
        </w:rPr>
      </w:pPr>
      <w:r w:rsidRPr="00B74EEC">
        <w:rPr>
          <w:sz w:val="24"/>
          <w:szCs w:val="24"/>
          <w:lang w:val="de-DE"/>
        </w:rPr>
        <w:t>D-60318 Frankfurt am Main</w:t>
      </w:r>
    </w:p>
    <w:p w:rsidR="0033400D" w:rsidRPr="00B74EEC" w:rsidRDefault="0033400D" w:rsidP="0033400D">
      <w:pPr>
        <w:ind w:left="851"/>
        <w:rPr>
          <w:sz w:val="24"/>
          <w:szCs w:val="24"/>
        </w:rPr>
      </w:pPr>
      <w:r w:rsidRPr="00B74EEC">
        <w:rPr>
          <w:sz w:val="24"/>
          <w:szCs w:val="24"/>
        </w:rPr>
        <w:t>Tyskland</w:t>
      </w:r>
    </w:p>
    <w:p w:rsidR="0033400D" w:rsidRPr="00B74EEC" w:rsidRDefault="0033400D" w:rsidP="0033400D">
      <w:pPr>
        <w:rPr>
          <w:sz w:val="24"/>
          <w:szCs w:val="24"/>
        </w:rPr>
      </w:pPr>
    </w:p>
    <w:p w:rsidR="0033400D" w:rsidRPr="00F50095" w:rsidRDefault="0033400D" w:rsidP="0033400D">
      <w:pPr>
        <w:ind w:left="851" w:hanging="851"/>
        <w:rPr>
          <w:b/>
          <w:sz w:val="24"/>
          <w:szCs w:val="24"/>
        </w:rPr>
      </w:pPr>
      <w:r w:rsidRPr="00F50095">
        <w:rPr>
          <w:b/>
          <w:sz w:val="24"/>
          <w:szCs w:val="24"/>
        </w:rPr>
        <w:t>8.</w:t>
      </w:r>
      <w:r w:rsidRPr="00F50095">
        <w:rPr>
          <w:b/>
          <w:sz w:val="24"/>
          <w:szCs w:val="24"/>
        </w:rPr>
        <w:tab/>
        <w:t>MARKEDSFØRINGSTILLADELSESNUMMER (</w:t>
      </w:r>
      <w:r w:rsidR="00E44AD4">
        <w:rPr>
          <w:b/>
          <w:sz w:val="24"/>
          <w:szCs w:val="24"/>
        </w:rPr>
        <w:t>-</w:t>
      </w:r>
      <w:r w:rsidRPr="00F50095">
        <w:rPr>
          <w:b/>
          <w:sz w:val="24"/>
          <w:szCs w:val="24"/>
        </w:rPr>
        <w:t>NUMRE)</w:t>
      </w:r>
    </w:p>
    <w:p w:rsidR="0033400D" w:rsidRPr="00F50095" w:rsidRDefault="0033400D" w:rsidP="0033400D">
      <w:pPr>
        <w:ind w:left="851" w:hanging="851"/>
        <w:rPr>
          <w:sz w:val="24"/>
          <w:szCs w:val="24"/>
        </w:rPr>
      </w:pPr>
      <w:r w:rsidRPr="00F50095">
        <w:rPr>
          <w:sz w:val="24"/>
          <w:szCs w:val="24"/>
        </w:rPr>
        <w:tab/>
        <w:t>47349</w:t>
      </w:r>
    </w:p>
    <w:p w:rsidR="0033400D" w:rsidRPr="00F50095" w:rsidRDefault="0033400D" w:rsidP="0033400D">
      <w:pPr>
        <w:ind w:left="851" w:hanging="851"/>
        <w:jc w:val="both"/>
        <w:rPr>
          <w:sz w:val="24"/>
          <w:szCs w:val="24"/>
        </w:rPr>
      </w:pPr>
    </w:p>
    <w:p w:rsidR="0033400D" w:rsidRPr="00F50095" w:rsidRDefault="0033400D" w:rsidP="0033400D">
      <w:pPr>
        <w:ind w:left="851" w:hanging="851"/>
        <w:rPr>
          <w:b/>
          <w:sz w:val="24"/>
          <w:szCs w:val="24"/>
        </w:rPr>
      </w:pPr>
      <w:r w:rsidRPr="00F50095">
        <w:rPr>
          <w:b/>
          <w:sz w:val="24"/>
          <w:szCs w:val="24"/>
        </w:rPr>
        <w:t>9.</w:t>
      </w:r>
      <w:r w:rsidRPr="00F50095">
        <w:rPr>
          <w:b/>
          <w:sz w:val="24"/>
          <w:szCs w:val="24"/>
        </w:rPr>
        <w:tab/>
        <w:t>DATO FOR FØRSTE MARKEDSFØRINGSTILLADELSE</w:t>
      </w:r>
    </w:p>
    <w:p w:rsidR="0033400D" w:rsidRPr="00F50095" w:rsidRDefault="0033400D" w:rsidP="0033400D">
      <w:pPr>
        <w:ind w:left="851" w:hanging="851"/>
        <w:rPr>
          <w:sz w:val="24"/>
          <w:szCs w:val="24"/>
        </w:rPr>
      </w:pPr>
      <w:r w:rsidRPr="00F50095">
        <w:rPr>
          <w:sz w:val="24"/>
          <w:szCs w:val="24"/>
        </w:rPr>
        <w:tab/>
        <w:t>3. juli 2007</w:t>
      </w:r>
    </w:p>
    <w:p w:rsidR="0033400D" w:rsidRPr="00F50095" w:rsidRDefault="0033400D" w:rsidP="0033400D">
      <w:pPr>
        <w:ind w:left="851" w:hanging="851"/>
        <w:rPr>
          <w:sz w:val="24"/>
          <w:szCs w:val="24"/>
        </w:rPr>
      </w:pPr>
    </w:p>
    <w:p w:rsidR="0033400D" w:rsidRPr="00F50095" w:rsidRDefault="0033400D" w:rsidP="0033400D">
      <w:pPr>
        <w:ind w:left="851" w:hanging="851"/>
        <w:rPr>
          <w:b/>
          <w:sz w:val="24"/>
          <w:szCs w:val="24"/>
        </w:rPr>
      </w:pPr>
      <w:r w:rsidRPr="00F50095">
        <w:rPr>
          <w:b/>
          <w:sz w:val="24"/>
          <w:szCs w:val="24"/>
        </w:rPr>
        <w:t>10.</w:t>
      </w:r>
      <w:r w:rsidRPr="00F50095">
        <w:rPr>
          <w:b/>
          <w:sz w:val="24"/>
          <w:szCs w:val="24"/>
        </w:rPr>
        <w:tab/>
        <w:t>DATO FOR ÆNDRING AF TEKSTEN</w:t>
      </w:r>
    </w:p>
    <w:p w:rsidR="0033400D" w:rsidRPr="00F50095" w:rsidRDefault="0033400D" w:rsidP="0033400D">
      <w:pPr>
        <w:ind w:left="851" w:hanging="851"/>
        <w:rPr>
          <w:sz w:val="24"/>
          <w:szCs w:val="24"/>
        </w:rPr>
      </w:pPr>
      <w:r w:rsidRPr="00F50095">
        <w:rPr>
          <w:sz w:val="24"/>
          <w:szCs w:val="24"/>
        </w:rPr>
        <w:tab/>
      </w:r>
      <w:r w:rsidR="00E44AD4">
        <w:rPr>
          <w:sz w:val="24"/>
          <w:szCs w:val="24"/>
        </w:rPr>
        <w:t>30. juni 2023</w:t>
      </w:r>
    </w:p>
    <w:p w:rsidR="0033400D" w:rsidRPr="00CB0188" w:rsidRDefault="0033400D" w:rsidP="0033400D"/>
    <w:p w:rsidR="009260DE" w:rsidRPr="0033400D" w:rsidRDefault="009260DE" w:rsidP="0033400D"/>
    <w:sectPr w:rsidR="009260DE" w:rsidRPr="0033400D"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DD0" w:rsidRDefault="00183DD0">
      <w:r>
        <w:separator/>
      </w:r>
    </w:p>
  </w:endnote>
  <w:endnote w:type="continuationSeparator" w:id="0">
    <w:p w:rsidR="00183DD0" w:rsidRDefault="0018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DD0" w:rsidRDefault="00183DD0">
    <w:pPr>
      <w:pStyle w:val="Sidefod"/>
      <w:pBdr>
        <w:bottom w:val="single" w:sz="6" w:space="1" w:color="auto"/>
      </w:pBdr>
    </w:pPr>
  </w:p>
  <w:p w:rsidR="00183DD0" w:rsidRDefault="00183DD0" w:rsidP="00C42586">
    <w:pPr>
      <w:pStyle w:val="Sidefod"/>
      <w:tabs>
        <w:tab w:val="clear" w:pos="4819"/>
        <w:tab w:val="left" w:pos="8505"/>
      </w:tabs>
      <w:rPr>
        <w:i/>
        <w:sz w:val="18"/>
        <w:szCs w:val="18"/>
      </w:rPr>
    </w:pPr>
  </w:p>
  <w:p w:rsidR="00183DD0" w:rsidRPr="00B373D7" w:rsidRDefault="00183D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Xeomin, pulver til injektionsvæske, opløsning 50 enheder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DD0" w:rsidRDefault="00183DD0">
      <w:r>
        <w:separator/>
      </w:r>
    </w:p>
  </w:footnote>
  <w:footnote w:type="continuationSeparator" w:id="0">
    <w:p w:rsidR="00183DD0" w:rsidRDefault="00183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2FB0"/>
    <w:multiLevelType w:val="hybridMultilevel"/>
    <w:tmpl w:val="84C01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4D66F1"/>
    <w:multiLevelType w:val="hybridMultilevel"/>
    <w:tmpl w:val="E5544310"/>
    <w:lvl w:ilvl="0" w:tplc="20000001">
      <w:start w:val="1"/>
      <w:numFmt w:val="bullet"/>
      <w:lvlText w:val=""/>
      <w:lvlJc w:val="left"/>
      <w:pPr>
        <w:ind w:left="1635" w:hanging="360"/>
      </w:pPr>
      <w:rPr>
        <w:rFonts w:ascii="Symbol" w:hAnsi="Symbol" w:hint="default"/>
      </w:rPr>
    </w:lvl>
    <w:lvl w:ilvl="1" w:tplc="20000003" w:tentative="1">
      <w:start w:val="1"/>
      <w:numFmt w:val="bullet"/>
      <w:lvlText w:val="o"/>
      <w:lvlJc w:val="left"/>
      <w:pPr>
        <w:ind w:left="2355" w:hanging="360"/>
      </w:pPr>
      <w:rPr>
        <w:rFonts w:ascii="Courier New" w:hAnsi="Courier New" w:cs="Courier New" w:hint="default"/>
      </w:rPr>
    </w:lvl>
    <w:lvl w:ilvl="2" w:tplc="20000005" w:tentative="1">
      <w:start w:val="1"/>
      <w:numFmt w:val="bullet"/>
      <w:lvlText w:val=""/>
      <w:lvlJc w:val="left"/>
      <w:pPr>
        <w:ind w:left="3075" w:hanging="360"/>
      </w:pPr>
      <w:rPr>
        <w:rFonts w:ascii="Wingdings" w:hAnsi="Wingdings" w:hint="default"/>
      </w:rPr>
    </w:lvl>
    <w:lvl w:ilvl="3" w:tplc="20000001" w:tentative="1">
      <w:start w:val="1"/>
      <w:numFmt w:val="bullet"/>
      <w:lvlText w:val=""/>
      <w:lvlJc w:val="left"/>
      <w:pPr>
        <w:ind w:left="3795" w:hanging="360"/>
      </w:pPr>
      <w:rPr>
        <w:rFonts w:ascii="Symbol" w:hAnsi="Symbol" w:hint="default"/>
      </w:rPr>
    </w:lvl>
    <w:lvl w:ilvl="4" w:tplc="20000003" w:tentative="1">
      <w:start w:val="1"/>
      <w:numFmt w:val="bullet"/>
      <w:lvlText w:val="o"/>
      <w:lvlJc w:val="left"/>
      <w:pPr>
        <w:ind w:left="4515" w:hanging="360"/>
      </w:pPr>
      <w:rPr>
        <w:rFonts w:ascii="Courier New" w:hAnsi="Courier New" w:cs="Courier New" w:hint="default"/>
      </w:rPr>
    </w:lvl>
    <w:lvl w:ilvl="5" w:tplc="20000005" w:tentative="1">
      <w:start w:val="1"/>
      <w:numFmt w:val="bullet"/>
      <w:lvlText w:val=""/>
      <w:lvlJc w:val="left"/>
      <w:pPr>
        <w:ind w:left="5235" w:hanging="360"/>
      </w:pPr>
      <w:rPr>
        <w:rFonts w:ascii="Wingdings" w:hAnsi="Wingdings" w:hint="default"/>
      </w:rPr>
    </w:lvl>
    <w:lvl w:ilvl="6" w:tplc="20000001" w:tentative="1">
      <w:start w:val="1"/>
      <w:numFmt w:val="bullet"/>
      <w:lvlText w:val=""/>
      <w:lvlJc w:val="left"/>
      <w:pPr>
        <w:ind w:left="5955" w:hanging="360"/>
      </w:pPr>
      <w:rPr>
        <w:rFonts w:ascii="Symbol" w:hAnsi="Symbol" w:hint="default"/>
      </w:rPr>
    </w:lvl>
    <w:lvl w:ilvl="7" w:tplc="20000003" w:tentative="1">
      <w:start w:val="1"/>
      <w:numFmt w:val="bullet"/>
      <w:lvlText w:val="o"/>
      <w:lvlJc w:val="left"/>
      <w:pPr>
        <w:ind w:left="6675" w:hanging="360"/>
      </w:pPr>
      <w:rPr>
        <w:rFonts w:ascii="Courier New" w:hAnsi="Courier New" w:cs="Courier New" w:hint="default"/>
      </w:rPr>
    </w:lvl>
    <w:lvl w:ilvl="8" w:tplc="20000005" w:tentative="1">
      <w:start w:val="1"/>
      <w:numFmt w:val="bullet"/>
      <w:lvlText w:val=""/>
      <w:lvlJc w:val="left"/>
      <w:pPr>
        <w:ind w:left="7395" w:hanging="360"/>
      </w:pPr>
      <w:rPr>
        <w:rFonts w:ascii="Wingdings" w:hAnsi="Wingdings" w:hint="default"/>
      </w:rPr>
    </w:lvl>
  </w:abstractNum>
  <w:abstractNum w:abstractNumId="2" w15:restartNumberingAfterBreak="0">
    <w:nsid w:val="12A4627D"/>
    <w:multiLevelType w:val="hybridMultilevel"/>
    <w:tmpl w:val="7E10AD42"/>
    <w:lvl w:ilvl="0" w:tplc="B72EF79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F23826"/>
    <w:multiLevelType w:val="hybridMultilevel"/>
    <w:tmpl w:val="783AB0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526730"/>
    <w:multiLevelType w:val="hybridMultilevel"/>
    <w:tmpl w:val="B3F8E1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33A61EC"/>
    <w:multiLevelType w:val="hybridMultilevel"/>
    <w:tmpl w:val="EA1A93F2"/>
    <w:lvl w:ilvl="0" w:tplc="20000001">
      <w:start w:val="1"/>
      <w:numFmt w:val="bullet"/>
      <w:lvlText w:val=""/>
      <w:lvlJc w:val="left"/>
      <w:pPr>
        <w:ind w:left="1630" w:hanging="360"/>
      </w:pPr>
      <w:rPr>
        <w:rFonts w:ascii="Symbol" w:hAnsi="Symbol" w:hint="default"/>
      </w:rPr>
    </w:lvl>
    <w:lvl w:ilvl="1" w:tplc="20000003">
      <w:start w:val="1"/>
      <w:numFmt w:val="bullet"/>
      <w:lvlText w:val="o"/>
      <w:lvlJc w:val="left"/>
      <w:pPr>
        <w:ind w:left="2350" w:hanging="360"/>
      </w:pPr>
      <w:rPr>
        <w:rFonts w:ascii="Courier New" w:hAnsi="Courier New" w:cs="Courier New" w:hint="default"/>
      </w:rPr>
    </w:lvl>
    <w:lvl w:ilvl="2" w:tplc="20000005">
      <w:start w:val="1"/>
      <w:numFmt w:val="bullet"/>
      <w:lvlText w:val=""/>
      <w:lvlJc w:val="left"/>
      <w:pPr>
        <w:ind w:left="3070" w:hanging="360"/>
      </w:pPr>
      <w:rPr>
        <w:rFonts w:ascii="Wingdings" w:hAnsi="Wingdings" w:hint="default"/>
      </w:rPr>
    </w:lvl>
    <w:lvl w:ilvl="3" w:tplc="20000001">
      <w:start w:val="1"/>
      <w:numFmt w:val="bullet"/>
      <w:lvlText w:val=""/>
      <w:lvlJc w:val="left"/>
      <w:pPr>
        <w:ind w:left="3790" w:hanging="360"/>
      </w:pPr>
      <w:rPr>
        <w:rFonts w:ascii="Symbol" w:hAnsi="Symbol" w:hint="default"/>
      </w:rPr>
    </w:lvl>
    <w:lvl w:ilvl="4" w:tplc="20000003">
      <w:start w:val="1"/>
      <w:numFmt w:val="bullet"/>
      <w:lvlText w:val="o"/>
      <w:lvlJc w:val="left"/>
      <w:pPr>
        <w:ind w:left="4510" w:hanging="360"/>
      </w:pPr>
      <w:rPr>
        <w:rFonts w:ascii="Courier New" w:hAnsi="Courier New" w:cs="Courier New" w:hint="default"/>
      </w:rPr>
    </w:lvl>
    <w:lvl w:ilvl="5" w:tplc="20000005">
      <w:start w:val="1"/>
      <w:numFmt w:val="bullet"/>
      <w:lvlText w:val=""/>
      <w:lvlJc w:val="left"/>
      <w:pPr>
        <w:ind w:left="5230" w:hanging="360"/>
      </w:pPr>
      <w:rPr>
        <w:rFonts w:ascii="Wingdings" w:hAnsi="Wingdings" w:hint="default"/>
      </w:rPr>
    </w:lvl>
    <w:lvl w:ilvl="6" w:tplc="20000001">
      <w:start w:val="1"/>
      <w:numFmt w:val="bullet"/>
      <w:lvlText w:val=""/>
      <w:lvlJc w:val="left"/>
      <w:pPr>
        <w:ind w:left="5950" w:hanging="360"/>
      </w:pPr>
      <w:rPr>
        <w:rFonts w:ascii="Symbol" w:hAnsi="Symbol" w:hint="default"/>
      </w:rPr>
    </w:lvl>
    <w:lvl w:ilvl="7" w:tplc="20000003">
      <w:start w:val="1"/>
      <w:numFmt w:val="bullet"/>
      <w:lvlText w:val="o"/>
      <w:lvlJc w:val="left"/>
      <w:pPr>
        <w:ind w:left="6670" w:hanging="360"/>
      </w:pPr>
      <w:rPr>
        <w:rFonts w:ascii="Courier New" w:hAnsi="Courier New" w:cs="Courier New" w:hint="default"/>
      </w:rPr>
    </w:lvl>
    <w:lvl w:ilvl="8" w:tplc="20000005">
      <w:start w:val="1"/>
      <w:numFmt w:val="bullet"/>
      <w:lvlText w:val=""/>
      <w:lvlJc w:val="left"/>
      <w:pPr>
        <w:ind w:left="7390" w:hanging="360"/>
      </w:pPr>
      <w:rPr>
        <w:rFonts w:ascii="Wingdings" w:hAnsi="Wingdings" w:hint="default"/>
      </w:rPr>
    </w:lvl>
  </w:abstractNum>
  <w:abstractNum w:abstractNumId="14" w15:restartNumberingAfterBreak="0">
    <w:nsid w:val="75A162E7"/>
    <w:multiLevelType w:val="hybridMultilevel"/>
    <w:tmpl w:val="F42280AE"/>
    <w:lvl w:ilvl="0" w:tplc="04070001">
      <w:start w:val="1"/>
      <w:numFmt w:val="bullet"/>
      <w:lvlText w:val=""/>
      <w:lvlJc w:val="left"/>
      <w:pPr>
        <w:tabs>
          <w:tab w:val="num" w:pos="1500"/>
        </w:tabs>
        <w:ind w:left="1500" w:hanging="360"/>
      </w:pPr>
      <w:rPr>
        <w:rFonts w:ascii="Symbol" w:hAnsi="Symbol" w:hint="default"/>
      </w:rPr>
    </w:lvl>
    <w:lvl w:ilvl="1" w:tplc="04070003">
      <w:start w:val="1"/>
      <w:numFmt w:val="bullet"/>
      <w:lvlText w:val="o"/>
      <w:lvlJc w:val="left"/>
      <w:pPr>
        <w:tabs>
          <w:tab w:val="num" w:pos="2220"/>
        </w:tabs>
        <w:ind w:left="2220" w:hanging="360"/>
      </w:pPr>
      <w:rPr>
        <w:rFonts w:ascii="Courier New" w:hAnsi="Courier New" w:cs="Times New Roman" w:hint="default"/>
      </w:rPr>
    </w:lvl>
    <w:lvl w:ilvl="2" w:tplc="04070005">
      <w:start w:val="1"/>
      <w:numFmt w:val="bullet"/>
      <w:lvlText w:val=""/>
      <w:lvlJc w:val="left"/>
      <w:pPr>
        <w:tabs>
          <w:tab w:val="num" w:pos="2940"/>
        </w:tabs>
        <w:ind w:left="2940" w:hanging="360"/>
      </w:pPr>
      <w:rPr>
        <w:rFonts w:ascii="Times New Roman" w:hAnsi="Times New Roman" w:cs="Times New Roman" w:hint="default"/>
      </w:rPr>
    </w:lvl>
    <w:lvl w:ilvl="3" w:tplc="04070001">
      <w:start w:val="1"/>
      <w:numFmt w:val="bullet"/>
      <w:lvlText w:val=""/>
      <w:lvlJc w:val="left"/>
      <w:pPr>
        <w:tabs>
          <w:tab w:val="num" w:pos="3660"/>
        </w:tabs>
        <w:ind w:left="3660" w:hanging="360"/>
      </w:pPr>
      <w:rPr>
        <w:rFonts w:ascii="Symbol" w:hAnsi="Symbol" w:hint="default"/>
      </w:rPr>
    </w:lvl>
    <w:lvl w:ilvl="4" w:tplc="04070003">
      <w:start w:val="1"/>
      <w:numFmt w:val="bullet"/>
      <w:lvlText w:val="o"/>
      <w:lvlJc w:val="left"/>
      <w:pPr>
        <w:tabs>
          <w:tab w:val="num" w:pos="4380"/>
        </w:tabs>
        <w:ind w:left="4380" w:hanging="360"/>
      </w:pPr>
      <w:rPr>
        <w:rFonts w:ascii="Courier New" w:hAnsi="Courier New" w:cs="Times New Roman" w:hint="default"/>
      </w:rPr>
    </w:lvl>
    <w:lvl w:ilvl="5" w:tplc="04070005">
      <w:start w:val="1"/>
      <w:numFmt w:val="bullet"/>
      <w:lvlText w:val=""/>
      <w:lvlJc w:val="left"/>
      <w:pPr>
        <w:tabs>
          <w:tab w:val="num" w:pos="5100"/>
        </w:tabs>
        <w:ind w:left="5100" w:hanging="360"/>
      </w:pPr>
      <w:rPr>
        <w:rFonts w:ascii="Times New Roman" w:hAnsi="Times New Roman" w:cs="Times New Roman" w:hint="default"/>
      </w:rPr>
    </w:lvl>
    <w:lvl w:ilvl="6" w:tplc="04070001">
      <w:start w:val="1"/>
      <w:numFmt w:val="bullet"/>
      <w:lvlText w:val=""/>
      <w:lvlJc w:val="left"/>
      <w:pPr>
        <w:tabs>
          <w:tab w:val="num" w:pos="5820"/>
        </w:tabs>
        <w:ind w:left="5820" w:hanging="360"/>
      </w:pPr>
      <w:rPr>
        <w:rFonts w:ascii="Symbol" w:hAnsi="Symbol" w:hint="default"/>
      </w:rPr>
    </w:lvl>
    <w:lvl w:ilvl="7" w:tplc="04070003">
      <w:start w:val="1"/>
      <w:numFmt w:val="bullet"/>
      <w:lvlText w:val="o"/>
      <w:lvlJc w:val="left"/>
      <w:pPr>
        <w:tabs>
          <w:tab w:val="num" w:pos="6540"/>
        </w:tabs>
        <w:ind w:left="6540" w:hanging="360"/>
      </w:pPr>
      <w:rPr>
        <w:rFonts w:ascii="Courier New" w:hAnsi="Courier New" w:cs="Times New Roman" w:hint="default"/>
      </w:rPr>
    </w:lvl>
    <w:lvl w:ilvl="8" w:tplc="04070005">
      <w:start w:val="1"/>
      <w:numFmt w:val="bullet"/>
      <w:lvlText w:val=""/>
      <w:lvlJc w:val="left"/>
      <w:pPr>
        <w:tabs>
          <w:tab w:val="num" w:pos="7260"/>
        </w:tabs>
        <w:ind w:left="7260" w:hanging="360"/>
      </w:pPr>
      <w:rPr>
        <w:rFonts w:ascii="Times New Roman" w:hAnsi="Times New Roman" w:cs="Times New Roman"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2"/>
  </w:num>
  <w:num w:numId="10">
    <w:abstractNumId w:val="14"/>
  </w:num>
  <w:num w:numId="11">
    <w:abstractNumId w:val="4"/>
  </w:num>
  <w:num w:numId="12">
    <w:abstractNumId w:val="0"/>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0D"/>
    <w:rsid w:val="000259B9"/>
    <w:rsid w:val="00041491"/>
    <w:rsid w:val="00050D16"/>
    <w:rsid w:val="00073A0F"/>
    <w:rsid w:val="00074F2A"/>
    <w:rsid w:val="000A1CA8"/>
    <w:rsid w:val="000A466B"/>
    <w:rsid w:val="000B058C"/>
    <w:rsid w:val="000B7F7F"/>
    <w:rsid w:val="000E4EE6"/>
    <w:rsid w:val="001454E2"/>
    <w:rsid w:val="00150E8D"/>
    <w:rsid w:val="00183DD0"/>
    <w:rsid w:val="001C3AF2"/>
    <w:rsid w:val="001F264E"/>
    <w:rsid w:val="00206CE8"/>
    <w:rsid w:val="0021526C"/>
    <w:rsid w:val="00283A2B"/>
    <w:rsid w:val="002B30AD"/>
    <w:rsid w:val="002C2C01"/>
    <w:rsid w:val="00310358"/>
    <w:rsid w:val="003261A0"/>
    <w:rsid w:val="0033400D"/>
    <w:rsid w:val="003923A1"/>
    <w:rsid w:val="003A29AE"/>
    <w:rsid w:val="003A32D7"/>
    <w:rsid w:val="003B4074"/>
    <w:rsid w:val="003C769A"/>
    <w:rsid w:val="003F1838"/>
    <w:rsid w:val="0045746C"/>
    <w:rsid w:val="0049104B"/>
    <w:rsid w:val="004C1471"/>
    <w:rsid w:val="004E3B12"/>
    <w:rsid w:val="004E56D0"/>
    <w:rsid w:val="00532310"/>
    <w:rsid w:val="00560ECC"/>
    <w:rsid w:val="00565F0F"/>
    <w:rsid w:val="00594A86"/>
    <w:rsid w:val="00596D86"/>
    <w:rsid w:val="00637F5A"/>
    <w:rsid w:val="006560B1"/>
    <w:rsid w:val="006604E9"/>
    <w:rsid w:val="006756DD"/>
    <w:rsid w:val="00737275"/>
    <w:rsid w:val="00740EEC"/>
    <w:rsid w:val="0078011A"/>
    <w:rsid w:val="00782AF4"/>
    <w:rsid w:val="00790EE7"/>
    <w:rsid w:val="007B098F"/>
    <w:rsid w:val="007B6649"/>
    <w:rsid w:val="0081546F"/>
    <w:rsid w:val="0082576E"/>
    <w:rsid w:val="00907F75"/>
    <w:rsid w:val="009260DE"/>
    <w:rsid w:val="0093258A"/>
    <w:rsid w:val="00981721"/>
    <w:rsid w:val="009C7BA3"/>
    <w:rsid w:val="009D1F5A"/>
    <w:rsid w:val="00A00E52"/>
    <w:rsid w:val="00A250D2"/>
    <w:rsid w:val="00AB0D2E"/>
    <w:rsid w:val="00AD71BE"/>
    <w:rsid w:val="00B003BF"/>
    <w:rsid w:val="00B02EFD"/>
    <w:rsid w:val="00B373D7"/>
    <w:rsid w:val="00B74EEC"/>
    <w:rsid w:val="00BF3A43"/>
    <w:rsid w:val="00C36276"/>
    <w:rsid w:val="00C42586"/>
    <w:rsid w:val="00C60CCD"/>
    <w:rsid w:val="00C84483"/>
    <w:rsid w:val="00C95551"/>
    <w:rsid w:val="00CB20D7"/>
    <w:rsid w:val="00D020B0"/>
    <w:rsid w:val="00D11748"/>
    <w:rsid w:val="00D366CF"/>
    <w:rsid w:val="00E108AA"/>
    <w:rsid w:val="00E31812"/>
    <w:rsid w:val="00E3749A"/>
    <w:rsid w:val="00E44AD4"/>
    <w:rsid w:val="00E7437F"/>
    <w:rsid w:val="00E865B8"/>
    <w:rsid w:val="00EC0B9B"/>
    <w:rsid w:val="00ED5E9F"/>
    <w:rsid w:val="00F47DC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46A9F"/>
  <w15:chartTrackingRefBased/>
  <w15:docId w15:val="{580314B9-D3C3-40E0-A3C1-A9DABE7E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33400D"/>
    <w:pPr>
      <w:keepNext/>
      <w:tabs>
        <w:tab w:val="left" w:pos="-720"/>
      </w:tabs>
      <w:suppressAutoHyphens/>
      <w:snapToGrid w:val="0"/>
      <w:jc w:val="center"/>
      <w:outlineLvl w:val="4"/>
    </w:pPr>
    <w:rPr>
      <w:b/>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semiHidden/>
    <w:rsid w:val="0033400D"/>
    <w:rPr>
      <w:b/>
      <w:sz w:val="22"/>
    </w:rPr>
  </w:style>
  <w:style w:type="character" w:styleId="Pladsholdertekst">
    <w:name w:val="Placeholder Text"/>
    <w:basedOn w:val="Standardskrifttypeiafsnit"/>
    <w:uiPriority w:val="99"/>
    <w:semiHidden/>
    <w:rsid w:val="0033400D"/>
    <w:rPr>
      <w:color w:val="808080"/>
    </w:rPr>
  </w:style>
  <w:style w:type="paragraph" w:styleId="Brdtekstindrykning2">
    <w:name w:val="Body Text Indent 2"/>
    <w:basedOn w:val="Normal"/>
    <w:link w:val="Brdtekstindrykning2Tegn"/>
    <w:uiPriority w:val="99"/>
    <w:unhideWhenUsed/>
    <w:rsid w:val="0033400D"/>
    <w:pPr>
      <w:tabs>
        <w:tab w:val="left" w:pos="-1440"/>
        <w:tab w:val="left" w:pos="-720"/>
        <w:tab w:val="left" w:pos="0"/>
        <w:tab w:val="left" w:pos="720"/>
      </w:tabs>
      <w:suppressAutoHyphens/>
      <w:ind w:left="720"/>
      <w:jc w:val="both"/>
    </w:pPr>
    <w:rPr>
      <w:rFonts w:ascii="Arial" w:hAnsi="Arial" w:cs="Arial"/>
      <w:sz w:val="22"/>
      <w:szCs w:val="22"/>
      <w:lang w:val="en-GB" w:eastAsia="da-DK"/>
    </w:rPr>
  </w:style>
  <w:style w:type="character" w:customStyle="1" w:styleId="Brdtekstindrykning2Tegn">
    <w:name w:val="Brødtekstindrykning 2 Tegn"/>
    <w:basedOn w:val="Standardskrifttypeiafsnit"/>
    <w:link w:val="Brdtekstindrykning2"/>
    <w:uiPriority w:val="99"/>
    <w:rsid w:val="0033400D"/>
    <w:rPr>
      <w:rFonts w:ascii="Arial" w:hAnsi="Arial" w:cs="Arial"/>
      <w:sz w:val="22"/>
      <w:szCs w:val="22"/>
      <w:lang w:val="en-GB"/>
    </w:rPr>
  </w:style>
  <w:style w:type="character" w:customStyle="1" w:styleId="tw4winMark">
    <w:name w:val="tw4winMark"/>
    <w:uiPriority w:val="99"/>
    <w:rsid w:val="0033400D"/>
    <w:rPr>
      <w:rFonts w:ascii="Courier New" w:hAnsi="Courier New" w:cs="Courier New" w:hint="default"/>
      <w:vanish/>
      <w:webHidden w:val="0"/>
      <w:color w:val="800080"/>
      <w:sz w:val="24"/>
      <w:vertAlign w:val="subscript"/>
      <w:specVanish w:val="0"/>
    </w:rPr>
  </w:style>
  <w:style w:type="paragraph" w:styleId="Brdtekstindrykning3">
    <w:name w:val="Body Text Indent 3"/>
    <w:basedOn w:val="Normal"/>
    <w:link w:val="Brdtekstindrykning3Tegn"/>
    <w:uiPriority w:val="99"/>
    <w:unhideWhenUsed/>
    <w:rsid w:val="0033400D"/>
    <w:pPr>
      <w:snapToGrid w:val="0"/>
      <w:spacing w:after="120"/>
      <w:ind w:left="283"/>
    </w:pPr>
    <w:rPr>
      <w:sz w:val="16"/>
      <w:szCs w:val="16"/>
      <w:lang w:eastAsia="da-DK"/>
    </w:rPr>
  </w:style>
  <w:style w:type="character" w:customStyle="1" w:styleId="Brdtekstindrykning3Tegn">
    <w:name w:val="Brødtekstindrykning 3 Tegn"/>
    <w:basedOn w:val="Standardskrifttypeiafsnit"/>
    <w:link w:val="Brdtekstindrykning3"/>
    <w:uiPriority w:val="99"/>
    <w:rsid w:val="0033400D"/>
    <w:rPr>
      <w:sz w:val="16"/>
      <w:szCs w:val="16"/>
    </w:rPr>
  </w:style>
  <w:style w:type="paragraph" w:customStyle="1" w:styleId="BlockQuotation">
    <w:name w:val="Block Quotation"/>
    <w:basedOn w:val="Normal"/>
    <w:uiPriority w:val="99"/>
    <w:rsid w:val="0033400D"/>
    <w:pPr>
      <w:tabs>
        <w:tab w:val="left" w:pos="-1440"/>
        <w:tab w:val="left" w:pos="-720"/>
        <w:tab w:val="left" w:pos="0"/>
        <w:tab w:val="left" w:pos="720"/>
        <w:tab w:val="left" w:pos="1440"/>
        <w:tab w:val="left" w:pos="2160"/>
        <w:tab w:val="left" w:pos="2880"/>
        <w:tab w:val="left" w:pos="3600"/>
        <w:tab w:val="left" w:pos="4320"/>
        <w:tab w:val="left" w:pos="5040"/>
        <w:tab w:val="left" w:pos="5760"/>
        <w:tab w:val="decimal" w:pos="6211"/>
        <w:tab w:val="left" w:pos="6480"/>
      </w:tabs>
      <w:suppressAutoHyphens/>
      <w:ind w:left="720" w:right="520"/>
      <w:jc w:val="both"/>
    </w:pPr>
    <w:rPr>
      <w:rFonts w:ascii="Arial" w:hAnsi="Arial" w:cs="Arial"/>
      <w:spacing w:val="-2"/>
      <w:sz w:val="22"/>
      <w:szCs w:val="22"/>
      <w:lang w:val="en-GB" w:eastAsia="da-DK"/>
    </w:rPr>
  </w:style>
  <w:style w:type="paragraph" w:customStyle="1" w:styleId="standard">
    <w:name w:val="standard"/>
    <w:basedOn w:val="Normal"/>
    <w:rsid w:val="0033400D"/>
    <w:pPr>
      <w:snapToGrid w:val="0"/>
      <w:spacing w:before="20" w:after="20"/>
    </w:pPr>
    <w:rPr>
      <w:sz w:val="20"/>
      <w:lang w:val="en-US" w:eastAsia="da-DK"/>
    </w:rPr>
  </w:style>
  <w:style w:type="paragraph" w:styleId="Brdtekst">
    <w:name w:val="Body Text"/>
    <w:basedOn w:val="Normal"/>
    <w:link w:val="BrdtekstTegn"/>
    <w:uiPriority w:val="99"/>
    <w:unhideWhenUsed/>
    <w:rsid w:val="0033400D"/>
    <w:pPr>
      <w:snapToGrid w:val="0"/>
      <w:spacing w:after="120"/>
    </w:pPr>
    <w:rPr>
      <w:sz w:val="24"/>
      <w:lang w:eastAsia="da-DK"/>
    </w:rPr>
  </w:style>
  <w:style w:type="character" w:customStyle="1" w:styleId="BrdtekstTegn">
    <w:name w:val="Brødtekst Tegn"/>
    <w:basedOn w:val="Standardskrifttypeiafsnit"/>
    <w:link w:val="Brdtekst"/>
    <w:uiPriority w:val="99"/>
    <w:rsid w:val="0033400D"/>
    <w:rPr>
      <w:sz w:val="24"/>
    </w:rPr>
  </w:style>
  <w:style w:type="paragraph" w:customStyle="1" w:styleId="Text">
    <w:name w:val="Text"/>
    <w:basedOn w:val="Normal"/>
    <w:rsid w:val="0033400D"/>
    <w:pPr>
      <w:ind w:left="1134"/>
      <w:jc w:val="both"/>
    </w:pPr>
    <w:rPr>
      <w:rFonts w:ascii="Century Gothic" w:hAnsi="Century Gothic" w:cs="Century Gothic"/>
      <w:sz w:val="22"/>
      <w:szCs w:val="22"/>
      <w:lang w:val="en-GB" w:eastAsia="da-DK"/>
    </w:rPr>
  </w:style>
  <w:style w:type="paragraph" w:styleId="Listeafsnit">
    <w:name w:val="List Paragraph"/>
    <w:basedOn w:val="Normal"/>
    <w:uiPriority w:val="34"/>
    <w:qFormat/>
    <w:rsid w:val="0033400D"/>
    <w:pPr>
      <w:ind w:left="720"/>
      <w:contextualSpacing/>
    </w:pPr>
  </w:style>
  <w:style w:type="character" w:styleId="Hyperlink">
    <w:name w:val="Hyperlink"/>
    <w:basedOn w:val="Standardskrifttypeiafsnit"/>
    <w:uiPriority w:val="99"/>
    <w:unhideWhenUsed/>
    <w:rsid w:val="0033400D"/>
    <w:rPr>
      <w:color w:val="0563C1" w:themeColor="hyperlink"/>
      <w:u w:val="single"/>
    </w:rPr>
  </w:style>
  <w:style w:type="character" w:customStyle="1" w:styleId="trns-org-res">
    <w:name w:val="trns-org-res"/>
    <w:basedOn w:val="Standardskrifttypeiafsnit"/>
    <w:rsid w:val="0033400D"/>
  </w:style>
  <w:style w:type="table" w:customStyle="1" w:styleId="Tabellenraster1">
    <w:name w:val="Tabellenraster1"/>
    <w:basedOn w:val="Tabel-Normal"/>
    <w:next w:val="Tabel-Gitter"/>
    <w:uiPriority w:val="59"/>
    <w:rsid w:val="0033400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99"/>
    <w:rsid w:val="0033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skrifttypeiafsnit"/>
    <w:rsid w:val="0033400D"/>
  </w:style>
  <w:style w:type="character" w:styleId="Fremhv">
    <w:name w:val="Emphasis"/>
    <w:basedOn w:val="Standardskrifttypeiafsnit"/>
    <w:uiPriority w:val="20"/>
    <w:qFormat/>
    <w:rsid w:val="0033400D"/>
    <w:rPr>
      <w:i/>
      <w:iCs/>
    </w:rPr>
  </w:style>
  <w:style w:type="character" w:styleId="Ulstomtale">
    <w:name w:val="Unresolved Mention"/>
    <w:basedOn w:val="Standardskrifttypeiafsnit"/>
    <w:uiPriority w:val="99"/>
    <w:semiHidden/>
    <w:unhideWhenUsed/>
    <w:rsid w:val="001F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54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23</Pages>
  <Words>7965</Words>
  <Characters>50652</Characters>
  <Application>Microsoft Office Word</Application>
  <DocSecurity>0</DocSecurity>
  <Lines>422</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2021063205_x000d_
SPC opdat. pkt. 5.1 + QRD tekster</dc:description>
  <cp:lastModifiedBy>Marianne Ott Jensen</cp:lastModifiedBy>
  <cp:revision>3</cp:revision>
  <cp:lastPrinted>2012-08-22T08:53:00Z</cp:lastPrinted>
  <dcterms:created xsi:type="dcterms:W3CDTF">2023-06-28T08:33:00Z</dcterms:created>
  <dcterms:modified xsi:type="dcterms:W3CDTF">2023-06-28T08:40:00Z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