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D7A5BC" w14:textId="77777777" w:rsidR="004A3BF4" w:rsidRPr="00E81048" w:rsidRDefault="00056601" w:rsidP="004A3BF4">
      <w:pPr>
        <w:rPr>
          <w:sz w:val="24"/>
          <w:szCs w:val="24"/>
          <w:lang w:val="en-GB"/>
        </w:rPr>
      </w:pPr>
      <w:r w:rsidRPr="00E81048">
        <w:rPr>
          <w:noProof/>
          <w:sz w:val="24"/>
          <w:szCs w:val="24"/>
          <w:lang w:val="en-GB"/>
        </w:rPr>
        <w:drawing>
          <wp:inline distT="0" distB="0" distL="0" distR="0" wp14:anchorId="2E9B237A" wp14:editId="10ACD44B">
            <wp:extent cx="2428875" cy="685800"/>
            <wp:effectExtent l="0" t="0" r="9525" b="0"/>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inline>
        </w:drawing>
      </w:r>
    </w:p>
    <w:p w14:paraId="58FDF184" w14:textId="77777777" w:rsidR="006B3847" w:rsidRPr="00E81048" w:rsidRDefault="006B3847" w:rsidP="006B3847">
      <w:pPr>
        <w:rPr>
          <w:sz w:val="24"/>
          <w:szCs w:val="24"/>
          <w:lang w:val="en-GB"/>
        </w:rPr>
      </w:pPr>
    </w:p>
    <w:p w14:paraId="21273517" w14:textId="04AAB1C8" w:rsidR="006B3847" w:rsidRPr="00E81048" w:rsidRDefault="006B3847" w:rsidP="006B3847">
      <w:pPr>
        <w:tabs>
          <w:tab w:val="right" w:pos="9356"/>
        </w:tabs>
        <w:rPr>
          <w:b/>
          <w:sz w:val="24"/>
          <w:szCs w:val="24"/>
          <w:lang w:val="en-GB"/>
        </w:rPr>
      </w:pPr>
      <w:r w:rsidRPr="00E81048">
        <w:rPr>
          <w:b/>
          <w:sz w:val="24"/>
          <w:szCs w:val="24"/>
          <w:lang w:val="en-GB"/>
        </w:rPr>
        <w:tab/>
      </w:r>
      <w:r w:rsidR="008E77A6">
        <w:rPr>
          <w:b/>
          <w:sz w:val="24"/>
          <w:szCs w:val="24"/>
          <w:lang w:val="en-GB"/>
        </w:rPr>
        <w:t>27 May 2026</w:t>
      </w:r>
    </w:p>
    <w:p w14:paraId="782C688D" w14:textId="77777777" w:rsidR="006B3847" w:rsidRPr="00E81048" w:rsidRDefault="006B3847" w:rsidP="006B3847">
      <w:pPr>
        <w:rPr>
          <w:sz w:val="24"/>
          <w:szCs w:val="24"/>
          <w:lang w:val="en-GB"/>
        </w:rPr>
      </w:pPr>
    </w:p>
    <w:p w14:paraId="5AB3E813" w14:textId="77777777" w:rsidR="007C5D2A" w:rsidRPr="00E81048" w:rsidRDefault="007C5D2A" w:rsidP="007C5D2A">
      <w:pPr>
        <w:rPr>
          <w:sz w:val="24"/>
          <w:szCs w:val="24"/>
          <w:lang w:val="en-GB"/>
        </w:rPr>
      </w:pPr>
    </w:p>
    <w:p w14:paraId="42DB0EAC" w14:textId="77777777" w:rsidR="007C5D2A" w:rsidRPr="00E81048" w:rsidRDefault="007C5D2A" w:rsidP="007C5D2A">
      <w:pPr>
        <w:rPr>
          <w:sz w:val="24"/>
          <w:szCs w:val="24"/>
          <w:lang w:val="en-GB"/>
        </w:rPr>
      </w:pPr>
    </w:p>
    <w:p w14:paraId="68CEBA4B" w14:textId="77777777" w:rsidR="007C5D2A" w:rsidRPr="00E81048" w:rsidRDefault="007C5D2A" w:rsidP="007C5D2A">
      <w:pPr>
        <w:jc w:val="center"/>
        <w:rPr>
          <w:b/>
          <w:sz w:val="24"/>
          <w:szCs w:val="24"/>
          <w:lang w:val="en-GB"/>
        </w:rPr>
      </w:pPr>
      <w:bookmarkStart w:id="0" w:name="_Hlk49158549"/>
      <w:r w:rsidRPr="00E81048">
        <w:rPr>
          <w:b/>
          <w:sz w:val="24"/>
          <w:szCs w:val="24"/>
          <w:lang w:val="en-GB"/>
        </w:rPr>
        <w:t>SUMMARY OF PRODUCT CHARACTERISTICS</w:t>
      </w:r>
    </w:p>
    <w:bookmarkEnd w:id="0"/>
    <w:p w14:paraId="5DCDB8F8" w14:textId="77777777" w:rsidR="007C5D2A" w:rsidRPr="00E81048" w:rsidRDefault="007C5D2A" w:rsidP="007C5D2A">
      <w:pPr>
        <w:jc w:val="center"/>
        <w:rPr>
          <w:sz w:val="24"/>
          <w:szCs w:val="24"/>
          <w:lang w:val="en-GB"/>
        </w:rPr>
      </w:pPr>
    </w:p>
    <w:p w14:paraId="383DE73F" w14:textId="77777777" w:rsidR="007C5D2A" w:rsidRPr="00E81048" w:rsidRDefault="007C5D2A" w:rsidP="007C5D2A">
      <w:pPr>
        <w:jc w:val="center"/>
        <w:rPr>
          <w:b/>
          <w:sz w:val="24"/>
          <w:szCs w:val="24"/>
          <w:lang w:val="en-GB"/>
        </w:rPr>
      </w:pPr>
      <w:r w:rsidRPr="00E81048">
        <w:rPr>
          <w:b/>
          <w:sz w:val="24"/>
          <w:szCs w:val="24"/>
          <w:lang w:val="en-GB"/>
        </w:rPr>
        <w:t>for</w:t>
      </w:r>
    </w:p>
    <w:p w14:paraId="39DD3DF8" w14:textId="77777777" w:rsidR="007C5D2A" w:rsidRPr="00E81048" w:rsidRDefault="007C5D2A" w:rsidP="007C5D2A">
      <w:pPr>
        <w:jc w:val="center"/>
        <w:rPr>
          <w:sz w:val="24"/>
          <w:szCs w:val="24"/>
          <w:lang w:val="en-GB"/>
        </w:rPr>
      </w:pPr>
    </w:p>
    <w:p w14:paraId="779F2403" w14:textId="093F4A1D" w:rsidR="007C5D2A" w:rsidRPr="008E77A6" w:rsidRDefault="007B4529" w:rsidP="007C5D2A">
      <w:pPr>
        <w:jc w:val="center"/>
        <w:rPr>
          <w:b/>
          <w:sz w:val="24"/>
          <w:szCs w:val="24"/>
          <w:lang w:val="en-US"/>
        </w:rPr>
      </w:pPr>
      <w:proofErr w:type="spellStart"/>
      <w:r w:rsidRPr="008E77A6">
        <w:rPr>
          <w:b/>
          <w:sz w:val="24"/>
          <w:szCs w:val="24"/>
          <w:lang w:val="en-US"/>
        </w:rPr>
        <w:t>Xidolan</w:t>
      </w:r>
      <w:proofErr w:type="spellEnd"/>
      <w:r w:rsidRPr="008E77A6">
        <w:rPr>
          <w:b/>
          <w:sz w:val="24"/>
          <w:szCs w:val="24"/>
          <w:lang w:val="en-US"/>
        </w:rPr>
        <w:t xml:space="preserve"> Forte, coated tablets</w:t>
      </w:r>
    </w:p>
    <w:p w14:paraId="2F358DE3" w14:textId="77777777" w:rsidR="007C5D2A" w:rsidRPr="008E77A6" w:rsidRDefault="007C5D2A" w:rsidP="007C5D2A">
      <w:pPr>
        <w:jc w:val="both"/>
        <w:rPr>
          <w:sz w:val="24"/>
          <w:szCs w:val="24"/>
          <w:lang w:val="en-US"/>
        </w:rPr>
      </w:pPr>
    </w:p>
    <w:p w14:paraId="34910E9D" w14:textId="77777777" w:rsidR="0042292D" w:rsidRPr="008E77A6" w:rsidRDefault="0042292D" w:rsidP="007C5D2A">
      <w:pPr>
        <w:jc w:val="both"/>
        <w:rPr>
          <w:sz w:val="24"/>
          <w:szCs w:val="24"/>
          <w:lang w:val="en-US"/>
        </w:rPr>
      </w:pPr>
    </w:p>
    <w:p w14:paraId="3BEA6C03" w14:textId="77777777" w:rsidR="008F2F8C" w:rsidRPr="008E77A6" w:rsidRDefault="008F2F8C" w:rsidP="008F2F8C">
      <w:pPr>
        <w:tabs>
          <w:tab w:val="left" w:pos="8222"/>
        </w:tabs>
        <w:ind w:left="851" w:hanging="851"/>
        <w:rPr>
          <w:b/>
          <w:sz w:val="24"/>
          <w:szCs w:val="24"/>
          <w:lang w:val="en-US"/>
        </w:rPr>
      </w:pPr>
      <w:r w:rsidRPr="008E77A6">
        <w:rPr>
          <w:b/>
          <w:sz w:val="24"/>
          <w:szCs w:val="24"/>
          <w:lang w:val="en-US"/>
        </w:rPr>
        <w:t>0.</w:t>
      </w:r>
      <w:r w:rsidRPr="008E77A6">
        <w:rPr>
          <w:b/>
          <w:sz w:val="24"/>
          <w:szCs w:val="24"/>
          <w:lang w:val="en-US"/>
        </w:rPr>
        <w:tab/>
      </w:r>
      <w:proofErr w:type="gramStart"/>
      <w:r w:rsidRPr="008E77A6">
        <w:rPr>
          <w:b/>
          <w:sz w:val="24"/>
          <w:szCs w:val="24"/>
          <w:lang w:val="en-US"/>
        </w:rPr>
        <w:t>D.SP.NO</w:t>
      </w:r>
      <w:proofErr w:type="gramEnd"/>
      <w:r w:rsidRPr="008E77A6">
        <w:rPr>
          <w:b/>
          <w:sz w:val="24"/>
          <w:szCs w:val="24"/>
          <w:lang w:val="en-US"/>
        </w:rPr>
        <w:t>.</w:t>
      </w:r>
    </w:p>
    <w:p w14:paraId="2B3E73CD" w14:textId="632D3726" w:rsidR="008F2F8C" w:rsidRPr="00E81048" w:rsidRDefault="007B4529" w:rsidP="008F2F8C">
      <w:pPr>
        <w:tabs>
          <w:tab w:val="left" w:pos="8222"/>
        </w:tabs>
        <w:ind w:left="851"/>
        <w:rPr>
          <w:sz w:val="24"/>
          <w:szCs w:val="24"/>
          <w:lang w:val="en-GB"/>
        </w:rPr>
      </w:pPr>
      <w:r w:rsidRPr="00E81048">
        <w:rPr>
          <w:sz w:val="24"/>
          <w:szCs w:val="24"/>
          <w:lang w:val="en-GB"/>
        </w:rPr>
        <w:t>34327</w:t>
      </w:r>
    </w:p>
    <w:p w14:paraId="15ED489B" w14:textId="77777777" w:rsidR="007C5D2A" w:rsidRPr="00E81048" w:rsidRDefault="007C5D2A" w:rsidP="007C5D2A">
      <w:pPr>
        <w:tabs>
          <w:tab w:val="left" w:pos="851"/>
        </w:tabs>
        <w:jc w:val="both"/>
        <w:rPr>
          <w:sz w:val="24"/>
          <w:szCs w:val="24"/>
          <w:lang w:val="en-GB"/>
        </w:rPr>
      </w:pPr>
    </w:p>
    <w:p w14:paraId="4B072093" w14:textId="77777777" w:rsidR="007C5D2A" w:rsidRPr="00E81048" w:rsidRDefault="009925C9" w:rsidP="007C5D2A">
      <w:pPr>
        <w:tabs>
          <w:tab w:val="left" w:pos="851"/>
        </w:tabs>
        <w:ind w:left="851" w:hanging="851"/>
        <w:rPr>
          <w:sz w:val="24"/>
          <w:szCs w:val="24"/>
          <w:lang w:val="en-GB"/>
        </w:rPr>
      </w:pPr>
      <w:r w:rsidRPr="00E81048">
        <w:rPr>
          <w:b/>
          <w:sz w:val="24"/>
          <w:szCs w:val="24"/>
          <w:lang w:val="en-GB"/>
        </w:rPr>
        <w:t>1.</w:t>
      </w:r>
      <w:r w:rsidR="007C5D2A" w:rsidRPr="00E81048">
        <w:rPr>
          <w:b/>
          <w:sz w:val="24"/>
          <w:szCs w:val="24"/>
          <w:lang w:val="en-GB"/>
        </w:rPr>
        <w:tab/>
        <w:t>NAME OF THE MEDICINAL PRODUCT</w:t>
      </w:r>
    </w:p>
    <w:p w14:paraId="6B797F11" w14:textId="57AEABEA" w:rsidR="007C5D2A" w:rsidRPr="00E81048" w:rsidRDefault="007B4529" w:rsidP="004A3BF4">
      <w:pPr>
        <w:tabs>
          <w:tab w:val="left" w:pos="851"/>
        </w:tabs>
        <w:ind w:left="851"/>
        <w:rPr>
          <w:sz w:val="24"/>
          <w:szCs w:val="24"/>
          <w:lang w:val="en-GB"/>
        </w:rPr>
      </w:pPr>
      <w:proofErr w:type="spellStart"/>
      <w:r w:rsidRPr="00E81048">
        <w:rPr>
          <w:sz w:val="24"/>
          <w:szCs w:val="24"/>
          <w:lang w:val="en-GB"/>
        </w:rPr>
        <w:t>Xidolan</w:t>
      </w:r>
      <w:proofErr w:type="spellEnd"/>
      <w:r w:rsidRPr="00E81048">
        <w:rPr>
          <w:sz w:val="24"/>
          <w:szCs w:val="24"/>
          <w:lang w:val="en-GB"/>
        </w:rPr>
        <w:t xml:space="preserve"> Forte</w:t>
      </w:r>
    </w:p>
    <w:p w14:paraId="2F0C9CF2" w14:textId="77777777" w:rsidR="007C5D2A" w:rsidRPr="00E81048" w:rsidRDefault="007C5D2A" w:rsidP="004A3BF4">
      <w:pPr>
        <w:tabs>
          <w:tab w:val="left" w:pos="851"/>
        </w:tabs>
        <w:ind w:left="851"/>
        <w:rPr>
          <w:sz w:val="24"/>
          <w:szCs w:val="24"/>
          <w:lang w:val="en-GB"/>
        </w:rPr>
      </w:pPr>
    </w:p>
    <w:p w14:paraId="11EDCDCD" w14:textId="77777777" w:rsidR="007C5D2A" w:rsidRPr="00E81048" w:rsidRDefault="009925C9" w:rsidP="007C5D2A">
      <w:pPr>
        <w:ind w:left="851" w:hanging="851"/>
        <w:rPr>
          <w:b/>
          <w:sz w:val="24"/>
          <w:szCs w:val="24"/>
          <w:lang w:val="en-GB"/>
        </w:rPr>
      </w:pPr>
      <w:r w:rsidRPr="00E81048">
        <w:rPr>
          <w:b/>
          <w:sz w:val="24"/>
          <w:szCs w:val="24"/>
          <w:lang w:val="en-GB"/>
        </w:rPr>
        <w:t>2.</w:t>
      </w:r>
      <w:r w:rsidR="007C5D2A" w:rsidRPr="00E81048">
        <w:rPr>
          <w:b/>
          <w:sz w:val="24"/>
          <w:szCs w:val="24"/>
          <w:lang w:val="en-GB"/>
        </w:rPr>
        <w:tab/>
        <w:t>QUALITATIVE AND QUANTITATIVE COMPOSITION</w:t>
      </w:r>
    </w:p>
    <w:p w14:paraId="5C121D52" w14:textId="77777777" w:rsidR="00D2716F" w:rsidRPr="00D2716F" w:rsidRDefault="00D2716F" w:rsidP="00863D1D">
      <w:pPr>
        <w:ind w:left="851"/>
        <w:rPr>
          <w:sz w:val="24"/>
          <w:szCs w:val="24"/>
          <w:lang w:val="en-US"/>
        </w:rPr>
      </w:pPr>
      <w:bookmarkStart w:id="1" w:name="_Hlk210123258"/>
      <w:r w:rsidRPr="00D2716F">
        <w:rPr>
          <w:sz w:val="24"/>
          <w:szCs w:val="24"/>
          <w:lang w:val="en-US"/>
        </w:rPr>
        <w:t>Each tablet contains 1000 mg (1 g) paracetamol.</w:t>
      </w:r>
    </w:p>
    <w:p w14:paraId="3DFBB432" w14:textId="77777777" w:rsidR="00D2716F" w:rsidRPr="00D2716F" w:rsidRDefault="00D2716F" w:rsidP="00863D1D">
      <w:pPr>
        <w:ind w:left="851"/>
        <w:rPr>
          <w:sz w:val="24"/>
          <w:szCs w:val="24"/>
          <w:u w:val="single"/>
          <w:lang w:val="en-US"/>
        </w:rPr>
      </w:pPr>
      <w:bookmarkStart w:id="2" w:name="_Hlk210126019"/>
      <w:bookmarkEnd w:id="1"/>
    </w:p>
    <w:p w14:paraId="7C3CC118" w14:textId="77777777" w:rsidR="00D2716F" w:rsidRPr="00D2716F" w:rsidRDefault="00D2716F" w:rsidP="00863D1D">
      <w:pPr>
        <w:ind w:left="851"/>
        <w:rPr>
          <w:iCs/>
          <w:sz w:val="24"/>
          <w:szCs w:val="24"/>
          <w:u w:val="single"/>
          <w:lang w:val="en-US"/>
        </w:rPr>
      </w:pPr>
      <w:r w:rsidRPr="00D2716F">
        <w:rPr>
          <w:sz w:val="24"/>
          <w:szCs w:val="24"/>
          <w:u w:val="single"/>
          <w:lang w:val="en-US"/>
        </w:rPr>
        <w:t>Excipient</w:t>
      </w:r>
      <w:r w:rsidRPr="00D2716F">
        <w:rPr>
          <w:bCs/>
          <w:sz w:val="24"/>
          <w:szCs w:val="24"/>
          <w:u w:val="single"/>
          <w:lang w:val="en-GB"/>
        </w:rPr>
        <w:t xml:space="preserve"> with known effect: </w:t>
      </w:r>
    </w:p>
    <w:p w14:paraId="41C8BB3E" w14:textId="77777777" w:rsidR="00D2716F" w:rsidRPr="00D2716F" w:rsidRDefault="00D2716F" w:rsidP="00863D1D">
      <w:pPr>
        <w:ind w:left="851"/>
        <w:rPr>
          <w:sz w:val="24"/>
          <w:szCs w:val="24"/>
          <w:lang w:val="en-US"/>
        </w:rPr>
      </w:pPr>
      <w:r w:rsidRPr="00D2716F">
        <w:rPr>
          <w:sz w:val="24"/>
          <w:szCs w:val="24"/>
          <w:lang w:val="en-US"/>
        </w:rPr>
        <w:t>Each tablet contains 0,270 mg of azorubine-</w:t>
      </w:r>
      <w:proofErr w:type="spellStart"/>
      <w:r w:rsidRPr="00D2716F">
        <w:rPr>
          <w:sz w:val="24"/>
          <w:szCs w:val="24"/>
          <w:lang w:val="en-US"/>
        </w:rPr>
        <w:t>carmoisine</w:t>
      </w:r>
      <w:proofErr w:type="spellEnd"/>
      <w:r w:rsidRPr="00D2716F">
        <w:rPr>
          <w:sz w:val="24"/>
          <w:szCs w:val="24"/>
          <w:lang w:val="en-US"/>
        </w:rPr>
        <w:t xml:space="preserve"> (E122) (see section 4.4).</w:t>
      </w:r>
    </w:p>
    <w:bookmarkEnd w:id="2"/>
    <w:p w14:paraId="4CC40760" w14:textId="77777777" w:rsidR="00D2716F" w:rsidRPr="00D2716F" w:rsidRDefault="00D2716F" w:rsidP="00863D1D">
      <w:pPr>
        <w:ind w:left="851"/>
        <w:rPr>
          <w:sz w:val="24"/>
          <w:szCs w:val="24"/>
          <w:lang w:val="en-US"/>
        </w:rPr>
      </w:pPr>
    </w:p>
    <w:p w14:paraId="175BBD27" w14:textId="77777777" w:rsidR="00D2716F" w:rsidRPr="00D2716F" w:rsidRDefault="00D2716F" w:rsidP="00863D1D">
      <w:pPr>
        <w:ind w:left="851"/>
        <w:rPr>
          <w:sz w:val="24"/>
          <w:szCs w:val="24"/>
          <w:u w:val="single"/>
          <w:lang w:val="en-US"/>
        </w:rPr>
      </w:pPr>
      <w:r w:rsidRPr="00D2716F">
        <w:rPr>
          <w:sz w:val="24"/>
          <w:szCs w:val="24"/>
          <w:lang w:val="en-US"/>
        </w:rPr>
        <w:t>For the full list of excipients, see section 6.1.</w:t>
      </w:r>
    </w:p>
    <w:p w14:paraId="0654C882" w14:textId="77777777" w:rsidR="007C5D2A" w:rsidRPr="00E81048" w:rsidRDefault="007C5D2A" w:rsidP="004A3BF4">
      <w:pPr>
        <w:tabs>
          <w:tab w:val="left" w:pos="851"/>
        </w:tabs>
        <w:ind w:left="851"/>
        <w:rPr>
          <w:sz w:val="24"/>
          <w:szCs w:val="24"/>
          <w:lang w:val="en-GB"/>
        </w:rPr>
      </w:pPr>
    </w:p>
    <w:p w14:paraId="7D9CDF64" w14:textId="77777777" w:rsidR="007C5D2A" w:rsidRPr="00E81048" w:rsidRDefault="007C5D2A" w:rsidP="007C5D2A">
      <w:pPr>
        <w:tabs>
          <w:tab w:val="left" w:pos="851"/>
        </w:tabs>
        <w:ind w:left="851" w:hanging="851"/>
        <w:rPr>
          <w:b/>
          <w:sz w:val="24"/>
          <w:szCs w:val="24"/>
          <w:lang w:val="en-GB"/>
        </w:rPr>
      </w:pPr>
      <w:r w:rsidRPr="00E81048">
        <w:rPr>
          <w:b/>
          <w:sz w:val="24"/>
          <w:szCs w:val="24"/>
          <w:lang w:val="en-GB"/>
        </w:rPr>
        <w:t>3.</w:t>
      </w:r>
      <w:r w:rsidRPr="00E81048">
        <w:rPr>
          <w:b/>
          <w:sz w:val="24"/>
          <w:szCs w:val="24"/>
          <w:lang w:val="en-GB"/>
        </w:rPr>
        <w:tab/>
        <w:t>PHARMACEUTICAL FORM</w:t>
      </w:r>
    </w:p>
    <w:p w14:paraId="3EB14751" w14:textId="1991082D" w:rsidR="00D2716F" w:rsidRPr="00D2716F" w:rsidRDefault="00D2716F" w:rsidP="00863D1D">
      <w:pPr>
        <w:ind w:left="851"/>
        <w:rPr>
          <w:sz w:val="24"/>
          <w:szCs w:val="24"/>
          <w:lang w:val="en-GB"/>
        </w:rPr>
      </w:pPr>
      <w:r w:rsidRPr="00D2716F">
        <w:rPr>
          <w:sz w:val="24"/>
          <w:szCs w:val="24"/>
          <w:lang w:val="en-GB"/>
        </w:rPr>
        <w:t>Coated tablet</w:t>
      </w:r>
      <w:r w:rsidR="00E81048">
        <w:rPr>
          <w:sz w:val="24"/>
          <w:szCs w:val="24"/>
          <w:lang w:val="en-GB"/>
        </w:rPr>
        <w:t>s</w:t>
      </w:r>
    </w:p>
    <w:p w14:paraId="741CCA8D" w14:textId="77777777" w:rsidR="00E81048" w:rsidRDefault="00E81048" w:rsidP="00863D1D">
      <w:pPr>
        <w:ind w:left="851"/>
        <w:rPr>
          <w:sz w:val="24"/>
          <w:szCs w:val="24"/>
          <w:lang w:val="en-US"/>
        </w:rPr>
      </w:pPr>
    </w:p>
    <w:p w14:paraId="3209C6C4" w14:textId="6BF36955" w:rsidR="00D2716F" w:rsidRPr="00D2716F" w:rsidRDefault="00D2716F" w:rsidP="00863D1D">
      <w:pPr>
        <w:ind w:left="851"/>
        <w:rPr>
          <w:sz w:val="24"/>
          <w:szCs w:val="24"/>
          <w:lang w:val="en-GB"/>
        </w:rPr>
      </w:pPr>
      <w:r w:rsidRPr="00D2716F">
        <w:rPr>
          <w:sz w:val="24"/>
          <w:szCs w:val="24"/>
          <w:lang w:val="en-US"/>
        </w:rPr>
        <w:t>Capsule-shaped red tablets of 24,4 mm length.</w:t>
      </w:r>
    </w:p>
    <w:p w14:paraId="3C1B2CF6" w14:textId="77777777" w:rsidR="00D2716F" w:rsidRPr="00D2716F" w:rsidRDefault="00D2716F" w:rsidP="00863D1D">
      <w:pPr>
        <w:ind w:left="851"/>
        <w:rPr>
          <w:sz w:val="24"/>
          <w:szCs w:val="24"/>
          <w:lang w:val="en-GB"/>
        </w:rPr>
      </w:pPr>
      <w:r w:rsidRPr="00D2716F">
        <w:rPr>
          <w:sz w:val="24"/>
          <w:szCs w:val="24"/>
          <w:lang w:val="en-GB"/>
        </w:rPr>
        <w:t>The tablet can be divided into equal doses.</w:t>
      </w:r>
    </w:p>
    <w:p w14:paraId="6CAFFFAB" w14:textId="77777777" w:rsidR="007C5D2A" w:rsidRPr="00E81048" w:rsidRDefault="007C5D2A" w:rsidP="004A3BF4">
      <w:pPr>
        <w:tabs>
          <w:tab w:val="left" w:pos="851"/>
        </w:tabs>
        <w:ind w:left="851"/>
        <w:rPr>
          <w:sz w:val="24"/>
          <w:szCs w:val="24"/>
          <w:lang w:val="en-GB"/>
        </w:rPr>
      </w:pPr>
    </w:p>
    <w:p w14:paraId="36F02461" w14:textId="77777777" w:rsidR="007C5D2A" w:rsidRPr="00E81048" w:rsidRDefault="007C5D2A" w:rsidP="004A3BF4">
      <w:pPr>
        <w:tabs>
          <w:tab w:val="left" w:pos="851"/>
        </w:tabs>
        <w:ind w:left="851"/>
        <w:rPr>
          <w:sz w:val="24"/>
          <w:szCs w:val="24"/>
          <w:lang w:val="en-GB"/>
        </w:rPr>
      </w:pPr>
    </w:p>
    <w:p w14:paraId="35B06E63" w14:textId="77777777" w:rsidR="007C5D2A" w:rsidRPr="00E81048" w:rsidRDefault="007C5D2A" w:rsidP="007C5D2A">
      <w:pPr>
        <w:ind w:left="851" w:hanging="851"/>
        <w:rPr>
          <w:b/>
          <w:sz w:val="24"/>
          <w:szCs w:val="24"/>
          <w:lang w:val="en-GB"/>
        </w:rPr>
      </w:pPr>
      <w:r w:rsidRPr="00E81048">
        <w:rPr>
          <w:b/>
          <w:sz w:val="24"/>
          <w:szCs w:val="24"/>
          <w:lang w:val="en-GB"/>
        </w:rPr>
        <w:t>4.</w:t>
      </w:r>
      <w:r w:rsidRPr="00E81048">
        <w:rPr>
          <w:b/>
          <w:sz w:val="24"/>
          <w:szCs w:val="24"/>
          <w:lang w:val="en-GB"/>
        </w:rPr>
        <w:tab/>
        <w:t>CLINICAL PARTICULARS</w:t>
      </w:r>
    </w:p>
    <w:p w14:paraId="4C879AF0" w14:textId="77777777" w:rsidR="007C5D2A" w:rsidRPr="00E81048" w:rsidRDefault="007C5D2A" w:rsidP="004A3BF4">
      <w:pPr>
        <w:tabs>
          <w:tab w:val="left" w:pos="851"/>
        </w:tabs>
        <w:ind w:left="851"/>
        <w:rPr>
          <w:sz w:val="24"/>
          <w:szCs w:val="24"/>
          <w:lang w:val="en-GB"/>
        </w:rPr>
      </w:pPr>
    </w:p>
    <w:p w14:paraId="094FD444" w14:textId="77777777" w:rsidR="007C5D2A" w:rsidRPr="00E81048" w:rsidRDefault="007C5D2A" w:rsidP="007C5D2A">
      <w:pPr>
        <w:ind w:left="851" w:hanging="851"/>
        <w:rPr>
          <w:b/>
          <w:sz w:val="24"/>
          <w:szCs w:val="24"/>
          <w:u w:val="single"/>
          <w:lang w:val="en-GB"/>
        </w:rPr>
      </w:pPr>
      <w:r w:rsidRPr="00E81048">
        <w:rPr>
          <w:b/>
          <w:sz w:val="24"/>
          <w:szCs w:val="24"/>
          <w:lang w:val="en-GB"/>
        </w:rPr>
        <w:t>4.1</w:t>
      </w:r>
      <w:r w:rsidRPr="00E81048">
        <w:rPr>
          <w:b/>
          <w:sz w:val="24"/>
          <w:szCs w:val="24"/>
          <w:lang w:val="en-GB"/>
        </w:rPr>
        <w:tab/>
        <w:t>Therapeutic indications</w:t>
      </w:r>
    </w:p>
    <w:p w14:paraId="63B63209" w14:textId="77777777" w:rsidR="00D2716F" w:rsidRPr="00D2716F" w:rsidRDefault="00D2716F" w:rsidP="00863D1D">
      <w:pPr>
        <w:ind w:left="851"/>
        <w:rPr>
          <w:sz w:val="24"/>
          <w:szCs w:val="24"/>
          <w:lang w:val="en-GB"/>
        </w:rPr>
      </w:pPr>
      <w:r w:rsidRPr="00D2716F">
        <w:rPr>
          <w:sz w:val="24"/>
          <w:szCs w:val="24"/>
          <w:lang w:val="en-GB"/>
        </w:rPr>
        <w:t>Symptomatic treatment of fever and/or mild to moderate pain.</w:t>
      </w:r>
    </w:p>
    <w:p w14:paraId="5FAA78AE" w14:textId="615BF81A" w:rsidR="00D2716F" w:rsidRPr="00D2716F" w:rsidRDefault="00E81048" w:rsidP="00863D1D">
      <w:pPr>
        <w:ind w:left="851"/>
        <w:rPr>
          <w:sz w:val="24"/>
          <w:szCs w:val="24"/>
          <w:lang w:val="en-GB"/>
        </w:rPr>
      </w:pPr>
      <w:bookmarkStart w:id="3" w:name="_Hlk211257789"/>
      <w:proofErr w:type="spellStart"/>
      <w:r>
        <w:rPr>
          <w:sz w:val="24"/>
          <w:szCs w:val="24"/>
          <w:lang w:val="en-GB"/>
        </w:rPr>
        <w:t>Xidolan</w:t>
      </w:r>
      <w:proofErr w:type="spellEnd"/>
      <w:r>
        <w:rPr>
          <w:sz w:val="24"/>
          <w:szCs w:val="24"/>
          <w:lang w:val="en-GB"/>
        </w:rPr>
        <w:t xml:space="preserve"> Forte</w:t>
      </w:r>
      <w:r w:rsidR="00D2716F" w:rsidRPr="00D2716F">
        <w:rPr>
          <w:sz w:val="24"/>
          <w:szCs w:val="24"/>
          <w:lang w:val="en-GB"/>
        </w:rPr>
        <w:t xml:space="preserve"> is indicated in adults, adolescents and children weighing from 33 kg (about 10 years).</w:t>
      </w:r>
      <w:bookmarkEnd w:id="3"/>
    </w:p>
    <w:p w14:paraId="40ECFB39" w14:textId="77777777" w:rsidR="007C5D2A" w:rsidRPr="00E81048" w:rsidRDefault="007C5D2A" w:rsidP="00A85D26">
      <w:pPr>
        <w:tabs>
          <w:tab w:val="left" w:pos="851"/>
        </w:tabs>
        <w:ind w:left="851"/>
        <w:rPr>
          <w:sz w:val="24"/>
          <w:szCs w:val="24"/>
          <w:lang w:val="en-GB"/>
        </w:rPr>
      </w:pPr>
    </w:p>
    <w:p w14:paraId="5E6E915F" w14:textId="77777777" w:rsidR="007C5D2A" w:rsidRPr="00E81048" w:rsidRDefault="009925C9" w:rsidP="007C5D2A">
      <w:pPr>
        <w:tabs>
          <w:tab w:val="left" w:pos="851"/>
        </w:tabs>
        <w:ind w:left="851" w:hanging="851"/>
        <w:rPr>
          <w:sz w:val="24"/>
          <w:szCs w:val="24"/>
          <w:lang w:val="en-GB"/>
        </w:rPr>
      </w:pPr>
      <w:r w:rsidRPr="00E81048">
        <w:rPr>
          <w:b/>
          <w:sz w:val="24"/>
          <w:szCs w:val="24"/>
          <w:lang w:val="en-GB"/>
        </w:rPr>
        <w:t>4.2</w:t>
      </w:r>
      <w:r w:rsidR="007C5D2A" w:rsidRPr="00E81048">
        <w:rPr>
          <w:b/>
          <w:sz w:val="24"/>
          <w:szCs w:val="24"/>
          <w:lang w:val="en-GB"/>
        </w:rPr>
        <w:tab/>
        <w:t>Posology and method of administration</w:t>
      </w:r>
    </w:p>
    <w:p w14:paraId="365FD013" w14:textId="5D82467B" w:rsidR="00D2716F" w:rsidRPr="00D2716F" w:rsidRDefault="00D2716F" w:rsidP="00863D1D">
      <w:pPr>
        <w:ind w:left="851"/>
        <w:rPr>
          <w:sz w:val="24"/>
          <w:szCs w:val="24"/>
          <w:lang w:val="en-GB"/>
        </w:rPr>
      </w:pPr>
      <w:r w:rsidRPr="00D2716F">
        <w:rPr>
          <w:sz w:val="24"/>
          <w:szCs w:val="24"/>
          <w:lang w:val="en-GB"/>
        </w:rPr>
        <w:t>Paracetamol should be used at the lowest effective dose for the shortest possible time. The maximum daily dose must not be exceeded.</w:t>
      </w:r>
    </w:p>
    <w:p w14:paraId="14BE4597" w14:textId="69D6C9B4" w:rsidR="00C9441A" w:rsidRDefault="00C9441A">
      <w:pPr>
        <w:rPr>
          <w:sz w:val="24"/>
          <w:szCs w:val="24"/>
          <w:lang w:val="en-GB"/>
        </w:rPr>
      </w:pPr>
      <w:r>
        <w:rPr>
          <w:sz w:val="24"/>
          <w:szCs w:val="24"/>
          <w:lang w:val="en-GB"/>
        </w:rPr>
        <w:br w:type="page"/>
      </w:r>
    </w:p>
    <w:p w14:paraId="7004E33E" w14:textId="77777777" w:rsidR="00D2716F" w:rsidRPr="00D2716F" w:rsidRDefault="00D2716F" w:rsidP="00863D1D">
      <w:pPr>
        <w:ind w:left="851"/>
        <w:rPr>
          <w:sz w:val="24"/>
          <w:szCs w:val="24"/>
          <w:lang w:val="en-GB"/>
        </w:rPr>
      </w:pPr>
    </w:p>
    <w:p w14:paraId="62807FC7" w14:textId="77777777" w:rsidR="00D2716F" w:rsidRPr="00D2716F" w:rsidRDefault="00D2716F" w:rsidP="00863D1D">
      <w:pPr>
        <w:ind w:left="851"/>
        <w:rPr>
          <w:sz w:val="24"/>
          <w:szCs w:val="24"/>
          <w:u w:val="single"/>
          <w:lang w:val="en-GB"/>
        </w:rPr>
      </w:pPr>
      <w:r w:rsidRPr="00D2716F">
        <w:rPr>
          <w:sz w:val="24"/>
          <w:szCs w:val="24"/>
          <w:u w:val="single"/>
          <w:lang w:val="en-GB"/>
        </w:rPr>
        <w:t>Posology</w:t>
      </w:r>
    </w:p>
    <w:p w14:paraId="76B2F1E5" w14:textId="77777777" w:rsidR="00D2716F" w:rsidRPr="00D2716F" w:rsidRDefault="00D2716F" w:rsidP="00863D1D">
      <w:pPr>
        <w:ind w:left="851"/>
        <w:rPr>
          <w:i/>
          <w:sz w:val="24"/>
          <w:szCs w:val="24"/>
          <w:lang w:val="en-GB"/>
        </w:rPr>
      </w:pPr>
      <w:r w:rsidRPr="00D2716F">
        <w:rPr>
          <w:i/>
          <w:sz w:val="24"/>
          <w:szCs w:val="24"/>
          <w:lang w:val="en-GB"/>
        </w:rPr>
        <w:t>Children and adolescents (weighing from 33-50 kg)</w:t>
      </w:r>
    </w:p>
    <w:p w14:paraId="49F6E104" w14:textId="77777777" w:rsidR="00D2716F" w:rsidRPr="00E81048" w:rsidRDefault="00D2716F" w:rsidP="00863D1D">
      <w:pPr>
        <w:ind w:left="851"/>
        <w:rPr>
          <w:bCs/>
          <w:iCs/>
          <w:sz w:val="24"/>
          <w:szCs w:val="24"/>
          <w:lang w:val="en-GB"/>
        </w:rPr>
      </w:pPr>
      <w:r w:rsidRPr="00D2716F">
        <w:rPr>
          <w:bCs/>
          <w:iCs/>
          <w:sz w:val="24"/>
          <w:szCs w:val="24"/>
          <w:lang w:val="en-GB"/>
        </w:rPr>
        <w:t xml:space="preserve">The usual dosage is 15 mg/kg up to a maximum of 4 times/day. Maximum daily dose is 3000 mg (3 g) (60 mg/kg per day). </w:t>
      </w:r>
      <w:bookmarkStart w:id="4" w:name="_Hlk183601095"/>
      <w:r w:rsidRPr="00D2716F">
        <w:rPr>
          <w:bCs/>
          <w:iCs/>
          <w:sz w:val="24"/>
          <w:szCs w:val="24"/>
          <w:lang w:val="en-GB"/>
        </w:rPr>
        <w:t>Leave at least 4 hours between doses.</w:t>
      </w:r>
    </w:p>
    <w:p w14:paraId="13B2D2B7" w14:textId="77777777" w:rsidR="00863D1D" w:rsidRPr="00E81048" w:rsidRDefault="00863D1D" w:rsidP="00863D1D">
      <w:pPr>
        <w:ind w:left="851"/>
        <w:rPr>
          <w:bCs/>
          <w:iCs/>
          <w:sz w:val="24"/>
          <w:szCs w:val="24"/>
          <w:lang w:val="en-GB"/>
        </w:rPr>
      </w:pPr>
    </w:p>
    <w:tbl>
      <w:tblPr>
        <w:tblStyle w:val="Tabel-Gitter"/>
        <w:tblW w:w="0" w:type="auto"/>
        <w:tblInd w:w="851" w:type="dxa"/>
        <w:tblLook w:val="04A0" w:firstRow="1" w:lastRow="0" w:firstColumn="1" w:lastColumn="0" w:noHBand="0" w:noVBand="1"/>
      </w:tblPr>
      <w:tblGrid>
        <w:gridCol w:w="2905"/>
        <w:gridCol w:w="2921"/>
        <w:gridCol w:w="2951"/>
      </w:tblGrid>
      <w:tr w:rsidR="00863D1D" w:rsidRPr="00E81048" w14:paraId="5E0321EE" w14:textId="77777777" w:rsidTr="001171C9">
        <w:tc>
          <w:tcPr>
            <w:tcW w:w="3209" w:type="dxa"/>
            <w:shd w:val="clear" w:color="auto" w:fill="D0CECE" w:themeFill="background2" w:themeFillShade="E6"/>
          </w:tcPr>
          <w:p w14:paraId="4EB0B458" w14:textId="1E88372B" w:rsidR="00863D1D" w:rsidRPr="00E81048" w:rsidRDefault="001171C9" w:rsidP="00863D1D">
            <w:pPr>
              <w:rPr>
                <w:bCs/>
                <w:iCs/>
                <w:sz w:val="24"/>
                <w:szCs w:val="24"/>
                <w:lang w:val="en-GB"/>
              </w:rPr>
            </w:pPr>
            <w:r w:rsidRPr="00D2716F">
              <w:rPr>
                <w:b/>
                <w:bCs/>
                <w:iCs/>
                <w:sz w:val="24"/>
                <w:szCs w:val="24"/>
                <w:lang w:val="en-GB"/>
              </w:rPr>
              <w:t>Child's weight (age)</w:t>
            </w:r>
          </w:p>
        </w:tc>
        <w:tc>
          <w:tcPr>
            <w:tcW w:w="3209" w:type="dxa"/>
            <w:shd w:val="clear" w:color="auto" w:fill="D0CECE" w:themeFill="background2" w:themeFillShade="E6"/>
          </w:tcPr>
          <w:p w14:paraId="6C0372FA" w14:textId="27C986A3" w:rsidR="00863D1D" w:rsidRPr="00E81048" w:rsidRDefault="001171C9" w:rsidP="00863D1D">
            <w:pPr>
              <w:rPr>
                <w:bCs/>
                <w:iCs/>
                <w:sz w:val="24"/>
                <w:szCs w:val="24"/>
                <w:lang w:val="en-GB"/>
              </w:rPr>
            </w:pPr>
            <w:r w:rsidRPr="00D2716F">
              <w:rPr>
                <w:b/>
                <w:bCs/>
                <w:iCs/>
                <w:sz w:val="24"/>
                <w:szCs w:val="24"/>
                <w:lang w:val="en-GB"/>
              </w:rPr>
              <w:t>Dosage</w:t>
            </w:r>
          </w:p>
        </w:tc>
        <w:tc>
          <w:tcPr>
            <w:tcW w:w="3210" w:type="dxa"/>
            <w:shd w:val="clear" w:color="auto" w:fill="D0CECE" w:themeFill="background2" w:themeFillShade="E6"/>
          </w:tcPr>
          <w:p w14:paraId="5B5EC6F2" w14:textId="652B286B" w:rsidR="00863D1D" w:rsidRPr="00E81048" w:rsidRDefault="001171C9" w:rsidP="00863D1D">
            <w:pPr>
              <w:rPr>
                <w:bCs/>
                <w:iCs/>
                <w:sz w:val="24"/>
                <w:szCs w:val="24"/>
                <w:lang w:val="en-GB"/>
              </w:rPr>
            </w:pPr>
            <w:r w:rsidRPr="00D2716F">
              <w:rPr>
                <w:b/>
                <w:bCs/>
                <w:iCs/>
                <w:sz w:val="24"/>
                <w:szCs w:val="24"/>
                <w:lang w:val="en-GB"/>
              </w:rPr>
              <w:t>Maximum daily dose</w:t>
            </w:r>
          </w:p>
        </w:tc>
      </w:tr>
      <w:tr w:rsidR="00863D1D" w:rsidRPr="00E81048" w14:paraId="3524937D" w14:textId="77777777" w:rsidTr="00863D1D">
        <w:tc>
          <w:tcPr>
            <w:tcW w:w="3209" w:type="dxa"/>
          </w:tcPr>
          <w:p w14:paraId="39399681" w14:textId="21BF817D" w:rsidR="00863D1D" w:rsidRPr="00E81048" w:rsidRDefault="001171C9" w:rsidP="00863D1D">
            <w:pPr>
              <w:rPr>
                <w:bCs/>
                <w:iCs/>
                <w:sz w:val="24"/>
                <w:szCs w:val="24"/>
                <w:lang w:val="en-GB"/>
              </w:rPr>
            </w:pPr>
            <w:r w:rsidRPr="00D2716F">
              <w:rPr>
                <w:bCs/>
                <w:iCs/>
                <w:sz w:val="24"/>
                <w:szCs w:val="24"/>
                <w:lang w:val="en-GB"/>
              </w:rPr>
              <w:t>33-41 kg (about 10-12 years)</w:t>
            </w:r>
          </w:p>
        </w:tc>
        <w:tc>
          <w:tcPr>
            <w:tcW w:w="3209" w:type="dxa"/>
          </w:tcPr>
          <w:p w14:paraId="066DC052" w14:textId="77777777" w:rsidR="001171C9" w:rsidRPr="001171C9" w:rsidRDefault="001171C9" w:rsidP="001171C9">
            <w:pPr>
              <w:rPr>
                <w:bCs/>
                <w:iCs/>
                <w:sz w:val="24"/>
                <w:szCs w:val="24"/>
                <w:lang w:val="en-GB"/>
              </w:rPr>
            </w:pPr>
            <w:r w:rsidRPr="001171C9">
              <w:rPr>
                <w:bCs/>
                <w:iCs/>
                <w:sz w:val="24"/>
                <w:szCs w:val="24"/>
                <w:lang w:val="en-GB"/>
              </w:rPr>
              <w:t xml:space="preserve">500 mg (1/2 tablet) </w:t>
            </w:r>
          </w:p>
          <w:p w14:paraId="714FB40B" w14:textId="3B77BC8E" w:rsidR="00863D1D" w:rsidRPr="00E81048" w:rsidRDefault="001171C9" w:rsidP="001171C9">
            <w:pPr>
              <w:rPr>
                <w:bCs/>
                <w:iCs/>
                <w:sz w:val="24"/>
                <w:szCs w:val="24"/>
                <w:lang w:val="en-GB"/>
              </w:rPr>
            </w:pPr>
            <w:r w:rsidRPr="00D2716F">
              <w:rPr>
                <w:bCs/>
                <w:iCs/>
                <w:sz w:val="24"/>
                <w:szCs w:val="24"/>
                <w:lang w:val="en-GB"/>
              </w:rPr>
              <w:t>Four times daily</w:t>
            </w:r>
          </w:p>
        </w:tc>
        <w:tc>
          <w:tcPr>
            <w:tcW w:w="3210" w:type="dxa"/>
          </w:tcPr>
          <w:p w14:paraId="19BAFA64" w14:textId="071AC620" w:rsidR="00863D1D" w:rsidRPr="00E81048" w:rsidRDefault="001171C9" w:rsidP="00863D1D">
            <w:pPr>
              <w:rPr>
                <w:bCs/>
                <w:iCs/>
                <w:sz w:val="24"/>
                <w:szCs w:val="24"/>
                <w:lang w:val="en-GB"/>
              </w:rPr>
            </w:pPr>
            <w:r w:rsidRPr="00D2716F">
              <w:rPr>
                <w:bCs/>
                <w:iCs/>
                <w:sz w:val="24"/>
                <w:szCs w:val="24"/>
                <w:lang w:val="en-GB"/>
              </w:rPr>
              <w:t>2000 mg (2 g) (= 2 tablets)</w:t>
            </w:r>
          </w:p>
        </w:tc>
      </w:tr>
      <w:tr w:rsidR="00863D1D" w:rsidRPr="00E81048" w14:paraId="4062B4F6" w14:textId="77777777" w:rsidTr="00863D1D">
        <w:tc>
          <w:tcPr>
            <w:tcW w:w="3209" w:type="dxa"/>
          </w:tcPr>
          <w:p w14:paraId="573AEEFC" w14:textId="2F134579" w:rsidR="00863D1D" w:rsidRPr="00E81048" w:rsidRDefault="001171C9" w:rsidP="00863D1D">
            <w:pPr>
              <w:rPr>
                <w:bCs/>
                <w:iCs/>
                <w:sz w:val="24"/>
                <w:szCs w:val="24"/>
                <w:lang w:val="en-GB"/>
              </w:rPr>
            </w:pPr>
            <w:r w:rsidRPr="00D2716F">
              <w:rPr>
                <w:bCs/>
                <w:iCs/>
                <w:sz w:val="24"/>
                <w:szCs w:val="24"/>
                <w:lang w:val="en-GB"/>
              </w:rPr>
              <w:t>41-50 kg (about 12-15 years)</w:t>
            </w:r>
          </w:p>
        </w:tc>
        <w:tc>
          <w:tcPr>
            <w:tcW w:w="3209" w:type="dxa"/>
          </w:tcPr>
          <w:p w14:paraId="743B8CE7" w14:textId="2791ADB3" w:rsidR="001171C9" w:rsidRPr="001171C9" w:rsidRDefault="001171C9" w:rsidP="001171C9">
            <w:pPr>
              <w:rPr>
                <w:bCs/>
                <w:iCs/>
                <w:sz w:val="24"/>
                <w:szCs w:val="24"/>
              </w:rPr>
            </w:pPr>
            <w:r w:rsidRPr="001171C9">
              <w:rPr>
                <w:bCs/>
                <w:iCs/>
                <w:sz w:val="24"/>
                <w:szCs w:val="24"/>
              </w:rPr>
              <w:t>500 mg (1/2 tablet) – 1000</w:t>
            </w:r>
            <w:r w:rsidR="00E81048">
              <w:rPr>
                <w:bCs/>
                <w:iCs/>
                <w:sz w:val="24"/>
                <w:szCs w:val="24"/>
              </w:rPr>
              <w:t> </w:t>
            </w:r>
            <w:r w:rsidRPr="001171C9">
              <w:rPr>
                <w:bCs/>
                <w:iCs/>
                <w:sz w:val="24"/>
                <w:szCs w:val="24"/>
              </w:rPr>
              <w:t>mg (1 g) (1 tablet)</w:t>
            </w:r>
          </w:p>
          <w:p w14:paraId="0AEF2BD1" w14:textId="2B9978A0" w:rsidR="00863D1D" w:rsidRPr="00E81048" w:rsidRDefault="001171C9" w:rsidP="001171C9">
            <w:pPr>
              <w:rPr>
                <w:bCs/>
                <w:iCs/>
                <w:sz w:val="24"/>
                <w:szCs w:val="24"/>
                <w:lang w:val="en-GB"/>
              </w:rPr>
            </w:pPr>
            <w:r w:rsidRPr="00D2716F">
              <w:rPr>
                <w:bCs/>
                <w:iCs/>
                <w:sz w:val="24"/>
                <w:szCs w:val="24"/>
                <w:lang w:val="en-GB"/>
              </w:rPr>
              <w:t>Three times daily</w:t>
            </w:r>
          </w:p>
        </w:tc>
        <w:tc>
          <w:tcPr>
            <w:tcW w:w="3210" w:type="dxa"/>
          </w:tcPr>
          <w:p w14:paraId="1470A47B" w14:textId="204AE948" w:rsidR="00863D1D" w:rsidRPr="00E81048" w:rsidRDefault="001171C9" w:rsidP="00863D1D">
            <w:pPr>
              <w:rPr>
                <w:bCs/>
                <w:iCs/>
                <w:sz w:val="24"/>
                <w:szCs w:val="24"/>
                <w:lang w:val="en-GB"/>
              </w:rPr>
            </w:pPr>
            <w:r w:rsidRPr="00D2716F">
              <w:rPr>
                <w:bCs/>
                <w:iCs/>
                <w:sz w:val="24"/>
                <w:szCs w:val="24"/>
                <w:lang w:val="en-GB"/>
              </w:rPr>
              <w:t>3000 mg (3 g) (= 3 tablets)</w:t>
            </w:r>
          </w:p>
        </w:tc>
      </w:tr>
    </w:tbl>
    <w:p w14:paraId="326FC42C" w14:textId="77777777" w:rsidR="00863D1D" w:rsidRPr="00D2716F" w:rsidRDefault="00863D1D" w:rsidP="00863D1D">
      <w:pPr>
        <w:ind w:left="851"/>
        <w:rPr>
          <w:bCs/>
          <w:iCs/>
          <w:sz w:val="24"/>
          <w:szCs w:val="24"/>
          <w:lang w:val="en-GB"/>
        </w:rPr>
      </w:pPr>
    </w:p>
    <w:bookmarkEnd w:id="4"/>
    <w:p w14:paraId="2C4BB21C" w14:textId="4DE5C565" w:rsidR="00D2716F" w:rsidRPr="00D2716F" w:rsidRDefault="00E81048" w:rsidP="001171C9">
      <w:pPr>
        <w:ind w:left="851"/>
        <w:rPr>
          <w:bCs/>
          <w:iCs/>
          <w:sz w:val="24"/>
          <w:szCs w:val="24"/>
          <w:lang w:val="en-GB"/>
        </w:rPr>
      </w:pPr>
      <w:proofErr w:type="spellStart"/>
      <w:r>
        <w:rPr>
          <w:bCs/>
          <w:iCs/>
          <w:sz w:val="24"/>
          <w:szCs w:val="24"/>
          <w:lang w:val="en-GB"/>
        </w:rPr>
        <w:t>Xidolan</w:t>
      </w:r>
      <w:proofErr w:type="spellEnd"/>
      <w:r>
        <w:rPr>
          <w:bCs/>
          <w:iCs/>
          <w:sz w:val="24"/>
          <w:szCs w:val="24"/>
          <w:lang w:val="en-GB"/>
        </w:rPr>
        <w:t xml:space="preserve"> Forte</w:t>
      </w:r>
      <w:r w:rsidR="00D2716F" w:rsidRPr="00D2716F">
        <w:rPr>
          <w:bCs/>
          <w:iCs/>
          <w:sz w:val="24"/>
          <w:szCs w:val="24"/>
          <w:lang w:val="en-GB"/>
        </w:rPr>
        <w:t xml:space="preserve"> is not suitable for children weighing less than 33 kg (about 10 years).</w:t>
      </w:r>
    </w:p>
    <w:p w14:paraId="6EFC9C9C" w14:textId="77777777" w:rsidR="00D2716F" w:rsidRPr="00D2716F" w:rsidRDefault="00D2716F" w:rsidP="001171C9">
      <w:pPr>
        <w:ind w:left="851"/>
        <w:rPr>
          <w:bCs/>
          <w:iCs/>
          <w:sz w:val="24"/>
          <w:szCs w:val="24"/>
          <w:lang w:val="en-GB"/>
        </w:rPr>
      </w:pPr>
    </w:p>
    <w:p w14:paraId="6C10EE9A" w14:textId="77777777" w:rsidR="00D2716F" w:rsidRPr="00D2716F" w:rsidRDefault="00D2716F" w:rsidP="001171C9">
      <w:pPr>
        <w:ind w:left="851"/>
        <w:rPr>
          <w:bCs/>
          <w:i/>
          <w:iCs/>
          <w:sz w:val="24"/>
          <w:szCs w:val="24"/>
          <w:lang w:val="en-GB"/>
        </w:rPr>
      </w:pPr>
      <w:r w:rsidRPr="00D2716F">
        <w:rPr>
          <w:bCs/>
          <w:i/>
          <w:iCs/>
          <w:sz w:val="24"/>
          <w:szCs w:val="24"/>
          <w:lang w:val="en-GB"/>
        </w:rPr>
        <w:t>Adults (weighing less than 50 kg)</w:t>
      </w:r>
    </w:p>
    <w:p w14:paraId="609E735E" w14:textId="77777777" w:rsidR="00D2716F" w:rsidRPr="00D2716F" w:rsidRDefault="00D2716F" w:rsidP="001171C9">
      <w:pPr>
        <w:ind w:left="851"/>
        <w:rPr>
          <w:bCs/>
          <w:iCs/>
          <w:sz w:val="24"/>
          <w:szCs w:val="24"/>
          <w:lang w:val="en-GB"/>
        </w:rPr>
      </w:pPr>
      <w:r w:rsidRPr="00D2716F">
        <w:rPr>
          <w:bCs/>
          <w:iCs/>
          <w:sz w:val="24"/>
          <w:szCs w:val="24"/>
          <w:lang w:val="en-GB"/>
        </w:rPr>
        <w:t>The maximum dose of paracetamol should not exceed 60 mg/kg/day. Maximum daily dose is 3000 mg (3 g). Leave at least 4 hours between doses.</w:t>
      </w:r>
    </w:p>
    <w:p w14:paraId="39BCCCDE" w14:textId="77777777" w:rsidR="00D2716F" w:rsidRPr="00D2716F" w:rsidRDefault="00D2716F" w:rsidP="001171C9">
      <w:pPr>
        <w:ind w:left="851"/>
        <w:rPr>
          <w:bCs/>
          <w:iCs/>
          <w:sz w:val="24"/>
          <w:szCs w:val="24"/>
          <w:lang w:val="en-GB"/>
        </w:rPr>
      </w:pPr>
    </w:p>
    <w:p w14:paraId="1B0C33D2" w14:textId="77777777" w:rsidR="00D2716F" w:rsidRPr="00D2716F" w:rsidRDefault="00D2716F" w:rsidP="001171C9">
      <w:pPr>
        <w:ind w:left="851"/>
        <w:rPr>
          <w:i/>
          <w:sz w:val="24"/>
          <w:szCs w:val="24"/>
          <w:lang w:val="en-GB"/>
        </w:rPr>
      </w:pPr>
      <w:bookmarkStart w:id="5" w:name="_Hlk225805333"/>
      <w:r w:rsidRPr="00D2716F">
        <w:rPr>
          <w:i/>
          <w:sz w:val="24"/>
          <w:szCs w:val="24"/>
          <w:lang w:val="en-GB"/>
        </w:rPr>
        <w:t>Adolescents and adults (weighing more than 50 kg)</w:t>
      </w:r>
    </w:p>
    <w:p w14:paraId="3E2CCA98" w14:textId="77777777" w:rsidR="00D2716F" w:rsidRPr="00D2716F" w:rsidRDefault="00D2716F" w:rsidP="001171C9">
      <w:pPr>
        <w:ind w:left="851"/>
        <w:rPr>
          <w:bCs/>
          <w:iCs/>
          <w:sz w:val="24"/>
          <w:szCs w:val="24"/>
          <w:lang w:val="en-GB"/>
        </w:rPr>
      </w:pPr>
      <w:r w:rsidRPr="00D2716F">
        <w:rPr>
          <w:bCs/>
          <w:iCs/>
          <w:sz w:val="24"/>
          <w:szCs w:val="24"/>
          <w:lang w:val="en-GB"/>
        </w:rPr>
        <w:t xml:space="preserve">The usual dosage is 500 mg to 1000 mg (1 g) per administration, if required every 4 to 6 hours. </w:t>
      </w:r>
    </w:p>
    <w:p w14:paraId="5764F1C0" w14:textId="068EAE19" w:rsidR="00D2716F" w:rsidRPr="00D2716F" w:rsidRDefault="00D2716F" w:rsidP="001171C9">
      <w:pPr>
        <w:ind w:left="851"/>
        <w:rPr>
          <w:bCs/>
          <w:iCs/>
          <w:sz w:val="24"/>
          <w:szCs w:val="24"/>
          <w:lang w:val="en-GB"/>
        </w:rPr>
      </w:pPr>
      <w:r w:rsidRPr="00D2716F">
        <w:rPr>
          <w:bCs/>
          <w:iCs/>
          <w:sz w:val="24"/>
          <w:szCs w:val="24"/>
          <w:lang w:val="en-GB"/>
        </w:rPr>
        <w:t xml:space="preserve">The maximum dose of paracetamol should not exceed 1000 mg (1 g) per administration and 4000 mg (4 g) per day (1 tablet of </w:t>
      </w:r>
      <w:proofErr w:type="spellStart"/>
      <w:r w:rsidR="00E81048">
        <w:rPr>
          <w:bCs/>
          <w:iCs/>
          <w:sz w:val="24"/>
          <w:szCs w:val="24"/>
          <w:lang w:val="en-GB"/>
        </w:rPr>
        <w:t>Xidolan</w:t>
      </w:r>
      <w:proofErr w:type="spellEnd"/>
      <w:r w:rsidR="00E81048">
        <w:rPr>
          <w:bCs/>
          <w:iCs/>
          <w:sz w:val="24"/>
          <w:szCs w:val="24"/>
          <w:lang w:val="en-GB"/>
        </w:rPr>
        <w:t xml:space="preserve"> Forte</w:t>
      </w:r>
      <w:r w:rsidRPr="00D2716F">
        <w:rPr>
          <w:bCs/>
          <w:iCs/>
          <w:sz w:val="24"/>
          <w:szCs w:val="24"/>
          <w:lang w:val="en-GB"/>
        </w:rPr>
        <w:t>, 4 times per day).</w:t>
      </w:r>
      <w:bookmarkStart w:id="6" w:name="_Hlk223992137"/>
      <w:r w:rsidRPr="00D2716F">
        <w:rPr>
          <w:bCs/>
          <w:iCs/>
          <w:sz w:val="24"/>
          <w:szCs w:val="24"/>
          <w:lang w:val="en-GB"/>
        </w:rPr>
        <w:t xml:space="preserve"> </w:t>
      </w:r>
      <w:bookmarkEnd w:id="6"/>
      <w:r w:rsidRPr="00D2716F">
        <w:rPr>
          <w:bCs/>
          <w:iCs/>
          <w:sz w:val="24"/>
          <w:szCs w:val="24"/>
          <w:lang w:val="en-GB"/>
        </w:rPr>
        <w:t>Leave at least 4 hours between doses.</w:t>
      </w:r>
    </w:p>
    <w:bookmarkEnd w:id="5"/>
    <w:p w14:paraId="569B25FF" w14:textId="77777777" w:rsidR="00D2716F" w:rsidRPr="00D2716F" w:rsidRDefault="00D2716F" w:rsidP="001171C9">
      <w:pPr>
        <w:ind w:left="851"/>
        <w:rPr>
          <w:bCs/>
          <w:iCs/>
          <w:sz w:val="24"/>
          <w:szCs w:val="24"/>
          <w:lang w:val="en-GB"/>
        </w:rPr>
      </w:pPr>
    </w:p>
    <w:p w14:paraId="190D79E9" w14:textId="77777777" w:rsidR="00D2716F" w:rsidRPr="00D2716F" w:rsidRDefault="00D2716F" w:rsidP="001171C9">
      <w:pPr>
        <w:ind w:left="851"/>
        <w:rPr>
          <w:bCs/>
          <w:i/>
          <w:iCs/>
          <w:sz w:val="24"/>
          <w:szCs w:val="24"/>
          <w:lang w:val="en-GB"/>
        </w:rPr>
      </w:pPr>
      <w:bookmarkStart w:id="7" w:name="_Hlk189220199"/>
      <w:r w:rsidRPr="00D2716F">
        <w:rPr>
          <w:bCs/>
          <w:i/>
          <w:iCs/>
          <w:sz w:val="24"/>
          <w:szCs w:val="24"/>
          <w:lang w:val="en-GB"/>
        </w:rPr>
        <w:t>Hepatic impairment</w:t>
      </w:r>
    </w:p>
    <w:p w14:paraId="350AA40E" w14:textId="77777777" w:rsidR="00D2716F" w:rsidRPr="00D2716F" w:rsidRDefault="00D2716F" w:rsidP="001171C9">
      <w:pPr>
        <w:ind w:left="851"/>
        <w:rPr>
          <w:bCs/>
          <w:iCs/>
          <w:sz w:val="24"/>
          <w:szCs w:val="24"/>
          <w:lang w:val="en-GB"/>
        </w:rPr>
      </w:pPr>
      <w:r w:rsidRPr="00D2716F">
        <w:rPr>
          <w:bCs/>
          <w:iCs/>
          <w:sz w:val="24"/>
          <w:szCs w:val="24"/>
          <w:lang w:val="en-GB"/>
        </w:rPr>
        <w:t>In patients with impaired hepatic function, the dose of paracetamol must be reduced or the dosing interval prolonged.</w:t>
      </w:r>
    </w:p>
    <w:p w14:paraId="744480B4" w14:textId="77777777" w:rsidR="00D2716F" w:rsidRPr="00D2716F" w:rsidRDefault="00D2716F" w:rsidP="001171C9">
      <w:pPr>
        <w:ind w:left="851"/>
        <w:rPr>
          <w:bCs/>
          <w:iCs/>
          <w:sz w:val="24"/>
          <w:szCs w:val="24"/>
          <w:lang w:val="en-GB"/>
        </w:rPr>
      </w:pPr>
    </w:p>
    <w:p w14:paraId="030A6E82" w14:textId="77777777" w:rsidR="00D2716F" w:rsidRPr="00D2716F" w:rsidRDefault="00D2716F" w:rsidP="001171C9">
      <w:pPr>
        <w:ind w:left="851"/>
        <w:rPr>
          <w:bCs/>
          <w:iCs/>
          <w:sz w:val="24"/>
          <w:szCs w:val="24"/>
          <w:lang w:val="en-US"/>
        </w:rPr>
      </w:pPr>
      <w:r w:rsidRPr="00D2716F">
        <w:rPr>
          <w:bCs/>
          <w:iCs/>
          <w:sz w:val="24"/>
          <w:szCs w:val="24"/>
          <w:lang w:val="en-GB"/>
        </w:rPr>
        <w:t>The daily dose of paracetamol may not exceed 2000 mg (2 g) in patients with:</w:t>
      </w:r>
    </w:p>
    <w:p w14:paraId="423E211B" w14:textId="77777777" w:rsidR="00D2716F" w:rsidRPr="00D2716F" w:rsidRDefault="00D2716F" w:rsidP="001171C9">
      <w:pPr>
        <w:numPr>
          <w:ilvl w:val="0"/>
          <w:numId w:val="5"/>
        </w:numPr>
        <w:tabs>
          <w:tab w:val="clear" w:pos="284"/>
        </w:tabs>
        <w:ind w:left="1276" w:hanging="425"/>
        <w:rPr>
          <w:bCs/>
          <w:iCs/>
          <w:sz w:val="24"/>
          <w:szCs w:val="24"/>
          <w:lang w:val="en-GB"/>
        </w:rPr>
      </w:pPr>
      <w:r w:rsidRPr="00D2716F">
        <w:rPr>
          <w:bCs/>
          <w:iCs/>
          <w:sz w:val="24"/>
          <w:szCs w:val="24"/>
          <w:lang w:val="en-GB"/>
        </w:rPr>
        <w:t>liver insufficiency (mild to moderate),</w:t>
      </w:r>
    </w:p>
    <w:p w14:paraId="6488E545" w14:textId="77777777" w:rsidR="00D2716F" w:rsidRPr="00D2716F" w:rsidRDefault="00D2716F" w:rsidP="001171C9">
      <w:pPr>
        <w:numPr>
          <w:ilvl w:val="0"/>
          <w:numId w:val="5"/>
        </w:numPr>
        <w:tabs>
          <w:tab w:val="clear" w:pos="284"/>
        </w:tabs>
        <w:ind w:left="1276" w:hanging="425"/>
        <w:rPr>
          <w:bCs/>
          <w:iCs/>
          <w:sz w:val="24"/>
          <w:szCs w:val="24"/>
          <w:lang w:val="fr-BE"/>
        </w:rPr>
      </w:pPr>
      <w:proofErr w:type="spellStart"/>
      <w:r w:rsidRPr="00D2716F">
        <w:rPr>
          <w:bCs/>
          <w:iCs/>
          <w:sz w:val="24"/>
          <w:szCs w:val="24"/>
          <w:lang w:val="fr-BE"/>
        </w:rPr>
        <w:t>Gilbert's</w:t>
      </w:r>
      <w:proofErr w:type="spellEnd"/>
      <w:r w:rsidRPr="00D2716F">
        <w:rPr>
          <w:bCs/>
          <w:iCs/>
          <w:sz w:val="24"/>
          <w:szCs w:val="24"/>
          <w:lang w:val="fr-BE"/>
        </w:rPr>
        <w:t xml:space="preserve"> syndrome (familial non-</w:t>
      </w:r>
      <w:proofErr w:type="spellStart"/>
      <w:r w:rsidRPr="00D2716F">
        <w:rPr>
          <w:bCs/>
          <w:iCs/>
          <w:sz w:val="24"/>
          <w:szCs w:val="24"/>
          <w:lang w:val="fr-BE"/>
        </w:rPr>
        <w:t>haemolytic</w:t>
      </w:r>
      <w:proofErr w:type="spellEnd"/>
      <w:r w:rsidRPr="00D2716F">
        <w:rPr>
          <w:bCs/>
          <w:iCs/>
          <w:sz w:val="24"/>
          <w:szCs w:val="24"/>
          <w:lang w:val="fr-BE"/>
        </w:rPr>
        <w:t xml:space="preserve"> </w:t>
      </w:r>
      <w:proofErr w:type="spellStart"/>
      <w:r w:rsidRPr="00D2716F">
        <w:rPr>
          <w:bCs/>
          <w:iCs/>
          <w:sz w:val="24"/>
          <w:szCs w:val="24"/>
          <w:lang w:val="fr-BE"/>
        </w:rPr>
        <w:t>jaundice</w:t>
      </w:r>
      <w:proofErr w:type="spellEnd"/>
      <w:r w:rsidRPr="00D2716F">
        <w:rPr>
          <w:bCs/>
          <w:iCs/>
          <w:sz w:val="24"/>
          <w:szCs w:val="24"/>
          <w:lang w:val="fr-BE"/>
        </w:rPr>
        <w:t>),</w:t>
      </w:r>
    </w:p>
    <w:p w14:paraId="72D07E73" w14:textId="77777777" w:rsidR="00D2716F" w:rsidRPr="00D2716F" w:rsidRDefault="00D2716F" w:rsidP="001171C9">
      <w:pPr>
        <w:numPr>
          <w:ilvl w:val="0"/>
          <w:numId w:val="5"/>
        </w:numPr>
        <w:tabs>
          <w:tab w:val="clear" w:pos="284"/>
        </w:tabs>
        <w:ind w:left="1276" w:hanging="425"/>
        <w:rPr>
          <w:bCs/>
          <w:iCs/>
          <w:sz w:val="24"/>
          <w:szCs w:val="24"/>
          <w:lang w:val="fr-BE"/>
        </w:rPr>
      </w:pPr>
      <w:r w:rsidRPr="00D2716F">
        <w:rPr>
          <w:bCs/>
          <w:iCs/>
          <w:sz w:val="24"/>
          <w:szCs w:val="24"/>
          <w:lang w:val="en-GB"/>
        </w:rPr>
        <w:t>chronic alcoholism,</w:t>
      </w:r>
    </w:p>
    <w:p w14:paraId="439001AE" w14:textId="77777777" w:rsidR="00D2716F" w:rsidRPr="00D2716F" w:rsidRDefault="00D2716F" w:rsidP="001171C9">
      <w:pPr>
        <w:numPr>
          <w:ilvl w:val="0"/>
          <w:numId w:val="5"/>
        </w:numPr>
        <w:tabs>
          <w:tab w:val="clear" w:pos="284"/>
        </w:tabs>
        <w:ind w:left="1276" w:hanging="425"/>
        <w:rPr>
          <w:bCs/>
          <w:iCs/>
          <w:sz w:val="24"/>
          <w:szCs w:val="24"/>
          <w:lang w:val="fr-BE"/>
        </w:rPr>
      </w:pPr>
      <w:r w:rsidRPr="00D2716F">
        <w:rPr>
          <w:bCs/>
          <w:iCs/>
          <w:sz w:val="24"/>
          <w:szCs w:val="24"/>
          <w:lang w:val="en-GB"/>
        </w:rPr>
        <w:t>dehydration,</w:t>
      </w:r>
    </w:p>
    <w:p w14:paraId="069D4C74" w14:textId="77777777" w:rsidR="00D2716F" w:rsidRPr="00D2716F" w:rsidRDefault="00D2716F" w:rsidP="001171C9">
      <w:pPr>
        <w:numPr>
          <w:ilvl w:val="0"/>
          <w:numId w:val="5"/>
        </w:numPr>
        <w:tabs>
          <w:tab w:val="clear" w:pos="284"/>
        </w:tabs>
        <w:ind w:left="1276" w:hanging="425"/>
        <w:rPr>
          <w:bCs/>
          <w:iCs/>
          <w:sz w:val="24"/>
          <w:szCs w:val="24"/>
          <w:lang w:val="fr-BE"/>
        </w:rPr>
      </w:pPr>
      <w:r w:rsidRPr="00D2716F">
        <w:rPr>
          <w:bCs/>
          <w:iCs/>
          <w:sz w:val="24"/>
          <w:szCs w:val="24"/>
          <w:lang w:val="en-GB"/>
        </w:rPr>
        <w:t>chronic malnutrition.</w:t>
      </w:r>
    </w:p>
    <w:bookmarkEnd w:id="7"/>
    <w:p w14:paraId="5B8AA241" w14:textId="77777777" w:rsidR="00D2716F" w:rsidRPr="00D2716F" w:rsidRDefault="00D2716F" w:rsidP="001171C9">
      <w:pPr>
        <w:ind w:left="851"/>
        <w:rPr>
          <w:bCs/>
          <w:iCs/>
          <w:sz w:val="24"/>
          <w:szCs w:val="24"/>
          <w:lang w:val="fr-BE"/>
        </w:rPr>
      </w:pPr>
    </w:p>
    <w:p w14:paraId="707F8694" w14:textId="77777777" w:rsidR="00D2716F" w:rsidRPr="00D2716F" w:rsidRDefault="00D2716F" w:rsidP="001171C9">
      <w:pPr>
        <w:ind w:left="851"/>
        <w:rPr>
          <w:bCs/>
          <w:i/>
          <w:iCs/>
          <w:sz w:val="24"/>
          <w:szCs w:val="24"/>
          <w:lang w:val="en-GB"/>
        </w:rPr>
      </w:pPr>
      <w:r w:rsidRPr="00D2716F">
        <w:rPr>
          <w:bCs/>
          <w:i/>
          <w:iCs/>
          <w:sz w:val="24"/>
          <w:szCs w:val="24"/>
          <w:lang w:val="en-GB"/>
        </w:rPr>
        <w:t>Renal impairment</w:t>
      </w:r>
    </w:p>
    <w:p w14:paraId="675ADC57" w14:textId="77777777" w:rsidR="00D2716F" w:rsidRPr="00D2716F" w:rsidRDefault="00D2716F" w:rsidP="001171C9">
      <w:pPr>
        <w:ind w:left="851"/>
        <w:rPr>
          <w:bCs/>
          <w:iCs/>
          <w:sz w:val="24"/>
          <w:szCs w:val="24"/>
          <w:lang w:val="en-GB"/>
        </w:rPr>
      </w:pPr>
      <w:r w:rsidRPr="00D2716F">
        <w:rPr>
          <w:bCs/>
          <w:iCs/>
          <w:sz w:val="24"/>
          <w:szCs w:val="24"/>
          <w:lang w:val="en-GB"/>
        </w:rPr>
        <w:t>In patients with renal insufficiency, the paracetamol dose should be reduced:</w:t>
      </w:r>
    </w:p>
    <w:tbl>
      <w:tblPr>
        <w:tblW w:w="7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4"/>
        <w:gridCol w:w="4606"/>
      </w:tblGrid>
      <w:tr w:rsidR="00D2716F" w:rsidRPr="00D2716F" w14:paraId="54B2D875" w14:textId="77777777" w:rsidTr="001171C9">
        <w:trPr>
          <w:jc w:val="center"/>
        </w:trPr>
        <w:tc>
          <w:tcPr>
            <w:tcW w:w="3334" w:type="dxa"/>
            <w:tcBorders>
              <w:top w:val="single" w:sz="4" w:space="0" w:color="auto"/>
              <w:left w:val="single" w:sz="4" w:space="0" w:color="auto"/>
              <w:bottom w:val="single" w:sz="4" w:space="0" w:color="auto"/>
              <w:right w:val="single" w:sz="4" w:space="0" w:color="auto"/>
            </w:tcBorders>
            <w:hideMark/>
          </w:tcPr>
          <w:p w14:paraId="23C3EA1F" w14:textId="77777777" w:rsidR="00D2716F" w:rsidRPr="00D2716F" w:rsidRDefault="00D2716F" w:rsidP="001171C9">
            <w:pPr>
              <w:ind w:left="32"/>
              <w:rPr>
                <w:bCs/>
                <w:iCs/>
                <w:sz w:val="24"/>
                <w:szCs w:val="24"/>
                <w:lang w:val="en-GB"/>
              </w:rPr>
            </w:pPr>
            <w:r w:rsidRPr="00D2716F">
              <w:rPr>
                <w:bCs/>
                <w:iCs/>
                <w:sz w:val="24"/>
                <w:szCs w:val="24"/>
                <w:lang w:val="en-GB"/>
              </w:rPr>
              <w:t>Glomerular filtration rate</w:t>
            </w:r>
          </w:p>
        </w:tc>
        <w:tc>
          <w:tcPr>
            <w:tcW w:w="4606" w:type="dxa"/>
            <w:tcBorders>
              <w:top w:val="single" w:sz="4" w:space="0" w:color="auto"/>
              <w:left w:val="single" w:sz="4" w:space="0" w:color="auto"/>
              <w:bottom w:val="single" w:sz="4" w:space="0" w:color="auto"/>
              <w:right w:val="single" w:sz="4" w:space="0" w:color="auto"/>
            </w:tcBorders>
            <w:hideMark/>
          </w:tcPr>
          <w:p w14:paraId="2DF96C0C" w14:textId="77777777" w:rsidR="00D2716F" w:rsidRPr="00D2716F" w:rsidRDefault="00D2716F" w:rsidP="001171C9">
            <w:pPr>
              <w:ind w:left="32"/>
              <w:rPr>
                <w:bCs/>
                <w:iCs/>
                <w:sz w:val="24"/>
                <w:szCs w:val="24"/>
                <w:lang w:val="en-GB"/>
              </w:rPr>
            </w:pPr>
            <w:r w:rsidRPr="00D2716F">
              <w:rPr>
                <w:bCs/>
                <w:iCs/>
                <w:sz w:val="24"/>
                <w:szCs w:val="24"/>
                <w:lang w:val="en-GB"/>
              </w:rPr>
              <w:t>Dose</w:t>
            </w:r>
          </w:p>
        </w:tc>
      </w:tr>
      <w:tr w:rsidR="00D2716F" w:rsidRPr="00D2716F" w14:paraId="65ABC44F" w14:textId="77777777" w:rsidTr="001171C9">
        <w:trPr>
          <w:jc w:val="center"/>
        </w:trPr>
        <w:tc>
          <w:tcPr>
            <w:tcW w:w="3334" w:type="dxa"/>
            <w:tcBorders>
              <w:top w:val="single" w:sz="4" w:space="0" w:color="auto"/>
              <w:left w:val="single" w:sz="4" w:space="0" w:color="auto"/>
              <w:bottom w:val="single" w:sz="4" w:space="0" w:color="auto"/>
              <w:right w:val="single" w:sz="4" w:space="0" w:color="auto"/>
            </w:tcBorders>
            <w:hideMark/>
          </w:tcPr>
          <w:p w14:paraId="6C26E102" w14:textId="77777777" w:rsidR="00D2716F" w:rsidRPr="00D2716F" w:rsidRDefault="00D2716F" w:rsidP="001171C9">
            <w:pPr>
              <w:ind w:left="32"/>
              <w:rPr>
                <w:bCs/>
                <w:iCs/>
                <w:sz w:val="24"/>
                <w:szCs w:val="24"/>
                <w:lang w:val="en-GB"/>
              </w:rPr>
            </w:pPr>
            <w:r w:rsidRPr="00D2716F">
              <w:rPr>
                <w:bCs/>
                <w:iCs/>
                <w:sz w:val="24"/>
                <w:szCs w:val="24"/>
                <w:lang w:val="en-GB"/>
              </w:rPr>
              <w:t>10-50 ml/min</w:t>
            </w:r>
          </w:p>
        </w:tc>
        <w:tc>
          <w:tcPr>
            <w:tcW w:w="4606" w:type="dxa"/>
            <w:tcBorders>
              <w:top w:val="single" w:sz="4" w:space="0" w:color="auto"/>
              <w:left w:val="single" w:sz="4" w:space="0" w:color="auto"/>
              <w:bottom w:val="single" w:sz="4" w:space="0" w:color="auto"/>
              <w:right w:val="single" w:sz="4" w:space="0" w:color="auto"/>
            </w:tcBorders>
            <w:hideMark/>
          </w:tcPr>
          <w:p w14:paraId="2A930822" w14:textId="77777777" w:rsidR="00D2716F" w:rsidRPr="00D2716F" w:rsidRDefault="00D2716F" w:rsidP="001171C9">
            <w:pPr>
              <w:ind w:left="32"/>
              <w:rPr>
                <w:bCs/>
                <w:iCs/>
                <w:sz w:val="24"/>
                <w:szCs w:val="24"/>
                <w:lang w:val="en-GB"/>
              </w:rPr>
            </w:pPr>
            <w:r w:rsidRPr="00D2716F">
              <w:rPr>
                <w:bCs/>
                <w:iCs/>
                <w:sz w:val="24"/>
                <w:szCs w:val="24"/>
                <w:lang w:val="en-GB"/>
              </w:rPr>
              <w:t>500 mg every 6 hours</w:t>
            </w:r>
          </w:p>
        </w:tc>
      </w:tr>
      <w:tr w:rsidR="00D2716F" w:rsidRPr="00D2716F" w14:paraId="74564B59" w14:textId="77777777" w:rsidTr="001171C9">
        <w:trPr>
          <w:jc w:val="center"/>
        </w:trPr>
        <w:tc>
          <w:tcPr>
            <w:tcW w:w="3334" w:type="dxa"/>
            <w:tcBorders>
              <w:top w:val="single" w:sz="4" w:space="0" w:color="auto"/>
              <w:left w:val="single" w:sz="4" w:space="0" w:color="auto"/>
              <w:bottom w:val="single" w:sz="4" w:space="0" w:color="auto"/>
              <w:right w:val="single" w:sz="4" w:space="0" w:color="auto"/>
            </w:tcBorders>
            <w:hideMark/>
          </w:tcPr>
          <w:p w14:paraId="0997013D" w14:textId="77777777" w:rsidR="00D2716F" w:rsidRPr="00D2716F" w:rsidRDefault="00D2716F" w:rsidP="001171C9">
            <w:pPr>
              <w:ind w:left="32"/>
              <w:rPr>
                <w:bCs/>
                <w:iCs/>
                <w:sz w:val="24"/>
                <w:szCs w:val="24"/>
                <w:lang w:val="en-GB"/>
              </w:rPr>
            </w:pPr>
            <w:r w:rsidRPr="00D2716F">
              <w:rPr>
                <w:bCs/>
                <w:iCs/>
                <w:sz w:val="24"/>
                <w:szCs w:val="24"/>
                <w:lang w:val="en-GB"/>
              </w:rPr>
              <w:t>&lt; 10 ml/min</w:t>
            </w:r>
          </w:p>
        </w:tc>
        <w:tc>
          <w:tcPr>
            <w:tcW w:w="4606" w:type="dxa"/>
            <w:tcBorders>
              <w:top w:val="single" w:sz="4" w:space="0" w:color="auto"/>
              <w:left w:val="single" w:sz="4" w:space="0" w:color="auto"/>
              <w:bottom w:val="single" w:sz="4" w:space="0" w:color="auto"/>
              <w:right w:val="single" w:sz="4" w:space="0" w:color="auto"/>
            </w:tcBorders>
            <w:hideMark/>
          </w:tcPr>
          <w:p w14:paraId="01174247" w14:textId="77777777" w:rsidR="00D2716F" w:rsidRPr="00D2716F" w:rsidRDefault="00D2716F" w:rsidP="001171C9">
            <w:pPr>
              <w:ind w:left="32"/>
              <w:rPr>
                <w:bCs/>
                <w:iCs/>
                <w:sz w:val="24"/>
                <w:szCs w:val="24"/>
                <w:lang w:val="en-GB"/>
              </w:rPr>
            </w:pPr>
            <w:r w:rsidRPr="00D2716F">
              <w:rPr>
                <w:bCs/>
                <w:iCs/>
                <w:sz w:val="24"/>
                <w:szCs w:val="24"/>
                <w:lang w:val="en-GB"/>
              </w:rPr>
              <w:t>500 mg every 8 hours</w:t>
            </w:r>
          </w:p>
        </w:tc>
      </w:tr>
    </w:tbl>
    <w:p w14:paraId="2D957FF5" w14:textId="77777777" w:rsidR="00D2716F" w:rsidRPr="00D2716F" w:rsidRDefault="00D2716F" w:rsidP="00D2716F">
      <w:pPr>
        <w:tabs>
          <w:tab w:val="left" w:pos="851"/>
        </w:tabs>
        <w:ind w:left="851"/>
        <w:rPr>
          <w:bCs/>
          <w:iCs/>
          <w:sz w:val="24"/>
          <w:szCs w:val="24"/>
          <w:lang w:val="fr-BE"/>
        </w:rPr>
      </w:pPr>
    </w:p>
    <w:p w14:paraId="5B5AAB4D" w14:textId="77777777" w:rsidR="00D2716F" w:rsidRPr="00D2716F" w:rsidRDefault="00D2716F" w:rsidP="00F8042D">
      <w:pPr>
        <w:ind w:left="851"/>
        <w:rPr>
          <w:bCs/>
          <w:i/>
          <w:iCs/>
          <w:sz w:val="24"/>
          <w:szCs w:val="24"/>
          <w:lang w:val="en-GB"/>
        </w:rPr>
      </w:pPr>
      <w:r w:rsidRPr="00D2716F">
        <w:rPr>
          <w:bCs/>
          <w:i/>
          <w:iCs/>
          <w:sz w:val="24"/>
          <w:szCs w:val="24"/>
          <w:lang w:val="en-GB"/>
        </w:rPr>
        <w:t>Elderly</w:t>
      </w:r>
    </w:p>
    <w:p w14:paraId="406A85E2" w14:textId="77777777" w:rsidR="00D2716F" w:rsidRPr="00D2716F" w:rsidRDefault="00D2716F" w:rsidP="00F8042D">
      <w:pPr>
        <w:ind w:left="851"/>
        <w:rPr>
          <w:bCs/>
          <w:iCs/>
          <w:sz w:val="24"/>
          <w:szCs w:val="24"/>
          <w:lang w:val="en-GB"/>
        </w:rPr>
      </w:pPr>
      <w:r w:rsidRPr="00D2716F">
        <w:rPr>
          <w:bCs/>
          <w:iCs/>
          <w:sz w:val="24"/>
          <w:szCs w:val="24"/>
          <w:lang w:val="en-GB"/>
        </w:rPr>
        <w:t>No special dosage modifications are required. Be aware that renal and/or hepatic impairment occurs more frequently in elderly subjects.</w:t>
      </w:r>
    </w:p>
    <w:p w14:paraId="519F11EE" w14:textId="77777777" w:rsidR="00D2716F" w:rsidRPr="00D2716F" w:rsidRDefault="00D2716F" w:rsidP="00F8042D">
      <w:pPr>
        <w:ind w:left="851"/>
        <w:rPr>
          <w:bCs/>
          <w:iCs/>
          <w:sz w:val="24"/>
          <w:szCs w:val="24"/>
          <w:lang w:val="en-GB"/>
        </w:rPr>
      </w:pPr>
    </w:p>
    <w:p w14:paraId="5E7FC7B4" w14:textId="77777777" w:rsidR="00D2716F" w:rsidRPr="00D2716F" w:rsidRDefault="00D2716F" w:rsidP="00F8042D">
      <w:pPr>
        <w:ind w:left="851"/>
        <w:rPr>
          <w:sz w:val="24"/>
          <w:szCs w:val="24"/>
          <w:u w:val="single"/>
          <w:lang w:val="en-GB"/>
        </w:rPr>
      </w:pPr>
      <w:r w:rsidRPr="00D2716F">
        <w:rPr>
          <w:sz w:val="24"/>
          <w:szCs w:val="24"/>
          <w:u w:val="single"/>
          <w:lang w:val="en-GB"/>
        </w:rPr>
        <w:t xml:space="preserve">Method of administration </w:t>
      </w:r>
    </w:p>
    <w:p w14:paraId="671D21F9" w14:textId="77777777" w:rsidR="00D2716F" w:rsidRPr="00D2716F" w:rsidRDefault="00D2716F" w:rsidP="00F8042D">
      <w:pPr>
        <w:ind w:left="851"/>
        <w:rPr>
          <w:sz w:val="24"/>
          <w:szCs w:val="24"/>
          <w:lang w:val="en-GB"/>
        </w:rPr>
      </w:pPr>
      <w:r w:rsidRPr="00D2716F">
        <w:rPr>
          <w:sz w:val="24"/>
          <w:szCs w:val="24"/>
          <w:lang w:val="en-GB"/>
        </w:rPr>
        <w:t>For oral administration.</w:t>
      </w:r>
    </w:p>
    <w:p w14:paraId="63AD48A3" w14:textId="77777777" w:rsidR="00D2716F" w:rsidRPr="00D2716F" w:rsidRDefault="00D2716F" w:rsidP="00F8042D">
      <w:pPr>
        <w:ind w:left="851"/>
        <w:rPr>
          <w:sz w:val="24"/>
          <w:szCs w:val="24"/>
          <w:lang w:val="en-GB"/>
        </w:rPr>
      </w:pPr>
      <w:r w:rsidRPr="00D2716F">
        <w:rPr>
          <w:sz w:val="24"/>
          <w:szCs w:val="24"/>
          <w:lang w:val="en-GB"/>
        </w:rPr>
        <w:t>It is recommended to take the product with a full glass of water.</w:t>
      </w:r>
    </w:p>
    <w:p w14:paraId="710EC2F7" w14:textId="77777777" w:rsidR="007C5D2A" w:rsidRPr="00E81048" w:rsidRDefault="007C5D2A" w:rsidP="00F8042D">
      <w:pPr>
        <w:ind w:left="851"/>
        <w:rPr>
          <w:sz w:val="24"/>
          <w:szCs w:val="24"/>
          <w:lang w:val="en-GB"/>
        </w:rPr>
      </w:pPr>
    </w:p>
    <w:p w14:paraId="5E5A6774" w14:textId="77777777" w:rsidR="007C5D2A" w:rsidRPr="00E81048" w:rsidRDefault="007C5D2A" w:rsidP="007C5D2A">
      <w:pPr>
        <w:tabs>
          <w:tab w:val="left" w:pos="851"/>
        </w:tabs>
        <w:ind w:left="851" w:hanging="851"/>
        <w:rPr>
          <w:b/>
          <w:sz w:val="24"/>
          <w:szCs w:val="24"/>
          <w:lang w:val="en-GB"/>
        </w:rPr>
      </w:pPr>
      <w:r w:rsidRPr="00E81048">
        <w:rPr>
          <w:b/>
          <w:sz w:val="24"/>
          <w:szCs w:val="24"/>
          <w:lang w:val="en-GB"/>
        </w:rPr>
        <w:t>4.3</w:t>
      </w:r>
      <w:r w:rsidRPr="00E81048">
        <w:rPr>
          <w:b/>
          <w:sz w:val="24"/>
          <w:szCs w:val="24"/>
          <w:lang w:val="en-GB"/>
        </w:rPr>
        <w:tab/>
        <w:t>Contraindications</w:t>
      </w:r>
    </w:p>
    <w:p w14:paraId="65662A7D" w14:textId="77777777" w:rsidR="00D2716F" w:rsidRPr="00D2716F" w:rsidRDefault="00D2716F" w:rsidP="00CD07CC">
      <w:pPr>
        <w:numPr>
          <w:ilvl w:val="0"/>
          <w:numId w:val="6"/>
        </w:numPr>
        <w:ind w:left="1134" w:hanging="283"/>
        <w:rPr>
          <w:sz w:val="24"/>
          <w:szCs w:val="24"/>
          <w:lang w:val="en-GB"/>
        </w:rPr>
      </w:pPr>
      <w:r w:rsidRPr="00D2716F">
        <w:rPr>
          <w:sz w:val="24"/>
          <w:szCs w:val="24"/>
          <w:lang w:val="en-GB"/>
        </w:rPr>
        <w:t xml:space="preserve">Hypersensitivity to the active substance or to any of the excipients listed in section </w:t>
      </w:r>
      <w:proofErr w:type="gramStart"/>
      <w:r w:rsidRPr="00D2716F">
        <w:rPr>
          <w:sz w:val="24"/>
          <w:szCs w:val="24"/>
          <w:lang w:val="en-GB"/>
        </w:rPr>
        <w:t>6.1;</w:t>
      </w:r>
      <w:proofErr w:type="gramEnd"/>
      <w:r w:rsidRPr="00D2716F">
        <w:rPr>
          <w:sz w:val="24"/>
          <w:szCs w:val="24"/>
          <w:lang w:val="en-GB"/>
        </w:rPr>
        <w:t xml:space="preserve"> </w:t>
      </w:r>
    </w:p>
    <w:p w14:paraId="1B78FC0B" w14:textId="77777777" w:rsidR="00D2716F" w:rsidRPr="00D2716F" w:rsidRDefault="00D2716F" w:rsidP="00CD07CC">
      <w:pPr>
        <w:numPr>
          <w:ilvl w:val="0"/>
          <w:numId w:val="6"/>
        </w:numPr>
        <w:ind w:left="1134" w:hanging="283"/>
        <w:rPr>
          <w:sz w:val="24"/>
          <w:szCs w:val="24"/>
          <w:lang w:val="en-GB"/>
        </w:rPr>
      </w:pPr>
      <w:r w:rsidRPr="00D2716F">
        <w:rPr>
          <w:sz w:val="24"/>
          <w:szCs w:val="24"/>
          <w:lang w:val="en-GB"/>
        </w:rPr>
        <w:t>Severe hepatic failure.</w:t>
      </w:r>
    </w:p>
    <w:p w14:paraId="1FAAA933" w14:textId="77777777" w:rsidR="007C5D2A" w:rsidRPr="00E81048" w:rsidRDefault="007C5D2A" w:rsidP="003E0341">
      <w:pPr>
        <w:tabs>
          <w:tab w:val="left" w:pos="851"/>
        </w:tabs>
        <w:ind w:left="851"/>
        <w:rPr>
          <w:sz w:val="24"/>
          <w:szCs w:val="24"/>
          <w:lang w:val="en-GB"/>
        </w:rPr>
      </w:pPr>
    </w:p>
    <w:p w14:paraId="7129D653" w14:textId="77777777" w:rsidR="007C5D2A" w:rsidRPr="00E81048" w:rsidRDefault="007C5D2A" w:rsidP="007C5D2A">
      <w:pPr>
        <w:tabs>
          <w:tab w:val="left" w:pos="851"/>
        </w:tabs>
        <w:rPr>
          <w:b/>
          <w:sz w:val="24"/>
          <w:szCs w:val="24"/>
          <w:lang w:val="en-GB"/>
        </w:rPr>
      </w:pPr>
      <w:r w:rsidRPr="00E81048">
        <w:rPr>
          <w:b/>
          <w:sz w:val="24"/>
          <w:szCs w:val="24"/>
          <w:lang w:val="en-GB"/>
        </w:rPr>
        <w:t>4.4</w:t>
      </w:r>
      <w:r w:rsidRPr="00E81048">
        <w:rPr>
          <w:b/>
          <w:sz w:val="24"/>
          <w:szCs w:val="24"/>
          <w:lang w:val="en-GB"/>
        </w:rPr>
        <w:tab/>
        <w:t>Special warnings and precautions for use</w:t>
      </w:r>
    </w:p>
    <w:p w14:paraId="3ACB8477" w14:textId="77777777" w:rsidR="00D2716F" w:rsidRPr="00D2716F" w:rsidRDefault="00D2716F" w:rsidP="00F8042D">
      <w:pPr>
        <w:ind w:left="851"/>
        <w:rPr>
          <w:sz w:val="24"/>
          <w:szCs w:val="24"/>
          <w:lang w:val="en-GB"/>
        </w:rPr>
      </w:pPr>
      <w:r w:rsidRPr="00D2716F">
        <w:rPr>
          <w:sz w:val="24"/>
          <w:szCs w:val="24"/>
          <w:lang w:val="en-GB"/>
        </w:rPr>
        <w:t>Prolonged or frequent use is not recommended. Prolonged use, except under medical supervision, can harm health.</w:t>
      </w:r>
    </w:p>
    <w:p w14:paraId="2CA58EEA" w14:textId="77777777" w:rsidR="00D2716F" w:rsidRPr="00D2716F" w:rsidRDefault="00D2716F" w:rsidP="00F8042D">
      <w:pPr>
        <w:ind w:left="851"/>
        <w:rPr>
          <w:sz w:val="24"/>
          <w:szCs w:val="24"/>
          <w:lang w:val="en-GB"/>
        </w:rPr>
      </w:pPr>
      <w:r w:rsidRPr="00D2716F">
        <w:rPr>
          <w:sz w:val="24"/>
          <w:szCs w:val="24"/>
          <w:lang w:val="en-GB"/>
        </w:rPr>
        <w:t xml:space="preserve">In case of acute fever or signs of secondary infection, or if symptoms persist, a physician must be consulted. </w:t>
      </w:r>
    </w:p>
    <w:p w14:paraId="66687DFF" w14:textId="77777777" w:rsidR="00D2716F" w:rsidRPr="00D2716F" w:rsidRDefault="00D2716F" w:rsidP="00F8042D">
      <w:pPr>
        <w:ind w:left="851"/>
        <w:rPr>
          <w:sz w:val="24"/>
          <w:szCs w:val="24"/>
          <w:lang w:val="en-GB"/>
        </w:rPr>
      </w:pPr>
      <w:r w:rsidRPr="00D2716F">
        <w:rPr>
          <w:sz w:val="24"/>
          <w:szCs w:val="24"/>
          <w:lang w:val="en-GB"/>
        </w:rPr>
        <w:t>In case of long-term use, high doses, or incorrect use of analgesics in patients with chronic headaches, headaches may occur or worsen; they should not be treated with higher doses of this medicinal product. In such cases, analgesics use should be discontinued on medical advice.</w:t>
      </w:r>
    </w:p>
    <w:p w14:paraId="51B69B6B" w14:textId="77777777" w:rsidR="00D2716F" w:rsidRPr="00D2716F" w:rsidRDefault="00D2716F" w:rsidP="00F8042D">
      <w:pPr>
        <w:ind w:left="851"/>
        <w:rPr>
          <w:sz w:val="24"/>
          <w:szCs w:val="24"/>
          <w:lang w:val="en-GB"/>
        </w:rPr>
      </w:pPr>
    </w:p>
    <w:p w14:paraId="65753468" w14:textId="77777777" w:rsidR="00D2716F" w:rsidRPr="00D2716F" w:rsidRDefault="00D2716F" w:rsidP="00F8042D">
      <w:pPr>
        <w:ind w:left="851"/>
        <w:rPr>
          <w:sz w:val="24"/>
          <w:szCs w:val="24"/>
          <w:lang w:val="en-US"/>
        </w:rPr>
      </w:pPr>
      <w:r w:rsidRPr="00D2716F">
        <w:rPr>
          <w:sz w:val="24"/>
          <w:szCs w:val="24"/>
          <w:lang w:val="en-GB"/>
        </w:rPr>
        <w:t>To avoid the risk of overdose:</w:t>
      </w:r>
    </w:p>
    <w:p w14:paraId="5C686022" w14:textId="77777777" w:rsidR="00D2716F" w:rsidRPr="00D2716F" w:rsidRDefault="00D2716F" w:rsidP="00F8042D">
      <w:pPr>
        <w:numPr>
          <w:ilvl w:val="0"/>
          <w:numId w:val="5"/>
        </w:numPr>
        <w:tabs>
          <w:tab w:val="clear" w:pos="284"/>
        </w:tabs>
        <w:ind w:left="1276" w:hanging="425"/>
        <w:rPr>
          <w:sz w:val="24"/>
          <w:szCs w:val="24"/>
          <w:lang w:val="en-US"/>
        </w:rPr>
      </w:pPr>
      <w:bookmarkStart w:id="8" w:name="_Hlk157509868"/>
      <w:r w:rsidRPr="00D2716F">
        <w:rPr>
          <w:sz w:val="24"/>
          <w:szCs w:val="24"/>
          <w:lang w:val="en-GB"/>
        </w:rPr>
        <w:t>Do not combine different paracetamol containing medicinal products as the risk of overdose (see section 4.9) or serious adverse effects is increased (see section 4.5</w:t>
      </w:r>
      <w:proofErr w:type="gramStart"/>
      <w:r w:rsidRPr="00D2716F">
        <w:rPr>
          <w:sz w:val="24"/>
          <w:szCs w:val="24"/>
          <w:lang w:val="en-GB"/>
        </w:rPr>
        <w:t>);</w:t>
      </w:r>
      <w:proofErr w:type="gramEnd"/>
      <w:r w:rsidRPr="00D2716F">
        <w:rPr>
          <w:sz w:val="24"/>
          <w:szCs w:val="24"/>
          <w:lang w:val="en-GB"/>
        </w:rPr>
        <w:t xml:space="preserve"> </w:t>
      </w:r>
    </w:p>
    <w:bookmarkEnd w:id="8"/>
    <w:p w14:paraId="2B3CD6D6" w14:textId="77777777" w:rsidR="00D2716F" w:rsidRPr="00D2716F" w:rsidRDefault="00D2716F" w:rsidP="00F8042D">
      <w:pPr>
        <w:numPr>
          <w:ilvl w:val="0"/>
          <w:numId w:val="5"/>
        </w:numPr>
        <w:tabs>
          <w:tab w:val="clear" w:pos="284"/>
        </w:tabs>
        <w:ind w:left="1276" w:hanging="425"/>
        <w:rPr>
          <w:sz w:val="24"/>
          <w:szCs w:val="24"/>
          <w:lang w:val="en-US"/>
        </w:rPr>
      </w:pPr>
      <w:r w:rsidRPr="00D2716F">
        <w:rPr>
          <w:sz w:val="24"/>
          <w:szCs w:val="24"/>
          <w:lang w:val="en-GB"/>
        </w:rPr>
        <w:t>Observe the maximum recommended dose (see section 4.2).</w:t>
      </w:r>
    </w:p>
    <w:p w14:paraId="580AAB74" w14:textId="77777777" w:rsidR="00D2716F" w:rsidRPr="00D2716F" w:rsidRDefault="00D2716F" w:rsidP="00F8042D">
      <w:pPr>
        <w:ind w:left="851"/>
        <w:rPr>
          <w:sz w:val="24"/>
          <w:szCs w:val="24"/>
          <w:lang w:val="en-US"/>
        </w:rPr>
      </w:pPr>
    </w:p>
    <w:p w14:paraId="2C606792" w14:textId="77777777" w:rsidR="00D2716F" w:rsidRPr="00D2716F" w:rsidRDefault="00D2716F" w:rsidP="00F8042D">
      <w:pPr>
        <w:ind w:left="851"/>
        <w:rPr>
          <w:sz w:val="24"/>
          <w:szCs w:val="24"/>
          <w:lang w:val="en-GB"/>
        </w:rPr>
      </w:pPr>
      <w:r w:rsidRPr="00D2716F">
        <w:rPr>
          <w:sz w:val="24"/>
          <w:szCs w:val="24"/>
          <w:lang w:val="en-GB"/>
        </w:rPr>
        <w:t>In children treated with 60 mg/kg/day of paracetamol, the combination of another antipyretic medicinal product is only justified in case of inefficacy.</w:t>
      </w:r>
    </w:p>
    <w:p w14:paraId="09720B22" w14:textId="77777777" w:rsidR="00D2716F" w:rsidRPr="00D2716F" w:rsidRDefault="00D2716F" w:rsidP="00F8042D">
      <w:pPr>
        <w:ind w:left="851"/>
        <w:rPr>
          <w:sz w:val="24"/>
          <w:szCs w:val="24"/>
          <w:lang w:val="en-US"/>
        </w:rPr>
      </w:pPr>
    </w:p>
    <w:p w14:paraId="7721C894" w14:textId="77777777" w:rsidR="00D2716F" w:rsidRPr="00D2716F" w:rsidRDefault="00D2716F" w:rsidP="00F8042D">
      <w:pPr>
        <w:ind w:left="851"/>
        <w:rPr>
          <w:sz w:val="24"/>
          <w:szCs w:val="24"/>
          <w:lang w:val="en-US"/>
        </w:rPr>
      </w:pPr>
      <w:r w:rsidRPr="00D2716F">
        <w:rPr>
          <w:sz w:val="24"/>
          <w:szCs w:val="24"/>
          <w:lang w:val="en-US"/>
        </w:rPr>
        <w:t xml:space="preserve">Taking a dose equivalent to several times the daily dose all at once can seriously damage the liver; unconsciousness does not always occur. However, it’s necessary to call a doctor immediately due to the risk of irreversible liver damage (see section 4.9). </w:t>
      </w:r>
    </w:p>
    <w:p w14:paraId="6618BC91" w14:textId="77777777" w:rsidR="00D2716F" w:rsidRPr="00D2716F" w:rsidRDefault="00D2716F" w:rsidP="00F8042D">
      <w:pPr>
        <w:ind w:left="851"/>
        <w:rPr>
          <w:sz w:val="24"/>
          <w:szCs w:val="24"/>
          <w:lang w:val="en-US"/>
        </w:rPr>
      </w:pPr>
    </w:p>
    <w:p w14:paraId="5E06E89B" w14:textId="77777777" w:rsidR="00D2716F" w:rsidRPr="00D2716F" w:rsidRDefault="00D2716F" w:rsidP="00F8042D">
      <w:pPr>
        <w:ind w:left="851"/>
        <w:rPr>
          <w:sz w:val="24"/>
          <w:szCs w:val="24"/>
          <w:lang w:val="en-US"/>
        </w:rPr>
      </w:pPr>
      <w:r w:rsidRPr="00D2716F">
        <w:rPr>
          <w:sz w:val="24"/>
          <w:szCs w:val="24"/>
          <w:lang w:val="en-US"/>
        </w:rPr>
        <w:t xml:space="preserve">The following risk factors should be considered with caution as they may lower the threshold for liver toxicity. In these cases, the dose should be </w:t>
      </w:r>
      <w:proofErr w:type="gramStart"/>
      <w:r w:rsidRPr="00D2716F">
        <w:rPr>
          <w:sz w:val="24"/>
          <w:szCs w:val="24"/>
          <w:lang w:val="en-US"/>
        </w:rPr>
        <w:t>adjusted</w:t>
      </w:r>
      <w:proofErr w:type="gramEnd"/>
      <w:r w:rsidRPr="00D2716F">
        <w:rPr>
          <w:sz w:val="24"/>
          <w:szCs w:val="24"/>
          <w:lang w:val="en-US"/>
        </w:rPr>
        <w:t xml:space="preserve"> and the maximum daily dose should definitely not be exceeded for these patients (see section 4.2): </w:t>
      </w:r>
    </w:p>
    <w:p w14:paraId="4A166BA8" w14:textId="77777777" w:rsidR="00D2716F" w:rsidRPr="00D2716F" w:rsidRDefault="00D2716F" w:rsidP="00F8042D">
      <w:pPr>
        <w:numPr>
          <w:ilvl w:val="0"/>
          <w:numId w:val="7"/>
        </w:numPr>
        <w:tabs>
          <w:tab w:val="clear" w:pos="360"/>
        </w:tabs>
        <w:ind w:left="1276" w:hanging="425"/>
        <w:rPr>
          <w:sz w:val="24"/>
          <w:szCs w:val="24"/>
          <w:lang w:val="en-US"/>
        </w:rPr>
      </w:pPr>
      <w:r w:rsidRPr="00D2716F">
        <w:rPr>
          <w:sz w:val="24"/>
          <w:szCs w:val="24"/>
          <w:lang w:val="en-US"/>
        </w:rPr>
        <w:t>liver insufficiency (including Gilbert’s syndrome),</w:t>
      </w:r>
    </w:p>
    <w:p w14:paraId="592CF4B4" w14:textId="77777777" w:rsidR="00D2716F" w:rsidRPr="00D2716F" w:rsidRDefault="00D2716F" w:rsidP="00F8042D">
      <w:pPr>
        <w:numPr>
          <w:ilvl w:val="0"/>
          <w:numId w:val="7"/>
        </w:numPr>
        <w:tabs>
          <w:tab w:val="clear" w:pos="360"/>
        </w:tabs>
        <w:ind w:left="1276" w:hanging="425"/>
        <w:rPr>
          <w:sz w:val="24"/>
          <w:szCs w:val="24"/>
          <w:lang w:val="en-US"/>
        </w:rPr>
      </w:pPr>
      <w:r w:rsidRPr="00D2716F">
        <w:rPr>
          <w:sz w:val="24"/>
          <w:szCs w:val="24"/>
          <w:lang w:val="en-US"/>
        </w:rPr>
        <w:t>acute hepatitis,</w:t>
      </w:r>
    </w:p>
    <w:p w14:paraId="2CB49414" w14:textId="77777777" w:rsidR="00D2716F" w:rsidRPr="00D2716F" w:rsidRDefault="00D2716F" w:rsidP="00F8042D">
      <w:pPr>
        <w:numPr>
          <w:ilvl w:val="0"/>
          <w:numId w:val="7"/>
        </w:numPr>
        <w:tabs>
          <w:tab w:val="clear" w:pos="360"/>
        </w:tabs>
        <w:ind w:left="1276" w:hanging="425"/>
        <w:rPr>
          <w:sz w:val="24"/>
          <w:szCs w:val="24"/>
          <w:lang w:val="en-US"/>
        </w:rPr>
      </w:pPr>
      <w:proofErr w:type="gramStart"/>
      <w:r w:rsidRPr="00D2716F">
        <w:rPr>
          <w:sz w:val="24"/>
          <w:szCs w:val="24"/>
          <w:lang w:val="en-US"/>
        </w:rPr>
        <w:t>renal</w:t>
      </w:r>
      <w:proofErr w:type="gramEnd"/>
      <w:r w:rsidRPr="00D2716F">
        <w:rPr>
          <w:sz w:val="24"/>
          <w:szCs w:val="24"/>
          <w:lang w:val="en-US"/>
        </w:rPr>
        <w:t xml:space="preserve"> insufficiency, </w:t>
      </w:r>
    </w:p>
    <w:p w14:paraId="26A19251" w14:textId="77777777" w:rsidR="00D2716F" w:rsidRPr="00D2716F" w:rsidRDefault="00D2716F" w:rsidP="00F8042D">
      <w:pPr>
        <w:numPr>
          <w:ilvl w:val="0"/>
          <w:numId w:val="7"/>
        </w:numPr>
        <w:tabs>
          <w:tab w:val="clear" w:pos="360"/>
        </w:tabs>
        <w:ind w:left="1276" w:hanging="425"/>
        <w:rPr>
          <w:sz w:val="24"/>
          <w:szCs w:val="24"/>
          <w:lang w:val="en-US"/>
        </w:rPr>
      </w:pPr>
      <w:r w:rsidRPr="00D2716F">
        <w:rPr>
          <w:sz w:val="24"/>
          <w:szCs w:val="24"/>
          <w:lang w:val="en-US"/>
        </w:rPr>
        <w:t>chronic alcoholism,</w:t>
      </w:r>
    </w:p>
    <w:p w14:paraId="1F76F91B" w14:textId="77777777" w:rsidR="00D2716F" w:rsidRPr="00D2716F" w:rsidRDefault="00D2716F" w:rsidP="00F8042D">
      <w:pPr>
        <w:numPr>
          <w:ilvl w:val="0"/>
          <w:numId w:val="7"/>
        </w:numPr>
        <w:tabs>
          <w:tab w:val="clear" w:pos="360"/>
        </w:tabs>
        <w:ind w:left="1276" w:hanging="425"/>
        <w:rPr>
          <w:sz w:val="24"/>
          <w:szCs w:val="24"/>
          <w:lang w:val="en-US"/>
        </w:rPr>
      </w:pPr>
      <w:r w:rsidRPr="00D2716F">
        <w:rPr>
          <w:sz w:val="24"/>
          <w:szCs w:val="24"/>
          <w:lang w:val="en-US"/>
        </w:rPr>
        <w:t xml:space="preserve">adults weighing less than 50 kg, </w:t>
      </w:r>
    </w:p>
    <w:p w14:paraId="323F45D2" w14:textId="77777777" w:rsidR="00D2716F" w:rsidRPr="00D2716F" w:rsidRDefault="00D2716F" w:rsidP="00F8042D">
      <w:pPr>
        <w:numPr>
          <w:ilvl w:val="0"/>
          <w:numId w:val="7"/>
        </w:numPr>
        <w:tabs>
          <w:tab w:val="clear" w:pos="360"/>
        </w:tabs>
        <w:ind w:left="1276" w:hanging="425"/>
        <w:rPr>
          <w:sz w:val="24"/>
          <w:szCs w:val="24"/>
          <w:lang w:val="en-US"/>
        </w:rPr>
      </w:pPr>
      <w:r w:rsidRPr="00D2716F">
        <w:rPr>
          <w:sz w:val="24"/>
          <w:szCs w:val="24"/>
          <w:lang w:val="en-GB"/>
        </w:rPr>
        <w:t>glucose-6-phosphate dehydrogenase deficiency,</w:t>
      </w:r>
    </w:p>
    <w:p w14:paraId="406647EE" w14:textId="77777777" w:rsidR="00D2716F" w:rsidRPr="00D2716F" w:rsidRDefault="00D2716F" w:rsidP="00F8042D">
      <w:pPr>
        <w:numPr>
          <w:ilvl w:val="0"/>
          <w:numId w:val="7"/>
        </w:numPr>
        <w:tabs>
          <w:tab w:val="clear" w:pos="360"/>
        </w:tabs>
        <w:ind w:left="1276" w:hanging="425"/>
        <w:rPr>
          <w:sz w:val="24"/>
          <w:szCs w:val="24"/>
          <w:lang w:val="en-US"/>
        </w:rPr>
      </w:pPr>
      <w:r w:rsidRPr="00D2716F">
        <w:rPr>
          <w:sz w:val="24"/>
          <w:szCs w:val="24"/>
          <w:lang w:val="en-GB"/>
        </w:rPr>
        <w:t>haemolytic anaemia,</w:t>
      </w:r>
    </w:p>
    <w:p w14:paraId="2EE2499B" w14:textId="77777777" w:rsidR="00D2716F" w:rsidRPr="00D2716F" w:rsidRDefault="00D2716F" w:rsidP="00F8042D">
      <w:pPr>
        <w:numPr>
          <w:ilvl w:val="0"/>
          <w:numId w:val="7"/>
        </w:numPr>
        <w:tabs>
          <w:tab w:val="clear" w:pos="360"/>
          <w:tab w:val="num" w:pos="284"/>
        </w:tabs>
        <w:ind w:left="1276" w:hanging="425"/>
        <w:rPr>
          <w:sz w:val="24"/>
          <w:szCs w:val="24"/>
          <w:lang w:val="en-GB"/>
        </w:rPr>
      </w:pPr>
      <w:r w:rsidRPr="00D2716F">
        <w:rPr>
          <w:sz w:val="24"/>
          <w:szCs w:val="24"/>
          <w:lang w:val="en-GB"/>
        </w:rPr>
        <w:t xml:space="preserve">concomitant treatment with drugs affecting hepatic function, </w:t>
      </w:r>
    </w:p>
    <w:p w14:paraId="3A2E9879" w14:textId="77777777" w:rsidR="00D2716F" w:rsidRPr="00D2716F" w:rsidRDefault="00D2716F" w:rsidP="00F8042D">
      <w:pPr>
        <w:numPr>
          <w:ilvl w:val="0"/>
          <w:numId w:val="7"/>
        </w:numPr>
        <w:tabs>
          <w:tab w:val="clear" w:pos="360"/>
          <w:tab w:val="num" w:pos="284"/>
        </w:tabs>
        <w:ind w:left="1276" w:hanging="425"/>
        <w:rPr>
          <w:sz w:val="24"/>
          <w:szCs w:val="24"/>
          <w:lang w:val="en-GB"/>
        </w:rPr>
      </w:pPr>
      <w:r w:rsidRPr="00D2716F">
        <w:rPr>
          <w:sz w:val="24"/>
          <w:szCs w:val="24"/>
          <w:lang w:val="en-GB"/>
        </w:rPr>
        <w:t>dehydration,</w:t>
      </w:r>
    </w:p>
    <w:p w14:paraId="289C39A4" w14:textId="77777777" w:rsidR="00D2716F" w:rsidRPr="00D2716F" w:rsidRDefault="00D2716F" w:rsidP="00F8042D">
      <w:pPr>
        <w:numPr>
          <w:ilvl w:val="0"/>
          <w:numId w:val="7"/>
        </w:numPr>
        <w:tabs>
          <w:tab w:val="clear" w:pos="360"/>
          <w:tab w:val="num" w:pos="284"/>
        </w:tabs>
        <w:ind w:left="1276" w:hanging="425"/>
        <w:rPr>
          <w:sz w:val="24"/>
          <w:szCs w:val="24"/>
          <w:lang w:val="en-GB"/>
        </w:rPr>
      </w:pPr>
      <w:r w:rsidRPr="00D2716F">
        <w:rPr>
          <w:sz w:val="24"/>
          <w:szCs w:val="24"/>
          <w:lang w:val="en-GB"/>
        </w:rPr>
        <w:t>chronic malnutrition, fasting (low hepatic glutathione reserves).</w:t>
      </w:r>
    </w:p>
    <w:p w14:paraId="0C5C20B3" w14:textId="77777777" w:rsidR="00D2716F" w:rsidRPr="00D2716F" w:rsidRDefault="00D2716F" w:rsidP="00F8042D">
      <w:pPr>
        <w:ind w:left="851"/>
        <w:rPr>
          <w:sz w:val="24"/>
          <w:szCs w:val="24"/>
          <w:lang w:val="en-GB"/>
        </w:rPr>
      </w:pPr>
    </w:p>
    <w:p w14:paraId="455F1784" w14:textId="77777777" w:rsidR="00D2716F" w:rsidRPr="00D2716F" w:rsidRDefault="00D2716F" w:rsidP="00F8042D">
      <w:pPr>
        <w:ind w:left="851"/>
        <w:rPr>
          <w:sz w:val="24"/>
          <w:szCs w:val="24"/>
          <w:lang w:val="en-US"/>
        </w:rPr>
      </w:pPr>
      <w:r w:rsidRPr="00D2716F">
        <w:rPr>
          <w:sz w:val="24"/>
          <w:szCs w:val="24"/>
          <w:lang w:val="en-US"/>
        </w:rPr>
        <w:t>Dose reduction is recommended in patients showing signs of worsening hepatic function. Treatment should be stopped in those patients who develop severe liver failure (see section 4.3).</w:t>
      </w:r>
    </w:p>
    <w:p w14:paraId="6C160E66" w14:textId="77777777" w:rsidR="00D2716F" w:rsidRPr="00D2716F" w:rsidRDefault="00D2716F" w:rsidP="00F8042D">
      <w:pPr>
        <w:ind w:left="851"/>
        <w:rPr>
          <w:sz w:val="24"/>
          <w:szCs w:val="24"/>
          <w:lang w:val="en-US"/>
        </w:rPr>
      </w:pPr>
    </w:p>
    <w:p w14:paraId="25334B07" w14:textId="77777777" w:rsidR="00D2716F" w:rsidRPr="00D2716F" w:rsidRDefault="00D2716F" w:rsidP="00F8042D">
      <w:pPr>
        <w:ind w:left="851"/>
        <w:rPr>
          <w:sz w:val="24"/>
          <w:szCs w:val="24"/>
          <w:lang w:val="en-US"/>
        </w:rPr>
      </w:pPr>
      <w:r w:rsidRPr="00D2716F">
        <w:rPr>
          <w:sz w:val="24"/>
          <w:szCs w:val="24"/>
          <w:lang w:val="en-GB"/>
        </w:rPr>
        <w:t xml:space="preserve">Cases of high anion gap metabolic acidosis (HAGMA) due to pyroglutamic acidosis have been reported </w:t>
      </w:r>
      <w:r w:rsidRPr="00D2716F">
        <w:rPr>
          <w:sz w:val="24"/>
          <w:szCs w:val="24"/>
          <w:lang w:val="en-US"/>
        </w:rPr>
        <w:t xml:space="preserve">in patients </w:t>
      </w:r>
      <w:r w:rsidRPr="00D2716F">
        <w:rPr>
          <w:sz w:val="24"/>
          <w:szCs w:val="24"/>
          <w:lang w:val="en-GB"/>
        </w:rPr>
        <w:t xml:space="preserve">with severe illness such as </w:t>
      </w:r>
      <w:r w:rsidRPr="00D2716F">
        <w:rPr>
          <w:sz w:val="24"/>
          <w:szCs w:val="24"/>
          <w:lang w:val="en-US"/>
        </w:rPr>
        <w:t xml:space="preserve">severe renal impairment and sepsis, or in </w:t>
      </w:r>
      <w:proofErr w:type="gramStart"/>
      <w:r w:rsidRPr="00D2716F">
        <w:rPr>
          <w:sz w:val="24"/>
          <w:szCs w:val="24"/>
          <w:lang w:val="en-US"/>
        </w:rPr>
        <w:t>patients</w:t>
      </w:r>
      <w:proofErr w:type="gramEnd"/>
      <w:r w:rsidRPr="00D2716F">
        <w:rPr>
          <w:sz w:val="24"/>
          <w:szCs w:val="24"/>
          <w:lang w:val="en-US"/>
        </w:rPr>
        <w:t xml:space="preserve"> malnutrition and other sources of glutathione deficiency (e.g. chronic alcoholism) </w:t>
      </w:r>
      <w:r w:rsidRPr="00D2716F">
        <w:rPr>
          <w:sz w:val="24"/>
          <w:szCs w:val="24"/>
          <w:lang w:val="en-GB"/>
        </w:rPr>
        <w:t>who were treated with paracetamol at therapeutic dose for a prolonged period or a combination of paracetamol and flucloxacillin.</w:t>
      </w:r>
      <w:r w:rsidRPr="00D2716F">
        <w:rPr>
          <w:sz w:val="24"/>
          <w:szCs w:val="24"/>
          <w:lang w:val="en-US"/>
        </w:rPr>
        <w:t xml:space="preserve"> </w:t>
      </w:r>
      <w:r w:rsidRPr="00D2716F">
        <w:rPr>
          <w:sz w:val="24"/>
          <w:szCs w:val="24"/>
          <w:lang w:val="en-GB"/>
        </w:rPr>
        <w:t>If HAGMA due to pyroglutamic acidosis is suspected, prompt discontinuation of paracetamol and</w:t>
      </w:r>
      <w:r w:rsidRPr="00D2716F">
        <w:rPr>
          <w:sz w:val="24"/>
          <w:szCs w:val="24"/>
          <w:lang w:val="en-US"/>
        </w:rPr>
        <w:t xml:space="preserve"> close monitoring is recommended. </w:t>
      </w:r>
      <w:r w:rsidRPr="00D2716F">
        <w:rPr>
          <w:sz w:val="24"/>
          <w:szCs w:val="24"/>
          <w:lang w:val="en-GB"/>
        </w:rPr>
        <w:t>The measurement of urinary 5-oxoproline may be useful to identify pyroglutamic acidosis as underlying cause of HAGMA in patients with multiple risk factors.</w:t>
      </w:r>
    </w:p>
    <w:p w14:paraId="3BD21BA4" w14:textId="77777777" w:rsidR="00D2716F" w:rsidRPr="00D2716F" w:rsidRDefault="00D2716F" w:rsidP="00F8042D">
      <w:pPr>
        <w:ind w:left="851"/>
        <w:rPr>
          <w:sz w:val="24"/>
          <w:szCs w:val="24"/>
          <w:lang w:val="en-US"/>
        </w:rPr>
      </w:pPr>
    </w:p>
    <w:p w14:paraId="067B4317" w14:textId="77777777" w:rsidR="00D2716F" w:rsidRPr="00D2716F" w:rsidRDefault="00D2716F" w:rsidP="00F8042D">
      <w:pPr>
        <w:ind w:left="851"/>
        <w:rPr>
          <w:sz w:val="24"/>
          <w:szCs w:val="24"/>
          <w:u w:val="single"/>
          <w:lang w:val="en-GB"/>
        </w:rPr>
      </w:pPr>
      <w:bookmarkStart w:id="9" w:name="_Hlk182911862"/>
      <w:r w:rsidRPr="00D2716F">
        <w:rPr>
          <w:sz w:val="24"/>
          <w:szCs w:val="24"/>
          <w:u w:val="single"/>
          <w:lang w:val="en-GB"/>
        </w:rPr>
        <w:t>Sodium and azorubine-</w:t>
      </w:r>
      <w:proofErr w:type="spellStart"/>
      <w:r w:rsidRPr="00D2716F">
        <w:rPr>
          <w:sz w:val="24"/>
          <w:szCs w:val="24"/>
          <w:u w:val="single"/>
          <w:lang w:val="en-GB"/>
        </w:rPr>
        <w:t>carmoisine</w:t>
      </w:r>
      <w:proofErr w:type="spellEnd"/>
      <w:r w:rsidRPr="00D2716F">
        <w:rPr>
          <w:sz w:val="24"/>
          <w:szCs w:val="24"/>
          <w:u w:val="single"/>
          <w:lang w:val="en-GB"/>
        </w:rPr>
        <w:t xml:space="preserve"> (E122)</w:t>
      </w:r>
    </w:p>
    <w:p w14:paraId="41C97B08" w14:textId="77777777" w:rsidR="00D2716F" w:rsidRPr="00D2716F" w:rsidRDefault="00D2716F" w:rsidP="00F8042D">
      <w:pPr>
        <w:ind w:left="851"/>
        <w:rPr>
          <w:sz w:val="24"/>
          <w:szCs w:val="24"/>
          <w:lang w:val="en-GB"/>
        </w:rPr>
      </w:pPr>
      <w:r w:rsidRPr="00D2716F">
        <w:rPr>
          <w:sz w:val="24"/>
          <w:szCs w:val="24"/>
          <w:lang w:val="en-GB"/>
        </w:rPr>
        <w:t xml:space="preserve">This medicine contains less than 1 mmol sodium (23 mg) per tablet, </w:t>
      </w:r>
      <w:proofErr w:type="gramStart"/>
      <w:r w:rsidRPr="00D2716F">
        <w:rPr>
          <w:sz w:val="24"/>
          <w:szCs w:val="24"/>
          <w:lang w:val="en-GB"/>
        </w:rPr>
        <w:t>that is to say essentially</w:t>
      </w:r>
      <w:proofErr w:type="gramEnd"/>
      <w:r w:rsidRPr="00D2716F">
        <w:rPr>
          <w:sz w:val="24"/>
          <w:szCs w:val="24"/>
          <w:lang w:val="en-GB"/>
        </w:rPr>
        <w:t xml:space="preserve"> ‘sodium-free’</w:t>
      </w:r>
      <w:bookmarkEnd w:id="9"/>
      <w:r w:rsidRPr="00D2716F">
        <w:rPr>
          <w:sz w:val="24"/>
          <w:szCs w:val="24"/>
          <w:lang w:val="en-GB"/>
        </w:rPr>
        <w:t>.</w:t>
      </w:r>
    </w:p>
    <w:p w14:paraId="6981CC27" w14:textId="77777777" w:rsidR="00D2716F" w:rsidRPr="00D2716F" w:rsidRDefault="00D2716F" w:rsidP="00F8042D">
      <w:pPr>
        <w:ind w:left="851"/>
        <w:rPr>
          <w:sz w:val="24"/>
          <w:szCs w:val="24"/>
          <w:lang w:val="en-GB"/>
        </w:rPr>
      </w:pPr>
      <w:r w:rsidRPr="00D2716F">
        <w:rPr>
          <w:sz w:val="24"/>
          <w:szCs w:val="24"/>
          <w:lang w:val="en-GB"/>
        </w:rPr>
        <w:t>This medicine contains azorubine-</w:t>
      </w:r>
      <w:proofErr w:type="spellStart"/>
      <w:r w:rsidRPr="00D2716F">
        <w:rPr>
          <w:sz w:val="24"/>
          <w:szCs w:val="24"/>
          <w:lang w:val="en-GB"/>
        </w:rPr>
        <w:t>carmoisine</w:t>
      </w:r>
      <w:proofErr w:type="spellEnd"/>
      <w:r w:rsidRPr="00D2716F">
        <w:rPr>
          <w:sz w:val="24"/>
          <w:szCs w:val="24"/>
          <w:lang w:val="en-GB"/>
        </w:rPr>
        <w:t xml:space="preserve"> (E122) which may cause allergic reactions.</w:t>
      </w:r>
    </w:p>
    <w:p w14:paraId="21DA7EB5" w14:textId="77777777" w:rsidR="007C5D2A" w:rsidRPr="00E81048" w:rsidRDefault="007C5D2A" w:rsidP="003E0341">
      <w:pPr>
        <w:tabs>
          <w:tab w:val="left" w:pos="851"/>
        </w:tabs>
        <w:ind w:left="851"/>
        <w:rPr>
          <w:sz w:val="24"/>
          <w:szCs w:val="24"/>
          <w:lang w:val="en-GB"/>
        </w:rPr>
      </w:pPr>
    </w:p>
    <w:p w14:paraId="563B993B" w14:textId="77777777" w:rsidR="007C5D2A" w:rsidRPr="00E81048" w:rsidRDefault="007C5D2A" w:rsidP="007C5D2A">
      <w:pPr>
        <w:ind w:left="851" w:hanging="851"/>
        <w:rPr>
          <w:b/>
          <w:sz w:val="24"/>
          <w:szCs w:val="24"/>
          <w:lang w:val="en-GB"/>
        </w:rPr>
      </w:pPr>
      <w:r w:rsidRPr="00E81048">
        <w:rPr>
          <w:b/>
          <w:sz w:val="24"/>
          <w:szCs w:val="24"/>
          <w:lang w:val="en-GB"/>
        </w:rPr>
        <w:t>4.5</w:t>
      </w:r>
      <w:r w:rsidRPr="00E81048">
        <w:rPr>
          <w:b/>
          <w:sz w:val="24"/>
          <w:szCs w:val="24"/>
          <w:lang w:val="en-GB"/>
        </w:rPr>
        <w:tab/>
        <w:t>Interaction with other medicinal products and other forms of interaction</w:t>
      </w:r>
    </w:p>
    <w:p w14:paraId="2518302E" w14:textId="77777777" w:rsidR="00D2716F" w:rsidRPr="00D2716F" w:rsidRDefault="00D2716F" w:rsidP="00F8042D">
      <w:pPr>
        <w:ind w:left="851"/>
        <w:rPr>
          <w:sz w:val="24"/>
          <w:szCs w:val="24"/>
          <w:lang w:val="en-GB"/>
        </w:rPr>
      </w:pPr>
      <w:r w:rsidRPr="00D2716F">
        <w:rPr>
          <w:sz w:val="24"/>
          <w:szCs w:val="24"/>
          <w:lang w:val="en-GB"/>
        </w:rPr>
        <w:t xml:space="preserve">Paracetamol is completely metabolised in the liver. Certain metabolites of paracetamol are hepatotoxic and concomitant administration with potent enzyme inducers (rifampicin, certain anticonvulsants, etc.) may therefore lead to hepatotoxic reactions, especially when high doses of paracetamol are used. </w:t>
      </w:r>
    </w:p>
    <w:p w14:paraId="2BFD232A" w14:textId="77777777" w:rsidR="00D2716F" w:rsidRPr="00D2716F" w:rsidRDefault="00D2716F" w:rsidP="00F8042D">
      <w:pPr>
        <w:ind w:left="851"/>
        <w:rPr>
          <w:sz w:val="24"/>
          <w:szCs w:val="24"/>
          <w:lang w:val="en-GB"/>
        </w:rPr>
      </w:pPr>
    </w:p>
    <w:p w14:paraId="293ABC8E" w14:textId="29C23314" w:rsidR="00D2716F" w:rsidRPr="00D2716F" w:rsidRDefault="00D2716F" w:rsidP="00F8042D">
      <w:pPr>
        <w:numPr>
          <w:ilvl w:val="0"/>
          <w:numId w:val="8"/>
        </w:numPr>
        <w:tabs>
          <w:tab w:val="clear" w:pos="360"/>
        </w:tabs>
        <w:ind w:left="1276" w:hanging="425"/>
        <w:rPr>
          <w:sz w:val="24"/>
          <w:szCs w:val="24"/>
          <w:lang w:val="en-GB"/>
        </w:rPr>
      </w:pPr>
      <w:r w:rsidRPr="00D2716F">
        <w:rPr>
          <w:sz w:val="24"/>
          <w:szCs w:val="24"/>
          <w:u w:val="single"/>
          <w:lang w:val="en-GB"/>
        </w:rPr>
        <w:t>Cholestyramine</w:t>
      </w:r>
      <w:r w:rsidRPr="00D2716F">
        <w:rPr>
          <w:sz w:val="24"/>
          <w:szCs w:val="24"/>
          <w:lang w:val="en-GB"/>
        </w:rPr>
        <w:t xml:space="preserve">: </w:t>
      </w:r>
      <w:r w:rsidR="00C9441A">
        <w:rPr>
          <w:sz w:val="24"/>
          <w:szCs w:val="24"/>
          <w:lang w:val="en-GB"/>
        </w:rPr>
        <w:t>C</w:t>
      </w:r>
      <w:r w:rsidRPr="00D2716F">
        <w:rPr>
          <w:sz w:val="24"/>
          <w:szCs w:val="24"/>
          <w:lang w:val="en-GB"/>
        </w:rPr>
        <w:t>holestyramine may reduce the absorption of paracetamol. When concomitant administration of paracetamol and cholestyramine is necessary, paracetamol must be taken at least 1 hour before or 4 hours after administration of cholestyramine.</w:t>
      </w:r>
    </w:p>
    <w:p w14:paraId="4D605333" w14:textId="7BFC6D96" w:rsidR="00D2716F" w:rsidRPr="00D2716F" w:rsidRDefault="00D2716F" w:rsidP="00F8042D">
      <w:pPr>
        <w:numPr>
          <w:ilvl w:val="0"/>
          <w:numId w:val="9"/>
        </w:numPr>
        <w:tabs>
          <w:tab w:val="clear" w:pos="360"/>
        </w:tabs>
        <w:ind w:left="1276" w:hanging="425"/>
        <w:rPr>
          <w:sz w:val="24"/>
          <w:szCs w:val="24"/>
          <w:lang w:val="en-GB"/>
        </w:rPr>
      </w:pPr>
      <w:r w:rsidRPr="00D2716F">
        <w:rPr>
          <w:sz w:val="24"/>
          <w:szCs w:val="24"/>
          <w:u w:val="single"/>
          <w:lang w:val="en-GB"/>
        </w:rPr>
        <w:t>Enzyme inducers and alcohol:</w:t>
      </w:r>
      <w:r w:rsidRPr="00D2716F">
        <w:rPr>
          <w:sz w:val="24"/>
          <w:szCs w:val="24"/>
          <w:lang w:val="en-GB"/>
        </w:rPr>
        <w:t xml:space="preserve"> </w:t>
      </w:r>
      <w:r w:rsidR="00C9441A">
        <w:rPr>
          <w:sz w:val="24"/>
          <w:szCs w:val="24"/>
          <w:lang w:val="en-GB"/>
        </w:rPr>
        <w:t>T</w:t>
      </w:r>
      <w:r w:rsidRPr="00D2716F">
        <w:rPr>
          <w:sz w:val="24"/>
          <w:szCs w:val="24"/>
          <w:lang w:val="en-GB"/>
        </w:rPr>
        <w:t>he risk of hepatotoxicity may be increased with the use of enzyme inducers such as barbiturates, carbamazepine, phenytoin, primidone, rifampicin and alcohol. The maximum daily dose must not be exceeded in these patients under any circumstances (see sections 4.2, 4.4 and 4.9).</w:t>
      </w:r>
    </w:p>
    <w:p w14:paraId="0364AD8A" w14:textId="30A97A6E" w:rsidR="00D2716F" w:rsidRPr="00D2716F" w:rsidRDefault="00D2716F" w:rsidP="00F8042D">
      <w:pPr>
        <w:numPr>
          <w:ilvl w:val="0"/>
          <w:numId w:val="9"/>
        </w:numPr>
        <w:tabs>
          <w:tab w:val="clear" w:pos="360"/>
        </w:tabs>
        <w:ind w:left="1276" w:hanging="425"/>
        <w:rPr>
          <w:sz w:val="24"/>
          <w:szCs w:val="24"/>
          <w:lang w:val="en-GB"/>
        </w:rPr>
      </w:pPr>
      <w:r w:rsidRPr="00D2716F">
        <w:rPr>
          <w:sz w:val="24"/>
          <w:szCs w:val="24"/>
          <w:u w:val="single"/>
          <w:lang w:val="en-GB"/>
        </w:rPr>
        <w:t>Probenecid</w:t>
      </w:r>
      <w:r w:rsidRPr="00D2716F">
        <w:rPr>
          <w:sz w:val="24"/>
          <w:szCs w:val="24"/>
          <w:lang w:val="en-GB"/>
        </w:rPr>
        <w:t xml:space="preserve">: </w:t>
      </w:r>
      <w:r w:rsidR="00C9441A">
        <w:rPr>
          <w:sz w:val="24"/>
          <w:szCs w:val="24"/>
          <w:lang w:val="en-GB"/>
        </w:rPr>
        <w:t>P</w:t>
      </w:r>
      <w:r w:rsidRPr="00D2716F">
        <w:rPr>
          <w:sz w:val="24"/>
          <w:szCs w:val="24"/>
          <w:lang w:val="en-GB"/>
        </w:rPr>
        <w:t>robenecid can reduce paracetamol clearance by almost half, by inhibiting conjugation with glucuronic acid. A reduction in the dose of paracetamol must be considered in case of concomitant treatment with probenecid.</w:t>
      </w:r>
    </w:p>
    <w:p w14:paraId="48622AB9" w14:textId="77777777" w:rsidR="00D2716F" w:rsidRPr="00D2716F" w:rsidRDefault="00D2716F" w:rsidP="00F8042D">
      <w:pPr>
        <w:numPr>
          <w:ilvl w:val="0"/>
          <w:numId w:val="9"/>
        </w:numPr>
        <w:tabs>
          <w:tab w:val="clear" w:pos="360"/>
        </w:tabs>
        <w:ind w:left="1276" w:hanging="425"/>
        <w:rPr>
          <w:sz w:val="24"/>
          <w:szCs w:val="24"/>
          <w:lang w:val="en-GB"/>
        </w:rPr>
      </w:pPr>
      <w:r w:rsidRPr="00D2716F">
        <w:rPr>
          <w:iCs/>
          <w:sz w:val="24"/>
          <w:szCs w:val="24"/>
          <w:u w:val="single"/>
          <w:lang w:val="en-GB"/>
        </w:rPr>
        <w:t>Isoniazid</w:t>
      </w:r>
      <w:r w:rsidRPr="00D2716F">
        <w:rPr>
          <w:sz w:val="24"/>
          <w:szCs w:val="24"/>
          <w:lang w:val="en-GB"/>
        </w:rPr>
        <w:t>:</w:t>
      </w:r>
      <w:r w:rsidRPr="00D2716F">
        <w:rPr>
          <w:i/>
          <w:iCs/>
          <w:sz w:val="24"/>
          <w:szCs w:val="24"/>
          <w:lang w:val="en-GB"/>
        </w:rPr>
        <w:t xml:space="preserve"> </w:t>
      </w:r>
      <w:r w:rsidRPr="00D2716F">
        <w:rPr>
          <w:sz w:val="24"/>
          <w:szCs w:val="24"/>
          <w:lang w:val="en-GB"/>
        </w:rPr>
        <w:t>Isoniazid decreases the clearance of paracetamol, which may increase the paracetamol plasma concentration by inhibiting metabolism in the liver. However, in some individuals, induction of the metabolism of paracetamol resulting in the formation of toxic metabolites has been observed. This risk seems to be the greatest shortly after stopping isoniazid or in fast acetylators of isoniazid if paracetamol is taken late in the isoniazid dosing interval.</w:t>
      </w:r>
    </w:p>
    <w:p w14:paraId="790DDFC2" w14:textId="4386A8C6" w:rsidR="00D2716F" w:rsidRPr="00D2716F" w:rsidRDefault="00D2716F" w:rsidP="00F8042D">
      <w:pPr>
        <w:numPr>
          <w:ilvl w:val="0"/>
          <w:numId w:val="9"/>
        </w:numPr>
        <w:tabs>
          <w:tab w:val="clear" w:pos="360"/>
        </w:tabs>
        <w:ind w:left="1276" w:hanging="425"/>
        <w:rPr>
          <w:sz w:val="24"/>
          <w:szCs w:val="24"/>
          <w:lang w:val="en-GB"/>
        </w:rPr>
      </w:pPr>
      <w:r w:rsidRPr="00D2716F">
        <w:rPr>
          <w:sz w:val="24"/>
          <w:szCs w:val="24"/>
          <w:u w:val="single"/>
          <w:lang w:val="en-GB"/>
        </w:rPr>
        <w:t>Zidovudine</w:t>
      </w:r>
      <w:r w:rsidRPr="00D2716F">
        <w:rPr>
          <w:sz w:val="24"/>
          <w:szCs w:val="24"/>
          <w:lang w:val="en-GB"/>
        </w:rPr>
        <w:t xml:space="preserve">: </w:t>
      </w:r>
      <w:r w:rsidR="00C9441A">
        <w:rPr>
          <w:sz w:val="24"/>
          <w:szCs w:val="24"/>
          <w:lang w:val="en-GB"/>
        </w:rPr>
        <w:t>C</w:t>
      </w:r>
      <w:r w:rsidRPr="00D2716F">
        <w:rPr>
          <w:sz w:val="24"/>
          <w:szCs w:val="24"/>
          <w:lang w:val="en-GB"/>
        </w:rPr>
        <w:t>oncomitant administration of paracetamol and zidovudine may lead to neutropenia and hepatotoxicity. Chronic/frequent use of paracetamol in patients treated with zidovudine must be avoided. If chronic use of paracetamol and zidovudine is necessary, white blood cell counts and liver function must be monitored, particularly in malnourished patients.</w:t>
      </w:r>
      <w:r w:rsidRPr="00D2716F">
        <w:rPr>
          <w:sz w:val="24"/>
          <w:szCs w:val="24"/>
          <w:vertAlign w:val="superscript"/>
          <w:lang w:val="en-GB"/>
        </w:rPr>
        <w:t xml:space="preserve"> </w:t>
      </w:r>
    </w:p>
    <w:p w14:paraId="244E0C8A" w14:textId="0FE5F2B3" w:rsidR="00D2716F" w:rsidRPr="00D2716F" w:rsidRDefault="00D2716F" w:rsidP="00F8042D">
      <w:pPr>
        <w:numPr>
          <w:ilvl w:val="0"/>
          <w:numId w:val="9"/>
        </w:numPr>
        <w:tabs>
          <w:tab w:val="clear" w:pos="360"/>
        </w:tabs>
        <w:ind w:left="1276" w:hanging="425"/>
        <w:rPr>
          <w:sz w:val="24"/>
          <w:szCs w:val="24"/>
          <w:lang w:val="en-GB"/>
        </w:rPr>
      </w:pPr>
      <w:r w:rsidRPr="00D2716F">
        <w:rPr>
          <w:sz w:val="24"/>
          <w:szCs w:val="24"/>
          <w:u w:val="single"/>
          <w:lang w:val="en-GB"/>
        </w:rPr>
        <w:t>Vitamin K antagonists:</w:t>
      </w:r>
      <w:r w:rsidRPr="00D2716F">
        <w:rPr>
          <w:sz w:val="24"/>
          <w:szCs w:val="24"/>
          <w:lang w:val="en-GB"/>
        </w:rPr>
        <w:t xml:space="preserve"> </w:t>
      </w:r>
      <w:r w:rsidR="00C9441A">
        <w:rPr>
          <w:sz w:val="24"/>
          <w:szCs w:val="24"/>
          <w:lang w:val="en-GB"/>
        </w:rPr>
        <w:t>T</w:t>
      </w:r>
      <w:r w:rsidRPr="00D2716F">
        <w:rPr>
          <w:sz w:val="24"/>
          <w:szCs w:val="24"/>
          <w:lang w:val="en-GB"/>
        </w:rPr>
        <w:t>he effect of vitamin K antagonists (especially warfarin) may be enhanced, especially with regular use of high-dose paracetamol. In this case, regular monitoring of the International Normalised Ratio (INR) is recommended.</w:t>
      </w:r>
      <w:r w:rsidRPr="00D2716F">
        <w:rPr>
          <w:sz w:val="24"/>
          <w:szCs w:val="24"/>
          <w:lang w:val="en-US"/>
        </w:rPr>
        <w:t xml:space="preserve"> Occasional paracetamol intake has no significant effects on bleeding tendency.</w:t>
      </w:r>
    </w:p>
    <w:p w14:paraId="6143D5BC" w14:textId="23BFF499" w:rsidR="00D2716F" w:rsidRPr="00D2716F" w:rsidRDefault="00D2716F" w:rsidP="00F8042D">
      <w:pPr>
        <w:numPr>
          <w:ilvl w:val="0"/>
          <w:numId w:val="9"/>
        </w:numPr>
        <w:tabs>
          <w:tab w:val="clear" w:pos="360"/>
        </w:tabs>
        <w:ind w:left="1276" w:hanging="425"/>
        <w:rPr>
          <w:sz w:val="24"/>
          <w:szCs w:val="24"/>
          <w:lang w:val="en-GB"/>
        </w:rPr>
      </w:pPr>
      <w:r w:rsidRPr="00D2716F">
        <w:rPr>
          <w:sz w:val="24"/>
          <w:szCs w:val="24"/>
          <w:u w:val="single"/>
          <w:lang w:val="en-GB"/>
        </w:rPr>
        <w:t>Lamotrigine</w:t>
      </w:r>
      <w:r w:rsidRPr="00D2716F">
        <w:rPr>
          <w:sz w:val="24"/>
          <w:szCs w:val="24"/>
          <w:lang w:val="en-GB"/>
        </w:rPr>
        <w:t xml:space="preserve">: </w:t>
      </w:r>
      <w:r w:rsidR="00C9441A">
        <w:rPr>
          <w:sz w:val="24"/>
          <w:szCs w:val="24"/>
          <w:lang w:val="en-GB"/>
        </w:rPr>
        <w:t>D</w:t>
      </w:r>
      <w:r w:rsidRPr="00D2716F">
        <w:rPr>
          <w:sz w:val="24"/>
          <w:szCs w:val="24"/>
          <w:lang w:val="en-GB"/>
        </w:rPr>
        <w:t>ecreased bioavailability of lamotrigine, with possible reduction of the therapeutic effect, due to possible induction of hepatic metabolism.</w:t>
      </w:r>
    </w:p>
    <w:p w14:paraId="026B71B4" w14:textId="17EBE92A" w:rsidR="00D2716F" w:rsidRPr="00D2716F" w:rsidRDefault="00D2716F" w:rsidP="00F8042D">
      <w:pPr>
        <w:numPr>
          <w:ilvl w:val="0"/>
          <w:numId w:val="9"/>
        </w:numPr>
        <w:tabs>
          <w:tab w:val="clear" w:pos="360"/>
        </w:tabs>
        <w:ind w:left="1276" w:hanging="425"/>
        <w:rPr>
          <w:sz w:val="24"/>
          <w:szCs w:val="24"/>
          <w:lang w:val="en-GB"/>
        </w:rPr>
      </w:pPr>
      <w:r w:rsidRPr="00D2716F">
        <w:rPr>
          <w:sz w:val="24"/>
          <w:szCs w:val="24"/>
          <w:u w:val="single"/>
          <w:lang w:val="en-GB"/>
        </w:rPr>
        <w:t>Metoclopramide and domperidone</w:t>
      </w:r>
      <w:r w:rsidRPr="00D2716F">
        <w:rPr>
          <w:sz w:val="24"/>
          <w:szCs w:val="24"/>
          <w:lang w:val="en-GB"/>
        </w:rPr>
        <w:t xml:space="preserve">: </w:t>
      </w:r>
      <w:r w:rsidR="00C9441A">
        <w:rPr>
          <w:sz w:val="24"/>
          <w:szCs w:val="24"/>
          <w:lang w:val="en-GB"/>
        </w:rPr>
        <w:t>A</w:t>
      </w:r>
      <w:r w:rsidRPr="00D2716F">
        <w:rPr>
          <w:sz w:val="24"/>
          <w:szCs w:val="24"/>
          <w:lang w:val="en-GB"/>
        </w:rPr>
        <w:t>ccelerated absorption of paracetamol in the small intestine due to accelerated gastric emptying.</w:t>
      </w:r>
    </w:p>
    <w:p w14:paraId="6EF5C926" w14:textId="0E7AC408" w:rsidR="00D2716F" w:rsidRPr="00D2716F" w:rsidRDefault="00D2716F" w:rsidP="00F8042D">
      <w:pPr>
        <w:numPr>
          <w:ilvl w:val="0"/>
          <w:numId w:val="9"/>
        </w:numPr>
        <w:tabs>
          <w:tab w:val="clear" w:pos="360"/>
        </w:tabs>
        <w:ind w:left="1276" w:hanging="425"/>
        <w:rPr>
          <w:sz w:val="24"/>
          <w:szCs w:val="24"/>
          <w:lang w:val="en-GB"/>
        </w:rPr>
      </w:pPr>
      <w:bookmarkStart w:id="10" w:name="_Hlk188607174"/>
      <w:r w:rsidRPr="00D2716F">
        <w:rPr>
          <w:sz w:val="24"/>
          <w:szCs w:val="24"/>
          <w:u w:val="single"/>
          <w:lang w:val="en-GB"/>
        </w:rPr>
        <w:t>Interaction with diagnostic tests</w:t>
      </w:r>
      <w:r w:rsidRPr="00D2716F">
        <w:rPr>
          <w:sz w:val="24"/>
          <w:szCs w:val="24"/>
          <w:lang w:val="en-GB"/>
        </w:rPr>
        <w:t xml:space="preserve">: </w:t>
      </w:r>
      <w:r w:rsidR="00C9441A">
        <w:rPr>
          <w:sz w:val="24"/>
          <w:szCs w:val="24"/>
          <w:lang w:val="en-GB"/>
        </w:rPr>
        <w:t>P</w:t>
      </w:r>
      <w:r w:rsidRPr="00D2716F">
        <w:rPr>
          <w:sz w:val="24"/>
          <w:szCs w:val="24"/>
          <w:lang w:val="en-GB"/>
        </w:rPr>
        <w:t xml:space="preserve">aracetamol administration may interfere with determination of blood uric acid levels using the </w:t>
      </w:r>
      <w:proofErr w:type="spellStart"/>
      <w:r w:rsidRPr="00D2716F">
        <w:rPr>
          <w:sz w:val="24"/>
          <w:szCs w:val="24"/>
          <w:lang w:val="en-GB"/>
        </w:rPr>
        <w:t>phosphotungstic</w:t>
      </w:r>
      <w:proofErr w:type="spellEnd"/>
      <w:r w:rsidRPr="00D2716F">
        <w:rPr>
          <w:sz w:val="24"/>
          <w:szCs w:val="24"/>
          <w:lang w:val="en-GB"/>
        </w:rPr>
        <w:t xml:space="preserve"> acid method and with determination of blood glucose using the glucose oxidase-peroxidase method. </w:t>
      </w:r>
    </w:p>
    <w:p w14:paraId="6632B0F0" w14:textId="3BE858D6" w:rsidR="00D2716F" w:rsidRPr="00D2716F" w:rsidRDefault="00D2716F" w:rsidP="00F8042D">
      <w:pPr>
        <w:numPr>
          <w:ilvl w:val="0"/>
          <w:numId w:val="9"/>
        </w:numPr>
        <w:tabs>
          <w:tab w:val="clear" w:pos="360"/>
        </w:tabs>
        <w:ind w:left="1276" w:hanging="425"/>
        <w:rPr>
          <w:sz w:val="24"/>
          <w:szCs w:val="24"/>
          <w:lang w:val="en-GB"/>
        </w:rPr>
      </w:pPr>
      <w:bookmarkStart w:id="11" w:name="_Hlk188364607"/>
      <w:bookmarkEnd w:id="10"/>
      <w:r w:rsidRPr="00D2716F">
        <w:rPr>
          <w:sz w:val="24"/>
          <w:szCs w:val="24"/>
          <w:u w:val="single"/>
          <w:lang w:val="en-GB"/>
        </w:rPr>
        <w:t>Chloramphenicol</w:t>
      </w:r>
      <w:bookmarkEnd w:id="11"/>
      <w:r w:rsidRPr="00D2716F">
        <w:rPr>
          <w:sz w:val="24"/>
          <w:szCs w:val="24"/>
          <w:lang w:val="en-GB"/>
        </w:rPr>
        <w:t xml:space="preserve">: </w:t>
      </w:r>
      <w:r w:rsidR="00C9441A">
        <w:rPr>
          <w:sz w:val="24"/>
          <w:szCs w:val="24"/>
          <w:lang w:val="en-GB"/>
        </w:rPr>
        <w:t>P</w:t>
      </w:r>
      <w:r w:rsidRPr="00D2716F">
        <w:rPr>
          <w:sz w:val="24"/>
          <w:szCs w:val="24"/>
          <w:lang w:val="en-GB"/>
        </w:rPr>
        <w:t>ossibly enhanced toxicity of chloramphenicol, due to inhibition of hepatic metabolism (not clinically relevant if administered topically).</w:t>
      </w:r>
    </w:p>
    <w:p w14:paraId="41BADAF4" w14:textId="5D79D6CB" w:rsidR="00D2716F" w:rsidRPr="00D2716F" w:rsidRDefault="00D2716F" w:rsidP="00F8042D">
      <w:pPr>
        <w:numPr>
          <w:ilvl w:val="0"/>
          <w:numId w:val="9"/>
        </w:numPr>
        <w:tabs>
          <w:tab w:val="clear" w:pos="360"/>
        </w:tabs>
        <w:ind w:left="1276" w:hanging="425"/>
        <w:rPr>
          <w:sz w:val="24"/>
          <w:szCs w:val="24"/>
          <w:lang w:val="en-GB"/>
        </w:rPr>
      </w:pPr>
      <w:bookmarkStart w:id="12" w:name="_Hlk100752128"/>
      <w:r w:rsidRPr="00D2716F">
        <w:rPr>
          <w:sz w:val="24"/>
          <w:szCs w:val="24"/>
          <w:u w:val="single"/>
          <w:lang w:val="en-GB"/>
        </w:rPr>
        <w:t>Flucloxacillin</w:t>
      </w:r>
      <w:r w:rsidRPr="00D2716F">
        <w:rPr>
          <w:sz w:val="24"/>
          <w:szCs w:val="24"/>
          <w:lang w:val="en-GB"/>
        </w:rPr>
        <w:t xml:space="preserve">: </w:t>
      </w:r>
      <w:r w:rsidR="00C9441A">
        <w:rPr>
          <w:sz w:val="24"/>
          <w:szCs w:val="24"/>
          <w:lang w:val="en-GB"/>
        </w:rPr>
        <w:t>C</w:t>
      </w:r>
      <w:r w:rsidRPr="00D2716F">
        <w:rPr>
          <w:sz w:val="24"/>
          <w:szCs w:val="24"/>
          <w:lang w:val="en-GB"/>
        </w:rPr>
        <w:t>aution should be exercised when using paracetamol concomitantly with flucloxacillin, as concomitant use has been associated with high anion gap metabolic acidosis due to pyroglutamic acidosis, particularly in patients with risk factors (see section 4.4).</w:t>
      </w:r>
      <w:bookmarkEnd w:id="12"/>
    </w:p>
    <w:p w14:paraId="04C56B34" w14:textId="77777777" w:rsidR="007C5D2A" w:rsidRPr="00E81048" w:rsidRDefault="007C5D2A" w:rsidP="00F8042D">
      <w:pPr>
        <w:ind w:left="851"/>
        <w:rPr>
          <w:sz w:val="24"/>
          <w:szCs w:val="24"/>
          <w:lang w:val="en-GB"/>
        </w:rPr>
      </w:pPr>
    </w:p>
    <w:p w14:paraId="24AE51C1" w14:textId="77777777" w:rsidR="007C5D2A" w:rsidRPr="00E81048" w:rsidRDefault="007C5D2A" w:rsidP="007C5D2A">
      <w:pPr>
        <w:tabs>
          <w:tab w:val="left" w:pos="851"/>
        </w:tabs>
        <w:ind w:left="851" w:hanging="851"/>
        <w:rPr>
          <w:b/>
          <w:sz w:val="24"/>
          <w:szCs w:val="24"/>
          <w:lang w:val="en-GB"/>
        </w:rPr>
      </w:pPr>
      <w:r w:rsidRPr="00E81048">
        <w:rPr>
          <w:b/>
          <w:sz w:val="24"/>
          <w:szCs w:val="24"/>
          <w:lang w:val="en-GB"/>
        </w:rPr>
        <w:t>4.6</w:t>
      </w:r>
      <w:r w:rsidRPr="00E81048">
        <w:rPr>
          <w:b/>
          <w:sz w:val="24"/>
          <w:szCs w:val="24"/>
          <w:lang w:val="en-GB"/>
        </w:rPr>
        <w:tab/>
      </w:r>
      <w:r w:rsidR="004860D3" w:rsidRPr="00E81048">
        <w:rPr>
          <w:b/>
          <w:sz w:val="24"/>
          <w:szCs w:val="24"/>
          <w:lang w:val="en-GB"/>
        </w:rPr>
        <w:t>Fertility, p</w:t>
      </w:r>
      <w:r w:rsidRPr="00E81048">
        <w:rPr>
          <w:b/>
          <w:sz w:val="24"/>
          <w:szCs w:val="24"/>
          <w:lang w:val="en-GB"/>
        </w:rPr>
        <w:t>regnancy and lactation</w:t>
      </w:r>
    </w:p>
    <w:p w14:paraId="5A6137E7" w14:textId="77777777" w:rsidR="001C6F5C" w:rsidRDefault="001C6F5C" w:rsidP="00F8042D">
      <w:pPr>
        <w:ind w:left="851"/>
        <w:rPr>
          <w:sz w:val="24"/>
          <w:szCs w:val="24"/>
          <w:u w:val="single"/>
          <w:lang w:val="en-GB"/>
        </w:rPr>
      </w:pPr>
      <w:bookmarkStart w:id="13" w:name="_Hlk189118093"/>
    </w:p>
    <w:p w14:paraId="15A0817F" w14:textId="77217A64" w:rsidR="00D2716F" w:rsidRPr="00D2716F" w:rsidRDefault="00D2716F" w:rsidP="00F8042D">
      <w:pPr>
        <w:ind w:left="851"/>
        <w:rPr>
          <w:sz w:val="24"/>
          <w:szCs w:val="24"/>
          <w:u w:val="single"/>
          <w:lang w:val="en-GB"/>
        </w:rPr>
      </w:pPr>
      <w:r w:rsidRPr="00D2716F">
        <w:rPr>
          <w:sz w:val="24"/>
          <w:szCs w:val="24"/>
          <w:u w:val="single"/>
          <w:lang w:val="en-GB"/>
        </w:rPr>
        <w:t>Pregnancy</w:t>
      </w:r>
    </w:p>
    <w:p w14:paraId="4994910B" w14:textId="77777777" w:rsidR="00D2716F" w:rsidRPr="00D2716F" w:rsidRDefault="00D2716F" w:rsidP="00F8042D">
      <w:pPr>
        <w:ind w:left="851"/>
        <w:rPr>
          <w:sz w:val="24"/>
          <w:szCs w:val="24"/>
          <w:lang w:val="en-GB"/>
        </w:rPr>
      </w:pPr>
      <w:r w:rsidRPr="00D2716F">
        <w:rPr>
          <w:sz w:val="24"/>
          <w:szCs w:val="24"/>
          <w:lang w:val="en-GB"/>
        </w:rPr>
        <w:t xml:space="preserve">A large amount of data on pregnant women </w:t>
      </w:r>
      <w:proofErr w:type="gramStart"/>
      <w:r w:rsidRPr="00D2716F">
        <w:rPr>
          <w:sz w:val="24"/>
          <w:szCs w:val="24"/>
          <w:lang w:val="en-GB"/>
        </w:rPr>
        <w:t>indicate</w:t>
      </w:r>
      <w:proofErr w:type="gramEnd"/>
      <w:r w:rsidRPr="00D2716F">
        <w:rPr>
          <w:sz w:val="24"/>
          <w:szCs w:val="24"/>
          <w:lang w:val="en-GB"/>
        </w:rPr>
        <w:t xml:space="preserve"> neither </w:t>
      </w:r>
      <w:proofErr w:type="spellStart"/>
      <w:r w:rsidRPr="00D2716F">
        <w:rPr>
          <w:sz w:val="24"/>
          <w:szCs w:val="24"/>
          <w:lang w:val="en-GB"/>
        </w:rPr>
        <w:t>malformative</w:t>
      </w:r>
      <w:proofErr w:type="spellEnd"/>
      <w:r w:rsidRPr="00D2716F">
        <w:rPr>
          <w:sz w:val="24"/>
          <w:szCs w:val="24"/>
          <w:lang w:val="en-GB"/>
        </w:rPr>
        <w:t xml:space="preserve">, nor </w:t>
      </w:r>
      <w:proofErr w:type="spellStart"/>
      <w:r w:rsidRPr="00D2716F">
        <w:rPr>
          <w:sz w:val="24"/>
          <w:szCs w:val="24"/>
          <w:lang w:val="en-GB"/>
        </w:rPr>
        <w:t>feto</w:t>
      </w:r>
      <w:proofErr w:type="spellEnd"/>
      <w:r w:rsidRPr="00D2716F">
        <w:rPr>
          <w:sz w:val="24"/>
          <w:szCs w:val="24"/>
          <w:lang w:val="en-GB"/>
        </w:rPr>
        <w:t xml:space="preserve">/neonatal toxicity. Epidemiological studies on neurodevelopment in children exposed to paracetamol </w:t>
      </w:r>
      <w:r w:rsidRPr="00D2716F">
        <w:rPr>
          <w:i/>
          <w:iCs/>
          <w:sz w:val="24"/>
          <w:szCs w:val="24"/>
          <w:lang w:val="en-GB"/>
        </w:rPr>
        <w:t>in utero</w:t>
      </w:r>
      <w:r w:rsidRPr="00D2716F">
        <w:rPr>
          <w:sz w:val="24"/>
          <w:szCs w:val="24"/>
          <w:lang w:val="en-GB"/>
        </w:rPr>
        <w:t xml:space="preserve"> show inconclusive results. If clinically needed, paracetamol can be used during pregnancy; however, it should be used at the lowest effective dose, for the shortest possible duration and at the lowest possible frequency. </w:t>
      </w:r>
    </w:p>
    <w:p w14:paraId="638D3DC4" w14:textId="77777777" w:rsidR="00D2716F" w:rsidRPr="00D2716F" w:rsidRDefault="00D2716F" w:rsidP="00F8042D">
      <w:pPr>
        <w:ind w:left="851"/>
        <w:rPr>
          <w:sz w:val="24"/>
          <w:szCs w:val="24"/>
          <w:lang w:val="en-GB"/>
        </w:rPr>
      </w:pPr>
    </w:p>
    <w:p w14:paraId="3C878230" w14:textId="77777777" w:rsidR="00D2716F" w:rsidRPr="00D2716F" w:rsidRDefault="00D2716F" w:rsidP="00F8042D">
      <w:pPr>
        <w:ind w:left="851"/>
        <w:rPr>
          <w:sz w:val="24"/>
          <w:szCs w:val="24"/>
          <w:u w:val="single"/>
          <w:lang w:val="en-GB"/>
        </w:rPr>
      </w:pPr>
      <w:r w:rsidRPr="00D2716F">
        <w:rPr>
          <w:sz w:val="24"/>
          <w:szCs w:val="24"/>
          <w:u w:val="single"/>
          <w:lang w:val="en-GB"/>
        </w:rPr>
        <w:t>Breast-feeding</w:t>
      </w:r>
    </w:p>
    <w:p w14:paraId="359A3A30" w14:textId="50A3A3AE" w:rsidR="00D2716F" w:rsidRPr="00D2716F" w:rsidRDefault="00D2716F" w:rsidP="00F8042D">
      <w:pPr>
        <w:ind w:left="851"/>
        <w:rPr>
          <w:sz w:val="24"/>
          <w:szCs w:val="24"/>
          <w:lang w:val="en-GB"/>
        </w:rPr>
      </w:pPr>
      <w:r w:rsidRPr="00D2716F">
        <w:rPr>
          <w:sz w:val="24"/>
          <w:szCs w:val="24"/>
          <w:lang w:val="en-GB"/>
        </w:rPr>
        <w:t xml:space="preserve">Paracetamol and its metabolites are excreted in human milk, but at therapeutic doses of </w:t>
      </w:r>
      <w:proofErr w:type="spellStart"/>
      <w:r w:rsidR="00E81048">
        <w:rPr>
          <w:sz w:val="24"/>
          <w:szCs w:val="24"/>
          <w:lang w:val="en-GB"/>
        </w:rPr>
        <w:t>Xidolan</w:t>
      </w:r>
      <w:proofErr w:type="spellEnd"/>
      <w:r w:rsidR="00E81048">
        <w:rPr>
          <w:sz w:val="24"/>
          <w:szCs w:val="24"/>
          <w:lang w:val="en-GB"/>
        </w:rPr>
        <w:t xml:space="preserve"> Forte</w:t>
      </w:r>
      <w:r w:rsidRPr="00D2716F">
        <w:rPr>
          <w:sz w:val="24"/>
          <w:szCs w:val="24"/>
          <w:lang w:val="en-GB"/>
        </w:rPr>
        <w:t xml:space="preserve">, no effects are expected in breast-fed infants. </w:t>
      </w:r>
      <w:proofErr w:type="spellStart"/>
      <w:r w:rsidR="00E81048">
        <w:rPr>
          <w:sz w:val="24"/>
          <w:szCs w:val="24"/>
          <w:lang w:val="en-GB"/>
        </w:rPr>
        <w:t>Xidolan</w:t>
      </w:r>
      <w:proofErr w:type="spellEnd"/>
      <w:r w:rsidR="00E81048">
        <w:rPr>
          <w:sz w:val="24"/>
          <w:szCs w:val="24"/>
          <w:lang w:val="en-GB"/>
        </w:rPr>
        <w:t xml:space="preserve"> Forte</w:t>
      </w:r>
      <w:r w:rsidRPr="00D2716F">
        <w:rPr>
          <w:sz w:val="24"/>
          <w:szCs w:val="24"/>
          <w:lang w:val="en-GB"/>
        </w:rPr>
        <w:t xml:space="preserve"> can be used during breast-feeding.</w:t>
      </w:r>
    </w:p>
    <w:p w14:paraId="78B7199A" w14:textId="77777777" w:rsidR="00D2716F" w:rsidRPr="00D2716F" w:rsidRDefault="00D2716F" w:rsidP="00F8042D">
      <w:pPr>
        <w:ind w:left="851"/>
        <w:rPr>
          <w:sz w:val="24"/>
          <w:szCs w:val="24"/>
          <w:lang w:val="en-GB"/>
        </w:rPr>
      </w:pPr>
    </w:p>
    <w:p w14:paraId="235E24CE" w14:textId="77777777" w:rsidR="00D2716F" w:rsidRPr="00D2716F" w:rsidRDefault="00D2716F" w:rsidP="00F8042D">
      <w:pPr>
        <w:ind w:left="851"/>
        <w:rPr>
          <w:sz w:val="24"/>
          <w:szCs w:val="24"/>
          <w:u w:val="single"/>
          <w:lang w:val="en-GB"/>
        </w:rPr>
      </w:pPr>
      <w:r w:rsidRPr="00D2716F">
        <w:rPr>
          <w:sz w:val="24"/>
          <w:szCs w:val="24"/>
          <w:u w:val="single"/>
          <w:lang w:val="en-GB"/>
        </w:rPr>
        <w:t>Fertility</w:t>
      </w:r>
    </w:p>
    <w:p w14:paraId="6DB6B00D" w14:textId="77777777" w:rsidR="00D2716F" w:rsidRPr="00D2716F" w:rsidRDefault="00D2716F" w:rsidP="00F8042D">
      <w:pPr>
        <w:ind w:left="851"/>
        <w:rPr>
          <w:sz w:val="24"/>
          <w:szCs w:val="24"/>
          <w:lang w:val="en-GB"/>
        </w:rPr>
      </w:pPr>
      <w:r w:rsidRPr="00D2716F">
        <w:rPr>
          <w:sz w:val="24"/>
          <w:szCs w:val="24"/>
          <w:lang w:val="en-GB"/>
        </w:rPr>
        <w:t>There are no sufficient adequate clinical data available regarding male or female fertility.</w:t>
      </w:r>
    </w:p>
    <w:bookmarkEnd w:id="13"/>
    <w:p w14:paraId="182A24A1" w14:textId="77777777" w:rsidR="007C5D2A" w:rsidRPr="00E81048" w:rsidRDefault="007C5D2A" w:rsidP="003E0341">
      <w:pPr>
        <w:tabs>
          <w:tab w:val="left" w:pos="851"/>
        </w:tabs>
        <w:ind w:left="851"/>
        <w:rPr>
          <w:sz w:val="24"/>
          <w:szCs w:val="24"/>
          <w:lang w:val="en-GB"/>
        </w:rPr>
      </w:pPr>
    </w:p>
    <w:p w14:paraId="23CBEF02" w14:textId="77777777" w:rsidR="007C5D2A" w:rsidRPr="00E81048" w:rsidRDefault="007C5D2A" w:rsidP="007C5D2A">
      <w:pPr>
        <w:tabs>
          <w:tab w:val="left" w:pos="851"/>
        </w:tabs>
        <w:ind w:left="851" w:hanging="851"/>
        <w:rPr>
          <w:b/>
          <w:sz w:val="24"/>
          <w:szCs w:val="24"/>
          <w:lang w:val="en-GB"/>
        </w:rPr>
      </w:pPr>
      <w:r w:rsidRPr="00E81048">
        <w:rPr>
          <w:b/>
          <w:sz w:val="24"/>
          <w:szCs w:val="24"/>
          <w:lang w:val="en-GB"/>
        </w:rPr>
        <w:t>4.7</w:t>
      </w:r>
      <w:r w:rsidRPr="00E81048">
        <w:rPr>
          <w:b/>
          <w:sz w:val="24"/>
          <w:szCs w:val="24"/>
          <w:lang w:val="en-GB"/>
        </w:rPr>
        <w:tab/>
        <w:t>Effects on ability to drive and use machines</w:t>
      </w:r>
    </w:p>
    <w:p w14:paraId="77465F49" w14:textId="77777777" w:rsidR="001C6F5C" w:rsidRDefault="001C6F5C" w:rsidP="00D2716F">
      <w:pPr>
        <w:tabs>
          <w:tab w:val="left" w:pos="851"/>
        </w:tabs>
        <w:ind w:left="851"/>
        <w:rPr>
          <w:sz w:val="24"/>
          <w:szCs w:val="24"/>
          <w:lang w:val="en-GB"/>
        </w:rPr>
      </w:pPr>
      <w:r>
        <w:rPr>
          <w:sz w:val="24"/>
          <w:szCs w:val="24"/>
          <w:lang w:val="en-GB"/>
        </w:rPr>
        <w:t>No traffic warning.</w:t>
      </w:r>
    </w:p>
    <w:p w14:paraId="6BBB42CF" w14:textId="2F51FC3C" w:rsidR="00D2716F" w:rsidRPr="00D2716F" w:rsidRDefault="00E81048" w:rsidP="00D2716F">
      <w:pPr>
        <w:tabs>
          <w:tab w:val="left" w:pos="851"/>
        </w:tabs>
        <w:ind w:left="851"/>
        <w:rPr>
          <w:sz w:val="24"/>
          <w:szCs w:val="24"/>
          <w:lang w:val="en-GB"/>
        </w:rPr>
      </w:pPr>
      <w:proofErr w:type="spellStart"/>
      <w:r>
        <w:rPr>
          <w:sz w:val="24"/>
          <w:szCs w:val="24"/>
          <w:lang w:val="en-GB"/>
        </w:rPr>
        <w:t>Xidolan</w:t>
      </w:r>
      <w:proofErr w:type="spellEnd"/>
      <w:r>
        <w:rPr>
          <w:sz w:val="24"/>
          <w:szCs w:val="24"/>
          <w:lang w:val="en-GB"/>
        </w:rPr>
        <w:t xml:space="preserve"> Forte</w:t>
      </w:r>
      <w:r w:rsidR="00D2716F" w:rsidRPr="00D2716F">
        <w:rPr>
          <w:sz w:val="24"/>
          <w:szCs w:val="24"/>
          <w:lang w:val="en-GB"/>
        </w:rPr>
        <w:t xml:space="preserve"> has no influence on the ability to drive and use machines.</w:t>
      </w:r>
    </w:p>
    <w:p w14:paraId="5D52EA87" w14:textId="77777777" w:rsidR="007C5D2A" w:rsidRPr="00E81048" w:rsidRDefault="007C5D2A" w:rsidP="003E0341">
      <w:pPr>
        <w:tabs>
          <w:tab w:val="left" w:pos="851"/>
        </w:tabs>
        <w:ind w:left="851"/>
        <w:rPr>
          <w:sz w:val="24"/>
          <w:szCs w:val="24"/>
          <w:lang w:val="en-GB"/>
        </w:rPr>
      </w:pPr>
    </w:p>
    <w:p w14:paraId="50FC2E7C" w14:textId="77777777" w:rsidR="007C5D2A" w:rsidRPr="00E81048" w:rsidRDefault="007C5D2A" w:rsidP="007C5D2A">
      <w:pPr>
        <w:tabs>
          <w:tab w:val="left" w:pos="851"/>
        </w:tabs>
        <w:ind w:left="851" w:hanging="851"/>
        <w:rPr>
          <w:b/>
          <w:sz w:val="24"/>
          <w:szCs w:val="24"/>
          <w:lang w:val="en-GB"/>
        </w:rPr>
      </w:pPr>
      <w:r w:rsidRPr="00E81048">
        <w:rPr>
          <w:b/>
          <w:sz w:val="24"/>
          <w:szCs w:val="24"/>
          <w:lang w:val="en-GB"/>
        </w:rPr>
        <w:t>4.8</w:t>
      </w:r>
      <w:r w:rsidRPr="00E81048">
        <w:rPr>
          <w:b/>
          <w:sz w:val="24"/>
          <w:szCs w:val="24"/>
          <w:lang w:val="en-GB"/>
        </w:rPr>
        <w:tab/>
        <w:t>Undesirable effects</w:t>
      </w:r>
    </w:p>
    <w:p w14:paraId="2D2236EC" w14:textId="77777777" w:rsidR="00D2716F" w:rsidRPr="00D2716F" w:rsidRDefault="00D2716F" w:rsidP="00F8042D">
      <w:pPr>
        <w:ind w:left="851"/>
        <w:rPr>
          <w:sz w:val="24"/>
          <w:szCs w:val="24"/>
          <w:lang w:val="en-GB"/>
        </w:rPr>
      </w:pPr>
      <w:r w:rsidRPr="00D2716F">
        <w:rPr>
          <w:sz w:val="24"/>
          <w:szCs w:val="24"/>
          <w:lang w:val="en-GB"/>
        </w:rPr>
        <w:t>Adverse reactions are classified by system organ class and frequency of occurrence.</w:t>
      </w:r>
    </w:p>
    <w:p w14:paraId="14A1CB9C" w14:textId="77777777" w:rsidR="00D2716F" w:rsidRPr="00D2716F" w:rsidRDefault="00D2716F" w:rsidP="00F8042D">
      <w:pPr>
        <w:ind w:left="851"/>
        <w:rPr>
          <w:sz w:val="24"/>
          <w:szCs w:val="24"/>
          <w:lang w:val="en-GB"/>
        </w:rPr>
      </w:pPr>
      <w:r w:rsidRPr="00D2716F">
        <w:rPr>
          <w:sz w:val="24"/>
          <w:szCs w:val="24"/>
          <w:lang w:val="en-GB"/>
        </w:rPr>
        <w:t>The following convention has been used for classification of adverse reactions by frequency:</w:t>
      </w:r>
    </w:p>
    <w:p w14:paraId="1E0CEB47" w14:textId="77777777" w:rsidR="00D2716F" w:rsidRPr="00D2716F" w:rsidRDefault="00D2716F" w:rsidP="00F8042D">
      <w:pPr>
        <w:numPr>
          <w:ilvl w:val="0"/>
          <w:numId w:val="10"/>
        </w:numPr>
        <w:ind w:left="1276" w:hanging="425"/>
        <w:rPr>
          <w:sz w:val="24"/>
          <w:szCs w:val="24"/>
          <w:lang w:val="en-GB"/>
        </w:rPr>
      </w:pPr>
      <w:r w:rsidRPr="00D2716F">
        <w:rPr>
          <w:sz w:val="24"/>
          <w:szCs w:val="24"/>
          <w:lang w:val="en-GB"/>
        </w:rPr>
        <w:t>Very common (</w:t>
      </w:r>
      <w:r w:rsidRPr="00D2716F">
        <w:rPr>
          <w:sz w:val="24"/>
          <w:szCs w:val="24"/>
          <w:u w:val="single"/>
          <w:lang w:val="en-GB"/>
        </w:rPr>
        <w:t>&gt;</w:t>
      </w:r>
      <w:r w:rsidRPr="00D2716F">
        <w:rPr>
          <w:sz w:val="24"/>
          <w:szCs w:val="24"/>
          <w:lang w:val="en-GB"/>
        </w:rPr>
        <w:t xml:space="preserve">1/10), </w:t>
      </w:r>
    </w:p>
    <w:p w14:paraId="70AAC0D5" w14:textId="77777777" w:rsidR="00D2716F" w:rsidRPr="00D2716F" w:rsidRDefault="00D2716F" w:rsidP="00F8042D">
      <w:pPr>
        <w:numPr>
          <w:ilvl w:val="0"/>
          <w:numId w:val="10"/>
        </w:numPr>
        <w:ind w:left="1276" w:hanging="425"/>
        <w:rPr>
          <w:sz w:val="24"/>
          <w:szCs w:val="24"/>
          <w:lang w:val="en-GB"/>
        </w:rPr>
      </w:pPr>
      <w:r w:rsidRPr="00D2716F">
        <w:rPr>
          <w:sz w:val="24"/>
          <w:szCs w:val="24"/>
          <w:lang w:val="en-GB"/>
        </w:rPr>
        <w:t>Common: (</w:t>
      </w:r>
      <w:r w:rsidRPr="00D2716F">
        <w:rPr>
          <w:sz w:val="24"/>
          <w:szCs w:val="24"/>
          <w:u w:val="single"/>
          <w:lang w:val="en-GB"/>
        </w:rPr>
        <w:t>&gt;</w:t>
      </w:r>
      <w:r w:rsidRPr="00D2716F">
        <w:rPr>
          <w:sz w:val="24"/>
          <w:szCs w:val="24"/>
          <w:lang w:val="en-GB"/>
        </w:rPr>
        <w:t xml:space="preserve">1/100 to &lt;1/10), </w:t>
      </w:r>
    </w:p>
    <w:p w14:paraId="61B49480" w14:textId="77777777" w:rsidR="00D2716F" w:rsidRPr="00D2716F" w:rsidRDefault="00D2716F" w:rsidP="00F8042D">
      <w:pPr>
        <w:numPr>
          <w:ilvl w:val="0"/>
          <w:numId w:val="10"/>
        </w:numPr>
        <w:ind w:left="1276" w:hanging="425"/>
        <w:rPr>
          <w:sz w:val="24"/>
          <w:szCs w:val="24"/>
          <w:lang w:val="en-GB"/>
        </w:rPr>
      </w:pPr>
      <w:r w:rsidRPr="00D2716F">
        <w:rPr>
          <w:sz w:val="24"/>
          <w:szCs w:val="24"/>
          <w:lang w:val="en-GB"/>
        </w:rPr>
        <w:t>Uncommon: (</w:t>
      </w:r>
      <w:r w:rsidRPr="00D2716F">
        <w:rPr>
          <w:sz w:val="24"/>
          <w:szCs w:val="24"/>
          <w:u w:val="single"/>
          <w:lang w:val="en-GB"/>
        </w:rPr>
        <w:t>&gt;</w:t>
      </w:r>
      <w:r w:rsidRPr="00D2716F">
        <w:rPr>
          <w:sz w:val="24"/>
          <w:szCs w:val="24"/>
          <w:lang w:val="en-GB"/>
        </w:rPr>
        <w:t xml:space="preserve">1/1 000 to &lt;1/100), </w:t>
      </w:r>
    </w:p>
    <w:p w14:paraId="67B1ECB5" w14:textId="77777777" w:rsidR="00D2716F" w:rsidRPr="00D2716F" w:rsidRDefault="00D2716F" w:rsidP="00F8042D">
      <w:pPr>
        <w:numPr>
          <w:ilvl w:val="0"/>
          <w:numId w:val="10"/>
        </w:numPr>
        <w:ind w:left="1276" w:hanging="425"/>
        <w:rPr>
          <w:sz w:val="24"/>
          <w:szCs w:val="24"/>
          <w:lang w:val="en-GB"/>
        </w:rPr>
      </w:pPr>
      <w:r w:rsidRPr="00D2716F">
        <w:rPr>
          <w:sz w:val="24"/>
          <w:szCs w:val="24"/>
          <w:lang w:val="en-GB"/>
        </w:rPr>
        <w:t>Rare: (</w:t>
      </w:r>
      <w:r w:rsidRPr="00D2716F">
        <w:rPr>
          <w:sz w:val="24"/>
          <w:szCs w:val="24"/>
          <w:u w:val="single"/>
          <w:lang w:val="en-GB"/>
        </w:rPr>
        <w:t>&gt;</w:t>
      </w:r>
      <w:r w:rsidRPr="00D2716F">
        <w:rPr>
          <w:sz w:val="24"/>
          <w:szCs w:val="24"/>
          <w:lang w:val="en-GB"/>
        </w:rPr>
        <w:t xml:space="preserve">1/10 000 to &lt;1/1 000), </w:t>
      </w:r>
    </w:p>
    <w:p w14:paraId="2FD2BF69" w14:textId="77777777" w:rsidR="00D2716F" w:rsidRPr="00D2716F" w:rsidRDefault="00D2716F" w:rsidP="00F8042D">
      <w:pPr>
        <w:numPr>
          <w:ilvl w:val="0"/>
          <w:numId w:val="10"/>
        </w:numPr>
        <w:ind w:left="1276" w:hanging="425"/>
        <w:rPr>
          <w:sz w:val="24"/>
          <w:szCs w:val="24"/>
          <w:lang w:val="en-GB"/>
        </w:rPr>
      </w:pPr>
      <w:r w:rsidRPr="00D2716F">
        <w:rPr>
          <w:sz w:val="24"/>
          <w:szCs w:val="24"/>
          <w:lang w:val="en-GB"/>
        </w:rPr>
        <w:t xml:space="preserve">Very rare (&lt;1/10 000), </w:t>
      </w:r>
    </w:p>
    <w:p w14:paraId="4305E8F3" w14:textId="77777777" w:rsidR="00D2716F" w:rsidRPr="00D2716F" w:rsidRDefault="00D2716F" w:rsidP="00F8042D">
      <w:pPr>
        <w:numPr>
          <w:ilvl w:val="0"/>
          <w:numId w:val="10"/>
        </w:numPr>
        <w:ind w:left="1276" w:hanging="425"/>
        <w:rPr>
          <w:sz w:val="24"/>
          <w:szCs w:val="24"/>
          <w:lang w:val="en-GB"/>
        </w:rPr>
      </w:pPr>
      <w:r w:rsidRPr="00D2716F">
        <w:rPr>
          <w:sz w:val="24"/>
          <w:szCs w:val="24"/>
          <w:lang w:val="en-GB"/>
        </w:rPr>
        <w:t xml:space="preserve">Not known (cannot be estimated from the available data). </w:t>
      </w:r>
    </w:p>
    <w:p w14:paraId="54C688E5" w14:textId="77777777" w:rsidR="00D2716F" w:rsidRPr="00D2716F" w:rsidRDefault="00D2716F" w:rsidP="00D2716F">
      <w:pPr>
        <w:tabs>
          <w:tab w:val="left" w:pos="851"/>
        </w:tabs>
        <w:ind w:left="851"/>
        <w:rPr>
          <w:sz w:val="24"/>
          <w:szCs w:val="24"/>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6"/>
        <w:gridCol w:w="2135"/>
        <w:gridCol w:w="2265"/>
        <w:gridCol w:w="1962"/>
      </w:tblGrid>
      <w:tr w:rsidR="00D2716F" w:rsidRPr="00D2716F" w14:paraId="594877CD" w14:textId="77777777" w:rsidTr="00F8042D">
        <w:tc>
          <w:tcPr>
            <w:tcW w:w="1696" w:type="pct"/>
            <w:tcBorders>
              <w:top w:val="single" w:sz="4" w:space="0" w:color="auto"/>
              <w:left w:val="single" w:sz="4" w:space="0" w:color="auto"/>
              <w:bottom w:val="single" w:sz="4" w:space="0" w:color="auto"/>
              <w:right w:val="single" w:sz="4" w:space="0" w:color="auto"/>
            </w:tcBorders>
            <w:shd w:val="clear" w:color="auto" w:fill="F3F3F3"/>
            <w:hideMark/>
          </w:tcPr>
          <w:p w14:paraId="5F7E9221" w14:textId="77777777" w:rsidR="00D2716F" w:rsidRPr="00D2716F" w:rsidRDefault="00D2716F" w:rsidP="00F8042D">
            <w:pPr>
              <w:ind w:left="32"/>
              <w:rPr>
                <w:sz w:val="24"/>
                <w:szCs w:val="24"/>
                <w:lang w:val="en-GB"/>
              </w:rPr>
            </w:pPr>
            <w:r w:rsidRPr="00D2716F">
              <w:rPr>
                <w:sz w:val="24"/>
                <w:szCs w:val="24"/>
                <w:lang w:val="en-GB"/>
              </w:rPr>
              <w:t>System organ classes</w:t>
            </w:r>
          </w:p>
        </w:tc>
        <w:tc>
          <w:tcPr>
            <w:tcW w:w="1109" w:type="pct"/>
            <w:tcBorders>
              <w:top w:val="single" w:sz="4" w:space="0" w:color="auto"/>
              <w:left w:val="single" w:sz="4" w:space="0" w:color="auto"/>
              <w:bottom w:val="single" w:sz="4" w:space="0" w:color="auto"/>
              <w:right w:val="single" w:sz="4" w:space="0" w:color="auto"/>
            </w:tcBorders>
            <w:shd w:val="clear" w:color="auto" w:fill="F3F3F3"/>
            <w:hideMark/>
          </w:tcPr>
          <w:p w14:paraId="15B8ED22" w14:textId="77777777" w:rsidR="00D2716F" w:rsidRPr="00D2716F" w:rsidRDefault="00D2716F" w:rsidP="00F8042D">
            <w:pPr>
              <w:ind w:left="32"/>
              <w:rPr>
                <w:sz w:val="24"/>
                <w:szCs w:val="24"/>
                <w:lang w:val="en-GB"/>
              </w:rPr>
            </w:pPr>
            <w:r w:rsidRPr="00D2716F">
              <w:rPr>
                <w:sz w:val="24"/>
                <w:szCs w:val="24"/>
                <w:lang w:val="en-GB"/>
              </w:rPr>
              <w:t>Rare: (</w:t>
            </w:r>
            <w:r w:rsidRPr="00D2716F">
              <w:rPr>
                <w:sz w:val="24"/>
                <w:szCs w:val="24"/>
                <w:u w:val="single"/>
                <w:lang w:val="en-GB"/>
              </w:rPr>
              <w:t>&gt;</w:t>
            </w:r>
            <w:r w:rsidRPr="00D2716F">
              <w:rPr>
                <w:sz w:val="24"/>
                <w:szCs w:val="24"/>
                <w:lang w:val="en-GB"/>
              </w:rPr>
              <w:t>1/10 000 to &lt;1/1 000)</w:t>
            </w:r>
          </w:p>
        </w:tc>
        <w:tc>
          <w:tcPr>
            <w:tcW w:w="1176" w:type="pct"/>
            <w:tcBorders>
              <w:top w:val="single" w:sz="4" w:space="0" w:color="auto"/>
              <w:left w:val="single" w:sz="4" w:space="0" w:color="auto"/>
              <w:bottom w:val="single" w:sz="4" w:space="0" w:color="auto"/>
              <w:right w:val="single" w:sz="4" w:space="0" w:color="auto"/>
            </w:tcBorders>
            <w:shd w:val="clear" w:color="auto" w:fill="F3F3F3"/>
            <w:hideMark/>
          </w:tcPr>
          <w:p w14:paraId="726DEF77" w14:textId="77777777" w:rsidR="00D2716F" w:rsidRPr="00D2716F" w:rsidRDefault="00D2716F" w:rsidP="00F8042D">
            <w:pPr>
              <w:ind w:left="32"/>
              <w:rPr>
                <w:sz w:val="24"/>
                <w:szCs w:val="24"/>
                <w:lang w:val="en-GB"/>
              </w:rPr>
            </w:pPr>
            <w:r w:rsidRPr="00D2716F">
              <w:rPr>
                <w:sz w:val="24"/>
                <w:szCs w:val="24"/>
                <w:lang w:val="en-GB"/>
              </w:rPr>
              <w:t>Very rare (&lt;1/10 000)</w:t>
            </w:r>
          </w:p>
        </w:tc>
        <w:tc>
          <w:tcPr>
            <w:tcW w:w="1019" w:type="pct"/>
            <w:tcBorders>
              <w:top w:val="single" w:sz="4" w:space="0" w:color="auto"/>
              <w:left w:val="single" w:sz="4" w:space="0" w:color="auto"/>
              <w:bottom w:val="single" w:sz="4" w:space="0" w:color="auto"/>
              <w:right w:val="single" w:sz="4" w:space="0" w:color="auto"/>
            </w:tcBorders>
            <w:shd w:val="clear" w:color="auto" w:fill="F3F3F3"/>
            <w:hideMark/>
          </w:tcPr>
          <w:p w14:paraId="7E889852" w14:textId="77777777" w:rsidR="00D2716F" w:rsidRPr="00D2716F" w:rsidRDefault="00D2716F" w:rsidP="00F8042D">
            <w:pPr>
              <w:ind w:left="32"/>
              <w:rPr>
                <w:sz w:val="24"/>
                <w:szCs w:val="24"/>
                <w:lang w:val="en-GB"/>
              </w:rPr>
            </w:pPr>
            <w:r w:rsidRPr="00D2716F">
              <w:rPr>
                <w:sz w:val="24"/>
                <w:szCs w:val="24"/>
                <w:lang w:val="en-GB"/>
              </w:rPr>
              <w:t>Not known</w:t>
            </w:r>
          </w:p>
        </w:tc>
      </w:tr>
      <w:tr w:rsidR="00D2716F" w:rsidRPr="00D2716F" w14:paraId="23DC47F4" w14:textId="77777777" w:rsidTr="00F8042D">
        <w:tc>
          <w:tcPr>
            <w:tcW w:w="1696" w:type="pct"/>
            <w:tcBorders>
              <w:top w:val="single" w:sz="4" w:space="0" w:color="auto"/>
              <w:left w:val="single" w:sz="4" w:space="0" w:color="auto"/>
              <w:bottom w:val="single" w:sz="4" w:space="0" w:color="auto"/>
              <w:right w:val="single" w:sz="4" w:space="0" w:color="auto"/>
            </w:tcBorders>
            <w:hideMark/>
          </w:tcPr>
          <w:p w14:paraId="4C28D09C" w14:textId="77777777" w:rsidR="00D2716F" w:rsidRPr="00D2716F" w:rsidRDefault="00D2716F" w:rsidP="00F8042D">
            <w:pPr>
              <w:ind w:left="32"/>
              <w:rPr>
                <w:sz w:val="24"/>
                <w:szCs w:val="24"/>
                <w:lang w:val="en-GB"/>
              </w:rPr>
            </w:pPr>
            <w:r w:rsidRPr="00D2716F">
              <w:rPr>
                <w:sz w:val="24"/>
                <w:szCs w:val="24"/>
                <w:lang w:val="en-GB"/>
              </w:rPr>
              <w:t>Blood and lymphatic system disorders</w:t>
            </w:r>
          </w:p>
        </w:tc>
        <w:tc>
          <w:tcPr>
            <w:tcW w:w="1109" w:type="pct"/>
            <w:tcBorders>
              <w:top w:val="single" w:sz="4" w:space="0" w:color="auto"/>
              <w:left w:val="single" w:sz="4" w:space="0" w:color="auto"/>
              <w:bottom w:val="single" w:sz="4" w:space="0" w:color="auto"/>
              <w:right w:val="single" w:sz="4" w:space="0" w:color="auto"/>
            </w:tcBorders>
          </w:tcPr>
          <w:p w14:paraId="54D7C20B" w14:textId="77777777" w:rsidR="00D2716F" w:rsidRPr="00D2716F" w:rsidRDefault="00D2716F" w:rsidP="00F8042D">
            <w:pPr>
              <w:ind w:left="32"/>
              <w:rPr>
                <w:sz w:val="24"/>
                <w:szCs w:val="24"/>
                <w:lang w:val="en-GB"/>
              </w:rPr>
            </w:pPr>
          </w:p>
        </w:tc>
        <w:tc>
          <w:tcPr>
            <w:tcW w:w="1176" w:type="pct"/>
            <w:tcBorders>
              <w:top w:val="single" w:sz="4" w:space="0" w:color="auto"/>
              <w:left w:val="single" w:sz="4" w:space="0" w:color="auto"/>
              <w:bottom w:val="single" w:sz="4" w:space="0" w:color="auto"/>
              <w:right w:val="single" w:sz="4" w:space="0" w:color="auto"/>
            </w:tcBorders>
            <w:hideMark/>
          </w:tcPr>
          <w:p w14:paraId="3D6D8716" w14:textId="7D512131" w:rsidR="00D2716F" w:rsidRPr="00D2716F" w:rsidRDefault="00D2716F" w:rsidP="001C6F5C">
            <w:pPr>
              <w:ind w:left="32"/>
              <w:rPr>
                <w:sz w:val="24"/>
                <w:szCs w:val="24"/>
                <w:lang w:val="en-GB"/>
              </w:rPr>
            </w:pPr>
            <w:r w:rsidRPr="00D2716F">
              <w:rPr>
                <w:sz w:val="24"/>
                <w:szCs w:val="24"/>
                <w:lang w:val="en-GB"/>
              </w:rPr>
              <w:t>Thrombocytopenia, leukopenia, pancytopenia, neutropenia,</w:t>
            </w:r>
            <w:r w:rsidR="001C6F5C">
              <w:rPr>
                <w:sz w:val="24"/>
                <w:szCs w:val="24"/>
                <w:lang w:val="en-GB"/>
              </w:rPr>
              <w:t xml:space="preserve"> </w:t>
            </w:r>
            <w:r w:rsidRPr="00D2716F">
              <w:rPr>
                <w:sz w:val="24"/>
                <w:szCs w:val="24"/>
                <w:lang w:val="en-GB"/>
              </w:rPr>
              <w:t>haemolytic anaemia, agranulocytosis</w:t>
            </w:r>
          </w:p>
        </w:tc>
        <w:tc>
          <w:tcPr>
            <w:tcW w:w="1019" w:type="pct"/>
            <w:tcBorders>
              <w:top w:val="single" w:sz="4" w:space="0" w:color="auto"/>
              <w:left w:val="single" w:sz="4" w:space="0" w:color="auto"/>
              <w:bottom w:val="single" w:sz="4" w:space="0" w:color="auto"/>
              <w:right w:val="single" w:sz="4" w:space="0" w:color="auto"/>
            </w:tcBorders>
            <w:hideMark/>
          </w:tcPr>
          <w:p w14:paraId="2DE4213F" w14:textId="77777777" w:rsidR="00D2716F" w:rsidRPr="00D2716F" w:rsidRDefault="00D2716F" w:rsidP="00F8042D">
            <w:pPr>
              <w:ind w:left="32"/>
              <w:rPr>
                <w:sz w:val="24"/>
                <w:szCs w:val="24"/>
                <w:lang w:val="en-GB"/>
              </w:rPr>
            </w:pPr>
            <w:r w:rsidRPr="00D2716F">
              <w:rPr>
                <w:sz w:val="24"/>
                <w:szCs w:val="24"/>
                <w:lang w:val="en-GB"/>
              </w:rPr>
              <w:t>Anaemia</w:t>
            </w:r>
          </w:p>
        </w:tc>
      </w:tr>
      <w:tr w:rsidR="00D2716F" w:rsidRPr="00D2716F" w14:paraId="2895BCEC" w14:textId="77777777" w:rsidTr="00F8042D">
        <w:tc>
          <w:tcPr>
            <w:tcW w:w="1696" w:type="pct"/>
            <w:tcBorders>
              <w:top w:val="single" w:sz="4" w:space="0" w:color="auto"/>
              <w:left w:val="single" w:sz="4" w:space="0" w:color="auto"/>
              <w:bottom w:val="single" w:sz="4" w:space="0" w:color="auto"/>
              <w:right w:val="single" w:sz="4" w:space="0" w:color="auto"/>
            </w:tcBorders>
            <w:hideMark/>
          </w:tcPr>
          <w:p w14:paraId="54C11BDA" w14:textId="77777777" w:rsidR="00D2716F" w:rsidRPr="00D2716F" w:rsidRDefault="00D2716F" w:rsidP="00F8042D">
            <w:pPr>
              <w:ind w:left="32"/>
              <w:rPr>
                <w:sz w:val="24"/>
                <w:szCs w:val="24"/>
                <w:lang w:val="en-GB"/>
              </w:rPr>
            </w:pPr>
            <w:r w:rsidRPr="00D2716F">
              <w:rPr>
                <w:sz w:val="24"/>
                <w:szCs w:val="24"/>
                <w:lang w:val="en-GB"/>
              </w:rPr>
              <w:t>Immune system disorders</w:t>
            </w:r>
          </w:p>
        </w:tc>
        <w:tc>
          <w:tcPr>
            <w:tcW w:w="1109" w:type="pct"/>
            <w:tcBorders>
              <w:top w:val="single" w:sz="4" w:space="0" w:color="auto"/>
              <w:left w:val="single" w:sz="4" w:space="0" w:color="auto"/>
              <w:bottom w:val="single" w:sz="4" w:space="0" w:color="auto"/>
              <w:right w:val="single" w:sz="4" w:space="0" w:color="auto"/>
            </w:tcBorders>
            <w:hideMark/>
          </w:tcPr>
          <w:p w14:paraId="0F566D97" w14:textId="77777777" w:rsidR="00D2716F" w:rsidRPr="00D2716F" w:rsidRDefault="00D2716F" w:rsidP="00F8042D">
            <w:pPr>
              <w:ind w:left="32"/>
              <w:rPr>
                <w:sz w:val="24"/>
                <w:szCs w:val="24"/>
                <w:lang w:val="en-GB"/>
              </w:rPr>
            </w:pPr>
            <w:r w:rsidRPr="00D2716F">
              <w:rPr>
                <w:sz w:val="24"/>
                <w:szCs w:val="24"/>
                <w:lang w:val="en-GB"/>
              </w:rPr>
              <w:t>Allergic reactions</w:t>
            </w:r>
          </w:p>
        </w:tc>
        <w:tc>
          <w:tcPr>
            <w:tcW w:w="1176" w:type="pct"/>
            <w:tcBorders>
              <w:top w:val="single" w:sz="4" w:space="0" w:color="auto"/>
              <w:left w:val="single" w:sz="4" w:space="0" w:color="auto"/>
              <w:bottom w:val="single" w:sz="4" w:space="0" w:color="auto"/>
              <w:right w:val="single" w:sz="4" w:space="0" w:color="auto"/>
            </w:tcBorders>
            <w:hideMark/>
          </w:tcPr>
          <w:p w14:paraId="01B6E2D8" w14:textId="77777777" w:rsidR="00D2716F" w:rsidRPr="00D2716F" w:rsidRDefault="00D2716F" w:rsidP="00F8042D">
            <w:pPr>
              <w:ind w:left="32"/>
              <w:rPr>
                <w:sz w:val="24"/>
                <w:szCs w:val="24"/>
                <w:lang w:val="en-GB"/>
              </w:rPr>
            </w:pPr>
            <w:r w:rsidRPr="00D2716F">
              <w:rPr>
                <w:sz w:val="24"/>
                <w:szCs w:val="24"/>
                <w:lang w:val="en-GB"/>
              </w:rPr>
              <w:t>Allergic reactions requiring discontinuation of treatment</w:t>
            </w:r>
          </w:p>
        </w:tc>
        <w:tc>
          <w:tcPr>
            <w:tcW w:w="1019" w:type="pct"/>
            <w:tcBorders>
              <w:top w:val="single" w:sz="4" w:space="0" w:color="auto"/>
              <w:left w:val="single" w:sz="4" w:space="0" w:color="auto"/>
              <w:bottom w:val="single" w:sz="4" w:space="0" w:color="auto"/>
              <w:right w:val="single" w:sz="4" w:space="0" w:color="auto"/>
            </w:tcBorders>
            <w:hideMark/>
          </w:tcPr>
          <w:p w14:paraId="602939A8" w14:textId="77777777" w:rsidR="00D2716F" w:rsidRPr="00D2716F" w:rsidRDefault="00D2716F" w:rsidP="00F8042D">
            <w:pPr>
              <w:ind w:left="32"/>
              <w:rPr>
                <w:sz w:val="24"/>
                <w:szCs w:val="24"/>
                <w:lang w:val="en-GB"/>
              </w:rPr>
            </w:pPr>
            <w:r w:rsidRPr="00D2716F">
              <w:rPr>
                <w:sz w:val="24"/>
                <w:szCs w:val="24"/>
                <w:lang w:val="en-GB"/>
              </w:rPr>
              <w:t>Anaphylactic shock</w:t>
            </w:r>
          </w:p>
        </w:tc>
      </w:tr>
      <w:tr w:rsidR="00D2716F" w:rsidRPr="00D2716F" w14:paraId="196FFC18" w14:textId="77777777" w:rsidTr="00F8042D">
        <w:tc>
          <w:tcPr>
            <w:tcW w:w="1696" w:type="pct"/>
            <w:tcBorders>
              <w:top w:val="single" w:sz="4" w:space="0" w:color="auto"/>
              <w:left w:val="single" w:sz="4" w:space="0" w:color="auto"/>
              <w:bottom w:val="single" w:sz="4" w:space="0" w:color="auto"/>
              <w:right w:val="single" w:sz="4" w:space="0" w:color="auto"/>
            </w:tcBorders>
            <w:hideMark/>
          </w:tcPr>
          <w:p w14:paraId="301526C8" w14:textId="77777777" w:rsidR="00D2716F" w:rsidRPr="00D2716F" w:rsidRDefault="00D2716F" w:rsidP="00F8042D">
            <w:pPr>
              <w:ind w:left="32"/>
              <w:rPr>
                <w:sz w:val="24"/>
                <w:szCs w:val="24"/>
                <w:lang w:val="en-GB"/>
              </w:rPr>
            </w:pPr>
            <w:r w:rsidRPr="00D2716F">
              <w:rPr>
                <w:sz w:val="24"/>
                <w:szCs w:val="24"/>
                <w:lang w:val="en-GB"/>
              </w:rPr>
              <w:t xml:space="preserve">Hepatobiliary disorders </w:t>
            </w:r>
          </w:p>
        </w:tc>
        <w:tc>
          <w:tcPr>
            <w:tcW w:w="1109" w:type="pct"/>
            <w:tcBorders>
              <w:top w:val="single" w:sz="4" w:space="0" w:color="auto"/>
              <w:left w:val="single" w:sz="4" w:space="0" w:color="auto"/>
              <w:bottom w:val="single" w:sz="4" w:space="0" w:color="auto"/>
              <w:right w:val="single" w:sz="4" w:space="0" w:color="auto"/>
            </w:tcBorders>
            <w:hideMark/>
          </w:tcPr>
          <w:p w14:paraId="367D8B11" w14:textId="77777777" w:rsidR="00D2716F" w:rsidRPr="00D2716F" w:rsidRDefault="00D2716F" w:rsidP="00F8042D">
            <w:pPr>
              <w:ind w:left="32"/>
              <w:rPr>
                <w:sz w:val="24"/>
                <w:szCs w:val="24"/>
                <w:lang w:val="en-GB"/>
              </w:rPr>
            </w:pPr>
            <w:r w:rsidRPr="00D2716F">
              <w:rPr>
                <w:sz w:val="24"/>
                <w:szCs w:val="24"/>
                <w:lang w:val="en-GB"/>
              </w:rPr>
              <w:t>Liver function disorders, hepatic impairment, hepatic necrosis, jaundice</w:t>
            </w:r>
          </w:p>
        </w:tc>
        <w:tc>
          <w:tcPr>
            <w:tcW w:w="1176" w:type="pct"/>
            <w:tcBorders>
              <w:top w:val="single" w:sz="4" w:space="0" w:color="auto"/>
              <w:left w:val="single" w:sz="4" w:space="0" w:color="auto"/>
              <w:bottom w:val="single" w:sz="4" w:space="0" w:color="auto"/>
              <w:right w:val="single" w:sz="4" w:space="0" w:color="auto"/>
            </w:tcBorders>
            <w:hideMark/>
          </w:tcPr>
          <w:p w14:paraId="094CDECD" w14:textId="77777777" w:rsidR="00D2716F" w:rsidRPr="00D2716F" w:rsidRDefault="00D2716F" w:rsidP="00F8042D">
            <w:pPr>
              <w:ind w:left="32"/>
              <w:rPr>
                <w:sz w:val="24"/>
                <w:szCs w:val="24"/>
                <w:lang w:val="en-GB"/>
              </w:rPr>
            </w:pPr>
            <w:r w:rsidRPr="00D2716F">
              <w:rPr>
                <w:sz w:val="24"/>
                <w:szCs w:val="24"/>
                <w:lang w:val="en-GB"/>
              </w:rPr>
              <w:t>Hepatotoxicity</w:t>
            </w:r>
          </w:p>
        </w:tc>
        <w:tc>
          <w:tcPr>
            <w:tcW w:w="1019" w:type="pct"/>
            <w:tcBorders>
              <w:top w:val="single" w:sz="4" w:space="0" w:color="auto"/>
              <w:left w:val="single" w:sz="4" w:space="0" w:color="auto"/>
              <w:bottom w:val="single" w:sz="4" w:space="0" w:color="auto"/>
              <w:right w:val="single" w:sz="4" w:space="0" w:color="auto"/>
            </w:tcBorders>
            <w:hideMark/>
          </w:tcPr>
          <w:p w14:paraId="650C06DB" w14:textId="77777777" w:rsidR="00D2716F" w:rsidRPr="00D2716F" w:rsidRDefault="00D2716F" w:rsidP="00F8042D">
            <w:pPr>
              <w:ind w:left="32"/>
              <w:rPr>
                <w:sz w:val="24"/>
                <w:szCs w:val="24"/>
                <w:lang w:val="en-GB"/>
              </w:rPr>
            </w:pPr>
            <w:r w:rsidRPr="00D2716F">
              <w:rPr>
                <w:sz w:val="24"/>
                <w:szCs w:val="24"/>
                <w:lang w:val="en-GB"/>
              </w:rPr>
              <w:t>Hepatitis</w:t>
            </w:r>
          </w:p>
        </w:tc>
      </w:tr>
      <w:tr w:rsidR="00D2716F" w:rsidRPr="008E77A6" w14:paraId="5CE7AAB8" w14:textId="77777777" w:rsidTr="00F8042D">
        <w:tc>
          <w:tcPr>
            <w:tcW w:w="1696" w:type="pct"/>
            <w:tcBorders>
              <w:top w:val="single" w:sz="4" w:space="0" w:color="auto"/>
              <w:left w:val="single" w:sz="4" w:space="0" w:color="auto"/>
              <w:bottom w:val="single" w:sz="4" w:space="0" w:color="auto"/>
              <w:right w:val="single" w:sz="4" w:space="0" w:color="auto"/>
            </w:tcBorders>
            <w:hideMark/>
          </w:tcPr>
          <w:p w14:paraId="7826D3D8" w14:textId="77777777" w:rsidR="00D2716F" w:rsidRPr="00D2716F" w:rsidRDefault="00D2716F" w:rsidP="00F8042D">
            <w:pPr>
              <w:ind w:left="32"/>
              <w:rPr>
                <w:sz w:val="24"/>
                <w:szCs w:val="24"/>
                <w:lang w:val="en-GB"/>
              </w:rPr>
            </w:pPr>
            <w:r w:rsidRPr="00D2716F">
              <w:rPr>
                <w:sz w:val="24"/>
                <w:szCs w:val="24"/>
                <w:lang w:val="en-GB"/>
              </w:rPr>
              <w:t>Skin and subcutaneous tissue disorders</w:t>
            </w:r>
          </w:p>
        </w:tc>
        <w:tc>
          <w:tcPr>
            <w:tcW w:w="1109" w:type="pct"/>
            <w:tcBorders>
              <w:top w:val="single" w:sz="4" w:space="0" w:color="auto"/>
              <w:left w:val="single" w:sz="4" w:space="0" w:color="auto"/>
              <w:bottom w:val="single" w:sz="4" w:space="0" w:color="auto"/>
              <w:right w:val="single" w:sz="4" w:space="0" w:color="auto"/>
            </w:tcBorders>
            <w:hideMark/>
          </w:tcPr>
          <w:p w14:paraId="049A0F57" w14:textId="77777777" w:rsidR="00D2716F" w:rsidRPr="00D2716F" w:rsidRDefault="00D2716F" w:rsidP="00F8042D">
            <w:pPr>
              <w:ind w:left="32"/>
              <w:rPr>
                <w:sz w:val="24"/>
                <w:szCs w:val="24"/>
                <w:lang w:val="en-GB"/>
              </w:rPr>
            </w:pPr>
            <w:r w:rsidRPr="00D2716F">
              <w:rPr>
                <w:sz w:val="24"/>
                <w:szCs w:val="24"/>
                <w:lang w:val="en-GB"/>
              </w:rPr>
              <w:t>Pruritus, rash, angioedema, urticaria</w:t>
            </w:r>
          </w:p>
        </w:tc>
        <w:tc>
          <w:tcPr>
            <w:tcW w:w="1176" w:type="pct"/>
            <w:tcBorders>
              <w:top w:val="single" w:sz="4" w:space="0" w:color="auto"/>
              <w:left w:val="single" w:sz="4" w:space="0" w:color="auto"/>
              <w:bottom w:val="single" w:sz="4" w:space="0" w:color="auto"/>
              <w:right w:val="single" w:sz="4" w:space="0" w:color="auto"/>
            </w:tcBorders>
          </w:tcPr>
          <w:p w14:paraId="51C258D1" w14:textId="2C735A06" w:rsidR="00D2716F" w:rsidRPr="00D2716F" w:rsidRDefault="00D2716F" w:rsidP="001C6F5C">
            <w:pPr>
              <w:ind w:left="32"/>
              <w:rPr>
                <w:sz w:val="24"/>
                <w:szCs w:val="24"/>
                <w:lang w:val="en-GB"/>
              </w:rPr>
            </w:pPr>
            <w:r w:rsidRPr="00D2716F">
              <w:rPr>
                <w:sz w:val="24"/>
                <w:szCs w:val="24"/>
                <w:lang w:val="en-GB"/>
              </w:rPr>
              <w:t>Very rare cases of severe skin reactions have been reported.</w:t>
            </w:r>
          </w:p>
        </w:tc>
        <w:tc>
          <w:tcPr>
            <w:tcW w:w="1019" w:type="pct"/>
            <w:tcBorders>
              <w:top w:val="single" w:sz="4" w:space="0" w:color="auto"/>
              <w:left w:val="single" w:sz="4" w:space="0" w:color="auto"/>
              <w:bottom w:val="single" w:sz="4" w:space="0" w:color="auto"/>
              <w:right w:val="single" w:sz="4" w:space="0" w:color="auto"/>
            </w:tcBorders>
          </w:tcPr>
          <w:p w14:paraId="27D6221E" w14:textId="77777777" w:rsidR="00D2716F" w:rsidRPr="00D2716F" w:rsidRDefault="00D2716F" w:rsidP="00F8042D">
            <w:pPr>
              <w:ind w:left="32"/>
              <w:rPr>
                <w:sz w:val="24"/>
                <w:szCs w:val="24"/>
                <w:lang w:val="en-GB"/>
              </w:rPr>
            </w:pPr>
          </w:p>
        </w:tc>
      </w:tr>
      <w:tr w:rsidR="00D2716F" w:rsidRPr="008E77A6" w14:paraId="3DD742FD" w14:textId="77777777" w:rsidTr="00F8042D">
        <w:tc>
          <w:tcPr>
            <w:tcW w:w="1696" w:type="pct"/>
            <w:tcBorders>
              <w:top w:val="single" w:sz="4" w:space="0" w:color="auto"/>
              <w:left w:val="single" w:sz="4" w:space="0" w:color="auto"/>
              <w:bottom w:val="single" w:sz="4" w:space="0" w:color="auto"/>
              <w:right w:val="single" w:sz="4" w:space="0" w:color="auto"/>
            </w:tcBorders>
            <w:hideMark/>
          </w:tcPr>
          <w:p w14:paraId="3E8D3C2C" w14:textId="77777777" w:rsidR="00D2716F" w:rsidRPr="00D2716F" w:rsidRDefault="00D2716F" w:rsidP="00F8042D">
            <w:pPr>
              <w:ind w:left="32"/>
              <w:rPr>
                <w:sz w:val="24"/>
                <w:szCs w:val="24"/>
                <w:lang w:val="en-GB"/>
              </w:rPr>
            </w:pPr>
            <w:r w:rsidRPr="00D2716F">
              <w:rPr>
                <w:sz w:val="24"/>
                <w:szCs w:val="24"/>
                <w:lang w:val="en-GB"/>
              </w:rPr>
              <w:t>Renal and urinary disorders</w:t>
            </w:r>
          </w:p>
        </w:tc>
        <w:tc>
          <w:tcPr>
            <w:tcW w:w="1109" w:type="pct"/>
            <w:tcBorders>
              <w:top w:val="single" w:sz="4" w:space="0" w:color="auto"/>
              <w:left w:val="single" w:sz="4" w:space="0" w:color="auto"/>
              <w:bottom w:val="single" w:sz="4" w:space="0" w:color="auto"/>
              <w:right w:val="single" w:sz="4" w:space="0" w:color="auto"/>
            </w:tcBorders>
          </w:tcPr>
          <w:p w14:paraId="4B4A29F8" w14:textId="77777777" w:rsidR="00D2716F" w:rsidRPr="00D2716F" w:rsidRDefault="00D2716F" w:rsidP="00F8042D">
            <w:pPr>
              <w:ind w:left="32"/>
              <w:rPr>
                <w:sz w:val="24"/>
                <w:szCs w:val="24"/>
                <w:lang w:val="en-GB"/>
              </w:rPr>
            </w:pPr>
          </w:p>
        </w:tc>
        <w:tc>
          <w:tcPr>
            <w:tcW w:w="1176" w:type="pct"/>
            <w:tcBorders>
              <w:top w:val="single" w:sz="4" w:space="0" w:color="auto"/>
              <w:left w:val="single" w:sz="4" w:space="0" w:color="auto"/>
              <w:bottom w:val="single" w:sz="4" w:space="0" w:color="auto"/>
              <w:right w:val="single" w:sz="4" w:space="0" w:color="auto"/>
            </w:tcBorders>
            <w:hideMark/>
          </w:tcPr>
          <w:p w14:paraId="7738DB98" w14:textId="77777777" w:rsidR="00D2716F" w:rsidRPr="00D2716F" w:rsidRDefault="00D2716F" w:rsidP="00F8042D">
            <w:pPr>
              <w:ind w:left="32"/>
              <w:rPr>
                <w:sz w:val="24"/>
                <w:szCs w:val="24"/>
                <w:lang w:val="en-GB"/>
              </w:rPr>
            </w:pPr>
            <w:r w:rsidRPr="00D2716F">
              <w:rPr>
                <w:sz w:val="24"/>
                <w:szCs w:val="24"/>
                <w:lang w:val="en-GB"/>
              </w:rPr>
              <w:t>Renal impairment</w:t>
            </w:r>
          </w:p>
        </w:tc>
        <w:tc>
          <w:tcPr>
            <w:tcW w:w="1019" w:type="pct"/>
            <w:tcBorders>
              <w:top w:val="single" w:sz="4" w:space="0" w:color="auto"/>
              <w:left w:val="single" w:sz="4" w:space="0" w:color="auto"/>
              <w:bottom w:val="single" w:sz="4" w:space="0" w:color="auto"/>
              <w:right w:val="single" w:sz="4" w:space="0" w:color="auto"/>
            </w:tcBorders>
            <w:hideMark/>
          </w:tcPr>
          <w:p w14:paraId="5B4D4184" w14:textId="77777777" w:rsidR="00D2716F" w:rsidRPr="00D2716F" w:rsidRDefault="00D2716F" w:rsidP="00F8042D">
            <w:pPr>
              <w:ind w:left="32"/>
              <w:rPr>
                <w:sz w:val="24"/>
                <w:szCs w:val="24"/>
                <w:lang w:val="en-GB"/>
              </w:rPr>
            </w:pPr>
            <w:r w:rsidRPr="00D2716F">
              <w:rPr>
                <w:sz w:val="24"/>
                <w:szCs w:val="24"/>
                <w:lang w:val="en-GB"/>
              </w:rPr>
              <w:t>Nephropathies (interstitial nephritis, tubular necrosis) following prolonged use of high doses</w:t>
            </w:r>
          </w:p>
        </w:tc>
      </w:tr>
      <w:tr w:rsidR="00D2716F" w:rsidRPr="008E77A6" w14:paraId="3F16CDB3" w14:textId="77777777" w:rsidTr="00F8042D">
        <w:tc>
          <w:tcPr>
            <w:tcW w:w="1696" w:type="pct"/>
            <w:tcBorders>
              <w:top w:val="single" w:sz="4" w:space="0" w:color="auto"/>
              <w:left w:val="single" w:sz="4" w:space="0" w:color="auto"/>
              <w:bottom w:val="single" w:sz="4" w:space="0" w:color="auto"/>
              <w:right w:val="single" w:sz="4" w:space="0" w:color="auto"/>
            </w:tcBorders>
            <w:hideMark/>
          </w:tcPr>
          <w:p w14:paraId="0631BC2E" w14:textId="77777777" w:rsidR="00D2716F" w:rsidRPr="00D2716F" w:rsidRDefault="00D2716F" w:rsidP="00F8042D">
            <w:pPr>
              <w:ind w:left="32"/>
              <w:rPr>
                <w:sz w:val="24"/>
                <w:szCs w:val="24"/>
                <w:lang w:val="en-GB"/>
              </w:rPr>
            </w:pPr>
            <w:r w:rsidRPr="00D2716F">
              <w:rPr>
                <w:sz w:val="24"/>
                <w:szCs w:val="24"/>
                <w:lang w:val="en-GB"/>
              </w:rPr>
              <w:t>Metabolism and nutrition disorders</w:t>
            </w:r>
          </w:p>
        </w:tc>
        <w:tc>
          <w:tcPr>
            <w:tcW w:w="1109" w:type="pct"/>
            <w:tcBorders>
              <w:top w:val="single" w:sz="4" w:space="0" w:color="auto"/>
              <w:left w:val="single" w:sz="4" w:space="0" w:color="auto"/>
              <w:bottom w:val="single" w:sz="4" w:space="0" w:color="auto"/>
              <w:right w:val="single" w:sz="4" w:space="0" w:color="auto"/>
            </w:tcBorders>
          </w:tcPr>
          <w:p w14:paraId="3D0CE323" w14:textId="77777777" w:rsidR="00D2716F" w:rsidRPr="00D2716F" w:rsidRDefault="00D2716F" w:rsidP="00F8042D">
            <w:pPr>
              <w:ind w:left="32"/>
              <w:rPr>
                <w:sz w:val="24"/>
                <w:szCs w:val="24"/>
                <w:lang w:val="en-GB"/>
              </w:rPr>
            </w:pPr>
          </w:p>
        </w:tc>
        <w:tc>
          <w:tcPr>
            <w:tcW w:w="1176" w:type="pct"/>
            <w:tcBorders>
              <w:top w:val="single" w:sz="4" w:space="0" w:color="auto"/>
              <w:left w:val="single" w:sz="4" w:space="0" w:color="auto"/>
              <w:bottom w:val="single" w:sz="4" w:space="0" w:color="auto"/>
              <w:right w:val="single" w:sz="4" w:space="0" w:color="auto"/>
            </w:tcBorders>
          </w:tcPr>
          <w:p w14:paraId="327298EC" w14:textId="77777777" w:rsidR="00D2716F" w:rsidRPr="00D2716F" w:rsidRDefault="00D2716F" w:rsidP="00F8042D">
            <w:pPr>
              <w:ind w:left="32"/>
              <w:rPr>
                <w:sz w:val="24"/>
                <w:szCs w:val="24"/>
                <w:lang w:val="en-GB"/>
              </w:rPr>
            </w:pPr>
          </w:p>
        </w:tc>
        <w:tc>
          <w:tcPr>
            <w:tcW w:w="1019" w:type="pct"/>
            <w:tcBorders>
              <w:top w:val="single" w:sz="4" w:space="0" w:color="auto"/>
              <w:left w:val="single" w:sz="4" w:space="0" w:color="auto"/>
              <w:bottom w:val="single" w:sz="4" w:space="0" w:color="auto"/>
              <w:right w:val="single" w:sz="4" w:space="0" w:color="auto"/>
            </w:tcBorders>
            <w:hideMark/>
          </w:tcPr>
          <w:p w14:paraId="71615C17" w14:textId="77777777" w:rsidR="00D2716F" w:rsidRPr="00D2716F" w:rsidRDefault="00D2716F" w:rsidP="00F8042D">
            <w:pPr>
              <w:ind w:left="32"/>
              <w:rPr>
                <w:sz w:val="24"/>
                <w:szCs w:val="24"/>
                <w:lang w:val="en-GB"/>
              </w:rPr>
            </w:pPr>
            <w:r w:rsidRPr="00D2716F">
              <w:rPr>
                <w:sz w:val="24"/>
                <w:szCs w:val="24"/>
                <w:lang w:val="en-GB"/>
              </w:rPr>
              <w:t>High anion gap metabolic acidosis</w:t>
            </w:r>
            <w:r w:rsidRPr="00D2716F">
              <w:rPr>
                <w:sz w:val="24"/>
                <w:szCs w:val="24"/>
                <w:vertAlign w:val="superscript"/>
                <w:lang w:val="en-GB"/>
              </w:rPr>
              <w:t>1</w:t>
            </w:r>
          </w:p>
        </w:tc>
      </w:tr>
      <w:tr w:rsidR="00D2716F" w:rsidRPr="00D2716F" w14:paraId="23C4AF0F" w14:textId="77777777" w:rsidTr="00F8042D">
        <w:tc>
          <w:tcPr>
            <w:tcW w:w="1696" w:type="pct"/>
            <w:tcBorders>
              <w:top w:val="single" w:sz="4" w:space="0" w:color="auto"/>
              <w:left w:val="single" w:sz="4" w:space="0" w:color="auto"/>
              <w:bottom w:val="single" w:sz="4" w:space="0" w:color="auto"/>
              <w:right w:val="single" w:sz="4" w:space="0" w:color="auto"/>
            </w:tcBorders>
            <w:hideMark/>
          </w:tcPr>
          <w:p w14:paraId="61BD9745" w14:textId="77777777" w:rsidR="00D2716F" w:rsidRPr="00D2716F" w:rsidRDefault="00D2716F" w:rsidP="00F8042D">
            <w:pPr>
              <w:ind w:left="32"/>
              <w:rPr>
                <w:sz w:val="24"/>
                <w:szCs w:val="24"/>
                <w:lang w:val="en-GB"/>
              </w:rPr>
            </w:pPr>
            <w:r w:rsidRPr="00D2716F">
              <w:rPr>
                <w:sz w:val="24"/>
                <w:szCs w:val="24"/>
                <w:lang w:val="en-GB"/>
              </w:rPr>
              <w:t>Injury, poisoning and procedural complications</w:t>
            </w:r>
          </w:p>
        </w:tc>
        <w:tc>
          <w:tcPr>
            <w:tcW w:w="1109" w:type="pct"/>
            <w:tcBorders>
              <w:top w:val="single" w:sz="4" w:space="0" w:color="auto"/>
              <w:left w:val="single" w:sz="4" w:space="0" w:color="auto"/>
              <w:bottom w:val="single" w:sz="4" w:space="0" w:color="auto"/>
              <w:right w:val="single" w:sz="4" w:space="0" w:color="auto"/>
            </w:tcBorders>
            <w:hideMark/>
          </w:tcPr>
          <w:p w14:paraId="416114BF" w14:textId="77777777" w:rsidR="00D2716F" w:rsidRPr="00D2716F" w:rsidRDefault="00D2716F" w:rsidP="00F8042D">
            <w:pPr>
              <w:ind w:left="32"/>
              <w:rPr>
                <w:sz w:val="24"/>
                <w:szCs w:val="24"/>
                <w:lang w:val="en-GB"/>
              </w:rPr>
            </w:pPr>
            <w:r w:rsidRPr="00D2716F">
              <w:rPr>
                <w:sz w:val="24"/>
                <w:szCs w:val="24"/>
                <w:lang w:val="en-GB"/>
              </w:rPr>
              <w:t>Overdose and intoxication</w:t>
            </w:r>
          </w:p>
        </w:tc>
        <w:tc>
          <w:tcPr>
            <w:tcW w:w="1176" w:type="pct"/>
            <w:tcBorders>
              <w:top w:val="single" w:sz="4" w:space="0" w:color="auto"/>
              <w:left w:val="single" w:sz="4" w:space="0" w:color="auto"/>
              <w:bottom w:val="single" w:sz="4" w:space="0" w:color="auto"/>
              <w:right w:val="single" w:sz="4" w:space="0" w:color="auto"/>
            </w:tcBorders>
          </w:tcPr>
          <w:p w14:paraId="4465C5B1" w14:textId="77777777" w:rsidR="00D2716F" w:rsidRPr="00D2716F" w:rsidRDefault="00D2716F" w:rsidP="00F8042D">
            <w:pPr>
              <w:ind w:left="32"/>
              <w:rPr>
                <w:sz w:val="24"/>
                <w:szCs w:val="24"/>
                <w:lang w:val="en-GB"/>
              </w:rPr>
            </w:pPr>
          </w:p>
        </w:tc>
        <w:tc>
          <w:tcPr>
            <w:tcW w:w="1019" w:type="pct"/>
            <w:tcBorders>
              <w:top w:val="single" w:sz="4" w:space="0" w:color="auto"/>
              <w:left w:val="single" w:sz="4" w:space="0" w:color="auto"/>
              <w:bottom w:val="single" w:sz="4" w:space="0" w:color="auto"/>
              <w:right w:val="single" w:sz="4" w:space="0" w:color="auto"/>
            </w:tcBorders>
          </w:tcPr>
          <w:p w14:paraId="0F5DFD22" w14:textId="77777777" w:rsidR="00D2716F" w:rsidRPr="00D2716F" w:rsidRDefault="00D2716F" w:rsidP="00F8042D">
            <w:pPr>
              <w:ind w:left="32"/>
              <w:rPr>
                <w:sz w:val="24"/>
                <w:szCs w:val="24"/>
                <w:lang w:val="en-GB"/>
              </w:rPr>
            </w:pPr>
          </w:p>
        </w:tc>
      </w:tr>
    </w:tbl>
    <w:p w14:paraId="4B7CA4A5" w14:textId="73196C58" w:rsidR="00D2716F" w:rsidRPr="00D2716F" w:rsidRDefault="00D2716F" w:rsidP="00F8042D">
      <w:pPr>
        <w:ind w:left="284" w:hanging="284"/>
        <w:rPr>
          <w:sz w:val="24"/>
          <w:szCs w:val="24"/>
          <w:lang w:val="en-GB"/>
        </w:rPr>
      </w:pPr>
      <w:r w:rsidRPr="00D2716F">
        <w:rPr>
          <w:sz w:val="24"/>
          <w:szCs w:val="24"/>
          <w:vertAlign w:val="superscript"/>
          <w:lang w:val="en-GB"/>
        </w:rPr>
        <w:t>1</w:t>
      </w:r>
      <w:r w:rsidRPr="00D2716F">
        <w:rPr>
          <w:sz w:val="24"/>
          <w:szCs w:val="24"/>
          <w:lang w:val="en-GB"/>
        </w:rPr>
        <w:t xml:space="preserve"> </w:t>
      </w:r>
      <w:r w:rsidR="00F8042D" w:rsidRPr="00E81048">
        <w:rPr>
          <w:sz w:val="24"/>
          <w:szCs w:val="24"/>
          <w:lang w:val="en-GB"/>
        </w:rPr>
        <w:tab/>
      </w:r>
      <w:r w:rsidRPr="00D2716F">
        <w:rPr>
          <w:sz w:val="24"/>
          <w:szCs w:val="24"/>
          <w:lang w:val="en-GB"/>
        </w:rPr>
        <w:t xml:space="preserve">Cases of high anion gap metabolic acidosis due to pyroglutamic acidosis have been observed in patients with risk factors using paracetamol (see section 4.4). Pyroglutamic acidosis may occur </w:t>
      </w:r>
      <w:proofErr w:type="gramStart"/>
      <w:r w:rsidRPr="00D2716F">
        <w:rPr>
          <w:sz w:val="24"/>
          <w:szCs w:val="24"/>
          <w:lang w:val="en-GB"/>
        </w:rPr>
        <w:t>as a consequence of</w:t>
      </w:r>
      <w:proofErr w:type="gramEnd"/>
      <w:r w:rsidRPr="00D2716F">
        <w:rPr>
          <w:sz w:val="24"/>
          <w:szCs w:val="24"/>
          <w:lang w:val="en-GB"/>
        </w:rPr>
        <w:t xml:space="preserve"> low glutathione levels in these patients.</w:t>
      </w:r>
    </w:p>
    <w:p w14:paraId="07C531C0" w14:textId="77777777" w:rsidR="00D2716F" w:rsidRPr="00D2716F" w:rsidRDefault="00D2716F" w:rsidP="00D2716F">
      <w:pPr>
        <w:tabs>
          <w:tab w:val="left" w:pos="851"/>
        </w:tabs>
        <w:ind w:left="851"/>
        <w:rPr>
          <w:sz w:val="24"/>
          <w:szCs w:val="24"/>
          <w:u w:val="single"/>
          <w:lang w:val="en-GB"/>
        </w:rPr>
      </w:pPr>
    </w:p>
    <w:p w14:paraId="11BFEF54" w14:textId="77777777" w:rsidR="00F8042D" w:rsidRPr="00F8042D" w:rsidRDefault="00F8042D" w:rsidP="00F8042D">
      <w:pPr>
        <w:tabs>
          <w:tab w:val="left" w:pos="851"/>
        </w:tabs>
        <w:ind w:left="851"/>
        <w:rPr>
          <w:sz w:val="24"/>
          <w:szCs w:val="24"/>
          <w:u w:val="single"/>
          <w:lang w:val="en-GB"/>
        </w:rPr>
      </w:pPr>
      <w:r w:rsidRPr="00F8042D">
        <w:rPr>
          <w:sz w:val="24"/>
          <w:szCs w:val="24"/>
          <w:u w:val="single"/>
          <w:lang w:val="en-GB"/>
        </w:rPr>
        <w:t>Reporting of suspected adverse reactions</w:t>
      </w:r>
    </w:p>
    <w:p w14:paraId="0B4D2D8E" w14:textId="77777777" w:rsidR="00F8042D" w:rsidRPr="00F8042D" w:rsidRDefault="00F8042D" w:rsidP="00F8042D">
      <w:pPr>
        <w:tabs>
          <w:tab w:val="left" w:pos="851"/>
        </w:tabs>
        <w:ind w:left="851"/>
        <w:rPr>
          <w:sz w:val="24"/>
          <w:szCs w:val="24"/>
          <w:lang w:val="en-GB"/>
        </w:rPr>
      </w:pPr>
      <w:r w:rsidRPr="00F8042D">
        <w:rPr>
          <w:sz w:val="24"/>
          <w:szCs w:val="24"/>
          <w:lang w:val="en-GB"/>
        </w:rPr>
        <w:t>Reporting suspected adverse reactions after authorisation of the medicinal product is important. It allows continued monitoring of the benefit/risk balance of the medicinal product. Healthcare professionals are asked to report any suspected adverse reactions via:</w:t>
      </w:r>
    </w:p>
    <w:p w14:paraId="2AD9515E" w14:textId="77777777" w:rsidR="00F8042D" w:rsidRPr="00F8042D" w:rsidRDefault="00F8042D" w:rsidP="00F8042D">
      <w:pPr>
        <w:tabs>
          <w:tab w:val="left" w:pos="851"/>
        </w:tabs>
        <w:ind w:left="851"/>
        <w:rPr>
          <w:sz w:val="24"/>
          <w:szCs w:val="24"/>
          <w:lang w:val="en-GB"/>
        </w:rPr>
      </w:pPr>
    </w:p>
    <w:p w14:paraId="6E134023" w14:textId="77777777" w:rsidR="00F8042D" w:rsidRPr="00F8042D" w:rsidRDefault="00F8042D" w:rsidP="00F8042D">
      <w:pPr>
        <w:tabs>
          <w:tab w:val="left" w:pos="851"/>
        </w:tabs>
        <w:ind w:left="851"/>
        <w:rPr>
          <w:sz w:val="24"/>
          <w:szCs w:val="24"/>
        </w:rPr>
      </w:pPr>
      <w:r w:rsidRPr="00F8042D">
        <w:rPr>
          <w:sz w:val="24"/>
          <w:szCs w:val="24"/>
        </w:rPr>
        <w:t>Lægemiddelstyrelsen</w:t>
      </w:r>
    </w:p>
    <w:p w14:paraId="7390795F" w14:textId="77777777" w:rsidR="00F8042D" w:rsidRPr="00F8042D" w:rsidRDefault="00F8042D" w:rsidP="00F8042D">
      <w:pPr>
        <w:tabs>
          <w:tab w:val="left" w:pos="851"/>
        </w:tabs>
        <w:ind w:left="851"/>
        <w:rPr>
          <w:sz w:val="24"/>
          <w:szCs w:val="24"/>
        </w:rPr>
      </w:pPr>
      <w:r w:rsidRPr="00F8042D">
        <w:rPr>
          <w:sz w:val="24"/>
          <w:szCs w:val="24"/>
        </w:rPr>
        <w:t>Axel Heides Gade 1</w:t>
      </w:r>
    </w:p>
    <w:p w14:paraId="088D18B1" w14:textId="77777777" w:rsidR="00F8042D" w:rsidRPr="00F8042D" w:rsidRDefault="00F8042D" w:rsidP="00F8042D">
      <w:pPr>
        <w:tabs>
          <w:tab w:val="left" w:pos="851"/>
        </w:tabs>
        <w:ind w:left="851"/>
        <w:rPr>
          <w:sz w:val="24"/>
          <w:szCs w:val="24"/>
        </w:rPr>
      </w:pPr>
      <w:r w:rsidRPr="00F8042D">
        <w:rPr>
          <w:sz w:val="24"/>
          <w:szCs w:val="24"/>
        </w:rPr>
        <w:t>DK-2300 København S</w:t>
      </w:r>
    </w:p>
    <w:p w14:paraId="27F8F66D" w14:textId="77777777" w:rsidR="00F8042D" w:rsidRPr="008E77A6" w:rsidRDefault="00F8042D" w:rsidP="00F8042D">
      <w:pPr>
        <w:tabs>
          <w:tab w:val="left" w:pos="851"/>
        </w:tabs>
        <w:ind w:left="851"/>
        <w:rPr>
          <w:sz w:val="24"/>
          <w:szCs w:val="24"/>
          <w:lang w:val="en-US"/>
        </w:rPr>
      </w:pPr>
      <w:r w:rsidRPr="008E77A6">
        <w:rPr>
          <w:sz w:val="24"/>
          <w:szCs w:val="24"/>
          <w:lang w:val="en-US"/>
        </w:rPr>
        <w:t>Website: www.meldenbivirkning.dk</w:t>
      </w:r>
    </w:p>
    <w:p w14:paraId="35E9A9E1" w14:textId="77777777" w:rsidR="007C5D2A" w:rsidRPr="00E81048" w:rsidRDefault="007C5D2A" w:rsidP="007A4CC6">
      <w:pPr>
        <w:tabs>
          <w:tab w:val="left" w:pos="851"/>
        </w:tabs>
        <w:ind w:left="851"/>
        <w:rPr>
          <w:sz w:val="24"/>
          <w:szCs w:val="24"/>
          <w:lang w:val="en-GB"/>
        </w:rPr>
      </w:pPr>
    </w:p>
    <w:p w14:paraId="6026EDE2" w14:textId="77777777" w:rsidR="007C5D2A" w:rsidRPr="00E81048" w:rsidRDefault="007C5D2A" w:rsidP="007C5D2A">
      <w:pPr>
        <w:tabs>
          <w:tab w:val="left" w:pos="851"/>
        </w:tabs>
        <w:ind w:left="851" w:hanging="851"/>
        <w:rPr>
          <w:b/>
          <w:sz w:val="24"/>
          <w:szCs w:val="24"/>
          <w:lang w:val="en-GB"/>
        </w:rPr>
      </w:pPr>
      <w:r w:rsidRPr="00E81048">
        <w:rPr>
          <w:b/>
          <w:sz w:val="24"/>
          <w:szCs w:val="24"/>
          <w:lang w:val="en-GB"/>
        </w:rPr>
        <w:t>4.9</w:t>
      </w:r>
      <w:r w:rsidRPr="00E81048">
        <w:rPr>
          <w:b/>
          <w:sz w:val="24"/>
          <w:szCs w:val="24"/>
          <w:lang w:val="en-GB"/>
        </w:rPr>
        <w:tab/>
        <w:t>Overdose</w:t>
      </w:r>
    </w:p>
    <w:p w14:paraId="7F2ACAC8" w14:textId="77777777" w:rsidR="00D2716F" w:rsidRPr="00D2716F" w:rsidRDefault="00D2716F" w:rsidP="000B2AF8">
      <w:pPr>
        <w:ind w:left="851"/>
        <w:rPr>
          <w:sz w:val="24"/>
          <w:szCs w:val="24"/>
          <w:lang w:val="en"/>
        </w:rPr>
      </w:pPr>
      <w:r w:rsidRPr="00D2716F">
        <w:rPr>
          <w:sz w:val="24"/>
          <w:szCs w:val="24"/>
          <w:lang w:val="en"/>
        </w:rPr>
        <w:t>In case of overdose, there is a risk of acute liver toxicity, particularly in the elderly, young children, in cases of hepatic or renal insufficiency, chronic alcoholism, chronic malnutrition, when using enzyme inducers and in adults under 50 kg.</w:t>
      </w:r>
    </w:p>
    <w:p w14:paraId="27B248CD" w14:textId="77777777" w:rsidR="00D2716F" w:rsidRPr="00D2716F" w:rsidRDefault="00D2716F" w:rsidP="000B2AF8">
      <w:pPr>
        <w:ind w:left="851"/>
        <w:rPr>
          <w:sz w:val="24"/>
          <w:szCs w:val="24"/>
          <w:lang w:val="en"/>
        </w:rPr>
      </w:pPr>
    </w:p>
    <w:p w14:paraId="7D9FBAE8" w14:textId="77777777" w:rsidR="00D2716F" w:rsidRPr="00D2716F" w:rsidRDefault="00D2716F" w:rsidP="000B2AF8">
      <w:pPr>
        <w:ind w:left="851"/>
        <w:rPr>
          <w:sz w:val="24"/>
          <w:szCs w:val="24"/>
          <w:lang w:val="en"/>
        </w:rPr>
      </w:pPr>
      <w:r w:rsidRPr="00D2716F">
        <w:rPr>
          <w:sz w:val="24"/>
          <w:szCs w:val="24"/>
          <w:lang w:val="en"/>
        </w:rPr>
        <w:t>Patients on long term treatment with carbamazepine, phenobarbital, phenytoin, primidone, rifampicin, St John’s Wort or other drugs that induce liver enzymes, also have a higher risk for overdose.</w:t>
      </w:r>
    </w:p>
    <w:p w14:paraId="73D25FB2" w14:textId="77777777" w:rsidR="00D2716F" w:rsidRPr="00D2716F" w:rsidRDefault="00D2716F" w:rsidP="000B2AF8">
      <w:pPr>
        <w:ind w:left="851"/>
        <w:rPr>
          <w:sz w:val="24"/>
          <w:szCs w:val="24"/>
          <w:lang w:val="en"/>
        </w:rPr>
      </w:pPr>
    </w:p>
    <w:p w14:paraId="68AE34F6" w14:textId="77777777" w:rsidR="00D2716F" w:rsidRPr="00D2716F" w:rsidRDefault="00D2716F" w:rsidP="000B2AF8">
      <w:pPr>
        <w:ind w:left="851"/>
        <w:rPr>
          <w:sz w:val="24"/>
          <w:szCs w:val="24"/>
          <w:lang w:val="en"/>
        </w:rPr>
      </w:pPr>
      <w:r w:rsidRPr="00D2716F">
        <w:rPr>
          <w:sz w:val="24"/>
          <w:szCs w:val="24"/>
          <w:lang w:val="en-GB"/>
        </w:rPr>
        <w:t xml:space="preserve">Hepatotoxicity often occurs only 24 to 48 hours after ingestion. An overdose can be fatal. In case of overdose, a doctor should be consulted immediately, even in the absence of symptoms. </w:t>
      </w:r>
    </w:p>
    <w:p w14:paraId="7E32A099" w14:textId="77777777" w:rsidR="00D2716F" w:rsidRPr="00D2716F" w:rsidRDefault="00D2716F" w:rsidP="000B2AF8">
      <w:pPr>
        <w:ind w:left="851"/>
        <w:rPr>
          <w:sz w:val="24"/>
          <w:szCs w:val="24"/>
          <w:lang w:val="en-US"/>
        </w:rPr>
      </w:pPr>
      <w:r w:rsidRPr="00D2716F">
        <w:rPr>
          <w:sz w:val="24"/>
          <w:szCs w:val="24"/>
          <w:lang w:val="en-GB"/>
        </w:rPr>
        <w:t xml:space="preserve">Nausea, vomiting, anorexia, pallor and abdominal pain usually appear within the first 24 hours. Significant overdose (from 10 g in adults, equivalent to 20 tablets) leads to acute liver toxicity, with hepatic cytolysis, leading to hepatocellular insufficiency, metabolic acidosis and encephalopathy, which can lead to coma and death. Increased levels of hepatic transaminases (AST, ALT), lactate dehydrogenase and bilirubin were also observed, in association with prolonged prothrombin time (12 to 48 hours after administration). </w:t>
      </w:r>
    </w:p>
    <w:p w14:paraId="7748089C" w14:textId="77777777" w:rsidR="00D2716F" w:rsidRPr="00D2716F" w:rsidRDefault="00D2716F" w:rsidP="000B2AF8">
      <w:pPr>
        <w:ind w:left="851"/>
        <w:rPr>
          <w:sz w:val="24"/>
          <w:szCs w:val="24"/>
          <w:lang w:val="en"/>
        </w:rPr>
      </w:pPr>
      <w:r w:rsidRPr="00D2716F">
        <w:rPr>
          <w:sz w:val="24"/>
          <w:szCs w:val="24"/>
          <w:lang w:val="en"/>
        </w:rPr>
        <w:t xml:space="preserve">Acute renal failure with acute tubular necrosis, strongly suggested by loin pain, </w:t>
      </w:r>
      <w:proofErr w:type="spellStart"/>
      <w:r w:rsidRPr="00D2716F">
        <w:rPr>
          <w:sz w:val="24"/>
          <w:szCs w:val="24"/>
          <w:lang w:val="en"/>
        </w:rPr>
        <w:t>haematuria</w:t>
      </w:r>
      <w:proofErr w:type="spellEnd"/>
      <w:r w:rsidRPr="00D2716F">
        <w:rPr>
          <w:sz w:val="24"/>
          <w:szCs w:val="24"/>
          <w:lang w:val="en"/>
        </w:rPr>
        <w:t xml:space="preserve"> and proteinuria, may develop even in the absence of severe liver damage. Cardiac arrhythmias and pancreatitis have been reported.</w:t>
      </w:r>
    </w:p>
    <w:p w14:paraId="217F52C4" w14:textId="77777777" w:rsidR="00D2716F" w:rsidRPr="00D2716F" w:rsidRDefault="00D2716F" w:rsidP="000B2AF8">
      <w:pPr>
        <w:ind w:left="851"/>
        <w:rPr>
          <w:sz w:val="24"/>
          <w:szCs w:val="24"/>
          <w:lang w:val="en"/>
        </w:rPr>
      </w:pPr>
    </w:p>
    <w:p w14:paraId="2C96FA0D" w14:textId="77777777" w:rsidR="00D2716F" w:rsidRPr="00D2716F" w:rsidRDefault="00D2716F" w:rsidP="000B2AF8">
      <w:pPr>
        <w:ind w:left="851"/>
        <w:rPr>
          <w:sz w:val="24"/>
          <w:szCs w:val="24"/>
          <w:lang w:val="en-GB"/>
        </w:rPr>
      </w:pPr>
      <w:r w:rsidRPr="00D2716F">
        <w:rPr>
          <w:sz w:val="24"/>
          <w:szCs w:val="24"/>
          <w:lang w:val="en"/>
        </w:rPr>
        <w:t xml:space="preserve">The threshold for liver toxicity may be lowered if the previously mentioned risk factors are present </w:t>
      </w:r>
      <w:r w:rsidRPr="00D2716F">
        <w:rPr>
          <w:sz w:val="24"/>
          <w:szCs w:val="24"/>
          <w:lang w:val="en-GB"/>
        </w:rPr>
        <w:t>(Ingestion of 5 g – equivalent to 10 tablets).</w:t>
      </w:r>
    </w:p>
    <w:p w14:paraId="37039E30" w14:textId="77777777" w:rsidR="00D2716F" w:rsidRPr="00D2716F" w:rsidRDefault="00D2716F" w:rsidP="000B2AF8">
      <w:pPr>
        <w:ind w:left="851"/>
        <w:rPr>
          <w:bCs/>
          <w:i/>
          <w:sz w:val="24"/>
          <w:szCs w:val="24"/>
          <w:lang w:val="en"/>
        </w:rPr>
      </w:pPr>
    </w:p>
    <w:p w14:paraId="20D86CA2" w14:textId="77777777" w:rsidR="00D2716F" w:rsidRPr="00D2716F" w:rsidRDefault="00D2716F" w:rsidP="000B2AF8">
      <w:pPr>
        <w:ind w:left="851"/>
        <w:rPr>
          <w:sz w:val="24"/>
          <w:szCs w:val="24"/>
          <w:lang w:val="en-GB"/>
        </w:rPr>
      </w:pPr>
      <w:r w:rsidRPr="00D2716F">
        <w:rPr>
          <w:sz w:val="24"/>
          <w:szCs w:val="24"/>
          <w:lang w:val="en-US"/>
        </w:rPr>
        <w:t>In case of paracetamol poisoning, local acute practices for paracetamol overdose should be followed.</w:t>
      </w:r>
    </w:p>
    <w:p w14:paraId="29CC4A7C" w14:textId="33D6C081" w:rsidR="00D2716F" w:rsidRPr="00D2716F" w:rsidRDefault="00D2716F" w:rsidP="000B2AF8">
      <w:pPr>
        <w:ind w:left="851"/>
        <w:rPr>
          <w:sz w:val="24"/>
          <w:szCs w:val="24"/>
          <w:lang w:val="en-GB"/>
        </w:rPr>
      </w:pPr>
      <w:r w:rsidRPr="00D2716F">
        <w:rPr>
          <w:sz w:val="24"/>
          <w:szCs w:val="24"/>
          <w:lang w:val="en-GB"/>
        </w:rPr>
        <w:t>Emergency procedure:</w:t>
      </w:r>
    </w:p>
    <w:p w14:paraId="1D524367" w14:textId="77777777" w:rsidR="00D2716F" w:rsidRPr="00D2716F" w:rsidRDefault="00D2716F" w:rsidP="000B2AF8">
      <w:pPr>
        <w:numPr>
          <w:ilvl w:val="0"/>
          <w:numId w:val="11"/>
        </w:numPr>
        <w:tabs>
          <w:tab w:val="clear" w:pos="284"/>
        </w:tabs>
        <w:ind w:left="1276" w:hanging="425"/>
        <w:rPr>
          <w:sz w:val="24"/>
          <w:szCs w:val="24"/>
          <w:lang w:val="en-GB"/>
        </w:rPr>
      </w:pPr>
      <w:r w:rsidRPr="00D2716F">
        <w:rPr>
          <w:sz w:val="24"/>
          <w:szCs w:val="24"/>
          <w:lang w:val="en-GB"/>
        </w:rPr>
        <w:t xml:space="preserve">immediate hospitalization even in the absence of obvious early symptoms. Symptoms may be limited to nausea or vomiting and may not reflect the severity of the overdose or the risk of organ </w:t>
      </w:r>
      <w:proofErr w:type="gramStart"/>
      <w:r w:rsidRPr="00D2716F">
        <w:rPr>
          <w:sz w:val="24"/>
          <w:szCs w:val="24"/>
          <w:lang w:val="en-GB"/>
        </w:rPr>
        <w:t>damage;</w:t>
      </w:r>
      <w:proofErr w:type="gramEnd"/>
    </w:p>
    <w:p w14:paraId="77F07D6A" w14:textId="77777777" w:rsidR="00D2716F" w:rsidRPr="00D2716F" w:rsidRDefault="00D2716F" w:rsidP="000B2AF8">
      <w:pPr>
        <w:numPr>
          <w:ilvl w:val="0"/>
          <w:numId w:val="11"/>
        </w:numPr>
        <w:tabs>
          <w:tab w:val="clear" w:pos="284"/>
        </w:tabs>
        <w:ind w:left="1276" w:hanging="425"/>
        <w:rPr>
          <w:sz w:val="24"/>
          <w:szCs w:val="24"/>
          <w:lang w:val="en-US"/>
        </w:rPr>
      </w:pPr>
      <w:r w:rsidRPr="00D2716F">
        <w:rPr>
          <w:sz w:val="24"/>
          <w:szCs w:val="24"/>
          <w:lang w:val="en-GB"/>
        </w:rPr>
        <w:t xml:space="preserve">blood sample, to determine the initial plasma concentration of </w:t>
      </w:r>
      <w:proofErr w:type="gramStart"/>
      <w:r w:rsidRPr="00D2716F">
        <w:rPr>
          <w:sz w:val="24"/>
          <w:szCs w:val="24"/>
          <w:lang w:val="en-GB"/>
        </w:rPr>
        <w:t>paracetamol;</w:t>
      </w:r>
      <w:proofErr w:type="gramEnd"/>
    </w:p>
    <w:p w14:paraId="600831C9" w14:textId="77777777" w:rsidR="00D2716F" w:rsidRPr="00D2716F" w:rsidRDefault="00D2716F" w:rsidP="000B2AF8">
      <w:pPr>
        <w:numPr>
          <w:ilvl w:val="0"/>
          <w:numId w:val="11"/>
        </w:numPr>
        <w:tabs>
          <w:tab w:val="clear" w:pos="284"/>
        </w:tabs>
        <w:ind w:left="1276" w:hanging="425"/>
        <w:rPr>
          <w:sz w:val="24"/>
          <w:szCs w:val="24"/>
          <w:lang w:val="en-US"/>
        </w:rPr>
      </w:pPr>
      <w:r w:rsidRPr="00D2716F">
        <w:rPr>
          <w:sz w:val="24"/>
          <w:szCs w:val="24"/>
          <w:lang w:val="en-GB"/>
        </w:rPr>
        <w:t xml:space="preserve">administration of the antidote N-acetylcysteine, intravenously or orally, if possible, within 8 hours after </w:t>
      </w:r>
      <w:proofErr w:type="gramStart"/>
      <w:r w:rsidRPr="00D2716F">
        <w:rPr>
          <w:sz w:val="24"/>
          <w:szCs w:val="24"/>
          <w:lang w:val="en-GB"/>
        </w:rPr>
        <w:t>ingestion;</w:t>
      </w:r>
      <w:proofErr w:type="gramEnd"/>
    </w:p>
    <w:p w14:paraId="356AC39D" w14:textId="77777777" w:rsidR="00D2716F" w:rsidRPr="00D2716F" w:rsidRDefault="00D2716F" w:rsidP="000B2AF8">
      <w:pPr>
        <w:numPr>
          <w:ilvl w:val="0"/>
          <w:numId w:val="11"/>
        </w:numPr>
        <w:tabs>
          <w:tab w:val="clear" w:pos="284"/>
        </w:tabs>
        <w:ind w:left="1276" w:hanging="425"/>
        <w:rPr>
          <w:sz w:val="24"/>
          <w:szCs w:val="24"/>
          <w:lang w:val="en-US"/>
        </w:rPr>
      </w:pPr>
      <w:r w:rsidRPr="00D2716F">
        <w:rPr>
          <w:sz w:val="24"/>
          <w:szCs w:val="24"/>
          <w:lang w:val="en-GB"/>
        </w:rPr>
        <w:t xml:space="preserve">administration of activated charcoal, if possible, within one hour after </w:t>
      </w:r>
      <w:proofErr w:type="gramStart"/>
      <w:r w:rsidRPr="00D2716F">
        <w:rPr>
          <w:sz w:val="24"/>
          <w:szCs w:val="24"/>
          <w:lang w:val="en-GB"/>
        </w:rPr>
        <w:t>ingestion;</w:t>
      </w:r>
      <w:proofErr w:type="gramEnd"/>
      <w:r w:rsidRPr="00D2716F">
        <w:rPr>
          <w:sz w:val="24"/>
          <w:szCs w:val="24"/>
          <w:lang w:val="en-GB"/>
        </w:rPr>
        <w:t xml:space="preserve"> </w:t>
      </w:r>
    </w:p>
    <w:p w14:paraId="5BDF1E79" w14:textId="77777777" w:rsidR="00D2716F" w:rsidRPr="00D2716F" w:rsidRDefault="00D2716F" w:rsidP="000B2AF8">
      <w:pPr>
        <w:numPr>
          <w:ilvl w:val="0"/>
          <w:numId w:val="11"/>
        </w:numPr>
        <w:tabs>
          <w:tab w:val="clear" w:pos="284"/>
        </w:tabs>
        <w:ind w:left="1276" w:hanging="425"/>
        <w:rPr>
          <w:i/>
          <w:sz w:val="24"/>
          <w:szCs w:val="24"/>
          <w:lang w:val="en"/>
        </w:rPr>
      </w:pPr>
      <w:r w:rsidRPr="00D2716F">
        <w:rPr>
          <w:sz w:val="24"/>
          <w:szCs w:val="24"/>
          <w:lang w:val="en-GB"/>
        </w:rPr>
        <w:t>symptomatic treatment.</w:t>
      </w:r>
    </w:p>
    <w:p w14:paraId="7CFB6FC2" w14:textId="77777777" w:rsidR="007C5D2A" w:rsidRPr="00E81048" w:rsidRDefault="007C5D2A" w:rsidP="003E0341">
      <w:pPr>
        <w:tabs>
          <w:tab w:val="left" w:pos="851"/>
        </w:tabs>
        <w:ind w:left="851"/>
        <w:rPr>
          <w:sz w:val="24"/>
          <w:szCs w:val="24"/>
          <w:lang w:val="en-GB"/>
        </w:rPr>
      </w:pPr>
    </w:p>
    <w:p w14:paraId="54FB54F8" w14:textId="77777777" w:rsidR="008F2F8C" w:rsidRPr="00E81048" w:rsidRDefault="0042292D" w:rsidP="0042292D">
      <w:pPr>
        <w:tabs>
          <w:tab w:val="left" w:pos="851"/>
        </w:tabs>
        <w:rPr>
          <w:b/>
          <w:sz w:val="24"/>
          <w:szCs w:val="24"/>
          <w:lang w:val="en-GB"/>
        </w:rPr>
      </w:pPr>
      <w:r w:rsidRPr="00E81048">
        <w:rPr>
          <w:b/>
          <w:sz w:val="24"/>
          <w:szCs w:val="24"/>
          <w:lang w:val="en-GB"/>
        </w:rPr>
        <w:t>4.10</w:t>
      </w:r>
      <w:r w:rsidRPr="00E81048">
        <w:rPr>
          <w:b/>
          <w:sz w:val="24"/>
          <w:szCs w:val="24"/>
          <w:lang w:val="en-GB"/>
        </w:rPr>
        <w:tab/>
        <w:t>Legal status</w:t>
      </w:r>
    </w:p>
    <w:p w14:paraId="48F792B9" w14:textId="2F567E13" w:rsidR="00AD2E36" w:rsidRPr="00E81048" w:rsidRDefault="001C6F5C" w:rsidP="00AD2E36">
      <w:pPr>
        <w:tabs>
          <w:tab w:val="left" w:pos="851"/>
        </w:tabs>
        <w:ind w:left="851"/>
        <w:rPr>
          <w:sz w:val="24"/>
          <w:szCs w:val="24"/>
          <w:lang w:val="en-GB"/>
        </w:rPr>
      </w:pPr>
      <w:r>
        <w:rPr>
          <w:sz w:val="24"/>
          <w:szCs w:val="24"/>
          <w:lang w:val="en-GB"/>
        </w:rPr>
        <w:t>B</w:t>
      </w:r>
    </w:p>
    <w:p w14:paraId="5CC49ADF" w14:textId="77777777" w:rsidR="007C5D2A" w:rsidRPr="00E81048" w:rsidRDefault="007C5D2A" w:rsidP="003E0341">
      <w:pPr>
        <w:tabs>
          <w:tab w:val="left" w:pos="851"/>
        </w:tabs>
        <w:ind w:left="851"/>
        <w:rPr>
          <w:sz w:val="24"/>
          <w:szCs w:val="24"/>
          <w:lang w:val="en-GB"/>
        </w:rPr>
      </w:pPr>
    </w:p>
    <w:p w14:paraId="7D764AC7" w14:textId="77777777" w:rsidR="00AD2E36" w:rsidRPr="00E81048" w:rsidRDefault="00AD2E36" w:rsidP="003E0341">
      <w:pPr>
        <w:tabs>
          <w:tab w:val="left" w:pos="851"/>
        </w:tabs>
        <w:ind w:left="851"/>
        <w:rPr>
          <w:sz w:val="24"/>
          <w:szCs w:val="24"/>
          <w:lang w:val="en-GB"/>
        </w:rPr>
      </w:pPr>
    </w:p>
    <w:p w14:paraId="3E1FB878" w14:textId="77777777" w:rsidR="007C5D2A" w:rsidRPr="00E81048" w:rsidRDefault="007C5D2A" w:rsidP="007C5D2A">
      <w:pPr>
        <w:tabs>
          <w:tab w:val="left" w:pos="851"/>
        </w:tabs>
        <w:rPr>
          <w:b/>
          <w:sz w:val="24"/>
          <w:szCs w:val="24"/>
          <w:lang w:val="en-GB"/>
        </w:rPr>
      </w:pPr>
      <w:r w:rsidRPr="00E81048">
        <w:rPr>
          <w:b/>
          <w:sz w:val="24"/>
          <w:szCs w:val="24"/>
          <w:lang w:val="en-GB"/>
        </w:rPr>
        <w:t>5.</w:t>
      </w:r>
      <w:r w:rsidRPr="00E81048">
        <w:rPr>
          <w:b/>
          <w:sz w:val="24"/>
          <w:szCs w:val="24"/>
          <w:lang w:val="en-GB"/>
        </w:rPr>
        <w:tab/>
        <w:t>PHARMACOLOGICAL PROPERTIES</w:t>
      </w:r>
    </w:p>
    <w:p w14:paraId="61F496F4" w14:textId="77777777" w:rsidR="007C5D2A" w:rsidRPr="00E81048" w:rsidRDefault="007C5D2A" w:rsidP="003E0341">
      <w:pPr>
        <w:tabs>
          <w:tab w:val="left" w:pos="851"/>
        </w:tabs>
        <w:ind w:left="851"/>
        <w:rPr>
          <w:sz w:val="24"/>
          <w:szCs w:val="24"/>
          <w:lang w:val="en-GB"/>
        </w:rPr>
      </w:pPr>
    </w:p>
    <w:p w14:paraId="7F4FF3CA" w14:textId="77777777" w:rsidR="007C5D2A" w:rsidRPr="00E81048" w:rsidRDefault="007C5D2A" w:rsidP="007C5D2A">
      <w:pPr>
        <w:tabs>
          <w:tab w:val="left" w:pos="851"/>
        </w:tabs>
        <w:ind w:left="851" w:hanging="851"/>
        <w:rPr>
          <w:b/>
          <w:sz w:val="24"/>
          <w:szCs w:val="24"/>
          <w:lang w:val="en-GB"/>
        </w:rPr>
      </w:pPr>
      <w:r w:rsidRPr="00E81048">
        <w:rPr>
          <w:b/>
          <w:sz w:val="24"/>
          <w:szCs w:val="24"/>
          <w:lang w:val="en-GB"/>
        </w:rPr>
        <w:t>5.1</w:t>
      </w:r>
      <w:r w:rsidRPr="00E81048">
        <w:rPr>
          <w:b/>
          <w:sz w:val="24"/>
          <w:szCs w:val="24"/>
          <w:lang w:val="en-GB"/>
        </w:rPr>
        <w:tab/>
        <w:t>Pharmacodynamic properties</w:t>
      </w:r>
      <w:r w:rsidRPr="00E81048">
        <w:rPr>
          <w:b/>
          <w:sz w:val="24"/>
          <w:szCs w:val="24"/>
          <w:lang w:val="en-GB"/>
        </w:rPr>
        <w:tab/>
      </w:r>
    </w:p>
    <w:p w14:paraId="4B3707C6" w14:textId="781F89E6" w:rsidR="00D2716F" w:rsidRPr="00D2716F" w:rsidRDefault="00D2716F" w:rsidP="000B2AF8">
      <w:pPr>
        <w:ind w:left="851"/>
        <w:rPr>
          <w:sz w:val="24"/>
          <w:szCs w:val="24"/>
          <w:lang w:val="en-GB"/>
        </w:rPr>
      </w:pPr>
      <w:bookmarkStart w:id="14" w:name="_Hlk183444502"/>
      <w:r w:rsidRPr="00D2716F">
        <w:rPr>
          <w:sz w:val="24"/>
          <w:szCs w:val="24"/>
          <w:lang w:val="en-GB"/>
        </w:rPr>
        <w:t>Pharmacotherapeutic group: other analgesics and antipyretics-anilides</w:t>
      </w:r>
      <w:r w:rsidR="00C9441A">
        <w:rPr>
          <w:sz w:val="24"/>
          <w:szCs w:val="24"/>
          <w:lang w:val="en-GB"/>
        </w:rPr>
        <w:t xml:space="preserve">, </w:t>
      </w:r>
      <w:r w:rsidRPr="00D2716F">
        <w:rPr>
          <w:sz w:val="24"/>
          <w:szCs w:val="24"/>
          <w:lang w:val="en-GB"/>
        </w:rPr>
        <w:t>ATC code: N02BE01</w:t>
      </w:r>
      <w:r w:rsidR="00C9441A">
        <w:rPr>
          <w:sz w:val="24"/>
          <w:szCs w:val="24"/>
          <w:lang w:val="en-GB"/>
        </w:rPr>
        <w:t>.</w:t>
      </w:r>
    </w:p>
    <w:bookmarkEnd w:id="14"/>
    <w:p w14:paraId="19320C0D" w14:textId="77777777" w:rsidR="00D2716F" w:rsidRPr="00D2716F" w:rsidRDefault="00D2716F" w:rsidP="000B2AF8">
      <w:pPr>
        <w:ind w:left="851"/>
        <w:rPr>
          <w:sz w:val="24"/>
          <w:szCs w:val="24"/>
          <w:lang w:val="en-GB"/>
        </w:rPr>
      </w:pPr>
    </w:p>
    <w:p w14:paraId="30050F63" w14:textId="77777777" w:rsidR="00D2716F" w:rsidRPr="00D2716F" w:rsidRDefault="00D2716F" w:rsidP="000B2AF8">
      <w:pPr>
        <w:ind w:left="851"/>
        <w:rPr>
          <w:sz w:val="24"/>
          <w:szCs w:val="24"/>
          <w:lang w:val="en-GB"/>
        </w:rPr>
      </w:pPr>
      <w:r w:rsidRPr="00D2716F">
        <w:rPr>
          <w:sz w:val="24"/>
          <w:szCs w:val="24"/>
          <w:lang w:val="en-GB"/>
        </w:rPr>
        <w:t xml:space="preserve">Paracetamol is an antipyretic and analgesic. It has no anti-inflammatory properties. Paracetamol primarily produces antipyresis through action on the hypothalamic heat-regulation centre and analgesia by elevation of the pain threshold. </w:t>
      </w:r>
    </w:p>
    <w:p w14:paraId="4D2C1970" w14:textId="242F7DFD" w:rsidR="00D2716F" w:rsidRPr="00D2716F" w:rsidRDefault="00D2716F" w:rsidP="000B2AF8">
      <w:pPr>
        <w:ind w:left="851"/>
        <w:rPr>
          <w:sz w:val="24"/>
          <w:szCs w:val="24"/>
          <w:lang w:val="en-GB"/>
        </w:rPr>
      </w:pPr>
      <w:r w:rsidRPr="00D2716F">
        <w:rPr>
          <w:sz w:val="24"/>
          <w:szCs w:val="24"/>
          <w:lang w:val="en-GB"/>
        </w:rPr>
        <w:t>The mechanism of action is complex and not fully understood but considered predominantly central and not fully explained by classical COX inhibition. Paracetamol produces its analgesic and antipyretic effects from the inhibition of prostaglandin synthesis. Prostaglandins appear to sensitize pain receptors and to mediate increases in body temperature.</w:t>
      </w:r>
    </w:p>
    <w:p w14:paraId="30825A04" w14:textId="77777777" w:rsidR="007C5D2A" w:rsidRPr="00E81048" w:rsidRDefault="007C5D2A" w:rsidP="003E0341">
      <w:pPr>
        <w:tabs>
          <w:tab w:val="left" w:pos="851"/>
        </w:tabs>
        <w:ind w:left="851"/>
        <w:rPr>
          <w:sz w:val="24"/>
          <w:szCs w:val="24"/>
          <w:lang w:val="en-GB"/>
        </w:rPr>
      </w:pPr>
    </w:p>
    <w:p w14:paraId="13C40C7E" w14:textId="4D0119A4" w:rsidR="007C5D2A" w:rsidRPr="00E81048" w:rsidRDefault="007C5D2A" w:rsidP="007C5D2A">
      <w:pPr>
        <w:tabs>
          <w:tab w:val="left" w:pos="851"/>
        </w:tabs>
        <w:ind w:left="851" w:hanging="851"/>
        <w:rPr>
          <w:b/>
          <w:sz w:val="24"/>
          <w:szCs w:val="24"/>
          <w:lang w:val="en-GB"/>
        </w:rPr>
      </w:pPr>
      <w:r w:rsidRPr="00E81048">
        <w:rPr>
          <w:b/>
          <w:sz w:val="24"/>
          <w:szCs w:val="24"/>
          <w:lang w:val="en-GB"/>
        </w:rPr>
        <w:t>5.2</w:t>
      </w:r>
      <w:r w:rsidRPr="00E81048">
        <w:rPr>
          <w:b/>
          <w:sz w:val="24"/>
          <w:szCs w:val="24"/>
          <w:lang w:val="en-GB"/>
        </w:rPr>
        <w:tab/>
        <w:t>Pharmacokinetic properties</w:t>
      </w:r>
    </w:p>
    <w:p w14:paraId="43FA2F49" w14:textId="77777777" w:rsidR="00D2716F" w:rsidRPr="00D2716F" w:rsidRDefault="00D2716F" w:rsidP="00D2716F">
      <w:pPr>
        <w:tabs>
          <w:tab w:val="left" w:pos="851"/>
        </w:tabs>
        <w:ind w:left="851"/>
        <w:rPr>
          <w:sz w:val="24"/>
          <w:szCs w:val="24"/>
          <w:lang w:val="en-GB"/>
        </w:rPr>
      </w:pPr>
    </w:p>
    <w:p w14:paraId="6FF4D33E" w14:textId="77777777" w:rsidR="00D2716F" w:rsidRPr="00D2716F" w:rsidRDefault="00D2716F" w:rsidP="000B2AF8">
      <w:pPr>
        <w:ind w:left="851"/>
        <w:rPr>
          <w:sz w:val="24"/>
          <w:szCs w:val="24"/>
          <w:u w:val="single"/>
          <w:lang w:val="en-GB"/>
        </w:rPr>
      </w:pPr>
      <w:r w:rsidRPr="00D2716F">
        <w:rPr>
          <w:sz w:val="24"/>
          <w:szCs w:val="24"/>
          <w:u w:val="single"/>
          <w:lang w:val="en-GB"/>
        </w:rPr>
        <w:t>Absorption</w:t>
      </w:r>
    </w:p>
    <w:p w14:paraId="1E58D58E" w14:textId="77777777" w:rsidR="00D2716F" w:rsidRPr="00D2716F" w:rsidRDefault="00D2716F" w:rsidP="000B2AF8">
      <w:pPr>
        <w:ind w:left="851"/>
        <w:rPr>
          <w:sz w:val="24"/>
          <w:szCs w:val="24"/>
          <w:lang w:val="en-GB"/>
        </w:rPr>
      </w:pPr>
      <w:r w:rsidRPr="00D2716F">
        <w:rPr>
          <w:sz w:val="24"/>
          <w:szCs w:val="24"/>
          <w:lang w:val="en-GB"/>
        </w:rPr>
        <w:t>The absorption of paracetamol for oral use is complete and fast. Maximum plasma concentrations are reached 30 to 60 minutes after ingestion.</w:t>
      </w:r>
    </w:p>
    <w:p w14:paraId="74E6F580" w14:textId="77777777" w:rsidR="001C6F5C" w:rsidRDefault="001C6F5C" w:rsidP="000B2AF8">
      <w:pPr>
        <w:ind w:left="851"/>
        <w:rPr>
          <w:sz w:val="24"/>
          <w:szCs w:val="24"/>
          <w:u w:val="single"/>
          <w:lang w:val="en-GB"/>
        </w:rPr>
      </w:pPr>
    </w:p>
    <w:p w14:paraId="51056EF1" w14:textId="3E419466" w:rsidR="00D2716F" w:rsidRPr="00D2716F" w:rsidRDefault="00D2716F" w:rsidP="000B2AF8">
      <w:pPr>
        <w:ind w:left="851"/>
        <w:rPr>
          <w:sz w:val="24"/>
          <w:szCs w:val="24"/>
          <w:u w:val="single"/>
          <w:lang w:val="en-GB"/>
        </w:rPr>
      </w:pPr>
      <w:r w:rsidRPr="00D2716F">
        <w:rPr>
          <w:sz w:val="24"/>
          <w:szCs w:val="24"/>
          <w:u w:val="single"/>
          <w:lang w:val="en-GB"/>
        </w:rPr>
        <w:t>Distribution</w:t>
      </w:r>
    </w:p>
    <w:p w14:paraId="587E02E5" w14:textId="77777777" w:rsidR="00D2716F" w:rsidRPr="00D2716F" w:rsidRDefault="00D2716F" w:rsidP="000B2AF8">
      <w:pPr>
        <w:ind w:left="851"/>
        <w:rPr>
          <w:sz w:val="24"/>
          <w:szCs w:val="24"/>
          <w:lang w:val="en-GB"/>
        </w:rPr>
      </w:pPr>
      <w:r w:rsidRPr="00D2716F">
        <w:rPr>
          <w:sz w:val="24"/>
          <w:szCs w:val="24"/>
          <w:lang w:val="en-GB"/>
        </w:rPr>
        <w:t>Paracetamol is distributed rapidly throughout all tissues.</w:t>
      </w:r>
    </w:p>
    <w:p w14:paraId="7541E1E1" w14:textId="77777777" w:rsidR="00D2716F" w:rsidRPr="00D2716F" w:rsidRDefault="00D2716F" w:rsidP="000B2AF8">
      <w:pPr>
        <w:ind w:left="851"/>
        <w:rPr>
          <w:sz w:val="24"/>
          <w:szCs w:val="24"/>
          <w:lang w:val="en-GB"/>
        </w:rPr>
      </w:pPr>
      <w:r w:rsidRPr="00D2716F">
        <w:rPr>
          <w:sz w:val="24"/>
          <w:szCs w:val="24"/>
          <w:lang w:val="en-GB"/>
        </w:rPr>
        <w:t>Plasma protein binding is low (10-20%) but might reach moderate level at high doses or in case of intoxication.</w:t>
      </w:r>
    </w:p>
    <w:p w14:paraId="5514906E" w14:textId="77777777" w:rsidR="001C6F5C" w:rsidRDefault="001C6F5C" w:rsidP="000B2AF8">
      <w:pPr>
        <w:ind w:left="851"/>
        <w:rPr>
          <w:sz w:val="24"/>
          <w:szCs w:val="24"/>
          <w:u w:val="single"/>
          <w:lang w:val="en-GB"/>
        </w:rPr>
      </w:pPr>
    </w:p>
    <w:p w14:paraId="7B837B02" w14:textId="5B6537A5" w:rsidR="00D2716F" w:rsidRPr="00D2716F" w:rsidRDefault="00D2716F" w:rsidP="000B2AF8">
      <w:pPr>
        <w:ind w:left="851"/>
        <w:rPr>
          <w:sz w:val="24"/>
          <w:szCs w:val="24"/>
          <w:u w:val="single"/>
          <w:lang w:val="en-GB"/>
        </w:rPr>
      </w:pPr>
      <w:r w:rsidRPr="00D2716F">
        <w:rPr>
          <w:sz w:val="24"/>
          <w:szCs w:val="24"/>
          <w:u w:val="single"/>
          <w:lang w:val="en-GB"/>
        </w:rPr>
        <w:t>Biotransformation</w:t>
      </w:r>
    </w:p>
    <w:p w14:paraId="7E12E8BE" w14:textId="77777777" w:rsidR="00D2716F" w:rsidRPr="00D2716F" w:rsidRDefault="00D2716F" w:rsidP="000B2AF8">
      <w:pPr>
        <w:ind w:left="851"/>
        <w:rPr>
          <w:sz w:val="24"/>
          <w:szCs w:val="24"/>
          <w:lang w:val="en-GB"/>
        </w:rPr>
      </w:pPr>
      <w:r w:rsidRPr="00D2716F">
        <w:rPr>
          <w:sz w:val="24"/>
          <w:szCs w:val="24"/>
          <w:lang w:val="en-GB"/>
        </w:rPr>
        <w:t xml:space="preserve">Paracetamol is metabolised extensively in the liver. The two major metabolic routes are conjugation with glucuronic acid and sulphate. The latter route can be rapidly saturated at posology that exceed the therapeutic doses. A minor route, catalysed by the P450 cytochrome, is the formation of a reactive intermediate (N-acetyl </w:t>
      </w:r>
      <w:proofErr w:type="spellStart"/>
      <w:r w:rsidRPr="00D2716F">
        <w:rPr>
          <w:sz w:val="24"/>
          <w:szCs w:val="24"/>
          <w:lang w:val="en-GB"/>
        </w:rPr>
        <w:t>benzoquinoneimine</w:t>
      </w:r>
      <w:proofErr w:type="spellEnd"/>
      <w:r w:rsidRPr="00D2716F">
        <w:rPr>
          <w:sz w:val="24"/>
          <w:szCs w:val="24"/>
          <w:lang w:val="en-GB"/>
        </w:rPr>
        <w:t>), which, under normal conditions of use, is rapidly detoxified by the reduced glutathione and eliminated in the urine after conjugation with cysteine and mercapturic acid.</w:t>
      </w:r>
    </w:p>
    <w:p w14:paraId="3677CC51" w14:textId="77777777" w:rsidR="00D2716F" w:rsidRPr="00D2716F" w:rsidRDefault="00D2716F" w:rsidP="000B2AF8">
      <w:pPr>
        <w:ind w:left="851"/>
        <w:rPr>
          <w:sz w:val="24"/>
          <w:szCs w:val="24"/>
          <w:lang w:val="en-GB"/>
        </w:rPr>
      </w:pPr>
      <w:r w:rsidRPr="00D2716F">
        <w:rPr>
          <w:sz w:val="24"/>
          <w:szCs w:val="24"/>
          <w:lang w:val="en-GB"/>
        </w:rPr>
        <w:t>However, during massive intoxications, the quantity of this toxic metabolite is increased.</w:t>
      </w:r>
    </w:p>
    <w:p w14:paraId="39A76980" w14:textId="77777777" w:rsidR="001C6F5C" w:rsidRDefault="001C6F5C" w:rsidP="000B2AF8">
      <w:pPr>
        <w:ind w:left="851"/>
        <w:rPr>
          <w:sz w:val="24"/>
          <w:szCs w:val="24"/>
          <w:u w:val="single"/>
          <w:lang w:val="en-US"/>
        </w:rPr>
      </w:pPr>
    </w:p>
    <w:p w14:paraId="2CE60CAE" w14:textId="10F59D7C" w:rsidR="00D2716F" w:rsidRPr="00D2716F" w:rsidRDefault="00D2716F" w:rsidP="000B2AF8">
      <w:pPr>
        <w:ind w:left="851"/>
        <w:rPr>
          <w:sz w:val="24"/>
          <w:szCs w:val="24"/>
          <w:u w:val="single"/>
          <w:lang w:val="en-US"/>
        </w:rPr>
      </w:pPr>
      <w:r w:rsidRPr="00D2716F">
        <w:rPr>
          <w:sz w:val="24"/>
          <w:szCs w:val="24"/>
          <w:u w:val="single"/>
          <w:lang w:val="en-US"/>
        </w:rPr>
        <w:t>Elimination</w:t>
      </w:r>
    </w:p>
    <w:p w14:paraId="10812D1B" w14:textId="77777777" w:rsidR="00D2716F" w:rsidRPr="00D2716F" w:rsidRDefault="00D2716F" w:rsidP="000B2AF8">
      <w:pPr>
        <w:ind w:left="851"/>
        <w:rPr>
          <w:sz w:val="24"/>
          <w:szCs w:val="24"/>
          <w:lang w:val="en-GB"/>
        </w:rPr>
      </w:pPr>
      <w:r w:rsidRPr="00D2716F">
        <w:rPr>
          <w:sz w:val="24"/>
          <w:szCs w:val="24"/>
          <w:lang w:val="en-US"/>
        </w:rPr>
        <w:t xml:space="preserve">Excretion is primarily urinary. 90% of the ingested dose is excreted by the kidney in 24 hours, mainly in </w:t>
      </w:r>
      <w:r w:rsidRPr="00D2716F">
        <w:rPr>
          <w:sz w:val="24"/>
          <w:szCs w:val="24"/>
          <w:lang w:val="en-GB"/>
        </w:rPr>
        <w:t>the form of glucuronide (60 to 80%) and sulphate (20 to 30%) conjugates. Less than 5% is eliminated unchanged. The elimination half-life varies from about 1 to 4 hours. In case of serious renal impairment, the excretion of paracetamol and its metabolites is delayed. The conjugation capacity in the elderly is unchanged.</w:t>
      </w:r>
    </w:p>
    <w:p w14:paraId="5F4849F3" w14:textId="77777777" w:rsidR="007C5D2A" w:rsidRPr="00E81048" w:rsidRDefault="007C5D2A" w:rsidP="003E0341">
      <w:pPr>
        <w:tabs>
          <w:tab w:val="left" w:pos="851"/>
        </w:tabs>
        <w:ind w:left="851"/>
        <w:rPr>
          <w:sz w:val="24"/>
          <w:szCs w:val="24"/>
          <w:lang w:val="en-GB"/>
        </w:rPr>
      </w:pPr>
    </w:p>
    <w:p w14:paraId="7349DAF2" w14:textId="77777777" w:rsidR="007C5D2A" w:rsidRPr="00E81048" w:rsidRDefault="00180A12" w:rsidP="007C5D2A">
      <w:pPr>
        <w:tabs>
          <w:tab w:val="left" w:pos="851"/>
        </w:tabs>
        <w:ind w:left="851" w:hanging="851"/>
        <w:rPr>
          <w:b/>
          <w:sz w:val="24"/>
          <w:szCs w:val="24"/>
          <w:lang w:val="en-GB"/>
        </w:rPr>
      </w:pPr>
      <w:r w:rsidRPr="00E81048">
        <w:rPr>
          <w:b/>
          <w:sz w:val="24"/>
          <w:szCs w:val="24"/>
          <w:lang w:val="en-GB"/>
        </w:rPr>
        <w:t>5.3</w:t>
      </w:r>
      <w:r w:rsidRPr="00E81048">
        <w:rPr>
          <w:b/>
          <w:sz w:val="24"/>
          <w:szCs w:val="24"/>
          <w:lang w:val="en-GB"/>
        </w:rPr>
        <w:tab/>
        <w:t>Preclinical safety data</w:t>
      </w:r>
    </w:p>
    <w:p w14:paraId="6A61DA18" w14:textId="77777777" w:rsidR="001C6F5C" w:rsidRPr="001C6F5C" w:rsidRDefault="001C6F5C" w:rsidP="000B2AF8">
      <w:pPr>
        <w:ind w:left="851"/>
        <w:rPr>
          <w:bCs/>
          <w:sz w:val="24"/>
          <w:szCs w:val="24"/>
          <w:lang w:val="en"/>
        </w:rPr>
      </w:pPr>
    </w:p>
    <w:p w14:paraId="3535DA00" w14:textId="668729F7" w:rsidR="00D2716F" w:rsidRPr="00D2716F" w:rsidRDefault="00D2716F" w:rsidP="000B2AF8">
      <w:pPr>
        <w:ind w:left="851"/>
        <w:rPr>
          <w:bCs/>
          <w:sz w:val="24"/>
          <w:szCs w:val="24"/>
          <w:lang w:val="en"/>
        </w:rPr>
      </w:pPr>
      <w:r w:rsidRPr="00D2716F">
        <w:rPr>
          <w:b/>
          <w:sz w:val="24"/>
          <w:szCs w:val="24"/>
          <w:lang w:val="en"/>
        </w:rPr>
        <w:t>Non-clinical information is derived from literature data.</w:t>
      </w:r>
      <w:r w:rsidRPr="00D2716F">
        <w:rPr>
          <w:bCs/>
          <w:sz w:val="24"/>
          <w:szCs w:val="24"/>
          <w:lang w:val="en"/>
        </w:rPr>
        <w:t xml:space="preserve"> </w:t>
      </w:r>
    </w:p>
    <w:p w14:paraId="6DF8F163" w14:textId="77777777" w:rsidR="00D2716F" w:rsidRPr="00D2716F" w:rsidRDefault="00D2716F" w:rsidP="000B2AF8">
      <w:pPr>
        <w:ind w:left="851"/>
        <w:rPr>
          <w:sz w:val="24"/>
          <w:szCs w:val="24"/>
          <w:lang w:val="en"/>
        </w:rPr>
      </w:pPr>
    </w:p>
    <w:p w14:paraId="0251566F" w14:textId="77777777" w:rsidR="00D2716F" w:rsidRPr="00D2716F" w:rsidRDefault="00D2716F" w:rsidP="000B2AF8">
      <w:pPr>
        <w:ind w:left="851"/>
        <w:rPr>
          <w:sz w:val="24"/>
          <w:szCs w:val="24"/>
          <w:lang w:val="en"/>
        </w:rPr>
      </w:pPr>
      <w:r w:rsidRPr="00D2716F">
        <w:rPr>
          <w:sz w:val="24"/>
          <w:szCs w:val="24"/>
          <w:lang w:val="en"/>
        </w:rPr>
        <w:t>Non-clinical literature data reveal no special hazard for humans based on studies of repeated dose toxicity, genotoxicity, carcinogenic potential, and toxicity to reproduction and development.</w:t>
      </w:r>
    </w:p>
    <w:p w14:paraId="056D905B" w14:textId="77777777" w:rsidR="00D2716F" w:rsidRPr="00D2716F" w:rsidRDefault="00D2716F" w:rsidP="000B2AF8">
      <w:pPr>
        <w:ind w:left="851"/>
        <w:rPr>
          <w:sz w:val="24"/>
          <w:szCs w:val="24"/>
          <w:lang w:val="en-US"/>
        </w:rPr>
      </w:pPr>
      <w:r w:rsidRPr="00D2716F">
        <w:rPr>
          <w:iCs/>
          <w:sz w:val="24"/>
          <w:szCs w:val="24"/>
          <w:lang w:val="en-US"/>
        </w:rPr>
        <w:t xml:space="preserve">In animal studies, high doses of paracetamol produced dose-dependent hepatotoxicity and nephrotoxicity, associated with the formation of a reactive metabolite leading to hepatic necrosis. These findings are consistent with the known effects of paracetamol overdose in humans. </w:t>
      </w:r>
    </w:p>
    <w:p w14:paraId="5747B718" w14:textId="77777777" w:rsidR="00D2716F" w:rsidRPr="00D2716F" w:rsidRDefault="00D2716F" w:rsidP="000B2AF8">
      <w:pPr>
        <w:ind w:left="851"/>
        <w:rPr>
          <w:b/>
          <w:sz w:val="24"/>
          <w:szCs w:val="24"/>
          <w:lang w:val="en"/>
        </w:rPr>
      </w:pPr>
      <w:r w:rsidRPr="00D2716F">
        <w:rPr>
          <w:iCs/>
          <w:sz w:val="24"/>
          <w:szCs w:val="24"/>
          <w:lang w:val="en-GB" w:bidi="en-US"/>
        </w:rPr>
        <w:t xml:space="preserve">Paracetamol has been evaluated in a range of in vitro and in vivo genotoxicity assays, as well as in long-term carcinogenicity studies in rodents. </w:t>
      </w:r>
      <w:r w:rsidRPr="00D2716F">
        <w:rPr>
          <w:b/>
          <w:sz w:val="24"/>
          <w:szCs w:val="24"/>
          <w:lang w:val="en"/>
        </w:rPr>
        <w:t xml:space="preserve">Based on a weight-of-evidence approach, paracetamol is considered non-genotoxic and non-carcinogenic at clinically relevant dose levels when administered short-term. </w:t>
      </w:r>
    </w:p>
    <w:p w14:paraId="7D170D67" w14:textId="77777777" w:rsidR="007C5D2A" w:rsidRPr="00E81048" w:rsidRDefault="007C5D2A" w:rsidP="003E0341">
      <w:pPr>
        <w:tabs>
          <w:tab w:val="left" w:pos="851"/>
        </w:tabs>
        <w:ind w:left="851"/>
        <w:rPr>
          <w:sz w:val="24"/>
          <w:szCs w:val="24"/>
          <w:lang w:val="en"/>
        </w:rPr>
      </w:pPr>
    </w:p>
    <w:p w14:paraId="786A2984" w14:textId="77777777" w:rsidR="007C5D2A" w:rsidRPr="00E81048" w:rsidRDefault="007C5D2A" w:rsidP="003E0341">
      <w:pPr>
        <w:tabs>
          <w:tab w:val="left" w:pos="851"/>
        </w:tabs>
        <w:ind w:left="851"/>
        <w:rPr>
          <w:sz w:val="24"/>
          <w:szCs w:val="24"/>
          <w:lang w:val="en-GB"/>
        </w:rPr>
      </w:pPr>
    </w:p>
    <w:p w14:paraId="1BC7ABF6" w14:textId="77777777" w:rsidR="007C5D2A" w:rsidRPr="00E81048" w:rsidRDefault="009925C9" w:rsidP="007C5D2A">
      <w:pPr>
        <w:ind w:left="851" w:hanging="851"/>
        <w:rPr>
          <w:b/>
          <w:sz w:val="24"/>
          <w:szCs w:val="24"/>
          <w:lang w:val="en-GB"/>
        </w:rPr>
      </w:pPr>
      <w:r w:rsidRPr="00E81048">
        <w:rPr>
          <w:b/>
          <w:sz w:val="24"/>
          <w:szCs w:val="24"/>
          <w:lang w:val="en-GB"/>
        </w:rPr>
        <w:t>6.</w:t>
      </w:r>
      <w:r w:rsidR="007C5D2A" w:rsidRPr="00E81048">
        <w:rPr>
          <w:b/>
          <w:sz w:val="24"/>
          <w:szCs w:val="24"/>
          <w:lang w:val="en-GB"/>
        </w:rPr>
        <w:tab/>
        <w:t>PHARMACEUTICAL PARTICULARS</w:t>
      </w:r>
    </w:p>
    <w:p w14:paraId="561CAB59" w14:textId="77777777" w:rsidR="007C5D2A" w:rsidRPr="00E81048" w:rsidRDefault="007C5D2A" w:rsidP="003E0341">
      <w:pPr>
        <w:tabs>
          <w:tab w:val="left" w:pos="851"/>
        </w:tabs>
        <w:ind w:left="851"/>
        <w:rPr>
          <w:sz w:val="24"/>
          <w:szCs w:val="24"/>
          <w:lang w:val="en-GB"/>
        </w:rPr>
      </w:pPr>
    </w:p>
    <w:p w14:paraId="24E64AE7" w14:textId="77777777" w:rsidR="007C5D2A" w:rsidRPr="00E81048" w:rsidRDefault="007C5D2A" w:rsidP="007C5D2A">
      <w:pPr>
        <w:ind w:left="851" w:hanging="851"/>
        <w:rPr>
          <w:b/>
          <w:sz w:val="24"/>
          <w:szCs w:val="24"/>
          <w:lang w:val="en-GB"/>
        </w:rPr>
      </w:pPr>
      <w:r w:rsidRPr="00E81048">
        <w:rPr>
          <w:b/>
          <w:sz w:val="24"/>
          <w:szCs w:val="24"/>
          <w:lang w:val="en-GB"/>
        </w:rPr>
        <w:t>6.1</w:t>
      </w:r>
      <w:r w:rsidRPr="00E81048">
        <w:rPr>
          <w:b/>
          <w:sz w:val="24"/>
          <w:szCs w:val="24"/>
          <w:lang w:val="en-GB"/>
        </w:rPr>
        <w:tab/>
        <w:t>List of excipients</w:t>
      </w:r>
    </w:p>
    <w:p w14:paraId="16CE0752" w14:textId="77777777" w:rsidR="001C6F5C" w:rsidRDefault="001C6F5C" w:rsidP="000B2AF8">
      <w:pPr>
        <w:ind w:left="851"/>
        <w:rPr>
          <w:i/>
          <w:iCs/>
          <w:sz w:val="24"/>
          <w:szCs w:val="24"/>
          <w:lang w:val="en-GB"/>
        </w:rPr>
      </w:pPr>
    </w:p>
    <w:p w14:paraId="3E758DB0" w14:textId="454C2FAE" w:rsidR="00D2716F" w:rsidRPr="00D2716F" w:rsidRDefault="00D2716F" w:rsidP="000B2AF8">
      <w:pPr>
        <w:ind w:left="851"/>
        <w:rPr>
          <w:sz w:val="24"/>
          <w:szCs w:val="24"/>
          <w:lang w:val="en-GB"/>
        </w:rPr>
      </w:pPr>
      <w:r w:rsidRPr="00D2716F">
        <w:rPr>
          <w:i/>
          <w:iCs/>
          <w:sz w:val="24"/>
          <w:szCs w:val="24"/>
          <w:lang w:val="en-GB"/>
        </w:rPr>
        <w:t xml:space="preserve">Tablet core </w:t>
      </w:r>
    </w:p>
    <w:p w14:paraId="3EC95ED9" w14:textId="77777777" w:rsidR="00D2716F" w:rsidRPr="00D2716F" w:rsidRDefault="00D2716F" w:rsidP="000B2AF8">
      <w:pPr>
        <w:numPr>
          <w:ilvl w:val="0"/>
          <w:numId w:val="12"/>
        </w:numPr>
        <w:ind w:left="1276" w:hanging="425"/>
        <w:rPr>
          <w:sz w:val="24"/>
          <w:szCs w:val="24"/>
          <w:lang w:val="en-GB"/>
        </w:rPr>
      </w:pPr>
      <w:r w:rsidRPr="00D2716F">
        <w:rPr>
          <w:sz w:val="24"/>
          <w:szCs w:val="24"/>
          <w:lang w:val="en-GB"/>
        </w:rPr>
        <w:t>Povidone</w:t>
      </w:r>
    </w:p>
    <w:p w14:paraId="4E48705D" w14:textId="77777777" w:rsidR="00D2716F" w:rsidRPr="00D2716F" w:rsidRDefault="00D2716F" w:rsidP="000B2AF8">
      <w:pPr>
        <w:numPr>
          <w:ilvl w:val="0"/>
          <w:numId w:val="12"/>
        </w:numPr>
        <w:ind w:left="1276" w:hanging="425"/>
        <w:rPr>
          <w:sz w:val="24"/>
          <w:szCs w:val="24"/>
          <w:lang w:val="en-GB"/>
        </w:rPr>
      </w:pPr>
      <w:r w:rsidRPr="00D2716F">
        <w:rPr>
          <w:sz w:val="24"/>
          <w:szCs w:val="24"/>
          <w:lang w:val="en-GB"/>
        </w:rPr>
        <w:t>Starch pregelatinized</w:t>
      </w:r>
    </w:p>
    <w:p w14:paraId="4C0B8F34" w14:textId="77777777" w:rsidR="00D2716F" w:rsidRPr="00D2716F" w:rsidRDefault="00D2716F" w:rsidP="000B2AF8">
      <w:pPr>
        <w:numPr>
          <w:ilvl w:val="0"/>
          <w:numId w:val="12"/>
        </w:numPr>
        <w:ind w:left="1276" w:hanging="425"/>
        <w:rPr>
          <w:sz w:val="24"/>
          <w:szCs w:val="24"/>
          <w:lang w:val="en-GB"/>
        </w:rPr>
      </w:pPr>
      <w:r w:rsidRPr="00D2716F">
        <w:rPr>
          <w:sz w:val="24"/>
          <w:szCs w:val="24"/>
          <w:lang w:val="en-GB"/>
        </w:rPr>
        <w:t>Stearic acid</w:t>
      </w:r>
    </w:p>
    <w:p w14:paraId="72819B8C" w14:textId="77777777" w:rsidR="00D2716F" w:rsidRPr="00D2716F" w:rsidRDefault="00D2716F" w:rsidP="000B2AF8">
      <w:pPr>
        <w:numPr>
          <w:ilvl w:val="0"/>
          <w:numId w:val="12"/>
        </w:numPr>
        <w:ind w:left="1276" w:hanging="425"/>
        <w:rPr>
          <w:sz w:val="24"/>
          <w:szCs w:val="24"/>
          <w:lang w:val="en-GB"/>
        </w:rPr>
      </w:pPr>
      <w:r w:rsidRPr="00D2716F">
        <w:rPr>
          <w:sz w:val="24"/>
          <w:szCs w:val="24"/>
          <w:lang w:val="en-GB"/>
        </w:rPr>
        <w:t>Croscarmellose Sodium</w:t>
      </w:r>
    </w:p>
    <w:p w14:paraId="71394C02" w14:textId="77777777" w:rsidR="00D2716F" w:rsidRPr="00D2716F" w:rsidRDefault="00D2716F" w:rsidP="000B2AF8">
      <w:pPr>
        <w:ind w:left="851"/>
        <w:rPr>
          <w:sz w:val="24"/>
          <w:szCs w:val="24"/>
          <w:lang w:val="en-GB"/>
        </w:rPr>
      </w:pPr>
    </w:p>
    <w:p w14:paraId="3E25D632" w14:textId="77777777" w:rsidR="00D2716F" w:rsidRPr="00D2716F" w:rsidRDefault="00D2716F" w:rsidP="000B2AF8">
      <w:pPr>
        <w:ind w:left="851"/>
        <w:rPr>
          <w:i/>
          <w:iCs/>
          <w:sz w:val="24"/>
          <w:szCs w:val="24"/>
          <w:lang w:val="nl-BE"/>
        </w:rPr>
      </w:pPr>
      <w:r w:rsidRPr="00D2716F">
        <w:rPr>
          <w:i/>
          <w:iCs/>
          <w:sz w:val="24"/>
          <w:szCs w:val="24"/>
          <w:lang w:val="nl-BE"/>
        </w:rPr>
        <w:t xml:space="preserve">Tablet coating </w:t>
      </w:r>
    </w:p>
    <w:p w14:paraId="4C97248A" w14:textId="77777777" w:rsidR="00D2716F" w:rsidRPr="00D2716F" w:rsidRDefault="00D2716F" w:rsidP="000B2AF8">
      <w:pPr>
        <w:numPr>
          <w:ilvl w:val="0"/>
          <w:numId w:val="13"/>
        </w:numPr>
        <w:ind w:left="1276" w:hanging="425"/>
        <w:rPr>
          <w:sz w:val="24"/>
          <w:szCs w:val="24"/>
          <w:lang w:val="en-GB"/>
        </w:rPr>
      </w:pPr>
      <w:r w:rsidRPr="00D2716F">
        <w:rPr>
          <w:sz w:val="24"/>
          <w:szCs w:val="24"/>
          <w:lang w:val="en-GB"/>
        </w:rPr>
        <w:t>Hypromellose</w:t>
      </w:r>
    </w:p>
    <w:p w14:paraId="5D619CF2" w14:textId="77777777" w:rsidR="00D2716F" w:rsidRPr="00D2716F" w:rsidRDefault="00D2716F" w:rsidP="000B2AF8">
      <w:pPr>
        <w:numPr>
          <w:ilvl w:val="0"/>
          <w:numId w:val="13"/>
        </w:numPr>
        <w:ind w:left="1276" w:hanging="425"/>
        <w:rPr>
          <w:sz w:val="24"/>
          <w:szCs w:val="24"/>
          <w:lang w:val="en-GB"/>
        </w:rPr>
      </w:pPr>
      <w:proofErr w:type="spellStart"/>
      <w:r w:rsidRPr="00D2716F">
        <w:rPr>
          <w:sz w:val="24"/>
          <w:szCs w:val="24"/>
          <w:lang w:val="en-GB"/>
        </w:rPr>
        <w:t>Diethylphtalate</w:t>
      </w:r>
      <w:proofErr w:type="spellEnd"/>
    </w:p>
    <w:p w14:paraId="04CECF74" w14:textId="77777777" w:rsidR="00D2716F" w:rsidRPr="00D2716F" w:rsidRDefault="00D2716F" w:rsidP="000B2AF8">
      <w:pPr>
        <w:numPr>
          <w:ilvl w:val="0"/>
          <w:numId w:val="13"/>
        </w:numPr>
        <w:ind w:left="1276" w:hanging="425"/>
        <w:rPr>
          <w:sz w:val="24"/>
          <w:szCs w:val="24"/>
          <w:lang w:val="en-GB"/>
        </w:rPr>
      </w:pPr>
      <w:r w:rsidRPr="00D2716F">
        <w:rPr>
          <w:sz w:val="24"/>
          <w:szCs w:val="24"/>
          <w:lang w:val="en-GB"/>
        </w:rPr>
        <w:t xml:space="preserve">Azorubine – </w:t>
      </w:r>
      <w:proofErr w:type="spellStart"/>
      <w:r w:rsidRPr="00D2716F">
        <w:rPr>
          <w:sz w:val="24"/>
          <w:szCs w:val="24"/>
          <w:lang w:val="en-GB"/>
        </w:rPr>
        <w:t>carmoisine</w:t>
      </w:r>
      <w:proofErr w:type="spellEnd"/>
      <w:r w:rsidRPr="00D2716F">
        <w:rPr>
          <w:sz w:val="24"/>
          <w:szCs w:val="24"/>
          <w:lang w:val="en-GB"/>
        </w:rPr>
        <w:t xml:space="preserve"> (E122)</w:t>
      </w:r>
    </w:p>
    <w:p w14:paraId="0CF938F6" w14:textId="77777777" w:rsidR="00D2716F" w:rsidRPr="00D2716F" w:rsidRDefault="00D2716F" w:rsidP="000B2AF8">
      <w:pPr>
        <w:numPr>
          <w:ilvl w:val="0"/>
          <w:numId w:val="13"/>
        </w:numPr>
        <w:ind w:left="1276" w:hanging="425"/>
        <w:rPr>
          <w:sz w:val="24"/>
          <w:szCs w:val="24"/>
          <w:lang w:val="en-GB"/>
        </w:rPr>
      </w:pPr>
      <w:r w:rsidRPr="00D2716F">
        <w:rPr>
          <w:sz w:val="24"/>
          <w:szCs w:val="24"/>
          <w:lang w:val="en-GB"/>
        </w:rPr>
        <w:t>Quinoline yellow (E104)</w:t>
      </w:r>
    </w:p>
    <w:p w14:paraId="500AE219" w14:textId="77777777" w:rsidR="00D2716F" w:rsidRPr="00D2716F" w:rsidRDefault="00D2716F" w:rsidP="000B2AF8">
      <w:pPr>
        <w:numPr>
          <w:ilvl w:val="0"/>
          <w:numId w:val="14"/>
        </w:numPr>
        <w:ind w:left="1276" w:hanging="425"/>
        <w:rPr>
          <w:sz w:val="24"/>
          <w:szCs w:val="24"/>
          <w:lang w:val="nl-BE"/>
        </w:rPr>
      </w:pPr>
      <w:r w:rsidRPr="00D2716F">
        <w:rPr>
          <w:sz w:val="24"/>
          <w:szCs w:val="24"/>
          <w:lang w:val="nl-BE"/>
        </w:rPr>
        <w:t>Titanium dioxide (E171)</w:t>
      </w:r>
    </w:p>
    <w:p w14:paraId="4C90C3C8" w14:textId="77777777" w:rsidR="00D2716F" w:rsidRPr="00D2716F" w:rsidRDefault="00D2716F" w:rsidP="000B2AF8">
      <w:pPr>
        <w:numPr>
          <w:ilvl w:val="0"/>
          <w:numId w:val="14"/>
        </w:numPr>
        <w:ind w:left="1276" w:hanging="425"/>
        <w:rPr>
          <w:sz w:val="24"/>
          <w:szCs w:val="24"/>
          <w:lang w:val="nl-BE"/>
        </w:rPr>
      </w:pPr>
      <w:r w:rsidRPr="00D2716F">
        <w:rPr>
          <w:sz w:val="24"/>
          <w:szCs w:val="24"/>
          <w:lang w:val="nl-BE"/>
        </w:rPr>
        <w:t>Gelatin</w:t>
      </w:r>
    </w:p>
    <w:p w14:paraId="37429EA7" w14:textId="77777777" w:rsidR="007C5D2A" w:rsidRPr="00E81048" w:rsidRDefault="007C5D2A" w:rsidP="003D727E">
      <w:pPr>
        <w:tabs>
          <w:tab w:val="left" w:pos="851"/>
        </w:tabs>
        <w:ind w:left="851"/>
        <w:rPr>
          <w:sz w:val="24"/>
          <w:szCs w:val="24"/>
          <w:lang w:val="en-GB"/>
        </w:rPr>
      </w:pPr>
    </w:p>
    <w:p w14:paraId="11CD4BE8" w14:textId="77777777" w:rsidR="007C5D2A" w:rsidRPr="00E81048" w:rsidRDefault="007C5D2A" w:rsidP="007C5D2A">
      <w:pPr>
        <w:ind w:left="851" w:hanging="851"/>
        <w:rPr>
          <w:b/>
          <w:sz w:val="24"/>
          <w:szCs w:val="24"/>
          <w:lang w:val="en-GB"/>
        </w:rPr>
      </w:pPr>
      <w:r w:rsidRPr="00E81048">
        <w:rPr>
          <w:b/>
          <w:sz w:val="24"/>
          <w:szCs w:val="24"/>
          <w:lang w:val="en-GB"/>
        </w:rPr>
        <w:t>6.2</w:t>
      </w:r>
      <w:r w:rsidRPr="00E81048">
        <w:rPr>
          <w:b/>
          <w:sz w:val="24"/>
          <w:szCs w:val="24"/>
          <w:lang w:val="en-GB"/>
        </w:rPr>
        <w:tab/>
        <w:t>Incompatibilities</w:t>
      </w:r>
    </w:p>
    <w:p w14:paraId="16F36D05" w14:textId="77777777" w:rsidR="00D2716F" w:rsidRPr="00D2716F" w:rsidRDefault="00D2716F" w:rsidP="000B2AF8">
      <w:pPr>
        <w:ind w:left="851"/>
        <w:rPr>
          <w:sz w:val="24"/>
          <w:szCs w:val="24"/>
          <w:lang w:val="en-GB"/>
        </w:rPr>
      </w:pPr>
      <w:r w:rsidRPr="00D2716F">
        <w:rPr>
          <w:sz w:val="24"/>
          <w:szCs w:val="24"/>
          <w:lang w:val="en-GB"/>
        </w:rPr>
        <w:t>Not applicable.</w:t>
      </w:r>
    </w:p>
    <w:p w14:paraId="05DAAB13" w14:textId="77777777" w:rsidR="007C5D2A" w:rsidRPr="00E81048" w:rsidRDefault="007C5D2A" w:rsidP="003E0341">
      <w:pPr>
        <w:tabs>
          <w:tab w:val="left" w:pos="851"/>
        </w:tabs>
        <w:ind w:left="851"/>
        <w:rPr>
          <w:sz w:val="24"/>
          <w:szCs w:val="24"/>
          <w:lang w:val="en-GB"/>
        </w:rPr>
      </w:pPr>
    </w:p>
    <w:p w14:paraId="30E1BABD" w14:textId="77777777" w:rsidR="007C5D2A" w:rsidRPr="00E81048" w:rsidRDefault="007C5D2A" w:rsidP="007C5D2A">
      <w:pPr>
        <w:ind w:left="851" w:hanging="851"/>
        <w:rPr>
          <w:b/>
          <w:sz w:val="24"/>
          <w:szCs w:val="24"/>
          <w:lang w:val="en-GB"/>
        </w:rPr>
      </w:pPr>
      <w:r w:rsidRPr="00E81048">
        <w:rPr>
          <w:b/>
          <w:sz w:val="24"/>
          <w:szCs w:val="24"/>
          <w:lang w:val="en-GB"/>
        </w:rPr>
        <w:t>6.3</w:t>
      </w:r>
      <w:r w:rsidRPr="00E81048">
        <w:rPr>
          <w:b/>
          <w:sz w:val="24"/>
          <w:szCs w:val="24"/>
          <w:lang w:val="en-GB"/>
        </w:rPr>
        <w:tab/>
        <w:t>Shelf</w:t>
      </w:r>
      <w:r w:rsidR="00B45DC5" w:rsidRPr="00E81048">
        <w:rPr>
          <w:b/>
          <w:sz w:val="24"/>
          <w:szCs w:val="24"/>
          <w:lang w:val="en-GB"/>
        </w:rPr>
        <w:t xml:space="preserve"> </w:t>
      </w:r>
      <w:r w:rsidRPr="00E81048">
        <w:rPr>
          <w:b/>
          <w:sz w:val="24"/>
          <w:szCs w:val="24"/>
          <w:lang w:val="en-GB"/>
        </w:rPr>
        <w:t>life</w:t>
      </w:r>
    </w:p>
    <w:p w14:paraId="1750279D" w14:textId="77777777" w:rsidR="00D2716F" w:rsidRPr="00D2716F" w:rsidRDefault="00D2716F" w:rsidP="000B2AF8">
      <w:pPr>
        <w:ind w:left="851"/>
        <w:rPr>
          <w:sz w:val="24"/>
          <w:szCs w:val="24"/>
          <w:lang w:val="en-GB"/>
        </w:rPr>
      </w:pPr>
      <w:r w:rsidRPr="00D2716F">
        <w:rPr>
          <w:sz w:val="24"/>
          <w:szCs w:val="24"/>
          <w:lang w:val="en-GB"/>
        </w:rPr>
        <w:t>2 years</w:t>
      </w:r>
    </w:p>
    <w:p w14:paraId="634C849E" w14:textId="77777777" w:rsidR="007C5D2A" w:rsidRPr="00E81048" w:rsidRDefault="007C5D2A" w:rsidP="003E0341">
      <w:pPr>
        <w:tabs>
          <w:tab w:val="left" w:pos="851"/>
        </w:tabs>
        <w:ind w:left="851"/>
        <w:rPr>
          <w:sz w:val="24"/>
          <w:szCs w:val="24"/>
          <w:lang w:val="en-GB"/>
        </w:rPr>
      </w:pPr>
    </w:p>
    <w:p w14:paraId="09889611" w14:textId="77777777" w:rsidR="007C5D2A" w:rsidRPr="00E81048" w:rsidRDefault="007C5D2A" w:rsidP="007C5D2A">
      <w:pPr>
        <w:ind w:left="851" w:hanging="851"/>
        <w:rPr>
          <w:b/>
          <w:sz w:val="24"/>
          <w:szCs w:val="24"/>
          <w:lang w:val="en-GB"/>
        </w:rPr>
      </w:pPr>
      <w:r w:rsidRPr="00E81048">
        <w:rPr>
          <w:b/>
          <w:sz w:val="24"/>
          <w:szCs w:val="24"/>
          <w:lang w:val="en-GB"/>
        </w:rPr>
        <w:t>6.4</w:t>
      </w:r>
      <w:r w:rsidRPr="00E81048">
        <w:rPr>
          <w:b/>
          <w:sz w:val="24"/>
          <w:szCs w:val="24"/>
          <w:lang w:val="en-GB"/>
        </w:rPr>
        <w:tab/>
        <w:t>Special precautions for storage</w:t>
      </w:r>
    </w:p>
    <w:p w14:paraId="1C67B22D" w14:textId="77777777" w:rsidR="00D2716F" w:rsidRPr="00D2716F" w:rsidRDefault="00D2716F" w:rsidP="000B2AF8">
      <w:pPr>
        <w:ind w:left="851"/>
        <w:rPr>
          <w:sz w:val="24"/>
          <w:szCs w:val="24"/>
          <w:lang w:val="en-GB"/>
        </w:rPr>
      </w:pPr>
      <w:r w:rsidRPr="00D2716F">
        <w:rPr>
          <w:sz w:val="24"/>
          <w:szCs w:val="24"/>
          <w:lang w:val="en-GB"/>
        </w:rPr>
        <w:t xml:space="preserve">Do not store above 30°C. </w:t>
      </w:r>
    </w:p>
    <w:p w14:paraId="6EF46DA0" w14:textId="77777777" w:rsidR="007C5D2A" w:rsidRPr="00E81048" w:rsidRDefault="007C5D2A" w:rsidP="003E0341">
      <w:pPr>
        <w:tabs>
          <w:tab w:val="left" w:pos="851"/>
        </w:tabs>
        <w:ind w:left="851"/>
        <w:rPr>
          <w:sz w:val="24"/>
          <w:szCs w:val="24"/>
          <w:lang w:val="en-GB"/>
        </w:rPr>
      </w:pPr>
    </w:p>
    <w:p w14:paraId="321E7462" w14:textId="77777777" w:rsidR="007C5D2A" w:rsidRPr="00E81048" w:rsidRDefault="007C5D2A" w:rsidP="007C5D2A">
      <w:pPr>
        <w:ind w:left="851" w:hanging="851"/>
        <w:rPr>
          <w:b/>
          <w:sz w:val="24"/>
          <w:szCs w:val="24"/>
          <w:lang w:val="en-GB"/>
        </w:rPr>
      </w:pPr>
      <w:r w:rsidRPr="00E81048">
        <w:rPr>
          <w:b/>
          <w:sz w:val="24"/>
          <w:szCs w:val="24"/>
          <w:lang w:val="en-GB"/>
        </w:rPr>
        <w:t>6.5</w:t>
      </w:r>
      <w:r w:rsidRPr="00E81048">
        <w:rPr>
          <w:b/>
          <w:sz w:val="24"/>
          <w:szCs w:val="24"/>
          <w:lang w:val="en-GB"/>
        </w:rPr>
        <w:tab/>
        <w:t>Nature and contents of container</w:t>
      </w:r>
    </w:p>
    <w:p w14:paraId="77D3630C" w14:textId="133B5D7B" w:rsidR="00D2716F" w:rsidRPr="00D2716F" w:rsidRDefault="00D2716F" w:rsidP="000B2AF8">
      <w:pPr>
        <w:ind w:left="851"/>
        <w:rPr>
          <w:sz w:val="24"/>
          <w:szCs w:val="24"/>
          <w:lang w:val="en-GB"/>
        </w:rPr>
      </w:pPr>
      <w:r w:rsidRPr="00D2716F">
        <w:rPr>
          <w:sz w:val="24"/>
          <w:szCs w:val="24"/>
          <w:lang w:val="en-GB"/>
        </w:rPr>
        <w:t>PVC/Aluminium blisters: box of 8, 8</w:t>
      </w:r>
      <w:r w:rsidR="001C6F5C">
        <w:rPr>
          <w:sz w:val="24"/>
          <w:szCs w:val="24"/>
          <w:lang w:val="en-GB"/>
        </w:rPr>
        <w:t>×</w:t>
      </w:r>
      <w:r w:rsidRPr="00D2716F">
        <w:rPr>
          <w:sz w:val="24"/>
          <w:szCs w:val="24"/>
          <w:lang w:val="en-GB"/>
        </w:rPr>
        <w:t>1, 10, 10</w:t>
      </w:r>
      <w:r w:rsidR="001C6F5C" w:rsidRPr="001C6F5C">
        <w:rPr>
          <w:sz w:val="24"/>
          <w:szCs w:val="24"/>
          <w:lang w:val="en-GB"/>
        </w:rPr>
        <w:t>×</w:t>
      </w:r>
      <w:r w:rsidRPr="00D2716F">
        <w:rPr>
          <w:sz w:val="24"/>
          <w:szCs w:val="24"/>
          <w:lang w:val="en-GB"/>
        </w:rPr>
        <w:t>1, 16, 16</w:t>
      </w:r>
      <w:r w:rsidR="001C6F5C" w:rsidRPr="001C6F5C">
        <w:rPr>
          <w:sz w:val="24"/>
          <w:szCs w:val="24"/>
          <w:lang w:val="en-GB"/>
        </w:rPr>
        <w:t>×</w:t>
      </w:r>
      <w:r w:rsidRPr="00D2716F">
        <w:rPr>
          <w:sz w:val="24"/>
          <w:szCs w:val="24"/>
          <w:lang w:val="en-GB"/>
        </w:rPr>
        <w:t>1, 20, 20</w:t>
      </w:r>
      <w:r w:rsidR="001C6F5C" w:rsidRPr="001C6F5C">
        <w:rPr>
          <w:sz w:val="24"/>
          <w:szCs w:val="24"/>
          <w:lang w:val="en-GB"/>
        </w:rPr>
        <w:t>×</w:t>
      </w:r>
      <w:r w:rsidRPr="00D2716F">
        <w:rPr>
          <w:sz w:val="24"/>
          <w:szCs w:val="24"/>
          <w:lang w:val="en-GB"/>
        </w:rPr>
        <w:t>1, 24, 24</w:t>
      </w:r>
      <w:r w:rsidR="001C6F5C" w:rsidRPr="001C6F5C">
        <w:rPr>
          <w:sz w:val="24"/>
          <w:szCs w:val="24"/>
          <w:lang w:val="en-GB"/>
        </w:rPr>
        <w:t>×</w:t>
      </w:r>
      <w:r w:rsidRPr="00D2716F">
        <w:rPr>
          <w:sz w:val="24"/>
          <w:szCs w:val="24"/>
          <w:lang w:val="en-GB"/>
        </w:rPr>
        <w:t>1, 30, 30</w:t>
      </w:r>
      <w:r w:rsidR="001C6F5C" w:rsidRPr="001C6F5C">
        <w:rPr>
          <w:sz w:val="24"/>
          <w:szCs w:val="24"/>
          <w:lang w:val="en-GB"/>
        </w:rPr>
        <w:t>×</w:t>
      </w:r>
      <w:r w:rsidRPr="00D2716F">
        <w:rPr>
          <w:sz w:val="24"/>
          <w:szCs w:val="24"/>
          <w:lang w:val="en-GB"/>
        </w:rPr>
        <w:t>1, 32, 32</w:t>
      </w:r>
      <w:r w:rsidR="001C6F5C" w:rsidRPr="001C6F5C">
        <w:rPr>
          <w:sz w:val="24"/>
          <w:szCs w:val="24"/>
          <w:lang w:val="en-GB"/>
        </w:rPr>
        <w:t>×</w:t>
      </w:r>
      <w:r w:rsidRPr="00D2716F">
        <w:rPr>
          <w:sz w:val="24"/>
          <w:szCs w:val="24"/>
          <w:lang w:val="en-GB"/>
        </w:rPr>
        <w:t>1, 40, 40</w:t>
      </w:r>
      <w:r w:rsidR="001C6F5C" w:rsidRPr="001C6F5C">
        <w:rPr>
          <w:sz w:val="24"/>
          <w:szCs w:val="24"/>
          <w:lang w:val="en-GB"/>
        </w:rPr>
        <w:t>×</w:t>
      </w:r>
      <w:r w:rsidRPr="00D2716F">
        <w:rPr>
          <w:sz w:val="24"/>
          <w:szCs w:val="24"/>
          <w:lang w:val="en-GB"/>
        </w:rPr>
        <w:t>1, 48, 48</w:t>
      </w:r>
      <w:r w:rsidR="001C6F5C" w:rsidRPr="001C6F5C">
        <w:rPr>
          <w:sz w:val="24"/>
          <w:szCs w:val="24"/>
          <w:lang w:val="en-GB"/>
        </w:rPr>
        <w:t>×</w:t>
      </w:r>
      <w:r w:rsidRPr="00D2716F">
        <w:rPr>
          <w:sz w:val="24"/>
          <w:szCs w:val="24"/>
          <w:lang w:val="en-GB"/>
        </w:rPr>
        <w:t>1, 50, 50</w:t>
      </w:r>
      <w:r w:rsidR="001C6F5C" w:rsidRPr="001C6F5C">
        <w:rPr>
          <w:sz w:val="24"/>
          <w:szCs w:val="24"/>
          <w:lang w:val="en-GB"/>
        </w:rPr>
        <w:t>×</w:t>
      </w:r>
      <w:r w:rsidRPr="00D2716F">
        <w:rPr>
          <w:sz w:val="24"/>
          <w:szCs w:val="24"/>
          <w:lang w:val="en-GB"/>
        </w:rPr>
        <w:t>1, 56, 56</w:t>
      </w:r>
      <w:r w:rsidR="001C6F5C" w:rsidRPr="001C6F5C">
        <w:rPr>
          <w:sz w:val="24"/>
          <w:szCs w:val="24"/>
          <w:lang w:val="en-GB"/>
        </w:rPr>
        <w:t>×</w:t>
      </w:r>
      <w:r w:rsidRPr="00D2716F">
        <w:rPr>
          <w:sz w:val="24"/>
          <w:szCs w:val="24"/>
          <w:lang w:val="en-GB"/>
        </w:rPr>
        <w:t>1, 60, 60</w:t>
      </w:r>
      <w:r w:rsidR="001C6F5C" w:rsidRPr="001C6F5C">
        <w:rPr>
          <w:sz w:val="24"/>
          <w:szCs w:val="24"/>
          <w:lang w:val="en-GB"/>
        </w:rPr>
        <w:t>×</w:t>
      </w:r>
      <w:r w:rsidRPr="00D2716F">
        <w:rPr>
          <w:sz w:val="24"/>
          <w:szCs w:val="24"/>
          <w:lang w:val="en-GB"/>
        </w:rPr>
        <w:t>1, 90, 90</w:t>
      </w:r>
      <w:r w:rsidR="001C6F5C" w:rsidRPr="001C6F5C">
        <w:rPr>
          <w:sz w:val="24"/>
          <w:szCs w:val="24"/>
          <w:lang w:val="en-GB"/>
        </w:rPr>
        <w:t>×</w:t>
      </w:r>
      <w:r w:rsidRPr="00D2716F">
        <w:rPr>
          <w:sz w:val="24"/>
          <w:szCs w:val="24"/>
          <w:lang w:val="en-GB"/>
        </w:rPr>
        <w:t>1, 100, 100</w:t>
      </w:r>
      <w:r w:rsidR="001C6F5C" w:rsidRPr="001C6F5C">
        <w:rPr>
          <w:sz w:val="24"/>
          <w:szCs w:val="24"/>
          <w:lang w:val="en-GB"/>
        </w:rPr>
        <w:t>×</w:t>
      </w:r>
      <w:r w:rsidRPr="00D2716F">
        <w:rPr>
          <w:sz w:val="24"/>
          <w:szCs w:val="24"/>
          <w:lang w:val="en-GB"/>
        </w:rPr>
        <w:t>1, 120 or 120</w:t>
      </w:r>
      <w:r w:rsidR="001C6F5C" w:rsidRPr="001C6F5C">
        <w:rPr>
          <w:sz w:val="24"/>
          <w:szCs w:val="24"/>
          <w:lang w:val="en-GB"/>
        </w:rPr>
        <w:t>×</w:t>
      </w:r>
      <w:r w:rsidRPr="00D2716F">
        <w:rPr>
          <w:sz w:val="24"/>
          <w:szCs w:val="24"/>
          <w:lang w:val="en-GB"/>
        </w:rPr>
        <w:t>1 tablets.</w:t>
      </w:r>
    </w:p>
    <w:p w14:paraId="038BAFC9" w14:textId="77777777" w:rsidR="00D2716F" w:rsidRPr="00D2716F" w:rsidRDefault="00D2716F" w:rsidP="000B2AF8">
      <w:pPr>
        <w:ind w:left="851"/>
        <w:rPr>
          <w:sz w:val="24"/>
          <w:szCs w:val="24"/>
          <w:lang w:val="en-GB"/>
        </w:rPr>
      </w:pPr>
    </w:p>
    <w:p w14:paraId="20E35F34" w14:textId="77777777" w:rsidR="00D2716F" w:rsidRPr="00D2716F" w:rsidRDefault="00D2716F" w:rsidP="000B2AF8">
      <w:pPr>
        <w:ind w:left="851"/>
        <w:rPr>
          <w:sz w:val="24"/>
          <w:szCs w:val="24"/>
          <w:lang w:val="en-GB"/>
        </w:rPr>
      </w:pPr>
      <w:r w:rsidRPr="00D2716F">
        <w:rPr>
          <w:sz w:val="24"/>
          <w:szCs w:val="24"/>
          <w:lang w:val="en-GB"/>
        </w:rPr>
        <w:t>Not all pack sizes may be marketed.</w:t>
      </w:r>
    </w:p>
    <w:p w14:paraId="6AB428B9" w14:textId="77777777" w:rsidR="007C5D2A" w:rsidRPr="00E81048" w:rsidRDefault="007C5D2A" w:rsidP="003E0341">
      <w:pPr>
        <w:tabs>
          <w:tab w:val="left" w:pos="851"/>
        </w:tabs>
        <w:ind w:left="851"/>
        <w:rPr>
          <w:sz w:val="24"/>
          <w:szCs w:val="24"/>
          <w:lang w:val="en-GB"/>
        </w:rPr>
      </w:pPr>
    </w:p>
    <w:p w14:paraId="1C8B2C48" w14:textId="77777777" w:rsidR="007C5D2A" w:rsidRPr="00E81048" w:rsidRDefault="007C5D2A" w:rsidP="007C5D2A">
      <w:pPr>
        <w:ind w:left="851" w:hanging="851"/>
        <w:rPr>
          <w:b/>
          <w:sz w:val="24"/>
          <w:szCs w:val="24"/>
          <w:lang w:val="en-GB"/>
        </w:rPr>
      </w:pPr>
      <w:r w:rsidRPr="00E81048">
        <w:rPr>
          <w:b/>
          <w:sz w:val="24"/>
          <w:szCs w:val="24"/>
          <w:lang w:val="en-GB"/>
        </w:rPr>
        <w:t>6.6</w:t>
      </w:r>
      <w:r w:rsidRPr="00E81048">
        <w:rPr>
          <w:b/>
          <w:sz w:val="24"/>
          <w:szCs w:val="24"/>
          <w:lang w:val="en-GB"/>
        </w:rPr>
        <w:tab/>
        <w:t>Special precautions for disposal and other handling</w:t>
      </w:r>
    </w:p>
    <w:p w14:paraId="6853F2BC" w14:textId="77777777" w:rsidR="00D2716F" w:rsidRPr="00D2716F" w:rsidRDefault="00D2716F" w:rsidP="000B2AF8">
      <w:pPr>
        <w:ind w:left="851"/>
        <w:rPr>
          <w:sz w:val="24"/>
          <w:szCs w:val="24"/>
          <w:lang w:val="en-GB"/>
        </w:rPr>
      </w:pPr>
      <w:r w:rsidRPr="00D2716F">
        <w:rPr>
          <w:sz w:val="24"/>
          <w:szCs w:val="24"/>
          <w:lang w:val="en-GB"/>
        </w:rPr>
        <w:t>Any unused medicinal product or waste material should be disposed of in accordance with local requirements.</w:t>
      </w:r>
    </w:p>
    <w:p w14:paraId="6F3BC825" w14:textId="77777777" w:rsidR="007C5D2A" w:rsidRPr="00E81048" w:rsidRDefault="007C5D2A" w:rsidP="00AB4376">
      <w:pPr>
        <w:tabs>
          <w:tab w:val="left" w:pos="851"/>
        </w:tabs>
        <w:ind w:left="851"/>
        <w:rPr>
          <w:sz w:val="24"/>
          <w:szCs w:val="24"/>
          <w:lang w:val="en-GB"/>
        </w:rPr>
      </w:pPr>
    </w:p>
    <w:p w14:paraId="637A3178" w14:textId="77777777" w:rsidR="007C5D2A" w:rsidRPr="00E81048" w:rsidRDefault="007C5D2A" w:rsidP="007C5D2A">
      <w:pPr>
        <w:tabs>
          <w:tab w:val="left" w:pos="851"/>
        </w:tabs>
        <w:ind w:left="851" w:hanging="851"/>
        <w:jc w:val="both"/>
        <w:rPr>
          <w:b/>
          <w:sz w:val="24"/>
          <w:szCs w:val="24"/>
          <w:lang w:val="en-GB"/>
        </w:rPr>
      </w:pPr>
      <w:r w:rsidRPr="00E81048">
        <w:rPr>
          <w:b/>
          <w:sz w:val="24"/>
          <w:szCs w:val="24"/>
          <w:lang w:val="en-GB"/>
        </w:rPr>
        <w:t>7.</w:t>
      </w:r>
      <w:r w:rsidRPr="00E81048">
        <w:rPr>
          <w:b/>
          <w:sz w:val="24"/>
          <w:szCs w:val="24"/>
          <w:lang w:val="en-GB"/>
        </w:rPr>
        <w:tab/>
        <w:t>MARKETING AUTHORISATION HOLDER</w:t>
      </w:r>
    </w:p>
    <w:p w14:paraId="6C0EAB56" w14:textId="6DD64CF0" w:rsidR="007C5D2A" w:rsidRPr="00E81048" w:rsidRDefault="00A76A33" w:rsidP="000B2AF8">
      <w:pPr>
        <w:ind w:left="851"/>
        <w:jc w:val="both"/>
        <w:rPr>
          <w:sz w:val="24"/>
          <w:szCs w:val="24"/>
          <w:lang w:val="en-GB"/>
        </w:rPr>
      </w:pPr>
      <w:r w:rsidRPr="00E81048">
        <w:rPr>
          <w:sz w:val="24"/>
          <w:szCs w:val="24"/>
          <w:lang w:val="en-GB"/>
        </w:rPr>
        <w:t>Laboratoires S.M.B.</w:t>
      </w:r>
    </w:p>
    <w:p w14:paraId="64FEF6E7" w14:textId="0128EC71" w:rsidR="00A76A33" w:rsidRPr="00E81048" w:rsidRDefault="00A76A33" w:rsidP="000B2AF8">
      <w:pPr>
        <w:ind w:left="851"/>
        <w:jc w:val="both"/>
        <w:rPr>
          <w:sz w:val="24"/>
          <w:szCs w:val="24"/>
          <w:lang w:val="en-GB"/>
        </w:rPr>
      </w:pPr>
      <w:r w:rsidRPr="00E81048">
        <w:rPr>
          <w:sz w:val="24"/>
          <w:szCs w:val="24"/>
          <w:lang w:val="en-GB"/>
        </w:rPr>
        <w:t>Rue De La Pastorale 26-28</w:t>
      </w:r>
    </w:p>
    <w:p w14:paraId="0C3D4A84" w14:textId="652C487F" w:rsidR="00A76A33" w:rsidRPr="00E81048" w:rsidRDefault="00A76A33" w:rsidP="000B2AF8">
      <w:pPr>
        <w:ind w:left="851"/>
        <w:jc w:val="both"/>
        <w:rPr>
          <w:sz w:val="24"/>
          <w:szCs w:val="24"/>
          <w:lang w:val="en-GB"/>
        </w:rPr>
      </w:pPr>
      <w:r w:rsidRPr="00E81048">
        <w:rPr>
          <w:sz w:val="24"/>
          <w:szCs w:val="24"/>
          <w:lang w:val="en-GB"/>
        </w:rPr>
        <w:t>1080 Molenbeek-Saint-Jean</w:t>
      </w:r>
    </w:p>
    <w:p w14:paraId="0E861A8B" w14:textId="3B26C343" w:rsidR="00A76A33" w:rsidRPr="00E81048" w:rsidRDefault="00A76A33" w:rsidP="000B2AF8">
      <w:pPr>
        <w:ind w:left="851"/>
        <w:jc w:val="both"/>
        <w:rPr>
          <w:sz w:val="24"/>
          <w:szCs w:val="24"/>
          <w:lang w:val="en-GB"/>
        </w:rPr>
      </w:pPr>
      <w:r w:rsidRPr="00E81048">
        <w:rPr>
          <w:sz w:val="24"/>
          <w:szCs w:val="24"/>
          <w:lang w:val="en-GB"/>
        </w:rPr>
        <w:t>Belgi</w:t>
      </w:r>
      <w:r w:rsidR="00C9441A">
        <w:rPr>
          <w:sz w:val="24"/>
          <w:szCs w:val="24"/>
          <w:lang w:val="en-GB"/>
        </w:rPr>
        <w:t>um</w:t>
      </w:r>
    </w:p>
    <w:p w14:paraId="0C3FEB15" w14:textId="77777777" w:rsidR="008A24F6" w:rsidRPr="00E81048" w:rsidRDefault="008A24F6" w:rsidP="003E0341">
      <w:pPr>
        <w:tabs>
          <w:tab w:val="left" w:pos="851"/>
        </w:tabs>
        <w:ind w:left="851"/>
        <w:jc w:val="both"/>
        <w:rPr>
          <w:sz w:val="24"/>
          <w:szCs w:val="24"/>
          <w:lang w:val="en-GB"/>
        </w:rPr>
      </w:pPr>
    </w:p>
    <w:p w14:paraId="0B2A4E96" w14:textId="77777777" w:rsidR="007C5D2A" w:rsidRPr="00E81048" w:rsidRDefault="007C5D2A" w:rsidP="007C5D2A">
      <w:pPr>
        <w:ind w:left="851" w:hanging="851"/>
        <w:jc w:val="both"/>
        <w:rPr>
          <w:b/>
          <w:sz w:val="24"/>
          <w:szCs w:val="24"/>
          <w:lang w:val="en-GB"/>
        </w:rPr>
      </w:pPr>
      <w:r w:rsidRPr="00E81048">
        <w:rPr>
          <w:b/>
          <w:sz w:val="24"/>
          <w:szCs w:val="24"/>
          <w:lang w:val="en-GB"/>
        </w:rPr>
        <w:t>8.</w:t>
      </w:r>
      <w:r w:rsidRPr="00E81048">
        <w:rPr>
          <w:b/>
          <w:sz w:val="24"/>
          <w:szCs w:val="24"/>
          <w:lang w:val="en-GB"/>
        </w:rPr>
        <w:tab/>
        <w:t>MARKETING AUTHORISATION NUMBER(S)</w:t>
      </w:r>
    </w:p>
    <w:p w14:paraId="71158EAE" w14:textId="0FED13EB" w:rsidR="007C5D2A" w:rsidRPr="00E81048" w:rsidRDefault="00CD3385" w:rsidP="00A85D26">
      <w:pPr>
        <w:tabs>
          <w:tab w:val="left" w:pos="851"/>
        </w:tabs>
        <w:ind w:left="851"/>
        <w:jc w:val="both"/>
        <w:rPr>
          <w:sz w:val="24"/>
          <w:szCs w:val="24"/>
          <w:lang w:val="en-GB"/>
        </w:rPr>
      </w:pPr>
      <w:r w:rsidRPr="00E81048">
        <w:rPr>
          <w:sz w:val="24"/>
          <w:szCs w:val="24"/>
          <w:lang w:val="en-GB"/>
        </w:rPr>
        <w:t>72921</w:t>
      </w:r>
    </w:p>
    <w:p w14:paraId="630FA045" w14:textId="77777777" w:rsidR="007C5D2A" w:rsidRPr="00E81048" w:rsidRDefault="007C5D2A" w:rsidP="00180A12">
      <w:pPr>
        <w:tabs>
          <w:tab w:val="left" w:pos="851"/>
        </w:tabs>
        <w:ind w:left="851"/>
        <w:jc w:val="both"/>
        <w:rPr>
          <w:sz w:val="24"/>
          <w:szCs w:val="24"/>
          <w:lang w:val="en-GB"/>
        </w:rPr>
      </w:pPr>
    </w:p>
    <w:p w14:paraId="69846908" w14:textId="77777777" w:rsidR="007C5D2A" w:rsidRPr="00E81048" w:rsidRDefault="007C5D2A" w:rsidP="007C5D2A">
      <w:pPr>
        <w:tabs>
          <w:tab w:val="left" w:pos="851"/>
        </w:tabs>
        <w:jc w:val="both"/>
        <w:rPr>
          <w:sz w:val="24"/>
          <w:szCs w:val="24"/>
          <w:lang w:val="en-GB"/>
        </w:rPr>
      </w:pPr>
      <w:r w:rsidRPr="00E81048">
        <w:rPr>
          <w:b/>
          <w:sz w:val="24"/>
          <w:szCs w:val="24"/>
          <w:lang w:val="en-GB"/>
        </w:rPr>
        <w:t>9.</w:t>
      </w:r>
      <w:r w:rsidRPr="00E81048">
        <w:rPr>
          <w:b/>
          <w:sz w:val="24"/>
          <w:szCs w:val="24"/>
          <w:lang w:val="en-GB"/>
        </w:rPr>
        <w:tab/>
        <w:t>DATE OF FIRST AUTHORISATION</w:t>
      </w:r>
    </w:p>
    <w:p w14:paraId="17BE3C50" w14:textId="0828B264" w:rsidR="007C5D2A" w:rsidRPr="00E81048" w:rsidRDefault="008E77A6" w:rsidP="00A85D26">
      <w:pPr>
        <w:ind w:left="851"/>
        <w:jc w:val="both"/>
        <w:rPr>
          <w:sz w:val="24"/>
          <w:szCs w:val="24"/>
          <w:lang w:val="en-GB"/>
        </w:rPr>
      </w:pPr>
      <w:r>
        <w:rPr>
          <w:sz w:val="24"/>
          <w:szCs w:val="24"/>
          <w:lang w:val="en-GB"/>
        </w:rPr>
        <w:t>27 May 2026</w:t>
      </w:r>
    </w:p>
    <w:p w14:paraId="781C8BD2" w14:textId="77777777" w:rsidR="007C5D2A" w:rsidRPr="00E81048" w:rsidRDefault="007C5D2A" w:rsidP="003E0341">
      <w:pPr>
        <w:tabs>
          <w:tab w:val="left" w:pos="851"/>
        </w:tabs>
        <w:ind w:left="851"/>
        <w:jc w:val="both"/>
        <w:rPr>
          <w:sz w:val="24"/>
          <w:szCs w:val="24"/>
          <w:lang w:val="en-GB"/>
        </w:rPr>
      </w:pPr>
    </w:p>
    <w:p w14:paraId="7A2CF16B" w14:textId="77777777" w:rsidR="007C5D2A" w:rsidRPr="00E81048" w:rsidRDefault="007C5D2A" w:rsidP="007C5D2A">
      <w:pPr>
        <w:tabs>
          <w:tab w:val="left" w:pos="851"/>
        </w:tabs>
        <w:jc w:val="both"/>
        <w:rPr>
          <w:sz w:val="24"/>
          <w:szCs w:val="24"/>
          <w:lang w:val="en-GB"/>
        </w:rPr>
      </w:pPr>
      <w:r w:rsidRPr="00E81048">
        <w:rPr>
          <w:b/>
          <w:sz w:val="24"/>
          <w:szCs w:val="24"/>
          <w:lang w:val="en-GB"/>
        </w:rPr>
        <w:t>10.</w:t>
      </w:r>
      <w:r w:rsidRPr="00E81048">
        <w:rPr>
          <w:b/>
          <w:sz w:val="24"/>
          <w:szCs w:val="24"/>
          <w:lang w:val="en-GB"/>
        </w:rPr>
        <w:tab/>
        <w:t>DATE OF REVISION OF THE TEXT</w:t>
      </w:r>
    </w:p>
    <w:p w14:paraId="29369912" w14:textId="723AF024" w:rsidR="007C5D2A" w:rsidRPr="00E81048" w:rsidRDefault="00A76A33" w:rsidP="003E0341">
      <w:pPr>
        <w:tabs>
          <w:tab w:val="left" w:pos="851"/>
        </w:tabs>
        <w:ind w:left="851"/>
        <w:jc w:val="both"/>
        <w:rPr>
          <w:sz w:val="24"/>
          <w:szCs w:val="24"/>
          <w:lang w:val="en-GB"/>
        </w:rPr>
      </w:pPr>
      <w:r w:rsidRPr="00E81048">
        <w:rPr>
          <w:sz w:val="24"/>
          <w:szCs w:val="24"/>
          <w:lang w:val="en-GB"/>
        </w:rPr>
        <w:t>-</w:t>
      </w:r>
    </w:p>
    <w:sectPr w:rsidR="007C5D2A" w:rsidRPr="00E81048" w:rsidSect="004A3BF4">
      <w:headerReference w:type="even" r:id="rId8"/>
      <w:headerReference w:type="default" r:id="rId9"/>
      <w:footerReference w:type="even" r:id="rId10"/>
      <w:footerReference w:type="default" r:id="rId11"/>
      <w:headerReference w:type="first" r:id="rId12"/>
      <w:footerReference w:type="first" r:id="rId13"/>
      <w:pgSz w:w="11906" w:h="16838" w:code="9"/>
      <w:pgMar w:top="851" w:right="1134" w:bottom="1701"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3F1824" w14:textId="77777777" w:rsidR="002260E0" w:rsidRDefault="002260E0">
      <w:r>
        <w:separator/>
      </w:r>
    </w:p>
  </w:endnote>
  <w:endnote w:type="continuationSeparator" w:id="0">
    <w:p w14:paraId="10CF874A" w14:textId="77777777" w:rsidR="002260E0" w:rsidRDefault="002260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7F6C5" w14:textId="77777777" w:rsidR="00AC033C" w:rsidRDefault="00AC033C">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D33CC" w14:textId="77777777" w:rsidR="00864538" w:rsidRDefault="00864538">
    <w:pPr>
      <w:pStyle w:val="Sidefod"/>
      <w:pBdr>
        <w:bottom w:val="single" w:sz="6" w:space="1" w:color="auto"/>
      </w:pBdr>
    </w:pPr>
  </w:p>
  <w:p w14:paraId="70A90A40" w14:textId="77777777" w:rsidR="00864538" w:rsidRDefault="00864538">
    <w:pPr>
      <w:pStyle w:val="Sidefod"/>
      <w:tabs>
        <w:tab w:val="clear" w:pos="4819"/>
        <w:tab w:val="left" w:pos="8647"/>
      </w:tabs>
      <w:rPr>
        <w:i/>
        <w:snapToGrid w:val="0"/>
        <w:sz w:val="18"/>
      </w:rPr>
    </w:pPr>
  </w:p>
  <w:p w14:paraId="1FFB1DBB" w14:textId="0B902D41" w:rsidR="00864538" w:rsidRDefault="00E36A80" w:rsidP="00AC033C">
    <w:pPr>
      <w:pStyle w:val="Sidefod"/>
      <w:tabs>
        <w:tab w:val="clear" w:pos="4819"/>
        <w:tab w:val="left" w:pos="8364"/>
      </w:tabs>
      <w:rPr>
        <w:i/>
        <w:sz w:val="18"/>
      </w:rPr>
    </w:pPr>
    <w:r>
      <w:rPr>
        <w:i/>
        <w:snapToGrid w:val="0"/>
        <w:sz w:val="18"/>
      </w:rPr>
      <w:fldChar w:fldCharType="begin"/>
    </w:r>
    <w:r w:rsidR="00864538">
      <w:rPr>
        <w:i/>
        <w:snapToGrid w:val="0"/>
        <w:sz w:val="18"/>
      </w:rPr>
      <w:instrText xml:space="preserve"> FILENAME </w:instrText>
    </w:r>
    <w:r>
      <w:rPr>
        <w:i/>
        <w:snapToGrid w:val="0"/>
        <w:sz w:val="18"/>
      </w:rPr>
      <w:fldChar w:fldCharType="separate"/>
    </w:r>
    <w:r w:rsidR="008E77A6">
      <w:rPr>
        <w:i/>
        <w:noProof/>
        <w:snapToGrid w:val="0"/>
        <w:sz w:val="18"/>
      </w:rPr>
      <w:t>Xidolan Forte, overtrukne tabletter 1000 mg.docx</w:t>
    </w:r>
    <w:r>
      <w:rPr>
        <w:i/>
        <w:snapToGrid w:val="0"/>
        <w:sz w:val="18"/>
      </w:rPr>
      <w:fldChar w:fldCharType="end"/>
    </w:r>
    <w:r w:rsidR="00864538">
      <w:rPr>
        <w:i/>
        <w:snapToGrid w:val="0"/>
        <w:sz w:val="18"/>
      </w:rPr>
      <w:tab/>
      <w:t xml:space="preserve">Page </w:t>
    </w:r>
    <w:r>
      <w:rPr>
        <w:i/>
        <w:snapToGrid w:val="0"/>
        <w:sz w:val="18"/>
      </w:rPr>
      <w:fldChar w:fldCharType="begin"/>
    </w:r>
    <w:r w:rsidR="00864538">
      <w:rPr>
        <w:i/>
        <w:snapToGrid w:val="0"/>
        <w:sz w:val="18"/>
      </w:rPr>
      <w:instrText xml:space="preserve"> PAGE </w:instrText>
    </w:r>
    <w:r>
      <w:rPr>
        <w:i/>
        <w:snapToGrid w:val="0"/>
        <w:sz w:val="18"/>
      </w:rPr>
      <w:fldChar w:fldCharType="separate"/>
    </w:r>
    <w:r w:rsidR="00AC033C">
      <w:rPr>
        <w:i/>
        <w:noProof/>
        <w:snapToGrid w:val="0"/>
        <w:sz w:val="18"/>
      </w:rPr>
      <w:t>1</w:t>
    </w:r>
    <w:r>
      <w:rPr>
        <w:i/>
        <w:snapToGrid w:val="0"/>
        <w:sz w:val="18"/>
      </w:rPr>
      <w:fldChar w:fldCharType="end"/>
    </w:r>
    <w:r w:rsidR="00864538">
      <w:rPr>
        <w:i/>
        <w:snapToGrid w:val="0"/>
        <w:sz w:val="18"/>
      </w:rPr>
      <w:t xml:space="preserve"> of </w:t>
    </w:r>
    <w:r>
      <w:rPr>
        <w:i/>
        <w:snapToGrid w:val="0"/>
        <w:sz w:val="18"/>
      </w:rPr>
      <w:fldChar w:fldCharType="begin"/>
    </w:r>
    <w:r w:rsidR="00864538">
      <w:rPr>
        <w:i/>
        <w:snapToGrid w:val="0"/>
        <w:sz w:val="18"/>
      </w:rPr>
      <w:instrText xml:space="preserve"> NUMPAGES </w:instrText>
    </w:r>
    <w:r>
      <w:rPr>
        <w:i/>
        <w:snapToGrid w:val="0"/>
        <w:sz w:val="18"/>
      </w:rPr>
      <w:fldChar w:fldCharType="separate"/>
    </w:r>
    <w:r w:rsidR="00AC033C">
      <w:rPr>
        <w:i/>
        <w:noProof/>
        <w:snapToGrid w:val="0"/>
        <w:sz w:val="18"/>
      </w:rPr>
      <w:t>3</w:t>
    </w:r>
    <w:r>
      <w:rPr>
        <w:i/>
        <w:snapToGrid w:val="0"/>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0EC14" w14:textId="77777777" w:rsidR="00864538" w:rsidRDefault="00864538">
    <w:pPr>
      <w:pStyle w:val="Sidefod"/>
      <w:pBdr>
        <w:bottom w:val="single" w:sz="6" w:space="1" w:color="auto"/>
      </w:pBdr>
      <w:tabs>
        <w:tab w:val="clear" w:pos="4819"/>
        <w:tab w:val="left" w:pos="8789"/>
      </w:tabs>
      <w:rPr>
        <w:i/>
        <w:snapToGrid w:val="0"/>
        <w:sz w:val="18"/>
      </w:rPr>
    </w:pPr>
  </w:p>
  <w:p w14:paraId="5ACD7961" w14:textId="77777777" w:rsidR="00864538" w:rsidRDefault="00864538">
    <w:pPr>
      <w:pStyle w:val="Sidefod"/>
      <w:tabs>
        <w:tab w:val="clear" w:pos="4819"/>
        <w:tab w:val="left" w:pos="8789"/>
      </w:tabs>
      <w:rPr>
        <w:i/>
        <w:snapToGrid w:val="0"/>
        <w:sz w:val="18"/>
      </w:rPr>
    </w:pPr>
  </w:p>
  <w:p w14:paraId="17B66E55" w14:textId="5E4A32F5" w:rsidR="00864538" w:rsidRDefault="00E36A80">
    <w:pPr>
      <w:pStyle w:val="Sidefod"/>
      <w:tabs>
        <w:tab w:val="clear" w:pos="4819"/>
        <w:tab w:val="left" w:pos="8647"/>
      </w:tabs>
      <w:rPr>
        <w:i/>
        <w:sz w:val="18"/>
      </w:rPr>
    </w:pPr>
    <w:r>
      <w:rPr>
        <w:i/>
        <w:snapToGrid w:val="0"/>
        <w:sz w:val="18"/>
      </w:rPr>
      <w:fldChar w:fldCharType="begin"/>
    </w:r>
    <w:r w:rsidR="00864538">
      <w:rPr>
        <w:i/>
        <w:snapToGrid w:val="0"/>
        <w:sz w:val="18"/>
      </w:rPr>
      <w:instrText xml:space="preserve"> FILENAME </w:instrText>
    </w:r>
    <w:r>
      <w:rPr>
        <w:i/>
        <w:snapToGrid w:val="0"/>
        <w:sz w:val="18"/>
      </w:rPr>
      <w:fldChar w:fldCharType="separate"/>
    </w:r>
    <w:r w:rsidR="008E77A6">
      <w:rPr>
        <w:i/>
        <w:noProof/>
        <w:snapToGrid w:val="0"/>
        <w:sz w:val="18"/>
      </w:rPr>
      <w:t>Xidolan Forte, overtrukne tabletter 1000 mg.docx</w:t>
    </w:r>
    <w:r>
      <w:rPr>
        <w:i/>
        <w:snapToGrid w:val="0"/>
        <w:sz w:val="18"/>
      </w:rPr>
      <w:fldChar w:fldCharType="end"/>
    </w:r>
    <w:r w:rsidR="00864538">
      <w:rPr>
        <w:i/>
        <w:snapToGrid w:val="0"/>
        <w:sz w:val="18"/>
      </w:rPr>
      <w:tab/>
      <w:t xml:space="preserve">Page </w:t>
    </w:r>
    <w:r>
      <w:rPr>
        <w:i/>
        <w:snapToGrid w:val="0"/>
        <w:sz w:val="18"/>
      </w:rPr>
      <w:fldChar w:fldCharType="begin"/>
    </w:r>
    <w:r w:rsidR="00864538">
      <w:rPr>
        <w:i/>
        <w:snapToGrid w:val="0"/>
        <w:sz w:val="18"/>
      </w:rPr>
      <w:instrText xml:space="preserve"> PAGE </w:instrText>
    </w:r>
    <w:r>
      <w:rPr>
        <w:i/>
        <w:snapToGrid w:val="0"/>
        <w:sz w:val="18"/>
      </w:rPr>
      <w:fldChar w:fldCharType="separate"/>
    </w:r>
    <w:r w:rsidR="00D97B77">
      <w:rPr>
        <w:i/>
        <w:noProof/>
        <w:snapToGrid w:val="0"/>
        <w:sz w:val="18"/>
      </w:rPr>
      <w:t>1</w:t>
    </w:r>
    <w:r>
      <w:rPr>
        <w:i/>
        <w:snapToGrid w:val="0"/>
        <w:sz w:val="18"/>
      </w:rPr>
      <w:fldChar w:fldCharType="end"/>
    </w:r>
    <w:r w:rsidR="00864538">
      <w:rPr>
        <w:i/>
        <w:snapToGrid w:val="0"/>
        <w:sz w:val="18"/>
      </w:rPr>
      <w:t xml:space="preserve"> of </w:t>
    </w:r>
    <w:r>
      <w:rPr>
        <w:i/>
        <w:snapToGrid w:val="0"/>
        <w:sz w:val="18"/>
      </w:rPr>
      <w:fldChar w:fldCharType="begin"/>
    </w:r>
    <w:r w:rsidR="00864538">
      <w:rPr>
        <w:i/>
        <w:snapToGrid w:val="0"/>
        <w:sz w:val="18"/>
      </w:rPr>
      <w:instrText xml:space="preserve"> NUMPAGES </w:instrText>
    </w:r>
    <w:r>
      <w:rPr>
        <w:i/>
        <w:snapToGrid w:val="0"/>
        <w:sz w:val="18"/>
      </w:rPr>
      <w:fldChar w:fldCharType="separate"/>
    </w:r>
    <w:r w:rsidR="00E1290F">
      <w:rPr>
        <w:i/>
        <w:noProof/>
        <w:snapToGrid w:val="0"/>
        <w:sz w:val="18"/>
      </w:rPr>
      <w:t>3</w:t>
    </w:r>
    <w:r>
      <w:rPr>
        <w:i/>
        <w:snapToGrid w:val="0"/>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2DC335" w14:textId="77777777" w:rsidR="002260E0" w:rsidRDefault="002260E0">
      <w:r>
        <w:separator/>
      </w:r>
    </w:p>
  </w:footnote>
  <w:footnote w:type="continuationSeparator" w:id="0">
    <w:p w14:paraId="08A4966E" w14:textId="77777777" w:rsidR="002260E0" w:rsidRDefault="002260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21A28" w14:textId="77777777" w:rsidR="00AC033C" w:rsidRDefault="00AC033C">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6F970" w14:textId="77777777" w:rsidR="00864538" w:rsidRDefault="000D3C9D">
    <w:pPr>
      <w:pStyle w:val="Sidehoved"/>
      <w:jc w:val="right"/>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92147" w14:textId="77777777" w:rsidR="00AC033C" w:rsidRDefault="00AC033C">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31A86"/>
    <w:multiLevelType w:val="multilevel"/>
    <w:tmpl w:val="D4ECF4E0"/>
    <w:lvl w:ilvl="0">
      <w:start w:val="4"/>
      <w:numFmt w:val="decimal"/>
      <w:lvlText w:val="%1."/>
      <w:lvlJc w:val="left"/>
      <w:pPr>
        <w:tabs>
          <w:tab w:val="num" w:pos="855"/>
        </w:tabs>
        <w:ind w:left="855" w:hanging="855"/>
      </w:pPr>
      <w:rPr>
        <w:rFonts w:hint="default"/>
      </w:rPr>
    </w:lvl>
    <w:lvl w:ilvl="1">
      <w:start w:val="1"/>
      <w:numFmt w:val="decimal"/>
      <w:isLgl/>
      <w:lvlText w:val="%1.%2"/>
      <w:lvlJc w:val="left"/>
      <w:pPr>
        <w:tabs>
          <w:tab w:val="num" w:pos="360"/>
        </w:tabs>
        <w:ind w:left="360" w:hanging="360"/>
      </w:pPr>
      <w:rPr>
        <w:rFonts w:hint="default"/>
        <w:u w:val="none"/>
      </w:rPr>
    </w:lvl>
    <w:lvl w:ilvl="2">
      <w:start w:val="1"/>
      <w:numFmt w:val="decimal"/>
      <w:isLgl/>
      <w:lvlText w:val="%1.%2.%3"/>
      <w:lvlJc w:val="left"/>
      <w:pPr>
        <w:tabs>
          <w:tab w:val="num" w:pos="720"/>
        </w:tabs>
        <w:ind w:left="720" w:hanging="720"/>
      </w:pPr>
      <w:rPr>
        <w:rFonts w:hint="default"/>
        <w:u w:val="none"/>
      </w:rPr>
    </w:lvl>
    <w:lvl w:ilvl="3">
      <w:start w:val="1"/>
      <w:numFmt w:val="decimal"/>
      <w:isLgl/>
      <w:lvlText w:val="%1.%2.%3.%4"/>
      <w:lvlJc w:val="left"/>
      <w:pPr>
        <w:tabs>
          <w:tab w:val="num" w:pos="720"/>
        </w:tabs>
        <w:ind w:left="720" w:hanging="720"/>
      </w:pPr>
      <w:rPr>
        <w:rFonts w:hint="default"/>
        <w:u w:val="none"/>
      </w:rPr>
    </w:lvl>
    <w:lvl w:ilvl="4">
      <w:start w:val="1"/>
      <w:numFmt w:val="decimal"/>
      <w:isLgl/>
      <w:lvlText w:val="%1.%2.%3.%4.%5"/>
      <w:lvlJc w:val="left"/>
      <w:pPr>
        <w:tabs>
          <w:tab w:val="num" w:pos="1080"/>
        </w:tabs>
        <w:ind w:left="1080" w:hanging="1080"/>
      </w:pPr>
      <w:rPr>
        <w:rFonts w:hint="default"/>
        <w:u w:val="none"/>
      </w:rPr>
    </w:lvl>
    <w:lvl w:ilvl="5">
      <w:start w:val="1"/>
      <w:numFmt w:val="decimal"/>
      <w:isLgl/>
      <w:lvlText w:val="%1.%2.%3.%4.%5.%6"/>
      <w:lvlJc w:val="left"/>
      <w:pPr>
        <w:tabs>
          <w:tab w:val="num" w:pos="1080"/>
        </w:tabs>
        <w:ind w:left="1080" w:hanging="1080"/>
      </w:pPr>
      <w:rPr>
        <w:rFonts w:hint="default"/>
        <w:u w:val="none"/>
      </w:rPr>
    </w:lvl>
    <w:lvl w:ilvl="6">
      <w:start w:val="1"/>
      <w:numFmt w:val="decimal"/>
      <w:isLgl/>
      <w:lvlText w:val="%1.%2.%3.%4.%5.%6.%7"/>
      <w:lvlJc w:val="left"/>
      <w:pPr>
        <w:tabs>
          <w:tab w:val="num" w:pos="1440"/>
        </w:tabs>
        <w:ind w:left="1440" w:hanging="1440"/>
      </w:pPr>
      <w:rPr>
        <w:rFonts w:hint="default"/>
        <w:u w:val="none"/>
      </w:rPr>
    </w:lvl>
    <w:lvl w:ilvl="7">
      <w:start w:val="1"/>
      <w:numFmt w:val="decimal"/>
      <w:isLgl/>
      <w:lvlText w:val="%1.%2.%3.%4.%5.%6.%7.%8"/>
      <w:lvlJc w:val="left"/>
      <w:pPr>
        <w:tabs>
          <w:tab w:val="num" w:pos="1440"/>
        </w:tabs>
        <w:ind w:left="1440" w:hanging="1440"/>
      </w:pPr>
      <w:rPr>
        <w:rFonts w:hint="default"/>
        <w:u w:val="none"/>
      </w:rPr>
    </w:lvl>
    <w:lvl w:ilvl="8">
      <w:start w:val="1"/>
      <w:numFmt w:val="decimal"/>
      <w:isLgl/>
      <w:lvlText w:val="%1.%2.%3.%4.%5.%6.%7.%8.%9"/>
      <w:lvlJc w:val="left"/>
      <w:pPr>
        <w:tabs>
          <w:tab w:val="num" w:pos="1800"/>
        </w:tabs>
        <w:ind w:left="1800" w:hanging="1800"/>
      </w:pPr>
      <w:rPr>
        <w:rFonts w:hint="default"/>
        <w:u w:val="none"/>
      </w:rPr>
    </w:lvl>
  </w:abstractNum>
  <w:abstractNum w:abstractNumId="1" w15:restartNumberingAfterBreak="0">
    <w:nsid w:val="03C2602A"/>
    <w:multiLevelType w:val="hybridMultilevel"/>
    <w:tmpl w:val="EC8C595A"/>
    <w:lvl w:ilvl="0" w:tplc="0406000F">
      <w:start w:val="1"/>
      <w:numFmt w:val="decimal"/>
      <w:lvlText w:val="%1."/>
      <w:lvlJc w:val="left"/>
      <w:pPr>
        <w:tabs>
          <w:tab w:val="num" w:pos="360"/>
        </w:tabs>
        <w:ind w:left="360" w:hanging="360"/>
      </w:pPr>
    </w:lvl>
    <w:lvl w:ilvl="1" w:tplc="04060019" w:tentative="1">
      <w:start w:val="1"/>
      <w:numFmt w:val="lowerLetter"/>
      <w:lvlText w:val="%2."/>
      <w:lvlJc w:val="left"/>
      <w:pPr>
        <w:tabs>
          <w:tab w:val="num" w:pos="1080"/>
        </w:tabs>
        <w:ind w:left="1080" w:hanging="360"/>
      </w:pPr>
    </w:lvl>
    <w:lvl w:ilvl="2" w:tplc="0406001B" w:tentative="1">
      <w:start w:val="1"/>
      <w:numFmt w:val="lowerRoman"/>
      <w:lvlText w:val="%3."/>
      <w:lvlJc w:val="right"/>
      <w:pPr>
        <w:tabs>
          <w:tab w:val="num" w:pos="1800"/>
        </w:tabs>
        <w:ind w:left="1800" w:hanging="180"/>
      </w:pPr>
    </w:lvl>
    <w:lvl w:ilvl="3" w:tplc="0406000F" w:tentative="1">
      <w:start w:val="1"/>
      <w:numFmt w:val="decimal"/>
      <w:lvlText w:val="%4."/>
      <w:lvlJc w:val="left"/>
      <w:pPr>
        <w:tabs>
          <w:tab w:val="num" w:pos="2520"/>
        </w:tabs>
        <w:ind w:left="2520" w:hanging="360"/>
      </w:pPr>
    </w:lvl>
    <w:lvl w:ilvl="4" w:tplc="04060019" w:tentative="1">
      <w:start w:val="1"/>
      <w:numFmt w:val="lowerLetter"/>
      <w:lvlText w:val="%5."/>
      <w:lvlJc w:val="left"/>
      <w:pPr>
        <w:tabs>
          <w:tab w:val="num" w:pos="3240"/>
        </w:tabs>
        <w:ind w:left="3240" w:hanging="360"/>
      </w:pPr>
    </w:lvl>
    <w:lvl w:ilvl="5" w:tplc="0406001B" w:tentative="1">
      <w:start w:val="1"/>
      <w:numFmt w:val="lowerRoman"/>
      <w:lvlText w:val="%6."/>
      <w:lvlJc w:val="right"/>
      <w:pPr>
        <w:tabs>
          <w:tab w:val="num" w:pos="3960"/>
        </w:tabs>
        <w:ind w:left="3960" w:hanging="180"/>
      </w:pPr>
    </w:lvl>
    <w:lvl w:ilvl="6" w:tplc="0406000F" w:tentative="1">
      <w:start w:val="1"/>
      <w:numFmt w:val="decimal"/>
      <w:lvlText w:val="%7."/>
      <w:lvlJc w:val="left"/>
      <w:pPr>
        <w:tabs>
          <w:tab w:val="num" w:pos="4680"/>
        </w:tabs>
        <w:ind w:left="4680" w:hanging="360"/>
      </w:pPr>
    </w:lvl>
    <w:lvl w:ilvl="7" w:tplc="04060019" w:tentative="1">
      <w:start w:val="1"/>
      <w:numFmt w:val="lowerLetter"/>
      <w:lvlText w:val="%8."/>
      <w:lvlJc w:val="left"/>
      <w:pPr>
        <w:tabs>
          <w:tab w:val="num" w:pos="5400"/>
        </w:tabs>
        <w:ind w:left="5400" w:hanging="360"/>
      </w:pPr>
    </w:lvl>
    <w:lvl w:ilvl="8" w:tplc="0406001B" w:tentative="1">
      <w:start w:val="1"/>
      <w:numFmt w:val="lowerRoman"/>
      <w:lvlText w:val="%9."/>
      <w:lvlJc w:val="right"/>
      <w:pPr>
        <w:tabs>
          <w:tab w:val="num" w:pos="6120"/>
        </w:tabs>
        <w:ind w:left="6120" w:hanging="180"/>
      </w:pPr>
    </w:lvl>
  </w:abstractNum>
  <w:abstractNum w:abstractNumId="2" w15:restartNumberingAfterBreak="0">
    <w:nsid w:val="0E2A0DFD"/>
    <w:multiLevelType w:val="hybridMultilevel"/>
    <w:tmpl w:val="BC046638"/>
    <w:lvl w:ilvl="0" w:tplc="C28E476E">
      <w:numFmt w:val="bullet"/>
      <w:lvlText w:val="-"/>
      <w:lvlJc w:val="left"/>
      <w:pPr>
        <w:tabs>
          <w:tab w:val="num" w:pos="360"/>
        </w:tabs>
        <w:ind w:left="360" w:hanging="360"/>
      </w:pPr>
      <w:rPr>
        <w:rFonts w:ascii="Times New Roman" w:eastAsia="Times New Roman" w:hAnsi="Times New Roman" w:cs="Times New Roman"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4C1732C"/>
    <w:multiLevelType w:val="multilevel"/>
    <w:tmpl w:val="7BE2F61C"/>
    <w:lvl w:ilvl="0">
      <w:start w:val="6"/>
      <w:numFmt w:val="decimal"/>
      <w:lvlText w:val="%1"/>
      <w:lvlJc w:val="left"/>
      <w:pPr>
        <w:tabs>
          <w:tab w:val="num" w:pos="855"/>
        </w:tabs>
        <w:ind w:left="855" w:hanging="855"/>
      </w:pPr>
      <w:rPr>
        <w:rFonts w:hint="default"/>
      </w:rPr>
    </w:lvl>
    <w:lvl w:ilvl="1">
      <w:start w:val="1"/>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97B357F"/>
    <w:multiLevelType w:val="hybridMultilevel"/>
    <w:tmpl w:val="F95A9BBC"/>
    <w:lvl w:ilvl="0" w:tplc="FFFFFFFF">
      <w:start w:val="1"/>
      <w:numFmt w:val="bullet"/>
      <w:lvlText w:val="-"/>
      <w:lvlJc w:val="left"/>
      <w:pPr>
        <w:ind w:left="360" w:hanging="360"/>
      </w:pPr>
    </w:lvl>
    <w:lvl w:ilvl="1" w:tplc="080C0003">
      <w:start w:val="1"/>
      <w:numFmt w:val="bullet"/>
      <w:lvlText w:val="o"/>
      <w:lvlJc w:val="left"/>
      <w:pPr>
        <w:ind w:left="1080" w:hanging="360"/>
      </w:pPr>
      <w:rPr>
        <w:rFonts w:ascii="Courier New" w:hAnsi="Courier New" w:cs="Courier New" w:hint="default"/>
      </w:rPr>
    </w:lvl>
    <w:lvl w:ilvl="2" w:tplc="080C0005">
      <w:start w:val="1"/>
      <w:numFmt w:val="bullet"/>
      <w:lvlText w:val=""/>
      <w:lvlJc w:val="left"/>
      <w:pPr>
        <w:ind w:left="1800" w:hanging="360"/>
      </w:pPr>
      <w:rPr>
        <w:rFonts w:ascii="Wingdings" w:hAnsi="Wingdings" w:hint="default"/>
      </w:rPr>
    </w:lvl>
    <w:lvl w:ilvl="3" w:tplc="080C0001">
      <w:start w:val="1"/>
      <w:numFmt w:val="bullet"/>
      <w:lvlText w:val=""/>
      <w:lvlJc w:val="left"/>
      <w:pPr>
        <w:ind w:left="2520" w:hanging="360"/>
      </w:pPr>
      <w:rPr>
        <w:rFonts w:ascii="Symbol" w:hAnsi="Symbol" w:hint="default"/>
      </w:rPr>
    </w:lvl>
    <w:lvl w:ilvl="4" w:tplc="080C0003">
      <w:start w:val="1"/>
      <w:numFmt w:val="bullet"/>
      <w:lvlText w:val="o"/>
      <w:lvlJc w:val="left"/>
      <w:pPr>
        <w:ind w:left="3240" w:hanging="360"/>
      </w:pPr>
      <w:rPr>
        <w:rFonts w:ascii="Courier New" w:hAnsi="Courier New" w:cs="Courier New" w:hint="default"/>
      </w:rPr>
    </w:lvl>
    <w:lvl w:ilvl="5" w:tplc="080C0005">
      <w:start w:val="1"/>
      <w:numFmt w:val="bullet"/>
      <w:lvlText w:val=""/>
      <w:lvlJc w:val="left"/>
      <w:pPr>
        <w:ind w:left="3960" w:hanging="360"/>
      </w:pPr>
      <w:rPr>
        <w:rFonts w:ascii="Wingdings" w:hAnsi="Wingdings" w:hint="default"/>
      </w:rPr>
    </w:lvl>
    <w:lvl w:ilvl="6" w:tplc="080C0001">
      <w:start w:val="1"/>
      <w:numFmt w:val="bullet"/>
      <w:lvlText w:val=""/>
      <w:lvlJc w:val="left"/>
      <w:pPr>
        <w:ind w:left="4680" w:hanging="360"/>
      </w:pPr>
      <w:rPr>
        <w:rFonts w:ascii="Symbol" w:hAnsi="Symbol" w:hint="default"/>
      </w:rPr>
    </w:lvl>
    <w:lvl w:ilvl="7" w:tplc="080C0003">
      <w:start w:val="1"/>
      <w:numFmt w:val="bullet"/>
      <w:lvlText w:val="o"/>
      <w:lvlJc w:val="left"/>
      <w:pPr>
        <w:ind w:left="5400" w:hanging="360"/>
      </w:pPr>
      <w:rPr>
        <w:rFonts w:ascii="Courier New" w:hAnsi="Courier New" w:cs="Courier New" w:hint="default"/>
      </w:rPr>
    </w:lvl>
    <w:lvl w:ilvl="8" w:tplc="080C0005">
      <w:start w:val="1"/>
      <w:numFmt w:val="bullet"/>
      <w:lvlText w:val=""/>
      <w:lvlJc w:val="left"/>
      <w:pPr>
        <w:ind w:left="6120" w:hanging="360"/>
      </w:pPr>
      <w:rPr>
        <w:rFonts w:ascii="Wingdings" w:hAnsi="Wingdings" w:hint="default"/>
      </w:rPr>
    </w:lvl>
  </w:abstractNum>
  <w:abstractNum w:abstractNumId="5" w15:restartNumberingAfterBreak="0">
    <w:nsid w:val="19F507D0"/>
    <w:multiLevelType w:val="hybridMultilevel"/>
    <w:tmpl w:val="ED1AA7F0"/>
    <w:lvl w:ilvl="0" w:tplc="C28E476E">
      <w:numFmt w:val="bullet"/>
      <w:lvlText w:val="-"/>
      <w:lvlJc w:val="left"/>
      <w:pPr>
        <w:tabs>
          <w:tab w:val="num" w:pos="360"/>
        </w:tabs>
        <w:ind w:left="360" w:hanging="360"/>
      </w:pPr>
      <w:rPr>
        <w:rFonts w:ascii="Times New Roman" w:eastAsia="Times New Roman" w:hAnsi="Times New Roman" w:cs="Times New Roman"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B703CD3"/>
    <w:multiLevelType w:val="hybridMultilevel"/>
    <w:tmpl w:val="51E2BB50"/>
    <w:lvl w:ilvl="0" w:tplc="FFFFFFFF">
      <w:start w:val="1"/>
      <w:numFmt w:val="bullet"/>
      <w:lvlText w:val="-"/>
      <w:lvlJc w:val="left"/>
      <w:pPr>
        <w:ind w:left="360" w:hanging="360"/>
      </w:pPr>
    </w:lvl>
    <w:lvl w:ilvl="1" w:tplc="080C0003">
      <w:start w:val="1"/>
      <w:numFmt w:val="bullet"/>
      <w:lvlText w:val="o"/>
      <w:lvlJc w:val="left"/>
      <w:pPr>
        <w:ind w:left="1080" w:hanging="360"/>
      </w:pPr>
      <w:rPr>
        <w:rFonts w:ascii="Courier New" w:hAnsi="Courier New" w:cs="Courier New" w:hint="default"/>
      </w:rPr>
    </w:lvl>
    <w:lvl w:ilvl="2" w:tplc="080C0005">
      <w:start w:val="1"/>
      <w:numFmt w:val="bullet"/>
      <w:lvlText w:val=""/>
      <w:lvlJc w:val="left"/>
      <w:pPr>
        <w:ind w:left="1800" w:hanging="360"/>
      </w:pPr>
      <w:rPr>
        <w:rFonts w:ascii="Wingdings" w:hAnsi="Wingdings" w:hint="default"/>
      </w:rPr>
    </w:lvl>
    <w:lvl w:ilvl="3" w:tplc="080C0001">
      <w:start w:val="1"/>
      <w:numFmt w:val="bullet"/>
      <w:lvlText w:val=""/>
      <w:lvlJc w:val="left"/>
      <w:pPr>
        <w:ind w:left="2520" w:hanging="360"/>
      </w:pPr>
      <w:rPr>
        <w:rFonts w:ascii="Symbol" w:hAnsi="Symbol" w:hint="default"/>
      </w:rPr>
    </w:lvl>
    <w:lvl w:ilvl="4" w:tplc="080C0003">
      <w:start w:val="1"/>
      <w:numFmt w:val="bullet"/>
      <w:lvlText w:val="o"/>
      <w:lvlJc w:val="left"/>
      <w:pPr>
        <w:ind w:left="3240" w:hanging="360"/>
      </w:pPr>
      <w:rPr>
        <w:rFonts w:ascii="Courier New" w:hAnsi="Courier New" w:cs="Courier New" w:hint="default"/>
      </w:rPr>
    </w:lvl>
    <w:lvl w:ilvl="5" w:tplc="080C0005">
      <w:start w:val="1"/>
      <w:numFmt w:val="bullet"/>
      <w:lvlText w:val=""/>
      <w:lvlJc w:val="left"/>
      <w:pPr>
        <w:ind w:left="3960" w:hanging="360"/>
      </w:pPr>
      <w:rPr>
        <w:rFonts w:ascii="Wingdings" w:hAnsi="Wingdings" w:hint="default"/>
      </w:rPr>
    </w:lvl>
    <w:lvl w:ilvl="6" w:tplc="080C0001">
      <w:start w:val="1"/>
      <w:numFmt w:val="bullet"/>
      <w:lvlText w:val=""/>
      <w:lvlJc w:val="left"/>
      <w:pPr>
        <w:ind w:left="4680" w:hanging="360"/>
      </w:pPr>
      <w:rPr>
        <w:rFonts w:ascii="Symbol" w:hAnsi="Symbol" w:hint="default"/>
      </w:rPr>
    </w:lvl>
    <w:lvl w:ilvl="7" w:tplc="080C0003">
      <w:start w:val="1"/>
      <w:numFmt w:val="bullet"/>
      <w:lvlText w:val="o"/>
      <w:lvlJc w:val="left"/>
      <w:pPr>
        <w:ind w:left="5400" w:hanging="360"/>
      </w:pPr>
      <w:rPr>
        <w:rFonts w:ascii="Courier New" w:hAnsi="Courier New" w:cs="Courier New" w:hint="default"/>
      </w:rPr>
    </w:lvl>
    <w:lvl w:ilvl="8" w:tplc="080C0005">
      <w:start w:val="1"/>
      <w:numFmt w:val="bullet"/>
      <w:lvlText w:val=""/>
      <w:lvlJc w:val="left"/>
      <w:pPr>
        <w:ind w:left="6120" w:hanging="360"/>
      </w:pPr>
      <w:rPr>
        <w:rFonts w:ascii="Wingdings" w:hAnsi="Wingdings" w:hint="default"/>
      </w:rPr>
    </w:lvl>
  </w:abstractNum>
  <w:abstractNum w:abstractNumId="7" w15:restartNumberingAfterBreak="0">
    <w:nsid w:val="245D4CF3"/>
    <w:multiLevelType w:val="hybridMultilevel"/>
    <w:tmpl w:val="F2F2C538"/>
    <w:lvl w:ilvl="0" w:tplc="1C0E8BF2">
      <w:start w:val="1"/>
      <w:numFmt w:val="bullet"/>
      <w:lvlText w:val="-"/>
      <w:lvlJc w:val="left"/>
      <w:pPr>
        <w:tabs>
          <w:tab w:val="num" w:pos="284"/>
        </w:tabs>
        <w:ind w:left="284" w:hanging="284"/>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5FD1132"/>
    <w:multiLevelType w:val="hybridMultilevel"/>
    <w:tmpl w:val="DC424D3E"/>
    <w:lvl w:ilvl="0" w:tplc="0409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9" w15:restartNumberingAfterBreak="0">
    <w:nsid w:val="338D6E3E"/>
    <w:multiLevelType w:val="hybridMultilevel"/>
    <w:tmpl w:val="A4B4386E"/>
    <w:lvl w:ilvl="0" w:tplc="FFFFFFFF">
      <w:start w:val="1"/>
      <w:numFmt w:val="bullet"/>
      <w:lvlText w:val="-"/>
      <w:lvlJc w:val="left"/>
      <w:pPr>
        <w:ind w:left="360" w:hanging="360"/>
      </w:pPr>
    </w:lvl>
    <w:lvl w:ilvl="1" w:tplc="080C0003">
      <w:start w:val="1"/>
      <w:numFmt w:val="bullet"/>
      <w:lvlText w:val="o"/>
      <w:lvlJc w:val="left"/>
      <w:pPr>
        <w:ind w:left="1080" w:hanging="360"/>
      </w:pPr>
      <w:rPr>
        <w:rFonts w:ascii="Courier New" w:hAnsi="Courier New" w:cs="Courier New" w:hint="default"/>
      </w:rPr>
    </w:lvl>
    <w:lvl w:ilvl="2" w:tplc="080C0005">
      <w:start w:val="1"/>
      <w:numFmt w:val="bullet"/>
      <w:lvlText w:val=""/>
      <w:lvlJc w:val="left"/>
      <w:pPr>
        <w:ind w:left="1800" w:hanging="360"/>
      </w:pPr>
      <w:rPr>
        <w:rFonts w:ascii="Wingdings" w:hAnsi="Wingdings" w:hint="default"/>
      </w:rPr>
    </w:lvl>
    <w:lvl w:ilvl="3" w:tplc="080C0001">
      <w:start w:val="1"/>
      <w:numFmt w:val="bullet"/>
      <w:lvlText w:val=""/>
      <w:lvlJc w:val="left"/>
      <w:pPr>
        <w:ind w:left="2520" w:hanging="360"/>
      </w:pPr>
      <w:rPr>
        <w:rFonts w:ascii="Symbol" w:hAnsi="Symbol" w:hint="default"/>
      </w:rPr>
    </w:lvl>
    <w:lvl w:ilvl="4" w:tplc="080C0003">
      <w:start w:val="1"/>
      <w:numFmt w:val="bullet"/>
      <w:lvlText w:val="o"/>
      <w:lvlJc w:val="left"/>
      <w:pPr>
        <w:ind w:left="3240" w:hanging="360"/>
      </w:pPr>
      <w:rPr>
        <w:rFonts w:ascii="Courier New" w:hAnsi="Courier New" w:cs="Courier New" w:hint="default"/>
      </w:rPr>
    </w:lvl>
    <w:lvl w:ilvl="5" w:tplc="080C0005">
      <w:start w:val="1"/>
      <w:numFmt w:val="bullet"/>
      <w:lvlText w:val=""/>
      <w:lvlJc w:val="left"/>
      <w:pPr>
        <w:ind w:left="3960" w:hanging="360"/>
      </w:pPr>
      <w:rPr>
        <w:rFonts w:ascii="Wingdings" w:hAnsi="Wingdings" w:hint="default"/>
      </w:rPr>
    </w:lvl>
    <w:lvl w:ilvl="6" w:tplc="080C0001">
      <w:start w:val="1"/>
      <w:numFmt w:val="bullet"/>
      <w:lvlText w:val=""/>
      <w:lvlJc w:val="left"/>
      <w:pPr>
        <w:ind w:left="4680" w:hanging="360"/>
      </w:pPr>
      <w:rPr>
        <w:rFonts w:ascii="Symbol" w:hAnsi="Symbol" w:hint="default"/>
      </w:rPr>
    </w:lvl>
    <w:lvl w:ilvl="7" w:tplc="080C0003">
      <w:start w:val="1"/>
      <w:numFmt w:val="bullet"/>
      <w:lvlText w:val="o"/>
      <w:lvlJc w:val="left"/>
      <w:pPr>
        <w:ind w:left="5400" w:hanging="360"/>
      </w:pPr>
      <w:rPr>
        <w:rFonts w:ascii="Courier New" w:hAnsi="Courier New" w:cs="Courier New" w:hint="default"/>
      </w:rPr>
    </w:lvl>
    <w:lvl w:ilvl="8" w:tplc="080C0005">
      <w:start w:val="1"/>
      <w:numFmt w:val="bullet"/>
      <w:lvlText w:val=""/>
      <w:lvlJc w:val="left"/>
      <w:pPr>
        <w:ind w:left="6120" w:hanging="360"/>
      </w:pPr>
      <w:rPr>
        <w:rFonts w:ascii="Wingdings" w:hAnsi="Wingdings" w:hint="default"/>
      </w:rPr>
    </w:lvl>
  </w:abstractNum>
  <w:abstractNum w:abstractNumId="10" w15:restartNumberingAfterBreak="0">
    <w:nsid w:val="66580CB6"/>
    <w:multiLevelType w:val="hybridMultilevel"/>
    <w:tmpl w:val="C9E60732"/>
    <w:lvl w:ilvl="0" w:tplc="C28E476E">
      <w:numFmt w:val="bullet"/>
      <w:lvlText w:val="-"/>
      <w:lvlJc w:val="left"/>
      <w:pPr>
        <w:tabs>
          <w:tab w:val="num" w:pos="360"/>
        </w:tabs>
        <w:ind w:left="360" w:hanging="360"/>
      </w:pPr>
      <w:rPr>
        <w:rFonts w:ascii="Times New Roman" w:eastAsia="Times New Roman" w:hAnsi="Times New Roman" w:cs="Times New Roman"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69BE6F9D"/>
    <w:multiLevelType w:val="multilevel"/>
    <w:tmpl w:val="5D748B46"/>
    <w:lvl w:ilvl="0">
      <w:start w:val="8"/>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u w:val="none"/>
      </w:rPr>
    </w:lvl>
    <w:lvl w:ilvl="2">
      <w:start w:val="1"/>
      <w:numFmt w:val="decimal"/>
      <w:isLgl/>
      <w:lvlText w:val="%1.%2.%3"/>
      <w:lvlJc w:val="left"/>
      <w:pPr>
        <w:tabs>
          <w:tab w:val="num" w:pos="720"/>
        </w:tabs>
        <w:ind w:left="720" w:hanging="720"/>
      </w:pPr>
      <w:rPr>
        <w:rFonts w:hint="default"/>
        <w:u w:val="none"/>
      </w:rPr>
    </w:lvl>
    <w:lvl w:ilvl="3">
      <w:start w:val="1"/>
      <w:numFmt w:val="decimal"/>
      <w:isLgl/>
      <w:lvlText w:val="%1.%2.%3.%4"/>
      <w:lvlJc w:val="left"/>
      <w:pPr>
        <w:tabs>
          <w:tab w:val="num" w:pos="720"/>
        </w:tabs>
        <w:ind w:left="720" w:hanging="720"/>
      </w:pPr>
      <w:rPr>
        <w:rFonts w:hint="default"/>
        <w:u w:val="none"/>
      </w:rPr>
    </w:lvl>
    <w:lvl w:ilvl="4">
      <w:start w:val="1"/>
      <w:numFmt w:val="decimal"/>
      <w:isLgl/>
      <w:lvlText w:val="%1.%2.%3.%4.%5"/>
      <w:lvlJc w:val="left"/>
      <w:pPr>
        <w:tabs>
          <w:tab w:val="num" w:pos="1080"/>
        </w:tabs>
        <w:ind w:left="1080" w:hanging="1080"/>
      </w:pPr>
      <w:rPr>
        <w:rFonts w:hint="default"/>
        <w:u w:val="none"/>
      </w:rPr>
    </w:lvl>
    <w:lvl w:ilvl="5">
      <w:start w:val="1"/>
      <w:numFmt w:val="decimal"/>
      <w:isLgl/>
      <w:lvlText w:val="%1.%2.%3.%4.%5.%6"/>
      <w:lvlJc w:val="left"/>
      <w:pPr>
        <w:tabs>
          <w:tab w:val="num" w:pos="1080"/>
        </w:tabs>
        <w:ind w:left="1080" w:hanging="1080"/>
      </w:pPr>
      <w:rPr>
        <w:rFonts w:hint="default"/>
        <w:u w:val="none"/>
      </w:rPr>
    </w:lvl>
    <w:lvl w:ilvl="6">
      <w:start w:val="1"/>
      <w:numFmt w:val="decimal"/>
      <w:isLgl/>
      <w:lvlText w:val="%1.%2.%3.%4.%5.%6.%7"/>
      <w:lvlJc w:val="left"/>
      <w:pPr>
        <w:tabs>
          <w:tab w:val="num" w:pos="1440"/>
        </w:tabs>
        <w:ind w:left="1440" w:hanging="1440"/>
      </w:pPr>
      <w:rPr>
        <w:rFonts w:hint="default"/>
        <w:u w:val="none"/>
      </w:rPr>
    </w:lvl>
    <w:lvl w:ilvl="7">
      <w:start w:val="1"/>
      <w:numFmt w:val="decimal"/>
      <w:isLgl/>
      <w:lvlText w:val="%1.%2.%3.%4.%5.%6.%7.%8"/>
      <w:lvlJc w:val="left"/>
      <w:pPr>
        <w:tabs>
          <w:tab w:val="num" w:pos="1440"/>
        </w:tabs>
        <w:ind w:left="1440" w:hanging="1440"/>
      </w:pPr>
      <w:rPr>
        <w:rFonts w:hint="default"/>
        <w:u w:val="none"/>
      </w:rPr>
    </w:lvl>
    <w:lvl w:ilvl="8">
      <w:start w:val="1"/>
      <w:numFmt w:val="decimal"/>
      <w:isLgl/>
      <w:lvlText w:val="%1.%2.%3.%4.%5.%6.%7.%8.%9"/>
      <w:lvlJc w:val="left"/>
      <w:pPr>
        <w:tabs>
          <w:tab w:val="num" w:pos="1800"/>
        </w:tabs>
        <w:ind w:left="1800" w:hanging="1800"/>
      </w:pPr>
      <w:rPr>
        <w:rFonts w:hint="default"/>
        <w:u w:val="none"/>
      </w:rPr>
    </w:lvl>
  </w:abstractNum>
  <w:abstractNum w:abstractNumId="12" w15:restartNumberingAfterBreak="0">
    <w:nsid w:val="6C6E7A22"/>
    <w:multiLevelType w:val="hybridMultilevel"/>
    <w:tmpl w:val="55A277C8"/>
    <w:lvl w:ilvl="0" w:tplc="6652ADBE">
      <w:start w:val="1"/>
      <w:numFmt w:val="bullet"/>
      <w:lvlText w:val="-"/>
      <w:lvlJc w:val="left"/>
      <w:pPr>
        <w:ind w:left="360" w:hanging="360"/>
      </w:pPr>
    </w:lvl>
    <w:lvl w:ilvl="1" w:tplc="080C0003">
      <w:start w:val="1"/>
      <w:numFmt w:val="bullet"/>
      <w:lvlText w:val="o"/>
      <w:lvlJc w:val="left"/>
      <w:pPr>
        <w:ind w:left="1080" w:hanging="360"/>
      </w:pPr>
      <w:rPr>
        <w:rFonts w:ascii="Courier New" w:hAnsi="Courier New" w:cs="Courier New" w:hint="default"/>
      </w:rPr>
    </w:lvl>
    <w:lvl w:ilvl="2" w:tplc="080C0005">
      <w:start w:val="1"/>
      <w:numFmt w:val="bullet"/>
      <w:lvlText w:val=""/>
      <w:lvlJc w:val="left"/>
      <w:pPr>
        <w:ind w:left="1800" w:hanging="360"/>
      </w:pPr>
      <w:rPr>
        <w:rFonts w:ascii="Wingdings" w:hAnsi="Wingdings" w:hint="default"/>
      </w:rPr>
    </w:lvl>
    <w:lvl w:ilvl="3" w:tplc="080C0001">
      <w:start w:val="1"/>
      <w:numFmt w:val="bullet"/>
      <w:lvlText w:val=""/>
      <w:lvlJc w:val="left"/>
      <w:pPr>
        <w:ind w:left="2520" w:hanging="360"/>
      </w:pPr>
      <w:rPr>
        <w:rFonts w:ascii="Symbol" w:hAnsi="Symbol" w:hint="default"/>
      </w:rPr>
    </w:lvl>
    <w:lvl w:ilvl="4" w:tplc="080C0003">
      <w:start w:val="1"/>
      <w:numFmt w:val="bullet"/>
      <w:lvlText w:val="o"/>
      <w:lvlJc w:val="left"/>
      <w:pPr>
        <w:ind w:left="3240" w:hanging="360"/>
      </w:pPr>
      <w:rPr>
        <w:rFonts w:ascii="Courier New" w:hAnsi="Courier New" w:cs="Courier New" w:hint="default"/>
      </w:rPr>
    </w:lvl>
    <w:lvl w:ilvl="5" w:tplc="080C0005">
      <w:start w:val="1"/>
      <w:numFmt w:val="bullet"/>
      <w:lvlText w:val=""/>
      <w:lvlJc w:val="left"/>
      <w:pPr>
        <w:ind w:left="3960" w:hanging="360"/>
      </w:pPr>
      <w:rPr>
        <w:rFonts w:ascii="Wingdings" w:hAnsi="Wingdings" w:hint="default"/>
      </w:rPr>
    </w:lvl>
    <w:lvl w:ilvl="6" w:tplc="080C0001">
      <w:start w:val="1"/>
      <w:numFmt w:val="bullet"/>
      <w:lvlText w:val=""/>
      <w:lvlJc w:val="left"/>
      <w:pPr>
        <w:ind w:left="4680" w:hanging="360"/>
      </w:pPr>
      <w:rPr>
        <w:rFonts w:ascii="Symbol" w:hAnsi="Symbol" w:hint="default"/>
      </w:rPr>
    </w:lvl>
    <w:lvl w:ilvl="7" w:tplc="080C0003">
      <w:start w:val="1"/>
      <w:numFmt w:val="bullet"/>
      <w:lvlText w:val="o"/>
      <w:lvlJc w:val="left"/>
      <w:pPr>
        <w:ind w:left="5400" w:hanging="360"/>
      </w:pPr>
      <w:rPr>
        <w:rFonts w:ascii="Courier New" w:hAnsi="Courier New" w:cs="Courier New" w:hint="default"/>
      </w:rPr>
    </w:lvl>
    <w:lvl w:ilvl="8" w:tplc="080C0005">
      <w:start w:val="1"/>
      <w:numFmt w:val="bullet"/>
      <w:lvlText w:val=""/>
      <w:lvlJc w:val="left"/>
      <w:pPr>
        <w:ind w:left="6120" w:hanging="360"/>
      </w:pPr>
      <w:rPr>
        <w:rFonts w:ascii="Wingdings" w:hAnsi="Wingdings" w:hint="default"/>
      </w:rPr>
    </w:lvl>
  </w:abstractNum>
  <w:abstractNum w:abstractNumId="13" w15:restartNumberingAfterBreak="0">
    <w:nsid w:val="7FFA71A5"/>
    <w:multiLevelType w:val="hybridMultilevel"/>
    <w:tmpl w:val="85D84356"/>
    <w:lvl w:ilvl="0" w:tplc="6652ADBE">
      <w:start w:val="1"/>
      <w:numFmt w:val="bullet"/>
      <w:lvlText w:val="-"/>
      <w:lvlJc w:val="left"/>
      <w:pPr>
        <w:tabs>
          <w:tab w:val="num" w:pos="284"/>
        </w:tabs>
        <w:ind w:left="284" w:hanging="284"/>
      </w:p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16cid:durableId="39863137">
    <w:abstractNumId w:val="3"/>
  </w:num>
  <w:num w:numId="2" w16cid:durableId="1956207690">
    <w:abstractNumId w:val="0"/>
  </w:num>
  <w:num w:numId="3" w16cid:durableId="356203448">
    <w:abstractNumId w:val="11"/>
  </w:num>
  <w:num w:numId="4" w16cid:durableId="1034967717">
    <w:abstractNumId w:val="1"/>
  </w:num>
  <w:num w:numId="5" w16cid:durableId="1081103483">
    <w:abstractNumId w:val="13"/>
  </w:num>
  <w:num w:numId="6" w16cid:durableId="1229151519">
    <w:abstractNumId w:val="12"/>
  </w:num>
  <w:num w:numId="7" w16cid:durableId="571277810">
    <w:abstractNumId w:val="10"/>
  </w:num>
  <w:num w:numId="8" w16cid:durableId="894707393">
    <w:abstractNumId w:val="5"/>
  </w:num>
  <w:num w:numId="9" w16cid:durableId="1145901733">
    <w:abstractNumId w:val="2"/>
  </w:num>
  <w:num w:numId="10" w16cid:durableId="2006516735">
    <w:abstractNumId w:val="8"/>
  </w:num>
  <w:num w:numId="11" w16cid:durableId="106042570">
    <w:abstractNumId w:val="7"/>
  </w:num>
  <w:num w:numId="12" w16cid:durableId="1837918118">
    <w:abstractNumId w:val="9"/>
  </w:num>
  <w:num w:numId="13" w16cid:durableId="913588660">
    <w:abstractNumId w:val="6"/>
  </w:num>
  <w:num w:numId="14" w16cid:durableId="696247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0E0"/>
    <w:rsid w:val="00056601"/>
    <w:rsid w:val="000B2AF8"/>
    <w:rsid w:val="000C3846"/>
    <w:rsid w:val="000C6218"/>
    <w:rsid w:val="000D3C9D"/>
    <w:rsid w:val="000F0D47"/>
    <w:rsid w:val="001171C9"/>
    <w:rsid w:val="001242DE"/>
    <w:rsid w:val="00180A12"/>
    <w:rsid w:val="001C6F5C"/>
    <w:rsid w:val="00214331"/>
    <w:rsid w:val="00214CF4"/>
    <w:rsid w:val="002260E0"/>
    <w:rsid w:val="00281F03"/>
    <w:rsid w:val="0029458A"/>
    <w:rsid w:val="002A1587"/>
    <w:rsid w:val="002B27C5"/>
    <w:rsid w:val="002F6D9C"/>
    <w:rsid w:val="00303008"/>
    <w:rsid w:val="00373B55"/>
    <w:rsid w:val="003D727E"/>
    <w:rsid w:val="003E0341"/>
    <w:rsid w:val="003E3402"/>
    <w:rsid w:val="003F4736"/>
    <w:rsid w:val="00401B49"/>
    <w:rsid w:val="0042292D"/>
    <w:rsid w:val="00437D5B"/>
    <w:rsid w:val="00440254"/>
    <w:rsid w:val="004860D3"/>
    <w:rsid w:val="004A3BF4"/>
    <w:rsid w:val="004A5DB3"/>
    <w:rsid w:val="005152D9"/>
    <w:rsid w:val="00533AD4"/>
    <w:rsid w:val="00534849"/>
    <w:rsid w:val="00560102"/>
    <w:rsid w:val="00562EA1"/>
    <w:rsid w:val="005A498B"/>
    <w:rsid w:val="005F3DBB"/>
    <w:rsid w:val="00617BB8"/>
    <w:rsid w:val="006207FF"/>
    <w:rsid w:val="00680052"/>
    <w:rsid w:val="00683267"/>
    <w:rsid w:val="006844E9"/>
    <w:rsid w:val="006B3847"/>
    <w:rsid w:val="0075453D"/>
    <w:rsid w:val="007A4CC6"/>
    <w:rsid w:val="007B4529"/>
    <w:rsid w:val="007C3623"/>
    <w:rsid w:val="007C5D2A"/>
    <w:rsid w:val="007F1E00"/>
    <w:rsid w:val="00827444"/>
    <w:rsid w:val="008400E3"/>
    <w:rsid w:val="00863D1D"/>
    <w:rsid w:val="00864538"/>
    <w:rsid w:val="00873B4F"/>
    <w:rsid w:val="008A24F6"/>
    <w:rsid w:val="008C29B5"/>
    <w:rsid w:val="008E51AE"/>
    <w:rsid w:val="008E77A6"/>
    <w:rsid w:val="008F2F8C"/>
    <w:rsid w:val="009925C9"/>
    <w:rsid w:val="00A179D0"/>
    <w:rsid w:val="00A20343"/>
    <w:rsid w:val="00A358A3"/>
    <w:rsid w:val="00A46747"/>
    <w:rsid w:val="00A76A33"/>
    <w:rsid w:val="00A80446"/>
    <w:rsid w:val="00A85D26"/>
    <w:rsid w:val="00A9153A"/>
    <w:rsid w:val="00AB4376"/>
    <w:rsid w:val="00AC033C"/>
    <w:rsid w:val="00AD2E36"/>
    <w:rsid w:val="00B45DC5"/>
    <w:rsid w:val="00BD3490"/>
    <w:rsid w:val="00C26226"/>
    <w:rsid w:val="00C3571D"/>
    <w:rsid w:val="00C54F0B"/>
    <w:rsid w:val="00C82621"/>
    <w:rsid w:val="00C9441A"/>
    <w:rsid w:val="00CB1423"/>
    <w:rsid w:val="00CD07CC"/>
    <w:rsid w:val="00CD3385"/>
    <w:rsid w:val="00D02508"/>
    <w:rsid w:val="00D03906"/>
    <w:rsid w:val="00D2716F"/>
    <w:rsid w:val="00D778CC"/>
    <w:rsid w:val="00D82FE9"/>
    <w:rsid w:val="00D97B77"/>
    <w:rsid w:val="00DB6A85"/>
    <w:rsid w:val="00E06B32"/>
    <w:rsid w:val="00E1290F"/>
    <w:rsid w:val="00E36A80"/>
    <w:rsid w:val="00E81048"/>
    <w:rsid w:val="00EB21D7"/>
    <w:rsid w:val="00EE3EB7"/>
    <w:rsid w:val="00F57E16"/>
    <w:rsid w:val="00F60336"/>
    <w:rsid w:val="00F8042D"/>
    <w:rsid w:val="00FD652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BC1F9D"/>
  <w15:chartTrackingRefBased/>
  <w15:docId w15:val="{B9850EDB-3CF1-4C0A-9FBF-E68C0DA87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3B55"/>
    <w:rPr>
      <w:sz w:val="23"/>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Titel">
    <w:name w:val="Title"/>
    <w:basedOn w:val="Normal"/>
    <w:qFormat/>
    <w:rsid w:val="00373B55"/>
    <w:pPr>
      <w:jc w:val="center"/>
    </w:pPr>
    <w:rPr>
      <w:b/>
      <w:sz w:val="24"/>
    </w:rPr>
  </w:style>
  <w:style w:type="paragraph" w:styleId="Sidehoved">
    <w:name w:val="header"/>
    <w:basedOn w:val="Normal"/>
    <w:rsid w:val="00373B55"/>
    <w:pPr>
      <w:tabs>
        <w:tab w:val="center" w:pos="4819"/>
        <w:tab w:val="right" w:pos="9638"/>
      </w:tabs>
    </w:pPr>
    <w:rPr>
      <w:sz w:val="24"/>
    </w:rPr>
  </w:style>
  <w:style w:type="paragraph" w:styleId="Sidefod">
    <w:name w:val="footer"/>
    <w:basedOn w:val="Normal"/>
    <w:rsid w:val="00373B55"/>
    <w:pPr>
      <w:tabs>
        <w:tab w:val="center" w:pos="4819"/>
        <w:tab w:val="right" w:pos="9638"/>
      </w:tabs>
    </w:pPr>
    <w:rPr>
      <w:sz w:val="24"/>
    </w:rPr>
  </w:style>
  <w:style w:type="character" w:styleId="Sidetal">
    <w:name w:val="page number"/>
    <w:basedOn w:val="Standardskrifttypeiafsnit"/>
    <w:rsid w:val="00373B55"/>
  </w:style>
  <w:style w:type="character" w:styleId="Kommentarhenvisning">
    <w:name w:val="annotation reference"/>
    <w:basedOn w:val="Standardskrifttypeiafsnit"/>
    <w:semiHidden/>
    <w:rsid w:val="00373B55"/>
    <w:rPr>
      <w:sz w:val="16"/>
    </w:rPr>
  </w:style>
  <w:style w:type="paragraph" w:styleId="Kommentartekst">
    <w:name w:val="annotation text"/>
    <w:basedOn w:val="Normal"/>
    <w:link w:val="KommentartekstTegn"/>
    <w:semiHidden/>
    <w:rsid w:val="00373B55"/>
    <w:rPr>
      <w:sz w:val="20"/>
    </w:rPr>
  </w:style>
  <w:style w:type="paragraph" w:styleId="Markeringsbobletekst">
    <w:name w:val="Balloon Text"/>
    <w:basedOn w:val="Normal"/>
    <w:link w:val="MarkeringsbobletekstTegn"/>
    <w:uiPriority w:val="99"/>
    <w:semiHidden/>
    <w:unhideWhenUsed/>
    <w:rsid w:val="004A5DB3"/>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4A5DB3"/>
    <w:rPr>
      <w:rFonts w:ascii="Tahoma" w:hAnsi="Tahoma" w:cs="Tahoma"/>
      <w:sz w:val="16"/>
      <w:szCs w:val="16"/>
    </w:rPr>
  </w:style>
  <w:style w:type="paragraph" w:styleId="Kommentaremne">
    <w:name w:val="annotation subject"/>
    <w:basedOn w:val="Kommentartekst"/>
    <w:next w:val="Kommentartekst"/>
    <w:link w:val="KommentaremneTegn"/>
    <w:uiPriority w:val="99"/>
    <w:semiHidden/>
    <w:unhideWhenUsed/>
    <w:rsid w:val="00873B4F"/>
    <w:rPr>
      <w:b/>
      <w:bCs/>
    </w:rPr>
  </w:style>
  <w:style w:type="character" w:customStyle="1" w:styleId="KommentartekstTegn">
    <w:name w:val="Kommentartekst Tegn"/>
    <w:basedOn w:val="Standardskrifttypeiafsnit"/>
    <w:link w:val="Kommentartekst"/>
    <w:semiHidden/>
    <w:rsid w:val="00873B4F"/>
  </w:style>
  <w:style w:type="character" w:customStyle="1" w:styleId="KommentaremneTegn">
    <w:name w:val="Kommentaremne Tegn"/>
    <w:basedOn w:val="KommentartekstTegn"/>
    <w:link w:val="Kommentaremne"/>
    <w:uiPriority w:val="99"/>
    <w:semiHidden/>
    <w:rsid w:val="00873B4F"/>
    <w:rPr>
      <w:b/>
      <w:bCs/>
    </w:rPr>
  </w:style>
  <w:style w:type="character" w:styleId="Hyperlink">
    <w:name w:val="Hyperlink"/>
    <w:basedOn w:val="Standardskrifttypeiafsnit"/>
    <w:uiPriority w:val="99"/>
    <w:unhideWhenUsed/>
    <w:rsid w:val="00D2716F"/>
    <w:rPr>
      <w:color w:val="0563C1" w:themeColor="hyperlink"/>
      <w:u w:val="single"/>
    </w:rPr>
  </w:style>
  <w:style w:type="character" w:styleId="Ulstomtale">
    <w:name w:val="Unresolved Mention"/>
    <w:basedOn w:val="Standardskrifttypeiafsnit"/>
    <w:uiPriority w:val="99"/>
    <w:semiHidden/>
    <w:unhideWhenUsed/>
    <w:rsid w:val="00D2716F"/>
    <w:rPr>
      <w:color w:val="605E5C"/>
      <w:shd w:val="clear" w:color="auto" w:fill="E1DFDD"/>
    </w:rPr>
  </w:style>
  <w:style w:type="table" w:styleId="Tabel-Gitter">
    <w:name w:val="Table Grid"/>
    <w:basedOn w:val="Tabel-Normal"/>
    <w:uiPriority w:val="59"/>
    <w:rsid w:val="00863D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23507">
      <w:bodyDiv w:val="1"/>
      <w:marLeft w:val="0"/>
      <w:marRight w:val="0"/>
      <w:marTop w:val="0"/>
      <w:marBottom w:val="0"/>
      <w:divBdr>
        <w:top w:val="none" w:sz="0" w:space="0" w:color="auto"/>
        <w:left w:val="none" w:sz="0" w:space="0" w:color="auto"/>
        <w:bottom w:val="none" w:sz="0" w:space="0" w:color="auto"/>
        <w:right w:val="none" w:sz="0" w:space="0" w:color="auto"/>
      </w:divBdr>
    </w:div>
    <w:div w:id="90053972">
      <w:bodyDiv w:val="1"/>
      <w:marLeft w:val="0"/>
      <w:marRight w:val="0"/>
      <w:marTop w:val="0"/>
      <w:marBottom w:val="0"/>
      <w:divBdr>
        <w:top w:val="none" w:sz="0" w:space="0" w:color="auto"/>
        <w:left w:val="none" w:sz="0" w:space="0" w:color="auto"/>
        <w:bottom w:val="none" w:sz="0" w:space="0" w:color="auto"/>
        <w:right w:val="none" w:sz="0" w:space="0" w:color="auto"/>
      </w:divBdr>
    </w:div>
    <w:div w:id="128523039">
      <w:bodyDiv w:val="1"/>
      <w:marLeft w:val="0"/>
      <w:marRight w:val="0"/>
      <w:marTop w:val="0"/>
      <w:marBottom w:val="0"/>
      <w:divBdr>
        <w:top w:val="none" w:sz="0" w:space="0" w:color="auto"/>
        <w:left w:val="none" w:sz="0" w:space="0" w:color="auto"/>
        <w:bottom w:val="none" w:sz="0" w:space="0" w:color="auto"/>
        <w:right w:val="none" w:sz="0" w:space="0" w:color="auto"/>
      </w:divBdr>
    </w:div>
    <w:div w:id="199130942">
      <w:bodyDiv w:val="1"/>
      <w:marLeft w:val="0"/>
      <w:marRight w:val="0"/>
      <w:marTop w:val="0"/>
      <w:marBottom w:val="0"/>
      <w:divBdr>
        <w:top w:val="none" w:sz="0" w:space="0" w:color="auto"/>
        <w:left w:val="none" w:sz="0" w:space="0" w:color="auto"/>
        <w:bottom w:val="none" w:sz="0" w:space="0" w:color="auto"/>
        <w:right w:val="none" w:sz="0" w:space="0" w:color="auto"/>
      </w:divBdr>
    </w:div>
    <w:div w:id="221059593">
      <w:bodyDiv w:val="1"/>
      <w:marLeft w:val="0"/>
      <w:marRight w:val="0"/>
      <w:marTop w:val="0"/>
      <w:marBottom w:val="0"/>
      <w:divBdr>
        <w:top w:val="none" w:sz="0" w:space="0" w:color="auto"/>
        <w:left w:val="none" w:sz="0" w:space="0" w:color="auto"/>
        <w:bottom w:val="none" w:sz="0" w:space="0" w:color="auto"/>
        <w:right w:val="none" w:sz="0" w:space="0" w:color="auto"/>
      </w:divBdr>
    </w:div>
    <w:div w:id="233243426">
      <w:bodyDiv w:val="1"/>
      <w:marLeft w:val="0"/>
      <w:marRight w:val="0"/>
      <w:marTop w:val="0"/>
      <w:marBottom w:val="0"/>
      <w:divBdr>
        <w:top w:val="none" w:sz="0" w:space="0" w:color="auto"/>
        <w:left w:val="none" w:sz="0" w:space="0" w:color="auto"/>
        <w:bottom w:val="none" w:sz="0" w:space="0" w:color="auto"/>
        <w:right w:val="none" w:sz="0" w:space="0" w:color="auto"/>
      </w:divBdr>
    </w:div>
    <w:div w:id="313605528">
      <w:bodyDiv w:val="1"/>
      <w:marLeft w:val="0"/>
      <w:marRight w:val="0"/>
      <w:marTop w:val="0"/>
      <w:marBottom w:val="0"/>
      <w:divBdr>
        <w:top w:val="none" w:sz="0" w:space="0" w:color="auto"/>
        <w:left w:val="none" w:sz="0" w:space="0" w:color="auto"/>
        <w:bottom w:val="none" w:sz="0" w:space="0" w:color="auto"/>
        <w:right w:val="none" w:sz="0" w:space="0" w:color="auto"/>
      </w:divBdr>
    </w:div>
    <w:div w:id="341587338">
      <w:bodyDiv w:val="1"/>
      <w:marLeft w:val="0"/>
      <w:marRight w:val="0"/>
      <w:marTop w:val="0"/>
      <w:marBottom w:val="0"/>
      <w:divBdr>
        <w:top w:val="none" w:sz="0" w:space="0" w:color="auto"/>
        <w:left w:val="none" w:sz="0" w:space="0" w:color="auto"/>
        <w:bottom w:val="none" w:sz="0" w:space="0" w:color="auto"/>
        <w:right w:val="none" w:sz="0" w:space="0" w:color="auto"/>
      </w:divBdr>
    </w:div>
    <w:div w:id="396826736">
      <w:bodyDiv w:val="1"/>
      <w:marLeft w:val="0"/>
      <w:marRight w:val="0"/>
      <w:marTop w:val="0"/>
      <w:marBottom w:val="0"/>
      <w:divBdr>
        <w:top w:val="none" w:sz="0" w:space="0" w:color="auto"/>
        <w:left w:val="none" w:sz="0" w:space="0" w:color="auto"/>
        <w:bottom w:val="none" w:sz="0" w:space="0" w:color="auto"/>
        <w:right w:val="none" w:sz="0" w:space="0" w:color="auto"/>
      </w:divBdr>
    </w:div>
    <w:div w:id="433330178">
      <w:bodyDiv w:val="1"/>
      <w:marLeft w:val="0"/>
      <w:marRight w:val="0"/>
      <w:marTop w:val="0"/>
      <w:marBottom w:val="0"/>
      <w:divBdr>
        <w:top w:val="none" w:sz="0" w:space="0" w:color="auto"/>
        <w:left w:val="none" w:sz="0" w:space="0" w:color="auto"/>
        <w:bottom w:val="none" w:sz="0" w:space="0" w:color="auto"/>
        <w:right w:val="none" w:sz="0" w:space="0" w:color="auto"/>
      </w:divBdr>
    </w:div>
    <w:div w:id="458112212">
      <w:bodyDiv w:val="1"/>
      <w:marLeft w:val="0"/>
      <w:marRight w:val="0"/>
      <w:marTop w:val="0"/>
      <w:marBottom w:val="0"/>
      <w:divBdr>
        <w:top w:val="none" w:sz="0" w:space="0" w:color="auto"/>
        <w:left w:val="none" w:sz="0" w:space="0" w:color="auto"/>
        <w:bottom w:val="none" w:sz="0" w:space="0" w:color="auto"/>
        <w:right w:val="none" w:sz="0" w:space="0" w:color="auto"/>
      </w:divBdr>
    </w:div>
    <w:div w:id="523174605">
      <w:bodyDiv w:val="1"/>
      <w:marLeft w:val="0"/>
      <w:marRight w:val="0"/>
      <w:marTop w:val="0"/>
      <w:marBottom w:val="0"/>
      <w:divBdr>
        <w:top w:val="none" w:sz="0" w:space="0" w:color="auto"/>
        <w:left w:val="none" w:sz="0" w:space="0" w:color="auto"/>
        <w:bottom w:val="none" w:sz="0" w:space="0" w:color="auto"/>
        <w:right w:val="none" w:sz="0" w:space="0" w:color="auto"/>
      </w:divBdr>
    </w:div>
    <w:div w:id="570775263">
      <w:bodyDiv w:val="1"/>
      <w:marLeft w:val="0"/>
      <w:marRight w:val="0"/>
      <w:marTop w:val="0"/>
      <w:marBottom w:val="0"/>
      <w:divBdr>
        <w:top w:val="none" w:sz="0" w:space="0" w:color="auto"/>
        <w:left w:val="none" w:sz="0" w:space="0" w:color="auto"/>
        <w:bottom w:val="none" w:sz="0" w:space="0" w:color="auto"/>
        <w:right w:val="none" w:sz="0" w:space="0" w:color="auto"/>
      </w:divBdr>
    </w:div>
    <w:div w:id="702947150">
      <w:bodyDiv w:val="1"/>
      <w:marLeft w:val="0"/>
      <w:marRight w:val="0"/>
      <w:marTop w:val="0"/>
      <w:marBottom w:val="0"/>
      <w:divBdr>
        <w:top w:val="none" w:sz="0" w:space="0" w:color="auto"/>
        <w:left w:val="none" w:sz="0" w:space="0" w:color="auto"/>
        <w:bottom w:val="none" w:sz="0" w:space="0" w:color="auto"/>
        <w:right w:val="none" w:sz="0" w:space="0" w:color="auto"/>
      </w:divBdr>
    </w:div>
    <w:div w:id="725253859">
      <w:bodyDiv w:val="1"/>
      <w:marLeft w:val="0"/>
      <w:marRight w:val="0"/>
      <w:marTop w:val="0"/>
      <w:marBottom w:val="0"/>
      <w:divBdr>
        <w:top w:val="none" w:sz="0" w:space="0" w:color="auto"/>
        <w:left w:val="none" w:sz="0" w:space="0" w:color="auto"/>
        <w:bottom w:val="none" w:sz="0" w:space="0" w:color="auto"/>
        <w:right w:val="none" w:sz="0" w:space="0" w:color="auto"/>
      </w:divBdr>
    </w:div>
    <w:div w:id="843280656">
      <w:bodyDiv w:val="1"/>
      <w:marLeft w:val="0"/>
      <w:marRight w:val="0"/>
      <w:marTop w:val="0"/>
      <w:marBottom w:val="0"/>
      <w:divBdr>
        <w:top w:val="none" w:sz="0" w:space="0" w:color="auto"/>
        <w:left w:val="none" w:sz="0" w:space="0" w:color="auto"/>
        <w:bottom w:val="none" w:sz="0" w:space="0" w:color="auto"/>
        <w:right w:val="none" w:sz="0" w:space="0" w:color="auto"/>
      </w:divBdr>
    </w:div>
    <w:div w:id="884292732">
      <w:bodyDiv w:val="1"/>
      <w:marLeft w:val="0"/>
      <w:marRight w:val="0"/>
      <w:marTop w:val="0"/>
      <w:marBottom w:val="0"/>
      <w:divBdr>
        <w:top w:val="none" w:sz="0" w:space="0" w:color="auto"/>
        <w:left w:val="none" w:sz="0" w:space="0" w:color="auto"/>
        <w:bottom w:val="none" w:sz="0" w:space="0" w:color="auto"/>
        <w:right w:val="none" w:sz="0" w:space="0" w:color="auto"/>
      </w:divBdr>
    </w:div>
    <w:div w:id="885024730">
      <w:bodyDiv w:val="1"/>
      <w:marLeft w:val="0"/>
      <w:marRight w:val="0"/>
      <w:marTop w:val="0"/>
      <w:marBottom w:val="0"/>
      <w:divBdr>
        <w:top w:val="none" w:sz="0" w:space="0" w:color="auto"/>
        <w:left w:val="none" w:sz="0" w:space="0" w:color="auto"/>
        <w:bottom w:val="none" w:sz="0" w:space="0" w:color="auto"/>
        <w:right w:val="none" w:sz="0" w:space="0" w:color="auto"/>
      </w:divBdr>
    </w:div>
    <w:div w:id="918445891">
      <w:bodyDiv w:val="1"/>
      <w:marLeft w:val="0"/>
      <w:marRight w:val="0"/>
      <w:marTop w:val="0"/>
      <w:marBottom w:val="0"/>
      <w:divBdr>
        <w:top w:val="none" w:sz="0" w:space="0" w:color="auto"/>
        <w:left w:val="none" w:sz="0" w:space="0" w:color="auto"/>
        <w:bottom w:val="none" w:sz="0" w:space="0" w:color="auto"/>
        <w:right w:val="none" w:sz="0" w:space="0" w:color="auto"/>
      </w:divBdr>
    </w:div>
    <w:div w:id="1007487291">
      <w:bodyDiv w:val="1"/>
      <w:marLeft w:val="0"/>
      <w:marRight w:val="0"/>
      <w:marTop w:val="0"/>
      <w:marBottom w:val="0"/>
      <w:divBdr>
        <w:top w:val="none" w:sz="0" w:space="0" w:color="auto"/>
        <w:left w:val="none" w:sz="0" w:space="0" w:color="auto"/>
        <w:bottom w:val="none" w:sz="0" w:space="0" w:color="auto"/>
        <w:right w:val="none" w:sz="0" w:space="0" w:color="auto"/>
      </w:divBdr>
    </w:div>
    <w:div w:id="1013919630">
      <w:bodyDiv w:val="1"/>
      <w:marLeft w:val="0"/>
      <w:marRight w:val="0"/>
      <w:marTop w:val="0"/>
      <w:marBottom w:val="0"/>
      <w:divBdr>
        <w:top w:val="none" w:sz="0" w:space="0" w:color="auto"/>
        <w:left w:val="none" w:sz="0" w:space="0" w:color="auto"/>
        <w:bottom w:val="none" w:sz="0" w:space="0" w:color="auto"/>
        <w:right w:val="none" w:sz="0" w:space="0" w:color="auto"/>
      </w:divBdr>
    </w:div>
    <w:div w:id="1019114280">
      <w:bodyDiv w:val="1"/>
      <w:marLeft w:val="0"/>
      <w:marRight w:val="0"/>
      <w:marTop w:val="0"/>
      <w:marBottom w:val="0"/>
      <w:divBdr>
        <w:top w:val="none" w:sz="0" w:space="0" w:color="auto"/>
        <w:left w:val="none" w:sz="0" w:space="0" w:color="auto"/>
        <w:bottom w:val="none" w:sz="0" w:space="0" w:color="auto"/>
        <w:right w:val="none" w:sz="0" w:space="0" w:color="auto"/>
      </w:divBdr>
    </w:div>
    <w:div w:id="1072770911">
      <w:bodyDiv w:val="1"/>
      <w:marLeft w:val="0"/>
      <w:marRight w:val="0"/>
      <w:marTop w:val="0"/>
      <w:marBottom w:val="0"/>
      <w:divBdr>
        <w:top w:val="none" w:sz="0" w:space="0" w:color="auto"/>
        <w:left w:val="none" w:sz="0" w:space="0" w:color="auto"/>
        <w:bottom w:val="none" w:sz="0" w:space="0" w:color="auto"/>
        <w:right w:val="none" w:sz="0" w:space="0" w:color="auto"/>
      </w:divBdr>
    </w:div>
    <w:div w:id="1073356112">
      <w:bodyDiv w:val="1"/>
      <w:marLeft w:val="0"/>
      <w:marRight w:val="0"/>
      <w:marTop w:val="0"/>
      <w:marBottom w:val="0"/>
      <w:divBdr>
        <w:top w:val="none" w:sz="0" w:space="0" w:color="auto"/>
        <w:left w:val="none" w:sz="0" w:space="0" w:color="auto"/>
        <w:bottom w:val="none" w:sz="0" w:space="0" w:color="auto"/>
        <w:right w:val="none" w:sz="0" w:space="0" w:color="auto"/>
      </w:divBdr>
    </w:div>
    <w:div w:id="1078209209">
      <w:bodyDiv w:val="1"/>
      <w:marLeft w:val="0"/>
      <w:marRight w:val="0"/>
      <w:marTop w:val="0"/>
      <w:marBottom w:val="0"/>
      <w:divBdr>
        <w:top w:val="none" w:sz="0" w:space="0" w:color="auto"/>
        <w:left w:val="none" w:sz="0" w:space="0" w:color="auto"/>
        <w:bottom w:val="none" w:sz="0" w:space="0" w:color="auto"/>
        <w:right w:val="none" w:sz="0" w:space="0" w:color="auto"/>
      </w:divBdr>
    </w:div>
    <w:div w:id="1091122918">
      <w:bodyDiv w:val="1"/>
      <w:marLeft w:val="0"/>
      <w:marRight w:val="0"/>
      <w:marTop w:val="0"/>
      <w:marBottom w:val="0"/>
      <w:divBdr>
        <w:top w:val="none" w:sz="0" w:space="0" w:color="auto"/>
        <w:left w:val="none" w:sz="0" w:space="0" w:color="auto"/>
        <w:bottom w:val="none" w:sz="0" w:space="0" w:color="auto"/>
        <w:right w:val="none" w:sz="0" w:space="0" w:color="auto"/>
      </w:divBdr>
    </w:div>
    <w:div w:id="1116022933">
      <w:bodyDiv w:val="1"/>
      <w:marLeft w:val="0"/>
      <w:marRight w:val="0"/>
      <w:marTop w:val="0"/>
      <w:marBottom w:val="0"/>
      <w:divBdr>
        <w:top w:val="none" w:sz="0" w:space="0" w:color="auto"/>
        <w:left w:val="none" w:sz="0" w:space="0" w:color="auto"/>
        <w:bottom w:val="none" w:sz="0" w:space="0" w:color="auto"/>
        <w:right w:val="none" w:sz="0" w:space="0" w:color="auto"/>
      </w:divBdr>
    </w:div>
    <w:div w:id="1116102042">
      <w:bodyDiv w:val="1"/>
      <w:marLeft w:val="0"/>
      <w:marRight w:val="0"/>
      <w:marTop w:val="0"/>
      <w:marBottom w:val="0"/>
      <w:divBdr>
        <w:top w:val="none" w:sz="0" w:space="0" w:color="auto"/>
        <w:left w:val="none" w:sz="0" w:space="0" w:color="auto"/>
        <w:bottom w:val="none" w:sz="0" w:space="0" w:color="auto"/>
        <w:right w:val="none" w:sz="0" w:space="0" w:color="auto"/>
      </w:divBdr>
    </w:div>
    <w:div w:id="1231303505">
      <w:bodyDiv w:val="1"/>
      <w:marLeft w:val="0"/>
      <w:marRight w:val="0"/>
      <w:marTop w:val="0"/>
      <w:marBottom w:val="0"/>
      <w:divBdr>
        <w:top w:val="none" w:sz="0" w:space="0" w:color="auto"/>
        <w:left w:val="none" w:sz="0" w:space="0" w:color="auto"/>
        <w:bottom w:val="none" w:sz="0" w:space="0" w:color="auto"/>
        <w:right w:val="none" w:sz="0" w:space="0" w:color="auto"/>
      </w:divBdr>
    </w:div>
    <w:div w:id="1440756689">
      <w:bodyDiv w:val="1"/>
      <w:marLeft w:val="0"/>
      <w:marRight w:val="0"/>
      <w:marTop w:val="0"/>
      <w:marBottom w:val="0"/>
      <w:divBdr>
        <w:top w:val="none" w:sz="0" w:space="0" w:color="auto"/>
        <w:left w:val="none" w:sz="0" w:space="0" w:color="auto"/>
        <w:bottom w:val="none" w:sz="0" w:space="0" w:color="auto"/>
        <w:right w:val="none" w:sz="0" w:space="0" w:color="auto"/>
      </w:divBdr>
    </w:div>
    <w:div w:id="1449083281">
      <w:bodyDiv w:val="1"/>
      <w:marLeft w:val="0"/>
      <w:marRight w:val="0"/>
      <w:marTop w:val="0"/>
      <w:marBottom w:val="0"/>
      <w:divBdr>
        <w:top w:val="none" w:sz="0" w:space="0" w:color="auto"/>
        <w:left w:val="none" w:sz="0" w:space="0" w:color="auto"/>
        <w:bottom w:val="none" w:sz="0" w:space="0" w:color="auto"/>
        <w:right w:val="none" w:sz="0" w:space="0" w:color="auto"/>
      </w:divBdr>
    </w:div>
    <w:div w:id="1465467514">
      <w:bodyDiv w:val="1"/>
      <w:marLeft w:val="0"/>
      <w:marRight w:val="0"/>
      <w:marTop w:val="0"/>
      <w:marBottom w:val="0"/>
      <w:divBdr>
        <w:top w:val="none" w:sz="0" w:space="0" w:color="auto"/>
        <w:left w:val="none" w:sz="0" w:space="0" w:color="auto"/>
        <w:bottom w:val="none" w:sz="0" w:space="0" w:color="auto"/>
        <w:right w:val="none" w:sz="0" w:space="0" w:color="auto"/>
      </w:divBdr>
    </w:div>
    <w:div w:id="1590961887">
      <w:bodyDiv w:val="1"/>
      <w:marLeft w:val="0"/>
      <w:marRight w:val="0"/>
      <w:marTop w:val="0"/>
      <w:marBottom w:val="0"/>
      <w:divBdr>
        <w:top w:val="none" w:sz="0" w:space="0" w:color="auto"/>
        <w:left w:val="none" w:sz="0" w:space="0" w:color="auto"/>
        <w:bottom w:val="none" w:sz="0" w:space="0" w:color="auto"/>
        <w:right w:val="none" w:sz="0" w:space="0" w:color="auto"/>
      </w:divBdr>
    </w:div>
    <w:div w:id="1602301533">
      <w:bodyDiv w:val="1"/>
      <w:marLeft w:val="0"/>
      <w:marRight w:val="0"/>
      <w:marTop w:val="0"/>
      <w:marBottom w:val="0"/>
      <w:divBdr>
        <w:top w:val="none" w:sz="0" w:space="0" w:color="auto"/>
        <w:left w:val="none" w:sz="0" w:space="0" w:color="auto"/>
        <w:bottom w:val="none" w:sz="0" w:space="0" w:color="auto"/>
        <w:right w:val="none" w:sz="0" w:space="0" w:color="auto"/>
      </w:divBdr>
    </w:div>
    <w:div w:id="1678846617">
      <w:bodyDiv w:val="1"/>
      <w:marLeft w:val="0"/>
      <w:marRight w:val="0"/>
      <w:marTop w:val="0"/>
      <w:marBottom w:val="0"/>
      <w:divBdr>
        <w:top w:val="none" w:sz="0" w:space="0" w:color="auto"/>
        <w:left w:val="none" w:sz="0" w:space="0" w:color="auto"/>
        <w:bottom w:val="none" w:sz="0" w:space="0" w:color="auto"/>
        <w:right w:val="none" w:sz="0" w:space="0" w:color="auto"/>
      </w:divBdr>
    </w:div>
    <w:div w:id="1688368707">
      <w:bodyDiv w:val="1"/>
      <w:marLeft w:val="0"/>
      <w:marRight w:val="0"/>
      <w:marTop w:val="0"/>
      <w:marBottom w:val="0"/>
      <w:divBdr>
        <w:top w:val="none" w:sz="0" w:space="0" w:color="auto"/>
        <w:left w:val="none" w:sz="0" w:space="0" w:color="auto"/>
        <w:bottom w:val="none" w:sz="0" w:space="0" w:color="auto"/>
        <w:right w:val="none" w:sz="0" w:space="0" w:color="auto"/>
      </w:divBdr>
    </w:div>
    <w:div w:id="1711342784">
      <w:bodyDiv w:val="1"/>
      <w:marLeft w:val="0"/>
      <w:marRight w:val="0"/>
      <w:marTop w:val="0"/>
      <w:marBottom w:val="0"/>
      <w:divBdr>
        <w:top w:val="none" w:sz="0" w:space="0" w:color="auto"/>
        <w:left w:val="none" w:sz="0" w:space="0" w:color="auto"/>
        <w:bottom w:val="none" w:sz="0" w:space="0" w:color="auto"/>
        <w:right w:val="none" w:sz="0" w:space="0" w:color="auto"/>
      </w:divBdr>
    </w:div>
    <w:div w:id="1791510903">
      <w:bodyDiv w:val="1"/>
      <w:marLeft w:val="0"/>
      <w:marRight w:val="0"/>
      <w:marTop w:val="0"/>
      <w:marBottom w:val="0"/>
      <w:divBdr>
        <w:top w:val="none" w:sz="0" w:space="0" w:color="auto"/>
        <w:left w:val="none" w:sz="0" w:space="0" w:color="auto"/>
        <w:bottom w:val="none" w:sz="0" w:space="0" w:color="auto"/>
        <w:right w:val="none" w:sz="0" w:space="0" w:color="auto"/>
      </w:divBdr>
    </w:div>
    <w:div w:id="1886328966">
      <w:bodyDiv w:val="1"/>
      <w:marLeft w:val="0"/>
      <w:marRight w:val="0"/>
      <w:marTop w:val="0"/>
      <w:marBottom w:val="0"/>
      <w:divBdr>
        <w:top w:val="none" w:sz="0" w:space="0" w:color="auto"/>
        <w:left w:val="none" w:sz="0" w:space="0" w:color="auto"/>
        <w:bottom w:val="none" w:sz="0" w:space="0" w:color="auto"/>
        <w:right w:val="none" w:sz="0" w:space="0" w:color="auto"/>
      </w:divBdr>
    </w:div>
    <w:div w:id="1987277060">
      <w:bodyDiv w:val="1"/>
      <w:marLeft w:val="0"/>
      <w:marRight w:val="0"/>
      <w:marTop w:val="0"/>
      <w:marBottom w:val="0"/>
      <w:divBdr>
        <w:top w:val="none" w:sz="0" w:space="0" w:color="auto"/>
        <w:left w:val="none" w:sz="0" w:space="0" w:color="auto"/>
        <w:bottom w:val="none" w:sz="0" w:space="0" w:color="auto"/>
        <w:right w:val="none" w:sz="0" w:space="0" w:color="auto"/>
      </w:divBdr>
    </w:div>
    <w:div w:id="2074042108">
      <w:bodyDiv w:val="1"/>
      <w:marLeft w:val="0"/>
      <w:marRight w:val="0"/>
      <w:marTop w:val="0"/>
      <w:marBottom w:val="0"/>
      <w:divBdr>
        <w:top w:val="none" w:sz="0" w:space="0" w:color="auto"/>
        <w:left w:val="none" w:sz="0" w:space="0" w:color="auto"/>
        <w:bottom w:val="none" w:sz="0" w:space="0" w:color="auto"/>
        <w:right w:val="none" w:sz="0" w:space="0" w:color="auto"/>
      </w:divBdr>
    </w:div>
    <w:div w:id="2117017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QW_Docs\GOD\docs\National\LGO-RKE-REG%20006-01-SKB%20SPC%20Hum%20skabelon%20-%20engelsk.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LGO-RKE-REG 006-01-SKB SPC Hum skabelon - engelsk.dotx</Template>
  <TotalTime>65</TotalTime>
  <Pages>9</Pages>
  <Words>2681</Words>
  <Characters>15721</Characters>
  <Application>Microsoft Office Word</Application>
  <DocSecurity>0</DocSecurity>
  <Lines>131</Lines>
  <Paragraphs>36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Gitte Jørgensen</dc:creator>
  <cp:keywords/>
  <dc:description>2024120134, MT</dc:description>
  <cp:lastModifiedBy>Gitte Jørgensen</cp:lastModifiedBy>
  <cp:revision>13</cp:revision>
  <cp:lastPrinted>2006-02-24T09:31:00Z</cp:lastPrinted>
  <dcterms:created xsi:type="dcterms:W3CDTF">2026-05-27T06:19:00Z</dcterms:created>
  <dcterms:modified xsi:type="dcterms:W3CDTF">2026-05-27T11:22:00Z</dcterms:modified>
</cp:coreProperties>
</file>