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D63CF">
        <w:rPr>
          <w:szCs w:val="24"/>
        </w:rPr>
        <w:t>3</w:t>
      </w:r>
      <w:r w:rsidR="001216C9">
        <w:rPr>
          <w:szCs w:val="24"/>
        </w:rPr>
        <w:t>. ju</w:t>
      </w:r>
      <w:r w:rsidR="005D63CF">
        <w:rPr>
          <w:szCs w:val="24"/>
        </w:rPr>
        <w:t>n</w:t>
      </w:r>
      <w:r w:rsidR="001216C9">
        <w:rPr>
          <w:szCs w:val="24"/>
        </w:rPr>
        <w:t>i 202</w:t>
      </w:r>
      <w:r w:rsidR="005D63CF">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A328C7" w:rsidRDefault="00A328C7" w:rsidP="009260DE">
      <w:pPr>
        <w:jc w:val="center"/>
        <w:rPr>
          <w:b/>
          <w:sz w:val="24"/>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02007" w:rsidP="009260DE">
      <w:pPr>
        <w:jc w:val="center"/>
        <w:rPr>
          <w:b/>
          <w:sz w:val="24"/>
          <w:szCs w:val="24"/>
        </w:rPr>
      </w:pPr>
      <w:proofErr w:type="spellStart"/>
      <w:r>
        <w:rPr>
          <w:b/>
          <w:sz w:val="24"/>
          <w:szCs w:val="24"/>
        </w:rPr>
        <w:t>Xonvea</w:t>
      </w:r>
      <w:proofErr w:type="spellEnd"/>
      <w:r>
        <w:rPr>
          <w:b/>
          <w:sz w:val="24"/>
          <w:szCs w:val="24"/>
        </w:rPr>
        <w:t xml:space="preserve">, </w:t>
      </w:r>
      <w:proofErr w:type="spellStart"/>
      <w:r>
        <w:rPr>
          <w:b/>
          <w:sz w:val="24"/>
          <w:szCs w:val="24"/>
        </w:rPr>
        <w:t>enterotabletter</w:t>
      </w:r>
      <w:proofErr w:type="spellEnd"/>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3777A" w:rsidP="009260DE">
      <w:pPr>
        <w:tabs>
          <w:tab w:val="left" w:pos="851"/>
        </w:tabs>
        <w:ind w:left="851"/>
        <w:rPr>
          <w:sz w:val="24"/>
          <w:szCs w:val="24"/>
        </w:rPr>
      </w:pPr>
      <w:r>
        <w:rPr>
          <w:sz w:val="24"/>
          <w:szCs w:val="24"/>
        </w:rPr>
        <w:t>32813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B3777A" w:rsidP="009260DE">
      <w:pPr>
        <w:tabs>
          <w:tab w:val="left" w:pos="851"/>
        </w:tabs>
        <w:ind w:left="851"/>
        <w:rPr>
          <w:sz w:val="24"/>
          <w:szCs w:val="24"/>
        </w:rPr>
      </w:pPr>
      <w:proofErr w:type="spellStart"/>
      <w:r>
        <w:rPr>
          <w:sz w:val="24"/>
          <w:szCs w:val="24"/>
        </w:rPr>
        <w:t>Xonvea</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651BA" w:rsidRPr="000651BA" w:rsidRDefault="000651BA" w:rsidP="000651BA">
      <w:pPr>
        <w:tabs>
          <w:tab w:val="left" w:pos="851"/>
        </w:tabs>
        <w:ind w:left="851"/>
        <w:rPr>
          <w:sz w:val="24"/>
          <w:szCs w:val="24"/>
        </w:rPr>
      </w:pPr>
      <w:r w:rsidRPr="000651BA">
        <w:rPr>
          <w:sz w:val="24"/>
          <w:szCs w:val="24"/>
        </w:rPr>
        <w:t xml:space="preserve">Hver </w:t>
      </w:r>
      <w:proofErr w:type="spellStart"/>
      <w:r w:rsidRPr="000651BA">
        <w:rPr>
          <w:sz w:val="24"/>
          <w:szCs w:val="24"/>
        </w:rPr>
        <w:t>enterotablet</w:t>
      </w:r>
      <w:proofErr w:type="spellEnd"/>
      <w:r w:rsidRPr="000651BA">
        <w:rPr>
          <w:sz w:val="24"/>
          <w:szCs w:val="24"/>
        </w:rPr>
        <w:t xml:space="preserve"> indeholder 10 mg </w:t>
      </w:r>
      <w:proofErr w:type="spellStart"/>
      <w:r w:rsidRPr="000651BA">
        <w:rPr>
          <w:sz w:val="24"/>
          <w:szCs w:val="24"/>
        </w:rPr>
        <w:t>doxylaminsuccinat</w:t>
      </w:r>
      <w:proofErr w:type="spellEnd"/>
      <w:r w:rsidRPr="000651BA">
        <w:rPr>
          <w:sz w:val="24"/>
          <w:szCs w:val="24"/>
        </w:rPr>
        <w:t xml:space="preserve"> og 10 mg </w:t>
      </w:r>
      <w:proofErr w:type="spellStart"/>
      <w:r w:rsidRPr="000651BA">
        <w:rPr>
          <w:sz w:val="24"/>
          <w:szCs w:val="24"/>
        </w:rPr>
        <w:t>pyridoxinhydrochlorid</w:t>
      </w:r>
      <w:proofErr w:type="spellEnd"/>
      <w:r w:rsidRPr="000651BA">
        <w:rPr>
          <w:sz w:val="24"/>
          <w:szCs w:val="24"/>
        </w:rPr>
        <w:t>.</w:t>
      </w:r>
    </w:p>
    <w:p w:rsidR="000651BA" w:rsidRPr="000651BA" w:rsidRDefault="000651BA" w:rsidP="000651BA">
      <w:pPr>
        <w:tabs>
          <w:tab w:val="left" w:pos="851"/>
        </w:tabs>
        <w:ind w:left="851"/>
        <w:rPr>
          <w:sz w:val="24"/>
          <w:szCs w:val="24"/>
        </w:rPr>
      </w:pPr>
    </w:p>
    <w:p w:rsidR="005D63CF" w:rsidRDefault="005D63CF" w:rsidP="005D63CF">
      <w:pPr>
        <w:tabs>
          <w:tab w:val="left" w:pos="851"/>
        </w:tabs>
        <w:ind w:left="851"/>
        <w:rPr>
          <w:sz w:val="24"/>
          <w:szCs w:val="24"/>
          <w:u w:val="single"/>
        </w:rPr>
      </w:pPr>
      <w:r>
        <w:rPr>
          <w:sz w:val="24"/>
          <w:szCs w:val="24"/>
          <w:u w:val="single"/>
        </w:rPr>
        <w:t>Hjælpestoffer, som behandleren skal være opmærksom på</w:t>
      </w:r>
    </w:p>
    <w:p w:rsidR="005D63CF" w:rsidRDefault="005D63CF" w:rsidP="005D63CF">
      <w:pPr>
        <w:tabs>
          <w:tab w:val="left" w:pos="851"/>
        </w:tabs>
        <w:ind w:left="851"/>
        <w:rPr>
          <w:sz w:val="24"/>
          <w:szCs w:val="24"/>
        </w:rPr>
      </w:pPr>
      <w:r>
        <w:rPr>
          <w:sz w:val="24"/>
          <w:szCs w:val="24"/>
        </w:rPr>
        <w:t xml:space="preserve">Hver </w:t>
      </w:r>
      <w:proofErr w:type="spellStart"/>
      <w:r>
        <w:rPr>
          <w:sz w:val="24"/>
          <w:szCs w:val="24"/>
        </w:rPr>
        <w:t>enterotablet</w:t>
      </w:r>
      <w:proofErr w:type="spellEnd"/>
      <w:r>
        <w:rPr>
          <w:sz w:val="24"/>
          <w:szCs w:val="24"/>
        </w:rPr>
        <w:t xml:space="preserve"> indeholder 6,04 mikrogram af </w:t>
      </w:r>
      <w:proofErr w:type="spellStart"/>
      <w:r>
        <w:rPr>
          <w:sz w:val="24"/>
          <w:szCs w:val="24"/>
        </w:rPr>
        <w:t>azofarvestoffet</w:t>
      </w:r>
      <w:proofErr w:type="spellEnd"/>
      <w:r>
        <w:rPr>
          <w:sz w:val="24"/>
          <w:szCs w:val="24"/>
        </w:rPr>
        <w:t xml:space="preserve"> </w:t>
      </w:r>
      <w:proofErr w:type="spellStart"/>
      <w:r>
        <w:rPr>
          <w:sz w:val="24"/>
          <w:szCs w:val="24"/>
        </w:rPr>
        <w:t>Allura</w:t>
      </w:r>
      <w:proofErr w:type="spellEnd"/>
      <w:r>
        <w:rPr>
          <w:sz w:val="24"/>
          <w:szCs w:val="24"/>
        </w:rPr>
        <w:t xml:space="preserve"> Red AC (E 129) og 0,02 mikrogram af benzoesyre (E 210).</w:t>
      </w:r>
    </w:p>
    <w:p w:rsidR="000651BA" w:rsidRPr="000651BA" w:rsidRDefault="000651BA" w:rsidP="000651BA">
      <w:pPr>
        <w:tabs>
          <w:tab w:val="left" w:pos="851"/>
        </w:tabs>
        <w:ind w:left="851"/>
        <w:rPr>
          <w:sz w:val="24"/>
          <w:szCs w:val="24"/>
        </w:rPr>
      </w:pPr>
    </w:p>
    <w:p w:rsidR="000651BA" w:rsidRPr="000651BA" w:rsidRDefault="000651BA" w:rsidP="000651BA">
      <w:pPr>
        <w:tabs>
          <w:tab w:val="left" w:pos="851"/>
        </w:tabs>
        <w:ind w:left="851"/>
        <w:rPr>
          <w:sz w:val="24"/>
          <w:szCs w:val="24"/>
        </w:rPr>
      </w:pPr>
      <w:r w:rsidRPr="000651BA">
        <w:rPr>
          <w:sz w:val="24"/>
          <w:szCs w:val="24"/>
        </w:rPr>
        <w:t>Alle hjælpestoffer er anført under pkt. 6.1</w:t>
      </w:r>
      <w:r w:rsidR="00E7267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72673" w:rsidRDefault="00E72673" w:rsidP="00E72673">
      <w:pPr>
        <w:tabs>
          <w:tab w:val="left" w:pos="851"/>
        </w:tabs>
        <w:ind w:left="851"/>
        <w:rPr>
          <w:sz w:val="24"/>
          <w:szCs w:val="24"/>
        </w:rPr>
      </w:pPr>
      <w:proofErr w:type="spellStart"/>
      <w:r w:rsidRPr="00E72673">
        <w:rPr>
          <w:sz w:val="24"/>
          <w:szCs w:val="24"/>
        </w:rPr>
        <w:t>Enterotablet</w:t>
      </w:r>
      <w:r>
        <w:rPr>
          <w:sz w:val="24"/>
          <w:szCs w:val="24"/>
        </w:rPr>
        <w:t>ter</w:t>
      </w:r>
      <w:proofErr w:type="spellEnd"/>
    </w:p>
    <w:p w:rsidR="00E72673" w:rsidRPr="00E72673" w:rsidRDefault="00E72673" w:rsidP="00E72673">
      <w:pPr>
        <w:tabs>
          <w:tab w:val="left" w:pos="851"/>
        </w:tabs>
        <w:ind w:left="851"/>
        <w:rPr>
          <w:sz w:val="24"/>
          <w:szCs w:val="24"/>
        </w:rPr>
      </w:pPr>
    </w:p>
    <w:p w:rsidR="00E72673" w:rsidRPr="00E72673" w:rsidRDefault="00E72673" w:rsidP="00E72673">
      <w:pPr>
        <w:tabs>
          <w:tab w:val="left" w:pos="851"/>
        </w:tabs>
        <w:ind w:left="851"/>
        <w:rPr>
          <w:sz w:val="24"/>
          <w:szCs w:val="24"/>
        </w:rPr>
      </w:pPr>
      <w:r w:rsidRPr="00E72673">
        <w:rPr>
          <w:sz w:val="24"/>
          <w:szCs w:val="24"/>
        </w:rPr>
        <w:t>Hvid, rund, filmovertrukket tablet med et motiv i lyserødt af en gravid kvinde på den ene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D63CF" w:rsidRDefault="005D63CF" w:rsidP="005D63CF">
      <w:pPr>
        <w:tabs>
          <w:tab w:val="left" w:pos="851"/>
        </w:tabs>
        <w:ind w:left="851"/>
        <w:rPr>
          <w:sz w:val="24"/>
          <w:lang w:eastAsia="da-DK"/>
        </w:rPr>
      </w:pPr>
      <w:proofErr w:type="spellStart"/>
      <w:r>
        <w:t>Xonvea</w:t>
      </w:r>
      <w:proofErr w:type="spellEnd"/>
      <w:r>
        <w:t xml:space="preserve"> er indiceret til behandling af graviditetskvalme og opkastning (NVP) hos gravide kvinder ≥18 år, der ikke responderer på konservativ behandling (fx ændring i livsstil og kost).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D63CF">
        <w:rPr>
          <w:b/>
          <w:sz w:val="24"/>
          <w:szCs w:val="24"/>
        </w:rPr>
        <w:t>administration</w:t>
      </w:r>
    </w:p>
    <w:p w:rsidR="005642EF" w:rsidRPr="005642EF" w:rsidRDefault="005642EF" w:rsidP="005642EF">
      <w:pPr>
        <w:tabs>
          <w:tab w:val="left" w:pos="851"/>
        </w:tabs>
        <w:ind w:left="851"/>
        <w:rPr>
          <w:sz w:val="24"/>
          <w:szCs w:val="24"/>
        </w:rPr>
      </w:pPr>
    </w:p>
    <w:p w:rsidR="005642EF" w:rsidRPr="005642EF" w:rsidRDefault="005642EF" w:rsidP="005642EF">
      <w:pPr>
        <w:tabs>
          <w:tab w:val="left" w:pos="851"/>
        </w:tabs>
        <w:ind w:left="851"/>
        <w:rPr>
          <w:sz w:val="24"/>
          <w:szCs w:val="24"/>
          <w:u w:val="single"/>
        </w:rPr>
      </w:pPr>
      <w:r w:rsidRPr="005642EF">
        <w:rPr>
          <w:sz w:val="24"/>
          <w:szCs w:val="24"/>
          <w:u w:val="single"/>
        </w:rPr>
        <w:t>Dosering</w:t>
      </w:r>
    </w:p>
    <w:p w:rsidR="005642EF" w:rsidRPr="005642EF" w:rsidRDefault="005D63CF" w:rsidP="005642EF">
      <w:pPr>
        <w:tabs>
          <w:tab w:val="left" w:pos="851"/>
        </w:tabs>
        <w:ind w:left="851"/>
        <w:rPr>
          <w:sz w:val="24"/>
          <w:szCs w:val="24"/>
        </w:rPr>
      </w:pPr>
      <w:r>
        <w:rPr>
          <w:sz w:val="24"/>
          <w:szCs w:val="24"/>
        </w:rPr>
        <w:t xml:space="preserve">Den anbefalede startdosis er to tabletter (samlet dosis: 20 mg </w:t>
      </w:r>
      <w:proofErr w:type="spellStart"/>
      <w:r>
        <w:rPr>
          <w:sz w:val="24"/>
          <w:szCs w:val="24"/>
        </w:rPr>
        <w:t>doxylaminsuccinat</w:t>
      </w:r>
      <w:proofErr w:type="spellEnd"/>
      <w:r>
        <w:rPr>
          <w:sz w:val="24"/>
          <w:szCs w:val="24"/>
        </w:rPr>
        <w:t xml:space="preserve">/20 mg </w:t>
      </w:r>
      <w:proofErr w:type="spellStart"/>
      <w:r>
        <w:rPr>
          <w:sz w:val="24"/>
          <w:szCs w:val="24"/>
        </w:rPr>
        <w:t>pyridoxinhydrochlorid</w:t>
      </w:r>
      <w:proofErr w:type="spellEnd"/>
      <w:r>
        <w:rPr>
          <w:sz w:val="24"/>
          <w:szCs w:val="24"/>
        </w:rPr>
        <w:t xml:space="preserve">) ved sengetid (dag 1). Hvis denne dosis kontrollerer symptomerne tilstrækkeligt den næste dag, kan patienten fortsætte med at tage to tabletter ved sengetid. </w:t>
      </w:r>
      <w:r w:rsidR="005642EF" w:rsidRPr="005642EF">
        <w:rPr>
          <w:sz w:val="24"/>
          <w:szCs w:val="24"/>
        </w:rPr>
        <w:t xml:space="preserve">Såfremt symptomerne vedvarer hen over eftermiddagen på dag 2, skal patienten fortsætte </w:t>
      </w:r>
      <w:r w:rsidR="005642EF" w:rsidRPr="005642EF">
        <w:rPr>
          <w:sz w:val="24"/>
          <w:szCs w:val="24"/>
        </w:rPr>
        <w:lastRenderedPageBreak/>
        <w:t>den sædvanlige dosis med to tabletter ved sengetid (dag 2) og på dag 3 tage tre tabletter (en tablet om morgenen og to tabletter ved sengetid). Hvis disse tre tabletter ikke kontrollerer symptomerne i tilstrækkelig grad på dag 3, kan patienten tage fire tabletter startende på dag 4 (en tablet om morgenen, en tablet midt på eftermiddagen og to tabletter ved sengetid).</w:t>
      </w:r>
    </w:p>
    <w:p w:rsidR="005642EF" w:rsidRPr="005642EF" w:rsidRDefault="005642EF" w:rsidP="005642EF">
      <w:pPr>
        <w:tabs>
          <w:tab w:val="left" w:pos="851"/>
        </w:tabs>
        <w:ind w:left="851"/>
        <w:rPr>
          <w:sz w:val="24"/>
          <w:szCs w:val="24"/>
        </w:rPr>
      </w:pPr>
    </w:p>
    <w:p w:rsidR="005642EF" w:rsidRPr="005642EF" w:rsidRDefault="005642EF" w:rsidP="005642EF">
      <w:pPr>
        <w:tabs>
          <w:tab w:val="left" w:pos="851"/>
        </w:tabs>
        <w:ind w:left="851"/>
        <w:rPr>
          <w:sz w:val="24"/>
          <w:szCs w:val="24"/>
        </w:rPr>
      </w:pPr>
      <w:r w:rsidRPr="005642EF">
        <w:rPr>
          <w:sz w:val="24"/>
          <w:szCs w:val="24"/>
        </w:rPr>
        <w:t xml:space="preserve">Den maksimale anbefalede daglige dosis er fire tabletter (en om morgenen, en om eftermiddagen og to ved sengetid). </w:t>
      </w:r>
    </w:p>
    <w:p w:rsidR="005642EF" w:rsidRPr="005642EF" w:rsidRDefault="005642EF" w:rsidP="005642EF">
      <w:pPr>
        <w:tabs>
          <w:tab w:val="left" w:pos="851"/>
        </w:tabs>
        <w:ind w:left="851"/>
        <w:rPr>
          <w:sz w:val="24"/>
          <w:szCs w:val="24"/>
        </w:rPr>
      </w:pPr>
    </w:p>
    <w:p w:rsidR="005642EF" w:rsidRPr="005642EF" w:rsidRDefault="005642EF" w:rsidP="005642EF">
      <w:pPr>
        <w:tabs>
          <w:tab w:val="left" w:pos="851"/>
        </w:tabs>
        <w:ind w:left="851"/>
        <w:rPr>
          <w:sz w:val="24"/>
          <w:szCs w:val="24"/>
        </w:rPr>
      </w:pPr>
      <w:proofErr w:type="spellStart"/>
      <w:r w:rsidRPr="005642EF">
        <w:rPr>
          <w:sz w:val="24"/>
          <w:szCs w:val="24"/>
        </w:rPr>
        <w:t>Xonvea</w:t>
      </w:r>
      <w:proofErr w:type="spellEnd"/>
      <w:r w:rsidRPr="005642EF">
        <w:rPr>
          <w:sz w:val="24"/>
          <w:szCs w:val="24"/>
        </w:rPr>
        <w:t xml:space="preserve"> bør tages som en daglig ordination og ikke efter behov. Fortsat behov for </w:t>
      </w:r>
      <w:proofErr w:type="spellStart"/>
      <w:r w:rsidRPr="005642EF">
        <w:rPr>
          <w:sz w:val="24"/>
          <w:szCs w:val="24"/>
        </w:rPr>
        <w:t>Xonvea</w:t>
      </w:r>
      <w:proofErr w:type="spellEnd"/>
      <w:r w:rsidRPr="005642EF">
        <w:rPr>
          <w:sz w:val="24"/>
          <w:szCs w:val="24"/>
        </w:rPr>
        <w:t xml:space="preserve"> bør revurderes efterhånden som graviditeten skrider frem.</w:t>
      </w:r>
    </w:p>
    <w:p w:rsidR="005642EF" w:rsidRPr="005642EF" w:rsidRDefault="005642EF" w:rsidP="005642EF">
      <w:pPr>
        <w:tabs>
          <w:tab w:val="left" w:pos="851"/>
        </w:tabs>
        <w:ind w:left="851"/>
        <w:rPr>
          <w:sz w:val="24"/>
          <w:szCs w:val="24"/>
        </w:rPr>
      </w:pPr>
    </w:p>
    <w:p w:rsidR="005642EF" w:rsidRPr="005642EF" w:rsidRDefault="005642EF" w:rsidP="005642EF">
      <w:pPr>
        <w:tabs>
          <w:tab w:val="left" w:pos="851"/>
        </w:tabs>
        <w:ind w:left="851"/>
        <w:rPr>
          <w:sz w:val="24"/>
          <w:szCs w:val="24"/>
        </w:rPr>
      </w:pPr>
      <w:r w:rsidRPr="005642EF">
        <w:rPr>
          <w:sz w:val="24"/>
          <w:szCs w:val="24"/>
        </w:rPr>
        <w:t xml:space="preserve">For at forhindre en pludselig tilbagevenden af graviditetskvalme og -opkastning anbefales en gradvis nedtrappet dosis </w:t>
      </w:r>
      <w:proofErr w:type="spellStart"/>
      <w:r w:rsidRPr="005642EF">
        <w:rPr>
          <w:sz w:val="24"/>
          <w:szCs w:val="24"/>
        </w:rPr>
        <w:t>Xonvea</w:t>
      </w:r>
      <w:proofErr w:type="spellEnd"/>
      <w:r w:rsidRPr="005642EF">
        <w:rPr>
          <w:sz w:val="24"/>
          <w:szCs w:val="24"/>
        </w:rPr>
        <w:t xml:space="preserve"> på </w:t>
      </w:r>
      <w:proofErr w:type="spellStart"/>
      <w:r w:rsidRPr="005642EF">
        <w:rPr>
          <w:sz w:val="24"/>
          <w:szCs w:val="24"/>
        </w:rPr>
        <w:t>seponeringstidspunktet</w:t>
      </w:r>
      <w:proofErr w:type="spellEnd"/>
      <w:r w:rsidRPr="005642EF">
        <w:rPr>
          <w:sz w:val="24"/>
          <w:szCs w:val="24"/>
        </w:rPr>
        <w:t>.</w:t>
      </w:r>
    </w:p>
    <w:p w:rsidR="005642EF" w:rsidRPr="005642EF" w:rsidRDefault="005642EF" w:rsidP="005642EF">
      <w:pPr>
        <w:tabs>
          <w:tab w:val="left" w:pos="851"/>
        </w:tabs>
        <w:ind w:left="851"/>
        <w:rPr>
          <w:sz w:val="24"/>
          <w:szCs w:val="24"/>
        </w:rPr>
      </w:pPr>
    </w:p>
    <w:p w:rsidR="005642EF" w:rsidRPr="005642EF" w:rsidRDefault="005642EF" w:rsidP="005642EF">
      <w:pPr>
        <w:tabs>
          <w:tab w:val="left" w:pos="851"/>
        </w:tabs>
        <w:ind w:left="851"/>
        <w:rPr>
          <w:i/>
          <w:iCs/>
          <w:sz w:val="24"/>
          <w:szCs w:val="24"/>
        </w:rPr>
      </w:pPr>
      <w:r w:rsidRPr="005642EF">
        <w:rPr>
          <w:i/>
          <w:iCs/>
          <w:sz w:val="24"/>
          <w:szCs w:val="24"/>
        </w:rPr>
        <w:t>Pædiatrisk population</w:t>
      </w:r>
    </w:p>
    <w:p w:rsidR="005642EF" w:rsidRPr="005642EF" w:rsidRDefault="005642EF" w:rsidP="005642EF">
      <w:pPr>
        <w:tabs>
          <w:tab w:val="left" w:pos="851"/>
        </w:tabs>
        <w:ind w:left="851"/>
        <w:rPr>
          <w:sz w:val="24"/>
          <w:szCs w:val="24"/>
        </w:rPr>
      </w:pPr>
      <w:proofErr w:type="spellStart"/>
      <w:r w:rsidRPr="005642EF">
        <w:rPr>
          <w:sz w:val="24"/>
          <w:szCs w:val="24"/>
        </w:rPr>
        <w:t>Xonvea</w:t>
      </w:r>
      <w:proofErr w:type="spellEnd"/>
      <w:r w:rsidRPr="005642EF">
        <w:rPr>
          <w:sz w:val="24"/>
          <w:szCs w:val="24"/>
        </w:rPr>
        <w:t xml:space="preserve"> er ikke indiceret til børn under 18 år. </w:t>
      </w:r>
      <w:proofErr w:type="spellStart"/>
      <w:r w:rsidRPr="005642EF">
        <w:rPr>
          <w:sz w:val="24"/>
          <w:szCs w:val="24"/>
        </w:rPr>
        <w:t>Xonveas</w:t>
      </w:r>
      <w:proofErr w:type="spellEnd"/>
      <w:r w:rsidRPr="005642EF">
        <w:rPr>
          <w:sz w:val="24"/>
          <w:szCs w:val="24"/>
        </w:rPr>
        <w:t xml:space="preserve"> sikkerhed og virkning er ikke klarlagt til denne population (se pkt. 5.1). Der foreligger ingen data.</w:t>
      </w:r>
    </w:p>
    <w:p w:rsidR="005642EF" w:rsidRPr="005642EF" w:rsidRDefault="005642EF" w:rsidP="005642EF">
      <w:pPr>
        <w:tabs>
          <w:tab w:val="left" w:pos="851"/>
        </w:tabs>
        <w:ind w:left="851"/>
        <w:rPr>
          <w:sz w:val="24"/>
          <w:szCs w:val="24"/>
        </w:rPr>
      </w:pPr>
    </w:p>
    <w:p w:rsidR="005642EF" w:rsidRPr="005642EF" w:rsidRDefault="005642EF" w:rsidP="005642EF">
      <w:pPr>
        <w:tabs>
          <w:tab w:val="left" w:pos="851"/>
        </w:tabs>
        <w:ind w:left="851"/>
        <w:rPr>
          <w:sz w:val="24"/>
          <w:szCs w:val="24"/>
          <w:u w:val="single"/>
        </w:rPr>
      </w:pPr>
      <w:r w:rsidRPr="005642EF">
        <w:rPr>
          <w:sz w:val="24"/>
          <w:szCs w:val="24"/>
          <w:u w:val="single"/>
        </w:rPr>
        <w:t>Administration</w:t>
      </w:r>
    </w:p>
    <w:p w:rsidR="005D63CF" w:rsidRDefault="005D63CF" w:rsidP="005D63CF">
      <w:pPr>
        <w:tabs>
          <w:tab w:val="left" w:pos="851"/>
        </w:tabs>
        <w:ind w:left="851"/>
        <w:rPr>
          <w:sz w:val="24"/>
          <w:szCs w:val="24"/>
        </w:rPr>
      </w:pPr>
      <w:proofErr w:type="spellStart"/>
      <w:r>
        <w:rPr>
          <w:sz w:val="24"/>
          <w:szCs w:val="24"/>
        </w:rPr>
        <w:t>Xonvea</w:t>
      </w:r>
      <w:proofErr w:type="spellEnd"/>
      <w:r>
        <w:rPr>
          <w:sz w:val="24"/>
          <w:szCs w:val="24"/>
        </w:rPr>
        <w:t xml:space="preserve"> skal indtages på tom mave med et glas vand (se pkt. 4.5). </w:t>
      </w:r>
      <w:proofErr w:type="spellStart"/>
      <w:r>
        <w:rPr>
          <w:sz w:val="24"/>
          <w:szCs w:val="24"/>
        </w:rPr>
        <w:t>Enterotabletter</w:t>
      </w:r>
      <w:proofErr w:type="spellEnd"/>
      <w:r>
        <w:rPr>
          <w:sz w:val="24"/>
          <w:szCs w:val="24"/>
        </w:rPr>
        <w:t xml:space="preserve"> skal synkes hele og må ikke knuses, deles eller tygges for at bevare de mavesyreresistente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72DA0" w:rsidRPr="00772DA0" w:rsidRDefault="00772DA0" w:rsidP="00772DA0">
      <w:pPr>
        <w:tabs>
          <w:tab w:val="left" w:pos="851"/>
        </w:tabs>
        <w:ind w:left="851"/>
        <w:rPr>
          <w:sz w:val="24"/>
          <w:szCs w:val="24"/>
        </w:rPr>
      </w:pPr>
      <w:r w:rsidRPr="00772DA0">
        <w:rPr>
          <w:sz w:val="24"/>
          <w:szCs w:val="24"/>
        </w:rPr>
        <w:t xml:space="preserve">Overfølsomhed over for </w:t>
      </w:r>
      <w:proofErr w:type="spellStart"/>
      <w:r w:rsidRPr="00772DA0">
        <w:rPr>
          <w:sz w:val="24"/>
          <w:szCs w:val="24"/>
        </w:rPr>
        <w:t>doxylaminsuccinat</w:t>
      </w:r>
      <w:proofErr w:type="spellEnd"/>
      <w:r w:rsidRPr="00772DA0">
        <w:rPr>
          <w:sz w:val="24"/>
          <w:szCs w:val="24"/>
        </w:rPr>
        <w:t xml:space="preserve">, andre </w:t>
      </w:r>
      <w:proofErr w:type="spellStart"/>
      <w:r w:rsidRPr="00772DA0">
        <w:rPr>
          <w:sz w:val="24"/>
          <w:szCs w:val="24"/>
        </w:rPr>
        <w:t>ethanolaminderivater</w:t>
      </w:r>
      <w:proofErr w:type="spellEnd"/>
      <w:r w:rsidRPr="00772DA0">
        <w:rPr>
          <w:sz w:val="24"/>
          <w:szCs w:val="24"/>
        </w:rPr>
        <w:t xml:space="preserve"> af antihistaminer, </w:t>
      </w:r>
      <w:proofErr w:type="spellStart"/>
      <w:r w:rsidRPr="00772DA0">
        <w:rPr>
          <w:sz w:val="24"/>
          <w:szCs w:val="24"/>
        </w:rPr>
        <w:t>pyridoxinhydrochlorid</w:t>
      </w:r>
      <w:proofErr w:type="spellEnd"/>
      <w:r w:rsidRPr="00772DA0">
        <w:rPr>
          <w:sz w:val="24"/>
          <w:szCs w:val="24"/>
        </w:rPr>
        <w:t xml:space="preserve"> eller over for et eller flere af hjælpestofferne anført i pkt. 6.1.</w:t>
      </w:r>
    </w:p>
    <w:p w:rsidR="00772DA0" w:rsidRPr="00772DA0" w:rsidRDefault="00772DA0" w:rsidP="00772DA0">
      <w:pPr>
        <w:tabs>
          <w:tab w:val="left" w:pos="851"/>
        </w:tabs>
        <w:ind w:left="851"/>
        <w:rPr>
          <w:sz w:val="24"/>
          <w:szCs w:val="24"/>
        </w:rPr>
      </w:pPr>
    </w:p>
    <w:p w:rsidR="00772DA0" w:rsidRPr="00772DA0" w:rsidRDefault="00772DA0" w:rsidP="00772DA0">
      <w:pPr>
        <w:tabs>
          <w:tab w:val="left" w:pos="851"/>
        </w:tabs>
        <w:ind w:left="851"/>
        <w:rPr>
          <w:sz w:val="24"/>
          <w:szCs w:val="24"/>
        </w:rPr>
      </w:pPr>
      <w:r w:rsidRPr="00772DA0">
        <w:rPr>
          <w:sz w:val="24"/>
          <w:szCs w:val="24"/>
        </w:rPr>
        <w:t xml:space="preserve">Samtidig brug af </w:t>
      </w:r>
      <w:proofErr w:type="spellStart"/>
      <w:r w:rsidRPr="00772DA0">
        <w:rPr>
          <w:sz w:val="24"/>
          <w:szCs w:val="24"/>
        </w:rPr>
        <w:t>monoaminoxidasehæmmere</w:t>
      </w:r>
      <w:proofErr w:type="spellEnd"/>
      <w:r w:rsidRPr="00772DA0">
        <w:rPr>
          <w:sz w:val="24"/>
          <w:szCs w:val="24"/>
        </w:rPr>
        <w:t xml:space="preserve"> (MAO-</w:t>
      </w:r>
      <w:proofErr w:type="spellStart"/>
      <w:r w:rsidRPr="00772DA0">
        <w:rPr>
          <w:sz w:val="24"/>
          <w:szCs w:val="24"/>
        </w:rPr>
        <w:t>hæmmere</w:t>
      </w:r>
      <w:proofErr w:type="spellEnd"/>
      <w:r w:rsidRPr="00772DA0">
        <w:rPr>
          <w:sz w:val="24"/>
          <w:szCs w:val="24"/>
        </w:rPr>
        <w:t>) er kontraindiceret (se pkt.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72DA0" w:rsidRPr="00772DA0" w:rsidRDefault="00772DA0" w:rsidP="00772DA0">
      <w:pPr>
        <w:tabs>
          <w:tab w:val="left" w:pos="851"/>
        </w:tabs>
        <w:ind w:left="851"/>
        <w:rPr>
          <w:sz w:val="24"/>
          <w:szCs w:val="24"/>
        </w:rPr>
      </w:pPr>
      <w:proofErr w:type="spellStart"/>
      <w:r w:rsidRPr="00772DA0">
        <w:rPr>
          <w:sz w:val="24"/>
          <w:szCs w:val="24"/>
        </w:rPr>
        <w:t>Xonvea</w:t>
      </w:r>
      <w:proofErr w:type="spellEnd"/>
      <w:r w:rsidRPr="00772DA0">
        <w:rPr>
          <w:sz w:val="24"/>
          <w:szCs w:val="24"/>
        </w:rPr>
        <w:t xml:space="preserve"> kan forårsage døsighed på grund af de </w:t>
      </w:r>
      <w:proofErr w:type="spellStart"/>
      <w:r w:rsidRPr="00772DA0">
        <w:rPr>
          <w:sz w:val="24"/>
          <w:szCs w:val="24"/>
        </w:rPr>
        <w:t>antikolinerge</w:t>
      </w:r>
      <w:proofErr w:type="spellEnd"/>
      <w:r w:rsidRPr="00772DA0">
        <w:rPr>
          <w:sz w:val="24"/>
          <w:szCs w:val="24"/>
        </w:rPr>
        <w:t xml:space="preserve"> egenskaber af </w:t>
      </w:r>
      <w:proofErr w:type="spellStart"/>
      <w:r w:rsidRPr="00772DA0">
        <w:rPr>
          <w:sz w:val="24"/>
          <w:szCs w:val="24"/>
        </w:rPr>
        <w:t>doxylaminsuccinat</w:t>
      </w:r>
      <w:proofErr w:type="spellEnd"/>
      <w:r w:rsidRPr="00772DA0">
        <w:rPr>
          <w:sz w:val="24"/>
          <w:szCs w:val="24"/>
        </w:rPr>
        <w:t xml:space="preserve">, et antihistamin (se pkt. 4.8). </w:t>
      </w:r>
    </w:p>
    <w:p w:rsidR="00772DA0" w:rsidRPr="00772DA0" w:rsidRDefault="00772DA0" w:rsidP="00772DA0">
      <w:pPr>
        <w:tabs>
          <w:tab w:val="left" w:pos="851"/>
        </w:tabs>
        <w:ind w:left="851"/>
        <w:rPr>
          <w:sz w:val="24"/>
          <w:szCs w:val="24"/>
        </w:rPr>
      </w:pPr>
    </w:p>
    <w:p w:rsidR="00772DA0" w:rsidRPr="00772DA0" w:rsidRDefault="00772DA0" w:rsidP="00772DA0">
      <w:pPr>
        <w:tabs>
          <w:tab w:val="left" w:pos="851"/>
        </w:tabs>
        <w:ind w:left="851"/>
        <w:rPr>
          <w:sz w:val="24"/>
          <w:szCs w:val="24"/>
        </w:rPr>
      </w:pPr>
      <w:r w:rsidRPr="00772DA0">
        <w:rPr>
          <w:sz w:val="24"/>
          <w:szCs w:val="24"/>
        </w:rPr>
        <w:t xml:space="preserve">Brug af </w:t>
      </w:r>
      <w:proofErr w:type="spellStart"/>
      <w:r w:rsidRPr="00772DA0">
        <w:rPr>
          <w:sz w:val="24"/>
          <w:szCs w:val="24"/>
        </w:rPr>
        <w:t>Xonvea</w:t>
      </w:r>
      <w:proofErr w:type="spellEnd"/>
      <w:r w:rsidRPr="00772DA0">
        <w:rPr>
          <w:sz w:val="24"/>
          <w:szCs w:val="24"/>
        </w:rPr>
        <w:t xml:space="preserve"> frarådes, hvis en kvinde samtidig bruger CNS-sedativer inkl. alkohol (se pkt. 4.5).</w:t>
      </w:r>
    </w:p>
    <w:p w:rsidR="00772DA0" w:rsidRPr="00772DA0" w:rsidRDefault="00772DA0" w:rsidP="00772DA0">
      <w:pPr>
        <w:tabs>
          <w:tab w:val="left" w:pos="851"/>
        </w:tabs>
        <w:ind w:left="851"/>
        <w:rPr>
          <w:sz w:val="24"/>
          <w:szCs w:val="24"/>
        </w:rPr>
      </w:pPr>
    </w:p>
    <w:p w:rsidR="00772DA0" w:rsidRPr="00772DA0" w:rsidRDefault="00772DA0" w:rsidP="00772DA0">
      <w:pPr>
        <w:tabs>
          <w:tab w:val="left" w:pos="851"/>
        </w:tabs>
        <w:ind w:left="851"/>
        <w:rPr>
          <w:sz w:val="24"/>
          <w:szCs w:val="24"/>
        </w:rPr>
      </w:pPr>
      <w:proofErr w:type="spellStart"/>
      <w:r w:rsidRPr="00772DA0">
        <w:rPr>
          <w:sz w:val="24"/>
          <w:szCs w:val="24"/>
        </w:rPr>
        <w:t>Xonvea</w:t>
      </w:r>
      <w:proofErr w:type="spellEnd"/>
      <w:r w:rsidRPr="00772DA0">
        <w:rPr>
          <w:sz w:val="24"/>
          <w:szCs w:val="24"/>
        </w:rPr>
        <w:t xml:space="preserve"> har </w:t>
      </w:r>
      <w:proofErr w:type="spellStart"/>
      <w:r w:rsidRPr="00772DA0">
        <w:rPr>
          <w:sz w:val="24"/>
          <w:szCs w:val="24"/>
        </w:rPr>
        <w:t>antikolinerge</w:t>
      </w:r>
      <w:proofErr w:type="spellEnd"/>
      <w:r w:rsidRPr="00772DA0">
        <w:rPr>
          <w:sz w:val="24"/>
          <w:szCs w:val="24"/>
        </w:rPr>
        <w:t xml:space="preserve"> egenskaber og bør derfor anvendes med forsigtighed til patienter med astma, øget </w:t>
      </w:r>
      <w:proofErr w:type="spellStart"/>
      <w:r w:rsidRPr="00772DA0">
        <w:rPr>
          <w:sz w:val="24"/>
          <w:szCs w:val="24"/>
        </w:rPr>
        <w:t>intraokulært</w:t>
      </w:r>
      <w:proofErr w:type="spellEnd"/>
      <w:r w:rsidRPr="00772DA0">
        <w:rPr>
          <w:sz w:val="24"/>
          <w:szCs w:val="24"/>
        </w:rPr>
        <w:t xml:space="preserve"> tryk, snævervinklet </w:t>
      </w:r>
      <w:proofErr w:type="spellStart"/>
      <w:r w:rsidRPr="00772DA0">
        <w:rPr>
          <w:sz w:val="24"/>
          <w:szCs w:val="24"/>
        </w:rPr>
        <w:t>glaukom</w:t>
      </w:r>
      <w:proofErr w:type="spellEnd"/>
      <w:r w:rsidRPr="00772DA0">
        <w:rPr>
          <w:sz w:val="24"/>
          <w:szCs w:val="24"/>
        </w:rPr>
        <w:t xml:space="preserve">, </w:t>
      </w:r>
      <w:proofErr w:type="spellStart"/>
      <w:r w:rsidRPr="00772DA0">
        <w:rPr>
          <w:sz w:val="24"/>
          <w:szCs w:val="24"/>
        </w:rPr>
        <w:t>stenoserende</w:t>
      </w:r>
      <w:proofErr w:type="spellEnd"/>
      <w:r w:rsidRPr="00772DA0">
        <w:rPr>
          <w:sz w:val="24"/>
          <w:szCs w:val="24"/>
        </w:rPr>
        <w:t xml:space="preserve"> mavesår, </w:t>
      </w:r>
      <w:proofErr w:type="spellStart"/>
      <w:r w:rsidRPr="00772DA0">
        <w:rPr>
          <w:sz w:val="24"/>
          <w:szCs w:val="24"/>
        </w:rPr>
        <w:t>pyloroduodenal</w:t>
      </w:r>
      <w:proofErr w:type="spellEnd"/>
      <w:r w:rsidRPr="00772DA0">
        <w:rPr>
          <w:sz w:val="24"/>
          <w:szCs w:val="24"/>
        </w:rPr>
        <w:t xml:space="preserve"> obstruktion og blærehalsobstruktion.</w:t>
      </w:r>
    </w:p>
    <w:p w:rsidR="00772DA0" w:rsidRPr="00772DA0" w:rsidRDefault="00772DA0" w:rsidP="00772DA0">
      <w:pPr>
        <w:tabs>
          <w:tab w:val="left" w:pos="851"/>
        </w:tabs>
        <w:ind w:left="851"/>
        <w:rPr>
          <w:sz w:val="24"/>
          <w:szCs w:val="24"/>
        </w:rPr>
      </w:pPr>
    </w:p>
    <w:p w:rsidR="00772DA0" w:rsidRPr="00772DA0" w:rsidRDefault="00772DA0" w:rsidP="00772DA0">
      <w:pPr>
        <w:tabs>
          <w:tab w:val="left" w:pos="851"/>
        </w:tabs>
        <w:ind w:left="851"/>
        <w:rPr>
          <w:sz w:val="24"/>
          <w:szCs w:val="24"/>
        </w:rPr>
      </w:pPr>
      <w:proofErr w:type="spellStart"/>
      <w:r w:rsidRPr="00772DA0">
        <w:rPr>
          <w:sz w:val="24"/>
          <w:szCs w:val="24"/>
        </w:rPr>
        <w:t>Xonvea</w:t>
      </w:r>
      <w:proofErr w:type="spellEnd"/>
      <w:r w:rsidRPr="00772DA0">
        <w:rPr>
          <w:sz w:val="24"/>
          <w:szCs w:val="24"/>
        </w:rPr>
        <w:t xml:space="preserve"> indeholder </w:t>
      </w:r>
      <w:proofErr w:type="spellStart"/>
      <w:r w:rsidRPr="00772DA0">
        <w:rPr>
          <w:sz w:val="24"/>
          <w:szCs w:val="24"/>
        </w:rPr>
        <w:t>pyridoxinhydrochlorid</w:t>
      </w:r>
      <w:proofErr w:type="spellEnd"/>
      <w:r w:rsidRPr="00772DA0">
        <w:rPr>
          <w:sz w:val="24"/>
          <w:szCs w:val="24"/>
        </w:rPr>
        <w:t>, en vitamin B</w:t>
      </w:r>
      <w:r w:rsidRPr="00772DA0">
        <w:rPr>
          <w:sz w:val="24"/>
          <w:szCs w:val="24"/>
          <w:vertAlign w:val="subscript"/>
        </w:rPr>
        <w:t>6</w:t>
      </w:r>
      <w:r w:rsidRPr="00772DA0">
        <w:rPr>
          <w:sz w:val="24"/>
          <w:szCs w:val="24"/>
        </w:rPr>
        <w:t>-analog, hvorfor yderligere indtag fra diæt og vitamin B</w:t>
      </w:r>
      <w:r w:rsidRPr="00772DA0">
        <w:rPr>
          <w:sz w:val="24"/>
          <w:szCs w:val="24"/>
          <w:vertAlign w:val="subscript"/>
        </w:rPr>
        <w:t>6</w:t>
      </w:r>
      <w:r w:rsidRPr="00772DA0">
        <w:rPr>
          <w:sz w:val="24"/>
          <w:szCs w:val="24"/>
        </w:rPr>
        <w:t>-tilskud skal vurderes.</w:t>
      </w:r>
    </w:p>
    <w:p w:rsidR="00772DA0" w:rsidRPr="00772DA0" w:rsidRDefault="00772DA0" w:rsidP="005D63CF">
      <w:pPr>
        <w:tabs>
          <w:tab w:val="left" w:pos="851"/>
        </w:tabs>
        <w:rPr>
          <w:sz w:val="24"/>
          <w:szCs w:val="24"/>
        </w:rPr>
      </w:pPr>
    </w:p>
    <w:p w:rsidR="00772DA0" w:rsidRPr="00772DA0" w:rsidRDefault="00772DA0" w:rsidP="00772DA0">
      <w:pPr>
        <w:tabs>
          <w:tab w:val="left" w:pos="851"/>
        </w:tabs>
        <w:ind w:left="851"/>
        <w:rPr>
          <w:sz w:val="24"/>
          <w:szCs w:val="24"/>
        </w:rPr>
      </w:pPr>
      <w:r w:rsidRPr="00772DA0">
        <w:rPr>
          <w:sz w:val="24"/>
          <w:szCs w:val="24"/>
        </w:rPr>
        <w:t xml:space="preserve">Der er begrænset dokumentation for kombinationen </w:t>
      </w:r>
      <w:proofErr w:type="spellStart"/>
      <w:r w:rsidRPr="00772DA0">
        <w:rPr>
          <w:sz w:val="24"/>
          <w:szCs w:val="24"/>
        </w:rPr>
        <w:t>doxylamin</w:t>
      </w:r>
      <w:proofErr w:type="spellEnd"/>
      <w:r w:rsidRPr="00772DA0">
        <w:rPr>
          <w:sz w:val="24"/>
          <w:szCs w:val="24"/>
        </w:rPr>
        <w:t>/</w:t>
      </w:r>
      <w:proofErr w:type="spellStart"/>
      <w:r w:rsidRPr="00772DA0">
        <w:rPr>
          <w:sz w:val="24"/>
          <w:szCs w:val="24"/>
        </w:rPr>
        <w:t>pyridoxin</w:t>
      </w:r>
      <w:proofErr w:type="spellEnd"/>
      <w:r w:rsidRPr="00772DA0">
        <w:rPr>
          <w:sz w:val="24"/>
          <w:szCs w:val="24"/>
        </w:rPr>
        <w:t xml:space="preserve"> ved </w:t>
      </w:r>
      <w:proofErr w:type="spellStart"/>
      <w:r w:rsidRPr="00772DA0">
        <w:rPr>
          <w:sz w:val="24"/>
          <w:szCs w:val="24"/>
        </w:rPr>
        <w:t>hyperemesis</w:t>
      </w:r>
      <w:proofErr w:type="spellEnd"/>
      <w:r w:rsidRPr="00772DA0">
        <w:rPr>
          <w:sz w:val="24"/>
          <w:szCs w:val="24"/>
        </w:rPr>
        <w:t xml:space="preserve"> </w:t>
      </w:r>
      <w:proofErr w:type="spellStart"/>
      <w:r w:rsidRPr="00772DA0">
        <w:rPr>
          <w:sz w:val="24"/>
          <w:szCs w:val="24"/>
        </w:rPr>
        <w:t>gravidarum</w:t>
      </w:r>
      <w:proofErr w:type="spellEnd"/>
      <w:r w:rsidRPr="00772DA0">
        <w:rPr>
          <w:sz w:val="24"/>
          <w:szCs w:val="24"/>
        </w:rPr>
        <w:t>. Disse patienter skal behandles af en specialist.</w:t>
      </w:r>
    </w:p>
    <w:p w:rsidR="00772DA0" w:rsidRPr="00772DA0" w:rsidRDefault="00772DA0" w:rsidP="00772DA0">
      <w:pPr>
        <w:tabs>
          <w:tab w:val="left" w:pos="851"/>
        </w:tabs>
        <w:ind w:left="851"/>
        <w:rPr>
          <w:sz w:val="24"/>
          <w:szCs w:val="24"/>
        </w:rPr>
      </w:pPr>
    </w:p>
    <w:p w:rsidR="00772DA0" w:rsidRDefault="00772DA0" w:rsidP="00772DA0">
      <w:pPr>
        <w:tabs>
          <w:tab w:val="left" w:pos="851"/>
        </w:tabs>
        <w:ind w:left="851"/>
        <w:rPr>
          <w:sz w:val="24"/>
          <w:szCs w:val="24"/>
        </w:rPr>
      </w:pPr>
      <w:r w:rsidRPr="00772DA0">
        <w:rPr>
          <w:sz w:val="24"/>
          <w:szCs w:val="24"/>
        </w:rPr>
        <w:t xml:space="preserve">Der har været indberetninger om falsk-positive urinprøver for metadon, opiater og </w:t>
      </w:r>
      <w:proofErr w:type="spellStart"/>
      <w:r w:rsidRPr="00772DA0">
        <w:rPr>
          <w:sz w:val="24"/>
          <w:szCs w:val="24"/>
        </w:rPr>
        <w:t>fencyclidinfosfat</w:t>
      </w:r>
      <w:proofErr w:type="spellEnd"/>
      <w:r w:rsidRPr="00772DA0">
        <w:rPr>
          <w:sz w:val="24"/>
          <w:szCs w:val="24"/>
        </w:rPr>
        <w:t xml:space="preserve"> (PCP) ved anvendelse af </w:t>
      </w:r>
      <w:proofErr w:type="spellStart"/>
      <w:r w:rsidRPr="00772DA0">
        <w:rPr>
          <w:sz w:val="24"/>
          <w:szCs w:val="24"/>
        </w:rPr>
        <w:t>doxylaminsuccinat</w:t>
      </w:r>
      <w:proofErr w:type="spellEnd"/>
      <w:r w:rsidRPr="00772DA0">
        <w:rPr>
          <w:sz w:val="24"/>
          <w:szCs w:val="24"/>
        </w:rPr>
        <w:t>/</w:t>
      </w:r>
      <w:proofErr w:type="spellStart"/>
      <w:r w:rsidRPr="00772DA0">
        <w:rPr>
          <w:sz w:val="24"/>
          <w:szCs w:val="24"/>
        </w:rPr>
        <w:t>pyridoxinhydrochlorid</w:t>
      </w:r>
      <w:proofErr w:type="spellEnd"/>
      <w:r w:rsidRPr="00772DA0">
        <w:rPr>
          <w:sz w:val="24"/>
          <w:szCs w:val="24"/>
        </w:rPr>
        <w:t xml:space="preserve"> (se pkt. 4.5).</w:t>
      </w:r>
    </w:p>
    <w:p w:rsidR="00E62EE8" w:rsidRDefault="00E62EE8" w:rsidP="00772DA0">
      <w:pPr>
        <w:tabs>
          <w:tab w:val="left" w:pos="851"/>
        </w:tabs>
        <w:ind w:left="851"/>
        <w:rPr>
          <w:sz w:val="24"/>
          <w:szCs w:val="24"/>
        </w:rPr>
      </w:pPr>
    </w:p>
    <w:p w:rsidR="00E62EE8" w:rsidRDefault="00E62EE8" w:rsidP="00E62EE8">
      <w:pPr>
        <w:tabs>
          <w:tab w:val="left" w:pos="851"/>
        </w:tabs>
        <w:ind w:left="851"/>
        <w:rPr>
          <w:sz w:val="24"/>
          <w:szCs w:val="24"/>
        </w:rPr>
      </w:pPr>
      <w:r>
        <w:rPr>
          <w:sz w:val="24"/>
          <w:szCs w:val="24"/>
          <w:u w:val="single"/>
        </w:rPr>
        <w:lastRenderedPageBreak/>
        <w:t>Hjælpestoffer</w:t>
      </w:r>
    </w:p>
    <w:p w:rsidR="00E62EE8" w:rsidRDefault="00E62EE8" w:rsidP="00E62EE8">
      <w:pPr>
        <w:tabs>
          <w:tab w:val="left" w:pos="851"/>
        </w:tabs>
        <w:ind w:left="851"/>
        <w:rPr>
          <w:sz w:val="24"/>
          <w:szCs w:val="24"/>
        </w:rPr>
      </w:pPr>
      <w:r>
        <w:rPr>
          <w:sz w:val="24"/>
          <w:szCs w:val="24"/>
        </w:rPr>
        <w:t xml:space="preserve">Dette lægemiddel indeholder </w:t>
      </w:r>
      <w:proofErr w:type="spellStart"/>
      <w:r>
        <w:rPr>
          <w:sz w:val="24"/>
          <w:szCs w:val="24"/>
        </w:rPr>
        <w:t>azofarvestoffet</w:t>
      </w:r>
      <w:proofErr w:type="spellEnd"/>
      <w:r>
        <w:rPr>
          <w:sz w:val="24"/>
          <w:szCs w:val="24"/>
        </w:rPr>
        <w:t xml:space="preserve"> </w:t>
      </w:r>
      <w:proofErr w:type="spellStart"/>
      <w:r>
        <w:rPr>
          <w:sz w:val="24"/>
          <w:szCs w:val="24"/>
        </w:rPr>
        <w:t>Allura</w:t>
      </w:r>
      <w:proofErr w:type="spellEnd"/>
      <w:r>
        <w:rPr>
          <w:sz w:val="24"/>
          <w:szCs w:val="24"/>
        </w:rPr>
        <w:t xml:space="preserve"> Red AC (E 129), som kan forårsage allergiske reaktioner.</w:t>
      </w:r>
    </w:p>
    <w:p w:rsidR="00E62EE8" w:rsidRDefault="00E62EE8" w:rsidP="00E62EE8">
      <w:pPr>
        <w:tabs>
          <w:tab w:val="left" w:pos="851"/>
        </w:tabs>
        <w:ind w:left="851"/>
        <w:rPr>
          <w:sz w:val="24"/>
          <w:szCs w:val="24"/>
        </w:rPr>
      </w:pPr>
    </w:p>
    <w:p w:rsidR="00E62EE8" w:rsidRDefault="00E62EE8" w:rsidP="00E62EE8">
      <w:pPr>
        <w:tabs>
          <w:tab w:val="left" w:pos="851"/>
        </w:tabs>
        <w:ind w:left="851"/>
        <w:rPr>
          <w:sz w:val="24"/>
          <w:szCs w:val="24"/>
        </w:rPr>
      </w:pPr>
      <w:r>
        <w:rPr>
          <w:sz w:val="24"/>
          <w:szCs w:val="24"/>
        </w:rPr>
        <w:t xml:space="preserve">Dette lægemiddel indeholder 0,02 mikrogram benzoesyre (E 210) pr. </w:t>
      </w:r>
      <w:proofErr w:type="spellStart"/>
      <w:r>
        <w:rPr>
          <w:sz w:val="24"/>
          <w:szCs w:val="24"/>
        </w:rPr>
        <w:t>enterotablet</w:t>
      </w:r>
      <w:proofErr w:type="spellEnd"/>
      <w:r>
        <w:rPr>
          <w:sz w:val="24"/>
          <w:szCs w:val="24"/>
        </w:rPr>
        <w:t xml:space="preserve">. </w:t>
      </w:r>
    </w:p>
    <w:p w:rsidR="00E62EE8" w:rsidRDefault="00E62EE8" w:rsidP="00E62EE8">
      <w:pPr>
        <w:tabs>
          <w:tab w:val="left" w:pos="851"/>
        </w:tabs>
        <w:ind w:left="851"/>
        <w:rPr>
          <w:sz w:val="24"/>
          <w:szCs w:val="24"/>
        </w:rPr>
      </w:pPr>
    </w:p>
    <w:p w:rsidR="00E62EE8" w:rsidRPr="00772DA0" w:rsidRDefault="00E62EE8" w:rsidP="00E62EE8">
      <w:pPr>
        <w:tabs>
          <w:tab w:val="left" w:pos="851"/>
        </w:tabs>
        <w:ind w:left="851"/>
        <w:rPr>
          <w:sz w:val="24"/>
          <w:szCs w:val="24"/>
        </w:rPr>
      </w:pPr>
      <w:r>
        <w:rPr>
          <w:sz w:val="24"/>
          <w:szCs w:val="24"/>
        </w:rPr>
        <w:t xml:space="preserve">Dette lægemiddel indeholder mindre end 1 mmol (23 mg) natrium pr. </w:t>
      </w:r>
      <w:proofErr w:type="spellStart"/>
      <w:r>
        <w:rPr>
          <w:sz w:val="24"/>
          <w:szCs w:val="24"/>
        </w:rPr>
        <w:t>enterotablet</w:t>
      </w:r>
      <w:proofErr w:type="spellEnd"/>
      <w:r>
        <w:rPr>
          <w:sz w:val="24"/>
          <w:szCs w:val="24"/>
        </w:rPr>
        <w: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260DE" w:rsidRDefault="009260DE" w:rsidP="009260DE">
      <w:pPr>
        <w:tabs>
          <w:tab w:val="left" w:pos="851"/>
        </w:tabs>
        <w:ind w:left="851"/>
        <w:rPr>
          <w:sz w:val="24"/>
          <w:szCs w:val="24"/>
        </w:rPr>
      </w:pPr>
    </w:p>
    <w:p w:rsidR="009E1501" w:rsidRPr="009E1501" w:rsidRDefault="009E1501" w:rsidP="009E1501">
      <w:pPr>
        <w:tabs>
          <w:tab w:val="left" w:pos="851"/>
        </w:tabs>
        <w:ind w:left="851"/>
        <w:rPr>
          <w:sz w:val="24"/>
          <w:szCs w:val="24"/>
          <w:u w:val="single"/>
        </w:rPr>
      </w:pPr>
      <w:proofErr w:type="spellStart"/>
      <w:r w:rsidRPr="009E1501">
        <w:rPr>
          <w:sz w:val="24"/>
          <w:szCs w:val="24"/>
          <w:u w:val="single"/>
        </w:rPr>
        <w:t>Monoaminoxidasehæmmere</w:t>
      </w:r>
      <w:proofErr w:type="spellEnd"/>
      <w:r w:rsidRPr="009E1501">
        <w:rPr>
          <w:sz w:val="24"/>
          <w:szCs w:val="24"/>
          <w:u w:val="single"/>
        </w:rPr>
        <w:t xml:space="preserve"> </w:t>
      </w:r>
    </w:p>
    <w:p w:rsidR="00E62EE8" w:rsidRDefault="00E62EE8" w:rsidP="00E62EE8">
      <w:pPr>
        <w:tabs>
          <w:tab w:val="left" w:pos="851"/>
        </w:tabs>
        <w:ind w:left="851"/>
        <w:rPr>
          <w:sz w:val="24"/>
          <w:szCs w:val="24"/>
        </w:rPr>
      </w:pP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xml:space="preserve">) forlænger og intensiverer antihistaminers </w:t>
      </w:r>
      <w:proofErr w:type="spellStart"/>
      <w:r>
        <w:rPr>
          <w:sz w:val="24"/>
          <w:szCs w:val="24"/>
        </w:rPr>
        <w:t>antikolinerge</w:t>
      </w:r>
      <w:proofErr w:type="spellEnd"/>
      <w:r>
        <w:rPr>
          <w:sz w:val="24"/>
          <w:szCs w:val="24"/>
        </w:rPr>
        <w:t xml:space="preserve"> virkninger og samtidig behandling med MAO-</w:t>
      </w:r>
      <w:proofErr w:type="spellStart"/>
      <w:r>
        <w:rPr>
          <w:sz w:val="24"/>
          <w:szCs w:val="24"/>
        </w:rPr>
        <w:t>hæmmere</w:t>
      </w:r>
      <w:proofErr w:type="spellEnd"/>
      <w:r>
        <w:rPr>
          <w:sz w:val="24"/>
          <w:szCs w:val="24"/>
        </w:rPr>
        <w:t xml:space="preserve"> er kontraindiceret (se pkt. 4.3). </w:t>
      </w:r>
    </w:p>
    <w:p w:rsidR="009E1501" w:rsidRPr="009E1501" w:rsidRDefault="009E1501" w:rsidP="009E1501">
      <w:pPr>
        <w:tabs>
          <w:tab w:val="left" w:pos="851"/>
        </w:tabs>
        <w:ind w:left="851"/>
        <w:rPr>
          <w:sz w:val="24"/>
          <w:szCs w:val="24"/>
          <w:u w:val="single"/>
        </w:rPr>
      </w:pPr>
    </w:p>
    <w:p w:rsidR="009E1501" w:rsidRPr="009E1501" w:rsidRDefault="009E1501" w:rsidP="009E1501">
      <w:pPr>
        <w:tabs>
          <w:tab w:val="left" w:pos="851"/>
        </w:tabs>
        <w:ind w:left="851"/>
        <w:rPr>
          <w:sz w:val="24"/>
          <w:szCs w:val="24"/>
          <w:u w:val="single"/>
        </w:rPr>
      </w:pPr>
      <w:r w:rsidRPr="009E1501">
        <w:rPr>
          <w:sz w:val="24"/>
          <w:szCs w:val="24"/>
          <w:u w:val="single"/>
        </w:rPr>
        <w:t>CNS-</w:t>
      </w:r>
      <w:proofErr w:type="spellStart"/>
      <w:r w:rsidRPr="009E1501">
        <w:rPr>
          <w:sz w:val="24"/>
          <w:szCs w:val="24"/>
          <w:u w:val="single"/>
        </w:rPr>
        <w:t>depressiva</w:t>
      </w:r>
      <w:proofErr w:type="spellEnd"/>
    </w:p>
    <w:p w:rsidR="009E1501" w:rsidRPr="009E1501" w:rsidRDefault="009E1501" w:rsidP="009E1501">
      <w:pPr>
        <w:tabs>
          <w:tab w:val="left" w:pos="851"/>
        </w:tabs>
        <w:ind w:left="851"/>
        <w:rPr>
          <w:sz w:val="24"/>
          <w:szCs w:val="24"/>
        </w:rPr>
      </w:pPr>
      <w:r w:rsidRPr="009E1501">
        <w:rPr>
          <w:sz w:val="24"/>
          <w:szCs w:val="24"/>
        </w:rPr>
        <w:t>Samtidig brug af CNS-</w:t>
      </w:r>
      <w:proofErr w:type="spellStart"/>
      <w:r w:rsidRPr="009E1501">
        <w:rPr>
          <w:sz w:val="24"/>
          <w:szCs w:val="24"/>
        </w:rPr>
        <w:t>depressiva</w:t>
      </w:r>
      <w:proofErr w:type="spellEnd"/>
      <w:r w:rsidRPr="009E1501">
        <w:rPr>
          <w:sz w:val="24"/>
          <w:szCs w:val="24"/>
        </w:rPr>
        <w:t>, herunder alkohol, sovemidler og beroligende midler, frarådes. Kombinationen kan resultere i alvorlig døsighed</w:t>
      </w:r>
      <w:r w:rsidR="00E62EE8">
        <w:rPr>
          <w:sz w:val="24"/>
          <w:szCs w:val="24"/>
        </w:rPr>
        <w:t xml:space="preserve"> (se pkt. 4.8</w:t>
      </w:r>
    </w:p>
    <w:p w:rsidR="009E1501" w:rsidRPr="009E1501" w:rsidRDefault="009E1501" w:rsidP="009E1501">
      <w:pPr>
        <w:tabs>
          <w:tab w:val="left" w:pos="851"/>
        </w:tabs>
        <w:ind w:left="851"/>
        <w:rPr>
          <w:sz w:val="24"/>
          <w:szCs w:val="24"/>
        </w:rPr>
      </w:pPr>
    </w:p>
    <w:p w:rsidR="009E1501" w:rsidRPr="009E1501" w:rsidRDefault="009E1501" w:rsidP="009E1501">
      <w:pPr>
        <w:tabs>
          <w:tab w:val="left" w:pos="851"/>
        </w:tabs>
        <w:ind w:left="851"/>
        <w:rPr>
          <w:sz w:val="24"/>
          <w:szCs w:val="24"/>
          <w:u w:val="single"/>
        </w:rPr>
      </w:pPr>
      <w:r w:rsidRPr="009E1501">
        <w:rPr>
          <w:sz w:val="24"/>
          <w:szCs w:val="24"/>
          <w:u w:val="single"/>
        </w:rPr>
        <w:t>Mad</w:t>
      </w:r>
    </w:p>
    <w:p w:rsidR="009E1501" w:rsidRPr="009E1501" w:rsidRDefault="009E1501" w:rsidP="009E1501">
      <w:pPr>
        <w:tabs>
          <w:tab w:val="left" w:pos="851"/>
        </w:tabs>
        <w:ind w:left="851"/>
        <w:rPr>
          <w:sz w:val="24"/>
          <w:szCs w:val="24"/>
        </w:rPr>
      </w:pPr>
      <w:r w:rsidRPr="009E1501">
        <w:rPr>
          <w:sz w:val="24"/>
          <w:szCs w:val="24"/>
        </w:rPr>
        <w:t xml:space="preserve">En fødevareeffektundersøgelse har dokumenteret, at </w:t>
      </w:r>
      <w:proofErr w:type="spellStart"/>
      <w:r w:rsidRPr="009E1501">
        <w:rPr>
          <w:sz w:val="24"/>
          <w:szCs w:val="24"/>
        </w:rPr>
        <w:t>Xonveas</w:t>
      </w:r>
      <w:proofErr w:type="spellEnd"/>
      <w:r w:rsidRPr="009E1501">
        <w:rPr>
          <w:sz w:val="24"/>
          <w:szCs w:val="24"/>
        </w:rPr>
        <w:t xml:space="preserve"> virkning kan blive yderligere forsinket, og der kan forekomme en reduktion i absorption, når tabletterne tages sammen med mad. </w:t>
      </w:r>
      <w:proofErr w:type="spellStart"/>
      <w:r w:rsidRPr="009E1501">
        <w:rPr>
          <w:sz w:val="24"/>
          <w:szCs w:val="24"/>
        </w:rPr>
        <w:t>Xonvea</w:t>
      </w:r>
      <w:proofErr w:type="spellEnd"/>
      <w:r w:rsidRPr="009E1501">
        <w:rPr>
          <w:sz w:val="24"/>
          <w:szCs w:val="24"/>
        </w:rPr>
        <w:t xml:space="preserve"> skal derfor indtages på tom mave med et glas vand (se pkt. 4.2).</w:t>
      </w:r>
    </w:p>
    <w:p w:rsidR="009E1501" w:rsidRPr="009E1501" w:rsidRDefault="009E1501" w:rsidP="009E1501">
      <w:pPr>
        <w:tabs>
          <w:tab w:val="left" w:pos="851"/>
        </w:tabs>
        <w:ind w:left="851"/>
        <w:rPr>
          <w:sz w:val="24"/>
          <w:szCs w:val="24"/>
        </w:rPr>
      </w:pPr>
    </w:p>
    <w:p w:rsidR="009E1501" w:rsidRPr="009E1501" w:rsidRDefault="009E1501" w:rsidP="009E1501">
      <w:pPr>
        <w:tabs>
          <w:tab w:val="left" w:pos="851"/>
        </w:tabs>
        <w:ind w:left="851"/>
        <w:rPr>
          <w:sz w:val="24"/>
          <w:szCs w:val="24"/>
          <w:u w:val="single"/>
        </w:rPr>
      </w:pPr>
      <w:r w:rsidRPr="009E1501">
        <w:rPr>
          <w:sz w:val="24"/>
          <w:szCs w:val="24"/>
          <w:u w:val="single"/>
        </w:rPr>
        <w:t>Interferens med urinscreening for metadon, opiater og PCP</w:t>
      </w:r>
    </w:p>
    <w:p w:rsidR="009E1501" w:rsidRPr="009E1501" w:rsidRDefault="009E1501" w:rsidP="009E1501">
      <w:pPr>
        <w:tabs>
          <w:tab w:val="left" w:pos="851"/>
        </w:tabs>
        <w:ind w:left="851"/>
        <w:rPr>
          <w:sz w:val="24"/>
          <w:szCs w:val="24"/>
        </w:rPr>
      </w:pPr>
      <w:r w:rsidRPr="009E1501">
        <w:rPr>
          <w:sz w:val="24"/>
          <w:szCs w:val="24"/>
        </w:rPr>
        <w:t xml:space="preserve">Der kan forekomme falsk-positive urinprøver for metadon, opiater og PCP ved brug af </w:t>
      </w:r>
      <w:proofErr w:type="spellStart"/>
      <w:r w:rsidRPr="009E1501">
        <w:rPr>
          <w:sz w:val="24"/>
          <w:szCs w:val="24"/>
        </w:rPr>
        <w:t>doxylaminsuccinat</w:t>
      </w:r>
      <w:proofErr w:type="spellEnd"/>
      <w:r w:rsidRPr="009E1501">
        <w:rPr>
          <w:sz w:val="24"/>
          <w:szCs w:val="24"/>
        </w:rPr>
        <w:t>/</w:t>
      </w:r>
      <w:proofErr w:type="spellStart"/>
      <w:r w:rsidRPr="009E1501">
        <w:rPr>
          <w:sz w:val="24"/>
          <w:szCs w:val="24"/>
        </w:rPr>
        <w:t>pyridoxinhydrochlorid</w:t>
      </w:r>
      <w:proofErr w:type="spellEnd"/>
      <w:r w:rsidRPr="009E1501">
        <w:rPr>
          <w:sz w:val="24"/>
          <w:szCs w:val="24"/>
        </w:rPr>
        <w:t xml:space="preserve">. Bekræftende prøver, såsom GC-MS (Gas </w:t>
      </w:r>
      <w:proofErr w:type="spellStart"/>
      <w:r w:rsidRPr="009E1501">
        <w:rPr>
          <w:sz w:val="24"/>
          <w:szCs w:val="24"/>
        </w:rPr>
        <w:t>Chromatography</w:t>
      </w:r>
      <w:proofErr w:type="spellEnd"/>
      <w:r w:rsidRPr="009E1501">
        <w:rPr>
          <w:sz w:val="24"/>
          <w:szCs w:val="24"/>
        </w:rPr>
        <w:t xml:space="preserve"> Mass </w:t>
      </w:r>
      <w:proofErr w:type="spellStart"/>
      <w:r w:rsidRPr="009E1501">
        <w:rPr>
          <w:sz w:val="24"/>
          <w:szCs w:val="24"/>
        </w:rPr>
        <w:t>Spectrometry</w:t>
      </w:r>
      <w:proofErr w:type="spellEnd"/>
      <w:r w:rsidRPr="009E1501">
        <w:rPr>
          <w:sz w:val="24"/>
          <w:szCs w:val="24"/>
        </w:rPr>
        <w:t>), skal anvendes til at bekræfte stoffets identitet i tilfælde af et positivt immunanalyseresultat.</w:t>
      </w:r>
    </w:p>
    <w:p w:rsidR="009E1501" w:rsidRPr="009E1501" w:rsidRDefault="009E1501" w:rsidP="009E150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E62EE8">
        <w:rPr>
          <w:b/>
          <w:sz w:val="24"/>
          <w:szCs w:val="24"/>
        </w:rPr>
        <w:t>Fertilitet, g</w:t>
      </w:r>
      <w:r w:rsidRPr="00C84483">
        <w:rPr>
          <w:b/>
          <w:sz w:val="24"/>
          <w:szCs w:val="24"/>
        </w:rPr>
        <w:t>raviditet og amning</w:t>
      </w:r>
    </w:p>
    <w:p w:rsidR="009E1501" w:rsidRPr="009E1501" w:rsidRDefault="009E1501" w:rsidP="009E1501">
      <w:pPr>
        <w:tabs>
          <w:tab w:val="left" w:pos="851"/>
        </w:tabs>
        <w:ind w:left="851"/>
        <w:rPr>
          <w:sz w:val="24"/>
          <w:szCs w:val="24"/>
          <w:u w:val="single"/>
        </w:rPr>
      </w:pPr>
    </w:p>
    <w:p w:rsidR="009E1501" w:rsidRPr="009E1501" w:rsidRDefault="009E1501" w:rsidP="009E1501">
      <w:pPr>
        <w:tabs>
          <w:tab w:val="left" w:pos="851"/>
        </w:tabs>
        <w:ind w:left="851"/>
        <w:rPr>
          <w:sz w:val="24"/>
          <w:szCs w:val="24"/>
          <w:u w:val="single"/>
        </w:rPr>
      </w:pPr>
      <w:r w:rsidRPr="009E1501">
        <w:rPr>
          <w:sz w:val="24"/>
          <w:szCs w:val="24"/>
          <w:u w:val="single"/>
        </w:rPr>
        <w:t>Graviditet</w:t>
      </w:r>
    </w:p>
    <w:p w:rsidR="009E1501" w:rsidRDefault="009E1501" w:rsidP="009E1501">
      <w:pPr>
        <w:tabs>
          <w:tab w:val="left" w:pos="851"/>
        </w:tabs>
        <w:ind w:left="851"/>
        <w:rPr>
          <w:sz w:val="24"/>
          <w:szCs w:val="24"/>
        </w:rPr>
      </w:pPr>
      <w:proofErr w:type="spellStart"/>
      <w:r w:rsidRPr="009E1501">
        <w:rPr>
          <w:sz w:val="24"/>
          <w:szCs w:val="24"/>
        </w:rPr>
        <w:t>Xonvea</w:t>
      </w:r>
      <w:proofErr w:type="spellEnd"/>
      <w:r w:rsidRPr="009E1501">
        <w:rPr>
          <w:sz w:val="24"/>
          <w:szCs w:val="24"/>
        </w:rPr>
        <w:t xml:space="preserve"> er beregnet til brug hos gravide kvinder.</w:t>
      </w:r>
    </w:p>
    <w:p w:rsidR="00E62EE8" w:rsidRPr="009E1501" w:rsidRDefault="00E62EE8" w:rsidP="009E1501">
      <w:pPr>
        <w:tabs>
          <w:tab w:val="left" w:pos="851"/>
        </w:tabs>
        <w:ind w:left="851"/>
        <w:rPr>
          <w:sz w:val="24"/>
          <w:szCs w:val="24"/>
        </w:rPr>
      </w:pPr>
    </w:p>
    <w:p w:rsidR="00E62EE8" w:rsidRDefault="00E62EE8" w:rsidP="00E62EE8">
      <w:pPr>
        <w:tabs>
          <w:tab w:val="left" w:pos="851"/>
        </w:tabs>
        <w:ind w:left="851"/>
        <w:rPr>
          <w:sz w:val="24"/>
          <w:szCs w:val="24"/>
        </w:rPr>
      </w:pPr>
      <w:r>
        <w:rPr>
          <w:sz w:val="24"/>
          <w:szCs w:val="24"/>
        </w:rPr>
        <w:t xml:space="preserve">En stor mængde data for gravide kvinder, herunder to metaanalyser med over 168.000 patienter og 18.000 eksponeringer for </w:t>
      </w:r>
      <w:proofErr w:type="spellStart"/>
      <w:r>
        <w:rPr>
          <w:sz w:val="24"/>
          <w:szCs w:val="24"/>
        </w:rPr>
        <w:t>doxylamin</w:t>
      </w:r>
      <w:proofErr w:type="spellEnd"/>
      <w:r>
        <w:rPr>
          <w:sz w:val="24"/>
          <w:szCs w:val="24"/>
        </w:rPr>
        <w:t>/</w:t>
      </w:r>
      <w:proofErr w:type="spellStart"/>
      <w:r>
        <w:rPr>
          <w:sz w:val="24"/>
          <w:szCs w:val="24"/>
        </w:rPr>
        <w:t>pyridoxin</w:t>
      </w:r>
      <w:proofErr w:type="spellEnd"/>
      <w:r>
        <w:rPr>
          <w:sz w:val="24"/>
          <w:szCs w:val="24"/>
        </w:rPr>
        <w:t xml:space="preserve">-kombinationen i løbet af første trimester, indikerer ingen misdannelsestoksicitet eller </w:t>
      </w:r>
      <w:proofErr w:type="spellStart"/>
      <w:r>
        <w:rPr>
          <w:sz w:val="24"/>
          <w:szCs w:val="24"/>
        </w:rPr>
        <w:t>fetotoksicitet</w:t>
      </w:r>
      <w:proofErr w:type="spellEnd"/>
      <w:r>
        <w:rPr>
          <w:sz w:val="24"/>
          <w:szCs w:val="24"/>
        </w:rPr>
        <w:t xml:space="preserve">/neonatal toksicitet af </w:t>
      </w:r>
      <w:proofErr w:type="spellStart"/>
      <w:r>
        <w:rPr>
          <w:sz w:val="24"/>
          <w:szCs w:val="24"/>
        </w:rPr>
        <w:t>doxylaminsuccinat</w:t>
      </w:r>
      <w:proofErr w:type="spellEnd"/>
      <w:r>
        <w:rPr>
          <w:sz w:val="24"/>
          <w:szCs w:val="24"/>
        </w:rPr>
        <w:t xml:space="preserve"> og </w:t>
      </w:r>
      <w:proofErr w:type="spellStart"/>
      <w:r>
        <w:rPr>
          <w:sz w:val="24"/>
          <w:szCs w:val="24"/>
        </w:rPr>
        <w:t>pyridoxinhydrochlorid</w:t>
      </w:r>
      <w:proofErr w:type="spellEnd"/>
      <w:r>
        <w:rPr>
          <w:sz w:val="24"/>
          <w:szCs w:val="24"/>
        </w:rPr>
        <w:t>.</w:t>
      </w:r>
    </w:p>
    <w:p w:rsidR="009E1501" w:rsidRPr="009E1501" w:rsidRDefault="009E1501" w:rsidP="009E1501">
      <w:pPr>
        <w:tabs>
          <w:tab w:val="left" w:pos="851"/>
        </w:tabs>
        <w:ind w:left="851"/>
        <w:rPr>
          <w:sz w:val="24"/>
          <w:szCs w:val="24"/>
          <w:u w:val="single"/>
        </w:rPr>
      </w:pPr>
    </w:p>
    <w:p w:rsidR="009E1501" w:rsidRPr="009E1501" w:rsidRDefault="009E1501" w:rsidP="009E1501">
      <w:pPr>
        <w:tabs>
          <w:tab w:val="left" w:pos="851"/>
        </w:tabs>
        <w:ind w:left="851"/>
        <w:rPr>
          <w:sz w:val="24"/>
          <w:szCs w:val="24"/>
          <w:u w:val="single"/>
        </w:rPr>
      </w:pPr>
      <w:r w:rsidRPr="009E1501">
        <w:rPr>
          <w:sz w:val="24"/>
          <w:szCs w:val="24"/>
          <w:u w:val="single"/>
        </w:rPr>
        <w:t>Amning</w:t>
      </w:r>
    </w:p>
    <w:p w:rsidR="009E1501" w:rsidRPr="009E1501" w:rsidRDefault="009E1501" w:rsidP="009E1501">
      <w:pPr>
        <w:tabs>
          <w:tab w:val="left" w:pos="851"/>
        </w:tabs>
        <w:ind w:left="851"/>
        <w:rPr>
          <w:sz w:val="24"/>
          <w:szCs w:val="24"/>
        </w:rPr>
      </w:pPr>
      <w:proofErr w:type="spellStart"/>
      <w:r w:rsidRPr="009E1501">
        <w:rPr>
          <w:sz w:val="24"/>
          <w:szCs w:val="24"/>
        </w:rPr>
        <w:t>Doxylaminsuccinats</w:t>
      </w:r>
      <w:proofErr w:type="spellEnd"/>
      <w:r w:rsidRPr="009E1501">
        <w:rPr>
          <w:sz w:val="24"/>
          <w:szCs w:val="24"/>
        </w:rPr>
        <w:t xml:space="preserve"> molekylærvægt er lav nok til, at der kan forventes passage over i brystmælken. Der er indberettet </w:t>
      </w:r>
      <w:proofErr w:type="spellStart"/>
      <w:r w:rsidRPr="009E1501">
        <w:rPr>
          <w:sz w:val="24"/>
          <w:szCs w:val="24"/>
        </w:rPr>
        <w:t>opstemthed</w:t>
      </w:r>
      <w:proofErr w:type="spellEnd"/>
      <w:r w:rsidRPr="009E1501">
        <w:rPr>
          <w:sz w:val="24"/>
          <w:szCs w:val="24"/>
        </w:rPr>
        <w:t xml:space="preserve">, irritabilitet og sedation hos ammende spædbørn, der formodentlig er udsat for </w:t>
      </w:r>
      <w:proofErr w:type="spellStart"/>
      <w:r w:rsidRPr="009E1501">
        <w:rPr>
          <w:sz w:val="24"/>
          <w:szCs w:val="24"/>
        </w:rPr>
        <w:t>doxylaminsuccinat</w:t>
      </w:r>
      <w:proofErr w:type="spellEnd"/>
      <w:r w:rsidRPr="009E1501">
        <w:rPr>
          <w:sz w:val="24"/>
          <w:szCs w:val="24"/>
        </w:rPr>
        <w:t xml:space="preserve"> via brystmælken. Spædbørn med apnø eller andre respiratoriske syndromer kan være særligt sårbare over for </w:t>
      </w:r>
      <w:proofErr w:type="spellStart"/>
      <w:r w:rsidRPr="009E1501">
        <w:rPr>
          <w:sz w:val="24"/>
          <w:szCs w:val="24"/>
        </w:rPr>
        <w:t>Xonveas</w:t>
      </w:r>
      <w:proofErr w:type="spellEnd"/>
      <w:r w:rsidRPr="009E1501">
        <w:rPr>
          <w:sz w:val="24"/>
          <w:szCs w:val="24"/>
        </w:rPr>
        <w:t xml:space="preserve"> sederende virkninger, hvilket resulterer i en forværring af deres apnø eller respiratoriske tilstande.</w:t>
      </w:r>
    </w:p>
    <w:p w:rsidR="009E1501" w:rsidRPr="009E1501" w:rsidRDefault="009E1501" w:rsidP="009E1501">
      <w:pPr>
        <w:tabs>
          <w:tab w:val="left" w:pos="851"/>
        </w:tabs>
        <w:ind w:left="851"/>
        <w:rPr>
          <w:sz w:val="24"/>
          <w:szCs w:val="24"/>
        </w:rPr>
      </w:pPr>
    </w:p>
    <w:p w:rsidR="009E1501" w:rsidRPr="009E1501" w:rsidRDefault="009E1501" w:rsidP="009E1501">
      <w:pPr>
        <w:tabs>
          <w:tab w:val="left" w:pos="851"/>
        </w:tabs>
        <w:ind w:left="851"/>
        <w:rPr>
          <w:sz w:val="24"/>
          <w:szCs w:val="24"/>
        </w:rPr>
      </w:pPr>
      <w:proofErr w:type="spellStart"/>
      <w:r w:rsidRPr="009E1501">
        <w:rPr>
          <w:sz w:val="24"/>
          <w:szCs w:val="24"/>
        </w:rPr>
        <w:lastRenderedPageBreak/>
        <w:t>Pyridoxinhydrochlorid</w:t>
      </w:r>
      <w:proofErr w:type="spellEnd"/>
      <w:r w:rsidRPr="009E1501">
        <w:rPr>
          <w:sz w:val="24"/>
          <w:szCs w:val="24"/>
        </w:rPr>
        <w:t xml:space="preserve"> udskilles i brystmælk. Der har ikke været indberetninger om bivirkninger hos spædbørn, der sandsynligvis har været udsat for </w:t>
      </w:r>
      <w:proofErr w:type="spellStart"/>
      <w:r w:rsidRPr="009E1501">
        <w:rPr>
          <w:sz w:val="24"/>
          <w:szCs w:val="24"/>
        </w:rPr>
        <w:t>pyridoxinhydrochlorid</w:t>
      </w:r>
      <w:proofErr w:type="spellEnd"/>
      <w:r w:rsidRPr="009E1501">
        <w:rPr>
          <w:sz w:val="24"/>
          <w:szCs w:val="24"/>
        </w:rPr>
        <w:t xml:space="preserve"> via brystmælk. </w:t>
      </w:r>
    </w:p>
    <w:p w:rsidR="009E1501" w:rsidRPr="009E1501" w:rsidRDefault="009E1501" w:rsidP="009E1501">
      <w:pPr>
        <w:tabs>
          <w:tab w:val="left" w:pos="851"/>
        </w:tabs>
        <w:ind w:left="851"/>
        <w:rPr>
          <w:sz w:val="24"/>
          <w:szCs w:val="24"/>
        </w:rPr>
      </w:pPr>
    </w:p>
    <w:p w:rsidR="009E1501" w:rsidRPr="009E1501" w:rsidRDefault="009E1501" w:rsidP="009E1501">
      <w:pPr>
        <w:tabs>
          <w:tab w:val="left" w:pos="851"/>
        </w:tabs>
        <w:ind w:left="851"/>
        <w:rPr>
          <w:sz w:val="24"/>
          <w:szCs w:val="24"/>
        </w:rPr>
      </w:pPr>
      <w:r w:rsidRPr="009E1501">
        <w:rPr>
          <w:sz w:val="24"/>
          <w:szCs w:val="24"/>
        </w:rPr>
        <w:t xml:space="preserve">En risiko for ammede spædbørn kan ikke udelukkes. </w:t>
      </w:r>
    </w:p>
    <w:p w:rsidR="009E1501" w:rsidRPr="009E1501" w:rsidRDefault="009E1501" w:rsidP="009E1501">
      <w:pPr>
        <w:tabs>
          <w:tab w:val="left" w:pos="851"/>
        </w:tabs>
        <w:ind w:left="851"/>
        <w:rPr>
          <w:sz w:val="24"/>
          <w:szCs w:val="24"/>
        </w:rPr>
      </w:pPr>
    </w:p>
    <w:p w:rsidR="009E1501" w:rsidRPr="009E1501" w:rsidRDefault="009E1501" w:rsidP="009E1501">
      <w:pPr>
        <w:tabs>
          <w:tab w:val="left" w:pos="851"/>
        </w:tabs>
        <w:ind w:left="851"/>
        <w:rPr>
          <w:sz w:val="24"/>
          <w:szCs w:val="24"/>
        </w:rPr>
      </w:pPr>
      <w:r w:rsidRPr="009E1501">
        <w:rPr>
          <w:sz w:val="24"/>
          <w:szCs w:val="24"/>
        </w:rPr>
        <w:t xml:space="preserve">Det skal besluttes, om amning skal ophøre eller behandling med </w:t>
      </w:r>
      <w:proofErr w:type="spellStart"/>
      <w:r w:rsidRPr="009E1501">
        <w:rPr>
          <w:sz w:val="24"/>
          <w:szCs w:val="24"/>
        </w:rPr>
        <w:t>Xonvea</w:t>
      </w:r>
      <w:proofErr w:type="spellEnd"/>
      <w:r w:rsidRPr="009E1501">
        <w:rPr>
          <w:sz w:val="24"/>
          <w:szCs w:val="24"/>
        </w:rPr>
        <w:t xml:space="preserve"> skal seponeres, idet der tages højde for fordelene ved amning for barnet i forhold til de behandlingsmæssige fordele for moderen.</w:t>
      </w:r>
    </w:p>
    <w:p w:rsidR="009E1501" w:rsidRPr="009E1501" w:rsidRDefault="009E1501" w:rsidP="009E1501">
      <w:pPr>
        <w:tabs>
          <w:tab w:val="left" w:pos="851"/>
        </w:tabs>
        <w:ind w:left="851"/>
        <w:rPr>
          <w:sz w:val="24"/>
          <w:szCs w:val="24"/>
          <w:u w:val="single"/>
        </w:rPr>
      </w:pPr>
    </w:p>
    <w:p w:rsidR="009E1501" w:rsidRPr="009E1501" w:rsidRDefault="009E1501" w:rsidP="009E1501">
      <w:pPr>
        <w:tabs>
          <w:tab w:val="left" w:pos="851"/>
        </w:tabs>
        <w:ind w:left="851"/>
        <w:rPr>
          <w:sz w:val="24"/>
          <w:szCs w:val="24"/>
          <w:u w:val="single"/>
        </w:rPr>
      </w:pPr>
      <w:r w:rsidRPr="009E1501">
        <w:rPr>
          <w:sz w:val="24"/>
          <w:szCs w:val="24"/>
          <w:u w:val="single"/>
        </w:rPr>
        <w:t>Fertilitet</w:t>
      </w:r>
    </w:p>
    <w:p w:rsidR="009E1501" w:rsidRPr="009E1501" w:rsidRDefault="009E1501" w:rsidP="009E1501">
      <w:pPr>
        <w:tabs>
          <w:tab w:val="left" w:pos="851"/>
        </w:tabs>
        <w:ind w:left="851"/>
        <w:rPr>
          <w:sz w:val="24"/>
          <w:szCs w:val="24"/>
        </w:rPr>
      </w:pPr>
      <w:proofErr w:type="spellStart"/>
      <w:r w:rsidRPr="009E1501">
        <w:rPr>
          <w:sz w:val="24"/>
          <w:szCs w:val="24"/>
        </w:rPr>
        <w:t>Xonvea</w:t>
      </w:r>
      <w:proofErr w:type="spellEnd"/>
      <w:r w:rsidRPr="009E1501">
        <w:rPr>
          <w:sz w:val="24"/>
          <w:szCs w:val="24"/>
        </w:rPr>
        <w:t xml:space="preserve"> forårsagede ingen forringelse af fertiliteten eller reproduktionsevnen hos rotter (se pkt. 5.3). Der foreligger ingen menneskelige data.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62EE8">
        <w:rPr>
          <w:b/>
          <w:sz w:val="24"/>
          <w:szCs w:val="24"/>
        </w:rPr>
        <w:t>og</w:t>
      </w:r>
      <w:r w:rsidRPr="00C84483">
        <w:rPr>
          <w:b/>
          <w:sz w:val="24"/>
          <w:szCs w:val="24"/>
        </w:rPr>
        <w:t xml:space="preserve"> betjene maskiner</w:t>
      </w:r>
    </w:p>
    <w:p w:rsidR="00617802" w:rsidRPr="00617802" w:rsidRDefault="00617802" w:rsidP="00617802">
      <w:pPr>
        <w:tabs>
          <w:tab w:val="left" w:pos="851"/>
        </w:tabs>
        <w:ind w:left="851"/>
        <w:rPr>
          <w:sz w:val="24"/>
          <w:szCs w:val="24"/>
        </w:rPr>
      </w:pPr>
      <w:r>
        <w:rPr>
          <w:sz w:val="24"/>
          <w:szCs w:val="24"/>
        </w:rPr>
        <w:t>Mærkning.</w:t>
      </w:r>
    </w:p>
    <w:p w:rsidR="00617802" w:rsidRPr="00617802" w:rsidRDefault="00617802" w:rsidP="00617802">
      <w:pPr>
        <w:tabs>
          <w:tab w:val="left" w:pos="851"/>
        </w:tabs>
        <w:ind w:left="851"/>
        <w:rPr>
          <w:sz w:val="24"/>
          <w:szCs w:val="24"/>
        </w:rPr>
      </w:pPr>
      <w:proofErr w:type="spellStart"/>
      <w:r w:rsidRPr="00617802">
        <w:rPr>
          <w:sz w:val="24"/>
          <w:szCs w:val="24"/>
        </w:rPr>
        <w:t>Xonvea</w:t>
      </w:r>
      <w:proofErr w:type="spellEnd"/>
      <w:r w:rsidRPr="00617802">
        <w:rPr>
          <w:sz w:val="24"/>
          <w:szCs w:val="24"/>
        </w:rPr>
        <w:t xml:space="preserve"> påvirker i moderat eller væsentlig grad evnen til at føre motorkøretøj og betjene maskiner. </w:t>
      </w:r>
    </w:p>
    <w:p w:rsidR="00617802" w:rsidRPr="00617802" w:rsidRDefault="00617802" w:rsidP="00617802">
      <w:pPr>
        <w:tabs>
          <w:tab w:val="left" w:pos="851"/>
        </w:tabs>
        <w:ind w:left="851"/>
        <w:rPr>
          <w:sz w:val="24"/>
          <w:szCs w:val="24"/>
        </w:rPr>
      </w:pPr>
      <w:r w:rsidRPr="00617802">
        <w:rPr>
          <w:sz w:val="24"/>
          <w:szCs w:val="24"/>
        </w:rPr>
        <w:t xml:space="preserve">Kvinder bør undgå at deltage i aktiviteter, der kræver fuldstændig mental opmærksomhed, såsom at føre motorkøretøj eller betjene tunge maskiner, mens de bruger </w:t>
      </w:r>
      <w:proofErr w:type="spellStart"/>
      <w:r w:rsidRPr="00617802">
        <w:rPr>
          <w:sz w:val="24"/>
          <w:szCs w:val="24"/>
        </w:rPr>
        <w:t>Xonvea</w:t>
      </w:r>
      <w:proofErr w:type="spellEnd"/>
      <w:r w:rsidRPr="00617802">
        <w:rPr>
          <w:sz w:val="24"/>
          <w:szCs w:val="24"/>
        </w:rPr>
        <w:t>, indtil deres læge har godkendt det.</w:t>
      </w:r>
    </w:p>
    <w:p w:rsidR="00617802" w:rsidRPr="00617802" w:rsidRDefault="00617802" w:rsidP="0061780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D92678" w:rsidRDefault="00D92678" w:rsidP="00183C86">
      <w:pPr>
        <w:pStyle w:val="Normalindrykning"/>
        <w:spacing w:after="0"/>
        <w:ind w:left="851"/>
        <w:rPr>
          <w:szCs w:val="22"/>
        </w:rPr>
      </w:pPr>
    </w:p>
    <w:p w:rsidR="00D92678" w:rsidRDefault="00D92678" w:rsidP="00183C86">
      <w:pPr>
        <w:pStyle w:val="Normalindrykning"/>
        <w:spacing w:after="0"/>
        <w:ind w:left="851"/>
        <w:rPr>
          <w:sz w:val="24"/>
          <w:szCs w:val="24"/>
          <w:u w:val="single"/>
        </w:rPr>
      </w:pPr>
      <w:r>
        <w:rPr>
          <w:sz w:val="24"/>
          <w:szCs w:val="24"/>
        </w:rPr>
        <w:t xml:space="preserve">a. </w:t>
      </w:r>
      <w:r>
        <w:rPr>
          <w:sz w:val="24"/>
          <w:szCs w:val="24"/>
          <w:u w:val="single"/>
        </w:rPr>
        <w:t>Oversigt over sikkerhedsprofilen</w:t>
      </w:r>
    </w:p>
    <w:p w:rsidR="00D92678" w:rsidRDefault="00D92678" w:rsidP="00183C86">
      <w:pPr>
        <w:pStyle w:val="Normalindrykning"/>
        <w:spacing w:after="0"/>
        <w:ind w:left="851"/>
        <w:rPr>
          <w:sz w:val="24"/>
          <w:szCs w:val="24"/>
        </w:rPr>
      </w:pPr>
      <w:r>
        <w:rPr>
          <w:sz w:val="24"/>
          <w:szCs w:val="24"/>
        </w:rPr>
        <w:t>Oplysninger om bivirkninger stammer fra kliniske forsøg og global erfaring efter markedsføring.</w:t>
      </w:r>
    </w:p>
    <w:p w:rsidR="00D92678" w:rsidRDefault="00D92678" w:rsidP="00183C86">
      <w:pPr>
        <w:pStyle w:val="Normalindrykning"/>
        <w:spacing w:after="0"/>
        <w:ind w:left="851"/>
        <w:rPr>
          <w:sz w:val="24"/>
          <w:szCs w:val="24"/>
        </w:rPr>
      </w:pPr>
    </w:p>
    <w:p w:rsidR="00D92678" w:rsidRDefault="00D92678" w:rsidP="00183C86">
      <w:pPr>
        <w:pStyle w:val="Normalindrykning"/>
        <w:spacing w:after="0"/>
        <w:ind w:left="851"/>
        <w:rPr>
          <w:sz w:val="24"/>
          <w:szCs w:val="24"/>
        </w:rPr>
      </w:pPr>
      <w:r>
        <w:rPr>
          <w:sz w:val="24"/>
          <w:szCs w:val="24"/>
        </w:rPr>
        <w:t xml:space="preserve">Der har været klinisk erfaring med brugen af </w:t>
      </w:r>
      <w:proofErr w:type="spellStart"/>
      <w:r>
        <w:rPr>
          <w:sz w:val="24"/>
          <w:szCs w:val="24"/>
        </w:rPr>
        <w:t>Xonvea</w:t>
      </w:r>
      <w:proofErr w:type="spellEnd"/>
      <w:r>
        <w:rPr>
          <w:sz w:val="24"/>
          <w:szCs w:val="24"/>
        </w:rPr>
        <w:t>-kombinationen (</w:t>
      </w:r>
      <w:proofErr w:type="spellStart"/>
      <w:r>
        <w:rPr>
          <w:sz w:val="24"/>
          <w:szCs w:val="24"/>
        </w:rPr>
        <w:t>doxylaminsuccinat</w:t>
      </w:r>
      <w:proofErr w:type="spellEnd"/>
      <w:r>
        <w:rPr>
          <w:sz w:val="24"/>
          <w:szCs w:val="24"/>
        </w:rPr>
        <w:t xml:space="preserve"> og </w:t>
      </w:r>
      <w:proofErr w:type="spellStart"/>
      <w:r>
        <w:rPr>
          <w:sz w:val="24"/>
          <w:szCs w:val="24"/>
        </w:rPr>
        <w:t>pyridoxinhydrochlorid</w:t>
      </w:r>
      <w:proofErr w:type="spellEnd"/>
      <w:r>
        <w:rPr>
          <w:sz w:val="24"/>
          <w:szCs w:val="24"/>
        </w:rPr>
        <w:t>). Forekomsten af behandlingsfremmende bivirkninger var ens for både behandlings- og placebogrupper. Den hyppigst rapporterede bivirkning (≥5 % og oversteg hyppigheden for placebo) var døsighed.</w:t>
      </w:r>
    </w:p>
    <w:p w:rsidR="00D92678" w:rsidRDefault="00D92678" w:rsidP="00183C86">
      <w:pPr>
        <w:pStyle w:val="Normalindrykning"/>
        <w:spacing w:after="0"/>
        <w:ind w:left="851"/>
        <w:rPr>
          <w:sz w:val="24"/>
          <w:szCs w:val="24"/>
        </w:rPr>
      </w:pPr>
    </w:p>
    <w:p w:rsidR="00D92678" w:rsidRDefault="00D92678" w:rsidP="00183C86">
      <w:pPr>
        <w:pStyle w:val="Normalindrykning"/>
        <w:spacing w:after="0"/>
        <w:ind w:left="851"/>
        <w:rPr>
          <w:sz w:val="24"/>
          <w:szCs w:val="24"/>
          <w:u w:val="single"/>
        </w:rPr>
      </w:pPr>
      <w:r>
        <w:rPr>
          <w:sz w:val="24"/>
          <w:szCs w:val="24"/>
        </w:rPr>
        <w:t xml:space="preserve">b. </w:t>
      </w:r>
      <w:r>
        <w:rPr>
          <w:sz w:val="24"/>
          <w:szCs w:val="24"/>
          <w:u w:val="single"/>
        </w:rPr>
        <w:t>Tabel over bivirkninger</w:t>
      </w:r>
    </w:p>
    <w:p w:rsidR="00D92678" w:rsidRDefault="00D92678" w:rsidP="00183C86">
      <w:pPr>
        <w:pStyle w:val="Normalindrykning"/>
        <w:spacing w:after="0"/>
        <w:ind w:left="851"/>
        <w:rPr>
          <w:sz w:val="24"/>
          <w:szCs w:val="24"/>
        </w:rPr>
      </w:pPr>
      <w:r>
        <w:rPr>
          <w:sz w:val="24"/>
          <w:szCs w:val="24"/>
        </w:rPr>
        <w:t>Følgende tabel over bivirkninger er baseret på erfaring fra kliniske forsøg og/eller anvendelse efter markedsføring.</w:t>
      </w:r>
    </w:p>
    <w:p w:rsidR="00D92678" w:rsidRDefault="00D92678" w:rsidP="00183C86">
      <w:pPr>
        <w:pStyle w:val="Normalindrykning"/>
        <w:spacing w:after="0"/>
        <w:ind w:left="851"/>
        <w:rPr>
          <w:sz w:val="24"/>
          <w:szCs w:val="24"/>
        </w:rPr>
      </w:pPr>
    </w:p>
    <w:p w:rsidR="00D92678" w:rsidRDefault="00D92678" w:rsidP="00183C86">
      <w:pPr>
        <w:pStyle w:val="Normalindrykning"/>
        <w:spacing w:after="0"/>
        <w:ind w:left="851"/>
        <w:rPr>
          <w:sz w:val="24"/>
          <w:szCs w:val="24"/>
        </w:rPr>
      </w:pPr>
      <w:r>
        <w:rPr>
          <w:sz w:val="24"/>
          <w:szCs w:val="24"/>
        </w:rPr>
        <w:t xml:space="preserve">Bivirkninger er angivet efter systemorganklasser i henhold til </w:t>
      </w:r>
      <w:proofErr w:type="spellStart"/>
      <w:r>
        <w:rPr>
          <w:sz w:val="24"/>
          <w:szCs w:val="24"/>
        </w:rPr>
        <w:t>MedDRA</w:t>
      </w:r>
      <w:proofErr w:type="spellEnd"/>
      <w:r>
        <w:rPr>
          <w:sz w:val="24"/>
          <w:szCs w:val="24"/>
        </w:rPr>
        <w:t xml:space="preserve">-databasen og anvender følgende hyppigheder i henhold til </w:t>
      </w:r>
      <w:proofErr w:type="spellStart"/>
      <w:r>
        <w:rPr>
          <w:sz w:val="24"/>
          <w:szCs w:val="24"/>
        </w:rPr>
        <w:t>MedDRA</w:t>
      </w:r>
      <w:proofErr w:type="spellEnd"/>
      <w:r>
        <w:rPr>
          <w:sz w:val="24"/>
          <w:szCs w:val="24"/>
        </w:rPr>
        <w:t xml:space="preserve">-konventionen: </w:t>
      </w:r>
      <w:r w:rsidR="00183C86">
        <w:rPr>
          <w:sz w:val="24"/>
          <w:szCs w:val="24"/>
        </w:rPr>
        <w:t>M</w:t>
      </w:r>
      <w:r>
        <w:rPr>
          <w:sz w:val="24"/>
          <w:szCs w:val="24"/>
        </w:rPr>
        <w:t>eget almindelig (≥1/10), almindelig (≥1/100 til &lt;1/10), ikke almindelig (≥1/1.000 til &lt;1/100), sjælden (≥1/10.000 til &lt; 1/1.000), meget sjælden (&lt;1/10.000), ikke kendt (kan ikke estimeres ud fra forhåndenværende data).</w:t>
      </w:r>
    </w:p>
    <w:p w:rsidR="00D92678" w:rsidRDefault="00D92678" w:rsidP="00183C86">
      <w:pPr>
        <w:pStyle w:val="Normalindrykning"/>
        <w:spacing w:after="0"/>
        <w:ind w:left="851"/>
        <w:rPr>
          <w:sz w:val="24"/>
          <w:szCs w:val="24"/>
        </w:rPr>
      </w:pPr>
    </w:p>
    <w:p w:rsidR="00D92678" w:rsidRDefault="00D92678" w:rsidP="00183C86">
      <w:pPr>
        <w:pStyle w:val="Normalindrykning"/>
        <w:spacing w:after="0"/>
        <w:ind w:left="851"/>
        <w:rPr>
          <w:sz w:val="24"/>
          <w:szCs w:val="24"/>
        </w:rPr>
      </w:pPr>
      <w:r>
        <w:rPr>
          <w:sz w:val="24"/>
          <w:szCs w:val="24"/>
        </w:rPr>
        <w:t xml:space="preserve">Hyppigheden af bivirkninger, der er indberettet efter markedsføring kan ikke fastlægges, da de er udledt af spontane indberetninger. Derfor er hyppigheden af disse bivirkninger kvalificeret som "ikke kendt". </w:t>
      </w:r>
    </w:p>
    <w:p w:rsidR="00D92678" w:rsidRDefault="00D92678" w:rsidP="00183C86">
      <w:pPr>
        <w:pStyle w:val="Normalindrykning"/>
        <w:spacing w:after="0"/>
        <w:ind w:left="851"/>
        <w:rPr>
          <w:szCs w:val="22"/>
        </w:rPr>
      </w:pP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4960"/>
        <w:gridCol w:w="1983"/>
      </w:tblGrid>
      <w:tr w:rsidR="00D92678" w:rsidTr="00D92678">
        <w:trPr>
          <w:trHeight w:val="261"/>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szCs w:val="22"/>
              </w:rPr>
            </w:pPr>
            <w:r>
              <w:rPr>
                <w:szCs w:val="22"/>
              </w:rPr>
              <w:t>Systemorganklasse</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szCs w:val="22"/>
              </w:rPr>
            </w:pPr>
            <w:r>
              <w:rPr>
                <w:szCs w:val="22"/>
              </w:rPr>
              <w:t>Bivirkninger</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szCs w:val="22"/>
              </w:rPr>
            </w:pPr>
            <w:r>
              <w:rPr>
                <w:szCs w:val="22"/>
              </w:rPr>
              <w:t>Hyppighed</w:t>
            </w:r>
          </w:p>
        </w:tc>
      </w:tr>
      <w:tr w:rsidR="00D92678" w:rsidTr="00D92678">
        <w:trPr>
          <w:trHeight w:val="261"/>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Immunsystemet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overfølsomhed</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Psykiske forstyrrelser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angst, desorientering, </w:t>
            </w:r>
            <w:proofErr w:type="spellStart"/>
            <w:r>
              <w:rPr>
                <w:b w:val="0"/>
                <w:szCs w:val="22"/>
              </w:rPr>
              <w:t>insomni</w:t>
            </w:r>
            <w:proofErr w:type="spellEnd"/>
            <w:r>
              <w:rPr>
                <w:b w:val="0"/>
                <w:szCs w:val="22"/>
              </w:rPr>
              <w:t>, mareridt</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vMerge w:val="restart"/>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lastRenderedPageBreak/>
              <w:t xml:space="preserve">Nervesystemet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døsighed</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Meget almindelig</w:t>
            </w:r>
          </w:p>
        </w:tc>
      </w:tr>
      <w:tr w:rsidR="00D92678" w:rsidTr="00D92678">
        <w:trPr>
          <w:trHeight w:val="26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92678" w:rsidRDefault="00D92678">
            <w:pPr>
              <w:rPr>
                <w:sz w:val="24"/>
                <w:szCs w:val="22"/>
              </w:rPr>
            </w:pP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svimmelhed</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Almindelig</w:t>
            </w:r>
          </w:p>
        </w:tc>
      </w:tr>
      <w:tr w:rsidR="00D92678" w:rsidTr="00D92678">
        <w:trPr>
          <w:trHeight w:val="26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92678" w:rsidRDefault="00D92678">
            <w:pPr>
              <w:rPr>
                <w:sz w:val="24"/>
                <w:szCs w:val="22"/>
              </w:rPr>
            </w:pP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hovedpine, migræne, </w:t>
            </w:r>
            <w:proofErr w:type="spellStart"/>
            <w:r>
              <w:rPr>
                <w:b w:val="0"/>
                <w:szCs w:val="22"/>
              </w:rPr>
              <w:t>paræstesi</w:t>
            </w:r>
            <w:proofErr w:type="spellEnd"/>
            <w:r>
              <w:rPr>
                <w:b w:val="0"/>
                <w:szCs w:val="22"/>
              </w:rPr>
              <w:t xml:space="preserve">, </w:t>
            </w:r>
            <w:proofErr w:type="spellStart"/>
            <w:r>
              <w:rPr>
                <w:b w:val="0"/>
                <w:szCs w:val="22"/>
              </w:rPr>
              <w:t>psykomotorisk</w:t>
            </w:r>
            <w:proofErr w:type="spellEnd"/>
            <w:r>
              <w:rPr>
                <w:b w:val="0"/>
                <w:szCs w:val="22"/>
              </w:rPr>
              <w:t xml:space="preserve"> hyperaktivitet</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43"/>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Øjne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sløret syn, synsforstyrrelser</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Øre og labyrint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proofErr w:type="spellStart"/>
            <w:r>
              <w:rPr>
                <w:b w:val="0"/>
                <w:szCs w:val="22"/>
              </w:rPr>
              <w:t>vertigo</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Hjerte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dyspnø, </w:t>
            </w:r>
            <w:proofErr w:type="spellStart"/>
            <w:r>
              <w:rPr>
                <w:b w:val="0"/>
                <w:szCs w:val="22"/>
              </w:rPr>
              <w:t>palpitation</w:t>
            </w:r>
            <w:proofErr w:type="spellEnd"/>
            <w:r>
              <w:rPr>
                <w:b w:val="0"/>
                <w:szCs w:val="22"/>
              </w:rPr>
              <w:t xml:space="preserve">, </w:t>
            </w:r>
            <w:proofErr w:type="spellStart"/>
            <w:r>
              <w:rPr>
                <w:b w:val="0"/>
                <w:szCs w:val="22"/>
              </w:rPr>
              <w:t>takykardi</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vMerge w:val="restart"/>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Mave-tarm-kanalen </w:t>
            </w: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mundtørhed</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Almindelig</w:t>
            </w:r>
          </w:p>
        </w:tc>
      </w:tr>
      <w:tr w:rsidR="00D92678" w:rsidTr="00D92678">
        <w:trPr>
          <w:trHeight w:val="26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92678" w:rsidRDefault="00D92678">
            <w:pPr>
              <w:rPr>
                <w:sz w:val="24"/>
                <w:szCs w:val="22"/>
              </w:rPr>
            </w:pPr>
          </w:p>
        </w:tc>
        <w:tc>
          <w:tcPr>
            <w:tcW w:w="4962"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udspiling af mave, mavesmerter, forstoppelse, diarré</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43"/>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Hud og subkutane væv </w:t>
            </w:r>
          </w:p>
        </w:tc>
        <w:tc>
          <w:tcPr>
            <w:tcW w:w="4962" w:type="dxa"/>
            <w:tcBorders>
              <w:top w:val="single" w:sz="4" w:space="0" w:color="auto"/>
              <w:left w:val="single" w:sz="4" w:space="0" w:color="auto"/>
              <w:bottom w:val="single" w:sz="4" w:space="0" w:color="auto"/>
              <w:right w:val="single" w:sz="4" w:space="0" w:color="auto"/>
            </w:tcBorders>
            <w:hideMark/>
          </w:tcPr>
          <w:p w:rsidR="00D92678" w:rsidRPr="00C470EE" w:rsidRDefault="00D92678">
            <w:pPr>
              <w:pStyle w:val="Titel"/>
              <w:tabs>
                <w:tab w:val="left" w:pos="567"/>
              </w:tabs>
              <w:jc w:val="left"/>
              <w:rPr>
                <w:b w:val="0"/>
                <w:szCs w:val="24"/>
              </w:rPr>
            </w:pPr>
            <w:proofErr w:type="spellStart"/>
            <w:r w:rsidRPr="00C470EE">
              <w:rPr>
                <w:b w:val="0"/>
                <w:szCs w:val="24"/>
              </w:rPr>
              <w:t>hyperhidrose</w:t>
            </w:r>
            <w:proofErr w:type="spellEnd"/>
            <w:r w:rsidRPr="00C470EE">
              <w:rPr>
                <w:b w:val="0"/>
                <w:szCs w:val="24"/>
              </w:rPr>
              <w:t xml:space="preserve">, </w:t>
            </w:r>
            <w:proofErr w:type="spellStart"/>
            <w:r w:rsidRPr="00C470EE">
              <w:rPr>
                <w:b w:val="0"/>
                <w:szCs w:val="24"/>
              </w:rPr>
              <w:t>pruritus</w:t>
            </w:r>
            <w:proofErr w:type="spellEnd"/>
            <w:r w:rsidRPr="00C470EE">
              <w:rPr>
                <w:b w:val="0"/>
                <w:szCs w:val="24"/>
              </w:rPr>
              <w:t xml:space="preserve">, udslæt, </w:t>
            </w:r>
            <w:proofErr w:type="spellStart"/>
            <w:r w:rsidRPr="00C470EE">
              <w:rPr>
                <w:b w:val="0"/>
                <w:szCs w:val="24"/>
              </w:rPr>
              <w:t>makuløst</w:t>
            </w:r>
            <w:proofErr w:type="spellEnd"/>
            <w:r w:rsidRPr="00C470EE">
              <w:rPr>
                <w:b w:val="0"/>
                <w:szCs w:val="24"/>
              </w:rPr>
              <w:t xml:space="preserve"> og papuløst udslæt</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Nyrer og urinveje </w:t>
            </w:r>
          </w:p>
        </w:tc>
        <w:tc>
          <w:tcPr>
            <w:tcW w:w="4962" w:type="dxa"/>
            <w:tcBorders>
              <w:top w:val="single" w:sz="4" w:space="0" w:color="auto"/>
              <w:left w:val="single" w:sz="4" w:space="0" w:color="auto"/>
              <w:bottom w:val="single" w:sz="4" w:space="0" w:color="auto"/>
              <w:right w:val="single" w:sz="4" w:space="0" w:color="auto"/>
            </w:tcBorders>
            <w:hideMark/>
          </w:tcPr>
          <w:p w:rsidR="00D92678" w:rsidRPr="00C470EE" w:rsidRDefault="00D92678">
            <w:pPr>
              <w:pStyle w:val="Titel"/>
              <w:tabs>
                <w:tab w:val="left" w:pos="567"/>
              </w:tabs>
              <w:jc w:val="left"/>
              <w:rPr>
                <w:b w:val="0"/>
                <w:szCs w:val="24"/>
              </w:rPr>
            </w:pPr>
            <w:r w:rsidRPr="00C470EE">
              <w:rPr>
                <w:b w:val="0"/>
                <w:color w:val="000000"/>
                <w:szCs w:val="24"/>
                <w:shd w:val="clear" w:color="auto" w:fill="FFFFFF"/>
              </w:rPr>
              <w:t>vandladningsbesvær</w:t>
            </w:r>
            <w:r w:rsidRPr="00C470EE">
              <w:rPr>
                <w:b w:val="0"/>
                <w:szCs w:val="24"/>
              </w:rPr>
              <w:t>, urinretention</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r w:rsidR="00D92678" w:rsidTr="00D92678">
        <w:trPr>
          <w:trHeight w:val="261"/>
        </w:trPr>
        <w:tc>
          <w:tcPr>
            <w:tcW w:w="2268" w:type="dxa"/>
            <w:vMerge w:val="restart"/>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 xml:space="preserve">Almene symptomer og reaktioner på administrationsstedet </w:t>
            </w:r>
          </w:p>
        </w:tc>
        <w:tc>
          <w:tcPr>
            <w:tcW w:w="4962" w:type="dxa"/>
            <w:tcBorders>
              <w:top w:val="single" w:sz="4" w:space="0" w:color="auto"/>
              <w:left w:val="single" w:sz="4" w:space="0" w:color="auto"/>
              <w:bottom w:val="single" w:sz="4" w:space="0" w:color="auto"/>
              <w:right w:val="single" w:sz="4" w:space="0" w:color="auto"/>
            </w:tcBorders>
            <w:hideMark/>
          </w:tcPr>
          <w:p w:rsidR="00D92678" w:rsidRPr="00C470EE" w:rsidRDefault="00D92678">
            <w:pPr>
              <w:pStyle w:val="Titel"/>
              <w:tabs>
                <w:tab w:val="left" w:pos="567"/>
              </w:tabs>
              <w:jc w:val="left"/>
              <w:rPr>
                <w:b w:val="0"/>
                <w:szCs w:val="24"/>
              </w:rPr>
            </w:pPr>
            <w:r w:rsidRPr="00C470EE">
              <w:rPr>
                <w:b w:val="0"/>
                <w:szCs w:val="24"/>
              </w:rPr>
              <w:t>træthed</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Almindelig</w:t>
            </w:r>
          </w:p>
        </w:tc>
      </w:tr>
      <w:tr w:rsidR="00D92678" w:rsidTr="00D92678">
        <w:trPr>
          <w:trHeight w:val="26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92678" w:rsidRDefault="00D92678">
            <w:pPr>
              <w:rPr>
                <w:sz w:val="24"/>
                <w:szCs w:val="22"/>
              </w:rPr>
            </w:pPr>
          </w:p>
        </w:tc>
        <w:tc>
          <w:tcPr>
            <w:tcW w:w="4962" w:type="dxa"/>
            <w:tcBorders>
              <w:top w:val="single" w:sz="4" w:space="0" w:color="auto"/>
              <w:left w:val="single" w:sz="4" w:space="0" w:color="auto"/>
              <w:bottom w:val="single" w:sz="4" w:space="0" w:color="auto"/>
              <w:right w:val="single" w:sz="4" w:space="0" w:color="auto"/>
            </w:tcBorders>
            <w:hideMark/>
          </w:tcPr>
          <w:p w:rsidR="00D92678" w:rsidRPr="00C470EE" w:rsidRDefault="00D92678">
            <w:pPr>
              <w:pStyle w:val="Titel"/>
              <w:tabs>
                <w:tab w:val="left" w:pos="567"/>
              </w:tabs>
              <w:jc w:val="left"/>
              <w:rPr>
                <w:b w:val="0"/>
                <w:szCs w:val="24"/>
              </w:rPr>
            </w:pPr>
            <w:r w:rsidRPr="00C470EE">
              <w:rPr>
                <w:b w:val="0"/>
                <w:szCs w:val="24"/>
              </w:rPr>
              <w:t>ubehag i brystet, irritabilitet, utilpashed</w:t>
            </w:r>
          </w:p>
        </w:tc>
        <w:tc>
          <w:tcPr>
            <w:tcW w:w="1984" w:type="dxa"/>
            <w:tcBorders>
              <w:top w:val="single" w:sz="4" w:space="0" w:color="auto"/>
              <w:left w:val="single" w:sz="4" w:space="0" w:color="auto"/>
              <w:bottom w:val="single" w:sz="4" w:space="0" w:color="auto"/>
              <w:right w:val="single" w:sz="4" w:space="0" w:color="auto"/>
            </w:tcBorders>
            <w:hideMark/>
          </w:tcPr>
          <w:p w:rsidR="00D92678" w:rsidRDefault="00D92678">
            <w:pPr>
              <w:pStyle w:val="Titel"/>
              <w:tabs>
                <w:tab w:val="left" w:pos="567"/>
              </w:tabs>
              <w:jc w:val="left"/>
              <w:rPr>
                <w:b w:val="0"/>
                <w:szCs w:val="22"/>
              </w:rPr>
            </w:pPr>
            <w:r>
              <w:rPr>
                <w:b w:val="0"/>
                <w:szCs w:val="22"/>
              </w:rPr>
              <w:t>Ikke kendt</w:t>
            </w:r>
          </w:p>
        </w:tc>
      </w:tr>
    </w:tbl>
    <w:p w:rsidR="00D92678" w:rsidRPr="00D92678" w:rsidRDefault="00D92678" w:rsidP="00183C86">
      <w:pPr>
        <w:pStyle w:val="Normalindrykning"/>
        <w:tabs>
          <w:tab w:val="left" w:pos="851"/>
        </w:tabs>
        <w:spacing w:after="0"/>
        <w:ind w:left="851"/>
        <w:rPr>
          <w:sz w:val="24"/>
          <w:szCs w:val="24"/>
        </w:rPr>
      </w:pPr>
    </w:p>
    <w:p w:rsidR="00D92678" w:rsidRPr="00D92678" w:rsidRDefault="00D92678" w:rsidP="00183C86">
      <w:pPr>
        <w:pStyle w:val="Normalindrykning"/>
        <w:tabs>
          <w:tab w:val="left" w:pos="851"/>
        </w:tabs>
        <w:spacing w:after="0"/>
        <w:ind w:left="851"/>
        <w:rPr>
          <w:sz w:val="24"/>
          <w:szCs w:val="24"/>
          <w:u w:val="single"/>
        </w:rPr>
      </w:pPr>
      <w:r w:rsidRPr="00D92678">
        <w:rPr>
          <w:sz w:val="24"/>
          <w:szCs w:val="24"/>
        </w:rPr>
        <w:t xml:space="preserve">c. </w:t>
      </w:r>
      <w:r w:rsidRPr="00D92678">
        <w:rPr>
          <w:sz w:val="24"/>
          <w:szCs w:val="24"/>
          <w:u w:val="single"/>
        </w:rPr>
        <w:t>Beskrivelse af udvalgte bivirkninger</w:t>
      </w:r>
    </w:p>
    <w:p w:rsidR="00D92678" w:rsidRPr="00D92678" w:rsidRDefault="00D92678" w:rsidP="00183C86">
      <w:pPr>
        <w:pStyle w:val="Normalindrykning"/>
        <w:tabs>
          <w:tab w:val="left" w:pos="851"/>
        </w:tabs>
        <w:spacing w:after="0"/>
        <w:ind w:left="851"/>
        <w:rPr>
          <w:sz w:val="24"/>
          <w:szCs w:val="24"/>
        </w:rPr>
      </w:pPr>
      <w:r w:rsidRPr="00D92678">
        <w:rPr>
          <w:sz w:val="24"/>
          <w:szCs w:val="24"/>
        </w:rPr>
        <w:t xml:space="preserve">Der kan forekomme svær døsighed, hvis </w:t>
      </w:r>
      <w:proofErr w:type="spellStart"/>
      <w:r w:rsidRPr="00D92678">
        <w:rPr>
          <w:sz w:val="24"/>
          <w:szCs w:val="24"/>
        </w:rPr>
        <w:t>Xonvea</w:t>
      </w:r>
      <w:proofErr w:type="spellEnd"/>
      <w:r w:rsidRPr="00D92678">
        <w:rPr>
          <w:sz w:val="24"/>
          <w:szCs w:val="24"/>
        </w:rPr>
        <w:t xml:space="preserve"> tages sammen med CNS-sedativer inklusiv</w:t>
      </w:r>
      <w:r w:rsidR="005C00EA">
        <w:rPr>
          <w:sz w:val="24"/>
          <w:szCs w:val="24"/>
        </w:rPr>
        <w:t>e</w:t>
      </w:r>
      <w:r w:rsidRPr="00D92678">
        <w:rPr>
          <w:sz w:val="24"/>
          <w:szCs w:val="24"/>
        </w:rPr>
        <w:t xml:space="preserve"> alkohol (se pkt. 4.4 og 4.5).</w:t>
      </w:r>
    </w:p>
    <w:p w:rsidR="00D92678" w:rsidRPr="00D92678" w:rsidRDefault="00D92678" w:rsidP="00183C86">
      <w:pPr>
        <w:pStyle w:val="Normalindrykning"/>
        <w:tabs>
          <w:tab w:val="left" w:pos="851"/>
        </w:tabs>
        <w:spacing w:after="0"/>
        <w:ind w:left="851"/>
        <w:rPr>
          <w:sz w:val="24"/>
          <w:szCs w:val="24"/>
        </w:rPr>
      </w:pPr>
    </w:p>
    <w:p w:rsidR="00D92678" w:rsidRPr="00D92678" w:rsidRDefault="00D92678" w:rsidP="00183C86">
      <w:pPr>
        <w:pStyle w:val="Normalindrykning"/>
        <w:tabs>
          <w:tab w:val="left" w:pos="851"/>
        </w:tabs>
        <w:spacing w:after="0"/>
        <w:ind w:left="851"/>
        <w:rPr>
          <w:sz w:val="24"/>
          <w:szCs w:val="24"/>
        </w:rPr>
      </w:pPr>
      <w:proofErr w:type="spellStart"/>
      <w:r w:rsidRPr="00D92678">
        <w:rPr>
          <w:sz w:val="24"/>
          <w:szCs w:val="24"/>
        </w:rPr>
        <w:t>Xonveas</w:t>
      </w:r>
      <w:proofErr w:type="spellEnd"/>
      <w:r w:rsidRPr="00D92678">
        <w:rPr>
          <w:sz w:val="24"/>
          <w:szCs w:val="24"/>
        </w:rPr>
        <w:t xml:space="preserve"> </w:t>
      </w:r>
      <w:proofErr w:type="spellStart"/>
      <w:r w:rsidRPr="00D92678">
        <w:rPr>
          <w:sz w:val="24"/>
          <w:szCs w:val="24"/>
        </w:rPr>
        <w:t>antikolinerge</w:t>
      </w:r>
      <w:proofErr w:type="spellEnd"/>
      <w:r w:rsidRPr="00D92678">
        <w:rPr>
          <w:sz w:val="24"/>
          <w:szCs w:val="24"/>
        </w:rPr>
        <w:t xml:space="preserve"> virkninger kan forlænges og intensiveres af </w:t>
      </w:r>
      <w:proofErr w:type="spellStart"/>
      <w:r w:rsidRPr="00D92678">
        <w:rPr>
          <w:sz w:val="24"/>
          <w:szCs w:val="24"/>
        </w:rPr>
        <w:t>monoaminoxidasehæmmere</w:t>
      </w:r>
      <w:proofErr w:type="spellEnd"/>
      <w:r w:rsidRPr="00D92678">
        <w:rPr>
          <w:sz w:val="24"/>
          <w:szCs w:val="24"/>
        </w:rPr>
        <w:t xml:space="preserve"> (MAO-</w:t>
      </w:r>
      <w:proofErr w:type="spellStart"/>
      <w:r w:rsidRPr="00D92678">
        <w:rPr>
          <w:sz w:val="24"/>
          <w:szCs w:val="24"/>
        </w:rPr>
        <w:t>hæmmere</w:t>
      </w:r>
      <w:proofErr w:type="spellEnd"/>
      <w:r w:rsidRPr="00D92678">
        <w:rPr>
          <w:sz w:val="24"/>
          <w:szCs w:val="24"/>
        </w:rPr>
        <w:t>) (se pkt. 4.3 og 4.5).</w:t>
      </w:r>
    </w:p>
    <w:p w:rsidR="00D92678" w:rsidRPr="00D92678" w:rsidRDefault="00D92678" w:rsidP="00183C86">
      <w:pPr>
        <w:pStyle w:val="Normalindrykning"/>
        <w:tabs>
          <w:tab w:val="left" w:pos="851"/>
        </w:tabs>
        <w:spacing w:after="0"/>
        <w:ind w:left="851"/>
        <w:rPr>
          <w:sz w:val="24"/>
          <w:szCs w:val="24"/>
        </w:rPr>
      </w:pPr>
    </w:p>
    <w:p w:rsidR="00D92678" w:rsidRPr="00D92678" w:rsidRDefault="00D92678" w:rsidP="00183C86">
      <w:pPr>
        <w:pStyle w:val="Normalindrykning"/>
        <w:tabs>
          <w:tab w:val="left" w:pos="851"/>
        </w:tabs>
        <w:spacing w:after="0"/>
        <w:ind w:left="851"/>
        <w:rPr>
          <w:sz w:val="24"/>
          <w:szCs w:val="24"/>
        </w:rPr>
      </w:pPr>
      <w:r w:rsidRPr="00D92678">
        <w:rPr>
          <w:sz w:val="24"/>
          <w:szCs w:val="24"/>
        </w:rPr>
        <w:t xml:space="preserve">Mulige </w:t>
      </w:r>
      <w:proofErr w:type="spellStart"/>
      <w:r w:rsidRPr="00D92678">
        <w:rPr>
          <w:sz w:val="24"/>
          <w:szCs w:val="24"/>
        </w:rPr>
        <w:t>antikolinerge</w:t>
      </w:r>
      <w:proofErr w:type="spellEnd"/>
      <w:r w:rsidRPr="00D92678">
        <w:rPr>
          <w:sz w:val="24"/>
          <w:szCs w:val="24"/>
        </w:rPr>
        <w:t xml:space="preserve"> bivirkninger forbundet med brugen af antihistaminer generelt inkluderer: tørhed i mund, næse og svælg, vandladningsbesvær, urinretention, </w:t>
      </w:r>
      <w:proofErr w:type="spellStart"/>
      <w:r w:rsidRPr="00D92678">
        <w:rPr>
          <w:sz w:val="24"/>
          <w:szCs w:val="24"/>
        </w:rPr>
        <w:t>vertigo</w:t>
      </w:r>
      <w:proofErr w:type="spellEnd"/>
      <w:r w:rsidRPr="00D92678">
        <w:rPr>
          <w:sz w:val="24"/>
          <w:szCs w:val="24"/>
        </w:rPr>
        <w:t xml:space="preserve">, synsforstyrrelser, sløret syn, dobbeltsyn, tinnitus, akut betændelse i det indre øre, </w:t>
      </w:r>
      <w:proofErr w:type="spellStart"/>
      <w:r w:rsidRPr="00D92678">
        <w:rPr>
          <w:sz w:val="24"/>
          <w:szCs w:val="24"/>
        </w:rPr>
        <w:t>insomni</w:t>
      </w:r>
      <w:proofErr w:type="spellEnd"/>
      <w:r w:rsidRPr="00D92678">
        <w:rPr>
          <w:sz w:val="24"/>
          <w:szCs w:val="24"/>
        </w:rPr>
        <w:t xml:space="preserve">, </w:t>
      </w:r>
      <w:proofErr w:type="spellStart"/>
      <w:r w:rsidRPr="00D92678">
        <w:rPr>
          <w:sz w:val="24"/>
          <w:szCs w:val="24"/>
        </w:rPr>
        <w:t>tremor</w:t>
      </w:r>
      <w:proofErr w:type="spellEnd"/>
      <w:r w:rsidRPr="00D92678">
        <w:rPr>
          <w:sz w:val="24"/>
          <w:szCs w:val="24"/>
        </w:rPr>
        <w:t xml:space="preserve">, nervøsitet, irritabilitet samt </w:t>
      </w:r>
      <w:proofErr w:type="spellStart"/>
      <w:r w:rsidRPr="00D92678">
        <w:rPr>
          <w:sz w:val="24"/>
          <w:szCs w:val="24"/>
        </w:rPr>
        <w:t>facial-dyskinesi</w:t>
      </w:r>
      <w:proofErr w:type="spellEnd"/>
      <w:r w:rsidRPr="00D92678">
        <w:rPr>
          <w:sz w:val="24"/>
          <w:szCs w:val="24"/>
        </w:rPr>
        <w:t xml:space="preserve">. Der er forekommet trykken for brystet, fortykkelse af bronkialsekret, pibende vejrtrækning, tilstoppet næse, svedtendens, kulderystelser, tidlig menstruation, toksisk psykose, hovedpine, besvimelse og </w:t>
      </w:r>
      <w:proofErr w:type="spellStart"/>
      <w:r w:rsidRPr="00D92678">
        <w:rPr>
          <w:sz w:val="24"/>
          <w:szCs w:val="24"/>
        </w:rPr>
        <w:t>paræstesi</w:t>
      </w:r>
      <w:proofErr w:type="spellEnd"/>
      <w:r w:rsidRPr="00D92678">
        <w:rPr>
          <w:sz w:val="24"/>
          <w:szCs w:val="24"/>
        </w:rPr>
        <w:t>.</w:t>
      </w:r>
    </w:p>
    <w:p w:rsidR="00D92678" w:rsidRPr="00D92678" w:rsidRDefault="00D92678" w:rsidP="00183C86">
      <w:pPr>
        <w:pStyle w:val="Normalindrykning"/>
        <w:tabs>
          <w:tab w:val="left" w:pos="851"/>
        </w:tabs>
        <w:spacing w:after="0"/>
        <w:ind w:left="851"/>
        <w:rPr>
          <w:sz w:val="24"/>
          <w:szCs w:val="24"/>
        </w:rPr>
      </w:pPr>
    </w:p>
    <w:p w:rsidR="00D92678" w:rsidRPr="00D92678" w:rsidRDefault="00D92678" w:rsidP="00183C86">
      <w:pPr>
        <w:pStyle w:val="Normalindrykning"/>
        <w:tabs>
          <w:tab w:val="left" w:pos="851"/>
        </w:tabs>
        <w:spacing w:after="0"/>
        <w:ind w:left="851"/>
        <w:rPr>
          <w:sz w:val="24"/>
          <w:szCs w:val="24"/>
        </w:rPr>
      </w:pPr>
      <w:r w:rsidRPr="00D92678">
        <w:rPr>
          <w:sz w:val="24"/>
          <w:szCs w:val="24"/>
        </w:rPr>
        <w:t xml:space="preserve">Der er indberettet sjældne bivirkninger som </w:t>
      </w:r>
      <w:proofErr w:type="spellStart"/>
      <w:r w:rsidRPr="00D92678">
        <w:rPr>
          <w:sz w:val="24"/>
          <w:szCs w:val="24"/>
        </w:rPr>
        <w:t>agranulocytose</w:t>
      </w:r>
      <w:proofErr w:type="spellEnd"/>
      <w:r w:rsidRPr="00D92678">
        <w:rPr>
          <w:sz w:val="24"/>
          <w:szCs w:val="24"/>
        </w:rPr>
        <w:t xml:space="preserve">, </w:t>
      </w:r>
      <w:proofErr w:type="spellStart"/>
      <w:r w:rsidRPr="00D92678">
        <w:rPr>
          <w:sz w:val="24"/>
          <w:szCs w:val="24"/>
        </w:rPr>
        <w:t>hæmolytisk</w:t>
      </w:r>
      <w:proofErr w:type="spellEnd"/>
      <w:r w:rsidRPr="00D92678">
        <w:rPr>
          <w:sz w:val="24"/>
          <w:szCs w:val="24"/>
        </w:rPr>
        <w:t xml:space="preserve"> anæmi, </w:t>
      </w:r>
      <w:proofErr w:type="spellStart"/>
      <w:r w:rsidRPr="00D92678">
        <w:rPr>
          <w:sz w:val="24"/>
          <w:szCs w:val="24"/>
        </w:rPr>
        <w:t>leukopeni</w:t>
      </w:r>
      <w:proofErr w:type="spellEnd"/>
      <w:r w:rsidRPr="00D92678">
        <w:rPr>
          <w:sz w:val="24"/>
          <w:szCs w:val="24"/>
        </w:rPr>
        <w:t xml:space="preserve">, </w:t>
      </w:r>
      <w:proofErr w:type="spellStart"/>
      <w:r w:rsidRPr="00D92678">
        <w:rPr>
          <w:sz w:val="24"/>
          <w:szCs w:val="24"/>
        </w:rPr>
        <w:t>trombocytopeni</w:t>
      </w:r>
      <w:proofErr w:type="spellEnd"/>
      <w:r w:rsidRPr="00D92678">
        <w:rPr>
          <w:sz w:val="24"/>
          <w:szCs w:val="24"/>
        </w:rPr>
        <w:t xml:space="preserve"> og </w:t>
      </w:r>
      <w:proofErr w:type="spellStart"/>
      <w:r w:rsidRPr="00D92678">
        <w:rPr>
          <w:sz w:val="24"/>
          <w:szCs w:val="24"/>
        </w:rPr>
        <w:t>pancytopeni</w:t>
      </w:r>
      <w:proofErr w:type="spellEnd"/>
      <w:r w:rsidRPr="00D92678">
        <w:rPr>
          <w:sz w:val="24"/>
          <w:szCs w:val="24"/>
        </w:rPr>
        <w:t xml:space="preserve"> hos nogle få patienter, der fik antihistaminer. Der er også forekommet øget appetit og/eller vægtøgning hos patienter, der fik antihistaminer.</w:t>
      </w:r>
    </w:p>
    <w:p w:rsidR="00D92678" w:rsidRPr="00D92678" w:rsidRDefault="00D92678" w:rsidP="00183C86">
      <w:pPr>
        <w:tabs>
          <w:tab w:val="left" w:pos="851"/>
        </w:tabs>
        <w:autoSpaceDE w:val="0"/>
        <w:autoSpaceDN w:val="0"/>
        <w:adjustRightInd w:val="0"/>
        <w:ind w:left="851"/>
        <w:rPr>
          <w:sz w:val="24"/>
          <w:szCs w:val="24"/>
          <w:u w:val="single"/>
        </w:rPr>
      </w:pPr>
    </w:p>
    <w:p w:rsidR="00D92678" w:rsidRPr="00D92678" w:rsidRDefault="00E62EE8" w:rsidP="00183C86">
      <w:pPr>
        <w:tabs>
          <w:tab w:val="left" w:pos="851"/>
        </w:tabs>
        <w:autoSpaceDE w:val="0"/>
        <w:autoSpaceDN w:val="0"/>
        <w:adjustRightInd w:val="0"/>
        <w:ind w:left="851"/>
        <w:rPr>
          <w:sz w:val="24"/>
          <w:szCs w:val="24"/>
          <w:u w:val="single"/>
        </w:rPr>
      </w:pPr>
      <w:r w:rsidRPr="00E62EE8">
        <w:rPr>
          <w:sz w:val="24"/>
          <w:szCs w:val="24"/>
        </w:rPr>
        <w:t>d.</w:t>
      </w:r>
      <w:r>
        <w:rPr>
          <w:sz w:val="24"/>
          <w:szCs w:val="24"/>
          <w:u w:val="single"/>
        </w:rPr>
        <w:t xml:space="preserve"> </w:t>
      </w:r>
      <w:r w:rsidR="00D92678" w:rsidRPr="00D92678">
        <w:rPr>
          <w:sz w:val="24"/>
          <w:szCs w:val="24"/>
          <w:u w:val="single"/>
        </w:rPr>
        <w:t>Indberetning af formodede bivirkninger</w:t>
      </w:r>
    </w:p>
    <w:p w:rsidR="00D92678" w:rsidRPr="00D92678" w:rsidRDefault="00D92678" w:rsidP="00183C86">
      <w:pPr>
        <w:tabs>
          <w:tab w:val="left" w:pos="851"/>
        </w:tabs>
        <w:autoSpaceDE w:val="0"/>
        <w:autoSpaceDN w:val="0"/>
        <w:adjustRightInd w:val="0"/>
        <w:ind w:left="851"/>
        <w:rPr>
          <w:sz w:val="24"/>
          <w:szCs w:val="24"/>
        </w:rPr>
      </w:pPr>
      <w:r w:rsidRPr="00D92678">
        <w:rPr>
          <w:sz w:val="24"/>
          <w:szCs w:val="24"/>
        </w:rPr>
        <w:t>Når lægemidlet er godkendt, er indberetning af formodede bivirkninger vigtig. Det muliggør løbende overvågning af benefit/</w:t>
      </w:r>
      <w:proofErr w:type="spellStart"/>
      <w:r w:rsidRPr="00D92678">
        <w:rPr>
          <w:sz w:val="24"/>
          <w:szCs w:val="24"/>
        </w:rPr>
        <w:t>risk</w:t>
      </w:r>
      <w:proofErr w:type="spellEnd"/>
      <w:r w:rsidRPr="00D92678">
        <w:rPr>
          <w:sz w:val="24"/>
          <w:szCs w:val="24"/>
        </w:rPr>
        <w:t>-forholdet for lægemidlet. Sundhedspersoner anmodes om at indberette alle formodede bivirkninger via</w:t>
      </w:r>
      <w:r w:rsidR="00607240">
        <w:rPr>
          <w:sz w:val="24"/>
          <w:szCs w:val="24"/>
        </w:rPr>
        <w:t>:</w:t>
      </w:r>
      <w:r w:rsidRPr="00D92678">
        <w:rPr>
          <w:sz w:val="24"/>
          <w:szCs w:val="24"/>
        </w:rPr>
        <w:t xml:space="preserve"> </w:t>
      </w:r>
    </w:p>
    <w:p w:rsidR="00D92678" w:rsidRPr="00D92678" w:rsidRDefault="00D92678" w:rsidP="00183C86">
      <w:pPr>
        <w:tabs>
          <w:tab w:val="left" w:pos="851"/>
        </w:tabs>
        <w:autoSpaceDE w:val="0"/>
        <w:autoSpaceDN w:val="0"/>
        <w:adjustRightInd w:val="0"/>
        <w:ind w:left="851"/>
        <w:rPr>
          <w:sz w:val="24"/>
          <w:szCs w:val="24"/>
        </w:rPr>
      </w:pPr>
      <w:r w:rsidRPr="00D92678">
        <w:rPr>
          <w:sz w:val="24"/>
          <w:szCs w:val="24"/>
        </w:rPr>
        <w:br/>
        <w:t>Lægemiddelstyrelsen</w:t>
      </w:r>
    </w:p>
    <w:p w:rsidR="00D92678" w:rsidRPr="00D92678" w:rsidRDefault="00D92678" w:rsidP="00183C86">
      <w:pPr>
        <w:tabs>
          <w:tab w:val="left" w:pos="851"/>
        </w:tabs>
        <w:autoSpaceDE w:val="0"/>
        <w:autoSpaceDN w:val="0"/>
        <w:adjustRightInd w:val="0"/>
        <w:ind w:left="851"/>
        <w:rPr>
          <w:sz w:val="24"/>
          <w:szCs w:val="24"/>
        </w:rPr>
      </w:pPr>
      <w:r w:rsidRPr="00D92678">
        <w:rPr>
          <w:sz w:val="24"/>
          <w:szCs w:val="24"/>
        </w:rPr>
        <w:t>Axel Heides Gade 1</w:t>
      </w:r>
    </w:p>
    <w:p w:rsidR="00D92678" w:rsidRPr="00D92678" w:rsidRDefault="00D92678" w:rsidP="00183C86">
      <w:pPr>
        <w:tabs>
          <w:tab w:val="left" w:pos="851"/>
        </w:tabs>
        <w:autoSpaceDE w:val="0"/>
        <w:autoSpaceDN w:val="0"/>
        <w:adjustRightInd w:val="0"/>
        <w:ind w:left="851"/>
        <w:rPr>
          <w:sz w:val="24"/>
          <w:szCs w:val="24"/>
        </w:rPr>
      </w:pPr>
      <w:r w:rsidRPr="00D92678">
        <w:rPr>
          <w:sz w:val="24"/>
          <w:szCs w:val="24"/>
        </w:rPr>
        <w:t>DK-2300 København S</w:t>
      </w:r>
    </w:p>
    <w:p w:rsidR="00D92678" w:rsidRPr="001216C9" w:rsidRDefault="00D92678" w:rsidP="00183C86">
      <w:pPr>
        <w:tabs>
          <w:tab w:val="left" w:pos="851"/>
        </w:tabs>
        <w:autoSpaceDE w:val="0"/>
        <w:autoSpaceDN w:val="0"/>
        <w:adjustRightInd w:val="0"/>
        <w:ind w:left="851"/>
        <w:rPr>
          <w:sz w:val="24"/>
          <w:szCs w:val="24"/>
        </w:rPr>
      </w:pPr>
      <w:r w:rsidRPr="001216C9">
        <w:rPr>
          <w:sz w:val="24"/>
          <w:szCs w:val="24"/>
        </w:rPr>
        <w:t>Websted: www.meldenbivirkning.dk</w:t>
      </w:r>
    </w:p>
    <w:p w:rsidR="00D92678" w:rsidRPr="001216C9" w:rsidRDefault="00D92678" w:rsidP="00183C86">
      <w:pPr>
        <w:pStyle w:val="Sidehoved"/>
        <w:tabs>
          <w:tab w:val="left" w:pos="851"/>
        </w:tabs>
        <w:ind w:left="851"/>
        <w:rPr>
          <w:szCs w:val="24"/>
        </w:rPr>
      </w:pPr>
    </w:p>
    <w:p w:rsidR="009260DE" w:rsidRPr="001216C9" w:rsidRDefault="009260DE" w:rsidP="009260DE">
      <w:pPr>
        <w:tabs>
          <w:tab w:val="left" w:pos="851"/>
        </w:tabs>
        <w:ind w:left="851" w:hanging="851"/>
        <w:rPr>
          <w:b/>
          <w:sz w:val="24"/>
          <w:szCs w:val="24"/>
        </w:rPr>
      </w:pPr>
      <w:r w:rsidRPr="001216C9">
        <w:rPr>
          <w:b/>
          <w:sz w:val="24"/>
          <w:szCs w:val="24"/>
        </w:rPr>
        <w:t>4.9</w:t>
      </w:r>
      <w:r w:rsidRPr="001216C9">
        <w:rPr>
          <w:b/>
          <w:sz w:val="24"/>
          <w:szCs w:val="24"/>
        </w:rPr>
        <w:tab/>
        <w:t>Overdosering</w:t>
      </w:r>
    </w:p>
    <w:p w:rsidR="00B901F1" w:rsidRPr="00B901F1" w:rsidRDefault="00B901F1" w:rsidP="00B901F1">
      <w:pPr>
        <w:tabs>
          <w:tab w:val="left" w:pos="851"/>
        </w:tabs>
        <w:ind w:left="851"/>
        <w:rPr>
          <w:sz w:val="24"/>
          <w:szCs w:val="24"/>
        </w:rPr>
      </w:pPr>
      <w:proofErr w:type="spellStart"/>
      <w:r w:rsidRPr="00B901F1">
        <w:rPr>
          <w:sz w:val="24"/>
          <w:szCs w:val="24"/>
        </w:rPr>
        <w:t>Xonvea</w:t>
      </w:r>
      <w:proofErr w:type="spellEnd"/>
      <w:r w:rsidRPr="00B901F1">
        <w:rPr>
          <w:sz w:val="24"/>
          <w:szCs w:val="24"/>
        </w:rPr>
        <w:t xml:space="preserve"> er en formulering med forsinket frigivelse. Tegn og symptomer er derfor muligvis ikke synlige med det samme.</w:t>
      </w:r>
    </w:p>
    <w:p w:rsidR="00B901F1" w:rsidRPr="00B901F1" w:rsidRDefault="00B901F1" w:rsidP="00B901F1">
      <w:pPr>
        <w:tabs>
          <w:tab w:val="left" w:pos="851"/>
        </w:tabs>
        <w:ind w:left="851"/>
        <w:rPr>
          <w:sz w:val="24"/>
          <w:szCs w:val="24"/>
          <w:u w:val="single"/>
        </w:rPr>
      </w:pPr>
    </w:p>
    <w:p w:rsidR="00B901F1" w:rsidRPr="00B901F1" w:rsidRDefault="00B901F1" w:rsidP="00B901F1">
      <w:pPr>
        <w:tabs>
          <w:tab w:val="left" w:pos="851"/>
        </w:tabs>
        <w:ind w:left="851"/>
        <w:rPr>
          <w:sz w:val="24"/>
          <w:szCs w:val="24"/>
          <w:u w:val="single"/>
        </w:rPr>
      </w:pPr>
      <w:r w:rsidRPr="00B901F1">
        <w:rPr>
          <w:sz w:val="24"/>
          <w:szCs w:val="24"/>
          <w:u w:val="single"/>
        </w:rPr>
        <w:t>Symptomer</w:t>
      </w:r>
    </w:p>
    <w:p w:rsidR="00B901F1" w:rsidRPr="00B901F1" w:rsidRDefault="00B901F1" w:rsidP="00B901F1">
      <w:pPr>
        <w:tabs>
          <w:tab w:val="left" w:pos="851"/>
        </w:tabs>
        <w:ind w:left="851"/>
        <w:rPr>
          <w:sz w:val="24"/>
          <w:szCs w:val="24"/>
        </w:rPr>
      </w:pPr>
      <w:r w:rsidRPr="00B901F1">
        <w:rPr>
          <w:sz w:val="24"/>
          <w:szCs w:val="24"/>
        </w:rPr>
        <w:lastRenderedPageBreak/>
        <w:t xml:space="preserve">Tegn og symptomer på overdosering kan omfatte rastløshed, mundtørhed, udvidede pupiller, søvnighed, </w:t>
      </w:r>
      <w:proofErr w:type="spellStart"/>
      <w:r w:rsidRPr="00B901F1">
        <w:rPr>
          <w:sz w:val="24"/>
          <w:szCs w:val="24"/>
        </w:rPr>
        <w:t>vertigo</w:t>
      </w:r>
      <w:proofErr w:type="spellEnd"/>
      <w:r w:rsidRPr="00B901F1">
        <w:rPr>
          <w:sz w:val="24"/>
          <w:szCs w:val="24"/>
        </w:rPr>
        <w:t xml:space="preserve">, mental forvirring og </w:t>
      </w:r>
      <w:proofErr w:type="spellStart"/>
      <w:r w:rsidRPr="00B901F1">
        <w:rPr>
          <w:sz w:val="24"/>
          <w:szCs w:val="24"/>
        </w:rPr>
        <w:t>takykardi</w:t>
      </w:r>
      <w:proofErr w:type="spellEnd"/>
      <w:r w:rsidRPr="00B901F1">
        <w:rPr>
          <w:sz w:val="24"/>
          <w:szCs w:val="24"/>
        </w:rPr>
        <w:t>.</w:t>
      </w:r>
    </w:p>
    <w:p w:rsidR="00B901F1" w:rsidRPr="00B901F1" w:rsidRDefault="00B901F1" w:rsidP="00B901F1">
      <w:pPr>
        <w:tabs>
          <w:tab w:val="left" w:pos="851"/>
        </w:tabs>
        <w:ind w:left="851"/>
        <w:rPr>
          <w:sz w:val="24"/>
          <w:szCs w:val="24"/>
        </w:rPr>
      </w:pPr>
    </w:p>
    <w:p w:rsidR="00F20D43" w:rsidRPr="00E62EE8" w:rsidRDefault="00B901F1" w:rsidP="00E62EE8">
      <w:pPr>
        <w:tabs>
          <w:tab w:val="left" w:pos="851"/>
        </w:tabs>
        <w:ind w:left="851"/>
        <w:rPr>
          <w:sz w:val="24"/>
          <w:szCs w:val="24"/>
        </w:rPr>
      </w:pPr>
      <w:r w:rsidRPr="00B901F1">
        <w:rPr>
          <w:sz w:val="24"/>
          <w:szCs w:val="24"/>
        </w:rPr>
        <w:t xml:space="preserve">Ved toksiske doser udviser </w:t>
      </w:r>
      <w:proofErr w:type="spellStart"/>
      <w:r w:rsidRPr="00B901F1">
        <w:rPr>
          <w:sz w:val="24"/>
          <w:szCs w:val="24"/>
        </w:rPr>
        <w:t>doxylamin</w:t>
      </w:r>
      <w:proofErr w:type="spellEnd"/>
      <w:r w:rsidRPr="00B901F1">
        <w:rPr>
          <w:sz w:val="24"/>
          <w:szCs w:val="24"/>
        </w:rPr>
        <w:t xml:space="preserve"> </w:t>
      </w:r>
      <w:proofErr w:type="spellStart"/>
      <w:r w:rsidRPr="00B901F1">
        <w:rPr>
          <w:sz w:val="24"/>
          <w:szCs w:val="24"/>
        </w:rPr>
        <w:t>antikolinerge</w:t>
      </w:r>
      <w:proofErr w:type="spellEnd"/>
      <w:r w:rsidRPr="00B901F1">
        <w:rPr>
          <w:sz w:val="24"/>
          <w:szCs w:val="24"/>
        </w:rPr>
        <w:t xml:space="preserve"> virkninger, herunder krampeanfald, </w:t>
      </w:r>
      <w:proofErr w:type="spellStart"/>
      <w:r w:rsidRPr="00B901F1">
        <w:rPr>
          <w:sz w:val="24"/>
          <w:szCs w:val="24"/>
        </w:rPr>
        <w:t>rhabdomyolyse</w:t>
      </w:r>
      <w:proofErr w:type="spellEnd"/>
      <w:r w:rsidRPr="00B901F1">
        <w:rPr>
          <w:sz w:val="24"/>
          <w:szCs w:val="24"/>
        </w:rPr>
        <w:t>, akut nyresvigt og død.</w:t>
      </w:r>
    </w:p>
    <w:p w:rsidR="00B901F1" w:rsidRPr="00B901F1" w:rsidRDefault="00B901F1" w:rsidP="00B901F1">
      <w:pPr>
        <w:tabs>
          <w:tab w:val="left" w:pos="851"/>
        </w:tabs>
        <w:ind w:left="851"/>
        <w:rPr>
          <w:sz w:val="24"/>
          <w:szCs w:val="24"/>
          <w:u w:val="single"/>
        </w:rPr>
      </w:pPr>
    </w:p>
    <w:p w:rsidR="00B901F1" w:rsidRPr="00B901F1" w:rsidRDefault="00B901F1" w:rsidP="00B901F1">
      <w:pPr>
        <w:tabs>
          <w:tab w:val="left" w:pos="851"/>
        </w:tabs>
        <w:ind w:left="851"/>
        <w:rPr>
          <w:sz w:val="24"/>
          <w:szCs w:val="24"/>
          <w:u w:val="single"/>
        </w:rPr>
      </w:pPr>
      <w:r w:rsidRPr="00B901F1">
        <w:rPr>
          <w:sz w:val="24"/>
          <w:szCs w:val="24"/>
          <w:u w:val="single"/>
        </w:rPr>
        <w:t>Behandling</w:t>
      </w:r>
    </w:p>
    <w:p w:rsidR="00B901F1" w:rsidRPr="00B901F1" w:rsidRDefault="00B901F1" w:rsidP="00B901F1">
      <w:pPr>
        <w:tabs>
          <w:tab w:val="left" w:pos="851"/>
        </w:tabs>
        <w:ind w:left="851"/>
        <w:rPr>
          <w:sz w:val="24"/>
          <w:szCs w:val="24"/>
        </w:rPr>
      </w:pPr>
      <w:r w:rsidRPr="00B901F1">
        <w:rPr>
          <w:sz w:val="24"/>
          <w:szCs w:val="24"/>
        </w:rPr>
        <w:t>I tilfælde af overdosering består behandlingen af aktivt kul, tarmskylning (WBI) og symptomatisk behandling. Behandlingen skal ske i overensstemmelse med de fastlagte retningslinjer.</w:t>
      </w:r>
    </w:p>
    <w:p w:rsidR="00B901F1" w:rsidRPr="00B901F1" w:rsidRDefault="00B901F1" w:rsidP="00B901F1">
      <w:pPr>
        <w:tabs>
          <w:tab w:val="left" w:pos="851"/>
        </w:tabs>
        <w:ind w:left="851"/>
        <w:rPr>
          <w:sz w:val="24"/>
          <w:szCs w:val="24"/>
          <w:u w:val="single"/>
        </w:rPr>
      </w:pPr>
    </w:p>
    <w:p w:rsidR="00B901F1" w:rsidRPr="00B901F1" w:rsidRDefault="00B901F1" w:rsidP="00B901F1">
      <w:pPr>
        <w:tabs>
          <w:tab w:val="left" w:pos="851"/>
        </w:tabs>
        <w:ind w:left="851"/>
        <w:rPr>
          <w:sz w:val="24"/>
          <w:szCs w:val="24"/>
          <w:u w:val="single"/>
        </w:rPr>
      </w:pPr>
      <w:r w:rsidRPr="00B901F1">
        <w:rPr>
          <w:sz w:val="24"/>
          <w:szCs w:val="24"/>
          <w:u w:val="single"/>
        </w:rPr>
        <w:t>Pædiatrisk population</w:t>
      </w:r>
    </w:p>
    <w:p w:rsidR="00B901F1" w:rsidRPr="00B901F1" w:rsidRDefault="00B901F1" w:rsidP="00B901F1">
      <w:pPr>
        <w:tabs>
          <w:tab w:val="left" w:pos="851"/>
        </w:tabs>
        <w:ind w:left="851"/>
        <w:rPr>
          <w:sz w:val="24"/>
          <w:szCs w:val="24"/>
        </w:rPr>
      </w:pPr>
      <w:r w:rsidRPr="00B901F1">
        <w:rPr>
          <w:sz w:val="24"/>
          <w:szCs w:val="24"/>
        </w:rPr>
        <w:t xml:space="preserve">Der er indberetninger om dødsfald som følge af overdosering med </w:t>
      </w:r>
      <w:proofErr w:type="spellStart"/>
      <w:r w:rsidRPr="00B901F1">
        <w:rPr>
          <w:sz w:val="24"/>
          <w:szCs w:val="24"/>
        </w:rPr>
        <w:t>doxylamin</w:t>
      </w:r>
      <w:proofErr w:type="spellEnd"/>
      <w:r w:rsidRPr="00B901F1">
        <w:rPr>
          <w:sz w:val="24"/>
          <w:szCs w:val="24"/>
        </w:rPr>
        <w:t xml:space="preserve"> hos børn. Tilfældene af overdosering er blevet karakteriseret ved koma, grand mal anfald og akut hjertestop. Børn ser ud til at have en høj risiko for akut hjertestop. Der er indberettet en toksisk dosis for børn på mere end 1,8 mg/kg. Et 3-årigt barn døde 18 timer efter indtagelse af 1.000 mg </w:t>
      </w:r>
      <w:proofErr w:type="spellStart"/>
      <w:r w:rsidRPr="00B901F1">
        <w:rPr>
          <w:sz w:val="24"/>
          <w:szCs w:val="24"/>
        </w:rPr>
        <w:t>doxylaminsuccinat</w:t>
      </w:r>
      <w:proofErr w:type="spellEnd"/>
      <w:r w:rsidRPr="00B901F1">
        <w:rPr>
          <w:sz w:val="24"/>
          <w:szCs w:val="24"/>
        </w:rPr>
        <w:t xml:space="preserve">. Der er dog ingen sammenhæng mellem mængden af indtaget </w:t>
      </w:r>
      <w:proofErr w:type="spellStart"/>
      <w:r w:rsidRPr="00B901F1">
        <w:rPr>
          <w:sz w:val="24"/>
          <w:szCs w:val="24"/>
        </w:rPr>
        <w:t>doxylamin</w:t>
      </w:r>
      <w:proofErr w:type="spellEnd"/>
      <w:r w:rsidRPr="00B901F1">
        <w:rPr>
          <w:sz w:val="24"/>
          <w:szCs w:val="24"/>
        </w:rPr>
        <w:t xml:space="preserve">, </w:t>
      </w:r>
      <w:proofErr w:type="spellStart"/>
      <w:r w:rsidRPr="00B901F1">
        <w:rPr>
          <w:sz w:val="24"/>
          <w:szCs w:val="24"/>
        </w:rPr>
        <w:t>doxylamins</w:t>
      </w:r>
      <w:proofErr w:type="spellEnd"/>
      <w:r w:rsidRPr="00B901F1">
        <w:rPr>
          <w:sz w:val="24"/>
          <w:szCs w:val="24"/>
        </w:rPr>
        <w:t xml:space="preserve"> plasmaniveau og klinisk symptomatologi.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322B7"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E62EE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62EE8" w:rsidRPr="00E62EE8" w:rsidRDefault="00E62EE8" w:rsidP="009260DE">
      <w:pPr>
        <w:tabs>
          <w:tab w:val="num" w:pos="851"/>
        </w:tabs>
        <w:ind w:left="851" w:hanging="851"/>
        <w:rPr>
          <w:sz w:val="24"/>
          <w:szCs w:val="24"/>
        </w:rPr>
      </w:pPr>
      <w:r>
        <w:rPr>
          <w:b/>
          <w:sz w:val="24"/>
          <w:szCs w:val="24"/>
        </w:rPr>
        <w:tab/>
      </w:r>
      <w:proofErr w:type="spellStart"/>
      <w:r w:rsidRPr="00E62EE8">
        <w:rPr>
          <w:sz w:val="24"/>
          <w:szCs w:val="24"/>
        </w:rPr>
        <w:t>Farmakoterapeutisk</w:t>
      </w:r>
      <w:proofErr w:type="spellEnd"/>
      <w:r w:rsidRPr="00E62EE8">
        <w:rPr>
          <w:sz w:val="24"/>
          <w:szCs w:val="24"/>
        </w:rPr>
        <w:t xml:space="preserve"> klassifikation: </w:t>
      </w:r>
      <w:proofErr w:type="spellStart"/>
      <w:r w:rsidRPr="00E62EE8">
        <w:rPr>
          <w:bCs/>
          <w:sz w:val="24"/>
          <w:szCs w:val="24"/>
        </w:rPr>
        <w:t>Aminoalkyl-ethere</w:t>
      </w:r>
      <w:proofErr w:type="spellEnd"/>
      <w:r w:rsidRPr="00E62EE8">
        <w:rPr>
          <w:bCs/>
          <w:sz w:val="24"/>
          <w:szCs w:val="24"/>
        </w:rPr>
        <w:t>, ATC-kode: R06AA59.</w:t>
      </w:r>
    </w:p>
    <w:p w:rsidR="0040579D" w:rsidRPr="00F27F22" w:rsidRDefault="0040579D" w:rsidP="00F27F22">
      <w:pPr>
        <w:pStyle w:val="Normalindrykning"/>
        <w:spacing w:after="0"/>
        <w:ind w:left="851"/>
        <w:rPr>
          <w:sz w:val="24"/>
          <w:szCs w:val="24"/>
          <w:u w:val="single"/>
        </w:rPr>
      </w:pPr>
    </w:p>
    <w:p w:rsidR="0040579D" w:rsidRPr="00F27F22" w:rsidRDefault="0040579D" w:rsidP="00F27F22">
      <w:pPr>
        <w:pStyle w:val="Normalindrykning"/>
        <w:spacing w:after="0"/>
        <w:ind w:left="851"/>
        <w:rPr>
          <w:sz w:val="24"/>
          <w:szCs w:val="24"/>
          <w:u w:val="single"/>
        </w:rPr>
      </w:pPr>
      <w:r w:rsidRPr="00F27F22">
        <w:rPr>
          <w:sz w:val="24"/>
          <w:szCs w:val="24"/>
          <w:u w:val="single"/>
        </w:rPr>
        <w:t>Virkningsmekanisme</w:t>
      </w:r>
    </w:p>
    <w:p w:rsidR="0040579D" w:rsidRPr="00F27F22" w:rsidRDefault="0040579D" w:rsidP="00F27F22">
      <w:pPr>
        <w:pStyle w:val="Normalindrykning"/>
        <w:spacing w:after="0"/>
        <w:ind w:left="851"/>
        <w:rPr>
          <w:sz w:val="24"/>
          <w:szCs w:val="24"/>
        </w:rPr>
      </w:pPr>
      <w:proofErr w:type="spellStart"/>
      <w:r w:rsidRPr="00F27F22">
        <w:rPr>
          <w:sz w:val="24"/>
          <w:szCs w:val="24"/>
        </w:rPr>
        <w:t>Xonvea</w:t>
      </w:r>
      <w:proofErr w:type="spellEnd"/>
      <w:r w:rsidRPr="00F27F22">
        <w:rPr>
          <w:sz w:val="24"/>
          <w:szCs w:val="24"/>
        </w:rPr>
        <w:t xml:space="preserve"> tilvejebringer virkningen af to ikke-relaterede forbindelser. </w:t>
      </w:r>
      <w:proofErr w:type="spellStart"/>
      <w:r w:rsidRPr="00F27F22">
        <w:rPr>
          <w:sz w:val="24"/>
          <w:szCs w:val="24"/>
        </w:rPr>
        <w:t>Doxylaminsuccinat</w:t>
      </w:r>
      <w:proofErr w:type="spellEnd"/>
      <w:r w:rsidRPr="00F27F22">
        <w:rPr>
          <w:sz w:val="24"/>
          <w:szCs w:val="24"/>
        </w:rPr>
        <w:t xml:space="preserve"> (et antihistamin) og </w:t>
      </w:r>
      <w:proofErr w:type="spellStart"/>
      <w:r w:rsidRPr="00F27F22">
        <w:rPr>
          <w:sz w:val="24"/>
          <w:szCs w:val="24"/>
        </w:rPr>
        <w:t>pyridoxinhydrochlorid</w:t>
      </w:r>
      <w:proofErr w:type="spellEnd"/>
      <w:r w:rsidRPr="00F27F22">
        <w:rPr>
          <w:sz w:val="24"/>
          <w:szCs w:val="24"/>
        </w:rPr>
        <w:t xml:space="preserve"> (vitamin B</w:t>
      </w:r>
      <w:r w:rsidRPr="00F27F22">
        <w:rPr>
          <w:sz w:val="24"/>
          <w:szCs w:val="24"/>
          <w:vertAlign w:val="subscript"/>
        </w:rPr>
        <w:t>6</w:t>
      </w:r>
      <w:r w:rsidRPr="00F27F22">
        <w:rPr>
          <w:sz w:val="24"/>
          <w:szCs w:val="24"/>
        </w:rPr>
        <w:t xml:space="preserve">) tilvejebringer kvalmestillende og </w:t>
      </w:r>
      <w:proofErr w:type="spellStart"/>
      <w:r w:rsidRPr="00F27F22">
        <w:rPr>
          <w:sz w:val="24"/>
          <w:szCs w:val="24"/>
        </w:rPr>
        <w:t>antiemetisk</w:t>
      </w:r>
      <w:proofErr w:type="spellEnd"/>
      <w:r w:rsidRPr="00F27F22">
        <w:rPr>
          <w:sz w:val="24"/>
          <w:szCs w:val="24"/>
        </w:rPr>
        <w:t xml:space="preserve"> aktivitet.</w:t>
      </w:r>
    </w:p>
    <w:p w:rsidR="0040579D" w:rsidRPr="00F27F22" w:rsidRDefault="0040579D" w:rsidP="00F27F22">
      <w:pPr>
        <w:autoSpaceDE w:val="0"/>
        <w:autoSpaceDN w:val="0"/>
        <w:ind w:left="851"/>
        <w:rPr>
          <w:sz w:val="24"/>
          <w:szCs w:val="24"/>
        </w:rPr>
      </w:pPr>
      <w:r w:rsidRPr="00F27F22">
        <w:rPr>
          <w:sz w:val="24"/>
          <w:szCs w:val="24"/>
        </w:rPr>
        <w:t> </w:t>
      </w:r>
    </w:p>
    <w:p w:rsidR="0040579D" w:rsidRPr="00F27F22" w:rsidRDefault="0040579D" w:rsidP="00F27F22">
      <w:pPr>
        <w:autoSpaceDE w:val="0"/>
        <w:autoSpaceDN w:val="0"/>
        <w:ind w:left="851"/>
        <w:rPr>
          <w:sz w:val="24"/>
          <w:szCs w:val="24"/>
        </w:rPr>
      </w:pPr>
      <w:proofErr w:type="spellStart"/>
      <w:r w:rsidRPr="00F27F22">
        <w:rPr>
          <w:sz w:val="24"/>
          <w:szCs w:val="24"/>
        </w:rPr>
        <w:t>Doxylaminsuccinat</w:t>
      </w:r>
      <w:proofErr w:type="spellEnd"/>
      <w:r w:rsidRPr="00F27F22">
        <w:rPr>
          <w:sz w:val="24"/>
          <w:szCs w:val="24"/>
        </w:rPr>
        <w:t xml:space="preserve">, et </w:t>
      </w:r>
      <w:proofErr w:type="spellStart"/>
      <w:r w:rsidRPr="00F27F22">
        <w:rPr>
          <w:sz w:val="24"/>
          <w:szCs w:val="24"/>
        </w:rPr>
        <w:t>ethanolamin</w:t>
      </w:r>
      <w:proofErr w:type="spellEnd"/>
      <w:r w:rsidRPr="00F27F22">
        <w:rPr>
          <w:sz w:val="24"/>
          <w:szCs w:val="24"/>
        </w:rPr>
        <w:t xml:space="preserve">, første generations antihistamin krydser blod-hjerne-barrieren og udøver en </w:t>
      </w:r>
      <w:proofErr w:type="spellStart"/>
      <w:r w:rsidRPr="00F27F22">
        <w:rPr>
          <w:sz w:val="24"/>
          <w:szCs w:val="24"/>
        </w:rPr>
        <w:t>antiemetisk</w:t>
      </w:r>
      <w:proofErr w:type="spellEnd"/>
      <w:r w:rsidRPr="00F27F22">
        <w:rPr>
          <w:sz w:val="24"/>
          <w:szCs w:val="24"/>
        </w:rPr>
        <w:t xml:space="preserve"> virkning ved selektiv binding til H1-receptorer i hjernen.</w:t>
      </w:r>
    </w:p>
    <w:p w:rsidR="0040579D" w:rsidRPr="00F27F22" w:rsidRDefault="0040579D" w:rsidP="00F27F22">
      <w:pPr>
        <w:autoSpaceDE w:val="0"/>
        <w:autoSpaceDN w:val="0"/>
        <w:ind w:left="851"/>
        <w:rPr>
          <w:sz w:val="24"/>
          <w:szCs w:val="24"/>
        </w:rPr>
      </w:pPr>
      <w:r w:rsidRPr="00F27F22">
        <w:rPr>
          <w:sz w:val="24"/>
          <w:szCs w:val="24"/>
        </w:rPr>
        <w:t> </w:t>
      </w:r>
    </w:p>
    <w:p w:rsidR="0040579D" w:rsidRPr="00F27F22" w:rsidRDefault="0040579D" w:rsidP="00F27F22">
      <w:pPr>
        <w:autoSpaceDE w:val="0"/>
        <w:autoSpaceDN w:val="0"/>
        <w:ind w:left="851"/>
        <w:rPr>
          <w:sz w:val="24"/>
          <w:szCs w:val="24"/>
        </w:rPr>
      </w:pPr>
      <w:proofErr w:type="spellStart"/>
      <w:r w:rsidRPr="00F27F22">
        <w:rPr>
          <w:sz w:val="24"/>
          <w:szCs w:val="24"/>
        </w:rPr>
        <w:t>Pyridoxinhydrochlorid</w:t>
      </w:r>
      <w:proofErr w:type="spellEnd"/>
      <w:r w:rsidRPr="00F27F22">
        <w:rPr>
          <w:sz w:val="24"/>
          <w:szCs w:val="24"/>
        </w:rPr>
        <w:t xml:space="preserve">, et vandopløseligt vitamin, omdannes til </w:t>
      </w:r>
      <w:proofErr w:type="spellStart"/>
      <w:r w:rsidRPr="00F27F22">
        <w:rPr>
          <w:sz w:val="24"/>
          <w:szCs w:val="24"/>
        </w:rPr>
        <w:t>pyridoxal</w:t>
      </w:r>
      <w:proofErr w:type="spellEnd"/>
      <w:r w:rsidRPr="00F27F22">
        <w:rPr>
          <w:sz w:val="24"/>
          <w:szCs w:val="24"/>
        </w:rPr>
        <w:t xml:space="preserve">, </w:t>
      </w:r>
      <w:proofErr w:type="spellStart"/>
      <w:r w:rsidRPr="00F27F22">
        <w:rPr>
          <w:sz w:val="24"/>
          <w:szCs w:val="24"/>
        </w:rPr>
        <w:t>pyridoxamin</w:t>
      </w:r>
      <w:proofErr w:type="spellEnd"/>
      <w:r w:rsidRPr="00F27F22">
        <w:rPr>
          <w:sz w:val="24"/>
          <w:szCs w:val="24"/>
        </w:rPr>
        <w:t xml:space="preserve">, </w:t>
      </w:r>
      <w:proofErr w:type="spellStart"/>
      <w:r w:rsidRPr="00F27F22">
        <w:rPr>
          <w:sz w:val="24"/>
          <w:szCs w:val="24"/>
        </w:rPr>
        <w:t>pyridoxal</w:t>
      </w:r>
      <w:proofErr w:type="spellEnd"/>
      <w:r w:rsidRPr="00F27F22">
        <w:rPr>
          <w:sz w:val="24"/>
          <w:szCs w:val="24"/>
        </w:rPr>
        <w:t xml:space="preserve"> 5'-fosfat og </w:t>
      </w:r>
      <w:proofErr w:type="spellStart"/>
      <w:r w:rsidRPr="00F27F22">
        <w:rPr>
          <w:sz w:val="24"/>
          <w:szCs w:val="24"/>
        </w:rPr>
        <w:t>pyridoxamin</w:t>
      </w:r>
      <w:proofErr w:type="spellEnd"/>
      <w:r w:rsidRPr="00F27F22">
        <w:rPr>
          <w:sz w:val="24"/>
          <w:szCs w:val="24"/>
        </w:rPr>
        <w:t xml:space="preserve"> 5'-fosfat. Selvom </w:t>
      </w:r>
      <w:proofErr w:type="spellStart"/>
      <w:r w:rsidRPr="00F27F22">
        <w:rPr>
          <w:sz w:val="24"/>
          <w:szCs w:val="24"/>
        </w:rPr>
        <w:t>pyridoxal</w:t>
      </w:r>
      <w:proofErr w:type="spellEnd"/>
      <w:r w:rsidRPr="00F27F22">
        <w:rPr>
          <w:sz w:val="24"/>
          <w:szCs w:val="24"/>
        </w:rPr>
        <w:t xml:space="preserve"> 5'-fosfat er den vigtigste aktive </w:t>
      </w:r>
      <w:proofErr w:type="spellStart"/>
      <w:r w:rsidRPr="00F27F22">
        <w:rPr>
          <w:sz w:val="24"/>
          <w:szCs w:val="24"/>
        </w:rPr>
        <w:t>antiemetiske</w:t>
      </w:r>
      <w:proofErr w:type="spellEnd"/>
      <w:r w:rsidRPr="00F27F22">
        <w:rPr>
          <w:sz w:val="24"/>
          <w:szCs w:val="24"/>
        </w:rPr>
        <w:t xml:space="preserve"> metabolit, bidrager de andre metabolitter også til den biologiske aktivitet.</w:t>
      </w:r>
    </w:p>
    <w:p w:rsidR="0040579D" w:rsidRPr="00F27F22" w:rsidRDefault="0040579D" w:rsidP="00F27F22">
      <w:pPr>
        <w:ind w:left="851"/>
        <w:rPr>
          <w:sz w:val="24"/>
          <w:szCs w:val="24"/>
        </w:rPr>
      </w:pPr>
      <w:r w:rsidRPr="00F27F22">
        <w:rPr>
          <w:sz w:val="24"/>
          <w:szCs w:val="24"/>
        </w:rPr>
        <w:t> </w:t>
      </w:r>
    </w:p>
    <w:p w:rsidR="0040579D" w:rsidRPr="00F27F22" w:rsidRDefault="0040579D" w:rsidP="00F27F22">
      <w:pPr>
        <w:autoSpaceDE w:val="0"/>
        <w:autoSpaceDN w:val="0"/>
        <w:ind w:left="851"/>
        <w:rPr>
          <w:sz w:val="24"/>
          <w:szCs w:val="24"/>
        </w:rPr>
      </w:pPr>
      <w:r w:rsidRPr="00F27F22">
        <w:rPr>
          <w:sz w:val="24"/>
          <w:szCs w:val="24"/>
        </w:rPr>
        <w:t xml:space="preserve">Virkningsmekanismen for kombinationen af </w:t>
      </w:r>
      <w:proofErr w:type="spellStart"/>
      <w:r w:rsidRPr="00F27F22">
        <w:rPr>
          <w:sz w:val="24"/>
          <w:szCs w:val="24"/>
        </w:rPr>
        <w:t>doxylaminsuccinat</w:t>
      </w:r>
      <w:proofErr w:type="spellEnd"/>
      <w:r w:rsidRPr="00F27F22">
        <w:rPr>
          <w:sz w:val="24"/>
          <w:szCs w:val="24"/>
        </w:rPr>
        <w:t xml:space="preserve"> og </w:t>
      </w:r>
      <w:proofErr w:type="spellStart"/>
      <w:r w:rsidRPr="00F27F22">
        <w:rPr>
          <w:sz w:val="24"/>
          <w:szCs w:val="24"/>
        </w:rPr>
        <w:t>pyridoxinhydrochlorid</w:t>
      </w:r>
      <w:proofErr w:type="spellEnd"/>
      <w:r w:rsidRPr="00F27F22">
        <w:rPr>
          <w:sz w:val="24"/>
          <w:szCs w:val="24"/>
        </w:rPr>
        <w:t xml:space="preserve"> til behandling af graviditetskvalme og -opkastning er ikke fastlagt.</w:t>
      </w:r>
    </w:p>
    <w:p w:rsidR="0040579D" w:rsidRPr="00F27F22" w:rsidRDefault="0040579D" w:rsidP="00F27F22">
      <w:pPr>
        <w:pStyle w:val="Normalindrykning"/>
        <w:spacing w:after="0"/>
        <w:ind w:left="851"/>
        <w:rPr>
          <w:sz w:val="24"/>
          <w:szCs w:val="24"/>
          <w:u w:val="single"/>
        </w:rPr>
      </w:pPr>
    </w:p>
    <w:p w:rsidR="0040579D" w:rsidRPr="00F27F22" w:rsidRDefault="0040579D" w:rsidP="00F27F22">
      <w:pPr>
        <w:pStyle w:val="Normalindrykning"/>
        <w:spacing w:after="0"/>
        <w:ind w:left="851"/>
        <w:rPr>
          <w:sz w:val="24"/>
          <w:szCs w:val="24"/>
          <w:u w:val="single"/>
        </w:rPr>
      </w:pPr>
      <w:r w:rsidRPr="00F27F22">
        <w:rPr>
          <w:sz w:val="24"/>
          <w:szCs w:val="24"/>
          <w:u w:val="single"/>
        </w:rPr>
        <w:t>Klinisk virkning og sikkerhed</w:t>
      </w:r>
    </w:p>
    <w:p w:rsidR="0040579D" w:rsidRPr="00F27F22" w:rsidRDefault="0040579D" w:rsidP="00F27F22">
      <w:pPr>
        <w:pStyle w:val="Normalindrykning"/>
        <w:spacing w:after="0"/>
        <w:ind w:left="851"/>
        <w:rPr>
          <w:sz w:val="24"/>
          <w:szCs w:val="24"/>
        </w:rPr>
      </w:pPr>
      <w:proofErr w:type="spellStart"/>
      <w:r w:rsidRPr="00F27F22">
        <w:rPr>
          <w:sz w:val="24"/>
          <w:szCs w:val="24"/>
        </w:rPr>
        <w:t>Xonveas</w:t>
      </w:r>
      <w:proofErr w:type="spellEnd"/>
      <w:r w:rsidRPr="00F27F22">
        <w:rPr>
          <w:sz w:val="24"/>
          <w:szCs w:val="24"/>
        </w:rPr>
        <w:t xml:space="preserve"> sikkerhed og virkning blev sammenlignet med placebo i et dobbeltblindt, randomiseret multicenterforsøg hos 261 voksne kvinder, der var 18 år eller derover. Den gennemsnitlige svangerskabsalder ved tilmelding var 9,3 uger. Svangerskabsintervallet var fra 7 til 14 uger. To tabletter </w:t>
      </w:r>
      <w:proofErr w:type="spellStart"/>
      <w:r w:rsidRPr="00F27F22">
        <w:rPr>
          <w:sz w:val="24"/>
          <w:szCs w:val="24"/>
        </w:rPr>
        <w:t>Xonvea</w:t>
      </w:r>
      <w:proofErr w:type="spellEnd"/>
      <w:r w:rsidRPr="00F27F22">
        <w:rPr>
          <w:sz w:val="24"/>
          <w:szCs w:val="24"/>
        </w:rPr>
        <w:t xml:space="preserve"> blev administreret ved sengetid på dag 1.  Hvis symptomer på kvalme og opkastning fortsatte ud på eftermiddagen på dag 2, blev kvinden </w:t>
      </w:r>
      <w:r w:rsidRPr="00F27F22">
        <w:rPr>
          <w:sz w:val="24"/>
          <w:szCs w:val="24"/>
        </w:rPr>
        <w:lastRenderedPageBreak/>
        <w:t>henvist til sin sædvanlige dosis på to tabletter ved sengetid den aften og begyndte på dag 3 at tage en tablet om morgenen og to tabletter ved sengetid. Baseret på vurdering af de resterende symptomer ved kvindens klinikbesøg på dag 4 (± 1 dag) kan kvinden have fået besked på at tage en ekstra tablet midt på eftermiddagen. Der blev maksimalt indtaget fire tabletter dagligt (en om morgenen, en om eftermiddagen og to ved sengetid).</w:t>
      </w:r>
    </w:p>
    <w:p w:rsidR="0040579D" w:rsidRPr="00F27F22" w:rsidRDefault="0040579D" w:rsidP="00F27F22">
      <w:pPr>
        <w:pStyle w:val="Normalindrykning"/>
        <w:spacing w:after="0"/>
        <w:ind w:left="851"/>
        <w:rPr>
          <w:sz w:val="24"/>
          <w:szCs w:val="24"/>
        </w:rPr>
      </w:pPr>
    </w:p>
    <w:p w:rsidR="0040579D" w:rsidRPr="00F27F22" w:rsidRDefault="0040579D" w:rsidP="00F27F22">
      <w:pPr>
        <w:pStyle w:val="Normalindrykning"/>
        <w:spacing w:after="0"/>
        <w:ind w:left="851"/>
        <w:rPr>
          <w:sz w:val="24"/>
          <w:szCs w:val="24"/>
        </w:rPr>
      </w:pPr>
      <w:r w:rsidRPr="00F27F22">
        <w:rPr>
          <w:sz w:val="24"/>
          <w:szCs w:val="24"/>
        </w:rPr>
        <w:t xml:space="preserve">I løbet af behandlingsperioden forblev 19 % af de </w:t>
      </w:r>
      <w:proofErr w:type="spellStart"/>
      <w:r w:rsidRPr="00F27F22">
        <w:rPr>
          <w:sz w:val="24"/>
          <w:szCs w:val="24"/>
        </w:rPr>
        <w:t>Xonvea</w:t>
      </w:r>
      <w:proofErr w:type="spellEnd"/>
      <w:r w:rsidRPr="00F27F22">
        <w:rPr>
          <w:sz w:val="24"/>
          <w:szCs w:val="24"/>
        </w:rPr>
        <w:t xml:space="preserve">-behandlede patienter på to tabletter </w:t>
      </w:r>
      <w:r w:rsidR="00A4534A">
        <w:rPr>
          <w:sz w:val="24"/>
          <w:szCs w:val="24"/>
        </w:rPr>
        <w:t>daglig</w:t>
      </w:r>
      <w:r w:rsidRPr="00F27F22">
        <w:rPr>
          <w:sz w:val="24"/>
          <w:szCs w:val="24"/>
        </w:rPr>
        <w:t xml:space="preserve">, 21 % indtog tre tabletter </w:t>
      </w:r>
      <w:r w:rsidR="00A4534A">
        <w:rPr>
          <w:sz w:val="24"/>
          <w:szCs w:val="24"/>
        </w:rPr>
        <w:t>daglig</w:t>
      </w:r>
      <w:r w:rsidRPr="00F27F22">
        <w:rPr>
          <w:sz w:val="24"/>
          <w:szCs w:val="24"/>
        </w:rPr>
        <w:t xml:space="preserve">, og 60 % indtog fire tabletter </w:t>
      </w:r>
      <w:r w:rsidR="00A4534A">
        <w:rPr>
          <w:sz w:val="24"/>
          <w:szCs w:val="24"/>
        </w:rPr>
        <w:t>daglig</w:t>
      </w:r>
      <w:r w:rsidRPr="00F27F22">
        <w:rPr>
          <w:sz w:val="24"/>
          <w:szCs w:val="24"/>
        </w:rPr>
        <w:t>.</w:t>
      </w:r>
    </w:p>
    <w:p w:rsidR="0040579D" w:rsidRPr="00F27F22" w:rsidRDefault="0040579D" w:rsidP="00F27F22">
      <w:pPr>
        <w:pStyle w:val="Normalindrykning"/>
        <w:spacing w:after="0"/>
        <w:ind w:left="851"/>
        <w:rPr>
          <w:sz w:val="24"/>
          <w:szCs w:val="24"/>
        </w:rPr>
      </w:pPr>
    </w:p>
    <w:p w:rsidR="0040579D" w:rsidRPr="00F27F22" w:rsidRDefault="0040579D" w:rsidP="00F27F22">
      <w:pPr>
        <w:pStyle w:val="Normalindrykning"/>
        <w:spacing w:after="0"/>
        <w:ind w:left="851"/>
        <w:rPr>
          <w:sz w:val="24"/>
          <w:szCs w:val="24"/>
        </w:rPr>
      </w:pPr>
      <w:r w:rsidRPr="00F27F22">
        <w:rPr>
          <w:sz w:val="24"/>
          <w:szCs w:val="24"/>
        </w:rPr>
        <w:t>Det primære effektmål var ændringen fra baseline på dag 15 i PUQE-scoren (</w:t>
      </w:r>
      <w:proofErr w:type="spellStart"/>
      <w:r w:rsidRPr="00F27F22">
        <w:rPr>
          <w:sz w:val="24"/>
          <w:szCs w:val="24"/>
        </w:rPr>
        <w:t>Pregnancy</w:t>
      </w:r>
      <w:proofErr w:type="spellEnd"/>
      <w:r w:rsidRPr="00F27F22">
        <w:rPr>
          <w:sz w:val="24"/>
          <w:szCs w:val="24"/>
        </w:rPr>
        <w:t xml:space="preserve"> Unique-</w:t>
      </w:r>
      <w:proofErr w:type="spellStart"/>
      <w:r w:rsidRPr="00F27F22">
        <w:rPr>
          <w:sz w:val="24"/>
          <w:szCs w:val="24"/>
        </w:rPr>
        <w:t>Quantification</w:t>
      </w:r>
      <w:proofErr w:type="spellEnd"/>
      <w:r w:rsidRPr="00F27F22">
        <w:rPr>
          <w:sz w:val="24"/>
          <w:szCs w:val="24"/>
        </w:rPr>
        <w:t xml:space="preserve"> of </w:t>
      </w:r>
      <w:proofErr w:type="spellStart"/>
      <w:r w:rsidRPr="00F27F22">
        <w:rPr>
          <w:sz w:val="24"/>
          <w:szCs w:val="24"/>
        </w:rPr>
        <w:t>Emesis</w:t>
      </w:r>
      <w:proofErr w:type="spellEnd"/>
      <w:r w:rsidRPr="00F27F22">
        <w:rPr>
          <w:sz w:val="24"/>
          <w:szCs w:val="24"/>
        </w:rPr>
        <w:t>). PUQE-scoren inkorporerer antallet af daglige opkastninger, antallet af daglige opkastningsfornemmelser og længden af den daglige kvalme i timer for en samlet score på symptomer bedømt fra 3 (ingen symptomer) til 15 (mest alvorlige).</w:t>
      </w:r>
    </w:p>
    <w:p w:rsidR="0040579D" w:rsidRPr="00F27F22" w:rsidRDefault="0040579D" w:rsidP="00F27F22">
      <w:pPr>
        <w:pStyle w:val="Normalindrykning"/>
        <w:spacing w:after="0"/>
        <w:ind w:left="851"/>
        <w:rPr>
          <w:sz w:val="24"/>
          <w:szCs w:val="24"/>
        </w:rPr>
      </w:pPr>
    </w:p>
    <w:p w:rsidR="0040579D" w:rsidRPr="00F27F22" w:rsidRDefault="0040579D" w:rsidP="00F27F22">
      <w:pPr>
        <w:pStyle w:val="Normalindrykning"/>
        <w:spacing w:after="0"/>
        <w:ind w:left="851"/>
        <w:rPr>
          <w:sz w:val="24"/>
          <w:szCs w:val="24"/>
        </w:rPr>
      </w:pPr>
      <w:r w:rsidRPr="00F27F22">
        <w:rPr>
          <w:sz w:val="24"/>
          <w:szCs w:val="24"/>
        </w:rPr>
        <w:t xml:space="preserve">Ved baseline var den gennemsnitlige PUQE-score 9,0 i </w:t>
      </w:r>
      <w:proofErr w:type="spellStart"/>
      <w:r w:rsidRPr="00F27F22">
        <w:rPr>
          <w:sz w:val="24"/>
          <w:szCs w:val="24"/>
        </w:rPr>
        <w:t>Xonvea</w:t>
      </w:r>
      <w:proofErr w:type="spellEnd"/>
      <w:r w:rsidRPr="00F27F22">
        <w:rPr>
          <w:sz w:val="24"/>
          <w:szCs w:val="24"/>
        </w:rPr>
        <w:t xml:space="preserve">-armen og 8,8 i placebo-armen. Der var et gennemsnitligt fald på 0,9 (95 % konfidensinterval 0,2 til 1,2 med </w:t>
      </w:r>
      <w:proofErr w:type="spellStart"/>
      <w:r w:rsidRPr="00F27F22">
        <w:rPr>
          <w:sz w:val="24"/>
          <w:szCs w:val="24"/>
        </w:rPr>
        <w:t>p-værdi</w:t>
      </w:r>
      <w:proofErr w:type="spellEnd"/>
      <w:r w:rsidRPr="00F27F22">
        <w:rPr>
          <w:sz w:val="24"/>
          <w:szCs w:val="24"/>
        </w:rPr>
        <w:t xml:space="preserve"> 0,006) (forbedring af kvalme og opkastningssymptomer) fra baseline i PUQE-score på dag 15 med </w:t>
      </w:r>
      <w:proofErr w:type="spellStart"/>
      <w:r w:rsidRPr="00F27F22">
        <w:rPr>
          <w:sz w:val="24"/>
          <w:szCs w:val="24"/>
        </w:rPr>
        <w:t>Xonvea</w:t>
      </w:r>
      <w:proofErr w:type="spellEnd"/>
      <w:r w:rsidRPr="00F27F22">
        <w:rPr>
          <w:sz w:val="24"/>
          <w:szCs w:val="24"/>
        </w:rPr>
        <w:t xml:space="preserve"> sammenlignet med placebo (se tabel 1).</w:t>
      </w:r>
    </w:p>
    <w:p w:rsidR="0040579D" w:rsidRPr="00F27F22" w:rsidRDefault="0040579D" w:rsidP="00F27F22">
      <w:pPr>
        <w:pStyle w:val="Normalindrykning"/>
        <w:spacing w:after="0"/>
        <w:ind w:left="851"/>
        <w:rPr>
          <w:sz w:val="24"/>
          <w:szCs w:val="24"/>
        </w:rPr>
      </w:pPr>
    </w:p>
    <w:p w:rsidR="00E62EE8" w:rsidRDefault="00E62EE8" w:rsidP="00E62EE8">
      <w:pPr>
        <w:pStyle w:val="Normalindrykning"/>
        <w:tabs>
          <w:tab w:val="left" w:pos="567"/>
        </w:tabs>
        <w:spacing w:after="0"/>
        <w:ind w:left="0"/>
        <w:rPr>
          <w:b/>
          <w:szCs w:val="22"/>
        </w:rPr>
      </w:pPr>
      <w:r>
        <w:rPr>
          <w:b/>
          <w:szCs w:val="22"/>
        </w:rPr>
        <w:t>Tabel 1 - Ændring fra baseline i det primære endepunkt, PUQE-score (</w:t>
      </w:r>
      <w:proofErr w:type="spellStart"/>
      <w:r>
        <w:rPr>
          <w:b/>
          <w:szCs w:val="22"/>
        </w:rPr>
        <w:t>Pregnancy</w:t>
      </w:r>
      <w:proofErr w:type="spellEnd"/>
      <w:r>
        <w:rPr>
          <w:b/>
          <w:szCs w:val="22"/>
        </w:rPr>
        <w:t xml:space="preserve"> Unique-</w:t>
      </w:r>
      <w:proofErr w:type="spellStart"/>
      <w:r>
        <w:rPr>
          <w:b/>
          <w:szCs w:val="22"/>
        </w:rPr>
        <w:t>Quantification</w:t>
      </w:r>
      <w:proofErr w:type="spellEnd"/>
      <w:r>
        <w:rPr>
          <w:b/>
          <w:szCs w:val="22"/>
        </w:rPr>
        <w:t xml:space="preserve"> of </w:t>
      </w:r>
      <w:proofErr w:type="spellStart"/>
      <w:r>
        <w:rPr>
          <w:b/>
          <w:szCs w:val="22"/>
        </w:rPr>
        <w:t>Emesis</w:t>
      </w:r>
      <w:proofErr w:type="spellEnd"/>
      <w:r>
        <w:rPr>
          <w:b/>
          <w:szCs w:val="22"/>
        </w:rPr>
        <w:t xml:space="preserve">) på dag 15*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2564"/>
        <w:gridCol w:w="1192"/>
        <w:gridCol w:w="2835"/>
      </w:tblGrid>
      <w:tr w:rsidR="00E62EE8" w:rsidTr="00E62EE8">
        <w:tc>
          <w:tcPr>
            <w:tcW w:w="2765"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b/>
                <w:szCs w:val="22"/>
              </w:rPr>
            </w:pPr>
            <w:r>
              <w:rPr>
                <w:b/>
                <w:szCs w:val="22"/>
              </w:rPr>
              <w:t>PUQE-score **</w:t>
            </w:r>
          </w:p>
        </w:tc>
        <w:tc>
          <w:tcPr>
            <w:tcW w:w="2564"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b/>
                <w:szCs w:val="22"/>
              </w:rPr>
            </w:pPr>
            <w:proofErr w:type="spellStart"/>
            <w:r>
              <w:rPr>
                <w:b/>
                <w:szCs w:val="22"/>
              </w:rPr>
              <w:t>Doxylaminsuccinat</w:t>
            </w:r>
            <w:proofErr w:type="spellEnd"/>
            <w:r>
              <w:rPr>
                <w:b/>
                <w:szCs w:val="22"/>
              </w:rPr>
              <w:t xml:space="preserve">+ </w:t>
            </w:r>
            <w:proofErr w:type="spellStart"/>
            <w:r>
              <w:rPr>
                <w:b/>
                <w:szCs w:val="22"/>
              </w:rPr>
              <w:t>pyridoxinhydrochlorid</w:t>
            </w:r>
            <w:proofErr w:type="spellEnd"/>
          </w:p>
        </w:tc>
        <w:tc>
          <w:tcPr>
            <w:tcW w:w="1192"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b/>
                <w:szCs w:val="22"/>
              </w:rPr>
            </w:pPr>
            <w:r>
              <w:rPr>
                <w:b/>
                <w:szCs w:val="22"/>
              </w:rPr>
              <w:t>Placebo</w:t>
            </w:r>
          </w:p>
        </w:tc>
        <w:tc>
          <w:tcPr>
            <w:tcW w:w="2835"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b/>
                <w:szCs w:val="22"/>
              </w:rPr>
            </w:pPr>
            <w:r>
              <w:rPr>
                <w:b/>
                <w:szCs w:val="22"/>
              </w:rPr>
              <w:t>Behandlingsforskel</w:t>
            </w:r>
          </w:p>
          <w:p w:rsidR="00E62EE8" w:rsidRDefault="00E62EE8">
            <w:pPr>
              <w:pStyle w:val="Normalindrykning"/>
              <w:tabs>
                <w:tab w:val="left" w:pos="567"/>
              </w:tabs>
              <w:spacing w:after="0"/>
              <w:ind w:left="0"/>
              <w:rPr>
                <w:b/>
                <w:szCs w:val="22"/>
              </w:rPr>
            </w:pPr>
            <w:r>
              <w:rPr>
                <w:b/>
                <w:szCs w:val="22"/>
              </w:rPr>
              <w:t>[95 % konfidensinterval]</w:t>
            </w:r>
          </w:p>
        </w:tc>
      </w:tr>
      <w:tr w:rsidR="00E62EE8" w:rsidTr="00E62EE8">
        <w:tc>
          <w:tcPr>
            <w:tcW w:w="2765"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szCs w:val="22"/>
              </w:rPr>
            </w:pPr>
            <w:r>
              <w:rPr>
                <w:szCs w:val="22"/>
              </w:rPr>
              <w:t>Baseline</w:t>
            </w:r>
            <w:r>
              <w:rPr>
                <w:szCs w:val="22"/>
              </w:rPr>
              <w:br/>
              <w:t>Ændring fra baseline på dag 15</w:t>
            </w:r>
          </w:p>
        </w:tc>
        <w:tc>
          <w:tcPr>
            <w:tcW w:w="2564"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szCs w:val="22"/>
              </w:rPr>
            </w:pPr>
            <w:r>
              <w:rPr>
                <w:szCs w:val="22"/>
              </w:rPr>
              <w:t>9,0 ± 2,1</w:t>
            </w:r>
            <w:r>
              <w:rPr>
                <w:szCs w:val="22"/>
              </w:rPr>
              <w:br/>
              <w:t>-4,8 ± 2,7</w:t>
            </w:r>
          </w:p>
        </w:tc>
        <w:tc>
          <w:tcPr>
            <w:tcW w:w="1192" w:type="dxa"/>
            <w:tcBorders>
              <w:top w:val="single" w:sz="4" w:space="0" w:color="auto"/>
              <w:left w:val="single" w:sz="4" w:space="0" w:color="auto"/>
              <w:bottom w:val="single" w:sz="4" w:space="0" w:color="auto"/>
              <w:right w:val="single" w:sz="4" w:space="0" w:color="auto"/>
            </w:tcBorders>
            <w:hideMark/>
          </w:tcPr>
          <w:p w:rsidR="00E62EE8" w:rsidRDefault="00E62EE8">
            <w:pPr>
              <w:pStyle w:val="Normalindrykning"/>
              <w:tabs>
                <w:tab w:val="left" w:pos="567"/>
              </w:tabs>
              <w:spacing w:after="0"/>
              <w:ind w:left="0"/>
              <w:rPr>
                <w:szCs w:val="22"/>
              </w:rPr>
            </w:pPr>
            <w:r>
              <w:rPr>
                <w:szCs w:val="22"/>
              </w:rPr>
              <w:t>8,8 ± 2,1</w:t>
            </w:r>
            <w:r>
              <w:rPr>
                <w:szCs w:val="22"/>
              </w:rPr>
              <w:br/>
              <w:t>-3,9 ± 2,6</w:t>
            </w:r>
          </w:p>
        </w:tc>
        <w:tc>
          <w:tcPr>
            <w:tcW w:w="2835" w:type="dxa"/>
            <w:tcBorders>
              <w:top w:val="single" w:sz="4" w:space="0" w:color="auto"/>
              <w:left w:val="single" w:sz="4" w:space="0" w:color="auto"/>
              <w:bottom w:val="single" w:sz="4" w:space="0" w:color="auto"/>
              <w:right w:val="single" w:sz="4" w:space="0" w:color="auto"/>
            </w:tcBorders>
            <w:vAlign w:val="center"/>
            <w:hideMark/>
          </w:tcPr>
          <w:p w:rsidR="00E62EE8" w:rsidRDefault="00E62EE8">
            <w:pPr>
              <w:pStyle w:val="Normalindrykning"/>
              <w:tabs>
                <w:tab w:val="left" w:pos="567"/>
              </w:tabs>
              <w:spacing w:after="0"/>
              <w:ind w:left="0"/>
              <w:rPr>
                <w:szCs w:val="22"/>
              </w:rPr>
            </w:pPr>
            <w:r>
              <w:rPr>
                <w:szCs w:val="22"/>
              </w:rPr>
              <w:t xml:space="preserve">-0,9 [-1,2, -0,2] </w:t>
            </w:r>
            <w:r>
              <w:rPr>
                <w:sz w:val="20"/>
                <w:vertAlign w:val="superscript"/>
              </w:rPr>
              <w:t>§</w:t>
            </w:r>
          </w:p>
        </w:tc>
      </w:tr>
    </w:tbl>
    <w:p w:rsidR="00E62EE8" w:rsidRDefault="00E62EE8" w:rsidP="00E62EE8">
      <w:pPr>
        <w:pStyle w:val="Normalindrykning"/>
        <w:tabs>
          <w:tab w:val="left" w:pos="426"/>
        </w:tabs>
        <w:spacing w:after="0"/>
        <w:ind w:left="426" w:hanging="284"/>
        <w:rPr>
          <w:sz w:val="20"/>
        </w:rPr>
      </w:pPr>
      <w:r>
        <w:rPr>
          <w:sz w:val="20"/>
        </w:rPr>
        <w:t>*</w:t>
      </w:r>
      <w:r>
        <w:rPr>
          <w:sz w:val="20"/>
        </w:rPr>
        <w:tab/>
        <w:t>Intent-to-</w:t>
      </w:r>
      <w:proofErr w:type="spellStart"/>
      <w:r>
        <w:rPr>
          <w:sz w:val="20"/>
        </w:rPr>
        <w:t>Treat</w:t>
      </w:r>
      <w:proofErr w:type="spellEnd"/>
      <w:r>
        <w:rPr>
          <w:sz w:val="20"/>
        </w:rPr>
        <w:t xml:space="preserve"> population med sidste observation overført.</w:t>
      </w:r>
    </w:p>
    <w:p w:rsidR="00E62EE8" w:rsidRDefault="00E62EE8" w:rsidP="00E62EE8">
      <w:pPr>
        <w:pStyle w:val="Normalindrykning"/>
        <w:tabs>
          <w:tab w:val="left" w:pos="426"/>
        </w:tabs>
        <w:spacing w:after="0"/>
        <w:ind w:left="426" w:hanging="284"/>
        <w:rPr>
          <w:sz w:val="20"/>
        </w:rPr>
      </w:pPr>
      <w:r>
        <w:rPr>
          <w:sz w:val="20"/>
        </w:rPr>
        <w:t>**</w:t>
      </w:r>
      <w:r>
        <w:rPr>
          <w:sz w:val="20"/>
        </w:rPr>
        <w:tab/>
        <w:t>PUQE-scoren inkorporerer antallet af daglige opkastninger, antallet af daglige opkastningsfornemmelser og længden af den daglige kvalme i timer for en samlet score på symptomer bedømt fra 3 (ingen symptomer) til 15 (mest alvorlige). Baseline blev defineret som PUQE-scoren afsluttet ved tilmeldingsbesøget.</w:t>
      </w:r>
    </w:p>
    <w:p w:rsidR="00E62EE8" w:rsidRDefault="00E62EE8" w:rsidP="00E62EE8">
      <w:pPr>
        <w:pStyle w:val="Normalindrykning"/>
        <w:tabs>
          <w:tab w:val="left" w:pos="426"/>
        </w:tabs>
        <w:ind w:left="420" w:hanging="278"/>
        <w:rPr>
          <w:sz w:val="20"/>
        </w:rPr>
      </w:pPr>
      <w:r>
        <w:rPr>
          <w:sz w:val="20"/>
        </w:rPr>
        <w:t xml:space="preserve">§ </w:t>
      </w:r>
      <w:r>
        <w:rPr>
          <w:sz w:val="20"/>
        </w:rPr>
        <w:tab/>
        <w:t>Beregnet Cohens d-koefficient = 0,34. Forskellen i gennemsnitlig PUQE-scorereduktion betragtes som en "mellemstor effekt" ifølge Cohens d-koefficient (på 0,34), hvor &gt;0,20 = medium effekt.</w:t>
      </w:r>
    </w:p>
    <w:p w:rsidR="0040579D" w:rsidRPr="00F27F22" w:rsidRDefault="0040579D" w:rsidP="00F27F22">
      <w:pPr>
        <w:pStyle w:val="Normalindrykning"/>
        <w:tabs>
          <w:tab w:val="left" w:pos="851"/>
        </w:tabs>
        <w:spacing w:after="0"/>
        <w:ind w:left="851"/>
        <w:rPr>
          <w:sz w:val="24"/>
          <w:szCs w:val="24"/>
        </w:rPr>
      </w:pPr>
    </w:p>
    <w:p w:rsidR="0040579D" w:rsidRPr="00F27F22" w:rsidRDefault="0040579D" w:rsidP="00F27F22">
      <w:pPr>
        <w:tabs>
          <w:tab w:val="left" w:pos="851"/>
        </w:tabs>
        <w:ind w:left="851"/>
        <w:rPr>
          <w:sz w:val="24"/>
          <w:szCs w:val="24"/>
          <w:u w:val="single"/>
        </w:rPr>
      </w:pPr>
      <w:r w:rsidRPr="00F27F22">
        <w:rPr>
          <w:sz w:val="24"/>
          <w:szCs w:val="24"/>
          <w:u w:val="single"/>
        </w:rPr>
        <w:t>Pædiatrisk population</w:t>
      </w:r>
    </w:p>
    <w:p w:rsidR="0040579D" w:rsidRPr="00F27F22" w:rsidRDefault="0040579D" w:rsidP="00F27F22">
      <w:pPr>
        <w:tabs>
          <w:tab w:val="left" w:pos="851"/>
        </w:tabs>
        <w:ind w:left="851"/>
        <w:rPr>
          <w:sz w:val="24"/>
          <w:szCs w:val="24"/>
        </w:rPr>
      </w:pPr>
      <w:r w:rsidRPr="00F27F22">
        <w:rPr>
          <w:sz w:val="24"/>
          <w:szCs w:val="24"/>
        </w:rPr>
        <w:t xml:space="preserve">Det Europæiske Lægemiddelagentur har dispenseret fra kravet om at fremlægge resultaterne af studier med </w:t>
      </w:r>
      <w:proofErr w:type="spellStart"/>
      <w:r w:rsidRPr="00F27F22">
        <w:rPr>
          <w:sz w:val="24"/>
          <w:szCs w:val="24"/>
        </w:rPr>
        <w:t>Xonvea</w:t>
      </w:r>
      <w:proofErr w:type="spellEnd"/>
      <w:r w:rsidRPr="00F27F22">
        <w:rPr>
          <w:sz w:val="24"/>
          <w:szCs w:val="24"/>
        </w:rPr>
        <w:t xml:space="preserve"> i alle undergrupper af den pædiatriske population ved behandling af graviditetskvalme og -opkastning (se pkt. 4.2 for oplysninger om pædiatrisk brug).</w:t>
      </w:r>
    </w:p>
    <w:p w:rsidR="0040579D" w:rsidRPr="00F27F22" w:rsidRDefault="0040579D" w:rsidP="00F27F2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902B6" w:rsidRPr="00E847E9" w:rsidRDefault="008902B6" w:rsidP="00E847E9">
      <w:pPr>
        <w:tabs>
          <w:tab w:val="left" w:pos="851"/>
        </w:tabs>
        <w:ind w:left="851"/>
        <w:rPr>
          <w:sz w:val="24"/>
          <w:szCs w:val="24"/>
        </w:rPr>
      </w:pPr>
      <w:proofErr w:type="spellStart"/>
      <w:r w:rsidRPr="00E847E9">
        <w:rPr>
          <w:sz w:val="24"/>
          <w:szCs w:val="24"/>
        </w:rPr>
        <w:t>Xonveas</w:t>
      </w:r>
      <w:proofErr w:type="spellEnd"/>
      <w:r w:rsidRPr="00E847E9">
        <w:rPr>
          <w:sz w:val="24"/>
          <w:szCs w:val="24"/>
        </w:rPr>
        <w:t xml:space="preserve"> farmakokinetik er blevet karakteriseret hos raske ikke-gravide voksne kvinder. </w:t>
      </w:r>
    </w:p>
    <w:p w:rsidR="008902B6" w:rsidRPr="00E847E9" w:rsidRDefault="008902B6" w:rsidP="00E847E9">
      <w:pPr>
        <w:tabs>
          <w:tab w:val="left" w:pos="851"/>
        </w:tabs>
        <w:ind w:left="851"/>
        <w:rPr>
          <w:sz w:val="24"/>
          <w:szCs w:val="24"/>
        </w:rPr>
      </w:pPr>
    </w:p>
    <w:p w:rsidR="00E62EE8" w:rsidRDefault="008902B6" w:rsidP="00E62EE8">
      <w:pPr>
        <w:tabs>
          <w:tab w:val="left" w:pos="851"/>
        </w:tabs>
        <w:ind w:left="851"/>
        <w:rPr>
          <w:sz w:val="24"/>
          <w:szCs w:val="24"/>
        </w:rPr>
      </w:pPr>
      <w:r w:rsidRPr="00E847E9">
        <w:rPr>
          <w:sz w:val="24"/>
          <w:szCs w:val="24"/>
        </w:rPr>
        <w:t xml:space="preserve">En enkeltdosis (to tabletter) og multidosis (fire tabletter </w:t>
      </w:r>
      <w:r w:rsidR="00A4534A">
        <w:rPr>
          <w:sz w:val="24"/>
          <w:szCs w:val="24"/>
        </w:rPr>
        <w:t>daglig</w:t>
      </w:r>
      <w:r w:rsidRPr="00E847E9">
        <w:rPr>
          <w:sz w:val="24"/>
          <w:szCs w:val="24"/>
        </w:rPr>
        <w:t xml:space="preserve">) open-label forsøg blev udført for at vurdere </w:t>
      </w:r>
      <w:proofErr w:type="spellStart"/>
      <w:r w:rsidRPr="00E847E9">
        <w:rPr>
          <w:sz w:val="24"/>
          <w:szCs w:val="24"/>
        </w:rPr>
        <w:t>Xonveas</w:t>
      </w:r>
      <w:proofErr w:type="spellEnd"/>
      <w:r w:rsidRPr="00E847E9">
        <w:rPr>
          <w:sz w:val="24"/>
          <w:szCs w:val="24"/>
        </w:rPr>
        <w:t xml:space="preserve"> sikkerhed og </w:t>
      </w:r>
      <w:proofErr w:type="spellStart"/>
      <w:r w:rsidRPr="00E847E9">
        <w:rPr>
          <w:sz w:val="24"/>
          <w:szCs w:val="24"/>
        </w:rPr>
        <w:t>farmakokinetiske</w:t>
      </w:r>
      <w:proofErr w:type="spellEnd"/>
      <w:r w:rsidRPr="00E847E9">
        <w:rPr>
          <w:sz w:val="24"/>
          <w:szCs w:val="24"/>
        </w:rPr>
        <w:t xml:space="preserve"> profil, når det blev administreret til raske ikke-gravide voksne kvinder. Enkeltdoser (to tabletter ved sengetid) blev administreret på dag 1 og 2. Multidoser (en tablet om morgenen, en tablet om eftermiddagen og to tabletter ved sengetid) blev administreret på dag 3-18.</w:t>
      </w:r>
    </w:p>
    <w:p w:rsidR="00E62EE8" w:rsidRDefault="00E62EE8" w:rsidP="00E847E9">
      <w:pPr>
        <w:tabs>
          <w:tab w:val="left" w:pos="851"/>
        </w:tabs>
        <w:ind w:left="851"/>
        <w:rPr>
          <w:sz w:val="24"/>
          <w:szCs w:val="24"/>
        </w:rPr>
      </w:pPr>
    </w:p>
    <w:p w:rsidR="00E62EE8" w:rsidRPr="00E62EE8" w:rsidRDefault="00E62EE8" w:rsidP="00E62EE8">
      <w:pPr>
        <w:tabs>
          <w:tab w:val="left" w:pos="851"/>
        </w:tabs>
        <w:ind w:left="851"/>
        <w:rPr>
          <w:sz w:val="24"/>
          <w:szCs w:val="24"/>
          <w:u w:val="single"/>
        </w:rPr>
      </w:pPr>
      <w:r>
        <w:rPr>
          <w:sz w:val="24"/>
          <w:szCs w:val="24"/>
          <w:u w:val="single"/>
        </w:rPr>
        <w:t>Absorption</w:t>
      </w:r>
    </w:p>
    <w:p w:rsidR="008902B6" w:rsidRPr="00E847E9" w:rsidRDefault="008902B6" w:rsidP="00E62EE8">
      <w:pPr>
        <w:tabs>
          <w:tab w:val="left" w:pos="851"/>
        </w:tabs>
        <w:rPr>
          <w:sz w:val="24"/>
          <w:szCs w:val="24"/>
        </w:rPr>
      </w:pPr>
    </w:p>
    <w:p w:rsidR="008902B6" w:rsidRPr="00E847E9" w:rsidRDefault="008902B6" w:rsidP="00E847E9">
      <w:pPr>
        <w:tabs>
          <w:tab w:val="left" w:pos="851"/>
        </w:tabs>
        <w:ind w:left="851"/>
        <w:rPr>
          <w:sz w:val="24"/>
          <w:szCs w:val="24"/>
        </w:rPr>
      </w:pPr>
      <w:proofErr w:type="spellStart"/>
      <w:r w:rsidRPr="00E847E9">
        <w:rPr>
          <w:sz w:val="24"/>
          <w:szCs w:val="24"/>
        </w:rPr>
        <w:t>Doxylamin</w:t>
      </w:r>
      <w:proofErr w:type="spellEnd"/>
      <w:r w:rsidRPr="00E847E9">
        <w:rPr>
          <w:sz w:val="24"/>
          <w:szCs w:val="24"/>
        </w:rPr>
        <w:t xml:space="preserve"> og </w:t>
      </w:r>
      <w:proofErr w:type="spellStart"/>
      <w:r w:rsidRPr="00E847E9">
        <w:rPr>
          <w:sz w:val="24"/>
          <w:szCs w:val="24"/>
        </w:rPr>
        <w:t>pyridoxin</w:t>
      </w:r>
      <w:proofErr w:type="spellEnd"/>
      <w:r w:rsidRPr="00E847E9">
        <w:rPr>
          <w:sz w:val="24"/>
          <w:szCs w:val="24"/>
        </w:rPr>
        <w:t xml:space="preserve"> absorberes i mave-tarm-kanalen, hovedsageligt i jejunum.</w:t>
      </w:r>
    </w:p>
    <w:p w:rsidR="008902B6" w:rsidRPr="00E847E9" w:rsidRDefault="008902B6" w:rsidP="00E847E9">
      <w:pPr>
        <w:tabs>
          <w:tab w:val="left" w:pos="851"/>
        </w:tabs>
        <w:ind w:left="851"/>
        <w:rPr>
          <w:sz w:val="24"/>
          <w:szCs w:val="24"/>
        </w:rPr>
      </w:pPr>
    </w:p>
    <w:p w:rsidR="00E62EE8" w:rsidRDefault="00E62EE8" w:rsidP="00E62EE8">
      <w:pPr>
        <w:tabs>
          <w:tab w:val="left" w:pos="851"/>
        </w:tabs>
        <w:ind w:left="851"/>
        <w:rPr>
          <w:sz w:val="24"/>
          <w:szCs w:val="24"/>
        </w:rPr>
      </w:pPr>
      <w:proofErr w:type="spellStart"/>
      <w:r>
        <w:rPr>
          <w:sz w:val="24"/>
          <w:szCs w:val="24"/>
        </w:rPr>
        <w:t>Doxylamin</w:t>
      </w:r>
      <w:proofErr w:type="spellEnd"/>
      <w:r>
        <w:rPr>
          <w:sz w:val="24"/>
          <w:szCs w:val="24"/>
        </w:rPr>
        <w:t xml:space="preserve"> og </w:t>
      </w:r>
      <w:proofErr w:type="spellStart"/>
      <w:r>
        <w:rPr>
          <w:sz w:val="24"/>
          <w:szCs w:val="24"/>
        </w:rPr>
        <w:t>pyridoxins</w:t>
      </w:r>
      <w:proofErr w:type="spellEnd"/>
      <w:r>
        <w:rPr>
          <w:sz w:val="24"/>
          <w:szCs w:val="24"/>
        </w:rPr>
        <w:t xml:space="preserve"> maksimale plasmakoncentration (</w:t>
      </w:r>
      <w:proofErr w:type="spellStart"/>
      <w:r>
        <w:rPr>
          <w:sz w:val="24"/>
          <w:szCs w:val="24"/>
        </w:rPr>
        <w:t>C</w:t>
      </w:r>
      <w:r>
        <w:rPr>
          <w:sz w:val="24"/>
          <w:szCs w:val="24"/>
          <w:vertAlign w:val="subscript"/>
        </w:rPr>
        <w:t>max</w:t>
      </w:r>
      <w:proofErr w:type="spellEnd"/>
      <w:r>
        <w:rPr>
          <w:sz w:val="24"/>
          <w:szCs w:val="24"/>
        </w:rPr>
        <w:t>) opnås inden for henholdsvis 7,5 og 5,5 timer.</w:t>
      </w:r>
    </w:p>
    <w:p w:rsidR="00E62EE8" w:rsidRPr="00E62EE8" w:rsidRDefault="00E62EE8" w:rsidP="00E62EE8">
      <w:pPr>
        <w:tabs>
          <w:tab w:val="left" w:pos="851"/>
        </w:tabs>
        <w:ind w:left="851"/>
        <w:rPr>
          <w:sz w:val="24"/>
          <w:szCs w:val="24"/>
        </w:rPr>
      </w:pPr>
    </w:p>
    <w:p w:rsidR="00AB16A8" w:rsidRDefault="00AB16A8" w:rsidP="00AB16A8">
      <w:pPr>
        <w:pStyle w:val="Normalindrykning"/>
        <w:tabs>
          <w:tab w:val="left" w:pos="851"/>
        </w:tabs>
        <w:spacing w:after="0"/>
        <w:ind w:left="851"/>
        <w:rPr>
          <w:sz w:val="24"/>
          <w:szCs w:val="24"/>
        </w:rPr>
      </w:pPr>
      <w:r>
        <w:rPr>
          <w:sz w:val="24"/>
          <w:szCs w:val="24"/>
        </w:rPr>
        <w:t xml:space="preserve">Administration af multidoser resulterede i øgede koncentrationer af </w:t>
      </w:r>
      <w:proofErr w:type="spellStart"/>
      <w:r>
        <w:rPr>
          <w:sz w:val="24"/>
          <w:szCs w:val="24"/>
        </w:rPr>
        <w:t>doxylamin</w:t>
      </w:r>
      <w:proofErr w:type="spellEnd"/>
      <w:r>
        <w:rPr>
          <w:sz w:val="24"/>
          <w:szCs w:val="24"/>
        </w:rPr>
        <w:t xml:space="preserve"> såvel som stigninger i </w:t>
      </w:r>
      <w:proofErr w:type="spellStart"/>
      <w:r>
        <w:rPr>
          <w:sz w:val="24"/>
          <w:szCs w:val="24"/>
        </w:rPr>
        <w:t>doxylamin</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og absorption af AUC. Tiden til opnåelse af den maksimale koncentration påvirkes ikke af multidoser. Det gennemsnitlige akkumuleringsindeks er mere end 1,0, hvilket antyder, at </w:t>
      </w:r>
      <w:proofErr w:type="spellStart"/>
      <w:r>
        <w:rPr>
          <w:sz w:val="24"/>
          <w:szCs w:val="24"/>
        </w:rPr>
        <w:t>doxylamin</w:t>
      </w:r>
      <w:proofErr w:type="spellEnd"/>
      <w:r>
        <w:rPr>
          <w:sz w:val="24"/>
          <w:szCs w:val="24"/>
        </w:rPr>
        <w:t xml:space="preserve"> akkumuleres efter flere doser.</w:t>
      </w:r>
    </w:p>
    <w:p w:rsidR="00AB16A8" w:rsidRDefault="00AB16A8" w:rsidP="00AB16A8">
      <w:pPr>
        <w:pStyle w:val="Normalindrykning"/>
        <w:tabs>
          <w:tab w:val="left" w:pos="851"/>
        </w:tabs>
        <w:spacing w:after="0"/>
        <w:ind w:left="851"/>
        <w:rPr>
          <w:sz w:val="24"/>
          <w:szCs w:val="24"/>
        </w:rPr>
      </w:pPr>
    </w:p>
    <w:p w:rsidR="00AB16A8" w:rsidRDefault="00AB16A8" w:rsidP="00AB16A8">
      <w:pPr>
        <w:pStyle w:val="Normalindrykning"/>
        <w:tabs>
          <w:tab w:val="left" w:pos="851"/>
        </w:tabs>
        <w:spacing w:after="0"/>
        <w:ind w:left="851"/>
        <w:rPr>
          <w:sz w:val="24"/>
          <w:szCs w:val="24"/>
        </w:rPr>
      </w:pPr>
      <w:r>
        <w:rPr>
          <w:sz w:val="24"/>
          <w:szCs w:val="24"/>
        </w:rPr>
        <w:t xml:space="preserve">Selvom der ikke blev observeret nogen akkumulering for </w:t>
      </w:r>
      <w:proofErr w:type="spellStart"/>
      <w:r>
        <w:rPr>
          <w:sz w:val="24"/>
          <w:szCs w:val="24"/>
        </w:rPr>
        <w:t>pyridoxin</w:t>
      </w:r>
      <w:proofErr w:type="spellEnd"/>
      <w:r>
        <w:rPr>
          <w:sz w:val="24"/>
          <w:szCs w:val="24"/>
        </w:rPr>
        <w:t>, er det gennemsnitlige akkumuleringsindeks for nogle metabolitter (</w:t>
      </w:r>
      <w:proofErr w:type="spellStart"/>
      <w:r>
        <w:rPr>
          <w:sz w:val="24"/>
          <w:szCs w:val="24"/>
        </w:rPr>
        <w:t>pyridoxal</w:t>
      </w:r>
      <w:proofErr w:type="spellEnd"/>
      <w:r>
        <w:rPr>
          <w:sz w:val="24"/>
          <w:szCs w:val="24"/>
        </w:rPr>
        <w:t xml:space="preserve">, </w:t>
      </w:r>
      <w:proofErr w:type="spellStart"/>
      <w:r>
        <w:rPr>
          <w:sz w:val="24"/>
          <w:szCs w:val="24"/>
        </w:rPr>
        <w:t>pyridoxal</w:t>
      </w:r>
      <w:proofErr w:type="spellEnd"/>
      <w:r>
        <w:rPr>
          <w:sz w:val="24"/>
          <w:szCs w:val="24"/>
        </w:rPr>
        <w:t xml:space="preserve"> 5'-fosfat og </w:t>
      </w:r>
      <w:proofErr w:type="spellStart"/>
      <w:r>
        <w:rPr>
          <w:sz w:val="24"/>
          <w:szCs w:val="24"/>
        </w:rPr>
        <w:t>pyridoxamin</w:t>
      </w:r>
      <w:proofErr w:type="spellEnd"/>
      <w:r>
        <w:rPr>
          <w:sz w:val="24"/>
          <w:szCs w:val="24"/>
        </w:rPr>
        <w:t xml:space="preserve"> 5'-fosfat) mere end 1,0 efter administrering af multidoser. Tiden til opnåelse af den maksimale koncentration påvirkes ikke af multidoser.</w:t>
      </w:r>
    </w:p>
    <w:p w:rsidR="008902B6" w:rsidRDefault="008902B6" w:rsidP="00AB16A8">
      <w:pPr>
        <w:pStyle w:val="Normalindrykning"/>
        <w:tabs>
          <w:tab w:val="left" w:pos="851"/>
        </w:tabs>
        <w:spacing w:after="0"/>
        <w:ind w:left="0"/>
        <w:rPr>
          <w:szCs w:val="22"/>
        </w:rPr>
      </w:pPr>
    </w:p>
    <w:p w:rsidR="008902B6" w:rsidRDefault="008902B6" w:rsidP="00E847E9">
      <w:pPr>
        <w:pStyle w:val="Normalindrykning"/>
        <w:tabs>
          <w:tab w:val="left" w:pos="851"/>
        </w:tabs>
        <w:spacing w:after="0"/>
        <w:ind w:left="851"/>
        <w:rPr>
          <w:sz w:val="24"/>
          <w:szCs w:val="24"/>
        </w:rPr>
      </w:pPr>
      <w:r>
        <w:rPr>
          <w:sz w:val="24"/>
          <w:szCs w:val="24"/>
        </w:rPr>
        <w:t xml:space="preserve">Fødeindtagelse forsinker absorptionen af både </w:t>
      </w:r>
      <w:proofErr w:type="spellStart"/>
      <w:r>
        <w:rPr>
          <w:sz w:val="24"/>
          <w:szCs w:val="24"/>
        </w:rPr>
        <w:t>doxylamin</w:t>
      </w:r>
      <w:proofErr w:type="spellEnd"/>
      <w:r>
        <w:rPr>
          <w:sz w:val="24"/>
          <w:szCs w:val="24"/>
        </w:rPr>
        <w:t xml:space="preserve"> og </w:t>
      </w:r>
      <w:proofErr w:type="spellStart"/>
      <w:r>
        <w:rPr>
          <w:sz w:val="24"/>
          <w:szCs w:val="24"/>
        </w:rPr>
        <w:t>pyridoxin</w:t>
      </w:r>
      <w:proofErr w:type="spellEnd"/>
      <w:r>
        <w:rPr>
          <w:sz w:val="24"/>
          <w:szCs w:val="24"/>
        </w:rPr>
        <w:t xml:space="preserve">. Denne forsinkelse er forbundet med </w:t>
      </w:r>
      <w:proofErr w:type="spellStart"/>
      <w:r>
        <w:rPr>
          <w:sz w:val="24"/>
          <w:szCs w:val="24"/>
        </w:rPr>
        <w:t>doxylamins</w:t>
      </w:r>
      <w:proofErr w:type="spellEnd"/>
      <w:r>
        <w:rPr>
          <w:sz w:val="24"/>
          <w:szCs w:val="24"/>
        </w:rPr>
        <w:t xml:space="preserve"> lavere peak-koncentration, men absorptionsgraden påvirkes ikke</w:t>
      </w:r>
      <w:r w:rsidR="00AB16A8">
        <w:rPr>
          <w:sz w:val="24"/>
          <w:szCs w:val="24"/>
        </w:rPr>
        <w:t>.</w:t>
      </w:r>
    </w:p>
    <w:p w:rsidR="008902B6" w:rsidRDefault="008902B6" w:rsidP="00E847E9">
      <w:pPr>
        <w:pStyle w:val="Normalindrykning"/>
        <w:tabs>
          <w:tab w:val="left" w:pos="851"/>
        </w:tabs>
        <w:spacing w:after="0"/>
        <w:ind w:left="851"/>
        <w:rPr>
          <w:sz w:val="24"/>
          <w:szCs w:val="24"/>
        </w:rPr>
      </w:pPr>
    </w:p>
    <w:p w:rsidR="008902B6" w:rsidRDefault="00AB16A8" w:rsidP="00E847E9">
      <w:pPr>
        <w:pStyle w:val="Normalindrykning"/>
        <w:tabs>
          <w:tab w:val="left" w:pos="851"/>
        </w:tabs>
        <w:spacing w:after="0"/>
        <w:ind w:left="851"/>
        <w:rPr>
          <w:sz w:val="24"/>
          <w:szCs w:val="24"/>
        </w:rPr>
      </w:pPr>
      <w:r>
        <w:rPr>
          <w:sz w:val="24"/>
          <w:szCs w:val="24"/>
        </w:rPr>
        <w:t xml:space="preserve">Virkningen af fødeindtagelse på peak-koncentrationen og absorptionsgraden af </w:t>
      </w:r>
      <w:proofErr w:type="spellStart"/>
      <w:r>
        <w:rPr>
          <w:sz w:val="24"/>
          <w:szCs w:val="24"/>
        </w:rPr>
        <w:t>pyridoxinkomponenten</w:t>
      </w:r>
      <w:proofErr w:type="spellEnd"/>
      <w:r>
        <w:rPr>
          <w:sz w:val="24"/>
          <w:szCs w:val="24"/>
        </w:rPr>
        <w:t xml:space="preserve"> er mere kompleks, fordi dens metabolitter også bidrager til den biologiske aktivitet. </w:t>
      </w:r>
      <w:r w:rsidR="008902B6">
        <w:rPr>
          <w:sz w:val="24"/>
          <w:szCs w:val="24"/>
        </w:rPr>
        <w:t xml:space="preserve">Fødeindtagelse reducerer biotilgængeligheden af </w:t>
      </w:r>
      <w:proofErr w:type="spellStart"/>
      <w:r w:rsidR="008902B6">
        <w:rPr>
          <w:sz w:val="24"/>
          <w:szCs w:val="24"/>
        </w:rPr>
        <w:t>pyridoxin</w:t>
      </w:r>
      <w:proofErr w:type="spellEnd"/>
      <w:r w:rsidR="008902B6">
        <w:rPr>
          <w:sz w:val="24"/>
          <w:szCs w:val="24"/>
        </w:rPr>
        <w:t xml:space="preserve"> og </w:t>
      </w:r>
      <w:proofErr w:type="spellStart"/>
      <w:r w:rsidR="008902B6">
        <w:rPr>
          <w:sz w:val="24"/>
          <w:szCs w:val="24"/>
        </w:rPr>
        <w:t>pyridoxal</w:t>
      </w:r>
      <w:proofErr w:type="spellEnd"/>
      <w:r w:rsidR="008902B6">
        <w:rPr>
          <w:sz w:val="24"/>
          <w:szCs w:val="24"/>
        </w:rPr>
        <w:t xml:space="preserve"> betydeligt, hvilket sænker deres </w:t>
      </w:r>
      <w:proofErr w:type="spellStart"/>
      <w:r w:rsidR="008902B6">
        <w:rPr>
          <w:sz w:val="24"/>
          <w:szCs w:val="24"/>
        </w:rPr>
        <w:t>C</w:t>
      </w:r>
      <w:r w:rsidR="008902B6">
        <w:rPr>
          <w:sz w:val="24"/>
          <w:szCs w:val="24"/>
          <w:vertAlign w:val="subscript"/>
        </w:rPr>
        <w:t>max</w:t>
      </w:r>
      <w:proofErr w:type="spellEnd"/>
      <w:r w:rsidR="008902B6">
        <w:rPr>
          <w:sz w:val="24"/>
          <w:szCs w:val="24"/>
        </w:rPr>
        <w:t xml:space="preserve"> og AUC med ca. 50 % sammenlignet med fastende betingelser. Fødeindtagelse øger i modsætning hertil </w:t>
      </w:r>
      <w:proofErr w:type="spellStart"/>
      <w:r w:rsidR="008902B6">
        <w:rPr>
          <w:sz w:val="24"/>
          <w:szCs w:val="24"/>
        </w:rPr>
        <w:t>pyridoxal</w:t>
      </w:r>
      <w:proofErr w:type="spellEnd"/>
      <w:r w:rsidR="008902B6">
        <w:rPr>
          <w:sz w:val="24"/>
          <w:szCs w:val="24"/>
        </w:rPr>
        <w:t xml:space="preserve"> 5'-fosfat </w:t>
      </w:r>
      <w:proofErr w:type="spellStart"/>
      <w:r w:rsidR="008902B6">
        <w:rPr>
          <w:sz w:val="24"/>
          <w:szCs w:val="24"/>
        </w:rPr>
        <w:t>C</w:t>
      </w:r>
      <w:r w:rsidR="008902B6">
        <w:rPr>
          <w:sz w:val="24"/>
          <w:szCs w:val="24"/>
          <w:vertAlign w:val="subscript"/>
        </w:rPr>
        <w:t>max</w:t>
      </w:r>
      <w:proofErr w:type="spellEnd"/>
      <w:r w:rsidR="008902B6">
        <w:rPr>
          <w:sz w:val="24"/>
          <w:szCs w:val="24"/>
        </w:rPr>
        <w:t xml:space="preserve"> en smule og absorptionsgraden. Hvad angår </w:t>
      </w:r>
      <w:proofErr w:type="spellStart"/>
      <w:r w:rsidR="008902B6">
        <w:rPr>
          <w:sz w:val="24"/>
          <w:szCs w:val="24"/>
        </w:rPr>
        <w:t>pyridoxamin</w:t>
      </w:r>
      <w:proofErr w:type="spellEnd"/>
      <w:r w:rsidR="008902B6">
        <w:rPr>
          <w:sz w:val="24"/>
          <w:szCs w:val="24"/>
        </w:rPr>
        <w:t xml:space="preserve"> og pyridoxamin-5-fosfat, synes hastigheden og omfanget af absorption at falde ved indtagelse af mad.</w:t>
      </w:r>
    </w:p>
    <w:p w:rsidR="00AB16A8" w:rsidRDefault="00AB16A8" w:rsidP="00AB16A8">
      <w:pPr>
        <w:pStyle w:val="Normalindrykning"/>
        <w:tabs>
          <w:tab w:val="left" w:pos="851"/>
        </w:tabs>
        <w:spacing w:after="0"/>
        <w:ind w:left="851"/>
        <w:rPr>
          <w:sz w:val="24"/>
          <w:szCs w:val="24"/>
          <w:u w:val="single"/>
        </w:rPr>
      </w:pPr>
    </w:p>
    <w:p w:rsidR="00AB16A8" w:rsidRDefault="00AB16A8" w:rsidP="00AB16A8">
      <w:pPr>
        <w:pStyle w:val="Normalindrykning"/>
        <w:tabs>
          <w:tab w:val="left" w:pos="851"/>
        </w:tabs>
        <w:spacing w:after="0"/>
        <w:ind w:left="851"/>
        <w:rPr>
          <w:sz w:val="24"/>
          <w:szCs w:val="24"/>
          <w:u w:val="single"/>
        </w:rPr>
      </w:pPr>
      <w:r>
        <w:rPr>
          <w:sz w:val="24"/>
          <w:szCs w:val="24"/>
          <w:u w:val="single"/>
        </w:rPr>
        <w:t>Fordeling</w:t>
      </w:r>
    </w:p>
    <w:p w:rsidR="00AB16A8" w:rsidRDefault="00AB16A8" w:rsidP="00AB16A8">
      <w:pPr>
        <w:pStyle w:val="Normalindrykning"/>
        <w:tabs>
          <w:tab w:val="left" w:pos="851"/>
        </w:tabs>
        <w:spacing w:after="0"/>
        <w:ind w:left="851"/>
        <w:rPr>
          <w:sz w:val="24"/>
          <w:szCs w:val="24"/>
        </w:rPr>
      </w:pPr>
      <w:proofErr w:type="spellStart"/>
      <w:r>
        <w:rPr>
          <w:sz w:val="24"/>
          <w:szCs w:val="24"/>
        </w:rPr>
        <w:t>Doxylamin</w:t>
      </w:r>
      <w:proofErr w:type="spellEnd"/>
      <w:r>
        <w:rPr>
          <w:sz w:val="24"/>
          <w:szCs w:val="24"/>
        </w:rPr>
        <w:t xml:space="preserve"> har en lav proteinbinding (fraktion ubundet på 28,7 % i rotte), høj permeabilitet og det er ikke et substrat for P-</w:t>
      </w:r>
      <w:proofErr w:type="spellStart"/>
      <w:r>
        <w:rPr>
          <w:sz w:val="24"/>
          <w:szCs w:val="24"/>
        </w:rPr>
        <w:t>glycoprotein</w:t>
      </w:r>
      <w:proofErr w:type="spellEnd"/>
      <w:r>
        <w:rPr>
          <w:sz w:val="24"/>
          <w:szCs w:val="24"/>
        </w:rPr>
        <w:t xml:space="preserve">. Disse egenskaber fører til en bred fordeling i væv. </w:t>
      </w:r>
      <w:proofErr w:type="spellStart"/>
      <w:r>
        <w:rPr>
          <w:sz w:val="24"/>
          <w:szCs w:val="24"/>
        </w:rPr>
        <w:t>Doxylamin</w:t>
      </w:r>
      <w:proofErr w:type="spellEnd"/>
      <w:r>
        <w:rPr>
          <w:sz w:val="24"/>
          <w:szCs w:val="24"/>
        </w:rPr>
        <w:t xml:space="preserve"> krydser blod-hjerne-barrieren og har en høj affinitet for H1-receptorer i hjernen.</w:t>
      </w:r>
    </w:p>
    <w:p w:rsidR="00AB16A8" w:rsidRDefault="00AB16A8" w:rsidP="00AB16A8">
      <w:pPr>
        <w:pStyle w:val="Normalindrykning"/>
        <w:tabs>
          <w:tab w:val="left" w:pos="851"/>
        </w:tabs>
        <w:spacing w:after="0"/>
        <w:ind w:left="851"/>
        <w:rPr>
          <w:sz w:val="24"/>
          <w:szCs w:val="24"/>
        </w:rPr>
      </w:pPr>
    </w:p>
    <w:p w:rsidR="00AB16A8" w:rsidRDefault="00AB16A8" w:rsidP="00AB16A8">
      <w:pPr>
        <w:pStyle w:val="Normalindrykning"/>
        <w:tabs>
          <w:tab w:val="left" w:pos="851"/>
        </w:tabs>
        <w:spacing w:after="0"/>
        <w:ind w:left="851"/>
        <w:rPr>
          <w:sz w:val="24"/>
          <w:szCs w:val="24"/>
        </w:rPr>
      </w:pPr>
      <w:proofErr w:type="spellStart"/>
      <w:r>
        <w:rPr>
          <w:sz w:val="24"/>
          <w:szCs w:val="24"/>
        </w:rPr>
        <w:t>Pyridoxin</w:t>
      </w:r>
      <w:proofErr w:type="spellEnd"/>
      <w:r>
        <w:rPr>
          <w:sz w:val="24"/>
          <w:szCs w:val="24"/>
        </w:rPr>
        <w:t xml:space="preserve"> er stærkt proteinbundet, primært til albumin. Dens metabolitter </w:t>
      </w:r>
      <w:proofErr w:type="spellStart"/>
      <w:r>
        <w:rPr>
          <w:sz w:val="24"/>
          <w:szCs w:val="24"/>
        </w:rPr>
        <w:t>pyridoxal</w:t>
      </w:r>
      <w:proofErr w:type="spellEnd"/>
      <w:r>
        <w:rPr>
          <w:sz w:val="24"/>
          <w:szCs w:val="24"/>
        </w:rPr>
        <w:t xml:space="preserve"> og </w:t>
      </w:r>
      <w:proofErr w:type="spellStart"/>
      <w:r>
        <w:rPr>
          <w:sz w:val="24"/>
          <w:szCs w:val="24"/>
        </w:rPr>
        <w:t>pyridoxal</w:t>
      </w:r>
      <w:proofErr w:type="spellEnd"/>
      <w:r>
        <w:rPr>
          <w:sz w:val="24"/>
          <w:szCs w:val="24"/>
        </w:rPr>
        <w:t xml:space="preserve"> 5'-fosfat er henholdsvis delvist og næsten fuldstændigt bundet til albumin i plasma. Dens vigtigste aktive metabolit </w:t>
      </w:r>
      <w:proofErr w:type="spellStart"/>
      <w:r>
        <w:rPr>
          <w:sz w:val="24"/>
          <w:szCs w:val="24"/>
        </w:rPr>
        <w:t>pyridoxal</w:t>
      </w:r>
      <w:proofErr w:type="spellEnd"/>
      <w:r>
        <w:rPr>
          <w:sz w:val="24"/>
          <w:szCs w:val="24"/>
        </w:rPr>
        <w:t xml:space="preserve"> 5'-fosfat (PLP) tegner sig for mindst 60 % af cirkulerende vitamin B</w:t>
      </w:r>
      <w:r>
        <w:rPr>
          <w:sz w:val="24"/>
          <w:szCs w:val="24"/>
          <w:vertAlign w:val="subscript"/>
        </w:rPr>
        <w:t xml:space="preserve">6 </w:t>
      </w:r>
      <w:r>
        <w:rPr>
          <w:sz w:val="24"/>
          <w:szCs w:val="24"/>
        </w:rPr>
        <w:t xml:space="preserve">koncentrationer. </w:t>
      </w:r>
    </w:p>
    <w:p w:rsidR="00AB16A8" w:rsidRDefault="00AB16A8" w:rsidP="00AB16A8">
      <w:pPr>
        <w:pStyle w:val="Normalindrykning"/>
        <w:tabs>
          <w:tab w:val="left" w:pos="851"/>
        </w:tabs>
        <w:spacing w:after="0"/>
        <w:ind w:left="851"/>
        <w:rPr>
          <w:sz w:val="24"/>
          <w:szCs w:val="24"/>
          <w:u w:val="single"/>
        </w:rPr>
      </w:pPr>
    </w:p>
    <w:p w:rsidR="00AB16A8" w:rsidRDefault="00AB16A8" w:rsidP="00AB16A8">
      <w:pPr>
        <w:pStyle w:val="Normalindrykning"/>
        <w:tabs>
          <w:tab w:val="left" w:pos="851"/>
        </w:tabs>
        <w:spacing w:after="0"/>
        <w:ind w:left="851"/>
        <w:rPr>
          <w:sz w:val="24"/>
          <w:szCs w:val="24"/>
          <w:u w:val="single"/>
        </w:rPr>
      </w:pPr>
      <w:r>
        <w:rPr>
          <w:sz w:val="24"/>
          <w:szCs w:val="24"/>
          <w:u w:val="single"/>
        </w:rPr>
        <w:t>Biotransformation</w:t>
      </w:r>
    </w:p>
    <w:p w:rsidR="00AB16A8" w:rsidRDefault="00AB16A8" w:rsidP="00AB16A8">
      <w:pPr>
        <w:pStyle w:val="Normalindrykning"/>
        <w:tabs>
          <w:tab w:val="left" w:pos="851"/>
        </w:tabs>
        <w:spacing w:after="0"/>
        <w:ind w:left="851"/>
        <w:rPr>
          <w:sz w:val="24"/>
          <w:szCs w:val="24"/>
        </w:rPr>
      </w:pPr>
      <w:proofErr w:type="spellStart"/>
      <w:r>
        <w:rPr>
          <w:sz w:val="24"/>
          <w:szCs w:val="24"/>
        </w:rPr>
        <w:t>Doxylamin</w:t>
      </w:r>
      <w:proofErr w:type="spellEnd"/>
      <w:r>
        <w:rPr>
          <w:sz w:val="24"/>
          <w:szCs w:val="24"/>
        </w:rPr>
        <w:t xml:space="preserve"> biotransformeres i leveren primært af </w:t>
      </w:r>
      <w:proofErr w:type="spellStart"/>
      <w:r>
        <w:rPr>
          <w:sz w:val="24"/>
          <w:szCs w:val="24"/>
        </w:rPr>
        <w:t>cytochrom</w:t>
      </w:r>
      <w:proofErr w:type="spellEnd"/>
      <w:r>
        <w:rPr>
          <w:sz w:val="24"/>
          <w:szCs w:val="24"/>
        </w:rPr>
        <w:t xml:space="preserve"> P450-enzymer CYP2D6, CYP1A2 og CYP2C9, til dets primære metabolitter N-</w:t>
      </w:r>
      <w:proofErr w:type="spellStart"/>
      <w:r>
        <w:rPr>
          <w:sz w:val="24"/>
          <w:szCs w:val="24"/>
        </w:rPr>
        <w:t>desmethyl</w:t>
      </w:r>
      <w:proofErr w:type="spellEnd"/>
      <w:r>
        <w:rPr>
          <w:sz w:val="24"/>
          <w:szCs w:val="24"/>
        </w:rPr>
        <w:t>-</w:t>
      </w:r>
      <w:proofErr w:type="spellStart"/>
      <w:r>
        <w:rPr>
          <w:sz w:val="24"/>
          <w:szCs w:val="24"/>
        </w:rPr>
        <w:t>doxylamin</w:t>
      </w:r>
      <w:proofErr w:type="spellEnd"/>
      <w:r>
        <w:rPr>
          <w:sz w:val="24"/>
          <w:szCs w:val="24"/>
        </w:rPr>
        <w:t xml:space="preserve"> og </w:t>
      </w:r>
      <w:proofErr w:type="gramStart"/>
      <w:r>
        <w:rPr>
          <w:sz w:val="24"/>
          <w:szCs w:val="24"/>
        </w:rPr>
        <w:t>N,N</w:t>
      </w:r>
      <w:proofErr w:type="gramEnd"/>
      <w:r>
        <w:rPr>
          <w:sz w:val="24"/>
          <w:szCs w:val="24"/>
        </w:rPr>
        <w:t>-</w:t>
      </w:r>
      <w:proofErr w:type="spellStart"/>
      <w:r>
        <w:rPr>
          <w:sz w:val="24"/>
          <w:szCs w:val="24"/>
        </w:rPr>
        <w:t>didesmethyldoxylamin</w:t>
      </w:r>
      <w:proofErr w:type="spellEnd"/>
      <w:r>
        <w:rPr>
          <w:sz w:val="24"/>
          <w:szCs w:val="24"/>
        </w:rPr>
        <w:t>.</w:t>
      </w:r>
    </w:p>
    <w:p w:rsidR="00AB16A8" w:rsidRDefault="00AB16A8" w:rsidP="00AB16A8">
      <w:pPr>
        <w:pStyle w:val="Normalindrykning"/>
        <w:tabs>
          <w:tab w:val="left" w:pos="851"/>
        </w:tabs>
        <w:spacing w:after="0"/>
        <w:ind w:left="851"/>
        <w:rPr>
          <w:sz w:val="24"/>
          <w:szCs w:val="24"/>
        </w:rPr>
      </w:pPr>
    </w:p>
    <w:p w:rsidR="00AB16A8" w:rsidRDefault="00AB16A8" w:rsidP="00AB16A8">
      <w:pPr>
        <w:pStyle w:val="Normalindrykning"/>
        <w:tabs>
          <w:tab w:val="left" w:pos="851"/>
        </w:tabs>
        <w:spacing w:after="0"/>
        <w:ind w:left="851"/>
        <w:rPr>
          <w:sz w:val="24"/>
          <w:szCs w:val="24"/>
        </w:rPr>
      </w:pPr>
      <w:proofErr w:type="spellStart"/>
      <w:r>
        <w:rPr>
          <w:sz w:val="24"/>
          <w:szCs w:val="24"/>
        </w:rPr>
        <w:t>Pyridoxin</w:t>
      </w:r>
      <w:proofErr w:type="spellEnd"/>
      <w:r>
        <w:rPr>
          <w:sz w:val="24"/>
          <w:szCs w:val="24"/>
        </w:rPr>
        <w:t xml:space="preserve"> er et pro-drug, der primært </w:t>
      </w:r>
      <w:proofErr w:type="spellStart"/>
      <w:r>
        <w:rPr>
          <w:sz w:val="24"/>
          <w:szCs w:val="24"/>
        </w:rPr>
        <w:t>metaboliseres</w:t>
      </w:r>
      <w:proofErr w:type="spellEnd"/>
      <w:r>
        <w:rPr>
          <w:sz w:val="24"/>
          <w:szCs w:val="24"/>
        </w:rPr>
        <w:t xml:space="preserve"> i leveren med en høj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-effekt. </w:t>
      </w:r>
      <w:proofErr w:type="spellStart"/>
      <w:r>
        <w:rPr>
          <w:sz w:val="24"/>
          <w:szCs w:val="24"/>
        </w:rPr>
        <w:t>Pyridoxins</w:t>
      </w:r>
      <w:proofErr w:type="spellEnd"/>
      <w:r>
        <w:rPr>
          <w:sz w:val="24"/>
          <w:szCs w:val="24"/>
        </w:rPr>
        <w:t xml:space="preserve"> metaboliske skema er komplekst med dannelse af primære og sekundære metabolitter sammen med </w:t>
      </w:r>
      <w:proofErr w:type="spellStart"/>
      <w:r>
        <w:rPr>
          <w:sz w:val="24"/>
          <w:szCs w:val="24"/>
        </w:rPr>
        <w:t>interkonvertering</w:t>
      </w:r>
      <w:proofErr w:type="spellEnd"/>
      <w:r>
        <w:rPr>
          <w:sz w:val="24"/>
          <w:szCs w:val="24"/>
        </w:rPr>
        <w:t xml:space="preserve"> tilbage til </w:t>
      </w:r>
      <w:proofErr w:type="spellStart"/>
      <w:r>
        <w:rPr>
          <w:sz w:val="24"/>
          <w:szCs w:val="24"/>
        </w:rPr>
        <w:t>pyridoxin</w:t>
      </w:r>
      <w:proofErr w:type="spellEnd"/>
      <w:r>
        <w:rPr>
          <w:sz w:val="24"/>
          <w:szCs w:val="24"/>
        </w:rPr>
        <w:t xml:space="preserve">. </w:t>
      </w:r>
      <w:proofErr w:type="spellStart"/>
      <w:r>
        <w:rPr>
          <w:sz w:val="24"/>
          <w:szCs w:val="24"/>
        </w:rPr>
        <w:t>Pyridoxin</w:t>
      </w:r>
      <w:proofErr w:type="spellEnd"/>
      <w:r>
        <w:rPr>
          <w:sz w:val="24"/>
          <w:szCs w:val="24"/>
        </w:rPr>
        <w:t xml:space="preserve"> og dets metabolitter, </w:t>
      </w:r>
      <w:proofErr w:type="spellStart"/>
      <w:r>
        <w:rPr>
          <w:sz w:val="24"/>
          <w:szCs w:val="24"/>
        </w:rPr>
        <w:t>pyridoxal</w:t>
      </w:r>
      <w:proofErr w:type="spellEnd"/>
      <w:r>
        <w:rPr>
          <w:sz w:val="24"/>
          <w:szCs w:val="24"/>
        </w:rPr>
        <w:t xml:space="preserve">, </w:t>
      </w:r>
      <w:proofErr w:type="spellStart"/>
      <w:r>
        <w:rPr>
          <w:sz w:val="24"/>
          <w:szCs w:val="24"/>
        </w:rPr>
        <w:t>pyridoxamin</w:t>
      </w:r>
      <w:proofErr w:type="spellEnd"/>
      <w:r>
        <w:rPr>
          <w:sz w:val="24"/>
          <w:szCs w:val="24"/>
        </w:rPr>
        <w:t xml:space="preserve">, </w:t>
      </w:r>
      <w:proofErr w:type="spellStart"/>
      <w:r>
        <w:rPr>
          <w:sz w:val="24"/>
          <w:szCs w:val="24"/>
        </w:rPr>
        <w:t>pyridoxal</w:t>
      </w:r>
      <w:proofErr w:type="spellEnd"/>
      <w:r>
        <w:rPr>
          <w:sz w:val="24"/>
          <w:szCs w:val="24"/>
        </w:rPr>
        <w:t xml:space="preserve"> 5'-fosfat og </w:t>
      </w:r>
      <w:proofErr w:type="spellStart"/>
      <w:r>
        <w:rPr>
          <w:sz w:val="24"/>
          <w:szCs w:val="24"/>
        </w:rPr>
        <w:t>pyridoxamin</w:t>
      </w:r>
      <w:proofErr w:type="spellEnd"/>
      <w:r>
        <w:rPr>
          <w:sz w:val="24"/>
          <w:szCs w:val="24"/>
        </w:rPr>
        <w:t xml:space="preserve"> 5'-fosfat bidrager til den biologiske aktivitet.</w:t>
      </w:r>
    </w:p>
    <w:p w:rsidR="00AB16A8" w:rsidRPr="00AB16A8" w:rsidRDefault="00AB16A8" w:rsidP="00AB16A8">
      <w:pPr>
        <w:pStyle w:val="Normalindrykning"/>
        <w:tabs>
          <w:tab w:val="left" w:pos="851"/>
        </w:tabs>
        <w:spacing w:after="0"/>
        <w:ind w:left="851"/>
        <w:rPr>
          <w:sz w:val="24"/>
          <w:szCs w:val="24"/>
        </w:rPr>
      </w:pPr>
    </w:p>
    <w:p w:rsidR="00AB16A8" w:rsidRDefault="00AB16A8" w:rsidP="00AB16A8">
      <w:pPr>
        <w:pStyle w:val="Normalindrykning"/>
        <w:keepNext/>
        <w:keepLines/>
        <w:tabs>
          <w:tab w:val="left" w:pos="851"/>
        </w:tabs>
        <w:spacing w:after="0"/>
        <w:ind w:left="851"/>
        <w:rPr>
          <w:sz w:val="24"/>
          <w:szCs w:val="24"/>
          <w:u w:val="single"/>
        </w:rPr>
      </w:pPr>
      <w:r>
        <w:rPr>
          <w:sz w:val="24"/>
          <w:szCs w:val="24"/>
          <w:u w:val="single"/>
        </w:rPr>
        <w:lastRenderedPageBreak/>
        <w:t>Elimination</w:t>
      </w:r>
    </w:p>
    <w:p w:rsidR="00AB16A8" w:rsidRDefault="00AB16A8" w:rsidP="00AB16A8">
      <w:pPr>
        <w:pStyle w:val="Normalindrykning"/>
        <w:keepNext/>
        <w:keepLines/>
        <w:tabs>
          <w:tab w:val="left" w:pos="851"/>
        </w:tabs>
        <w:spacing w:after="0"/>
        <w:ind w:left="851"/>
        <w:rPr>
          <w:sz w:val="24"/>
          <w:szCs w:val="24"/>
        </w:rPr>
      </w:pPr>
      <w:r>
        <w:rPr>
          <w:sz w:val="24"/>
          <w:szCs w:val="24"/>
        </w:rPr>
        <w:t xml:space="preserve">De primære metabolitter af </w:t>
      </w:r>
      <w:proofErr w:type="spellStart"/>
      <w:r>
        <w:rPr>
          <w:sz w:val="24"/>
          <w:szCs w:val="24"/>
        </w:rPr>
        <w:t>doxylamin</w:t>
      </w:r>
      <w:proofErr w:type="spellEnd"/>
      <w:r>
        <w:rPr>
          <w:sz w:val="24"/>
          <w:szCs w:val="24"/>
        </w:rPr>
        <w:t>, N-</w:t>
      </w:r>
      <w:proofErr w:type="spellStart"/>
      <w:r>
        <w:rPr>
          <w:sz w:val="24"/>
          <w:szCs w:val="24"/>
        </w:rPr>
        <w:t>desmethyl</w:t>
      </w:r>
      <w:proofErr w:type="spellEnd"/>
      <w:r>
        <w:rPr>
          <w:sz w:val="24"/>
          <w:szCs w:val="24"/>
        </w:rPr>
        <w:t>-</w:t>
      </w:r>
      <w:proofErr w:type="spellStart"/>
      <w:r>
        <w:rPr>
          <w:sz w:val="24"/>
          <w:szCs w:val="24"/>
        </w:rPr>
        <w:t>doxylamin</w:t>
      </w:r>
      <w:proofErr w:type="spellEnd"/>
      <w:r>
        <w:rPr>
          <w:sz w:val="24"/>
          <w:szCs w:val="24"/>
        </w:rPr>
        <w:t xml:space="preserve"> og </w:t>
      </w:r>
      <w:proofErr w:type="gramStart"/>
      <w:r>
        <w:rPr>
          <w:sz w:val="24"/>
          <w:szCs w:val="24"/>
        </w:rPr>
        <w:t>N,N</w:t>
      </w:r>
      <w:proofErr w:type="gramEnd"/>
      <w:r>
        <w:rPr>
          <w:sz w:val="24"/>
          <w:szCs w:val="24"/>
        </w:rPr>
        <w:t>-</w:t>
      </w:r>
      <w:proofErr w:type="spellStart"/>
      <w:r>
        <w:rPr>
          <w:sz w:val="24"/>
          <w:szCs w:val="24"/>
        </w:rPr>
        <w:t>didesmethyldoxylamin</w:t>
      </w:r>
      <w:proofErr w:type="spellEnd"/>
      <w:r>
        <w:rPr>
          <w:sz w:val="24"/>
          <w:szCs w:val="24"/>
        </w:rPr>
        <w:t xml:space="preserve"> udskilles i nyrerne.</w:t>
      </w:r>
    </w:p>
    <w:p w:rsidR="00AB16A8" w:rsidRDefault="00AB16A8" w:rsidP="00AB16A8">
      <w:pPr>
        <w:pStyle w:val="Normalindrykning"/>
        <w:tabs>
          <w:tab w:val="left" w:pos="851"/>
        </w:tabs>
        <w:spacing w:after="0"/>
        <w:ind w:left="851"/>
        <w:rPr>
          <w:sz w:val="24"/>
          <w:szCs w:val="24"/>
        </w:rPr>
      </w:pPr>
    </w:p>
    <w:p w:rsidR="00AB16A8" w:rsidRDefault="00AB16A8" w:rsidP="00AB16A8">
      <w:pPr>
        <w:pStyle w:val="Normalindrykning"/>
        <w:tabs>
          <w:tab w:val="left" w:pos="851"/>
        </w:tabs>
        <w:spacing w:after="0"/>
        <w:ind w:left="851"/>
        <w:rPr>
          <w:sz w:val="24"/>
          <w:szCs w:val="24"/>
        </w:rPr>
      </w:pPr>
      <w:proofErr w:type="spellStart"/>
      <w:r>
        <w:rPr>
          <w:sz w:val="24"/>
          <w:szCs w:val="24"/>
        </w:rPr>
        <w:t>Renal</w:t>
      </w:r>
      <w:proofErr w:type="spellEnd"/>
      <w:r>
        <w:rPr>
          <w:sz w:val="24"/>
          <w:szCs w:val="24"/>
        </w:rPr>
        <w:t xml:space="preserve"> elimination er også hovedvejen for udskillelse af derivater af </w:t>
      </w:r>
      <w:proofErr w:type="spellStart"/>
      <w:r>
        <w:rPr>
          <w:sz w:val="24"/>
          <w:szCs w:val="24"/>
        </w:rPr>
        <w:t>pyridoxinmetabolisme</w:t>
      </w:r>
      <w:proofErr w:type="spellEnd"/>
      <w:r>
        <w:rPr>
          <w:sz w:val="24"/>
          <w:szCs w:val="24"/>
        </w:rPr>
        <w:t xml:space="preserve"> (indberettet til at være 74 % af en 100 mg intravenøs dosis </w:t>
      </w:r>
      <w:proofErr w:type="spellStart"/>
      <w:r>
        <w:rPr>
          <w:sz w:val="24"/>
          <w:szCs w:val="24"/>
        </w:rPr>
        <w:t>pyridoxin</w:t>
      </w:r>
      <w:proofErr w:type="spellEnd"/>
      <w:r>
        <w:rPr>
          <w:sz w:val="24"/>
          <w:szCs w:val="24"/>
        </w:rPr>
        <w:t>), hovedsageligt som den inaktive form, 4-pyridoxinsyre.</w:t>
      </w:r>
    </w:p>
    <w:p w:rsidR="00AB16A8" w:rsidRDefault="00AB16A8" w:rsidP="00AB16A8">
      <w:pPr>
        <w:pStyle w:val="Normalindrykning"/>
        <w:tabs>
          <w:tab w:val="left" w:pos="851"/>
        </w:tabs>
        <w:spacing w:after="0"/>
        <w:ind w:left="851"/>
        <w:rPr>
          <w:sz w:val="24"/>
          <w:szCs w:val="24"/>
        </w:rPr>
      </w:pPr>
    </w:p>
    <w:p w:rsidR="00AB16A8" w:rsidRDefault="00AB16A8" w:rsidP="00AB16A8">
      <w:pPr>
        <w:pStyle w:val="Normalindrykning"/>
        <w:tabs>
          <w:tab w:val="left" w:pos="851"/>
        </w:tabs>
        <w:spacing w:after="0"/>
        <w:ind w:left="851"/>
        <w:rPr>
          <w:sz w:val="24"/>
          <w:szCs w:val="24"/>
        </w:rPr>
      </w:pPr>
      <w:proofErr w:type="spellStart"/>
      <w:r>
        <w:rPr>
          <w:sz w:val="24"/>
          <w:szCs w:val="24"/>
        </w:rPr>
        <w:t>Doxylamins</w:t>
      </w:r>
      <w:proofErr w:type="spellEnd"/>
      <w:r>
        <w:rPr>
          <w:sz w:val="24"/>
          <w:szCs w:val="24"/>
        </w:rPr>
        <w:t xml:space="preserve"> og </w:t>
      </w:r>
      <w:proofErr w:type="spellStart"/>
      <w:r>
        <w:rPr>
          <w:sz w:val="24"/>
          <w:szCs w:val="24"/>
        </w:rPr>
        <w:t>pyridoxins</w:t>
      </w:r>
      <w:proofErr w:type="spellEnd"/>
      <w:r>
        <w:rPr>
          <w:sz w:val="24"/>
          <w:szCs w:val="24"/>
        </w:rPr>
        <w:t xml:space="preserve"> terminale eliminationshalveringstid opnås inden for henholdsvis 12.6 og 0,4 timer.</w:t>
      </w:r>
    </w:p>
    <w:p w:rsidR="008902B6" w:rsidRPr="00E847E9" w:rsidRDefault="008902B6" w:rsidP="00AB16A8">
      <w:pPr>
        <w:tabs>
          <w:tab w:val="left" w:pos="851"/>
          <w:tab w:val="left" w:pos="1260"/>
        </w:tabs>
        <w:rPr>
          <w:i/>
          <w:iCs/>
          <w:sz w:val="24"/>
          <w:szCs w:val="24"/>
        </w:rPr>
      </w:pPr>
    </w:p>
    <w:p w:rsidR="00EF0951" w:rsidRDefault="008902B6" w:rsidP="00E847E9">
      <w:pPr>
        <w:tabs>
          <w:tab w:val="left" w:pos="851"/>
        </w:tabs>
        <w:ind w:left="851" w:right="6"/>
        <w:rPr>
          <w:i/>
          <w:iCs/>
          <w:sz w:val="24"/>
          <w:szCs w:val="24"/>
        </w:rPr>
      </w:pPr>
      <w:r w:rsidRPr="00E847E9">
        <w:rPr>
          <w:i/>
          <w:iCs/>
          <w:sz w:val="24"/>
          <w:szCs w:val="24"/>
        </w:rPr>
        <w:t>Nedsat leverfunktion</w:t>
      </w:r>
    </w:p>
    <w:p w:rsidR="008902B6" w:rsidRPr="00E847E9" w:rsidRDefault="008902B6" w:rsidP="00E847E9">
      <w:pPr>
        <w:tabs>
          <w:tab w:val="left" w:pos="851"/>
        </w:tabs>
        <w:ind w:left="851" w:right="6"/>
        <w:rPr>
          <w:sz w:val="24"/>
          <w:szCs w:val="24"/>
        </w:rPr>
      </w:pPr>
      <w:r w:rsidRPr="00E847E9">
        <w:rPr>
          <w:sz w:val="24"/>
          <w:szCs w:val="24"/>
        </w:rPr>
        <w:t xml:space="preserve">Der er ikke udført </w:t>
      </w:r>
      <w:proofErr w:type="spellStart"/>
      <w:r w:rsidRPr="00E847E9">
        <w:rPr>
          <w:sz w:val="24"/>
          <w:szCs w:val="24"/>
        </w:rPr>
        <w:t>farmakokinetiske</w:t>
      </w:r>
      <w:proofErr w:type="spellEnd"/>
      <w:r w:rsidRPr="00E847E9">
        <w:rPr>
          <w:sz w:val="24"/>
          <w:szCs w:val="24"/>
        </w:rPr>
        <w:t xml:space="preserve"> studier hos patienter med nedsat leverfunktion.</w:t>
      </w:r>
    </w:p>
    <w:p w:rsidR="008902B6" w:rsidRPr="00E847E9" w:rsidRDefault="008902B6" w:rsidP="00E847E9">
      <w:pPr>
        <w:tabs>
          <w:tab w:val="left" w:pos="851"/>
        </w:tabs>
        <w:ind w:left="851"/>
        <w:rPr>
          <w:i/>
          <w:iCs/>
          <w:sz w:val="24"/>
          <w:szCs w:val="24"/>
        </w:rPr>
      </w:pPr>
    </w:p>
    <w:p w:rsidR="00EF0951" w:rsidRDefault="008902B6" w:rsidP="00E847E9">
      <w:pPr>
        <w:tabs>
          <w:tab w:val="left" w:pos="851"/>
        </w:tabs>
        <w:ind w:left="851"/>
        <w:rPr>
          <w:i/>
          <w:iCs/>
          <w:sz w:val="24"/>
          <w:szCs w:val="24"/>
        </w:rPr>
      </w:pPr>
      <w:r w:rsidRPr="00E847E9">
        <w:rPr>
          <w:i/>
          <w:iCs/>
          <w:sz w:val="24"/>
          <w:szCs w:val="24"/>
        </w:rPr>
        <w:t>Nedsat nyrefunktion</w:t>
      </w:r>
    </w:p>
    <w:p w:rsidR="00FE757A" w:rsidRDefault="008902B6" w:rsidP="00AB16A8">
      <w:pPr>
        <w:tabs>
          <w:tab w:val="left" w:pos="851"/>
        </w:tabs>
        <w:ind w:left="851"/>
        <w:rPr>
          <w:sz w:val="24"/>
          <w:szCs w:val="24"/>
        </w:rPr>
      </w:pPr>
      <w:r w:rsidRPr="00E847E9">
        <w:rPr>
          <w:sz w:val="24"/>
          <w:szCs w:val="24"/>
        </w:rPr>
        <w:t xml:space="preserve">Der er ikke udført </w:t>
      </w:r>
      <w:proofErr w:type="spellStart"/>
      <w:r w:rsidRPr="00E847E9">
        <w:rPr>
          <w:sz w:val="24"/>
          <w:szCs w:val="24"/>
        </w:rPr>
        <w:t>farmakokinetiske</w:t>
      </w:r>
      <w:proofErr w:type="spellEnd"/>
      <w:r w:rsidRPr="00E847E9">
        <w:rPr>
          <w:sz w:val="24"/>
          <w:szCs w:val="24"/>
        </w:rPr>
        <w:t xml:space="preserve"> undersøgelser hos patienter med nedsat nyrefunktion. </w:t>
      </w:r>
    </w:p>
    <w:p w:rsidR="009260DE" w:rsidRPr="00E847E9" w:rsidRDefault="009260DE" w:rsidP="00E847E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AB16A8">
        <w:rPr>
          <w:b/>
          <w:sz w:val="24"/>
          <w:szCs w:val="24"/>
        </w:rPr>
        <w:t>Non-</w:t>
      </w:r>
      <w:r w:rsidRPr="00C84483">
        <w:rPr>
          <w:b/>
          <w:sz w:val="24"/>
          <w:szCs w:val="24"/>
        </w:rPr>
        <w:t>kliniske sikkerhedsdata</w:t>
      </w:r>
    </w:p>
    <w:p w:rsidR="00FE757A" w:rsidRPr="00FE757A" w:rsidRDefault="00FE757A" w:rsidP="00FE757A">
      <w:pPr>
        <w:tabs>
          <w:tab w:val="left" w:pos="851"/>
        </w:tabs>
        <w:ind w:left="851"/>
        <w:rPr>
          <w:sz w:val="24"/>
          <w:szCs w:val="24"/>
        </w:rPr>
      </w:pPr>
      <w:r w:rsidRPr="00FE757A">
        <w:rPr>
          <w:sz w:val="24"/>
          <w:szCs w:val="24"/>
        </w:rPr>
        <w:t xml:space="preserve">Non-kliniske data viser ingen speciel risiko for mennesker vurderet ud fra konventionelle studier af sikkerhedsfarmakologi, toksicitet efter gentagne doser, genotoksicitet, </w:t>
      </w:r>
      <w:proofErr w:type="spellStart"/>
      <w:r w:rsidRPr="00FE757A">
        <w:rPr>
          <w:sz w:val="24"/>
          <w:szCs w:val="24"/>
        </w:rPr>
        <w:t>karcinogent</w:t>
      </w:r>
      <w:proofErr w:type="spellEnd"/>
      <w:r w:rsidRPr="00FE757A">
        <w:rPr>
          <w:sz w:val="24"/>
          <w:szCs w:val="24"/>
        </w:rPr>
        <w:t xml:space="preserve"> potentiale samt reproduktions- og udviklingstoksicitet.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657EB" w:rsidRPr="00A657EB" w:rsidRDefault="00A657EB" w:rsidP="00A657EB">
      <w:pPr>
        <w:tabs>
          <w:tab w:val="left" w:pos="851"/>
        </w:tabs>
        <w:ind w:left="851"/>
        <w:rPr>
          <w:sz w:val="24"/>
          <w:szCs w:val="24"/>
          <w:u w:val="single"/>
        </w:rPr>
      </w:pPr>
    </w:p>
    <w:p w:rsidR="00A657EB" w:rsidRPr="00A657EB" w:rsidRDefault="00A657EB" w:rsidP="00A657EB">
      <w:pPr>
        <w:tabs>
          <w:tab w:val="left" w:pos="851"/>
        </w:tabs>
        <w:ind w:left="851"/>
        <w:rPr>
          <w:sz w:val="24"/>
          <w:szCs w:val="24"/>
          <w:u w:val="single"/>
        </w:rPr>
      </w:pPr>
      <w:r w:rsidRPr="00A657EB">
        <w:rPr>
          <w:sz w:val="24"/>
          <w:szCs w:val="24"/>
          <w:u w:val="single"/>
        </w:rPr>
        <w:t>Tabletkerne</w:t>
      </w:r>
    </w:p>
    <w:p w:rsidR="00A657EB" w:rsidRPr="00A657EB" w:rsidRDefault="00A657EB" w:rsidP="00A657EB">
      <w:pPr>
        <w:tabs>
          <w:tab w:val="left" w:pos="851"/>
        </w:tabs>
        <w:ind w:left="851"/>
        <w:rPr>
          <w:sz w:val="24"/>
          <w:szCs w:val="24"/>
        </w:rPr>
      </w:pPr>
      <w:r w:rsidRPr="00A657EB">
        <w:rPr>
          <w:sz w:val="24"/>
          <w:szCs w:val="24"/>
        </w:rPr>
        <w:t>Mikrokrystallinsk cellulose</w:t>
      </w:r>
    </w:p>
    <w:p w:rsidR="00A657EB" w:rsidRPr="00A657EB" w:rsidRDefault="00A657EB" w:rsidP="00A657EB">
      <w:pPr>
        <w:tabs>
          <w:tab w:val="left" w:pos="851"/>
        </w:tabs>
        <w:ind w:left="851"/>
        <w:rPr>
          <w:sz w:val="24"/>
          <w:szCs w:val="24"/>
        </w:rPr>
      </w:pPr>
      <w:proofErr w:type="spellStart"/>
      <w:r w:rsidRPr="00A657EB">
        <w:rPr>
          <w:sz w:val="24"/>
          <w:szCs w:val="24"/>
        </w:rPr>
        <w:t>Magnesiumtrisilikat</w:t>
      </w:r>
      <w:proofErr w:type="spellEnd"/>
    </w:p>
    <w:p w:rsidR="00A657EB" w:rsidRPr="00A657EB" w:rsidRDefault="00A657EB" w:rsidP="00A657EB">
      <w:pPr>
        <w:tabs>
          <w:tab w:val="left" w:pos="851"/>
        </w:tabs>
        <w:ind w:left="851"/>
        <w:rPr>
          <w:sz w:val="24"/>
          <w:szCs w:val="24"/>
        </w:rPr>
      </w:pPr>
      <w:proofErr w:type="spellStart"/>
      <w:r w:rsidRPr="00A657EB">
        <w:rPr>
          <w:sz w:val="24"/>
          <w:szCs w:val="24"/>
        </w:rPr>
        <w:t>Croscarmellosenatrium</w:t>
      </w:r>
      <w:proofErr w:type="spellEnd"/>
    </w:p>
    <w:p w:rsidR="00A657EB" w:rsidRPr="00A657EB" w:rsidRDefault="00A657EB" w:rsidP="00A657EB">
      <w:pPr>
        <w:tabs>
          <w:tab w:val="left" w:pos="851"/>
        </w:tabs>
        <w:ind w:left="851"/>
        <w:rPr>
          <w:sz w:val="24"/>
          <w:szCs w:val="24"/>
        </w:rPr>
      </w:pPr>
      <w:proofErr w:type="spellStart"/>
      <w:r w:rsidRPr="00A657EB">
        <w:rPr>
          <w:sz w:val="24"/>
          <w:szCs w:val="24"/>
        </w:rPr>
        <w:t>Magnesiumstearat</w:t>
      </w:r>
      <w:proofErr w:type="spellEnd"/>
    </w:p>
    <w:p w:rsidR="00A657EB" w:rsidRPr="00A657EB" w:rsidRDefault="00A657EB" w:rsidP="00A657EB">
      <w:pPr>
        <w:tabs>
          <w:tab w:val="left" w:pos="851"/>
        </w:tabs>
        <w:ind w:left="851"/>
        <w:rPr>
          <w:sz w:val="24"/>
          <w:szCs w:val="24"/>
        </w:rPr>
      </w:pPr>
      <w:r w:rsidRPr="00A657EB">
        <w:rPr>
          <w:sz w:val="24"/>
          <w:szCs w:val="24"/>
        </w:rPr>
        <w:t xml:space="preserve">Kolloid vandfri </w:t>
      </w:r>
      <w:proofErr w:type="spellStart"/>
      <w:r w:rsidRPr="00A657EB">
        <w:rPr>
          <w:sz w:val="24"/>
          <w:szCs w:val="24"/>
        </w:rPr>
        <w:t>silica</w:t>
      </w:r>
      <w:proofErr w:type="spellEnd"/>
    </w:p>
    <w:p w:rsidR="00A657EB" w:rsidRPr="00A657EB" w:rsidRDefault="00A657EB" w:rsidP="00A657EB">
      <w:pPr>
        <w:tabs>
          <w:tab w:val="left" w:pos="851"/>
        </w:tabs>
        <w:ind w:left="851"/>
        <w:rPr>
          <w:sz w:val="24"/>
          <w:szCs w:val="24"/>
          <w:u w:val="single"/>
        </w:rPr>
      </w:pPr>
    </w:p>
    <w:p w:rsidR="00A657EB" w:rsidRPr="00A657EB" w:rsidRDefault="00A657EB" w:rsidP="00A657EB">
      <w:pPr>
        <w:tabs>
          <w:tab w:val="left" w:pos="851"/>
        </w:tabs>
        <w:ind w:left="851"/>
        <w:rPr>
          <w:sz w:val="24"/>
          <w:szCs w:val="24"/>
          <w:u w:val="single"/>
        </w:rPr>
      </w:pPr>
      <w:r w:rsidRPr="00A657EB">
        <w:rPr>
          <w:sz w:val="24"/>
          <w:szCs w:val="24"/>
          <w:u w:val="single"/>
        </w:rPr>
        <w:t>Tabletovertræk</w:t>
      </w:r>
    </w:p>
    <w:p w:rsidR="00A657EB" w:rsidRPr="00A657EB" w:rsidRDefault="00A657EB" w:rsidP="00A657EB">
      <w:pPr>
        <w:tabs>
          <w:tab w:val="left" w:pos="851"/>
        </w:tabs>
        <w:ind w:left="851"/>
        <w:rPr>
          <w:sz w:val="24"/>
          <w:szCs w:val="24"/>
        </w:rPr>
      </w:pPr>
      <w:proofErr w:type="spellStart"/>
      <w:r w:rsidRPr="00A657EB">
        <w:rPr>
          <w:sz w:val="24"/>
          <w:szCs w:val="24"/>
        </w:rPr>
        <w:t>Hypromellose</w:t>
      </w:r>
      <w:proofErr w:type="spellEnd"/>
      <w:r w:rsidRPr="00A657EB">
        <w:rPr>
          <w:sz w:val="24"/>
          <w:szCs w:val="24"/>
        </w:rPr>
        <w:t xml:space="preserve"> (E464)</w:t>
      </w:r>
    </w:p>
    <w:p w:rsidR="00A657EB" w:rsidRPr="00A657EB" w:rsidRDefault="00A657EB" w:rsidP="00A657EB">
      <w:pPr>
        <w:tabs>
          <w:tab w:val="left" w:pos="851"/>
        </w:tabs>
        <w:ind w:left="851"/>
        <w:rPr>
          <w:sz w:val="24"/>
          <w:szCs w:val="24"/>
        </w:rPr>
      </w:pPr>
      <w:proofErr w:type="spellStart"/>
      <w:r w:rsidRPr="00A657EB">
        <w:rPr>
          <w:sz w:val="24"/>
          <w:szCs w:val="24"/>
        </w:rPr>
        <w:t>Macrogol</w:t>
      </w:r>
      <w:proofErr w:type="spellEnd"/>
      <w:r w:rsidRPr="00A657EB">
        <w:rPr>
          <w:sz w:val="24"/>
          <w:szCs w:val="24"/>
        </w:rPr>
        <w:t xml:space="preserve"> (E1521)</w:t>
      </w:r>
    </w:p>
    <w:p w:rsidR="00A657EB" w:rsidRPr="00A657EB" w:rsidRDefault="00A657EB" w:rsidP="00A657EB">
      <w:pPr>
        <w:tabs>
          <w:tab w:val="left" w:pos="851"/>
        </w:tabs>
        <w:ind w:left="851"/>
        <w:rPr>
          <w:sz w:val="24"/>
          <w:szCs w:val="24"/>
        </w:rPr>
      </w:pPr>
      <w:proofErr w:type="spellStart"/>
      <w:r w:rsidRPr="00A657EB">
        <w:rPr>
          <w:sz w:val="24"/>
          <w:szCs w:val="24"/>
        </w:rPr>
        <w:t>Methacrylsyre-ethylacrylatcopolymer</w:t>
      </w:r>
      <w:proofErr w:type="spellEnd"/>
      <w:r w:rsidRPr="00A657EB">
        <w:rPr>
          <w:sz w:val="24"/>
          <w:szCs w:val="24"/>
        </w:rPr>
        <w:t xml:space="preserve"> (1:1)</w:t>
      </w:r>
    </w:p>
    <w:p w:rsidR="00A657EB" w:rsidRPr="00A657EB" w:rsidRDefault="00A657EB" w:rsidP="00A657EB">
      <w:pPr>
        <w:tabs>
          <w:tab w:val="left" w:pos="851"/>
        </w:tabs>
        <w:ind w:left="851"/>
        <w:rPr>
          <w:sz w:val="24"/>
          <w:szCs w:val="24"/>
        </w:rPr>
      </w:pPr>
      <w:r w:rsidRPr="00A657EB">
        <w:rPr>
          <w:sz w:val="24"/>
          <w:szCs w:val="24"/>
        </w:rPr>
        <w:t>Talkum (E553b)</w:t>
      </w:r>
    </w:p>
    <w:p w:rsidR="00A657EB" w:rsidRPr="00A657EB" w:rsidRDefault="00AB16A8" w:rsidP="00A657EB">
      <w:pPr>
        <w:tabs>
          <w:tab w:val="left" w:pos="851"/>
        </w:tabs>
        <w:ind w:left="851"/>
        <w:rPr>
          <w:sz w:val="24"/>
          <w:szCs w:val="24"/>
        </w:rPr>
      </w:pPr>
      <w:proofErr w:type="spellStart"/>
      <w:r>
        <w:rPr>
          <w:sz w:val="24"/>
          <w:szCs w:val="24"/>
        </w:rPr>
        <w:t>S</w:t>
      </w:r>
      <w:r w:rsidR="00A657EB" w:rsidRPr="00A657EB">
        <w:rPr>
          <w:sz w:val="24"/>
          <w:szCs w:val="24"/>
        </w:rPr>
        <w:t>ilica</w:t>
      </w:r>
      <w:proofErr w:type="spellEnd"/>
      <w:r w:rsidR="00A657EB" w:rsidRPr="00A657EB">
        <w:rPr>
          <w:sz w:val="24"/>
          <w:szCs w:val="24"/>
        </w:rPr>
        <w:t>, kolloid vandfri</w:t>
      </w:r>
    </w:p>
    <w:p w:rsidR="00AB16A8" w:rsidRDefault="00AB16A8" w:rsidP="00AB16A8">
      <w:pPr>
        <w:tabs>
          <w:tab w:val="left" w:pos="851"/>
        </w:tabs>
        <w:ind w:left="851"/>
        <w:rPr>
          <w:sz w:val="24"/>
          <w:szCs w:val="24"/>
          <w:lang w:val="sv-SE"/>
        </w:rPr>
      </w:pPr>
      <w:proofErr w:type="spellStart"/>
      <w:r>
        <w:rPr>
          <w:sz w:val="24"/>
          <w:szCs w:val="24"/>
          <w:lang w:val="sv-SE"/>
        </w:rPr>
        <w:t>Natriumhydrogencarbonat</w:t>
      </w:r>
      <w:proofErr w:type="spellEnd"/>
      <w:r>
        <w:rPr>
          <w:sz w:val="24"/>
          <w:szCs w:val="24"/>
          <w:lang w:val="sv-SE"/>
        </w:rPr>
        <w:t xml:space="preserve"> (E 500)</w:t>
      </w:r>
    </w:p>
    <w:p w:rsidR="00A657EB" w:rsidRPr="00AB16A8" w:rsidRDefault="00AB16A8" w:rsidP="00AB16A8">
      <w:pPr>
        <w:tabs>
          <w:tab w:val="left" w:pos="851"/>
        </w:tabs>
        <w:ind w:left="851"/>
        <w:rPr>
          <w:sz w:val="24"/>
          <w:szCs w:val="24"/>
          <w:lang w:val="sv-SE"/>
        </w:rPr>
      </w:pPr>
      <w:proofErr w:type="spellStart"/>
      <w:r>
        <w:rPr>
          <w:sz w:val="24"/>
          <w:szCs w:val="24"/>
          <w:lang w:val="sv-SE"/>
        </w:rPr>
        <w:t>Natriumlaurilsulfat</w:t>
      </w:r>
      <w:proofErr w:type="spellEnd"/>
      <w:r>
        <w:rPr>
          <w:sz w:val="24"/>
          <w:szCs w:val="24"/>
          <w:lang w:val="sv-SE"/>
        </w:rPr>
        <w:t xml:space="preserve"> (E 487)</w:t>
      </w:r>
    </w:p>
    <w:p w:rsidR="00A657EB" w:rsidRPr="00AB16A8" w:rsidRDefault="00A657EB" w:rsidP="00A657EB">
      <w:pPr>
        <w:tabs>
          <w:tab w:val="left" w:pos="851"/>
        </w:tabs>
        <w:ind w:left="851"/>
        <w:rPr>
          <w:sz w:val="24"/>
          <w:szCs w:val="24"/>
        </w:rPr>
      </w:pPr>
      <w:proofErr w:type="spellStart"/>
      <w:r w:rsidRPr="00AB16A8">
        <w:rPr>
          <w:sz w:val="24"/>
          <w:szCs w:val="24"/>
        </w:rPr>
        <w:t>Triethylcitrat</w:t>
      </w:r>
      <w:proofErr w:type="spellEnd"/>
    </w:p>
    <w:p w:rsidR="00A657EB" w:rsidRPr="00AB16A8" w:rsidRDefault="00A657EB" w:rsidP="00A657EB">
      <w:pPr>
        <w:tabs>
          <w:tab w:val="left" w:pos="851"/>
        </w:tabs>
        <w:ind w:left="851"/>
        <w:rPr>
          <w:sz w:val="24"/>
          <w:szCs w:val="24"/>
        </w:rPr>
      </w:pPr>
      <w:proofErr w:type="spellStart"/>
      <w:r w:rsidRPr="00AB16A8">
        <w:rPr>
          <w:sz w:val="24"/>
          <w:szCs w:val="24"/>
        </w:rPr>
        <w:t>Simeticon</w:t>
      </w:r>
      <w:proofErr w:type="spellEnd"/>
      <w:r w:rsidRPr="00AB16A8">
        <w:rPr>
          <w:sz w:val="24"/>
          <w:szCs w:val="24"/>
        </w:rPr>
        <w:t>-emulsion</w:t>
      </w:r>
      <w:r w:rsidR="00AB16A8" w:rsidRPr="00AB16A8">
        <w:rPr>
          <w:sz w:val="24"/>
          <w:szCs w:val="24"/>
        </w:rPr>
        <w:t xml:space="preserve"> </w:t>
      </w:r>
      <w:r w:rsidR="00AB16A8">
        <w:rPr>
          <w:sz w:val="24"/>
          <w:szCs w:val="24"/>
          <w:lang w:val="sv-SE"/>
        </w:rPr>
        <w:t>(</w:t>
      </w:r>
      <w:proofErr w:type="spellStart"/>
      <w:r w:rsidR="00AB16A8">
        <w:rPr>
          <w:sz w:val="24"/>
          <w:szCs w:val="24"/>
          <w:lang w:val="sv-SE"/>
        </w:rPr>
        <w:t>indeholder</w:t>
      </w:r>
      <w:proofErr w:type="spellEnd"/>
      <w:r w:rsidR="00AB16A8">
        <w:rPr>
          <w:sz w:val="24"/>
          <w:szCs w:val="24"/>
          <w:lang w:val="sv-SE"/>
        </w:rPr>
        <w:t xml:space="preserve"> </w:t>
      </w:r>
      <w:proofErr w:type="spellStart"/>
      <w:r w:rsidR="00AB16A8">
        <w:rPr>
          <w:sz w:val="24"/>
          <w:szCs w:val="24"/>
          <w:lang w:val="sv-SE"/>
        </w:rPr>
        <w:t>benzoesyre</w:t>
      </w:r>
      <w:proofErr w:type="spellEnd"/>
      <w:r w:rsidR="00AB16A8">
        <w:rPr>
          <w:sz w:val="24"/>
          <w:szCs w:val="24"/>
          <w:lang w:val="sv-SE"/>
        </w:rPr>
        <w:t xml:space="preserve"> (E 210))</w:t>
      </w:r>
    </w:p>
    <w:p w:rsidR="00A657EB" w:rsidRPr="00C50230" w:rsidRDefault="00A657EB" w:rsidP="00A657EB">
      <w:pPr>
        <w:tabs>
          <w:tab w:val="left" w:pos="851"/>
        </w:tabs>
        <w:ind w:left="851"/>
        <w:rPr>
          <w:sz w:val="24"/>
          <w:szCs w:val="24"/>
        </w:rPr>
      </w:pPr>
      <w:r w:rsidRPr="00C50230">
        <w:rPr>
          <w:sz w:val="24"/>
          <w:szCs w:val="24"/>
        </w:rPr>
        <w:t>Titandioxid (E171)</w:t>
      </w:r>
    </w:p>
    <w:p w:rsidR="00A657EB" w:rsidRPr="00A657EB" w:rsidRDefault="00A657EB" w:rsidP="00A657EB">
      <w:pPr>
        <w:tabs>
          <w:tab w:val="left" w:pos="851"/>
        </w:tabs>
        <w:ind w:left="851"/>
        <w:rPr>
          <w:sz w:val="24"/>
          <w:szCs w:val="24"/>
          <w:lang w:val="en-US"/>
        </w:rPr>
      </w:pPr>
      <w:proofErr w:type="spellStart"/>
      <w:r w:rsidRPr="00A657EB">
        <w:rPr>
          <w:sz w:val="24"/>
          <w:szCs w:val="24"/>
          <w:lang w:val="en-US"/>
        </w:rPr>
        <w:t>Polysorbat</w:t>
      </w:r>
      <w:proofErr w:type="spellEnd"/>
      <w:r w:rsidRPr="00A657EB">
        <w:rPr>
          <w:sz w:val="24"/>
          <w:szCs w:val="24"/>
          <w:lang w:val="en-US"/>
        </w:rPr>
        <w:t xml:space="preserve"> 80 (E433)</w:t>
      </w:r>
    </w:p>
    <w:p w:rsidR="00A657EB" w:rsidRPr="00A657EB" w:rsidRDefault="00A657EB" w:rsidP="00A657EB">
      <w:pPr>
        <w:tabs>
          <w:tab w:val="left" w:pos="851"/>
        </w:tabs>
        <w:ind w:left="851"/>
        <w:rPr>
          <w:sz w:val="24"/>
          <w:szCs w:val="24"/>
          <w:u w:val="single"/>
          <w:lang w:val="en-US"/>
        </w:rPr>
      </w:pPr>
    </w:p>
    <w:p w:rsidR="00A657EB" w:rsidRPr="00A657EB" w:rsidRDefault="00A657EB" w:rsidP="00A657EB">
      <w:pPr>
        <w:tabs>
          <w:tab w:val="left" w:pos="851"/>
        </w:tabs>
        <w:ind w:left="851"/>
        <w:rPr>
          <w:sz w:val="24"/>
          <w:szCs w:val="24"/>
          <w:u w:val="single"/>
          <w:lang w:val="en-US"/>
        </w:rPr>
      </w:pPr>
      <w:proofErr w:type="spellStart"/>
      <w:r w:rsidRPr="00A657EB">
        <w:rPr>
          <w:sz w:val="24"/>
          <w:szCs w:val="24"/>
          <w:u w:val="single"/>
          <w:lang w:val="en-US"/>
        </w:rPr>
        <w:t>Voks</w:t>
      </w:r>
      <w:proofErr w:type="spellEnd"/>
    </w:p>
    <w:p w:rsidR="00A657EB" w:rsidRPr="00A657EB" w:rsidRDefault="00A657EB" w:rsidP="00A657EB">
      <w:pPr>
        <w:tabs>
          <w:tab w:val="left" w:pos="851"/>
        </w:tabs>
        <w:ind w:left="851"/>
        <w:rPr>
          <w:sz w:val="24"/>
          <w:szCs w:val="24"/>
          <w:lang w:val="en-US"/>
        </w:rPr>
      </w:pPr>
      <w:proofErr w:type="spellStart"/>
      <w:r w:rsidRPr="00A657EB">
        <w:rPr>
          <w:sz w:val="24"/>
          <w:szCs w:val="24"/>
          <w:lang w:val="en-US"/>
        </w:rPr>
        <w:t>Carnaubavoks</w:t>
      </w:r>
      <w:proofErr w:type="spellEnd"/>
    </w:p>
    <w:p w:rsidR="00A657EB" w:rsidRPr="00A657EB" w:rsidRDefault="00A657EB" w:rsidP="00A657EB">
      <w:pPr>
        <w:tabs>
          <w:tab w:val="left" w:pos="851"/>
        </w:tabs>
        <w:ind w:left="851"/>
        <w:rPr>
          <w:sz w:val="24"/>
          <w:szCs w:val="24"/>
          <w:u w:val="single"/>
          <w:lang w:val="en-US"/>
        </w:rPr>
      </w:pPr>
    </w:p>
    <w:p w:rsidR="00A657EB" w:rsidRPr="00A657EB" w:rsidRDefault="00A657EB" w:rsidP="00A657EB">
      <w:pPr>
        <w:tabs>
          <w:tab w:val="left" w:pos="851"/>
        </w:tabs>
        <w:ind w:left="851"/>
        <w:rPr>
          <w:sz w:val="24"/>
          <w:szCs w:val="24"/>
          <w:u w:val="single"/>
          <w:lang w:val="en-GB"/>
        </w:rPr>
      </w:pPr>
      <w:proofErr w:type="spellStart"/>
      <w:r w:rsidRPr="00A657EB">
        <w:rPr>
          <w:sz w:val="24"/>
          <w:szCs w:val="24"/>
          <w:u w:val="single"/>
          <w:lang w:val="en-GB"/>
        </w:rPr>
        <w:t>Trykfarve</w:t>
      </w:r>
      <w:proofErr w:type="spellEnd"/>
    </w:p>
    <w:p w:rsidR="00A657EB" w:rsidRPr="00A657EB" w:rsidRDefault="00A657EB" w:rsidP="00A657EB">
      <w:pPr>
        <w:tabs>
          <w:tab w:val="left" w:pos="851"/>
        </w:tabs>
        <w:ind w:left="851"/>
        <w:rPr>
          <w:sz w:val="24"/>
          <w:szCs w:val="24"/>
          <w:lang w:val="en-GB"/>
        </w:rPr>
      </w:pPr>
      <w:r w:rsidRPr="00A657EB">
        <w:rPr>
          <w:sz w:val="24"/>
          <w:szCs w:val="24"/>
          <w:lang w:val="en-GB"/>
        </w:rPr>
        <w:lastRenderedPageBreak/>
        <w:t>Shellac</w:t>
      </w:r>
    </w:p>
    <w:p w:rsidR="00A657EB" w:rsidRPr="00A657EB" w:rsidRDefault="00A657EB" w:rsidP="00A657EB">
      <w:pPr>
        <w:tabs>
          <w:tab w:val="left" w:pos="851"/>
        </w:tabs>
        <w:ind w:left="851"/>
        <w:rPr>
          <w:sz w:val="24"/>
          <w:szCs w:val="24"/>
          <w:lang w:val="en-GB"/>
        </w:rPr>
      </w:pPr>
      <w:r w:rsidRPr="00A657EB">
        <w:rPr>
          <w:sz w:val="24"/>
          <w:szCs w:val="24"/>
          <w:lang w:val="en-GB"/>
        </w:rPr>
        <w:t>Allura Red AC (E129)</w:t>
      </w:r>
    </w:p>
    <w:p w:rsidR="00A657EB" w:rsidRPr="00A657EB" w:rsidRDefault="00A657EB" w:rsidP="00A657EB">
      <w:pPr>
        <w:tabs>
          <w:tab w:val="left" w:pos="851"/>
        </w:tabs>
        <w:ind w:left="851"/>
        <w:rPr>
          <w:sz w:val="24"/>
          <w:szCs w:val="24"/>
          <w:lang w:val="en-GB"/>
        </w:rPr>
      </w:pPr>
      <w:proofErr w:type="spellStart"/>
      <w:r w:rsidRPr="00A657EB">
        <w:rPr>
          <w:sz w:val="24"/>
          <w:szCs w:val="24"/>
          <w:lang w:val="en-GB"/>
        </w:rPr>
        <w:t>Propylenglycol</w:t>
      </w:r>
      <w:proofErr w:type="spellEnd"/>
      <w:r w:rsidRPr="00A657EB">
        <w:rPr>
          <w:sz w:val="24"/>
          <w:szCs w:val="24"/>
          <w:lang w:val="en-GB"/>
        </w:rPr>
        <w:t xml:space="preserve"> (E1520)</w:t>
      </w:r>
    </w:p>
    <w:p w:rsidR="00A657EB" w:rsidRPr="00A657EB" w:rsidRDefault="00A657EB" w:rsidP="00A657EB">
      <w:pPr>
        <w:tabs>
          <w:tab w:val="left" w:pos="851"/>
        </w:tabs>
        <w:ind w:left="851"/>
        <w:rPr>
          <w:sz w:val="24"/>
          <w:szCs w:val="24"/>
          <w:lang w:val="en-GB"/>
        </w:rPr>
      </w:pPr>
      <w:proofErr w:type="spellStart"/>
      <w:r w:rsidRPr="00A657EB">
        <w:rPr>
          <w:sz w:val="24"/>
          <w:szCs w:val="24"/>
          <w:lang w:val="en-GB"/>
        </w:rPr>
        <w:t>Indigotin</w:t>
      </w:r>
      <w:proofErr w:type="spellEnd"/>
      <w:r w:rsidRPr="00A657EB">
        <w:rPr>
          <w:sz w:val="24"/>
          <w:szCs w:val="24"/>
          <w:lang w:val="en-GB"/>
        </w:rPr>
        <w:t xml:space="preserve"> (</w:t>
      </w:r>
      <w:proofErr w:type="spellStart"/>
      <w:r w:rsidRPr="00A657EB">
        <w:rPr>
          <w:sz w:val="24"/>
          <w:szCs w:val="24"/>
          <w:lang w:val="en-GB"/>
        </w:rPr>
        <w:t>indigocarmin</w:t>
      </w:r>
      <w:proofErr w:type="spellEnd"/>
      <w:r w:rsidRPr="00A657EB">
        <w:rPr>
          <w:sz w:val="24"/>
          <w:szCs w:val="24"/>
          <w:lang w:val="en-GB"/>
        </w:rPr>
        <w:t>) (E132)</w:t>
      </w:r>
    </w:p>
    <w:p w:rsidR="00A657EB" w:rsidRPr="00A657EB" w:rsidRDefault="00A657EB" w:rsidP="00A657EB">
      <w:pPr>
        <w:tabs>
          <w:tab w:val="left" w:pos="851"/>
        </w:tabs>
        <w:ind w:left="851"/>
        <w:rPr>
          <w:sz w:val="24"/>
          <w:szCs w:val="24"/>
        </w:rPr>
      </w:pPr>
      <w:proofErr w:type="spellStart"/>
      <w:r w:rsidRPr="00A657EB">
        <w:rPr>
          <w:sz w:val="24"/>
          <w:szCs w:val="24"/>
        </w:rPr>
        <w:t>Simeticon</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BC7334"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F33EA4">
        <w:rPr>
          <w:sz w:val="24"/>
          <w:szCs w:val="24"/>
        </w:rPr>
        <w:t>42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33EA4" w:rsidRPr="00F33EA4" w:rsidRDefault="00F33EA4" w:rsidP="00F33EA4">
      <w:pPr>
        <w:tabs>
          <w:tab w:val="left" w:pos="851"/>
        </w:tabs>
        <w:ind w:left="851"/>
        <w:rPr>
          <w:sz w:val="24"/>
          <w:szCs w:val="24"/>
        </w:rPr>
      </w:pPr>
      <w:r w:rsidRPr="00F33EA4">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328C7" w:rsidRPr="00F33EA4" w:rsidRDefault="00A328C7" w:rsidP="00A328C7">
      <w:pPr>
        <w:tabs>
          <w:tab w:val="left" w:pos="851"/>
        </w:tabs>
        <w:ind w:left="851"/>
        <w:rPr>
          <w:sz w:val="24"/>
          <w:szCs w:val="24"/>
        </w:rPr>
      </w:pPr>
      <w:r>
        <w:rPr>
          <w:sz w:val="24"/>
          <w:szCs w:val="24"/>
        </w:rPr>
        <w:t>B</w:t>
      </w:r>
      <w:r w:rsidRPr="00F33EA4">
        <w:rPr>
          <w:sz w:val="24"/>
          <w:szCs w:val="24"/>
        </w:rPr>
        <w:t>lister af PVC/aluminium.</w:t>
      </w:r>
    </w:p>
    <w:p w:rsidR="00F33EA4" w:rsidRPr="00F33EA4" w:rsidRDefault="00F33EA4" w:rsidP="00F33EA4">
      <w:pPr>
        <w:tabs>
          <w:tab w:val="left" w:pos="851"/>
        </w:tabs>
        <w:ind w:left="851"/>
        <w:rPr>
          <w:sz w:val="24"/>
          <w:szCs w:val="24"/>
        </w:rPr>
      </w:pPr>
    </w:p>
    <w:p w:rsidR="00F33EA4" w:rsidRPr="00F33EA4" w:rsidRDefault="00F33EA4" w:rsidP="00F33EA4">
      <w:pPr>
        <w:tabs>
          <w:tab w:val="left" w:pos="851"/>
        </w:tabs>
        <w:ind w:left="851"/>
        <w:rPr>
          <w:sz w:val="24"/>
          <w:szCs w:val="24"/>
        </w:rPr>
      </w:pPr>
      <w:r w:rsidRPr="00F33EA4">
        <w:rPr>
          <w:sz w:val="24"/>
          <w:szCs w:val="24"/>
        </w:rPr>
        <w:t>Pakningsstørrelser</w:t>
      </w:r>
      <w:r>
        <w:rPr>
          <w:sz w:val="24"/>
          <w:szCs w:val="24"/>
        </w:rPr>
        <w:t xml:space="preserve">: </w:t>
      </w:r>
      <w:r w:rsidRPr="00F33EA4">
        <w:rPr>
          <w:sz w:val="24"/>
          <w:szCs w:val="24"/>
        </w:rPr>
        <w:t xml:space="preserve">20, 30 </w:t>
      </w:r>
      <w:r>
        <w:rPr>
          <w:sz w:val="24"/>
          <w:szCs w:val="24"/>
        </w:rPr>
        <w:t>og</w:t>
      </w:r>
      <w:r w:rsidRPr="00F33EA4">
        <w:rPr>
          <w:sz w:val="24"/>
          <w:szCs w:val="24"/>
        </w:rPr>
        <w:t xml:space="preserve"> 40 </w:t>
      </w:r>
      <w:proofErr w:type="spellStart"/>
      <w:r w:rsidRPr="00F33EA4">
        <w:rPr>
          <w:sz w:val="24"/>
          <w:szCs w:val="24"/>
        </w:rPr>
        <w:t>enterotabletter</w:t>
      </w:r>
      <w:proofErr w:type="spellEnd"/>
      <w:r w:rsidRPr="00F33EA4">
        <w:rPr>
          <w:sz w:val="24"/>
          <w:szCs w:val="24"/>
        </w:rPr>
        <w:t xml:space="preserve">. </w:t>
      </w:r>
    </w:p>
    <w:p w:rsidR="00F33EA4" w:rsidRPr="00F33EA4" w:rsidRDefault="00F33EA4" w:rsidP="00F33EA4">
      <w:pPr>
        <w:tabs>
          <w:tab w:val="left" w:pos="851"/>
        </w:tabs>
        <w:ind w:left="851"/>
        <w:rPr>
          <w:sz w:val="24"/>
          <w:szCs w:val="24"/>
        </w:rPr>
      </w:pPr>
      <w:r w:rsidRPr="00F33EA4">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B16A8">
        <w:rPr>
          <w:b/>
          <w:sz w:val="24"/>
          <w:szCs w:val="24"/>
        </w:rPr>
        <w:t>bortskaffelse</w:t>
      </w:r>
      <w:r w:rsidRPr="00C84483">
        <w:rPr>
          <w:b/>
          <w:sz w:val="24"/>
          <w:szCs w:val="24"/>
        </w:rPr>
        <w:t xml:space="preserve"> og anden håndtering</w:t>
      </w:r>
    </w:p>
    <w:p w:rsidR="00F33EA4" w:rsidRDefault="00F33EA4" w:rsidP="00F33EA4">
      <w:pPr>
        <w:tabs>
          <w:tab w:val="left" w:pos="851"/>
        </w:tabs>
        <w:ind w:left="851"/>
        <w:rPr>
          <w:sz w:val="24"/>
          <w:szCs w:val="24"/>
        </w:rPr>
      </w:pPr>
      <w:r w:rsidRPr="00F33EA4">
        <w:rPr>
          <w:sz w:val="24"/>
          <w:szCs w:val="24"/>
        </w:rPr>
        <w:t>Ingen særlige forholdsregler.</w:t>
      </w:r>
    </w:p>
    <w:p w:rsidR="00F33EA4" w:rsidRDefault="00F33EA4" w:rsidP="00F33EA4">
      <w:pPr>
        <w:tabs>
          <w:tab w:val="left" w:pos="851"/>
        </w:tabs>
        <w:ind w:left="851"/>
        <w:rPr>
          <w:sz w:val="24"/>
          <w:szCs w:val="24"/>
        </w:rPr>
      </w:pPr>
    </w:p>
    <w:p w:rsidR="00F33EA4" w:rsidRPr="00F33EA4" w:rsidRDefault="00F33EA4" w:rsidP="00F33EA4">
      <w:pPr>
        <w:tabs>
          <w:tab w:val="left" w:pos="851"/>
        </w:tabs>
        <w:ind w:left="851"/>
        <w:rPr>
          <w:sz w:val="24"/>
          <w:szCs w:val="24"/>
        </w:rPr>
      </w:pPr>
      <w:r w:rsidRPr="00F33EA4">
        <w:rPr>
          <w:sz w:val="24"/>
          <w:szCs w:val="24"/>
        </w:rPr>
        <w:t xml:space="preserve">Ikke anvendt lægemiddel samt affald heraf skal bortskaffes i henhold til </w:t>
      </w:r>
      <w:bookmarkStart w:id="0" w:name="_GoBack"/>
      <w:bookmarkEnd w:id="0"/>
      <w:r w:rsidRPr="00F33EA4">
        <w:rPr>
          <w:sz w:val="24"/>
          <w:szCs w:val="24"/>
        </w:rPr>
        <w:t>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33EA4" w:rsidRPr="00F33EA4" w:rsidRDefault="00F33EA4" w:rsidP="00F33EA4">
      <w:pPr>
        <w:tabs>
          <w:tab w:val="left" w:pos="851"/>
        </w:tabs>
        <w:ind w:left="851"/>
        <w:rPr>
          <w:sz w:val="24"/>
          <w:szCs w:val="24"/>
          <w:lang w:val="sv-SE"/>
        </w:rPr>
      </w:pPr>
      <w:proofErr w:type="spellStart"/>
      <w:r w:rsidRPr="00F33EA4">
        <w:rPr>
          <w:sz w:val="24"/>
          <w:szCs w:val="24"/>
          <w:lang w:val="sv-SE"/>
        </w:rPr>
        <w:t>CampusPharma</w:t>
      </w:r>
      <w:proofErr w:type="spellEnd"/>
      <w:r w:rsidRPr="00F33EA4">
        <w:rPr>
          <w:sz w:val="24"/>
          <w:szCs w:val="24"/>
          <w:lang w:val="sv-SE"/>
        </w:rPr>
        <w:t xml:space="preserve"> AB</w:t>
      </w:r>
    </w:p>
    <w:p w:rsidR="00F33EA4" w:rsidRPr="00F33EA4" w:rsidRDefault="00F33EA4" w:rsidP="00F33EA4">
      <w:pPr>
        <w:tabs>
          <w:tab w:val="left" w:pos="851"/>
        </w:tabs>
        <w:ind w:left="851"/>
        <w:rPr>
          <w:sz w:val="24"/>
          <w:szCs w:val="24"/>
          <w:lang w:val="sv-SE"/>
        </w:rPr>
      </w:pPr>
      <w:r w:rsidRPr="00F33EA4">
        <w:rPr>
          <w:sz w:val="24"/>
          <w:szCs w:val="24"/>
          <w:lang w:val="sv-SE"/>
        </w:rPr>
        <w:t>Karl Gustavsgatan 1A</w:t>
      </w:r>
    </w:p>
    <w:p w:rsidR="00F33EA4" w:rsidRPr="00F33EA4" w:rsidRDefault="00F33EA4" w:rsidP="00F33EA4">
      <w:pPr>
        <w:tabs>
          <w:tab w:val="left" w:pos="851"/>
        </w:tabs>
        <w:ind w:left="851"/>
        <w:rPr>
          <w:sz w:val="24"/>
          <w:szCs w:val="24"/>
          <w:lang w:val="sv-SE"/>
        </w:rPr>
      </w:pPr>
      <w:r w:rsidRPr="00F33EA4">
        <w:rPr>
          <w:sz w:val="24"/>
          <w:szCs w:val="24"/>
          <w:lang w:val="sv-SE"/>
        </w:rPr>
        <w:t>411 25 Göteborg</w:t>
      </w:r>
    </w:p>
    <w:p w:rsidR="00F33EA4" w:rsidRPr="00F33EA4" w:rsidRDefault="00F33EA4" w:rsidP="00F33EA4">
      <w:pPr>
        <w:tabs>
          <w:tab w:val="left" w:pos="851"/>
        </w:tabs>
        <w:ind w:left="851"/>
        <w:rPr>
          <w:sz w:val="24"/>
          <w:szCs w:val="24"/>
        </w:rPr>
      </w:pPr>
      <w:r w:rsidRPr="00F33EA4">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B16A8">
        <w:rPr>
          <w:b/>
          <w:sz w:val="24"/>
          <w:szCs w:val="24"/>
        </w:rPr>
        <w:t>-</w:t>
      </w:r>
      <w:r w:rsidRPr="00C84483">
        <w:rPr>
          <w:b/>
          <w:sz w:val="24"/>
          <w:szCs w:val="24"/>
        </w:rPr>
        <w:t>NUMRE)</w:t>
      </w:r>
    </w:p>
    <w:p w:rsidR="009260DE" w:rsidRPr="00C84483" w:rsidRDefault="00F33EA4" w:rsidP="009260DE">
      <w:pPr>
        <w:tabs>
          <w:tab w:val="left" w:pos="851"/>
        </w:tabs>
        <w:ind w:left="851"/>
        <w:rPr>
          <w:sz w:val="24"/>
          <w:szCs w:val="24"/>
        </w:rPr>
      </w:pPr>
      <w:r>
        <w:rPr>
          <w:sz w:val="24"/>
          <w:szCs w:val="24"/>
        </w:rPr>
        <w:t>6</w:t>
      </w:r>
      <w:r w:rsidR="00F20D43">
        <w:rPr>
          <w:sz w:val="24"/>
          <w:szCs w:val="24"/>
        </w:rPr>
        <w:t>7178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216C9" w:rsidP="009260DE">
      <w:pPr>
        <w:tabs>
          <w:tab w:val="left" w:pos="851"/>
        </w:tabs>
        <w:ind w:left="851"/>
        <w:rPr>
          <w:sz w:val="24"/>
          <w:szCs w:val="24"/>
        </w:rPr>
      </w:pPr>
      <w:r>
        <w:rPr>
          <w:sz w:val="24"/>
          <w:szCs w:val="24"/>
        </w:rPr>
        <w:t>20. juli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B16A8" w:rsidP="009260DE">
      <w:pPr>
        <w:tabs>
          <w:tab w:val="left" w:pos="851"/>
        </w:tabs>
        <w:ind w:left="851"/>
        <w:rPr>
          <w:sz w:val="24"/>
          <w:szCs w:val="24"/>
        </w:rPr>
      </w:pPr>
      <w:r>
        <w:rPr>
          <w:sz w:val="24"/>
          <w:szCs w:val="24"/>
        </w:rPr>
        <w:t>3. juni 2024</w:t>
      </w:r>
    </w:p>
    <w:sectPr w:rsidR="009260DE" w:rsidRPr="00C84483" w:rsidSect="00F20D43">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3CF" w:rsidRDefault="005D63CF">
      <w:r>
        <w:separator/>
      </w:r>
    </w:p>
  </w:endnote>
  <w:endnote w:type="continuationSeparator" w:id="0">
    <w:p w:rsidR="005D63CF" w:rsidRDefault="005D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63CF" w:rsidRDefault="005D63CF">
    <w:pPr>
      <w:pStyle w:val="Sidefod"/>
      <w:pBdr>
        <w:bottom w:val="single" w:sz="6" w:space="1" w:color="auto"/>
      </w:pBdr>
    </w:pPr>
  </w:p>
  <w:p w:rsidR="005D63CF" w:rsidRDefault="005D63CF" w:rsidP="00C42586">
    <w:pPr>
      <w:pStyle w:val="Sidefod"/>
      <w:tabs>
        <w:tab w:val="clear" w:pos="4819"/>
        <w:tab w:val="left" w:pos="8505"/>
      </w:tabs>
      <w:rPr>
        <w:i/>
        <w:sz w:val="18"/>
        <w:szCs w:val="18"/>
      </w:rPr>
    </w:pPr>
  </w:p>
  <w:p w:rsidR="005D63CF" w:rsidRPr="00B373D7" w:rsidRDefault="005D63C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Xonvea, enterotabletter 10+10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3CF" w:rsidRDefault="005D63CF">
      <w:r>
        <w:separator/>
      </w:r>
    </w:p>
  </w:footnote>
  <w:footnote w:type="continuationSeparator" w:id="0">
    <w:p w:rsidR="005D63CF" w:rsidRDefault="005D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07"/>
    <w:rsid w:val="000259B9"/>
    <w:rsid w:val="00041491"/>
    <w:rsid w:val="00050D16"/>
    <w:rsid w:val="000651BA"/>
    <w:rsid w:val="000730CA"/>
    <w:rsid w:val="00074F2A"/>
    <w:rsid w:val="000A1CA8"/>
    <w:rsid w:val="000A466B"/>
    <w:rsid w:val="000B058C"/>
    <w:rsid w:val="000E4EE6"/>
    <w:rsid w:val="00116521"/>
    <w:rsid w:val="001216C9"/>
    <w:rsid w:val="001454E2"/>
    <w:rsid w:val="00183C86"/>
    <w:rsid w:val="00206CE8"/>
    <w:rsid w:val="0021526C"/>
    <w:rsid w:val="00283A2B"/>
    <w:rsid w:val="002B30AD"/>
    <w:rsid w:val="002C2C01"/>
    <w:rsid w:val="003917D9"/>
    <w:rsid w:val="003A29AE"/>
    <w:rsid w:val="003A32D7"/>
    <w:rsid w:val="003B4074"/>
    <w:rsid w:val="003C769A"/>
    <w:rsid w:val="003F1838"/>
    <w:rsid w:val="0040579D"/>
    <w:rsid w:val="0045746C"/>
    <w:rsid w:val="0049104B"/>
    <w:rsid w:val="004E3B12"/>
    <w:rsid w:val="00532310"/>
    <w:rsid w:val="005642EF"/>
    <w:rsid w:val="00565F0F"/>
    <w:rsid w:val="00594A86"/>
    <w:rsid w:val="00596D86"/>
    <w:rsid w:val="005B1771"/>
    <w:rsid w:val="005C00EA"/>
    <w:rsid w:val="005D63CF"/>
    <w:rsid w:val="00607240"/>
    <w:rsid w:val="00617802"/>
    <w:rsid w:val="00637F5A"/>
    <w:rsid w:val="006560B1"/>
    <w:rsid w:val="006756DD"/>
    <w:rsid w:val="007322B7"/>
    <w:rsid w:val="00737275"/>
    <w:rsid w:val="00740EEC"/>
    <w:rsid w:val="00772DA0"/>
    <w:rsid w:val="0078011A"/>
    <w:rsid w:val="00782AF4"/>
    <w:rsid w:val="00790EE7"/>
    <w:rsid w:val="007A31AE"/>
    <w:rsid w:val="007B278B"/>
    <w:rsid w:val="007B6649"/>
    <w:rsid w:val="0082576E"/>
    <w:rsid w:val="008902B6"/>
    <w:rsid w:val="008E0CB8"/>
    <w:rsid w:val="00907F75"/>
    <w:rsid w:val="009260DE"/>
    <w:rsid w:val="0093258A"/>
    <w:rsid w:val="009C7BA3"/>
    <w:rsid w:val="009D1F5A"/>
    <w:rsid w:val="009E1501"/>
    <w:rsid w:val="00A10294"/>
    <w:rsid w:val="00A27EFC"/>
    <w:rsid w:val="00A328C7"/>
    <w:rsid w:val="00A4534A"/>
    <w:rsid w:val="00A657EB"/>
    <w:rsid w:val="00AB16A8"/>
    <w:rsid w:val="00AC66A4"/>
    <w:rsid w:val="00AD7C8C"/>
    <w:rsid w:val="00B003BF"/>
    <w:rsid w:val="00B373D7"/>
    <w:rsid w:val="00B3777A"/>
    <w:rsid w:val="00B901F1"/>
    <w:rsid w:val="00BC7334"/>
    <w:rsid w:val="00C36276"/>
    <w:rsid w:val="00C42586"/>
    <w:rsid w:val="00C470EE"/>
    <w:rsid w:val="00C50230"/>
    <w:rsid w:val="00C60CCD"/>
    <w:rsid w:val="00C84483"/>
    <w:rsid w:val="00C95551"/>
    <w:rsid w:val="00CB20D7"/>
    <w:rsid w:val="00D020B0"/>
    <w:rsid w:val="00D11748"/>
    <w:rsid w:val="00D366CF"/>
    <w:rsid w:val="00D92678"/>
    <w:rsid w:val="00E02007"/>
    <w:rsid w:val="00E108AA"/>
    <w:rsid w:val="00E23CBE"/>
    <w:rsid w:val="00E3749A"/>
    <w:rsid w:val="00E62EE8"/>
    <w:rsid w:val="00E72673"/>
    <w:rsid w:val="00E7437F"/>
    <w:rsid w:val="00E847E9"/>
    <w:rsid w:val="00E865B8"/>
    <w:rsid w:val="00EC0B9B"/>
    <w:rsid w:val="00ED5E9F"/>
    <w:rsid w:val="00EF0951"/>
    <w:rsid w:val="00F20D43"/>
    <w:rsid w:val="00F27F22"/>
    <w:rsid w:val="00F33EA4"/>
    <w:rsid w:val="00F66D4F"/>
    <w:rsid w:val="00FB6D01"/>
    <w:rsid w:val="00FE757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B1A32"/>
  <w15:chartTrackingRefBased/>
  <w15:docId w15:val="{16B625AB-C2AE-4403-BF81-8D1EFF99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D92678"/>
    <w:rPr>
      <w:color w:val="0000FF"/>
      <w:u w:val="single"/>
    </w:rPr>
  </w:style>
  <w:style w:type="paragraph" w:styleId="Normalindrykning">
    <w:name w:val="Normal Indent"/>
    <w:basedOn w:val="Normal"/>
    <w:semiHidden/>
    <w:unhideWhenUsed/>
    <w:rsid w:val="00D92678"/>
    <w:pPr>
      <w:spacing w:after="120"/>
      <w:ind w:left="720"/>
    </w:pPr>
    <w:rPr>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1385">
      <w:bodyDiv w:val="1"/>
      <w:marLeft w:val="0"/>
      <w:marRight w:val="0"/>
      <w:marTop w:val="0"/>
      <w:marBottom w:val="0"/>
      <w:divBdr>
        <w:top w:val="none" w:sz="0" w:space="0" w:color="auto"/>
        <w:left w:val="none" w:sz="0" w:space="0" w:color="auto"/>
        <w:bottom w:val="none" w:sz="0" w:space="0" w:color="auto"/>
        <w:right w:val="none" w:sz="0" w:space="0" w:color="auto"/>
      </w:divBdr>
    </w:div>
    <w:div w:id="51199594">
      <w:bodyDiv w:val="1"/>
      <w:marLeft w:val="0"/>
      <w:marRight w:val="0"/>
      <w:marTop w:val="0"/>
      <w:marBottom w:val="0"/>
      <w:divBdr>
        <w:top w:val="none" w:sz="0" w:space="0" w:color="auto"/>
        <w:left w:val="none" w:sz="0" w:space="0" w:color="auto"/>
        <w:bottom w:val="none" w:sz="0" w:space="0" w:color="auto"/>
        <w:right w:val="none" w:sz="0" w:space="0" w:color="auto"/>
      </w:divBdr>
    </w:div>
    <w:div w:id="744034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090200">
      <w:bodyDiv w:val="1"/>
      <w:marLeft w:val="0"/>
      <w:marRight w:val="0"/>
      <w:marTop w:val="0"/>
      <w:marBottom w:val="0"/>
      <w:divBdr>
        <w:top w:val="none" w:sz="0" w:space="0" w:color="auto"/>
        <w:left w:val="none" w:sz="0" w:space="0" w:color="auto"/>
        <w:bottom w:val="none" w:sz="0" w:space="0" w:color="auto"/>
        <w:right w:val="none" w:sz="0" w:space="0" w:color="auto"/>
      </w:divBdr>
    </w:div>
    <w:div w:id="189531467">
      <w:bodyDiv w:val="1"/>
      <w:marLeft w:val="0"/>
      <w:marRight w:val="0"/>
      <w:marTop w:val="0"/>
      <w:marBottom w:val="0"/>
      <w:divBdr>
        <w:top w:val="none" w:sz="0" w:space="0" w:color="auto"/>
        <w:left w:val="none" w:sz="0" w:space="0" w:color="auto"/>
        <w:bottom w:val="none" w:sz="0" w:space="0" w:color="auto"/>
        <w:right w:val="none" w:sz="0" w:space="0" w:color="auto"/>
      </w:divBdr>
    </w:div>
    <w:div w:id="261034250">
      <w:bodyDiv w:val="1"/>
      <w:marLeft w:val="0"/>
      <w:marRight w:val="0"/>
      <w:marTop w:val="0"/>
      <w:marBottom w:val="0"/>
      <w:divBdr>
        <w:top w:val="none" w:sz="0" w:space="0" w:color="auto"/>
        <w:left w:val="none" w:sz="0" w:space="0" w:color="auto"/>
        <w:bottom w:val="none" w:sz="0" w:space="0" w:color="auto"/>
        <w:right w:val="none" w:sz="0" w:space="0" w:color="auto"/>
      </w:divBdr>
    </w:div>
    <w:div w:id="262615112">
      <w:bodyDiv w:val="1"/>
      <w:marLeft w:val="0"/>
      <w:marRight w:val="0"/>
      <w:marTop w:val="0"/>
      <w:marBottom w:val="0"/>
      <w:divBdr>
        <w:top w:val="none" w:sz="0" w:space="0" w:color="auto"/>
        <w:left w:val="none" w:sz="0" w:space="0" w:color="auto"/>
        <w:bottom w:val="none" w:sz="0" w:space="0" w:color="auto"/>
        <w:right w:val="none" w:sz="0" w:space="0" w:color="auto"/>
      </w:divBdr>
    </w:div>
    <w:div w:id="316737737">
      <w:bodyDiv w:val="1"/>
      <w:marLeft w:val="0"/>
      <w:marRight w:val="0"/>
      <w:marTop w:val="0"/>
      <w:marBottom w:val="0"/>
      <w:divBdr>
        <w:top w:val="none" w:sz="0" w:space="0" w:color="auto"/>
        <w:left w:val="none" w:sz="0" w:space="0" w:color="auto"/>
        <w:bottom w:val="none" w:sz="0" w:space="0" w:color="auto"/>
        <w:right w:val="none" w:sz="0" w:space="0" w:color="auto"/>
      </w:divBdr>
    </w:div>
    <w:div w:id="338309422">
      <w:bodyDiv w:val="1"/>
      <w:marLeft w:val="0"/>
      <w:marRight w:val="0"/>
      <w:marTop w:val="0"/>
      <w:marBottom w:val="0"/>
      <w:divBdr>
        <w:top w:val="none" w:sz="0" w:space="0" w:color="auto"/>
        <w:left w:val="none" w:sz="0" w:space="0" w:color="auto"/>
        <w:bottom w:val="none" w:sz="0" w:space="0" w:color="auto"/>
        <w:right w:val="none" w:sz="0" w:space="0" w:color="auto"/>
      </w:divBdr>
    </w:div>
    <w:div w:id="371149248">
      <w:bodyDiv w:val="1"/>
      <w:marLeft w:val="0"/>
      <w:marRight w:val="0"/>
      <w:marTop w:val="0"/>
      <w:marBottom w:val="0"/>
      <w:divBdr>
        <w:top w:val="none" w:sz="0" w:space="0" w:color="auto"/>
        <w:left w:val="none" w:sz="0" w:space="0" w:color="auto"/>
        <w:bottom w:val="none" w:sz="0" w:space="0" w:color="auto"/>
        <w:right w:val="none" w:sz="0" w:space="0" w:color="auto"/>
      </w:divBdr>
    </w:div>
    <w:div w:id="406464313">
      <w:bodyDiv w:val="1"/>
      <w:marLeft w:val="0"/>
      <w:marRight w:val="0"/>
      <w:marTop w:val="0"/>
      <w:marBottom w:val="0"/>
      <w:divBdr>
        <w:top w:val="none" w:sz="0" w:space="0" w:color="auto"/>
        <w:left w:val="none" w:sz="0" w:space="0" w:color="auto"/>
        <w:bottom w:val="none" w:sz="0" w:space="0" w:color="auto"/>
        <w:right w:val="none" w:sz="0" w:space="0" w:color="auto"/>
      </w:divBdr>
    </w:div>
    <w:div w:id="428357060">
      <w:bodyDiv w:val="1"/>
      <w:marLeft w:val="0"/>
      <w:marRight w:val="0"/>
      <w:marTop w:val="0"/>
      <w:marBottom w:val="0"/>
      <w:divBdr>
        <w:top w:val="none" w:sz="0" w:space="0" w:color="auto"/>
        <w:left w:val="none" w:sz="0" w:space="0" w:color="auto"/>
        <w:bottom w:val="none" w:sz="0" w:space="0" w:color="auto"/>
        <w:right w:val="none" w:sz="0" w:space="0" w:color="auto"/>
      </w:divBdr>
    </w:div>
    <w:div w:id="478615437">
      <w:bodyDiv w:val="1"/>
      <w:marLeft w:val="0"/>
      <w:marRight w:val="0"/>
      <w:marTop w:val="0"/>
      <w:marBottom w:val="0"/>
      <w:divBdr>
        <w:top w:val="none" w:sz="0" w:space="0" w:color="auto"/>
        <w:left w:val="none" w:sz="0" w:space="0" w:color="auto"/>
        <w:bottom w:val="none" w:sz="0" w:space="0" w:color="auto"/>
        <w:right w:val="none" w:sz="0" w:space="0" w:color="auto"/>
      </w:divBdr>
    </w:div>
    <w:div w:id="565070677">
      <w:bodyDiv w:val="1"/>
      <w:marLeft w:val="0"/>
      <w:marRight w:val="0"/>
      <w:marTop w:val="0"/>
      <w:marBottom w:val="0"/>
      <w:divBdr>
        <w:top w:val="none" w:sz="0" w:space="0" w:color="auto"/>
        <w:left w:val="none" w:sz="0" w:space="0" w:color="auto"/>
        <w:bottom w:val="none" w:sz="0" w:space="0" w:color="auto"/>
        <w:right w:val="none" w:sz="0" w:space="0" w:color="auto"/>
      </w:divBdr>
    </w:div>
    <w:div w:id="646933919">
      <w:bodyDiv w:val="1"/>
      <w:marLeft w:val="0"/>
      <w:marRight w:val="0"/>
      <w:marTop w:val="0"/>
      <w:marBottom w:val="0"/>
      <w:divBdr>
        <w:top w:val="none" w:sz="0" w:space="0" w:color="auto"/>
        <w:left w:val="none" w:sz="0" w:space="0" w:color="auto"/>
        <w:bottom w:val="none" w:sz="0" w:space="0" w:color="auto"/>
        <w:right w:val="none" w:sz="0" w:space="0" w:color="auto"/>
      </w:divBdr>
    </w:div>
    <w:div w:id="656763589">
      <w:bodyDiv w:val="1"/>
      <w:marLeft w:val="0"/>
      <w:marRight w:val="0"/>
      <w:marTop w:val="0"/>
      <w:marBottom w:val="0"/>
      <w:divBdr>
        <w:top w:val="none" w:sz="0" w:space="0" w:color="auto"/>
        <w:left w:val="none" w:sz="0" w:space="0" w:color="auto"/>
        <w:bottom w:val="none" w:sz="0" w:space="0" w:color="auto"/>
        <w:right w:val="none" w:sz="0" w:space="0" w:color="auto"/>
      </w:divBdr>
    </w:div>
    <w:div w:id="696545817">
      <w:bodyDiv w:val="1"/>
      <w:marLeft w:val="0"/>
      <w:marRight w:val="0"/>
      <w:marTop w:val="0"/>
      <w:marBottom w:val="0"/>
      <w:divBdr>
        <w:top w:val="none" w:sz="0" w:space="0" w:color="auto"/>
        <w:left w:val="none" w:sz="0" w:space="0" w:color="auto"/>
        <w:bottom w:val="none" w:sz="0" w:space="0" w:color="auto"/>
        <w:right w:val="none" w:sz="0" w:space="0" w:color="auto"/>
      </w:divBdr>
    </w:div>
    <w:div w:id="704251768">
      <w:bodyDiv w:val="1"/>
      <w:marLeft w:val="0"/>
      <w:marRight w:val="0"/>
      <w:marTop w:val="0"/>
      <w:marBottom w:val="0"/>
      <w:divBdr>
        <w:top w:val="none" w:sz="0" w:space="0" w:color="auto"/>
        <w:left w:val="none" w:sz="0" w:space="0" w:color="auto"/>
        <w:bottom w:val="none" w:sz="0" w:space="0" w:color="auto"/>
        <w:right w:val="none" w:sz="0" w:space="0" w:color="auto"/>
      </w:divBdr>
    </w:div>
    <w:div w:id="735668874">
      <w:bodyDiv w:val="1"/>
      <w:marLeft w:val="0"/>
      <w:marRight w:val="0"/>
      <w:marTop w:val="0"/>
      <w:marBottom w:val="0"/>
      <w:divBdr>
        <w:top w:val="none" w:sz="0" w:space="0" w:color="auto"/>
        <w:left w:val="none" w:sz="0" w:space="0" w:color="auto"/>
        <w:bottom w:val="none" w:sz="0" w:space="0" w:color="auto"/>
        <w:right w:val="none" w:sz="0" w:space="0" w:color="auto"/>
      </w:divBdr>
    </w:div>
    <w:div w:id="805394816">
      <w:bodyDiv w:val="1"/>
      <w:marLeft w:val="0"/>
      <w:marRight w:val="0"/>
      <w:marTop w:val="0"/>
      <w:marBottom w:val="0"/>
      <w:divBdr>
        <w:top w:val="none" w:sz="0" w:space="0" w:color="auto"/>
        <w:left w:val="none" w:sz="0" w:space="0" w:color="auto"/>
        <w:bottom w:val="none" w:sz="0" w:space="0" w:color="auto"/>
        <w:right w:val="none" w:sz="0" w:space="0" w:color="auto"/>
      </w:divBdr>
    </w:div>
    <w:div w:id="809785621">
      <w:bodyDiv w:val="1"/>
      <w:marLeft w:val="0"/>
      <w:marRight w:val="0"/>
      <w:marTop w:val="0"/>
      <w:marBottom w:val="0"/>
      <w:divBdr>
        <w:top w:val="none" w:sz="0" w:space="0" w:color="auto"/>
        <w:left w:val="none" w:sz="0" w:space="0" w:color="auto"/>
        <w:bottom w:val="none" w:sz="0" w:space="0" w:color="auto"/>
        <w:right w:val="none" w:sz="0" w:space="0" w:color="auto"/>
      </w:divBdr>
    </w:div>
    <w:div w:id="834491361">
      <w:bodyDiv w:val="1"/>
      <w:marLeft w:val="0"/>
      <w:marRight w:val="0"/>
      <w:marTop w:val="0"/>
      <w:marBottom w:val="0"/>
      <w:divBdr>
        <w:top w:val="none" w:sz="0" w:space="0" w:color="auto"/>
        <w:left w:val="none" w:sz="0" w:space="0" w:color="auto"/>
        <w:bottom w:val="none" w:sz="0" w:space="0" w:color="auto"/>
        <w:right w:val="none" w:sz="0" w:space="0" w:color="auto"/>
      </w:divBdr>
    </w:div>
    <w:div w:id="840004910">
      <w:bodyDiv w:val="1"/>
      <w:marLeft w:val="0"/>
      <w:marRight w:val="0"/>
      <w:marTop w:val="0"/>
      <w:marBottom w:val="0"/>
      <w:divBdr>
        <w:top w:val="none" w:sz="0" w:space="0" w:color="auto"/>
        <w:left w:val="none" w:sz="0" w:space="0" w:color="auto"/>
        <w:bottom w:val="none" w:sz="0" w:space="0" w:color="auto"/>
        <w:right w:val="none" w:sz="0" w:space="0" w:color="auto"/>
      </w:divBdr>
    </w:div>
    <w:div w:id="841972708">
      <w:bodyDiv w:val="1"/>
      <w:marLeft w:val="0"/>
      <w:marRight w:val="0"/>
      <w:marTop w:val="0"/>
      <w:marBottom w:val="0"/>
      <w:divBdr>
        <w:top w:val="none" w:sz="0" w:space="0" w:color="auto"/>
        <w:left w:val="none" w:sz="0" w:space="0" w:color="auto"/>
        <w:bottom w:val="none" w:sz="0" w:space="0" w:color="auto"/>
        <w:right w:val="none" w:sz="0" w:space="0" w:color="auto"/>
      </w:divBdr>
    </w:div>
    <w:div w:id="842554624">
      <w:bodyDiv w:val="1"/>
      <w:marLeft w:val="0"/>
      <w:marRight w:val="0"/>
      <w:marTop w:val="0"/>
      <w:marBottom w:val="0"/>
      <w:divBdr>
        <w:top w:val="none" w:sz="0" w:space="0" w:color="auto"/>
        <w:left w:val="none" w:sz="0" w:space="0" w:color="auto"/>
        <w:bottom w:val="none" w:sz="0" w:space="0" w:color="auto"/>
        <w:right w:val="none" w:sz="0" w:space="0" w:color="auto"/>
      </w:divBdr>
    </w:div>
    <w:div w:id="848906297">
      <w:bodyDiv w:val="1"/>
      <w:marLeft w:val="0"/>
      <w:marRight w:val="0"/>
      <w:marTop w:val="0"/>
      <w:marBottom w:val="0"/>
      <w:divBdr>
        <w:top w:val="none" w:sz="0" w:space="0" w:color="auto"/>
        <w:left w:val="none" w:sz="0" w:space="0" w:color="auto"/>
        <w:bottom w:val="none" w:sz="0" w:space="0" w:color="auto"/>
        <w:right w:val="none" w:sz="0" w:space="0" w:color="auto"/>
      </w:divBdr>
    </w:div>
    <w:div w:id="851073091">
      <w:bodyDiv w:val="1"/>
      <w:marLeft w:val="0"/>
      <w:marRight w:val="0"/>
      <w:marTop w:val="0"/>
      <w:marBottom w:val="0"/>
      <w:divBdr>
        <w:top w:val="none" w:sz="0" w:space="0" w:color="auto"/>
        <w:left w:val="none" w:sz="0" w:space="0" w:color="auto"/>
        <w:bottom w:val="none" w:sz="0" w:space="0" w:color="auto"/>
        <w:right w:val="none" w:sz="0" w:space="0" w:color="auto"/>
      </w:divBdr>
    </w:div>
    <w:div w:id="955672218">
      <w:bodyDiv w:val="1"/>
      <w:marLeft w:val="0"/>
      <w:marRight w:val="0"/>
      <w:marTop w:val="0"/>
      <w:marBottom w:val="0"/>
      <w:divBdr>
        <w:top w:val="none" w:sz="0" w:space="0" w:color="auto"/>
        <w:left w:val="none" w:sz="0" w:space="0" w:color="auto"/>
        <w:bottom w:val="none" w:sz="0" w:space="0" w:color="auto"/>
        <w:right w:val="none" w:sz="0" w:space="0" w:color="auto"/>
      </w:divBdr>
    </w:div>
    <w:div w:id="957639291">
      <w:bodyDiv w:val="1"/>
      <w:marLeft w:val="0"/>
      <w:marRight w:val="0"/>
      <w:marTop w:val="0"/>
      <w:marBottom w:val="0"/>
      <w:divBdr>
        <w:top w:val="none" w:sz="0" w:space="0" w:color="auto"/>
        <w:left w:val="none" w:sz="0" w:space="0" w:color="auto"/>
        <w:bottom w:val="none" w:sz="0" w:space="0" w:color="auto"/>
        <w:right w:val="none" w:sz="0" w:space="0" w:color="auto"/>
      </w:divBdr>
    </w:div>
    <w:div w:id="1002850778">
      <w:bodyDiv w:val="1"/>
      <w:marLeft w:val="0"/>
      <w:marRight w:val="0"/>
      <w:marTop w:val="0"/>
      <w:marBottom w:val="0"/>
      <w:divBdr>
        <w:top w:val="none" w:sz="0" w:space="0" w:color="auto"/>
        <w:left w:val="none" w:sz="0" w:space="0" w:color="auto"/>
        <w:bottom w:val="none" w:sz="0" w:space="0" w:color="auto"/>
        <w:right w:val="none" w:sz="0" w:space="0" w:color="auto"/>
      </w:divBdr>
    </w:div>
    <w:div w:id="1012800574">
      <w:bodyDiv w:val="1"/>
      <w:marLeft w:val="0"/>
      <w:marRight w:val="0"/>
      <w:marTop w:val="0"/>
      <w:marBottom w:val="0"/>
      <w:divBdr>
        <w:top w:val="none" w:sz="0" w:space="0" w:color="auto"/>
        <w:left w:val="none" w:sz="0" w:space="0" w:color="auto"/>
        <w:bottom w:val="none" w:sz="0" w:space="0" w:color="auto"/>
        <w:right w:val="none" w:sz="0" w:space="0" w:color="auto"/>
      </w:divBdr>
    </w:div>
    <w:div w:id="1060444481">
      <w:bodyDiv w:val="1"/>
      <w:marLeft w:val="0"/>
      <w:marRight w:val="0"/>
      <w:marTop w:val="0"/>
      <w:marBottom w:val="0"/>
      <w:divBdr>
        <w:top w:val="none" w:sz="0" w:space="0" w:color="auto"/>
        <w:left w:val="none" w:sz="0" w:space="0" w:color="auto"/>
        <w:bottom w:val="none" w:sz="0" w:space="0" w:color="auto"/>
        <w:right w:val="none" w:sz="0" w:space="0" w:color="auto"/>
      </w:divBdr>
    </w:div>
    <w:div w:id="1068383311">
      <w:bodyDiv w:val="1"/>
      <w:marLeft w:val="0"/>
      <w:marRight w:val="0"/>
      <w:marTop w:val="0"/>
      <w:marBottom w:val="0"/>
      <w:divBdr>
        <w:top w:val="none" w:sz="0" w:space="0" w:color="auto"/>
        <w:left w:val="none" w:sz="0" w:space="0" w:color="auto"/>
        <w:bottom w:val="none" w:sz="0" w:space="0" w:color="auto"/>
        <w:right w:val="none" w:sz="0" w:space="0" w:color="auto"/>
      </w:divBdr>
    </w:div>
    <w:div w:id="1068458013">
      <w:bodyDiv w:val="1"/>
      <w:marLeft w:val="0"/>
      <w:marRight w:val="0"/>
      <w:marTop w:val="0"/>
      <w:marBottom w:val="0"/>
      <w:divBdr>
        <w:top w:val="none" w:sz="0" w:space="0" w:color="auto"/>
        <w:left w:val="none" w:sz="0" w:space="0" w:color="auto"/>
        <w:bottom w:val="none" w:sz="0" w:space="0" w:color="auto"/>
        <w:right w:val="none" w:sz="0" w:space="0" w:color="auto"/>
      </w:divBdr>
    </w:div>
    <w:div w:id="1090350219">
      <w:bodyDiv w:val="1"/>
      <w:marLeft w:val="0"/>
      <w:marRight w:val="0"/>
      <w:marTop w:val="0"/>
      <w:marBottom w:val="0"/>
      <w:divBdr>
        <w:top w:val="none" w:sz="0" w:space="0" w:color="auto"/>
        <w:left w:val="none" w:sz="0" w:space="0" w:color="auto"/>
        <w:bottom w:val="none" w:sz="0" w:space="0" w:color="auto"/>
        <w:right w:val="none" w:sz="0" w:space="0" w:color="auto"/>
      </w:divBdr>
    </w:div>
    <w:div w:id="1154876697">
      <w:bodyDiv w:val="1"/>
      <w:marLeft w:val="0"/>
      <w:marRight w:val="0"/>
      <w:marTop w:val="0"/>
      <w:marBottom w:val="0"/>
      <w:divBdr>
        <w:top w:val="none" w:sz="0" w:space="0" w:color="auto"/>
        <w:left w:val="none" w:sz="0" w:space="0" w:color="auto"/>
        <w:bottom w:val="none" w:sz="0" w:space="0" w:color="auto"/>
        <w:right w:val="none" w:sz="0" w:space="0" w:color="auto"/>
      </w:divBdr>
    </w:div>
    <w:div w:id="1236471063">
      <w:bodyDiv w:val="1"/>
      <w:marLeft w:val="0"/>
      <w:marRight w:val="0"/>
      <w:marTop w:val="0"/>
      <w:marBottom w:val="0"/>
      <w:divBdr>
        <w:top w:val="none" w:sz="0" w:space="0" w:color="auto"/>
        <w:left w:val="none" w:sz="0" w:space="0" w:color="auto"/>
        <w:bottom w:val="none" w:sz="0" w:space="0" w:color="auto"/>
        <w:right w:val="none" w:sz="0" w:space="0" w:color="auto"/>
      </w:divBdr>
    </w:div>
    <w:div w:id="1241981827">
      <w:bodyDiv w:val="1"/>
      <w:marLeft w:val="0"/>
      <w:marRight w:val="0"/>
      <w:marTop w:val="0"/>
      <w:marBottom w:val="0"/>
      <w:divBdr>
        <w:top w:val="none" w:sz="0" w:space="0" w:color="auto"/>
        <w:left w:val="none" w:sz="0" w:space="0" w:color="auto"/>
        <w:bottom w:val="none" w:sz="0" w:space="0" w:color="auto"/>
        <w:right w:val="none" w:sz="0" w:space="0" w:color="auto"/>
      </w:divBdr>
    </w:div>
    <w:div w:id="1325862051">
      <w:bodyDiv w:val="1"/>
      <w:marLeft w:val="0"/>
      <w:marRight w:val="0"/>
      <w:marTop w:val="0"/>
      <w:marBottom w:val="0"/>
      <w:divBdr>
        <w:top w:val="none" w:sz="0" w:space="0" w:color="auto"/>
        <w:left w:val="none" w:sz="0" w:space="0" w:color="auto"/>
        <w:bottom w:val="none" w:sz="0" w:space="0" w:color="auto"/>
        <w:right w:val="none" w:sz="0" w:space="0" w:color="auto"/>
      </w:divBdr>
    </w:div>
    <w:div w:id="1434402629">
      <w:bodyDiv w:val="1"/>
      <w:marLeft w:val="0"/>
      <w:marRight w:val="0"/>
      <w:marTop w:val="0"/>
      <w:marBottom w:val="0"/>
      <w:divBdr>
        <w:top w:val="none" w:sz="0" w:space="0" w:color="auto"/>
        <w:left w:val="none" w:sz="0" w:space="0" w:color="auto"/>
        <w:bottom w:val="none" w:sz="0" w:space="0" w:color="auto"/>
        <w:right w:val="none" w:sz="0" w:space="0" w:color="auto"/>
      </w:divBdr>
    </w:div>
    <w:div w:id="1498689742">
      <w:bodyDiv w:val="1"/>
      <w:marLeft w:val="0"/>
      <w:marRight w:val="0"/>
      <w:marTop w:val="0"/>
      <w:marBottom w:val="0"/>
      <w:divBdr>
        <w:top w:val="none" w:sz="0" w:space="0" w:color="auto"/>
        <w:left w:val="none" w:sz="0" w:space="0" w:color="auto"/>
        <w:bottom w:val="none" w:sz="0" w:space="0" w:color="auto"/>
        <w:right w:val="none" w:sz="0" w:space="0" w:color="auto"/>
      </w:divBdr>
    </w:div>
    <w:div w:id="1538741427">
      <w:bodyDiv w:val="1"/>
      <w:marLeft w:val="0"/>
      <w:marRight w:val="0"/>
      <w:marTop w:val="0"/>
      <w:marBottom w:val="0"/>
      <w:divBdr>
        <w:top w:val="none" w:sz="0" w:space="0" w:color="auto"/>
        <w:left w:val="none" w:sz="0" w:space="0" w:color="auto"/>
        <w:bottom w:val="none" w:sz="0" w:space="0" w:color="auto"/>
        <w:right w:val="none" w:sz="0" w:space="0" w:color="auto"/>
      </w:divBdr>
    </w:div>
    <w:div w:id="1623609397">
      <w:bodyDiv w:val="1"/>
      <w:marLeft w:val="0"/>
      <w:marRight w:val="0"/>
      <w:marTop w:val="0"/>
      <w:marBottom w:val="0"/>
      <w:divBdr>
        <w:top w:val="none" w:sz="0" w:space="0" w:color="auto"/>
        <w:left w:val="none" w:sz="0" w:space="0" w:color="auto"/>
        <w:bottom w:val="none" w:sz="0" w:space="0" w:color="auto"/>
        <w:right w:val="none" w:sz="0" w:space="0" w:color="auto"/>
      </w:divBdr>
    </w:div>
    <w:div w:id="1647198198">
      <w:bodyDiv w:val="1"/>
      <w:marLeft w:val="0"/>
      <w:marRight w:val="0"/>
      <w:marTop w:val="0"/>
      <w:marBottom w:val="0"/>
      <w:divBdr>
        <w:top w:val="none" w:sz="0" w:space="0" w:color="auto"/>
        <w:left w:val="none" w:sz="0" w:space="0" w:color="auto"/>
        <w:bottom w:val="none" w:sz="0" w:space="0" w:color="auto"/>
        <w:right w:val="none" w:sz="0" w:space="0" w:color="auto"/>
      </w:divBdr>
    </w:div>
    <w:div w:id="1679580369">
      <w:bodyDiv w:val="1"/>
      <w:marLeft w:val="0"/>
      <w:marRight w:val="0"/>
      <w:marTop w:val="0"/>
      <w:marBottom w:val="0"/>
      <w:divBdr>
        <w:top w:val="none" w:sz="0" w:space="0" w:color="auto"/>
        <w:left w:val="none" w:sz="0" w:space="0" w:color="auto"/>
        <w:bottom w:val="none" w:sz="0" w:space="0" w:color="auto"/>
        <w:right w:val="none" w:sz="0" w:space="0" w:color="auto"/>
      </w:divBdr>
    </w:div>
    <w:div w:id="1679698494">
      <w:bodyDiv w:val="1"/>
      <w:marLeft w:val="0"/>
      <w:marRight w:val="0"/>
      <w:marTop w:val="0"/>
      <w:marBottom w:val="0"/>
      <w:divBdr>
        <w:top w:val="none" w:sz="0" w:space="0" w:color="auto"/>
        <w:left w:val="none" w:sz="0" w:space="0" w:color="auto"/>
        <w:bottom w:val="none" w:sz="0" w:space="0" w:color="auto"/>
        <w:right w:val="none" w:sz="0" w:space="0" w:color="auto"/>
      </w:divBdr>
    </w:div>
    <w:div w:id="1772584813">
      <w:bodyDiv w:val="1"/>
      <w:marLeft w:val="0"/>
      <w:marRight w:val="0"/>
      <w:marTop w:val="0"/>
      <w:marBottom w:val="0"/>
      <w:divBdr>
        <w:top w:val="none" w:sz="0" w:space="0" w:color="auto"/>
        <w:left w:val="none" w:sz="0" w:space="0" w:color="auto"/>
        <w:bottom w:val="none" w:sz="0" w:space="0" w:color="auto"/>
        <w:right w:val="none" w:sz="0" w:space="0" w:color="auto"/>
      </w:divBdr>
    </w:div>
    <w:div w:id="18362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2709</Words>
  <Characters>18363</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2023014061_x000d_
Rettelse i pkt. 6.5</dc:description>
  <cp:lastModifiedBy>Iman El Kadiri</cp:lastModifiedBy>
  <cp:revision>4</cp:revision>
  <cp:lastPrinted>2012-08-22T08:53:00Z</cp:lastPrinted>
  <dcterms:created xsi:type="dcterms:W3CDTF">2024-07-05T09:25:00Z</dcterms:created>
  <dcterms:modified xsi:type="dcterms:W3CDTF">2024-07-05T09:26:00Z</dcterms:modified>
</cp:coreProperties>
</file>