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AB5" w:rsidRPr="00C84483" w:rsidRDefault="00140AB5" w:rsidP="006B4CA6">
      <w:pPr>
        <w:rPr>
          <w:b/>
          <w:szCs w:val="24"/>
        </w:rPr>
      </w:pPr>
      <w:r w:rsidRPr="009260DE">
        <w:rPr>
          <w:noProof/>
          <w:sz w:val="24"/>
          <w:szCs w:val="24"/>
          <w:lang w:eastAsia="da-DK"/>
        </w:rPr>
        <w:drawing>
          <wp:anchor distT="0" distB="0" distL="114300" distR="114300" simplePos="0" relativeHeight="251659264" behindDoc="0" locked="0" layoutInCell="1" allowOverlap="1" wp14:anchorId="3A4E0621" wp14:editId="5E4DF4B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140AB5" w:rsidRPr="00C84483" w:rsidRDefault="00140AB5" w:rsidP="00140AB5">
      <w:pPr>
        <w:pStyle w:val="Titel"/>
        <w:tabs>
          <w:tab w:val="right" w:pos="9356"/>
        </w:tabs>
        <w:jc w:val="left"/>
        <w:rPr>
          <w:b w:val="0"/>
          <w:szCs w:val="24"/>
          <w:lang w:eastAsia="en-US"/>
        </w:rPr>
      </w:pPr>
      <w:r w:rsidRPr="00C84483">
        <w:rPr>
          <w:b w:val="0"/>
          <w:szCs w:val="24"/>
          <w:lang w:eastAsia="en-US"/>
        </w:rPr>
        <w:tab/>
      </w:r>
      <w:r w:rsidR="006B4CA6">
        <w:rPr>
          <w:szCs w:val="24"/>
        </w:rPr>
        <w:t>1. februar 2023</w:t>
      </w:r>
    </w:p>
    <w:p w:rsidR="00E82606" w:rsidRPr="00C84483" w:rsidRDefault="00E82606" w:rsidP="00140AB5">
      <w:pPr>
        <w:pStyle w:val="Titel"/>
        <w:tabs>
          <w:tab w:val="left" w:pos="8222"/>
        </w:tabs>
        <w:jc w:val="left"/>
        <w:rPr>
          <w:b w:val="0"/>
          <w:szCs w:val="24"/>
        </w:rPr>
      </w:pPr>
    </w:p>
    <w:p w:rsidR="00140AB5" w:rsidRPr="00C84483" w:rsidRDefault="00140AB5" w:rsidP="00140AB5">
      <w:pPr>
        <w:pStyle w:val="Titel"/>
        <w:jc w:val="left"/>
        <w:rPr>
          <w:b w:val="0"/>
          <w:szCs w:val="24"/>
        </w:rPr>
      </w:pPr>
    </w:p>
    <w:p w:rsidR="00140AB5" w:rsidRPr="00C84483" w:rsidRDefault="00140AB5" w:rsidP="00140AB5">
      <w:pPr>
        <w:pStyle w:val="Titel"/>
        <w:jc w:val="left"/>
        <w:rPr>
          <w:b w:val="0"/>
          <w:szCs w:val="24"/>
        </w:rPr>
      </w:pPr>
    </w:p>
    <w:p w:rsidR="00140AB5" w:rsidRPr="00C84483" w:rsidRDefault="00140AB5" w:rsidP="00140AB5">
      <w:pPr>
        <w:jc w:val="center"/>
        <w:rPr>
          <w:b/>
          <w:sz w:val="24"/>
          <w:szCs w:val="24"/>
        </w:rPr>
      </w:pPr>
      <w:r w:rsidRPr="00C84483">
        <w:rPr>
          <w:b/>
          <w:sz w:val="24"/>
          <w:szCs w:val="24"/>
        </w:rPr>
        <w:t>PRODUKTRESUMÉ</w:t>
      </w:r>
    </w:p>
    <w:p w:rsidR="00140AB5" w:rsidRPr="00C84483" w:rsidRDefault="00140AB5" w:rsidP="00140AB5">
      <w:pPr>
        <w:jc w:val="center"/>
        <w:rPr>
          <w:b/>
          <w:sz w:val="24"/>
          <w:szCs w:val="24"/>
        </w:rPr>
      </w:pPr>
    </w:p>
    <w:p w:rsidR="00140AB5" w:rsidRDefault="00140AB5" w:rsidP="00140AB5">
      <w:pPr>
        <w:jc w:val="center"/>
        <w:rPr>
          <w:b/>
          <w:sz w:val="24"/>
          <w:szCs w:val="24"/>
        </w:rPr>
      </w:pPr>
      <w:r w:rsidRPr="00C84483">
        <w:rPr>
          <w:b/>
          <w:sz w:val="24"/>
          <w:szCs w:val="24"/>
        </w:rPr>
        <w:t>for</w:t>
      </w:r>
    </w:p>
    <w:p w:rsidR="00140AB5" w:rsidRPr="00C84483" w:rsidRDefault="00140AB5" w:rsidP="00140AB5">
      <w:pPr>
        <w:jc w:val="center"/>
        <w:rPr>
          <w:b/>
          <w:sz w:val="24"/>
          <w:szCs w:val="24"/>
        </w:rPr>
      </w:pPr>
    </w:p>
    <w:p w:rsidR="00140AB5" w:rsidRPr="00C84483" w:rsidRDefault="00140AB5" w:rsidP="00140AB5">
      <w:pPr>
        <w:jc w:val="center"/>
        <w:rPr>
          <w:b/>
          <w:sz w:val="24"/>
          <w:szCs w:val="24"/>
        </w:rPr>
      </w:pPr>
      <w:proofErr w:type="spellStart"/>
      <w:r>
        <w:rPr>
          <w:b/>
          <w:sz w:val="24"/>
          <w:szCs w:val="24"/>
        </w:rPr>
        <w:t>Zafrilla</w:t>
      </w:r>
      <w:proofErr w:type="spellEnd"/>
      <w:r>
        <w:rPr>
          <w:b/>
          <w:sz w:val="24"/>
          <w:szCs w:val="24"/>
        </w:rPr>
        <w:t>, tabletter</w:t>
      </w:r>
    </w:p>
    <w:p w:rsidR="00140AB5" w:rsidRPr="00C84483" w:rsidRDefault="00140AB5" w:rsidP="00140AB5">
      <w:pPr>
        <w:jc w:val="both"/>
        <w:rPr>
          <w:sz w:val="24"/>
          <w:szCs w:val="24"/>
        </w:rPr>
      </w:pPr>
    </w:p>
    <w:p w:rsidR="00140AB5" w:rsidRPr="00C84483" w:rsidRDefault="00140AB5" w:rsidP="00140AB5">
      <w:pPr>
        <w:jc w:val="both"/>
        <w:rPr>
          <w:sz w:val="24"/>
          <w:szCs w:val="24"/>
        </w:rPr>
      </w:pPr>
    </w:p>
    <w:p w:rsidR="00140AB5" w:rsidRPr="00C84483" w:rsidRDefault="00140AB5" w:rsidP="00140AB5">
      <w:pPr>
        <w:tabs>
          <w:tab w:val="left" w:pos="851"/>
        </w:tabs>
        <w:ind w:left="851" w:hanging="851"/>
        <w:rPr>
          <w:b/>
          <w:sz w:val="24"/>
          <w:szCs w:val="24"/>
        </w:rPr>
      </w:pPr>
      <w:r w:rsidRPr="00C84483">
        <w:rPr>
          <w:b/>
          <w:sz w:val="24"/>
          <w:szCs w:val="24"/>
        </w:rPr>
        <w:t>0.</w:t>
      </w:r>
      <w:r w:rsidRPr="00C84483">
        <w:rPr>
          <w:b/>
          <w:sz w:val="24"/>
          <w:szCs w:val="24"/>
        </w:rPr>
        <w:tab/>
        <w:t>D.SP.NR.</w:t>
      </w:r>
    </w:p>
    <w:p w:rsidR="00140AB5" w:rsidRPr="00C84483" w:rsidRDefault="00140AB5" w:rsidP="00140AB5">
      <w:pPr>
        <w:tabs>
          <w:tab w:val="left" w:pos="851"/>
        </w:tabs>
        <w:ind w:left="851"/>
        <w:rPr>
          <w:sz w:val="24"/>
          <w:szCs w:val="24"/>
        </w:rPr>
      </w:pPr>
      <w:r>
        <w:rPr>
          <w:sz w:val="24"/>
          <w:szCs w:val="24"/>
        </w:rPr>
        <w:t>31049</w:t>
      </w:r>
    </w:p>
    <w:p w:rsidR="00140AB5" w:rsidRPr="00C84483" w:rsidRDefault="00140AB5" w:rsidP="00140AB5">
      <w:pPr>
        <w:tabs>
          <w:tab w:val="left" w:pos="851"/>
        </w:tabs>
        <w:ind w:left="851"/>
        <w:rPr>
          <w:sz w:val="24"/>
          <w:szCs w:val="24"/>
        </w:rPr>
      </w:pPr>
    </w:p>
    <w:p w:rsidR="00140AB5" w:rsidRPr="00C84483" w:rsidRDefault="00140AB5" w:rsidP="00140AB5">
      <w:pPr>
        <w:tabs>
          <w:tab w:val="left" w:pos="851"/>
        </w:tabs>
        <w:ind w:left="851" w:hanging="851"/>
        <w:rPr>
          <w:b/>
          <w:sz w:val="24"/>
          <w:szCs w:val="24"/>
        </w:rPr>
      </w:pPr>
      <w:r w:rsidRPr="00C84483">
        <w:rPr>
          <w:b/>
          <w:sz w:val="24"/>
          <w:szCs w:val="24"/>
        </w:rPr>
        <w:t>1.</w:t>
      </w:r>
      <w:r w:rsidRPr="00C84483">
        <w:rPr>
          <w:b/>
          <w:sz w:val="24"/>
          <w:szCs w:val="24"/>
        </w:rPr>
        <w:tab/>
        <w:t>LÆGEMIDLETS NAVN</w:t>
      </w:r>
    </w:p>
    <w:p w:rsidR="00140AB5" w:rsidRPr="00C84483" w:rsidRDefault="00140AB5" w:rsidP="00140AB5">
      <w:pPr>
        <w:tabs>
          <w:tab w:val="left" w:pos="851"/>
        </w:tabs>
        <w:ind w:left="851"/>
        <w:rPr>
          <w:sz w:val="24"/>
          <w:szCs w:val="24"/>
        </w:rPr>
      </w:pPr>
      <w:proofErr w:type="spellStart"/>
      <w:r>
        <w:rPr>
          <w:sz w:val="24"/>
          <w:szCs w:val="24"/>
        </w:rPr>
        <w:t>Zafrilla</w:t>
      </w:r>
      <w:proofErr w:type="spellEnd"/>
    </w:p>
    <w:p w:rsidR="00140AB5" w:rsidRPr="00C84483" w:rsidRDefault="00140AB5" w:rsidP="00140AB5">
      <w:pPr>
        <w:tabs>
          <w:tab w:val="left" w:pos="851"/>
        </w:tabs>
        <w:ind w:left="851"/>
        <w:rPr>
          <w:sz w:val="24"/>
          <w:szCs w:val="24"/>
        </w:rPr>
      </w:pPr>
    </w:p>
    <w:p w:rsidR="00140AB5" w:rsidRPr="00C84483" w:rsidRDefault="00140AB5" w:rsidP="00140AB5">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140AB5" w:rsidRPr="00F06AF6" w:rsidRDefault="00140AB5" w:rsidP="00140AB5">
      <w:pPr>
        <w:tabs>
          <w:tab w:val="left" w:pos="851"/>
        </w:tabs>
        <w:ind w:left="851"/>
        <w:rPr>
          <w:sz w:val="24"/>
          <w:szCs w:val="24"/>
        </w:rPr>
      </w:pPr>
      <w:r w:rsidRPr="00F06AF6">
        <w:rPr>
          <w:sz w:val="24"/>
          <w:szCs w:val="24"/>
        </w:rPr>
        <w:t xml:space="preserve">Hver tablet indeholder 2 mg </w:t>
      </w:r>
      <w:proofErr w:type="spellStart"/>
      <w:r w:rsidRPr="00F06AF6">
        <w:rPr>
          <w:sz w:val="24"/>
          <w:szCs w:val="24"/>
        </w:rPr>
        <w:t>dienogest</w:t>
      </w:r>
      <w:proofErr w:type="spellEnd"/>
      <w:r w:rsidRPr="00F06AF6">
        <w:rPr>
          <w:sz w:val="24"/>
          <w:szCs w:val="24"/>
        </w:rPr>
        <w:t>.</w:t>
      </w:r>
    </w:p>
    <w:p w:rsidR="00140AB5" w:rsidRPr="00F06AF6" w:rsidRDefault="00140AB5" w:rsidP="00140AB5">
      <w:pPr>
        <w:tabs>
          <w:tab w:val="left" w:pos="851"/>
        </w:tabs>
        <w:ind w:left="851"/>
        <w:rPr>
          <w:sz w:val="24"/>
          <w:szCs w:val="24"/>
        </w:rPr>
      </w:pPr>
    </w:p>
    <w:p w:rsidR="00140AB5" w:rsidRDefault="00140AB5" w:rsidP="00140AB5">
      <w:pPr>
        <w:tabs>
          <w:tab w:val="left" w:pos="851"/>
        </w:tabs>
        <w:ind w:left="851"/>
        <w:rPr>
          <w:sz w:val="24"/>
          <w:szCs w:val="24"/>
          <w:u w:val="single"/>
        </w:rPr>
      </w:pPr>
      <w:r w:rsidRPr="00F06AF6">
        <w:rPr>
          <w:sz w:val="24"/>
          <w:szCs w:val="24"/>
          <w:u w:val="single"/>
        </w:rPr>
        <w:t>Hjælpestof, som behandleren skal være opmærksom på</w:t>
      </w:r>
    </w:p>
    <w:p w:rsidR="00140AB5" w:rsidRPr="00181561" w:rsidRDefault="00140AB5" w:rsidP="00140AB5">
      <w:pPr>
        <w:tabs>
          <w:tab w:val="left" w:pos="851"/>
        </w:tabs>
        <w:ind w:left="851"/>
        <w:rPr>
          <w:sz w:val="24"/>
          <w:szCs w:val="24"/>
        </w:rPr>
      </w:pPr>
      <w:r w:rsidRPr="00181561">
        <w:rPr>
          <w:sz w:val="24"/>
          <w:szCs w:val="24"/>
        </w:rPr>
        <w:t>Hver tablet indeholder 62,80 mg laktosemonohydrat.</w:t>
      </w:r>
    </w:p>
    <w:p w:rsidR="00140AB5" w:rsidRPr="00F06AF6" w:rsidRDefault="00140AB5" w:rsidP="00140AB5">
      <w:pPr>
        <w:tabs>
          <w:tab w:val="left" w:pos="851"/>
        </w:tabs>
        <w:ind w:left="851"/>
        <w:rPr>
          <w:sz w:val="24"/>
          <w:szCs w:val="24"/>
        </w:rPr>
      </w:pPr>
    </w:p>
    <w:p w:rsidR="00140AB5" w:rsidRPr="00F06AF6" w:rsidRDefault="00140AB5" w:rsidP="00140AB5">
      <w:pPr>
        <w:tabs>
          <w:tab w:val="left" w:pos="851"/>
        </w:tabs>
        <w:ind w:left="851"/>
        <w:rPr>
          <w:sz w:val="24"/>
          <w:szCs w:val="24"/>
          <w:lang w:val="de-DE"/>
        </w:rPr>
      </w:pPr>
      <w:r w:rsidRPr="00F06AF6">
        <w:rPr>
          <w:sz w:val="24"/>
          <w:szCs w:val="24"/>
        </w:rPr>
        <w:t>Alle hjælpestoffer er anført under pkt. 6.1.</w:t>
      </w:r>
    </w:p>
    <w:p w:rsidR="00140AB5" w:rsidRPr="00F06AF6" w:rsidRDefault="00140AB5" w:rsidP="00140AB5">
      <w:pPr>
        <w:tabs>
          <w:tab w:val="left" w:pos="851"/>
        </w:tabs>
        <w:ind w:left="851"/>
        <w:rPr>
          <w:sz w:val="24"/>
          <w:szCs w:val="24"/>
          <w:lang w:val="de-DE"/>
        </w:rPr>
      </w:pPr>
    </w:p>
    <w:p w:rsidR="00140AB5" w:rsidRPr="00C84483" w:rsidRDefault="00140AB5" w:rsidP="00140AB5">
      <w:pPr>
        <w:tabs>
          <w:tab w:val="left" w:pos="851"/>
        </w:tabs>
        <w:ind w:left="851" w:hanging="851"/>
        <w:rPr>
          <w:b/>
          <w:sz w:val="24"/>
          <w:szCs w:val="24"/>
        </w:rPr>
      </w:pPr>
      <w:r w:rsidRPr="00C84483">
        <w:rPr>
          <w:b/>
          <w:sz w:val="24"/>
          <w:szCs w:val="24"/>
        </w:rPr>
        <w:t>3.</w:t>
      </w:r>
      <w:r w:rsidRPr="00C84483">
        <w:rPr>
          <w:b/>
          <w:sz w:val="24"/>
          <w:szCs w:val="24"/>
        </w:rPr>
        <w:tab/>
        <w:t>LÆGEMIDDELFORM</w:t>
      </w:r>
    </w:p>
    <w:p w:rsidR="00140AB5" w:rsidRDefault="00140AB5" w:rsidP="00140AB5">
      <w:pPr>
        <w:tabs>
          <w:tab w:val="left" w:pos="851"/>
        </w:tabs>
        <w:ind w:left="851"/>
        <w:rPr>
          <w:sz w:val="24"/>
          <w:szCs w:val="24"/>
        </w:rPr>
      </w:pPr>
      <w:r w:rsidRPr="00F06AF6">
        <w:rPr>
          <w:sz w:val="24"/>
          <w:szCs w:val="24"/>
        </w:rPr>
        <w:t>Tablet</w:t>
      </w:r>
      <w:r>
        <w:rPr>
          <w:sz w:val="24"/>
          <w:szCs w:val="24"/>
        </w:rPr>
        <w:t>ter</w:t>
      </w:r>
    </w:p>
    <w:p w:rsidR="00140AB5" w:rsidRPr="00F06AF6" w:rsidRDefault="00140AB5" w:rsidP="00140AB5">
      <w:pPr>
        <w:tabs>
          <w:tab w:val="left" w:pos="851"/>
        </w:tabs>
        <w:ind w:left="851"/>
        <w:rPr>
          <w:sz w:val="24"/>
          <w:szCs w:val="24"/>
          <w:lang w:val="de-DE"/>
        </w:rPr>
      </w:pPr>
    </w:p>
    <w:p w:rsidR="00140AB5" w:rsidRPr="00F06AF6" w:rsidRDefault="00140AB5" w:rsidP="00140AB5">
      <w:pPr>
        <w:tabs>
          <w:tab w:val="left" w:pos="851"/>
        </w:tabs>
        <w:ind w:left="851"/>
        <w:rPr>
          <w:sz w:val="24"/>
          <w:szCs w:val="24"/>
        </w:rPr>
      </w:pPr>
      <w:r w:rsidRPr="00F06AF6">
        <w:rPr>
          <w:sz w:val="24"/>
          <w:szCs w:val="24"/>
        </w:rPr>
        <w:t>Hvide eller næsten hvide, runde, flade tabletter med skrå kanter, præget med “G 93” på den ene side og “RG” på den anden side. Tabletternes diameter er 7 mm.</w:t>
      </w:r>
    </w:p>
    <w:p w:rsidR="00140AB5" w:rsidRPr="00C84483" w:rsidRDefault="00140AB5" w:rsidP="00140AB5">
      <w:pPr>
        <w:tabs>
          <w:tab w:val="left" w:pos="851"/>
        </w:tabs>
        <w:ind w:left="851"/>
        <w:rPr>
          <w:sz w:val="24"/>
          <w:szCs w:val="24"/>
        </w:rPr>
      </w:pPr>
    </w:p>
    <w:p w:rsidR="00140AB5" w:rsidRPr="00C84483" w:rsidRDefault="00140AB5" w:rsidP="00140AB5">
      <w:pPr>
        <w:tabs>
          <w:tab w:val="left" w:pos="851"/>
        </w:tabs>
        <w:ind w:left="851"/>
        <w:rPr>
          <w:sz w:val="24"/>
          <w:szCs w:val="24"/>
        </w:rPr>
      </w:pPr>
    </w:p>
    <w:p w:rsidR="00140AB5" w:rsidRPr="00C84483" w:rsidRDefault="00140AB5" w:rsidP="00140AB5">
      <w:pPr>
        <w:tabs>
          <w:tab w:val="left" w:pos="851"/>
        </w:tabs>
        <w:ind w:left="851" w:hanging="851"/>
        <w:rPr>
          <w:b/>
          <w:sz w:val="24"/>
          <w:szCs w:val="24"/>
        </w:rPr>
      </w:pPr>
      <w:r w:rsidRPr="00C84483">
        <w:rPr>
          <w:b/>
          <w:sz w:val="24"/>
          <w:szCs w:val="24"/>
        </w:rPr>
        <w:t>4.</w:t>
      </w:r>
      <w:r w:rsidRPr="00C84483">
        <w:rPr>
          <w:b/>
          <w:sz w:val="24"/>
          <w:szCs w:val="24"/>
        </w:rPr>
        <w:tab/>
        <w:t>KLINISKE OPLYSNINGER</w:t>
      </w:r>
    </w:p>
    <w:p w:rsidR="00140AB5" w:rsidRPr="00C84483" w:rsidRDefault="00140AB5" w:rsidP="00140AB5">
      <w:pPr>
        <w:tabs>
          <w:tab w:val="left" w:pos="851"/>
        </w:tabs>
        <w:ind w:left="851"/>
        <w:rPr>
          <w:b/>
          <w:sz w:val="24"/>
          <w:szCs w:val="24"/>
        </w:rPr>
      </w:pPr>
    </w:p>
    <w:p w:rsidR="00140AB5" w:rsidRPr="00C84483" w:rsidRDefault="00140AB5" w:rsidP="00140AB5">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140AB5" w:rsidRPr="00FE01B6" w:rsidRDefault="00140AB5" w:rsidP="00140AB5">
      <w:pPr>
        <w:tabs>
          <w:tab w:val="left" w:pos="851"/>
        </w:tabs>
        <w:ind w:left="851"/>
        <w:rPr>
          <w:sz w:val="24"/>
          <w:szCs w:val="24"/>
        </w:rPr>
      </w:pPr>
      <w:r w:rsidRPr="00FE01B6">
        <w:rPr>
          <w:sz w:val="24"/>
          <w:szCs w:val="24"/>
        </w:rPr>
        <w:t xml:space="preserve">Behandling af </w:t>
      </w:r>
      <w:proofErr w:type="spellStart"/>
      <w:r w:rsidRPr="00FE01B6">
        <w:rPr>
          <w:sz w:val="24"/>
          <w:szCs w:val="24"/>
        </w:rPr>
        <w:t>endometriose</w:t>
      </w:r>
      <w:proofErr w:type="spellEnd"/>
      <w:r w:rsidRPr="00FE01B6">
        <w:rPr>
          <w:sz w:val="24"/>
          <w:szCs w:val="24"/>
        </w:rPr>
        <w:t>.</w:t>
      </w:r>
    </w:p>
    <w:p w:rsidR="00140AB5" w:rsidRPr="00C84483" w:rsidRDefault="00140AB5" w:rsidP="00140AB5">
      <w:pPr>
        <w:tabs>
          <w:tab w:val="left" w:pos="851"/>
        </w:tabs>
        <w:ind w:left="851"/>
        <w:rPr>
          <w:sz w:val="24"/>
          <w:szCs w:val="24"/>
        </w:rPr>
      </w:pPr>
    </w:p>
    <w:p w:rsidR="00E255FD" w:rsidRPr="00C84483" w:rsidRDefault="00E255FD" w:rsidP="00E255FD">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140AB5" w:rsidRPr="00FE01B6" w:rsidRDefault="00140AB5" w:rsidP="00140AB5">
      <w:pPr>
        <w:tabs>
          <w:tab w:val="left" w:pos="851"/>
        </w:tabs>
        <w:ind w:left="851"/>
        <w:rPr>
          <w:iCs/>
          <w:sz w:val="24"/>
          <w:szCs w:val="24"/>
        </w:rPr>
      </w:pPr>
    </w:p>
    <w:p w:rsidR="00140AB5" w:rsidRPr="00FE01B6" w:rsidRDefault="00140AB5" w:rsidP="00140AB5">
      <w:pPr>
        <w:tabs>
          <w:tab w:val="left" w:pos="851"/>
        </w:tabs>
        <w:ind w:left="851"/>
        <w:rPr>
          <w:iCs/>
          <w:sz w:val="24"/>
          <w:szCs w:val="24"/>
          <w:u w:val="single"/>
        </w:rPr>
      </w:pPr>
      <w:r w:rsidRPr="00FE01B6">
        <w:rPr>
          <w:iCs/>
          <w:sz w:val="24"/>
          <w:szCs w:val="24"/>
          <w:u w:val="single"/>
        </w:rPr>
        <w:t>Dosering</w:t>
      </w:r>
    </w:p>
    <w:p w:rsidR="00140AB5" w:rsidRPr="00FE01B6" w:rsidRDefault="00140AB5" w:rsidP="00140AB5">
      <w:pPr>
        <w:tabs>
          <w:tab w:val="left" w:pos="851"/>
        </w:tabs>
        <w:ind w:left="851"/>
        <w:rPr>
          <w:sz w:val="24"/>
          <w:szCs w:val="24"/>
        </w:rPr>
      </w:pPr>
      <w:r w:rsidRPr="00FE01B6">
        <w:rPr>
          <w:sz w:val="24"/>
          <w:szCs w:val="24"/>
        </w:rPr>
        <w:t xml:space="preserve">Doseringen af </w:t>
      </w:r>
      <w:proofErr w:type="spellStart"/>
      <w:r w:rsidRPr="00FE01B6">
        <w:rPr>
          <w:sz w:val="24"/>
          <w:szCs w:val="24"/>
        </w:rPr>
        <w:t>Zafrilla</w:t>
      </w:r>
      <w:proofErr w:type="spellEnd"/>
      <w:r w:rsidRPr="00FE01B6">
        <w:rPr>
          <w:sz w:val="24"/>
          <w:szCs w:val="24"/>
        </w:rPr>
        <w:t xml:space="preserve"> er </w:t>
      </w:r>
      <w:r>
        <w:rPr>
          <w:sz w:val="24"/>
          <w:szCs w:val="24"/>
        </w:rPr>
        <w:t>en</w:t>
      </w:r>
      <w:r w:rsidRPr="00FE01B6">
        <w:rPr>
          <w:sz w:val="24"/>
          <w:szCs w:val="24"/>
        </w:rPr>
        <w:t xml:space="preserve"> tablet </w:t>
      </w:r>
      <w:r>
        <w:rPr>
          <w:sz w:val="24"/>
          <w:szCs w:val="24"/>
        </w:rPr>
        <w:t>daglig</w:t>
      </w:r>
      <w:r w:rsidRPr="00FE01B6">
        <w:rPr>
          <w:sz w:val="24"/>
          <w:szCs w:val="24"/>
        </w:rPr>
        <w:t xml:space="preserve"> uden afbrydelse, fortrinsvis indtaget på samme tid hver dag med væske efter behov. Tabletten kan indtages med eller uden føde.</w:t>
      </w:r>
    </w:p>
    <w:p w:rsidR="00140AB5" w:rsidRPr="00FE01B6" w:rsidRDefault="00140AB5" w:rsidP="00140AB5">
      <w:pPr>
        <w:tabs>
          <w:tab w:val="left" w:pos="851"/>
        </w:tabs>
        <w:ind w:left="851"/>
        <w:rPr>
          <w:sz w:val="24"/>
          <w:szCs w:val="24"/>
        </w:rPr>
      </w:pPr>
    </w:p>
    <w:p w:rsidR="00140AB5" w:rsidRPr="00FE01B6" w:rsidRDefault="00140AB5" w:rsidP="00140AB5">
      <w:pPr>
        <w:tabs>
          <w:tab w:val="left" w:pos="851"/>
        </w:tabs>
        <w:ind w:left="851"/>
        <w:rPr>
          <w:sz w:val="24"/>
          <w:szCs w:val="24"/>
        </w:rPr>
      </w:pPr>
      <w:r w:rsidRPr="00FE01B6">
        <w:rPr>
          <w:sz w:val="24"/>
          <w:szCs w:val="24"/>
        </w:rPr>
        <w:t xml:space="preserve">Tabletterne bør indtages kontinuerligt uden hensyntagen til </w:t>
      </w:r>
      <w:r>
        <w:rPr>
          <w:sz w:val="24"/>
          <w:szCs w:val="24"/>
        </w:rPr>
        <w:t>vaginal</w:t>
      </w:r>
      <w:r w:rsidRPr="00FE01B6">
        <w:rPr>
          <w:sz w:val="24"/>
          <w:szCs w:val="24"/>
        </w:rPr>
        <w:t>blødning. Når en pakke er tømt, skal den næste startes uden afbrydelse.</w:t>
      </w:r>
    </w:p>
    <w:p w:rsidR="00140AB5" w:rsidRPr="00FE01B6" w:rsidRDefault="00140AB5" w:rsidP="00140AB5">
      <w:pPr>
        <w:tabs>
          <w:tab w:val="left" w:pos="851"/>
        </w:tabs>
        <w:ind w:left="851"/>
        <w:rPr>
          <w:sz w:val="24"/>
          <w:szCs w:val="24"/>
        </w:rPr>
      </w:pPr>
    </w:p>
    <w:p w:rsidR="00140AB5" w:rsidRPr="00FE01B6" w:rsidRDefault="00140AB5" w:rsidP="00140AB5">
      <w:pPr>
        <w:tabs>
          <w:tab w:val="left" w:pos="851"/>
        </w:tabs>
        <w:ind w:left="851"/>
        <w:rPr>
          <w:sz w:val="24"/>
          <w:szCs w:val="24"/>
        </w:rPr>
      </w:pPr>
      <w:r w:rsidRPr="00FE01B6">
        <w:rPr>
          <w:sz w:val="24"/>
          <w:szCs w:val="24"/>
        </w:rPr>
        <w:lastRenderedPageBreak/>
        <w:t>Behandlingen kan påbegyndes på enhver dag i menstruationscyklussen.</w:t>
      </w:r>
    </w:p>
    <w:p w:rsidR="00140AB5" w:rsidRPr="00FE01B6" w:rsidRDefault="00140AB5" w:rsidP="00140AB5">
      <w:pPr>
        <w:tabs>
          <w:tab w:val="left" w:pos="851"/>
        </w:tabs>
        <w:ind w:left="851"/>
        <w:rPr>
          <w:sz w:val="24"/>
          <w:szCs w:val="24"/>
        </w:rPr>
      </w:pPr>
    </w:p>
    <w:p w:rsidR="00140AB5" w:rsidRPr="00FE01B6" w:rsidRDefault="00140AB5" w:rsidP="00140AB5">
      <w:pPr>
        <w:tabs>
          <w:tab w:val="left" w:pos="851"/>
        </w:tabs>
        <w:ind w:left="851"/>
        <w:rPr>
          <w:sz w:val="24"/>
          <w:szCs w:val="24"/>
        </w:rPr>
      </w:pPr>
      <w:r w:rsidRPr="00FE01B6">
        <w:rPr>
          <w:sz w:val="24"/>
          <w:szCs w:val="24"/>
        </w:rPr>
        <w:t xml:space="preserve">Enhver hormonel præventionsform skal stoppes, før du begynder at tage </w:t>
      </w:r>
      <w:proofErr w:type="spellStart"/>
      <w:r w:rsidRPr="00FE01B6">
        <w:rPr>
          <w:sz w:val="24"/>
          <w:szCs w:val="24"/>
        </w:rPr>
        <w:t>Zafrilla</w:t>
      </w:r>
      <w:proofErr w:type="spellEnd"/>
      <w:r w:rsidRPr="00FE01B6">
        <w:rPr>
          <w:sz w:val="24"/>
          <w:szCs w:val="24"/>
        </w:rPr>
        <w:t>. Hvis prævention er påkrævet, bør ikke-hormonelle præventionsformer anvendes (f.eks. barrieremetoden).</w:t>
      </w:r>
    </w:p>
    <w:p w:rsidR="00140AB5" w:rsidRPr="00FE01B6" w:rsidRDefault="00140AB5" w:rsidP="00140AB5">
      <w:pPr>
        <w:tabs>
          <w:tab w:val="left" w:pos="851"/>
        </w:tabs>
        <w:ind w:left="851"/>
        <w:rPr>
          <w:iCs/>
          <w:sz w:val="24"/>
          <w:szCs w:val="24"/>
        </w:rPr>
      </w:pPr>
    </w:p>
    <w:p w:rsidR="00140AB5" w:rsidRPr="00FE01B6" w:rsidRDefault="00140AB5" w:rsidP="00140AB5">
      <w:pPr>
        <w:tabs>
          <w:tab w:val="left" w:pos="851"/>
        </w:tabs>
        <w:ind w:left="851"/>
        <w:rPr>
          <w:i/>
          <w:iCs/>
          <w:sz w:val="24"/>
          <w:szCs w:val="24"/>
        </w:rPr>
      </w:pPr>
      <w:r w:rsidRPr="00FE01B6">
        <w:rPr>
          <w:i/>
          <w:iCs/>
          <w:sz w:val="24"/>
          <w:szCs w:val="24"/>
        </w:rPr>
        <w:t>Hvis du har glemt at tage tabletter</w:t>
      </w:r>
    </w:p>
    <w:p w:rsidR="00140AB5" w:rsidRPr="00FE01B6" w:rsidRDefault="00140AB5" w:rsidP="00140AB5">
      <w:pPr>
        <w:tabs>
          <w:tab w:val="left" w:pos="851"/>
        </w:tabs>
        <w:ind w:left="851"/>
        <w:rPr>
          <w:sz w:val="24"/>
          <w:szCs w:val="24"/>
        </w:rPr>
      </w:pPr>
      <w:r w:rsidRPr="00FE01B6">
        <w:rPr>
          <w:sz w:val="24"/>
          <w:szCs w:val="24"/>
        </w:rPr>
        <w:t xml:space="preserve">Effekten af </w:t>
      </w:r>
      <w:proofErr w:type="spellStart"/>
      <w:r w:rsidRPr="00FE01B6">
        <w:rPr>
          <w:sz w:val="24"/>
          <w:szCs w:val="24"/>
        </w:rPr>
        <w:t>Zafrilla</w:t>
      </w:r>
      <w:proofErr w:type="spellEnd"/>
      <w:r w:rsidRPr="00FE01B6">
        <w:rPr>
          <w:sz w:val="24"/>
          <w:szCs w:val="24"/>
        </w:rPr>
        <w:t xml:space="preserve"> kan blive reduceret, hvis </w:t>
      </w:r>
      <w:r>
        <w:rPr>
          <w:sz w:val="24"/>
          <w:szCs w:val="24"/>
        </w:rPr>
        <w:t>kvinden</w:t>
      </w:r>
      <w:r w:rsidRPr="00FE01B6">
        <w:rPr>
          <w:sz w:val="24"/>
          <w:szCs w:val="24"/>
        </w:rPr>
        <w:t xml:space="preserve"> glemmer at tage en eller flere tabletter, kaster op og/eller får diarré (hvis det sker inden for 3-4 timer, efter at du har taget tabletten). Hvis kvinden har glemt en eller flere tabletter, skal hun kun tage </w:t>
      </w:r>
      <w:r>
        <w:rPr>
          <w:sz w:val="24"/>
          <w:szCs w:val="24"/>
        </w:rPr>
        <w:t>en</w:t>
      </w:r>
      <w:r w:rsidRPr="00FE01B6">
        <w:rPr>
          <w:sz w:val="24"/>
          <w:szCs w:val="24"/>
        </w:rPr>
        <w:t xml:space="preserve"> tablet, lige så snart hum kommer i tanke om det, og siden fortsætte med at tage tabletterne næste dag på det normale tidspunkt. En tablet, der ikke er optaget i kroppen grundet opkast eller diarré, skal ligeledes erstattes ved at tage </w:t>
      </w:r>
      <w:r>
        <w:rPr>
          <w:sz w:val="24"/>
          <w:szCs w:val="24"/>
        </w:rPr>
        <w:t>en</w:t>
      </w:r>
      <w:r w:rsidRPr="00FE01B6">
        <w:rPr>
          <w:sz w:val="24"/>
          <w:szCs w:val="24"/>
        </w:rPr>
        <w:t xml:space="preserve"> ny tablet.</w:t>
      </w:r>
    </w:p>
    <w:p w:rsidR="00140AB5" w:rsidRDefault="00140AB5" w:rsidP="00140AB5">
      <w:pPr>
        <w:tabs>
          <w:tab w:val="left" w:pos="851"/>
        </w:tabs>
        <w:ind w:left="851"/>
        <w:rPr>
          <w:sz w:val="24"/>
          <w:szCs w:val="24"/>
        </w:rPr>
      </w:pPr>
    </w:p>
    <w:p w:rsidR="00222E4E" w:rsidRDefault="00222E4E" w:rsidP="00140AB5">
      <w:pPr>
        <w:tabs>
          <w:tab w:val="left" w:pos="851"/>
        </w:tabs>
        <w:ind w:left="851"/>
        <w:rPr>
          <w:b/>
          <w:bCs/>
          <w:i/>
          <w:iCs/>
          <w:sz w:val="24"/>
          <w:szCs w:val="24"/>
        </w:rPr>
      </w:pPr>
      <w:r>
        <w:rPr>
          <w:b/>
          <w:bCs/>
          <w:i/>
          <w:iCs/>
          <w:sz w:val="24"/>
          <w:szCs w:val="24"/>
        </w:rPr>
        <w:t>Særlige populationer</w:t>
      </w:r>
    </w:p>
    <w:p w:rsidR="00222E4E" w:rsidRPr="00FE01B6" w:rsidRDefault="00222E4E" w:rsidP="00140AB5">
      <w:pPr>
        <w:tabs>
          <w:tab w:val="left" w:pos="851"/>
        </w:tabs>
        <w:ind w:left="851"/>
        <w:rPr>
          <w:sz w:val="24"/>
          <w:szCs w:val="24"/>
        </w:rPr>
      </w:pPr>
    </w:p>
    <w:p w:rsidR="00140AB5" w:rsidRPr="00FE01B6" w:rsidRDefault="00140AB5" w:rsidP="00140AB5">
      <w:pPr>
        <w:tabs>
          <w:tab w:val="left" w:pos="851"/>
        </w:tabs>
        <w:ind w:left="851"/>
        <w:rPr>
          <w:bCs/>
          <w:iCs/>
          <w:sz w:val="24"/>
          <w:szCs w:val="24"/>
        </w:rPr>
      </w:pPr>
      <w:r w:rsidRPr="00FE01B6">
        <w:rPr>
          <w:i/>
          <w:iCs/>
          <w:sz w:val="24"/>
          <w:szCs w:val="24"/>
        </w:rPr>
        <w:t>Pædiatrisk population</w:t>
      </w:r>
    </w:p>
    <w:p w:rsidR="00140AB5" w:rsidRPr="00FE01B6" w:rsidRDefault="00140AB5" w:rsidP="00140AB5">
      <w:pPr>
        <w:tabs>
          <w:tab w:val="left" w:pos="851"/>
        </w:tabs>
        <w:ind w:left="851"/>
        <w:rPr>
          <w:sz w:val="24"/>
          <w:szCs w:val="24"/>
        </w:rPr>
      </w:pPr>
      <w:proofErr w:type="spellStart"/>
      <w:r w:rsidRPr="00FE01B6">
        <w:rPr>
          <w:sz w:val="24"/>
          <w:szCs w:val="24"/>
        </w:rPr>
        <w:t>Zafrilla</w:t>
      </w:r>
      <w:proofErr w:type="spellEnd"/>
      <w:r w:rsidRPr="00FE01B6">
        <w:rPr>
          <w:sz w:val="24"/>
          <w:szCs w:val="24"/>
        </w:rPr>
        <w:t xml:space="preserve"> er ikke </w:t>
      </w:r>
      <w:r>
        <w:rPr>
          <w:sz w:val="24"/>
          <w:szCs w:val="24"/>
        </w:rPr>
        <w:t>indikeret til</w:t>
      </w:r>
      <w:r w:rsidRPr="00FE01B6">
        <w:rPr>
          <w:sz w:val="24"/>
          <w:szCs w:val="24"/>
        </w:rPr>
        <w:t xml:space="preserve"> børn, der endnu ikke har haft sin første menstruation.</w:t>
      </w:r>
    </w:p>
    <w:p w:rsidR="00140AB5" w:rsidRPr="00FE01B6" w:rsidRDefault="00140AB5" w:rsidP="00140AB5">
      <w:pPr>
        <w:tabs>
          <w:tab w:val="left" w:pos="851"/>
        </w:tabs>
        <w:ind w:left="851"/>
        <w:rPr>
          <w:sz w:val="24"/>
          <w:szCs w:val="24"/>
        </w:rPr>
      </w:pPr>
      <w:r w:rsidRPr="00FE01B6">
        <w:rPr>
          <w:sz w:val="24"/>
          <w:szCs w:val="24"/>
        </w:rPr>
        <w:t xml:space="preserve">Sikkerhed og virkning af </w:t>
      </w:r>
      <w:proofErr w:type="spellStart"/>
      <w:r w:rsidRPr="00FE01B6">
        <w:rPr>
          <w:sz w:val="24"/>
          <w:szCs w:val="24"/>
        </w:rPr>
        <w:t>dienogest</w:t>
      </w:r>
      <w:proofErr w:type="spellEnd"/>
      <w:r w:rsidRPr="00FE01B6">
        <w:rPr>
          <w:sz w:val="24"/>
          <w:szCs w:val="24"/>
        </w:rPr>
        <w:t xml:space="preserve"> 2 mg-tabletten blev </w:t>
      </w:r>
      <w:r>
        <w:rPr>
          <w:sz w:val="24"/>
          <w:szCs w:val="24"/>
        </w:rPr>
        <w:t>undersøgt i et ikke-kontrolleret klinisk forsøg</w:t>
      </w:r>
      <w:r w:rsidRPr="00FE01B6">
        <w:rPr>
          <w:sz w:val="24"/>
          <w:szCs w:val="24"/>
        </w:rPr>
        <w:t xml:space="preserve"> over 12 måneder, hos 111 </w:t>
      </w:r>
      <w:r>
        <w:rPr>
          <w:sz w:val="24"/>
          <w:szCs w:val="24"/>
        </w:rPr>
        <w:t>unge</w:t>
      </w:r>
      <w:r w:rsidRPr="00FE01B6">
        <w:rPr>
          <w:sz w:val="24"/>
          <w:szCs w:val="24"/>
        </w:rPr>
        <w:t xml:space="preserve"> kvinder (12 - &lt;18)</w:t>
      </w:r>
      <w:r>
        <w:rPr>
          <w:sz w:val="24"/>
          <w:szCs w:val="24"/>
        </w:rPr>
        <w:t xml:space="preserve"> med </w:t>
      </w:r>
      <w:r w:rsidRPr="00FE01B6">
        <w:rPr>
          <w:sz w:val="24"/>
          <w:szCs w:val="24"/>
        </w:rPr>
        <w:t xml:space="preserve">klinisk mistænkt eller bekræftet </w:t>
      </w:r>
      <w:proofErr w:type="spellStart"/>
      <w:r w:rsidRPr="00FE01B6">
        <w:rPr>
          <w:sz w:val="24"/>
          <w:szCs w:val="24"/>
        </w:rPr>
        <w:t>endometriose</w:t>
      </w:r>
      <w:proofErr w:type="spellEnd"/>
      <w:r w:rsidRPr="00FE01B6">
        <w:rPr>
          <w:sz w:val="24"/>
          <w:szCs w:val="24"/>
        </w:rPr>
        <w:t xml:space="preserve"> (se pkt. 4.4 og 5.1).</w:t>
      </w:r>
    </w:p>
    <w:p w:rsidR="00140AB5" w:rsidRPr="00FE01B6" w:rsidRDefault="00140AB5" w:rsidP="00140AB5">
      <w:pPr>
        <w:tabs>
          <w:tab w:val="left" w:pos="851"/>
        </w:tabs>
        <w:ind w:left="851"/>
        <w:rPr>
          <w:iCs/>
          <w:sz w:val="24"/>
          <w:szCs w:val="24"/>
        </w:rPr>
      </w:pPr>
    </w:p>
    <w:p w:rsidR="00140AB5" w:rsidRPr="00FE01B6" w:rsidRDefault="00140AB5" w:rsidP="00140AB5">
      <w:pPr>
        <w:tabs>
          <w:tab w:val="left" w:pos="851"/>
        </w:tabs>
        <w:ind w:left="851"/>
        <w:rPr>
          <w:i/>
          <w:iCs/>
          <w:sz w:val="24"/>
          <w:szCs w:val="24"/>
        </w:rPr>
      </w:pPr>
      <w:r w:rsidRPr="00FE01B6">
        <w:rPr>
          <w:i/>
          <w:iCs/>
          <w:sz w:val="24"/>
          <w:szCs w:val="24"/>
        </w:rPr>
        <w:t>Ældre</w:t>
      </w:r>
    </w:p>
    <w:p w:rsidR="00140AB5" w:rsidRPr="00FE01B6" w:rsidRDefault="00140AB5" w:rsidP="00140AB5">
      <w:pPr>
        <w:tabs>
          <w:tab w:val="left" w:pos="851"/>
        </w:tabs>
        <w:ind w:left="851"/>
        <w:rPr>
          <w:sz w:val="24"/>
          <w:szCs w:val="24"/>
        </w:rPr>
      </w:pPr>
      <w:r w:rsidRPr="00FE01B6">
        <w:rPr>
          <w:sz w:val="24"/>
          <w:szCs w:val="24"/>
        </w:rPr>
        <w:t xml:space="preserve">Der er </w:t>
      </w:r>
      <w:r>
        <w:rPr>
          <w:sz w:val="24"/>
          <w:szCs w:val="24"/>
        </w:rPr>
        <w:t xml:space="preserve">ingen relevant indikation for at anvende </w:t>
      </w:r>
      <w:proofErr w:type="spellStart"/>
      <w:r>
        <w:rPr>
          <w:sz w:val="24"/>
          <w:szCs w:val="24"/>
        </w:rPr>
        <w:t>Zafrilla</w:t>
      </w:r>
      <w:proofErr w:type="spellEnd"/>
      <w:r>
        <w:rPr>
          <w:sz w:val="24"/>
          <w:szCs w:val="24"/>
        </w:rPr>
        <w:t xml:space="preserve"> til ældre patienter</w:t>
      </w:r>
      <w:r w:rsidRPr="00FE01B6">
        <w:rPr>
          <w:sz w:val="24"/>
          <w:szCs w:val="24"/>
        </w:rPr>
        <w:t>.</w:t>
      </w:r>
    </w:p>
    <w:p w:rsidR="00140AB5" w:rsidRPr="00FE01B6" w:rsidRDefault="00140AB5" w:rsidP="00140AB5">
      <w:pPr>
        <w:tabs>
          <w:tab w:val="left" w:pos="851"/>
        </w:tabs>
        <w:ind w:left="851"/>
        <w:rPr>
          <w:iCs/>
          <w:sz w:val="24"/>
          <w:szCs w:val="24"/>
        </w:rPr>
      </w:pPr>
    </w:p>
    <w:p w:rsidR="00140AB5" w:rsidRPr="00FE01B6" w:rsidRDefault="00140AB5" w:rsidP="00140AB5">
      <w:pPr>
        <w:tabs>
          <w:tab w:val="left" w:pos="851"/>
        </w:tabs>
        <w:ind w:left="851"/>
        <w:rPr>
          <w:i/>
          <w:iCs/>
          <w:sz w:val="24"/>
          <w:szCs w:val="24"/>
        </w:rPr>
      </w:pPr>
      <w:r w:rsidRPr="00FE01B6">
        <w:rPr>
          <w:i/>
          <w:iCs/>
          <w:sz w:val="24"/>
          <w:szCs w:val="24"/>
        </w:rPr>
        <w:t>Nedsat leverfunktion</w:t>
      </w:r>
    </w:p>
    <w:p w:rsidR="00140AB5" w:rsidRPr="00FE01B6" w:rsidRDefault="00140AB5" w:rsidP="00140AB5">
      <w:pPr>
        <w:tabs>
          <w:tab w:val="left" w:pos="851"/>
        </w:tabs>
        <w:ind w:left="851"/>
        <w:rPr>
          <w:sz w:val="24"/>
          <w:szCs w:val="24"/>
        </w:rPr>
      </w:pPr>
      <w:proofErr w:type="spellStart"/>
      <w:r w:rsidRPr="00FE01B6">
        <w:rPr>
          <w:sz w:val="24"/>
          <w:szCs w:val="24"/>
        </w:rPr>
        <w:t>Zafrilla</w:t>
      </w:r>
      <w:proofErr w:type="spellEnd"/>
      <w:r w:rsidRPr="00FE01B6">
        <w:rPr>
          <w:sz w:val="24"/>
          <w:szCs w:val="24"/>
        </w:rPr>
        <w:t xml:space="preserve"> </w:t>
      </w:r>
      <w:r>
        <w:rPr>
          <w:sz w:val="24"/>
          <w:szCs w:val="24"/>
        </w:rPr>
        <w:t xml:space="preserve">er kontraindiceret til </w:t>
      </w:r>
      <w:r w:rsidRPr="00FE01B6">
        <w:rPr>
          <w:sz w:val="24"/>
          <w:szCs w:val="24"/>
        </w:rPr>
        <w:t>patienter, der har eller tidligere har haft en alvorlig leversygdom (se pkt. 4.3).</w:t>
      </w:r>
    </w:p>
    <w:p w:rsidR="00140AB5" w:rsidRPr="00FE01B6" w:rsidRDefault="00140AB5" w:rsidP="00140AB5">
      <w:pPr>
        <w:tabs>
          <w:tab w:val="left" w:pos="851"/>
        </w:tabs>
        <w:ind w:left="851"/>
        <w:rPr>
          <w:sz w:val="24"/>
          <w:szCs w:val="24"/>
        </w:rPr>
      </w:pPr>
    </w:p>
    <w:p w:rsidR="00140AB5" w:rsidRPr="00FE01B6" w:rsidRDefault="00140AB5" w:rsidP="00140AB5">
      <w:pPr>
        <w:tabs>
          <w:tab w:val="left" w:pos="851"/>
        </w:tabs>
        <w:ind w:left="851"/>
        <w:rPr>
          <w:i/>
          <w:iCs/>
          <w:sz w:val="24"/>
          <w:szCs w:val="24"/>
        </w:rPr>
      </w:pPr>
      <w:r w:rsidRPr="00FE01B6">
        <w:rPr>
          <w:i/>
          <w:iCs/>
          <w:sz w:val="24"/>
          <w:szCs w:val="24"/>
        </w:rPr>
        <w:t>Nyresvækkelse</w:t>
      </w:r>
    </w:p>
    <w:p w:rsidR="00140AB5" w:rsidRPr="00FE01B6" w:rsidRDefault="00140AB5" w:rsidP="00140AB5">
      <w:pPr>
        <w:tabs>
          <w:tab w:val="left" w:pos="851"/>
        </w:tabs>
        <w:ind w:left="851"/>
        <w:rPr>
          <w:sz w:val="24"/>
          <w:szCs w:val="24"/>
        </w:rPr>
      </w:pPr>
      <w:r w:rsidRPr="00FE01B6">
        <w:rPr>
          <w:sz w:val="24"/>
          <w:szCs w:val="24"/>
        </w:rPr>
        <w:t xml:space="preserve">Der er ingen data, der indikerer, at det er nødvendigt at justere doseringen </w:t>
      </w:r>
      <w:r>
        <w:rPr>
          <w:sz w:val="24"/>
          <w:szCs w:val="24"/>
        </w:rPr>
        <w:t>hos patienter med nedsat nyrefunktion.</w:t>
      </w:r>
    </w:p>
    <w:p w:rsidR="00140AB5" w:rsidRPr="00FE01B6" w:rsidRDefault="00140AB5" w:rsidP="00140AB5">
      <w:pPr>
        <w:tabs>
          <w:tab w:val="left" w:pos="851"/>
        </w:tabs>
        <w:ind w:left="851"/>
        <w:rPr>
          <w:sz w:val="24"/>
          <w:szCs w:val="24"/>
        </w:rPr>
      </w:pPr>
    </w:p>
    <w:p w:rsidR="00140AB5" w:rsidRPr="00FE01B6" w:rsidRDefault="00140AB5" w:rsidP="00140AB5">
      <w:pPr>
        <w:tabs>
          <w:tab w:val="left" w:pos="851"/>
        </w:tabs>
        <w:ind w:left="851"/>
        <w:rPr>
          <w:iCs/>
          <w:sz w:val="24"/>
          <w:szCs w:val="24"/>
          <w:u w:val="single"/>
        </w:rPr>
      </w:pPr>
      <w:r w:rsidRPr="00FE01B6">
        <w:rPr>
          <w:iCs/>
          <w:sz w:val="24"/>
          <w:szCs w:val="24"/>
          <w:u w:val="single"/>
        </w:rPr>
        <w:t>Administration</w:t>
      </w:r>
    </w:p>
    <w:p w:rsidR="00140AB5" w:rsidRPr="00FE01B6" w:rsidRDefault="00140AB5" w:rsidP="00140AB5">
      <w:pPr>
        <w:tabs>
          <w:tab w:val="left" w:pos="851"/>
        </w:tabs>
        <w:ind w:left="851"/>
        <w:rPr>
          <w:sz w:val="24"/>
          <w:szCs w:val="24"/>
        </w:rPr>
      </w:pPr>
      <w:r w:rsidRPr="00FE01B6">
        <w:rPr>
          <w:sz w:val="24"/>
          <w:szCs w:val="24"/>
        </w:rPr>
        <w:t xml:space="preserve">Til oral </w:t>
      </w:r>
      <w:r>
        <w:rPr>
          <w:sz w:val="24"/>
          <w:szCs w:val="24"/>
        </w:rPr>
        <w:t>anvendelse</w:t>
      </w:r>
      <w:r w:rsidRPr="00FE01B6">
        <w:rPr>
          <w:sz w:val="24"/>
          <w:szCs w:val="24"/>
        </w:rPr>
        <w:t>.</w:t>
      </w:r>
    </w:p>
    <w:p w:rsidR="00140AB5" w:rsidRPr="00C84483" w:rsidRDefault="00140AB5" w:rsidP="00140AB5">
      <w:pPr>
        <w:tabs>
          <w:tab w:val="left" w:pos="851"/>
        </w:tabs>
        <w:ind w:left="851"/>
        <w:rPr>
          <w:sz w:val="24"/>
          <w:szCs w:val="24"/>
        </w:rPr>
      </w:pPr>
    </w:p>
    <w:p w:rsidR="00140AB5" w:rsidRPr="00C84483" w:rsidRDefault="00140AB5" w:rsidP="00140AB5">
      <w:pPr>
        <w:tabs>
          <w:tab w:val="left" w:pos="851"/>
        </w:tabs>
        <w:ind w:left="851" w:hanging="851"/>
        <w:rPr>
          <w:b/>
          <w:sz w:val="24"/>
          <w:szCs w:val="24"/>
        </w:rPr>
      </w:pPr>
      <w:r w:rsidRPr="00C84483">
        <w:rPr>
          <w:b/>
          <w:sz w:val="24"/>
          <w:szCs w:val="24"/>
        </w:rPr>
        <w:t>4.3</w:t>
      </w:r>
      <w:r w:rsidRPr="00C84483">
        <w:rPr>
          <w:b/>
          <w:sz w:val="24"/>
          <w:szCs w:val="24"/>
        </w:rPr>
        <w:tab/>
        <w:t>Kontraindikationer</w:t>
      </w:r>
    </w:p>
    <w:p w:rsidR="00140AB5" w:rsidRPr="00FE01B6" w:rsidRDefault="00140AB5" w:rsidP="00140AB5">
      <w:pPr>
        <w:tabs>
          <w:tab w:val="left" w:pos="851"/>
        </w:tabs>
        <w:ind w:left="851"/>
        <w:rPr>
          <w:sz w:val="24"/>
          <w:szCs w:val="24"/>
          <w:lang w:val="nl-BE"/>
        </w:rPr>
      </w:pPr>
      <w:proofErr w:type="spellStart"/>
      <w:r w:rsidRPr="00FE01B6">
        <w:rPr>
          <w:sz w:val="24"/>
          <w:szCs w:val="24"/>
        </w:rPr>
        <w:t>Zafrilla</w:t>
      </w:r>
      <w:proofErr w:type="spellEnd"/>
      <w:r w:rsidRPr="00FE01B6">
        <w:rPr>
          <w:sz w:val="24"/>
          <w:szCs w:val="24"/>
        </w:rPr>
        <w:t xml:space="preserve"> </w:t>
      </w:r>
      <w:r>
        <w:rPr>
          <w:sz w:val="24"/>
          <w:szCs w:val="24"/>
        </w:rPr>
        <w:t>må</w:t>
      </w:r>
      <w:r w:rsidRPr="00FE01B6">
        <w:rPr>
          <w:sz w:val="24"/>
          <w:szCs w:val="24"/>
        </w:rPr>
        <w:t xml:space="preserve"> ikke tages, hvis nogen af nedenstående tilstande er til stede. </w:t>
      </w:r>
      <w:r>
        <w:rPr>
          <w:sz w:val="24"/>
          <w:szCs w:val="24"/>
        </w:rPr>
        <w:t>Oplysningerne</w:t>
      </w:r>
      <w:r w:rsidRPr="00FE01B6">
        <w:rPr>
          <w:sz w:val="24"/>
          <w:szCs w:val="24"/>
        </w:rPr>
        <w:t xml:space="preserve"> er delvist </w:t>
      </w:r>
      <w:r>
        <w:rPr>
          <w:sz w:val="24"/>
          <w:szCs w:val="24"/>
        </w:rPr>
        <w:t>hentet fra</w:t>
      </w:r>
      <w:r w:rsidRPr="00FE01B6">
        <w:rPr>
          <w:sz w:val="24"/>
          <w:szCs w:val="24"/>
        </w:rPr>
        <w:t xml:space="preserve"> oplysninger om andre præparater, der udelukkende </w:t>
      </w:r>
      <w:r>
        <w:rPr>
          <w:sz w:val="24"/>
          <w:szCs w:val="24"/>
        </w:rPr>
        <w:t xml:space="preserve">indeholder </w:t>
      </w:r>
      <w:proofErr w:type="spellStart"/>
      <w:r w:rsidR="00222E4E" w:rsidRPr="00FE01B6">
        <w:rPr>
          <w:sz w:val="24"/>
          <w:szCs w:val="24"/>
        </w:rPr>
        <w:t>progest</w:t>
      </w:r>
      <w:r w:rsidR="00222E4E">
        <w:rPr>
          <w:sz w:val="24"/>
          <w:szCs w:val="24"/>
        </w:rPr>
        <w:t>ogen</w:t>
      </w:r>
      <w:proofErr w:type="spellEnd"/>
      <w:r w:rsidRPr="00FE01B6">
        <w:rPr>
          <w:sz w:val="24"/>
          <w:szCs w:val="24"/>
        </w:rPr>
        <w:t xml:space="preserve">. Hvis nogen af tilstandene opstår under brugen af </w:t>
      </w:r>
      <w:proofErr w:type="spellStart"/>
      <w:r w:rsidRPr="00FE01B6">
        <w:rPr>
          <w:sz w:val="24"/>
          <w:szCs w:val="24"/>
        </w:rPr>
        <w:t>Zafrilla</w:t>
      </w:r>
      <w:proofErr w:type="spellEnd"/>
      <w:r w:rsidRPr="00FE01B6">
        <w:rPr>
          <w:sz w:val="24"/>
          <w:szCs w:val="24"/>
        </w:rPr>
        <w:t>, skal behandlingen indstilles omgående:</w:t>
      </w:r>
    </w:p>
    <w:p w:rsidR="00140AB5" w:rsidRPr="00FE01B6" w:rsidRDefault="00140AB5" w:rsidP="00140AB5">
      <w:pPr>
        <w:numPr>
          <w:ilvl w:val="0"/>
          <w:numId w:val="6"/>
        </w:numPr>
        <w:tabs>
          <w:tab w:val="left" w:pos="851"/>
        </w:tabs>
        <w:ind w:left="1134" w:hanging="283"/>
        <w:rPr>
          <w:sz w:val="24"/>
          <w:szCs w:val="24"/>
          <w:lang w:val="en-GB"/>
        </w:rPr>
      </w:pPr>
      <w:r w:rsidRPr="00FE01B6">
        <w:rPr>
          <w:sz w:val="24"/>
          <w:szCs w:val="24"/>
        </w:rPr>
        <w:t>aktiv</w:t>
      </w:r>
      <w:r>
        <w:rPr>
          <w:sz w:val="24"/>
          <w:szCs w:val="24"/>
        </w:rPr>
        <w:t>,</w:t>
      </w:r>
      <w:r w:rsidRPr="00FE01B6">
        <w:rPr>
          <w:sz w:val="24"/>
          <w:szCs w:val="24"/>
        </w:rPr>
        <w:t xml:space="preserve"> venøs </w:t>
      </w:r>
      <w:proofErr w:type="spellStart"/>
      <w:r w:rsidRPr="00FE01B6">
        <w:rPr>
          <w:sz w:val="24"/>
          <w:szCs w:val="24"/>
        </w:rPr>
        <w:t>tromboembolisk</w:t>
      </w:r>
      <w:proofErr w:type="spellEnd"/>
      <w:r w:rsidRPr="00FE01B6">
        <w:rPr>
          <w:sz w:val="24"/>
          <w:szCs w:val="24"/>
        </w:rPr>
        <w:t xml:space="preserve"> sygdom,</w:t>
      </w:r>
    </w:p>
    <w:p w:rsidR="00140AB5" w:rsidRPr="00FE01B6" w:rsidRDefault="00140AB5" w:rsidP="00140AB5">
      <w:pPr>
        <w:numPr>
          <w:ilvl w:val="0"/>
          <w:numId w:val="6"/>
        </w:numPr>
        <w:tabs>
          <w:tab w:val="left" w:pos="851"/>
        </w:tabs>
        <w:ind w:left="1134" w:hanging="283"/>
        <w:rPr>
          <w:sz w:val="24"/>
          <w:szCs w:val="24"/>
        </w:rPr>
      </w:pPr>
      <w:r w:rsidRPr="00FE01B6">
        <w:rPr>
          <w:sz w:val="24"/>
          <w:szCs w:val="24"/>
        </w:rPr>
        <w:t xml:space="preserve">nuværende eller tidligere arterie- og hjerte-kar-sygdom (f.eks. myokardieinfarkt, </w:t>
      </w:r>
      <w:proofErr w:type="spellStart"/>
      <w:r w:rsidRPr="00FE01B6">
        <w:rPr>
          <w:sz w:val="24"/>
          <w:szCs w:val="24"/>
        </w:rPr>
        <w:t>cerebrovaskulær</w:t>
      </w:r>
      <w:proofErr w:type="spellEnd"/>
      <w:r w:rsidRPr="00FE01B6">
        <w:rPr>
          <w:sz w:val="24"/>
          <w:szCs w:val="24"/>
        </w:rPr>
        <w:t xml:space="preserve"> hændelse, iskæmisk hjertesygdom),</w:t>
      </w:r>
    </w:p>
    <w:p w:rsidR="00140AB5" w:rsidRPr="00FE01B6" w:rsidRDefault="00140AB5" w:rsidP="00140AB5">
      <w:pPr>
        <w:numPr>
          <w:ilvl w:val="0"/>
          <w:numId w:val="6"/>
        </w:numPr>
        <w:tabs>
          <w:tab w:val="left" w:pos="851"/>
        </w:tabs>
        <w:ind w:left="1134" w:hanging="283"/>
        <w:rPr>
          <w:sz w:val="24"/>
          <w:szCs w:val="24"/>
          <w:lang w:val="en-GB"/>
        </w:rPr>
      </w:pPr>
      <w:r w:rsidRPr="00FE01B6">
        <w:rPr>
          <w:sz w:val="24"/>
          <w:szCs w:val="24"/>
        </w:rPr>
        <w:t xml:space="preserve">sukkersyge med </w:t>
      </w:r>
      <w:proofErr w:type="spellStart"/>
      <w:r w:rsidRPr="00FE01B6">
        <w:rPr>
          <w:sz w:val="24"/>
          <w:szCs w:val="24"/>
        </w:rPr>
        <w:t>vaskulær</w:t>
      </w:r>
      <w:proofErr w:type="spellEnd"/>
      <w:r w:rsidRPr="00FE01B6">
        <w:rPr>
          <w:sz w:val="24"/>
          <w:szCs w:val="24"/>
        </w:rPr>
        <w:t xml:space="preserve"> involvering,</w:t>
      </w:r>
    </w:p>
    <w:p w:rsidR="00140AB5" w:rsidRPr="00FE01B6" w:rsidRDefault="00140AB5" w:rsidP="00140AB5">
      <w:pPr>
        <w:numPr>
          <w:ilvl w:val="0"/>
          <w:numId w:val="6"/>
        </w:numPr>
        <w:tabs>
          <w:tab w:val="left" w:pos="851"/>
        </w:tabs>
        <w:ind w:left="1134" w:hanging="283"/>
        <w:rPr>
          <w:sz w:val="24"/>
          <w:szCs w:val="24"/>
        </w:rPr>
      </w:pPr>
      <w:r w:rsidRPr="00FE01B6">
        <w:rPr>
          <w:sz w:val="24"/>
          <w:szCs w:val="24"/>
        </w:rPr>
        <w:t xml:space="preserve">nuværende eller tidligere leversygdom, </w:t>
      </w:r>
      <w:r>
        <w:rPr>
          <w:sz w:val="24"/>
          <w:szCs w:val="24"/>
        </w:rPr>
        <w:t>hvis</w:t>
      </w:r>
      <w:r w:rsidRPr="00FE01B6">
        <w:rPr>
          <w:sz w:val="24"/>
          <w:szCs w:val="24"/>
        </w:rPr>
        <w:t xml:space="preserve"> leverens funktionsværdier ikke er vendt tilbage til de normale niveauer,</w:t>
      </w:r>
    </w:p>
    <w:p w:rsidR="00140AB5" w:rsidRPr="00FE01B6" w:rsidRDefault="00140AB5" w:rsidP="00140AB5">
      <w:pPr>
        <w:numPr>
          <w:ilvl w:val="0"/>
          <w:numId w:val="6"/>
        </w:numPr>
        <w:tabs>
          <w:tab w:val="left" w:pos="851"/>
        </w:tabs>
        <w:ind w:left="1134" w:hanging="283"/>
        <w:rPr>
          <w:sz w:val="24"/>
          <w:szCs w:val="24"/>
        </w:rPr>
      </w:pPr>
      <w:r w:rsidRPr="00FE01B6">
        <w:rPr>
          <w:sz w:val="24"/>
          <w:szCs w:val="24"/>
        </w:rPr>
        <w:t>nuværende eller tidligere levertumorer (god- eller ondartede),</w:t>
      </w:r>
    </w:p>
    <w:p w:rsidR="00140AB5" w:rsidRPr="00FE01B6" w:rsidRDefault="00140AB5" w:rsidP="00140AB5">
      <w:pPr>
        <w:numPr>
          <w:ilvl w:val="0"/>
          <w:numId w:val="6"/>
        </w:numPr>
        <w:tabs>
          <w:tab w:val="left" w:pos="851"/>
        </w:tabs>
        <w:ind w:left="1134" w:hanging="283"/>
        <w:rPr>
          <w:sz w:val="24"/>
          <w:szCs w:val="24"/>
        </w:rPr>
      </w:pPr>
      <w:r w:rsidRPr="00FE01B6">
        <w:rPr>
          <w:sz w:val="24"/>
          <w:szCs w:val="24"/>
        </w:rPr>
        <w:t>kendt</w:t>
      </w:r>
      <w:r>
        <w:rPr>
          <w:sz w:val="24"/>
          <w:szCs w:val="24"/>
        </w:rPr>
        <w:t xml:space="preserve"> eller mistænkt </w:t>
      </w:r>
      <w:proofErr w:type="spellStart"/>
      <w:r>
        <w:rPr>
          <w:sz w:val="24"/>
          <w:szCs w:val="24"/>
        </w:rPr>
        <w:t>malignitet</w:t>
      </w:r>
      <w:proofErr w:type="spellEnd"/>
      <w:r w:rsidRPr="00FE01B6">
        <w:rPr>
          <w:sz w:val="24"/>
          <w:szCs w:val="24"/>
        </w:rPr>
        <w:t>, der afhænger af kønshormoner,</w:t>
      </w:r>
    </w:p>
    <w:p w:rsidR="00140AB5" w:rsidRPr="00FE01B6" w:rsidRDefault="00140AB5" w:rsidP="00140AB5">
      <w:pPr>
        <w:numPr>
          <w:ilvl w:val="0"/>
          <w:numId w:val="6"/>
        </w:numPr>
        <w:tabs>
          <w:tab w:val="left" w:pos="851"/>
        </w:tabs>
        <w:ind w:left="1134" w:hanging="283"/>
        <w:rPr>
          <w:sz w:val="24"/>
          <w:szCs w:val="24"/>
          <w:lang w:val="en-GB"/>
        </w:rPr>
      </w:pPr>
      <w:r w:rsidRPr="00FE01B6">
        <w:rPr>
          <w:sz w:val="24"/>
          <w:szCs w:val="24"/>
        </w:rPr>
        <w:t>ikke-diagnosticeret vaginal blødning,</w:t>
      </w:r>
    </w:p>
    <w:p w:rsidR="00140AB5" w:rsidRPr="00FE01B6" w:rsidRDefault="00140AB5" w:rsidP="00140AB5">
      <w:pPr>
        <w:numPr>
          <w:ilvl w:val="0"/>
          <w:numId w:val="6"/>
        </w:numPr>
        <w:tabs>
          <w:tab w:val="left" w:pos="851"/>
        </w:tabs>
        <w:ind w:left="1134" w:hanging="283"/>
        <w:rPr>
          <w:sz w:val="24"/>
          <w:szCs w:val="24"/>
          <w:lang w:val="nl-BE"/>
        </w:rPr>
      </w:pPr>
      <w:r w:rsidRPr="00FE01B6">
        <w:rPr>
          <w:sz w:val="24"/>
          <w:szCs w:val="24"/>
        </w:rPr>
        <w:lastRenderedPageBreak/>
        <w:t xml:space="preserve">overfølsomhed over for det aktive stof eller over for nogen af hjælpestofferne, der er </w:t>
      </w:r>
      <w:r>
        <w:rPr>
          <w:sz w:val="24"/>
          <w:szCs w:val="24"/>
        </w:rPr>
        <w:t>anført</w:t>
      </w:r>
      <w:r w:rsidRPr="00FE01B6">
        <w:rPr>
          <w:sz w:val="24"/>
          <w:szCs w:val="24"/>
        </w:rPr>
        <w:t xml:space="preserve"> i pkt. 6.1.</w:t>
      </w:r>
    </w:p>
    <w:p w:rsidR="00140AB5" w:rsidRPr="00FE01B6" w:rsidRDefault="00140AB5" w:rsidP="00140AB5">
      <w:pPr>
        <w:tabs>
          <w:tab w:val="left" w:pos="851"/>
        </w:tabs>
        <w:ind w:left="851"/>
        <w:rPr>
          <w:sz w:val="24"/>
          <w:szCs w:val="24"/>
          <w:lang w:val="nl-BE"/>
        </w:rPr>
      </w:pPr>
    </w:p>
    <w:p w:rsidR="00140AB5" w:rsidRPr="00C84483" w:rsidRDefault="00140AB5" w:rsidP="00140AB5">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140AB5" w:rsidRDefault="00140AB5" w:rsidP="00140AB5">
      <w:pPr>
        <w:tabs>
          <w:tab w:val="left" w:pos="851"/>
        </w:tabs>
        <w:ind w:left="851"/>
        <w:rPr>
          <w:b/>
          <w:bCs/>
          <w:sz w:val="24"/>
          <w:szCs w:val="24"/>
        </w:rPr>
      </w:pPr>
    </w:p>
    <w:p w:rsidR="00140AB5" w:rsidRPr="00A50907" w:rsidRDefault="00140AB5" w:rsidP="00140AB5">
      <w:pPr>
        <w:tabs>
          <w:tab w:val="left" w:pos="851"/>
        </w:tabs>
        <w:ind w:left="851"/>
        <w:rPr>
          <w:bCs/>
          <w:sz w:val="24"/>
          <w:szCs w:val="24"/>
          <w:u w:val="single"/>
          <w:lang w:val="nl-BE"/>
        </w:rPr>
      </w:pPr>
      <w:r w:rsidRPr="00A50907">
        <w:rPr>
          <w:bCs/>
          <w:sz w:val="24"/>
          <w:szCs w:val="24"/>
          <w:u w:val="single"/>
        </w:rPr>
        <w:t>Advarsler</w:t>
      </w:r>
    </w:p>
    <w:p w:rsidR="00140AB5" w:rsidRPr="00FE01B6" w:rsidRDefault="00140AB5" w:rsidP="00140AB5">
      <w:pPr>
        <w:tabs>
          <w:tab w:val="left" w:pos="851"/>
        </w:tabs>
        <w:ind w:left="851"/>
        <w:rPr>
          <w:sz w:val="24"/>
          <w:szCs w:val="24"/>
          <w:lang w:val="nl-BE"/>
        </w:rPr>
      </w:pPr>
      <w:r w:rsidRPr="00FE01B6">
        <w:rPr>
          <w:sz w:val="24"/>
          <w:szCs w:val="24"/>
        </w:rPr>
        <w:t xml:space="preserve">Eftersom </w:t>
      </w:r>
      <w:proofErr w:type="spellStart"/>
      <w:r w:rsidRPr="00FE01B6">
        <w:rPr>
          <w:sz w:val="24"/>
          <w:szCs w:val="24"/>
        </w:rPr>
        <w:t>Zafrilla</w:t>
      </w:r>
      <w:proofErr w:type="spellEnd"/>
      <w:r w:rsidRPr="00FE01B6">
        <w:rPr>
          <w:sz w:val="24"/>
          <w:szCs w:val="24"/>
        </w:rPr>
        <w:t xml:space="preserve"> er et præparat, der udelukkende er baseret på </w:t>
      </w:r>
      <w:proofErr w:type="spellStart"/>
      <w:r w:rsidRPr="00FE01B6">
        <w:rPr>
          <w:sz w:val="24"/>
          <w:szCs w:val="24"/>
        </w:rPr>
        <w:t>progestogen</w:t>
      </w:r>
      <w:proofErr w:type="spellEnd"/>
      <w:r w:rsidRPr="00FE01B6">
        <w:rPr>
          <w:sz w:val="24"/>
          <w:szCs w:val="24"/>
        </w:rPr>
        <w:t xml:space="preserve">, kan det antages, at de særlige forholdsregler og advarsler for brug af præparater, der udelukkende er baseret på </w:t>
      </w:r>
      <w:proofErr w:type="spellStart"/>
      <w:r w:rsidRPr="00FE01B6">
        <w:rPr>
          <w:sz w:val="24"/>
          <w:szCs w:val="24"/>
        </w:rPr>
        <w:t>progestogen</w:t>
      </w:r>
      <w:proofErr w:type="spellEnd"/>
      <w:r w:rsidRPr="00FE01B6">
        <w:rPr>
          <w:sz w:val="24"/>
          <w:szCs w:val="24"/>
        </w:rPr>
        <w:t xml:space="preserve">, også gælder for brugen af </w:t>
      </w:r>
      <w:proofErr w:type="spellStart"/>
      <w:r w:rsidRPr="00FE01B6">
        <w:rPr>
          <w:sz w:val="24"/>
          <w:szCs w:val="24"/>
        </w:rPr>
        <w:t>Zafrilla</w:t>
      </w:r>
      <w:proofErr w:type="spellEnd"/>
      <w:r w:rsidRPr="00FE01B6">
        <w:rPr>
          <w:sz w:val="24"/>
          <w:szCs w:val="24"/>
        </w:rPr>
        <w:t xml:space="preserve">, selv om det ikke er alle advarslerne og forholdsreglerne, der er baseret på de respektive opdagelser, der er gjort i de kliniske studier af </w:t>
      </w:r>
      <w:proofErr w:type="spellStart"/>
      <w:r w:rsidRPr="00FE01B6">
        <w:rPr>
          <w:sz w:val="24"/>
          <w:szCs w:val="24"/>
        </w:rPr>
        <w:t>dienogest</w:t>
      </w:r>
      <w:proofErr w:type="spellEnd"/>
      <w:r w:rsidRPr="00FE01B6">
        <w:rPr>
          <w:sz w:val="24"/>
          <w:szCs w:val="24"/>
        </w:rPr>
        <w:t xml:space="preserve"> 2 mg-tabletten.</w:t>
      </w:r>
    </w:p>
    <w:p w:rsidR="00140AB5" w:rsidRPr="00FE01B6" w:rsidRDefault="00140AB5" w:rsidP="00140AB5">
      <w:pPr>
        <w:tabs>
          <w:tab w:val="left" w:pos="851"/>
        </w:tabs>
        <w:ind w:left="851"/>
        <w:rPr>
          <w:sz w:val="24"/>
          <w:szCs w:val="24"/>
          <w:lang w:val="nl-BE"/>
        </w:rPr>
      </w:pPr>
      <w:r w:rsidRPr="00FE01B6">
        <w:rPr>
          <w:sz w:val="24"/>
          <w:szCs w:val="24"/>
        </w:rPr>
        <w:t xml:space="preserve">Hvis nogen af tilstandene/risikofaktorerne, som er nævnt nedenfor, er til stede eller </w:t>
      </w:r>
      <w:r>
        <w:rPr>
          <w:sz w:val="24"/>
          <w:szCs w:val="24"/>
        </w:rPr>
        <w:t>forværres</w:t>
      </w:r>
      <w:r w:rsidRPr="00FE01B6">
        <w:rPr>
          <w:sz w:val="24"/>
          <w:szCs w:val="24"/>
        </w:rPr>
        <w:t xml:space="preserve">, </w:t>
      </w:r>
      <w:r>
        <w:rPr>
          <w:sz w:val="24"/>
          <w:szCs w:val="24"/>
        </w:rPr>
        <w:t>skal</w:t>
      </w:r>
      <w:r w:rsidRPr="00FE01B6">
        <w:rPr>
          <w:sz w:val="24"/>
          <w:szCs w:val="24"/>
        </w:rPr>
        <w:t xml:space="preserve"> der udføres en individuel analyse af fordele</w:t>
      </w:r>
      <w:r>
        <w:rPr>
          <w:sz w:val="24"/>
          <w:szCs w:val="24"/>
        </w:rPr>
        <w:t xml:space="preserve"> og ulemper</w:t>
      </w:r>
      <w:r w:rsidRPr="00FE01B6">
        <w:rPr>
          <w:sz w:val="24"/>
          <w:szCs w:val="24"/>
        </w:rPr>
        <w:t xml:space="preserve">, før en behandling med </w:t>
      </w:r>
      <w:proofErr w:type="spellStart"/>
      <w:r w:rsidRPr="00FE01B6">
        <w:rPr>
          <w:sz w:val="24"/>
          <w:szCs w:val="24"/>
        </w:rPr>
        <w:t>Zafrilla</w:t>
      </w:r>
      <w:proofErr w:type="spellEnd"/>
      <w:r w:rsidRPr="00FE01B6">
        <w:rPr>
          <w:sz w:val="24"/>
          <w:szCs w:val="24"/>
        </w:rPr>
        <w:t xml:space="preserve"> kan indledes eller fortsættes.</w:t>
      </w:r>
    </w:p>
    <w:p w:rsidR="00140AB5" w:rsidRPr="00FE01B6" w:rsidRDefault="00140AB5" w:rsidP="00140AB5">
      <w:pPr>
        <w:tabs>
          <w:tab w:val="left" w:pos="851"/>
        </w:tabs>
        <w:ind w:left="851"/>
        <w:rPr>
          <w:iCs/>
          <w:sz w:val="24"/>
          <w:szCs w:val="24"/>
          <w:lang w:val="nl-BE"/>
        </w:rPr>
      </w:pPr>
    </w:p>
    <w:p w:rsidR="00140AB5" w:rsidRPr="00FE01B6" w:rsidRDefault="00140AB5" w:rsidP="00140AB5">
      <w:pPr>
        <w:tabs>
          <w:tab w:val="left" w:pos="851"/>
        </w:tabs>
        <w:ind w:left="851"/>
        <w:rPr>
          <w:i/>
          <w:iCs/>
          <w:sz w:val="24"/>
          <w:szCs w:val="24"/>
          <w:lang w:val="nl-BE"/>
        </w:rPr>
      </w:pPr>
      <w:r w:rsidRPr="00FE01B6">
        <w:rPr>
          <w:i/>
          <w:iCs/>
          <w:sz w:val="24"/>
          <w:szCs w:val="24"/>
        </w:rPr>
        <w:t>Alvorlig livmoderblødning</w:t>
      </w:r>
    </w:p>
    <w:p w:rsidR="00140AB5" w:rsidRPr="00FE01B6" w:rsidRDefault="00140AB5" w:rsidP="00140AB5">
      <w:pPr>
        <w:tabs>
          <w:tab w:val="left" w:pos="851"/>
        </w:tabs>
        <w:ind w:left="851"/>
        <w:rPr>
          <w:sz w:val="24"/>
          <w:szCs w:val="24"/>
          <w:lang w:val="nl-BE"/>
        </w:rPr>
      </w:pPr>
      <w:r w:rsidRPr="00FE01B6">
        <w:rPr>
          <w:sz w:val="24"/>
          <w:szCs w:val="24"/>
        </w:rPr>
        <w:t xml:space="preserve">Livmoderblødning, for eksempel hos kvinder, som har </w:t>
      </w:r>
      <w:proofErr w:type="spellStart"/>
      <w:r w:rsidRPr="00FE01B6">
        <w:rPr>
          <w:sz w:val="24"/>
          <w:szCs w:val="24"/>
        </w:rPr>
        <w:t>adenomyose</w:t>
      </w:r>
      <w:proofErr w:type="spellEnd"/>
      <w:r w:rsidRPr="00FE01B6">
        <w:rPr>
          <w:sz w:val="24"/>
          <w:szCs w:val="24"/>
        </w:rPr>
        <w:t xml:space="preserve"> </w:t>
      </w:r>
      <w:proofErr w:type="spellStart"/>
      <w:r w:rsidRPr="00FE01B6">
        <w:rPr>
          <w:sz w:val="24"/>
          <w:szCs w:val="24"/>
        </w:rPr>
        <w:t>uteri</w:t>
      </w:r>
      <w:proofErr w:type="spellEnd"/>
      <w:r w:rsidRPr="00FE01B6">
        <w:rPr>
          <w:sz w:val="24"/>
          <w:szCs w:val="24"/>
        </w:rPr>
        <w:t xml:space="preserve"> eller </w:t>
      </w:r>
      <w:proofErr w:type="spellStart"/>
      <w:r w:rsidRPr="00FE01B6">
        <w:rPr>
          <w:sz w:val="24"/>
          <w:szCs w:val="24"/>
        </w:rPr>
        <w:t>livmoderleiomyom</w:t>
      </w:r>
      <w:proofErr w:type="spellEnd"/>
      <w:r w:rsidRPr="00FE01B6">
        <w:rPr>
          <w:sz w:val="24"/>
          <w:szCs w:val="24"/>
        </w:rPr>
        <w:t xml:space="preserve">, kan forværres ved brug af </w:t>
      </w:r>
      <w:proofErr w:type="spellStart"/>
      <w:r w:rsidRPr="00FE01B6">
        <w:rPr>
          <w:sz w:val="24"/>
          <w:szCs w:val="24"/>
        </w:rPr>
        <w:t>Zafrilla</w:t>
      </w:r>
      <w:proofErr w:type="spellEnd"/>
      <w:r w:rsidRPr="00FE01B6">
        <w:rPr>
          <w:sz w:val="24"/>
          <w:szCs w:val="24"/>
        </w:rPr>
        <w:t xml:space="preserve">. Hvis blødningen er kraftig og kontinuerlig, kan det føre til anæmi (i nogle tilfælde alvorlig anæmi). I tilfælde af anæmi, bør det overvejes at indstille behandlingen med </w:t>
      </w:r>
      <w:proofErr w:type="spellStart"/>
      <w:r w:rsidRPr="00FE01B6">
        <w:rPr>
          <w:sz w:val="24"/>
          <w:szCs w:val="24"/>
        </w:rPr>
        <w:t>Zafrilla</w:t>
      </w:r>
      <w:proofErr w:type="spellEnd"/>
      <w:r w:rsidRPr="00FE01B6">
        <w:rPr>
          <w:sz w:val="24"/>
          <w:szCs w:val="24"/>
        </w:rPr>
        <w:t>.</w:t>
      </w:r>
    </w:p>
    <w:p w:rsidR="00140AB5" w:rsidRPr="00FE01B6" w:rsidRDefault="00140AB5" w:rsidP="00140AB5">
      <w:pPr>
        <w:tabs>
          <w:tab w:val="left" w:pos="851"/>
        </w:tabs>
        <w:ind w:left="851"/>
        <w:rPr>
          <w:iCs/>
          <w:sz w:val="24"/>
          <w:szCs w:val="24"/>
          <w:lang w:val="nl-BE"/>
        </w:rPr>
      </w:pPr>
    </w:p>
    <w:p w:rsidR="00140AB5" w:rsidRPr="00FE01B6" w:rsidRDefault="00140AB5" w:rsidP="00140AB5">
      <w:pPr>
        <w:tabs>
          <w:tab w:val="left" w:pos="851"/>
        </w:tabs>
        <w:ind w:left="851"/>
        <w:rPr>
          <w:i/>
          <w:iCs/>
          <w:sz w:val="24"/>
          <w:szCs w:val="24"/>
          <w:lang w:val="nl-BE"/>
        </w:rPr>
      </w:pPr>
      <w:r w:rsidRPr="00FE01B6">
        <w:rPr>
          <w:i/>
          <w:iCs/>
          <w:sz w:val="24"/>
          <w:szCs w:val="24"/>
        </w:rPr>
        <w:t>Forandringer i blødningsmønsteret</w:t>
      </w:r>
    </w:p>
    <w:p w:rsidR="00140AB5" w:rsidRPr="00FE01B6" w:rsidRDefault="00140AB5" w:rsidP="00140AB5">
      <w:pPr>
        <w:tabs>
          <w:tab w:val="left" w:pos="851"/>
        </w:tabs>
        <w:ind w:left="851"/>
        <w:rPr>
          <w:sz w:val="24"/>
          <w:szCs w:val="24"/>
          <w:lang w:val="nl-BE"/>
        </w:rPr>
      </w:pPr>
      <w:r w:rsidRPr="00FE01B6">
        <w:rPr>
          <w:sz w:val="24"/>
          <w:szCs w:val="24"/>
        </w:rPr>
        <w:t xml:space="preserve">De fleste patienter, der er behandlet med </w:t>
      </w:r>
      <w:proofErr w:type="spellStart"/>
      <w:r w:rsidR="00222E4E">
        <w:rPr>
          <w:sz w:val="24"/>
          <w:szCs w:val="24"/>
        </w:rPr>
        <w:t>Zafrilla</w:t>
      </w:r>
      <w:proofErr w:type="spellEnd"/>
      <w:r w:rsidRPr="00FE01B6">
        <w:rPr>
          <w:sz w:val="24"/>
          <w:szCs w:val="24"/>
        </w:rPr>
        <w:t xml:space="preserve">, oplever forandringer i det </w:t>
      </w:r>
      <w:proofErr w:type="spellStart"/>
      <w:r w:rsidRPr="00FE01B6">
        <w:rPr>
          <w:sz w:val="24"/>
          <w:szCs w:val="24"/>
        </w:rPr>
        <w:t>menstruelle</w:t>
      </w:r>
      <w:proofErr w:type="spellEnd"/>
      <w:r w:rsidRPr="00FE01B6">
        <w:rPr>
          <w:sz w:val="24"/>
          <w:szCs w:val="24"/>
        </w:rPr>
        <w:t xml:space="preserve"> blødningsmønster (se </w:t>
      </w:r>
      <w:r w:rsidR="00222E4E">
        <w:rPr>
          <w:sz w:val="24"/>
          <w:szCs w:val="24"/>
        </w:rPr>
        <w:t>pkt.</w:t>
      </w:r>
      <w:r w:rsidRPr="00FE01B6">
        <w:rPr>
          <w:sz w:val="24"/>
          <w:szCs w:val="24"/>
        </w:rPr>
        <w:t xml:space="preserve"> 4.8).</w:t>
      </w:r>
    </w:p>
    <w:p w:rsidR="00140AB5" w:rsidRPr="00FE01B6" w:rsidRDefault="00140AB5" w:rsidP="00140AB5">
      <w:pPr>
        <w:tabs>
          <w:tab w:val="left" w:pos="851"/>
        </w:tabs>
        <w:ind w:left="851"/>
        <w:rPr>
          <w:iCs/>
          <w:sz w:val="24"/>
          <w:szCs w:val="24"/>
          <w:lang w:val="nl-BE"/>
        </w:rPr>
      </w:pPr>
    </w:p>
    <w:p w:rsidR="00140AB5" w:rsidRPr="00FE01B6" w:rsidRDefault="00140AB5" w:rsidP="00140AB5">
      <w:pPr>
        <w:tabs>
          <w:tab w:val="left" w:pos="851"/>
        </w:tabs>
        <w:ind w:left="851"/>
        <w:rPr>
          <w:i/>
          <w:iCs/>
          <w:sz w:val="24"/>
          <w:szCs w:val="24"/>
          <w:lang w:val="nl-BE"/>
        </w:rPr>
      </w:pPr>
      <w:r w:rsidRPr="00FE01B6">
        <w:rPr>
          <w:i/>
          <w:iCs/>
          <w:sz w:val="24"/>
          <w:szCs w:val="24"/>
        </w:rPr>
        <w:t>Kredsløbssygdomme</w:t>
      </w:r>
    </w:p>
    <w:p w:rsidR="00140AB5" w:rsidRPr="00FE01B6" w:rsidRDefault="00140AB5" w:rsidP="00140AB5">
      <w:pPr>
        <w:tabs>
          <w:tab w:val="left" w:pos="851"/>
        </w:tabs>
        <w:ind w:left="851"/>
        <w:rPr>
          <w:sz w:val="24"/>
          <w:szCs w:val="24"/>
        </w:rPr>
      </w:pPr>
      <w:r w:rsidRPr="00FE01B6">
        <w:rPr>
          <w:sz w:val="24"/>
          <w:szCs w:val="24"/>
        </w:rPr>
        <w:t xml:space="preserve">Der forefindes kun ringe dokumentation for en sammenhæng mellem præparater, der udelukkende er baseret på </w:t>
      </w:r>
      <w:proofErr w:type="spellStart"/>
      <w:r w:rsidRPr="00FE01B6">
        <w:rPr>
          <w:sz w:val="24"/>
          <w:szCs w:val="24"/>
        </w:rPr>
        <w:t>progestogen</w:t>
      </w:r>
      <w:proofErr w:type="spellEnd"/>
      <w:r w:rsidRPr="00FE01B6">
        <w:rPr>
          <w:sz w:val="24"/>
          <w:szCs w:val="24"/>
        </w:rPr>
        <w:t xml:space="preserve">, og en øget risiko for blodpropper i hjertet eller </w:t>
      </w:r>
      <w:proofErr w:type="spellStart"/>
      <w:r w:rsidRPr="00FE01B6">
        <w:rPr>
          <w:sz w:val="24"/>
          <w:szCs w:val="24"/>
        </w:rPr>
        <w:t>tromboemboli</w:t>
      </w:r>
      <w:proofErr w:type="spellEnd"/>
      <w:r w:rsidRPr="00FE01B6">
        <w:rPr>
          <w:sz w:val="24"/>
          <w:szCs w:val="24"/>
        </w:rPr>
        <w:t xml:space="preserve"> i hjernen. Risikoen for blodpropper i hjertet og hjernelidelser er snarere relateret til stigende alder, forhøjet blodtryk og rygning. Hos kvinder med forhøjet blodtryk kan risikoen for et slagtilfælde stige lidt som følge af præparater baseret udelukkende på </w:t>
      </w:r>
      <w:proofErr w:type="spellStart"/>
      <w:r w:rsidRPr="00FE01B6">
        <w:rPr>
          <w:sz w:val="24"/>
          <w:szCs w:val="24"/>
        </w:rPr>
        <w:t>progestogen</w:t>
      </w:r>
      <w:proofErr w:type="spellEnd"/>
      <w:r w:rsidRPr="00FE01B6">
        <w:rPr>
          <w:sz w:val="24"/>
          <w:szCs w:val="24"/>
        </w:rPr>
        <w:t>.</w:t>
      </w:r>
    </w:p>
    <w:p w:rsidR="00140AB5" w:rsidRPr="00FE01B6" w:rsidRDefault="00140AB5" w:rsidP="00140AB5">
      <w:pPr>
        <w:tabs>
          <w:tab w:val="left" w:pos="851"/>
        </w:tabs>
        <w:ind w:left="851"/>
        <w:rPr>
          <w:sz w:val="24"/>
          <w:szCs w:val="24"/>
        </w:rPr>
      </w:pPr>
    </w:p>
    <w:p w:rsidR="00140AB5" w:rsidRPr="00FE01B6" w:rsidRDefault="00140AB5" w:rsidP="00140AB5">
      <w:pPr>
        <w:tabs>
          <w:tab w:val="left" w:pos="851"/>
        </w:tabs>
        <w:ind w:left="851"/>
        <w:rPr>
          <w:sz w:val="24"/>
          <w:szCs w:val="24"/>
        </w:rPr>
      </w:pPr>
      <w:r w:rsidRPr="00FE01B6">
        <w:rPr>
          <w:sz w:val="24"/>
          <w:szCs w:val="24"/>
        </w:rPr>
        <w:t xml:space="preserve">Selv om de er statistisk ubetydelige, er der nogle undersøgelser, der viser, at der kan være en lille, øget risiko for blodpropper i benene (venøs trombose) forbundet med brugen af præparater baseret udelukkende på </w:t>
      </w:r>
      <w:proofErr w:type="spellStart"/>
      <w:r w:rsidRPr="00FE01B6">
        <w:rPr>
          <w:sz w:val="24"/>
          <w:szCs w:val="24"/>
        </w:rPr>
        <w:t>progestogen</w:t>
      </w:r>
      <w:proofErr w:type="spellEnd"/>
      <w:r w:rsidRPr="00FE01B6">
        <w:rPr>
          <w:sz w:val="24"/>
          <w:szCs w:val="24"/>
        </w:rPr>
        <w:t xml:space="preserve">. De generelt anerkendte risikofaktorer for venøs </w:t>
      </w:r>
      <w:proofErr w:type="spellStart"/>
      <w:r w:rsidRPr="00FE01B6">
        <w:rPr>
          <w:sz w:val="24"/>
          <w:szCs w:val="24"/>
        </w:rPr>
        <w:t>tromboembolisme</w:t>
      </w:r>
      <w:proofErr w:type="spellEnd"/>
      <w:r w:rsidRPr="00FE01B6">
        <w:rPr>
          <w:sz w:val="24"/>
          <w:szCs w:val="24"/>
        </w:rPr>
        <w:t xml:space="preserve"> (VTE), omfatter en positiv personlig historik eller familiehistorik (VTE hos en søskende eller forælder i en relativt ung alder), alder, fedme, længerevarende handicap, omfattende kirurgi eller et større traume. I tilfælde af længerevarende </w:t>
      </w:r>
      <w:r>
        <w:rPr>
          <w:sz w:val="24"/>
          <w:szCs w:val="24"/>
        </w:rPr>
        <w:t>immobilisering</w:t>
      </w:r>
      <w:r w:rsidRPr="00FE01B6">
        <w:rPr>
          <w:sz w:val="24"/>
          <w:szCs w:val="24"/>
        </w:rPr>
        <w:t xml:space="preserve"> anbefales det at indstille brugen af </w:t>
      </w:r>
      <w:proofErr w:type="spellStart"/>
      <w:r w:rsidRPr="00FE01B6">
        <w:rPr>
          <w:sz w:val="24"/>
          <w:szCs w:val="24"/>
        </w:rPr>
        <w:t>Zafrilla</w:t>
      </w:r>
      <w:proofErr w:type="spellEnd"/>
      <w:r w:rsidRPr="00FE01B6">
        <w:rPr>
          <w:sz w:val="24"/>
          <w:szCs w:val="24"/>
        </w:rPr>
        <w:t xml:space="preserve"> (i tilfælde af </w:t>
      </w:r>
      <w:proofErr w:type="spellStart"/>
      <w:r>
        <w:rPr>
          <w:sz w:val="24"/>
          <w:szCs w:val="24"/>
        </w:rPr>
        <w:t>elektiv</w:t>
      </w:r>
      <w:proofErr w:type="spellEnd"/>
      <w:r>
        <w:rPr>
          <w:sz w:val="24"/>
          <w:szCs w:val="24"/>
        </w:rPr>
        <w:t xml:space="preserve"> kirurgi </w:t>
      </w:r>
      <w:r w:rsidRPr="00FE01B6">
        <w:rPr>
          <w:sz w:val="24"/>
          <w:szCs w:val="24"/>
        </w:rPr>
        <w:t xml:space="preserve">mindst fire uger i </w:t>
      </w:r>
      <w:r>
        <w:rPr>
          <w:sz w:val="24"/>
          <w:szCs w:val="24"/>
        </w:rPr>
        <w:t>forvejen)</w:t>
      </w:r>
      <w:r w:rsidRPr="00FE01B6">
        <w:rPr>
          <w:sz w:val="24"/>
          <w:szCs w:val="24"/>
        </w:rPr>
        <w:t xml:space="preserve"> og ikke at fortsætte be</w:t>
      </w:r>
      <w:r>
        <w:rPr>
          <w:sz w:val="24"/>
          <w:szCs w:val="24"/>
        </w:rPr>
        <w:t>handlingen førend to uger efter</w:t>
      </w:r>
      <w:r w:rsidRPr="00FE01B6">
        <w:rPr>
          <w:sz w:val="24"/>
          <w:szCs w:val="24"/>
        </w:rPr>
        <w:t xml:space="preserve"> fuld</w:t>
      </w:r>
      <w:r>
        <w:rPr>
          <w:sz w:val="24"/>
          <w:szCs w:val="24"/>
        </w:rPr>
        <w:t xml:space="preserve"> </w:t>
      </w:r>
      <w:proofErr w:type="spellStart"/>
      <w:r>
        <w:rPr>
          <w:sz w:val="24"/>
          <w:szCs w:val="24"/>
        </w:rPr>
        <w:t>remobilisering</w:t>
      </w:r>
      <w:proofErr w:type="spellEnd"/>
      <w:r w:rsidRPr="00FE01B6">
        <w:rPr>
          <w:sz w:val="24"/>
          <w:szCs w:val="24"/>
        </w:rPr>
        <w:t>.</w:t>
      </w:r>
    </w:p>
    <w:p w:rsidR="00140AB5" w:rsidRPr="00FE01B6" w:rsidRDefault="00140AB5" w:rsidP="00140AB5">
      <w:pPr>
        <w:tabs>
          <w:tab w:val="left" w:pos="851"/>
        </w:tabs>
        <w:ind w:left="851"/>
        <w:rPr>
          <w:sz w:val="24"/>
          <w:szCs w:val="24"/>
        </w:rPr>
      </w:pPr>
    </w:p>
    <w:p w:rsidR="00140AB5" w:rsidRPr="00FE01B6" w:rsidRDefault="00140AB5" w:rsidP="00140AB5">
      <w:pPr>
        <w:tabs>
          <w:tab w:val="left" w:pos="851"/>
        </w:tabs>
        <w:ind w:left="851"/>
        <w:rPr>
          <w:sz w:val="24"/>
          <w:szCs w:val="24"/>
          <w:lang w:val="de-DE"/>
        </w:rPr>
      </w:pPr>
      <w:r w:rsidRPr="00FE01B6">
        <w:rPr>
          <w:sz w:val="24"/>
          <w:szCs w:val="24"/>
        </w:rPr>
        <w:t xml:space="preserve">Den øgede risiko for </w:t>
      </w:r>
      <w:proofErr w:type="spellStart"/>
      <w:r w:rsidRPr="00FE01B6">
        <w:rPr>
          <w:sz w:val="24"/>
          <w:szCs w:val="24"/>
        </w:rPr>
        <w:t>tromboembolisme</w:t>
      </w:r>
      <w:proofErr w:type="spellEnd"/>
      <w:r w:rsidRPr="00FE01B6">
        <w:rPr>
          <w:sz w:val="24"/>
          <w:szCs w:val="24"/>
        </w:rPr>
        <w:t xml:space="preserve"> i barselsperioden skal tages i betragtning.</w:t>
      </w:r>
    </w:p>
    <w:p w:rsidR="00140AB5" w:rsidRPr="00FE01B6" w:rsidRDefault="00140AB5" w:rsidP="00140AB5">
      <w:pPr>
        <w:tabs>
          <w:tab w:val="left" w:pos="851"/>
        </w:tabs>
        <w:ind w:left="851"/>
        <w:rPr>
          <w:sz w:val="24"/>
          <w:szCs w:val="24"/>
          <w:lang w:val="de-DE"/>
        </w:rPr>
      </w:pPr>
    </w:p>
    <w:p w:rsidR="00140AB5" w:rsidRPr="00FE01B6" w:rsidRDefault="00140AB5" w:rsidP="00140AB5">
      <w:pPr>
        <w:tabs>
          <w:tab w:val="left" w:pos="851"/>
        </w:tabs>
        <w:ind w:left="851"/>
        <w:rPr>
          <w:sz w:val="24"/>
          <w:szCs w:val="24"/>
          <w:lang w:val="de-DE"/>
        </w:rPr>
      </w:pPr>
      <w:r w:rsidRPr="00FE01B6">
        <w:rPr>
          <w:sz w:val="24"/>
          <w:szCs w:val="24"/>
        </w:rPr>
        <w:t xml:space="preserve">Behandlingen skal indstilles omgående, hvis der er symptomer på </w:t>
      </w:r>
      <w:r>
        <w:rPr>
          <w:sz w:val="24"/>
          <w:szCs w:val="24"/>
        </w:rPr>
        <w:t>eller mistanke om arteriel eller venøs trombose</w:t>
      </w:r>
      <w:r w:rsidRPr="00FE01B6">
        <w:rPr>
          <w:sz w:val="24"/>
          <w:szCs w:val="24"/>
        </w:rPr>
        <w:t>.</w:t>
      </w:r>
    </w:p>
    <w:p w:rsidR="00140AB5" w:rsidRPr="00FE01B6" w:rsidRDefault="00140AB5" w:rsidP="00140AB5">
      <w:pPr>
        <w:tabs>
          <w:tab w:val="left" w:pos="851"/>
        </w:tabs>
        <w:ind w:left="851"/>
        <w:rPr>
          <w:sz w:val="24"/>
          <w:szCs w:val="24"/>
          <w:lang w:val="de-DE"/>
        </w:rPr>
      </w:pPr>
    </w:p>
    <w:p w:rsidR="00140AB5" w:rsidRPr="00FE01B6" w:rsidRDefault="00140AB5" w:rsidP="00140AB5">
      <w:pPr>
        <w:tabs>
          <w:tab w:val="left" w:pos="851"/>
        </w:tabs>
        <w:ind w:left="851"/>
        <w:rPr>
          <w:i/>
          <w:iCs/>
          <w:sz w:val="24"/>
          <w:szCs w:val="24"/>
          <w:lang w:val="de-DE"/>
        </w:rPr>
      </w:pPr>
      <w:r w:rsidRPr="00FE01B6">
        <w:rPr>
          <w:i/>
          <w:iCs/>
          <w:sz w:val="24"/>
          <w:szCs w:val="24"/>
        </w:rPr>
        <w:t>Svulster</w:t>
      </w:r>
    </w:p>
    <w:p w:rsidR="00140AB5" w:rsidRPr="00FE01B6" w:rsidRDefault="00140AB5" w:rsidP="00140AB5">
      <w:pPr>
        <w:tabs>
          <w:tab w:val="left" w:pos="851"/>
        </w:tabs>
        <w:ind w:left="851"/>
        <w:rPr>
          <w:sz w:val="24"/>
          <w:szCs w:val="24"/>
        </w:rPr>
      </w:pPr>
      <w:r w:rsidRPr="00FE01B6">
        <w:rPr>
          <w:sz w:val="24"/>
          <w:szCs w:val="24"/>
        </w:rPr>
        <w:t xml:space="preserve">En metaanalyse af 54 epidemiologiske undersøgelser rapporterede, at der er en let øget relativ risiko (RR = 1,24) for at diagnosticere brystkræft hos kvinder, der i øjeblikket </w:t>
      </w:r>
      <w:r w:rsidRPr="00FE01B6">
        <w:rPr>
          <w:sz w:val="24"/>
          <w:szCs w:val="24"/>
        </w:rPr>
        <w:lastRenderedPageBreak/>
        <w:t>bruger orale præventionsmidler (</w:t>
      </w:r>
      <w:proofErr w:type="spellStart"/>
      <w:r w:rsidRPr="00FE01B6">
        <w:rPr>
          <w:sz w:val="24"/>
          <w:szCs w:val="24"/>
        </w:rPr>
        <w:t>OP’er</w:t>
      </w:r>
      <w:proofErr w:type="spellEnd"/>
      <w:r w:rsidRPr="00FE01B6">
        <w:rPr>
          <w:sz w:val="24"/>
          <w:szCs w:val="24"/>
        </w:rPr>
        <w:t xml:space="preserve">), særligt dem, der bruger præparater baseret på østrogen og </w:t>
      </w:r>
      <w:proofErr w:type="spellStart"/>
      <w:r w:rsidRPr="00FE01B6">
        <w:rPr>
          <w:sz w:val="24"/>
          <w:szCs w:val="24"/>
        </w:rPr>
        <w:t>progestogen</w:t>
      </w:r>
      <w:proofErr w:type="spellEnd"/>
      <w:r w:rsidRPr="00FE01B6">
        <w:rPr>
          <w:sz w:val="24"/>
          <w:szCs w:val="24"/>
        </w:rPr>
        <w:t xml:space="preserve">. Den øgede risiko aftager gradvist i løbet af 10 år efter brugen af kombinerede </w:t>
      </w:r>
      <w:proofErr w:type="spellStart"/>
      <w:r w:rsidRPr="00FE01B6">
        <w:rPr>
          <w:sz w:val="24"/>
          <w:szCs w:val="24"/>
        </w:rPr>
        <w:t>OP’er</w:t>
      </w:r>
      <w:proofErr w:type="spellEnd"/>
      <w:r w:rsidRPr="00FE01B6">
        <w:rPr>
          <w:sz w:val="24"/>
          <w:szCs w:val="24"/>
        </w:rPr>
        <w:t xml:space="preserve"> (COC) ophører. Da brystkræft hører til sjældenhederne hos kvinder under 40 år, er det forhøjede antal af brystkræftdiagnoser hos nuværende og tidligere COC-brugere lille i forhold til den generelle risiko </w:t>
      </w:r>
      <w:r>
        <w:rPr>
          <w:sz w:val="24"/>
          <w:szCs w:val="24"/>
        </w:rPr>
        <w:t>for at få</w:t>
      </w:r>
      <w:r w:rsidRPr="00FE01B6">
        <w:rPr>
          <w:sz w:val="24"/>
          <w:szCs w:val="24"/>
        </w:rPr>
        <w:t xml:space="preserve"> brystkræft. Risikoen for at få brystkræft hos brugere af præparater, der udelukkende er baseret på </w:t>
      </w:r>
      <w:proofErr w:type="spellStart"/>
      <w:r>
        <w:rPr>
          <w:sz w:val="24"/>
          <w:szCs w:val="24"/>
        </w:rPr>
        <w:t>progestogen</w:t>
      </w:r>
      <w:proofErr w:type="spellEnd"/>
      <w:r w:rsidRPr="00FE01B6">
        <w:rPr>
          <w:sz w:val="24"/>
          <w:szCs w:val="24"/>
        </w:rPr>
        <w:t xml:space="preserve">, svarer muligvis til de risici der er forbundet med COC. Det skal dog nævnes, at for så vidt angår præparater, der udelukkende er baseret på </w:t>
      </w:r>
      <w:proofErr w:type="spellStart"/>
      <w:r w:rsidRPr="00FE01B6">
        <w:rPr>
          <w:sz w:val="24"/>
          <w:szCs w:val="24"/>
        </w:rPr>
        <w:t>progestogen</w:t>
      </w:r>
      <w:proofErr w:type="spellEnd"/>
      <w:r w:rsidRPr="00FE01B6">
        <w:rPr>
          <w:sz w:val="24"/>
          <w:szCs w:val="24"/>
        </w:rPr>
        <w:t xml:space="preserve">, </w:t>
      </w:r>
      <w:r>
        <w:rPr>
          <w:sz w:val="24"/>
          <w:szCs w:val="24"/>
        </w:rPr>
        <w:t>er</w:t>
      </w:r>
      <w:r w:rsidRPr="00FE01B6">
        <w:rPr>
          <w:sz w:val="24"/>
          <w:szCs w:val="24"/>
        </w:rPr>
        <w:t xml:space="preserve"> beviserne baseret på meget mindre brugergrupper, og derfor ikke er lige så endegyldige som for </w:t>
      </w:r>
      <w:proofErr w:type="spellStart"/>
      <w:r w:rsidRPr="00FE01B6">
        <w:rPr>
          <w:sz w:val="24"/>
          <w:szCs w:val="24"/>
        </w:rPr>
        <w:t>COC’er</w:t>
      </w:r>
      <w:proofErr w:type="spellEnd"/>
      <w:r w:rsidRPr="00FE01B6">
        <w:rPr>
          <w:sz w:val="24"/>
          <w:szCs w:val="24"/>
        </w:rPr>
        <w:t xml:space="preserve">. Disse undersøgelser giver ikke dokumentation for en årsagssammenhæng. Det observerede risikomønster kan skyldes en tidligere brystkræftdiagnose hos OP-brugere, de biologiske effekter fra </w:t>
      </w:r>
      <w:proofErr w:type="spellStart"/>
      <w:r w:rsidRPr="00FE01B6">
        <w:rPr>
          <w:sz w:val="24"/>
          <w:szCs w:val="24"/>
        </w:rPr>
        <w:t>OP’er</w:t>
      </w:r>
      <w:proofErr w:type="spellEnd"/>
      <w:r w:rsidRPr="00FE01B6">
        <w:rPr>
          <w:sz w:val="24"/>
          <w:szCs w:val="24"/>
        </w:rPr>
        <w:t xml:space="preserve"> eller en kombination af begge. Brystkræft, der er diagnosticeret hos brugere af </w:t>
      </w:r>
      <w:proofErr w:type="spellStart"/>
      <w:r w:rsidRPr="00FE01B6">
        <w:rPr>
          <w:sz w:val="24"/>
          <w:szCs w:val="24"/>
        </w:rPr>
        <w:t>OP’er</w:t>
      </w:r>
      <w:proofErr w:type="spellEnd"/>
      <w:r w:rsidRPr="00FE01B6">
        <w:rPr>
          <w:sz w:val="24"/>
          <w:szCs w:val="24"/>
        </w:rPr>
        <w:t xml:space="preserve">, har en tendens til at være mindre klinisk fremskredne, end dem der er diagnosticeret hos personer, der aldrig har brugt </w:t>
      </w:r>
      <w:proofErr w:type="spellStart"/>
      <w:r w:rsidRPr="00FE01B6">
        <w:rPr>
          <w:sz w:val="24"/>
          <w:szCs w:val="24"/>
        </w:rPr>
        <w:t>OP’er</w:t>
      </w:r>
      <w:proofErr w:type="spellEnd"/>
      <w:r w:rsidRPr="00FE01B6">
        <w:rPr>
          <w:sz w:val="24"/>
          <w:szCs w:val="24"/>
        </w:rPr>
        <w:t>.</w:t>
      </w:r>
    </w:p>
    <w:p w:rsidR="00140AB5" w:rsidRPr="00FE01B6" w:rsidRDefault="00140AB5" w:rsidP="00140AB5">
      <w:pPr>
        <w:tabs>
          <w:tab w:val="left" w:pos="851"/>
        </w:tabs>
        <w:ind w:left="851"/>
        <w:rPr>
          <w:sz w:val="24"/>
          <w:szCs w:val="24"/>
        </w:rPr>
      </w:pPr>
    </w:p>
    <w:p w:rsidR="00140AB5" w:rsidRPr="00FE01B6" w:rsidRDefault="00140AB5" w:rsidP="00140AB5">
      <w:pPr>
        <w:tabs>
          <w:tab w:val="left" w:pos="851"/>
        </w:tabs>
        <w:ind w:left="851"/>
        <w:rPr>
          <w:sz w:val="24"/>
          <w:szCs w:val="24"/>
        </w:rPr>
      </w:pPr>
      <w:r w:rsidRPr="00FE01B6">
        <w:rPr>
          <w:sz w:val="24"/>
          <w:szCs w:val="24"/>
        </w:rPr>
        <w:t xml:space="preserve">I sjældne tilfælde er godartede levertumorer og i endnu sjældnere tilfælde ondartede levetumorer, blevet rapporteret hos brugere af hormonforstyrrende stoffer, såsom det der forefindes i </w:t>
      </w:r>
      <w:proofErr w:type="spellStart"/>
      <w:r w:rsidRPr="00FE01B6">
        <w:rPr>
          <w:sz w:val="24"/>
          <w:szCs w:val="24"/>
        </w:rPr>
        <w:t>Zafrilla</w:t>
      </w:r>
      <w:proofErr w:type="spellEnd"/>
      <w:r w:rsidRPr="00FE01B6">
        <w:rPr>
          <w:sz w:val="24"/>
          <w:szCs w:val="24"/>
        </w:rPr>
        <w:t xml:space="preserve">. I enkeltstående tilfælde har disse tumorer medført livstruende blødninger i underlivet. En levertumor bør overvejes i differentialdiagnosen, når der opstår kraftige smerter i den øvre maveregion, leverforstørrelse eller tegn på livstruende blødninger i underlivet hos kvinder, der tager </w:t>
      </w:r>
      <w:proofErr w:type="spellStart"/>
      <w:r w:rsidR="00222E4E">
        <w:rPr>
          <w:sz w:val="24"/>
          <w:szCs w:val="24"/>
        </w:rPr>
        <w:t>Zafrilla</w:t>
      </w:r>
      <w:proofErr w:type="spellEnd"/>
      <w:r w:rsidRPr="00FE01B6">
        <w:rPr>
          <w:sz w:val="24"/>
          <w:szCs w:val="24"/>
        </w:rPr>
        <w:t>.</w:t>
      </w:r>
    </w:p>
    <w:p w:rsidR="00140AB5" w:rsidRPr="00FE01B6" w:rsidRDefault="00140AB5" w:rsidP="00140AB5">
      <w:pPr>
        <w:tabs>
          <w:tab w:val="left" w:pos="851"/>
        </w:tabs>
        <w:ind w:left="851"/>
        <w:rPr>
          <w:sz w:val="24"/>
          <w:szCs w:val="24"/>
        </w:rPr>
      </w:pPr>
    </w:p>
    <w:p w:rsidR="00140AB5" w:rsidRPr="00FE01B6" w:rsidRDefault="00140AB5" w:rsidP="00140AB5">
      <w:pPr>
        <w:tabs>
          <w:tab w:val="left" w:pos="851"/>
        </w:tabs>
        <w:ind w:left="851"/>
        <w:rPr>
          <w:i/>
          <w:iCs/>
          <w:sz w:val="24"/>
          <w:szCs w:val="24"/>
        </w:rPr>
      </w:pPr>
      <w:r w:rsidRPr="00FE01B6">
        <w:rPr>
          <w:i/>
          <w:iCs/>
          <w:sz w:val="24"/>
          <w:szCs w:val="24"/>
        </w:rPr>
        <w:t>Knogleskørhed</w:t>
      </w:r>
    </w:p>
    <w:p w:rsidR="00140AB5" w:rsidRPr="00FE01B6" w:rsidRDefault="00140AB5" w:rsidP="00140AB5">
      <w:pPr>
        <w:tabs>
          <w:tab w:val="left" w:pos="851"/>
        </w:tabs>
        <w:ind w:left="851"/>
        <w:rPr>
          <w:sz w:val="24"/>
          <w:szCs w:val="24"/>
        </w:rPr>
      </w:pPr>
      <w:r w:rsidRPr="00FE01B6">
        <w:rPr>
          <w:sz w:val="24"/>
          <w:szCs w:val="24"/>
        </w:rPr>
        <w:t xml:space="preserve">Ændringer i knoglernes mineraltæthed (BMD, bone mineral </w:t>
      </w:r>
      <w:proofErr w:type="spellStart"/>
      <w:r w:rsidRPr="00FE01B6">
        <w:rPr>
          <w:sz w:val="24"/>
          <w:szCs w:val="24"/>
        </w:rPr>
        <w:t>density</w:t>
      </w:r>
      <w:proofErr w:type="spellEnd"/>
      <w:r w:rsidRPr="00FE01B6">
        <w:rPr>
          <w:sz w:val="24"/>
          <w:szCs w:val="24"/>
        </w:rPr>
        <w:t>).</w:t>
      </w:r>
    </w:p>
    <w:p w:rsidR="00140AB5" w:rsidRPr="00FE01B6" w:rsidRDefault="00140AB5" w:rsidP="00140AB5">
      <w:pPr>
        <w:tabs>
          <w:tab w:val="left" w:pos="851"/>
        </w:tabs>
        <w:ind w:left="851"/>
        <w:rPr>
          <w:sz w:val="24"/>
          <w:szCs w:val="24"/>
        </w:rPr>
      </w:pPr>
    </w:p>
    <w:p w:rsidR="00140AB5" w:rsidRPr="00FE01B6" w:rsidRDefault="00140AB5" w:rsidP="00140AB5">
      <w:pPr>
        <w:tabs>
          <w:tab w:val="left" w:pos="851"/>
        </w:tabs>
        <w:ind w:left="851"/>
        <w:rPr>
          <w:sz w:val="24"/>
          <w:szCs w:val="24"/>
        </w:rPr>
      </w:pPr>
      <w:r w:rsidRPr="00FE01B6">
        <w:rPr>
          <w:sz w:val="24"/>
          <w:szCs w:val="24"/>
        </w:rPr>
        <w:t xml:space="preserve">Brug af </w:t>
      </w:r>
      <w:proofErr w:type="spellStart"/>
      <w:r w:rsidRPr="00FE01B6">
        <w:rPr>
          <w:sz w:val="24"/>
          <w:szCs w:val="24"/>
        </w:rPr>
        <w:t>dienogest</w:t>
      </w:r>
      <w:proofErr w:type="spellEnd"/>
      <w:r w:rsidRPr="00FE01B6">
        <w:rPr>
          <w:sz w:val="24"/>
          <w:szCs w:val="24"/>
        </w:rPr>
        <w:t xml:space="preserve"> 2 mg-tabletter hos teenagere (12 til &lt;18 år) over en behandlingsperiode på 12 måneder, blev forbundet med et fald i knoglernes mineraltæthed (BMD) i lændehvirvelsøjlen (L2-L4). Den gennemsnitlige relative forandring i BMD fra udgangspunktet til efter afsluttet behandling (EOT) var -1,2 % med et interval på mellem -6 % og 5 % (IC 95 %: -1,70 % og -0,78 %, n=103).</w:t>
      </w:r>
    </w:p>
    <w:p w:rsidR="00140AB5" w:rsidRPr="00FE01B6" w:rsidRDefault="00140AB5" w:rsidP="00140AB5">
      <w:pPr>
        <w:tabs>
          <w:tab w:val="left" w:pos="851"/>
        </w:tabs>
        <w:ind w:left="851"/>
        <w:rPr>
          <w:sz w:val="24"/>
          <w:szCs w:val="24"/>
        </w:rPr>
      </w:pPr>
      <w:r w:rsidRPr="00FE01B6">
        <w:rPr>
          <w:sz w:val="24"/>
          <w:szCs w:val="24"/>
        </w:rPr>
        <w:t xml:space="preserve">Gentagne målinger 6 måneder efter afsluttet behandling (EOT, end of </w:t>
      </w:r>
      <w:proofErr w:type="spellStart"/>
      <w:r w:rsidRPr="00FE01B6">
        <w:rPr>
          <w:sz w:val="24"/>
          <w:szCs w:val="24"/>
        </w:rPr>
        <w:t>treatment</w:t>
      </w:r>
      <w:proofErr w:type="spellEnd"/>
      <w:r w:rsidRPr="00FE01B6">
        <w:rPr>
          <w:sz w:val="24"/>
          <w:szCs w:val="24"/>
        </w:rPr>
        <w:t>) i en undergruppe med reducerede BMD-værdier viste en tendens mod genopretning. (Gennemsnitlig relativ ændring fra udgangspunkt: -2,3 % ved EOT og -0,6 % 6 måneder efter EOT med et interval mellem -9 % og 6 % (IC 95 %: -1,20 % og 0,06 % (n=60).</w:t>
      </w:r>
    </w:p>
    <w:p w:rsidR="00140AB5" w:rsidRPr="00FE01B6" w:rsidRDefault="00140AB5" w:rsidP="00140AB5">
      <w:pPr>
        <w:tabs>
          <w:tab w:val="left" w:pos="851"/>
        </w:tabs>
        <w:ind w:left="851"/>
        <w:rPr>
          <w:sz w:val="24"/>
          <w:szCs w:val="24"/>
        </w:rPr>
      </w:pPr>
    </w:p>
    <w:p w:rsidR="00140AB5" w:rsidRPr="00FE01B6" w:rsidRDefault="00140AB5" w:rsidP="00140AB5">
      <w:pPr>
        <w:tabs>
          <w:tab w:val="left" w:pos="851"/>
        </w:tabs>
        <w:ind w:left="851"/>
        <w:rPr>
          <w:sz w:val="24"/>
          <w:szCs w:val="24"/>
        </w:rPr>
      </w:pPr>
      <w:r w:rsidRPr="00FE01B6">
        <w:rPr>
          <w:sz w:val="24"/>
          <w:szCs w:val="24"/>
        </w:rPr>
        <w:t>BMD-tab kræver særlig opmærksomhed i teenageårene og de tidlige voksenår, som er en kritisk periode for knoglernes vækst. Det er uvist, om et fald i BMD i denne befolkningsgruppe vil reducere den højest opnåede knoglemasse og øge risikoen for knoglebrud senere i livet (se pkt. 4.2 og 5.1).</w:t>
      </w:r>
    </w:p>
    <w:p w:rsidR="00140AB5" w:rsidRPr="00FE01B6" w:rsidRDefault="00140AB5" w:rsidP="00140AB5">
      <w:pPr>
        <w:tabs>
          <w:tab w:val="left" w:pos="851"/>
        </w:tabs>
        <w:ind w:left="851"/>
        <w:rPr>
          <w:sz w:val="24"/>
          <w:szCs w:val="24"/>
        </w:rPr>
      </w:pPr>
    </w:p>
    <w:p w:rsidR="00140AB5" w:rsidRPr="00FE01B6" w:rsidRDefault="00140AB5" w:rsidP="00140AB5">
      <w:pPr>
        <w:tabs>
          <w:tab w:val="left" w:pos="851"/>
        </w:tabs>
        <w:ind w:left="851"/>
        <w:rPr>
          <w:sz w:val="24"/>
          <w:szCs w:val="24"/>
        </w:rPr>
      </w:pPr>
      <w:r w:rsidRPr="00FE01B6">
        <w:rPr>
          <w:sz w:val="24"/>
          <w:szCs w:val="24"/>
        </w:rPr>
        <w:t xml:space="preserve">Hos patienter, som har forhøjet risiko for knogleskørhed, bør der udføres en omhyggelig vurdering af risici og fordele, før en behandling med </w:t>
      </w:r>
      <w:proofErr w:type="spellStart"/>
      <w:r w:rsidRPr="00FE01B6">
        <w:rPr>
          <w:sz w:val="24"/>
          <w:szCs w:val="24"/>
        </w:rPr>
        <w:t>Zafrilla</w:t>
      </w:r>
      <w:proofErr w:type="spellEnd"/>
      <w:r w:rsidRPr="00FE01B6">
        <w:rPr>
          <w:sz w:val="24"/>
          <w:szCs w:val="24"/>
        </w:rPr>
        <w:t xml:space="preserve"> indledes, fordi de indre østrogenniveauer nedsættes moderat under behandlingen med </w:t>
      </w:r>
      <w:proofErr w:type="spellStart"/>
      <w:r w:rsidRPr="00FE01B6">
        <w:rPr>
          <w:sz w:val="24"/>
          <w:szCs w:val="24"/>
        </w:rPr>
        <w:t>dienogest</w:t>
      </w:r>
      <w:proofErr w:type="spellEnd"/>
      <w:r w:rsidRPr="00FE01B6">
        <w:rPr>
          <w:sz w:val="24"/>
          <w:szCs w:val="24"/>
        </w:rPr>
        <w:t xml:space="preserve"> 2 mg-tabletter (se pkt. 5.1).</w:t>
      </w:r>
    </w:p>
    <w:p w:rsidR="00140AB5" w:rsidRPr="00FE01B6" w:rsidRDefault="00140AB5" w:rsidP="00140AB5">
      <w:pPr>
        <w:tabs>
          <w:tab w:val="left" w:pos="851"/>
        </w:tabs>
        <w:ind w:left="851"/>
        <w:rPr>
          <w:sz w:val="24"/>
          <w:szCs w:val="24"/>
        </w:rPr>
      </w:pPr>
    </w:p>
    <w:p w:rsidR="00140AB5" w:rsidRPr="00FE01B6" w:rsidRDefault="00140AB5" w:rsidP="00140AB5">
      <w:pPr>
        <w:tabs>
          <w:tab w:val="left" w:pos="851"/>
        </w:tabs>
        <w:ind w:left="851"/>
        <w:rPr>
          <w:sz w:val="24"/>
          <w:szCs w:val="24"/>
        </w:rPr>
      </w:pPr>
      <w:r w:rsidRPr="00FE01B6">
        <w:rPr>
          <w:sz w:val="24"/>
          <w:szCs w:val="24"/>
        </w:rPr>
        <w:t>Et passende indtag af kalk og D-vitamin, uanset om det er fra kost eller fra kosttilskud, er vigtig for knoglernes styrke hos kvinder i alle aldre.</w:t>
      </w:r>
    </w:p>
    <w:p w:rsidR="00140AB5" w:rsidRPr="00FE01B6" w:rsidRDefault="00140AB5" w:rsidP="00140AB5">
      <w:pPr>
        <w:tabs>
          <w:tab w:val="left" w:pos="851"/>
        </w:tabs>
        <w:ind w:left="851"/>
        <w:rPr>
          <w:sz w:val="24"/>
          <w:szCs w:val="24"/>
        </w:rPr>
      </w:pPr>
    </w:p>
    <w:p w:rsidR="00140AB5" w:rsidRPr="00FE01B6" w:rsidRDefault="00140AB5" w:rsidP="00140AB5">
      <w:pPr>
        <w:tabs>
          <w:tab w:val="left" w:pos="851"/>
        </w:tabs>
        <w:ind w:left="851"/>
        <w:rPr>
          <w:i/>
          <w:iCs/>
          <w:sz w:val="24"/>
          <w:szCs w:val="24"/>
        </w:rPr>
      </w:pPr>
      <w:r w:rsidRPr="00FE01B6">
        <w:rPr>
          <w:i/>
          <w:iCs/>
          <w:sz w:val="24"/>
          <w:szCs w:val="24"/>
        </w:rPr>
        <w:t>Hjertelidelser</w:t>
      </w:r>
    </w:p>
    <w:p w:rsidR="00140AB5" w:rsidRPr="00FE01B6" w:rsidRDefault="00140AB5" w:rsidP="00140AB5">
      <w:pPr>
        <w:tabs>
          <w:tab w:val="left" w:pos="851"/>
        </w:tabs>
        <w:ind w:left="851"/>
        <w:rPr>
          <w:sz w:val="24"/>
          <w:szCs w:val="24"/>
        </w:rPr>
      </w:pPr>
      <w:r w:rsidRPr="00FE01B6">
        <w:rPr>
          <w:sz w:val="24"/>
          <w:szCs w:val="24"/>
        </w:rPr>
        <w:t>Patienter, som tidligere har haft depression, bør følges omhyggeligt, og brugen af lægemidlet bør stoppes, hvis depressionen vender tilbage i alvorlig grad.</w:t>
      </w:r>
    </w:p>
    <w:p w:rsidR="00140AB5" w:rsidRPr="00FE01B6" w:rsidRDefault="00140AB5" w:rsidP="00140AB5">
      <w:pPr>
        <w:tabs>
          <w:tab w:val="left" w:pos="851"/>
        </w:tabs>
        <w:ind w:left="851"/>
        <w:rPr>
          <w:sz w:val="24"/>
          <w:szCs w:val="24"/>
        </w:rPr>
      </w:pPr>
    </w:p>
    <w:p w:rsidR="00140AB5" w:rsidRPr="00FE01B6" w:rsidRDefault="00140AB5" w:rsidP="00140AB5">
      <w:pPr>
        <w:tabs>
          <w:tab w:val="left" w:pos="851"/>
        </w:tabs>
        <w:ind w:left="851"/>
        <w:rPr>
          <w:sz w:val="24"/>
          <w:szCs w:val="24"/>
        </w:rPr>
      </w:pPr>
      <w:proofErr w:type="spellStart"/>
      <w:r w:rsidRPr="00FE01B6">
        <w:rPr>
          <w:sz w:val="24"/>
          <w:szCs w:val="24"/>
        </w:rPr>
        <w:t>Dienogest</w:t>
      </w:r>
      <w:proofErr w:type="spellEnd"/>
      <w:r w:rsidRPr="00FE01B6">
        <w:rPr>
          <w:sz w:val="24"/>
          <w:szCs w:val="24"/>
        </w:rPr>
        <w:t xml:space="preserve"> ser generelt ikke ud til at påvirke blodtrykket for kvinder, der har normalt blodtryk. Men hvis et vedholdende klinisk signifikant forhøjet blodtryk udvikler sig, mens der tages </w:t>
      </w:r>
      <w:proofErr w:type="spellStart"/>
      <w:r w:rsidRPr="00FE01B6">
        <w:rPr>
          <w:sz w:val="24"/>
          <w:szCs w:val="24"/>
        </w:rPr>
        <w:t>Zafrilla</w:t>
      </w:r>
      <w:proofErr w:type="spellEnd"/>
      <w:r w:rsidRPr="00FE01B6">
        <w:rPr>
          <w:sz w:val="24"/>
          <w:szCs w:val="24"/>
        </w:rPr>
        <w:t xml:space="preserve">, anbefales det at indstille behandlingen med </w:t>
      </w:r>
      <w:proofErr w:type="spellStart"/>
      <w:r w:rsidRPr="00FE01B6">
        <w:rPr>
          <w:sz w:val="24"/>
          <w:szCs w:val="24"/>
        </w:rPr>
        <w:t>Zafrilla</w:t>
      </w:r>
      <w:proofErr w:type="spellEnd"/>
      <w:r w:rsidRPr="00FE01B6">
        <w:rPr>
          <w:sz w:val="24"/>
          <w:szCs w:val="24"/>
        </w:rPr>
        <w:t xml:space="preserve"> og behandle det forhøjede blodtryk.</w:t>
      </w:r>
    </w:p>
    <w:p w:rsidR="00140AB5" w:rsidRPr="00FE01B6" w:rsidRDefault="00140AB5" w:rsidP="00140AB5">
      <w:pPr>
        <w:tabs>
          <w:tab w:val="left" w:pos="851"/>
        </w:tabs>
        <w:ind w:left="851"/>
        <w:rPr>
          <w:sz w:val="24"/>
          <w:szCs w:val="24"/>
        </w:rPr>
      </w:pPr>
    </w:p>
    <w:p w:rsidR="00140AB5" w:rsidRPr="00FE01B6" w:rsidRDefault="00140AB5" w:rsidP="00140AB5">
      <w:pPr>
        <w:tabs>
          <w:tab w:val="left" w:pos="851"/>
        </w:tabs>
        <w:ind w:left="851"/>
        <w:rPr>
          <w:sz w:val="24"/>
          <w:szCs w:val="24"/>
        </w:rPr>
      </w:pPr>
      <w:r w:rsidRPr="00FE01B6">
        <w:rPr>
          <w:sz w:val="24"/>
          <w:szCs w:val="24"/>
        </w:rPr>
        <w:t xml:space="preserve">Forekomster af </w:t>
      </w:r>
      <w:proofErr w:type="spellStart"/>
      <w:r w:rsidRPr="00FE01B6">
        <w:rPr>
          <w:sz w:val="24"/>
          <w:szCs w:val="24"/>
        </w:rPr>
        <w:t>kolestatisk</w:t>
      </w:r>
      <w:proofErr w:type="spellEnd"/>
      <w:r w:rsidRPr="00FE01B6">
        <w:rPr>
          <w:sz w:val="24"/>
          <w:szCs w:val="24"/>
        </w:rPr>
        <w:t xml:space="preserve"> gulsot og/eller alvorlig kløe, som første gang forekom under graviditet eller tidligere brug af kønssteroider, nødvendiggør, at behandlingen med </w:t>
      </w:r>
      <w:proofErr w:type="spellStart"/>
      <w:r w:rsidRPr="00FE01B6">
        <w:rPr>
          <w:sz w:val="24"/>
          <w:szCs w:val="24"/>
        </w:rPr>
        <w:t>Zafrilla</w:t>
      </w:r>
      <w:proofErr w:type="spellEnd"/>
      <w:r w:rsidRPr="00FE01B6">
        <w:rPr>
          <w:sz w:val="24"/>
          <w:szCs w:val="24"/>
        </w:rPr>
        <w:t xml:space="preserve"> må indstilles.</w:t>
      </w:r>
    </w:p>
    <w:p w:rsidR="00140AB5" w:rsidRPr="00FE01B6" w:rsidRDefault="00140AB5" w:rsidP="00140AB5">
      <w:pPr>
        <w:tabs>
          <w:tab w:val="left" w:pos="851"/>
        </w:tabs>
        <w:ind w:left="851"/>
        <w:rPr>
          <w:sz w:val="24"/>
          <w:szCs w:val="24"/>
        </w:rPr>
      </w:pPr>
    </w:p>
    <w:p w:rsidR="00140AB5" w:rsidRPr="00FE01B6" w:rsidRDefault="00140AB5" w:rsidP="00140AB5">
      <w:pPr>
        <w:tabs>
          <w:tab w:val="left" w:pos="851"/>
        </w:tabs>
        <w:ind w:left="851"/>
        <w:rPr>
          <w:sz w:val="24"/>
          <w:szCs w:val="24"/>
        </w:rPr>
      </w:pPr>
      <w:proofErr w:type="spellStart"/>
      <w:r w:rsidRPr="00FE01B6">
        <w:rPr>
          <w:sz w:val="24"/>
          <w:szCs w:val="24"/>
        </w:rPr>
        <w:t>Dienogest</w:t>
      </w:r>
      <w:proofErr w:type="spellEnd"/>
      <w:r w:rsidRPr="00FE01B6">
        <w:rPr>
          <w:sz w:val="24"/>
          <w:szCs w:val="24"/>
        </w:rPr>
        <w:t xml:space="preserve"> kan have en mindre virkning på den perifere insulin</w:t>
      </w:r>
      <w:r>
        <w:rPr>
          <w:sz w:val="24"/>
          <w:szCs w:val="24"/>
        </w:rPr>
        <w:t>resistens</w:t>
      </w:r>
      <w:r w:rsidRPr="00FE01B6">
        <w:rPr>
          <w:sz w:val="24"/>
          <w:szCs w:val="24"/>
        </w:rPr>
        <w:t xml:space="preserve"> og </w:t>
      </w:r>
      <w:proofErr w:type="spellStart"/>
      <w:r w:rsidRPr="00FE01B6">
        <w:rPr>
          <w:sz w:val="24"/>
          <w:szCs w:val="24"/>
        </w:rPr>
        <w:t>glu</w:t>
      </w:r>
      <w:r>
        <w:rPr>
          <w:sz w:val="24"/>
          <w:szCs w:val="24"/>
        </w:rPr>
        <w:t>c</w:t>
      </w:r>
      <w:r w:rsidRPr="00FE01B6">
        <w:rPr>
          <w:sz w:val="24"/>
          <w:szCs w:val="24"/>
        </w:rPr>
        <w:t>osetolerans</w:t>
      </w:r>
      <w:r>
        <w:rPr>
          <w:sz w:val="24"/>
          <w:szCs w:val="24"/>
        </w:rPr>
        <w:t>en</w:t>
      </w:r>
      <w:proofErr w:type="spellEnd"/>
      <w:r w:rsidRPr="00FE01B6">
        <w:rPr>
          <w:sz w:val="24"/>
          <w:szCs w:val="24"/>
        </w:rPr>
        <w:t xml:space="preserve">. Kvinder med diabetes, særligt dem med svangerskabsdiabetes, skal følges nøje, når de tager </w:t>
      </w:r>
      <w:proofErr w:type="spellStart"/>
      <w:r w:rsidRPr="00FE01B6">
        <w:rPr>
          <w:sz w:val="24"/>
          <w:szCs w:val="24"/>
        </w:rPr>
        <w:t>Zafrilla</w:t>
      </w:r>
      <w:proofErr w:type="spellEnd"/>
      <w:r w:rsidRPr="00FE01B6">
        <w:rPr>
          <w:sz w:val="24"/>
          <w:szCs w:val="24"/>
        </w:rPr>
        <w:t>.</w:t>
      </w:r>
    </w:p>
    <w:p w:rsidR="00140AB5" w:rsidRPr="00FE01B6" w:rsidRDefault="00140AB5" w:rsidP="00140AB5">
      <w:pPr>
        <w:tabs>
          <w:tab w:val="left" w:pos="851"/>
        </w:tabs>
        <w:ind w:left="851"/>
        <w:rPr>
          <w:sz w:val="24"/>
          <w:szCs w:val="24"/>
        </w:rPr>
      </w:pPr>
    </w:p>
    <w:p w:rsidR="00140AB5" w:rsidRPr="00FE01B6" w:rsidRDefault="00140AB5" w:rsidP="00140AB5">
      <w:pPr>
        <w:tabs>
          <w:tab w:val="left" w:pos="851"/>
        </w:tabs>
        <w:ind w:left="851"/>
        <w:rPr>
          <w:sz w:val="24"/>
          <w:szCs w:val="24"/>
        </w:rPr>
      </w:pPr>
      <w:proofErr w:type="spellStart"/>
      <w:r>
        <w:rPr>
          <w:sz w:val="24"/>
          <w:szCs w:val="24"/>
        </w:rPr>
        <w:t>Ch</w:t>
      </w:r>
      <w:r w:rsidRPr="00FE01B6">
        <w:rPr>
          <w:sz w:val="24"/>
          <w:szCs w:val="24"/>
        </w:rPr>
        <w:t>loasme</w:t>
      </w:r>
      <w:proofErr w:type="spellEnd"/>
      <w:r w:rsidRPr="00FE01B6">
        <w:rPr>
          <w:sz w:val="24"/>
          <w:szCs w:val="24"/>
        </w:rPr>
        <w:t xml:space="preserve"> kan forekomme lejlighedsvis, særlig hos kvinder der tidligere har haft </w:t>
      </w:r>
      <w:proofErr w:type="spellStart"/>
      <w:r w:rsidRPr="00FE01B6">
        <w:rPr>
          <w:sz w:val="24"/>
          <w:szCs w:val="24"/>
        </w:rPr>
        <w:t>graviditets</w:t>
      </w:r>
      <w:r>
        <w:rPr>
          <w:sz w:val="24"/>
          <w:szCs w:val="24"/>
        </w:rPr>
        <w:t>ch</w:t>
      </w:r>
      <w:r w:rsidRPr="00FE01B6">
        <w:rPr>
          <w:sz w:val="24"/>
          <w:szCs w:val="24"/>
        </w:rPr>
        <w:t>loasme</w:t>
      </w:r>
      <w:proofErr w:type="spellEnd"/>
      <w:r w:rsidRPr="00FE01B6">
        <w:rPr>
          <w:sz w:val="24"/>
          <w:szCs w:val="24"/>
        </w:rPr>
        <w:t>. Kvinder</w:t>
      </w:r>
      <w:r>
        <w:rPr>
          <w:sz w:val="24"/>
          <w:szCs w:val="24"/>
        </w:rPr>
        <w:t>,</w:t>
      </w:r>
      <w:r w:rsidRPr="00FE01B6">
        <w:rPr>
          <w:sz w:val="24"/>
          <w:szCs w:val="24"/>
        </w:rPr>
        <w:t xml:space="preserve"> der har en tendens til </w:t>
      </w:r>
      <w:proofErr w:type="spellStart"/>
      <w:r>
        <w:rPr>
          <w:sz w:val="24"/>
          <w:szCs w:val="24"/>
        </w:rPr>
        <w:t>ch</w:t>
      </w:r>
      <w:r w:rsidRPr="00FE01B6">
        <w:rPr>
          <w:sz w:val="24"/>
          <w:szCs w:val="24"/>
        </w:rPr>
        <w:t>loasme</w:t>
      </w:r>
      <w:proofErr w:type="spellEnd"/>
      <w:r>
        <w:rPr>
          <w:sz w:val="24"/>
          <w:szCs w:val="24"/>
        </w:rPr>
        <w:t>,</w:t>
      </w:r>
      <w:r w:rsidRPr="00FE01B6">
        <w:rPr>
          <w:sz w:val="24"/>
          <w:szCs w:val="24"/>
        </w:rPr>
        <w:t xml:space="preserve"> bør undgå eksponering for solen eller ultraviolet stråling, mens de tager </w:t>
      </w:r>
      <w:proofErr w:type="spellStart"/>
      <w:r w:rsidRPr="00FE01B6">
        <w:rPr>
          <w:sz w:val="24"/>
          <w:szCs w:val="24"/>
        </w:rPr>
        <w:t>Zafrilla</w:t>
      </w:r>
      <w:proofErr w:type="spellEnd"/>
      <w:r w:rsidRPr="00FE01B6">
        <w:rPr>
          <w:sz w:val="24"/>
          <w:szCs w:val="24"/>
        </w:rPr>
        <w:t>.</w:t>
      </w:r>
    </w:p>
    <w:p w:rsidR="00140AB5" w:rsidRPr="00FE01B6" w:rsidRDefault="00140AB5" w:rsidP="00140AB5">
      <w:pPr>
        <w:tabs>
          <w:tab w:val="left" w:pos="851"/>
        </w:tabs>
        <w:ind w:left="851"/>
        <w:rPr>
          <w:sz w:val="24"/>
          <w:szCs w:val="24"/>
        </w:rPr>
      </w:pPr>
    </w:p>
    <w:p w:rsidR="00140AB5" w:rsidRPr="00FE01B6" w:rsidRDefault="00140AB5" w:rsidP="00140AB5">
      <w:pPr>
        <w:tabs>
          <w:tab w:val="left" w:pos="851"/>
        </w:tabs>
        <w:ind w:left="851"/>
        <w:rPr>
          <w:sz w:val="24"/>
          <w:szCs w:val="24"/>
        </w:rPr>
      </w:pPr>
      <w:r w:rsidRPr="00FE01B6">
        <w:rPr>
          <w:sz w:val="24"/>
          <w:szCs w:val="24"/>
        </w:rPr>
        <w:t xml:space="preserve">Graviditeter, der forekommer hos brugere af præventionspræparater, der udelukkende er baseret på </w:t>
      </w:r>
      <w:proofErr w:type="spellStart"/>
      <w:r w:rsidRPr="00FE01B6">
        <w:rPr>
          <w:sz w:val="24"/>
          <w:szCs w:val="24"/>
        </w:rPr>
        <w:t>progestogen</w:t>
      </w:r>
      <w:proofErr w:type="spellEnd"/>
      <w:r w:rsidRPr="00FE01B6">
        <w:rPr>
          <w:sz w:val="24"/>
          <w:szCs w:val="24"/>
        </w:rPr>
        <w:t>, har højere sandsynlighed for at forekomme uden</w:t>
      </w:r>
      <w:r>
        <w:rPr>
          <w:sz w:val="24"/>
          <w:szCs w:val="24"/>
        </w:rPr>
        <w:t xml:space="preserve"> </w:t>
      </w:r>
      <w:r w:rsidRPr="00FE01B6">
        <w:rPr>
          <w:sz w:val="24"/>
          <w:szCs w:val="24"/>
        </w:rPr>
        <w:t xml:space="preserve">for livmoderen, end graviditeter, der forekommer hos brugere af kombineret orale præventionsmidler. Derfor bør der først tages stilling til brugen af </w:t>
      </w:r>
      <w:proofErr w:type="spellStart"/>
      <w:r w:rsidRPr="00FE01B6">
        <w:rPr>
          <w:sz w:val="24"/>
          <w:szCs w:val="24"/>
        </w:rPr>
        <w:t>Zafrilla</w:t>
      </w:r>
      <w:proofErr w:type="spellEnd"/>
      <w:r w:rsidRPr="00FE01B6">
        <w:rPr>
          <w:sz w:val="24"/>
          <w:szCs w:val="24"/>
        </w:rPr>
        <w:t xml:space="preserve"> </w:t>
      </w:r>
      <w:r>
        <w:rPr>
          <w:sz w:val="24"/>
          <w:szCs w:val="24"/>
        </w:rPr>
        <w:t>til</w:t>
      </w:r>
      <w:r w:rsidRPr="00FE01B6">
        <w:rPr>
          <w:sz w:val="24"/>
          <w:szCs w:val="24"/>
        </w:rPr>
        <w:t xml:space="preserve"> kvinder, der tidligere har haft en graviditet uden</w:t>
      </w:r>
      <w:r>
        <w:rPr>
          <w:sz w:val="24"/>
          <w:szCs w:val="24"/>
        </w:rPr>
        <w:t xml:space="preserve"> </w:t>
      </w:r>
      <w:r w:rsidRPr="00FE01B6">
        <w:rPr>
          <w:sz w:val="24"/>
          <w:szCs w:val="24"/>
        </w:rPr>
        <w:t>for livmode</w:t>
      </w:r>
      <w:r>
        <w:rPr>
          <w:sz w:val="24"/>
          <w:szCs w:val="24"/>
        </w:rPr>
        <w:t>ren, samt kvinder, hos hvem æggeleder</w:t>
      </w:r>
      <w:r w:rsidRPr="00FE01B6">
        <w:rPr>
          <w:sz w:val="24"/>
          <w:szCs w:val="24"/>
        </w:rPr>
        <w:t>funktion</w:t>
      </w:r>
      <w:r>
        <w:rPr>
          <w:sz w:val="24"/>
          <w:szCs w:val="24"/>
        </w:rPr>
        <w:t>en</w:t>
      </w:r>
      <w:r w:rsidRPr="00FE01B6">
        <w:rPr>
          <w:sz w:val="24"/>
          <w:szCs w:val="24"/>
        </w:rPr>
        <w:t xml:space="preserve"> er begrænset, efter</w:t>
      </w:r>
      <w:r>
        <w:rPr>
          <w:sz w:val="24"/>
          <w:szCs w:val="24"/>
        </w:rPr>
        <w:t xml:space="preserve"> nøje vurdering af </w:t>
      </w:r>
      <w:r w:rsidRPr="00FE01B6">
        <w:rPr>
          <w:sz w:val="24"/>
          <w:szCs w:val="24"/>
        </w:rPr>
        <w:t>fordele og risici.</w:t>
      </w:r>
    </w:p>
    <w:p w:rsidR="00140AB5" w:rsidRPr="00FE01B6" w:rsidRDefault="00140AB5" w:rsidP="00140AB5">
      <w:pPr>
        <w:tabs>
          <w:tab w:val="left" w:pos="851"/>
        </w:tabs>
        <w:ind w:left="851"/>
        <w:rPr>
          <w:sz w:val="24"/>
          <w:szCs w:val="24"/>
        </w:rPr>
      </w:pPr>
    </w:p>
    <w:p w:rsidR="00140AB5" w:rsidRPr="00FE01B6" w:rsidRDefault="00140AB5" w:rsidP="00140AB5">
      <w:pPr>
        <w:tabs>
          <w:tab w:val="left" w:pos="851"/>
        </w:tabs>
        <w:ind w:left="851"/>
        <w:rPr>
          <w:sz w:val="24"/>
          <w:szCs w:val="24"/>
        </w:rPr>
      </w:pPr>
      <w:r w:rsidRPr="00FE01B6">
        <w:rPr>
          <w:sz w:val="24"/>
          <w:szCs w:val="24"/>
        </w:rPr>
        <w:t xml:space="preserve">Vedholdende ovariecyster kan forekomme under brugen af </w:t>
      </w:r>
      <w:proofErr w:type="spellStart"/>
      <w:r w:rsidRPr="00FE01B6">
        <w:rPr>
          <w:sz w:val="24"/>
          <w:szCs w:val="24"/>
        </w:rPr>
        <w:t>Zafrilla</w:t>
      </w:r>
      <w:proofErr w:type="spellEnd"/>
      <w:r w:rsidRPr="00FE01B6">
        <w:rPr>
          <w:sz w:val="24"/>
          <w:szCs w:val="24"/>
        </w:rPr>
        <w:t>. De fleste af disse cyster medfører ikke nogen symptomer, omend nogle kan medføre bækkensmerter.</w:t>
      </w:r>
    </w:p>
    <w:p w:rsidR="00140AB5" w:rsidRDefault="00140AB5" w:rsidP="00140AB5">
      <w:pPr>
        <w:tabs>
          <w:tab w:val="left" w:pos="851"/>
        </w:tabs>
        <w:ind w:left="851"/>
        <w:rPr>
          <w:sz w:val="24"/>
          <w:szCs w:val="24"/>
        </w:rPr>
      </w:pPr>
    </w:p>
    <w:p w:rsidR="00222E4E" w:rsidRPr="00626576" w:rsidRDefault="00222E4E" w:rsidP="00222E4E">
      <w:pPr>
        <w:tabs>
          <w:tab w:val="left" w:pos="851"/>
        </w:tabs>
        <w:ind w:left="851"/>
        <w:rPr>
          <w:i/>
          <w:iCs/>
          <w:sz w:val="24"/>
          <w:szCs w:val="24"/>
        </w:rPr>
      </w:pPr>
      <w:proofErr w:type="spellStart"/>
      <w:r>
        <w:rPr>
          <w:i/>
          <w:iCs/>
          <w:sz w:val="24"/>
          <w:szCs w:val="24"/>
        </w:rPr>
        <w:t>Lactose</w:t>
      </w:r>
      <w:proofErr w:type="spellEnd"/>
    </w:p>
    <w:p w:rsidR="00140AB5" w:rsidRPr="00FE01B6" w:rsidRDefault="00140AB5" w:rsidP="00140AB5">
      <w:pPr>
        <w:tabs>
          <w:tab w:val="left" w:pos="851"/>
        </w:tabs>
        <w:ind w:left="851"/>
        <w:rPr>
          <w:sz w:val="24"/>
          <w:szCs w:val="24"/>
        </w:rPr>
      </w:pPr>
      <w:r w:rsidRPr="00FE01B6">
        <w:rPr>
          <w:sz w:val="24"/>
          <w:szCs w:val="24"/>
        </w:rPr>
        <w:t xml:space="preserve">Hver </w:t>
      </w:r>
      <w:proofErr w:type="spellStart"/>
      <w:r w:rsidRPr="00FE01B6">
        <w:rPr>
          <w:sz w:val="24"/>
          <w:szCs w:val="24"/>
        </w:rPr>
        <w:t>Zafrill</w:t>
      </w:r>
      <w:r>
        <w:rPr>
          <w:sz w:val="24"/>
          <w:szCs w:val="24"/>
        </w:rPr>
        <w:t>a</w:t>
      </w:r>
      <w:proofErr w:type="spellEnd"/>
      <w:r>
        <w:rPr>
          <w:sz w:val="24"/>
          <w:szCs w:val="24"/>
        </w:rPr>
        <w:t xml:space="preserve">-tablet indeholder 62,80 mg </w:t>
      </w:r>
      <w:proofErr w:type="spellStart"/>
      <w:r>
        <w:rPr>
          <w:sz w:val="24"/>
          <w:szCs w:val="24"/>
        </w:rPr>
        <w:t>lac</w:t>
      </w:r>
      <w:r w:rsidRPr="00FE01B6">
        <w:rPr>
          <w:sz w:val="24"/>
          <w:szCs w:val="24"/>
        </w:rPr>
        <w:t>tosemonohydrat</w:t>
      </w:r>
      <w:proofErr w:type="spellEnd"/>
      <w:r w:rsidRPr="00FE01B6">
        <w:rPr>
          <w:sz w:val="24"/>
          <w:szCs w:val="24"/>
        </w:rPr>
        <w:t>. Patienter med sjæld</w:t>
      </w:r>
      <w:r>
        <w:rPr>
          <w:sz w:val="24"/>
          <w:szCs w:val="24"/>
        </w:rPr>
        <w:t xml:space="preserve">en arvelig </w:t>
      </w:r>
      <w:proofErr w:type="spellStart"/>
      <w:r w:rsidRPr="00FE01B6">
        <w:rPr>
          <w:sz w:val="24"/>
          <w:szCs w:val="24"/>
        </w:rPr>
        <w:t>gala</w:t>
      </w:r>
      <w:r>
        <w:rPr>
          <w:sz w:val="24"/>
          <w:szCs w:val="24"/>
        </w:rPr>
        <w:t>c</w:t>
      </w:r>
      <w:r w:rsidRPr="00FE01B6">
        <w:rPr>
          <w:sz w:val="24"/>
          <w:szCs w:val="24"/>
        </w:rPr>
        <w:t>toseintolerans</w:t>
      </w:r>
      <w:proofErr w:type="spellEnd"/>
      <w:r w:rsidRPr="00FE01B6">
        <w:rPr>
          <w:sz w:val="24"/>
          <w:szCs w:val="24"/>
        </w:rPr>
        <w:t xml:space="preserve">, </w:t>
      </w:r>
      <w:proofErr w:type="spellStart"/>
      <w:r w:rsidRPr="00FE01B6">
        <w:rPr>
          <w:sz w:val="24"/>
          <w:szCs w:val="24"/>
        </w:rPr>
        <w:t>la</w:t>
      </w:r>
      <w:r>
        <w:rPr>
          <w:sz w:val="24"/>
          <w:szCs w:val="24"/>
        </w:rPr>
        <w:t>c</w:t>
      </w:r>
      <w:r w:rsidRPr="00FE01B6">
        <w:rPr>
          <w:sz w:val="24"/>
          <w:szCs w:val="24"/>
        </w:rPr>
        <w:t>tasemangel</w:t>
      </w:r>
      <w:proofErr w:type="spellEnd"/>
      <w:r w:rsidRPr="00FE01B6">
        <w:rPr>
          <w:sz w:val="24"/>
          <w:szCs w:val="24"/>
        </w:rPr>
        <w:t xml:space="preserve"> eller </w:t>
      </w:r>
      <w:proofErr w:type="spellStart"/>
      <w:r w:rsidRPr="00FE01B6">
        <w:rPr>
          <w:sz w:val="24"/>
          <w:szCs w:val="24"/>
        </w:rPr>
        <w:t>glu</w:t>
      </w:r>
      <w:r>
        <w:rPr>
          <w:sz w:val="24"/>
          <w:szCs w:val="24"/>
        </w:rPr>
        <w:t>c</w:t>
      </w:r>
      <w:r w:rsidRPr="00FE01B6">
        <w:rPr>
          <w:sz w:val="24"/>
          <w:szCs w:val="24"/>
        </w:rPr>
        <w:t>ose-gala</w:t>
      </w:r>
      <w:r>
        <w:rPr>
          <w:sz w:val="24"/>
          <w:szCs w:val="24"/>
        </w:rPr>
        <w:t>c</w:t>
      </w:r>
      <w:r w:rsidRPr="00FE01B6">
        <w:rPr>
          <w:sz w:val="24"/>
          <w:szCs w:val="24"/>
        </w:rPr>
        <w:t>tose</w:t>
      </w:r>
      <w:proofErr w:type="spellEnd"/>
      <w:r w:rsidRPr="00FE01B6">
        <w:rPr>
          <w:sz w:val="24"/>
          <w:szCs w:val="24"/>
        </w:rPr>
        <w:t xml:space="preserve"> </w:t>
      </w:r>
      <w:proofErr w:type="spellStart"/>
      <w:r>
        <w:rPr>
          <w:sz w:val="24"/>
          <w:szCs w:val="24"/>
        </w:rPr>
        <w:t>malabsorption</w:t>
      </w:r>
      <w:proofErr w:type="spellEnd"/>
      <w:r>
        <w:rPr>
          <w:sz w:val="24"/>
          <w:szCs w:val="24"/>
        </w:rPr>
        <w:t xml:space="preserve"> </w:t>
      </w:r>
      <w:r w:rsidRPr="00FE01B6">
        <w:rPr>
          <w:sz w:val="24"/>
          <w:szCs w:val="24"/>
        </w:rPr>
        <w:t>bør ikke bruge dette lægemiddel.</w:t>
      </w:r>
    </w:p>
    <w:p w:rsidR="00140AB5" w:rsidRPr="00C84483" w:rsidRDefault="00140AB5" w:rsidP="00140AB5">
      <w:pPr>
        <w:tabs>
          <w:tab w:val="left" w:pos="851"/>
        </w:tabs>
        <w:ind w:left="851"/>
        <w:rPr>
          <w:sz w:val="24"/>
          <w:szCs w:val="24"/>
        </w:rPr>
      </w:pPr>
    </w:p>
    <w:p w:rsidR="00140AB5" w:rsidRPr="00C84483" w:rsidRDefault="00140AB5" w:rsidP="00140AB5">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140AB5" w:rsidRPr="006A760C" w:rsidRDefault="00140AB5" w:rsidP="00140AB5">
      <w:pPr>
        <w:tabs>
          <w:tab w:val="left" w:pos="851"/>
        </w:tabs>
        <w:ind w:left="851"/>
        <w:rPr>
          <w:sz w:val="24"/>
          <w:szCs w:val="24"/>
        </w:rPr>
      </w:pPr>
      <w:r w:rsidRPr="006A760C">
        <w:rPr>
          <w:sz w:val="24"/>
          <w:szCs w:val="24"/>
        </w:rPr>
        <w:t>Bemærk: Ordineringsoplysningerne vedrørende samtidigt brugte lægemidler bør undersøges for at identificere mulige interaktioner.</w:t>
      </w:r>
    </w:p>
    <w:p w:rsidR="00140AB5" w:rsidRPr="006A760C" w:rsidRDefault="00140AB5" w:rsidP="00140AB5">
      <w:pPr>
        <w:tabs>
          <w:tab w:val="left" w:pos="851"/>
        </w:tabs>
        <w:ind w:left="851"/>
        <w:rPr>
          <w:iCs/>
          <w:sz w:val="24"/>
          <w:szCs w:val="24"/>
        </w:rPr>
      </w:pPr>
    </w:p>
    <w:p w:rsidR="00140AB5" w:rsidRPr="006A760C" w:rsidRDefault="00140AB5" w:rsidP="00140AB5">
      <w:pPr>
        <w:tabs>
          <w:tab w:val="left" w:pos="851"/>
        </w:tabs>
        <w:ind w:left="851"/>
        <w:rPr>
          <w:b/>
          <w:iCs/>
          <w:sz w:val="24"/>
          <w:szCs w:val="24"/>
          <w:u w:val="single"/>
          <w:lang w:val="it-IT"/>
        </w:rPr>
      </w:pPr>
      <w:r>
        <w:rPr>
          <w:iCs/>
          <w:sz w:val="24"/>
          <w:szCs w:val="24"/>
          <w:u w:val="single"/>
        </w:rPr>
        <w:t>A</w:t>
      </w:r>
      <w:r w:rsidRPr="006A760C">
        <w:rPr>
          <w:iCs/>
          <w:sz w:val="24"/>
          <w:szCs w:val="24"/>
          <w:u w:val="single"/>
        </w:rPr>
        <w:t>ndre lægemidler</w:t>
      </w:r>
      <w:r>
        <w:rPr>
          <w:iCs/>
          <w:sz w:val="24"/>
          <w:szCs w:val="24"/>
          <w:u w:val="single"/>
        </w:rPr>
        <w:t>s virkning</w:t>
      </w:r>
      <w:r w:rsidRPr="006A760C">
        <w:rPr>
          <w:iCs/>
          <w:sz w:val="24"/>
          <w:szCs w:val="24"/>
          <w:u w:val="single"/>
        </w:rPr>
        <w:t xml:space="preserve"> på </w:t>
      </w:r>
      <w:proofErr w:type="spellStart"/>
      <w:r w:rsidRPr="006A760C">
        <w:rPr>
          <w:iCs/>
          <w:sz w:val="24"/>
          <w:szCs w:val="24"/>
          <w:u w:val="single"/>
        </w:rPr>
        <w:t>Zafrilla</w:t>
      </w:r>
      <w:proofErr w:type="spellEnd"/>
    </w:p>
    <w:p w:rsidR="00140AB5" w:rsidRPr="006A760C" w:rsidRDefault="00140AB5" w:rsidP="00140AB5">
      <w:pPr>
        <w:tabs>
          <w:tab w:val="left" w:pos="851"/>
        </w:tabs>
        <w:ind w:left="851"/>
        <w:rPr>
          <w:sz w:val="24"/>
          <w:szCs w:val="24"/>
        </w:rPr>
      </w:pPr>
      <w:proofErr w:type="spellStart"/>
      <w:r w:rsidRPr="006A760C">
        <w:rPr>
          <w:sz w:val="24"/>
          <w:szCs w:val="24"/>
        </w:rPr>
        <w:t>Progestogener</w:t>
      </w:r>
      <w:proofErr w:type="spellEnd"/>
      <w:r w:rsidRPr="006A760C">
        <w:rPr>
          <w:sz w:val="24"/>
          <w:szCs w:val="24"/>
        </w:rPr>
        <w:t xml:space="preserve">, </w:t>
      </w:r>
      <w:r>
        <w:rPr>
          <w:sz w:val="24"/>
          <w:szCs w:val="24"/>
        </w:rPr>
        <w:t>herunder</w:t>
      </w:r>
      <w:r w:rsidRPr="006A760C">
        <w:rPr>
          <w:sz w:val="24"/>
          <w:szCs w:val="24"/>
        </w:rPr>
        <w:t xml:space="preserve"> </w:t>
      </w:r>
      <w:proofErr w:type="spellStart"/>
      <w:r w:rsidRPr="006A760C">
        <w:rPr>
          <w:sz w:val="24"/>
          <w:szCs w:val="24"/>
        </w:rPr>
        <w:t>dienogest</w:t>
      </w:r>
      <w:proofErr w:type="spellEnd"/>
      <w:r w:rsidRPr="006A760C">
        <w:rPr>
          <w:sz w:val="24"/>
          <w:szCs w:val="24"/>
        </w:rPr>
        <w:t xml:space="preserve">, </w:t>
      </w:r>
      <w:proofErr w:type="spellStart"/>
      <w:r>
        <w:rPr>
          <w:sz w:val="24"/>
          <w:szCs w:val="24"/>
        </w:rPr>
        <w:t>metaboliseres</w:t>
      </w:r>
      <w:proofErr w:type="spellEnd"/>
      <w:r w:rsidRPr="006A760C">
        <w:rPr>
          <w:sz w:val="24"/>
          <w:szCs w:val="24"/>
        </w:rPr>
        <w:t xml:space="preserve"> </w:t>
      </w:r>
      <w:proofErr w:type="spellStart"/>
      <w:r w:rsidRPr="006A760C">
        <w:rPr>
          <w:sz w:val="24"/>
          <w:szCs w:val="24"/>
        </w:rPr>
        <w:t>hovedsagligt</w:t>
      </w:r>
      <w:proofErr w:type="spellEnd"/>
      <w:r w:rsidRPr="006A760C">
        <w:rPr>
          <w:sz w:val="24"/>
          <w:szCs w:val="24"/>
        </w:rPr>
        <w:t xml:space="preserve"> af </w:t>
      </w:r>
      <w:proofErr w:type="spellStart"/>
      <w:r w:rsidRPr="006A760C">
        <w:rPr>
          <w:sz w:val="24"/>
          <w:szCs w:val="24"/>
        </w:rPr>
        <w:t>cytokrom</w:t>
      </w:r>
      <w:proofErr w:type="spellEnd"/>
      <w:r w:rsidRPr="006A760C">
        <w:rPr>
          <w:sz w:val="24"/>
          <w:szCs w:val="24"/>
        </w:rPr>
        <w:t xml:space="preserve"> P450 3A4-systemet (CYP3A4), der findes </w:t>
      </w:r>
      <w:r>
        <w:rPr>
          <w:sz w:val="24"/>
          <w:szCs w:val="24"/>
        </w:rPr>
        <w:t xml:space="preserve">både </w:t>
      </w:r>
      <w:r w:rsidRPr="006A760C">
        <w:rPr>
          <w:sz w:val="24"/>
          <w:szCs w:val="24"/>
        </w:rPr>
        <w:t>i tarmslimhinden og leveren. Derfor kan CYP3A4-induce</w:t>
      </w:r>
      <w:r>
        <w:rPr>
          <w:sz w:val="24"/>
          <w:szCs w:val="24"/>
        </w:rPr>
        <w:t>re</w:t>
      </w:r>
      <w:r w:rsidRPr="006A760C">
        <w:rPr>
          <w:sz w:val="24"/>
          <w:szCs w:val="24"/>
        </w:rPr>
        <w:t xml:space="preserve"> og inhibitorer påvirke </w:t>
      </w:r>
      <w:proofErr w:type="spellStart"/>
      <w:r>
        <w:rPr>
          <w:sz w:val="24"/>
          <w:szCs w:val="24"/>
        </w:rPr>
        <w:t>metaboliseringen</w:t>
      </w:r>
      <w:proofErr w:type="spellEnd"/>
      <w:r w:rsidRPr="006A760C">
        <w:rPr>
          <w:sz w:val="24"/>
          <w:szCs w:val="24"/>
        </w:rPr>
        <w:t xml:space="preserve"> af </w:t>
      </w:r>
      <w:proofErr w:type="spellStart"/>
      <w:r w:rsidRPr="006A760C">
        <w:rPr>
          <w:sz w:val="24"/>
          <w:szCs w:val="24"/>
        </w:rPr>
        <w:t>progestogen</w:t>
      </w:r>
      <w:r>
        <w:rPr>
          <w:sz w:val="24"/>
          <w:szCs w:val="24"/>
        </w:rPr>
        <w:t>er</w:t>
      </w:r>
      <w:proofErr w:type="spellEnd"/>
      <w:r w:rsidRPr="006A760C">
        <w:rPr>
          <w:sz w:val="24"/>
          <w:szCs w:val="24"/>
        </w:rPr>
        <w:t>.</w:t>
      </w:r>
    </w:p>
    <w:p w:rsidR="00140AB5" w:rsidRPr="006A760C" w:rsidRDefault="00140AB5" w:rsidP="00140AB5">
      <w:pPr>
        <w:tabs>
          <w:tab w:val="left" w:pos="851"/>
        </w:tabs>
        <w:ind w:left="851"/>
        <w:rPr>
          <w:sz w:val="24"/>
          <w:szCs w:val="24"/>
        </w:rPr>
      </w:pPr>
    </w:p>
    <w:p w:rsidR="00140AB5" w:rsidRPr="006A760C" w:rsidRDefault="00140AB5" w:rsidP="00140AB5">
      <w:pPr>
        <w:tabs>
          <w:tab w:val="left" w:pos="851"/>
        </w:tabs>
        <w:ind w:left="851"/>
        <w:rPr>
          <w:sz w:val="24"/>
          <w:szCs w:val="24"/>
        </w:rPr>
      </w:pPr>
      <w:r w:rsidRPr="006A760C">
        <w:rPr>
          <w:sz w:val="24"/>
          <w:szCs w:val="24"/>
        </w:rPr>
        <w:t xml:space="preserve">En øget </w:t>
      </w:r>
      <w:proofErr w:type="spellStart"/>
      <w:r>
        <w:rPr>
          <w:sz w:val="24"/>
          <w:szCs w:val="24"/>
        </w:rPr>
        <w:t>clearance</w:t>
      </w:r>
      <w:proofErr w:type="spellEnd"/>
      <w:r w:rsidRPr="006A760C">
        <w:rPr>
          <w:sz w:val="24"/>
          <w:szCs w:val="24"/>
        </w:rPr>
        <w:t xml:space="preserve"> af kønshormoner på grund af enzym-induktion kan reducere den </w:t>
      </w:r>
      <w:r>
        <w:rPr>
          <w:sz w:val="24"/>
          <w:szCs w:val="24"/>
        </w:rPr>
        <w:t>terapeutiske</w:t>
      </w:r>
      <w:r w:rsidRPr="006A760C">
        <w:rPr>
          <w:sz w:val="24"/>
          <w:szCs w:val="24"/>
        </w:rPr>
        <w:t xml:space="preserve"> virkning </w:t>
      </w:r>
      <w:r>
        <w:rPr>
          <w:sz w:val="24"/>
          <w:szCs w:val="24"/>
        </w:rPr>
        <w:t>af</w:t>
      </w:r>
      <w:r w:rsidRPr="006A760C">
        <w:rPr>
          <w:sz w:val="24"/>
          <w:szCs w:val="24"/>
        </w:rPr>
        <w:t xml:space="preserve"> </w:t>
      </w:r>
      <w:proofErr w:type="spellStart"/>
      <w:r w:rsidRPr="006A760C">
        <w:rPr>
          <w:sz w:val="24"/>
          <w:szCs w:val="24"/>
        </w:rPr>
        <w:t>Zafrilla</w:t>
      </w:r>
      <w:proofErr w:type="spellEnd"/>
      <w:r w:rsidRPr="006A760C">
        <w:rPr>
          <w:sz w:val="24"/>
          <w:szCs w:val="24"/>
        </w:rPr>
        <w:t xml:space="preserve"> og kan medføre bivirkninger, f.eks. ændringer i </w:t>
      </w:r>
      <w:r>
        <w:rPr>
          <w:sz w:val="24"/>
          <w:szCs w:val="24"/>
        </w:rPr>
        <w:t xml:space="preserve">den </w:t>
      </w:r>
      <w:proofErr w:type="spellStart"/>
      <w:r>
        <w:rPr>
          <w:sz w:val="24"/>
          <w:szCs w:val="24"/>
        </w:rPr>
        <w:t>uterine</w:t>
      </w:r>
      <w:proofErr w:type="spellEnd"/>
      <w:r w:rsidRPr="006A760C">
        <w:rPr>
          <w:sz w:val="24"/>
          <w:szCs w:val="24"/>
        </w:rPr>
        <w:t xml:space="preserve"> blødningsprofil.</w:t>
      </w:r>
    </w:p>
    <w:p w:rsidR="00140AB5" w:rsidRPr="006A760C" w:rsidRDefault="00140AB5" w:rsidP="00140AB5">
      <w:pPr>
        <w:tabs>
          <w:tab w:val="left" w:pos="851"/>
        </w:tabs>
        <w:ind w:left="851"/>
        <w:rPr>
          <w:sz w:val="24"/>
          <w:szCs w:val="24"/>
        </w:rPr>
      </w:pPr>
    </w:p>
    <w:p w:rsidR="00140AB5" w:rsidRPr="006A760C" w:rsidRDefault="00140AB5" w:rsidP="00140AB5">
      <w:pPr>
        <w:tabs>
          <w:tab w:val="left" w:pos="851"/>
        </w:tabs>
        <w:ind w:left="851"/>
        <w:rPr>
          <w:sz w:val="24"/>
          <w:szCs w:val="24"/>
        </w:rPr>
      </w:pPr>
      <w:r w:rsidRPr="006A760C">
        <w:rPr>
          <w:sz w:val="24"/>
          <w:szCs w:val="24"/>
        </w:rPr>
        <w:t xml:space="preserve">En øget </w:t>
      </w:r>
      <w:proofErr w:type="spellStart"/>
      <w:r>
        <w:rPr>
          <w:sz w:val="24"/>
          <w:szCs w:val="24"/>
        </w:rPr>
        <w:t>clearance</w:t>
      </w:r>
      <w:proofErr w:type="spellEnd"/>
      <w:r w:rsidRPr="006A760C">
        <w:rPr>
          <w:sz w:val="24"/>
          <w:szCs w:val="24"/>
        </w:rPr>
        <w:t xml:space="preserve"> af kønshormoner på</w:t>
      </w:r>
      <w:r>
        <w:rPr>
          <w:sz w:val="24"/>
          <w:szCs w:val="24"/>
        </w:rPr>
        <w:t xml:space="preserve"> </w:t>
      </w:r>
      <w:r w:rsidRPr="006A760C">
        <w:rPr>
          <w:sz w:val="24"/>
          <w:szCs w:val="24"/>
        </w:rPr>
        <w:t xml:space="preserve">grund af enzym-inhibition kan øge eksponeringen </w:t>
      </w:r>
      <w:r>
        <w:rPr>
          <w:sz w:val="24"/>
          <w:szCs w:val="24"/>
        </w:rPr>
        <w:t>for</w:t>
      </w:r>
      <w:r w:rsidRPr="006A760C">
        <w:rPr>
          <w:sz w:val="24"/>
          <w:szCs w:val="24"/>
        </w:rPr>
        <w:t xml:space="preserve"> </w:t>
      </w:r>
      <w:proofErr w:type="spellStart"/>
      <w:r w:rsidRPr="006A760C">
        <w:rPr>
          <w:sz w:val="24"/>
          <w:szCs w:val="24"/>
        </w:rPr>
        <w:t>dienogest</w:t>
      </w:r>
      <w:proofErr w:type="spellEnd"/>
      <w:r w:rsidRPr="006A760C">
        <w:rPr>
          <w:sz w:val="24"/>
          <w:szCs w:val="24"/>
        </w:rPr>
        <w:t>, og kan medføre bivirkninger.</w:t>
      </w:r>
    </w:p>
    <w:p w:rsidR="00140AB5" w:rsidRPr="006A760C" w:rsidRDefault="00140AB5" w:rsidP="00140AB5">
      <w:pPr>
        <w:tabs>
          <w:tab w:val="left" w:pos="851"/>
        </w:tabs>
        <w:ind w:left="851"/>
        <w:rPr>
          <w:sz w:val="24"/>
          <w:szCs w:val="24"/>
        </w:rPr>
      </w:pPr>
    </w:p>
    <w:p w:rsidR="00140AB5" w:rsidRPr="006A760C" w:rsidRDefault="00140AB5" w:rsidP="00140AB5">
      <w:pPr>
        <w:tabs>
          <w:tab w:val="left" w:pos="851"/>
        </w:tabs>
        <w:ind w:left="851"/>
        <w:rPr>
          <w:i/>
          <w:iCs/>
          <w:sz w:val="24"/>
          <w:szCs w:val="24"/>
        </w:rPr>
      </w:pPr>
      <w:r w:rsidRPr="006A760C">
        <w:rPr>
          <w:i/>
          <w:iCs/>
          <w:sz w:val="24"/>
          <w:szCs w:val="24"/>
        </w:rPr>
        <w:t xml:space="preserve">Stoffer der øger </w:t>
      </w:r>
      <w:proofErr w:type="spellStart"/>
      <w:r>
        <w:rPr>
          <w:i/>
          <w:iCs/>
          <w:sz w:val="24"/>
          <w:szCs w:val="24"/>
        </w:rPr>
        <w:t>clearance</w:t>
      </w:r>
      <w:proofErr w:type="spellEnd"/>
      <w:r w:rsidRPr="006A760C">
        <w:rPr>
          <w:i/>
          <w:iCs/>
          <w:sz w:val="24"/>
          <w:szCs w:val="24"/>
        </w:rPr>
        <w:t xml:space="preserve"> af kønshormoner (mindsket effekt ved enzym-induktion</w:t>
      </w:r>
      <w:proofErr w:type="gramStart"/>
      <w:r w:rsidRPr="006A760C">
        <w:rPr>
          <w:i/>
          <w:iCs/>
          <w:sz w:val="24"/>
          <w:szCs w:val="24"/>
        </w:rPr>
        <w:t>),</w:t>
      </w:r>
      <w:r w:rsidRPr="006A760C">
        <w:rPr>
          <w:sz w:val="24"/>
          <w:szCs w:val="24"/>
        </w:rPr>
        <w:t>f.eks.</w:t>
      </w:r>
      <w:proofErr w:type="gramEnd"/>
      <w:r>
        <w:rPr>
          <w:sz w:val="24"/>
          <w:szCs w:val="24"/>
        </w:rPr>
        <w:t xml:space="preserve">: </w:t>
      </w:r>
      <w:proofErr w:type="spellStart"/>
      <w:r>
        <w:rPr>
          <w:sz w:val="24"/>
          <w:szCs w:val="24"/>
        </w:rPr>
        <w:t>ph</w:t>
      </w:r>
      <w:r w:rsidRPr="006A760C">
        <w:rPr>
          <w:sz w:val="24"/>
          <w:szCs w:val="24"/>
        </w:rPr>
        <w:t>enytoin</w:t>
      </w:r>
      <w:proofErr w:type="spellEnd"/>
      <w:r w:rsidRPr="006A760C">
        <w:rPr>
          <w:sz w:val="24"/>
          <w:szCs w:val="24"/>
        </w:rPr>
        <w:t xml:space="preserve">, barbiturater, </w:t>
      </w:r>
      <w:proofErr w:type="spellStart"/>
      <w:r w:rsidRPr="006A760C">
        <w:rPr>
          <w:sz w:val="24"/>
          <w:szCs w:val="24"/>
        </w:rPr>
        <w:t>primidon</w:t>
      </w:r>
      <w:proofErr w:type="spellEnd"/>
      <w:r w:rsidRPr="006A760C">
        <w:rPr>
          <w:sz w:val="24"/>
          <w:szCs w:val="24"/>
        </w:rPr>
        <w:t xml:space="preserve">, </w:t>
      </w:r>
      <w:proofErr w:type="spellStart"/>
      <w:r w:rsidRPr="006A760C">
        <w:rPr>
          <w:sz w:val="24"/>
          <w:szCs w:val="24"/>
        </w:rPr>
        <w:t>carbamazepin</w:t>
      </w:r>
      <w:proofErr w:type="spellEnd"/>
      <w:r w:rsidRPr="006A760C">
        <w:rPr>
          <w:sz w:val="24"/>
          <w:szCs w:val="24"/>
        </w:rPr>
        <w:t xml:space="preserve">, </w:t>
      </w:r>
      <w:proofErr w:type="spellStart"/>
      <w:r w:rsidRPr="006A760C">
        <w:rPr>
          <w:sz w:val="24"/>
          <w:szCs w:val="24"/>
        </w:rPr>
        <w:t>rifampicin</w:t>
      </w:r>
      <w:proofErr w:type="spellEnd"/>
      <w:r w:rsidRPr="006A760C">
        <w:rPr>
          <w:sz w:val="24"/>
          <w:szCs w:val="24"/>
        </w:rPr>
        <w:t xml:space="preserve"> og muligvis også </w:t>
      </w:r>
      <w:proofErr w:type="spellStart"/>
      <w:r w:rsidRPr="006A760C">
        <w:rPr>
          <w:sz w:val="24"/>
          <w:szCs w:val="24"/>
        </w:rPr>
        <w:lastRenderedPageBreak/>
        <w:t>oxcarbazepin</w:t>
      </w:r>
      <w:proofErr w:type="spellEnd"/>
      <w:r w:rsidRPr="006A760C">
        <w:rPr>
          <w:sz w:val="24"/>
          <w:szCs w:val="24"/>
        </w:rPr>
        <w:t xml:space="preserve">, </w:t>
      </w:r>
      <w:proofErr w:type="spellStart"/>
      <w:r w:rsidRPr="006A760C">
        <w:rPr>
          <w:sz w:val="24"/>
          <w:szCs w:val="24"/>
        </w:rPr>
        <w:t>topiramat</w:t>
      </w:r>
      <w:proofErr w:type="spellEnd"/>
      <w:r w:rsidRPr="006A760C">
        <w:rPr>
          <w:sz w:val="24"/>
          <w:szCs w:val="24"/>
        </w:rPr>
        <w:t xml:space="preserve">, </w:t>
      </w:r>
      <w:proofErr w:type="spellStart"/>
      <w:r w:rsidRPr="006A760C">
        <w:rPr>
          <w:sz w:val="24"/>
          <w:szCs w:val="24"/>
        </w:rPr>
        <w:t>felbamat</w:t>
      </w:r>
      <w:proofErr w:type="spellEnd"/>
      <w:r w:rsidRPr="006A760C">
        <w:rPr>
          <w:sz w:val="24"/>
          <w:szCs w:val="24"/>
        </w:rPr>
        <w:t xml:space="preserve">, </w:t>
      </w:r>
      <w:proofErr w:type="spellStart"/>
      <w:r w:rsidRPr="006A760C">
        <w:rPr>
          <w:sz w:val="24"/>
          <w:szCs w:val="24"/>
        </w:rPr>
        <w:t>griseofulvin</w:t>
      </w:r>
      <w:proofErr w:type="spellEnd"/>
      <w:r w:rsidRPr="006A760C">
        <w:rPr>
          <w:sz w:val="24"/>
          <w:szCs w:val="24"/>
        </w:rPr>
        <w:t xml:space="preserve"> samt produkter, der indeholder Prikbladet perikon (</w:t>
      </w:r>
      <w:proofErr w:type="spellStart"/>
      <w:r w:rsidRPr="006A760C">
        <w:rPr>
          <w:i/>
          <w:iCs/>
          <w:sz w:val="24"/>
          <w:szCs w:val="24"/>
        </w:rPr>
        <w:t>Hypercium</w:t>
      </w:r>
      <w:proofErr w:type="spellEnd"/>
      <w:r w:rsidRPr="006A760C">
        <w:rPr>
          <w:i/>
          <w:iCs/>
          <w:sz w:val="24"/>
          <w:szCs w:val="24"/>
        </w:rPr>
        <w:t xml:space="preserve"> </w:t>
      </w:r>
      <w:proofErr w:type="spellStart"/>
      <w:r w:rsidRPr="006A760C">
        <w:rPr>
          <w:i/>
          <w:iCs/>
          <w:sz w:val="24"/>
          <w:szCs w:val="24"/>
        </w:rPr>
        <w:t>perforatum</w:t>
      </w:r>
      <w:proofErr w:type="spellEnd"/>
      <w:r w:rsidRPr="006A760C">
        <w:rPr>
          <w:i/>
          <w:iCs/>
          <w:sz w:val="24"/>
          <w:szCs w:val="24"/>
        </w:rPr>
        <w:t>).</w:t>
      </w:r>
    </w:p>
    <w:p w:rsidR="00140AB5" w:rsidRPr="006A760C" w:rsidRDefault="00140AB5" w:rsidP="00140AB5">
      <w:pPr>
        <w:tabs>
          <w:tab w:val="left" w:pos="851"/>
        </w:tabs>
        <w:ind w:left="851"/>
        <w:rPr>
          <w:sz w:val="24"/>
          <w:szCs w:val="24"/>
        </w:rPr>
      </w:pPr>
      <w:r w:rsidRPr="006A760C">
        <w:rPr>
          <w:sz w:val="24"/>
          <w:szCs w:val="24"/>
        </w:rPr>
        <w:t>Enzym-induktion kan allerede ses efter nogle få dages behandling. Den maksimale enzym-induktion ses normalt inden</w:t>
      </w:r>
      <w:r>
        <w:rPr>
          <w:sz w:val="24"/>
          <w:szCs w:val="24"/>
        </w:rPr>
        <w:t xml:space="preserve"> </w:t>
      </w:r>
      <w:r w:rsidRPr="006A760C">
        <w:rPr>
          <w:sz w:val="24"/>
          <w:szCs w:val="24"/>
        </w:rPr>
        <w:t>for nogle få uger. Efter behandlingen med stoffet indstilles, kan enzym-induktion blive opretholdt i omtrent 4 uger.</w:t>
      </w:r>
    </w:p>
    <w:p w:rsidR="00140AB5" w:rsidRPr="006A760C" w:rsidRDefault="00140AB5" w:rsidP="00140AB5">
      <w:pPr>
        <w:tabs>
          <w:tab w:val="left" w:pos="851"/>
        </w:tabs>
        <w:ind w:left="851"/>
        <w:rPr>
          <w:sz w:val="24"/>
          <w:szCs w:val="24"/>
        </w:rPr>
      </w:pPr>
    </w:p>
    <w:p w:rsidR="00140AB5" w:rsidRPr="006A760C" w:rsidRDefault="00140AB5" w:rsidP="00140AB5">
      <w:pPr>
        <w:tabs>
          <w:tab w:val="left" w:pos="851"/>
        </w:tabs>
        <w:ind w:left="851"/>
        <w:rPr>
          <w:sz w:val="24"/>
          <w:szCs w:val="24"/>
        </w:rPr>
      </w:pPr>
      <w:r>
        <w:rPr>
          <w:sz w:val="24"/>
          <w:szCs w:val="24"/>
        </w:rPr>
        <w:t>Virkningen af</w:t>
      </w:r>
      <w:r w:rsidRPr="006A760C">
        <w:rPr>
          <w:sz w:val="24"/>
          <w:szCs w:val="24"/>
        </w:rPr>
        <w:t xml:space="preserve"> CYP 3A4-induceren </w:t>
      </w:r>
      <w:proofErr w:type="spellStart"/>
      <w:r w:rsidRPr="006A760C">
        <w:rPr>
          <w:sz w:val="24"/>
          <w:szCs w:val="24"/>
        </w:rPr>
        <w:t>rifampicin</w:t>
      </w:r>
      <w:proofErr w:type="spellEnd"/>
      <w:r w:rsidRPr="006A760C">
        <w:rPr>
          <w:sz w:val="24"/>
          <w:szCs w:val="24"/>
        </w:rPr>
        <w:t xml:space="preserve"> blev undersøgt blandt raske</w:t>
      </w:r>
      <w:r>
        <w:rPr>
          <w:sz w:val="24"/>
          <w:szCs w:val="24"/>
        </w:rPr>
        <w:t>,</w:t>
      </w:r>
      <w:r w:rsidRPr="006A760C">
        <w:rPr>
          <w:sz w:val="24"/>
          <w:szCs w:val="24"/>
        </w:rPr>
        <w:t xml:space="preserve"> </w:t>
      </w:r>
      <w:proofErr w:type="spellStart"/>
      <w:r w:rsidRPr="006A760C">
        <w:rPr>
          <w:sz w:val="24"/>
          <w:szCs w:val="24"/>
        </w:rPr>
        <w:t>postmenopausale</w:t>
      </w:r>
      <w:proofErr w:type="spellEnd"/>
      <w:r w:rsidRPr="006A760C">
        <w:rPr>
          <w:sz w:val="24"/>
          <w:szCs w:val="24"/>
        </w:rPr>
        <w:t xml:space="preserve"> kvinder. </w:t>
      </w:r>
      <w:r>
        <w:rPr>
          <w:sz w:val="24"/>
          <w:szCs w:val="24"/>
        </w:rPr>
        <w:t>Samtidig indgift af</w:t>
      </w:r>
      <w:r w:rsidRPr="006A760C">
        <w:rPr>
          <w:sz w:val="24"/>
          <w:szCs w:val="24"/>
        </w:rPr>
        <w:t xml:space="preserve"> </w:t>
      </w:r>
      <w:proofErr w:type="spellStart"/>
      <w:r w:rsidRPr="006A760C">
        <w:rPr>
          <w:sz w:val="24"/>
          <w:szCs w:val="24"/>
        </w:rPr>
        <w:t>rifampicin</w:t>
      </w:r>
      <w:proofErr w:type="spellEnd"/>
      <w:r w:rsidRPr="006A760C">
        <w:rPr>
          <w:sz w:val="24"/>
          <w:szCs w:val="24"/>
        </w:rPr>
        <w:t xml:space="preserve"> </w:t>
      </w:r>
      <w:r>
        <w:rPr>
          <w:sz w:val="24"/>
          <w:szCs w:val="24"/>
        </w:rPr>
        <w:t>og</w:t>
      </w:r>
      <w:r w:rsidRPr="006A760C">
        <w:rPr>
          <w:sz w:val="24"/>
          <w:szCs w:val="24"/>
        </w:rPr>
        <w:t xml:space="preserve"> </w:t>
      </w:r>
      <w:proofErr w:type="spellStart"/>
      <w:r w:rsidRPr="006A760C">
        <w:rPr>
          <w:sz w:val="24"/>
          <w:szCs w:val="24"/>
        </w:rPr>
        <w:t>estradiolvalerat</w:t>
      </w:r>
      <w:proofErr w:type="spellEnd"/>
      <w:r w:rsidRPr="006A760C">
        <w:rPr>
          <w:sz w:val="24"/>
          <w:szCs w:val="24"/>
        </w:rPr>
        <w:t>-/</w:t>
      </w:r>
      <w:proofErr w:type="spellStart"/>
      <w:r w:rsidRPr="006A760C">
        <w:rPr>
          <w:sz w:val="24"/>
          <w:szCs w:val="24"/>
        </w:rPr>
        <w:t>dienogest</w:t>
      </w:r>
      <w:proofErr w:type="spellEnd"/>
      <w:r w:rsidRPr="006A760C">
        <w:rPr>
          <w:sz w:val="24"/>
          <w:szCs w:val="24"/>
        </w:rPr>
        <w:t>-tabletter før</w:t>
      </w:r>
      <w:r>
        <w:rPr>
          <w:sz w:val="24"/>
          <w:szCs w:val="24"/>
        </w:rPr>
        <w:t>te</w:t>
      </w:r>
      <w:r w:rsidRPr="006A760C">
        <w:rPr>
          <w:sz w:val="24"/>
          <w:szCs w:val="24"/>
        </w:rPr>
        <w:t xml:space="preserve"> til betydelige fald i </w:t>
      </w:r>
      <w:proofErr w:type="spellStart"/>
      <w:r>
        <w:rPr>
          <w:sz w:val="24"/>
          <w:szCs w:val="24"/>
        </w:rPr>
        <w:t>steady</w:t>
      </w:r>
      <w:proofErr w:type="spellEnd"/>
      <w:r>
        <w:rPr>
          <w:sz w:val="24"/>
          <w:szCs w:val="24"/>
        </w:rPr>
        <w:t xml:space="preserve"> state-koncentrationen </w:t>
      </w:r>
      <w:r w:rsidRPr="006A760C">
        <w:rPr>
          <w:sz w:val="24"/>
          <w:szCs w:val="24"/>
        </w:rPr>
        <w:t xml:space="preserve">og </w:t>
      </w:r>
      <w:r>
        <w:rPr>
          <w:sz w:val="24"/>
          <w:szCs w:val="24"/>
        </w:rPr>
        <w:t xml:space="preserve">den </w:t>
      </w:r>
      <w:r w:rsidRPr="006A760C">
        <w:rPr>
          <w:sz w:val="24"/>
          <w:szCs w:val="24"/>
        </w:rPr>
        <w:t>systemiske eksponering</w:t>
      </w:r>
      <w:r>
        <w:rPr>
          <w:sz w:val="24"/>
          <w:szCs w:val="24"/>
        </w:rPr>
        <w:t xml:space="preserve"> af</w:t>
      </w:r>
      <w:r w:rsidRPr="006A760C">
        <w:rPr>
          <w:sz w:val="24"/>
          <w:szCs w:val="24"/>
        </w:rPr>
        <w:t xml:space="preserve"> </w:t>
      </w:r>
      <w:proofErr w:type="spellStart"/>
      <w:r w:rsidRPr="006A760C">
        <w:rPr>
          <w:sz w:val="24"/>
          <w:szCs w:val="24"/>
        </w:rPr>
        <w:t>dienogest</w:t>
      </w:r>
      <w:proofErr w:type="spellEnd"/>
      <w:r w:rsidRPr="006A760C">
        <w:rPr>
          <w:sz w:val="24"/>
          <w:szCs w:val="24"/>
        </w:rPr>
        <w:t xml:space="preserve"> og </w:t>
      </w:r>
      <w:proofErr w:type="spellStart"/>
      <w:r w:rsidRPr="006A760C">
        <w:rPr>
          <w:sz w:val="24"/>
          <w:szCs w:val="24"/>
        </w:rPr>
        <w:t>estradiol</w:t>
      </w:r>
      <w:proofErr w:type="spellEnd"/>
      <w:r w:rsidRPr="006A760C">
        <w:rPr>
          <w:sz w:val="24"/>
          <w:szCs w:val="24"/>
        </w:rPr>
        <w:t xml:space="preserve">. Den systemiske eksponering </w:t>
      </w:r>
      <w:r>
        <w:rPr>
          <w:sz w:val="24"/>
          <w:szCs w:val="24"/>
        </w:rPr>
        <w:t>af</w:t>
      </w:r>
      <w:r w:rsidRPr="006A760C">
        <w:rPr>
          <w:sz w:val="24"/>
          <w:szCs w:val="24"/>
        </w:rPr>
        <w:t xml:space="preserve"> </w:t>
      </w:r>
      <w:proofErr w:type="spellStart"/>
      <w:r w:rsidRPr="006A760C">
        <w:rPr>
          <w:sz w:val="24"/>
          <w:szCs w:val="24"/>
        </w:rPr>
        <w:t>dienogest</w:t>
      </w:r>
      <w:proofErr w:type="spellEnd"/>
      <w:r w:rsidRPr="006A760C">
        <w:rPr>
          <w:sz w:val="24"/>
          <w:szCs w:val="24"/>
        </w:rPr>
        <w:t xml:space="preserve"> og </w:t>
      </w:r>
      <w:proofErr w:type="spellStart"/>
      <w:r w:rsidRPr="006A760C">
        <w:rPr>
          <w:sz w:val="24"/>
          <w:szCs w:val="24"/>
        </w:rPr>
        <w:t>estradiol</w:t>
      </w:r>
      <w:proofErr w:type="spellEnd"/>
      <w:r w:rsidRPr="006A760C">
        <w:rPr>
          <w:sz w:val="24"/>
          <w:szCs w:val="24"/>
        </w:rPr>
        <w:t xml:space="preserve"> ved en </w:t>
      </w:r>
      <w:proofErr w:type="spellStart"/>
      <w:r>
        <w:rPr>
          <w:sz w:val="24"/>
          <w:szCs w:val="24"/>
        </w:rPr>
        <w:t>steady</w:t>
      </w:r>
      <w:proofErr w:type="spellEnd"/>
      <w:r>
        <w:rPr>
          <w:sz w:val="24"/>
          <w:szCs w:val="24"/>
        </w:rPr>
        <w:t xml:space="preserve"> </w:t>
      </w:r>
      <w:proofErr w:type="spellStart"/>
      <w:r>
        <w:rPr>
          <w:sz w:val="24"/>
          <w:szCs w:val="24"/>
        </w:rPr>
        <w:t>state</w:t>
      </w:r>
      <w:proofErr w:type="spellEnd"/>
      <w:r w:rsidRPr="006A760C">
        <w:rPr>
          <w:sz w:val="24"/>
          <w:szCs w:val="24"/>
        </w:rPr>
        <w:t xml:space="preserve">, målt ved </w:t>
      </w:r>
      <w:proofErr w:type="gramStart"/>
      <w:r w:rsidRPr="006A760C">
        <w:rPr>
          <w:sz w:val="24"/>
          <w:szCs w:val="24"/>
        </w:rPr>
        <w:t>AUC</w:t>
      </w:r>
      <w:r w:rsidR="00222E4E" w:rsidRPr="00626576">
        <w:rPr>
          <w:sz w:val="24"/>
          <w:szCs w:val="24"/>
          <w:vertAlign w:val="subscript"/>
        </w:rPr>
        <w:t>(</w:t>
      </w:r>
      <w:proofErr w:type="gramEnd"/>
      <w:r w:rsidR="00222E4E" w:rsidRPr="00626576">
        <w:rPr>
          <w:sz w:val="24"/>
          <w:szCs w:val="24"/>
          <w:vertAlign w:val="subscript"/>
        </w:rPr>
        <w:t>0-24 timer)</w:t>
      </w:r>
      <w:r>
        <w:rPr>
          <w:sz w:val="24"/>
          <w:szCs w:val="24"/>
        </w:rPr>
        <w:t>,</w:t>
      </w:r>
      <w:r w:rsidRPr="006A760C">
        <w:rPr>
          <w:sz w:val="24"/>
          <w:szCs w:val="24"/>
        </w:rPr>
        <w:t xml:space="preserve"> </w:t>
      </w:r>
      <w:r>
        <w:rPr>
          <w:sz w:val="24"/>
          <w:szCs w:val="24"/>
        </w:rPr>
        <w:t>faldt</w:t>
      </w:r>
      <w:r w:rsidRPr="006A760C">
        <w:rPr>
          <w:sz w:val="24"/>
          <w:szCs w:val="24"/>
        </w:rPr>
        <w:t xml:space="preserve"> med hhv. 83 % og 44 %.</w:t>
      </w:r>
    </w:p>
    <w:p w:rsidR="00140AB5" w:rsidRPr="006A760C" w:rsidRDefault="00140AB5" w:rsidP="00140AB5">
      <w:pPr>
        <w:tabs>
          <w:tab w:val="left" w:pos="851"/>
        </w:tabs>
        <w:ind w:left="851"/>
        <w:rPr>
          <w:sz w:val="24"/>
          <w:szCs w:val="24"/>
        </w:rPr>
      </w:pPr>
    </w:p>
    <w:p w:rsidR="00140AB5" w:rsidRPr="006A760C" w:rsidRDefault="00140AB5" w:rsidP="00140AB5">
      <w:pPr>
        <w:tabs>
          <w:tab w:val="left" w:pos="851"/>
        </w:tabs>
        <w:ind w:left="851"/>
        <w:rPr>
          <w:i/>
          <w:sz w:val="24"/>
          <w:szCs w:val="24"/>
        </w:rPr>
      </w:pPr>
      <w:r w:rsidRPr="006A760C">
        <w:rPr>
          <w:i/>
          <w:iCs/>
          <w:sz w:val="24"/>
          <w:szCs w:val="24"/>
        </w:rPr>
        <w:t xml:space="preserve">Stoffer med </w:t>
      </w:r>
      <w:r>
        <w:rPr>
          <w:i/>
          <w:iCs/>
          <w:sz w:val="24"/>
          <w:szCs w:val="24"/>
        </w:rPr>
        <w:t>variable</w:t>
      </w:r>
      <w:r w:rsidRPr="006A760C">
        <w:rPr>
          <w:i/>
          <w:iCs/>
          <w:sz w:val="24"/>
          <w:szCs w:val="24"/>
        </w:rPr>
        <w:t xml:space="preserve"> virkninger på </w:t>
      </w:r>
      <w:proofErr w:type="spellStart"/>
      <w:r w:rsidRPr="006A760C">
        <w:rPr>
          <w:i/>
          <w:iCs/>
          <w:sz w:val="24"/>
          <w:szCs w:val="24"/>
        </w:rPr>
        <w:t>clearance</w:t>
      </w:r>
      <w:proofErr w:type="spellEnd"/>
      <w:r w:rsidRPr="006A760C">
        <w:rPr>
          <w:i/>
          <w:iCs/>
          <w:sz w:val="24"/>
          <w:szCs w:val="24"/>
        </w:rPr>
        <w:t xml:space="preserve"> af kønshormoner</w:t>
      </w:r>
    </w:p>
    <w:p w:rsidR="00140AB5" w:rsidRPr="006A760C" w:rsidRDefault="00140AB5" w:rsidP="00140AB5">
      <w:pPr>
        <w:tabs>
          <w:tab w:val="left" w:pos="851"/>
        </w:tabs>
        <w:ind w:left="851"/>
        <w:rPr>
          <w:sz w:val="24"/>
          <w:szCs w:val="24"/>
          <w:lang w:val="nl-BE"/>
        </w:rPr>
      </w:pPr>
      <w:r w:rsidRPr="006A760C">
        <w:rPr>
          <w:sz w:val="24"/>
          <w:szCs w:val="24"/>
        </w:rPr>
        <w:t>Når det gives sammen med kønshormoner, kan mange kombinationer af HIV-</w:t>
      </w:r>
      <w:proofErr w:type="spellStart"/>
      <w:r w:rsidRPr="006A760C">
        <w:rPr>
          <w:sz w:val="24"/>
          <w:szCs w:val="24"/>
        </w:rPr>
        <w:t>proteaseinhibitorer</w:t>
      </w:r>
      <w:proofErr w:type="spellEnd"/>
      <w:r w:rsidRPr="006A760C">
        <w:rPr>
          <w:sz w:val="24"/>
          <w:szCs w:val="24"/>
        </w:rPr>
        <w:t xml:space="preserve"> og </w:t>
      </w:r>
      <w:r>
        <w:rPr>
          <w:sz w:val="24"/>
          <w:szCs w:val="24"/>
        </w:rPr>
        <w:t>non</w:t>
      </w:r>
      <w:r w:rsidRPr="006A760C">
        <w:rPr>
          <w:sz w:val="24"/>
          <w:szCs w:val="24"/>
        </w:rPr>
        <w:t>-</w:t>
      </w:r>
      <w:proofErr w:type="spellStart"/>
      <w:r w:rsidRPr="006A760C">
        <w:rPr>
          <w:sz w:val="24"/>
          <w:szCs w:val="24"/>
        </w:rPr>
        <w:t>nukleoside</w:t>
      </w:r>
      <w:proofErr w:type="spellEnd"/>
      <w:r w:rsidRPr="006A760C">
        <w:rPr>
          <w:sz w:val="24"/>
          <w:szCs w:val="24"/>
        </w:rPr>
        <w:t xml:space="preserve"> </w:t>
      </w:r>
      <w:proofErr w:type="spellStart"/>
      <w:r w:rsidRPr="006A760C">
        <w:rPr>
          <w:sz w:val="24"/>
          <w:szCs w:val="24"/>
        </w:rPr>
        <w:t>reverse</w:t>
      </w:r>
      <w:proofErr w:type="spellEnd"/>
      <w:r w:rsidRPr="006A760C">
        <w:rPr>
          <w:sz w:val="24"/>
          <w:szCs w:val="24"/>
        </w:rPr>
        <w:t xml:space="preserve"> </w:t>
      </w:r>
      <w:proofErr w:type="spellStart"/>
      <w:r w:rsidRPr="006A760C">
        <w:rPr>
          <w:sz w:val="24"/>
          <w:szCs w:val="24"/>
        </w:rPr>
        <w:t>transkriptaseinhibitorer</w:t>
      </w:r>
      <w:proofErr w:type="spellEnd"/>
      <w:r w:rsidRPr="006A760C">
        <w:rPr>
          <w:sz w:val="24"/>
          <w:szCs w:val="24"/>
        </w:rPr>
        <w:t>, herunder kombinationer med HCV-inhibitorer, øge eller reducere plasmakoncentrationer</w:t>
      </w:r>
      <w:r>
        <w:rPr>
          <w:sz w:val="24"/>
          <w:szCs w:val="24"/>
        </w:rPr>
        <w:t xml:space="preserve">ne af </w:t>
      </w:r>
      <w:proofErr w:type="spellStart"/>
      <w:r>
        <w:rPr>
          <w:sz w:val="24"/>
          <w:szCs w:val="24"/>
        </w:rPr>
        <w:t>progestin</w:t>
      </w:r>
      <w:proofErr w:type="spellEnd"/>
      <w:r w:rsidRPr="006A760C">
        <w:rPr>
          <w:sz w:val="24"/>
          <w:szCs w:val="24"/>
        </w:rPr>
        <w:t>. Nettovirkningen af disse forandringer kan i nogle tilfælde være klinisk relevante.</w:t>
      </w:r>
    </w:p>
    <w:p w:rsidR="00140AB5" w:rsidRPr="006A760C" w:rsidRDefault="00140AB5" w:rsidP="00140AB5">
      <w:pPr>
        <w:tabs>
          <w:tab w:val="left" w:pos="851"/>
        </w:tabs>
        <w:ind w:left="851"/>
        <w:rPr>
          <w:sz w:val="24"/>
          <w:szCs w:val="24"/>
          <w:lang w:val="nl-BE"/>
        </w:rPr>
      </w:pPr>
    </w:p>
    <w:p w:rsidR="00140AB5" w:rsidRPr="006A760C" w:rsidRDefault="00140AB5" w:rsidP="00140AB5">
      <w:pPr>
        <w:tabs>
          <w:tab w:val="left" w:pos="851"/>
        </w:tabs>
        <w:ind w:left="851"/>
        <w:rPr>
          <w:i/>
          <w:sz w:val="24"/>
          <w:szCs w:val="24"/>
          <w:lang w:val="nl-BE"/>
        </w:rPr>
      </w:pPr>
      <w:r w:rsidRPr="006A760C">
        <w:rPr>
          <w:i/>
          <w:iCs/>
          <w:sz w:val="24"/>
          <w:szCs w:val="24"/>
        </w:rPr>
        <w:t xml:space="preserve">Stoffer der reducerer </w:t>
      </w:r>
      <w:proofErr w:type="spellStart"/>
      <w:r>
        <w:rPr>
          <w:i/>
          <w:iCs/>
          <w:sz w:val="24"/>
          <w:szCs w:val="24"/>
        </w:rPr>
        <w:t>clearance</w:t>
      </w:r>
      <w:proofErr w:type="spellEnd"/>
      <w:r w:rsidRPr="006A760C">
        <w:rPr>
          <w:i/>
          <w:iCs/>
          <w:sz w:val="24"/>
          <w:szCs w:val="24"/>
        </w:rPr>
        <w:t xml:space="preserve"> af kønshormoner (enzym-inhibitorer)</w:t>
      </w:r>
    </w:p>
    <w:p w:rsidR="00140AB5" w:rsidRPr="006A760C" w:rsidRDefault="00140AB5" w:rsidP="00140AB5">
      <w:pPr>
        <w:tabs>
          <w:tab w:val="left" w:pos="851"/>
        </w:tabs>
        <w:ind w:left="851"/>
        <w:rPr>
          <w:sz w:val="24"/>
          <w:szCs w:val="24"/>
          <w:lang w:val="nl-BE"/>
        </w:rPr>
      </w:pPr>
      <w:proofErr w:type="spellStart"/>
      <w:r w:rsidRPr="006A760C">
        <w:rPr>
          <w:sz w:val="24"/>
          <w:szCs w:val="24"/>
        </w:rPr>
        <w:t>Dienogest</w:t>
      </w:r>
      <w:proofErr w:type="spellEnd"/>
      <w:r w:rsidRPr="006A760C">
        <w:rPr>
          <w:sz w:val="24"/>
          <w:szCs w:val="24"/>
        </w:rPr>
        <w:t xml:space="preserve"> er et substrat af </w:t>
      </w:r>
      <w:proofErr w:type="spellStart"/>
      <w:r w:rsidRPr="006A760C">
        <w:rPr>
          <w:sz w:val="24"/>
          <w:szCs w:val="24"/>
        </w:rPr>
        <w:t>cytokrom</w:t>
      </w:r>
      <w:proofErr w:type="spellEnd"/>
      <w:r w:rsidRPr="006A760C">
        <w:rPr>
          <w:sz w:val="24"/>
          <w:szCs w:val="24"/>
        </w:rPr>
        <w:t xml:space="preserve"> P450 (CYP) 3A4.</w:t>
      </w:r>
    </w:p>
    <w:p w:rsidR="00140AB5" w:rsidRPr="006A760C" w:rsidRDefault="00140AB5" w:rsidP="00140AB5">
      <w:pPr>
        <w:tabs>
          <w:tab w:val="left" w:pos="851"/>
        </w:tabs>
        <w:ind w:left="851"/>
        <w:rPr>
          <w:sz w:val="24"/>
          <w:szCs w:val="24"/>
          <w:lang w:val="nl-BE"/>
        </w:rPr>
      </w:pPr>
    </w:p>
    <w:p w:rsidR="00140AB5" w:rsidRPr="006A760C" w:rsidRDefault="00140AB5" w:rsidP="00140AB5">
      <w:pPr>
        <w:tabs>
          <w:tab w:val="left" w:pos="851"/>
        </w:tabs>
        <w:ind w:left="851"/>
        <w:rPr>
          <w:sz w:val="24"/>
          <w:szCs w:val="24"/>
          <w:lang w:val="nl-BE"/>
        </w:rPr>
      </w:pPr>
      <w:r w:rsidRPr="006A760C">
        <w:rPr>
          <w:sz w:val="24"/>
          <w:szCs w:val="24"/>
        </w:rPr>
        <w:t>Den kliniske relevans af potentielle interaktioner med enzyminhibitorer er fortsat ukendt.</w:t>
      </w:r>
    </w:p>
    <w:p w:rsidR="00140AB5" w:rsidRPr="006A760C" w:rsidRDefault="00140AB5" w:rsidP="00140AB5">
      <w:pPr>
        <w:tabs>
          <w:tab w:val="left" w:pos="851"/>
        </w:tabs>
        <w:ind w:left="851"/>
        <w:rPr>
          <w:sz w:val="24"/>
          <w:szCs w:val="24"/>
          <w:lang w:val="nl-BE"/>
        </w:rPr>
      </w:pPr>
    </w:p>
    <w:p w:rsidR="00140AB5" w:rsidRPr="006A760C" w:rsidRDefault="00140AB5" w:rsidP="00140AB5">
      <w:pPr>
        <w:tabs>
          <w:tab w:val="left" w:pos="851"/>
        </w:tabs>
        <w:ind w:left="851"/>
        <w:rPr>
          <w:sz w:val="24"/>
          <w:szCs w:val="24"/>
          <w:lang w:val="nl-BE"/>
        </w:rPr>
      </w:pPr>
      <w:r w:rsidRPr="006A760C">
        <w:rPr>
          <w:sz w:val="24"/>
          <w:szCs w:val="24"/>
        </w:rPr>
        <w:t xml:space="preserve">Hvis der samtidigt gives stærke CYP3A4-inhibitorer kan det øge </w:t>
      </w:r>
      <w:proofErr w:type="spellStart"/>
      <w:r w:rsidRPr="006A760C">
        <w:rPr>
          <w:sz w:val="24"/>
          <w:szCs w:val="24"/>
        </w:rPr>
        <w:t>dienogestens</w:t>
      </w:r>
      <w:proofErr w:type="spellEnd"/>
      <w:r w:rsidRPr="006A760C">
        <w:rPr>
          <w:sz w:val="24"/>
          <w:szCs w:val="24"/>
        </w:rPr>
        <w:t xml:space="preserve"> plasmakoncentrationer.</w:t>
      </w:r>
    </w:p>
    <w:p w:rsidR="00140AB5" w:rsidRPr="006A760C" w:rsidRDefault="00140AB5" w:rsidP="00140AB5">
      <w:pPr>
        <w:tabs>
          <w:tab w:val="left" w:pos="851"/>
        </w:tabs>
        <w:ind w:left="851"/>
        <w:rPr>
          <w:sz w:val="24"/>
          <w:szCs w:val="24"/>
          <w:lang w:val="nl-BE"/>
        </w:rPr>
      </w:pPr>
    </w:p>
    <w:p w:rsidR="00140AB5" w:rsidRPr="006A760C" w:rsidRDefault="00140AB5" w:rsidP="00140AB5">
      <w:pPr>
        <w:tabs>
          <w:tab w:val="left" w:pos="851"/>
        </w:tabs>
        <w:ind w:left="851"/>
        <w:rPr>
          <w:sz w:val="24"/>
          <w:szCs w:val="24"/>
        </w:rPr>
      </w:pPr>
      <w:r w:rsidRPr="006A760C">
        <w:rPr>
          <w:sz w:val="24"/>
          <w:szCs w:val="24"/>
        </w:rPr>
        <w:t xml:space="preserve">Samtidig brug af den stærke CYP3A4 enzym-inhibitor </w:t>
      </w:r>
      <w:proofErr w:type="spellStart"/>
      <w:r w:rsidRPr="006A760C">
        <w:rPr>
          <w:sz w:val="24"/>
          <w:szCs w:val="24"/>
        </w:rPr>
        <w:t>ketoconazol</w:t>
      </w:r>
      <w:proofErr w:type="spellEnd"/>
      <w:r w:rsidRPr="006A760C">
        <w:rPr>
          <w:sz w:val="24"/>
          <w:szCs w:val="24"/>
        </w:rPr>
        <w:t xml:space="preserve"> resulterede i, at AUC (0</w:t>
      </w:r>
      <w:r w:rsidRPr="006A760C">
        <w:rPr>
          <w:sz w:val="24"/>
          <w:szCs w:val="24"/>
        </w:rPr>
        <w:noBreakHyphen/>
        <w:t xml:space="preserve">24 t) ved </w:t>
      </w:r>
      <w:proofErr w:type="spellStart"/>
      <w:r>
        <w:rPr>
          <w:sz w:val="24"/>
          <w:szCs w:val="24"/>
        </w:rPr>
        <w:t>steay</w:t>
      </w:r>
      <w:proofErr w:type="spellEnd"/>
      <w:r>
        <w:rPr>
          <w:sz w:val="24"/>
          <w:szCs w:val="24"/>
        </w:rPr>
        <w:t xml:space="preserve"> </w:t>
      </w:r>
      <w:proofErr w:type="spellStart"/>
      <w:r>
        <w:rPr>
          <w:sz w:val="24"/>
          <w:szCs w:val="24"/>
        </w:rPr>
        <w:t>state</w:t>
      </w:r>
      <w:proofErr w:type="spellEnd"/>
      <w:r w:rsidRPr="006A760C">
        <w:rPr>
          <w:sz w:val="24"/>
          <w:szCs w:val="24"/>
        </w:rPr>
        <w:t xml:space="preserve"> for </w:t>
      </w:r>
      <w:proofErr w:type="spellStart"/>
      <w:r w:rsidRPr="006A760C">
        <w:rPr>
          <w:sz w:val="24"/>
          <w:szCs w:val="24"/>
        </w:rPr>
        <w:t>dienogest</w:t>
      </w:r>
      <w:proofErr w:type="spellEnd"/>
      <w:r w:rsidRPr="006A760C">
        <w:rPr>
          <w:sz w:val="24"/>
          <w:szCs w:val="24"/>
        </w:rPr>
        <w:t xml:space="preserve"> steg til 2,9 gange den tidligere værdi. Samtidig brug af den moderate inhibitor </w:t>
      </w:r>
      <w:proofErr w:type="spellStart"/>
      <w:r w:rsidRPr="006A760C">
        <w:rPr>
          <w:sz w:val="24"/>
          <w:szCs w:val="24"/>
        </w:rPr>
        <w:t>erytromycin</w:t>
      </w:r>
      <w:proofErr w:type="spellEnd"/>
      <w:r w:rsidRPr="006A760C">
        <w:rPr>
          <w:sz w:val="24"/>
          <w:szCs w:val="24"/>
        </w:rPr>
        <w:t xml:space="preserve"> resulterede i, at </w:t>
      </w:r>
      <w:proofErr w:type="gramStart"/>
      <w:r w:rsidRPr="006A760C">
        <w:rPr>
          <w:sz w:val="24"/>
          <w:szCs w:val="24"/>
        </w:rPr>
        <w:t>AUC</w:t>
      </w:r>
      <w:r w:rsidRPr="00EC7A3A">
        <w:rPr>
          <w:sz w:val="24"/>
          <w:szCs w:val="24"/>
          <w:vertAlign w:val="subscript"/>
        </w:rPr>
        <w:t>(</w:t>
      </w:r>
      <w:proofErr w:type="gramEnd"/>
      <w:r w:rsidRPr="00EC7A3A">
        <w:rPr>
          <w:sz w:val="24"/>
          <w:szCs w:val="24"/>
          <w:vertAlign w:val="subscript"/>
        </w:rPr>
        <w:t>0</w:t>
      </w:r>
      <w:r w:rsidRPr="00EC7A3A">
        <w:rPr>
          <w:sz w:val="24"/>
          <w:szCs w:val="24"/>
          <w:vertAlign w:val="subscript"/>
        </w:rPr>
        <w:noBreakHyphen/>
        <w:t>24 t)</w:t>
      </w:r>
      <w:r w:rsidRPr="006A760C">
        <w:rPr>
          <w:sz w:val="24"/>
          <w:szCs w:val="24"/>
        </w:rPr>
        <w:t xml:space="preserve"> for </w:t>
      </w:r>
      <w:proofErr w:type="spellStart"/>
      <w:r w:rsidRPr="006A760C">
        <w:rPr>
          <w:sz w:val="24"/>
          <w:szCs w:val="24"/>
        </w:rPr>
        <w:t>dienogest</w:t>
      </w:r>
      <w:proofErr w:type="spellEnd"/>
      <w:r w:rsidRPr="006A760C">
        <w:rPr>
          <w:sz w:val="24"/>
          <w:szCs w:val="24"/>
        </w:rPr>
        <w:t xml:space="preserve"> ved </w:t>
      </w:r>
      <w:proofErr w:type="spellStart"/>
      <w:r>
        <w:rPr>
          <w:sz w:val="24"/>
          <w:szCs w:val="24"/>
        </w:rPr>
        <w:t>steady</w:t>
      </w:r>
      <w:proofErr w:type="spellEnd"/>
      <w:r>
        <w:rPr>
          <w:sz w:val="24"/>
          <w:szCs w:val="24"/>
        </w:rPr>
        <w:t xml:space="preserve"> </w:t>
      </w:r>
      <w:proofErr w:type="spellStart"/>
      <w:r>
        <w:rPr>
          <w:sz w:val="24"/>
          <w:szCs w:val="24"/>
        </w:rPr>
        <w:t>state</w:t>
      </w:r>
      <w:proofErr w:type="spellEnd"/>
      <w:r w:rsidRPr="006A760C">
        <w:rPr>
          <w:sz w:val="24"/>
          <w:szCs w:val="24"/>
        </w:rPr>
        <w:t xml:space="preserve"> steg til 1,6 gange den tidligere værdi.</w:t>
      </w:r>
    </w:p>
    <w:p w:rsidR="00140AB5" w:rsidRPr="006A760C" w:rsidRDefault="00140AB5" w:rsidP="00140AB5">
      <w:pPr>
        <w:tabs>
          <w:tab w:val="left" w:pos="851"/>
        </w:tabs>
        <w:ind w:left="851"/>
        <w:rPr>
          <w:sz w:val="24"/>
          <w:szCs w:val="24"/>
        </w:rPr>
      </w:pPr>
    </w:p>
    <w:p w:rsidR="00140AB5" w:rsidRPr="006A760C" w:rsidRDefault="00140AB5" w:rsidP="00140AB5">
      <w:pPr>
        <w:tabs>
          <w:tab w:val="left" w:pos="851"/>
        </w:tabs>
        <w:ind w:left="851"/>
        <w:rPr>
          <w:iCs/>
          <w:sz w:val="24"/>
          <w:szCs w:val="24"/>
          <w:u w:val="single"/>
        </w:rPr>
      </w:pPr>
      <w:proofErr w:type="spellStart"/>
      <w:r w:rsidRPr="006A760C">
        <w:rPr>
          <w:iCs/>
          <w:sz w:val="24"/>
          <w:szCs w:val="24"/>
          <w:u w:val="single"/>
        </w:rPr>
        <w:t>Zafrilla</w:t>
      </w:r>
      <w:r>
        <w:rPr>
          <w:iCs/>
          <w:sz w:val="24"/>
          <w:szCs w:val="24"/>
          <w:u w:val="single"/>
        </w:rPr>
        <w:t>s</w:t>
      </w:r>
      <w:proofErr w:type="spellEnd"/>
      <w:r>
        <w:rPr>
          <w:iCs/>
          <w:sz w:val="24"/>
          <w:szCs w:val="24"/>
          <w:u w:val="single"/>
        </w:rPr>
        <w:t xml:space="preserve"> virkning </w:t>
      </w:r>
      <w:r w:rsidRPr="006A760C">
        <w:rPr>
          <w:iCs/>
          <w:sz w:val="24"/>
          <w:szCs w:val="24"/>
          <w:u w:val="single"/>
        </w:rPr>
        <w:t>på andre lægemidler</w:t>
      </w:r>
    </w:p>
    <w:p w:rsidR="00140AB5" w:rsidRPr="006A760C" w:rsidRDefault="00140AB5" w:rsidP="00140AB5">
      <w:pPr>
        <w:tabs>
          <w:tab w:val="left" w:pos="851"/>
        </w:tabs>
        <w:ind w:left="851"/>
        <w:rPr>
          <w:sz w:val="24"/>
          <w:szCs w:val="24"/>
        </w:rPr>
      </w:pPr>
      <w:r w:rsidRPr="006A760C">
        <w:rPr>
          <w:sz w:val="24"/>
          <w:szCs w:val="24"/>
        </w:rPr>
        <w:t xml:space="preserve">Baseret på </w:t>
      </w:r>
      <w:r w:rsidRPr="006A760C">
        <w:rPr>
          <w:i/>
          <w:iCs/>
          <w:sz w:val="24"/>
          <w:szCs w:val="24"/>
        </w:rPr>
        <w:t xml:space="preserve">in </w:t>
      </w:r>
      <w:proofErr w:type="spellStart"/>
      <w:r w:rsidRPr="006A760C">
        <w:rPr>
          <w:i/>
          <w:iCs/>
          <w:sz w:val="24"/>
          <w:szCs w:val="24"/>
        </w:rPr>
        <w:t>vitro</w:t>
      </w:r>
      <w:proofErr w:type="spellEnd"/>
      <w:r w:rsidRPr="006A760C">
        <w:rPr>
          <w:i/>
          <w:iCs/>
          <w:sz w:val="24"/>
          <w:szCs w:val="24"/>
        </w:rPr>
        <w:t xml:space="preserve"> </w:t>
      </w:r>
      <w:r w:rsidRPr="006A760C">
        <w:rPr>
          <w:sz w:val="24"/>
          <w:szCs w:val="24"/>
        </w:rPr>
        <w:t xml:space="preserve">undersøgelser </w:t>
      </w:r>
      <w:r>
        <w:rPr>
          <w:sz w:val="24"/>
          <w:szCs w:val="24"/>
        </w:rPr>
        <w:t>er</w:t>
      </w:r>
      <w:r w:rsidRPr="006A760C">
        <w:rPr>
          <w:sz w:val="24"/>
          <w:szCs w:val="24"/>
        </w:rPr>
        <w:t xml:space="preserve"> en klinisk relevant interaktion af </w:t>
      </w:r>
      <w:proofErr w:type="spellStart"/>
      <w:r w:rsidRPr="006A760C">
        <w:rPr>
          <w:sz w:val="24"/>
          <w:szCs w:val="24"/>
        </w:rPr>
        <w:t>dienogest</w:t>
      </w:r>
      <w:proofErr w:type="spellEnd"/>
      <w:r w:rsidRPr="006A760C">
        <w:rPr>
          <w:sz w:val="24"/>
          <w:szCs w:val="24"/>
        </w:rPr>
        <w:t xml:space="preserve"> med </w:t>
      </w:r>
      <w:proofErr w:type="spellStart"/>
      <w:r w:rsidRPr="006A760C">
        <w:rPr>
          <w:sz w:val="24"/>
          <w:szCs w:val="24"/>
        </w:rPr>
        <w:t>cytokrom</w:t>
      </w:r>
      <w:proofErr w:type="spellEnd"/>
      <w:r w:rsidRPr="006A760C">
        <w:rPr>
          <w:sz w:val="24"/>
          <w:szCs w:val="24"/>
        </w:rPr>
        <w:t xml:space="preserve"> P450-enzym</w:t>
      </w:r>
      <w:r>
        <w:rPr>
          <w:sz w:val="24"/>
          <w:szCs w:val="24"/>
        </w:rPr>
        <w:t>medieret metabolisme</w:t>
      </w:r>
      <w:r w:rsidRPr="006A760C">
        <w:rPr>
          <w:sz w:val="24"/>
          <w:szCs w:val="24"/>
        </w:rPr>
        <w:t xml:space="preserve"> af andre lægemidler usandsynlig.</w:t>
      </w:r>
    </w:p>
    <w:p w:rsidR="00140AB5" w:rsidRPr="006A760C" w:rsidRDefault="00140AB5" w:rsidP="00140AB5">
      <w:pPr>
        <w:tabs>
          <w:tab w:val="left" w:pos="851"/>
        </w:tabs>
        <w:ind w:left="851"/>
        <w:rPr>
          <w:sz w:val="24"/>
          <w:szCs w:val="24"/>
        </w:rPr>
      </w:pPr>
    </w:p>
    <w:p w:rsidR="00140AB5" w:rsidRPr="006A760C" w:rsidRDefault="00140AB5" w:rsidP="00140AB5">
      <w:pPr>
        <w:tabs>
          <w:tab w:val="left" w:pos="851"/>
        </w:tabs>
        <w:ind w:left="851"/>
        <w:rPr>
          <w:iCs/>
          <w:sz w:val="24"/>
          <w:szCs w:val="24"/>
          <w:u w:val="single"/>
        </w:rPr>
      </w:pPr>
      <w:r w:rsidRPr="006A760C">
        <w:rPr>
          <w:iCs/>
          <w:sz w:val="24"/>
          <w:szCs w:val="24"/>
          <w:u w:val="single"/>
        </w:rPr>
        <w:t>Interaktion med mad</w:t>
      </w:r>
    </w:p>
    <w:p w:rsidR="00140AB5" w:rsidRPr="006A760C" w:rsidRDefault="00140AB5" w:rsidP="00140AB5">
      <w:pPr>
        <w:tabs>
          <w:tab w:val="left" w:pos="851"/>
        </w:tabs>
        <w:ind w:left="851"/>
        <w:rPr>
          <w:sz w:val="24"/>
          <w:szCs w:val="24"/>
        </w:rPr>
      </w:pPr>
      <w:r w:rsidRPr="006A760C">
        <w:rPr>
          <w:sz w:val="24"/>
          <w:szCs w:val="24"/>
        </w:rPr>
        <w:t xml:space="preserve">Et standardiseret måltid med højt fedtindhold påvirkede ikke biotilgængeligheden af </w:t>
      </w:r>
      <w:proofErr w:type="spellStart"/>
      <w:r w:rsidRPr="006A760C">
        <w:rPr>
          <w:sz w:val="24"/>
          <w:szCs w:val="24"/>
        </w:rPr>
        <w:t>Zafrilla</w:t>
      </w:r>
      <w:proofErr w:type="spellEnd"/>
      <w:r w:rsidRPr="006A760C">
        <w:rPr>
          <w:sz w:val="24"/>
          <w:szCs w:val="24"/>
        </w:rPr>
        <w:t>.</w:t>
      </w:r>
    </w:p>
    <w:p w:rsidR="00140AB5" w:rsidRPr="006A760C" w:rsidRDefault="00140AB5" w:rsidP="00140AB5">
      <w:pPr>
        <w:tabs>
          <w:tab w:val="left" w:pos="851"/>
        </w:tabs>
        <w:ind w:left="851"/>
        <w:rPr>
          <w:iCs/>
          <w:sz w:val="24"/>
          <w:szCs w:val="24"/>
        </w:rPr>
      </w:pPr>
    </w:p>
    <w:p w:rsidR="00140AB5" w:rsidRPr="006A760C" w:rsidRDefault="00140AB5" w:rsidP="00140AB5">
      <w:pPr>
        <w:tabs>
          <w:tab w:val="left" w:pos="851"/>
        </w:tabs>
        <w:ind w:left="851"/>
        <w:rPr>
          <w:iCs/>
          <w:sz w:val="24"/>
          <w:szCs w:val="24"/>
          <w:u w:val="single"/>
        </w:rPr>
      </w:pPr>
      <w:r>
        <w:rPr>
          <w:iCs/>
          <w:sz w:val="24"/>
          <w:szCs w:val="24"/>
          <w:u w:val="single"/>
        </w:rPr>
        <w:t>Laboratorieundersøgelser</w:t>
      </w:r>
    </w:p>
    <w:p w:rsidR="00140AB5" w:rsidRPr="006A760C" w:rsidRDefault="00140AB5" w:rsidP="00140AB5">
      <w:pPr>
        <w:tabs>
          <w:tab w:val="left" w:pos="851"/>
        </w:tabs>
        <w:ind w:left="851"/>
        <w:rPr>
          <w:sz w:val="24"/>
          <w:szCs w:val="24"/>
        </w:rPr>
      </w:pPr>
      <w:r w:rsidRPr="006A760C">
        <w:rPr>
          <w:sz w:val="24"/>
          <w:szCs w:val="24"/>
        </w:rPr>
        <w:t xml:space="preserve">Brugen af </w:t>
      </w:r>
      <w:proofErr w:type="spellStart"/>
      <w:r w:rsidRPr="006A760C">
        <w:rPr>
          <w:sz w:val="24"/>
          <w:szCs w:val="24"/>
        </w:rPr>
        <w:t>progestogener</w:t>
      </w:r>
      <w:proofErr w:type="spellEnd"/>
      <w:r w:rsidRPr="006A760C">
        <w:rPr>
          <w:sz w:val="24"/>
          <w:szCs w:val="24"/>
        </w:rPr>
        <w:t xml:space="preserve"> kan påvirke resultaterne af bestemte laboratorietests, herunder biokemiske parametre for lever, </w:t>
      </w:r>
      <w:proofErr w:type="spellStart"/>
      <w:r w:rsidRPr="006A760C">
        <w:rPr>
          <w:sz w:val="24"/>
          <w:szCs w:val="24"/>
        </w:rPr>
        <w:t>thyorid</w:t>
      </w:r>
      <w:proofErr w:type="spellEnd"/>
      <w:r w:rsidRPr="006A760C">
        <w:rPr>
          <w:sz w:val="24"/>
          <w:szCs w:val="24"/>
        </w:rPr>
        <w:t xml:space="preserve">, binyre- og nyrefunktion, (transportør) proteiners plasmaniveauer (f.eks. </w:t>
      </w:r>
      <w:proofErr w:type="spellStart"/>
      <w:r w:rsidRPr="006A760C">
        <w:rPr>
          <w:sz w:val="24"/>
          <w:szCs w:val="24"/>
        </w:rPr>
        <w:t>kortikosteorid</w:t>
      </w:r>
      <w:proofErr w:type="spellEnd"/>
      <w:r w:rsidRPr="006A760C">
        <w:rPr>
          <w:sz w:val="24"/>
          <w:szCs w:val="24"/>
        </w:rPr>
        <w:t xml:space="preserve">-bindende </w:t>
      </w:r>
      <w:proofErr w:type="spellStart"/>
      <w:r w:rsidRPr="006A760C">
        <w:rPr>
          <w:sz w:val="24"/>
          <w:szCs w:val="24"/>
        </w:rPr>
        <w:t>globulin</w:t>
      </w:r>
      <w:proofErr w:type="spellEnd"/>
      <w:r w:rsidRPr="006A760C">
        <w:rPr>
          <w:sz w:val="24"/>
          <w:szCs w:val="24"/>
        </w:rPr>
        <w:t xml:space="preserve"> og lipid-/</w:t>
      </w:r>
      <w:proofErr w:type="spellStart"/>
      <w:r w:rsidRPr="006A760C">
        <w:rPr>
          <w:sz w:val="24"/>
          <w:szCs w:val="24"/>
        </w:rPr>
        <w:t>lipoprotein</w:t>
      </w:r>
      <w:proofErr w:type="spellEnd"/>
      <w:r w:rsidRPr="006A760C">
        <w:rPr>
          <w:sz w:val="24"/>
          <w:szCs w:val="24"/>
        </w:rPr>
        <w:t xml:space="preserve">-bestanddele) samt parametrene for kulhydratstofskifte, koagulation og </w:t>
      </w:r>
      <w:proofErr w:type="spellStart"/>
      <w:r w:rsidRPr="006A760C">
        <w:rPr>
          <w:sz w:val="24"/>
          <w:szCs w:val="24"/>
        </w:rPr>
        <w:t>fibrinolyse</w:t>
      </w:r>
      <w:proofErr w:type="spellEnd"/>
      <w:r w:rsidRPr="006A760C">
        <w:rPr>
          <w:sz w:val="24"/>
          <w:szCs w:val="24"/>
        </w:rPr>
        <w:t>.</w:t>
      </w:r>
    </w:p>
    <w:p w:rsidR="00140AB5" w:rsidRPr="006A760C" w:rsidRDefault="00140AB5" w:rsidP="00140AB5">
      <w:pPr>
        <w:tabs>
          <w:tab w:val="left" w:pos="851"/>
        </w:tabs>
        <w:ind w:left="851"/>
        <w:rPr>
          <w:sz w:val="24"/>
          <w:szCs w:val="24"/>
        </w:rPr>
      </w:pPr>
      <w:r>
        <w:rPr>
          <w:sz w:val="24"/>
          <w:szCs w:val="24"/>
        </w:rPr>
        <w:t xml:space="preserve">Ændringerne holder sig generelt </w:t>
      </w:r>
      <w:r w:rsidRPr="006A760C">
        <w:rPr>
          <w:sz w:val="24"/>
          <w:szCs w:val="24"/>
        </w:rPr>
        <w:t>inden for de normale laboratorie</w:t>
      </w:r>
      <w:r>
        <w:rPr>
          <w:sz w:val="24"/>
          <w:szCs w:val="24"/>
        </w:rPr>
        <w:t>værdier</w:t>
      </w:r>
      <w:r w:rsidRPr="006A760C">
        <w:rPr>
          <w:sz w:val="24"/>
          <w:szCs w:val="24"/>
        </w:rPr>
        <w:t>.</w:t>
      </w:r>
    </w:p>
    <w:p w:rsidR="00140AB5" w:rsidRPr="00C84483" w:rsidRDefault="00140AB5" w:rsidP="00140AB5">
      <w:pPr>
        <w:tabs>
          <w:tab w:val="left" w:pos="851"/>
        </w:tabs>
        <w:ind w:left="851"/>
        <w:rPr>
          <w:sz w:val="24"/>
          <w:szCs w:val="24"/>
        </w:rPr>
      </w:pPr>
    </w:p>
    <w:p w:rsidR="00E255FD" w:rsidRPr="00C84483" w:rsidRDefault="00E255FD" w:rsidP="00E255FD">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140AB5" w:rsidRPr="00627830" w:rsidRDefault="00140AB5" w:rsidP="00140AB5">
      <w:pPr>
        <w:tabs>
          <w:tab w:val="left" w:pos="851"/>
        </w:tabs>
        <w:ind w:left="851"/>
        <w:rPr>
          <w:iCs/>
          <w:sz w:val="24"/>
          <w:szCs w:val="24"/>
        </w:rPr>
      </w:pPr>
    </w:p>
    <w:p w:rsidR="00140AB5" w:rsidRPr="00627830" w:rsidRDefault="00140AB5" w:rsidP="00140AB5">
      <w:pPr>
        <w:tabs>
          <w:tab w:val="left" w:pos="851"/>
        </w:tabs>
        <w:ind w:left="851"/>
        <w:rPr>
          <w:iCs/>
          <w:sz w:val="24"/>
          <w:szCs w:val="24"/>
          <w:u w:val="single"/>
          <w:lang w:val="nl-BE"/>
        </w:rPr>
      </w:pPr>
      <w:r w:rsidRPr="00627830">
        <w:rPr>
          <w:iCs/>
          <w:sz w:val="24"/>
          <w:szCs w:val="24"/>
          <w:u w:val="single"/>
        </w:rPr>
        <w:t>Graviditet</w:t>
      </w:r>
    </w:p>
    <w:p w:rsidR="00140AB5" w:rsidRPr="00627830" w:rsidRDefault="00140AB5" w:rsidP="00140AB5">
      <w:pPr>
        <w:tabs>
          <w:tab w:val="left" w:pos="851"/>
        </w:tabs>
        <w:ind w:left="851"/>
        <w:rPr>
          <w:sz w:val="24"/>
          <w:szCs w:val="24"/>
          <w:lang w:val="nl-BE"/>
        </w:rPr>
      </w:pPr>
      <w:r w:rsidRPr="00627830">
        <w:rPr>
          <w:sz w:val="24"/>
          <w:szCs w:val="24"/>
        </w:rPr>
        <w:t xml:space="preserve">Der forefindes kun begrænsede data om gravide kvinders brug af </w:t>
      </w:r>
      <w:proofErr w:type="spellStart"/>
      <w:r w:rsidRPr="00627830">
        <w:rPr>
          <w:sz w:val="24"/>
          <w:szCs w:val="24"/>
        </w:rPr>
        <w:t>dienogest</w:t>
      </w:r>
      <w:proofErr w:type="spellEnd"/>
      <w:r w:rsidRPr="00627830">
        <w:rPr>
          <w:sz w:val="24"/>
          <w:szCs w:val="24"/>
        </w:rPr>
        <w:t>.</w:t>
      </w:r>
    </w:p>
    <w:p w:rsidR="00140AB5" w:rsidRPr="00627830" w:rsidRDefault="00140AB5" w:rsidP="00140AB5">
      <w:pPr>
        <w:tabs>
          <w:tab w:val="left" w:pos="851"/>
        </w:tabs>
        <w:ind w:left="851"/>
        <w:rPr>
          <w:sz w:val="24"/>
          <w:szCs w:val="24"/>
          <w:lang w:val="nl-BE"/>
        </w:rPr>
      </w:pPr>
    </w:p>
    <w:p w:rsidR="00140AB5" w:rsidRPr="00627830" w:rsidRDefault="00140AB5" w:rsidP="00140AB5">
      <w:pPr>
        <w:tabs>
          <w:tab w:val="left" w:pos="851"/>
        </w:tabs>
        <w:ind w:left="851"/>
        <w:rPr>
          <w:sz w:val="24"/>
          <w:szCs w:val="24"/>
          <w:lang w:val="nl-BE"/>
        </w:rPr>
      </w:pPr>
      <w:r w:rsidRPr="00627830">
        <w:rPr>
          <w:sz w:val="24"/>
          <w:szCs w:val="24"/>
        </w:rPr>
        <w:t>Dyreforsøg indikerede hverken direkte eller indirekte skadelige virkninger, hvad angår reproduktionstoksicitet (se pkt. 5.3).</w:t>
      </w:r>
    </w:p>
    <w:p w:rsidR="00140AB5" w:rsidRPr="00627830" w:rsidRDefault="00140AB5" w:rsidP="00140AB5">
      <w:pPr>
        <w:tabs>
          <w:tab w:val="left" w:pos="851"/>
        </w:tabs>
        <w:ind w:left="851"/>
        <w:rPr>
          <w:sz w:val="24"/>
          <w:szCs w:val="24"/>
          <w:lang w:val="nl-BE"/>
        </w:rPr>
      </w:pPr>
    </w:p>
    <w:p w:rsidR="00140AB5" w:rsidRPr="00627830" w:rsidRDefault="00140AB5" w:rsidP="00140AB5">
      <w:pPr>
        <w:tabs>
          <w:tab w:val="left" w:pos="851"/>
        </w:tabs>
        <w:ind w:left="851"/>
        <w:rPr>
          <w:sz w:val="24"/>
          <w:szCs w:val="24"/>
          <w:lang w:val="nl-BE"/>
        </w:rPr>
      </w:pPr>
      <w:proofErr w:type="spellStart"/>
      <w:r w:rsidRPr="00627830">
        <w:rPr>
          <w:sz w:val="24"/>
          <w:szCs w:val="24"/>
        </w:rPr>
        <w:t>Zafrilla</w:t>
      </w:r>
      <w:proofErr w:type="spellEnd"/>
      <w:r w:rsidRPr="00627830">
        <w:rPr>
          <w:sz w:val="24"/>
          <w:szCs w:val="24"/>
        </w:rPr>
        <w:t xml:space="preserve"> må ikke gives til gravide kvinder, fordi der ikke er nogen grund til at behandle </w:t>
      </w:r>
      <w:proofErr w:type="spellStart"/>
      <w:r w:rsidRPr="00627830">
        <w:rPr>
          <w:sz w:val="24"/>
          <w:szCs w:val="24"/>
        </w:rPr>
        <w:t>endometriose</w:t>
      </w:r>
      <w:proofErr w:type="spellEnd"/>
      <w:r w:rsidRPr="00627830">
        <w:rPr>
          <w:sz w:val="24"/>
          <w:szCs w:val="24"/>
        </w:rPr>
        <w:t xml:space="preserve"> under graviditet.</w:t>
      </w:r>
    </w:p>
    <w:p w:rsidR="00140AB5" w:rsidRPr="00627830" w:rsidRDefault="00140AB5" w:rsidP="00140AB5">
      <w:pPr>
        <w:tabs>
          <w:tab w:val="left" w:pos="851"/>
        </w:tabs>
        <w:ind w:left="851"/>
        <w:rPr>
          <w:sz w:val="24"/>
          <w:szCs w:val="24"/>
          <w:lang w:val="nl-BE"/>
        </w:rPr>
      </w:pPr>
    </w:p>
    <w:p w:rsidR="00140AB5" w:rsidRPr="00627830" w:rsidRDefault="00140AB5" w:rsidP="00140AB5">
      <w:pPr>
        <w:tabs>
          <w:tab w:val="left" w:pos="851"/>
        </w:tabs>
        <w:ind w:left="851"/>
        <w:rPr>
          <w:iCs/>
          <w:sz w:val="24"/>
          <w:szCs w:val="24"/>
          <w:u w:val="single"/>
        </w:rPr>
      </w:pPr>
      <w:r w:rsidRPr="00627830">
        <w:rPr>
          <w:iCs/>
          <w:sz w:val="24"/>
          <w:szCs w:val="24"/>
          <w:u w:val="single"/>
        </w:rPr>
        <w:t>Amning</w:t>
      </w:r>
    </w:p>
    <w:p w:rsidR="00140AB5" w:rsidRPr="00627830" w:rsidRDefault="00140AB5" w:rsidP="00140AB5">
      <w:pPr>
        <w:tabs>
          <w:tab w:val="left" w:pos="851"/>
        </w:tabs>
        <w:ind w:left="851"/>
        <w:rPr>
          <w:sz w:val="24"/>
          <w:szCs w:val="24"/>
        </w:rPr>
      </w:pPr>
      <w:r w:rsidRPr="00627830">
        <w:rPr>
          <w:sz w:val="24"/>
          <w:szCs w:val="24"/>
        </w:rPr>
        <w:t xml:space="preserve">Behandling med </w:t>
      </w:r>
      <w:proofErr w:type="spellStart"/>
      <w:r w:rsidRPr="00627830">
        <w:rPr>
          <w:sz w:val="24"/>
          <w:szCs w:val="24"/>
        </w:rPr>
        <w:t>Zafrilla</w:t>
      </w:r>
      <w:proofErr w:type="spellEnd"/>
      <w:r w:rsidRPr="00627830">
        <w:rPr>
          <w:sz w:val="24"/>
          <w:szCs w:val="24"/>
        </w:rPr>
        <w:t xml:space="preserve"> under amning </w:t>
      </w:r>
      <w:r>
        <w:rPr>
          <w:sz w:val="24"/>
          <w:szCs w:val="24"/>
        </w:rPr>
        <w:t>anbefales ikke</w:t>
      </w:r>
      <w:r w:rsidRPr="00627830">
        <w:rPr>
          <w:sz w:val="24"/>
          <w:szCs w:val="24"/>
        </w:rPr>
        <w:t>.</w:t>
      </w:r>
    </w:p>
    <w:p w:rsidR="00140AB5" w:rsidRPr="00627830" w:rsidRDefault="00140AB5" w:rsidP="00140AB5">
      <w:pPr>
        <w:tabs>
          <w:tab w:val="left" w:pos="851"/>
        </w:tabs>
        <w:ind w:left="851"/>
        <w:rPr>
          <w:sz w:val="24"/>
          <w:szCs w:val="24"/>
        </w:rPr>
      </w:pPr>
    </w:p>
    <w:p w:rsidR="00140AB5" w:rsidRPr="00627830" w:rsidRDefault="00140AB5" w:rsidP="00140AB5">
      <w:pPr>
        <w:tabs>
          <w:tab w:val="left" w:pos="851"/>
        </w:tabs>
        <w:ind w:left="851"/>
        <w:rPr>
          <w:sz w:val="24"/>
          <w:szCs w:val="24"/>
        </w:rPr>
      </w:pPr>
      <w:r w:rsidRPr="00627830">
        <w:rPr>
          <w:sz w:val="24"/>
          <w:szCs w:val="24"/>
        </w:rPr>
        <w:t>Det er uvist</w:t>
      </w:r>
      <w:r>
        <w:rPr>
          <w:sz w:val="24"/>
          <w:szCs w:val="24"/>
        </w:rPr>
        <w:t>,</w:t>
      </w:r>
      <w:r w:rsidRPr="00627830">
        <w:rPr>
          <w:sz w:val="24"/>
          <w:szCs w:val="24"/>
        </w:rPr>
        <w:t xml:space="preserve"> hvorvidt </w:t>
      </w:r>
      <w:proofErr w:type="spellStart"/>
      <w:r w:rsidRPr="00627830">
        <w:rPr>
          <w:sz w:val="24"/>
          <w:szCs w:val="24"/>
        </w:rPr>
        <w:t>dienogest</w:t>
      </w:r>
      <w:proofErr w:type="spellEnd"/>
      <w:r w:rsidRPr="00627830">
        <w:rPr>
          <w:sz w:val="24"/>
          <w:szCs w:val="24"/>
        </w:rPr>
        <w:t xml:space="preserve"> </w:t>
      </w:r>
      <w:r>
        <w:rPr>
          <w:sz w:val="24"/>
          <w:szCs w:val="24"/>
        </w:rPr>
        <w:t>udskilles i modermælk</w:t>
      </w:r>
      <w:r w:rsidRPr="00627830">
        <w:rPr>
          <w:sz w:val="24"/>
          <w:szCs w:val="24"/>
        </w:rPr>
        <w:t>. Dat</w:t>
      </w:r>
      <w:r>
        <w:rPr>
          <w:sz w:val="24"/>
          <w:szCs w:val="24"/>
        </w:rPr>
        <w:t>a fra dyrestudier har påvist udskillelse</w:t>
      </w:r>
      <w:r w:rsidRPr="00627830">
        <w:rPr>
          <w:sz w:val="24"/>
          <w:szCs w:val="24"/>
        </w:rPr>
        <w:t xml:space="preserve"> af </w:t>
      </w:r>
      <w:proofErr w:type="spellStart"/>
      <w:r w:rsidRPr="00627830">
        <w:rPr>
          <w:sz w:val="24"/>
          <w:szCs w:val="24"/>
        </w:rPr>
        <w:t>dienogest</w:t>
      </w:r>
      <w:proofErr w:type="spellEnd"/>
      <w:r w:rsidRPr="00627830">
        <w:rPr>
          <w:sz w:val="24"/>
          <w:szCs w:val="24"/>
        </w:rPr>
        <w:t xml:space="preserve"> i </w:t>
      </w:r>
      <w:r>
        <w:rPr>
          <w:sz w:val="24"/>
          <w:szCs w:val="24"/>
        </w:rPr>
        <w:t>mælken hos rotter.</w:t>
      </w:r>
    </w:p>
    <w:p w:rsidR="00140AB5" w:rsidRPr="00627830" w:rsidRDefault="00140AB5" w:rsidP="00140AB5">
      <w:pPr>
        <w:tabs>
          <w:tab w:val="left" w:pos="851"/>
        </w:tabs>
        <w:ind w:left="851"/>
        <w:rPr>
          <w:sz w:val="24"/>
          <w:szCs w:val="24"/>
        </w:rPr>
      </w:pPr>
    </w:p>
    <w:p w:rsidR="00140AB5" w:rsidRPr="00627830" w:rsidRDefault="00140AB5" w:rsidP="00140AB5">
      <w:pPr>
        <w:tabs>
          <w:tab w:val="left" w:pos="851"/>
        </w:tabs>
        <w:ind w:left="851"/>
        <w:rPr>
          <w:sz w:val="24"/>
          <w:szCs w:val="24"/>
        </w:rPr>
      </w:pPr>
      <w:r w:rsidRPr="00627830">
        <w:rPr>
          <w:sz w:val="24"/>
          <w:szCs w:val="24"/>
        </w:rPr>
        <w:t xml:space="preserve">Der skal træffes en afgørelse om, hvorvidt amningen skal ophøre, eller om behandling med </w:t>
      </w:r>
      <w:proofErr w:type="spellStart"/>
      <w:r w:rsidRPr="00627830">
        <w:rPr>
          <w:sz w:val="24"/>
          <w:szCs w:val="24"/>
        </w:rPr>
        <w:t>Zafrilla</w:t>
      </w:r>
      <w:proofErr w:type="spellEnd"/>
      <w:r w:rsidRPr="00627830">
        <w:rPr>
          <w:sz w:val="24"/>
          <w:szCs w:val="24"/>
        </w:rPr>
        <w:t xml:space="preserve"> skal undgås under hensyntagen til fordelene ved amning for barnet og fordelene ved behandlingen for kvinden.</w:t>
      </w:r>
    </w:p>
    <w:p w:rsidR="00140AB5" w:rsidRPr="00627830" w:rsidRDefault="00140AB5" w:rsidP="00140AB5">
      <w:pPr>
        <w:tabs>
          <w:tab w:val="left" w:pos="851"/>
        </w:tabs>
        <w:ind w:left="851"/>
        <w:rPr>
          <w:iCs/>
          <w:sz w:val="24"/>
          <w:szCs w:val="24"/>
        </w:rPr>
      </w:pPr>
    </w:p>
    <w:p w:rsidR="00140AB5" w:rsidRPr="00627830" w:rsidRDefault="00140AB5" w:rsidP="00140AB5">
      <w:pPr>
        <w:tabs>
          <w:tab w:val="left" w:pos="851"/>
        </w:tabs>
        <w:ind w:left="851"/>
        <w:rPr>
          <w:iCs/>
          <w:sz w:val="24"/>
          <w:szCs w:val="24"/>
          <w:u w:val="single"/>
        </w:rPr>
      </w:pPr>
      <w:r w:rsidRPr="00627830">
        <w:rPr>
          <w:iCs/>
          <w:sz w:val="24"/>
          <w:szCs w:val="24"/>
          <w:u w:val="single"/>
        </w:rPr>
        <w:t>Fertilitet</w:t>
      </w:r>
    </w:p>
    <w:p w:rsidR="00140AB5" w:rsidRPr="00627830" w:rsidRDefault="00140AB5" w:rsidP="00140AB5">
      <w:pPr>
        <w:tabs>
          <w:tab w:val="left" w:pos="851"/>
        </w:tabs>
        <w:ind w:left="851"/>
        <w:rPr>
          <w:sz w:val="24"/>
          <w:szCs w:val="24"/>
        </w:rPr>
      </w:pPr>
      <w:r w:rsidRPr="00627830">
        <w:rPr>
          <w:sz w:val="24"/>
          <w:szCs w:val="24"/>
        </w:rPr>
        <w:t xml:space="preserve">Baseret på de tilgængelige data, hæmmes ægløsningen hos de fleste patienter under behandling med </w:t>
      </w:r>
      <w:proofErr w:type="spellStart"/>
      <w:r w:rsidRPr="00627830">
        <w:rPr>
          <w:sz w:val="24"/>
          <w:szCs w:val="24"/>
        </w:rPr>
        <w:t>Zafrilla</w:t>
      </w:r>
      <w:proofErr w:type="spellEnd"/>
      <w:r w:rsidRPr="00627830">
        <w:rPr>
          <w:sz w:val="24"/>
          <w:szCs w:val="24"/>
        </w:rPr>
        <w:t xml:space="preserve">. </w:t>
      </w:r>
      <w:proofErr w:type="spellStart"/>
      <w:r w:rsidRPr="00627830">
        <w:rPr>
          <w:sz w:val="24"/>
          <w:szCs w:val="24"/>
        </w:rPr>
        <w:t>Zafrilla</w:t>
      </w:r>
      <w:proofErr w:type="spellEnd"/>
      <w:r w:rsidRPr="00627830">
        <w:rPr>
          <w:sz w:val="24"/>
          <w:szCs w:val="24"/>
        </w:rPr>
        <w:t xml:space="preserve"> er dog ikke et præventionsmiddel.</w:t>
      </w:r>
    </w:p>
    <w:p w:rsidR="00140AB5" w:rsidRPr="00627830" w:rsidRDefault="00140AB5" w:rsidP="00140AB5">
      <w:pPr>
        <w:tabs>
          <w:tab w:val="left" w:pos="851"/>
        </w:tabs>
        <w:ind w:left="851"/>
        <w:rPr>
          <w:sz w:val="24"/>
          <w:szCs w:val="24"/>
        </w:rPr>
      </w:pPr>
    </w:p>
    <w:p w:rsidR="00140AB5" w:rsidRPr="00627830" w:rsidRDefault="00140AB5" w:rsidP="00140AB5">
      <w:pPr>
        <w:tabs>
          <w:tab w:val="left" w:pos="851"/>
        </w:tabs>
        <w:ind w:left="851"/>
        <w:rPr>
          <w:sz w:val="24"/>
          <w:szCs w:val="24"/>
        </w:rPr>
      </w:pPr>
      <w:r w:rsidRPr="00627830">
        <w:rPr>
          <w:sz w:val="24"/>
          <w:szCs w:val="24"/>
        </w:rPr>
        <w:t xml:space="preserve">Hvis prævention er påkrævet, </w:t>
      </w:r>
      <w:r>
        <w:rPr>
          <w:sz w:val="24"/>
          <w:szCs w:val="24"/>
        </w:rPr>
        <w:t>skal</w:t>
      </w:r>
      <w:r w:rsidRPr="00627830">
        <w:rPr>
          <w:sz w:val="24"/>
          <w:szCs w:val="24"/>
        </w:rPr>
        <w:t xml:space="preserve"> en ikke-hormonel præventionsform anvendes (se pkt. 4.2).</w:t>
      </w:r>
    </w:p>
    <w:p w:rsidR="00140AB5" w:rsidRPr="00627830" w:rsidRDefault="00140AB5" w:rsidP="00140AB5">
      <w:pPr>
        <w:tabs>
          <w:tab w:val="left" w:pos="851"/>
        </w:tabs>
        <w:ind w:left="851"/>
        <w:rPr>
          <w:sz w:val="24"/>
          <w:szCs w:val="24"/>
        </w:rPr>
      </w:pPr>
    </w:p>
    <w:p w:rsidR="00140AB5" w:rsidRPr="00627830" w:rsidRDefault="00140AB5" w:rsidP="00140AB5">
      <w:pPr>
        <w:tabs>
          <w:tab w:val="left" w:pos="851"/>
        </w:tabs>
        <w:ind w:left="851"/>
        <w:rPr>
          <w:sz w:val="24"/>
          <w:szCs w:val="24"/>
        </w:rPr>
      </w:pPr>
      <w:r>
        <w:rPr>
          <w:sz w:val="24"/>
          <w:szCs w:val="24"/>
        </w:rPr>
        <w:t>Baseret på de tilgængelige data</w:t>
      </w:r>
      <w:r w:rsidRPr="00627830">
        <w:rPr>
          <w:sz w:val="24"/>
          <w:szCs w:val="24"/>
        </w:rPr>
        <w:t xml:space="preserve"> vender menstruationscyklussen tilbage til normalen inden</w:t>
      </w:r>
      <w:r>
        <w:rPr>
          <w:sz w:val="24"/>
          <w:szCs w:val="24"/>
        </w:rPr>
        <w:t xml:space="preserve"> </w:t>
      </w:r>
      <w:r w:rsidRPr="00627830">
        <w:rPr>
          <w:sz w:val="24"/>
          <w:szCs w:val="24"/>
        </w:rPr>
        <w:t>for 2 måneder efter, at behandlinge</w:t>
      </w:r>
      <w:r>
        <w:rPr>
          <w:sz w:val="24"/>
          <w:szCs w:val="24"/>
        </w:rPr>
        <w:t xml:space="preserve">n med </w:t>
      </w:r>
      <w:proofErr w:type="spellStart"/>
      <w:r w:rsidR="00EC7A3A">
        <w:rPr>
          <w:sz w:val="24"/>
          <w:szCs w:val="24"/>
        </w:rPr>
        <w:t>Zafrilla</w:t>
      </w:r>
      <w:proofErr w:type="spellEnd"/>
      <w:r>
        <w:rPr>
          <w:sz w:val="24"/>
          <w:szCs w:val="24"/>
        </w:rPr>
        <w:t xml:space="preserve"> er o</w:t>
      </w:r>
      <w:r w:rsidRPr="00627830">
        <w:rPr>
          <w:sz w:val="24"/>
          <w:szCs w:val="24"/>
        </w:rPr>
        <w:t>phør</w:t>
      </w:r>
      <w:r>
        <w:rPr>
          <w:sz w:val="24"/>
          <w:szCs w:val="24"/>
        </w:rPr>
        <w:t>t</w:t>
      </w:r>
      <w:r w:rsidRPr="00627830">
        <w:rPr>
          <w:sz w:val="24"/>
          <w:szCs w:val="24"/>
        </w:rPr>
        <w:t>.</w:t>
      </w:r>
    </w:p>
    <w:p w:rsidR="00140AB5" w:rsidRPr="00627830" w:rsidRDefault="00140AB5" w:rsidP="00140AB5">
      <w:pPr>
        <w:tabs>
          <w:tab w:val="left" w:pos="851"/>
        </w:tabs>
        <w:ind w:left="851"/>
        <w:rPr>
          <w:bCs/>
          <w:sz w:val="24"/>
          <w:szCs w:val="24"/>
        </w:rPr>
      </w:pPr>
    </w:p>
    <w:p w:rsidR="00E255FD" w:rsidRPr="00C84483" w:rsidRDefault="00E255FD" w:rsidP="00E255FD">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140AB5" w:rsidRDefault="00140AB5" w:rsidP="00140AB5">
      <w:pPr>
        <w:tabs>
          <w:tab w:val="left" w:pos="851"/>
        </w:tabs>
        <w:ind w:left="851"/>
        <w:rPr>
          <w:sz w:val="24"/>
          <w:szCs w:val="24"/>
        </w:rPr>
      </w:pPr>
      <w:r>
        <w:rPr>
          <w:sz w:val="24"/>
          <w:szCs w:val="24"/>
        </w:rPr>
        <w:t>Ikke mærkning.</w:t>
      </w:r>
    </w:p>
    <w:p w:rsidR="00140AB5" w:rsidRPr="00627830" w:rsidRDefault="00140AB5" w:rsidP="00140AB5">
      <w:pPr>
        <w:tabs>
          <w:tab w:val="left" w:pos="851"/>
        </w:tabs>
        <w:ind w:left="851"/>
        <w:rPr>
          <w:sz w:val="24"/>
          <w:szCs w:val="24"/>
        </w:rPr>
      </w:pPr>
      <w:r w:rsidRPr="00D2144F">
        <w:rPr>
          <w:sz w:val="24"/>
          <w:szCs w:val="24"/>
        </w:rPr>
        <w:t>Der er ikke blevet observeret nogen virkning på evnen til at føre motorkøretøj eller</w:t>
      </w:r>
      <w:r w:rsidRPr="00627830">
        <w:rPr>
          <w:sz w:val="24"/>
          <w:szCs w:val="24"/>
        </w:rPr>
        <w:t xml:space="preserve"> betjene maskiner hos brugere af produkter, der indeholder </w:t>
      </w:r>
      <w:proofErr w:type="spellStart"/>
      <w:r w:rsidRPr="00627830">
        <w:rPr>
          <w:sz w:val="24"/>
          <w:szCs w:val="24"/>
        </w:rPr>
        <w:t>dienogest</w:t>
      </w:r>
      <w:proofErr w:type="spellEnd"/>
      <w:r w:rsidRPr="00627830">
        <w:rPr>
          <w:sz w:val="24"/>
          <w:szCs w:val="24"/>
        </w:rPr>
        <w:t>.</w:t>
      </w:r>
    </w:p>
    <w:p w:rsidR="00140AB5" w:rsidRPr="00C84483" w:rsidRDefault="00140AB5" w:rsidP="00140AB5">
      <w:pPr>
        <w:tabs>
          <w:tab w:val="left" w:pos="851"/>
        </w:tabs>
        <w:ind w:left="851"/>
        <w:rPr>
          <w:sz w:val="24"/>
          <w:szCs w:val="24"/>
        </w:rPr>
      </w:pPr>
    </w:p>
    <w:p w:rsidR="00140AB5" w:rsidRPr="00C84483" w:rsidRDefault="00140AB5" w:rsidP="00140AB5">
      <w:pPr>
        <w:tabs>
          <w:tab w:val="left" w:pos="851"/>
        </w:tabs>
        <w:ind w:left="851" w:hanging="851"/>
        <w:rPr>
          <w:b/>
          <w:sz w:val="24"/>
          <w:szCs w:val="24"/>
        </w:rPr>
      </w:pPr>
      <w:r w:rsidRPr="00C84483">
        <w:rPr>
          <w:b/>
          <w:sz w:val="24"/>
          <w:szCs w:val="24"/>
        </w:rPr>
        <w:t>4.8</w:t>
      </w:r>
      <w:r w:rsidRPr="00C84483">
        <w:rPr>
          <w:b/>
          <w:sz w:val="24"/>
          <w:szCs w:val="24"/>
        </w:rPr>
        <w:tab/>
        <w:t>Bivirkninger</w:t>
      </w:r>
    </w:p>
    <w:p w:rsidR="00140AB5" w:rsidRPr="00723B8B" w:rsidRDefault="00140AB5" w:rsidP="00140AB5">
      <w:pPr>
        <w:pStyle w:val="Sidehoved"/>
        <w:tabs>
          <w:tab w:val="left" w:pos="851"/>
        </w:tabs>
        <w:ind w:left="851"/>
        <w:rPr>
          <w:szCs w:val="24"/>
        </w:rPr>
      </w:pPr>
      <w:r w:rsidRPr="00723B8B">
        <w:rPr>
          <w:szCs w:val="24"/>
        </w:rPr>
        <w:t xml:space="preserve">Præsentationen af bivirkninger er baseret på </w:t>
      </w:r>
      <w:proofErr w:type="spellStart"/>
      <w:r w:rsidRPr="00723B8B">
        <w:rPr>
          <w:szCs w:val="24"/>
        </w:rPr>
        <w:t>MedDRA</w:t>
      </w:r>
      <w:proofErr w:type="spellEnd"/>
      <w:r w:rsidRPr="00723B8B">
        <w:rPr>
          <w:szCs w:val="24"/>
        </w:rPr>
        <w:t>.</w:t>
      </w:r>
    </w:p>
    <w:p w:rsidR="00140AB5" w:rsidRPr="00723B8B" w:rsidRDefault="00140AB5" w:rsidP="00140AB5">
      <w:pPr>
        <w:pStyle w:val="Sidehoved"/>
        <w:tabs>
          <w:tab w:val="left" w:pos="851"/>
        </w:tabs>
        <w:ind w:left="851"/>
        <w:rPr>
          <w:szCs w:val="24"/>
        </w:rPr>
      </w:pPr>
      <w:r>
        <w:rPr>
          <w:szCs w:val="24"/>
        </w:rPr>
        <w:t>Den</w:t>
      </w:r>
      <w:r w:rsidRPr="00723B8B">
        <w:rPr>
          <w:szCs w:val="24"/>
        </w:rPr>
        <w:t xml:space="preserve"> mest </w:t>
      </w:r>
      <w:r>
        <w:rPr>
          <w:szCs w:val="24"/>
        </w:rPr>
        <w:t>relevante</w:t>
      </w:r>
      <w:r w:rsidRPr="00723B8B">
        <w:rPr>
          <w:szCs w:val="24"/>
        </w:rPr>
        <w:t xml:space="preserve"> </w:t>
      </w:r>
      <w:proofErr w:type="spellStart"/>
      <w:r w:rsidRPr="00723B8B">
        <w:rPr>
          <w:szCs w:val="24"/>
        </w:rPr>
        <w:t>MedDRA</w:t>
      </w:r>
      <w:proofErr w:type="spellEnd"/>
      <w:r w:rsidRPr="00723B8B">
        <w:rPr>
          <w:szCs w:val="24"/>
        </w:rPr>
        <w:t>-</w:t>
      </w:r>
      <w:r>
        <w:rPr>
          <w:szCs w:val="24"/>
        </w:rPr>
        <w:t>betegnelse er anvendt</w:t>
      </w:r>
      <w:r w:rsidRPr="00723B8B">
        <w:rPr>
          <w:szCs w:val="24"/>
        </w:rPr>
        <w:t xml:space="preserve"> til at beskrive en bestemt reaktion og de</w:t>
      </w:r>
      <w:r>
        <w:rPr>
          <w:szCs w:val="24"/>
        </w:rPr>
        <w:t>n</w:t>
      </w:r>
      <w:r w:rsidRPr="00723B8B">
        <w:rPr>
          <w:szCs w:val="24"/>
        </w:rPr>
        <w:t>s synonymer samt relaterede tilstande.</w:t>
      </w:r>
    </w:p>
    <w:p w:rsidR="00140AB5" w:rsidRPr="00723B8B" w:rsidRDefault="00140AB5" w:rsidP="00140AB5">
      <w:pPr>
        <w:pStyle w:val="Sidehoved"/>
        <w:tabs>
          <w:tab w:val="left" w:pos="851"/>
        </w:tabs>
        <w:ind w:left="851"/>
        <w:rPr>
          <w:szCs w:val="24"/>
        </w:rPr>
      </w:pPr>
    </w:p>
    <w:p w:rsidR="00140AB5" w:rsidRPr="00723B8B" w:rsidRDefault="00140AB5" w:rsidP="00140AB5">
      <w:pPr>
        <w:pStyle w:val="Sidehoved"/>
        <w:tabs>
          <w:tab w:val="left" w:pos="851"/>
        </w:tabs>
        <w:ind w:left="851"/>
        <w:rPr>
          <w:szCs w:val="24"/>
        </w:rPr>
      </w:pPr>
      <w:r w:rsidRPr="00723B8B">
        <w:rPr>
          <w:szCs w:val="24"/>
        </w:rPr>
        <w:t xml:space="preserve">Bivirkninger forekommer </w:t>
      </w:r>
      <w:r>
        <w:rPr>
          <w:szCs w:val="24"/>
        </w:rPr>
        <w:t>mere almindeligt inden for</w:t>
      </w:r>
      <w:r w:rsidRPr="00723B8B">
        <w:rPr>
          <w:szCs w:val="24"/>
        </w:rPr>
        <w:t xml:space="preserve"> de første måneders brug af </w:t>
      </w:r>
      <w:proofErr w:type="spellStart"/>
      <w:r w:rsidRPr="00723B8B">
        <w:rPr>
          <w:szCs w:val="24"/>
        </w:rPr>
        <w:t>dienogest</w:t>
      </w:r>
      <w:proofErr w:type="spellEnd"/>
      <w:r w:rsidRPr="00723B8B">
        <w:rPr>
          <w:szCs w:val="24"/>
        </w:rPr>
        <w:t xml:space="preserve"> 2 mg-tabletter og </w:t>
      </w:r>
      <w:r>
        <w:rPr>
          <w:szCs w:val="24"/>
        </w:rPr>
        <w:t>aftager</w:t>
      </w:r>
      <w:r w:rsidRPr="00723B8B">
        <w:rPr>
          <w:szCs w:val="24"/>
        </w:rPr>
        <w:t xml:space="preserve"> normalt ved fortsat brug. Der kan også forekomme</w:t>
      </w:r>
      <w:r>
        <w:rPr>
          <w:szCs w:val="24"/>
        </w:rPr>
        <w:t xml:space="preserve"> forandringer i blødningsmønstret</w:t>
      </w:r>
      <w:r w:rsidRPr="00723B8B">
        <w:rPr>
          <w:szCs w:val="24"/>
        </w:rPr>
        <w:t xml:space="preserve">, såsom pletblødning, uregelmæssig blødning, eller at menstruationerne helt udebliver. Følgende bivirkninger er blevet indberettet hos brugere af </w:t>
      </w:r>
      <w:proofErr w:type="spellStart"/>
      <w:r w:rsidRPr="00723B8B">
        <w:rPr>
          <w:szCs w:val="24"/>
        </w:rPr>
        <w:t>dienogest</w:t>
      </w:r>
      <w:proofErr w:type="spellEnd"/>
      <w:r w:rsidRPr="00723B8B">
        <w:rPr>
          <w:szCs w:val="24"/>
        </w:rPr>
        <w:t xml:space="preserve"> 2 mg-tabletter. De hyppigst indberettede bivirkninger under behandling med </w:t>
      </w:r>
      <w:proofErr w:type="spellStart"/>
      <w:r w:rsidRPr="00723B8B">
        <w:rPr>
          <w:szCs w:val="24"/>
        </w:rPr>
        <w:t>dienogest</w:t>
      </w:r>
      <w:proofErr w:type="spellEnd"/>
      <w:r w:rsidRPr="00723B8B">
        <w:rPr>
          <w:szCs w:val="24"/>
        </w:rPr>
        <w:t xml:space="preserve"> 2 mg-tabletter er hovedpine (9,0 %), ubehag i brystet (5,4 %), nedtrykt sindstilstand (5,1 %) og akne (5,1 %).</w:t>
      </w:r>
    </w:p>
    <w:p w:rsidR="00140AB5" w:rsidRPr="00723B8B" w:rsidRDefault="00140AB5" w:rsidP="00140AB5">
      <w:pPr>
        <w:pStyle w:val="Sidehoved"/>
        <w:tabs>
          <w:tab w:val="left" w:pos="851"/>
        </w:tabs>
        <w:ind w:left="851"/>
        <w:rPr>
          <w:szCs w:val="24"/>
        </w:rPr>
      </w:pPr>
    </w:p>
    <w:p w:rsidR="00140AB5" w:rsidRPr="00723B8B" w:rsidRDefault="00140AB5" w:rsidP="00140AB5">
      <w:pPr>
        <w:pStyle w:val="Sidehoved"/>
        <w:tabs>
          <w:tab w:val="left" w:pos="851"/>
        </w:tabs>
        <w:ind w:left="851"/>
        <w:rPr>
          <w:szCs w:val="24"/>
        </w:rPr>
      </w:pPr>
      <w:r>
        <w:rPr>
          <w:szCs w:val="24"/>
        </w:rPr>
        <w:t>Desuden</w:t>
      </w:r>
      <w:r w:rsidRPr="00723B8B">
        <w:rPr>
          <w:szCs w:val="24"/>
        </w:rPr>
        <w:t xml:space="preserve"> oplever de fleste patienter, der </w:t>
      </w:r>
      <w:r>
        <w:rPr>
          <w:szCs w:val="24"/>
        </w:rPr>
        <w:t>bliv</w:t>
      </w:r>
      <w:r w:rsidRPr="00723B8B">
        <w:rPr>
          <w:szCs w:val="24"/>
        </w:rPr>
        <w:t xml:space="preserve">er behandlet med </w:t>
      </w:r>
      <w:proofErr w:type="spellStart"/>
      <w:r w:rsidRPr="00723B8B">
        <w:rPr>
          <w:szCs w:val="24"/>
        </w:rPr>
        <w:t>dienogest</w:t>
      </w:r>
      <w:proofErr w:type="spellEnd"/>
      <w:r w:rsidRPr="00723B8B">
        <w:rPr>
          <w:szCs w:val="24"/>
        </w:rPr>
        <w:t xml:space="preserve"> 2 mg-tabletter, forandringer i det </w:t>
      </w:r>
      <w:proofErr w:type="spellStart"/>
      <w:r w:rsidRPr="00723B8B">
        <w:rPr>
          <w:szCs w:val="24"/>
        </w:rPr>
        <w:t>menstruelle</w:t>
      </w:r>
      <w:proofErr w:type="spellEnd"/>
      <w:r w:rsidRPr="00723B8B">
        <w:rPr>
          <w:szCs w:val="24"/>
        </w:rPr>
        <w:t xml:space="preserve"> blødningsmønster. </w:t>
      </w:r>
      <w:proofErr w:type="spellStart"/>
      <w:r w:rsidRPr="00723B8B">
        <w:rPr>
          <w:szCs w:val="24"/>
        </w:rPr>
        <w:t>Menstruelle</w:t>
      </w:r>
      <w:proofErr w:type="spellEnd"/>
      <w:r w:rsidRPr="00723B8B">
        <w:rPr>
          <w:szCs w:val="24"/>
        </w:rPr>
        <w:t xml:space="preserve"> blødningsmønstre blev vurderet systematisk ved hjælp af patientdagbøger og blev analyseret ved hjælp af WHO</w:t>
      </w:r>
      <w:r>
        <w:rPr>
          <w:szCs w:val="24"/>
        </w:rPr>
        <w:t xml:space="preserve">'s </w:t>
      </w:r>
      <w:r w:rsidRPr="00723B8B">
        <w:rPr>
          <w:szCs w:val="24"/>
        </w:rPr>
        <w:t xml:space="preserve"> 90-dages reference</w:t>
      </w:r>
      <w:r>
        <w:rPr>
          <w:szCs w:val="24"/>
        </w:rPr>
        <w:t>metode</w:t>
      </w:r>
      <w:r w:rsidRPr="00723B8B">
        <w:rPr>
          <w:szCs w:val="24"/>
        </w:rPr>
        <w:t xml:space="preserve">. I løbet af de første 90 dages behandling med </w:t>
      </w:r>
      <w:proofErr w:type="spellStart"/>
      <w:r w:rsidRPr="00723B8B">
        <w:rPr>
          <w:szCs w:val="24"/>
        </w:rPr>
        <w:t>dienogest</w:t>
      </w:r>
      <w:proofErr w:type="spellEnd"/>
      <w:r w:rsidRPr="00723B8B">
        <w:rPr>
          <w:szCs w:val="24"/>
        </w:rPr>
        <w:t xml:space="preserve"> 2 mg-tabletter blev følgende blødningsmønstre observeret (n=290; 100 %): udeblivelse (1,7 %), sjældent (27,2 %), hyppigt (13,4 %), uregelmæssig (35,2 %), længerevarende (38,3 %), </w:t>
      </w:r>
      <w:r w:rsidRPr="00723B8B">
        <w:rPr>
          <w:szCs w:val="24"/>
        </w:rPr>
        <w:lastRenderedPageBreak/>
        <w:t xml:space="preserve">normal, altså ingen af de tidligere kategorier (19,7 %). I løbet af den fjerde referenceperiode blev følgende blødningsmønstre observeret (n=149; 100 %): udeblivelse (28,2 %), sjældent (24,2 %), hyppigt (2,7 %), uregelmæssig (21,5 %), længerevarende (4,0 %), normal, altså ingen af de tidligere kategorier (22,8 %). Patienterne indberettede kun lejlighedsvis forandringer i </w:t>
      </w:r>
      <w:proofErr w:type="spellStart"/>
      <w:r w:rsidRPr="00723B8B">
        <w:rPr>
          <w:szCs w:val="24"/>
        </w:rPr>
        <w:t>menstruelle</w:t>
      </w:r>
      <w:proofErr w:type="spellEnd"/>
      <w:r w:rsidRPr="00723B8B">
        <w:rPr>
          <w:szCs w:val="24"/>
        </w:rPr>
        <w:t xml:space="preserve"> blødningsmønstre som </w:t>
      </w:r>
      <w:r>
        <w:rPr>
          <w:szCs w:val="24"/>
        </w:rPr>
        <w:t>en bivirkning</w:t>
      </w:r>
      <w:r w:rsidRPr="00723B8B">
        <w:rPr>
          <w:szCs w:val="24"/>
        </w:rPr>
        <w:t xml:space="preserve"> (se tabellen over uventede begivenheder).</w:t>
      </w:r>
    </w:p>
    <w:p w:rsidR="00140AB5" w:rsidRPr="00723B8B" w:rsidRDefault="00140AB5" w:rsidP="00140AB5">
      <w:pPr>
        <w:pStyle w:val="Sidehoved"/>
        <w:tabs>
          <w:tab w:val="left" w:pos="851"/>
        </w:tabs>
        <w:ind w:left="851"/>
        <w:rPr>
          <w:szCs w:val="24"/>
        </w:rPr>
      </w:pPr>
    </w:p>
    <w:p w:rsidR="00140AB5" w:rsidRPr="00723B8B" w:rsidRDefault="00140AB5" w:rsidP="00140AB5">
      <w:pPr>
        <w:pStyle w:val="Sidehoved"/>
        <w:tabs>
          <w:tab w:val="left" w:pos="851"/>
        </w:tabs>
        <w:ind w:left="851"/>
        <w:rPr>
          <w:szCs w:val="24"/>
        </w:rPr>
      </w:pPr>
      <w:r w:rsidRPr="00723B8B">
        <w:rPr>
          <w:szCs w:val="24"/>
        </w:rPr>
        <w:t xml:space="preserve">Hyppighederne af bivirkninger (ADR) af </w:t>
      </w:r>
      <w:proofErr w:type="spellStart"/>
      <w:r w:rsidRPr="00723B8B">
        <w:rPr>
          <w:szCs w:val="24"/>
        </w:rPr>
        <w:t>MedDRA</w:t>
      </w:r>
      <w:proofErr w:type="spellEnd"/>
      <w:r w:rsidRPr="00723B8B">
        <w:rPr>
          <w:szCs w:val="24"/>
        </w:rPr>
        <w:t>-systemorganklasserne (</w:t>
      </w:r>
      <w:proofErr w:type="spellStart"/>
      <w:r w:rsidRPr="00723B8B">
        <w:rPr>
          <w:szCs w:val="24"/>
        </w:rPr>
        <w:t>MedDRA</w:t>
      </w:r>
      <w:proofErr w:type="spellEnd"/>
      <w:r w:rsidRPr="00723B8B">
        <w:rPr>
          <w:szCs w:val="24"/>
        </w:rPr>
        <w:t xml:space="preserve"> </w:t>
      </w:r>
      <w:proofErr w:type="spellStart"/>
      <w:r w:rsidRPr="00723B8B">
        <w:rPr>
          <w:szCs w:val="24"/>
        </w:rPr>
        <w:t>SOK’er</w:t>
      </w:r>
      <w:proofErr w:type="spellEnd"/>
      <w:r w:rsidRPr="00723B8B">
        <w:rPr>
          <w:szCs w:val="24"/>
        </w:rPr>
        <w:t xml:space="preserve">), der blev indberettet med </w:t>
      </w:r>
      <w:proofErr w:type="spellStart"/>
      <w:r w:rsidRPr="00723B8B">
        <w:rPr>
          <w:szCs w:val="24"/>
        </w:rPr>
        <w:t>dienogest</w:t>
      </w:r>
      <w:proofErr w:type="spellEnd"/>
      <w:r w:rsidRPr="00723B8B">
        <w:rPr>
          <w:szCs w:val="24"/>
        </w:rPr>
        <w:t xml:space="preserve"> 2 mg-tabletter, er opsummeret i tabellen nedenfor. Inden</w:t>
      </w:r>
      <w:r>
        <w:rPr>
          <w:szCs w:val="24"/>
        </w:rPr>
        <w:t xml:space="preserve"> </w:t>
      </w:r>
      <w:r w:rsidRPr="00723B8B">
        <w:rPr>
          <w:szCs w:val="24"/>
        </w:rPr>
        <w:t>for hver hyppighedsgruppering er bivirkningerne sorteret efter falden</w:t>
      </w:r>
      <w:r w:rsidR="00EC7A3A">
        <w:rPr>
          <w:szCs w:val="24"/>
        </w:rPr>
        <w:t>d</w:t>
      </w:r>
      <w:r w:rsidRPr="00723B8B">
        <w:rPr>
          <w:szCs w:val="24"/>
        </w:rPr>
        <w:t>e hyppighed. Hyppighederne er defineret som almindelig (≥1/100 til &lt;1/10) og ikke almindelig (≥1/1,000 til &lt;1/100).</w:t>
      </w:r>
    </w:p>
    <w:p w:rsidR="00140AB5" w:rsidRDefault="00140AB5" w:rsidP="00140AB5">
      <w:pPr>
        <w:pStyle w:val="Sidehoved"/>
        <w:tabs>
          <w:tab w:val="left" w:pos="851"/>
        </w:tabs>
        <w:ind w:left="851"/>
        <w:rPr>
          <w:szCs w:val="24"/>
        </w:rPr>
      </w:pPr>
      <w:r w:rsidRPr="00723B8B">
        <w:rPr>
          <w:szCs w:val="24"/>
        </w:rPr>
        <w:t xml:space="preserve">Hyppighederne er baseret på samlede data fra fire kliniske </w:t>
      </w:r>
      <w:r>
        <w:rPr>
          <w:szCs w:val="24"/>
        </w:rPr>
        <w:t>studier med</w:t>
      </w:r>
      <w:r w:rsidRPr="00723B8B">
        <w:rPr>
          <w:szCs w:val="24"/>
        </w:rPr>
        <w:t xml:space="preserve"> 332 patienter (100</w:t>
      </w:r>
      <w:r w:rsidR="001918BC">
        <w:rPr>
          <w:szCs w:val="24"/>
        </w:rPr>
        <w:t> </w:t>
      </w:r>
      <w:r w:rsidRPr="00723B8B">
        <w:rPr>
          <w:szCs w:val="24"/>
        </w:rPr>
        <w:t>%).</w:t>
      </w:r>
    </w:p>
    <w:p w:rsidR="00140AB5" w:rsidRPr="00723B8B" w:rsidRDefault="00140AB5" w:rsidP="00140AB5">
      <w:pPr>
        <w:pStyle w:val="Sidehoved"/>
        <w:tabs>
          <w:tab w:val="left" w:pos="851"/>
        </w:tabs>
        <w:ind w:left="851"/>
        <w:rPr>
          <w:szCs w:val="24"/>
        </w:rPr>
      </w:pPr>
    </w:p>
    <w:p w:rsidR="00140AB5" w:rsidRDefault="00140AB5" w:rsidP="00140AB5">
      <w:pPr>
        <w:pStyle w:val="Sidehoved"/>
        <w:tabs>
          <w:tab w:val="left" w:pos="851"/>
        </w:tabs>
        <w:ind w:left="851"/>
        <w:rPr>
          <w:b/>
          <w:szCs w:val="24"/>
        </w:rPr>
      </w:pPr>
      <w:r>
        <w:rPr>
          <w:b/>
          <w:szCs w:val="24"/>
        </w:rPr>
        <w:t>Tabel 1. Bivirkninger i fase III kliniske studier, N= 332</w:t>
      </w:r>
    </w:p>
    <w:p w:rsidR="00140AB5" w:rsidRPr="0030130D" w:rsidRDefault="00140AB5" w:rsidP="00140AB5">
      <w:pPr>
        <w:pStyle w:val="Sidehoved"/>
        <w:tabs>
          <w:tab w:val="left" w:pos="851"/>
        </w:tabs>
        <w:ind w:left="851"/>
        <w:rPr>
          <w:b/>
          <w:szCs w:val="24"/>
        </w:rPr>
      </w:pPr>
    </w:p>
    <w:tbl>
      <w:tblPr>
        <w:tblStyle w:val="Tabel-Gitter"/>
        <w:tblW w:w="5000" w:type="pct"/>
        <w:tblInd w:w="0" w:type="dxa"/>
        <w:tblLook w:val="04A0" w:firstRow="1" w:lastRow="0" w:firstColumn="1" w:lastColumn="0" w:noHBand="0" w:noVBand="1"/>
      </w:tblPr>
      <w:tblGrid>
        <w:gridCol w:w="3210"/>
        <w:gridCol w:w="3210"/>
        <w:gridCol w:w="3208"/>
      </w:tblGrid>
      <w:tr w:rsidR="00140AB5" w:rsidRPr="006B4CA6" w:rsidTr="006B4CA6">
        <w:trPr>
          <w:tblHeader/>
        </w:trPr>
        <w:tc>
          <w:tcPr>
            <w:tcW w:w="1667" w:type="pct"/>
            <w:tcBorders>
              <w:top w:val="single" w:sz="4" w:space="0" w:color="auto"/>
              <w:left w:val="single" w:sz="4" w:space="0" w:color="auto"/>
              <w:bottom w:val="single" w:sz="4" w:space="0" w:color="auto"/>
              <w:right w:val="single" w:sz="4" w:space="0" w:color="auto"/>
            </w:tcBorders>
          </w:tcPr>
          <w:p w:rsidR="00140AB5" w:rsidRPr="006B4CA6" w:rsidRDefault="00140AB5" w:rsidP="006B4CA6">
            <w:pPr>
              <w:rPr>
                <w:rFonts w:ascii="Times New Roman" w:hAnsi="Times New Roman" w:cs="Times New Roman"/>
                <w:b/>
                <w:sz w:val="24"/>
                <w:szCs w:val="24"/>
                <w:lang w:val="en-GB"/>
              </w:rPr>
            </w:pPr>
            <w:r w:rsidRPr="006B4CA6">
              <w:rPr>
                <w:rFonts w:ascii="Times New Roman" w:hAnsi="Times New Roman" w:cs="Times New Roman"/>
                <w:b/>
                <w:sz w:val="24"/>
                <w:szCs w:val="24"/>
                <w:bdr w:val="none" w:sz="0" w:space="0" w:color="auto" w:frame="1"/>
                <w:lang w:val="da-DK"/>
              </w:rPr>
              <w:t>Systemorganklasse</w:t>
            </w:r>
          </w:p>
          <w:p w:rsidR="00140AB5" w:rsidRPr="006B4CA6" w:rsidRDefault="00140AB5" w:rsidP="006B4CA6">
            <w:pPr>
              <w:rPr>
                <w:rFonts w:ascii="Times New Roman" w:hAnsi="Times New Roman" w:cs="Times New Roman"/>
                <w:b/>
                <w:sz w:val="24"/>
                <w:szCs w:val="24"/>
                <w:lang w:val="en-GB"/>
              </w:rPr>
            </w:pPr>
            <w:r w:rsidRPr="006B4CA6">
              <w:rPr>
                <w:rFonts w:ascii="Times New Roman" w:hAnsi="Times New Roman" w:cs="Times New Roman"/>
                <w:b/>
                <w:sz w:val="24"/>
                <w:szCs w:val="24"/>
                <w:bdr w:val="none" w:sz="0" w:space="0" w:color="auto" w:frame="1"/>
                <w:lang w:val="da-DK"/>
              </w:rPr>
              <w:t>(</w:t>
            </w:r>
            <w:proofErr w:type="spellStart"/>
            <w:r w:rsidRPr="006B4CA6">
              <w:rPr>
                <w:rFonts w:ascii="Times New Roman" w:hAnsi="Times New Roman" w:cs="Times New Roman"/>
                <w:b/>
                <w:sz w:val="24"/>
                <w:szCs w:val="24"/>
                <w:bdr w:val="none" w:sz="0" w:space="0" w:color="auto" w:frame="1"/>
                <w:lang w:val="da-DK"/>
              </w:rPr>
              <w:t>MedDRA</w:t>
            </w:r>
            <w:proofErr w:type="spellEnd"/>
            <w:r w:rsidRPr="006B4CA6">
              <w:rPr>
                <w:rFonts w:ascii="Times New Roman" w:hAnsi="Times New Roman" w:cs="Times New Roman"/>
                <w:b/>
                <w:sz w:val="24"/>
                <w:szCs w:val="24"/>
                <w:bdr w:val="none" w:sz="0" w:space="0" w:color="auto" w:frame="1"/>
                <w:lang w:val="da-DK"/>
              </w:rPr>
              <w:t>)</w:t>
            </w:r>
          </w:p>
          <w:p w:rsidR="00140AB5" w:rsidRPr="006B4CA6" w:rsidRDefault="00140AB5" w:rsidP="006B4CA6">
            <w:pPr>
              <w:rPr>
                <w:rFonts w:ascii="Times New Roman" w:hAnsi="Times New Roman" w:cs="Times New Roman"/>
                <w:b/>
                <w:sz w:val="24"/>
                <w:szCs w:val="24"/>
                <w:lang w:val="en-GB"/>
              </w:rPr>
            </w:pPr>
          </w:p>
        </w:tc>
        <w:tc>
          <w:tcPr>
            <w:tcW w:w="1667" w:type="pct"/>
            <w:tcBorders>
              <w:top w:val="single" w:sz="4" w:space="0" w:color="auto"/>
              <w:left w:val="single" w:sz="4" w:space="0" w:color="auto"/>
              <w:bottom w:val="single" w:sz="4" w:space="0" w:color="auto"/>
              <w:right w:val="single" w:sz="4" w:space="0" w:color="auto"/>
            </w:tcBorders>
          </w:tcPr>
          <w:p w:rsidR="00140AB5" w:rsidRPr="006B4CA6" w:rsidRDefault="00140AB5" w:rsidP="006B4CA6">
            <w:pPr>
              <w:rPr>
                <w:rFonts w:ascii="Times New Roman" w:hAnsi="Times New Roman" w:cs="Times New Roman"/>
                <w:b/>
                <w:sz w:val="24"/>
                <w:szCs w:val="24"/>
                <w:lang w:val="en-GB"/>
              </w:rPr>
            </w:pPr>
            <w:r w:rsidRPr="006B4CA6">
              <w:rPr>
                <w:rFonts w:ascii="Times New Roman" w:hAnsi="Times New Roman" w:cs="Times New Roman"/>
                <w:b/>
                <w:sz w:val="24"/>
                <w:szCs w:val="24"/>
                <w:bdr w:val="none" w:sz="0" w:space="0" w:color="auto" w:frame="1"/>
                <w:lang w:val="da-DK"/>
              </w:rPr>
              <w:t>Almindelig</w:t>
            </w:r>
          </w:p>
          <w:p w:rsidR="00140AB5" w:rsidRPr="006B4CA6" w:rsidRDefault="00140AB5" w:rsidP="006B4CA6">
            <w:pPr>
              <w:rPr>
                <w:rFonts w:ascii="Times New Roman" w:hAnsi="Times New Roman" w:cs="Times New Roman"/>
                <w:b/>
                <w:sz w:val="24"/>
                <w:szCs w:val="24"/>
                <w:lang w:val="en-GB"/>
              </w:rPr>
            </w:pPr>
          </w:p>
        </w:tc>
        <w:tc>
          <w:tcPr>
            <w:tcW w:w="1667" w:type="pct"/>
            <w:tcBorders>
              <w:top w:val="single" w:sz="4" w:space="0" w:color="auto"/>
              <w:left w:val="single" w:sz="4" w:space="0" w:color="auto"/>
              <w:bottom w:val="single" w:sz="4" w:space="0" w:color="auto"/>
              <w:right w:val="single" w:sz="4" w:space="0" w:color="auto"/>
            </w:tcBorders>
            <w:hideMark/>
          </w:tcPr>
          <w:p w:rsidR="00140AB5" w:rsidRPr="006B4CA6" w:rsidRDefault="00140AB5" w:rsidP="006B4CA6">
            <w:pPr>
              <w:rPr>
                <w:rFonts w:ascii="Times New Roman" w:hAnsi="Times New Roman" w:cs="Times New Roman"/>
                <w:b/>
                <w:sz w:val="24"/>
                <w:szCs w:val="24"/>
                <w:lang w:val="en-GB"/>
              </w:rPr>
            </w:pPr>
            <w:r w:rsidRPr="006B4CA6">
              <w:rPr>
                <w:rFonts w:ascii="Times New Roman" w:hAnsi="Times New Roman" w:cs="Times New Roman"/>
                <w:b/>
                <w:sz w:val="24"/>
                <w:szCs w:val="24"/>
                <w:bdr w:val="none" w:sz="0" w:space="0" w:color="auto" w:frame="1"/>
                <w:lang w:val="da-DK"/>
              </w:rPr>
              <w:t>Ikke almindelig</w:t>
            </w:r>
          </w:p>
        </w:tc>
      </w:tr>
      <w:tr w:rsidR="00140AB5" w:rsidRPr="006B4CA6" w:rsidTr="006B4CA6">
        <w:tc>
          <w:tcPr>
            <w:tcW w:w="1667" w:type="pct"/>
            <w:tcBorders>
              <w:top w:val="single" w:sz="4" w:space="0" w:color="auto"/>
              <w:left w:val="single" w:sz="4" w:space="0" w:color="auto"/>
              <w:bottom w:val="single" w:sz="4" w:space="0" w:color="auto"/>
              <w:right w:val="single" w:sz="4" w:space="0" w:color="auto"/>
            </w:tcBorders>
          </w:tcPr>
          <w:p w:rsidR="00140AB5" w:rsidRPr="006B4CA6" w:rsidRDefault="00140AB5" w:rsidP="006B4CA6">
            <w:pPr>
              <w:rPr>
                <w:rFonts w:ascii="Times New Roman" w:hAnsi="Times New Roman" w:cs="Times New Roman"/>
                <w:b/>
                <w:sz w:val="24"/>
                <w:szCs w:val="24"/>
                <w:lang w:val="nl-BE"/>
              </w:rPr>
            </w:pPr>
            <w:r w:rsidRPr="006B4CA6">
              <w:rPr>
                <w:rFonts w:ascii="Times New Roman" w:hAnsi="Times New Roman" w:cs="Times New Roman"/>
                <w:b/>
                <w:sz w:val="24"/>
                <w:szCs w:val="24"/>
                <w:bdr w:val="none" w:sz="0" w:space="0" w:color="auto" w:frame="1"/>
                <w:lang w:val="da-DK"/>
              </w:rPr>
              <w:t>Blod og lymfesystem</w:t>
            </w:r>
          </w:p>
        </w:tc>
        <w:tc>
          <w:tcPr>
            <w:tcW w:w="1667" w:type="pct"/>
            <w:tcBorders>
              <w:top w:val="single" w:sz="4" w:space="0" w:color="auto"/>
              <w:left w:val="single" w:sz="4" w:space="0" w:color="auto"/>
              <w:bottom w:val="single" w:sz="4" w:space="0" w:color="auto"/>
              <w:right w:val="single" w:sz="4" w:space="0" w:color="auto"/>
            </w:tcBorders>
          </w:tcPr>
          <w:p w:rsidR="00140AB5" w:rsidRPr="006B4CA6" w:rsidRDefault="00140AB5" w:rsidP="006B4CA6">
            <w:pPr>
              <w:rPr>
                <w:rFonts w:ascii="Times New Roman" w:hAnsi="Times New Roman" w:cs="Times New Roman"/>
                <w:sz w:val="24"/>
                <w:szCs w:val="24"/>
                <w:lang w:val="nl-BE"/>
              </w:rPr>
            </w:pPr>
          </w:p>
        </w:tc>
        <w:tc>
          <w:tcPr>
            <w:tcW w:w="1667" w:type="pct"/>
            <w:tcBorders>
              <w:top w:val="single" w:sz="4" w:space="0" w:color="auto"/>
              <w:left w:val="single" w:sz="4" w:space="0" w:color="auto"/>
              <w:bottom w:val="single" w:sz="4" w:space="0" w:color="auto"/>
              <w:right w:val="single" w:sz="4" w:space="0" w:color="auto"/>
            </w:tcBorders>
          </w:tcPr>
          <w:p w:rsidR="00140AB5" w:rsidRPr="006B4CA6" w:rsidRDefault="00140AB5" w:rsidP="006B4CA6">
            <w:pPr>
              <w:rPr>
                <w:rFonts w:ascii="Times New Roman" w:hAnsi="Times New Roman" w:cs="Times New Roman"/>
                <w:sz w:val="24"/>
                <w:szCs w:val="24"/>
                <w:lang w:val="en-GB"/>
              </w:rPr>
            </w:pPr>
            <w:r w:rsidRPr="006B4CA6">
              <w:rPr>
                <w:rFonts w:ascii="Times New Roman" w:hAnsi="Times New Roman" w:cs="Times New Roman"/>
                <w:sz w:val="24"/>
                <w:szCs w:val="24"/>
                <w:bdr w:val="none" w:sz="0" w:space="0" w:color="auto" w:frame="1"/>
                <w:lang w:val="da-DK"/>
              </w:rPr>
              <w:t>anæmi</w:t>
            </w:r>
          </w:p>
          <w:p w:rsidR="00140AB5" w:rsidRPr="006B4CA6" w:rsidRDefault="00140AB5" w:rsidP="006B4CA6">
            <w:pPr>
              <w:rPr>
                <w:rFonts w:ascii="Times New Roman" w:hAnsi="Times New Roman" w:cs="Times New Roman"/>
                <w:sz w:val="24"/>
                <w:szCs w:val="24"/>
                <w:lang w:val="en-GB"/>
              </w:rPr>
            </w:pPr>
          </w:p>
        </w:tc>
      </w:tr>
      <w:tr w:rsidR="00140AB5" w:rsidRPr="006B4CA6" w:rsidTr="006B4CA6">
        <w:tc>
          <w:tcPr>
            <w:tcW w:w="1667" w:type="pct"/>
            <w:tcBorders>
              <w:top w:val="single" w:sz="4" w:space="0" w:color="auto"/>
              <w:left w:val="single" w:sz="4" w:space="0" w:color="auto"/>
              <w:bottom w:val="single" w:sz="4" w:space="0" w:color="auto"/>
              <w:right w:val="single" w:sz="4" w:space="0" w:color="auto"/>
            </w:tcBorders>
          </w:tcPr>
          <w:p w:rsidR="00140AB5" w:rsidRPr="006B4CA6" w:rsidRDefault="00140AB5" w:rsidP="006B4CA6">
            <w:pPr>
              <w:rPr>
                <w:rFonts w:ascii="Times New Roman" w:hAnsi="Times New Roman" w:cs="Times New Roman"/>
                <w:b/>
                <w:sz w:val="24"/>
                <w:szCs w:val="24"/>
                <w:lang w:val="en-GB"/>
              </w:rPr>
            </w:pPr>
            <w:r w:rsidRPr="006B4CA6">
              <w:rPr>
                <w:rFonts w:ascii="Times New Roman" w:hAnsi="Times New Roman" w:cs="Times New Roman"/>
                <w:b/>
                <w:sz w:val="24"/>
                <w:szCs w:val="24"/>
                <w:bdr w:val="none" w:sz="0" w:space="0" w:color="auto" w:frame="1"/>
              </w:rPr>
              <w:t>Metabolisme og ernæring</w:t>
            </w:r>
          </w:p>
        </w:tc>
        <w:tc>
          <w:tcPr>
            <w:tcW w:w="1667" w:type="pct"/>
            <w:tcBorders>
              <w:top w:val="single" w:sz="4" w:space="0" w:color="auto"/>
              <w:left w:val="single" w:sz="4" w:space="0" w:color="auto"/>
              <w:bottom w:val="single" w:sz="4" w:space="0" w:color="auto"/>
              <w:right w:val="single" w:sz="4" w:space="0" w:color="auto"/>
            </w:tcBorders>
          </w:tcPr>
          <w:p w:rsidR="00140AB5" w:rsidRPr="006B4CA6" w:rsidRDefault="00140AB5" w:rsidP="006B4CA6">
            <w:pPr>
              <w:rPr>
                <w:rFonts w:ascii="Times New Roman" w:hAnsi="Times New Roman" w:cs="Times New Roman"/>
                <w:sz w:val="24"/>
                <w:szCs w:val="24"/>
                <w:lang w:val="en-GB"/>
              </w:rPr>
            </w:pPr>
            <w:r w:rsidRPr="006B4CA6">
              <w:rPr>
                <w:rFonts w:ascii="Times New Roman" w:hAnsi="Times New Roman" w:cs="Times New Roman"/>
                <w:sz w:val="24"/>
                <w:szCs w:val="24"/>
                <w:bdr w:val="none" w:sz="0" w:space="0" w:color="auto" w:frame="1"/>
                <w:lang w:val="da-DK"/>
              </w:rPr>
              <w:t>vægtstigning</w:t>
            </w:r>
          </w:p>
          <w:p w:rsidR="00140AB5" w:rsidRPr="006B4CA6" w:rsidRDefault="00140AB5" w:rsidP="006B4CA6">
            <w:pPr>
              <w:rPr>
                <w:rFonts w:ascii="Times New Roman" w:hAnsi="Times New Roman" w:cs="Times New Roman"/>
                <w:sz w:val="24"/>
                <w:szCs w:val="24"/>
                <w:lang w:val="en-GB"/>
              </w:rPr>
            </w:pPr>
          </w:p>
        </w:tc>
        <w:tc>
          <w:tcPr>
            <w:tcW w:w="1667" w:type="pct"/>
            <w:tcBorders>
              <w:top w:val="single" w:sz="4" w:space="0" w:color="auto"/>
              <w:left w:val="single" w:sz="4" w:space="0" w:color="auto"/>
              <w:bottom w:val="single" w:sz="4" w:space="0" w:color="auto"/>
              <w:right w:val="single" w:sz="4" w:space="0" w:color="auto"/>
            </w:tcBorders>
          </w:tcPr>
          <w:p w:rsidR="00140AB5" w:rsidRPr="006B4CA6" w:rsidRDefault="00140AB5" w:rsidP="006B4CA6">
            <w:pPr>
              <w:rPr>
                <w:rFonts w:ascii="Times New Roman" w:hAnsi="Times New Roman" w:cs="Times New Roman"/>
                <w:sz w:val="24"/>
                <w:szCs w:val="24"/>
                <w:lang w:val="en-GB"/>
              </w:rPr>
            </w:pPr>
            <w:r w:rsidRPr="006B4CA6">
              <w:rPr>
                <w:rFonts w:ascii="Times New Roman" w:hAnsi="Times New Roman" w:cs="Times New Roman"/>
                <w:sz w:val="24"/>
                <w:szCs w:val="24"/>
                <w:bdr w:val="none" w:sz="0" w:space="0" w:color="auto" w:frame="1"/>
                <w:lang w:val="da-DK"/>
              </w:rPr>
              <w:t>vægttab,</w:t>
            </w:r>
          </w:p>
          <w:p w:rsidR="00140AB5" w:rsidRPr="006B4CA6" w:rsidRDefault="00140AB5" w:rsidP="006B4CA6">
            <w:pPr>
              <w:rPr>
                <w:rFonts w:ascii="Times New Roman" w:hAnsi="Times New Roman" w:cs="Times New Roman"/>
                <w:sz w:val="24"/>
                <w:szCs w:val="24"/>
                <w:lang w:val="en-GB"/>
              </w:rPr>
            </w:pPr>
            <w:r w:rsidRPr="006B4CA6">
              <w:rPr>
                <w:rFonts w:ascii="Times New Roman" w:hAnsi="Times New Roman" w:cs="Times New Roman"/>
                <w:sz w:val="24"/>
                <w:szCs w:val="24"/>
                <w:bdr w:val="none" w:sz="0" w:space="0" w:color="auto" w:frame="1"/>
                <w:lang w:val="da-DK"/>
              </w:rPr>
              <w:t>øget appetit</w:t>
            </w:r>
          </w:p>
          <w:p w:rsidR="00140AB5" w:rsidRPr="006B4CA6" w:rsidRDefault="00140AB5" w:rsidP="006B4CA6">
            <w:pPr>
              <w:rPr>
                <w:rFonts w:ascii="Times New Roman" w:hAnsi="Times New Roman" w:cs="Times New Roman"/>
                <w:sz w:val="24"/>
                <w:szCs w:val="24"/>
                <w:lang w:val="en-GB"/>
              </w:rPr>
            </w:pPr>
          </w:p>
        </w:tc>
      </w:tr>
      <w:tr w:rsidR="00140AB5" w:rsidRPr="006B4CA6" w:rsidTr="006B4CA6">
        <w:tc>
          <w:tcPr>
            <w:tcW w:w="1667" w:type="pct"/>
            <w:tcBorders>
              <w:top w:val="single" w:sz="4" w:space="0" w:color="auto"/>
              <w:left w:val="single" w:sz="4" w:space="0" w:color="auto"/>
              <w:bottom w:val="single" w:sz="4" w:space="0" w:color="auto"/>
              <w:right w:val="single" w:sz="4" w:space="0" w:color="auto"/>
            </w:tcBorders>
          </w:tcPr>
          <w:p w:rsidR="00140AB5" w:rsidRPr="006B4CA6" w:rsidRDefault="00140AB5" w:rsidP="006B4CA6">
            <w:pPr>
              <w:rPr>
                <w:rFonts w:ascii="Times New Roman" w:hAnsi="Times New Roman" w:cs="Times New Roman"/>
                <w:b/>
                <w:sz w:val="24"/>
                <w:szCs w:val="24"/>
                <w:lang w:val="en-GB"/>
              </w:rPr>
            </w:pPr>
            <w:r w:rsidRPr="006B4CA6">
              <w:rPr>
                <w:rFonts w:ascii="Times New Roman" w:hAnsi="Times New Roman" w:cs="Times New Roman"/>
                <w:b/>
                <w:sz w:val="24"/>
                <w:szCs w:val="24"/>
                <w:bdr w:val="none" w:sz="0" w:space="0" w:color="auto" w:frame="1"/>
                <w:lang w:val="da-DK"/>
              </w:rPr>
              <w:t>Psykiske forstyrrelser</w:t>
            </w:r>
          </w:p>
        </w:tc>
        <w:tc>
          <w:tcPr>
            <w:tcW w:w="1667" w:type="pct"/>
            <w:tcBorders>
              <w:top w:val="single" w:sz="4" w:space="0" w:color="auto"/>
              <w:left w:val="single" w:sz="4" w:space="0" w:color="auto"/>
              <w:bottom w:val="single" w:sz="4" w:space="0" w:color="auto"/>
              <w:right w:val="single" w:sz="4" w:space="0" w:color="auto"/>
            </w:tcBorders>
          </w:tcPr>
          <w:p w:rsidR="00140AB5" w:rsidRPr="006B4CA6" w:rsidRDefault="00140AB5" w:rsidP="006B4CA6">
            <w:pPr>
              <w:rPr>
                <w:rFonts w:ascii="Times New Roman" w:hAnsi="Times New Roman" w:cs="Times New Roman"/>
                <w:sz w:val="24"/>
                <w:szCs w:val="24"/>
                <w:lang w:val="da-DK"/>
              </w:rPr>
            </w:pPr>
            <w:r w:rsidRPr="006B4CA6">
              <w:rPr>
                <w:rFonts w:ascii="Times New Roman" w:hAnsi="Times New Roman" w:cs="Times New Roman"/>
                <w:sz w:val="24"/>
                <w:szCs w:val="24"/>
                <w:bdr w:val="none" w:sz="0" w:space="0" w:color="auto" w:frame="1"/>
                <w:lang w:val="da-DK"/>
              </w:rPr>
              <w:t>deprimeret sindstilstand,</w:t>
            </w:r>
          </w:p>
          <w:p w:rsidR="00140AB5" w:rsidRPr="006B4CA6" w:rsidRDefault="00140AB5" w:rsidP="006B4CA6">
            <w:pPr>
              <w:rPr>
                <w:rFonts w:ascii="Times New Roman" w:hAnsi="Times New Roman" w:cs="Times New Roman"/>
                <w:sz w:val="24"/>
                <w:szCs w:val="24"/>
                <w:lang w:val="da-DK"/>
              </w:rPr>
            </w:pPr>
            <w:r w:rsidRPr="006B4CA6">
              <w:rPr>
                <w:rFonts w:ascii="Times New Roman" w:hAnsi="Times New Roman" w:cs="Times New Roman"/>
                <w:sz w:val="24"/>
                <w:szCs w:val="24"/>
                <w:bdr w:val="none" w:sz="0" w:space="0" w:color="auto" w:frame="1"/>
                <w:lang w:val="da-DK"/>
              </w:rPr>
              <w:t>søvnproblemer,</w:t>
            </w:r>
          </w:p>
          <w:p w:rsidR="00140AB5" w:rsidRPr="006B4CA6" w:rsidRDefault="00140AB5" w:rsidP="006B4CA6">
            <w:pPr>
              <w:rPr>
                <w:rFonts w:ascii="Times New Roman" w:hAnsi="Times New Roman" w:cs="Times New Roman"/>
                <w:sz w:val="24"/>
                <w:szCs w:val="24"/>
                <w:lang w:val="da-DK"/>
              </w:rPr>
            </w:pPr>
            <w:r w:rsidRPr="006B4CA6">
              <w:rPr>
                <w:rFonts w:ascii="Times New Roman" w:hAnsi="Times New Roman" w:cs="Times New Roman"/>
                <w:sz w:val="24"/>
                <w:szCs w:val="24"/>
                <w:bdr w:val="none" w:sz="0" w:space="0" w:color="auto" w:frame="1"/>
                <w:lang w:val="da-DK"/>
              </w:rPr>
              <w:t>nervøsitet,</w:t>
            </w:r>
          </w:p>
          <w:p w:rsidR="00140AB5" w:rsidRPr="006B4CA6" w:rsidRDefault="00140AB5" w:rsidP="006B4CA6">
            <w:pPr>
              <w:rPr>
                <w:rFonts w:ascii="Times New Roman" w:hAnsi="Times New Roman" w:cs="Times New Roman"/>
                <w:sz w:val="24"/>
                <w:szCs w:val="24"/>
                <w:lang w:val="da-DK"/>
              </w:rPr>
            </w:pPr>
            <w:r w:rsidRPr="006B4CA6">
              <w:rPr>
                <w:rFonts w:ascii="Times New Roman" w:hAnsi="Times New Roman" w:cs="Times New Roman"/>
                <w:sz w:val="24"/>
                <w:szCs w:val="24"/>
                <w:bdr w:val="none" w:sz="0" w:space="0" w:color="auto" w:frame="1"/>
                <w:lang w:val="da-DK"/>
              </w:rPr>
              <w:t>manglende sexlyst,</w:t>
            </w:r>
          </w:p>
          <w:p w:rsidR="00140AB5" w:rsidRPr="006B4CA6" w:rsidRDefault="00140AB5" w:rsidP="006B4CA6">
            <w:pPr>
              <w:rPr>
                <w:rFonts w:ascii="Times New Roman" w:hAnsi="Times New Roman" w:cs="Times New Roman"/>
                <w:sz w:val="24"/>
                <w:szCs w:val="24"/>
                <w:lang w:val="en-GB"/>
              </w:rPr>
            </w:pPr>
            <w:r w:rsidRPr="006B4CA6">
              <w:rPr>
                <w:rFonts w:ascii="Times New Roman" w:hAnsi="Times New Roman" w:cs="Times New Roman"/>
                <w:sz w:val="24"/>
                <w:szCs w:val="24"/>
                <w:bdr w:val="none" w:sz="0" w:space="0" w:color="auto" w:frame="1"/>
                <w:lang w:val="da-DK"/>
              </w:rPr>
              <w:t>forandret humør</w:t>
            </w:r>
          </w:p>
          <w:p w:rsidR="00140AB5" w:rsidRPr="006B4CA6" w:rsidRDefault="00140AB5" w:rsidP="006B4CA6">
            <w:pPr>
              <w:rPr>
                <w:rFonts w:ascii="Times New Roman" w:hAnsi="Times New Roman" w:cs="Times New Roman"/>
                <w:sz w:val="24"/>
                <w:szCs w:val="24"/>
                <w:lang w:val="en-GB"/>
              </w:rPr>
            </w:pPr>
          </w:p>
        </w:tc>
        <w:tc>
          <w:tcPr>
            <w:tcW w:w="1667" w:type="pct"/>
            <w:tcBorders>
              <w:top w:val="single" w:sz="4" w:space="0" w:color="auto"/>
              <w:left w:val="single" w:sz="4" w:space="0" w:color="auto"/>
              <w:bottom w:val="single" w:sz="4" w:space="0" w:color="auto"/>
              <w:right w:val="single" w:sz="4" w:space="0" w:color="auto"/>
            </w:tcBorders>
          </w:tcPr>
          <w:p w:rsidR="00140AB5" w:rsidRPr="006B4CA6" w:rsidRDefault="00140AB5" w:rsidP="006B4CA6">
            <w:pPr>
              <w:rPr>
                <w:rFonts w:ascii="Times New Roman" w:hAnsi="Times New Roman" w:cs="Times New Roman"/>
                <w:sz w:val="24"/>
                <w:szCs w:val="24"/>
                <w:lang w:val="en-GB"/>
              </w:rPr>
            </w:pPr>
            <w:r w:rsidRPr="006B4CA6">
              <w:rPr>
                <w:rFonts w:ascii="Times New Roman" w:hAnsi="Times New Roman" w:cs="Times New Roman"/>
                <w:sz w:val="24"/>
                <w:szCs w:val="24"/>
                <w:bdr w:val="none" w:sz="0" w:space="0" w:color="auto" w:frame="1"/>
                <w:lang w:val="da-DK"/>
              </w:rPr>
              <w:t>angst,</w:t>
            </w:r>
          </w:p>
          <w:p w:rsidR="00140AB5" w:rsidRPr="006B4CA6" w:rsidRDefault="00140AB5" w:rsidP="006B4CA6">
            <w:pPr>
              <w:rPr>
                <w:rFonts w:ascii="Times New Roman" w:hAnsi="Times New Roman" w:cs="Times New Roman"/>
                <w:sz w:val="24"/>
                <w:szCs w:val="24"/>
                <w:lang w:val="en-GB"/>
              </w:rPr>
            </w:pPr>
            <w:r w:rsidRPr="006B4CA6">
              <w:rPr>
                <w:rFonts w:ascii="Times New Roman" w:hAnsi="Times New Roman" w:cs="Times New Roman"/>
                <w:sz w:val="24"/>
                <w:szCs w:val="24"/>
                <w:bdr w:val="none" w:sz="0" w:space="0" w:color="auto" w:frame="1"/>
                <w:lang w:val="da-DK"/>
              </w:rPr>
              <w:t>depression,</w:t>
            </w:r>
          </w:p>
          <w:p w:rsidR="00140AB5" w:rsidRPr="006B4CA6" w:rsidRDefault="00140AB5" w:rsidP="006B4CA6">
            <w:pPr>
              <w:rPr>
                <w:rFonts w:ascii="Times New Roman" w:hAnsi="Times New Roman" w:cs="Times New Roman"/>
                <w:sz w:val="24"/>
                <w:szCs w:val="24"/>
                <w:lang w:val="en-GB"/>
              </w:rPr>
            </w:pPr>
            <w:r w:rsidRPr="006B4CA6">
              <w:rPr>
                <w:rFonts w:ascii="Times New Roman" w:hAnsi="Times New Roman" w:cs="Times New Roman"/>
                <w:sz w:val="24"/>
                <w:szCs w:val="24"/>
                <w:bdr w:val="none" w:sz="0" w:space="0" w:color="auto" w:frame="1"/>
                <w:lang w:val="da-DK"/>
              </w:rPr>
              <w:t>humørsvingninger</w:t>
            </w:r>
          </w:p>
          <w:p w:rsidR="00140AB5" w:rsidRPr="006B4CA6" w:rsidRDefault="00140AB5" w:rsidP="006B4CA6">
            <w:pPr>
              <w:rPr>
                <w:rFonts w:ascii="Times New Roman" w:hAnsi="Times New Roman" w:cs="Times New Roman"/>
                <w:sz w:val="24"/>
                <w:szCs w:val="24"/>
                <w:lang w:val="en-GB"/>
              </w:rPr>
            </w:pPr>
          </w:p>
        </w:tc>
      </w:tr>
      <w:tr w:rsidR="00140AB5" w:rsidRPr="006B4CA6" w:rsidTr="006B4CA6">
        <w:tc>
          <w:tcPr>
            <w:tcW w:w="1667" w:type="pct"/>
            <w:tcBorders>
              <w:top w:val="single" w:sz="4" w:space="0" w:color="auto"/>
              <w:left w:val="single" w:sz="4" w:space="0" w:color="auto"/>
              <w:bottom w:val="single" w:sz="4" w:space="0" w:color="auto"/>
              <w:right w:val="single" w:sz="4" w:space="0" w:color="auto"/>
            </w:tcBorders>
          </w:tcPr>
          <w:p w:rsidR="00140AB5" w:rsidRPr="006B4CA6" w:rsidRDefault="00140AB5" w:rsidP="006B4CA6">
            <w:pPr>
              <w:rPr>
                <w:rFonts w:ascii="Times New Roman" w:hAnsi="Times New Roman" w:cs="Times New Roman"/>
                <w:b/>
                <w:sz w:val="24"/>
                <w:szCs w:val="24"/>
                <w:lang w:val="en-GB"/>
              </w:rPr>
            </w:pPr>
            <w:r w:rsidRPr="006B4CA6">
              <w:rPr>
                <w:rFonts w:ascii="Times New Roman" w:hAnsi="Times New Roman" w:cs="Times New Roman"/>
                <w:b/>
                <w:sz w:val="24"/>
                <w:szCs w:val="24"/>
                <w:bdr w:val="none" w:sz="0" w:space="0" w:color="auto" w:frame="1"/>
                <w:lang w:val="da-DK"/>
              </w:rPr>
              <w:t>Nervesystemet</w:t>
            </w:r>
          </w:p>
        </w:tc>
        <w:tc>
          <w:tcPr>
            <w:tcW w:w="1667" w:type="pct"/>
            <w:tcBorders>
              <w:top w:val="single" w:sz="4" w:space="0" w:color="auto"/>
              <w:left w:val="single" w:sz="4" w:space="0" w:color="auto"/>
              <w:bottom w:val="single" w:sz="4" w:space="0" w:color="auto"/>
              <w:right w:val="single" w:sz="4" w:space="0" w:color="auto"/>
            </w:tcBorders>
          </w:tcPr>
          <w:p w:rsidR="00140AB5" w:rsidRPr="006B4CA6" w:rsidRDefault="00140AB5" w:rsidP="006B4CA6">
            <w:pPr>
              <w:rPr>
                <w:rFonts w:ascii="Times New Roman" w:hAnsi="Times New Roman" w:cs="Times New Roman"/>
                <w:sz w:val="24"/>
                <w:szCs w:val="24"/>
                <w:lang w:val="en-GB"/>
              </w:rPr>
            </w:pPr>
            <w:r w:rsidRPr="006B4CA6">
              <w:rPr>
                <w:rFonts w:ascii="Times New Roman" w:hAnsi="Times New Roman" w:cs="Times New Roman"/>
                <w:sz w:val="24"/>
                <w:szCs w:val="24"/>
                <w:bdr w:val="none" w:sz="0" w:space="0" w:color="auto" w:frame="1"/>
                <w:lang w:val="da-DK"/>
              </w:rPr>
              <w:t>hovedpine,</w:t>
            </w:r>
          </w:p>
          <w:p w:rsidR="00140AB5" w:rsidRPr="006B4CA6" w:rsidRDefault="00140AB5" w:rsidP="006B4CA6">
            <w:pPr>
              <w:rPr>
                <w:rFonts w:ascii="Times New Roman" w:hAnsi="Times New Roman" w:cs="Times New Roman"/>
                <w:sz w:val="24"/>
                <w:szCs w:val="24"/>
                <w:lang w:val="en-GB"/>
              </w:rPr>
            </w:pPr>
            <w:r w:rsidRPr="006B4CA6">
              <w:rPr>
                <w:rFonts w:ascii="Times New Roman" w:hAnsi="Times New Roman" w:cs="Times New Roman"/>
                <w:sz w:val="24"/>
                <w:szCs w:val="24"/>
                <w:bdr w:val="none" w:sz="0" w:space="0" w:color="auto" w:frame="1"/>
                <w:lang w:val="da-DK"/>
              </w:rPr>
              <w:t>migræne</w:t>
            </w:r>
          </w:p>
          <w:p w:rsidR="00140AB5" w:rsidRPr="006B4CA6" w:rsidRDefault="00140AB5" w:rsidP="006B4CA6">
            <w:pPr>
              <w:rPr>
                <w:rFonts w:ascii="Times New Roman" w:hAnsi="Times New Roman" w:cs="Times New Roman"/>
                <w:sz w:val="24"/>
                <w:szCs w:val="24"/>
                <w:lang w:val="en-GB"/>
              </w:rPr>
            </w:pPr>
          </w:p>
        </w:tc>
        <w:tc>
          <w:tcPr>
            <w:tcW w:w="1667" w:type="pct"/>
            <w:tcBorders>
              <w:top w:val="single" w:sz="4" w:space="0" w:color="auto"/>
              <w:left w:val="single" w:sz="4" w:space="0" w:color="auto"/>
              <w:bottom w:val="single" w:sz="4" w:space="0" w:color="auto"/>
              <w:right w:val="single" w:sz="4" w:space="0" w:color="auto"/>
            </w:tcBorders>
          </w:tcPr>
          <w:p w:rsidR="00140AB5" w:rsidRPr="006B4CA6" w:rsidRDefault="00140AB5" w:rsidP="006B4CA6">
            <w:pPr>
              <w:rPr>
                <w:rFonts w:ascii="Times New Roman" w:hAnsi="Times New Roman" w:cs="Times New Roman"/>
                <w:sz w:val="24"/>
                <w:szCs w:val="24"/>
                <w:lang w:val="da-DK"/>
              </w:rPr>
            </w:pPr>
            <w:r w:rsidRPr="006B4CA6">
              <w:rPr>
                <w:rFonts w:ascii="Times New Roman" w:hAnsi="Times New Roman" w:cs="Times New Roman"/>
                <w:sz w:val="24"/>
                <w:szCs w:val="24"/>
                <w:bdr w:val="none" w:sz="0" w:space="0" w:color="auto" w:frame="1"/>
                <w:lang w:val="da-DK"/>
              </w:rPr>
              <w:t>ubalance i det autonome nervesystem,</w:t>
            </w:r>
          </w:p>
          <w:p w:rsidR="00140AB5" w:rsidRPr="006B4CA6" w:rsidRDefault="00140AB5" w:rsidP="006B4CA6">
            <w:pPr>
              <w:rPr>
                <w:rFonts w:ascii="Times New Roman" w:hAnsi="Times New Roman" w:cs="Times New Roman"/>
                <w:sz w:val="24"/>
                <w:szCs w:val="24"/>
                <w:lang w:val="da-DK"/>
              </w:rPr>
            </w:pPr>
            <w:r w:rsidRPr="006B4CA6">
              <w:rPr>
                <w:rFonts w:ascii="Times New Roman" w:hAnsi="Times New Roman" w:cs="Times New Roman"/>
                <w:sz w:val="24"/>
                <w:szCs w:val="24"/>
                <w:bdr w:val="none" w:sz="0" w:space="0" w:color="auto" w:frame="1"/>
                <w:lang w:val="da-DK"/>
              </w:rPr>
              <w:t>opmærksomhedsforstyrrelser</w:t>
            </w:r>
          </w:p>
          <w:p w:rsidR="00140AB5" w:rsidRPr="006B4CA6" w:rsidRDefault="00140AB5" w:rsidP="006B4CA6">
            <w:pPr>
              <w:rPr>
                <w:rFonts w:ascii="Times New Roman" w:hAnsi="Times New Roman" w:cs="Times New Roman"/>
                <w:sz w:val="24"/>
                <w:szCs w:val="24"/>
                <w:lang w:val="da-DK"/>
              </w:rPr>
            </w:pPr>
          </w:p>
        </w:tc>
      </w:tr>
      <w:tr w:rsidR="00140AB5" w:rsidRPr="006B4CA6" w:rsidTr="006B4CA6">
        <w:tc>
          <w:tcPr>
            <w:tcW w:w="1667" w:type="pct"/>
            <w:tcBorders>
              <w:top w:val="single" w:sz="4" w:space="0" w:color="auto"/>
              <w:left w:val="single" w:sz="4" w:space="0" w:color="auto"/>
              <w:bottom w:val="single" w:sz="4" w:space="0" w:color="auto"/>
              <w:right w:val="single" w:sz="4" w:space="0" w:color="auto"/>
            </w:tcBorders>
          </w:tcPr>
          <w:p w:rsidR="00140AB5" w:rsidRPr="006B4CA6" w:rsidRDefault="00140AB5" w:rsidP="006B4CA6">
            <w:pPr>
              <w:rPr>
                <w:rFonts w:ascii="Times New Roman" w:hAnsi="Times New Roman" w:cs="Times New Roman"/>
                <w:b/>
                <w:sz w:val="24"/>
                <w:szCs w:val="24"/>
                <w:lang w:val="en-GB"/>
              </w:rPr>
            </w:pPr>
            <w:r w:rsidRPr="006B4CA6">
              <w:rPr>
                <w:rFonts w:ascii="Times New Roman" w:hAnsi="Times New Roman" w:cs="Times New Roman"/>
                <w:b/>
                <w:sz w:val="24"/>
                <w:szCs w:val="24"/>
                <w:bdr w:val="none" w:sz="0" w:space="0" w:color="auto" w:frame="1"/>
                <w:lang w:val="da-DK"/>
              </w:rPr>
              <w:t>Øjne</w:t>
            </w:r>
          </w:p>
        </w:tc>
        <w:tc>
          <w:tcPr>
            <w:tcW w:w="1667" w:type="pct"/>
            <w:tcBorders>
              <w:top w:val="single" w:sz="4" w:space="0" w:color="auto"/>
              <w:left w:val="single" w:sz="4" w:space="0" w:color="auto"/>
              <w:bottom w:val="single" w:sz="4" w:space="0" w:color="auto"/>
              <w:right w:val="single" w:sz="4" w:space="0" w:color="auto"/>
            </w:tcBorders>
          </w:tcPr>
          <w:p w:rsidR="00140AB5" w:rsidRPr="006B4CA6" w:rsidRDefault="00140AB5" w:rsidP="006B4CA6">
            <w:pPr>
              <w:rPr>
                <w:rFonts w:ascii="Times New Roman" w:hAnsi="Times New Roman" w:cs="Times New Roman"/>
                <w:sz w:val="24"/>
                <w:szCs w:val="24"/>
                <w:lang w:val="en-GB"/>
              </w:rPr>
            </w:pPr>
          </w:p>
        </w:tc>
        <w:tc>
          <w:tcPr>
            <w:tcW w:w="1667" w:type="pct"/>
            <w:tcBorders>
              <w:top w:val="single" w:sz="4" w:space="0" w:color="auto"/>
              <w:left w:val="single" w:sz="4" w:space="0" w:color="auto"/>
              <w:bottom w:val="single" w:sz="4" w:space="0" w:color="auto"/>
              <w:right w:val="single" w:sz="4" w:space="0" w:color="auto"/>
            </w:tcBorders>
            <w:hideMark/>
          </w:tcPr>
          <w:p w:rsidR="00140AB5" w:rsidRDefault="00140AB5" w:rsidP="006B4CA6">
            <w:pPr>
              <w:rPr>
                <w:rFonts w:ascii="Times New Roman" w:hAnsi="Times New Roman" w:cs="Times New Roman"/>
                <w:sz w:val="24"/>
                <w:szCs w:val="24"/>
                <w:bdr w:val="none" w:sz="0" w:space="0" w:color="auto" w:frame="1"/>
                <w:lang w:val="da-DK"/>
              </w:rPr>
            </w:pPr>
            <w:r w:rsidRPr="006B4CA6">
              <w:rPr>
                <w:rFonts w:ascii="Times New Roman" w:hAnsi="Times New Roman" w:cs="Times New Roman"/>
                <w:sz w:val="24"/>
                <w:szCs w:val="24"/>
                <w:bdr w:val="none" w:sz="0" w:space="0" w:color="auto" w:frame="1"/>
                <w:lang w:val="da-DK"/>
              </w:rPr>
              <w:t>tørre øjne</w:t>
            </w:r>
          </w:p>
          <w:p w:rsidR="006B4CA6" w:rsidRPr="006B4CA6" w:rsidRDefault="006B4CA6" w:rsidP="006B4CA6">
            <w:pPr>
              <w:rPr>
                <w:rFonts w:ascii="Times New Roman" w:hAnsi="Times New Roman" w:cs="Times New Roman"/>
                <w:sz w:val="24"/>
                <w:szCs w:val="24"/>
                <w:lang w:val="en-GB"/>
              </w:rPr>
            </w:pPr>
          </w:p>
        </w:tc>
      </w:tr>
      <w:tr w:rsidR="00140AB5" w:rsidRPr="006B4CA6" w:rsidTr="006B4CA6">
        <w:tc>
          <w:tcPr>
            <w:tcW w:w="1667" w:type="pct"/>
            <w:tcBorders>
              <w:top w:val="single" w:sz="4" w:space="0" w:color="auto"/>
              <w:left w:val="single" w:sz="4" w:space="0" w:color="auto"/>
              <w:bottom w:val="single" w:sz="4" w:space="0" w:color="auto"/>
              <w:right w:val="single" w:sz="4" w:space="0" w:color="auto"/>
            </w:tcBorders>
          </w:tcPr>
          <w:p w:rsidR="00140AB5" w:rsidRPr="006B4CA6" w:rsidRDefault="00140AB5" w:rsidP="006B4CA6">
            <w:pPr>
              <w:rPr>
                <w:rFonts w:ascii="Times New Roman" w:hAnsi="Times New Roman" w:cs="Times New Roman"/>
                <w:b/>
                <w:sz w:val="24"/>
                <w:szCs w:val="24"/>
                <w:lang w:val="en-GB"/>
              </w:rPr>
            </w:pPr>
            <w:r w:rsidRPr="006B4CA6">
              <w:rPr>
                <w:rFonts w:ascii="Times New Roman" w:hAnsi="Times New Roman" w:cs="Times New Roman"/>
                <w:b/>
                <w:sz w:val="24"/>
                <w:szCs w:val="24"/>
                <w:bdr w:val="none" w:sz="0" w:space="0" w:color="auto" w:frame="1"/>
                <w:lang w:val="da-DK"/>
              </w:rPr>
              <w:t>Øre og labyrint</w:t>
            </w:r>
          </w:p>
        </w:tc>
        <w:tc>
          <w:tcPr>
            <w:tcW w:w="1667" w:type="pct"/>
            <w:tcBorders>
              <w:top w:val="single" w:sz="4" w:space="0" w:color="auto"/>
              <w:left w:val="single" w:sz="4" w:space="0" w:color="auto"/>
              <w:bottom w:val="single" w:sz="4" w:space="0" w:color="auto"/>
              <w:right w:val="single" w:sz="4" w:space="0" w:color="auto"/>
            </w:tcBorders>
          </w:tcPr>
          <w:p w:rsidR="00140AB5" w:rsidRPr="006B4CA6" w:rsidRDefault="00140AB5" w:rsidP="006B4CA6">
            <w:pPr>
              <w:rPr>
                <w:rFonts w:ascii="Times New Roman" w:hAnsi="Times New Roman" w:cs="Times New Roman"/>
                <w:sz w:val="24"/>
                <w:szCs w:val="24"/>
                <w:lang w:val="en-GB"/>
              </w:rPr>
            </w:pPr>
          </w:p>
        </w:tc>
        <w:tc>
          <w:tcPr>
            <w:tcW w:w="1667" w:type="pct"/>
            <w:tcBorders>
              <w:top w:val="single" w:sz="4" w:space="0" w:color="auto"/>
              <w:left w:val="single" w:sz="4" w:space="0" w:color="auto"/>
              <w:bottom w:val="single" w:sz="4" w:space="0" w:color="auto"/>
              <w:right w:val="single" w:sz="4" w:space="0" w:color="auto"/>
            </w:tcBorders>
          </w:tcPr>
          <w:p w:rsidR="00140AB5" w:rsidRPr="006B4CA6" w:rsidRDefault="00140AB5" w:rsidP="006B4CA6">
            <w:pPr>
              <w:rPr>
                <w:rFonts w:ascii="Times New Roman" w:hAnsi="Times New Roman" w:cs="Times New Roman"/>
                <w:sz w:val="24"/>
                <w:szCs w:val="24"/>
                <w:lang w:val="en-GB"/>
              </w:rPr>
            </w:pPr>
            <w:r w:rsidRPr="006B4CA6">
              <w:rPr>
                <w:rFonts w:ascii="Times New Roman" w:hAnsi="Times New Roman" w:cs="Times New Roman"/>
                <w:sz w:val="24"/>
                <w:szCs w:val="24"/>
                <w:bdr w:val="none" w:sz="0" w:space="0" w:color="auto" w:frame="1"/>
                <w:lang w:val="da-DK"/>
              </w:rPr>
              <w:t>tinnitus</w:t>
            </w:r>
          </w:p>
          <w:p w:rsidR="00140AB5" w:rsidRPr="006B4CA6" w:rsidRDefault="00140AB5" w:rsidP="006B4CA6">
            <w:pPr>
              <w:rPr>
                <w:rFonts w:ascii="Times New Roman" w:hAnsi="Times New Roman" w:cs="Times New Roman"/>
                <w:sz w:val="24"/>
                <w:szCs w:val="24"/>
                <w:lang w:val="en-GB"/>
              </w:rPr>
            </w:pPr>
          </w:p>
        </w:tc>
      </w:tr>
      <w:tr w:rsidR="00140AB5" w:rsidRPr="006B4CA6" w:rsidTr="006B4CA6">
        <w:tc>
          <w:tcPr>
            <w:tcW w:w="1667" w:type="pct"/>
            <w:tcBorders>
              <w:top w:val="single" w:sz="4" w:space="0" w:color="auto"/>
              <w:left w:val="single" w:sz="4" w:space="0" w:color="auto"/>
              <w:bottom w:val="single" w:sz="4" w:space="0" w:color="auto"/>
              <w:right w:val="single" w:sz="4" w:space="0" w:color="auto"/>
            </w:tcBorders>
          </w:tcPr>
          <w:p w:rsidR="00140AB5" w:rsidRPr="006B4CA6" w:rsidRDefault="00140AB5" w:rsidP="006B4CA6">
            <w:pPr>
              <w:rPr>
                <w:rFonts w:ascii="Times New Roman" w:hAnsi="Times New Roman" w:cs="Times New Roman"/>
                <w:b/>
                <w:sz w:val="24"/>
                <w:szCs w:val="24"/>
                <w:lang w:val="en-GB"/>
              </w:rPr>
            </w:pPr>
            <w:r w:rsidRPr="006B4CA6">
              <w:rPr>
                <w:rFonts w:ascii="Times New Roman" w:hAnsi="Times New Roman" w:cs="Times New Roman"/>
                <w:b/>
                <w:sz w:val="24"/>
                <w:szCs w:val="24"/>
                <w:bdr w:val="none" w:sz="0" w:space="0" w:color="auto" w:frame="1"/>
                <w:lang w:val="da-DK"/>
              </w:rPr>
              <w:t>Hjerte</w:t>
            </w:r>
          </w:p>
        </w:tc>
        <w:tc>
          <w:tcPr>
            <w:tcW w:w="1667" w:type="pct"/>
            <w:tcBorders>
              <w:top w:val="single" w:sz="4" w:space="0" w:color="auto"/>
              <w:left w:val="single" w:sz="4" w:space="0" w:color="auto"/>
              <w:bottom w:val="single" w:sz="4" w:space="0" w:color="auto"/>
              <w:right w:val="single" w:sz="4" w:space="0" w:color="auto"/>
            </w:tcBorders>
          </w:tcPr>
          <w:p w:rsidR="00140AB5" w:rsidRPr="006B4CA6" w:rsidRDefault="00140AB5" w:rsidP="006B4CA6">
            <w:pPr>
              <w:rPr>
                <w:rFonts w:ascii="Times New Roman" w:hAnsi="Times New Roman" w:cs="Times New Roman"/>
                <w:sz w:val="24"/>
                <w:szCs w:val="24"/>
                <w:lang w:val="en-GB"/>
              </w:rPr>
            </w:pPr>
          </w:p>
        </w:tc>
        <w:tc>
          <w:tcPr>
            <w:tcW w:w="1667" w:type="pct"/>
            <w:tcBorders>
              <w:top w:val="single" w:sz="4" w:space="0" w:color="auto"/>
              <w:left w:val="single" w:sz="4" w:space="0" w:color="auto"/>
              <w:bottom w:val="single" w:sz="4" w:space="0" w:color="auto"/>
              <w:right w:val="single" w:sz="4" w:space="0" w:color="auto"/>
            </w:tcBorders>
          </w:tcPr>
          <w:p w:rsidR="00140AB5" w:rsidRPr="006B4CA6" w:rsidRDefault="001918BC" w:rsidP="006B4CA6">
            <w:pPr>
              <w:rPr>
                <w:rFonts w:ascii="Times New Roman" w:hAnsi="Times New Roman" w:cs="Times New Roman"/>
                <w:sz w:val="24"/>
                <w:szCs w:val="24"/>
                <w:lang w:val="en-GB"/>
              </w:rPr>
            </w:pPr>
            <w:r>
              <w:rPr>
                <w:rFonts w:ascii="Times New Roman" w:hAnsi="Times New Roman" w:cs="Times New Roman"/>
                <w:sz w:val="24"/>
                <w:szCs w:val="24"/>
                <w:bdr w:val="none" w:sz="0" w:space="0" w:color="auto" w:frame="1"/>
                <w:lang w:val="da-DK"/>
              </w:rPr>
              <w:t>u</w:t>
            </w:r>
            <w:r w:rsidR="00140AB5" w:rsidRPr="006B4CA6">
              <w:rPr>
                <w:rFonts w:ascii="Times New Roman" w:hAnsi="Times New Roman" w:cs="Times New Roman"/>
                <w:sz w:val="24"/>
                <w:szCs w:val="24"/>
                <w:bdr w:val="none" w:sz="0" w:space="0" w:color="auto" w:frame="1"/>
                <w:lang w:val="da-DK"/>
              </w:rPr>
              <w:t>specifikke kredsløbsforstyrrelser,</w:t>
            </w:r>
          </w:p>
          <w:p w:rsidR="00140AB5" w:rsidRPr="006B4CA6" w:rsidRDefault="00140AB5" w:rsidP="006B4CA6">
            <w:pPr>
              <w:rPr>
                <w:rFonts w:ascii="Times New Roman" w:hAnsi="Times New Roman" w:cs="Times New Roman"/>
                <w:sz w:val="24"/>
                <w:szCs w:val="24"/>
                <w:lang w:val="en-GB"/>
              </w:rPr>
            </w:pPr>
            <w:r w:rsidRPr="006B4CA6">
              <w:rPr>
                <w:rFonts w:ascii="Times New Roman" w:hAnsi="Times New Roman" w:cs="Times New Roman"/>
                <w:sz w:val="24"/>
                <w:szCs w:val="24"/>
                <w:bdr w:val="none" w:sz="0" w:space="0" w:color="auto" w:frame="1"/>
                <w:lang w:val="da-DK"/>
              </w:rPr>
              <w:t>hjertebanken</w:t>
            </w:r>
          </w:p>
          <w:p w:rsidR="00140AB5" w:rsidRPr="006B4CA6" w:rsidRDefault="00140AB5" w:rsidP="006B4CA6">
            <w:pPr>
              <w:rPr>
                <w:rFonts w:ascii="Times New Roman" w:hAnsi="Times New Roman" w:cs="Times New Roman"/>
                <w:sz w:val="24"/>
                <w:szCs w:val="24"/>
                <w:lang w:val="en-GB"/>
              </w:rPr>
            </w:pPr>
          </w:p>
        </w:tc>
      </w:tr>
      <w:tr w:rsidR="00140AB5" w:rsidRPr="006B4CA6" w:rsidTr="006B4CA6">
        <w:tc>
          <w:tcPr>
            <w:tcW w:w="1667" w:type="pct"/>
            <w:tcBorders>
              <w:top w:val="single" w:sz="4" w:space="0" w:color="auto"/>
              <w:left w:val="single" w:sz="4" w:space="0" w:color="auto"/>
              <w:bottom w:val="single" w:sz="4" w:space="0" w:color="auto"/>
              <w:right w:val="single" w:sz="4" w:space="0" w:color="auto"/>
            </w:tcBorders>
          </w:tcPr>
          <w:p w:rsidR="00140AB5" w:rsidRPr="006B4CA6" w:rsidRDefault="00140AB5" w:rsidP="006B4CA6">
            <w:pPr>
              <w:rPr>
                <w:rFonts w:ascii="Times New Roman" w:hAnsi="Times New Roman" w:cs="Times New Roman"/>
                <w:b/>
                <w:sz w:val="24"/>
                <w:szCs w:val="24"/>
                <w:lang w:val="en-GB"/>
              </w:rPr>
            </w:pPr>
            <w:proofErr w:type="spellStart"/>
            <w:r w:rsidRPr="006B4CA6">
              <w:rPr>
                <w:rFonts w:ascii="Times New Roman" w:hAnsi="Times New Roman" w:cs="Times New Roman"/>
                <w:b/>
                <w:sz w:val="24"/>
                <w:szCs w:val="24"/>
                <w:bdr w:val="none" w:sz="0" w:space="0" w:color="auto" w:frame="1"/>
                <w:lang w:val="da-DK"/>
              </w:rPr>
              <w:t>Vaskulære</w:t>
            </w:r>
            <w:proofErr w:type="spellEnd"/>
            <w:r w:rsidRPr="006B4CA6">
              <w:rPr>
                <w:rFonts w:ascii="Times New Roman" w:hAnsi="Times New Roman" w:cs="Times New Roman"/>
                <w:b/>
                <w:sz w:val="24"/>
                <w:szCs w:val="24"/>
                <w:bdr w:val="none" w:sz="0" w:space="0" w:color="auto" w:frame="1"/>
                <w:lang w:val="da-DK"/>
              </w:rPr>
              <w:t xml:space="preserve"> sygdomme</w:t>
            </w:r>
          </w:p>
        </w:tc>
        <w:tc>
          <w:tcPr>
            <w:tcW w:w="1667" w:type="pct"/>
            <w:tcBorders>
              <w:top w:val="single" w:sz="4" w:space="0" w:color="auto"/>
              <w:left w:val="single" w:sz="4" w:space="0" w:color="auto"/>
              <w:bottom w:val="single" w:sz="4" w:space="0" w:color="auto"/>
              <w:right w:val="single" w:sz="4" w:space="0" w:color="auto"/>
            </w:tcBorders>
          </w:tcPr>
          <w:p w:rsidR="00140AB5" w:rsidRPr="006B4CA6" w:rsidRDefault="00140AB5" w:rsidP="006B4CA6">
            <w:pPr>
              <w:rPr>
                <w:rFonts w:ascii="Times New Roman" w:hAnsi="Times New Roman" w:cs="Times New Roman"/>
                <w:sz w:val="24"/>
                <w:szCs w:val="24"/>
                <w:lang w:val="en-GB"/>
              </w:rPr>
            </w:pPr>
          </w:p>
        </w:tc>
        <w:tc>
          <w:tcPr>
            <w:tcW w:w="1667" w:type="pct"/>
            <w:tcBorders>
              <w:top w:val="single" w:sz="4" w:space="0" w:color="auto"/>
              <w:left w:val="single" w:sz="4" w:space="0" w:color="auto"/>
              <w:bottom w:val="single" w:sz="4" w:space="0" w:color="auto"/>
              <w:right w:val="single" w:sz="4" w:space="0" w:color="auto"/>
            </w:tcBorders>
            <w:hideMark/>
          </w:tcPr>
          <w:p w:rsidR="00140AB5" w:rsidRDefault="00140AB5" w:rsidP="006B4CA6">
            <w:pPr>
              <w:rPr>
                <w:rFonts w:ascii="Times New Roman" w:hAnsi="Times New Roman" w:cs="Times New Roman"/>
                <w:sz w:val="24"/>
                <w:szCs w:val="24"/>
                <w:bdr w:val="none" w:sz="0" w:space="0" w:color="auto" w:frame="1"/>
                <w:lang w:val="da-DK"/>
              </w:rPr>
            </w:pPr>
            <w:r w:rsidRPr="006B4CA6">
              <w:rPr>
                <w:rFonts w:ascii="Times New Roman" w:hAnsi="Times New Roman" w:cs="Times New Roman"/>
                <w:sz w:val="24"/>
                <w:szCs w:val="24"/>
                <w:bdr w:val="none" w:sz="0" w:space="0" w:color="auto" w:frame="1"/>
                <w:lang w:val="da-DK"/>
              </w:rPr>
              <w:t>lavt blodtryk</w:t>
            </w:r>
          </w:p>
          <w:p w:rsidR="006B4CA6" w:rsidRPr="006B4CA6" w:rsidRDefault="006B4CA6" w:rsidP="006B4CA6">
            <w:pPr>
              <w:rPr>
                <w:rFonts w:ascii="Times New Roman" w:hAnsi="Times New Roman" w:cs="Times New Roman"/>
                <w:sz w:val="24"/>
                <w:szCs w:val="24"/>
                <w:lang w:val="en-GB"/>
              </w:rPr>
            </w:pPr>
          </w:p>
        </w:tc>
      </w:tr>
      <w:tr w:rsidR="00140AB5" w:rsidRPr="006B4CA6" w:rsidTr="006B4CA6">
        <w:tc>
          <w:tcPr>
            <w:tcW w:w="1667" w:type="pct"/>
            <w:tcBorders>
              <w:top w:val="single" w:sz="4" w:space="0" w:color="auto"/>
              <w:left w:val="single" w:sz="4" w:space="0" w:color="auto"/>
              <w:bottom w:val="single" w:sz="4" w:space="0" w:color="auto"/>
              <w:right w:val="single" w:sz="4" w:space="0" w:color="auto"/>
            </w:tcBorders>
          </w:tcPr>
          <w:p w:rsidR="00140AB5" w:rsidRPr="006B4CA6" w:rsidRDefault="00140AB5" w:rsidP="006B4CA6">
            <w:pPr>
              <w:rPr>
                <w:rFonts w:ascii="Times New Roman" w:hAnsi="Times New Roman" w:cs="Times New Roman"/>
                <w:b/>
                <w:sz w:val="24"/>
                <w:szCs w:val="24"/>
                <w:lang w:val="en-GB"/>
              </w:rPr>
            </w:pPr>
            <w:r w:rsidRPr="006B4CA6">
              <w:rPr>
                <w:rFonts w:ascii="Times New Roman" w:hAnsi="Times New Roman" w:cs="Times New Roman"/>
                <w:b/>
                <w:sz w:val="24"/>
                <w:szCs w:val="24"/>
                <w:bdr w:val="none" w:sz="0" w:space="0" w:color="auto" w:frame="1"/>
              </w:rPr>
              <w:t>Luftveje, thorax og mediastinum</w:t>
            </w:r>
          </w:p>
        </w:tc>
        <w:tc>
          <w:tcPr>
            <w:tcW w:w="1667" w:type="pct"/>
            <w:tcBorders>
              <w:top w:val="single" w:sz="4" w:space="0" w:color="auto"/>
              <w:left w:val="single" w:sz="4" w:space="0" w:color="auto"/>
              <w:bottom w:val="single" w:sz="4" w:space="0" w:color="auto"/>
              <w:right w:val="single" w:sz="4" w:space="0" w:color="auto"/>
            </w:tcBorders>
          </w:tcPr>
          <w:p w:rsidR="00140AB5" w:rsidRPr="006B4CA6" w:rsidRDefault="00140AB5" w:rsidP="006B4CA6">
            <w:pPr>
              <w:rPr>
                <w:rFonts w:ascii="Times New Roman" w:hAnsi="Times New Roman" w:cs="Times New Roman"/>
                <w:sz w:val="24"/>
                <w:szCs w:val="24"/>
                <w:lang w:val="en-GB"/>
              </w:rPr>
            </w:pPr>
          </w:p>
        </w:tc>
        <w:tc>
          <w:tcPr>
            <w:tcW w:w="1667" w:type="pct"/>
            <w:tcBorders>
              <w:top w:val="single" w:sz="4" w:space="0" w:color="auto"/>
              <w:left w:val="single" w:sz="4" w:space="0" w:color="auto"/>
              <w:bottom w:val="single" w:sz="4" w:space="0" w:color="auto"/>
              <w:right w:val="single" w:sz="4" w:space="0" w:color="auto"/>
            </w:tcBorders>
          </w:tcPr>
          <w:p w:rsidR="00140AB5" w:rsidRPr="006B4CA6" w:rsidRDefault="00140AB5" w:rsidP="006B4CA6">
            <w:pPr>
              <w:rPr>
                <w:rFonts w:ascii="Times New Roman" w:hAnsi="Times New Roman" w:cs="Times New Roman"/>
                <w:sz w:val="24"/>
                <w:szCs w:val="24"/>
                <w:lang w:val="en-GB"/>
              </w:rPr>
            </w:pPr>
            <w:r w:rsidRPr="006B4CA6">
              <w:rPr>
                <w:rFonts w:ascii="Times New Roman" w:hAnsi="Times New Roman" w:cs="Times New Roman"/>
                <w:sz w:val="24"/>
                <w:szCs w:val="24"/>
                <w:bdr w:val="none" w:sz="0" w:space="0" w:color="auto" w:frame="1"/>
                <w:lang w:val="da-DK"/>
              </w:rPr>
              <w:t>åndenød</w:t>
            </w:r>
          </w:p>
          <w:p w:rsidR="00140AB5" w:rsidRPr="006B4CA6" w:rsidRDefault="00140AB5" w:rsidP="006B4CA6">
            <w:pPr>
              <w:rPr>
                <w:rFonts w:ascii="Times New Roman" w:hAnsi="Times New Roman" w:cs="Times New Roman"/>
                <w:sz w:val="24"/>
                <w:szCs w:val="24"/>
                <w:lang w:val="en-GB"/>
              </w:rPr>
            </w:pPr>
          </w:p>
        </w:tc>
      </w:tr>
      <w:tr w:rsidR="00140AB5" w:rsidRPr="006B4CA6" w:rsidTr="006B4CA6">
        <w:tc>
          <w:tcPr>
            <w:tcW w:w="1667" w:type="pct"/>
            <w:tcBorders>
              <w:top w:val="single" w:sz="4" w:space="0" w:color="auto"/>
              <w:left w:val="single" w:sz="4" w:space="0" w:color="auto"/>
              <w:bottom w:val="single" w:sz="4" w:space="0" w:color="auto"/>
              <w:right w:val="single" w:sz="4" w:space="0" w:color="auto"/>
            </w:tcBorders>
          </w:tcPr>
          <w:p w:rsidR="00140AB5" w:rsidRPr="006B4CA6" w:rsidRDefault="00140AB5" w:rsidP="006B4CA6">
            <w:pPr>
              <w:rPr>
                <w:rFonts w:ascii="Times New Roman" w:hAnsi="Times New Roman" w:cs="Times New Roman"/>
                <w:b/>
                <w:sz w:val="24"/>
                <w:szCs w:val="24"/>
                <w:lang w:val="en-GB"/>
              </w:rPr>
            </w:pPr>
            <w:r w:rsidRPr="006B4CA6">
              <w:rPr>
                <w:rFonts w:ascii="Times New Roman" w:hAnsi="Times New Roman" w:cs="Times New Roman"/>
                <w:b/>
                <w:sz w:val="24"/>
                <w:szCs w:val="24"/>
                <w:bdr w:val="none" w:sz="0" w:space="0" w:color="auto" w:frame="1"/>
              </w:rPr>
              <w:t>Mave-tarm-kanalen</w:t>
            </w:r>
          </w:p>
        </w:tc>
        <w:tc>
          <w:tcPr>
            <w:tcW w:w="1667" w:type="pct"/>
            <w:tcBorders>
              <w:top w:val="single" w:sz="4" w:space="0" w:color="auto"/>
              <w:left w:val="single" w:sz="4" w:space="0" w:color="auto"/>
              <w:bottom w:val="single" w:sz="4" w:space="0" w:color="auto"/>
              <w:right w:val="single" w:sz="4" w:space="0" w:color="auto"/>
            </w:tcBorders>
          </w:tcPr>
          <w:p w:rsidR="00140AB5" w:rsidRPr="006B4CA6" w:rsidRDefault="00140AB5" w:rsidP="006B4CA6">
            <w:pPr>
              <w:rPr>
                <w:rFonts w:ascii="Times New Roman" w:hAnsi="Times New Roman" w:cs="Times New Roman"/>
                <w:sz w:val="24"/>
                <w:szCs w:val="24"/>
                <w:lang w:val="da-DK"/>
              </w:rPr>
            </w:pPr>
            <w:r w:rsidRPr="006B4CA6">
              <w:rPr>
                <w:rFonts w:ascii="Times New Roman" w:hAnsi="Times New Roman" w:cs="Times New Roman"/>
                <w:sz w:val="24"/>
                <w:szCs w:val="24"/>
                <w:bdr w:val="none" w:sz="0" w:space="0" w:color="auto" w:frame="1"/>
                <w:lang w:val="da-DK"/>
              </w:rPr>
              <w:t>kvalme,</w:t>
            </w:r>
          </w:p>
          <w:p w:rsidR="00140AB5" w:rsidRPr="006B4CA6" w:rsidRDefault="00140AB5" w:rsidP="006B4CA6">
            <w:pPr>
              <w:rPr>
                <w:rFonts w:ascii="Times New Roman" w:hAnsi="Times New Roman" w:cs="Times New Roman"/>
                <w:sz w:val="24"/>
                <w:szCs w:val="24"/>
                <w:lang w:val="da-DK"/>
              </w:rPr>
            </w:pPr>
            <w:r w:rsidRPr="006B4CA6">
              <w:rPr>
                <w:rFonts w:ascii="Times New Roman" w:hAnsi="Times New Roman" w:cs="Times New Roman"/>
                <w:sz w:val="24"/>
                <w:szCs w:val="24"/>
                <w:bdr w:val="none" w:sz="0" w:space="0" w:color="auto" w:frame="1"/>
                <w:lang w:val="da-DK"/>
              </w:rPr>
              <w:t>mavesmerter,</w:t>
            </w:r>
          </w:p>
          <w:p w:rsidR="00140AB5" w:rsidRPr="006B4CA6" w:rsidRDefault="00140AB5" w:rsidP="006B4CA6">
            <w:pPr>
              <w:rPr>
                <w:rFonts w:ascii="Times New Roman" w:hAnsi="Times New Roman" w:cs="Times New Roman"/>
                <w:sz w:val="24"/>
                <w:szCs w:val="24"/>
                <w:lang w:val="da-DK"/>
              </w:rPr>
            </w:pPr>
            <w:r w:rsidRPr="006B4CA6">
              <w:rPr>
                <w:rFonts w:ascii="Times New Roman" w:hAnsi="Times New Roman" w:cs="Times New Roman"/>
                <w:sz w:val="24"/>
                <w:szCs w:val="24"/>
                <w:bdr w:val="none" w:sz="0" w:space="0" w:color="auto" w:frame="1"/>
                <w:lang w:val="da-DK"/>
              </w:rPr>
              <w:t>tarmluft,</w:t>
            </w:r>
          </w:p>
          <w:p w:rsidR="00140AB5" w:rsidRPr="006B4CA6" w:rsidRDefault="00140AB5" w:rsidP="006B4CA6">
            <w:pPr>
              <w:rPr>
                <w:rFonts w:ascii="Times New Roman" w:hAnsi="Times New Roman" w:cs="Times New Roman"/>
                <w:sz w:val="24"/>
                <w:szCs w:val="24"/>
                <w:lang w:val="da-DK"/>
              </w:rPr>
            </w:pPr>
            <w:r w:rsidRPr="006B4CA6">
              <w:rPr>
                <w:rFonts w:ascii="Times New Roman" w:hAnsi="Times New Roman" w:cs="Times New Roman"/>
                <w:sz w:val="24"/>
                <w:szCs w:val="24"/>
                <w:bdr w:val="none" w:sz="0" w:space="0" w:color="auto" w:frame="1"/>
                <w:lang w:val="da-DK"/>
              </w:rPr>
              <w:t>udspilet mave,</w:t>
            </w:r>
          </w:p>
          <w:p w:rsidR="00140AB5" w:rsidRPr="006B4CA6" w:rsidRDefault="00140AB5" w:rsidP="006B4CA6">
            <w:pPr>
              <w:rPr>
                <w:rFonts w:ascii="Times New Roman" w:hAnsi="Times New Roman" w:cs="Times New Roman"/>
                <w:sz w:val="24"/>
                <w:szCs w:val="24"/>
                <w:lang w:val="en-GB"/>
              </w:rPr>
            </w:pPr>
            <w:r w:rsidRPr="006B4CA6">
              <w:rPr>
                <w:rFonts w:ascii="Times New Roman" w:hAnsi="Times New Roman" w:cs="Times New Roman"/>
                <w:sz w:val="24"/>
                <w:szCs w:val="24"/>
                <w:bdr w:val="none" w:sz="0" w:space="0" w:color="auto" w:frame="1"/>
                <w:lang w:val="da-DK"/>
              </w:rPr>
              <w:lastRenderedPageBreak/>
              <w:t>opkastning</w:t>
            </w:r>
          </w:p>
          <w:p w:rsidR="00140AB5" w:rsidRPr="006B4CA6" w:rsidRDefault="00140AB5" w:rsidP="006B4CA6">
            <w:pPr>
              <w:rPr>
                <w:rFonts w:ascii="Times New Roman" w:hAnsi="Times New Roman" w:cs="Times New Roman"/>
                <w:sz w:val="24"/>
                <w:szCs w:val="24"/>
                <w:lang w:val="en-GB"/>
              </w:rPr>
            </w:pPr>
          </w:p>
        </w:tc>
        <w:tc>
          <w:tcPr>
            <w:tcW w:w="1667" w:type="pct"/>
            <w:tcBorders>
              <w:top w:val="single" w:sz="4" w:space="0" w:color="auto"/>
              <w:left w:val="single" w:sz="4" w:space="0" w:color="auto"/>
              <w:bottom w:val="single" w:sz="4" w:space="0" w:color="auto"/>
              <w:right w:val="single" w:sz="4" w:space="0" w:color="auto"/>
            </w:tcBorders>
          </w:tcPr>
          <w:p w:rsidR="00140AB5" w:rsidRPr="006B4CA6" w:rsidRDefault="00140AB5" w:rsidP="006B4CA6">
            <w:pPr>
              <w:rPr>
                <w:rFonts w:ascii="Times New Roman" w:hAnsi="Times New Roman" w:cs="Times New Roman"/>
                <w:sz w:val="24"/>
                <w:szCs w:val="24"/>
                <w:lang w:val="da-DK"/>
              </w:rPr>
            </w:pPr>
            <w:r w:rsidRPr="006B4CA6">
              <w:rPr>
                <w:rFonts w:ascii="Times New Roman" w:hAnsi="Times New Roman" w:cs="Times New Roman"/>
                <w:sz w:val="24"/>
                <w:szCs w:val="24"/>
                <w:bdr w:val="none" w:sz="0" w:space="0" w:color="auto" w:frame="1"/>
                <w:lang w:val="da-DK"/>
              </w:rPr>
              <w:lastRenderedPageBreak/>
              <w:t>diarré,</w:t>
            </w:r>
          </w:p>
          <w:p w:rsidR="00140AB5" w:rsidRPr="006B4CA6" w:rsidRDefault="00140AB5" w:rsidP="006B4CA6">
            <w:pPr>
              <w:rPr>
                <w:rFonts w:ascii="Times New Roman" w:hAnsi="Times New Roman" w:cs="Times New Roman"/>
                <w:sz w:val="24"/>
                <w:szCs w:val="24"/>
                <w:lang w:val="da-DK"/>
              </w:rPr>
            </w:pPr>
            <w:r w:rsidRPr="006B4CA6">
              <w:rPr>
                <w:rFonts w:ascii="Times New Roman" w:hAnsi="Times New Roman" w:cs="Times New Roman"/>
                <w:sz w:val="24"/>
                <w:szCs w:val="24"/>
                <w:bdr w:val="none" w:sz="0" w:space="0" w:color="auto" w:frame="1"/>
                <w:lang w:val="da-DK"/>
              </w:rPr>
              <w:t>forstoppelse,</w:t>
            </w:r>
          </w:p>
          <w:p w:rsidR="00140AB5" w:rsidRPr="006B4CA6" w:rsidRDefault="00140AB5" w:rsidP="006B4CA6">
            <w:pPr>
              <w:rPr>
                <w:rFonts w:ascii="Times New Roman" w:hAnsi="Times New Roman" w:cs="Times New Roman"/>
                <w:sz w:val="24"/>
                <w:szCs w:val="24"/>
                <w:lang w:val="da-DK"/>
              </w:rPr>
            </w:pPr>
            <w:r w:rsidRPr="006B4CA6">
              <w:rPr>
                <w:rFonts w:ascii="Times New Roman" w:hAnsi="Times New Roman" w:cs="Times New Roman"/>
                <w:sz w:val="24"/>
                <w:szCs w:val="24"/>
                <w:bdr w:val="none" w:sz="0" w:space="0" w:color="auto" w:frame="1"/>
                <w:lang w:val="da-DK"/>
              </w:rPr>
              <w:t>mavegener,</w:t>
            </w:r>
          </w:p>
          <w:p w:rsidR="00140AB5" w:rsidRPr="006B4CA6" w:rsidRDefault="00140AB5" w:rsidP="006B4CA6">
            <w:pPr>
              <w:rPr>
                <w:rFonts w:ascii="Times New Roman" w:hAnsi="Times New Roman" w:cs="Times New Roman"/>
                <w:sz w:val="24"/>
                <w:szCs w:val="24"/>
                <w:lang w:val="da-DK"/>
              </w:rPr>
            </w:pPr>
            <w:r w:rsidRPr="006B4CA6">
              <w:rPr>
                <w:rFonts w:ascii="Times New Roman" w:hAnsi="Times New Roman" w:cs="Times New Roman"/>
                <w:sz w:val="24"/>
                <w:szCs w:val="24"/>
                <w:bdr w:val="none" w:sz="0" w:space="0" w:color="auto" w:frame="1"/>
                <w:lang w:val="da-DK"/>
              </w:rPr>
              <w:lastRenderedPageBreak/>
              <w:t>betændelse i mave-tarm-kanalen,</w:t>
            </w:r>
          </w:p>
          <w:p w:rsidR="00140AB5" w:rsidRPr="006B4CA6" w:rsidRDefault="00140AB5" w:rsidP="006B4CA6">
            <w:pPr>
              <w:rPr>
                <w:rFonts w:ascii="Times New Roman" w:hAnsi="Times New Roman" w:cs="Times New Roman"/>
                <w:sz w:val="24"/>
                <w:szCs w:val="24"/>
                <w:lang w:val="en-GB"/>
              </w:rPr>
            </w:pPr>
            <w:r w:rsidRPr="006B4CA6">
              <w:rPr>
                <w:rFonts w:ascii="Times New Roman" w:hAnsi="Times New Roman" w:cs="Times New Roman"/>
                <w:sz w:val="24"/>
                <w:szCs w:val="24"/>
                <w:bdr w:val="none" w:sz="0" w:space="0" w:color="auto" w:frame="1"/>
                <w:lang w:val="da-DK"/>
              </w:rPr>
              <w:t>tandkødsbetændelse</w:t>
            </w:r>
          </w:p>
          <w:p w:rsidR="00140AB5" w:rsidRPr="006B4CA6" w:rsidRDefault="00140AB5" w:rsidP="006B4CA6">
            <w:pPr>
              <w:rPr>
                <w:rFonts w:ascii="Times New Roman" w:hAnsi="Times New Roman" w:cs="Times New Roman"/>
                <w:sz w:val="24"/>
                <w:szCs w:val="24"/>
                <w:lang w:val="en-GB"/>
              </w:rPr>
            </w:pPr>
          </w:p>
        </w:tc>
      </w:tr>
      <w:tr w:rsidR="00140AB5" w:rsidRPr="006B4CA6" w:rsidTr="006B4CA6">
        <w:tc>
          <w:tcPr>
            <w:tcW w:w="1667" w:type="pct"/>
            <w:tcBorders>
              <w:top w:val="single" w:sz="4" w:space="0" w:color="auto"/>
              <w:left w:val="single" w:sz="4" w:space="0" w:color="auto"/>
              <w:bottom w:val="single" w:sz="4" w:space="0" w:color="auto"/>
              <w:right w:val="single" w:sz="4" w:space="0" w:color="auto"/>
            </w:tcBorders>
          </w:tcPr>
          <w:p w:rsidR="00140AB5" w:rsidRPr="006B4CA6" w:rsidRDefault="00140AB5" w:rsidP="00E17B6D">
            <w:pPr>
              <w:rPr>
                <w:rFonts w:ascii="Times New Roman" w:hAnsi="Times New Roman" w:cs="Times New Roman"/>
                <w:b/>
                <w:sz w:val="24"/>
                <w:szCs w:val="24"/>
                <w:lang w:val="en-GB"/>
              </w:rPr>
            </w:pPr>
            <w:r w:rsidRPr="006B4CA6">
              <w:rPr>
                <w:rFonts w:ascii="Times New Roman" w:hAnsi="Times New Roman" w:cs="Times New Roman"/>
                <w:b/>
                <w:sz w:val="24"/>
                <w:szCs w:val="24"/>
                <w:bdr w:val="none" w:sz="0" w:space="0" w:color="auto" w:frame="1"/>
                <w:lang w:val="da-DK"/>
              </w:rPr>
              <w:lastRenderedPageBreak/>
              <w:t>Hud og subkutane væv</w:t>
            </w:r>
          </w:p>
        </w:tc>
        <w:tc>
          <w:tcPr>
            <w:tcW w:w="1667" w:type="pct"/>
            <w:tcBorders>
              <w:top w:val="single" w:sz="4" w:space="0" w:color="auto"/>
              <w:left w:val="single" w:sz="4" w:space="0" w:color="auto"/>
              <w:bottom w:val="single" w:sz="4" w:space="0" w:color="auto"/>
              <w:right w:val="single" w:sz="4" w:space="0" w:color="auto"/>
            </w:tcBorders>
          </w:tcPr>
          <w:p w:rsidR="00140AB5" w:rsidRPr="006B4CA6" w:rsidRDefault="00140AB5" w:rsidP="006B4CA6">
            <w:pPr>
              <w:rPr>
                <w:rFonts w:ascii="Times New Roman" w:hAnsi="Times New Roman" w:cs="Times New Roman"/>
                <w:sz w:val="24"/>
                <w:szCs w:val="24"/>
                <w:lang w:val="en-GB"/>
              </w:rPr>
            </w:pPr>
            <w:r w:rsidRPr="006B4CA6">
              <w:rPr>
                <w:rFonts w:ascii="Times New Roman" w:hAnsi="Times New Roman" w:cs="Times New Roman"/>
                <w:sz w:val="24"/>
                <w:szCs w:val="24"/>
                <w:bdr w:val="none" w:sz="0" w:space="0" w:color="auto" w:frame="1"/>
                <w:lang w:val="da-DK"/>
              </w:rPr>
              <w:t>akne,</w:t>
            </w:r>
          </w:p>
          <w:p w:rsidR="00140AB5" w:rsidRPr="006B4CA6" w:rsidRDefault="00140AB5" w:rsidP="006B4CA6">
            <w:pPr>
              <w:rPr>
                <w:rFonts w:ascii="Times New Roman" w:hAnsi="Times New Roman" w:cs="Times New Roman"/>
                <w:sz w:val="24"/>
                <w:szCs w:val="24"/>
                <w:lang w:val="en-GB"/>
              </w:rPr>
            </w:pPr>
            <w:proofErr w:type="spellStart"/>
            <w:r w:rsidRPr="006B4CA6">
              <w:rPr>
                <w:rFonts w:ascii="Times New Roman" w:hAnsi="Times New Roman" w:cs="Times New Roman"/>
                <w:sz w:val="24"/>
                <w:szCs w:val="24"/>
                <w:bdr w:val="none" w:sz="0" w:space="0" w:color="auto" w:frame="1"/>
                <w:lang w:val="da-DK"/>
              </w:rPr>
              <w:t>alopeci</w:t>
            </w:r>
            <w:proofErr w:type="spellEnd"/>
          </w:p>
          <w:p w:rsidR="00140AB5" w:rsidRPr="006B4CA6" w:rsidRDefault="00140AB5" w:rsidP="006B4CA6">
            <w:pPr>
              <w:rPr>
                <w:rFonts w:ascii="Times New Roman" w:hAnsi="Times New Roman" w:cs="Times New Roman"/>
                <w:sz w:val="24"/>
                <w:szCs w:val="24"/>
                <w:lang w:val="en-GB"/>
              </w:rPr>
            </w:pPr>
          </w:p>
        </w:tc>
        <w:tc>
          <w:tcPr>
            <w:tcW w:w="1667" w:type="pct"/>
            <w:tcBorders>
              <w:top w:val="single" w:sz="4" w:space="0" w:color="auto"/>
              <w:left w:val="single" w:sz="4" w:space="0" w:color="auto"/>
              <w:bottom w:val="single" w:sz="4" w:space="0" w:color="auto"/>
              <w:right w:val="single" w:sz="4" w:space="0" w:color="auto"/>
            </w:tcBorders>
          </w:tcPr>
          <w:p w:rsidR="00140AB5" w:rsidRPr="006B4CA6" w:rsidRDefault="00140AB5" w:rsidP="006B4CA6">
            <w:pPr>
              <w:rPr>
                <w:rFonts w:ascii="Times New Roman" w:hAnsi="Times New Roman" w:cs="Times New Roman"/>
                <w:sz w:val="24"/>
                <w:szCs w:val="24"/>
                <w:lang w:val="da-DK"/>
              </w:rPr>
            </w:pPr>
            <w:r w:rsidRPr="006B4CA6">
              <w:rPr>
                <w:rFonts w:ascii="Times New Roman" w:hAnsi="Times New Roman" w:cs="Times New Roman"/>
                <w:sz w:val="24"/>
                <w:szCs w:val="24"/>
                <w:bdr w:val="none" w:sz="0" w:space="0" w:color="auto" w:frame="1"/>
                <w:lang w:val="da-DK"/>
              </w:rPr>
              <w:t>tør hud,</w:t>
            </w:r>
          </w:p>
          <w:p w:rsidR="00140AB5" w:rsidRPr="006B4CA6" w:rsidRDefault="00140AB5" w:rsidP="006B4CA6">
            <w:pPr>
              <w:rPr>
                <w:rFonts w:ascii="Times New Roman" w:hAnsi="Times New Roman" w:cs="Times New Roman"/>
                <w:sz w:val="24"/>
                <w:szCs w:val="24"/>
                <w:lang w:val="da-DK"/>
              </w:rPr>
            </w:pPr>
            <w:proofErr w:type="spellStart"/>
            <w:r w:rsidRPr="006B4CA6">
              <w:rPr>
                <w:rFonts w:ascii="Times New Roman" w:hAnsi="Times New Roman" w:cs="Times New Roman"/>
                <w:sz w:val="24"/>
                <w:szCs w:val="24"/>
                <w:bdr w:val="none" w:sz="0" w:space="0" w:color="auto" w:frame="1"/>
                <w:lang w:val="da-DK"/>
              </w:rPr>
              <w:t>hyperhidrose</w:t>
            </w:r>
            <w:proofErr w:type="spellEnd"/>
            <w:r w:rsidRPr="006B4CA6">
              <w:rPr>
                <w:rFonts w:ascii="Times New Roman" w:hAnsi="Times New Roman" w:cs="Times New Roman"/>
                <w:sz w:val="24"/>
                <w:szCs w:val="24"/>
                <w:bdr w:val="none" w:sz="0" w:space="0" w:color="auto" w:frame="1"/>
                <w:lang w:val="da-DK"/>
              </w:rPr>
              <w:t>,</w:t>
            </w:r>
          </w:p>
          <w:p w:rsidR="00140AB5" w:rsidRPr="006B4CA6" w:rsidRDefault="00140AB5" w:rsidP="006B4CA6">
            <w:pPr>
              <w:rPr>
                <w:rFonts w:ascii="Times New Roman" w:hAnsi="Times New Roman" w:cs="Times New Roman"/>
                <w:sz w:val="24"/>
                <w:szCs w:val="24"/>
                <w:lang w:val="da-DK"/>
              </w:rPr>
            </w:pPr>
            <w:proofErr w:type="spellStart"/>
            <w:r w:rsidRPr="006B4CA6">
              <w:rPr>
                <w:rFonts w:ascii="Times New Roman" w:hAnsi="Times New Roman" w:cs="Times New Roman"/>
                <w:sz w:val="24"/>
                <w:szCs w:val="24"/>
                <w:bdr w:val="none" w:sz="0" w:space="0" w:color="auto" w:frame="1"/>
                <w:lang w:val="da-DK"/>
              </w:rPr>
              <w:t>pruritus</w:t>
            </w:r>
            <w:proofErr w:type="spellEnd"/>
            <w:r w:rsidRPr="006B4CA6">
              <w:rPr>
                <w:rFonts w:ascii="Times New Roman" w:hAnsi="Times New Roman" w:cs="Times New Roman"/>
                <w:sz w:val="24"/>
                <w:szCs w:val="24"/>
                <w:bdr w:val="none" w:sz="0" w:space="0" w:color="auto" w:frame="1"/>
                <w:lang w:val="da-DK"/>
              </w:rPr>
              <w:t>,</w:t>
            </w:r>
          </w:p>
          <w:p w:rsidR="00140AB5" w:rsidRPr="006B4CA6" w:rsidRDefault="00140AB5" w:rsidP="006B4CA6">
            <w:pPr>
              <w:rPr>
                <w:rFonts w:ascii="Times New Roman" w:hAnsi="Times New Roman" w:cs="Times New Roman"/>
                <w:sz w:val="24"/>
                <w:szCs w:val="24"/>
                <w:lang w:val="da-DK"/>
              </w:rPr>
            </w:pPr>
            <w:proofErr w:type="spellStart"/>
            <w:r w:rsidRPr="006B4CA6">
              <w:rPr>
                <w:rFonts w:ascii="Times New Roman" w:hAnsi="Times New Roman" w:cs="Times New Roman"/>
                <w:sz w:val="24"/>
                <w:szCs w:val="24"/>
                <w:bdr w:val="none" w:sz="0" w:space="0" w:color="auto" w:frame="1"/>
                <w:lang w:val="da-DK"/>
              </w:rPr>
              <w:t>hirsutisme</w:t>
            </w:r>
            <w:proofErr w:type="spellEnd"/>
            <w:r w:rsidRPr="006B4CA6">
              <w:rPr>
                <w:rFonts w:ascii="Times New Roman" w:hAnsi="Times New Roman" w:cs="Times New Roman"/>
                <w:sz w:val="24"/>
                <w:szCs w:val="24"/>
                <w:bdr w:val="none" w:sz="0" w:space="0" w:color="auto" w:frame="1"/>
                <w:lang w:val="da-DK"/>
              </w:rPr>
              <w:t>,</w:t>
            </w:r>
          </w:p>
          <w:p w:rsidR="00140AB5" w:rsidRPr="006B4CA6" w:rsidRDefault="00140AB5" w:rsidP="006B4CA6">
            <w:pPr>
              <w:rPr>
                <w:rFonts w:ascii="Times New Roman" w:hAnsi="Times New Roman" w:cs="Times New Roman"/>
                <w:sz w:val="24"/>
                <w:szCs w:val="24"/>
                <w:lang w:val="de-DE"/>
              </w:rPr>
            </w:pPr>
            <w:r w:rsidRPr="006B4CA6">
              <w:rPr>
                <w:rFonts w:ascii="Times New Roman" w:hAnsi="Times New Roman" w:cs="Times New Roman"/>
                <w:sz w:val="24"/>
                <w:szCs w:val="24"/>
                <w:bdr w:val="none" w:sz="0" w:space="0" w:color="auto" w:frame="1"/>
                <w:lang w:val="da-DK"/>
              </w:rPr>
              <w:t>negle der løsner sig,</w:t>
            </w:r>
          </w:p>
          <w:p w:rsidR="00140AB5" w:rsidRPr="006B4CA6" w:rsidRDefault="00140AB5" w:rsidP="006B4CA6">
            <w:pPr>
              <w:rPr>
                <w:rFonts w:ascii="Times New Roman" w:hAnsi="Times New Roman" w:cs="Times New Roman"/>
                <w:sz w:val="24"/>
                <w:szCs w:val="24"/>
                <w:lang w:val="de-DE"/>
              </w:rPr>
            </w:pPr>
            <w:r w:rsidRPr="006B4CA6">
              <w:rPr>
                <w:rFonts w:ascii="Times New Roman" w:hAnsi="Times New Roman" w:cs="Times New Roman"/>
                <w:sz w:val="24"/>
                <w:szCs w:val="24"/>
                <w:bdr w:val="none" w:sz="0" w:space="0" w:color="auto" w:frame="1"/>
                <w:lang w:val="da-DK"/>
              </w:rPr>
              <w:t>skæl,</w:t>
            </w:r>
          </w:p>
          <w:p w:rsidR="00140AB5" w:rsidRPr="006B4CA6" w:rsidRDefault="00140AB5" w:rsidP="006B4CA6">
            <w:pPr>
              <w:rPr>
                <w:rFonts w:ascii="Times New Roman" w:hAnsi="Times New Roman" w:cs="Times New Roman"/>
                <w:sz w:val="24"/>
                <w:szCs w:val="24"/>
                <w:lang w:val="en-GB"/>
              </w:rPr>
            </w:pPr>
            <w:proofErr w:type="spellStart"/>
            <w:r w:rsidRPr="006B4CA6">
              <w:rPr>
                <w:rFonts w:ascii="Times New Roman" w:hAnsi="Times New Roman" w:cs="Times New Roman"/>
                <w:sz w:val="24"/>
                <w:szCs w:val="24"/>
                <w:bdr w:val="none" w:sz="0" w:space="0" w:color="auto" w:frame="1"/>
                <w:lang w:val="da-DK"/>
              </w:rPr>
              <w:t>dermatitis</w:t>
            </w:r>
            <w:proofErr w:type="spellEnd"/>
            <w:r w:rsidRPr="006B4CA6">
              <w:rPr>
                <w:rFonts w:ascii="Times New Roman" w:hAnsi="Times New Roman" w:cs="Times New Roman"/>
                <w:sz w:val="24"/>
                <w:szCs w:val="24"/>
                <w:bdr w:val="none" w:sz="0" w:space="0" w:color="auto" w:frame="1"/>
                <w:lang w:val="da-DK"/>
              </w:rPr>
              <w:t>,</w:t>
            </w:r>
          </w:p>
          <w:p w:rsidR="00140AB5" w:rsidRPr="006B4CA6" w:rsidRDefault="00140AB5" w:rsidP="006B4CA6">
            <w:pPr>
              <w:rPr>
                <w:rFonts w:ascii="Times New Roman" w:hAnsi="Times New Roman" w:cs="Times New Roman"/>
                <w:sz w:val="24"/>
                <w:szCs w:val="24"/>
                <w:lang w:val="en-GB"/>
              </w:rPr>
            </w:pPr>
            <w:r w:rsidRPr="006B4CA6">
              <w:rPr>
                <w:rFonts w:ascii="Times New Roman" w:hAnsi="Times New Roman" w:cs="Times New Roman"/>
                <w:sz w:val="24"/>
                <w:szCs w:val="24"/>
                <w:bdr w:val="none" w:sz="0" w:space="0" w:color="auto" w:frame="1"/>
                <w:lang w:val="da-DK"/>
              </w:rPr>
              <w:t>unormal hårvækst,</w:t>
            </w:r>
          </w:p>
          <w:p w:rsidR="00140AB5" w:rsidRPr="006B4CA6" w:rsidRDefault="00140AB5" w:rsidP="006B4CA6">
            <w:pPr>
              <w:rPr>
                <w:rFonts w:ascii="Times New Roman" w:hAnsi="Times New Roman" w:cs="Times New Roman"/>
                <w:sz w:val="24"/>
                <w:szCs w:val="24"/>
                <w:lang w:val="en-GB"/>
              </w:rPr>
            </w:pPr>
            <w:r w:rsidRPr="006B4CA6">
              <w:rPr>
                <w:rFonts w:ascii="Times New Roman" w:hAnsi="Times New Roman" w:cs="Times New Roman"/>
                <w:sz w:val="24"/>
                <w:szCs w:val="24"/>
                <w:bdr w:val="none" w:sz="0" w:space="0" w:color="auto" w:frame="1"/>
                <w:lang w:val="da-DK"/>
              </w:rPr>
              <w:t>fotosensitivitetsreaktioner,</w:t>
            </w:r>
          </w:p>
          <w:p w:rsidR="00140AB5" w:rsidRPr="006B4CA6" w:rsidRDefault="00140AB5" w:rsidP="006B4CA6">
            <w:pPr>
              <w:rPr>
                <w:rFonts w:ascii="Times New Roman" w:hAnsi="Times New Roman" w:cs="Times New Roman"/>
                <w:sz w:val="24"/>
                <w:szCs w:val="24"/>
                <w:lang w:val="en-GB"/>
              </w:rPr>
            </w:pPr>
            <w:r w:rsidRPr="006B4CA6">
              <w:rPr>
                <w:rFonts w:ascii="Times New Roman" w:hAnsi="Times New Roman" w:cs="Times New Roman"/>
                <w:sz w:val="24"/>
                <w:szCs w:val="24"/>
                <w:bdr w:val="none" w:sz="0" w:space="0" w:color="auto" w:frame="1"/>
                <w:lang w:val="da-DK"/>
              </w:rPr>
              <w:t>pigmentforandringer</w:t>
            </w:r>
          </w:p>
          <w:p w:rsidR="00140AB5" w:rsidRPr="006B4CA6" w:rsidRDefault="00140AB5" w:rsidP="006B4CA6">
            <w:pPr>
              <w:rPr>
                <w:rFonts w:ascii="Times New Roman" w:hAnsi="Times New Roman" w:cs="Times New Roman"/>
                <w:sz w:val="24"/>
                <w:szCs w:val="24"/>
                <w:lang w:val="en-GB"/>
              </w:rPr>
            </w:pPr>
          </w:p>
        </w:tc>
      </w:tr>
      <w:tr w:rsidR="00140AB5" w:rsidRPr="006B4CA6" w:rsidTr="006B4CA6">
        <w:tc>
          <w:tcPr>
            <w:tcW w:w="1667" w:type="pct"/>
            <w:tcBorders>
              <w:top w:val="single" w:sz="4" w:space="0" w:color="auto"/>
              <w:left w:val="single" w:sz="4" w:space="0" w:color="auto"/>
              <w:bottom w:val="single" w:sz="4" w:space="0" w:color="auto"/>
              <w:right w:val="single" w:sz="4" w:space="0" w:color="auto"/>
            </w:tcBorders>
          </w:tcPr>
          <w:p w:rsidR="00140AB5" w:rsidRPr="001918BC" w:rsidRDefault="00140AB5" w:rsidP="00E17B6D">
            <w:pPr>
              <w:rPr>
                <w:rFonts w:ascii="Times New Roman" w:hAnsi="Times New Roman" w:cs="Times New Roman"/>
                <w:b/>
                <w:sz w:val="24"/>
                <w:szCs w:val="24"/>
                <w:lang w:val="da-DK"/>
              </w:rPr>
            </w:pPr>
            <w:bookmarkStart w:id="0" w:name="OLE_LINK1"/>
            <w:r w:rsidRPr="006B4CA6">
              <w:rPr>
                <w:rFonts w:ascii="Times New Roman" w:hAnsi="Times New Roman" w:cs="Times New Roman"/>
                <w:b/>
                <w:sz w:val="24"/>
                <w:szCs w:val="24"/>
                <w:bdr w:val="none" w:sz="0" w:space="0" w:color="auto" w:frame="1"/>
              </w:rPr>
              <w:t>Knogler, led, muskler og bindevæv</w:t>
            </w:r>
            <w:bookmarkEnd w:id="0"/>
          </w:p>
        </w:tc>
        <w:tc>
          <w:tcPr>
            <w:tcW w:w="1667" w:type="pct"/>
            <w:tcBorders>
              <w:top w:val="single" w:sz="4" w:space="0" w:color="auto"/>
              <w:left w:val="single" w:sz="4" w:space="0" w:color="auto"/>
              <w:bottom w:val="single" w:sz="4" w:space="0" w:color="auto"/>
              <w:right w:val="single" w:sz="4" w:space="0" w:color="auto"/>
            </w:tcBorders>
            <w:hideMark/>
          </w:tcPr>
          <w:p w:rsidR="00140AB5" w:rsidRPr="006B4CA6" w:rsidRDefault="00140AB5" w:rsidP="006B4CA6">
            <w:pPr>
              <w:rPr>
                <w:rFonts w:ascii="Times New Roman" w:hAnsi="Times New Roman" w:cs="Times New Roman"/>
                <w:sz w:val="24"/>
                <w:szCs w:val="24"/>
                <w:lang w:val="en-GB"/>
              </w:rPr>
            </w:pPr>
            <w:r w:rsidRPr="006B4CA6">
              <w:rPr>
                <w:rFonts w:ascii="Times New Roman" w:hAnsi="Times New Roman" w:cs="Times New Roman"/>
                <w:sz w:val="24"/>
                <w:szCs w:val="24"/>
                <w:bdr w:val="none" w:sz="0" w:space="0" w:color="auto" w:frame="1"/>
                <w:lang w:val="da-DK"/>
              </w:rPr>
              <w:t>rygsmerter</w:t>
            </w:r>
          </w:p>
        </w:tc>
        <w:tc>
          <w:tcPr>
            <w:tcW w:w="1667" w:type="pct"/>
            <w:tcBorders>
              <w:top w:val="single" w:sz="4" w:space="0" w:color="auto"/>
              <w:left w:val="single" w:sz="4" w:space="0" w:color="auto"/>
              <w:bottom w:val="single" w:sz="4" w:space="0" w:color="auto"/>
              <w:right w:val="single" w:sz="4" w:space="0" w:color="auto"/>
            </w:tcBorders>
          </w:tcPr>
          <w:p w:rsidR="00140AB5" w:rsidRPr="006B4CA6" w:rsidRDefault="00140AB5" w:rsidP="006B4CA6">
            <w:pPr>
              <w:rPr>
                <w:rFonts w:ascii="Times New Roman" w:hAnsi="Times New Roman" w:cs="Times New Roman"/>
                <w:sz w:val="24"/>
                <w:szCs w:val="24"/>
                <w:lang w:val="de-DE"/>
              </w:rPr>
            </w:pPr>
            <w:r w:rsidRPr="006B4CA6">
              <w:rPr>
                <w:rFonts w:ascii="Times New Roman" w:hAnsi="Times New Roman" w:cs="Times New Roman"/>
                <w:sz w:val="24"/>
                <w:szCs w:val="24"/>
                <w:bdr w:val="none" w:sz="0" w:space="0" w:color="auto" w:frame="1"/>
                <w:lang w:val="da-DK"/>
              </w:rPr>
              <w:t>knoglesmerter,</w:t>
            </w:r>
          </w:p>
          <w:p w:rsidR="00140AB5" w:rsidRPr="006B4CA6" w:rsidRDefault="00140AB5" w:rsidP="006B4CA6">
            <w:pPr>
              <w:rPr>
                <w:rFonts w:ascii="Times New Roman" w:hAnsi="Times New Roman" w:cs="Times New Roman"/>
                <w:sz w:val="24"/>
                <w:szCs w:val="24"/>
                <w:lang w:val="de-DE"/>
              </w:rPr>
            </w:pPr>
            <w:r w:rsidRPr="006B4CA6">
              <w:rPr>
                <w:rFonts w:ascii="Times New Roman" w:hAnsi="Times New Roman" w:cs="Times New Roman"/>
                <w:sz w:val="24"/>
                <w:szCs w:val="24"/>
                <w:bdr w:val="none" w:sz="0" w:space="0" w:color="auto" w:frame="1"/>
                <w:lang w:val="da-DK"/>
              </w:rPr>
              <w:t>muskelkramper,</w:t>
            </w:r>
          </w:p>
          <w:p w:rsidR="00140AB5" w:rsidRPr="006B4CA6" w:rsidRDefault="00140AB5" w:rsidP="006B4CA6">
            <w:pPr>
              <w:rPr>
                <w:rFonts w:ascii="Times New Roman" w:hAnsi="Times New Roman" w:cs="Times New Roman"/>
                <w:sz w:val="24"/>
                <w:szCs w:val="24"/>
                <w:lang w:val="de-DE"/>
              </w:rPr>
            </w:pPr>
            <w:r w:rsidRPr="006B4CA6">
              <w:rPr>
                <w:rFonts w:ascii="Times New Roman" w:hAnsi="Times New Roman" w:cs="Times New Roman"/>
                <w:sz w:val="24"/>
                <w:szCs w:val="24"/>
                <w:bdr w:val="none" w:sz="0" w:space="0" w:color="auto" w:frame="1"/>
                <w:lang w:val="da-DK"/>
              </w:rPr>
              <w:t>smerter i ekstremiteterne,</w:t>
            </w:r>
          </w:p>
          <w:p w:rsidR="00140AB5" w:rsidRPr="006B4CA6" w:rsidRDefault="00140AB5" w:rsidP="006B4CA6">
            <w:pPr>
              <w:rPr>
                <w:rFonts w:ascii="Times New Roman" w:hAnsi="Times New Roman" w:cs="Times New Roman"/>
                <w:sz w:val="24"/>
                <w:szCs w:val="24"/>
                <w:lang w:val="da-DK"/>
              </w:rPr>
            </w:pPr>
            <w:r w:rsidRPr="006B4CA6">
              <w:rPr>
                <w:rFonts w:ascii="Times New Roman" w:hAnsi="Times New Roman" w:cs="Times New Roman"/>
                <w:sz w:val="24"/>
                <w:szCs w:val="24"/>
                <w:bdr w:val="none" w:sz="0" w:space="0" w:color="auto" w:frame="1"/>
                <w:lang w:val="da-DK"/>
              </w:rPr>
              <w:t>tunghed i ekstremiteterne</w:t>
            </w:r>
          </w:p>
          <w:p w:rsidR="00140AB5" w:rsidRPr="006B4CA6" w:rsidRDefault="00140AB5" w:rsidP="006B4CA6">
            <w:pPr>
              <w:rPr>
                <w:rFonts w:ascii="Times New Roman" w:hAnsi="Times New Roman" w:cs="Times New Roman"/>
                <w:sz w:val="24"/>
                <w:szCs w:val="24"/>
                <w:lang w:val="da-DK"/>
              </w:rPr>
            </w:pPr>
          </w:p>
        </w:tc>
      </w:tr>
      <w:tr w:rsidR="00140AB5" w:rsidRPr="006B4CA6" w:rsidTr="006B4CA6">
        <w:tc>
          <w:tcPr>
            <w:tcW w:w="1667" w:type="pct"/>
            <w:tcBorders>
              <w:top w:val="single" w:sz="4" w:space="0" w:color="auto"/>
              <w:left w:val="single" w:sz="4" w:space="0" w:color="auto"/>
              <w:bottom w:val="single" w:sz="4" w:space="0" w:color="auto"/>
              <w:right w:val="single" w:sz="4" w:space="0" w:color="auto"/>
            </w:tcBorders>
          </w:tcPr>
          <w:p w:rsidR="00140AB5" w:rsidRPr="006B4CA6" w:rsidRDefault="00140AB5" w:rsidP="00E17B6D">
            <w:pPr>
              <w:rPr>
                <w:rFonts w:ascii="Times New Roman" w:hAnsi="Times New Roman" w:cs="Times New Roman"/>
                <w:b/>
                <w:sz w:val="24"/>
                <w:szCs w:val="24"/>
                <w:lang w:val="en-GB"/>
              </w:rPr>
            </w:pPr>
            <w:r w:rsidRPr="006B4CA6">
              <w:rPr>
                <w:rFonts w:ascii="Times New Roman" w:hAnsi="Times New Roman" w:cs="Times New Roman"/>
                <w:b/>
                <w:sz w:val="24"/>
                <w:szCs w:val="24"/>
                <w:bdr w:val="none" w:sz="0" w:space="0" w:color="auto" w:frame="1"/>
                <w:lang w:val="da-DK"/>
              </w:rPr>
              <w:t>Nyre- og urinvejsforstyrrelser</w:t>
            </w:r>
          </w:p>
        </w:tc>
        <w:tc>
          <w:tcPr>
            <w:tcW w:w="1667" w:type="pct"/>
            <w:tcBorders>
              <w:top w:val="single" w:sz="4" w:space="0" w:color="auto"/>
              <w:left w:val="single" w:sz="4" w:space="0" w:color="auto"/>
              <w:bottom w:val="single" w:sz="4" w:space="0" w:color="auto"/>
              <w:right w:val="single" w:sz="4" w:space="0" w:color="auto"/>
            </w:tcBorders>
          </w:tcPr>
          <w:p w:rsidR="00140AB5" w:rsidRPr="006B4CA6" w:rsidRDefault="00140AB5" w:rsidP="006B4CA6">
            <w:pPr>
              <w:rPr>
                <w:rFonts w:ascii="Times New Roman" w:hAnsi="Times New Roman" w:cs="Times New Roman"/>
                <w:sz w:val="24"/>
                <w:szCs w:val="24"/>
                <w:lang w:val="en-GB"/>
              </w:rPr>
            </w:pPr>
          </w:p>
        </w:tc>
        <w:tc>
          <w:tcPr>
            <w:tcW w:w="1667" w:type="pct"/>
            <w:tcBorders>
              <w:top w:val="single" w:sz="4" w:space="0" w:color="auto"/>
              <w:left w:val="single" w:sz="4" w:space="0" w:color="auto"/>
              <w:bottom w:val="single" w:sz="4" w:space="0" w:color="auto"/>
              <w:right w:val="single" w:sz="4" w:space="0" w:color="auto"/>
            </w:tcBorders>
          </w:tcPr>
          <w:p w:rsidR="00140AB5" w:rsidRPr="006B4CA6" w:rsidRDefault="00140AB5" w:rsidP="006B4CA6">
            <w:pPr>
              <w:rPr>
                <w:rFonts w:ascii="Times New Roman" w:hAnsi="Times New Roman" w:cs="Times New Roman"/>
                <w:sz w:val="24"/>
                <w:szCs w:val="24"/>
                <w:lang w:val="en-GB"/>
              </w:rPr>
            </w:pPr>
            <w:r w:rsidRPr="006B4CA6">
              <w:rPr>
                <w:rFonts w:ascii="Times New Roman" w:hAnsi="Times New Roman" w:cs="Times New Roman"/>
                <w:sz w:val="24"/>
                <w:szCs w:val="24"/>
                <w:bdr w:val="none" w:sz="0" w:space="0" w:color="auto" w:frame="1"/>
                <w:lang w:val="da-DK"/>
              </w:rPr>
              <w:t>urinvejsinfektion</w:t>
            </w:r>
          </w:p>
          <w:p w:rsidR="00140AB5" w:rsidRPr="006B4CA6" w:rsidRDefault="00140AB5" w:rsidP="006B4CA6">
            <w:pPr>
              <w:rPr>
                <w:rFonts w:ascii="Times New Roman" w:hAnsi="Times New Roman" w:cs="Times New Roman"/>
                <w:sz w:val="24"/>
                <w:szCs w:val="24"/>
                <w:lang w:val="en-GB"/>
              </w:rPr>
            </w:pPr>
          </w:p>
        </w:tc>
      </w:tr>
      <w:tr w:rsidR="00140AB5" w:rsidRPr="006B4CA6" w:rsidTr="006B4CA6">
        <w:tc>
          <w:tcPr>
            <w:tcW w:w="1667" w:type="pct"/>
            <w:tcBorders>
              <w:top w:val="single" w:sz="4" w:space="0" w:color="auto"/>
              <w:left w:val="single" w:sz="4" w:space="0" w:color="auto"/>
              <w:bottom w:val="single" w:sz="4" w:space="0" w:color="auto"/>
              <w:right w:val="single" w:sz="4" w:space="0" w:color="auto"/>
            </w:tcBorders>
          </w:tcPr>
          <w:p w:rsidR="00140AB5" w:rsidRPr="001918BC" w:rsidRDefault="00140AB5" w:rsidP="00E17B6D">
            <w:pPr>
              <w:rPr>
                <w:rFonts w:ascii="Times New Roman" w:hAnsi="Times New Roman" w:cs="Times New Roman"/>
                <w:b/>
                <w:sz w:val="24"/>
                <w:szCs w:val="24"/>
                <w:lang w:val="da-DK"/>
              </w:rPr>
            </w:pPr>
            <w:r w:rsidRPr="006B4CA6">
              <w:rPr>
                <w:rFonts w:ascii="Times New Roman" w:hAnsi="Times New Roman" w:cs="Times New Roman"/>
                <w:b/>
                <w:sz w:val="24"/>
                <w:szCs w:val="24"/>
                <w:bdr w:val="none" w:sz="0" w:space="0" w:color="auto" w:frame="1"/>
              </w:rPr>
              <w:t>Det reproduktive system og mammae</w:t>
            </w:r>
          </w:p>
        </w:tc>
        <w:tc>
          <w:tcPr>
            <w:tcW w:w="1667" w:type="pct"/>
            <w:tcBorders>
              <w:top w:val="single" w:sz="4" w:space="0" w:color="auto"/>
              <w:left w:val="single" w:sz="4" w:space="0" w:color="auto"/>
              <w:bottom w:val="single" w:sz="4" w:space="0" w:color="auto"/>
              <w:right w:val="single" w:sz="4" w:space="0" w:color="auto"/>
            </w:tcBorders>
          </w:tcPr>
          <w:p w:rsidR="00140AB5" w:rsidRPr="006B4CA6" w:rsidRDefault="00140AB5" w:rsidP="006B4CA6">
            <w:pPr>
              <w:rPr>
                <w:rFonts w:ascii="Times New Roman" w:hAnsi="Times New Roman" w:cs="Times New Roman"/>
                <w:sz w:val="24"/>
                <w:szCs w:val="24"/>
                <w:lang w:val="de-DE"/>
              </w:rPr>
            </w:pPr>
            <w:r w:rsidRPr="006B4CA6">
              <w:rPr>
                <w:rFonts w:ascii="Times New Roman" w:hAnsi="Times New Roman" w:cs="Times New Roman"/>
                <w:sz w:val="24"/>
                <w:szCs w:val="24"/>
                <w:bdr w:val="none" w:sz="0" w:space="0" w:color="auto" w:frame="1"/>
                <w:lang w:val="da-DK"/>
              </w:rPr>
              <w:t>ubehag i brystet,</w:t>
            </w:r>
          </w:p>
          <w:p w:rsidR="00140AB5" w:rsidRPr="006B4CA6" w:rsidRDefault="00140AB5" w:rsidP="006B4CA6">
            <w:pPr>
              <w:rPr>
                <w:rFonts w:ascii="Times New Roman" w:hAnsi="Times New Roman" w:cs="Times New Roman"/>
                <w:sz w:val="24"/>
                <w:szCs w:val="24"/>
                <w:lang w:val="de-DE"/>
              </w:rPr>
            </w:pPr>
            <w:r w:rsidRPr="006B4CA6">
              <w:rPr>
                <w:rFonts w:ascii="Times New Roman" w:hAnsi="Times New Roman" w:cs="Times New Roman"/>
                <w:sz w:val="24"/>
                <w:szCs w:val="24"/>
                <w:bdr w:val="none" w:sz="0" w:space="0" w:color="auto" w:frame="1"/>
                <w:lang w:val="da-DK"/>
              </w:rPr>
              <w:t>ovariecyste,</w:t>
            </w:r>
          </w:p>
          <w:p w:rsidR="00140AB5" w:rsidRPr="006B4CA6" w:rsidRDefault="00140AB5" w:rsidP="006B4CA6">
            <w:pPr>
              <w:rPr>
                <w:rFonts w:ascii="Times New Roman" w:hAnsi="Times New Roman" w:cs="Times New Roman"/>
                <w:sz w:val="24"/>
                <w:szCs w:val="24"/>
                <w:lang w:val="de-DE"/>
              </w:rPr>
            </w:pPr>
            <w:r w:rsidRPr="006B4CA6">
              <w:rPr>
                <w:rFonts w:ascii="Times New Roman" w:hAnsi="Times New Roman" w:cs="Times New Roman"/>
                <w:sz w:val="24"/>
                <w:szCs w:val="24"/>
                <w:bdr w:val="none" w:sz="0" w:space="0" w:color="auto" w:frame="1"/>
                <w:lang w:val="da-DK"/>
              </w:rPr>
              <w:t>hedeture,</w:t>
            </w:r>
          </w:p>
          <w:p w:rsidR="00140AB5" w:rsidRPr="006B4CA6" w:rsidRDefault="00140AB5" w:rsidP="006B4CA6">
            <w:pPr>
              <w:rPr>
                <w:rFonts w:ascii="Times New Roman" w:hAnsi="Times New Roman" w:cs="Times New Roman"/>
                <w:sz w:val="24"/>
                <w:szCs w:val="24"/>
                <w:lang w:val="en-GB"/>
              </w:rPr>
            </w:pPr>
            <w:r w:rsidRPr="006B4CA6">
              <w:rPr>
                <w:rFonts w:ascii="Times New Roman" w:hAnsi="Times New Roman" w:cs="Times New Roman"/>
                <w:sz w:val="24"/>
                <w:szCs w:val="24"/>
                <w:bdr w:val="none" w:sz="0" w:space="0" w:color="auto" w:frame="1"/>
                <w:lang w:val="da-DK"/>
              </w:rPr>
              <w:t>livmoderblødning/vaginal blødning, herunder pletblødning</w:t>
            </w:r>
          </w:p>
          <w:p w:rsidR="00140AB5" w:rsidRPr="006B4CA6" w:rsidRDefault="00140AB5" w:rsidP="006B4CA6">
            <w:pPr>
              <w:rPr>
                <w:rFonts w:ascii="Times New Roman" w:hAnsi="Times New Roman" w:cs="Times New Roman"/>
                <w:sz w:val="24"/>
                <w:szCs w:val="24"/>
                <w:lang w:val="en-GB"/>
              </w:rPr>
            </w:pPr>
          </w:p>
        </w:tc>
        <w:tc>
          <w:tcPr>
            <w:tcW w:w="1667" w:type="pct"/>
            <w:tcBorders>
              <w:top w:val="single" w:sz="4" w:space="0" w:color="auto"/>
              <w:left w:val="single" w:sz="4" w:space="0" w:color="auto"/>
              <w:bottom w:val="single" w:sz="4" w:space="0" w:color="auto"/>
              <w:right w:val="single" w:sz="4" w:space="0" w:color="auto"/>
            </w:tcBorders>
          </w:tcPr>
          <w:p w:rsidR="00140AB5" w:rsidRPr="006B4CA6" w:rsidRDefault="00140AB5" w:rsidP="006B4CA6">
            <w:pPr>
              <w:rPr>
                <w:rFonts w:ascii="Times New Roman" w:hAnsi="Times New Roman" w:cs="Times New Roman"/>
                <w:sz w:val="24"/>
                <w:szCs w:val="24"/>
                <w:lang w:val="da-DK"/>
              </w:rPr>
            </w:pPr>
            <w:r w:rsidRPr="006B4CA6">
              <w:rPr>
                <w:rFonts w:ascii="Times New Roman" w:hAnsi="Times New Roman" w:cs="Times New Roman"/>
                <w:sz w:val="24"/>
                <w:szCs w:val="24"/>
                <w:bdr w:val="none" w:sz="0" w:space="0" w:color="auto" w:frame="1"/>
                <w:lang w:val="da-DK"/>
              </w:rPr>
              <w:t xml:space="preserve">vaginal </w:t>
            </w:r>
            <w:proofErr w:type="spellStart"/>
            <w:r w:rsidRPr="006B4CA6">
              <w:rPr>
                <w:rFonts w:ascii="Times New Roman" w:hAnsi="Times New Roman" w:cs="Times New Roman"/>
                <w:sz w:val="24"/>
                <w:szCs w:val="24"/>
                <w:bdr w:val="none" w:sz="0" w:space="0" w:color="auto" w:frame="1"/>
                <w:lang w:val="da-DK"/>
              </w:rPr>
              <w:t>candidose</w:t>
            </w:r>
            <w:proofErr w:type="spellEnd"/>
            <w:r w:rsidRPr="006B4CA6">
              <w:rPr>
                <w:rFonts w:ascii="Times New Roman" w:hAnsi="Times New Roman" w:cs="Times New Roman"/>
                <w:sz w:val="24"/>
                <w:szCs w:val="24"/>
                <w:bdr w:val="none" w:sz="0" w:space="0" w:color="auto" w:frame="1"/>
                <w:lang w:val="da-DK"/>
              </w:rPr>
              <w:t>,</w:t>
            </w:r>
          </w:p>
          <w:p w:rsidR="00140AB5" w:rsidRPr="006B4CA6" w:rsidRDefault="00140AB5" w:rsidP="006B4CA6">
            <w:pPr>
              <w:rPr>
                <w:rFonts w:ascii="Times New Roman" w:hAnsi="Times New Roman" w:cs="Times New Roman"/>
                <w:sz w:val="24"/>
                <w:szCs w:val="24"/>
                <w:lang w:val="da-DK"/>
              </w:rPr>
            </w:pPr>
            <w:proofErr w:type="spellStart"/>
            <w:r w:rsidRPr="006B4CA6">
              <w:rPr>
                <w:rFonts w:ascii="Times New Roman" w:hAnsi="Times New Roman" w:cs="Times New Roman"/>
                <w:sz w:val="24"/>
                <w:szCs w:val="24"/>
                <w:bdr w:val="none" w:sz="0" w:space="0" w:color="auto" w:frame="1"/>
                <w:lang w:val="da-DK"/>
              </w:rPr>
              <w:t>vulvovaginal</w:t>
            </w:r>
            <w:proofErr w:type="spellEnd"/>
            <w:r w:rsidRPr="006B4CA6">
              <w:rPr>
                <w:rFonts w:ascii="Times New Roman" w:hAnsi="Times New Roman" w:cs="Times New Roman"/>
                <w:sz w:val="24"/>
                <w:szCs w:val="24"/>
                <w:bdr w:val="none" w:sz="0" w:space="0" w:color="auto" w:frame="1"/>
                <w:lang w:val="da-DK"/>
              </w:rPr>
              <w:t xml:space="preserve"> tørhed,</w:t>
            </w:r>
          </w:p>
          <w:p w:rsidR="00140AB5" w:rsidRPr="006B4CA6" w:rsidRDefault="00140AB5" w:rsidP="006B4CA6">
            <w:pPr>
              <w:rPr>
                <w:rFonts w:ascii="Times New Roman" w:hAnsi="Times New Roman" w:cs="Times New Roman"/>
                <w:sz w:val="24"/>
                <w:szCs w:val="24"/>
                <w:lang w:val="da-DK"/>
              </w:rPr>
            </w:pPr>
            <w:r w:rsidRPr="006B4CA6">
              <w:rPr>
                <w:rFonts w:ascii="Times New Roman" w:hAnsi="Times New Roman" w:cs="Times New Roman"/>
                <w:sz w:val="24"/>
                <w:szCs w:val="24"/>
                <w:bdr w:val="none" w:sz="0" w:space="0" w:color="auto" w:frame="1"/>
                <w:lang w:val="da-DK"/>
              </w:rPr>
              <w:t>genitalt udflåd,</w:t>
            </w:r>
          </w:p>
          <w:p w:rsidR="00140AB5" w:rsidRPr="006B4CA6" w:rsidRDefault="00140AB5" w:rsidP="006B4CA6">
            <w:pPr>
              <w:rPr>
                <w:rFonts w:ascii="Times New Roman" w:hAnsi="Times New Roman" w:cs="Times New Roman"/>
                <w:sz w:val="24"/>
                <w:szCs w:val="24"/>
                <w:lang w:val="da-DK"/>
              </w:rPr>
            </w:pPr>
            <w:r w:rsidRPr="006B4CA6">
              <w:rPr>
                <w:rFonts w:ascii="Times New Roman" w:hAnsi="Times New Roman" w:cs="Times New Roman"/>
                <w:sz w:val="24"/>
                <w:szCs w:val="24"/>
                <w:bdr w:val="none" w:sz="0" w:space="0" w:color="auto" w:frame="1"/>
                <w:lang w:val="da-DK"/>
              </w:rPr>
              <w:t>bækkensmerter,</w:t>
            </w:r>
          </w:p>
          <w:p w:rsidR="00140AB5" w:rsidRPr="006B4CA6" w:rsidRDefault="00140AB5" w:rsidP="006B4CA6">
            <w:pPr>
              <w:rPr>
                <w:rFonts w:ascii="Times New Roman" w:hAnsi="Times New Roman" w:cs="Times New Roman"/>
                <w:sz w:val="24"/>
                <w:szCs w:val="24"/>
                <w:lang w:val="da-DK"/>
              </w:rPr>
            </w:pPr>
            <w:r w:rsidRPr="006B4CA6">
              <w:rPr>
                <w:rFonts w:ascii="Times New Roman" w:hAnsi="Times New Roman" w:cs="Times New Roman"/>
                <w:sz w:val="24"/>
                <w:szCs w:val="24"/>
                <w:bdr w:val="none" w:sz="0" w:space="0" w:color="auto" w:frame="1"/>
                <w:lang w:val="da-DK"/>
              </w:rPr>
              <w:t xml:space="preserve">atrofisk </w:t>
            </w:r>
            <w:proofErr w:type="spellStart"/>
            <w:r w:rsidRPr="006B4CA6">
              <w:rPr>
                <w:rFonts w:ascii="Times New Roman" w:hAnsi="Times New Roman" w:cs="Times New Roman"/>
                <w:sz w:val="24"/>
                <w:szCs w:val="24"/>
                <w:bdr w:val="none" w:sz="0" w:space="0" w:color="auto" w:frame="1"/>
                <w:lang w:val="da-DK"/>
              </w:rPr>
              <w:t>vulvovaginitis</w:t>
            </w:r>
            <w:proofErr w:type="spellEnd"/>
            <w:r w:rsidRPr="006B4CA6">
              <w:rPr>
                <w:rFonts w:ascii="Times New Roman" w:hAnsi="Times New Roman" w:cs="Times New Roman"/>
                <w:sz w:val="24"/>
                <w:szCs w:val="24"/>
                <w:bdr w:val="none" w:sz="0" w:space="0" w:color="auto" w:frame="1"/>
                <w:lang w:val="da-DK"/>
              </w:rPr>
              <w:t>,</w:t>
            </w:r>
          </w:p>
          <w:p w:rsidR="00140AB5" w:rsidRPr="006B4CA6" w:rsidRDefault="00140AB5" w:rsidP="006B4CA6">
            <w:pPr>
              <w:rPr>
                <w:rFonts w:ascii="Times New Roman" w:hAnsi="Times New Roman" w:cs="Times New Roman"/>
                <w:sz w:val="24"/>
                <w:szCs w:val="24"/>
                <w:lang w:val="da-DK"/>
              </w:rPr>
            </w:pPr>
            <w:r w:rsidRPr="006B4CA6">
              <w:rPr>
                <w:rFonts w:ascii="Times New Roman" w:hAnsi="Times New Roman" w:cs="Times New Roman"/>
                <w:sz w:val="24"/>
                <w:szCs w:val="24"/>
                <w:bdr w:val="none" w:sz="0" w:space="0" w:color="auto" w:frame="1"/>
                <w:lang w:val="da-DK"/>
              </w:rPr>
              <w:t>brystudfyldning,</w:t>
            </w:r>
          </w:p>
          <w:p w:rsidR="00140AB5" w:rsidRPr="006B4CA6" w:rsidRDefault="00140AB5" w:rsidP="006B4CA6">
            <w:pPr>
              <w:rPr>
                <w:rFonts w:ascii="Times New Roman" w:hAnsi="Times New Roman" w:cs="Times New Roman"/>
                <w:sz w:val="24"/>
                <w:szCs w:val="24"/>
                <w:lang w:val="da-DK"/>
              </w:rPr>
            </w:pPr>
            <w:proofErr w:type="spellStart"/>
            <w:r w:rsidRPr="006B4CA6">
              <w:rPr>
                <w:rFonts w:ascii="Times New Roman" w:hAnsi="Times New Roman" w:cs="Times New Roman"/>
                <w:sz w:val="24"/>
                <w:szCs w:val="24"/>
                <w:bdr w:val="none" w:sz="0" w:space="0" w:color="auto" w:frame="1"/>
                <w:lang w:val="da-DK"/>
              </w:rPr>
              <w:t>fibrocystisk</w:t>
            </w:r>
            <w:proofErr w:type="spellEnd"/>
            <w:r w:rsidRPr="006B4CA6">
              <w:rPr>
                <w:rFonts w:ascii="Times New Roman" w:hAnsi="Times New Roman" w:cs="Times New Roman"/>
                <w:sz w:val="24"/>
                <w:szCs w:val="24"/>
                <w:bdr w:val="none" w:sz="0" w:space="0" w:color="auto" w:frame="1"/>
                <w:lang w:val="da-DK"/>
              </w:rPr>
              <w:t xml:space="preserve"> brystsygdom,</w:t>
            </w:r>
          </w:p>
          <w:p w:rsidR="00140AB5" w:rsidRPr="006B4CA6" w:rsidRDefault="00140AB5" w:rsidP="006B4CA6">
            <w:pPr>
              <w:rPr>
                <w:rFonts w:ascii="Times New Roman" w:hAnsi="Times New Roman" w:cs="Times New Roman"/>
                <w:sz w:val="24"/>
                <w:szCs w:val="24"/>
                <w:lang w:val="en-GB"/>
              </w:rPr>
            </w:pPr>
            <w:r w:rsidRPr="006B4CA6">
              <w:rPr>
                <w:rFonts w:ascii="Times New Roman" w:hAnsi="Times New Roman" w:cs="Times New Roman"/>
                <w:sz w:val="24"/>
                <w:szCs w:val="24"/>
                <w:bdr w:val="none" w:sz="0" w:space="0" w:color="auto" w:frame="1"/>
                <w:lang w:val="da-DK"/>
              </w:rPr>
              <w:t>lokal hærdning af brystvæv</w:t>
            </w:r>
          </w:p>
          <w:p w:rsidR="00140AB5" w:rsidRPr="006B4CA6" w:rsidRDefault="00140AB5" w:rsidP="006B4CA6">
            <w:pPr>
              <w:rPr>
                <w:rFonts w:ascii="Times New Roman" w:hAnsi="Times New Roman" w:cs="Times New Roman"/>
                <w:sz w:val="24"/>
                <w:szCs w:val="24"/>
                <w:lang w:val="en-GB"/>
              </w:rPr>
            </w:pPr>
          </w:p>
        </w:tc>
      </w:tr>
      <w:tr w:rsidR="00140AB5" w:rsidRPr="006B4CA6" w:rsidTr="006B4CA6">
        <w:tc>
          <w:tcPr>
            <w:tcW w:w="1667" w:type="pct"/>
            <w:tcBorders>
              <w:top w:val="single" w:sz="4" w:space="0" w:color="auto"/>
              <w:left w:val="single" w:sz="4" w:space="0" w:color="auto"/>
              <w:bottom w:val="single" w:sz="4" w:space="0" w:color="auto"/>
              <w:right w:val="single" w:sz="4" w:space="0" w:color="auto"/>
            </w:tcBorders>
          </w:tcPr>
          <w:p w:rsidR="00140AB5" w:rsidRPr="006B4CA6" w:rsidRDefault="00140AB5" w:rsidP="00E17B6D">
            <w:pPr>
              <w:rPr>
                <w:rFonts w:ascii="Times New Roman" w:hAnsi="Times New Roman" w:cs="Times New Roman"/>
                <w:b/>
                <w:sz w:val="24"/>
                <w:szCs w:val="24"/>
                <w:lang w:val="da-DK"/>
              </w:rPr>
            </w:pPr>
            <w:r w:rsidRPr="006B4CA6">
              <w:rPr>
                <w:rFonts w:ascii="Times New Roman" w:hAnsi="Times New Roman" w:cs="Times New Roman"/>
                <w:b/>
                <w:sz w:val="24"/>
                <w:szCs w:val="24"/>
                <w:bdr w:val="none" w:sz="0" w:space="0" w:color="auto" w:frame="1"/>
              </w:rPr>
              <w:t>Almene symptomer og reaktioner på administrationsstedet</w:t>
            </w:r>
          </w:p>
        </w:tc>
        <w:tc>
          <w:tcPr>
            <w:tcW w:w="1667" w:type="pct"/>
            <w:tcBorders>
              <w:top w:val="single" w:sz="4" w:space="0" w:color="auto"/>
              <w:left w:val="single" w:sz="4" w:space="0" w:color="auto"/>
              <w:bottom w:val="single" w:sz="4" w:space="0" w:color="auto"/>
              <w:right w:val="single" w:sz="4" w:space="0" w:color="auto"/>
            </w:tcBorders>
          </w:tcPr>
          <w:p w:rsidR="00140AB5" w:rsidRPr="006B4CA6" w:rsidRDefault="00140AB5" w:rsidP="006B4CA6">
            <w:pPr>
              <w:rPr>
                <w:rFonts w:ascii="Times New Roman" w:hAnsi="Times New Roman" w:cs="Times New Roman"/>
                <w:sz w:val="24"/>
                <w:szCs w:val="24"/>
                <w:lang w:val="en-GB"/>
              </w:rPr>
            </w:pPr>
            <w:r w:rsidRPr="006B4CA6">
              <w:rPr>
                <w:rFonts w:ascii="Times New Roman" w:hAnsi="Times New Roman" w:cs="Times New Roman"/>
                <w:sz w:val="24"/>
                <w:szCs w:val="24"/>
                <w:bdr w:val="none" w:sz="0" w:space="0" w:color="auto" w:frame="1"/>
                <w:lang w:val="da-DK"/>
              </w:rPr>
              <w:t>tilstande af kraftesløshed,</w:t>
            </w:r>
          </w:p>
          <w:p w:rsidR="00140AB5" w:rsidRPr="006B4CA6" w:rsidRDefault="00140AB5" w:rsidP="006B4CA6">
            <w:pPr>
              <w:rPr>
                <w:rFonts w:ascii="Times New Roman" w:hAnsi="Times New Roman" w:cs="Times New Roman"/>
                <w:sz w:val="24"/>
                <w:szCs w:val="24"/>
                <w:lang w:val="en-GB"/>
              </w:rPr>
            </w:pPr>
            <w:r w:rsidRPr="006B4CA6">
              <w:rPr>
                <w:rFonts w:ascii="Times New Roman" w:hAnsi="Times New Roman" w:cs="Times New Roman"/>
                <w:sz w:val="24"/>
                <w:szCs w:val="24"/>
                <w:bdr w:val="none" w:sz="0" w:space="0" w:color="auto" w:frame="1"/>
                <w:lang w:val="da-DK"/>
              </w:rPr>
              <w:t>irritabilitet</w:t>
            </w:r>
          </w:p>
          <w:p w:rsidR="00140AB5" w:rsidRPr="006B4CA6" w:rsidRDefault="00140AB5" w:rsidP="006B4CA6">
            <w:pPr>
              <w:rPr>
                <w:rFonts w:ascii="Times New Roman" w:hAnsi="Times New Roman" w:cs="Times New Roman"/>
                <w:sz w:val="24"/>
                <w:szCs w:val="24"/>
                <w:lang w:val="en-GB"/>
              </w:rPr>
            </w:pPr>
          </w:p>
        </w:tc>
        <w:tc>
          <w:tcPr>
            <w:tcW w:w="1667" w:type="pct"/>
            <w:tcBorders>
              <w:top w:val="single" w:sz="4" w:space="0" w:color="auto"/>
              <w:left w:val="single" w:sz="4" w:space="0" w:color="auto"/>
              <w:bottom w:val="single" w:sz="4" w:space="0" w:color="auto"/>
              <w:right w:val="single" w:sz="4" w:space="0" w:color="auto"/>
            </w:tcBorders>
          </w:tcPr>
          <w:p w:rsidR="00140AB5" w:rsidRPr="006B4CA6" w:rsidRDefault="00140AB5" w:rsidP="006B4CA6">
            <w:pPr>
              <w:rPr>
                <w:rFonts w:ascii="Times New Roman" w:hAnsi="Times New Roman" w:cs="Times New Roman"/>
                <w:sz w:val="24"/>
                <w:szCs w:val="24"/>
                <w:lang w:val="en-GB"/>
              </w:rPr>
            </w:pPr>
            <w:r w:rsidRPr="006B4CA6">
              <w:rPr>
                <w:rFonts w:ascii="Times New Roman" w:hAnsi="Times New Roman" w:cs="Times New Roman"/>
                <w:sz w:val="24"/>
                <w:szCs w:val="24"/>
                <w:bdr w:val="none" w:sz="0" w:space="0" w:color="auto" w:frame="1"/>
                <w:lang w:val="da-DK"/>
              </w:rPr>
              <w:t>ødemer</w:t>
            </w:r>
          </w:p>
          <w:p w:rsidR="00140AB5" w:rsidRPr="006B4CA6" w:rsidRDefault="00140AB5" w:rsidP="006B4CA6">
            <w:pPr>
              <w:rPr>
                <w:rFonts w:ascii="Times New Roman" w:hAnsi="Times New Roman" w:cs="Times New Roman"/>
                <w:sz w:val="24"/>
                <w:szCs w:val="24"/>
                <w:lang w:val="en-GB"/>
              </w:rPr>
            </w:pPr>
          </w:p>
        </w:tc>
      </w:tr>
    </w:tbl>
    <w:p w:rsidR="00140AB5" w:rsidRDefault="00140AB5" w:rsidP="00140AB5">
      <w:pPr>
        <w:pStyle w:val="Sidehoved"/>
        <w:tabs>
          <w:tab w:val="left" w:pos="851"/>
        </w:tabs>
        <w:ind w:left="851"/>
        <w:rPr>
          <w:szCs w:val="24"/>
        </w:rPr>
      </w:pPr>
    </w:p>
    <w:p w:rsidR="00140AB5" w:rsidRPr="00BF5021" w:rsidRDefault="00140AB5" w:rsidP="00140AB5">
      <w:pPr>
        <w:pStyle w:val="Sidehoved"/>
        <w:tabs>
          <w:tab w:val="left" w:pos="851"/>
        </w:tabs>
        <w:ind w:left="851"/>
        <w:rPr>
          <w:bCs/>
          <w:szCs w:val="24"/>
          <w:u w:val="single"/>
        </w:rPr>
      </w:pPr>
      <w:r w:rsidRPr="00BF5021">
        <w:rPr>
          <w:bCs/>
          <w:szCs w:val="24"/>
          <w:u w:val="single"/>
        </w:rPr>
        <w:t>Reduktion i knoglernes mineraltæthed</w:t>
      </w:r>
    </w:p>
    <w:p w:rsidR="00140AB5" w:rsidRPr="00723B8B" w:rsidRDefault="00140AB5" w:rsidP="00140AB5">
      <w:pPr>
        <w:pStyle w:val="Sidehoved"/>
        <w:tabs>
          <w:tab w:val="left" w:pos="851"/>
        </w:tabs>
        <w:ind w:left="851"/>
        <w:rPr>
          <w:szCs w:val="24"/>
        </w:rPr>
      </w:pPr>
      <w:r w:rsidRPr="00723B8B">
        <w:rPr>
          <w:szCs w:val="24"/>
        </w:rPr>
        <w:t>I e</w:t>
      </w:r>
      <w:r>
        <w:rPr>
          <w:szCs w:val="24"/>
        </w:rPr>
        <w:t>t</w:t>
      </w:r>
      <w:r w:rsidRPr="00723B8B">
        <w:rPr>
          <w:szCs w:val="24"/>
        </w:rPr>
        <w:t xml:space="preserve"> </w:t>
      </w:r>
      <w:r>
        <w:rPr>
          <w:szCs w:val="24"/>
        </w:rPr>
        <w:t>ikke-</w:t>
      </w:r>
      <w:r w:rsidRPr="00723B8B">
        <w:rPr>
          <w:szCs w:val="24"/>
        </w:rPr>
        <w:t xml:space="preserve">kontrolleret klinisk </w:t>
      </w:r>
      <w:r>
        <w:rPr>
          <w:szCs w:val="24"/>
        </w:rPr>
        <w:t>studie af 111 unge</w:t>
      </w:r>
      <w:r w:rsidRPr="00723B8B">
        <w:rPr>
          <w:szCs w:val="24"/>
        </w:rPr>
        <w:t xml:space="preserve"> kvinder (12</w:t>
      </w:r>
      <w:r>
        <w:rPr>
          <w:szCs w:val="24"/>
        </w:rPr>
        <w:t xml:space="preserve"> </w:t>
      </w:r>
      <w:r w:rsidRPr="00723B8B">
        <w:rPr>
          <w:szCs w:val="24"/>
        </w:rPr>
        <w:t>-</w:t>
      </w:r>
      <w:r>
        <w:rPr>
          <w:szCs w:val="24"/>
        </w:rPr>
        <w:t xml:space="preserve"> </w:t>
      </w:r>
      <w:r w:rsidRPr="00723B8B">
        <w:rPr>
          <w:szCs w:val="24"/>
        </w:rPr>
        <w:t xml:space="preserve">&lt;18 år), som blev behandlet med </w:t>
      </w:r>
      <w:proofErr w:type="spellStart"/>
      <w:r w:rsidRPr="00723B8B">
        <w:rPr>
          <w:szCs w:val="24"/>
        </w:rPr>
        <w:t>dienogest</w:t>
      </w:r>
      <w:proofErr w:type="spellEnd"/>
      <w:r w:rsidRPr="00723B8B">
        <w:rPr>
          <w:szCs w:val="24"/>
        </w:rPr>
        <w:t xml:space="preserve"> 2 mg-tabletter, </w:t>
      </w:r>
      <w:r>
        <w:rPr>
          <w:szCs w:val="24"/>
        </w:rPr>
        <w:t>fik</w:t>
      </w:r>
      <w:r w:rsidRPr="00723B8B">
        <w:rPr>
          <w:szCs w:val="24"/>
        </w:rPr>
        <w:t xml:space="preserve"> 103</w:t>
      </w:r>
      <w:r>
        <w:rPr>
          <w:szCs w:val="24"/>
        </w:rPr>
        <w:t xml:space="preserve"> foretaget</w:t>
      </w:r>
      <w:r w:rsidRPr="00723B8B">
        <w:rPr>
          <w:szCs w:val="24"/>
        </w:rPr>
        <w:t xml:space="preserve"> BMD-målinger. Omtrent 72 % af dem, der deltog i undersøgelsen, oplevede en reduktion i lændehvirvelsøjlens BMD (L2-L4) efter 12 måneders brug (se </w:t>
      </w:r>
      <w:r w:rsidR="001918BC">
        <w:rPr>
          <w:szCs w:val="24"/>
        </w:rPr>
        <w:t>pkt.</w:t>
      </w:r>
      <w:r w:rsidRPr="00723B8B">
        <w:rPr>
          <w:szCs w:val="24"/>
        </w:rPr>
        <w:t xml:space="preserve"> 4.4).</w:t>
      </w:r>
    </w:p>
    <w:p w:rsidR="00140AB5" w:rsidRPr="00723B8B" w:rsidRDefault="00140AB5" w:rsidP="00140AB5">
      <w:pPr>
        <w:pStyle w:val="Sidehoved"/>
        <w:tabs>
          <w:tab w:val="left" w:pos="851"/>
        </w:tabs>
        <w:ind w:left="851"/>
        <w:rPr>
          <w:bCs/>
          <w:szCs w:val="24"/>
        </w:rPr>
      </w:pPr>
    </w:p>
    <w:p w:rsidR="00140AB5" w:rsidRPr="008F49E1" w:rsidRDefault="00140AB5" w:rsidP="00140AB5">
      <w:pPr>
        <w:autoSpaceDE w:val="0"/>
        <w:autoSpaceDN w:val="0"/>
        <w:ind w:left="851"/>
        <w:rPr>
          <w:sz w:val="24"/>
          <w:szCs w:val="24"/>
          <w:u w:val="single"/>
          <w:lang w:eastAsia="da-DK"/>
        </w:rPr>
      </w:pPr>
      <w:r w:rsidRPr="008F49E1">
        <w:rPr>
          <w:sz w:val="24"/>
          <w:szCs w:val="24"/>
          <w:u w:val="single"/>
          <w:lang w:eastAsia="da-DK"/>
        </w:rPr>
        <w:t>Indberetning af formodede bivirkninger</w:t>
      </w:r>
    </w:p>
    <w:p w:rsidR="00140AB5" w:rsidRPr="008F49E1" w:rsidRDefault="00140AB5" w:rsidP="00140AB5">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EC7A3A">
        <w:rPr>
          <w:sz w:val="24"/>
          <w:szCs w:val="24"/>
          <w:lang w:eastAsia="da-DK"/>
        </w:rPr>
        <w:t>S</w:t>
      </w:r>
      <w:r w:rsidRPr="008F49E1">
        <w:rPr>
          <w:sz w:val="24"/>
          <w:szCs w:val="24"/>
          <w:lang w:eastAsia="da-DK"/>
        </w:rPr>
        <w:t>undhedsperson</w:t>
      </w:r>
      <w:r w:rsidR="00EC7A3A">
        <w:rPr>
          <w:sz w:val="24"/>
          <w:szCs w:val="24"/>
          <w:lang w:eastAsia="da-DK"/>
        </w:rPr>
        <w:t xml:space="preserve">er </w:t>
      </w:r>
      <w:r w:rsidRPr="008F49E1">
        <w:rPr>
          <w:sz w:val="24"/>
          <w:szCs w:val="24"/>
          <w:lang w:eastAsia="da-DK"/>
        </w:rPr>
        <w:t>anmodes om at indberette alle formodede bivirkninger via:</w:t>
      </w:r>
    </w:p>
    <w:p w:rsidR="00140AB5" w:rsidRPr="008F49E1" w:rsidRDefault="00140AB5" w:rsidP="00140AB5">
      <w:pPr>
        <w:ind w:left="851"/>
        <w:rPr>
          <w:sz w:val="24"/>
          <w:szCs w:val="24"/>
          <w:lang w:eastAsia="da-DK"/>
        </w:rPr>
      </w:pPr>
    </w:p>
    <w:p w:rsidR="00140AB5" w:rsidRPr="007A276A" w:rsidRDefault="00140AB5" w:rsidP="00140AB5">
      <w:pPr>
        <w:ind w:left="851"/>
        <w:rPr>
          <w:sz w:val="24"/>
          <w:szCs w:val="24"/>
          <w:lang w:eastAsia="da-DK"/>
        </w:rPr>
      </w:pPr>
      <w:r w:rsidRPr="007A276A">
        <w:rPr>
          <w:sz w:val="24"/>
          <w:szCs w:val="24"/>
          <w:lang w:eastAsia="da-DK"/>
        </w:rPr>
        <w:t>Lægemiddelstyrelsen</w:t>
      </w:r>
    </w:p>
    <w:p w:rsidR="00140AB5" w:rsidRPr="007A276A" w:rsidRDefault="00140AB5" w:rsidP="00140AB5">
      <w:pPr>
        <w:ind w:left="851"/>
        <w:rPr>
          <w:sz w:val="24"/>
          <w:szCs w:val="24"/>
          <w:lang w:eastAsia="da-DK"/>
        </w:rPr>
      </w:pPr>
      <w:r w:rsidRPr="007A276A">
        <w:rPr>
          <w:sz w:val="24"/>
          <w:szCs w:val="24"/>
          <w:lang w:eastAsia="da-DK"/>
        </w:rPr>
        <w:t>Axel Heides Gade 1</w:t>
      </w:r>
    </w:p>
    <w:p w:rsidR="00140AB5" w:rsidRPr="007A276A" w:rsidRDefault="00140AB5" w:rsidP="00140AB5">
      <w:pPr>
        <w:ind w:left="851"/>
        <w:rPr>
          <w:sz w:val="24"/>
          <w:szCs w:val="24"/>
          <w:lang w:eastAsia="da-DK"/>
        </w:rPr>
      </w:pPr>
      <w:r w:rsidRPr="007A276A">
        <w:rPr>
          <w:sz w:val="24"/>
          <w:szCs w:val="24"/>
          <w:lang w:eastAsia="da-DK"/>
        </w:rPr>
        <w:lastRenderedPageBreak/>
        <w:t>DK-2300 København S</w:t>
      </w:r>
    </w:p>
    <w:p w:rsidR="00140AB5" w:rsidRPr="001918BC" w:rsidRDefault="00140AB5" w:rsidP="00140AB5">
      <w:pPr>
        <w:ind w:left="851"/>
        <w:rPr>
          <w:sz w:val="24"/>
          <w:szCs w:val="24"/>
          <w:lang w:eastAsia="da-DK"/>
        </w:rPr>
      </w:pPr>
      <w:r w:rsidRPr="001918BC">
        <w:rPr>
          <w:sz w:val="24"/>
          <w:szCs w:val="24"/>
          <w:lang w:eastAsia="da-DK"/>
        </w:rPr>
        <w:t xml:space="preserve">Websted: </w:t>
      </w:r>
      <w:r w:rsidRPr="001918BC">
        <w:rPr>
          <w:sz w:val="24"/>
          <w:lang w:eastAsia="da-DK"/>
        </w:rPr>
        <w:t>www.meldenbivirkning.dk</w:t>
      </w:r>
    </w:p>
    <w:p w:rsidR="00140AB5" w:rsidRPr="001918BC" w:rsidRDefault="00140AB5" w:rsidP="00140AB5">
      <w:pPr>
        <w:pStyle w:val="Sidehoved"/>
        <w:tabs>
          <w:tab w:val="left" w:pos="851"/>
        </w:tabs>
        <w:ind w:left="851"/>
        <w:rPr>
          <w:szCs w:val="24"/>
        </w:rPr>
      </w:pPr>
    </w:p>
    <w:p w:rsidR="00140AB5" w:rsidRPr="00C84483" w:rsidRDefault="00140AB5" w:rsidP="00140AB5">
      <w:pPr>
        <w:tabs>
          <w:tab w:val="left" w:pos="851"/>
        </w:tabs>
        <w:ind w:left="851" w:hanging="851"/>
        <w:rPr>
          <w:b/>
          <w:sz w:val="24"/>
          <w:szCs w:val="24"/>
        </w:rPr>
      </w:pPr>
      <w:r w:rsidRPr="00C84483">
        <w:rPr>
          <w:b/>
          <w:sz w:val="24"/>
          <w:szCs w:val="24"/>
        </w:rPr>
        <w:t>4.9</w:t>
      </w:r>
      <w:r w:rsidRPr="00C84483">
        <w:rPr>
          <w:b/>
          <w:sz w:val="24"/>
          <w:szCs w:val="24"/>
        </w:rPr>
        <w:tab/>
        <w:t>Overdosering</w:t>
      </w:r>
    </w:p>
    <w:p w:rsidR="00140AB5" w:rsidRPr="00C45B20" w:rsidRDefault="00140AB5" w:rsidP="00140AB5">
      <w:pPr>
        <w:tabs>
          <w:tab w:val="left" w:pos="851"/>
        </w:tabs>
        <w:ind w:left="851"/>
        <w:rPr>
          <w:sz w:val="24"/>
          <w:szCs w:val="24"/>
        </w:rPr>
      </w:pPr>
      <w:r w:rsidRPr="00C45B20">
        <w:rPr>
          <w:sz w:val="24"/>
          <w:szCs w:val="24"/>
        </w:rPr>
        <w:t xml:space="preserve">Undersøgelser af </w:t>
      </w:r>
      <w:proofErr w:type="spellStart"/>
      <w:r w:rsidRPr="00C45B20">
        <w:rPr>
          <w:sz w:val="24"/>
          <w:szCs w:val="24"/>
        </w:rPr>
        <w:t>dienogests</w:t>
      </w:r>
      <w:proofErr w:type="spellEnd"/>
      <w:r w:rsidRPr="00C45B20">
        <w:rPr>
          <w:sz w:val="24"/>
          <w:szCs w:val="24"/>
        </w:rPr>
        <w:t xml:space="preserve"> akutte toksicitet indikerede ikke nogen risiko for akutte bivirkninger i tilfælde af utilsigtet indtag af flere daglige </w:t>
      </w:r>
      <w:r>
        <w:rPr>
          <w:sz w:val="24"/>
          <w:szCs w:val="24"/>
        </w:rPr>
        <w:t>terapeutiske doser</w:t>
      </w:r>
      <w:r w:rsidRPr="00C45B20">
        <w:rPr>
          <w:sz w:val="24"/>
          <w:szCs w:val="24"/>
        </w:rPr>
        <w:t xml:space="preserve">. Der er ikke nogen specifik modgift. Et </w:t>
      </w:r>
      <w:r>
        <w:rPr>
          <w:sz w:val="24"/>
          <w:szCs w:val="24"/>
        </w:rPr>
        <w:t>daglig</w:t>
      </w:r>
      <w:r w:rsidRPr="00C45B20">
        <w:rPr>
          <w:sz w:val="24"/>
          <w:szCs w:val="24"/>
        </w:rPr>
        <w:t xml:space="preserve"> indtag på 20</w:t>
      </w:r>
      <w:r w:rsidRPr="00C45B20">
        <w:rPr>
          <w:sz w:val="24"/>
          <w:szCs w:val="24"/>
        </w:rPr>
        <w:noBreakHyphen/>
        <w:t xml:space="preserve">30 mg </w:t>
      </w:r>
      <w:proofErr w:type="spellStart"/>
      <w:r w:rsidRPr="00C45B20">
        <w:rPr>
          <w:sz w:val="24"/>
          <w:szCs w:val="24"/>
        </w:rPr>
        <w:t>dienogest</w:t>
      </w:r>
      <w:proofErr w:type="spellEnd"/>
      <w:r w:rsidRPr="00C45B20">
        <w:rPr>
          <w:sz w:val="24"/>
          <w:szCs w:val="24"/>
        </w:rPr>
        <w:t xml:space="preserve"> (10 til 15 gange højere dosis end i </w:t>
      </w:r>
      <w:proofErr w:type="spellStart"/>
      <w:r w:rsidRPr="00C45B20">
        <w:rPr>
          <w:sz w:val="24"/>
          <w:szCs w:val="24"/>
        </w:rPr>
        <w:t>Zafrilla</w:t>
      </w:r>
      <w:proofErr w:type="spellEnd"/>
      <w:r w:rsidRPr="00C45B20">
        <w:rPr>
          <w:sz w:val="24"/>
          <w:szCs w:val="24"/>
        </w:rPr>
        <w:t>) over 24 ugers brug blev meget fint tolereret.</w:t>
      </w:r>
    </w:p>
    <w:p w:rsidR="00140AB5" w:rsidRPr="00C84483" w:rsidRDefault="00140AB5" w:rsidP="00140AB5">
      <w:pPr>
        <w:tabs>
          <w:tab w:val="left" w:pos="851"/>
        </w:tabs>
        <w:ind w:left="851"/>
        <w:rPr>
          <w:sz w:val="24"/>
          <w:szCs w:val="24"/>
        </w:rPr>
      </w:pPr>
    </w:p>
    <w:p w:rsidR="00140AB5" w:rsidRPr="00C84483" w:rsidRDefault="00140AB5" w:rsidP="00140AB5">
      <w:pPr>
        <w:tabs>
          <w:tab w:val="left" w:pos="851"/>
        </w:tabs>
        <w:ind w:left="851" w:hanging="851"/>
        <w:rPr>
          <w:b/>
          <w:sz w:val="24"/>
          <w:szCs w:val="24"/>
        </w:rPr>
      </w:pPr>
      <w:r w:rsidRPr="00C84483">
        <w:rPr>
          <w:b/>
          <w:sz w:val="24"/>
          <w:szCs w:val="24"/>
        </w:rPr>
        <w:t>4.10</w:t>
      </w:r>
      <w:r w:rsidRPr="00C84483">
        <w:rPr>
          <w:b/>
          <w:sz w:val="24"/>
          <w:szCs w:val="24"/>
        </w:rPr>
        <w:tab/>
        <w:t>Udlevering</w:t>
      </w:r>
    </w:p>
    <w:p w:rsidR="00140AB5" w:rsidRPr="00C84483" w:rsidRDefault="00140AB5" w:rsidP="00140AB5">
      <w:pPr>
        <w:tabs>
          <w:tab w:val="left" w:pos="851"/>
        </w:tabs>
        <w:ind w:left="851"/>
        <w:rPr>
          <w:sz w:val="24"/>
          <w:szCs w:val="24"/>
        </w:rPr>
      </w:pPr>
      <w:r>
        <w:rPr>
          <w:sz w:val="24"/>
          <w:szCs w:val="24"/>
        </w:rPr>
        <w:t>B</w:t>
      </w:r>
    </w:p>
    <w:p w:rsidR="00140AB5" w:rsidRPr="00C84483" w:rsidRDefault="00140AB5" w:rsidP="00140AB5">
      <w:pPr>
        <w:tabs>
          <w:tab w:val="left" w:pos="851"/>
        </w:tabs>
        <w:ind w:left="851"/>
        <w:rPr>
          <w:sz w:val="24"/>
          <w:szCs w:val="24"/>
        </w:rPr>
      </w:pPr>
    </w:p>
    <w:p w:rsidR="00140AB5" w:rsidRPr="00C84483" w:rsidRDefault="00140AB5" w:rsidP="00140AB5">
      <w:pPr>
        <w:tabs>
          <w:tab w:val="left" w:pos="851"/>
        </w:tabs>
        <w:ind w:left="851"/>
        <w:rPr>
          <w:sz w:val="24"/>
          <w:szCs w:val="24"/>
        </w:rPr>
      </w:pPr>
    </w:p>
    <w:p w:rsidR="00E255FD" w:rsidRPr="00C84483" w:rsidRDefault="00E255FD" w:rsidP="00E255FD">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E255FD" w:rsidRPr="00C84483" w:rsidRDefault="00E255FD" w:rsidP="00E255FD">
      <w:pPr>
        <w:tabs>
          <w:tab w:val="left" w:pos="851"/>
        </w:tabs>
        <w:ind w:left="851"/>
        <w:rPr>
          <w:sz w:val="24"/>
          <w:szCs w:val="24"/>
        </w:rPr>
      </w:pPr>
    </w:p>
    <w:p w:rsidR="00E255FD" w:rsidRPr="00C84483" w:rsidRDefault="00E255FD" w:rsidP="00E255FD">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E17B6D" w:rsidRPr="00CF0E75" w:rsidRDefault="00E17B6D" w:rsidP="00E17B6D">
      <w:pPr>
        <w:tabs>
          <w:tab w:val="left" w:pos="851"/>
        </w:tabs>
        <w:ind w:left="851"/>
        <w:rPr>
          <w:sz w:val="24"/>
          <w:szCs w:val="24"/>
        </w:rPr>
      </w:pPr>
      <w:proofErr w:type="spellStart"/>
      <w:r>
        <w:rPr>
          <w:sz w:val="24"/>
          <w:szCs w:val="24"/>
        </w:rPr>
        <w:t>Farmakoterapeutisk</w:t>
      </w:r>
      <w:proofErr w:type="spellEnd"/>
      <w:r>
        <w:rPr>
          <w:sz w:val="24"/>
          <w:szCs w:val="24"/>
        </w:rPr>
        <w:t xml:space="preserve"> klassifikation: </w:t>
      </w:r>
      <w:r w:rsidRPr="00CF0E75">
        <w:rPr>
          <w:sz w:val="24"/>
          <w:szCs w:val="24"/>
        </w:rPr>
        <w:t xml:space="preserve">Kønshormoner og </w:t>
      </w:r>
      <w:proofErr w:type="spellStart"/>
      <w:r>
        <w:rPr>
          <w:sz w:val="24"/>
          <w:szCs w:val="24"/>
        </w:rPr>
        <w:t>modulatorer</w:t>
      </w:r>
      <w:proofErr w:type="spellEnd"/>
      <w:r>
        <w:rPr>
          <w:sz w:val="24"/>
          <w:szCs w:val="24"/>
        </w:rPr>
        <w:t xml:space="preserve"> af </w:t>
      </w:r>
      <w:r w:rsidRPr="00CF0E75">
        <w:rPr>
          <w:sz w:val="24"/>
          <w:szCs w:val="24"/>
        </w:rPr>
        <w:t>genitalsystem</w:t>
      </w:r>
      <w:r>
        <w:rPr>
          <w:sz w:val="24"/>
          <w:szCs w:val="24"/>
        </w:rPr>
        <w:t xml:space="preserve">et, </w:t>
      </w:r>
      <w:proofErr w:type="spellStart"/>
      <w:r>
        <w:rPr>
          <w:sz w:val="24"/>
          <w:szCs w:val="24"/>
        </w:rPr>
        <w:t>progestogener</w:t>
      </w:r>
      <w:proofErr w:type="spellEnd"/>
      <w:r>
        <w:rPr>
          <w:sz w:val="24"/>
          <w:szCs w:val="24"/>
        </w:rPr>
        <w:t xml:space="preserve">, </w:t>
      </w:r>
      <w:r w:rsidRPr="00CF0E75">
        <w:rPr>
          <w:sz w:val="24"/>
          <w:szCs w:val="24"/>
        </w:rPr>
        <w:t>ATC-kode: G03DB08</w:t>
      </w:r>
      <w:r>
        <w:rPr>
          <w:sz w:val="24"/>
          <w:szCs w:val="24"/>
        </w:rPr>
        <w:t>.</w:t>
      </w:r>
    </w:p>
    <w:p w:rsidR="00E17B6D" w:rsidRDefault="00E17B6D" w:rsidP="00140AB5">
      <w:pPr>
        <w:tabs>
          <w:tab w:val="left" w:pos="851"/>
        </w:tabs>
        <w:ind w:left="851"/>
        <w:rPr>
          <w:sz w:val="24"/>
          <w:szCs w:val="24"/>
        </w:rPr>
      </w:pPr>
    </w:p>
    <w:p w:rsidR="00140AB5" w:rsidRPr="00CF0E75" w:rsidRDefault="00140AB5" w:rsidP="00140AB5">
      <w:pPr>
        <w:tabs>
          <w:tab w:val="left" w:pos="851"/>
        </w:tabs>
        <w:ind w:left="851"/>
        <w:rPr>
          <w:sz w:val="24"/>
          <w:szCs w:val="24"/>
          <w:lang w:val="de-DE"/>
        </w:rPr>
      </w:pPr>
      <w:proofErr w:type="spellStart"/>
      <w:r w:rsidRPr="00CF0E75">
        <w:rPr>
          <w:sz w:val="24"/>
          <w:szCs w:val="24"/>
        </w:rPr>
        <w:t>Dienogest</w:t>
      </w:r>
      <w:proofErr w:type="spellEnd"/>
      <w:r w:rsidRPr="00CF0E75">
        <w:rPr>
          <w:sz w:val="24"/>
          <w:szCs w:val="24"/>
        </w:rPr>
        <w:t xml:space="preserve"> er et </w:t>
      </w:r>
      <w:proofErr w:type="spellStart"/>
      <w:r w:rsidRPr="00CF0E75">
        <w:rPr>
          <w:sz w:val="24"/>
          <w:szCs w:val="24"/>
        </w:rPr>
        <w:t>nortestosteronderivat</w:t>
      </w:r>
      <w:proofErr w:type="spellEnd"/>
      <w:r w:rsidRPr="00CF0E75">
        <w:rPr>
          <w:sz w:val="24"/>
          <w:szCs w:val="24"/>
        </w:rPr>
        <w:t xml:space="preserve"> uden </w:t>
      </w:r>
      <w:proofErr w:type="spellStart"/>
      <w:r w:rsidRPr="00CF0E75">
        <w:rPr>
          <w:sz w:val="24"/>
          <w:szCs w:val="24"/>
        </w:rPr>
        <w:t>androgen</w:t>
      </w:r>
      <w:proofErr w:type="spellEnd"/>
      <w:r w:rsidRPr="00CF0E75">
        <w:rPr>
          <w:sz w:val="24"/>
          <w:szCs w:val="24"/>
        </w:rPr>
        <w:t xml:space="preserve">, men snarere en </w:t>
      </w:r>
      <w:proofErr w:type="spellStart"/>
      <w:r w:rsidRPr="00CF0E75">
        <w:rPr>
          <w:sz w:val="24"/>
          <w:szCs w:val="24"/>
        </w:rPr>
        <w:t>antiandrogen</w:t>
      </w:r>
      <w:proofErr w:type="spellEnd"/>
      <w:r w:rsidRPr="00CF0E75">
        <w:rPr>
          <w:sz w:val="24"/>
          <w:szCs w:val="24"/>
        </w:rPr>
        <w:t xml:space="preserve"> aktivitet på omtrent end tredjedel af aktiviteten fra </w:t>
      </w:r>
      <w:proofErr w:type="spellStart"/>
      <w:r w:rsidRPr="00CF0E75">
        <w:rPr>
          <w:sz w:val="24"/>
          <w:szCs w:val="24"/>
        </w:rPr>
        <w:t>cyproteronacetat</w:t>
      </w:r>
      <w:proofErr w:type="spellEnd"/>
      <w:r w:rsidRPr="00CF0E75">
        <w:rPr>
          <w:sz w:val="24"/>
          <w:szCs w:val="24"/>
        </w:rPr>
        <w:t xml:space="preserve">. </w:t>
      </w:r>
      <w:proofErr w:type="spellStart"/>
      <w:r w:rsidRPr="00CF0E75">
        <w:rPr>
          <w:sz w:val="24"/>
          <w:szCs w:val="24"/>
        </w:rPr>
        <w:t>Dienogest</w:t>
      </w:r>
      <w:proofErr w:type="spellEnd"/>
      <w:r w:rsidRPr="00CF0E75">
        <w:rPr>
          <w:sz w:val="24"/>
          <w:szCs w:val="24"/>
        </w:rPr>
        <w:t xml:space="preserve"> binder til den menneskelige livmoders progesteronreceptor med kun 10 % af de</w:t>
      </w:r>
      <w:r>
        <w:rPr>
          <w:sz w:val="24"/>
          <w:szCs w:val="24"/>
        </w:rPr>
        <w:t>n</w:t>
      </w:r>
      <w:r w:rsidRPr="00CF0E75">
        <w:rPr>
          <w:sz w:val="24"/>
          <w:szCs w:val="24"/>
        </w:rPr>
        <w:t xml:space="preserve"> relative </w:t>
      </w:r>
      <w:r>
        <w:rPr>
          <w:sz w:val="24"/>
          <w:szCs w:val="24"/>
        </w:rPr>
        <w:t>affinitet af</w:t>
      </w:r>
      <w:r w:rsidRPr="00CF0E75">
        <w:rPr>
          <w:sz w:val="24"/>
          <w:szCs w:val="24"/>
        </w:rPr>
        <w:t xml:space="preserve"> progesteron. Trods de</w:t>
      </w:r>
      <w:r>
        <w:rPr>
          <w:sz w:val="24"/>
          <w:szCs w:val="24"/>
        </w:rPr>
        <w:t>n</w:t>
      </w:r>
      <w:r w:rsidRPr="00CF0E75">
        <w:rPr>
          <w:sz w:val="24"/>
          <w:szCs w:val="24"/>
        </w:rPr>
        <w:t xml:space="preserve"> lave </w:t>
      </w:r>
      <w:r>
        <w:rPr>
          <w:sz w:val="24"/>
          <w:szCs w:val="24"/>
        </w:rPr>
        <w:t>affinitet</w:t>
      </w:r>
      <w:r w:rsidRPr="00CF0E75">
        <w:rPr>
          <w:sz w:val="24"/>
          <w:szCs w:val="24"/>
        </w:rPr>
        <w:t xml:space="preserve"> til progesteronreceptoren har </w:t>
      </w:r>
      <w:proofErr w:type="spellStart"/>
      <w:r w:rsidRPr="00CF0E75">
        <w:rPr>
          <w:sz w:val="24"/>
          <w:szCs w:val="24"/>
        </w:rPr>
        <w:t>dienogest</w:t>
      </w:r>
      <w:proofErr w:type="spellEnd"/>
      <w:r w:rsidRPr="00CF0E75">
        <w:rPr>
          <w:sz w:val="24"/>
          <w:szCs w:val="24"/>
        </w:rPr>
        <w:t xml:space="preserve"> en stærk progest</w:t>
      </w:r>
      <w:r>
        <w:rPr>
          <w:sz w:val="24"/>
          <w:szCs w:val="24"/>
        </w:rPr>
        <w:t xml:space="preserve">agen aktivitet </w:t>
      </w:r>
      <w:r>
        <w:rPr>
          <w:i/>
          <w:sz w:val="24"/>
          <w:szCs w:val="24"/>
        </w:rPr>
        <w:t xml:space="preserve">in </w:t>
      </w:r>
      <w:proofErr w:type="spellStart"/>
      <w:r>
        <w:rPr>
          <w:i/>
          <w:sz w:val="24"/>
          <w:szCs w:val="24"/>
        </w:rPr>
        <w:t>vivo</w:t>
      </w:r>
      <w:proofErr w:type="spellEnd"/>
      <w:r w:rsidRPr="00CF0E75">
        <w:rPr>
          <w:sz w:val="24"/>
          <w:szCs w:val="24"/>
        </w:rPr>
        <w:t xml:space="preserve">. </w:t>
      </w:r>
      <w:proofErr w:type="spellStart"/>
      <w:r w:rsidRPr="00CF0E75">
        <w:rPr>
          <w:sz w:val="24"/>
          <w:szCs w:val="24"/>
        </w:rPr>
        <w:t>Dienogest</w:t>
      </w:r>
      <w:proofErr w:type="spellEnd"/>
      <w:r w:rsidRPr="00CF0E75">
        <w:rPr>
          <w:sz w:val="24"/>
          <w:szCs w:val="24"/>
        </w:rPr>
        <w:t xml:space="preserve"> har ingen betydelig </w:t>
      </w:r>
      <w:proofErr w:type="spellStart"/>
      <w:r w:rsidRPr="00CF0E75">
        <w:rPr>
          <w:sz w:val="24"/>
          <w:szCs w:val="24"/>
        </w:rPr>
        <w:t>androgen</w:t>
      </w:r>
      <w:proofErr w:type="spellEnd"/>
      <w:r>
        <w:rPr>
          <w:sz w:val="24"/>
          <w:szCs w:val="24"/>
        </w:rPr>
        <w:t>-</w:t>
      </w:r>
      <w:r w:rsidRPr="00CF0E75">
        <w:rPr>
          <w:sz w:val="24"/>
          <w:szCs w:val="24"/>
        </w:rPr>
        <w:t xml:space="preserve">, </w:t>
      </w:r>
      <w:proofErr w:type="spellStart"/>
      <w:r w:rsidRPr="00CF0E75">
        <w:rPr>
          <w:sz w:val="24"/>
          <w:szCs w:val="24"/>
        </w:rPr>
        <w:t>mineralkortikoid</w:t>
      </w:r>
      <w:proofErr w:type="spellEnd"/>
      <w:r>
        <w:rPr>
          <w:sz w:val="24"/>
          <w:szCs w:val="24"/>
        </w:rPr>
        <w:t>-</w:t>
      </w:r>
      <w:r w:rsidRPr="00CF0E75">
        <w:rPr>
          <w:sz w:val="24"/>
          <w:szCs w:val="24"/>
        </w:rPr>
        <w:t xml:space="preserve"> eller </w:t>
      </w:r>
      <w:proofErr w:type="spellStart"/>
      <w:r w:rsidRPr="00CF0E75">
        <w:rPr>
          <w:sz w:val="24"/>
          <w:szCs w:val="24"/>
        </w:rPr>
        <w:t>glukokortikoid</w:t>
      </w:r>
      <w:proofErr w:type="spellEnd"/>
      <w:r>
        <w:rPr>
          <w:sz w:val="24"/>
          <w:szCs w:val="24"/>
        </w:rPr>
        <w:t>-</w:t>
      </w:r>
      <w:r w:rsidRPr="00CF0E75">
        <w:rPr>
          <w:sz w:val="24"/>
          <w:szCs w:val="24"/>
        </w:rPr>
        <w:t xml:space="preserve"> aktivitet </w:t>
      </w:r>
      <w:r>
        <w:rPr>
          <w:i/>
          <w:iCs/>
          <w:sz w:val="24"/>
          <w:szCs w:val="24"/>
        </w:rPr>
        <w:t xml:space="preserve">in </w:t>
      </w:r>
      <w:proofErr w:type="spellStart"/>
      <w:r>
        <w:rPr>
          <w:i/>
          <w:iCs/>
          <w:sz w:val="24"/>
          <w:szCs w:val="24"/>
        </w:rPr>
        <w:t>vivo</w:t>
      </w:r>
      <w:proofErr w:type="spellEnd"/>
      <w:r w:rsidRPr="00CF0E75">
        <w:rPr>
          <w:sz w:val="24"/>
          <w:szCs w:val="24"/>
        </w:rPr>
        <w:t>.</w:t>
      </w:r>
    </w:p>
    <w:p w:rsidR="00140AB5" w:rsidRPr="00CF0E75" w:rsidRDefault="00140AB5" w:rsidP="00140AB5">
      <w:pPr>
        <w:tabs>
          <w:tab w:val="left" w:pos="851"/>
        </w:tabs>
        <w:ind w:left="851"/>
        <w:rPr>
          <w:sz w:val="24"/>
          <w:szCs w:val="24"/>
          <w:lang w:val="de-DE"/>
        </w:rPr>
      </w:pPr>
    </w:p>
    <w:p w:rsidR="00140AB5" w:rsidRPr="00CF0E75" w:rsidRDefault="00140AB5" w:rsidP="00140AB5">
      <w:pPr>
        <w:tabs>
          <w:tab w:val="left" w:pos="851"/>
        </w:tabs>
        <w:ind w:left="851"/>
        <w:rPr>
          <w:sz w:val="24"/>
          <w:szCs w:val="24"/>
        </w:rPr>
      </w:pPr>
      <w:proofErr w:type="spellStart"/>
      <w:r w:rsidRPr="00CF0E75">
        <w:rPr>
          <w:sz w:val="24"/>
          <w:szCs w:val="24"/>
        </w:rPr>
        <w:t>Dienogest</w:t>
      </w:r>
      <w:proofErr w:type="spellEnd"/>
      <w:r w:rsidRPr="00CF0E75">
        <w:rPr>
          <w:sz w:val="24"/>
          <w:szCs w:val="24"/>
        </w:rPr>
        <w:t xml:space="preserve"> </w:t>
      </w:r>
      <w:r>
        <w:rPr>
          <w:sz w:val="24"/>
          <w:szCs w:val="24"/>
        </w:rPr>
        <w:t>virker</w:t>
      </w:r>
      <w:r w:rsidRPr="00CF0E75">
        <w:rPr>
          <w:sz w:val="24"/>
          <w:szCs w:val="24"/>
        </w:rPr>
        <w:t xml:space="preserve"> på </w:t>
      </w:r>
      <w:proofErr w:type="spellStart"/>
      <w:r w:rsidRPr="00CF0E75">
        <w:rPr>
          <w:sz w:val="24"/>
          <w:szCs w:val="24"/>
        </w:rPr>
        <w:t>endometriose</w:t>
      </w:r>
      <w:proofErr w:type="spellEnd"/>
      <w:r w:rsidRPr="00CF0E75">
        <w:rPr>
          <w:sz w:val="24"/>
          <w:szCs w:val="24"/>
        </w:rPr>
        <w:t xml:space="preserve"> ved at reducere den endogene produktion af </w:t>
      </w:r>
      <w:proofErr w:type="spellStart"/>
      <w:r w:rsidRPr="00CF0E75">
        <w:rPr>
          <w:sz w:val="24"/>
          <w:szCs w:val="24"/>
        </w:rPr>
        <w:t>oestradiol</w:t>
      </w:r>
      <w:proofErr w:type="spellEnd"/>
      <w:r w:rsidRPr="00CF0E75">
        <w:rPr>
          <w:sz w:val="24"/>
          <w:szCs w:val="24"/>
        </w:rPr>
        <w:t xml:space="preserve">, og undertrykker derved de </w:t>
      </w:r>
      <w:proofErr w:type="spellStart"/>
      <w:r w:rsidRPr="00CF0E75">
        <w:rPr>
          <w:sz w:val="24"/>
          <w:szCs w:val="24"/>
        </w:rPr>
        <w:t>trofiske</w:t>
      </w:r>
      <w:proofErr w:type="spellEnd"/>
      <w:r w:rsidRPr="00CF0E75">
        <w:rPr>
          <w:sz w:val="24"/>
          <w:szCs w:val="24"/>
        </w:rPr>
        <w:t xml:space="preserve"> virkninger af </w:t>
      </w:r>
      <w:proofErr w:type="spellStart"/>
      <w:r w:rsidRPr="00CF0E75">
        <w:rPr>
          <w:sz w:val="24"/>
          <w:szCs w:val="24"/>
        </w:rPr>
        <w:t>estradiol</w:t>
      </w:r>
      <w:proofErr w:type="spellEnd"/>
      <w:r w:rsidRPr="00CF0E75">
        <w:rPr>
          <w:sz w:val="24"/>
          <w:szCs w:val="24"/>
        </w:rPr>
        <w:t xml:space="preserve"> på både det </w:t>
      </w:r>
      <w:proofErr w:type="spellStart"/>
      <w:r w:rsidRPr="00CF0E75">
        <w:rPr>
          <w:sz w:val="24"/>
          <w:szCs w:val="24"/>
        </w:rPr>
        <w:t>eutopiske</w:t>
      </w:r>
      <w:proofErr w:type="spellEnd"/>
      <w:r w:rsidRPr="00CF0E75">
        <w:rPr>
          <w:sz w:val="24"/>
          <w:szCs w:val="24"/>
        </w:rPr>
        <w:t xml:space="preserve"> og </w:t>
      </w:r>
      <w:proofErr w:type="spellStart"/>
      <w:r w:rsidRPr="00CF0E75">
        <w:rPr>
          <w:sz w:val="24"/>
          <w:szCs w:val="24"/>
        </w:rPr>
        <w:t>ektopiske</w:t>
      </w:r>
      <w:proofErr w:type="spellEnd"/>
      <w:r w:rsidRPr="00CF0E75">
        <w:rPr>
          <w:sz w:val="24"/>
          <w:szCs w:val="24"/>
        </w:rPr>
        <w:t xml:space="preserve"> </w:t>
      </w:r>
      <w:proofErr w:type="spellStart"/>
      <w:r w:rsidRPr="00CF0E75">
        <w:rPr>
          <w:sz w:val="24"/>
          <w:szCs w:val="24"/>
        </w:rPr>
        <w:t>endometrium</w:t>
      </w:r>
      <w:proofErr w:type="spellEnd"/>
      <w:r w:rsidRPr="00CF0E75">
        <w:rPr>
          <w:sz w:val="24"/>
          <w:szCs w:val="24"/>
        </w:rPr>
        <w:t xml:space="preserve">. Når det gives kontinuerligt, medfører </w:t>
      </w:r>
      <w:proofErr w:type="spellStart"/>
      <w:r w:rsidRPr="00CF0E75">
        <w:rPr>
          <w:sz w:val="24"/>
          <w:szCs w:val="24"/>
        </w:rPr>
        <w:t>dienogest</w:t>
      </w:r>
      <w:proofErr w:type="spellEnd"/>
      <w:r w:rsidRPr="00CF0E75">
        <w:rPr>
          <w:sz w:val="24"/>
          <w:szCs w:val="24"/>
        </w:rPr>
        <w:t xml:space="preserve"> et endokrint miljø med reduceret østrogenniveau og forhøjet gestagenniveau, der medfører en </w:t>
      </w:r>
      <w:r>
        <w:rPr>
          <w:sz w:val="24"/>
          <w:szCs w:val="24"/>
        </w:rPr>
        <w:t>initial</w:t>
      </w:r>
      <w:r w:rsidRPr="00CF0E75">
        <w:rPr>
          <w:sz w:val="24"/>
          <w:szCs w:val="24"/>
        </w:rPr>
        <w:t xml:space="preserve"> </w:t>
      </w:r>
      <w:proofErr w:type="spellStart"/>
      <w:r w:rsidRPr="00CF0E75">
        <w:rPr>
          <w:sz w:val="24"/>
          <w:szCs w:val="24"/>
        </w:rPr>
        <w:t>decidualisering</w:t>
      </w:r>
      <w:proofErr w:type="spellEnd"/>
      <w:r w:rsidRPr="00CF0E75">
        <w:rPr>
          <w:sz w:val="24"/>
          <w:szCs w:val="24"/>
        </w:rPr>
        <w:t xml:space="preserve"> af det </w:t>
      </w:r>
      <w:proofErr w:type="spellStart"/>
      <w:r w:rsidRPr="00CF0E75">
        <w:rPr>
          <w:sz w:val="24"/>
          <w:szCs w:val="24"/>
        </w:rPr>
        <w:t>endometrielle</w:t>
      </w:r>
      <w:proofErr w:type="spellEnd"/>
      <w:r w:rsidRPr="00CF0E75">
        <w:rPr>
          <w:sz w:val="24"/>
          <w:szCs w:val="24"/>
        </w:rPr>
        <w:t xml:space="preserve"> væv, efterfulgt af atrofi af </w:t>
      </w:r>
      <w:proofErr w:type="spellStart"/>
      <w:r w:rsidRPr="00CF0E75">
        <w:rPr>
          <w:sz w:val="24"/>
          <w:szCs w:val="24"/>
        </w:rPr>
        <w:t>endometriotiske</w:t>
      </w:r>
      <w:proofErr w:type="spellEnd"/>
      <w:r w:rsidRPr="00CF0E75">
        <w:rPr>
          <w:sz w:val="24"/>
          <w:szCs w:val="24"/>
        </w:rPr>
        <w:t xml:space="preserve"> læsioner.</w:t>
      </w:r>
    </w:p>
    <w:p w:rsidR="00140AB5" w:rsidRPr="00CF0E75" w:rsidRDefault="00140AB5" w:rsidP="00140AB5">
      <w:pPr>
        <w:tabs>
          <w:tab w:val="left" w:pos="851"/>
        </w:tabs>
        <w:ind w:left="851"/>
        <w:rPr>
          <w:iCs/>
          <w:sz w:val="24"/>
          <w:szCs w:val="24"/>
        </w:rPr>
      </w:pPr>
    </w:p>
    <w:p w:rsidR="00140AB5" w:rsidRPr="00807C80" w:rsidRDefault="00140AB5" w:rsidP="00140AB5">
      <w:pPr>
        <w:tabs>
          <w:tab w:val="left" w:pos="851"/>
        </w:tabs>
        <w:ind w:left="851"/>
        <w:rPr>
          <w:iCs/>
          <w:sz w:val="24"/>
          <w:szCs w:val="24"/>
          <w:u w:val="single"/>
        </w:rPr>
      </w:pPr>
      <w:r w:rsidRPr="00807C80">
        <w:rPr>
          <w:iCs/>
          <w:sz w:val="24"/>
          <w:szCs w:val="24"/>
          <w:u w:val="single"/>
        </w:rPr>
        <w:t>Data om virkningen</w:t>
      </w:r>
    </w:p>
    <w:p w:rsidR="00140AB5" w:rsidRPr="00CF0E75" w:rsidRDefault="00140AB5" w:rsidP="00140AB5">
      <w:pPr>
        <w:tabs>
          <w:tab w:val="left" w:pos="851"/>
        </w:tabs>
        <w:ind w:left="851"/>
        <w:rPr>
          <w:sz w:val="24"/>
          <w:szCs w:val="24"/>
        </w:rPr>
      </w:pPr>
      <w:r w:rsidRPr="00CF0E75">
        <w:rPr>
          <w:sz w:val="24"/>
          <w:szCs w:val="24"/>
        </w:rPr>
        <w:t xml:space="preserve">Overlegenheden af </w:t>
      </w:r>
      <w:proofErr w:type="spellStart"/>
      <w:r w:rsidRPr="00CF0E75">
        <w:rPr>
          <w:sz w:val="24"/>
          <w:szCs w:val="24"/>
        </w:rPr>
        <w:t>dienogest</w:t>
      </w:r>
      <w:proofErr w:type="spellEnd"/>
      <w:r w:rsidRPr="00CF0E75">
        <w:rPr>
          <w:sz w:val="24"/>
          <w:szCs w:val="24"/>
        </w:rPr>
        <w:t xml:space="preserve"> 2 mg-tabletter i forhold til placebo blev påvist i et 3-måneders </w:t>
      </w:r>
      <w:r>
        <w:rPr>
          <w:sz w:val="24"/>
          <w:szCs w:val="24"/>
        </w:rPr>
        <w:t>studie</w:t>
      </w:r>
      <w:r w:rsidRPr="00CF0E75">
        <w:rPr>
          <w:sz w:val="24"/>
          <w:szCs w:val="24"/>
        </w:rPr>
        <w:t xml:space="preserve"> med 198 patienter med </w:t>
      </w:r>
      <w:proofErr w:type="spellStart"/>
      <w:r w:rsidRPr="00CF0E75">
        <w:rPr>
          <w:sz w:val="24"/>
          <w:szCs w:val="24"/>
        </w:rPr>
        <w:t>endometriose</w:t>
      </w:r>
      <w:proofErr w:type="spellEnd"/>
      <w:r w:rsidRPr="00CF0E75">
        <w:rPr>
          <w:sz w:val="24"/>
          <w:szCs w:val="24"/>
        </w:rPr>
        <w:t xml:space="preserve">. </w:t>
      </w:r>
      <w:proofErr w:type="spellStart"/>
      <w:r w:rsidRPr="00CF0E75">
        <w:rPr>
          <w:sz w:val="24"/>
          <w:szCs w:val="24"/>
        </w:rPr>
        <w:t>Endometrioserelaterede</w:t>
      </w:r>
      <w:proofErr w:type="spellEnd"/>
      <w:r w:rsidRPr="00CF0E75">
        <w:rPr>
          <w:sz w:val="24"/>
          <w:szCs w:val="24"/>
        </w:rPr>
        <w:t xml:space="preserve"> </w:t>
      </w:r>
      <w:r>
        <w:rPr>
          <w:sz w:val="24"/>
          <w:szCs w:val="24"/>
        </w:rPr>
        <w:t>underlivss</w:t>
      </w:r>
      <w:r w:rsidRPr="00CF0E75">
        <w:rPr>
          <w:sz w:val="24"/>
          <w:szCs w:val="24"/>
        </w:rPr>
        <w:t xml:space="preserve">merter blev målt efter en visuel analog </w:t>
      </w:r>
      <w:r>
        <w:rPr>
          <w:sz w:val="24"/>
          <w:szCs w:val="24"/>
        </w:rPr>
        <w:t>skala</w:t>
      </w:r>
      <w:r w:rsidRPr="00CF0E75">
        <w:rPr>
          <w:sz w:val="24"/>
          <w:szCs w:val="24"/>
        </w:rPr>
        <w:t xml:space="preserve"> (0-100 mm). Efter 3 måneders behandling med </w:t>
      </w:r>
      <w:proofErr w:type="spellStart"/>
      <w:r w:rsidRPr="00CF0E75">
        <w:rPr>
          <w:sz w:val="24"/>
          <w:szCs w:val="24"/>
        </w:rPr>
        <w:t>dienogest</w:t>
      </w:r>
      <w:proofErr w:type="spellEnd"/>
      <w:r w:rsidRPr="00CF0E75">
        <w:rPr>
          <w:sz w:val="24"/>
          <w:szCs w:val="24"/>
        </w:rPr>
        <w:t xml:space="preserve"> 2 mg-tabletter, blev der påvist en statistisk </w:t>
      </w:r>
      <w:r>
        <w:rPr>
          <w:sz w:val="24"/>
          <w:szCs w:val="24"/>
        </w:rPr>
        <w:t>signifikant</w:t>
      </w:r>
      <w:r w:rsidRPr="00CF0E75">
        <w:rPr>
          <w:sz w:val="24"/>
          <w:szCs w:val="24"/>
        </w:rPr>
        <w:t xml:space="preserve"> forskel, sammenholdt med placebo (delta = 12,3 mm; 95 % CI: 6,4</w:t>
      </w:r>
      <w:r w:rsidRPr="00CF0E75">
        <w:rPr>
          <w:sz w:val="24"/>
          <w:szCs w:val="24"/>
        </w:rPr>
        <w:noBreakHyphen/>
        <w:t xml:space="preserve">18,1; p&lt;0,0001) og en klinisk </w:t>
      </w:r>
      <w:r>
        <w:rPr>
          <w:sz w:val="24"/>
          <w:szCs w:val="24"/>
        </w:rPr>
        <w:t>relevant</w:t>
      </w:r>
      <w:r w:rsidRPr="00CF0E75">
        <w:rPr>
          <w:sz w:val="24"/>
          <w:szCs w:val="24"/>
        </w:rPr>
        <w:t xml:space="preserve"> reduktion af smerten, sammenholdt med udgangspunktet (gennemsnitlig reduktion = 27,4 mm ± 22,9).</w:t>
      </w:r>
    </w:p>
    <w:p w:rsidR="00140AB5" w:rsidRPr="00CF0E75" w:rsidRDefault="00140AB5" w:rsidP="00140AB5">
      <w:pPr>
        <w:tabs>
          <w:tab w:val="left" w:pos="851"/>
        </w:tabs>
        <w:ind w:left="851"/>
        <w:rPr>
          <w:sz w:val="24"/>
          <w:szCs w:val="24"/>
        </w:rPr>
      </w:pPr>
    </w:p>
    <w:p w:rsidR="00140AB5" w:rsidRPr="00CF0E75" w:rsidRDefault="00140AB5" w:rsidP="00140AB5">
      <w:pPr>
        <w:tabs>
          <w:tab w:val="left" w:pos="851"/>
        </w:tabs>
        <w:ind w:left="851"/>
        <w:rPr>
          <w:sz w:val="24"/>
          <w:szCs w:val="24"/>
        </w:rPr>
      </w:pPr>
      <w:r w:rsidRPr="00CF0E75">
        <w:rPr>
          <w:sz w:val="24"/>
          <w:szCs w:val="24"/>
        </w:rPr>
        <w:t xml:space="preserve">Efter 3 måneders behandling blev en reduktion af de </w:t>
      </w:r>
      <w:proofErr w:type="spellStart"/>
      <w:r w:rsidRPr="00CF0E75">
        <w:rPr>
          <w:sz w:val="24"/>
          <w:szCs w:val="24"/>
        </w:rPr>
        <w:t>endometrioserelaterede</w:t>
      </w:r>
      <w:proofErr w:type="spellEnd"/>
      <w:r w:rsidRPr="00CF0E75">
        <w:rPr>
          <w:sz w:val="24"/>
          <w:szCs w:val="24"/>
        </w:rPr>
        <w:t xml:space="preserve"> </w:t>
      </w:r>
      <w:r>
        <w:rPr>
          <w:sz w:val="24"/>
          <w:szCs w:val="24"/>
        </w:rPr>
        <w:t>underlivs</w:t>
      </w:r>
      <w:r w:rsidRPr="00CF0E75">
        <w:rPr>
          <w:sz w:val="24"/>
          <w:szCs w:val="24"/>
        </w:rPr>
        <w:t xml:space="preserve">smerter på 50 % opnået uden noget samtidigt relevant øget forbrug af smertestillende lægemidler hos 37,3 % af de patienter, som fik </w:t>
      </w:r>
      <w:proofErr w:type="spellStart"/>
      <w:r w:rsidRPr="00CF0E75">
        <w:rPr>
          <w:sz w:val="24"/>
          <w:szCs w:val="24"/>
        </w:rPr>
        <w:t>dienogest</w:t>
      </w:r>
      <w:proofErr w:type="spellEnd"/>
      <w:r w:rsidRPr="00CF0E75">
        <w:rPr>
          <w:sz w:val="24"/>
          <w:szCs w:val="24"/>
        </w:rPr>
        <w:t xml:space="preserve"> 2 mg-tabletter (placebo: 19,8 %); en reduktion af </w:t>
      </w:r>
      <w:proofErr w:type="spellStart"/>
      <w:r w:rsidRPr="00CF0E75">
        <w:rPr>
          <w:sz w:val="24"/>
          <w:szCs w:val="24"/>
        </w:rPr>
        <w:t>endometrioserelaterede</w:t>
      </w:r>
      <w:proofErr w:type="spellEnd"/>
      <w:r w:rsidRPr="00CF0E75">
        <w:rPr>
          <w:sz w:val="24"/>
          <w:szCs w:val="24"/>
        </w:rPr>
        <w:t xml:space="preserve"> </w:t>
      </w:r>
      <w:r>
        <w:rPr>
          <w:sz w:val="24"/>
          <w:szCs w:val="24"/>
        </w:rPr>
        <w:t>underlivs</w:t>
      </w:r>
      <w:r w:rsidRPr="00CF0E75">
        <w:rPr>
          <w:sz w:val="24"/>
          <w:szCs w:val="24"/>
        </w:rPr>
        <w:t xml:space="preserve">smerter på 75 % eller mere uden noget samtidigt relevant øget forbrug af smertestillende lægemidler blev opnået hos 18,6 % af de patienter, som fik </w:t>
      </w:r>
      <w:proofErr w:type="spellStart"/>
      <w:r w:rsidRPr="00CF0E75">
        <w:rPr>
          <w:sz w:val="24"/>
          <w:szCs w:val="24"/>
        </w:rPr>
        <w:t>dienogest</w:t>
      </w:r>
      <w:proofErr w:type="spellEnd"/>
      <w:r w:rsidRPr="00CF0E75">
        <w:rPr>
          <w:sz w:val="24"/>
          <w:szCs w:val="24"/>
        </w:rPr>
        <w:t xml:space="preserve"> 2 mg-tabletter (placebo: 7,3 %).</w:t>
      </w:r>
    </w:p>
    <w:p w:rsidR="00140AB5" w:rsidRPr="00CF0E75" w:rsidRDefault="00140AB5" w:rsidP="00140AB5">
      <w:pPr>
        <w:tabs>
          <w:tab w:val="left" w:pos="851"/>
        </w:tabs>
        <w:ind w:left="851"/>
        <w:rPr>
          <w:sz w:val="24"/>
          <w:szCs w:val="24"/>
        </w:rPr>
      </w:pPr>
    </w:p>
    <w:p w:rsidR="00140AB5" w:rsidRPr="00CF0E75" w:rsidRDefault="00140AB5" w:rsidP="00140AB5">
      <w:pPr>
        <w:tabs>
          <w:tab w:val="left" w:pos="851"/>
        </w:tabs>
        <w:ind w:left="851"/>
        <w:rPr>
          <w:sz w:val="24"/>
          <w:szCs w:val="24"/>
        </w:rPr>
      </w:pPr>
      <w:r>
        <w:rPr>
          <w:sz w:val="24"/>
          <w:szCs w:val="24"/>
        </w:rPr>
        <w:t xml:space="preserve">Et åbent ekstensionsstudie efter </w:t>
      </w:r>
      <w:r w:rsidRPr="00CF0E75">
        <w:rPr>
          <w:sz w:val="24"/>
          <w:szCs w:val="24"/>
        </w:rPr>
        <w:t xml:space="preserve">det placebokontrollerede </w:t>
      </w:r>
      <w:r>
        <w:rPr>
          <w:sz w:val="24"/>
          <w:szCs w:val="24"/>
        </w:rPr>
        <w:t>studie</w:t>
      </w:r>
      <w:r w:rsidRPr="00CF0E75">
        <w:rPr>
          <w:sz w:val="24"/>
          <w:szCs w:val="24"/>
        </w:rPr>
        <w:t xml:space="preserve"> antydede en fortsat reduktion af de </w:t>
      </w:r>
      <w:proofErr w:type="spellStart"/>
      <w:r w:rsidRPr="00CF0E75">
        <w:rPr>
          <w:sz w:val="24"/>
          <w:szCs w:val="24"/>
        </w:rPr>
        <w:t>endometrioserelaterede</w:t>
      </w:r>
      <w:proofErr w:type="spellEnd"/>
      <w:r w:rsidRPr="00CF0E75">
        <w:rPr>
          <w:sz w:val="24"/>
          <w:szCs w:val="24"/>
        </w:rPr>
        <w:t xml:space="preserve"> </w:t>
      </w:r>
      <w:r>
        <w:rPr>
          <w:sz w:val="24"/>
          <w:szCs w:val="24"/>
        </w:rPr>
        <w:t>underlivs</w:t>
      </w:r>
      <w:r w:rsidRPr="00CF0E75">
        <w:rPr>
          <w:sz w:val="24"/>
          <w:szCs w:val="24"/>
        </w:rPr>
        <w:t>smerter i en behandlingsperiode på op til 15 måneder.</w:t>
      </w:r>
    </w:p>
    <w:p w:rsidR="00140AB5" w:rsidRPr="00CF0E75" w:rsidRDefault="00140AB5" w:rsidP="00140AB5">
      <w:pPr>
        <w:tabs>
          <w:tab w:val="left" w:pos="851"/>
        </w:tabs>
        <w:ind w:left="851"/>
        <w:rPr>
          <w:sz w:val="24"/>
          <w:szCs w:val="24"/>
        </w:rPr>
      </w:pPr>
    </w:p>
    <w:p w:rsidR="00140AB5" w:rsidRPr="00CF0E75" w:rsidRDefault="00140AB5" w:rsidP="00140AB5">
      <w:pPr>
        <w:tabs>
          <w:tab w:val="left" w:pos="851"/>
        </w:tabs>
        <w:ind w:left="851"/>
        <w:rPr>
          <w:sz w:val="24"/>
          <w:szCs w:val="24"/>
        </w:rPr>
      </w:pPr>
      <w:r w:rsidRPr="00CF0E75">
        <w:rPr>
          <w:sz w:val="24"/>
          <w:szCs w:val="24"/>
        </w:rPr>
        <w:t xml:space="preserve">De placebokontrollerede resultater blev understøttet af de resultater, der blev opnået i et 6-måneders aktivt kontrolleret </w:t>
      </w:r>
      <w:r>
        <w:rPr>
          <w:sz w:val="24"/>
          <w:szCs w:val="24"/>
        </w:rPr>
        <w:t>studie</w:t>
      </w:r>
      <w:r w:rsidRPr="00CF0E75">
        <w:rPr>
          <w:sz w:val="24"/>
          <w:szCs w:val="24"/>
        </w:rPr>
        <w:t xml:space="preserve"> over</w:t>
      </w:r>
      <w:r>
        <w:rPr>
          <w:sz w:val="24"/>
          <w:szCs w:val="24"/>
        </w:rPr>
        <w:t xml:space="preserve"> </w:t>
      </w:r>
      <w:r w:rsidRPr="00CF0E75">
        <w:rPr>
          <w:sz w:val="24"/>
          <w:szCs w:val="24"/>
        </w:rPr>
        <w:t xml:space="preserve">for en </w:t>
      </w:r>
      <w:proofErr w:type="spellStart"/>
      <w:r w:rsidRPr="00CF0E75">
        <w:rPr>
          <w:sz w:val="24"/>
          <w:szCs w:val="24"/>
        </w:rPr>
        <w:t>GnRH</w:t>
      </w:r>
      <w:proofErr w:type="spellEnd"/>
      <w:r w:rsidRPr="00CF0E75">
        <w:rPr>
          <w:sz w:val="24"/>
          <w:szCs w:val="24"/>
        </w:rPr>
        <w:t xml:space="preserve">-agonist, som omfattede 252 </w:t>
      </w:r>
      <w:proofErr w:type="spellStart"/>
      <w:r w:rsidRPr="00CF0E75">
        <w:rPr>
          <w:sz w:val="24"/>
          <w:szCs w:val="24"/>
        </w:rPr>
        <w:t>endometriosepatienter</w:t>
      </w:r>
      <w:proofErr w:type="spellEnd"/>
      <w:r w:rsidRPr="00CF0E75">
        <w:rPr>
          <w:sz w:val="24"/>
          <w:szCs w:val="24"/>
        </w:rPr>
        <w:t>.</w:t>
      </w:r>
    </w:p>
    <w:p w:rsidR="00140AB5" w:rsidRPr="00CF0E75" w:rsidRDefault="00140AB5" w:rsidP="00140AB5">
      <w:pPr>
        <w:tabs>
          <w:tab w:val="left" w:pos="851"/>
        </w:tabs>
        <w:ind w:left="851"/>
        <w:rPr>
          <w:sz w:val="24"/>
          <w:szCs w:val="24"/>
        </w:rPr>
      </w:pPr>
    </w:p>
    <w:p w:rsidR="00140AB5" w:rsidRPr="00CF0E75" w:rsidRDefault="00140AB5" w:rsidP="00140AB5">
      <w:pPr>
        <w:tabs>
          <w:tab w:val="left" w:pos="851"/>
        </w:tabs>
        <w:ind w:left="851"/>
        <w:rPr>
          <w:sz w:val="24"/>
          <w:szCs w:val="24"/>
        </w:rPr>
      </w:pPr>
      <w:r w:rsidRPr="00CF0E75">
        <w:rPr>
          <w:sz w:val="24"/>
          <w:szCs w:val="24"/>
        </w:rPr>
        <w:t xml:space="preserve">Tre </w:t>
      </w:r>
      <w:r>
        <w:rPr>
          <w:sz w:val="24"/>
          <w:szCs w:val="24"/>
        </w:rPr>
        <w:t>studier</w:t>
      </w:r>
      <w:r w:rsidRPr="00CF0E75">
        <w:rPr>
          <w:sz w:val="24"/>
          <w:szCs w:val="24"/>
        </w:rPr>
        <w:t>, der omfatter sammenlagt 252 patienter, som modtog en daglig dosis</w:t>
      </w:r>
      <w:r>
        <w:rPr>
          <w:sz w:val="24"/>
          <w:szCs w:val="24"/>
        </w:rPr>
        <w:t xml:space="preserve"> på</w:t>
      </w:r>
      <w:r w:rsidRPr="00CF0E75">
        <w:rPr>
          <w:sz w:val="24"/>
          <w:szCs w:val="24"/>
        </w:rPr>
        <w:t xml:space="preserve"> 2 mg </w:t>
      </w:r>
      <w:proofErr w:type="spellStart"/>
      <w:r w:rsidRPr="00CF0E75">
        <w:rPr>
          <w:sz w:val="24"/>
          <w:szCs w:val="24"/>
        </w:rPr>
        <w:t>dienogest</w:t>
      </w:r>
      <w:proofErr w:type="spellEnd"/>
      <w:r w:rsidRPr="00CF0E75">
        <w:rPr>
          <w:sz w:val="24"/>
          <w:szCs w:val="24"/>
        </w:rPr>
        <w:t xml:space="preserve">, viste en betydelig reduktion af </w:t>
      </w:r>
      <w:proofErr w:type="spellStart"/>
      <w:r w:rsidRPr="00CF0E75">
        <w:rPr>
          <w:sz w:val="24"/>
          <w:szCs w:val="24"/>
        </w:rPr>
        <w:t>endometriotiske</w:t>
      </w:r>
      <w:proofErr w:type="spellEnd"/>
      <w:r w:rsidRPr="00CF0E75">
        <w:rPr>
          <w:sz w:val="24"/>
          <w:szCs w:val="24"/>
        </w:rPr>
        <w:t xml:space="preserve"> læsioner efter 6 måneders behandling.</w:t>
      </w:r>
    </w:p>
    <w:p w:rsidR="00140AB5" w:rsidRPr="00CF0E75" w:rsidRDefault="00140AB5" w:rsidP="00140AB5">
      <w:pPr>
        <w:tabs>
          <w:tab w:val="left" w:pos="851"/>
        </w:tabs>
        <w:ind w:left="851"/>
        <w:rPr>
          <w:sz w:val="24"/>
          <w:szCs w:val="24"/>
        </w:rPr>
      </w:pPr>
    </w:p>
    <w:p w:rsidR="00140AB5" w:rsidRPr="00CF0E75" w:rsidRDefault="00140AB5" w:rsidP="00140AB5">
      <w:pPr>
        <w:tabs>
          <w:tab w:val="left" w:pos="851"/>
        </w:tabs>
        <w:ind w:left="851"/>
        <w:rPr>
          <w:sz w:val="24"/>
          <w:szCs w:val="24"/>
        </w:rPr>
      </w:pPr>
      <w:r w:rsidRPr="00CF0E75">
        <w:rPr>
          <w:sz w:val="24"/>
          <w:szCs w:val="24"/>
        </w:rPr>
        <w:t xml:space="preserve">I et lille </w:t>
      </w:r>
      <w:r>
        <w:rPr>
          <w:sz w:val="24"/>
          <w:szCs w:val="24"/>
        </w:rPr>
        <w:t>studie (n=8 per dos</w:t>
      </w:r>
      <w:r w:rsidRPr="00CF0E75">
        <w:rPr>
          <w:sz w:val="24"/>
          <w:szCs w:val="24"/>
        </w:rPr>
        <w:t xml:space="preserve">isgruppe), har en dosis på 1 mg </w:t>
      </w:r>
      <w:proofErr w:type="spellStart"/>
      <w:r w:rsidRPr="00CF0E75">
        <w:rPr>
          <w:sz w:val="24"/>
          <w:szCs w:val="24"/>
        </w:rPr>
        <w:t>dienogest</w:t>
      </w:r>
      <w:proofErr w:type="spellEnd"/>
      <w:r w:rsidRPr="00CF0E75">
        <w:rPr>
          <w:sz w:val="24"/>
          <w:szCs w:val="24"/>
        </w:rPr>
        <w:t xml:space="preserve"> vist sig at give en </w:t>
      </w:r>
      <w:proofErr w:type="spellStart"/>
      <w:r w:rsidRPr="00CF0E75">
        <w:rPr>
          <w:sz w:val="24"/>
          <w:szCs w:val="24"/>
        </w:rPr>
        <w:t>anovulatorisk</w:t>
      </w:r>
      <w:proofErr w:type="spellEnd"/>
      <w:r w:rsidRPr="00CF0E75">
        <w:rPr>
          <w:sz w:val="24"/>
          <w:szCs w:val="24"/>
        </w:rPr>
        <w:t xml:space="preserve"> tilstand efter 1 måneds behandling. </w:t>
      </w:r>
      <w:proofErr w:type="spellStart"/>
      <w:r w:rsidRPr="00CF0E75">
        <w:rPr>
          <w:sz w:val="24"/>
          <w:szCs w:val="24"/>
        </w:rPr>
        <w:t>Dienogest</w:t>
      </w:r>
      <w:proofErr w:type="spellEnd"/>
      <w:r w:rsidRPr="00CF0E75">
        <w:rPr>
          <w:sz w:val="24"/>
          <w:szCs w:val="24"/>
        </w:rPr>
        <w:t xml:space="preserve"> 2 mg-tabletten er ikke blevet testet for virkning som præventionsmiddel i større undersøgelser.</w:t>
      </w:r>
    </w:p>
    <w:p w:rsidR="00140AB5" w:rsidRPr="00CF0E75" w:rsidRDefault="00140AB5" w:rsidP="00140AB5">
      <w:pPr>
        <w:tabs>
          <w:tab w:val="left" w:pos="851"/>
        </w:tabs>
        <w:ind w:left="851"/>
        <w:rPr>
          <w:sz w:val="24"/>
          <w:szCs w:val="24"/>
        </w:rPr>
      </w:pPr>
    </w:p>
    <w:p w:rsidR="00140AB5" w:rsidRPr="00807C80" w:rsidRDefault="00140AB5" w:rsidP="00140AB5">
      <w:pPr>
        <w:tabs>
          <w:tab w:val="left" w:pos="851"/>
        </w:tabs>
        <w:ind w:left="851"/>
        <w:rPr>
          <w:sz w:val="24"/>
          <w:szCs w:val="24"/>
          <w:u w:val="single"/>
        </w:rPr>
      </w:pPr>
      <w:r w:rsidRPr="00807C80">
        <w:rPr>
          <w:iCs/>
          <w:sz w:val="24"/>
          <w:szCs w:val="24"/>
          <w:u w:val="single"/>
        </w:rPr>
        <w:t>Data om sikkerheden</w:t>
      </w:r>
    </w:p>
    <w:p w:rsidR="00140AB5" w:rsidRPr="00CF0E75" w:rsidRDefault="00140AB5" w:rsidP="00140AB5">
      <w:pPr>
        <w:tabs>
          <w:tab w:val="left" w:pos="851"/>
        </w:tabs>
        <w:ind w:left="851"/>
        <w:rPr>
          <w:sz w:val="24"/>
          <w:szCs w:val="24"/>
        </w:rPr>
      </w:pPr>
      <w:r w:rsidRPr="00CF0E75">
        <w:rPr>
          <w:sz w:val="24"/>
          <w:szCs w:val="24"/>
        </w:rPr>
        <w:t xml:space="preserve">Endogene østrogenniveauer undertrykkes moderat under behandling med </w:t>
      </w:r>
      <w:proofErr w:type="spellStart"/>
      <w:r w:rsidRPr="00CF0E75">
        <w:rPr>
          <w:sz w:val="24"/>
          <w:szCs w:val="24"/>
        </w:rPr>
        <w:t>dienogest</w:t>
      </w:r>
      <w:proofErr w:type="spellEnd"/>
      <w:r w:rsidRPr="00CF0E75">
        <w:rPr>
          <w:sz w:val="24"/>
          <w:szCs w:val="24"/>
        </w:rPr>
        <w:t xml:space="preserve"> 2 mg-tabletter.</w:t>
      </w:r>
    </w:p>
    <w:p w:rsidR="00140AB5" w:rsidRPr="00CF0E75" w:rsidRDefault="00140AB5" w:rsidP="00140AB5">
      <w:pPr>
        <w:tabs>
          <w:tab w:val="left" w:pos="851"/>
        </w:tabs>
        <w:ind w:left="851"/>
        <w:rPr>
          <w:sz w:val="24"/>
          <w:szCs w:val="24"/>
        </w:rPr>
      </w:pPr>
    </w:p>
    <w:p w:rsidR="00140AB5" w:rsidRPr="00CF0E75" w:rsidRDefault="00140AB5" w:rsidP="00140AB5">
      <w:pPr>
        <w:tabs>
          <w:tab w:val="left" w:pos="851"/>
        </w:tabs>
        <w:ind w:left="851"/>
        <w:rPr>
          <w:sz w:val="24"/>
          <w:szCs w:val="24"/>
        </w:rPr>
      </w:pPr>
      <w:r w:rsidRPr="00CF0E75">
        <w:rPr>
          <w:sz w:val="24"/>
          <w:szCs w:val="24"/>
        </w:rPr>
        <w:t xml:space="preserve">I øjeblikket er der ingen </w:t>
      </w:r>
      <w:proofErr w:type="spellStart"/>
      <w:r>
        <w:rPr>
          <w:sz w:val="24"/>
          <w:szCs w:val="24"/>
        </w:rPr>
        <w:t>langtids</w:t>
      </w:r>
      <w:proofErr w:type="spellEnd"/>
      <w:r>
        <w:rPr>
          <w:sz w:val="24"/>
          <w:szCs w:val="24"/>
        </w:rPr>
        <w:t>-data tilgængelige</w:t>
      </w:r>
      <w:r w:rsidRPr="00CF0E75">
        <w:rPr>
          <w:sz w:val="24"/>
          <w:szCs w:val="24"/>
        </w:rPr>
        <w:t xml:space="preserve"> om knoglernes mineraldensitet (BMD) og risiko for brud hos brugere af </w:t>
      </w:r>
      <w:proofErr w:type="spellStart"/>
      <w:r w:rsidRPr="00CF0E75">
        <w:rPr>
          <w:sz w:val="24"/>
          <w:szCs w:val="24"/>
        </w:rPr>
        <w:t>dienogest</w:t>
      </w:r>
      <w:proofErr w:type="spellEnd"/>
      <w:r w:rsidRPr="00CF0E75">
        <w:rPr>
          <w:sz w:val="24"/>
          <w:szCs w:val="24"/>
        </w:rPr>
        <w:t xml:space="preserve"> 2 mg-tabletter. BMD blev vurderet hos 21 voksne patienter før og efter 6 måneders behandling med </w:t>
      </w:r>
      <w:proofErr w:type="spellStart"/>
      <w:r w:rsidRPr="00CF0E75">
        <w:rPr>
          <w:sz w:val="24"/>
          <w:szCs w:val="24"/>
        </w:rPr>
        <w:t>dienogest</w:t>
      </w:r>
      <w:proofErr w:type="spellEnd"/>
      <w:r w:rsidRPr="00CF0E75">
        <w:rPr>
          <w:sz w:val="24"/>
          <w:szCs w:val="24"/>
        </w:rPr>
        <w:t xml:space="preserve"> 2 mg-tabletter, og der var ingen reduktion i den gennemsnitlige BMD. Hos 29 patienter, der blev behandlet med </w:t>
      </w:r>
      <w:proofErr w:type="spellStart"/>
      <w:r w:rsidRPr="00CF0E75">
        <w:rPr>
          <w:sz w:val="24"/>
          <w:szCs w:val="24"/>
        </w:rPr>
        <w:t>leuporelinacetat</w:t>
      </w:r>
      <w:proofErr w:type="spellEnd"/>
      <w:r w:rsidRPr="00CF0E75">
        <w:rPr>
          <w:sz w:val="24"/>
          <w:szCs w:val="24"/>
        </w:rPr>
        <w:t xml:space="preserve"> (LA), blev der noteret en reduktion på 4,04 % ± 4,84 efter den samme periode (forskel mellem grupper = 4,29 %; 95 %CI: 1,93</w:t>
      </w:r>
      <w:r w:rsidRPr="00CF0E75">
        <w:rPr>
          <w:sz w:val="24"/>
          <w:szCs w:val="24"/>
        </w:rPr>
        <w:noBreakHyphen/>
        <w:t>6,66; p&lt;0,0003).</w:t>
      </w:r>
    </w:p>
    <w:p w:rsidR="00140AB5" w:rsidRPr="00CF0E75" w:rsidRDefault="00140AB5" w:rsidP="00140AB5">
      <w:pPr>
        <w:tabs>
          <w:tab w:val="left" w:pos="851"/>
        </w:tabs>
        <w:ind w:left="851"/>
        <w:rPr>
          <w:sz w:val="24"/>
          <w:szCs w:val="24"/>
        </w:rPr>
      </w:pPr>
    </w:p>
    <w:p w:rsidR="00140AB5" w:rsidRPr="00CF0E75" w:rsidRDefault="00140AB5" w:rsidP="00140AB5">
      <w:pPr>
        <w:tabs>
          <w:tab w:val="left" w:pos="851"/>
        </w:tabs>
        <w:ind w:left="851"/>
        <w:rPr>
          <w:sz w:val="24"/>
          <w:szCs w:val="24"/>
        </w:rPr>
      </w:pPr>
      <w:r w:rsidRPr="00CF0E75">
        <w:rPr>
          <w:sz w:val="24"/>
          <w:szCs w:val="24"/>
        </w:rPr>
        <w:t xml:space="preserve">Det blev ikke observeret nogen betydende ændringer af gennemsnitsværdierne for standardlaboratorieparametrene (herunder hæmatologi, blodkemi, leverenzymer, lipider og HbA1c) under behandling med </w:t>
      </w:r>
      <w:proofErr w:type="spellStart"/>
      <w:r w:rsidRPr="00CF0E75">
        <w:rPr>
          <w:sz w:val="24"/>
          <w:szCs w:val="24"/>
        </w:rPr>
        <w:t>dienogest</w:t>
      </w:r>
      <w:proofErr w:type="spellEnd"/>
      <w:r w:rsidRPr="00CF0E75">
        <w:rPr>
          <w:sz w:val="24"/>
          <w:szCs w:val="24"/>
        </w:rPr>
        <w:t xml:space="preserve"> 2 mg-tabletter i op til 15 måneder (n=168).</w:t>
      </w:r>
    </w:p>
    <w:p w:rsidR="00140AB5" w:rsidRPr="00CF0E75" w:rsidRDefault="00140AB5" w:rsidP="00140AB5">
      <w:pPr>
        <w:tabs>
          <w:tab w:val="left" w:pos="851"/>
        </w:tabs>
        <w:ind w:left="851"/>
        <w:rPr>
          <w:sz w:val="24"/>
          <w:szCs w:val="24"/>
        </w:rPr>
      </w:pPr>
    </w:p>
    <w:p w:rsidR="00140AB5" w:rsidRPr="001A716C" w:rsidRDefault="00140AB5" w:rsidP="00140AB5">
      <w:pPr>
        <w:tabs>
          <w:tab w:val="left" w:pos="851"/>
        </w:tabs>
        <w:ind w:left="851"/>
        <w:rPr>
          <w:iCs/>
          <w:sz w:val="24"/>
          <w:szCs w:val="24"/>
          <w:u w:val="single"/>
        </w:rPr>
      </w:pPr>
      <w:r w:rsidRPr="001A716C">
        <w:rPr>
          <w:iCs/>
          <w:sz w:val="24"/>
          <w:szCs w:val="24"/>
          <w:u w:val="single"/>
        </w:rPr>
        <w:t>Sikkerhed hos unge kvinder</w:t>
      </w:r>
    </w:p>
    <w:p w:rsidR="00140AB5" w:rsidRDefault="00140AB5" w:rsidP="00140AB5">
      <w:pPr>
        <w:tabs>
          <w:tab w:val="left" w:pos="851"/>
        </w:tabs>
        <w:ind w:left="851"/>
        <w:rPr>
          <w:sz w:val="24"/>
          <w:szCs w:val="24"/>
        </w:rPr>
      </w:pPr>
      <w:r>
        <w:rPr>
          <w:sz w:val="24"/>
          <w:szCs w:val="24"/>
        </w:rPr>
        <w:t xml:space="preserve">Sikkerheden </w:t>
      </w:r>
      <w:r w:rsidRPr="00CF0E75">
        <w:rPr>
          <w:sz w:val="24"/>
          <w:szCs w:val="24"/>
        </w:rPr>
        <w:t xml:space="preserve">af </w:t>
      </w:r>
      <w:proofErr w:type="spellStart"/>
      <w:r w:rsidRPr="00CF0E75">
        <w:rPr>
          <w:sz w:val="24"/>
          <w:szCs w:val="24"/>
        </w:rPr>
        <w:t>dienogest</w:t>
      </w:r>
      <w:proofErr w:type="spellEnd"/>
      <w:r w:rsidRPr="00CF0E75">
        <w:rPr>
          <w:sz w:val="24"/>
          <w:szCs w:val="24"/>
        </w:rPr>
        <w:t xml:space="preserve"> 2 mg-tabletten, for så vidt angår BMP, blev undersøgt i e</w:t>
      </w:r>
      <w:r>
        <w:rPr>
          <w:sz w:val="24"/>
          <w:szCs w:val="24"/>
        </w:rPr>
        <w:t>t ikke-</w:t>
      </w:r>
      <w:r w:rsidRPr="00CF0E75">
        <w:rPr>
          <w:sz w:val="24"/>
          <w:szCs w:val="24"/>
        </w:rPr>
        <w:t xml:space="preserve">kontrolleret klinisk </w:t>
      </w:r>
      <w:r>
        <w:rPr>
          <w:sz w:val="24"/>
          <w:szCs w:val="24"/>
        </w:rPr>
        <w:t>studie</w:t>
      </w:r>
      <w:r w:rsidRPr="00CF0E75">
        <w:rPr>
          <w:sz w:val="24"/>
          <w:szCs w:val="24"/>
        </w:rPr>
        <w:t xml:space="preserve"> over 12 måneder, hos 111 </w:t>
      </w:r>
      <w:r>
        <w:rPr>
          <w:sz w:val="24"/>
          <w:szCs w:val="24"/>
        </w:rPr>
        <w:t>unge</w:t>
      </w:r>
      <w:r w:rsidRPr="00CF0E75">
        <w:rPr>
          <w:sz w:val="24"/>
          <w:szCs w:val="24"/>
        </w:rPr>
        <w:t xml:space="preserve"> kvinder (12 - &lt;18), som havde klinisk formodet eller bekræftet </w:t>
      </w:r>
      <w:proofErr w:type="spellStart"/>
      <w:r w:rsidRPr="00CF0E75">
        <w:rPr>
          <w:sz w:val="24"/>
          <w:szCs w:val="24"/>
        </w:rPr>
        <w:t>endometriose</w:t>
      </w:r>
      <w:proofErr w:type="spellEnd"/>
      <w:r w:rsidRPr="00CF0E75">
        <w:rPr>
          <w:sz w:val="24"/>
          <w:szCs w:val="24"/>
        </w:rPr>
        <w:t xml:space="preserve">. Medianen for relativ </w:t>
      </w:r>
      <w:proofErr w:type="spellStart"/>
      <w:r>
        <w:rPr>
          <w:sz w:val="24"/>
          <w:szCs w:val="24"/>
        </w:rPr>
        <w:t>ændring</w:t>
      </w:r>
      <w:r w:rsidRPr="00CF0E75">
        <w:rPr>
          <w:sz w:val="24"/>
          <w:szCs w:val="24"/>
        </w:rPr>
        <w:t>forandring</w:t>
      </w:r>
      <w:proofErr w:type="spellEnd"/>
      <w:r w:rsidRPr="00CF0E75">
        <w:rPr>
          <w:sz w:val="24"/>
          <w:szCs w:val="24"/>
        </w:rPr>
        <w:t xml:space="preserve"> i lændehvirvelsøjlens (L2-L4) BMD fra </w:t>
      </w:r>
      <w:r>
        <w:rPr>
          <w:sz w:val="24"/>
          <w:szCs w:val="24"/>
        </w:rPr>
        <w:t>baseline</w:t>
      </w:r>
      <w:r w:rsidRPr="00CF0E75">
        <w:rPr>
          <w:sz w:val="24"/>
          <w:szCs w:val="24"/>
        </w:rPr>
        <w:t xml:space="preserve"> hos de 103 patienter, hos hvem der blev foretaget BMD-målinger, var -1,2 %. I en undergruppe af patienter med reduceret BMD, blev der gennemført en opfølgningsmåling 6 måneder efter</w:t>
      </w:r>
      <w:r>
        <w:rPr>
          <w:sz w:val="24"/>
          <w:szCs w:val="24"/>
        </w:rPr>
        <w:t xml:space="preserve"> </w:t>
      </w:r>
      <w:proofErr w:type="spellStart"/>
      <w:r>
        <w:rPr>
          <w:sz w:val="24"/>
          <w:szCs w:val="24"/>
        </w:rPr>
        <w:t>seponering</w:t>
      </w:r>
      <w:proofErr w:type="spellEnd"/>
      <w:r>
        <w:rPr>
          <w:sz w:val="24"/>
          <w:szCs w:val="24"/>
        </w:rPr>
        <w:t xml:space="preserve"> af behandlingen, som </w:t>
      </w:r>
      <w:r w:rsidRPr="00CF0E75">
        <w:rPr>
          <w:sz w:val="24"/>
          <w:szCs w:val="24"/>
        </w:rPr>
        <w:t xml:space="preserve">viste en </w:t>
      </w:r>
      <w:r>
        <w:rPr>
          <w:sz w:val="24"/>
          <w:szCs w:val="24"/>
        </w:rPr>
        <w:t>stigning</w:t>
      </w:r>
      <w:r w:rsidRPr="00CF0E75">
        <w:rPr>
          <w:sz w:val="24"/>
          <w:szCs w:val="24"/>
        </w:rPr>
        <w:t xml:space="preserve"> i BMD til -0,6 %.</w:t>
      </w:r>
    </w:p>
    <w:p w:rsidR="00EC7A3A" w:rsidRDefault="00EC7A3A" w:rsidP="00140AB5">
      <w:pPr>
        <w:tabs>
          <w:tab w:val="left" w:pos="851"/>
        </w:tabs>
        <w:ind w:left="851"/>
        <w:rPr>
          <w:sz w:val="24"/>
          <w:szCs w:val="24"/>
        </w:rPr>
      </w:pPr>
    </w:p>
    <w:p w:rsidR="00EC7A3A" w:rsidRPr="00626576" w:rsidRDefault="00EC7A3A" w:rsidP="00EC7A3A">
      <w:pPr>
        <w:tabs>
          <w:tab w:val="left" w:pos="851"/>
        </w:tabs>
        <w:ind w:left="851"/>
        <w:rPr>
          <w:sz w:val="24"/>
          <w:szCs w:val="24"/>
          <w:u w:val="single"/>
        </w:rPr>
      </w:pPr>
      <w:r w:rsidRPr="00626576">
        <w:rPr>
          <w:sz w:val="24"/>
          <w:szCs w:val="24"/>
          <w:u w:val="single"/>
        </w:rPr>
        <w:t>Langsigtet sikkerhed</w:t>
      </w:r>
    </w:p>
    <w:p w:rsidR="00EC7A3A" w:rsidRDefault="00EC7A3A" w:rsidP="00EC7A3A">
      <w:pPr>
        <w:tabs>
          <w:tab w:val="left" w:pos="851"/>
        </w:tabs>
        <w:ind w:left="851"/>
        <w:rPr>
          <w:sz w:val="24"/>
          <w:szCs w:val="24"/>
        </w:rPr>
      </w:pPr>
      <w:r>
        <w:rPr>
          <w:sz w:val="24"/>
          <w:szCs w:val="24"/>
        </w:rPr>
        <w:t xml:space="preserve">Et langsigtet </w:t>
      </w:r>
      <w:proofErr w:type="gramStart"/>
      <w:r>
        <w:rPr>
          <w:sz w:val="24"/>
          <w:szCs w:val="24"/>
        </w:rPr>
        <w:t>post-marketing observationsstudie</w:t>
      </w:r>
      <w:proofErr w:type="gramEnd"/>
      <w:r>
        <w:rPr>
          <w:sz w:val="24"/>
          <w:szCs w:val="24"/>
        </w:rPr>
        <w:t xml:space="preserve"> med aktiv overvågning for at undersøge forekomsten af førstegangsindtræden eller forværring af klinisk relevant depression og forekomsten af anæmi. I alt 27.840 kvinder med en nyligt ordineret hormonbehandling for </w:t>
      </w:r>
      <w:proofErr w:type="spellStart"/>
      <w:r>
        <w:rPr>
          <w:sz w:val="24"/>
          <w:szCs w:val="24"/>
        </w:rPr>
        <w:t>endometriose</w:t>
      </w:r>
      <w:proofErr w:type="spellEnd"/>
      <w:r>
        <w:rPr>
          <w:sz w:val="24"/>
          <w:szCs w:val="24"/>
        </w:rPr>
        <w:t xml:space="preserve"> blev inkluderet i studiet og fulgt i op til 7 år.</w:t>
      </w:r>
    </w:p>
    <w:p w:rsidR="00EC7A3A" w:rsidRPr="00CF0E75" w:rsidRDefault="00EC7A3A" w:rsidP="00EC7A3A">
      <w:pPr>
        <w:tabs>
          <w:tab w:val="left" w:pos="851"/>
        </w:tabs>
        <w:ind w:left="851"/>
        <w:rPr>
          <w:sz w:val="24"/>
          <w:szCs w:val="24"/>
        </w:rPr>
      </w:pPr>
      <w:r>
        <w:rPr>
          <w:sz w:val="24"/>
          <w:szCs w:val="24"/>
        </w:rPr>
        <w:t xml:space="preserve">I alt 3.023 kvinder startede med en ordination på </w:t>
      </w:r>
      <w:proofErr w:type="spellStart"/>
      <w:r>
        <w:rPr>
          <w:sz w:val="24"/>
          <w:szCs w:val="24"/>
        </w:rPr>
        <w:t>dienogest</w:t>
      </w:r>
      <w:proofErr w:type="spellEnd"/>
      <w:r>
        <w:rPr>
          <w:sz w:val="24"/>
          <w:szCs w:val="24"/>
        </w:rPr>
        <w:t xml:space="preserve"> 2 mg og 3.371 patienter startede med andre godkendte lægemidler mod </w:t>
      </w:r>
      <w:proofErr w:type="spellStart"/>
      <w:r>
        <w:rPr>
          <w:sz w:val="24"/>
          <w:szCs w:val="24"/>
        </w:rPr>
        <w:t>endometriose</w:t>
      </w:r>
      <w:proofErr w:type="spellEnd"/>
      <w:r>
        <w:rPr>
          <w:sz w:val="24"/>
          <w:szCs w:val="24"/>
        </w:rPr>
        <w:t xml:space="preserve">. Den samlede, justerede </w:t>
      </w:r>
      <w:proofErr w:type="spellStart"/>
      <w:r>
        <w:rPr>
          <w:sz w:val="24"/>
          <w:szCs w:val="24"/>
        </w:rPr>
        <w:t>hazard</w:t>
      </w:r>
      <w:proofErr w:type="spellEnd"/>
      <w:r>
        <w:rPr>
          <w:sz w:val="24"/>
          <w:szCs w:val="24"/>
        </w:rPr>
        <w:t xml:space="preserve"> ratio for nye forekomster af anæmi hos de patienter, der fik </w:t>
      </w:r>
      <w:proofErr w:type="spellStart"/>
      <w:r>
        <w:rPr>
          <w:sz w:val="24"/>
          <w:szCs w:val="24"/>
        </w:rPr>
        <w:t>dienogest</w:t>
      </w:r>
      <w:proofErr w:type="spellEnd"/>
      <w:r>
        <w:rPr>
          <w:sz w:val="24"/>
          <w:szCs w:val="24"/>
        </w:rPr>
        <w:t xml:space="preserve">, sammenlignet med de patienter, der fik andre godkendte lægemidler mod </w:t>
      </w:r>
      <w:proofErr w:type="spellStart"/>
      <w:r>
        <w:rPr>
          <w:sz w:val="24"/>
          <w:szCs w:val="24"/>
        </w:rPr>
        <w:t>endometriose</w:t>
      </w:r>
      <w:proofErr w:type="spellEnd"/>
      <w:r>
        <w:rPr>
          <w:sz w:val="24"/>
          <w:szCs w:val="24"/>
        </w:rPr>
        <w:t xml:space="preserve">, var 1,1 (95 % CI: 0,4-2,6). Den justerede </w:t>
      </w:r>
      <w:proofErr w:type="spellStart"/>
      <w:r>
        <w:rPr>
          <w:sz w:val="24"/>
          <w:szCs w:val="24"/>
        </w:rPr>
        <w:t>hazard</w:t>
      </w:r>
      <w:proofErr w:type="spellEnd"/>
      <w:r>
        <w:rPr>
          <w:sz w:val="24"/>
          <w:szCs w:val="24"/>
        </w:rPr>
        <w:t xml:space="preserve"> ratio for depressionsrisikoen med </w:t>
      </w:r>
      <w:proofErr w:type="spellStart"/>
      <w:r>
        <w:rPr>
          <w:sz w:val="24"/>
          <w:szCs w:val="24"/>
        </w:rPr>
        <w:t>dienogest</w:t>
      </w:r>
      <w:proofErr w:type="spellEnd"/>
      <w:r>
        <w:rPr>
          <w:sz w:val="24"/>
          <w:szCs w:val="24"/>
        </w:rPr>
        <w:t xml:space="preserve"> sammenlignet med andre godkendte lægemidler mod </w:t>
      </w:r>
      <w:proofErr w:type="spellStart"/>
      <w:r>
        <w:rPr>
          <w:sz w:val="24"/>
          <w:szCs w:val="24"/>
        </w:rPr>
        <w:t>endometriose</w:t>
      </w:r>
      <w:proofErr w:type="spellEnd"/>
      <w:r>
        <w:rPr>
          <w:sz w:val="24"/>
          <w:szCs w:val="24"/>
        </w:rPr>
        <w:t xml:space="preserve"> var 1,8 (95 % CI: 0,3-9,4). En let øget risiko for depression hos brugere af </w:t>
      </w:r>
      <w:proofErr w:type="spellStart"/>
      <w:r>
        <w:rPr>
          <w:sz w:val="24"/>
          <w:szCs w:val="24"/>
        </w:rPr>
        <w:t>dienogest</w:t>
      </w:r>
      <w:proofErr w:type="spellEnd"/>
      <w:r>
        <w:rPr>
          <w:sz w:val="24"/>
          <w:szCs w:val="24"/>
        </w:rPr>
        <w:t xml:space="preserve"> sammenlignet med brugere af andre godkendte lægemidler mod </w:t>
      </w:r>
      <w:proofErr w:type="spellStart"/>
      <w:r>
        <w:rPr>
          <w:sz w:val="24"/>
          <w:szCs w:val="24"/>
        </w:rPr>
        <w:t>endometriose</w:t>
      </w:r>
      <w:proofErr w:type="spellEnd"/>
      <w:r>
        <w:rPr>
          <w:sz w:val="24"/>
          <w:szCs w:val="24"/>
        </w:rPr>
        <w:t xml:space="preserve"> kunne ikke udelukkes.</w:t>
      </w:r>
    </w:p>
    <w:p w:rsidR="00140AB5" w:rsidRPr="00C84483" w:rsidRDefault="00140AB5" w:rsidP="00140AB5">
      <w:pPr>
        <w:tabs>
          <w:tab w:val="left" w:pos="851"/>
        </w:tabs>
        <w:ind w:left="851"/>
        <w:rPr>
          <w:sz w:val="24"/>
          <w:szCs w:val="24"/>
        </w:rPr>
      </w:pPr>
    </w:p>
    <w:p w:rsidR="00140AB5" w:rsidRPr="00C84483" w:rsidRDefault="00140AB5" w:rsidP="00140AB5">
      <w:pPr>
        <w:tabs>
          <w:tab w:val="left" w:pos="851"/>
        </w:tabs>
        <w:ind w:left="851" w:hanging="851"/>
        <w:rPr>
          <w:b/>
          <w:sz w:val="24"/>
          <w:szCs w:val="24"/>
        </w:rPr>
      </w:pPr>
      <w:r w:rsidRPr="00C84483">
        <w:rPr>
          <w:b/>
          <w:sz w:val="24"/>
          <w:szCs w:val="24"/>
        </w:rPr>
        <w:lastRenderedPageBreak/>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140AB5" w:rsidRPr="00352A64" w:rsidRDefault="00140AB5" w:rsidP="00140AB5">
      <w:pPr>
        <w:tabs>
          <w:tab w:val="left" w:pos="851"/>
        </w:tabs>
        <w:ind w:left="851"/>
        <w:rPr>
          <w:sz w:val="24"/>
          <w:szCs w:val="24"/>
        </w:rPr>
      </w:pPr>
    </w:p>
    <w:p w:rsidR="00140AB5" w:rsidRPr="00352A64" w:rsidRDefault="00140AB5" w:rsidP="00140AB5">
      <w:pPr>
        <w:tabs>
          <w:tab w:val="left" w:pos="851"/>
        </w:tabs>
        <w:ind w:left="851"/>
        <w:rPr>
          <w:iCs/>
          <w:sz w:val="24"/>
          <w:szCs w:val="24"/>
          <w:u w:val="single"/>
        </w:rPr>
      </w:pPr>
      <w:r w:rsidRPr="00352A64">
        <w:rPr>
          <w:iCs/>
          <w:sz w:val="24"/>
          <w:szCs w:val="24"/>
          <w:u w:val="single"/>
        </w:rPr>
        <w:t>Absorption</w:t>
      </w:r>
    </w:p>
    <w:p w:rsidR="00140AB5" w:rsidRPr="00352A64" w:rsidRDefault="00140AB5" w:rsidP="00140AB5">
      <w:pPr>
        <w:tabs>
          <w:tab w:val="left" w:pos="851"/>
        </w:tabs>
        <w:ind w:left="851"/>
        <w:rPr>
          <w:sz w:val="24"/>
          <w:szCs w:val="24"/>
        </w:rPr>
      </w:pPr>
      <w:r w:rsidRPr="00352A64">
        <w:rPr>
          <w:sz w:val="24"/>
          <w:szCs w:val="24"/>
        </w:rPr>
        <w:t xml:space="preserve">Oralt indtaget </w:t>
      </w:r>
      <w:proofErr w:type="spellStart"/>
      <w:r w:rsidRPr="00352A64">
        <w:rPr>
          <w:sz w:val="24"/>
          <w:szCs w:val="24"/>
        </w:rPr>
        <w:t>dienogest</w:t>
      </w:r>
      <w:proofErr w:type="spellEnd"/>
      <w:r w:rsidRPr="00352A64">
        <w:rPr>
          <w:sz w:val="24"/>
          <w:szCs w:val="24"/>
        </w:rPr>
        <w:t xml:space="preserve"> optages hurtigt og næsten fuldstændigt. </w:t>
      </w:r>
      <w:r>
        <w:rPr>
          <w:sz w:val="24"/>
          <w:szCs w:val="24"/>
        </w:rPr>
        <w:t>Maksimale</w:t>
      </w:r>
      <w:r w:rsidRPr="00352A64">
        <w:rPr>
          <w:sz w:val="24"/>
          <w:szCs w:val="24"/>
        </w:rPr>
        <w:t xml:space="preserve"> serumkoncentrationer på 47 </w:t>
      </w:r>
      <w:proofErr w:type="spellStart"/>
      <w:r w:rsidRPr="00352A64">
        <w:rPr>
          <w:sz w:val="24"/>
          <w:szCs w:val="24"/>
        </w:rPr>
        <w:t>ng</w:t>
      </w:r>
      <w:proofErr w:type="spellEnd"/>
      <w:r w:rsidRPr="00352A64">
        <w:rPr>
          <w:sz w:val="24"/>
          <w:szCs w:val="24"/>
        </w:rPr>
        <w:t xml:space="preserve">/ml blev opnået </w:t>
      </w:r>
      <w:r>
        <w:rPr>
          <w:sz w:val="24"/>
          <w:szCs w:val="24"/>
        </w:rPr>
        <w:t>ca.</w:t>
      </w:r>
      <w:r w:rsidRPr="00352A64">
        <w:rPr>
          <w:sz w:val="24"/>
          <w:szCs w:val="24"/>
        </w:rPr>
        <w:t xml:space="preserve"> 1,5 time efter </w:t>
      </w:r>
      <w:r>
        <w:rPr>
          <w:sz w:val="24"/>
          <w:szCs w:val="24"/>
        </w:rPr>
        <w:t>én</w:t>
      </w:r>
      <w:r w:rsidRPr="00352A64">
        <w:rPr>
          <w:sz w:val="24"/>
          <w:szCs w:val="24"/>
        </w:rPr>
        <w:t xml:space="preserve"> indtagelse. Biotilgængeligheden er </w:t>
      </w:r>
      <w:r>
        <w:rPr>
          <w:sz w:val="24"/>
          <w:szCs w:val="24"/>
        </w:rPr>
        <w:t>ca.</w:t>
      </w:r>
      <w:r w:rsidRPr="00352A64">
        <w:rPr>
          <w:sz w:val="24"/>
          <w:szCs w:val="24"/>
        </w:rPr>
        <w:t xml:space="preserve"> 91 %. </w:t>
      </w:r>
      <w:proofErr w:type="spellStart"/>
      <w:r w:rsidRPr="00352A64">
        <w:rPr>
          <w:sz w:val="24"/>
          <w:szCs w:val="24"/>
        </w:rPr>
        <w:t>Dienogests</w:t>
      </w:r>
      <w:proofErr w:type="spellEnd"/>
      <w:r w:rsidRPr="00352A64">
        <w:rPr>
          <w:sz w:val="24"/>
          <w:szCs w:val="24"/>
        </w:rPr>
        <w:t xml:space="preserve"> farmakokinetik er proportional med dosis, inden</w:t>
      </w:r>
      <w:r>
        <w:rPr>
          <w:sz w:val="24"/>
          <w:szCs w:val="24"/>
        </w:rPr>
        <w:t xml:space="preserve"> </w:t>
      </w:r>
      <w:r w:rsidRPr="00352A64">
        <w:rPr>
          <w:sz w:val="24"/>
          <w:szCs w:val="24"/>
        </w:rPr>
        <w:t>for et dosisinterval på 1</w:t>
      </w:r>
      <w:r w:rsidRPr="00352A64">
        <w:rPr>
          <w:sz w:val="24"/>
          <w:szCs w:val="24"/>
        </w:rPr>
        <w:noBreakHyphen/>
        <w:t>8 mg.</w:t>
      </w:r>
    </w:p>
    <w:p w:rsidR="00140AB5" w:rsidRPr="00352A64" w:rsidRDefault="00140AB5" w:rsidP="00140AB5">
      <w:pPr>
        <w:tabs>
          <w:tab w:val="left" w:pos="851"/>
        </w:tabs>
        <w:ind w:left="851"/>
        <w:rPr>
          <w:iCs/>
          <w:sz w:val="24"/>
          <w:szCs w:val="24"/>
          <w:u w:val="single"/>
        </w:rPr>
      </w:pPr>
    </w:p>
    <w:p w:rsidR="00140AB5" w:rsidRPr="00352A64" w:rsidRDefault="00140AB5" w:rsidP="00140AB5">
      <w:pPr>
        <w:tabs>
          <w:tab w:val="left" w:pos="851"/>
        </w:tabs>
        <w:ind w:left="851"/>
        <w:rPr>
          <w:iCs/>
          <w:sz w:val="24"/>
          <w:szCs w:val="24"/>
          <w:u w:val="single"/>
        </w:rPr>
      </w:pPr>
      <w:r>
        <w:rPr>
          <w:iCs/>
          <w:sz w:val="24"/>
          <w:szCs w:val="24"/>
          <w:u w:val="single"/>
        </w:rPr>
        <w:t>Distribution</w:t>
      </w:r>
    </w:p>
    <w:p w:rsidR="00140AB5" w:rsidRPr="00352A64" w:rsidRDefault="00140AB5" w:rsidP="00140AB5">
      <w:pPr>
        <w:tabs>
          <w:tab w:val="left" w:pos="851"/>
        </w:tabs>
        <w:ind w:left="851"/>
        <w:rPr>
          <w:sz w:val="24"/>
          <w:szCs w:val="24"/>
        </w:rPr>
      </w:pPr>
      <w:proofErr w:type="spellStart"/>
      <w:r w:rsidRPr="00352A64">
        <w:rPr>
          <w:sz w:val="24"/>
          <w:szCs w:val="24"/>
        </w:rPr>
        <w:t>Dieno</w:t>
      </w:r>
      <w:r>
        <w:rPr>
          <w:sz w:val="24"/>
          <w:szCs w:val="24"/>
        </w:rPr>
        <w:t>gest</w:t>
      </w:r>
      <w:proofErr w:type="spellEnd"/>
      <w:r>
        <w:rPr>
          <w:sz w:val="24"/>
          <w:szCs w:val="24"/>
        </w:rPr>
        <w:t xml:space="preserve"> er bundet til serumalbumin</w:t>
      </w:r>
      <w:r w:rsidRPr="00352A64">
        <w:rPr>
          <w:sz w:val="24"/>
          <w:szCs w:val="24"/>
        </w:rPr>
        <w:t xml:space="preserve"> og binder </w:t>
      </w:r>
      <w:r>
        <w:rPr>
          <w:sz w:val="24"/>
          <w:szCs w:val="24"/>
        </w:rPr>
        <w:t xml:space="preserve">sig </w:t>
      </w:r>
      <w:r w:rsidRPr="00352A64">
        <w:rPr>
          <w:sz w:val="24"/>
          <w:szCs w:val="24"/>
        </w:rPr>
        <w:t xml:space="preserve">ikke til </w:t>
      </w:r>
      <w:r>
        <w:rPr>
          <w:sz w:val="24"/>
          <w:szCs w:val="24"/>
        </w:rPr>
        <w:t xml:space="preserve">det </w:t>
      </w:r>
      <w:r w:rsidRPr="00352A64">
        <w:rPr>
          <w:sz w:val="24"/>
          <w:szCs w:val="24"/>
        </w:rPr>
        <w:t>kønsh</w:t>
      </w:r>
      <w:r>
        <w:rPr>
          <w:sz w:val="24"/>
          <w:szCs w:val="24"/>
        </w:rPr>
        <w:t>ormon</w:t>
      </w:r>
      <w:r w:rsidRPr="00352A64">
        <w:rPr>
          <w:sz w:val="24"/>
          <w:szCs w:val="24"/>
        </w:rPr>
        <w:t xml:space="preserve">bindende </w:t>
      </w:r>
      <w:proofErr w:type="spellStart"/>
      <w:r w:rsidRPr="00352A64">
        <w:rPr>
          <w:sz w:val="24"/>
          <w:szCs w:val="24"/>
        </w:rPr>
        <w:t>globulin</w:t>
      </w:r>
      <w:proofErr w:type="spellEnd"/>
      <w:r w:rsidRPr="00352A64">
        <w:rPr>
          <w:sz w:val="24"/>
          <w:szCs w:val="24"/>
        </w:rPr>
        <w:t xml:space="preserve"> (SHBG) eller </w:t>
      </w:r>
      <w:proofErr w:type="spellStart"/>
      <w:r w:rsidRPr="00352A64">
        <w:rPr>
          <w:sz w:val="24"/>
          <w:szCs w:val="24"/>
        </w:rPr>
        <w:t>kortikoidbindende</w:t>
      </w:r>
      <w:proofErr w:type="spellEnd"/>
      <w:r w:rsidRPr="00352A64">
        <w:rPr>
          <w:sz w:val="24"/>
          <w:szCs w:val="24"/>
        </w:rPr>
        <w:t xml:space="preserve"> </w:t>
      </w:r>
      <w:proofErr w:type="spellStart"/>
      <w:r w:rsidRPr="00352A64">
        <w:rPr>
          <w:sz w:val="24"/>
          <w:szCs w:val="24"/>
        </w:rPr>
        <w:t>globulin</w:t>
      </w:r>
      <w:proofErr w:type="spellEnd"/>
      <w:r w:rsidRPr="00352A64">
        <w:rPr>
          <w:sz w:val="24"/>
          <w:szCs w:val="24"/>
        </w:rPr>
        <w:t xml:space="preserve"> (CBG). 10 % af den totale serumstofkoncentration er tilstede i form </w:t>
      </w:r>
      <w:r>
        <w:rPr>
          <w:sz w:val="24"/>
          <w:szCs w:val="24"/>
        </w:rPr>
        <w:t>af frie steroider, 90 % er u</w:t>
      </w:r>
      <w:r w:rsidRPr="00352A64">
        <w:rPr>
          <w:sz w:val="24"/>
          <w:szCs w:val="24"/>
        </w:rPr>
        <w:t>specifikt bundet til albumin.</w:t>
      </w:r>
    </w:p>
    <w:p w:rsidR="00140AB5" w:rsidRPr="00352A64" w:rsidRDefault="00140AB5" w:rsidP="00140AB5">
      <w:pPr>
        <w:tabs>
          <w:tab w:val="left" w:pos="851"/>
        </w:tabs>
        <w:ind w:left="851"/>
        <w:rPr>
          <w:sz w:val="24"/>
          <w:szCs w:val="24"/>
          <w:lang w:val="de-DE"/>
        </w:rPr>
      </w:pPr>
      <w:r>
        <w:rPr>
          <w:sz w:val="24"/>
          <w:szCs w:val="24"/>
        </w:rPr>
        <w:t xml:space="preserve">Det tilsyneladende </w:t>
      </w:r>
      <w:r w:rsidRPr="00352A64">
        <w:rPr>
          <w:sz w:val="24"/>
          <w:szCs w:val="24"/>
        </w:rPr>
        <w:t>distributionsvolumen (</w:t>
      </w:r>
      <w:proofErr w:type="spellStart"/>
      <w:r w:rsidRPr="00352A64">
        <w:rPr>
          <w:sz w:val="24"/>
          <w:szCs w:val="24"/>
        </w:rPr>
        <w:t>V</w:t>
      </w:r>
      <w:r w:rsidRPr="00352A64">
        <w:rPr>
          <w:sz w:val="24"/>
          <w:szCs w:val="24"/>
          <w:vertAlign w:val="subscript"/>
        </w:rPr>
        <w:t>d</w:t>
      </w:r>
      <w:proofErr w:type="spellEnd"/>
      <w:r w:rsidRPr="00352A64">
        <w:rPr>
          <w:sz w:val="24"/>
          <w:szCs w:val="24"/>
        </w:rPr>
        <w:t xml:space="preserve">/F) for </w:t>
      </w:r>
      <w:proofErr w:type="spellStart"/>
      <w:r w:rsidRPr="00352A64">
        <w:rPr>
          <w:sz w:val="24"/>
          <w:szCs w:val="24"/>
        </w:rPr>
        <w:t>dienogest</w:t>
      </w:r>
      <w:proofErr w:type="spellEnd"/>
      <w:r w:rsidRPr="00352A64">
        <w:rPr>
          <w:sz w:val="24"/>
          <w:szCs w:val="24"/>
        </w:rPr>
        <w:t xml:space="preserve"> er 40 l.</w:t>
      </w:r>
    </w:p>
    <w:p w:rsidR="00140AB5" w:rsidRPr="00352A64" w:rsidRDefault="00140AB5" w:rsidP="00140AB5">
      <w:pPr>
        <w:tabs>
          <w:tab w:val="left" w:pos="851"/>
        </w:tabs>
        <w:ind w:left="851"/>
        <w:rPr>
          <w:iCs/>
          <w:sz w:val="24"/>
          <w:szCs w:val="24"/>
          <w:u w:val="single"/>
          <w:lang w:val="de-DE"/>
        </w:rPr>
      </w:pPr>
    </w:p>
    <w:p w:rsidR="00140AB5" w:rsidRPr="00352A64" w:rsidRDefault="00140AB5" w:rsidP="00140AB5">
      <w:pPr>
        <w:tabs>
          <w:tab w:val="left" w:pos="851"/>
        </w:tabs>
        <w:ind w:left="851"/>
        <w:rPr>
          <w:iCs/>
          <w:sz w:val="24"/>
          <w:szCs w:val="24"/>
          <w:u w:val="single"/>
          <w:lang w:val="de-DE"/>
        </w:rPr>
      </w:pPr>
      <w:r w:rsidRPr="00352A64">
        <w:rPr>
          <w:iCs/>
          <w:sz w:val="24"/>
          <w:szCs w:val="24"/>
          <w:u w:val="single"/>
        </w:rPr>
        <w:t>Biotransformation</w:t>
      </w:r>
    </w:p>
    <w:p w:rsidR="00140AB5" w:rsidRDefault="00140AB5" w:rsidP="00140AB5">
      <w:pPr>
        <w:pStyle w:val="Para0s"/>
        <w:spacing w:after="0"/>
        <w:ind w:left="851"/>
        <w:rPr>
          <w:szCs w:val="24"/>
          <w:lang w:val="da-DK"/>
        </w:rPr>
      </w:pPr>
      <w:proofErr w:type="spellStart"/>
      <w:r>
        <w:rPr>
          <w:szCs w:val="24"/>
          <w:lang w:val="da-DK"/>
        </w:rPr>
        <w:t>Dienogest</w:t>
      </w:r>
      <w:proofErr w:type="spellEnd"/>
      <w:r>
        <w:rPr>
          <w:szCs w:val="24"/>
          <w:lang w:val="da-DK"/>
        </w:rPr>
        <w:t xml:space="preserve"> nedbrydes fuldstændigt via de kendte veje for steroidmetabolisme ved dannelse af metabolitter, som for det meste er </w:t>
      </w:r>
      <w:proofErr w:type="spellStart"/>
      <w:r>
        <w:rPr>
          <w:szCs w:val="24"/>
          <w:lang w:val="da-DK"/>
        </w:rPr>
        <w:t>endokrinologisk</w:t>
      </w:r>
      <w:proofErr w:type="spellEnd"/>
      <w:r>
        <w:rPr>
          <w:szCs w:val="24"/>
          <w:lang w:val="da-DK"/>
        </w:rPr>
        <w:t xml:space="preserve"> inaktive. Baseret på </w:t>
      </w:r>
      <w:r>
        <w:rPr>
          <w:i/>
          <w:szCs w:val="24"/>
          <w:lang w:val="da-DK"/>
        </w:rPr>
        <w:t xml:space="preserve">in </w:t>
      </w:r>
      <w:proofErr w:type="spellStart"/>
      <w:r>
        <w:rPr>
          <w:i/>
          <w:szCs w:val="24"/>
          <w:lang w:val="da-DK"/>
        </w:rPr>
        <w:t>vitro</w:t>
      </w:r>
      <w:proofErr w:type="spellEnd"/>
      <w:r>
        <w:rPr>
          <w:szCs w:val="24"/>
          <w:lang w:val="da-DK"/>
        </w:rPr>
        <w:t xml:space="preserve">- og </w:t>
      </w:r>
      <w:r>
        <w:rPr>
          <w:i/>
          <w:szCs w:val="24"/>
          <w:lang w:val="da-DK"/>
        </w:rPr>
        <w:t xml:space="preserve">in </w:t>
      </w:r>
      <w:proofErr w:type="spellStart"/>
      <w:r>
        <w:rPr>
          <w:i/>
          <w:szCs w:val="24"/>
          <w:lang w:val="da-DK"/>
        </w:rPr>
        <w:t>vivo</w:t>
      </w:r>
      <w:proofErr w:type="spellEnd"/>
      <w:r>
        <w:rPr>
          <w:szCs w:val="24"/>
          <w:lang w:val="da-DK"/>
        </w:rPr>
        <w:t xml:space="preserve">-studier er CYP3A4 hovedenzymet i nedbrydningen af </w:t>
      </w:r>
      <w:proofErr w:type="spellStart"/>
      <w:r>
        <w:rPr>
          <w:szCs w:val="24"/>
          <w:lang w:val="da-DK"/>
        </w:rPr>
        <w:t>dienogest</w:t>
      </w:r>
      <w:proofErr w:type="spellEnd"/>
      <w:r>
        <w:rPr>
          <w:szCs w:val="24"/>
          <w:lang w:val="da-DK"/>
        </w:rPr>
        <w:t xml:space="preserve">. Metabolitterne udskilles meget hurtigt, så </w:t>
      </w:r>
      <w:proofErr w:type="spellStart"/>
      <w:r>
        <w:rPr>
          <w:szCs w:val="24"/>
          <w:lang w:val="da-DK"/>
        </w:rPr>
        <w:t>uomdannet</w:t>
      </w:r>
      <w:proofErr w:type="spellEnd"/>
      <w:r>
        <w:rPr>
          <w:szCs w:val="24"/>
          <w:lang w:val="da-DK"/>
        </w:rPr>
        <w:t xml:space="preserve"> </w:t>
      </w:r>
      <w:proofErr w:type="spellStart"/>
      <w:r>
        <w:rPr>
          <w:szCs w:val="24"/>
          <w:lang w:val="da-DK"/>
        </w:rPr>
        <w:t>dienogest</w:t>
      </w:r>
      <w:proofErr w:type="spellEnd"/>
      <w:r>
        <w:rPr>
          <w:szCs w:val="24"/>
          <w:lang w:val="da-DK"/>
        </w:rPr>
        <w:t xml:space="preserve"> er den dominerende fraktion i plasma.</w:t>
      </w:r>
    </w:p>
    <w:p w:rsidR="00140AB5" w:rsidRDefault="00140AB5" w:rsidP="00140AB5">
      <w:pPr>
        <w:pStyle w:val="Para0s"/>
        <w:spacing w:after="0"/>
        <w:ind w:left="851"/>
        <w:rPr>
          <w:szCs w:val="24"/>
          <w:lang w:val="da-DK"/>
        </w:rPr>
      </w:pPr>
    </w:p>
    <w:p w:rsidR="00140AB5" w:rsidRDefault="00140AB5" w:rsidP="00140AB5">
      <w:pPr>
        <w:pStyle w:val="Para0s"/>
        <w:spacing w:after="0"/>
        <w:ind w:left="851"/>
        <w:rPr>
          <w:szCs w:val="24"/>
          <w:lang w:val="da-DK"/>
        </w:rPr>
      </w:pPr>
      <w:r>
        <w:rPr>
          <w:szCs w:val="24"/>
          <w:lang w:val="da-DK"/>
        </w:rPr>
        <w:t xml:space="preserve">Den metaboliske </w:t>
      </w:r>
      <w:proofErr w:type="spellStart"/>
      <w:r>
        <w:rPr>
          <w:szCs w:val="24"/>
          <w:lang w:val="da-DK"/>
        </w:rPr>
        <w:t>clearance</w:t>
      </w:r>
      <w:proofErr w:type="spellEnd"/>
      <w:r>
        <w:rPr>
          <w:szCs w:val="24"/>
          <w:lang w:val="da-DK"/>
        </w:rPr>
        <w:t xml:space="preserve">-hastighed fra serum Cl/F er 64 ml/min. </w:t>
      </w:r>
    </w:p>
    <w:p w:rsidR="00140AB5" w:rsidRPr="00870855" w:rsidRDefault="00140AB5" w:rsidP="00140AB5">
      <w:pPr>
        <w:tabs>
          <w:tab w:val="left" w:pos="851"/>
        </w:tabs>
        <w:ind w:left="851"/>
        <w:rPr>
          <w:iCs/>
          <w:sz w:val="24"/>
          <w:szCs w:val="24"/>
          <w:u w:val="single"/>
        </w:rPr>
      </w:pPr>
    </w:p>
    <w:p w:rsidR="00140AB5" w:rsidRPr="00352A64" w:rsidRDefault="00140AB5" w:rsidP="00140AB5">
      <w:pPr>
        <w:tabs>
          <w:tab w:val="left" w:pos="851"/>
        </w:tabs>
        <w:ind w:left="851"/>
        <w:rPr>
          <w:iCs/>
          <w:sz w:val="24"/>
          <w:szCs w:val="24"/>
          <w:u w:val="single"/>
          <w:lang w:val="de-DE"/>
        </w:rPr>
      </w:pPr>
      <w:r w:rsidRPr="00352A64">
        <w:rPr>
          <w:iCs/>
          <w:sz w:val="24"/>
          <w:szCs w:val="24"/>
          <w:u w:val="single"/>
        </w:rPr>
        <w:t>Elimination</w:t>
      </w:r>
    </w:p>
    <w:p w:rsidR="00140AB5" w:rsidRDefault="00140AB5" w:rsidP="00140AB5">
      <w:pPr>
        <w:pStyle w:val="Para0s"/>
        <w:spacing w:after="0"/>
        <w:ind w:left="851"/>
        <w:rPr>
          <w:color w:val="000000"/>
          <w:szCs w:val="24"/>
          <w:lang w:val="da-DK"/>
        </w:rPr>
      </w:pPr>
      <w:r>
        <w:rPr>
          <w:szCs w:val="24"/>
          <w:lang w:val="da-DK"/>
        </w:rPr>
        <w:t xml:space="preserve">Serumkoncentrationerne af </w:t>
      </w:r>
      <w:proofErr w:type="spellStart"/>
      <w:r>
        <w:rPr>
          <w:szCs w:val="24"/>
          <w:lang w:val="da-DK"/>
        </w:rPr>
        <w:t>dienogest</w:t>
      </w:r>
      <w:proofErr w:type="spellEnd"/>
      <w:r>
        <w:rPr>
          <w:szCs w:val="24"/>
          <w:lang w:val="da-DK"/>
        </w:rPr>
        <w:t xml:space="preserve"> aftager i to faser. Den endelige dispositionsfase er karakteriseret ved en halveringstid på ca. 9-10 timer. E</w:t>
      </w:r>
      <w:r>
        <w:rPr>
          <w:color w:val="000000"/>
          <w:szCs w:val="24"/>
          <w:lang w:val="da-DK"/>
        </w:rPr>
        <w:t>fter oral indgift af 0,1 mg/kg</w:t>
      </w:r>
      <w:r>
        <w:rPr>
          <w:szCs w:val="24"/>
          <w:lang w:val="da-DK"/>
        </w:rPr>
        <w:t xml:space="preserve"> udskilles </w:t>
      </w:r>
      <w:proofErr w:type="spellStart"/>
      <w:r>
        <w:rPr>
          <w:szCs w:val="24"/>
          <w:lang w:val="da-DK"/>
        </w:rPr>
        <w:t>dienogest</w:t>
      </w:r>
      <w:proofErr w:type="spellEnd"/>
      <w:r>
        <w:rPr>
          <w:szCs w:val="24"/>
          <w:lang w:val="da-DK"/>
        </w:rPr>
        <w:t xml:space="preserve"> som metabolitter via urin og fæces i forholdet ca. 3:1. Halveringstiden for udskillelsen af urinmetabolitterne er 14 timer. Efter </w:t>
      </w:r>
      <w:r>
        <w:rPr>
          <w:color w:val="000000"/>
          <w:szCs w:val="24"/>
          <w:lang w:val="da-DK"/>
        </w:rPr>
        <w:t>oral indgift bliver ca. 86 % af den indgivne dosis udskilt i løbet af 6 dage, idet hovedparten udskilles inden for 24 timer, hovedsageligt med urinen.</w:t>
      </w:r>
    </w:p>
    <w:p w:rsidR="00140AB5" w:rsidRPr="00352A64" w:rsidRDefault="00140AB5" w:rsidP="00140AB5">
      <w:pPr>
        <w:tabs>
          <w:tab w:val="left" w:pos="851"/>
        </w:tabs>
        <w:ind w:left="851"/>
        <w:rPr>
          <w:iCs/>
          <w:sz w:val="24"/>
          <w:szCs w:val="24"/>
          <w:u w:val="single"/>
        </w:rPr>
      </w:pPr>
    </w:p>
    <w:p w:rsidR="00140AB5" w:rsidRPr="00352A64" w:rsidRDefault="00140AB5" w:rsidP="00140AB5">
      <w:pPr>
        <w:tabs>
          <w:tab w:val="left" w:pos="851"/>
        </w:tabs>
        <w:ind w:left="851"/>
        <w:rPr>
          <w:iCs/>
          <w:sz w:val="24"/>
          <w:szCs w:val="24"/>
          <w:u w:val="single"/>
        </w:rPr>
      </w:pPr>
      <w:proofErr w:type="spellStart"/>
      <w:r>
        <w:rPr>
          <w:iCs/>
          <w:sz w:val="24"/>
          <w:szCs w:val="24"/>
          <w:u w:val="single"/>
        </w:rPr>
        <w:t>Steady-state</w:t>
      </w:r>
      <w:proofErr w:type="spellEnd"/>
    </w:p>
    <w:p w:rsidR="00140AB5" w:rsidRDefault="00140AB5" w:rsidP="00140AB5">
      <w:pPr>
        <w:ind w:left="851"/>
        <w:rPr>
          <w:sz w:val="24"/>
          <w:szCs w:val="24"/>
        </w:rPr>
      </w:pPr>
      <w:proofErr w:type="spellStart"/>
      <w:r>
        <w:rPr>
          <w:sz w:val="24"/>
          <w:szCs w:val="24"/>
        </w:rPr>
        <w:t>Dienogests</w:t>
      </w:r>
      <w:proofErr w:type="spellEnd"/>
      <w:r>
        <w:rPr>
          <w:sz w:val="24"/>
          <w:szCs w:val="24"/>
        </w:rPr>
        <w:t xml:space="preserve"> </w:t>
      </w:r>
      <w:r>
        <w:rPr>
          <w:iCs/>
          <w:sz w:val="24"/>
          <w:szCs w:val="24"/>
        </w:rPr>
        <w:t>farmakokinetik</w:t>
      </w:r>
      <w:r>
        <w:rPr>
          <w:sz w:val="24"/>
          <w:szCs w:val="24"/>
        </w:rPr>
        <w:t xml:space="preserve"> påvirkes ikke af SHBG-niveauerne. Efter daglig indtagelse øges serumkoncentrationerne ca. 1,24 gange og når </w:t>
      </w:r>
      <w:proofErr w:type="spellStart"/>
      <w:r>
        <w:rPr>
          <w:sz w:val="24"/>
          <w:szCs w:val="24"/>
        </w:rPr>
        <w:t>steady-state</w:t>
      </w:r>
      <w:proofErr w:type="spellEnd"/>
      <w:r>
        <w:rPr>
          <w:sz w:val="24"/>
          <w:szCs w:val="24"/>
        </w:rPr>
        <w:t xml:space="preserve"> efter 4 dages </w:t>
      </w:r>
      <w:r>
        <w:rPr>
          <w:rFonts w:eastAsia="Batang"/>
          <w:sz w:val="24"/>
          <w:szCs w:val="24"/>
        </w:rPr>
        <w:t>behandling</w:t>
      </w:r>
      <w:r>
        <w:rPr>
          <w:sz w:val="24"/>
          <w:szCs w:val="24"/>
        </w:rPr>
        <w:t xml:space="preserve">. </w:t>
      </w:r>
      <w:proofErr w:type="spellStart"/>
      <w:r>
        <w:rPr>
          <w:sz w:val="24"/>
          <w:szCs w:val="24"/>
        </w:rPr>
        <w:t>Dienogests</w:t>
      </w:r>
      <w:proofErr w:type="spellEnd"/>
      <w:r>
        <w:rPr>
          <w:sz w:val="24"/>
          <w:szCs w:val="24"/>
        </w:rPr>
        <w:t xml:space="preserve"> </w:t>
      </w:r>
      <w:r>
        <w:rPr>
          <w:iCs/>
          <w:sz w:val="24"/>
          <w:szCs w:val="24"/>
        </w:rPr>
        <w:t>farmakokinetik</w:t>
      </w:r>
      <w:r>
        <w:rPr>
          <w:sz w:val="24"/>
          <w:szCs w:val="24"/>
        </w:rPr>
        <w:t xml:space="preserve"> efter gentagen indgift af </w:t>
      </w:r>
      <w:proofErr w:type="spellStart"/>
      <w:r>
        <w:rPr>
          <w:sz w:val="24"/>
          <w:szCs w:val="24"/>
        </w:rPr>
        <w:t>dienogest</w:t>
      </w:r>
      <w:proofErr w:type="spellEnd"/>
      <w:r>
        <w:rPr>
          <w:sz w:val="24"/>
          <w:szCs w:val="24"/>
        </w:rPr>
        <w:t xml:space="preserve"> 2 mg-tabletter kan forudsiges ud fra enkeltdosis-</w:t>
      </w:r>
      <w:r>
        <w:rPr>
          <w:iCs/>
          <w:sz w:val="24"/>
          <w:szCs w:val="24"/>
        </w:rPr>
        <w:t>farmakokinetik</w:t>
      </w:r>
      <w:r>
        <w:rPr>
          <w:sz w:val="24"/>
          <w:szCs w:val="24"/>
        </w:rPr>
        <w:t>ken.</w:t>
      </w:r>
    </w:p>
    <w:p w:rsidR="00140AB5" w:rsidRPr="00352A64" w:rsidRDefault="00140AB5" w:rsidP="00140AB5">
      <w:pPr>
        <w:tabs>
          <w:tab w:val="left" w:pos="851"/>
        </w:tabs>
        <w:ind w:left="851"/>
        <w:rPr>
          <w:sz w:val="24"/>
          <w:szCs w:val="24"/>
        </w:rPr>
      </w:pPr>
    </w:p>
    <w:p w:rsidR="00140AB5" w:rsidRPr="00944A03" w:rsidRDefault="00140AB5" w:rsidP="00140AB5">
      <w:pPr>
        <w:tabs>
          <w:tab w:val="left" w:pos="851"/>
        </w:tabs>
        <w:ind w:left="851"/>
        <w:rPr>
          <w:iCs/>
          <w:sz w:val="24"/>
          <w:szCs w:val="24"/>
          <w:u w:val="single"/>
        </w:rPr>
      </w:pPr>
      <w:r w:rsidRPr="00944A03">
        <w:rPr>
          <w:iCs/>
          <w:sz w:val="24"/>
          <w:szCs w:val="24"/>
          <w:u w:val="single"/>
        </w:rPr>
        <w:t>Farmakokinetik i særlige grupper</w:t>
      </w:r>
    </w:p>
    <w:p w:rsidR="00140AB5" w:rsidRPr="00352A64" w:rsidRDefault="00140AB5" w:rsidP="00140AB5">
      <w:pPr>
        <w:tabs>
          <w:tab w:val="left" w:pos="851"/>
        </w:tabs>
        <w:ind w:left="851"/>
        <w:rPr>
          <w:sz w:val="24"/>
          <w:szCs w:val="24"/>
        </w:rPr>
      </w:pPr>
      <w:proofErr w:type="spellStart"/>
      <w:r w:rsidRPr="00352A64">
        <w:rPr>
          <w:sz w:val="24"/>
          <w:szCs w:val="24"/>
        </w:rPr>
        <w:t>Dienogest</w:t>
      </w:r>
      <w:proofErr w:type="spellEnd"/>
      <w:r w:rsidRPr="00352A64">
        <w:rPr>
          <w:sz w:val="24"/>
          <w:szCs w:val="24"/>
        </w:rPr>
        <w:t xml:space="preserve"> 2 mg-tabletten er ikke blevet </w:t>
      </w:r>
      <w:r>
        <w:rPr>
          <w:sz w:val="24"/>
          <w:szCs w:val="24"/>
        </w:rPr>
        <w:t>undersøgt</w:t>
      </w:r>
      <w:r w:rsidRPr="00352A64">
        <w:rPr>
          <w:sz w:val="24"/>
          <w:szCs w:val="24"/>
        </w:rPr>
        <w:t xml:space="preserve"> specifikt hos personer med </w:t>
      </w:r>
      <w:r>
        <w:rPr>
          <w:sz w:val="24"/>
          <w:szCs w:val="24"/>
        </w:rPr>
        <w:t>nedsat nyrefunktion</w:t>
      </w:r>
      <w:r w:rsidRPr="00352A64">
        <w:rPr>
          <w:sz w:val="24"/>
          <w:szCs w:val="24"/>
        </w:rPr>
        <w:t>.</w:t>
      </w:r>
    </w:p>
    <w:p w:rsidR="00140AB5" w:rsidRPr="00352A64" w:rsidRDefault="00140AB5" w:rsidP="00140AB5">
      <w:pPr>
        <w:tabs>
          <w:tab w:val="left" w:pos="851"/>
        </w:tabs>
        <w:ind w:left="851"/>
        <w:rPr>
          <w:sz w:val="24"/>
          <w:szCs w:val="24"/>
          <w:lang w:val="nl-BE"/>
        </w:rPr>
      </w:pPr>
      <w:proofErr w:type="spellStart"/>
      <w:r w:rsidRPr="00352A64">
        <w:rPr>
          <w:sz w:val="24"/>
          <w:szCs w:val="24"/>
        </w:rPr>
        <w:t>Dienogest</w:t>
      </w:r>
      <w:proofErr w:type="spellEnd"/>
      <w:r w:rsidRPr="00352A64">
        <w:rPr>
          <w:sz w:val="24"/>
          <w:szCs w:val="24"/>
        </w:rPr>
        <w:t xml:space="preserve"> 2 mg-tabletten er ikke blevet </w:t>
      </w:r>
      <w:r>
        <w:rPr>
          <w:sz w:val="24"/>
          <w:szCs w:val="24"/>
        </w:rPr>
        <w:t>undersøgt</w:t>
      </w:r>
      <w:r w:rsidRPr="00352A64">
        <w:rPr>
          <w:sz w:val="24"/>
          <w:szCs w:val="24"/>
        </w:rPr>
        <w:t xml:space="preserve"> hos personer med </w:t>
      </w:r>
      <w:r>
        <w:rPr>
          <w:sz w:val="24"/>
          <w:szCs w:val="24"/>
        </w:rPr>
        <w:t>nedsat leverfunktion</w:t>
      </w:r>
      <w:r w:rsidRPr="00352A64">
        <w:rPr>
          <w:sz w:val="24"/>
          <w:szCs w:val="24"/>
        </w:rPr>
        <w:t>.</w:t>
      </w:r>
    </w:p>
    <w:p w:rsidR="00140AB5" w:rsidRPr="00352A64" w:rsidRDefault="00140AB5" w:rsidP="00140AB5">
      <w:pPr>
        <w:tabs>
          <w:tab w:val="left" w:pos="851"/>
        </w:tabs>
        <w:ind w:left="851"/>
        <w:rPr>
          <w:sz w:val="24"/>
          <w:szCs w:val="24"/>
          <w:lang w:val="nl-BE"/>
        </w:rPr>
      </w:pPr>
    </w:p>
    <w:p w:rsidR="00E255FD" w:rsidRPr="00C84483" w:rsidRDefault="00E255FD" w:rsidP="00E255FD">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140AB5" w:rsidRPr="00386546" w:rsidRDefault="00140AB5" w:rsidP="00140AB5">
      <w:pPr>
        <w:tabs>
          <w:tab w:val="left" w:pos="851"/>
        </w:tabs>
        <w:ind w:left="851"/>
        <w:rPr>
          <w:sz w:val="24"/>
          <w:szCs w:val="24"/>
        </w:rPr>
      </w:pPr>
      <w:r w:rsidRPr="00386546">
        <w:rPr>
          <w:sz w:val="24"/>
          <w:szCs w:val="24"/>
        </w:rPr>
        <w:t xml:space="preserve">Prækliniske data viser ingen speciel risiko for mennesker vurderet ud fra konventionelle studier af toksicitet efter gentagne doser, genotoksicitet, </w:t>
      </w:r>
      <w:r>
        <w:rPr>
          <w:sz w:val="24"/>
          <w:szCs w:val="24"/>
        </w:rPr>
        <w:t xml:space="preserve">potentiel </w:t>
      </w:r>
      <w:proofErr w:type="spellStart"/>
      <w:r w:rsidRPr="00386546">
        <w:rPr>
          <w:sz w:val="24"/>
          <w:szCs w:val="24"/>
        </w:rPr>
        <w:t>karcinogenicitet</w:t>
      </w:r>
      <w:proofErr w:type="spellEnd"/>
      <w:r w:rsidRPr="00386546">
        <w:rPr>
          <w:sz w:val="24"/>
          <w:szCs w:val="24"/>
        </w:rPr>
        <w:t xml:space="preserve"> samt reproduktionstoksicitet.</w:t>
      </w:r>
      <w:r>
        <w:rPr>
          <w:sz w:val="24"/>
          <w:szCs w:val="24"/>
        </w:rPr>
        <w:t xml:space="preserve"> Det skal dog bemærkes, at kønshormoner</w:t>
      </w:r>
      <w:r w:rsidRPr="00386546">
        <w:rPr>
          <w:sz w:val="24"/>
          <w:szCs w:val="24"/>
        </w:rPr>
        <w:t xml:space="preserve"> kan fr</w:t>
      </w:r>
      <w:r>
        <w:rPr>
          <w:sz w:val="24"/>
          <w:szCs w:val="24"/>
        </w:rPr>
        <w:t>emme væksten af bestemte hormonafhængige</w:t>
      </w:r>
      <w:r w:rsidRPr="00386546">
        <w:rPr>
          <w:sz w:val="24"/>
          <w:szCs w:val="24"/>
        </w:rPr>
        <w:t xml:space="preserve"> væv og svulster.</w:t>
      </w:r>
    </w:p>
    <w:p w:rsidR="00140AB5" w:rsidRPr="00C84483" w:rsidRDefault="00140AB5" w:rsidP="00140AB5">
      <w:pPr>
        <w:tabs>
          <w:tab w:val="left" w:pos="851"/>
        </w:tabs>
        <w:ind w:left="851"/>
        <w:rPr>
          <w:sz w:val="24"/>
          <w:szCs w:val="24"/>
        </w:rPr>
      </w:pPr>
    </w:p>
    <w:p w:rsidR="001918BC" w:rsidRDefault="001918BC">
      <w:pPr>
        <w:rPr>
          <w:sz w:val="24"/>
          <w:szCs w:val="24"/>
        </w:rPr>
      </w:pPr>
      <w:r>
        <w:rPr>
          <w:sz w:val="24"/>
          <w:szCs w:val="24"/>
        </w:rPr>
        <w:br w:type="page"/>
      </w:r>
    </w:p>
    <w:p w:rsidR="00140AB5" w:rsidRPr="00C84483" w:rsidRDefault="00140AB5" w:rsidP="00140AB5">
      <w:pPr>
        <w:tabs>
          <w:tab w:val="left" w:pos="851"/>
        </w:tabs>
        <w:ind w:left="851"/>
        <w:rPr>
          <w:sz w:val="24"/>
          <w:szCs w:val="24"/>
        </w:rPr>
      </w:pPr>
      <w:bookmarkStart w:id="1" w:name="_GoBack"/>
      <w:bookmarkEnd w:id="1"/>
    </w:p>
    <w:p w:rsidR="00140AB5" w:rsidRPr="00C84483" w:rsidRDefault="00140AB5" w:rsidP="00140AB5">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140AB5" w:rsidRPr="00BA09F1" w:rsidRDefault="00140AB5" w:rsidP="00140AB5">
      <w:pPr>
        <w:tabs>
          <w:tab w:val="left" w:pos="851"/>
        </w:tabs>
        <w:ind w:left="851"/>
        <w:rPr>
          <w:sz w:val="24"/>
          <w:szCs w:val="24"/>
        </w:rPr>
      </w:pPr>
    </w:p>
    <w:p w:rsidR="00140AB5" w:rsidRPr="00C84483" w:rsidRDefault="00140AB5" w:rsidP="00140AB5">
      <w:pPr>
        <w:tabs>
          <w:tab w:val="left" w:pos="851"/>
        </w:tabs>
        <w:ind w:left="851" w:hanging="851"/>
        <w:rPr>
          <w:b/>
          <w:sz w:val="24"/>
          <w:szCs w:val="24"/>
        </w:rPr>
      </w:pPr>
      <w:r w:rsidRPr="00C84483">
        <w:rPr>
          <w:b/>
          <w:sz w:val="24"/>
          <w:szCs w:val="24"/>
        </w:rPr>
        <w:t>6.1</w:t>
      </w:r>
      <w:r w:rsidRPr="00C84483">
        <w:rPr>
          <w:b/>
          <w:sz w:val="24"/>
          <w:szCs w:val="24"/>
        </w:rPr>
        <w:tab/>
        <w:t>Hjælpestoffer</w:t>
      </w:r>
    </w:p>
    <w:p w:rsidR="00140AB5" w:rsidRPr="00386546" w:rsidRDefault="00140AB5" w:rsidP="00140AB5">
      <w:pPr>
        <w:tabs>
          <w:tab w:val="left" w:pos="851"/>
        </w:tabs>
        <w:ind w:left="851"/>
        <w:rPr>
          <w:sz w:val="24"/>
          <w:szCs w:val="24"/>
        </w:rPr>
      </w:pPr>
      <w:proofErr w:type="spellStart"/>
      <w:r w:rsidRPr="00386546">
        <w:rPr>
          <w:sz w:val="24"/>
          <w:szCs w:val="24"/>
        </w:rPr>
        <w:t>La</w:t>
      </w:r>
      <w:r>
        <w:rPr>
          <w:sz w:val="24"/>
          <w:szCs w:val="24"/>
        </w:rPr>
        <w:t>c</w:t>
      </w:r>
      <w:r w:rsidRPr="00386546">
        <w:rPr>
          <w:sz w:val="24"/>
          <w:szCs w:val="24"/>
        </w:rPr>
        <w:t>tosemonohydrat</w:t>
      </w:r>
      <w:proofErr w:type="spellEnd"/>
    </w:p>
    <w:p w:rsidR="00140AB5" w:rsidRPr="00386546" w:rsidRDefault="00140AB5" w:rsidP="00140AB5">
      <w:pPr>
        <w:tabs>
          <w:tab w:val="left" w:pos="851"/>
        </w:tabs>
        <w:ind w:left="851"/>
        <w:rPr>
          <w:sz w:val="24"/>
          <w:szCs w:val="24"/>
        </w:rPr>
      </w:pPr>
      <w:r>
        <w:rPr>
          <w:sz w:val="24"/>
          <w:szCs w:val="24"/>
        </w:rPr>
        <w:t xml:space="preserve">Majsstivelse, </w:t>
      </w:r>
      <w:proofErr w:type="spellStart"/>
      <w:r>
        <w:rPr>
          <w:sz w:val="24"/>
          <w:szCs w:val="24"/>
        </w:rPr>
        <w:t>pre</w:t>
      </w:r>
      <w:r w:rsidRPr="00386546">
        <w:rPr>
          <w:sz w:val="24"/>
          <w:szCs w:val="24"/>
        </w:rPr>
        <w:t>gelatiniseret</w:t>
      </w:r>
      <w:proofErr w:type="spellEnd"/>
    </w:p>
    <w:p w:rsidR="00140AB5" w:rsidRPr="00181561" w:rsidRDefault="00140AB5" w:rsidP="00140AB5">
      <w:pPr>
        <w:tabs>
          <w:tab w:val="left" w:pos="851"/>
        </w:tabs>
        <w:ind w:left="851"/>
        <w:rPr>
          <w:sz w:val="24"/>
          <w:szCs w:val="24"/>
          <w:lang w:val="en-US"/>
        </w:rPr>
      </w:pPr>
      <w:r w:rsidRPr="00181561">
        <w:rPr>
          <w:sz w:val="24"/>
          <w:szCs w:val="24"/>
          <w:lang w:val="en-US"/>
        </w:rPr>
        <w:t xml:space="preserve">Cellulose, </w:t>
      </w:r>
      <w:proofErr w:type="spellStart"/>
      <w:r w:rsidRPr="00181561">
        <w:rPr>
          <w:sz w:val="24"/>
          <w:szCs w:val="24"/>
          <w:lang w:val="en-US"/>
        </w:rPr>
        <w:t>mikrokrystallinsk</w:t>
      </w:r>
      <w:proofErr w:type="spellEnd"/>
    </w:p>
    <w:p w:rsidR="00140AB5" w:rsidRPr="00181561" w:rsidRDefault="00140AB5" w:rsidP="00140AB5">
      <w:pPr>
        <w:tabs>
          <w:tab w:val="left" w:pos="851"/>
        </w:tabs>
        <w:ind w:left="851"/>
        <w:rPr>
          <w:sz w:val="24"/>
          <w:szCs w:val="24"/>
          <w:lang w:val="en-US"/>
        </w:rPr>
      </w:pPr>
      <w:proofErr w:type="spellStart"/>
      <w:r w:rsidRPr="00181561">
        <w:rPr>
          <w:sz w:val="24"/>
          <w:szCs w:val="24"/>
          <w:lang w:val="en-US"/>
        </w:rPr>
        <w:t>Providon</w:t>
      </w:r>
      <w:proofErr w:type="spellEnd"/>
      <w:r w:rsidRPr="00181561">
        <w:rPr>
          <w:sz w:val="24"/>
          <w:szCs w:val="24"/>
          <w:lang w:val="en-US"/>
        </w:rPr>
        <w:t xml:space="preserve"> K-25</w:t>
      </w:r>
    </w:p>
    <w:p w:rsidR="00140AB5" w:rsidRPr="00181561" w:rsidRDefault="00140AB5" w:rsidP="00140AB5">
      <w:pPr>
        <w:tabs>
          <w:tab w:val="left" w:pos="851"/>
        </w:tabs>
        <w:ind w:left="851"/>
        <w:rPr>
          <w:sz w:val="24"/>
          <w:szCs w:val="24"/>
          <w:lang w:val="en-US"/>
        </w:rPr>
      </w:pPr>
      <w:proofErr w:type="spellStart"/>
      <w:r w:rsidRPr="00181561">
        <w:rPr>
          <w:sz w:val="24"/>
          <w:szCs w:val="24"/>
          <w:lang w:val="en-US"/>
        </w:rPr>
        <w:t>Crospovidon</w:t>
      </w:r>
      <w:proofErr w:type="spellEnd"/>
      <w:r w:rsidRPr="00181561">
        <w:rPr>
          <w:sz w:val="24"/>
          <w:szCs w:val="24"/>
          <w:lang w:val="en-US"/>
        </w:rPr>
        <w:t xml:space="preserve"> (type A)</w:t>
      </w:r>
    </w:p>
    <w:p w:rsidR="00140AB5" w:rsidRPr="00386546" w:rsidRDefault="00140AB5" w:rsidP="00140AB5">
      <w:pPr>
        <w:tabs>
          <w:tab w:val="left" w:pos="851"/>
        </w:tabs>
        <w:ind w:left="851"/>
        <w:rPr>
          <w:sz w:val="24"/>
          <w:szCs w:val="24"/>
          <w:lang w:val="nl-BE"/>
        </w:rPr>
      </w:pPr>
      <w:proofErr w:type="spellStart"/>
      <w:r w:rsidRPr="00386546">
        <w:rPr>
          <w:sz w:val="24"/>
          <w:szCs w:val="24"/>
        </w:rPr>
        <w:t>Tal</w:t>
      </w:r>
      <w:r>
        <w:rPr>
          <w:sz w:val="24"/>
          <w:szCs w:val="24"/>
        </w:rPr>
        <w:t>c</w:t>
      </w:r>
      <w:r w:rsidRPr="00386546">
        <w:rPr>
          <w:sz w:val="24"/>
          <w:szCs w:val="24"/>
        </w:rPr>
        <w:t>um</w:t>
      </w:r>
      <w:proofErr w:type="spellEnd"/>
    </w:p>
    <w:p w:rsidR="00140AB5" w:rsidRPr="00386546" w:rsidRDefault="00140AB5" w:rsidP="00140AB5">
      <w:pPr>
        <w:tabs>
          <w:tab w:val="left" w:pos="851"/>
        </w:tabs>
        <w:ind w:left="851"/>
        <w:rPr>
          <w:sz w:val="24"/>
          <w:szCs w:val="24"/>
          <w:lang w:val="nl-BE"/>
        </w:rPr>
      </w:pPr>
      <w:proofErr w:type="spellStart"/>
      <w:r w:rsidRPr="00386546">
        <w:rPr>
          <w:sz w:val="24"/>
          <w:szCs w:val="24"/>
        </w:rPr>
        <w:t>Magnesiumstearat</w:t>
      </w:r>
      <w:proofErr w:type="spellEnd"/>
    </w:p>
    <w:p w:rsidR="00140AB5" w:rsidRPr="00C84483" w:rsidRDefault="00140AB5" w:rsidP="00140AB5">
      <w:pPr>
        <w:tabs>
          <w:tab w:val="left" w:pos="851"/>
        </w:tabs>
        <w:ind w:left="851"/>
        <w:rPr>
          <w:sz w:val="24"/>
          <w:szCs w:val="24"/>
        </w:rPr>
      </w:pPr>
    </w:p>
    <w:p w:rsidR="00140AB5" w:rsidRPr="00C84483" w:rsidRDefault="00140AB5" w:rsidP="00140AB5">
      <w:pPr>
        <w:tabs>
          <w:tab w:val="left" w:pos="851"/>
        </w:tabs>
        <w:ind w:left="851" w:hanging="851"/>
        <w:rPr>
          <w:b/>
          <w:sz w:val="24"/>
          <w:szCs w:val="24"/>
        </w:rPr>
      </w:pPr>
      <w:r w:rsidRPr="00C84483">
        <w:rPr>
          <w:b/>
          <w:sz w:val="24"/>
          <w:szCs w:val="24"/>
        </w:rPr>
        <w:t>6.2</w:t>
      </w:r>
      <w:r w:rsidRPr="00C84483">
        <w:rPr>
          <w:b/>
          <w:sz w:val="24"/>
          <w:szCs w:val="24"/>
        </w:rPr>
        <w:tab/>
        <w:t>Uforligeligheder</w:t>
      </w:r>
    </w:p>
    <w:p w:rsidR="00140AB5" w:rsidRPr="00C84483" w:rsidRDefault="00140AB5" w:rsidP="00140AB5">
      <w:pPr>
        <w:tabs>
          <w:tab w:val="left" w:pos="851"/>
        </w:tabs>
        <w:ind w:left="851"/>
        <w:rPr>
          <w:sz w:val="24"/>
          <w:szCs w:val="24"/>
        </w:rPr>
      </w:pPr>
      <w:r>
        <w:rPr>
          <w:sz w:val="24"/>
          <w:szCs w:val="24"/>
        </w:rPr>
        <w:t>Ikke relevant.</w:t>
      </w:r>
    </w:p>
    <w:p w:rsidR="00140AB5" w:rsidRPr="00C84483" w:rsidRDefault="00140AB5" w:rsidP="00140AB5">
      <w:pPr>
        <w:tabs>
          <w:tab w:val="left" w:pos="851"/>
        </w:tabs>
        <w:ind w:left="851"/>
        <w:rPr>
          <w:sz w:val="24"/>
          <w:szCs w:val="24"/>
        </w:rPr>
      </w:pPr>
    </w:p>
    <w:p w:rsidR="00140AB5" w:rsidRPr="00C84483" w:rsidRDefault="00140AB5" w:rsidP="00140AB5">
      <w:pPr>
        <w:tabs>
          <w:tab w:val="left" w:pos="851"/>
        </w:tabs>
        <w:ind w:left="851" w:hanging="851"/>
        <w:rPr>
          <w:b/>
          <w:sz w:val="24"/>
          <w:szCs w:val="24"/>
        </w:rPr>
      </w:pPr>
      <w:r w:rsidRPr="00C84483">
        <w:rPr>
          <w:b/>
          <w:sz w:val="24"/>
          <w:szCs w:val="24"/>
        </w:rPr>
        <w:t>6.3</w:t>
      </w:r>
      <w:r w:rsidRPr="00C84483">
        <w:rPr>
          <w:b/>
          <w:sz w:val="24"/>
          <w:szCs w:val="24"/>
        </w:rPr>
        <w:tab/>
        <w:t>Opbevaringstid</w:t>
      </w:r>
    </w:p>
    <w:p w:rsidR="00140AB5" w:rsidRPr="00C84483" w:rsidRDefault="00140AB5" w:rsidP="00140AB5">
      <w:pPr>
        <w:tabs>
          <w:tab w:val="left" w:pos="851"/>
        </w:tabs>
        <w:ind w:left="851" w:hanging="851"/>
        <w:rPr>
          <w:sz w:val="24"/>
          <w:szCs w:val="24"/>
        </w:rPr>
      </w:pPr>
      <w:r w:rsidRPr="00C84483">
        <w:rPr>
          <w:sz w:val="24"/>
          <w:szCs w:val="24"/>
        </w:rPr>
        <w:tab/>
      </w:r>
      <w:r w:rsidR="000D0F94">
        <w:rPr>
          <w:sz w:val="24"/>
          <w:szCs w:val="24"/>
        </w:rPr>
        <w:t>5</w:t>
      </w:r>
      <w:r>
        <w:rPr>
          <w:sz w:val="24"/>
          <w:szCs w:val="24"/>
        </w:rPr>
        <w:t xml:space="preserve"> år.</w:t>
      </w:r>
    </w:p>
    <w:p w:rsidR="00140AB5" w:rsidRPr="00C84483" w:rsidRDefault="00140AB5" w:rsidP="00140AB5">
      <w:pPr>
        <w:tabs>
          <w:tab w:val="left" w:pos="851"/>
        </w:tabs>
        <w:ind w:left="851"/>
        <w:rPr>
          <w:sz w:val="24"/>
          <w:szCs w:val="24"/>
        </w:rPr>
      </w:pPr>
    </w:p>
    <w:p w:rsidR="00140AB5" w:rsidRPr="00C84483" w:rsidRDefault="00140AB5" w:rsidP="00140AB5">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140AB5" w:rsidRPr="0085303E" w:rsidRDefault="00140AB5" w:rsidP="00140AB5">
      <w:pPr>
        <w:tabs>
          <w:tab w:val="left" w:pos="851"/>
        </w:tabs>
        <w:ind w:left="851"/>
        <w:rPr>
          <w:sz w:val="24"/>
          <w:szCs w:val="24"/>
          <w:lang w:val="nl-BE"/>
        </w:rPr>
      </w:pPr>
      <w:r w:rsidRPr="0085303E">
        <w:rPr>
          <w:sz w:val="24"/>
          <w:szCs w:val="24"/>
        </w:rPr>
        <w:t>Opbevar</w:t>
      </w:r>
      <w:r>
        <w:rPr>
          <w:sz w:val="24"/>
          <w:szCs w:val="24"/>
        </w:rPr>
        <w:t>es</w:t>
      </w:r>
      <w:r w:rsidRPr="0085303E">
        <w:rPr>
          <w:sz w:val="24"/>
          <w:szCs w:val="24"/>
        </w:rPr>
        <w:t xml:space="preserve"> i den originale pakning for at beskytte </w:t>
      </w:r>
      <w:r>
        <w:rPr>
          <w:sz w:val="24"/>
          <w:szCs w:val="24"/>
        </w:rPr>
        <w:t xml:space="preserve">mod </w:t>
      </w:r>
      <w:r w:rsidRPr="0085303E">
        <w:rPr>
          <w:sz w:val="24"/>
          <w:szCs w:val="24"/>
        </w:rPr>
        <w:t>lys.</w:t>
      </w:r>
    </w:p>
    <w:p w:rsidR="00140AB5" w:rsidRDefault="00140AB5" w:rsidP="00140AB5">
      <w:pPr>
        <w:tabs>
          <w:tab w:val="left" w:pos="851"/>
        </w:tabs>
        <w:ind w:left="851"/>
        <w:rPr>
          <w:sz w:val="24"/>
          <w:szCs w:val="24"/>
        </w:rPr>
      </w:pPr>
      <w:r>
        <w:rPr>
          <w:sz w:val="24"/>
          <w:szCs w:val="24"/>
        </w:rPr>
        <w:t>Der er ingen særlige krav vedrørende opbevaringstemperaturer for dette lægemiddel.</w:t>
      </w:r>
    </w:p>
    <w:p w:rsidR="00140AB5" w:rsidRPr="0085303E" w:rsidRDefault="00140AB5" w:rsidP="00140AB5">
      <w:pPr>
        <w:tabs>
          <w:tab w:val="left" w:pos="851"/>
        </w:tabs>
        <w:ind w:left="851"/>
        <w:rPr>
          <w:sz w:val="24"/>
          <w:szCs w:val="24"/>
          <w:lang w:val="nl-BE"/>
        </w:rPr>
      </w:pPr>
    </w:p>
    <w:p w:rsidR="00E255FD" w:rsidRPr="00C84483" w:rsidRDefault="00E255FD" w:rsidP="00E255FD">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9542F4" w:rsidRDefault="009542F4" w:rsidP="009542F4">
      <w:pPr>
        <w:tabs>
          <w:tab w:val="left" w:pos="851"/>
        </w:tabs>
        <w:ind w:left="851"/>
        <w:rPr>
          <w:sz w:val="24"/>
          <w:szCs w:val="24"/>
        </w:rPr>
      </w:pPr>
      <w:r>
        <w:rPr>
          <w:sz w:val="24"/>
          <w:szCs w:val="24"/>
        </w:rPr>
        <w:t>G</w:t>
      </w:r>
      <w:r w:rsidRPr="0085303E">
        <w:rPr>
          <w:sz w:val="24"/>
          <w:szCs w:val="24"/>
        </w:rPr>
        <w:t>røn, hård PVC//AI-</w:t>
      </w:r>
      <w:r>
        <w:t>kalender</w:t>
      </w:r>
      <w:r w:rsidRPr="0085303E">
        <w:rPr>
          <w:sz w:val="24"/>
          <w:szCs w:val="24"/>
        </w:rPr>
        <w:t>blister i en foldet papæske.</w:t>
      </w:r>
    </w:p>
    <w:p w:rsidR="00140AB5" w:rsidRDefault="00140AB5" w:rsidP="00140AB5">
      <w:pPr>
        <w:tabs>
          <w:tab w:val="left" w:pos="851"/>
        </w:tabs>
        <w:ind w:left="851"/>
        <w:rPr>
          <w:sz w:val="24"/>
          <w:szCs w:val="24"/>
        </w:rPr>
      </w:pPr>
    </w:p>
    <w:p w:rsidR="00140AB5" w:rsidRPr="0085303E" w:rsidRDefault="00140AB5" w:rsidP="00140AB5">
      <w:pPr>
        <w:tabs>
          <w:tab w:val="left" w:pos="851"/>
        </w:tabs>
        <w:ind w:left="851"/>
        <w:rPr>
          <w:sz w:val="24"/>
          <w:szCs w:val="24"/>
          <w:lang w:val="nl-BE"/>
        </w:rPr>
      </w:pPr>
      <w:r>
        <w:rPr>
          <w:sz w:val="24"/>
          <w:szCs w:val="24"/>
        </w:rPr>
        <w:t xml:space="preserve">Pakningsstørrelser: </w:t>
      </w:r>
      <w:r w:rsidRPr="0085303E">
        <w:rPr>
          <w:sz w:val="24"/>
          <w:szCs w:val="24"/>
        </w:rPr>
        <w:t>28, 84</w:t>
      </w:r>
      <w:r>
        <w:rPr>
          <w:sz w:val="24"/>
          <w:szCs w:val="24"/>
        </w:rPr>
        <w:t xml:space="preserve"> og</w:t>
      </w:r>
      <w:r w:rsidRPr="0085303E">
        <w:rPr>
          <w:sz w:val="24"/>
          <w:szCs w:val="24"/>
        </w:rPr>
        <w:t xml:space="preserve"> 168 </w:t>
      </w:r>
      <w:r>
        <w:rPr>
          <w:sz w:val="24"/>
          <w:szCs w:val="24"/>
        </w:rPr>
        <w:t>stk.</w:t>
      </w:r>
      <w:r w:rsidRPr="0085303E">
        <w:rPr>
          <w:sz w:val="24"/>
          <w:szCs w:val="24"/>
        </w:rPr>
        <w:t xml:space="preserve"> </w:t>
      </w:r>
    </w:p>
    <w:p w:rsidR="00140AB5" w:rsidRPr="0085303E" w:rsidRDefault="00140AB5" w:rsidP="00140AB5">
      <w:pPr>
        <w:tabs>
          <w:tab w:val="left" w:pos="851"/>
        </w:tabs>
        <w:ind w:left="851"/>
        <w:rPr>
          <w:sz w:val="24"/>
          <w:szCs w:val="24"/>
          <w:lang w:val="nl-BE"/>
        </w:rPr>
      </w:pPr>
      <w:r>
        <w:rPr>
          <w:sz w:val="24"/>
          <w:szCs w:val="24"/>
        </w:rPr>
        <w:t xml:space="preserve">Ikke </w:t>
      </w:r>
      <w:r w:rsidRPr="0085303E">
        <w:rPr>
          <w:sz w:val="24"/>
          <w:szCs w:val="24"/>
        </w:rPr>
        <w:t>alle pa</w:t>
      </w:r>
      <w:r>
        <w:rPr>
          <w:sz w:val="24"/>
          <w:szCs w:val="24"/>
        </w:rPr>
        <w:t>kningsstørrelser er nødvendigvis</w:t>
      </w:r>
      <w:r w:rsidRPr="0085303E">
        <w:rPr>
          <w:sz w:val="24"/>
          <w:szCs w:val="24"/>
        </w:rPr>
        <w:t xml:space="preserve"> markedsført.</w:t>
      </w:r>
    </w:p>
    <w:p w:rsidR="00140AB5" w:rsidRPr="0085303E" w:rsidRDefault="00140AB5" w:rsidP="00140AB5">
      <w:pPr>
        <w:tabs>
          <w:tab w:val="left" w:pos="851"/>
        </w:tabs>
        <w:ind w:left="851"/>
        <w:rPr>
          <w:sz w:val="24"/>
          <w:szCs w:val="24"/>
          <w:lang w:val="nl-BE"/>
        </w:rPr>
      </w:pPr>
    </w:p>
    <w:p w:rsidR="00E255FD" w:rsidRPr="00C84483" w:rsidRDefault="00E255FD" w:rsidP="00E255FD">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140AB5" w:rsidRPr="00C934B1" w:rsidRDefault="00140AB5" w:rsidP="00140AB5">
      <w:pPr>
        <w:tabs>
          <w:tab w:val="left" w:pos="851"/>
        </w:tabs>
        <w:ind w:left="851"/>
        <w:rPr>
          <w:sz w:val="24"/>
          <w:szCs w:val="24"/>
          <w:lang w:val="nl-BE"/>
        </w:rPr>
      </w:pPr>
      <w:r>
        <w:rPr>
          <w:sz w:val="24"/>
          <w:szCs w:val="24"/>
        </w:rPr>
        <w:t>Ikke anvendt lægemiddel samt affald heraf skal bortskaffes i henhold til lokale retningslin</w:t>
      </w:r>
      <w:r w:rsidR="00A32D11">
        <w:rPr>
          <w:sz w:val="24"/>
          <w:szCs w:val="24"/>
        </w:rPr>
        <w:t>j</w:t>
      </w:r>
      <w:r>
        <w:rPr>
          <w:sz w:val="24"/>
          <w:szCs w:val="24"/>
        </w:rPr>
        <w:t>er.</w:t>
      </w:r>
    </w:p>
    <w:p w:rsidR="00140AB5" w:rsidRPr="00C934B1" w:rsidRDefault="00140AB5" w:rsidP="00140AB5">
      <w:pPr>
        <w:tabs>
          <w:tab w:val="left" w:pos="851"/>
        </w:tabs>
        <w:ind w:left="851"/>
        <w:rPr>
          <w:sz w:val="24"/>
          <w:szCs w:val="24"/>
          <w:lang w:val="nl-BE"/>
        </w:rPr>
      </w:pPr>
    </w:p>
    <w:p w:rsidR="00140AB5" w:rsidRPr="00C84483" w:rsidRDefault="00140AB5" w:rsidP="00140AB5">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140AB5" w:rsidRPr="00181561" w:rsidRDefault="00140AB5" w:rsidP="00140AB5">
      <w:pPr>
        <w:tabs>
          <w:tab w:val="left" w:pos="851"/>
        </w:tabs>
        <w:ind w:left="851"/>
        <w:rPr>
          <w:sz w:val="24"/>
          <w:szCs w:val="24"/>
        </w:rPr>
      </w:pPr>
      <w:proofErr w:type="spellStart"/>
      <w:r w:rsidRPr="00181561">
        <w:rPr>
          <w:sz w:val="24"/>
          <w:szCs w:val="24"/>
        </w:rPr>
        <w:t>Gedeon</w:t>
      </w:r>
      <w:proofErr w:type="spellEnd"/>
      <w:r w:rsidRPr="00181561">
        <w:rPr>
          <w:sz w:val="24"/>
          <w:szCs w:val="24"/>
        </w:rPr>
        <w:t xml:space="preserve"> Richter Plc.</w:t>
      </w:r>
    </w:p>
    <w:p w:rsidR="00140AB5" w:rsidRPr="000B5BF5" w:rsidRDefault="00140AB5" w:rsidP="00140AB5">
      <w:pPr>
        <w:tabs>
          <w:tab w:val="left" w:pos="851"/>
        </w:tabs>
        <w:ind w:left="851"/>
        <w:rPr>
          <w:sz w:val="24"/>
          <w:szCs w:val="24"/>
        </w:rPr>
      </w:pPr>
      <w:proofErr w:type="spellStart"/>
      <w:r w:rsidRPr="000B5BF5">
        <w:rPr>
          <w:sz w:val="24"/>
          <w:szCs w:val="24"/>
        </w:rPr>
        <w:t>Gyömrői</w:t>
      </w:r>
      <w:proofErr w:type="spellEnd"/>
      <w:r w:rsidRPr="000B5BF5">
        <w:rPr>
          <w:sz w:val="24"/>
          <w:szCs w:val="24"/>
        </w:rPr>
        <w:t xml:space="preserve"> </w:t>
      </w:r>
      <w:proofErr w:type="spellStart"/>
      <w:r w:rsidRPr="000B5BF5">
        <w:rPr>
          <w:sz w:val="24"/>
          <w:szCs w:val="24"/>
        </w:rPr>
        <w:t>út</w:t>
      </w:r>
      <w:proofErr w:type="spellEnd"/>
      <w:r w:rsidRPr="000B5BF5">
        <w:rPr>
          <w:sz w:val="24"/>
          <w:szCs w:val="24"/>
        </w:rPr>
        <w:t xml:space="preserve"> 19-21</w:t>
      </w:r>
    </w:p>
    <w:p w:rsidR="00140AB5" w:rsidRPr="000B5BF5" w:rsidRDefault="00140AB5" w:rsidP="00140AB5">
      <w:pPr>
        <w:tabs>
          <w:tab w:val="left" w:pos="851"/>
        </w:tabs>
        <w:ind w:left="851"/>
        <w:rPr>
          <w:sz w:val="24"/>
          <w:szCs w:val="24"/>
        </w:rPr>
      </w:pPr>
      <w:r w:rsidRPr="000B5BF5">
        <w:rPr>
          <w:sz w:val="24"/>
          <w:szCs w:val="24"/>
        </w:rPr>
        <w:t>1103 Budapest</w:t>
      </w:r>
    </w:p>
    <w:p w:rsidR="00140AB5" w:rsidRPr="00C934B1" w:rsidRDefault="00140AB5" w:rsidP="00140AB5">
      <w:pPr>
        <w:tabs>
          <w:tab w:val="left" w:pos="851"/>
        </w:tabs>
        <w:ind w:left="851"/>
        <w:rPr>
          <w:sz w:val="24"/>
          <w:szCs w:val="24"/>
        </w:rPr>
      </w:pPr>
      <w:r w:rsidRPr="00C934B1">
        <w:rPr>
          <w:sz w:val="24"/>
          <w:szCs w:val="24"/>
        </w:rPr>
        <w:t>Ungarn</w:t>
      </w:r>
    </w:p>
    <w:p w:rsidR="00140AB5" w:rsidRPr="00C84483" w:rsidRDefault="00140AB5" w:rsidP="00140AB5">
      <w:pPr>
        <w:tabs>
          <w:tab w:val="left" w:pos="851"/>
        </w:tabs>
        <w:ind w:left="851"/>
        <w:rPr>
          <w:sz w:val="24"/>
          <w:szCs w:val="24"/>
        </w:rPr>
      </w:pPr>
    </w:p>
    <w:p w:rsidR="00E255FD" w:rsidRPr="00C84483" w:rsidRDefault="00E255FD" w:rsidP="00E255FD">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140AB5" w:rsidRPr="00C84483" w:rsidRDefault="00140AB5" w:rsidP="00140AB5">
      <w:pPr>
        <w:tabs>
          <w:tab w:val="left" w:pos="851"/>
        </w:tabs>
        <w:ind w:left="851"/>
        <w:rPr>
          <w:sz w:val="24"/>
          <w:szCs w:val="24"/>
        </w:rPr>
      </w:pPr>
      <w:r>
        <w:rPr>
          <w:sz w:val="24"/>
          <w:szCs w:val="24"/>
        </w:rPr>
        <w:t>60640</w:t>
      </w:r>
    </w:p>
    <w:p w:rsidR="00140AB5" w:rsidRPr="00C84483" w:rsidRDefault="00140AB5" w:rsidP="00140AB5">
      <w:pPr>
        <w:tabs>
          <w:tab w:val="left" w:pos="851"/>
        </w:tabs>
        <w:ind w:left="851"/>
        <w:rPr>
          <w:sz w:val="24"/>
          <w:szCs w:val="24"/>
        </w:rPr>
      </w:pPr>
    </w:p>
    <w:p w:rsidR="00140AB5" w:rsidRPr="00C84483" w:rsidRDefault="00140AB5" w:rsidP="00140AB5">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140AB5" w:rsidRPr="00C84483" w:rsidRDefault="00140AB5" w:rsidP="00140AB5">
      <w:pPr>
        <w:tabs>
          <w:tab w:val="left" w:pos="851"/>
        </w:tabs>
        <w:ind w:left="851"/>
        <w:rPr>
          <w:sz w:val="24"/>
          <w:szCs w:val="24"/>
        </w:rPr>
      </w:pPr>
      <w:r>
        <w:rPr>
          <w:sz w:val="24"/>
          <w:szCs w:val="24"/>
        </w:rPr>
        <w:t>13. februar 2019</w:t>
      </w:r>
    </w:p>
    <w:p w:rsidR="00140AB5" w:rsidRPr="00C84483" w:rsidRDefault="00140AB5" w:rsidP="00140AB5">
      <w:pPr>
        <w:tabs>
          <w:tab w:val="left" w:pos="851"/>
        </w:tabs>
        <w:ind w:left="851"/>
        <w:rPr>
          <w:sz w:val="24"/>
          <w:szCs w:val="24"/>
        </w:rPr>
      </w:pPr>
    </w:p>
    <w:p w:rsidR="00140AB5" w:rsidRPr="00C84483" w:rsidRDefault="00140AB5" w:rsidP="00140AB5">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140AB5" w:rsidRDefault="000D0F94" w:rsidP="00E17B6D">
      <w:pPr>
        <w:tabs>
          <w:tab w:val="left" w:pos="851"/>
        </w:tabs>
        <w:ind w:left="851"/>
      </w:pPr>
      <w:r>
        <w:rPr>
          <w:sz w:val="24"/>
          <w:szCs w:val="24"/>
        </w:rPr>
        <w:t xml:space="preserve">1. </w:t>
      </w:r>
      <w:r w:rsidR="00E17B6D">
        <w:rPr>
          <w:sz w:val="24"/>
          <w:szCs w:val="24"/>
        </w:rPr>
        <w:t>februar</w:t>
      </w:r>
      <w:r>
        <w:rPr>
          <w:sz w:val="24"/>
          <w:szCs w:val="24"/>
        </w:rPr>
        <w:t xml:space="preserve"> 202</w:t>
      </w:r>
      <w:r w:rsidR="00E17B6D">
        <w:rPr>
          <w:sz w:val="24"/>
          <w:szCs w:val="24"/>
        </w:rPr>
        <w:t>3</w:t>
      </w:r>
    </w:p>
    <w:sectPr w:rsidR="009260DE" w:rsidRPr="00140AB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AB5" w:rsidRDefault="00140AB5">
      <w:r>
        <w:separator/>
      </w:r>
    </w:p>
  </w:endnote>
  <w:endnote w:type="continuationSeparator" w:id="0">
    <w:p w:rsidR="00140AB5" w:rsidRDefault="00140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D1D19">
      <w:rPr>
        <w:i/>
        <w:noProof/>
        <w:sz w:val="18"/>
        <w:szCs w:val="18"/>
      </w:rPr>
      <w:t>Zafrilla, tabletter 2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AB5" w:rsidRDefault="00140AB5">
      <w:r>
        <w:separator/>
      </w:r>
    </w:p>
  </w:footnote>
  <w:footnote w:type="continuationSeparator" w:id="0">
    <w:p w:rsidR="00140AB5" w:rsidRDefault="00140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6CB6B8E"/>
    <w:multiLevelType w:val="hybridMultilevel"/>
    <w:tmpl w:val="E69CB308"/>
    <w:lvl w:ilvl="0" w:tplc="7A047DDC">
      <w:start w:val="1"/>
      <w:numFmt w:val="bullet"/>
      <w:lvlText w:val="-"/>
      <w:lvlJc w:val="left"/>
      <w:pPr>
        <w:ind w:left="720" w:hanging="360"/>
      </w:pPr>
      <w:rPr>
        <w:rFonts w:ascii="Times New Roman" w:hAnsi="Times New Roman" w:cs="Times New Roman" w:hint="default"/>
      </w:rPr>
    </w:lvl>
    <w:lvl w:ilvl="1" w:tplc="D0B8B37C">
      <w:start w:val="1"/>
      <w:numFmt w:val="bullet"/>
      <w:lvlText w:val="o"/>
      <w:lvlJc w:val="left"/>
      <w:pPr>
        <w:ind w:left="1440" w:hanging="360"/>
      </w:pPr>
      <w:rPr>
        <w:rFonts w:ascii="Courier New" w:hAnsi="Courier New" w:cs="Courier New" w:hint="default"/>
      </w:rPr>
    </w:lvl>
    <w:lvl w:ilvl="2" w:tplc="302C9938">
      <w:start w:val="1"/>
      <w:numFmt w:val="bullet"/>
      <w:lvlText w:val=""/>
      <w:lvlJc w:val="left"/>
      <w:pPr>
        <w:ind w:left="2160" w:hanging="360"/>
      </w:pPr>
      <w:rPr>
        <w:rFonts w:ascii="Wingdings" w:hAnsi="Wingdings" w:hint="default"/>
      </w:rPr>
    </w:lvl>
    <w:lvl w:ilvl="3" w:tplc="829C1E00">
      <w:start w:val="1"/>
      <w:numFmt w:val="bullet"/>
      <w:lvlText w:val=""/>
      <w:lvlJc w:val="left"/>
      <w:pPr>
        <w:ind w:left="2880" w:hanging="360"/>
      </w:pPr>
      <w:rPr>
        <w:rFonts w:ascii="Symbol" w:hAnsi="Symbol" w:hint="default"/>
      </w:rPr>
    </w:lvl>
    <w:lvl w:ilvl="4" w:tplc="319ED058">
      <w:start w:val="1"/>
      <w:numFmt w:val="bullet"/>
      <w:lvlText w:val="o"/>
      <w:lvlJc w:val="left"/>
      <w:pPr>
        <w:ind w:left="3600" w:hanging="360"/>
      </w:pPr>
      <w:rPr>
        <w:rFonts w:ascii="Courier New" w:hAnsi="Courier New" w:cs="Courier New" w:hint="default"/>
      </w:rPr>
    </w:lvl>
    <w:lvl w:ilvl="5" w:tplc="399C6D44">
      <w:start w:val="1"/>
      <w:numFmt w:val="bullet"/>
      <w:lvlText w:val=""/>
      <w:lvlJc w:val="left"/>
      <w:pPr>
        <w:ind w:left="4320" w:hanging="360"/>
      </w:pPr>
      <w:rPr>
        <w:rFonts w:ascii="Wingdings" w:hAnsi="Wingdings" w:hint="default"/>
      </w:rPr>
    </w:lvl>
    <w:lvl w:ilvl="6" w:tplc="39B68EAC">
      <w:start w:val="1"/>
      <w:numFmt w:val="bullet"/>
      <w:lvlText w:val=""/>
      <w:lvlJc w:val="left"/>
      <w:pPr>
        <w:ind w:left="5040" w:hanging="360"/>
      </w:pPr>
      <w:rPr>
        <w:rFonts w:ascii="Symbol" w:hAnsi="Symbol" w:hint="default"/>
      </w:rPr>
    </w:lvl>
    <w:lvl w:ilvl="7" w:tplc="F6F224AC">
      <w:start w:val="1"/>
      <w:numFmt w:val="bullet"/>
      <w:lvlText w:val="o"/>
      <w:lvlJc w:val="left"/>
      <w:pPr>
        <w:ind w:left="5760" w:hanging="360"/>
      </w:pPr>
      <w:rPr>
        <w:rFonts w:ascii="Courier New" w:hAnsi="Courier New" w:cs="Courier New" w:hint="default"/>
      </w:rPr>
    </w:lvl>
    <w:lvl w:ilvl="8" w:tplc="2D8EE982">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AB5"/>
    <w:rsid w:val="000259B9"/>
    <w:rsid w:val="00041491"/>
    <w:rsid w:val="00050D16"/>
    <w:rsid w:val="00074F2A"/>
    <w:rsid w:val="000A1CA8"/>
    <w:rsid w:val="000A466B"/>
    <w:rsid w:val="000B058C"/>
    <w:rsid w:val="000D0F94"/>
    <w:rsid w:val="000E4EE6"/>
    <w:rsid w:val="00140AB5"/>
    <w:rsid w:val="001454E2"/>
    <w:rsid w:val="001918BC"/>
    <w:rsid w:val="001F01C0"/>
    <w:rsid w:val="00206CE8"/>
    <w:rsid w:val="0021526C"/>
    <w:rsid w:val="00222E4E"/>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6B4CA6"/>
    <w:rsid w:val="00737275"/>
    <w:rsid w:val="00740EEC"/>
    <w:rsid w:val="0078011A"/>
    <w:rsid w:val="00782AF4"/>
    <w:rsid w:val="00790EE7"/>
    <w:rsid w:val="007B6649"/>
    <w:rsid w:val="0081546F"/>
    <w:rsid w:val="0082576E"/>
    <w:rsid w:val="008C4F13"/>
    <w:rsid w:val="00907F75"/>
    <w:rsid w:val="009260DE"/>
    <w:rsid w:val="0093258A"/>
    <w:rsid w:val="009542F4"/>
    <w:rsid w:val="009C7BA3"/>
    <w:rsid w:val="009D1D19"/>
    <w:rsid w:val="009D1F5A"/>
    <w:rsid w:val="00A32D11"/>
    <w:rsid w:val="00B003BF"/>
    <w:rsid w:val="00B373D7"/>
    <w:rsid w:val="00C36276"/>
    <w:rsid w:val="00C42586"/>
    <w:rsid w:val="00C60CCD"/>
    <w:rsid w:val="00C84483"/>
    <w:rsid w:val="00C95551"/>
    <w:rsid w:val="00CB20D7"/>
    <w:rsid w:val="00D020B0"/>
    <w:rsid w:val="00D11748"/>
    <w:rsid w:val="00D366CF"/>
    <w:rsid w:val="00E108AA"/>
    <w:rsid w:val="00E17B6D"/>
    <w:rsid w:val="00E255FD"/>
    <w:rsid w:val="00E31812"/>
    <w:rsid w:val="00E3749A"/>
    <w:rsid w:val="00E7437F"/>
    <w:rsid w:val="00E82606"/>
    <w:rsid w:val="00E865B8"/>
    <w:rsid w:val="00EC0B9B"/>
    <w:rsid w:val="00EC7A3A"/>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33A70"/>
  <w15:chartTrackingRefBased/>
  <w15:docId w15:val="{3F4860DB-E221-4B38-B19E-32E572C21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uiPriority w:val="39"/>
    <w:rsid w:val="00140AB5"/>
    <w:rPr>
      <w:rFonts w:asciiTheme="minorHAnsi" w:eastAsiaTheme="minorHAnsi" w:hAnsiTheme="minorHAnsi" w:cstheme="minorBidi"/>
      <w:sz w:val="22"/>
      <w:szCs w:val="22"/>
      <w:lang w:val="hu-H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0s">
    <w:name w:val="Para:0:s"/>
    <w:basedOn w:val="Normal"/>
    <w:link w:val="Para0sChar"/>
    <w:rsid w:val="00140AB5"/>
    <w:pPr>
      <w:spacing w:after="220"/>
    </w:pPr>
    <w:rPr>
      <w:sz w:val="24"/>
      <w:lang w:val="en-US" w:eastAsia="de-DE"/>
    </w:rPr>
  </w:style>
  <w:style w:type="character" w:customStyle="1" w:styleId="Para0sChar">
    <w:name w:val="Para:0:s Char"/>
    <w:link w:val="Para0s"/>
    <w:locked/>
    <w:rsid w:val="00140AB5"/>
    <w:rPr>
      <w:sz w:val="24"/>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B5A7C-3ECC-4711-86A5-7D40C9820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SPC Hum.dotm</Template>
  <TotalTime>12</TotalTime>
  <Pages>13</Pages>
  <Words>4065</Words>
  <Characters>25958</Characters>
  <Application>Microsoft Office Word</Application>
  <DocSecurity>0</DocSecurity>
  <Lines>216</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2020074104, var. 1, pkt. 6.5 + 2021010635, var. 3, pkt. 4.2 m.fl. opdatering iht reference produkt</dc:description>
  <cp:lastModifiedBy>Gitte Jørgensen</cp:lastModifiedBy>
  <cp:revision>12</cp:revision>
  <cp:lastPrinted>2012-08-22T08:53:00Z</cp:lastPrinted>
  <dcterms:created xsi:type="dcterms:W3CDTF">2023-01-30T12:57:00Z</dcterms:created>
  <dcterms:modified xsi:type="dcterms:W3CDTF">2023-02-01T10:27:00Z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