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270E" w:rsidRPr="008F49E1" w:rsidRDefault="00A3270E" w:rsidP="00A3270E">
      <w:pPr>
        <w:rPr>
          <w:sz w:val="24"/>
          <w:szCs w:val="24"/>
        </w:rPr>
      </w:pPr>
      <w:r w:rsidRPr="009260DE">
        <w:rPr>
          <w:noProof/>
          <w:sz w:val="24"/>
          <w:szCs w:val="24"/>
          <w:lang w:eastAsia="da-DK"/>
        </w:rPr>
        <w:drawing>
          <wp:anchor distT="0" distB="0" distL="114300" distR="114300" simplePos="0" relativeHeight="251659264" behindDoc="0" locked="0" layoutInCell="1" allowOverlap="1" wp14:anchorId="1CDC2B9C" wp14:editId="4581B685">
            <wp:simplePos x="0" y="0"/>
            <wp:positionH relativeFrom="column">
              <wp:posOffset>0</wp:posOffset>
            </wp:positionH>
            <wp:positionV relativeFrom="paragraph">
              <wp:posOffset>76200</wp:posOffset>
            </wp:positionV>
            <wp:extent cx="2428875" cy="685800"/>
            <wp:effectExtent l="0" t="0" r="9525" b="0"/>
            <wp:wrapSquare wrapText="bothSides"/>
            <wp:docPr id="1" name="Billede 3" descr="C:\Users\marh\AppData\Local\Microsoft\Windows\Temporary Internet Files\Content.Outlook\3DQ1N8R9\LMST_auto_s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3" descr="C:\Users\marh\AppData\Local\Microsoft\Windows\Temporary Internet Files\Content.Outlook\3DQ1N8R9\LMST_auto_sto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br w:type="textWrapping" w:clear="all"/>
      </w:r>
    </w:p>
    <w:p w:rsidR="00A3270E" w:rsidRPr="00C84483" w:rsidRDefault="00A3270E" w:rsidP="00A3270E">
      <w:pPr>
        <w:pStyle w:val="Titel"/>
        <w:tabs>
          <w:tab w:val="right" w:pos="9356"/>
        </w:tabs>
        <w:jc w:val="left"/>
        <w:rPr>
          <w:b w:val="0"/>
          <w:szCs w:val="24"/>
          <w:lang w:eastAsia="en-US"/>
        </w:rPr>
      </w:pPr>
      <w:r w:rsidRPr="00C84483">
        <w:rPr>
          <w:b w:val="0"/>
          <w:szCs w:val="24"/>
          <w:lang w:eastAsia="en-US"/>
        </w:rPr>
        <w:tab/>
      </w:r>
      <w:r w:rsidR="00654926">
        <w:rPr>
          <w:szCs w:val="24"/>
        </w:rPr>
        <w:t>15</w:t>
      </w:r>
      <w:r w:rsidR="00A90D2B">
        <w:rPr>
          <w:szCs w:val="24"/>
        </w:rPr>
        <w:t xml:space="preserve">. </w:t>
      </w:r>
      <w:r w:rsidR="009C6769">
        <w:rPr>
          <w:szCs w:val="24"/>
        </w:rPr>
        <w:t>januar</w:t>
      </w:r>
      <w:r w:rsidR="00A90D2B">
        <w:rPr>
          <w:szCs w:val="24"/>
        </w:rPr>
        <w:t xml:space="preserve"> 202</w:t>
      </w:r>
      <w:r w:rsidR="00654926">
        <w:rPr>
          <w:szCs w:val="24"/>
        </w:rPr>
        <w:t>5</w:t>
      </w:r>
    </w:p>
    <w:p w:rsidR="00A3270E" w:rsidRDefault="00A3270E" w:rsidP="00A3270E">
      <w:pPr>
        <w:pStyle w:val="Titel"/>
        <w:jc w:val="left"/>
        <w:rPr>
          <w:b w:val="0"/>
          <w:szCs w:val="24"/>
        </w:rPr>
      </w:pPr>
    </w:p>
    <w:p w:rsidR="00654926" w:rsidRPr="00C84483" w:rsidRDefault="00654926" w:rsidP="00A3270E">
      <w:pPr>
        <w:pStyle w:val="Titel"/>
        <w:jc w:val="left"/>
        <w:rPr>
          <w:b w:val="0"/>
          <w:szCs w:val="24"/>
        </w:rPr>
      </w:pPr>
    </w:p>
    <w:p w:rsidR="00A3270E" w:rsidRPr="00C84483" w:rsidRDefault="00A3270E" w:rsidP="00A3270E">
      <w:pPr>
        <w:pStyle w:val="Titel"/>
        <w:jc w:val="left"/>
        <w:rPr>
          <w:b w:val="0"/>
          <w:szCs w:val="24"/>
        </w:rPr>
      </w:pPr>
    </w:p>
    <w:p w:rsidR="00A3270E" w:rsidRPr="00C84483" w:rsidRDefault="00A3270E" w:rsidP="00A3270E">
      <w:pPr>
        <w:jc w:val="center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PRODUKTRESUMÉ</w:t>
      </w:r>
    </w:p>
    <w:p w:rsidR="00A3270E" w:rsidRPr="00C84483" w:rsidRDefault="00A3270E" w:rsidP="00A3270E">
      <w:pPr>
        <w:jc w:val="center"/>
        <w:rPr>
          <w:b/>
          <w:sz w:val="24"/>
          <w:szCs w:val="24"/>
        </w:rPr>
      </w:pPr>
    </w:p>
    <w:p w:rsidR="00A3270E" w:rsidRDefault="007B3A08" w:rsidP="007B3A08">
      <w:pPr>
        <w:tabs>
          <w:tab w:val="left" w:pos="180"/>
          <w:tab w:val="center" w:pos="4819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A3270E" w:rsidRPr="00C84483">
        <w:rPr>
          <w:b/>
          <w:sz w:val="24"/>
          <w:szCs w:val="24"/>
        </w:rPr>
        <w:t>for</w:t>
      </w:r>
    </w:p>
    <w:p w:rsidR="00A3270E" w:rsidRPr="00C84483" w:rsidRDefault="00A3270E" w:rsidP="00A3270E">
      <w:pPr>
        <w:jc w:val="center"/>
        <w:rPr>
          <w:b/>
          <w:sz w:val="24"/>
          <w:szCs w:val="24"/>
        </w:rPr>
      </w:pPr>
    </w:p>
    <w:p w:rsidR="00A3270E" w:rsidRPr="00C84483" w:rsidRDefault="00A3270E" w:rsidP="00A3270E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Zavedos</w:t>
      </w:r>
      <w:proofErr w:type="spellEnd"/>
      <w:r>
        <w:rPr>
          <w:b/>
          <w:sz w:val="24"/>
          <w:szCs w:val="24"/>
        </w:rPr>
        <w:t>, injektionsvæske, opløsning</w:t>
      </w:r>
    </w:p>
    <w:p w:rsidR="00A3270E" w:rsidRPr="00C84483" w:rsidRDefault="00A3270E" w:rsidP="00A3270E">
      <w:pPr>
        <w:jc w:val="both"/>
        <w:rPr>
          <w:sz w:val="24"/>
          <w:szCs w:val="24"/>
        </w:rPr>
      </w:pPr>
    </w:p>
    <w:p w:rsidR="00A3270E" w:rsidRPr="00C10DE4" w:rsidRDefault="00A3270E" w:rsidP="00A3270E">
      <w:pPr>
        <w:ind w:left="851" w:hanging="851"/>
        <w:jc w:val="both"/>
        <w:rPr>
          <w:sz w:val="24"/>
          <w:szCs w:val="24"/>
        </w:rPr>
      </w:pPr>
    </w:p>
    <w:p w:rsidR="00A3270E" w:rsidRPr="00C10DE4" w:rsidRDefault="00A3270E" w:rsidP="00A3270E">
      <w:pPr>
        <w:ind w:left="851" w:hanging="851"/>
        <w:rPr>
          <w:b/>
          <w:sz w:val="24"/>
          <w:szCs w:val="24"/>
        </w:rPr>
      </w:pPr>
      <w:r w:rsidRPr="00C10DE4">
        <w:rPr>
          <w:b/>
          <w:sz w:val="24"/>
          <w:szCs w:val="24"/>
        </w:rPr>
        <w:t>0.</w:t>
      </w:r>
      <w:r w:rsidRPr="00C10DE4">
        <w:rPr>
          <w:b/>
          <w:sz w:val="24"/>
          <w:szCs w:val="24"/>
        </w:rPr>
        <w:tab/>
        <w:t>D.SP.NR.</w:t>
      </w:r>
    </w:p>
    <w:p w:rsidR="00A3270E" w:rsidRPr="00C10DE4" w:rsidRDefault="00A3270E" w:rsidP="00A3270E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Pr="00C10DE4">
        <w:rPr>
          <w:sz w:val="24"/>
          <w:szCs w:val="24"/>
        </w:rPr>
        <w:t>08299</w:t>
      </w:r>
    </w:p>
    <w:p w:rsidR="00A3270E" w:rsidRPr="00C10DE4" w:rsidRDefault="00A3270E" w:rsidP="00A3270E">
      <w:pPr>
        <w:ind w:left="851" w:hanging="851"/>
        <w:rPr>
          <w:sz w:val="24"/>
          <w:szCs w:val="24"/>
        </w:rPr>
      </w:pPr>
    </w:p>
    <w:p w:rsidR="00A3270E" w:rsidRPr="00C10DE4" w:rsidRDefault="00A3270E" w:rsidP="00A3270E">
      <w:pPr>
        <w:ind w:left="851" w:hanging="851"/>
        <w:rPr>
          <w:b/>
          <w:sz w:val="24"/>
          <w:szCs w:val="24"/>
        </w:rPr>
      </w:pPr>
      <w:r w:rsidRPr="00C10DE4">
        <w:rPr>
          <w:b/>
          <w:sz w:val="24"/>
          <w:szCs w:val="24"/>
        </w:rPr>
        <w:t>1.</w:t>
      </w:r>
      <w:r w:rsidRPr="00C10DE4">
        <w:rPr>
          <w:b/>
          <w:sz w:val="24"/>
          <w:szCs w:val="24"/>
        </w:rPr>
        <w:tab/>
        <w:t>LÆGEMIDLETS NAVN</w:t>
      </w:r>
    </w:p>
    <w:p w:rsidR="00A3270E" w:rsidRPr="00C10DE4" w:rsidRDefault="00A3270E" w:rsidP="00A3270E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 w:rsidRPr="00C10DE4">
        <w:rPr>
          <w:sz w:val="24"/>
          <w:szCs w:val="24"/>
        </w:rPr>
        <w:t>Zavedos</w:t>
      </w:r>
      <w:proofErr w:type="spellEnd"/>
    </w:p>
    <w:p w:rsidR="00A3270E" w:rsidRPr="00C10DE4" w:rsidRDefault="00A3270E" w:rsidP="00A3270E">
      <w:pPr>
        <w:ind w:left="851" w:hanging="851"/>
        <w:rPr>
          <w:sz w:val="24"/>
          <w:szCs w:val="24"/>
        </w:rPr>
      </w:pPr>
    </w:p>
    <w:p w:rsidR="00A3270E" w:rsidRPr="00C10DE4" w:rsidRDefault="00A3270E" w:rsidP="00A3270E">
      <w:pPr>
        <w:ind w:left="851" w:hanging="851"/>
        <w:rPr>
          <w:b/>
          <w:sz w:val="24"/>
          <w:szCs w:val="24"/>
        </w:rPr>
      </w:pPr>
      <w:r w:rsidRPr="00C10DE4">
        <w:rPr>
          <w:b/>
          <w:sz w:val="24"/>
          <w:szCs w:val="24"/>
        </w:rPr>
        <w:t>2.</w:t>
      </w:r>
      <w:r w:rsidRPr="00C10DE4">
        <w:rPr>
          <w:b/>
          <w:sz w:val="24"/>
          <w:szCs w:val="24"/>
        </w:rPr>
        <w:tab/>
        <w:t>KVALITATIV OG KVANTITATIV SAMMENSÆTNING</w:t>
      </w:r>
    </w:p>
    <w:p w:rsidR="00A3270E" w:rsidRPr="00C10DE4" w:rsidRDefault="00A3270E" w:rsidP="00A3270E">
      <w:pPr>
        <w:ind w:left="851" w:hanging="851"/>
        <w:jc w:val="both"/>
        <w:rPr>
          <w:spacing w:val="-3"/>
          <w:sz w:val="24"/>
          <w:szCs w:val="24"/>
          <w:lang w:eastAsia="da-DK"/>
        </w:rPr>
      </w:pPr>
      <w:r>
        <w:rPr>
          <w:spacing w:val="-3"/>
          <w:sz w:val="24"/>
          <w:szCs w:val="24"/>
        </w:rPr>
        <w:tab/>
      </w:r>
      <w:proofErr w:type="spellStart"/>
      <w:r w:rsidRPr="00C10DE4">
        <w:rPr>
          <w:spacing w:val="-3"/>
          <w:sz w:val="24"/>
          <w:szCs w:val="24"/>
        </w:rPr>
        <w:t>Idarubicinhydrochlorid</w:t>
      </w:r>
      <w:proofErr w:type="spellEnd"/>
      <w:r w:rsidRPr="00C10DE4">
        <w:rPr>
          <w:spacing w:val="-3"/>
          <w:sz w:val="24"/>
          <w:szCs w:val="24"/>
        </w:rPr>
        <w:t xml:space="preserve"> 1 mg/ml.</w:t>
      </w:r>
    </w:p>
    <w:p w:rsidR="00A3270E" w:rsidRPr="00C10DE4" w:rsidRDefault="00A3270E" w:rsidP="00A3270E">
      <w:pPr>
        <w:ind w:left="851" w:hanging="851"/>
        <w:jc w:val="both"/>
        <w:rPr>
          <w:spacing w:val="-3"/>
          <w:sz w:val="24"/>
          <w:szCs w:val="24"/>
        </w:rPr>
      </w:pPr>
    </w:p>
    <w:p w:rsidR="00A3270E" w:rsidRPr="00C10DE4" w:rsidRDefault="00A3270E" w:rsidP="00A3270E">
      <w:pPr>
        <w:ind w:left="851" w:hanging="851"/>
        <w:jc w:val="both"/>
        <w:rPr>
          <w:spacing w:val="-3"/>
          <w:sz w:val="24"/>
          <w:szCs w:val="24"/>
        </w:rPr>
      </w:pPr>
      <w:r w:rsidRPr="00C10DE4">
        <w:rPr>
          <w:spacing w:val="-3"/>
          <w:sz w:val="24"/>
          <w:szCs w:val="24"/>
        </w:rPr>
        <w:tab/>
        <w:t>Alle hjælpestoffer er anført under pkt. 6.1</w:t>
      </w:r>
    </w:p>
    <w:p w:rsidR="00A3270E" w:rsidRPr="00C10DE4" w:rsidRDefault="00A3270E" w:rsidP="00A3270E">
      <w:pPr>
        <w:ind w:left="851" w:hanging="851"/>
        <w:rPr>
          <w:sz w:val="24"/>
          <w:szCs w:val="24"/>
        </w:rPr>
      </w:pPr>
    </w:p>
    <w:p w:rsidR="00A3270E" w:rsidRPr="00C10DE4" w:rsidRDefault="00A3270E" w:rsidP="00A3270E">
      <w:pPr>
        <w:ind w:left="851" w:hanging="851"/>
        <w:rPr>
          <w:b/>
          <w:sz w:val="24"/>
          <w:szCs w:val="24"/>
        </w:rPr>
      </w:pPr>
      <w:r w:rsidRPr="00C10DE4">
        <w:rPr>
          <w:b/>
          <w:sz w:val="24"/>
          <w:szCs w:val="24"/>
        </w:rPr>
        <w:t>3.</w:t>
      </w:r>
      <w:r w:rsidRPr="00C10DE4">
        <w:rPr>
          <w:b/>
          <w:sz w:val="24"/>
          <w:szCs w:val="24"/>
        </w:rPr>
        <w:tab/>
        <w:t>LÆGEMIDDELFORM</w:t>
      </w:r>
    </w:p>
    <w:p w:rsidR="00A3270E" w:rsidRPr="00C10DE4" w:rsidRDefault="00A3270E" w:rsidP="00A3270E">
      <w:pPr>
        <w:ind w:left="851" w:hanging="851"/>
        <w:jc w:val="both"/>
        <w:rPr>
          <w:spacing w:val="-3"/>
          <w:sz w:val="24"/>
          <w:szCs w:val="24"/>
          <w:lang w:eastAsia="da-DK"/>
        </w:rPr>
      </w:pPr>
      <w:r>
        <w:rPr>
          <w:spacing w:val="-3"/>
          <w:sz w:val="24"/>
          <w:szCs w:val="24"/>
        </w:rPr>
        <w:tab/>
        <w:t>Injektionsvæske, opløsning</w:t>
      </w:r>
    </w:p>
    <w:p w:rsidR="00A3270E" w:rsidRPr="00C10DE4" w:rsidRDefault="00A3270E" w:rsidP="00A3270E">
      <w:pPr>
        <w:ind w:left="851" w:hanging="851"/>
        <w:jc w:val="both"/>
        <w:rPr>
          <w:spacing w:val="-3"/>
          <w:sz w:val="24"/>
          <w:szCs w:val="24"/>
        </w:rPr>
      </w:pPr>
    </w:p>
    <w:p w:rsidR="00A3270E" w:rsidRPr="00C10DE4" w:rsidRDefault="00A3270E" w:rsidP="00A3270E">
      <w:pPr>
        <w:ind w:left="851" w:hanging="851"/>
        <w:jc w:val="both"/>
        <w:rPr>
          <w:spacing w:val="-3"/>
          <w:sz w:val="24"/>
          <w:szCs w:val="24"/>
        </w:rPr>
      </w:pPr>
      <w:r w:rsidRPr="00C10DE4">
        <w:rPr>
          <w:spacing w:val="-3"/>
          <w:sz w:val="24"/>
          <w:szCs w:val="24"/>
        </w:rPr>
        <w:tab/>
        <w:t>Klar rød-orange opløsning.</w:t>
      </w:r>
    </w:p>
    <w:p w:rsidR="00A3270E" w:rsidRPr="00C10DE4" w:rsidRDefault="00A3270E" w:rsidP="00A3270E">
      <w:pPr>
        <w:ind w:left="851" w:hanging="851"/>
        <w:rPr>
          <w:sz w:val="24"/>
          <w:szCs w:val="24"/>
        </w:rPr>
      </w:pPr>
    </w:p>
    <w:p w:rsidR="00A3270E" w:rsidRPr="00C10DE4" w:rsidRDefault="00A3270E" w:rsidP="00A3270E">
      <w:pPr>
        <w:ind w:left="851" w:hanging="851"/>
        <w:rPr>
          <w:sz w:val="24"/>
          <w:szCs w:val="24"/>
        </w:rPr>
      </w:pPr>
    </w:p>
    <w:p w:rsidR="00A3270E" w:rsidRPr="00C10DE4" w:rsidRDefault="00A3270E" w:rsidP="00A3270E">
      <w:pPr>
        <w:ind w:left="851" w:hanging="851"/>
        <w:rPr>
          <w:b/>
          <w:sz w:val="24"/>
          <w:szCs w:val="24"/>
        </w:rPr>
      </w:pPr>
      <w:r w:rsidRPr="00C10DE4">
        <w:rPr>
          <w:b/>
          <w:sz w:val="24"/>
          <w:szCs w:val="24"/>
        </w:rPr>
        <w:t>4.</w:t>
      </w:r>
      <w:r w:rsidRPr="00C10DE4">
        <w:rPr>
          <w:b/>
          <w:sz w:val="24"/>
          <w:szCs w:val="24"/>
        </w:rPr>
        <w:tab/>
        <w:t>KLINISKE OPLYSNINGER</w:t>
      </w:r>
    </w:p>
    <w:p w:rsidR="00A3270E" w:rsidRPr="00C10DE4" w:rsidRDefault="00A3270E" w:rsidP="00A3270E">
      <w:pPr>
        <w:ind w:left="851" w:hanging="851"/>
        <w:rPr>
          <w:b/>
          <w:sz w:val="24"/>
          <w:szCs w:val="24"/>
        </w:rPr>
      </w:pPr>
    </w:p>
    <w:p w:rsidR="00A3270E" w:rsidRPr="00C10DE4" w:rsidRDefault="00A3270E" w:rsidP="00A3270E">
      <w:pPr>
        <w:ind w:left="851" w:hanging="851"/>
        <w:rPr>
          <w:b/>
          <w:sz w:val="24"/>
          <w:szCs w:val="24"/>
          <w:u w:val="single"/>
        </w:rPr>
      </w:pPr>
      <w:r w:rsidRPr="00C10DE4">
        <w:rPr>
          <w:b/>
          <w:sz w:val="24"/>
          <w:szCs w:val="24"/>
        </w:rPr>
        <w:t>4.1</w:t>
      </w:r>
      <w:r w:rsidRPr="00C10DE4">
        <w:rPr>
          <w:b/>
          <w:sz w:val="24"/>
          <w:szCs w:val="24"/>
        </w:rPr>
        <w:tab/>
        <w:t>Terapeutiske indikationer</w:t>
      </w:r>
    </w:p>
    <w:p w:rsidR="005D2F96" w:rsidRPr="00C10DE4" w:rsidRDefault="00A3270E" w:rsidP="005D2F96">
      <w:pPr>
        <w:ind w:left="851" w:hanging="851"/>
        <w:rPr>
          <w:spacing w:val="-3"/>
          <w:sz w:val="24"/>
          <w:szCs w:val="24"/>
          <w:lang w:eastAsia="da-DK"/>
        </w:rPr>
      </w:pPr>
      <w:r>
        <w:rPr>
          <w:spacing w:val="-3"/>
          <w:sz w:val="24"/>
          <w:szCs w:val="24"/>
        </w:rPr>
        <w:tab/>
      </w:r>
      <w:r w:rsidR="005D2F96" w:rsidRPr="00C10DE4">
        <w:rPr>
          <w:spacing w:val="-3"/>
          <w:sz w:val="24"/>
          <w:szCs w:val="24"/>
        </w:rPr>
        <w:t xml:space="preserve">Akutte </w:t>
      </w:r>
      <w:proofErr w:type="spellStart"/>
      <w:r w:rsidR="005D2F96" w:rsidRPr="00C10DE4">
        <w:rPr>
          <w:spacing w:val="-3"/>
          <w:sz w:val="24"/>
          <w:szCs w:val="24"/>
        </w:rPr>
        <w:t>leukæmier</w:t>
      </w:r>
      <w:proofErr w:type="spellEnd"/>
      <w:r w:rsidR="005D2F96" w:rsidRPr="00C10DE4">
        <w:rPr>
          <w:spacing w:val="-3"/>
          <w:sz w:val="24"/>
          <w:szCs w:val="24"/>
        </w:rPr>
        <w:t>.</w:t>
      </w:r>
    </w:p>
    <w:p w:rsidR="005D2F96" w:rsidRPr="00C10DE4" w:rsidRDefault="005D2F96" w:rsidP="005D2F96">
      <w:pPr>
        <w:ind w:left="851" w:hanging="851"/>
        <w:rPr>
          <w:spacing w:val="-3"/>
          <w:sz w:val="24"/>
          <w:szCs w:val="24"/>
        </w:rPr>
      </w:pPr>
    </w:p>
    <w:p w:rsidR="005D2F96" w:rsidRPr="00C10DE4" w:rsidRDefault="005D2F96" w:rsidP="005D2F96">
      <w:pPr>
        <w:ind w:left="851" w:hanging="851"/>
        <w:rPr>
          <w:i/>
          <w:spacing w:val="-3"/>
          <w:sz w:val="24"/>
          <w:szCs w:val="24"/>
        </w:rPr>
      </w:pPr>
      <w:r w:rsidRPr="00C10DE4">
        <w:rPr>
          <w:spacing w:val="-3"/>
          <w:sz w:val="24"/>
          <w:szCs w:val="24"/>
        </w:rPr>
        <w:tab/>
      </w:r>
      <w:r w:rsidRPr="00C10DE4">
        <w:rPr>
          <w:i/>
          <w:spacing w:val="-3"/>
          <w:sz w:val="24"/>
          <w:szCs w:val="24"/>
        </w:rPr>
        <w:t>Børn</w:t>
      </w:r>
    </w:p>
    <w:p w:rsidR="005D2F96" w:rsidRPr="00C10DE4" w:rsidRDefault="005D2F96" w:rsidP="005D2F96">
      <w:pPr>
        <w:ind w:left="851" w:hanging="851"/>
        <w:rPr>
          <w:spacing w:val="-3"/>
          <w:sz w:val="24"/>
          <w:szCs w:val="24"/>
        </w:rPr>
      </w:pPr>
      <w:r w:rsidRPr="00C10DE4">
        <w:rPr>
          <w:spacing w:val="-3"/>
          <w:sz w:val="24"/>
          <w:szCs w:val="24"/>
        </w:rPr>
        <w:tab/>
      </w:r>
      <w:proofErr w:type="spellStart"/>
      <w:r w:rsidRPr="00C10DE4">
        <w:rPr>
          <w:spacing w:val="-3"/>
          <w:sz w:val="24"/>
          <w:szCs w:val="24"/>
        </w:rPr>
        <w:t>Zavedos</w:t>
      </w:r>
      <w:proofErr w:type="spellEnd"/>
      <w:r w:rsidRPr="00C10DE4">
        <w:rPr>
          <w:spacing w:val="-3"/>
          <w:sz w:val="24"/>
          <w:szCs w:val="24"/>
        </w:rPr>
        <w:t xml:space="preserve">, i kombination med </w:t>
      </w:r>
      <w:proofErr w:type="spellStart"/>
      <w:r w:rsidRPr="00C10DE4">
        <w:rPr>
          <w:spacing w:val="-3"/>
          <w:sz w:val="24"/>
          <w:szCs w:val="24"/>
        </w:rPr>
        <w:t>cytarabin</w:t>
      </w:r>
      <w:proofErr w:type="spellEnd"/>
      <w:r w:rsidRPr="00C10DE4">
        <w:rPr>
          <w:spacing w:val="-3"/>
          <w:sz w:val="24"/>
          <w:szCs w:val="24"/>
        </w:rPr>
        <w:t xml:space="preserve">, til førstelinjebehandling hos børn med akut </w:t>
      </w:r>
      <w:proofErr w:type="spellStart"/>
      <w:r w:rsidRPr="00C10DE4">
        <w:rPr>
          <w:spacing w:val="-3"/>
          <w:sz w:val="24"/>
          <w:szCs w:val="24"/>
        </w:rPr>
        <w:t>myeloid</w:t>
      </w:r>
      <w:proofErr w:type="spellEnd"/>
      <w:r w:rsidRPr="00C10DE4">
        <w:rPr>
          <w:spacing w:val="-3"/>
          <w:sz w:val="24"/>
          <w:szCs w:val="24"/>
        </w:rPr>
        <w:t xml:space="preserve"> leukæmi (AML). </w:t>
      </w:r>
    </w:p>
    <w:p w:rsidR="00A3270E" w:rsidRPr="00C10DE4" w:rsidRDefault="00A3270E" w:rsidP="005D2F96">
      <w:pPr>
        <w:ind w:left="851" w:hanging="851"/>
        <w:rPr>
          <w:sz w:val="24"/>
          <w:szCs w:val="24"/>
        </w:rPr>
      </w:pPr>
    </w:p>
    <w:p w:rsidR="00A3270E" w:rsidRPr="00C10DE4" w:rsidRDefault="00A3270E" w:rsidP="00A3270E">
      <w:pPr>
        <w:ind w:left="851" w:hanging="851"/>
        <w:rPr>
          <w:b/>
          <w:sz w:val="24"/>
          <w:szCs w:val="24"/>
        </w:rPr>
      </w:pPr>
      <w:r w:rsidRPr="00C10DE4">
        <w:rPr>
          <w:b/>
          <w:sz w:val="24"/>
          <w:szCs w:val="24"/>
        </w:rPr>
        <w:t>4.2</w:t>
      </w:r>
      <w:r w:rsidRPr="00C10DE4">
        <w:rPr>
          <w:b/>
          <w:sz w:val="24"/>
          <w:szCs w:val="24"/>
        </w:rPr>
        <w:tab/>
        <w:t xml:space="preserve">Dosering og </w:t>
      </w:r>
      <w:r w:rsidR="009C6769">
        <w:rPr>
          <w:b/>
          <w:sz w:val="24"/>
          <w:szCs w:val="24"/>
        </w:rPr>
        <w:t>administration</w:t>
      </w:r>
    </w:p>
    <w:p w:rsidR="005D2F96" w:rsidRPr="00C10DE4" w:rsidRDefault="00A3270E" w:rsidP="005D2F96">
      <w:pPr>
        <w:ind w:left="851" w:hanging="851"/>
        <w:rPr>
          <w:sz w:val="24"/>
          <w:szCs w:val="24"/>
          <w:lang w:eastAsia="da-DK"/>
        </w:rPr>
      </w:pPr>
      <w:r>
        <w:rPr>
          <w:spacing w:val="-3"/>
          <w:sz w:val="24"/>
          <w:szCs w:val="24"/>
        </w:rPr>
        <w:tab/>
      </w:r>
      <w:r w:rsidR="005D2F96" w:rsidRPr="00C10DE4">
        <w:rPr>
          <w:spacing w:val="-3"/>
          <w:sz w:val="24"/>
          <w:szCs w:val="24"/>
        </w:rPr>
        <w:t xml:space="preserve">Individuel, </w:t>
      </w:r>
      <w:r w:rsidR="005D2F96" w:rsidRPr="00C10DE4">
        <w:rPr>
          <w:sz w:val="24"/>
          <w:szCs w:val="24"/>
        </w:rPr>
        <w:t>intravenøs administration.</w:t>
      </w:r>
    </w:p>
    <w:p w:rsidR="005D2F96" w:rsidRPr="00C10DE4" w:rsidRDefault="005D2F96" w:rsidP="005D2F96">
      <w:pPr>
        <w:ind w:left="851" w:hanging="851"/>
        <w:jc w:val="both"/>
        <w:rPr>
          <w:i/>
          <w:spacing w:val="-3"/>
          <w:sz w:val="24"/>
          <w:szCs w:val="24"/>
        </w:rPr>
      </w:pPr>
    </w:p>
    <w:p w:rsidR="005D2F96" w:rsidRPr="00C10DE4" w:rsidRDefault="005D2F96" w:rsidP="005D2F96">
      <w:pPr>
        <w:ind w:left="851" w:hanging="851"/>
        <w:jc w:val="both"/>
        <w:rPr>
          <w:i/>
          <w:spacing w:val="-3"/>
          <w:sz w:val="24"/>
          <w:szCs w:val="24"/>
        </w:rPr>
      </w:pPr>
      <w:r>
        <w:rPr>
          <w:i/>
          <w:spacing w:val="-3"/>
          <w:sz w:val="24"/>
          <w:szCs w:val="24"/>
        </w:rPr>
        <w:tab/>
      </w:r>
      <w:r w:rsidRPr="00C10DE4">
        <w:rPr>
          <w:i/>
          <w:spacing w:val="-3"/>
          <w:sz w:val="24"/>
          <w:szCs w:val="24"/>
        </w:rPr>
        <w:t>Voksne:</w:t>
      </w:r>
    </w:p>
    <w:p w:rsidR="005D2F96" w:rsidRPr="00C10DE4" w:rsidRDefault="005D2F96" w:rsidP="005D2F96">
      <w:pPr>
        <w:ind w:left="851" w:hanging="851"/>
        <w:rPr>
          <w:i/>
          <w:spacing w:val="-3"/>
          <w:sz w:val="24"/>
          <w:szCs w:val="24"/>
        </w:rPr>
      </w:pPr>
      <w:r>
        <w:rPr>
          <w:spacing w:val="-3"/>
          <w:sz w:val="24"/>
          <w:szCs w:val="24"/>
        </w:rPr>
        <w:tab/>
      </w:r>
      <w:r w:rsidRPr="00C10DE4">
        <w:rPr>
          <w:spacing w:val="-3"/>
          <w:sz w:val="24"/>
          <w:szCs w:val="24"/>
        </w:rPr>
        <w:t xml:space="preserve">Under hensyntagen til patientens hæmatologi og kombination med andre </w:t>
      </w:r>
      <w:proofErr w:type="spellStart"/>
      <w:r w:rsidRPr="00C10DE4">
        <w:rPr>
          <w:spacing w:val="-3"/>
          <w:sz w:val="24"/>
          <w:szCs w:val="24"/>
        </w:rPr>
        <w:t>cytostatika</w:t>
      </w:r>
      <w:proofErr w:type="spellEnd"/>
      <w:r w:rsidRPr="00C10DE4">
        <w:rPr>
          <w:spacing w:val="-3"/>
          <w:sz w:val="24"/>
          <w:szCs w:val="24"/>
        </w:rPr>
        <w:t xml:space="preserve">. </w:t>
      </w:r>
    </w:p>
    <w:p w:rsidR="005D2F96" w:rsidRDefault="005D2F96" w:rsidP="005D2F96">
      <w:pPr>
        <w:rPr>
          <w:i/>
          <w:spacing w:val="-3"/>
          <w:sz w:val="24"/>
          <w:szCs w:val="24"/>
        </w:rPr>
      </w:pPr>
      <w:r>
        <w:rPr>
          <w:i/>
          <w:spacing w:val="-3"/>
          <w:sz w:val="24"/>
          <w:szCs w:val="24"/>
        </w:rPr>
        <w:br w:type="page"/>
      </w:r>
    </w:p>
    <w:p w:rsidR="005D2F96" w:rsidRPr="00C10DE4" w:rsidRDefault="005D2F96" w:rsidP="005D2F96">
      <w:pPr>
        <w:ind w:left="851" w:hanging="851"/>
        <w:rPr>
          <w:i/>
          <w:spacing w:val="-3"/>
          <w:sz w:val="24"/>
          <w:szCs w:val="24"/>
        </w:rPr>
      </w:pPr>
    </w:p>
    <w:p w:rsidR="005D2F96" w:rsidRPr="00C10DE4" w:rsidRDefault="005D2F96" w:rsidP="005D2F96">
      <w:pPr>
        <w:ind w:left="851" w:hanging="851"/>
        <w:rPr>
          <w:i/>
          <w:spacing w:val="-3"/>
          <w:sz w:val="24"/>
          <w:szCs w:val="24"/>
        </w:rPr>
      </w:pPr>
      <w:r>
        <w:rPr>
          <w:i/>
          <w:spacing w:val="-3"/>
          <w:sz w:val="24"/>
          <w:szCs w:val="24"/>
        </w:rPr>
        <w:tab/>
      </w:r>
      <w:r w:rsidRPr="00C10DE4">
        <w:rPr>
          <w:i/>
          <w:spacing w:val="-3"/>
          <w:sz w:val="24"/>
          <w:szCs w:val="24"/>
        </w:rPr>
        <w:t xml:space="preserve">Akut non-lymfatisk leukæmi </w:t>
      </w:r>
    </w:p>
    <w:p w:rsidR="005D2F96" w:rsidRPr="00C10DE4" w:rsidRDefault="005D2F96" w:rsidP="005D2F96">
      <w:pPr>
        <w:ind w:left="851" w:hanging="851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ab/>
      </w:r>
      <w:bookmarkStart w:id="0" w:name="_Hlk26965236"/>
      <w:proofErr w:type="spellStart"/>
      <w:r w:rsidRPr="00C10DE4">
        <w:rPr>
          <w:spacing w:val="-3"/>
          <w:sz w:val="24"/>
          <w:szCs w:val="24"/>
        </w:rPr>
        <w:t>Idarubicinhydrochlorid</w:t>
      </w:r>
      <w:bookmarkEnd w:id="0"/>
      <w:proofErr w:type="spellEnd"/>
      <w:r w:rsidRPr="00C10DE4">
        <w:rPr>
          <w:spacing w:val="-3"/>
          <w:sz w:val="24"/>
          <w:szCs w:val="24"/>
        </w:rPr>
        <w:t xml:space="preserve"> 12 mg/m</w:t>
      </w:r>
      <w:r w:rsidRPr="00C10DE4">
        <w:rPr>
          <w:spacing w:val="-3"/>
          <w:sz w:val="24"/>
          <w:szCs w:val="24"/>
          <w:vertAlign w:val="superscript"/>
        </w:rPr>
        <w:t>2</w:t>
      </w:r>
      <w:r w:rsidRPr="00C10DE4">
        <w:rPr>
          <w:spacing w:val="-3"/>
          <w:sz w:val="24"/>
          <w:szCs w:val="24"/>
        </w:rPr>
        <w:t xml:space="preserve"> </w:t>
      </w:r>
      <w:proofErr w:type="spellStart"/>
      <w:r w:rsidRPr="00C10DE4">
        <w:rPr>
          <w:spacing w:val="-3"/>
          <w:sz w:val="24"/>
          <w:szCs w:val="24"/>
        </w:rPr>
        <w:t>i.v</w:t>
      </w:r>
      <w:proofErr w:type="spellEnd"/>
      <w:r w:rsidRPr="00C10DE4">
        <w:rPr>
          <w:spacing w:val="-3"/>
          <w:sz w:val="24"/>
          <w:szCs w:val="24"/>
        </w:rPr>
        <w:t xml:space="preserve">. </w:t>
      </w:r>
      <w:r>
        <w:rPr>
          <w:spacing w:val="-3"/>
          <w:sz w:val="24"/>
          <w:szCs w:val="24"/>
        </w:rPr>
        <w:t>dagligt</w:t>
      </w:r>
      <w:r w:rsidRPr="00C10DE4">
        <w:rPr>
          <w:spacing w:val="-3"/>
          <w:sz w:val="24"/>
          <w:szCs w:val="24"/>
        </w:rPr>
        <w:t xml:space="preserve"> i 3 dage i kombination med </w:t>
      </w:r>
      <w:proofErr w:type="spellStart"/>
      <w:r w:rsidRPr="00C10DE4">
        <w:rPr>
          <w:spacing w:val="-3"/>
          <w:sz w:val="24"/>
          <w:szCs w:val="24"/>
        </w:rPr>
        <w:t>cytarabin</w:t>
      </w:r>
      <w:proofErr w:type="spellEnd"/>
      <w:r w:rsidRPr="00C10DE4">
        <w:rPr>
          <w:spacing w:val="-3"/>
          <w:sz w:val="24"/>
          <w:szCs w:val="24"/>
        </w:rPr>
        <w:t xml:space="preserve">. Alternativt </w:t>
      </w:r>
      <w:proofErr w:type="spellStart"/>
      <w:r w:rsidRPr="00C10DE4">
        <w:rPr>
          <w:spacing w:val="-3"/>
          <w:sz w:val="24"/>
          <w:szCs w:val="24"/>
        </w:rPr>
        <w:t>idarubicinhydrochlorid</w:t>
      </w:r>
      <w:proofErr w:type="spellEnd"/>
      <w:r w:rsidRPr="00C10DE4">
        <w:rPr>
          <w:spacing w:val="-3"/>
          <w:sz w:val="24"/>
          <w:szCs w:val="24"/>
        </w:rPr>
        <w:t xml:space="preserve"> 8 mg/m</w:t>
      </w:r>
      <w:r w:rsidRPr="00C10DE4">
        <w:rPr>
          <w:spacing w:val="-3"/>
          <w:sz w:val="24"/>
          <w:szCs w:val="24"/>
          <w:vertAlign w:val="superscript"/>
        </w:rPr>
        <w:t>2</w:t>
      </w:r>
      <w:r w:rsidRPr="00C10DE4">
        <w:rPr>
          <w:spacing w:val="-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dagligt</w:t>
      </w:r>
      <w:r w:rsidRPr="00C10DE4">
        <w:rPr>
          <w:spacing w:val="-3"/>
          <w:sz w:val="24"/>
          <w:szCs w:val="24"/>
        </w:rPr>
        <w:t xml:space="preserve"> i 5 dage alene eller som kombinationsbehandling.</w:t>
      </w:r>
    </w:p>
    <w:p w:rsidR="005D2F96" w:rsidRPr="00C10DE4" w:rsidRDefault="005D2F96" w:rsidP="005D2F96">
      <w:pPr>
        <w:ind w:left="851" w:hanging="851"/>
        <w:rPr>
          <w:i/>
          <w:spacing w:val="-3"/>
          <w:sz w:val="24"/>
          <w:szCs w:val="24"/>
        </w:rPr>
      </w:pPr>
    </w:p>
    <w:p w:rsidR="005D2F96" w:rsidRPr="00C10DE4" w:rsidRDefault="005D2F96" w:rsidP="005D2F96">
      <w:pPr>
        <w:ind w:firstLine="851"/>
        <w:rPr>
          <w:i/>
          <w:sz w:val="24"/>
          <w:szCs w:val="24"/>
        </w:rPr>
      </w:pPr>
      <w:r w:rsidRPr="00C10DE4">
        <w:rPr>
          <w:i/>
          <w:sz w:val="24"/>
          <w:szCs w:val="24"/>
        </w:rPr>
        <w:t xml:space="preserve">Akut lymfatisk leukæmi </w:t>
      </w:r>
    </w:p>
    <w:p w:rsidR="005D2F96" w:rsidRPr="00C10DE4" w:rsidRDefault="005D2F96" w:rsidP="005D2F96">
      <w:pPr>
        <w:ind w:left="851"/>
        <w:rPr>
          <w:sz w:val="24"/>
          <w:szCs w:val="24"/>
        </w:rPr>
      </w:pPr>
      <w:r w:rsidRPr="00C10DE4">
        <w:rPr>
          <w:sz w:val="24"/>
          <w:szCs w:val="24"/>
        </w:rPr>
        <w:t>10-12 mg/m</w:t>
      </w:r>
      <w:r w:rsidRPr="00C10DE4">
        <w:rPr>
          <w:sz w:val="24"/>
          <w:szCs w:val="24"/>
          <w:vertAlign w:val="superscript"/>
        </w:rPr>
        <w:t>2</w:t>
      </w:r>
      <w:r w:rsidRPr="00C10DE4">
        <w:rPr>
          <w:sz w:val="24"/>
          <w:szCs w:val="24"/>
        </w:rPr>
        <w:t xml:space="preserve"> </w:t>
      </w:r>
      <w:r>
        <w:rPr>
          <w:sz w:val="24"/>
          <w:szCs w:val="24"/>
        </w:rPr>
        <w:t>daglig</w:t>
      </w:r>
      <w:r w:rsidRPr="00C10DE4">
        <w:rPr>
          <w:sz w:val="24"/>
          <w:szCs w:val="24"/>
        </w:rPr>
        <w:t xml:space="preserve"> i 2-3 dage i kombination med andre </w:t>
      </w:r>
      <w:proofErr w:type="spellStart"/>
      <w:r w:rsidRPr="00C10DE4">
        <w:rPr>
          <w:sz w:val="24"/>
          <w:szCs w:val="24"/>
        </w:rPr>
        <w:t>cytostatika</w:t>
      </w:r>
      <w:proofErr w:type="spellEnd"/>
      <w:r w:rsidRPr="00C10DE4">
        <w:rPr>
          <w:sz w:val="24"/>
          <w:szCs w:val="24"/>
        </w:rPr>
        <w:t>, til relapsbehandling eller behandling af refraktær ALL.</w:t>
      </w:r>
    </w:p>
    <w:p w:rsidR="005D2F96" w:rsidRPr="00C10DE4" w:rsidRDefault="005D2F96" w:rsidP="005D2F96">
      <w:pPr>
        <w:rPr>
          <w:sz w:val="24"/>
          <w:szCs w:val="24"/>
        </w:rPr>
      </w:pPr>
    </w:p>
    <w:p w:rsidR="005D2F96" w:rsidRPr="00C10DE4" w:rsidRDefault="005D2F96" w:rsidP="005D2F96">
      <w:pPr>
        <w:ind w:left="851" w:hanging="851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 w:rsidRPr="00C10DE4">
        <w:rPr>
          <w:i/>
          <w:sz w:val="24"/>
          <w:szCs w:val="24"/>
        </w:rPr>
        <w:t xml:space="preserve">Akut </w:t>
      </w:r>
      <w:proofErr w:type="spellStart"/>
      <w:r w:rsidRPr="00C10DE4">
        <w:rPr>
          <w:i/>
          <w:sz w:val="24"/>
          <w:szCs w:val="24"/>
        </w:rPr>
        <w:t>myeloid</w:t>
      </w:r>
      <w:proofErr w:type="spellEnd"/>
      <w:r w:rsidRPr="00C10DE4">
        <w:rPr>
          <w:i/>
          <w:sz w:val="24"/>
          <w:szCs w:val="24"/>
        </w:rPr>
        <w:t xml:space="preserve"> leukæmi </w:t>
      </w:r>
    </w:p>
    <w:p w:rsidR="005D2F96" w:rsidRPr="00C10DE4" w:rsidRDefault="005D2F96" w:rsidP="005D2F96">
      <w:pPr>
        <w:ind w:left="851" w:hanging="851"/>
        <w:rPr>
          <w:sz w:val="24"/>
          <w:szCs w:val="24"/>
          <w:u w:val="single"/>
        </w:rPr>
      </w:pPr>
      <w:r w:rsidRPr="00C10DE4">
        <w:rPr>
          <w:sz w:val="24"/>
          <w:szCs w:val="24"/>
        </w:rPr>
        <w:tab/>
      </w:r>
      <w:r w:rsidRPr="00C10DE4">
        <w:rPr>
          <w:sz w:val="24"/>
          <w:szCs w:val="24"/>
          <w:u w:val="single"/>
        </w:rPr>
        <w:t xml:space="preserve">Kombinationsterapi: </w:t>
      </w:r>
    </w:p>
    <w:p w:rsidR="005D2F96" w:rsidRPr="00C10DE4" w:rsidRDefault="005D2F96" w:rsidP="005D2F96">
      <w:pPr>
        <w:ind w:left="851" w:hanging="851"/>
        <w:rPr>
          <w:sz w:val="24"/>
          <w:szCs w:val="24"/>
        </w:rPr>
      </w:pPr>
      <w:r>
        <w:rPr>
          <w:i/>
          <w:sz w:val="24"/>
          <w:szCs w:val="24"/>
        </w:rPr>
        <w:tab/>
      </w:r>
      <w:r w:rsidRPr="00C10DE4">
        <w:rPr>
          <w:i/>
          <w:sz w:val="24"/>
          <w:szCs w:val="24"/>
        </w:rPr>
        <w:t>Børn:</w:t>
      </w:r>
    </w:p>
    <w:p w:rsidR="005D2F96" w:rsidRPr="00C10DE4" w:rsidRDefault="005D2F96" w:rsidP="005D2F96">
      <w:pPr>
        <w:ind w:left="851" w:hanging="851"/>
        <w:rPr>
          <w:sz w:val="24"/>
          <w:szCs w:val="24"/>
        </w:rPr>
      </w:pPr>
      <w:r>
        <w:rPr>
          <w:spacing w:val="-3"/>
          <w:sz w:val="24"/>
          <w:szCs w:val="24"/>
        </w:rPr>
        <w:tab/>
      </w:r>
      <w:r w:rsidRPr="00C10DE4">
        <w:rPr>
          <w:spacing w:val="-3"/>
          <w:sz w:val="24"/>
          <w:szCs w:val="24"/>
        </w:rPr>
        <w:t xml:space="preserve">Hos børn med akut </w:t>
      </w:r>
      <w:proofErr w:type="spellStart"/>
      <w:r w:rsidRPr="00C10DE4">
        <w:rPr>
          <w:spacing w:val="-3"/>
          <w:sz w:val="24"/>
          <w:szCs w:val="24"/>
        </w:rPr>
        <w:t>myeloid</w:t>
      </w:r>
      <w:proofErr w:type="spellEnd"/>
      <w:r w:rsidRPr="00C10DE4">
        <w:rPr>
          <w:spacing w:val="-3"/>
          <w:sz w:val="24"/>
          <w:szCs w:val="24"/>
        </w:rPr>
        <w:t xml:space="preserve"> leukæmi er den anbefalede dosis af </w:t>
      </w:r>
      <w:proofErr w:type="spellStart"/>
      <w:r w:rsidRPr="00C10DE4">
        <w:rPr>
          <w:spacing w:val="-3"/>
          <w:sz w:val="24"/>
          <w:szCs w:val="24"/>
        </w:rPr>
        <w:t>idarubicinhydrochlorid</w:t>
      </w:r>
      <w:proofErr w:type="spellEnd"/>
      <w:r w:rsidRPr="00C10DE4">
        <w:rPr>
          <w:spacing w:val="-3"/>
          <w:sz w:val="24"/>
          <w:szCs w:val="24"/>
        </w:rPr>
        <w:t xml:space="preserve"> i kombination med </w:t>
      </w:r>
      <w:proofErr w:type="spellStart"/>
      <w:r w:rsidRPr="00C10DE4">
        <w:rPr>
          <w:spacing w:val="-3"/>
          <w:sz w:val="24"/>
          <w:szCs w:val="24"/>
        </w:rPr>
        <w:t>cytarabin</w:t>
      </w:r>
      <w:proofErr w:type="spellEnd"/>
      <w:r w:rsidRPr="00C10DE4">
        <w:rPr>
          <w:spacing w:val="-3"/>
          <w:sz w:val="24"/>
          <w:szCs w:val="24"/>
        </w:rPr>
        <w:t xml:space="preserve"> 10-12 mg/m</w:t>
      </w:r>
      <w:r w:rsidRPr="00C10DE4">
        <w:rPr>
          <w:spacing w:val="-3"/>
          <w:sz w:val="24"/>
          <w:szCs w:val="24"/>
          <w:vertAlign w:val="superscript"/>
        </w:rPr>
        <w:t>2</w:t>
      </w:r>
      <w:r w:rsidRPr="00C10DE4">
        <w:rPr>
          <w:spacing w:val="-3"/>
          <w:sz w:val="24"/>
          <w:szCs w:val="24"/>
        </w:rPr>
        <w:t xml:space="preserve"> </w:t>
      </w:r>
      <w:proofErr w:type="spellStart"/>
      <w:r w:rsidRPr="00C10DE4">
        <w:rPr>
          <w:spacing w:val="-3"/>
          <w:sz w:val="24"/>
          <w:szCs w:val="24"/>
        </w:rPr>
        <w:t>i.v</w:t>
      </w:r>
      <w:proofErr w:type="spellEnd"/>
      <w:r w:rsidRPr="00C10DE4">
        <w:rPr>
          <w:spacing w:val="-3"/>
          <w:sz w:val="24"/>
          <w:szCs w:val="24"/>
        </w:rPr>
        <w:t xml:space="preserve">. </w:t>
      </w:r>
      <w:r>
        <w:rPr>
          <w:spacing w:val="-3"/>
          <w:sz w:val="24"/>
          <w:szCs w:val="24"/>
        </w:rPr>
        <w:t>daglig</w:t>
      </w:r>
      <w:r w:rsidRPr="00C10DE4">
        <w:rPr>
          <w:spacing w:val="-3"/>
          <w:sz w:val="24"/>
          <w:szCs w:val="24"/>
        </w:rPr>
        <w:t xml:space="preserve"> i 3 dage. </w:t>
      </w:r>
      <w:r w:rsidRPr="00C10DE4">
        <w:rPr>
          <w:sz w:val="24"/>
          <w:szCs w:val="24"/>
        </w:rPr>
        <w:t>Bemærk: Dette er en generel anbefaling, for nøjagtig dosering henvises der til individuelle protokoller.</w:t>
      </w:r>
    </w:p>
    <w:p w:rsidR="005D2F96" w:rsidRPr="00C10DE4" w:rsidRDefault="005D2F96" w:rsidP="005D2F96">
      <w:pPr>
        <w:ind w:left="851" w:hanging="851"/>
        <w:rPr>
          <w:sz w:val="24"/>
          <w:szCs w:val="24"/>
        </w:rPr>
      </w:pPr>
    </w:p>
    <w:p w:rsidR="005D2F96" w:rsidRPr="00C10DE4" w:rsidRDefault="005D2F96" w:rsidP="005D2F96">
      <w:pPr>
        <w:ind w:left="851"/>
        <w:rPr>
          <w:i/>
          <w:sz w:val="24"/>
          <w:szCs w:val="24"/>
        </w:rPr>
      </w:pPr>
      <w:r w:rsidRPr="00C10DE4">
        <w:rPr>
          <w:i/>
          <w:sz w:val="24"/>
          <w:szCs w:val="24"/>
        </w:rPr>
        <w:t>Nedsat lever- eller nyrefunktion:</w:t>
      </w:r>
    </w:p>
    <w:p w:rsidR="005D2F96" w:rsidRPr="00C10DE4" w:rsidRDefault="005D2F96" w:rsidP="005D2F96">
      <w:pPr>
        <w:ind w:left="851"/>
        <w:rPr>
          <w:sz w:val="24"/>
          <w:szCs w:val="24"/>
        </w:rPr>
      </w:pPr>
      <w:proofErr w:type="spellStart"/>
      <w:r w:rsidRPr="00C10DE4">
        <w:rPr>
          <w:sz w:val="24"/>
          <w:szCs w:val="24"/>
        </w:rPr>
        <w:t>Idarubicin</w:t>
      </w:r>
      <w:proofErr w:type="spellEnd"/>
      <w:r w:rsidRPr="00C10DE4">
        <w:rPr>
          <w:sz w:val="24"/>
          <w:szCs w:val="24"/>
        </w:rPr>
        <w:t xml:space="preserve"> bør ikke anvendes til patienter med svært nedsat lever- eller nyrefunktion (se pkt. 4.3 og 4.4).</w:t>
      </w:r>
    </w:p>
    <w:p w:rsidR="005D2F96" w:rsidRPr="00C10DE4" w:rsidRDefault="005D2F96" w:rsidP="005D2F96">
      <w:pPr>
        <w:ind w:left="851" w:hanging="851"/>
        <w:rPr>
          <w:sz w:val="24"/>
          <w:szCs w:val="24"/>
        </w:rPr>
      </w:pPr>
    </w:p>
    <w:p w:rsidR="005D2F96" w:rsidRPr="00C10DE4" w:rsidRDefault="005D2F96" w:rsidP="005D2F96">
      <w:pPr>
        <w:ind w:left="851"/>
        <w:rPr>
          <w:sz w:val="24"/>
          <w:szCs w:val="24"/>
        </w:rPr>
      </w:pPr>
      <w:bookmarkStart w:id="1" w:name="_Hlk26965348"/>
      <w:r w:rsidRPr="00C10DE4">
        <w:rPr>
          <w:sz w:val="24"/>
          <w:szCs w:val="24"/>
          <w:u w:val="single"/>
        </w:rPr>
        <w:t>Administration</w:t>
      </w:r>
    </w:p>
    <w:bookmarkEnd w:id="1"/>
    <w:p w:rsidR="005D2F96" w:rsidRPr="00C10DE4" w:rsidRDefault="005D2F96" w:rsidP="005D2F96">
      <w:pPr>
        <w:ind w:left="851" w:hanging="851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ab/>
      </w:r>
      <w:proofErr w:type="spellStart"/>
      <w:r w:rsidRPr="00C10DE4">
        <w:rPr>
          <w:spacing w:val="-3"/>
          <w:sz w:val="24"/>
          <w:szCs w:val="24"/>
        </w:rPr>
        <w:t>Zavedos</w:t>
      </w:r>
      <w:proofErr w:type="spellEnd"/>
      <w:r w:rsidRPr="00C10DE4">
        <w:rPr>
          <w:spacing w:val="-3"/>
          <w:sz w:val="24"/>
          <w:szCs w:val="24"/>
        </w:rPr>
        <w:t xml:space="preserve"> administreres som intravenøs injektion, helst i centralt kateter, over 5-10 minutter, samtidig med infusion af 9 mg/ml </w:t>
      </w:r>
      <w:proofErr w:type="spellStart"/>
      <w:r w:rsidRPr="00C10DE4">
        <w:rPr>
          <w:spacing w:val="-3"/>
          <w:sz w:val="24"/>
          <w:szCs w:val="24"/>
        </w:rPr>
        <w:t>natriumchlorid</w:t>
      </w:r>
      <w:proofErr w:type="spellEnd"/>
      <w:r w:rsidRPr="00C10DE4">
        <w:rPr>
          <w:spacing w:val="-3"/>
          <w:sz w:val="24"/>
          <w:szCs w:val="24"/>
        </w:rPr>
        <w:t xml:space="preserve"> infusionsvæske eller 5% </w:t>
      </w:r>
      <w:proofErr w:type="spellStart"/>
      <w:r w:rsidRPr="00C10DE4">
        <w:rPr>
          <w:spacing w:val="-3"/>
          <w:sz w:val="24"/>
          <w:szCs w:val="24"/>
        </w:rPr>
        <w:t>glucoseopløsning</w:t>
      </w:r>
      <w:proofErr w:type="spellEnd"/>
      <w:r w:rsidRPr="00C10DE4">
        <w:rPr>
          <w:spacing w:val="-3"/>
          <w:sz w:val="24"/>
          <w:szCs w:val="24"/>
        </w:rPr>
        <w:t xml:space="preserve">. </w:t>
      </w:r>
      <w:r w:rsidRPr="00C10DE4">
        <w:rPr>
          <w:sz w:val="24"/>
          <w:szCs w:val="24"/>
        </w:rPr>
        <w:t xml:space="preserve">Direkte indsprøjtning anbefales ikke på grund af risiko for </w:t>
      </w:r>
      <w:proofErr w:type="spellStart"/>
      <w:r w:rsidRPr="00C10DE4">
        <w:rPr>
          <w:sz w:val="24"/>
          <w:szCs w:val="24"/>
        </w:rPr>
        <w:t>ekstravasation</w:t>
      </w:r>
      <w:proofErr w:type="spellEnd"/>
      <w:r w:rsidRPr="00C10DE4">
        <w:rPr>
          <w:sz w:val="24"/>
          <w:szCs w:val="24"/>
        </w:rPr>
        <w:t>, som kan forekomme på trods af blodaspiration til kanylen (se pkt</w:t>
      </w:r>
      <w:r>
        <w:rPr>
          <w:sz w:val="24"/>
          <w:szCs w:val="24"/>
        </w:rPr>
        <w:t>.</w:t>
      </w:r>
      <w:r w:rsidRPr="00C10DE4">
        <w:rPr>
          <w:sz w:val="24"/>
          <w:szCs w:val="24"/>
        </w:rPr>
        <w:t xml:space="preserve"> 4.4)</w:t>
      </w:r>
      <w:r w:rsidRPr="00C10DE4">
        <w:rPr>
          <w:spacing w:val="-3"/>
          <w:sz w:val="24"/>
          <w:szCs w:val="24"/>
        </w:rPr>
        <w:t>.</w:t>
      </w:r>
    </w:p>
    <w:p w:rsidR="005D2F96" w:rsidRPr="00C10DE4" w:rsidRDefault="005D2F96" w:rsidP="005D2F96">
      <w:pPr>
        <w:ind w:left="851" w:hanging="851"/>
        <w:rPr>
          <w:spacing w:val="-3"/>
          <w:sz w:val="24"/>
          <w:szCs w:val="24"/>
        </w:rPr>
      </w:pPr>
    </w:p>
    <w:p w:rsidR="005D2F96" w:rsidRPr="00C10DE4" w:rsidRDefault="005D2F96" w:rsidP="005D2F96">
      <w:pPr>
        <w:ind w:left="851" w:hanging="851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ab/>
      </w:r>
      <w:r w:rsidR="00DB16A7">
        <w:rPr>
          <w:spacing w:val="-3"/>
          <w:sz w:val="24"/>
          <w:szCs w:val="24"/>
        </w:rPr>
        <w:t>Injektionsvæske,</w:t>
      </w:r>
      <w:r w:rsidRPr="00C10DE4">
        <w:rPr>
          <w:spacing w:val="-3"/>
          <w:sz w:val="24"/>
          <w:szCs w:val="24"/>
        </w:rPr>
        <w:t xml:space="preserve"> opløsning kan eventuelt fortyndes med 9 mg/ml </w:t>
      </w:r>
      <w:proofErr w:type="spellStart"/>
      <w:r w:rsidRPr="00C10DE4">
        <w:rPr>
          <w:spacing w:val="-3"/>
          <w:sz w:val="24"/>
          <w:szCs w:val="24"/>
        </w:rPr>
        <w:t>natriumchlorid</w:t>
      </w:r>
      <w:proofErr w:type="spellEnd"/>
      <w:r w:rsidRPr="00C10DE4">
        <w:rPr>
          <w:spacing w:val="-3"/>
          <w:sz w:val="24"/>
          <w:szCs w:val="24"/>
        </w:rPr>
        <w:t xml:space="preserve"> infusions</w:t>
      </w:r>
      <w:r>
        <w:rPr>
          <w:spacing w:val="-3"/>
          <w:sz w:val="24"/>
          <w:szCs w:val="24"/>
        </w:rPr>
        <w:softHyphen/>
      </w:r>
      <w:r w:rsidRPr="00C10DE4">
        <w:rPr>
          <w:spacing w:val="-3"/>
          <w:sz w:val="24"/>
          <w:szCs w:val="24"/>
        </w:rPr>
        <w:t xml:space="preserve">væske eller 5% </w:t>
      </w:r>
      <w:proofErr w:type="spellStart"/>
      <w:r w:rsidRPr="00C10DE4">
        <w:rPr>
          <w:spacing w:val="-3"/>
          <w:sz w:val="24"/>
          <w:szCs w:val="24"/>
        </w:rPr>
        <w:t>glucoseopløsning</w:t>
      </w:r>
      <w:proofErr w:type="spellEnd"/>
      <w:r w:rsidRPr="00C10DE4">
        <w:rPr>
          <w:spacing w:val="-3"/>
          <w:sz w:val="24"/>
          <w:szCs w:val="24"/>
        </w:rPr>
        <w:t>. Fortyndet opløsning skal anvendes umiddelbart efter opblanding og infusionen skal være afsluttet senest 24 timer efter fremstilling.</w:t>
      </w:r>
    </w:p>
    <w:p w:rsidR="00A3270E" w:rsidRPr="00C10DE4" w:rsidRDefault="00A3270E" w:rsidP="005D2F96">
      <w:pPr>
        <w:ind w:left="851" w:hanging="851"/>
        <w:rPr>
          <w:sz w:val="24"/>
          <w:szCs w:val="24"/>
        </w:rPr>
      </w:pPr>
    </w:p>
    <w:p w:rsidR="00A3270E" w:rsidRPr="00C10DE4" w:rsidRDefault="00A3270E" w:rsidP="00A3270E">
      <w:pPr>
        <w:ind w:left="851" w:hanging="851"/>
        <w:rPr>
          <w:b/>
          <w:sz w:val="24"/>
          <w:szCs w:val="24"/>
        </w:rPr>
      </w:pPr>
      <w:r w:rsidRPr="00C10DE4">
        <w:rPr>
          <w:b/>
          <w:sz w:val="24"/>
          <w:szCs w:val="24"/>
        </w:rPr>
        <w:t>4.3</w:t>
      </w:r>
      <w:r w:rsidRPr="00C10DE4">
        <w:rPr>
          <w:b/>
          <w:sz w:val="24"/>
          <w:szCs w:val="24"/>
        </w:rPr>
        <w:tab/>
        <w:t>Kontraindikationer</w:t>
      </w:r>
    </w:p>
    <w:p w:rsidR="00A3270E" w:rsidRPr="00C10DE4" w:rsidRDefault="00A3270E" w:rsidP="00A3270E">
      <w:pPr>
        <w:ind w:left="851"/>
        <w:rPr>
          <w:sz w:val="24"/>
          <w:szCs w:val="24"/>
          <w:lang w:eastAsia="da-DK"/>
        </w:rPr>
      </w:pPr>
      <w:r w:rsidRPr="00C10DE4">
        <w:rPr>
          <w:sz w:val="24"/>
          <w:szCs w:val="24"/>
        </w:rPr>
        <w:t xml:space="preserve">Følgende er kontraindiceret ved anvendelse af </w:t>
      </w:r>
      <w:proofErr w:type="spellStart"/>
      <w:r w:rsidRPr="00C10DE4">
        <w:rPr>
          <w:sz w:val="24"/>
          <w:szCs w:val="24"/>
        </w:rPr>
        <w:t>idarubicin</w:t>
      </w:r>
      <w:proofErr w:type="spellEnd"/>
      <w:r w:rsidRPr="00C10DE4">
        <w:rPr>
          <w:sz w:val="24"/>
          <w:szCs w:val="24"/>
        </w:rPr>
        <w:t>:</w:t>
      </w:r>
    </w:p>
    <w:p w:rsidR="00A3270E" w:rsidRPr="00C10DE4" w:rsidRDefault="00A3270E" w:rsidP="00A3270E">
      <w:pPr>
        <w:numPr>
          <w:ilvl w:val="0"/>
          <w:numId w:val="6"/>
        </w:numPr>
        <w:tabs>
          <w:tab w:val="clear" w:pos="1575"/>
        </w:tabs>
        <w:ind w:left="1276" w:hanging="425"/>
        <w:rPr>
          <w:spacing w:val="-3"/>
          <w:sz w:val="24"/>
          <w:szCs w:val="24"/>
        </w:rPr>
      </w:pPr>
      <w:r w:rsidRPr="00C10DE4">
        <w:rPr>
          <w:spacing w:val="-3"/>
          <w:sz w:val="24"/>
          <w:szCs w:val="24"/>
        </w:rPr>
        <w:t xml:space="preserve">overfølsomhed over for </w:t>
      </w:r>
      <w:proofErr w:type="spellStart"/>
      <w:r w:rsidRPr="00C10DE4">
        <w:rPr>
          <w:sz w:val="24"/>
          <w:szCs w:val="24"/>
        </w:rPr>
        <w:t>idarubicin</w:t>
      </w:r>
      <w:proofErr w:type="spellEnd"/>
      <w:r w:rsidRPr="00C10DE4">
        <w:rPr>
          <w:spacing w:val="-3"/>
          <w:sz w:val="24"/>
          <w:szCs w:val="24"/>
        </w:rPr>
        <w:t xml:space="preserve"> eller </w:t>
      </w:r>
      <w:r w:rsidRPr="00C10DE4">
        <w:rPr>
          <w:sz w:val="24"/>
          <w:szCs w:val="24"/>
        </w:rPr>
        <w:t xml:space="preserve">over for et eller flere af hjælpestofferne anført i pkt. 6.1, andre </w:t>
      </w:r>
      <w:proofErr w:type="spellStart"/>
      <w:r w:rsidRPr="00C10DE4">
        <w:rPr>
          <w:sz w:val="24"/>
          <w:szCs w:val="24"/>
        </w:rPr>
        <w:t>antracycliner</w:t>
      </w:r>
      <w:proofErr w:type="spellEnd"/>
      <w:r w:rsidRPr="00C10DE4">
        <w:rPr>
          <w:sz w:val="24"/>
          <w:szCs w:val="24"/>
        </w:rPr>
        <w:t xml:space="preserve"> eller </w:t>
      </w:r>
      <w:proofErr w:type="spellStart"/>
      <w:r w:rsidRPr="00C10DE4">
        <w:rPr>
          <w:sz w:val="24"/>
          <w:szCs w:val="24"/>
        </w:rPr>
        <w:t>antracenedioner</w:t>
      </w:r>
      <w:proofErr w:type="spellEnd"/>
      <w:r w:rsidRPr="00C10DE4">
        <w:rPr>
          <w:sz w:val="24"/>
          <w:szCs w:val="24"/>
        </w:rPr>
        <w:t>.</w:t>
      </w:r>
    </w:p>
    <w:p w:rsidR="00A3270E" w:rsidRPr="00C10DE4" w:rsidRDefault="00A3270E" w:rsidP="00A3270E">
      <w:pPr>
        <w:numPr>
          <w:ilvl w:val="0"/>
          <w:numId w:val="6"/>
        </w:numPr>
        <w:tabs>
          <w:tab w:val="clear" w:pos="1575"/>
        </w:tabs>
        <w:ind w:left="1276" w:hanging="425"/>
        <w:rPr>
          <w:spacing w:val="-3"/>
          <w:sz w:val="24"/>
          <w:szCs w:val="24"/>
        </w:rPr>
      </w:pPr>
      <w:r w:rsidRPr="00C10DE4">
        <w:rPr>
          <w:spacing w:val="-3"/>
          <w:sz w:val="24"/>
          <w:szCs w:val="24"/>
        </w:rPr>
        <w:t>svært nedsat leverfunktion.</w:t>
      </w:r>
    </w:p>
    <w:p w:rsidR="00A3270E" w:rsidRPr="00C10DE4" w:rsidRDefault="00A3270E" w:rsidP="00A3270E">
      <w:pPr>
        <w:numPr>
          <w:ilvl w:val="0"/>
          <w:numId w:val="6"/>
        </w:numPr>
        <w:tabs>
          <w:tab w:val="clear" w:pos="1575"/>
        </w:tabs>
        <w:ind w:left="1276" w:hanging="425"/>
        <w:rPr>
          <w:spacing w:val="-3"/>
          <w:sz w:val="24"/>
          <w:szCs w:val="24"/>
        </w:rPr>
      </w:pPr>
      <w:r w:rsidRPr="00C10DE4">
        <w:rPr>
          <w:spacing w:val="-3"/>
          <w:sz w:val="24"/>
          <w:szCs w:val="24"/>
        </w:rPr>
        <w:t>svært nedsat nyrefunktion.</w:t>
      </w:r>
    </w:p>
    <w:p w:rsidR="00A3270E" w:rsidRPr="00C10DE4" w:rsidRDefault="00A3270E" w:rsidP="00A3270E">
      <w:pPr>
        <w:numPr>
          <w:ilvl w:val="0"/>
          <w:numId w:val="6"/>
        </w:numPr>
        <w:tabs>
          <w:tab w:val="clear" w:pos="1575"/>
        </w:tabs>
        <w:ind w:left="1276" w:hanging="425"/>
        <w:rPr>
          <w:sz w:val="24"/>
          <w:szCs w:val="24"/>
        </w:rPr>
      </w:pPr>
      <w:r w:rsidRPr="00C10DE4">
        <w:rPr>
          <w:sz w:val="24"/>
          <w:szCs w:val="24"/>
        </w:rPr>
        <w:t xml:space="preserve">alvorlig </w:t>
      </w:r>
      <w:proofErr w:type="spellStart"/>
      <w:r w:rsidRPr="00C10DE4">
        <w:rPr>
          <w:sz w:val="24"/>
          <w:szCs w:val="24"/>
        </w:rPr>
        <w:t>kardiomyopati</w:t>
      </w:r>
      <w:proofErr w:type="spellEnd"/>
      <w:r w:rsidRPr="00C10DE4">
        <w:rPr>
          <w:sz w:val="24"/>
          <w:szCs w:val="24"/>
        </w:rPr>
        <w:t>.</w:t>
      </w:r>
    </w:p>
    <w:p w:rsidR="00A3270E" w:rsidRPr="00C10DE4" w:rsidRDefault="00A3270E" w:rsidP="00A3270E">
      <w:pPr>
        <w:numPr>
          <w:ilvl w:val="0"/>
          <w:numId w:val="6"/>
        </w:numPr>
        <w:tabs>
          <w:tab w:val="clear" w:pos="1575"/>
        </w:tabs>
        <w:ind w:left="1276" w:hanging="425"/>
        <w:rPr>
          <w:sz w:val="24"/>
          <w:szCs w:val="24"/>
        </w:rPr>
      </w:pPr>
      <w:proofErr w:type="gramStart"/>
      <w:r w:rsidRPr="00C10DE4">
        <w:rPr>
          <w:sz w:val="24"/>
          <w:szCs w:val="24"/>
        </w:rPr>
        <w:t>nylig myokardieinfarkt</w:t>
      </w:r>
      <w:proofErr w:type="gramEnd"/>
      <w:r w:rsidRPr="00C10DE4">
        <w:rPr>
          <w:sz w:val="24"/>
          <w:szCs w:val="24"/>
        </w:rPr>
        <w:t>.</w:t>
      </w:r>
    </w:p>
    <w:p w:rsidR="00A3270E" w:rsidRPr="00C10DE4" w:rsidRDefault="00A3270E" w:rsidP="00A3270E">
      <w:pPr>
        <w:numPr>
          <w:ilvl w:val="0"/>
          <w:numId w:val="6"/>
        </w:numPr>
        <w:tabs>
          <w:tab w:val="clear" w:pos="1575"/>
        </w:tabs>
        <w:ind w:left="1276" w:hanging="425"/>
        <w:rPr>
          <w:sz w:val="24"/>
          <w:szCs w:val="24"/>
        </w:rPr>
      </w:pPr>
      <w:r w:rsidRPr="00C10DE4">
        <w:rPr>
          <w:sz w:val="24"/>
          <w:szCs w:val="24"/>
        </w:rPr>
        <w:t xml:space="preserve">alvorlige </w:t>
      </w:r>
      <w:proofErr w:type="spellStart"/>
      <w:r w:rsidRPr="00C10DE4">
        <w:rPr>
          <w:sz w:val="24"/>
          <w:szCs w:val="24"/>
        </w:rPr>
        <w:t>arytmier</w:t>
      </w:r>
      <w:proofErr w:type="spellEnd"/>
      <w:r w:rsidRPr="00C10DE4">
        <w:rPr>
          <w:sz w:val="24"/>
          <w:szCs w:val="24"/>
        </w:rPr>
        <w:t>.</w:t>
      </w:r>
    </w:p>
    <w:p w:rsidR="00A3270E" w:rsidRPr="00C10DE4" w:rsidRDefault="00A3270E" w:rsidP="00A3270E">
      <w:pPr>
        <w:numPr>
          <w:ilvl w:val="0"/>
          <w:numId w:val="6"/>
        </w:numPr>
        <w:tabs>
          <w:tab w:val="clear" w:pos="1575"/>
        </w:tabs>
        <w:ind w:left="1276" w:hanging="425"/>
        <w:rPr>
          <w:sz w:val="24"/>
          <w:szCs w:val="24"/>
        </w:rPr>
      </w:pPr>
      <w:r w:rsidRPr="00C10DE4">
        <w:rPr>
          <w:sz w:val="24"/>
          <w:szCs w:val="24"/>
        </w:rPr>
        <w:t>vedvarende knoglemarvssuppression.</w:t>
      </w:r>
    </w:p>
    <w:p w:rsidR="00A3270E" w:rsidRPr="00C10DE4" w:rsidRDefault="00A3270E" w:rsidP="00A3270E">
      <w:pPr>
        <w:numPr>
          <w:ilvl w:val="0"/>
          <w:numId w:val="6"/>
        </w:numPr>
        <w:tabs>
          <w:tab w:val="clear" w:pos="1575"/>
        </w:tabs>
        <w:ind w:left="1276" w:hanging="425"/>
        <w:rPr>
          <w:spacing w:val="-3"/>
          <w:sz w:val="24"/>
          <w:szCs w:val="24"/>
        </w:rPr>
      </w:pPr>
      <w:r w:rsidRPr="00C10DE4">
        <w:rPr>
          <w:sz w:val="24"/>
          <w:szCs w:val="24"/>
        </w:rPr>
        <w:t xml:space="preserve">tidligere behandling med maksimale kumulative doser af </w:t>
      </w:r>
      <w:proofErr w:type="spellStart"/>
      <w:r w:rsidRPr="00C10DE4">
        <w:rPr>
          <w:sz w:val="24"/>
          <w:szCs w:val="24"/>
        </w:rPr>
        <w:t>doxorubicin</w:t>
      </w:r>
      <w:proofErr w:type="spellEnd"/>
      <w:r w:rsidRPr="00C10DE4">
        <w:rPr>
          <w:sz w:val="24"/>
          <w:szCs w:val="24"/>
        </w:rPr>
        <w:t xml:space="preserve">, </w:t>
      </w:r>
      <w:proofErr w:type="spellStart"/>
      <w:r w:rsidRPr="00C10DE4">
        <w:rPr>
          <w:sz w:val="24"/>
          <w:szCs w:val="24"/>
        </w:rPr>
        <w:t>daunorubicin</w:t>
      </w:r>
      <w:proofErr w:type="spellEnd"/>
      <w:r w:rsidRPr="00C10DE4">
        <w:rPr>
          <w:sz w:val="24"/>
          <w:szCs w:val="24"/>
        </w:rPr>
        <w:t xml:space="preserve">, </w:t>
      </w:r>
      <w:proofErr w:type="spellStart"/>
      <w:r w:rsidRPr="00C10DE4">
        <w:rPr>
          <w:sz w:val="24"/>
          <w:szCs w:val="24"/>
        </w:rPr>
        <w:t>epirubicin</w:t>
      </w:r>
      <w:proofErr w:type="spellEnd"/>
      <w:r w:rsidRPr="00C10DE4">
        <w:rPr>
          <w:sz w:val="24"/>
          <w:szCs w:val="24"/>
        </w:rPr>
        <w:t xml:space="preserve">, </w:t>
      </w:r>
      <w:proofErr w:type="spellStart"/>
      <w:r w:rsidRPr="00C10DE4">
        <w:rPr>
          <w:sz w:val="24"/>
          <w:szCs w:val="24"/>
        </w:rPr>
        <w:t>idarubicin</w:t>
      </w:r>
      <w:proofErr w:type="spellEnd"/>
      <w:r w:rsidRPr="00C10DE4">
        <w:rPr>
          <w:sz w:val="24"/>
          <w:szCs w:val="24"/>
        </w:rPr>
        <w:t xml:space="preserve"> og/eller andre </w:t>
      </w:r>
      <w:proofErr w:type="spellStart"/>
      <w:r w:rsidRPr="00C10DE4">
        <w:rPr>
          <w:sz w:val="24"/>
          <w:szCs w:val="24"/>
        </w:rPr>
        <w:t>antracycliner</w:t>
      </w:r>
      <w:proofErr w:type="spellEnd"/>
      <w:r w:rsidRPr="00C10DE4">
        <w:rPr>
          <w:sz w:val="24"/>
          <w:szCs w:val="24"/>
        </w:rPr>
        <w:t xml:space="preserve"> og </w:t>
      </w:r>
      <w:proofErr w:type="spellStart"/>
      <w:r w:rsidRPr="00C10DE4">
        <w:rPr>
          <w:sz w:val="24"/>
          <w:szCs w:val="24"/>
        </w:rPr>
        <w:t>antracenedioner</w:t>
      </w:r>
      <w:proofErr w:type="spellEnd"/>
      <w:r w:rsidRPr="00C10DE4">
        <w:rPr>
          <w:sz w:val="24"/>
          <w:szCs w:val="24"/>
        </w:rPr>
        <w:t xml:space="preserve"> (se pkt. 4.4).</w:t>
      </w:r>
    </w:p>
    <w:p w:rsidR="00A3270E" w:rsidRPr="00C10DE4" w:rsidRDefault="00A3270E" w:rsidP="00A3270E">
      <w:pPr>
        <w:numPr>
          <w:ilvl w:val="0"/>
          <w:numId w:val="6"/>
        </w:numPr>
        <w:tabs>
          <w:tab w:val="clear" w:pos="1575"/>
        </w:tabs>
        <w:ind w:left="1276" w:hanging="425"/>
        <w:rPr>
          <w:spacing w:val="-3"/>
          <w:sz w:val="24"/>
          <w:szCs w:val="24"/>
        </w:rPr>
      </w:pPr>
      <w:r w:rsidRPr="00C10DE4">
        <w:rPr>
          <w:sz w:val="24"/>
          <w:szCs w:val="24"/>
        </w:rPr>
        <w:t>Amning skal ophøre under behandling (se pkt. 4.6).</w:t>
      </w:r>
    </w:p>
    <w:p w:rsidR="00A3270E" w:rsidRPr="00C10DE4" w:rsidRDefault="00A3270E" w:rsidP="00A3270E">
      <w:pPr>
        <w:ind w:left="851" w:hanging="851"/>
        <w:rPr>
          <w:sz w:val="24"/>
          <w:szCs w:val="24"/>
        </w:rPr>
      </w:pPr>
    </w:p>
    <w:p w:rsidR="00A3270E" w:rsidRPr="00C10DE4" w:rsidRDefault="00A3270E" w:rsidP="00A3270E">
      <w:pPr>
        <w:ind w:left="851" w:hanging="851"/>
        <w:rPr>
          <w:b/>
          <w:sz w:val="24"/>
          <w:szCs w:val="24"/>
        </w:rPr>
      </w:pPr>
      <w:r w:rsidRPr="00C10DE4">
        <w:rPr>
          <w:b/>
          <w:sz w:val="24"/>
          <w:szCs w:val="24"/>
        </w:rPr>
        <w:t>4.4</w:t>
      </w:r>
      <w:r w:rsidRPr="00C10DE4">
        <w:rPr>
          <w:b/>
          <w:sz w:val="24"/>
          <w:szCs w:val="24"/>
        </w:rPr>
        <w:tab/>
        <w:t>Særlige advarsler og forsigtighedsregler vedrørende brugen</w:t>
      </w:r>
    </w:p>
    <w:p w:rsidR="00A3270E" w:rsidRDefault="00A3270E" w:rsidP="00A3270E">
      <w:pPr>
        <w:ind w:left="851" w:hanging="851"/>
        <w:rPr>
          <w:i/>
          <w:spacing w:val="-3"/>
          <w:sz w:val="24"/>
          <w:szCs w:val="24"/>
        </w:rPr>
      </w:pPr>
    </w:p>
    <w:p w:rsidR="005D2F96" w:rsidRPr="00C10DE4" w:rsidRDefault="005D2F96" w:rsidP="005D2F96">
      <w:pPr>
        <w:ind w:left="851"/>
        <w:rPr>
          <w:i/>
          <w:spacing w:val="-3"/>
          <w:sz w:val="24"/>
          <w:szCs w:val="24"/>
          <w:lang w:eastAsia="da-DK"/>
        </w:rPr>
      </w:pPr>
      <w:r w:rsidRPr="00C10DE4">
        <w:rPr>
          <w:i/>
          <w:spacing w:val="-3"/>
          <w:sz w:val="24"/>
          <w:szCs w:val="24"/>
        </w:rPr>
        <w:t>Generelt:</w:t>
      </w:r>
    </w:p>
    <w:p w:rsidR="005D2F96" w:rsidRPr="00C10DE4" w:rsidRDefault="005D2F96" w:rsidP="005D2F96">
      <w:pPr>
        <w:ind w:left="851"/>
        <w:rPr>
          <w:spacing w:val="-3"/>
          <w:sz w:val="24"/>
          <w:szCs w:val="24"/>
        </w:rPr>
      </w:pPr>
      <w:r w:rsidRPr="00C10DE4">
        <w:rPr>
          <w:spacing w:val="-3"/>
          <w:sz w:val="24"/>
          <w:szCs w:val="24"/>
        </w:rPr>
        <w:t>Pr</w:t>
      </w:r>
      <w:r w:rsidRPr="00C10DE4">
        <w:rPr>
          <w:sz w:val="24"/>
          <w:szCs w:val="24"/>
        </w:rPr>
        <w:t>æparatet bør kun anvendes, når behandlingen forestås af læger med særligt kendskab til maligne lidelser og deres behandling.</w:t>
      </w:r>
      <w:r w:rsidRPr="00C10DE4">
        <w:rPr>
          <w:spacing w:val="-3"/>
          <w:sz w:val="24"/>
          <w:szCs w:val="24"/>
        </w:rPr>
        <w:t xml:space="preserve"> Dette sikrer en hurtig og effektiv behandling af svære </w:t>
      </w:r>
      <w:r w:rsidRPr="00C10DE4">
        <w:rPr>
          <w:spacing w:val="-3"/>
          <w:sz w:val="24"/>
          <w:szCs w:val="24"/>
        </w:rPr>
        <w:lastRenderedPageBreak/>
        <w:t>komplikationer i forbindelse med disse lidelser og/eller behandling af disse (f.eks. blødning, fulminante infektioner).</w:t>
      </w:r>
    </w:p>
    <w:p w:rsidR="005D2F96" w:rsidRPr="00C10DE4" w:rsidRDefault="005D2F96" w:rsidP="005D2F96">
      <w:pPr>
        <w:ind w:left="851" w:hanging="851"/>
        <w:rPr>
          <w:spacing w:val="-3"/>
          <w:sz w:val="24"/>
          <w:szCs w:val="24"/>
        </w:rPr>
      </w:pPr>
    </w:p>
    <w:p w:rsidR="005D2F96" w:rsidRPr="00C10DE4" w:rsidRDefault="005D2F96" w:rsidP="005D2F96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Pr="00C10DE4">
        <w:rPr>
          <w:sz w:val="24"/>
          <w:szCs w:val="24"/>
        </w:rPr>
        <w:t xml:space="preserve">Patienterne skal være kommet sig helt over akutte toksiske symptomer efter tidligere </w:t>
      </w:r>
      <w:proofErr w:type="spellStart"/>
      <w:r w:rsidRPr="00C10DE4">
        <w:rPr>
          <w:sz w:val="24"/>
          <w:szCs w:val="24"/>
        </w:rPr>
        <w:t>cytostatikabehandling</w:t>
      </w:r>
      <w:proofErr w:type="spellEnd"/>
      <w:r w:rsidRPr="00C10DE4">
        <w:rPr>
          <w:sz w:val="24"/>
          <w:szCs w:val="24"/>
        </w:rPr>
        <w:t xml:space="preserve"> (f.eks. </w:t>
      </w:r>
      <w:proofErr w:type="spellStart"/>
      <w:r w:rsidRPr="00C10DE4">
        <w:rPr>
          <w:sz w:val="24"/>
          <w:szCs w:val="24"/>
        </w:rPr>
        <w:t>stomatit</w:t>
      </w:r>
      <w:proofErr w:type="spellEnd"/>
      <w:r w:rsidRPr="00C10DE4">
        <w:rPr>
          <w:sz w:val="24"/>
          <w:szCs w:val="24"/>
        </w:rPr>
        <w:t xml:space="preserve">, </w:t>
      </w:r>
      <w:proofErr w:type="spellStart"/>
      <w:r w:rsidRPr="00C10DE4">
        <w:rPr>
          <w:sz w:val="24"/>
          <w:szCs w:val="24"/>
        </w:rPr>
        <w:t>neutropeni</w:t>
      </w:r>
      <w:proofErr w:type="spellEnd"/>
      <w:r w:rsidRPr="00C10DE4">
        <w:rPr>
          <w:sz w:val="24"/>
          <w:szCs w:val="24"/>
        </w:rPr>
        <w:t xml:space="preserve">, </w:t>
      </w:r>
      <w:proofErr w:type="spellStart"/>
      <w:r w:rsidRPr="00C10DE4">
        <w:rPr>
          <w:sz w:val="24"/>
          <w:szCs w:val="24"/>
        </w:rPr>
        <w:t>trombocytopeni</w:t>
      </w:r>
      <w:proofErr w:type="spellEnd"/>
      <w:r w:rsidRPr="00C10DE4">
        <w:rPr>
          <w:sz w:val="24"/>
          <w:szCs w:val="24"/>
        </w:rPr>
        <w:t xml:space="preserve"> og almene infektioner), før behandling med </w:t>
      </w:r>
      <w:proofErr w:type="spellStart"/>
      <w:r w:rsidRPr="00C10DE4">
        <w:rPr>
          <w:sz w:val="24"/>
          <w:szCs w:val="24"/>
        </w:rPr>
        <w:t>idarubicin</w:t>
      </w:r>
      <w:proofErr w:type="spellEnd"/>
      <w:r w:rsidRPr="00C10DE4">
        <w:rPr>
          <w:sz w:val="24"/>
          <w:szCs w:val="24"/>
        </w:rPr>
        <w:t xml:space="preserve"> påbegyndes. </w:t>
      </w:r>
    </w:p>
    <w:p w:rsidR="005D2F96" w:rsidRPr="00C10DE4" w:rsidRDefault="005D2F96" w:rsidP="005D2F96">
      <w:pPr>
        <w:ind w:left="851" w:hanging="851"/>
        <w:rPr>
          <w:i/>
          <w:sz w:val="24"/>
          <w:szCs w:val="24"/>
        </w:rPr>
      </w:pPr>
    </w:p>
    <w:p w:rsidR="005D2F96" w:rsidRPr="00C10DE4" w:rsidRDefault="005D2F96" w:rsidP="005D2F96">
      <w:pPr>
        <w:ind w:left="851" w:hanging="851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 w:rsidRPr="00C10DE4">
        <w:rPr>
          <w:i/>
          <w:sz w:val="24"/>
          <w:szCs w:val="24"/>
        </w:rPr>
        <w:t>Hjertefunktion:</w:t>
      </w:r>
    </w:p>
    <w:p w:rsidR="005D2F96" w:rsidRPr="00C10DE4" w:rsidRDefault="005D2F96" w:rsidP="005D2F96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 w:rsidRPr="00C10DE4">
        <w:rPr>
          <w:sz w:val="24"/>
          <w:szCs w:val="24"/>
        </w:rPr>
        <w:t>Kardiel</w:t>
      </w:r>
      <w:proofErr w:type="spellEnd"/>
      <w:r w:rsidRPr="00C10DE4">
        <w:rPr>
          <w:sz w:val="24"/>
          <w:szCs w:val="24"/>
        </w:rPr>
        <w:t xml:space="preserve"> toksicitet er en risiko ved </w:t>
      </w:r>
      <w:proofErr w:type="spellStart"/>
      <w:r w:rsidRPr="00C10DE4">
        <w:rPr>
          <w:sz w:val="24"/>
          <w:szCs w:val="24"/>
        </w:rPr>
        <w:t>antracyclin</w:t>
      </w:r>
      <w:proofErr w:type="spellEnd"/>
      <w:r w:rsidRPr="00C10DE4">
        <w:rPr>
          <w:sz w:val="24"/>
          <w:szCs w:val="24"/>
        </w:rPr>
        <w:noBreakHyphen/>
        <w:t>behandling. Dette kan manifestere sig som tidlige (dvs. akutte) eller sene (dvs. forsinkede) hændelser.</w:t>
      </w:r>
    </w:p>
    <w:p w:rsidR="005D2F96" w:rsidRPr="00C10DE4" w:rsidRDefault="005D2F96" w:rsidP="005D2F96">
      <w:pPr>
        <w:ind w:left="851" w:hanging="851"/>
        <w:rPr>
          <w:sz w:val="24"/>
          <w:szCs w:val="24"/>
        </w:rPr>
      </w:pPr>
    </w:p>
    <w:p w:rsidR="005D2F96" w:rsidRPr="00C10DE4" w:rsidRDefault="005D2F96" w:rsidP="005D2F96">
      <w:pPr>
        <w:ind w:left="851"/>
        <w:rPr>
          <w:i/>
          <w:sz w:val="24"/>
          <w:szCs w:val="24"/>
        </w:rPr>
      </w:pPr>
      <w:r w:rsidRPr="00C10DE4">
        <w:rPr>
          <w:i/>
          <w:sz w:val="24"/>
          <w:szCs w:val="24"/>
        </w:rPr>
        <w:t>Tidlige (akutte) hændelser:</w:t>
      </w:r>
    </w:p>
    <w:p w:rsidR="005D2F96" w:rsidRPr="00C10DE4" w:rsidRDefault="005D2F96" w:rsidP="005D2F96">
      <w:pPr>
        <w:ind w:left="851"/>
        <w:rPr>
          <w:sz w:val="24"/>
          <w:szCs w:val="24"/>
        </w:rPr>
      </w:pPr>
      <w:r w:rsidRPr="00C10DE4">
        <w:rPr>
          <w:sz w:val="24"/>
          <w:szCs w:val="24"/>
        </w:rPr>
        <w:t xml:space="preserve">Tidlig </w:t>
      </w:r>
      <w:proofErr w:type="spellStart"/>
      <w:r w:rsidRPr="00C10DE4">
        <w:rPr>
          <w:sz w:val="24"/>
          <w:szCs w:val="24"/>
        </w:rPr>
        <w:t>kardiel</w:t>
      </w:r>
      <w:proofErr w:type="spellEnd"/>
      <w:r w:rsidRPr="00C10DE4">
        <w:rPr>
          <w:sz w:val="24"/>
          <w:szCs w:val="24"/>
        </w:rPr>
        <w:t xml:space="preserve"> toksicitet forårsaget af </w:t>
      </w:r>
      <w:proofErr w:type="spellStart"/>
      <w:r w:rsidRPr="00C10DE4">
        <w:rPr>
          <w:sz w:val="24"/>
          <w:szCs w:val="24"/>
        </w:rPr>
        <w:t>idarubicin</w:t>
      </w:r>
      <w:proofErr w:type="spellEnd"/>
      <w:r w:rsidRPr="00C10DE4">
        <w:rPr>
          <w:sz w:val="24"/>
          <w:szCs w:val="24"/>
        </w:rPr>
        <w:t xml:space="preserve"> består </w:t>
      </w:r>
      <w:r w:rsidR="00654926" w:rsidRPr="00C10DE4">
        <w:rPr>
          <w:sz w:val="24"/>
          <w:szCs w:val="24"/>
        </w:rPr>
        <w:t>hovedsageligt</w:t>
      </w:r>
      <w:r w:rsidRPr="00C10DE4">
        <w:rPr>
          <w:sz w:val="24"/>
          <w:szCs w:val="24"/>
        </w:rPr>
        <w:t xml:space="preserve"> af </w:t>
      </w:r>
      <w:proofErr w:type="spellStart"/>
      <w:r w:rsidRPr="00C10DE4">
        <w:rPr>
          <w:sz w:val="24"/>
          <w:szCs w:val="24"/>
        </w:rPr>
        <w:t>sinustakykardi</w:t>
      </w:r>
      <w:proofErr w:type="spellEnd"/>
      <w:r w:rsidRPr="00C10DE4">
        <w:rPr>
          <w:sz w:val="24"/>
          <w:szCs w:val="24"/>
        </w:rPr>
        <w:t xml:space="preserve"> og/eller EKG</w:t>
      </w:r>
      <w:r w:rsidRPr="00C10DE4">
        <w:rPr>
          <w:sz w:val="24"/>
          <w:szCs w:val="24"/>
        </w:rPr>
        <w:noBreakHyphen/>
        <w:t>ændringer, såsom ikke</w:t>
      </w:r>
      <w:r w:rsidRPr="00C10DE4">
        <w:rPr>
          <w:sz w:val="24"/>
          <w:szCs w:val="24"/>
        </w:rPr>
        <w:noBreakHyphen/>
        <w:t>specifik ST</w:t>
      </w:r>
      <w:r w:rsidRPr="00C10DE4">
        <w:rPr>
          <w:sz w:val="24"/>
          <w:szCs w:val="24"/>
        </w:rPr>
        <w:noBreakHyphen/>
        <w:t xml:space="preserve">T segmentændring. Der er også rapporteret </w:t>
      </w:r>
      <w:proofErr w:type="spellStart"/>
      <w:r w:rsidRPr="00C10DE4">
        <w:rPr>
          <w:sz w:val="24"/>
          <w:szCs w:val="24"/>
        </w:rPr>
        <w:t>takyarytmi</w:t>
      </w:r>
      <w:proofErr w:type="spellEnd"/>
      <w:r w:rsidRPr="00C10DE4">
        <w:rPr>
          <w:sz w:val="24"/>
          <w:szCs w:val="24"/>
        </w:rPr>
        <w:t xml:space="preserve">, herunder </w:t>
      </w:r>
      <w:proofErr w:type="spellStart"/>
      <w:r w:rsidRPr="00C10DE4">
        <w:rPr>
          <w:sz w:val="24"/>
          <w:szCs w:val="24"/>
        </w:rPr>
        <w:t>ventrikulær</w:t>
      </w:r>
      <w:proofErr w:type="spellEnd"/>
      <w:r w:rsidRPr="00C10DE4">
        <w:rPr>
          <w:sz w:val="24"/>
          <w:szCs w:val="24"/>
        </w:rPr>
        <w:t xml:space="preserve"> </w:t>
      </w:r>
      <w:proofErr w:type="spellStart"/>
      <w:r w:rsidRPr="00C10DE4">
        <w:rPr>
          <w:sz w:val="24"/>
          <w:szCs w:val="24"/>
        </w:rPr>
        <w:t>ekstrasystoli</w:t>
      </w:r>
      <w:proofErr w:type="spellEnd"/>
      <w:r w:rsidRPr="00C10DE4">
        <w:rPr>
          <w:sz w:val="24"/>
          <w:szCs w:val="24"/>
        </w:rPr>
        <w:t xml:space="preserve"> og </w:t>
      </w:r>
      <w:proofErr w:type="spellStart"/>
      <w:r w:rsidRPr="00C10DE4">
        <w:rPr>
          <w:sz w:val="24"/>
          <w:szCs w:val="24"/>
        </w:rPr>
        <w:t>ventrikulær</w:t>
      </w:r>
      <w:proofErr w:type="spellEnd"/>
      <w:r w:rsidRPr="00C10DE4">
        <w:rPr>
          <w:sz w:val="24"/>
          <w:szCs w:val="24"/>
        </w:rPr>
        <w:t xml:space="preserve"> </w:t>
      </w:r>
      <w:proofErr w:type="spellStart"/>
      <w:r w:rsidRPr="00C10DE4">
        <w:rPr>
          <w:sz w:val="24"/>
          <w:szCs w:val="24"/>
        </w:rPr>
        <w:t>takykardi</w:t>
      </w:r>
      <w:proofErr w:type="spellEnd"/>
      <w:r w:rsidRPr="00C10DE4">
        <w:rPr>
          <w:sz w:val="24"/>
          <w:szCs w:val="24"/>
        </w:rPr>
        <w:t xml:space="preserve">, bradykardi og </w:t>
      </w:r>
      <w:proofErr w:type="spellStart"/>
      <w:r w:rsidRPr="00C10DE4">
        <w:rPr>
          <w:sz w:val="24"/>
          <w:szCs w:val="24"/>
        </w:rPr>
        <w:t>atrioventrikulært</w:t>
      </w:r>
      <w:proofErr w:type="spellEnd"/>
      <w:r w:rsidRPr="00C10DE4">
        <w:rPr>
          <w:sz w:val="24"/>
          <w:szCs w:val="24"/>
        </w:rPr>
        <w:t xml:space="preserve"> blok og grenblok. </w:t>
      </w:r>
    </w:p>
    <w:p w:rsidR="005D2F96" w:rsidRPr="00C10DE4" w:rsidRDefault="005D2F96" w:rsidP="005D2F96">
      <w:pPr>
        <w:ind w:left="851"/>
        <w:rPr>
          <w:sz w:val="24"/>
          <w:szCs w:val="24"/>
        </w:rPr>
      </w:pPr>
      <w:r w:rsidRPr="00C10DE4">
        <w:rPr>
          <w:sz w:val="24"/>
          <w:szCs w:val="24"/>
        </w:rPr>
        <w:t xml:space="preserve">Disse hændelser forudsiger sædvanligvis ikke efterfølgende udvikling af forsinket </w:t>
      </w:r>
      <w:proofErr w:type="spellStart"/>
      <w:r w:rsidRPr="00C10DE4">
        <w:rPr>
          <w:sz w:val="24"/>
          <w:szCs w:val="24"/>
        </w:rPr>
        <w:t>kardiel</w:t>
      </w:r>
      <w:proofErr w:type="spellEnd"/>
      <w:r w:rsidRPr="00C10DE4">
        <w:rPr>
          <w:sz w:val="24"/>
          <w:szCs w:val="24"/>
        </w:rPr>
        <w:t xml:space="preserve"> toksicitet. De er sjældent af klinisk betydning, og giver generelt ikke anledning til afbrydelse af behandlingen.</w:t>
      </w:r>
    </w:p>
    <w:p w:rsidR="005D2F96" w:rsidRPr="00C10DE4" w:rsidRDefault="005D2F96" w:rsidP="005D2F96">
      <w:pPr>
        <w:ind w:left="851"/>
        <w:rPr>
          <w:sz w:val="24"/>
          <w:szCs w:val="24"/>
        </w:rPr>
      </w:pPr>
    </w:p>
    <w:p w:rsidR="005D2F96" w:rsidRPr="00C10DE4" w:rsidRDefault="005D2F96" w:rsidP="005D2F96">
      <w:pPr>
        <w:ind w:left="851"/>
        <w:rPr>
          <w:i/>
          <w:sz w:val="24"/>
          <w:szCs w:val="24"/>
        </w:rPr>
      </w:pPr>
      <w:r w:rsidRPr="00C10DE4">
        <w:rPr>
          <w:i/>
          <w:sz w:val="24"/>
          <w:szCs w:val="24"/>
        </w:rPr>
        <w:t>Sene (forsinkede) hændelser:</w:t>
      </w:r>
    </w:p>
    <w:p w:rsidR="005D2F96" w:rsidRPr="00C10DE4" w:rsidRDefault="005D2F96" w:rsidP="005D2F96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Pr="00C10DE4">
        <w:rPr>
          <w:sz w:val="24"/>
          <w:szCs w:val="24"/>
        </w:rPr>
        <w:t xml:space="preserve">Forsinket </w:t>
      </w:r>
      <w:proofErr w:type="spellStart"/>
      <w:r w:rsidRPr="00C10DE4">
        <w:rPr>
          <w:sz w:val="24"/>
          <w:szCs w:val="24"/>
        </w:rPr>
        <w:t>kardiel</w:t>
      </w:r>
      <w:proofErr w:type="spellEnd"/>
      <w:r w:rsidRPr="00C10DE4">
        <w:rPr>
          <w:sz w:val="24"/>
          <w:szCs w:val="24"/>
        </w:rPr>
        <w:t xml:space="preserve"> toksicitet udvikles sædvanligvis sent i behandlingsforløbet med </w:t>
      </w:r>
      <w:proofErr w:type="spellStart"/>
      <w:r w:rsidRPr="00C10DE4">
        <w:rPr>
          <w:sz w:val="24"/>
          <w:szCs w:val="24"/>
        </w:rPr>
        <w:t>idarubicin</w:t>
      </w:r>
      <w:proofErr w:type="spellEnd"/>
      <w:r w:rsidRPr="00C10DE4">
        <w:rPr>
          <w:sz w:val="24"/>
          <w:szCs w:val="24"/>
        </w:rPr>
        <w:t xml:space="preserve"> eller inden for 2-3 måneder efter afslutning af behandlingen. Der er også rapporteret sene hændelser adskillige måneder eller år efter afsluttet behandling. </w:t>
      </w:r>
    </w:p>
    <w:p w:rsidR="005D2F96" w:rsidRPr="00C10DE4" w:rsidRDefault="005D2F96" w:rsidP="005D2F96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Pr="00C10DE4">
        <w:rPr>
          <w:sz w:val="24"/>
          <w:szCs w:val="24"/>
        </w:rPr>
        <w:t xml:space="preserve">Forsinket </w:t>
      </w:r>
      <w:proofErr w:type="spellStart"/>
      <w:r w:rsidRPr="00C10DE4">
        <w:rPr>
          <w:sz w:val="24"/>
          <w:szCs w:val="24"/>
        </w:rPr>
        <w:t>kardiomyopati</w:t>
      </w:r>
      <w:proofErr w:type="spellEnd"/>
      <w:r w:rsidRPr="00C10DE4">
        <w:rPr>
          <w:sz w:val="24"/>
          <w:szCs w:val="24"/>
        </w:rPr>
        <w:t xml:space="preserve"> manifesterer sig ved nedsat venstre ventrikels uddrivningsfraktion (LVEF) og/eller symptomer på kronisk </w:t>
      </w:r>
      <w:proofErr w:type="spellStart"/>
      <w:r w:rsidRPr="00C10DE4">
        <w:rPr>
          <w:sz w:val="24"/>
          <w:szCs w:val="24"/>
        </w:rPr>
        <w:t>venstresidig</w:t>
      </w:r>
      <w:proofErr w:type="spellEnd"/>
      <w:r w:rsidRPr="00C10DE4">
        <w:rPr>
          <w:sz w:val="24"/>
          <w:szCs w:val="24"/>
        </w:rPr>
        <w:t xml:space="preserve"> hjerteinsufficiens (CHF), såsom dyspnø, lungeødem, perifert ødem, </w:t>
      </w:r>
      <w:proofErr w:type="spellStart"/>
      <w:r w:rsidRPr="00C10DE4">
        <w:rPr>
          <w:sz w:val="24"/>
          <w:szCs w:val="24"/>
        </w:rPr>
        <w:t>kardiomegali</w:t>
      </w:r>
      <w:proofErr w:type="spellEnd"/>
      <w:r w:rsidRPr="00C10DE4">
        <w:rPr>
          <w:sz w:val="24"/>
          <w:szCs w:val="24"/>
        </w:rPr>
        <w:t xml:space="preserve">, </w:t>
      </w:r>
      <w:proofErr w:type="spellStart"/>
      <w:r w:rsidRPr="00C10DE4">
        <w:rPr>
          <w:sz w:val="24"/>
          <w:szCs w:val="24"/>
        </w:rPr>
        <w:t>hepatomegali</w:t>
      </w:r>
      <w:proofErr w:type="spellEnd"/>
      <w:r w:rsidRPr="00C10DE4">
        <w:rPr>
          <w:sz w:val="24"/>
          <w:szCs w:val="24"/>
        </w:rPr>
        <w:t xml:space="preserve">, </w:t>
      </w:r>
      <w:proofErr w:type="spellStart"/>
      <w:r w:rsidRPr="00C10DE4">
        <w:rPr>
          <w:sz w:val="24"/>
          <w:szCs w:val="24"/>
        </w:rPr>
        <w:t>oliguri</w:t>
      </w:r>
      <w:proofErr w:type="spellEnd"/>
      <w:r w:rsidRPr="00C10DE4">
        <w:rPr>
          <w:sz w:val="24"/>
          <w:szCs w:val="24"/>
        </w:rPr>
        <w:t xml:space="preserve">, </w:t>
      </w:r>
      <w:proofErr w:type="spellStart"/>
      <w:r w:rsidRPr="00C10DE4">
        <w:rPr>
          <w:sz w:val="24"/>
          <w:szCs w:val="24"/>
        </w:rPr>
        <w:t>ascites</w:t>
      </w:r>
      <w:proofErr w:type="spellEnd"/>
      <w:r w:rsidRPr="00C10DE4">
        <w:rPr>
          <w:sz w:val="24"/>
          <w:szCs w:val="24"/>
        </w:rPr>
        <w:t xml:space="preserve">, </w:t>
      </w:r>
      <w:proofErr w:type="spellStart"/>
      <w:r w:rsidRPr="00C10DE4">
        <w:rPr>
          <w:sz w:val="24"/>
          <w:szCs w:val="24"/>
        </w:rPr>
        <w:t>pleuraekssudat</w:t>
      </w:r>
      <w:proofErr w:type="spellEnd"/>
      <w:r w:rsidRPr="00C10DE4">
        <w:rPr>
          <w:sz w:val="24"/>
          <w:szCs w:val="24"/>
        </w:rPr>
        <w:t xml:space="preserve"> og galoprytme. Der er også rapporteret </w:t>
      </w:r>
      <w:proofErr w:type="spellStart"/>
      <w:r w:rsidRPr="00C10DE4">
        <w:rPr>
          <w:sz w:val="24"/>
          <w:szCs w:val="24"/>
        </w:rPr>
        <w:t>subakutte</w:t>
      </w:r>
      <w:proofErr w:type="spellEnd"/>
      <w:r w:rsidRPr="00C10DE4">
        <w:rPr>
          <w:sz w:val="24"/>
          <w:szCs w:val="24"/>
        </w:rPr>
        <w:t xml:space="preserve"> hændelser som </w:t>
      </w:r>
      <w:proofErr w:type="spellStart"/>
      <w:r w:rsidRPr="00C10DE4">
        <w:rPr>
          <w:sz w:val="24"/>
          <w:szCs w:val="24"/>
        </w:rPr>
        <w:t>perikardit</w:t>
      </w:r>
      <w:proofErr w:type="spellEnd"/>
      <w:r w:rsidRPr="00C10DE4">
        <w:rPr>
          <w:sz w:val="24"/>
          <w:szCs w:val="24"/>
        </w:rPr>
        <w:t>/</w:t>
      </w:r>
      <w:proofErr w:type="spellStart"/>
      <w:r w:rsidRPr="00C10DE4">
        <w:rPr>
          <w:sz w:val="24"/>
          <w:szCs w:val="24"/>
        </w:rPr>
        <w:t>myokardit</w:t>
      </w:r>
      <w:proofErr w:type="spellEnd"/>
      <w:r w:rsidRPr="00C10DE4">
        <w:rPr>
          <w:sz w:val="24"/>
          <w:szCs w:val="24"/>
        </w:rPr>
        <w:t>.</w:t>
      </w:r>
    </w:p>
    <w:p w:rsidR="005D2F96" w:rsidRPr="00C10DE4" w:rsidRDefault="005D2F96" w:rsidP="005D2F96">
      <w:pPr>
        <w:ind w:left="851"/>
        <w:rPr>
          <w:sz w:val="24"/>
          <w:szCs w:val="24"/>
        </w:rPr>
      </w:pPr>
      <w:r w:rsidRPr="00C10DE4">
        <w:rPr>
          <w:sz w:val="24"/>
          <w:szCs w:val="24"/>
        </w:rPr>
        <w:t xml:space="preserve">Livstruende kronisk </w:t>
      </w:r>
      <w:proofErr w:type="spellStart"/>
      <w:r w:rsidRPr="00C10DE4">
        <w:rPr>
          <w:sz w:val="24"/>
          <w:szCs w:val="24"/>
        </w:rPr>
        <w:t>venstresidig</w:t>
      </w:r>
      <w:proofErr w:type="spellEnd"/>
      <w:r w:rsidRPr="00C10DE4">
        <w:rPr>
          <w:sz w:val="24"/>
          <w:szCs w:val="24"/>
        </w:rPr>
        <w:t xml:space="preserve"> hjerteinsufficiens er den mest alvorlige form for </w:t>
      </w:r>
      <w:proofErr w:type="spellStart"/>
      <w:r w:rsidRPr="00C10DE4">
        <w:rPr>
          <w:sz w:val="24"/>
          <w:szCs w:val="24"/>
        </w:rPr>
        <w:t>antracyclin</w:t>
      </w:r>
      <w:proofErr w:type="spellEnd"/>
      <w:r w:rsidRPr="00C10DE4">
        <w:rPr>
          <w:sz w:val="24"/>
          <w:szCs w:val="24"/>
        </w:rPr>
        <w:t xml:space="preserve">-induceret </w:t>
      </w:r>
      <w:proofErr w:type="spellStart"/>
      <w:r w:rsidRPr="00C10DE4">
        <w:rPr>
          <w:sz w:val="24"/>
          <w:szCs w:val="24"/>
        </w:rPr>
        <w:t>kardiomyopati</w:t>
      </w:r>
      <w:proofErr w:type="spellEnd"/>
      <w:r w:rsidRPr="00C10DE4">
        <w:rPr>
          <w:sz w:val="24"/>
          <w:szCs w:val="24"/>
        </w:rPr>
        <w:t xml:space="preserve"> og repræsenterer den kumulative dosisbegrænsende toksicitet for lægemidlet.</w:t>
      </w:r>
    </w:p>
    <w:p w:rsidR="005D2F96" w:rsidRPr="00C10DE4" w:rsidRDefault="005D2F96" w:rsidP="005D2F96">
      <w:pPr>
        <w:ind w:left="851" w:hanging="851"/>
        <w:rPr>
          <w:spacing w:val="-3"/>
          <w:sz w:val="24"/>
          <w:szCs w:val="24"/>
        </w:rPr>
      </w:pPr>
    </w:p>
    <w:p w:rsidR="005D2F96" w:rsidRPr="00C10DE4" w:rsidRDefault="005D2F96" w:rsidP="005D2F96">
      <w:pPr>
        <w:ind w:left="851"/>
        <w:rPr>
          <w:i/>
          <w:spacing w:val="-3"/>
          <w:sz w:val="24"/>
          <w:szCs w:val="24"/>
        </w:rPr>
      </w:pPr>
      <w:r w:rsidRPr="00C10DE4">
        <w:rPr>
          <w:spacing w:val="-3"/>
          <w:sz w:val="24"/>
          <w:szCs w:val="24"/>
        </w:rPr>
        <w:t xml:space="preserve">Der er ikke defineret en kumulativ dosisbegrænsning for </w:t>
      </w:r>
      <w:proofErr w:type="spellStart"/>
      <w:r w:rsidRPr="00C10DE4">
        <w:rPr>
          <w:spacing w:val="-3"/>
          <w:sz w:val="24"/>
          <w:szCs w:val="24"/>
        </w:rPr>
        <w:t>idarubicinhydrochlorid</w:t>
      </w:r>
      <w:proofErr w:type="spellEnd"/>
      <w:r w:rsidRPr="00C10DE4">
        <w:rPr>
          <w:spacing w:val="-3"/>
          <w:sz w:val="24"/>
          <w:szCs w:val="24"/>
        </w:rPr>
        <w:t xml:space="preserve">. Imidlertid er der set </w:t>
      </w:r>
      <w:proofErr w:type="spellStart"/>
      <w:r w:rsidRPr="00C10DE4">
        <w:rPr>
          <w:spacing w:val="-3"/>
          <w:sz w:val="24"/>
          <w:szCs w:val="24"/>
        </w:rPr>
        <w:t>idarubicin</w:t>
      </w:r>
      <w:proofErr w:type="spellEnd"/>
      <w:r w:rsidRPr="00C10DE4">
        <w:rPr>
          <w:spacing w:val="-3"/>
          <w:sz w:val="24"/>
          <w:szCs w:val="24"/>
        </w:rPr>
        <w:t xml:space="preserve">-relateret </w:t>
      </w:r>
      <w:proofErr w:type="spellStart"/>
      <w:r w:rsidRPr="00C10DE4">
        <w:rPr>
          <w:spacing w:val="-3"/>
          <w:sz w:val="24"/>
          <w:szCs w:val="24"/>
        </w:rPr>
        <w:t>kardiomyopati</w:t>
      </w:r>
      <w:proofErr w:type="spellEnd"/>
      <w:r w:rsidRPr="00C10DE4">
        <w:rPr>
          <w:spacing w:val="-3"/>
          <w:sz w:val="24"/>
          <w:szCs w:val="24"/>
        </w:rPr>
        <w:t xml:space="preserve"> hos 5 % af de patienter, som blev behandlet med kumulative </w:t>
      </w:r>
      <w:proofErr w:type="spellStart"/>
      <w:r w:rsidRPr="00C10DE4">
        <w:rPr>
          <w:spacing w:val="-3"/>
          <w:sz w:val="24"/>
          <w:szCs w:val="24"/>
        </w:rPr>
        <w:t>i.v</w:t>
      </w:r>
      <w:proofErr w:type="spellEnd"/>
      <w:r w:rsidRPr="00C10DE4">
        <w:rPr>
          <w:spacing w:val="-3"/>
          <w:sz w:val="24"/>
          <w:szCs w:val="24"/>
        </w:rPr>
        <w:t>.-doser på 150 - 290 mg/m</w:t>
      </w:r>
      <w:r w:rsidRPr="00C10DE4">
        <w:rPr>
          <w:spacing w:val="-3"/>
          <w:sz w:val="24"/>
          <w:szCs w:val="24"/>
          <w:vertAlign w:val="superscript"/>
        </w:rPr>
        <w:t>2</w:t>
      </w:r>
      <w:r w:rsidRPr="00C10DE4">
        <w:rPr>
          <w:spacing w:val="-3"/>
          <w:sz w:val="24"/>
          <w:szCs w:val="24"/>
        </w:rPr>
        <w:t xml:space="preserve">. De tilgængelige data for patienter, der er behandlet med oral </w:t>
      </w:r>
      <w:proofErr w:type="spellStart"/>
      <w:r w:rsidRPr="00C10DE4">
        <w:rPr>
          <w:spacing w:val="-3"/>
          <w:sz w:val="24"/>
          <w:szCs w:val="24"/>
        </w:rPr>
        <w:t>idarubicin</w:t>
      </w:r>
      <w:proofErr w:type="spellEnd"/>
      <w:r w:rsidRPr="00C10DE4">
        <w:rPr>
          <w:spacing w:val="-3"/>
          <w:sz w:val="24"/>
          <w:szCs w:val="24"/>
        </w:rPr>
        <w:t xml:space="preserve"> i kumulative doser på i alt op til 400 mg/m</w:t>
      </w:r>
      <w:r w:rsidRPr="00C10DE4">
        <w:rPr>
          <w:spacing w:val="-3"/>
          <w:sz w:val="24"/>
          <w:szCs w:val="24"/>
          <w:vertAlign w:val="superscript"/>
        </w:rPr>
        <w:t>2</w:t>
      </w:r>
      <w:r w:rsidRPr="00C10DE4">
        <w:rPr>
          <w:spacing w:val="-3"/>
          <w:sz w:val="24"/>
          <w:szCs w:val="24"/>
        </w:rPr>
        <w:t xml:space="preserve"> antyder, at der er en lille mulighed for </w:t>
      </w:r>
      <w:proofErr w:type="spellStart"/>
      <w:r w:rsidRPr="00C10DE4">
        <w:rPr>
          <w:spacing w:val="-3"/>
          <w:sz w:val="24"/>
          <w:szCs w:val="24"/>
        </w:rPr>
        <w:t>kardiotoksicitet</w:t>
      </w:r>
      <w:proofErr w:type="spellEnd"/>
      <w:r w:rsidRPr="00C10DE4">
        <w:rPr>
          <w:spacing w:val="-3"/>
          <w:sz w:val="24"/>
          <w:szCs w:val="24"/>
        </w:rPr>
        <w:t>.</w:t>
      </w:r>
    </w:p>
    <w:p w:rsidR="005D2F96" w:rsidRPr="00C10DE4" w:rsidRDefault="005D2F96" w:rsidP="005D2F96">
      <w:pPr>
        <w:ind w:left="851" w:hanging="851"/>
        <w:rPr>
          <w:spacing w:val="-3"/>
          <w:sz w:val="24"/>
          <w:szCs w:val="24"/>
        </w:rPr>
      </w:pPr>
    </w:p>
    <w:p w:rsidR="005D2F96" w:rsidRPr="00C10DE4" w:rsidRDefault="005D2F96" w:rsidP="005D2F96">
      <w:pPr>
        <w:ind w:left="851"/>
        <w:rPr>
          <w:i/>
          <w:sz w:val="24"/>
          <w:szCs w:val="24"/>
        </w:rPr>
      </w:pPr>
      <w:r w:rsidRPr="00C10DE4">
        <w:rPr>
          <w:sz w:val="24"/>
          <w:szCs w:val="24"/>
        </w:rPr>
        <w:t xml:space="preserve">Hjertefunktionen skal vurderes inden behandlingsstart og skal monitoreres nøje under behandlingen med </w:t>
      </w:r>
      <w:proofErr w:type="spellStart"/>
      <w:r w:rsidRPr="00C10DE4">
        <w:rPr>
          <w:sz w:val="24"/>
          <w:szCs w:val="24"/>
        </w:rPr>
        <w:t>idarubicin</w:t>
      </w:r>
      <w:proofErr w:type="spellEnd"/>
      <w:r w:rsidRPr="00C10DE4">
        <w:rPr>
          <w:sz w:val="24"/>
          <w:szCs w:val="24"/>
        </w:rPr>
        <w:t>.</w:t>
      </w:r>
    </w:p>
    <w:p w:rsidR="005D2F96" w:rsidRPr="00C10DE4" w:rsidRDefault="005D2F96" w:rsidP="005D2F96">
      <w:pPr>
        <w:ind w:left="851"/>
        <w:rPr>
          <w:sz w:val="24"/>
          <w:szCs w:val="24"/>
        </w:rPr>
      </w:pPr>
      <w:r w:rsidRPr="00C10DE4">
        <w:rPr>
          <w:sz w:val="24"/>
          <w:szCs w:val="24"/>
        </w:rPr>
        <w:t xml:space="preserve">Risikoen for udvikling af hjerteinsufficiens kan nedsættes ved regelmæssig monitorering af venstre ventrikels uddrivningsfraktion under behandlingsforløbet. Ved første tegn på nedsat hjertefunktion skal behandlingen omgående afbrydes. </w:t>
      </w:r>
    </w:p>
    <w:p w:rsidR="005D2F96" w:rsidRPr="00C10DE4" w:rsidRDefault="005D2F96" w:rsidP="005D2F96">
      <w:pPr>
        <w:ind w:left="851" w:hanging="851"/>
        <w:rPr>
          <w:i/>
          <w:sz w:val="24"/>
          <w:szCs w:val="24"/>
        </w:rPr>
      </w:pPr>
    </w:p>
    <w:p w:rsidR="005D2F96" w:rsidRPr="00C10DE4" w:rsidRDefault="005D2F96" w:rsidP="005D2F96">
      <w:pPr>
        <w:ind w:left="851"/>
        <w:rPr>
          <w:bCs/>
          <w:color w:val="000000"/>
          <w:sz w:val="24"/>
          <w:szCs w:val="24"/>
        </w:rPr>
      </w:pPr>
      <w:r w:rsidRPr="00C10DE4">
        <w:rPr>
          <w:sz w:val="24"/>
          <w:szCs w:val="24"/>
        </w:rPr>
        <w:t xml:space="preserve">De mest specifikke metoder til gentagen vurdering af hjertefunktionen (evaluering af LVEF) omfatter </w:t>
      </w:r>
      <w:proofErr w:type="spellStart"/>
      <w:r w:rsidRPr="00C10DE4">
        <w:rPr>
          <w:sz w:val="24"/>
          <w:szCs w:val="24"/>
        </w:rPr>
        <w:t>angiokardioscintigrafi</w:t>
      </w:r>
      <w:proofErr w:type="spellEnd"/>
      <w:r w:rsidRPr="00C10DE4">
        <w:rPr>
          <w:sz w:val="24"/>
          <w:szCs w:val="24"/>
        </w:rPr>
        <w:t xml:space="preserve"> </w:t>
      </w:r>
      <w:r w:rsidRPr="00C10DE4">
        <w:rPr>
          <w:bCs/>
          <w:color w:val="000000"/>
          <w:sz w:val="24"/>
          <w:szCs w:val="24"/>
        </w:rPr>
        <w:t xml:space="preserve">(MUGA) eller ekkokardiografi. Det anbefales at vurdere hjertefunktionen ved hjælp af EKG og enten MUGA eller ekkokardiografi inden behandlingen påbegyndes, især hos patienter med risikofaktorer for øget </w:t>
      </w:r>
      <w:proofErr w:type="spellStart"/>
      <w:r w:rsidRPr="00C10DE4">
        <w:rPr>
          <w:bCs/>
          <w:color w:val="000000"/>
          <w:sz w:val="24"/>
          <w:szCs w:val="24"/>
        </w:rPr>
        <w:t>kardiotoksicitet</w:t>
      </w:r>
      <w:proofErr w:type="spellEnd"/>
      <w:r w:rsidRPr="00C10DE4">
        <w:rPr>
          <w:bCs/>
          <w:color w:val="000000"/>
          <w:sz w:val="24"/>
          <w:szCs w:val="24"/>
        </w:rPr>
        <w:t xml:space="preserve">. Gentagne MUGA eller ekkokardiografiske bestemmelser af LVEF bør udføres især ved </w:t>
      </w:r>
      <w:r w:rsidRPr="00C10DE4">
        <w:rPr>
          <w:bCs/>
          <w:color w:val="000000"/>
          <w:sz w:val="24"/>
          <w:szCs w:val="24"/>
        </w:rPr>
        <w:lastRenderedPageBreak/>
        <w:t xml:space="preserve">behandling med høje, kumulative </w:t>
      </w:r>
      <w:proofErr w:type="spellStart"/>
      <w:r w:rsidRPr="00C10DE4">
        <w:rPr>
          <w:bCs/>
          <w:color w:val="000000"/>
          <w:sz w:val="24"/>
          <w:szCs w:val="24"/>
        </w:rPr>
        <w:t>antracyclin</w:t>
      </w:r>
      <w:proofErr w:type="spellEnd"/>
      <w:r w:rsidRPr="00C10DE4">
        <w:rPr>
          <w:bCs/>
          <w:color w:val="000000"/>
          <w:sz w:val="24"/>
          <w:szCs w:val="24"/>
        </w:rPr>
        <w:t xml:space="preserve"> doser. Samme teknik bør anvendes under hele opfølgningen.</w:t>
      </w:r>
    </w:p>
    <w:p w:rsidR="005D2F96" w:rsidRPr="00C10DE4" w:rsidRDefault="005D2F96" w:rsidP="005D2F96">
      <w:pPr>
        <w:ind w:left="851" w:hanging="851"/>
        <w:rPr>
          <w:spacing w:val="-3"/>
          <w:sz w:val="24"/>
          <w:szCs w:val="24"/>
        </w:rPr>
      </w:pPr>
    </w:p>
    <w:p w:rsidR="005D2F96" w:rsidRPr="00C10DE4" w:rsidRDefault="005D2F96" w:rsidP="005D2F96">
      <w:pPr>
        <w:ind w:left="851"/>
        <w:rPr>
          <w:sz w:val="24"/>
          <w:szCs w:val="24"/>
        </w:rPr>
      </w:pPr>
      <w:r w:rsidRPr="00C10DE4">
        <w:rPr>
          <w:sz w:val="24"/>
          <w:szCs w:val="24"/>
        </w:rPr>
        <w:t xml:space="preserve">Risikofaktorer for </w:t>
      </w:r>
      <w:proofErr w:type="spellStart"/>
      <w:r w:rsidRPr="00C10DE4">
        <w:rPr>
          <w:sz w:val="24"/>
          <w:szCs w:val="24"/>
        </w:rPr>
        <w:t>kardiotoksicitet</w:t>
      </w:r>
      <w:proofErr w:type="spellEnd"/>
      <w:r w:rsidRPr="00C10DE4">
        <w:rPr>
          <w:sz w:val="24"/>
          <w:szCs w:val="24"/>
        </w:rPr>
        <w:t xml:space="preserve"> omfatter aktiv eller latent </w:t>
      </w:r>
      <w:proofErr w:type="spellStart"/>
      <w:r w:rsidRPr="00C10DE4">
        <w:rPr>
          <w:sz w:val="24"/>
          <w:szCs w:val="24"/>
        </w:rPr>
        <w:t>kardiovaskulær</w:t>
      </w:r>
      <w:proofErr w:type="spellEnd"/>
      <w:r w:rsidRPr="00C10DE4">
        <w:rPr>
          <w:sz w:val="24"/>
          <w:szCs w:val="24"/>
        </w:rPr>
        <w:t xml:space="preserve"> sygdom, tidligere eller samtidig </w:t>
      </w:r>
      <w:proofErr w:type="spellStart"/>
      <w:r w:rsidRPr="00C10DE4">
        <w:rPr>
          <w:sz w:val="24"/>
          <w:szCs w:val="24"/>
        </w:rPr>
        <w:t>mediastinal</w:t>
      </w:r>
      <w:proofErr w:type="spellEnd"/>
      <w:r w:rsidRPr="00C10DE4">
        <w:rPr>
          <w:sz w:val="24"/>
          <w:szCs w:val="24"/>
        </w:rPr>
        <w:t>/</w:t>
      </w:r>
      <w:proofErr w:type="spellStart"/>
      <w:r w:rsidRPr="00C10DE4">
        <w:rPr>
          <w:sz w:val="24"/>
          <w:szCs w:val="24"/>
        </w:rPr>
        <w:t>perikardiel</w:t>
      </w:r>
      <w:proofErr w:type="spellEnd"/>
      <w:r w:rsidRPr="00C10DE4">
        <w:rPr>
          <w:sz w:val="24"/>
          <w:szCs w:val="24"/>
        </w:rPr>
        <w:t xml:space="preserve"> strålebehandling, tidligere behandling med andre </w:t>
      </w:r>
      <w:proofErr w:type="spellStart"/>
      <w:r w:rsidRPr="00C10DE4">
        <w:rPr>
          <w:sz w:val="24"/>
          <w:szCs w:val="24"/>
        </w:rPr>
        <w:t>antracycliner</w:t>
      </w:r>
      <w:proofErr w:type="spellEnd"/>
      <w:r w:rsidRPr="00C10DE4">
        <w:rPr>
          <w:sz w:val="24"/>
          <w:szCs w:val="24"/>
        </w:rPr>
        <w:t xml:space="preserve"> eller </w:t>
      </w:r>
      <w:proofErr w:type="spellStart"/>
      <w:r w:rsidRPr="00C10DE4">
        <w:rPr>
          <w:sz w:val="24"/>
          <w:szCs w:val="24"/>
        </w:rPr>
        <w:t>antracenedioner</w:t>
      </w:r>
      <w:proofErr w:type="spellEnd"/>
      <w:r w:rsidRPr="00C10DE4">
        <w:rPr>
          <w:sz w:val="24"/>
          <w:szCs w:val="24"/>
        </w:rPr>
        <w:t xml:space="preserve"> samt samtidig brug af lægemidler med hæmmende virkning på </w:t>
      </w:r>
      <w:proofErr w:type="spellStart"/>
      <w:r w:rsidRPr="00C10DE4">
        <w:rPr>
          <w:sz w:val="24"/>
          <w:szCs w:val="24"/>
        </w:rPr>
        <w:t>hjertekontraktiliteten</w:t>
      </w:r>
      <w:proofErr w:type="spellEnd"/>
      <w:r w:rsidRPr="00C10DE4">
        <w:rPr>
          <w:sz w:val="24"/>
          <w:szCs w:val="24"/>
        </w:rPr>
        <w:t xml:space="preserve"> eller </w:t>
      </w:r>
      <w:proofErr w:type="spellStart"/>
      <w:r w:rsidRPr="00C10DE4">
        <w:rPr>
          <w:sz w:val="24"/>
          <w:szCs w:val="24"/>
        </w:rPr>
        <w:t>kardiotoksiske</w:t>
      </w:r>
      <w:proofErr w:type="spellEnd"/>
      <w:r w:rsidRPr="00C10DE4">
        <w:rPr>
          <w:sz w:val="24"/>
          <w:szCs w:val="24"/>
        </w:rPr>
        <w:t xml:space="preserve"> lægemidler (f.eks. </w:t>
      </w:r>
      <w:proofErr w:type="spellStart"/>
      <w:r w:rsidRPr="00C10DE4">
        <w:rPr>
          <w:sz w:val="24"/>
          <w:szCs w:val="24"/>
        </w:rPr>
        <w:t>trastuzumab</w:t>
      </w:r>
      <w:proofErr w:type="spellEnd"/>
      <w:r w:rsidRPr="00C10DE4">
        <w:rPr>
          <w:sz w:val="24"/>
          <w:szCs w:val="24"/>
        </w:rPr>
        <w:t xml:space="preserve">). </w:t>
      </w:r>
      <w:proofErr w:type="spellStart"/>
      <w:r w:rsidRPr="00C10DE4">
        <w:rPr>
          <w:sz w:val="24"/>
          <w:szCs w:val="24"/>
        </w:rPr>
        <w:t>Antracycliner</w:t>
      </w:r>
      <w:proofErr w:type="spellEnd"/>
      <w:r w:rsidRPr="00C10DE4">
        <w:rPr>
          <w:sz w:val="24"/>
          <w:szCs w:val="24"/>
        </w:rPr>
        <w:t xml:space="preserve"> herunder </w:t>
      </w:r>
      <w:proofErr w:type="spellStart"/>
      <w:r w:rsidRPr="00C10DE4">
        <w:rPr>
          <w:sz w:val="24"/>
          <w:szCs w:val="24"/>
        </w:rPr>
        <w:t>idarubicin</w:t>
      </w:r>
      <w:proofErr w:type="spellEnd"/>
      <w:r w:rsidRPr="00C10DE4">
        <w:rPr>
          <w:sz w:val="24"/>
          <w:szCs w:val="24"/>
        </w:rPr>
        <w:t xml:space="preserve"> bør ikke administreres i kombination med andre </w:t>
      </w:r>
      <w:proofErr w:type="spellStart"/>
      <w:r w:rsidRPr="00C10DE4">
        <w:rPr>
          <w:sz w:val="24"/>
          <w:szCs w:val="24"/>
        </w:rPr>
        <w:t>kardiotoksiske</w:t>
      </w:r>
      <w:proofErr w:type="spellEnd"/>
      <w:r w:rsidRPr="00C10DE4">
        <w:rPr>
          <w:sz w:val="24"/>
          <w:szCs w:val="24"/>
        </w:rPr>
        <w:t xml:space="preserve"> lægemidler, medmindre patientens hjertefunktion monitoreres omhyggeligt (se pkt. 4.5). Patienter, som bliver behandlet med </w:t>
      </w:r>
      <w:proofErr w:type="spellStart"/>
      <w:r w:rsidRPr="00C10DE4">
        <w:rPr>
          <w:sz w:val="24"/>
          <w:szCs w:val="24"/>
        </w:rPr>
        <w:t>antracycliner</w:t>
      </w:r>
      <w:proofErr w:type="spellEnd"/>
      <w:r w:rsidRPr="00C10DE4">
        <w:rPr>
          <w:sz w:val="24"/>
          <w:szCs w:val="24"/>
        </w:rPr>
        <w:t xml:space="preserve"> efter afsluttet behandling med andre </w:t>
      </w:r>
      <w:proofErr w:type="spellStart"/>
      <w:r w:rsidRPr="00C10DE4">
        <w:rPr>
          <w:sz w:val="24"/>
          <w:szCs w:val="24"/>
        </w:rPr>
        <w:t>kardiotoksiske</w:t>
      </w:r>
      <w:proofErr w:type="spellEnd"/>
      <w:r w:rsidRPr="00C10DE4">
        <w:rPr>
          <w:sz w:val="24"/>
          <w:szCs w:val="24"/>
        </w:rPr>
        <w:t xml:space="preserve"> lægemidler, især dem med lang halveringstid, herunder </w:t>
      </w:r>
      <w:proofErr w:type="spellStart"/>
      <w:r w:rsidRPr="00C10DE4">
        <w:rPr>
          <w:sz w:val="24"/>
          <w:szCs w:val="24"/>
        </w:rPr>
        <w:t>trastuzumab</w:t>
      </w:r>
      <w:proofErr w:type="spellEnd"/>
      <w:r w:rsidRPr="00C10DE4">
        <w:rPr>
          <w:sz w:val="24"/>
          <w:szCs w:val="24"/>
        </w:rPr>
        <w:t xml:space="preserve">, kan også have forøget risiko for udvikling af </w:t>
      </w:r>
      <w:proofErr w:type="spellStart"/>
      <w:r w:rsidRPr="00C10DE4">
        <w:rPr>
          <w:sz w:val="24"/>
          <w:szCs w:val="24"/>
        </w:rPr>
        <w:t>kardiotoksicitet</w:t>
      </w:r>
      <w:proofErr w:type="spellEnd"/>
      <w:r w:rsidRPr="00C10DE4">
        <w:rPr>
          <w:sz w:val="24"/>
          <w:szCs w:val="24"/>
        </w:rPr>
        <w:t xml:space="preserve">. Den rapporterede halveringstid for </w:t>
      </w:r>
      <w:proofErr w:type="spellStart"/>
      <w:r w:rsidRPr="00C10DE4">
        <w:rPr>
          <w:sz w:val="24"/>
          <w:szCs w:val="24"/>
        </w:rPr>
        <w:t>trastuzumab</w:t>
      </w:r>
      <w:proofErr w:type="spellEnd"/>
      <w:r w:rsidRPr="00C10DE4">
        <w:rPr>
          <w:sz w:val="24"/>
          <w:szCs w:val="24"/>
        </w:rPr>
        <w:t xml:space="preserve"> er </w:t>
      </w:r>
      <w:r>
        <w:rPr>
          <w:sz w:val="24"/>
          <w:szCs w:val="24"/>
        </w:rPr>
        <w:t>variabel. Stoffet</w:t>
      </w:r>
      <w:r w:rsidRPr="00C10DE4">
        <w:rPr>
          <w:sz w:val="24"/>
          <w:szCs w:val="24"/>
        </w:rPr>
        <w:t xml:space="preserve"> kan forblive i kredsløbet i op til 7 </w:t>
      </w:r>
      <w:r>
        <w:rPr>
          <w:sz w:val="24"/>
          <w:szCs w:val="24"/>
        </w:rPr>
        <w:t>måneder</w:t>
      </w:r>
      <w:r w:rsidRPr="00C10DE4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Derfor bør </w:t>
      </w:r>
      <w:proofErr w:type="spellStart"/>
      <w:r>
        <w:rPr>
          <w:sz w:val="24"/>
          <w:szCs w:val="24"/>
        </w:rPr>
        <w:t>a</w:t>
      </w:r>
      <w:r w:rsidRPr="00C10DE4">
        <w:rPr>
          <w:sz w:val="24"/>
          <w:szCs w:val="24"/>
        </w:rPr>
        <w:t>ntracyclin</w:t>
      </w:r>
      <w:proofErr w:type="spellEnd"/>
      <w:r w:rsidRPr="00C10DE4">
        <w:rPr>
          <w:sz w:val="24"/>
          <w:szCs w:val="24"/>
        </w:rPr>
        <w:t xml:space="preserve">-baseret terapi undgås op til 7 </w:t>
      </w:r>
      <w:r>
        <w:rPr>
          <w:sz w:val="24"/>
          <w:szCs w:val="24"/>
        </w:rPr>
        <w:t>måneder</w:t>
      </w:r>
      <w:r w:rsidRPr="00C10DE4">
        <w:rPr>
          <w:sz w:val="24"/>
          <w:szCs w:val="24"/>
        </w:rPr>
        <w:t xml:space="preserve"> efter ophør med behandling med </w:t>
      </w:r>
      <w:proofErr w:type="spellStart"/>
      <w:r w:rsidRPr="00C10DE4">
        <w:rPr>
          <w:sz w:val="24"/>
          <w:szCs w:val="24"/>
        </w:rPr>
        <w:t>trastuzumab</w:t>
      </w:r>
      <w:proofErr w:type="spellEnd"/>
      <w:r w:rsidRPr="00C10DE4">
        <w:rPr>
          <w:sz w:val="24"/>
          <w:szCs w:val="24"/>
        </w:rPr>
        <w:t xml:space="preserve">, hvis muligt. </w:t>
      </w:r>
      <w:r>
        <w:rPr>
          <w:sz w:val="24"/>
          <w:szCs w:val="24"/>
        </w:rPr>
        <w:t>Hvis dette ikke er muligt,</w:t>
      </w:r>
      <w:r w:rsidRPr="00C10DE4">
        <w:rPr>
          <w:sz w:val="24"/>
          <w:szCs w:val="24"/>
        </w:rPr>
        <w:t xml:space="preserve"> anbefales</w:t>
      </w:r>
      <w:r>
        <w:rPr>
          <w:sz w:val="24"/>
          <w:szCs w:val="24"/>
        </w:rPr>
        <w:t xml:space="preserve"> det</w:t>
      </w:r>
      <w:r w:rsidRPr="00C10DE4">
        <w:rPr>
          <w:sz w:val="24"/>
          <w:szCs w:val="24"/>
        </w:rPr>
        <w:t xml:space="preserve"> at monitorere hjertefunktionen omhyggeligt</w:t>
      </w:r>
      <w:r>
        <w:rPr>
          <w:sz w:val="24"/>
          <w:szCs w:val="24"/>
        </w:rPr>
        <w:t>.</w:t>
      </w:r>
    </w:p>
    <w:p w:rsidR="005D2F96" w:rsidRPr="00C10DE4" w:rsidRDefault="005D2F96" w:rsidP="005D2F96">
      <w:pPr>
        <w:ind w:left="851" w:hanging="851"/>
        <w:rPr>
          <w:sz w:val="24"/>
          <w:szCs w:val="24"/>
        </w:rPr>
      </w:pPr>
    </w:p>
    <w:p w:rsidR="005D2F96" w:rsidRPr="00C10DE4" w:rsidRDefault="005D2F96" w:rsidP="005D2F96">
      <w:pPr>
        <w:ind w:left="851"/>
        <w:rPr>
          <w:sz w:val="24"/>
          <w:szCs w:val="24"/>
        </w:rPr>
      </w:pPr>
      <w:r w:rsidRPr="00C10DE4">
        <w:rPr>
          <w:sz w:val="24"/>
          <w:szCs w:val="24"/>
        </w:rPr>
        <w:t xml:space="preserve">Hjertefunktionen skal monitoreres omhyggeligt hos patienter, som får høje kumulative doser og hos patienter med risikofaktorer. </w:t>
      </w:r>
      <w:proofErr w:type="spellStart"/>
      <w:r w:rsidRPr="00C10DE4">
        <w:rPr>
          <w:sz w:val="24"/>
          <w:szCs w:val="24"/>
        </w:rPr>
        <w:t>Kardiotoksicitet</w:t>
      </w:r>
      <w:proofErr w:type="spellEnd"/>
      <w:r w:rsidRPr="00C10DE4">
        <w:rPr>
          <w:sz w:val="24"/>
          <w:szCs w:val="24"/>
        </w:rPr>
        <w:t xml:space="preserve"> pga. </w:t>
      </w:r>
      <w:proofErr w:type="spellStart"/>
      <w:r w:rsidRPr="00C10DE4">
        <w:rPr>
          <w:sz w:val="24"/>
          <w:szCs w:val="24"/>
        </w:rPr>
        <w:t>idarubicin</w:t>
      </w:r>
      <w:proofErr w:type="spellEnd"/>
      <w:r w:rsidRPr="00C10DE4">
        <w:rPr>
          <w:sz w:val="24"/>
          <w:szCs w:val="24"/>
        </w:rPr>
        <w:t xml:space="preserve"> kan dog opstå ved lavere kumulative doser med eller uden tilstedeværelse af risikofaktorer.</w:t>
      </w:r>
    </w:p>
    <w:p w:rsidR="005D2F96" w:rsidRPr="00C10DE4" w:rsidRDefault="005D2F96" w:rsidP="005D2F96">
      <w:pPr>
        <w:ind w:left="851" w:hanging="851"/>
        <w:rPr>
          <w:sz w:val="24"/>
          <w:szCs w:val="24"/>
        </w:rPr>
      </w:pPr>
    </w:p>
    <w:p w:rsidR="005D2F96" w:rsidRPr="00C10DE4" w:rsidRDefault="005D2F96" w:rsidP="005D2F96">
      <w:pPr>
        <w:ind w:left="851"/>
        <w:rPr>
          <w:sz w:val="24"/>
          <w:szCs w:val="24"/>
        </w:rPr>
      </w:pPr>
      <w:r w:rsidRPr="00C10DE4">
        <w:rPr>
          <w:sz w:val="24"/>
          <w:szCs w:val="24"/>
        </w:rPr>
        <w:t xml:space="preserve">Hos spædbørn og børn kan der forekomme en større modtagelighed for </w:t>
      </w:r>
      <w:proofErr w:type="spellStart"/>
      <w:r w:rsidRPr="00C10DE4">
        <w:rPr>
          <w:sz w:val="24"/>
          <w:szCs w:val="24"/>
        </w:rPr>
        <w:t>antracyclin</w:t>
      </w:r>
      <w:proofErr w:type="spellEnd"/>
      <w:r w:rsidRPr="00C10DE4">
        <w:rPr>
          <w:sz w:val="24"/>
          <w:szCs w:val="24"/>
        </w:rPr>
        <w:t xml:space="preserve">-induceret </w:t>
      </w:r>
      <w:proofErr w:type="spellStart"/>
      <w:r w:rsidRPr="00C10DE4">
        <w:rPr>
          <w:sz w:val="24"/>
          <w:szCs w:val="24"/>
        </w:rPr>
        <w:t>kardiotoksicitet</w:t>
      </w:r>
      <w:proofErr w:type="spellEnd"/>
      <w:r w:rsidRPr="00C10DE4">
        <w:rPr>
          <w:sz w:val="24"/>
          <w:szCs w:val="24"/>
        </w:rPr>
        <w:t xml:space="preserve">, og hjertefunktionen bør derfor vurderes over en længere periode. </w:t>
      </w:r>
    </w:p>
    <w:p w:rsidR="005D2F96" w:rsidRPr="00C10DE4" w:rsidRDefault="005D2F96" w:rsidP="005D2F96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</w:p>
    <w:p w:rsidR="005D2F96" w:rsidRPr="00C10DE4" w:rsidRDefault="005D2F96" w:rsidP="005D2F96">
      <w:pPr>
        <w:ind w:left="851"/>
        <w:rPr>
          <w:sz w:val="24"/>
          <w:szCs w:val="24"/>
        </w:rPr>
      </w:pPr>
      <w:r w:rsidRPr="00C10DE4">
        <w:rPr>
          <w:sz w:val="24"/>
          <w:szCs w:val="24"/>
        </w:rPr>
        <w:t xml:space="preserve">Toksiciteten af </w:t>
      </w:r>
      <w:proofErr w:type="spellStart"/>
      <w:r w:rsidRPr="00C10DE4">
        <w:rPr>
          <w:sz w:val="24"/>
          <w:szCs w:val="24"/>
        </w:rPr>
        <w:t>idarubicin</w:t>
      </w:r>
      <w:proofErr w:type="spellEnd"/>
      <w:r w:rsidRPr="00C10DE4">
        <w:rPr>
          <w:sz w:val="24"/>
          <w:szCs w:val="24"/>
        </w:rPr>
        <w:t xml:space="preserve"> og andre </w:t>
      </w:r>
      <w:proofErr w:type="spellStart"/>
      <w:r w:rsidRPr="00C10DE4">
        <w:rPr>
          <w:sz w:val="24"/>
          <w:szCs w:val="24"/>
        </w:rPr>
        <w:t>antracycliner</w:t>
      </w:r>
      <w:proofErr w:type="spellEnd"/>
      <w:r w:rsidRPr="00C10DE4">
        <w:rPr>
          <w:sz w:val="24"/>
          <w:szCs w:val="24"/>
        </w:rPr>
        <w:t xml:space="preserve"> eller </w:t>
      </w:r>
      <w:proofErr w:type="spellStart"/>
      <w:r w:rsidRPr="00C10DE4">
        <w:rPr>
          <w:sz w:val="24"/>
          <w:szCs w:val="24"/>
        </w:rPr>
        <w:t>antracenedioner</w:t>
      </w:r>
      <w:proofErr w:type="spellEnd"/>
      <w:r w:rsidRPr="00C10DE4">
        <w:rPr>
          <w:sz w:val="24"/>
          <w:szCs w:val="24"/>
        </w:rPr>
        <w:t xml:space="preserve"> er muligvis additiv.</w:t>
      </w:r>
    </w:p>
    <w:p w:rsidR="005D2F96" w:rsidRPr="00C10DE4" w:rsidRDefault="005D2F96" w:rsidP="005D2F96">
      <w:pPr>
        <w:ind w:left="851" w:hanging="851"/>
        <w:rPr>
          <w:spacing w:val="-3"/>
          <w:sz w:val="24"/>
          <w:szCs w:val="24"/>
        </w:rPr>
      </w:pPr>
    </w:p>
    <w:p w:rsidR="005D2F96" w:rsidRPr="00C10DE4" w:rsidRDefault="005D2F96" w:rsidP="005D2F96">
      <w:pPr>
        <w:ind w:firstLine="851"/>
        <w:rPr>
          <w:i/>
          <w:sz w:val="24"/>
          <w:szCs w:val="24"/>
        </w:rPr>
      </w:pPr>
      <w:r w:rsidRPr="00C10DE4">
        <w:rPr>
          <w:i/>
          <w:sz w:val="24"/>
          <w:szCs w:val="24"/>
        </w:rPr>
        <w:t>Hæmatologisk toksicitet:</w:t>
      </w:r>
    </w:p>
    <w:p w:rsidR="005D2F96" w:rsidRPr="00C10DE4" w:rsidRDefault="005D2F96" w:rsidP="005D2F96">
      <w:pPr>
        <w:ind w:left="851"/>
        <w:rPr>
          <w:sz w:val="24"/>
          <w:szCs w:val="24"/>
        </w:rPr>
      </w:pPr>
      <w:proofErr w:type="spellStart"/>
      <w:r w:rsidRPr="00C10DE4">
        <w:rPr>
          <w:spacing w:val="-3"/>
          <w:sz w:val="24"/>
          <w:szCs w:val="24"/>
        </w:rPr>
        <w:t>Idarubicin</w:t>
      </w:r>
      <w:proofErr w:type="spellEnd"/>
      <w:r w:rsidRPr="00C10DE4">
        <w:rPr>
          <w:spacing w:val="-3"/>
          <w:sz w:val="24"/>
          <w:szCs w:val="24"/>
        </w:rPr>
        <w:t xml:space="preserve"> er en potent hæmmer af knoglemarven. Alle patienter, som får terapeutiske doser af </w:t>
      </w:r>
      <w:proofErr w:type="spellStart"/>
      <w:r w:rsidRPr="00C10DE4">
        <w:rPr>
          <w:spacing w:val="-3"/>
          <w:sz w:val="24"/>
          <w:szCs w:val="24"/>
        </w:rPr>
        <w:t>idarubicin</w:t>
      </w:r>
      <w:proofErr w:type="spellEnd"/>
      <w:r w:rsidRPr="00C10DE4">
        <w:rPr>
          <w:spacing w:val="-3"/>
          <w:sz w:val="24"/>
          <w:szCs w:val="24"/>
        </w:rPr>
        <w:t xml:space="preserve">, får alvorlig knoglemarvssuppression. Før og under behandlingscyklus med </w:t>
      </w:r>
      <w:proofErr w:type="spellStart"/>
      <w:r w:rsidRPr="00C10DE4">
        <w:rPr>
          <w:spacing w:val="-3"/>
          <w:sz w:val="24"/>
          <w:szCs w:val="24"/>
        </w:rPr>
        <w:t>idarubicin</w:t>
      </w:r>
      <w:proofErr w:type="spellEnd"/>
      <w:r w:rsidRPr="00C10DE4">
        <w:rPr>
          <w:spacing w:val="-3"/>
          <w:sz w:val="24"/>
          <w:szCs w:val="24"/>
        </w:rPr>
        <w:t xml:space="preserve"> bør </w:t>
      </w:r>
      <w:r w:rsidRPr="00C10DE4">
        <w:rPr>
          <w:sz w:val="24"/>
          <w:szCs w:val="24"/>
        </w:rPr>
        <w:t xml:space="preserve">blodbilledet monitoreres, inklusive </w:t>
      </w:r>
      <w:proofErr w:type="spellStart"/>
      <w:r w:rsidRPr="00C10DE4">
        <w:rPr>
          <w:sz w:val="24"/>
          <w:szCs w:val="24"/>
        </w:rPr>
        <w:t>differentialtælling</w:t>
      </w:r>
      <w:proofErr w:type="spellEnd"/>
      <w:r w:rsidRPr="00C10DE4">
        <w:rPr>
          <w:sz w:val="24"/>
          <w:szCs w:val="24"/>
        </w:rPr>
        <w:t xml:space="preserve"> af hvide blodlegemer. </w:t>
      </w:r>
    </w:p>
    <w:p w:rsidR="005D2F96" w:rsidRPr="00C10DE4" w:rsidRDefault="005D2F96" w:rsidP="005D2F96">
      <w:pPr>
        <w:ind w:left="851" w:hanging="851"/>
        <w:rPr>
          <w:sz w:val="24"/>
          <w:szCs w:val="24"/>
        </w:rPr>
      </w:pPr>
    </w:p>
    <w:p w:rsidR="005D2F96" w:rsidRPr="00C10DE4" w:rsidRDefault="005D2F96" w:rsidP="005D2F96">
      <w:pPr>
        <w:ind w:left="851"/>
        <w:rPr>
          <w:sz w:val="24"/>
          <w:szCs w:val="24"/>
        </w:rPr>
      </w:pPr>
      <w:proofErr w:type="spellStart"/>
      <w:r w:rsidRPr="00C10DE4">
        <w:rPr>
          <w:sz w:val="24"/>
          <w:szCs w:val="24"/>
        </w:rPr>
        <w:t>Leukopeni</w:t>
      </w:r>
      <w:proofErr w:type="spellEnd"/>
      <w:r w:rsidRPr="00C10DE4">
        <w:rPr>
          <w:sz w:val="24"/>
          <w:szCs w:val="24"/>
        </w:rPr>
        <w:t xml:space="preserve"> og </w:t>
      </w:r>
      <w:proofErr w:type="spellStart"/>
      <w:r w:rsidRPr="00C10DE4">
        <w:rPr>
          <w:sz w:val="24"/>
          <w:szCs w:val="24"/>
        </w:rPr>
        <w:t>granulocytopeni</w:t>
      </w:r>
      <w:proofErr w:type="spellEnd"/>
      <w:r w:rsidRPr="00C10DE4">
        <w:rPr>
          <w:sz w:val="24"/>
          <w:szCs w:val="24"/>
        </w:rPr>
        <w:t xml:space="preserve"> (</w:t>
      </w:r>
      <w:proofErr w:type="spellStart"/>
      <w:r w:rsidRPr="00C10DE4">
        <w:rPr>
          <w:sz w:val="24"/>
          <w:szCs w:val="24"/>
        </w:rPr>
        <w:t>neutropeni</w:t>
      </w:r>
      <w:proofErr w:type="spellEnd"/>
      <w:r w:rsidRPr="00C10DE4">
        <w:rPr>
          <w:sz w:val="24"/>
          <w:szCs w:val="24"/>
        </w:rPr>
        <w:t>) er de hyppigste dosisbegrænsende faktorer.</w:t>
      </w:r>
    </w:p>
    <w:p w:rsidR="005D2F96" w:rsidRPr="00C10DE4" w:rsidRDefault="005D2F96" w:rsidP="005D2F96">
      <w:pPr>
        <w:ind w:left="851"/>
        <w:rPr>
          <w:spacing w:val="-3"/>
          <w:sz w:val="24"/>
          <w:szCs w:val="24"/>
        </w:rPr>
      </w:pPr>
      <w:proofErr w:type="spellStart"/>
      <w:r w:rsidRPr="00C10DE4">
        <w:rPr>
          <w:sz w:val="24"/>
          <w:szCs w:val="24"/>
        </w:rPr>
        <w:t>Leukopeni</w:t>
      </w:r>
      <w:proofErr w:type="spellEnd"/>
      <w:r w:rsidRPr="00C10DE4">
        <w:rPr>
          <w:sz w:val="24"/>
          <w:szCs w:val="24"/>
        </w:rPr>
        <w:t xml:space="preserve"> og </w:t>
      </w:r>
      <w:proofErr w:type="spellStart"/>
      <w:r w:rsidRPr="00C10DE4">
        <w:rPr>
          <w:sz w:val="24"/>
          <w:szCs w:val="24"/>
        </w:rPr>
        <w:t>neutropeni</w:t>
      </w:r>
      <w:proofErr w:type="spellEnd"/>
      <w:r w:rsidRPr="00C10DE4">
        <w:rPr>
          <w:sz w:val="24"/>
          <w:szCs w:val="24"/>
        </w:rPr>
        <w:t xml:space="preserve"> er sædvanligvis alvorlig. Desuden kan der ses også </w:t>
      </w:r>
      <w:proofErr w:type="spellStart"/>
      <w:r w:rsidRPr="00C10DE4">
        <w:rPr>
          <w:sz w:val="24"/>
          <w:szCs w:val="24"/>
        </w:rPr>
        <w:t>trombocytopeni</w:t>
      </w:r>
      <w:proofErr w:type="spellEnd"/>
      <w:r w:rsidRPr="00C10DE4">
        <w:rPr>
          <w:sz w:val="24"/>
          <w:szCs w:val="24"/>
        </w:rPr>
        <w:t xml:space="preserve"> og anæmi. Antallet af </w:t>
      </w:r>
      <w:proofErr w:type="spellStart"/>
      <w:r w:rsidRPr="00C10DE4">
        <w:rPr>
          <w:sz w:val="24"/>
          <w:szCs w:val="24"/>
        </w:rPr>
        <w:t>neutrofile</w:t>
      </w:r>
      <w:proofErr w:type="spellEnd"/>
      <w:r w:rsidRPr="00C10DE4">
        <w:rPr>
          <w:sz w:val="24"/>
          <w:szCs w:val="24"/>
        </w:rPr>
        <w:t xml:space="preserve"> granulocytter og </w:t>
      </w:r>
      <w:proofErr w:type="spellStart"/>
      <w:r w:rsidRPr="00C10DE4">
        <w:rPr>
          <w:sz w:val="24"/>
          <w:szCs w:val="24"/>
        </w:rPr>
        <w:t>trombocytter</w:t>
      </w:r>
      <w:proofErr w:type="spellEnd"/>
      <w:r w:rsidRPr="00C10DE4">
        <w:rPr>
          <w:sz w:val="24"/>
          <w:szCs w:val="24"/>
        </w:rPr>
        <w:t xml:space="preserve"> når nadir 10-14 dage efter behandlingen, men normaliseres i de fleste tilfælde i løbet af den tredje uge. De kliniske konsekvenser af alvorlig knoglemarvssuppression omfatter feber, infektioner, sepsis/</w:t>
      </w:r>
      <w:proofErr w:type="spellStart"/>
      <w:r w:rsidRPr="00C10DE4">
        <w:rPr>
          <w:sz w:val="24"/>
          <w:szCs w:val="24"/>
        </w:rPr>
        <w:t>septikæmi</w:t>
      </w:r>
      <w:proofErr w:type="spellEnd"/>
      <w:r w:rsidRPr="00C10DE4">
        <w:rPr>
          <w:sz w:val="24"/>
          <w:szCs w:val="24"/>
        </w:rPr>
        <w:t xml:space="preserve">, septisk </w:t>
      </w:r>
      <w:proofErr w:type="spellStart"/>
      <w:r w:rsidRPr="00C10DE4">
        <w:rPr>
          <w:sz w:val="24"/>
          <w:szCs w:val="24"/>
        </w:rPr>
        <w:t>shock</w:t>
      </w:r>
      <w:proofErr w:type="spellEnd"/>
      <w:r w:rsidRPr="00C10DE4">
        <w:rPr>
          <w:sz w:val="24"/>
          <w:szCs w:val="24"/>
        </w:rPr>
        <w:t xml:space="preserve">, </w:t>
      </w:r>
      <w:proofErr w:type="spellStart"/>
      <w:r w:rsidRPr="00C10DE4">
        <w:rPr>
          <w:sz w:val="24"/>
          <w:szCs w:val="24"/>
        </w:rPr>
        <w:t>hæmorragi</w:t>
      </w:r>
      <w:proofErr w:type="spellEnd"/>
      <w:r w:rsidRPr="00C10DE4">
        <w:rPr>
          <w:sz w:val="24"/>
          <w:szCs w:val="24"/>
        </w:rPr>
        <w:t xml:space="preserve">, </w:t>
      </w:r>
      <w:proofErr w:type="spellStart"/>
      <w:r w:rsidRPr="00C10DE4">
        <w:rPr>
          <w:sz w:val="24"/>
          <w:szCs w:val="24"/>
        </w:rPr>
        <w:t>hypoxi</w:t>
      </w:r>
      <w:proofErr w:type="spellEnd"/>
      <w:r w:rsidRPr="00C10DE4">
        <w:rPr>
          <w:sz w:val="24"/>
          <w:szCs w:val="24"/>
        </w:rPr>
        <w:t xml:space="preserve"> eller dødsfald.</w:t>
      </w:r>
    </w:p>
    <w:p w:rsidR="005D2F96" w:rsidRPr="00C10DE4" w:rsidRDefault="005D2F96" w:rsidP="005D2F96">
      <w:pPr>
        <w:ind w:left="851" w:hanging="851"/>
        <w:rPr>
          <w:i/>
          <w:sz w:val="24"/>
          <w:szCs w:val="24"/>
        </w:rPr>
      </w:pPr>
    </w:p>
    <w:p w:rsidR="005D2F96" w:rsidRPr="00C10DE4" w:rsidRDefault="005D2F96" w:rsidP="005D2F96">
      <w:pPr>
        <w:ind w:firstLine="851"/>
        <w:rPr>
          <w:i/>
          <w:sz w:val="24"/>
          <w:szCs w:val="24"/>
        </w:rPr>
      </w:pPr>
      <w:r w:rsidRPr="00C10DE4">
        <w:rPr>
          <w:i/>
          <w:sz w:val="24"/>
          <w:szCs w:val="24"/>
        </w:rPr>
        <w:t>Sekundær leukæmi:</w:t>
      </w:r>
    </w:p>
    <w:p w:rsidR="005D2F96" w:rsidRPr="00C10DE4" w:rsidRDefault="005D2F96" w:rsidP="005D2F96">
      <w:pPr>
        <w:ind w:left="851"/>
        <w:rPr>
          <w:sz w:val="24"/>
          <w:szCs w:val="24"/>
        </w:rPr>
      </w:pPr>
      <w:r w:rsidRPr="00C10DE4">
        <w:rPr>
          <w:sz w:val="24"/>
          <w:szCs w:val="24"/>
        </w:rPr>
        <w:t xml:space="preserve">Sekundær leukæmi, med eller uden præleukæmisk fase, er rapporteret hos patienter behandlet med </w:t>
      </w:r>
      <w:proofErr w:type="spellStart"/>
      <w:r w:rsidRPr="00C10DE4">
        <w:rPr>
          <w:sz w:val="24"/>
          <w:szCs w:val="24"/>
        </w:rPr>
        <w:t>antracycliner</w:t>
      </w:r>
      <w:proofErr w:type="spellEnd"/>
      <w:r w:rsidRPr="00C10DE4">
        <w:rPr>
          <w:sz w:val="24"/>
          <w:szCs w:val="24"/>
        </w:rPr>
        <w:t xml:space="preserve">, herunder </w:t>
      </w:r>
      <w:proofErr w:type="spellStart"/>
      <w:r w:rsidRPr="00C10DE4">
        <w:rPr>
          <w:sz w:val="24"/>
          <w:szCs w:val="24"/>
        </w:rPr>
        <w:t>idarubicin</w:t>
      </w:r>
      <w:proofErr w:type="spellEnd"/>
      <w:r w:rsidRPr="00C10DE4">
        <w:rPr>
          <w:sz w:val="24"/>
          <w:szCs w:val="24"/>
        </w:rPr>
        <w:t xml:space="preserve">. Sekundær leukæmi er mere almindelig, når </w:t>
      </w:r>
      <w:proofErr w:type="spellStart"/>
      <w:r w:rsidRPr="00C10DE4">
        <w:rPr>
          <w:sz w:val="24"/>
          <w:szCs w:val="24"/>
        </w:rPr>
        <w:t>antracycliner</w:t>
      </w:r>
      <w:proofErr w:type="spellEnd"/>
      <w:r w:rsidRPr="00C10DE4">
        <w:rPr>
          <w:sz w:val="24"/>
          <w:szCs w:val="24"/>
        </w:rPr>
        <w:t xml:space="preserve"> gives i kombination med andre </w:t>
      </w:r>
      <w:proofErr w:type="spellStart"/>
      <w:r w:rsidRPr="00C10DE4">
        <w:rPr>
          <w:sz w:val="24"/>
          <w:szCs w:val="24"/>
        </w:rPr>
        <w:t>antineoplastiske</w:t>
      </w:r>
      <w:proofErr w:type="spellEnd"/>
      <w:r w:rsidRPr="00C10DE4">
        <w:rPr>
          <w:sz w:val="24"/>
          <w:szCs w:val="24"/>
        </w:rPr>
        <w:t xml:space="preserve"> midler med skadelig virkning på DNA, når patienterne er blevet kraftigt præmedicineret med </w:t>
      </w:r>
      <w:proofErr w:type="spellStart"/>
      <w:r w:rsidRPr="00C10DE4">
        <w:rPr>
          <w:sz w:val="24"/>
          <w:szCs w:val="24"/>
        </w:rPr>
        <w:t>cytostatika</w:t>
      </w:r>
      <w:proofErr w:type="spellEnd"/>
      <w:r w:rsidRPr="00C10DE4">
        <w:rPr>
          <w:sz w:val="24"/>
          <w:szCs w:val="24"/>
        </w:rPr>
        <w:t xml:space="preserve">, eller ved dosiseskalering af </w:t>
      </w:r>
      <w:proofErr w:type="spellStart"/>
      <w:r w:rsidRPr="00C10DE4">
        <w:rPr>
          <w:sz w:val="24"/>
          <w:szCs w:val="24"/>
        </w:rPr>
        <w:t>antracyclin</w:t>
      </w:r>
      <w:proofErr w:type="spellEnd"/>
      <w:r w:rsidRPr="00C10DE4">
        <w:rPr>
          <w:sz w:val="24"/>
          <w:szCs w:val="24"/>
        </w:rPr>
        <w:t>. Disse typer leukæmi kan have en latenstid på 1-3 år.</w:t>
      </w:r>
    </w:p>
    <w:p w:rsidR="005D2F96" w:rsidRPr="00C10DE4" w:rsidRDefault="005D2F96" w:rsidP="005D2F96">
      <w:pPr>
        <w:ind w:left="851" w:hanging="851"/>
        <w:rPr>
          <w:sz w:val="24"/>
          <w:szCs w:val="24"/>
        </w:rPr>
      </w:pPr>
    </w:p>
    <w:p w:rsidR="005D2F96" w:rsidRPr="00C10DE4" w:rsidRDefault="005D2F96" w:rsidP="005D2F96">
      <w:pPr>
        <w:ind w:left="851"/>
        <w:rPr>
          <w:i/>
          <w:sz w:val="24"/>
          <w:szCs w:val="24"/>
        </w:rPr>
      </w:pPr>
      <w:proofErr w:type="spellStart"/>
      <w:r w:rsidRPr="00C10DE4">
        <w:rPr>
          <w:i/>
          <w:sz w:val="24"/>
          <w:szCs w:val="24"/>
        </w:rPr>
        <w:t>Gastrointestinal</w:t>
      </w:r>
      <w:proofErr w:type="spellEnd"/>
      <w:r w:rsidRPr="00C10DE4">
        <w:rPr>
          <w:i/>
          <w:sz w:val="24"/>
          <w:szCs w:val="24"/>
        </w:rPr>
        <w:t xml:space="preserve"> påvirkning:</w:t>
      </w:r>
    </w:p>
    <w:p w:rsidR="005D2F96" w:rsidRPr="00C10DE4" w:rsidRDefault="005D2F96" w:rsidP="005D2F96">
      <w:pPr>
        <w:ind w:left="851"/>
        <w:rPr>
          <w:spacing w:val="-3"/>
          <w:sz w:val="24"/>
          <w:szCs w:val="24"/>
        </w:rPr>
      </w:pPr>
      <w:r w:rsidRPr="00C10DE4">
        <w:rPr>
          <w:spacing w:val="-3"/>
          <w:sz w:val="24"/>
          <w:szCs w:val="24"/>
        </w:rPr>
        <w:t xml:space="preserve">Opkastning kan forekomme under behandling med </w:t>
      </w:r>
      <w:proofErr w:type="spellStart"/>
      <w:r w:rsidRPr="00C10DE4">
        <w:rPr>
          <w:spacing w:val="-3"/>
          <w:sz w:val="24"/>
          <w:szCs w:val="24"/>
        </w:rPr>
        <w:t>idarubicin</w:t>
      </w:r>
      <w:proofErr w:type="spellEnd"/>
      <w:r w:rsidRPr="00C10DE4">
        <w:rPr>
          <w:spacing w:val="-3"/>
          <w:sz w:val="24"/>
          <w:szCs w:val="24"/>
        </w:rPr>
        <w:t xml:space="preserve">. </w:t>
      </w:r>
      <w:proofErr w:type="spellStart"/>
      <w:r w:rsidRPr="00C10DE4">
        <w:rPr>
          <w:spacing w:val="-3"/>
          <w:sz w:val="24"/>
          <w:szCs w:val="24"/>
        </w:rPr>
        <w:t>Mucosit</w:t>
      </w:r>
      <w:proofErr w:type="spellEnd"/>
      <w:r w:rsidRPr="00C10DE4">
        <w:rPr>
          <w:spacing w:val="-3"/>
          <w:sz w:val="24"/>
          <w:szCs w:val="24"/>
        </w:rPr>
        <w:t xml:space="preserve"> (oftest </w:t>
      </w:r>
      <w:proofErr w:type="spellStart"/>
      <w:r w:rsidRPr="00C10DE4">
        <w:rPr>
          <w:spacing w:val="-3"/>
          <w:sz w:val="24"/>
          <w:szCs w:val="24"/>
        </w:rPr>
        <w:t>stomatit</w:t>
      </w:r>
      <w:proofErr w:type="spellEnd"/>
      <w:r w:rsidRPr="00C10DE4">
        <w:rPr>
          <w:spacing w:val="-3"/>
          <w:sz w:val="24"/>
          <w:szCs w:val="24"/>
        </w:rPr>
        <w:t xml:space="preserve">, sjældnere </w:t>
      </w:r>
      <w:proofErr w:type="spellStart"/>
      <w:r w:rsidRPr="00C10DE4">
        <w:rPr>
          <w:spacing w:val="-3"/>
          <w:sz w:val="24"/>
          <w:szCs w:val="24"/>
        </w:rPr>
        <w:t>øsofagit</w:t>
      </w:r>
      <w:proofErr w:type="spellEnd"/>
      <w:r w:rsidRPr="00C10DE4">
        <w:rPr>
          <w:spacing w:val="-3"/>
          <w:sz w:val="24"/>
          <w:szCs w:val="24"/>
        </w:rPr>
        <w:t xml:space="preserve">) forekommer generelt hurtigt efter administration af </w:t>
      </w:r>
      <w:proofErr w:type="spellStart"/>
      <w:r w:rsidRPr="00C10DE4">
        <w:rPr>
          <w:spacing w:val="-3"/>
          <w:sz w:val="24"/>
          <w:szCs w:val="24"/>
        </w:rPr>
        <w:t>idarubicin</w:t>
      </w:r>
      <w:proofErr w:type="spellEnd"/>
      <w:r w:rsidRPr="00C10DE4">
        <w:rPr>
          <w:spacing w:val="-3"/>
          <w:sz w:val="24"/>
          <w:szCs w:val="24"/>
        </w:rPr>
        <w:t xml:space="preserve"> og kan i alvorlige tilfælde udvikles til </w:t>
      </w:r>
      <w:proofErr w:type="spellStart"/>
      <w:r w:rsidRPr="00C10DE4">
        <w:rPr>
          <w:spacing w:val="-3"/>
          <w:sz w:val="24"/>
          <w:szCs w:val="24"/>
        </w:rPr>
        <w:t>ulceration</w:t>
      </w:r>
      <w:proofErr w:type="spellEnd"/>
      <w:r w:rsidRPr="00C10DE4">
        <w:rPr>
          <w:spacing w:val="-3"/>
          <w:sz w:val="24"/>
          <w:szCs w:val="24"/>
        </w:rPr>
        <w:t xml:space="preserve"> af slimhinden i løbet af få dage. De fleste patienter oplever bedring i 3. behandlingsuge.</w:t>
      </w:r>
    </w:p>
    <w:p w:rsidR="005D2F96" w:rsidRPr="00C10DE4" w:rsidRDefault="005D2F96" w:rsidP="005D2F96">
      <w:pPr>
        <w:ind w:left="851"/>
        <w:rPr>
          <w:i/>
          <w:spacing w:val="-3"/>
          <w:sz w:val="24"/>
          <w:szCs w:val="24"/>
        </w:rPr>
      </w:pPr>
      <w:r w:rsidRPr="00C10DE4">
        <w:rPr>
          <w:spacing w:val="-3"/>
          <w:sz w:val="24"/>
          <w:szCs w:val="24"/>
        </w:rPr>
        <w:lastRenderedPageBreak/>
        <w:t xml:space="preserve">Der er lejlighedsvis set episoder med alvorlige </w:t>
      </w:r>
      <w:proofErr w:type="spellStart"/>
      <w:r w:rsidRPr="00C10DE4">
        <w:rPr>
          <w:spacing w:val="-3"/>
          <w:sz w:val="24"/>
          <w:szCs w:val="24"/>
        </w:rPr>
        <w:t>gastrointestinale</w:t>
      </w:r>
      <w:proofErr w:type="spellEnd"/>
      <w:r w:rsidRPr="00C10DE4">
        <w:rPr>
          <w:spacing w:val="-3"/>
          <w:sz w:val="24"/>
          <w:szCs w:val="24"/>
        </w:rPr>
        <w:t xml:space="preserve"> bivirkninger (som perforering eller blødning) hos patienter, der får oral </w:t>
      </w:r>
      <w:proofErr w:type="spellStart"/>
      <w:r w:rsidRPr="00C10DE4">
        <w:rPr>
          <w:spacing w:val="-3"/>
          <w:sz w:val="24"/>
          <w:szCs w:val="24"/>
        </w:rPr>
        <w:t>idarubicin</w:t>
      </w:r>
      <w:proofErr w:type="spellEnd"/>
      <w:r w:rsidRPr="00C10DE4">
        <w:rPr>
          <w:spacing w:val="-3"/>
          <w:sz w:val="24"/>
          <w:szCs w:val="24"/>
        </w:rPr>
        <w:t xml:space="preserve">. Disse patienter havde akut leukæmi eller har haft andre patologier i anamnesen eller har fået medicin, som er kendt for at give </w:t>
      </w:r>
      <w:proofErr w:type="spellStart"/>
      <w:r w:rsidRPr="00C10DE4">
        <w:rPr>
          <w:spacing w:val="-3"/>
          <w:sz w:val="24"/>
          <w:szCs w:val="24"/>
        </w:rPr>
        <w:t>g</w:t>
      </w:r>
      <w:r w:rsidRPr="00C10DE4">
        <w:rPr>
          <w:sz w:val="24"/>
          <w:szCs w:val="24"/>
        </w:rPr>
        <w:t>astrointestinal</w:t>
      </w:r>
      <w:r w:rsidRPr="00C10DE4">
        <w:rPr>
          <w:spacing w:val="-3"/>
          <w:sz w:val="24"/>
          <w:szCs w:val="24"/>
        </w:rPr>
        <w:t>e</w:t>
      </w:r>
      <w:proofErr w:type="spellEnd"/>
      <w:r w:rsidRPr="00C10DE4">
        <w:rPr>
          <w:spacing w:val="-3"/>
          <w:sz w:val="24"/>
          <w:szCs w:val="24"/>
        </w:rPr>
        <w:t xml:space="preserve"> komplikationer. Hos patienter med aktiv </w:t>
      </w:r>
      <w:proofErr w:type="spellStart"/>
      <w:r w:rsidRPr="00C10DE4">
        <w:rPr>
          <w:spacing w:val="-3"/>
          <w:sz w:val="24"/>
          <w:szCs w:val="24"/>
        </w:rPr>
        <w:t>gastrointestinal</w:t>
      </w:r>
      <w:proofErr w:type="spellEnd"/>
      <w:r w:rsidRPr="00C10DE4">
        <w:rPr>
          <w:spacing w:val="-3"/>
          <w:sz w:val="24"/>
          <w:szCs w:val="24"/>
        </w:rPr>
        <w:t xml:space="preserve"> sygdom, som har en øget risiko for blødning og/eller perforering, må lægen overveje fordelen af oral </w:t>
      </w:r>
      <w:proofErr w:type="spellStart"/>
      <w:r w:rsidRPr="00C10DE4">
        <w:rPr>
          <w:spacing w:val="-3"/>
          <w:sz w:val="24"/>
          <w:szCs w:val="24"/>
        </w:rPr>
        <w:t>idarubicin</w:t>
      </w:r>
      <w:proofErr w:type="spellEnd"/>
      <w:r w:rsidRPr="00C10DE4">
        <w:rPr>
          <w:spacing w:val="-3"/>
          <w:sz w:val="24"/>
          <w:szCs w:val="24"/>
        </w:rPr>
        <w:t xml:space="preserve"> mod risikoen.</w:t>
      </w:r>
    </w:p>
    <w:p w:rsidR="005D2F96" w:rsidRPr="00C10DE4" w:rsidRDefault="005D2F96" w:rsidP="005D2F96">
      <w:pPr>
        <w:ind w:left="851"/>
        <w:rPr>
          <w:spacing w:val="-3"/>
          <w:sz w:val="24"/>
          <w:szCs w:val="24"/>
        </w:rPr>
      </w:pPr>
    </w:p>
    <w:p w:rsidR="005D2F96" w:rsidRPr="001A05B0" w:rsidRDefault="005D2F96" w:rsidP="005D2F96">
      <w:pPr>
        <w:ind w:left="851"/>
        <w:rPr>
          <w:i/>
          <w:sz w:val="24"/>
          <w:szCs w:val="24"/>
        </w:rPr>
      </w:pPr>
      <w:r w:rsidRPr="001A05B0">
        <w:rPr>
          <w:i/>
          <w:sz w:val="24"/>
          <w:szCs w:val="24"/>
        </w:rPr>
        <w:t>Lever og/eller nyrefunktion:</w:t>
      </w:r>
    </w:p>
    <w:p w:rsidR="005D2F96" w:rsidRPr="00C10DE4" w:rsidRDefault="005D2F96" w:rsidP="005D2F96">
      <w:pPr>
        <w:ind w:left="851"/>
        <w:rPr>
          <w:sz w:val="24"/>
          <w:szCs w:val="24"/>
        </w:rPr>
      </w:pPr>
      <w:r w:rsidRPr="00C10DE4">
        <w:rPr>
          <w:sz w:val="24"/>
          <w:szCs w:val="24"/>
        </w:rPr>
        <w:t xml:space="preserve">Nedsat lever- eller nyrefunktion kan påvirke omsætningen af </w:t>
      </w:r>
      <w:proofErr w:type="spellStart"/>
      <w:r w:rsidRPr="00C10DE4">
        <w:rPr>
          <w:sz w:val="24"/>
          <w:szCs w:val="24"/>
        </w:rPr>
        <w:t>idarubicin</w:t>
      </w:r>
      <w:proofErr w:type="spellEnd"/>
      <w:r w:rsidRPr="00C10DE4">
        <w:rPr>
          <w:sz w:val="24"/>
          <w:szCs w:val="24"/>
        </w:rPr>
        <w:t xml:space="preserve">. Lever- og nyrefunktionen skal derfor vurderes ved laboratorieundersøgelser (bilirubin og </w:t>
      </w:r>
      <w:proofErr w:type="spellStart"/>
      <w:r w:rsidRPr="00C10DE4">
        <w:rPr>
          <w:sz w:val="24"/>
          <w:szCs w:val="24"/>
        </w:rPr>
        <w:t>creatinin</w:t>
      </w:r>
      <w:proofErr w:type="spellEnd"/>
      <w:r w:rsidRPr="00C10DE4">
        <w:rPr>
          <w:sz w:val="24"/>
          <w:szCs w:val="24"/>
        </w:rPr>
        <w:t xml:space="preserve">) før og under behandlingen. I de forskellige kliniske fase III-forsøg var behandling med </w:t>
      </w:r>
      <w:proofErr w:type="spellStart"/>
      <w:r w:rsidRPr="00C10DE4">
        <w:rPr>
          <w:sz w:val="24"/>
          <w:szCs w:val="24"/>
        </w:rPr>
        <w:t>idarubicin</w:t>
      </w:r>
      <w:proofErr w:type="spellEnd"/>
      <w:r w:rsidRPr="00C10DE4">
        <w:rPr>
          <w:sz w:val="24"/>
          <w:szCs w:val="24"/>
        </w:rPr>
        <w:t xml:space="preserve"> kontraindiceret, hvis bilirubin og/eller </w:t>
      </w:r>
      <w:proofErr w:type="spellStart"/>
      <w:r w:rsidRPr="00C10DE4">
        <w:rPr>
          <w:sz w:val="24"/>
          <w:szCs w:val="24"/>
        </w:rPr>
        <w:t>serumkreatininniveauerne</w:t>
      </w:r>
      <w:proofErr w:type="spellEnd"/>
      <w:r w:rsidRPr="00C10DE4">
        <w:rPr>
          <w:sz w:val="24"/>
          <w:szCs w:val="24"/>
        </w:rPr>
        <w:t xml:space="preserve"> oversteg 2,0 mg %. For andre </w:t>
      </w:r>
      <w:proofErr w:type="spellStart"/>
      <w:r w:rsidRPr="00C10DE4">
        <w:rPr>
          <w:sz w:val="24"/>
          <w:szCs w:val="24"/>
        </w:rPr>
        <w:t>anthracycliner</w:t>
      </w:r>
      <w:proofErr w:type="spellEnd"/>
      <w:r w:rsidRPr="00C10DE4">
        <w:rPr>
          <w:sz w:val="24"/>
          <w:szCs w:val="24"/>
        </w:rPr>
        <w:t xml:space="preserve"> anvendes generelt en 50 % dosisreduktion, hvis bilirubinniveauerne er i et område mellem 1,2-2,0 mg %.</w:t>
      </w:r>
    </w:p>
    <w:p w:rsidR="005D2F96" w:rsidRPr="00C10DE4" w:rsidRDefault="005D2F96" w:rsidP="005D2F96">
      <w:pPr>
        <w:ind w:left="851"/>
        <w:rPr>
          <w:i/>
          <w:sz w:val="24"/>
          <w:szCs w:val="24"/>
        </w:rPr>
      </w:pPr>
    </w:p>
    <w:p w:rsidR="005D2F96" w:rsidRPr="00C10DE4" w:rsidRDefault="005D2F96" w:rsidP="005D2F96">
      <w:pPr>
        <w:ind w:left="851"/>
        <w:rPr>
          <w:i/>
          <w:sz w:val="24"/>
          <w:szCs w:val="24"/>
        </w:rPr>
      </w:pPr>
      <w:r w:rsidRPr="00C10DE4">
        <w:rPr>
          <w:i/>
          <w:sz w:val="24"/>
          <w:szCs w:val="24"/>
        </w:rPr>
        <w:t>Reaktioner på injektionsstedet:</w:t>
      </w:r>
    </w:p>
    <w:p w:rsidR="005D2F96" w:rsidRPr="00C10DE4" w:rsidRDefault="005D2F96" w:rsidP="005D2F96">
      <w:pPr>
        <w:ind w:left="851"/>
        <w:rPr>
          <w:sz w:val="24"/>
          <w:szCs w:val="24"/>
        </w:rPr>
      </w:pPr>
      <w:r w:rsidRPr="00C10DE4">
        <w:rPr>
          <w:sz w:val="24"/>
          <w:szCs w:val="24"/>
        </w:rPr>
        <w:t xml:space="preserve">Injektion i små blodkar eller gentagne injektioner i samme vene kan føre til </w:t>
      </w:r>
      <w:proofErr w:type="spellStart"/>
      <w:r w:rsidRPr="00C10DE4">
        <w:rPr>
          <w:sz w:val="24"/>
          <w:szCs w:val="24"/>
        </w:rPr>
        <w:t>flebosklerose</w:t>
      </w:r>
      <w:proofErr w:type="spellEnd"/>
      <w:r w:rsidRPr="00C10DE4">
        <w:rPr>
          <w:sz w:val="24"/>
          <w:szCs w:val="24"/>
        </w:rPr>
        <w:t xml:space="preserve">. Ved at følge den anbefalede administrationsprocedure kan risikoen for </w:t>
      </w:r>
      <w:proofErr w:type="spellStart"/>
      <w:r w:rsidRPr="00C10DE4">
        <w:rPr>
          <w:sz w:val="24"/>
          <w:szCs w:val="24"/>
        </w:rPr>
        <w:t>fleblit</w:t>
      </w:r>
      <w:proofErr w:type="spellEnd"/>
      <w:r w:rsidRPr="00C10DE4">
        <w:rPr>
          <w:sz w:val="24"/>
          <w:szCs w:val="24"/>
        </w:rPr>
        <w:t>/</w:t>
      </w:r>
      <w:proofErr w:type="spellStart"/>
      <w:r w:rsidRPr="00C10DE4">
        <w:rPr>
          <w:sz w:val="24"/>
          <w:szCs w:val="24"/>
        </w:rPr>
        <w:t>tromboflebit</w:t>
      </w:r>
      <w:proofErr w:type="spellEnd"/>
      <w:r w:rsidRPr="00C10DE4">
        <w:rPr>
          <w:sz w:val="24"/>
          <w:szCs w:val="24"/>
        </w:rPr>
        <w:t xml:space="preserve"> minimeres på injektionsstedet.</w:t>
      </w:r>
    </w:p>
    <w:p w:rsidR="005D2F96" w:rsidRPr="00C10DE4" w:rsidRDefault="005D2F96" w:rsidP="005D2F96">
      <w:pPr>
        <w:ind w:left="851"/>
        <w:rPr>
          <w:i/>
          <w:sz w:val="24"/>
          <w:szCs w:val="24"/>
        </w:rPr>
      </w:pPr>
    </w:p>
    <w:p w:rsidR="005D2F96" w:rsidRPr="00C10DE4" w:rsidRDefault="005D2F96" w:rsidP="005D2F96">
      <w:pPr>
        <w:ind w:left="851"/>
        <w:rPr>
          <w:i/>
          <w:sz w:val="24"/>
          <w:szCs w:val="24"/>
        </w:rPr>
      </w:pPr>
      <w:proofErr w:type="spellStart"/>
      <w:r w:rsidRPr="00C10DE4">
        <w:rPr>
          <w:i/>
          <w:sz w:val="24"/>
          <w:szCs w:val="24"/>
        </w:rPr>
        <w:t>Ekstravasation</w:t>
      </w:r>
      <w:proofErr w:type="spellEnd"/>
      <w:r w:rsidRPr="00C10DE4">
        <w:rPr>
          <w:i/>
          <w:sz w:val="24"/>
          <w:szCs w:val="24"/>
        </w:rPr>
        <w:t>:</w:t>
      </w:r>
    </w:p>
    <w:p w:rsidR="005D2F96" w:rsidRPr="00C10DE4" w:rsidRDefault="005D2F96" w:rsidP="005D2F96">
      <w:pPr>
        <w:ind w:left="851"/>
        <w:rPr>
          <w:sz w:val="24"/>
          <w:szCs w:val="24"/>
        </w:rPr>
      </w:pPr>
      <w:proofErr w:type="spellStart"/>
      <w:r w:rsidRPr="00C10DE4">
        <w:rPr>
          <w:sz w:val="24"/>
          <w:szCs w:val="24"/>
        </w:rPr>
        <w:t>Ekstravasation</w:t>
      </w:r>
      <w:proofErr w:type="spellEnd"/>
      <w:r w:rsidRPr="00C10DE4">
        <w:rPr>
          <w:sz w:val="24"/>
          <w:szCs w:val="24"/>
        </w:rPr>
        <w:t xml:space="preserve"> af </w:t>
      </w:r>
      <w:proofErr w:type="spellStart"/>
      <w:r w:rsidRPr="00C10DE4">
        <w:rPr>
          <w:sz w:val="24"/>
          <w:szCs w:val="24"/>
        </w:rPr>
        <w:t>idarubicin</w:t>
      </w:r>
      <w:proofErr w:type="spellEnd"/>
      <w:r w:rsidRPr="00C10DE4">
        <w:rPr>
          <w:sz w:val="24"/>
          <w:szCs w:val="24"/>
        </w:rPr>
        <w:t xml:space="preserve"> ved injektion kan forårsage lokal smerte, alvorlig vævsbeskadigelse (blæredannelse, alvorlig </w:t>
      </w:r>
      <w:proofErr w:type="spellStart"/>
      <w:r w:rsidRPr="00C10DE4">
        <w:rPr>
          <w:sz w:val="24"/>
          <w:szCs w:val="24"/>
        </w:rPr>
        <w:t>cellulit</w:t>
      </w:r>
      <w:proofErr w:type="spellEnd"/>
      <w:r w:rsidRPr="00C10DE4">
        <w:rPr>
          <w:sz w:val="24"/>
          <w:szCs w:val="24"/>
        </w:rPr>
        <w:t xml:space="preserve">), og nekrose. Ved tegn eller symptomer på </w:t>
      </w:r>
      <w:proofErr w:type="spellStart"/>
      <w:r w:rsidRPr="00C10DE4">
        <w:rPr>
          <w:sz w:val="24"/>
          <w:szCs w:val="24"/>
        </w:rPr>
        <w:t>ekstravasation</w:t>
      </w:r>
      <w:proofErr w:type="spellEnd"/>
      <w:r w:rsidRPr="00C10DE4">
        <w:rPr>
          <w:sz w:val="24"/>
          <w:szCs w:val="24"/>
        </w:rPr>
        <w:t xml:space="preserve"> under intravenøs administration af </w:t>
      </w:r>
      <w:proofErr w:type="spellStart"/>
      <w:r w:rsidRPr="00C10DE4">
        <w:rPr>
          <w:sz w:val="24"/>
          <w:szCs w:val="24"/>
        </w:rPr>
        <w:t>idarubicin</w:t>
      </w:r>
      <w:proofErr w:type="spellEnd"/>
      <w:r w:rsidRPr="00C10DE4">
        <w:rPr>
          <w:sz w:val="24"/>
          <w:szCs w:val="24"/>
        </w:rPr>
        <w:t xml:space="preserve"> skal infusionen omgående stoppes. </w:t>
      </w:r>
    </w:p>
    <w:p w:rsidR="005D2F96" w:rsidRPr="00C10DE4" w:rsidRDefault="005D2F96" w:rsidP="005D2F96">
      <w:pPr>
        <w:ind w:left="851"/>
        <w:rPr>
          <w:i/>
          <w:sz w:val="24"/>
          <w:szCs w:val="24"/>
        </w:rPr>
      </w:pPr>
      <w:proofErr w:type="spellStart"/>
      <w:r w:rsidRPr="00C10DE4">
        <w:rPr>
          <w:sz w:val="24"/>
          <w:szCs w:val="24"/>
        </w:rPr>
        <w:t>Dexrazoxan</w:t>
      </w:r>
      <w:proofErr w:type="spellEnd"/>
      <w:r w:rsidRPr="00C10DE4">
        <w:rPr>
          <w:sz w:val="24"/>
          <w:szCs w:val="24"/>
        </w:rPr>
        <w:t xml:space="preserve"> kan anvendes til at undgå eller nedsætte vævsbeskadigelse ved </w:t>
      </w:r>
      <w:proofErr w:type="spellStart"/>
      <w:r w:rsidRPr="00C10DE4">
        <w:rPr>
          <w:sz w:val="24"/>
          <w:szCs w:val="24"/>
        </w:rPr>
        <w:t>ekstravasation</w:t>
      </w:r>
      <w:proofErr w:type="spellEnd"/>
      <w:r w:rsidRPr="00C10DE4">
        <w:rPr>
          <w:sz w:val="24"/>
          <w:szCs w:val="24"/>
        </w:rPr>
        <w:t>.</w:t>
      </w:r>
    </w:p>
    <w:p w:rsidR="005D2F96" w:rsidRPr="00C10DE4" w:rsidRDefault="005D2F96" w:rsidP="005D2F96">
      <w:pPr>
        <w:ind w:left="851"/>
        <w:rPr>
          <w:i/>
          <w:sz w:val="24"/>
          <w:szCs w:val="24"/>
        </w:rPr>
      </w:pPr>
    </w:p>
    <w:p w:rsidR="005D2F96" w:rsidRPr="00C10DE4" w:rsidRDefault="005D2F96" w:rsidP="005D2F96">
      <w:pPr>
        <w:ind w:left="851"/>
        <w:rPr>
          <w:i/>
          <w:sz w:val="24"/>
          <w:szCs w:val="24"/>
        </w:rPr>
      </w:pPr>
      <w:r w:rsidRPr="00C10DE4">
        <w:rPr>
          <w:i/>
          <w:sz w:val="24"/>
          <w:szCs w:val="24"/>
        </w:rPr>
        <w:t>Tumorlysesyndrom:</w:t>
      </w:r>
    </w:p>
    <w:p w:rsidR="005D2F96" w:rsidRPr="00C10DE4" w:rsidRDefault="005D2F96" w:rsidP="005D2F96">
      <w:pPr>
        <w:ind w:left="851"/>
        <w:rPr>
          <w:sz w:val="24"/>
          <w:szCs w:val="24"/>
        </w:rPr>
      </w:pPr>
      <w:proofErr w:type="spellStart"/>
      <w:r w:rsidRPr="00C10DE4">
        <w:rPr>
          <w:sz w:val="24"/>
          <w:szCs w:val="24"/>
        </w:rPr>
        <w:t>Idarubicin</w:t>
      </w:r>
      <w:proofErr w:type="spellEnd"/>
      <w:r w:rsidRPr="00C10DE4">
        <w:rPr>
          <w:sz w:val="24"/>
          <w:szCs w:val="24"/>
        </w:rPr>
        <w:t xml:space="preserve"> kan inducere </w:t>
      </w:r>
      <w:proofErr w:type="spellStart"/>
      <w:r w:rsidRPr="00C10DE4">
        <w:rPr>
          <w:sz w:val="24"/>
          <w:szCs w:val="24"/>
        </w:rPr>
        <w:t>hyperurikæmi</w:t>
      </w:r>
      <w:proofErr w:type="spellEnd"/>
      <w:r w:rsidRPr="00C10DE4">
        <w:rPr>
          <w:sz w:val="24"/>
          <w:szCs w:val="24"/>
        </w:rPr>
        <w:t xml:space="preserve"> pga. den omfattende </w:t>
      </w:r>
      <w:proofErr w:type="spellStart"/>
      <w:r w:rsidRPr="00C10DE4">
        <w:rPr>
          <w:sz w:val="24"/>
          <w:szCs w:val="24"/>
        </w:rPr>
        <w:t>purin</w:t>
      </w:r>
      <w:r w:rsidRPr="00C10DE4">
        <w:rPr>
          <w:sz w:val="24"/>
          <w:szCs w:val="24"/>
        </w:rPr>
        <w:noBreakHyphen/>
        <w:t>katabolisme</w:t>
      </w:r>
      <w:proofErr w:type="spellEnd"/>
      <w:r w:rsidRPr="00C10DE4">
        <w:rPr>
          <w:sz w:val="24"/>
          <w:szCs w:val="24"/>
        </w:rPr>
        <w:t xml:space="preserve"> som følge af kraftigt henfald af neoplastiske celler (tumorlysesyndrom). </w:t>
      </w:r>
      <w:proofErr w:type="spellStart"/>
      <w:r w:rsidRPr="00C10DE4">
        <w:rPr>
          <w:sz w:val="24"/>
          <w:szCs w:val="24"/>
        </w:rPr>
        <w:t>Serumcarbamid</w:t>
      </w:r>
      <w:proofErr w:type="spellEnd"/>
      <w:r w:rsidRPr="00C10DE4">
        <w:rPr>
          <w:sz w:val="24"/>
          <w:szCs w:val="24"/>
        </w:rPr>
        <w:t xml:space="preserve">, kalium, calcium, urat, </w:t>
      </w:r>
      <w:proofErr w:type="spellStart"/>
      <w:r w:rsidRPr="00C10DE4">
        <w:rPr>
          <w:sz w:val="24"/>
          <w:szCs w:val="24"/>
        </w:rPr>
        <w:t>phosphat</w:t>
      </w:r>
      <w:proofErr w:type="spellEnd"/>
      <w:r w:rsidRPr="00C10DE4">
        <w:rPr>
          <w:sz w:val="24"/>
          <w:szCs w:val="24"/>
        </w:rPr>
        <w:t xml:space="preserve"> og </w:t>
      </w:r>
      <w:proofErr w:type="spellStart"/>
      <w:r w:rsidRPr="00C10DE4">
        <w:rPr>
          <w:sz w:val="24"/>
          <w:szCs w:val="24"/>
        </w:rPr>
        <w:t>creatinin</w:t>
      </w:r>
      <w:proofErr w:type="spellEnd"/>
      <w:r w:rsidRPr="00C10DE4">
        <w:rPr>
          <w:sz w:val="24"/>
          <w:szCs w:val="24"/>
        </w:rPr>
        <w:t xml:space="preserve"> bør bestemmes efter initialbehandling. </w:t>
      </w:r>
    </w:p>
    <w:p w:rsidR="005D2F96" w:rsidRPr="00C10DE4" w:rsidRDefault="005D2F96" w:rsidP="005D2F96">
      <w:pPr>
        <w:ind w:left="851"/>
        <w:rPr>
          <w:sz w:val="24"/>
          <w:szCs w:val="24"/>
        </w:rPr>
      </w:pPr>
      <w:r w:rsidRPr="00C10DE4">
        <w:rPr>
          <w:sz w:val="24"/>
          <w:szCs w:val="24"/>
        </w:rPr>
        <w:t xml:space="preserve">Tumorlysesyndrom kan minimeres ved væsketilførsel, </w:t>
      </w:r>
      <w:proofErr w:type="spellStart"/>
      <w:r w:rsidRPr="00C10DE4">
        <w:rPr>
          <w:sz w:val="24"/>
          <w:szCs w:val="24"/>
        </w:rPr>
        <w:t>alkalisering</w:t>
      </w:r>
      <w:proofErr w:type="spellEnd"/>
      <w:r w:rsidRPr="00C10DE4">
        <w:rPr>
          <w:sz w:val="24"/>
          <w:szCs w:val="24"/>
        </w:rPr>
        <w:t xml:space="preserve"> af urin og profylaktisk behandling med </w:t>
      </w:r>
      <w:proofErr w:type="spellStart"/>
      <w:r w:rsidRPr="00C10DE4">
        <w:rPr>
          <w:sz w:val="24"/>
          <w:szCs w:val="24"/>
        </w:rPr>
        <w:t>allopurinol</w:t>
      </w:r>
      <w:proofErr w:type="spellEnd"/>
      <w:r w:rsidRPr="00C10DE4">
        <w:rPr>
          <w:sz w:val="24"/>
          <w:szCs w:val="24"/>
        </w:rPr>
        <w:t>.</w:t>
      </w:r>
    </w:p>
    <w:p w:rsidR="005D2F96" w:rsidRPr="00C10DE4" w:rsidRDefault="005D2F96" w:rsidP="005D2F96">
      <w:pPr>
        <w:ind w:left="851"/>
        <w:rPr>
          <w:spacing w:val="-3"/>
          <w:sz w:val="24"/>
          <w:szCs w:val="24"/>
        </w:rPr>
      </w:pPr>
    </w:p>
    <w:p w:rsidR="005D2F96" w:rsidRPr="00C10DE4" w:rsidRDefault="005D2F96" w:rsidP="005D2F96">
      <w:pPr>
        <w:ind w:left="851"/>
        <w:rPr>
          <w:i/>
          <w:spacing w:val="-3"/>
          <w:sz w:val="24"/>
          <w:szCs w:val="24"/>
        </w:rPr>
      </w:pPr>
      <w:r w:rsidRPr="00C10DE4">
        <w:rPr>
          <w:i/>
          <w:spacing w:val="-3"/>
          <w:sz w:val="24"/>
          <w:szCs w:val="24"/>
        </w:rPr>
        <w:t>Immunsupprimerende virkning/øget modtagelighed for infektioner:</w:t>
      </w:r>
    </w:p>
    <w:p w:rsidR="005D2F96" w:rsidRPr="00C10DE4" w:rsidRDefault="005D2F96" w:rsidP="005D2F96">
      <w:pPr>
        <w:ind w:left="851"/>
        <w:rPr>
          <w:spacing w:val="-3"/>
          <w:sz w:val="24"/>
          <w:szCs w:val="24"/>
        </w:rPr>
      </w:pPr>
      <w:r w:rsidRPr="00C10DE4">
        <w:rPr>
          <w:spacing w:val="-3"/>
          <w:sz w:val="24"/>
          <w:szCs w:val="24"/>
        </w:rPr>
        <w:t>Administration af levende eller svækkede vacciner (f.eks</w:t>
      </w:r>
      <w:r>
        <w:rPr>
          <w:spacing w:val="-3"/>
          <w:sz w:val="24"/>
          <w:szCs w:val="24"/>
        </w:rPr>
        <w:t>.</w:t>
      </w:r>
      <w:r w:rsidRPr="00C10DE4">
        <w:rPr>
          <w:spacing w:val="-3"/>
          <w:sz w:val="24"/>
          <w:szCs w:val="24"/>
        </w:rPr>
        <w:t xml:space="preserve"> gul feber) til patienter, der er </w:t>
      </w:r>
      <w:r w:rsidRPr="00C10DE4">
        <w:rPr>
          <w:bCs/>
          <w:color w:val="000000"/>
          <w:sz w:val="24"/>
          <w:szCs w:val="24"/>
        </w:rPr>
        <w:t xml:space="preserve">immunkompromitterede pga. </w:t>
      </w:r>
      <w:proofErr w:type="spellStart"/>
      <w:r w:rsidRPr="00C10DE4">
        <w:rPr>
          <w:bCs/>
          <w:color w:val="000000"/>
          <w:sz w:val="24"/>
          <w:szCs w:val="24"/>
        </w:rPr>
        <w:t>cytostatika</w:t>
      </w:r>
      <w:proofErr w:type="spellEnd"/>
      <w:r w:rsidRPr="00C10DE4">
        <w:rPr>
          <w:bCs/>
          <w:color w:val="000000"/>
          <w:sz w:val="24"/>
          <w:szCs w:val="24"/>
        </w:rPr>
        <w:t xml:space="preserve">, </w:t>
      </w:r>
      <w:r w:rsidRPr="00C10DE4">
        <w:rPr>
          <w:sz w:val="24"/>
          <w:szCs w:val="24"/>
        </w:rPr>
        <w:t>herunder</w:t>
      </w:r>
      <w:r w:rsidRPr="00C10DE4">
        <w:rPr>
          <w:bCs/>
          <w:color w:val="000000"/>
          <w:sz w:val="24"/>
          <w:szCs w:val="24"/>
        </w:rPr>
        <w:t xml:space="preserve"> </w:t>
      </w:r>
      <w:proofErr w:type="spellStart"/>
      <w:r w:rsidRPr="00C10DE4">
        <w:rPr>
          <w:bCs/>
          <w:color w:val="000000"/>
          <w:sz w:val="24"/>
          <w:szCs w:val="24"/>
        </w:rPr>
        <w:t>idarubicin</w:t>
      </w:r>
      <w:proofErr w:type="spellEnd"/>
      <w:r w:rsidRPr="00C10DE4">
        <w:rPr>
          <w:spacing w:val="-3"/>
          <w:sz w:val="24"/>
          <w:szCs w:val="24"/>
        </w:rPr>
        <w:t xml:space="preserve">, kan medføre alvorlige eller fatale infektioner. Patienter, der bliver behandlet med </w:t>
      </w:r>
      <w:proofErr w:type="spellStart"/>
      <w:r w:rsidRPr="00C10DE4">
        <w:rPr>
          <w:spacing w:val="-3"/>
          <w:sz w:val="24"/>
          <w:szCs w:val="24"/>
        </w:rPr>
        <w:t>idarubicin</w:t>
      </w:r>
      <w:proofErr w:type="spellEnd"/>
      <w:r w:rsidRPr="00C10DE4">
        <w:rPr>
          <w:spacing w:val="-3"/>
          <w:sz w:val="24"/>
          <w:szCs w:val="24"/>
        </w:rPr>
        <w:t>, bør ikke vaccineres med levende vaccine. Inaktiverede vacciner kan anvendes, men patientens immunrespons på denne type vaccine kan være nedsat.</w:t>
      </w:r>
    </w:p>
    <w:p w:rsidR="005D2F96" w:rsidRPr="00C10DE4" w:rsidRDefault="005D2F96" w:rsidP="005D2F96">
      <w:pPr>
        <w:ind w:left="851"/>
        <w:rPr>
          <w:i/>
          <w:sz w:val="24"/>
          <w:szCs w:val="24"/>
        </w:rPr>
      </w:pPr>
    </w:p>
    <w:p w:rsidR="009C6769" w:rsidRPr="00C10DE4" w:rsidRDefault="009C6769" w:rsidP="009C6769">
      <w:pPr>
        <w:ind w:left="851"/>
        <w:rPr>
          <w:i/>
          <w:sz w:val="24"/>
          <w:szCs w:val="24"/>
        </w:rPr>
      </w:pPr>
      <w:r w:rsidRPr="00C10DE4">
        <w:rPr>
          <w:i/>
          <w:sz w:val="24"/>
          <w:szCs w:val="24"/>
        </w:rPr>
        <w:t>Reproduktion</w:t>
      </w:r>
    </w:p>
    <w:p w:rsidR="009C6769" w:rsidRPr="00C10DE4" w:rsidRDefault="009C6769" w:rsidP="009C6769">
      <w:pPr>
        <w:ind w:left="851"/>
        <w:rPr>
          <w:i/>
          <w:sz w:val="24"/>
          <w:szCs w:val="24"/>
        </w:rPr>
      </w:pPr>
      <w:bookmarkStart w:id="2" w:name="_Hlk88575628"/>
      <w:proofErr w:type="spellStart"/>
      <w:r>
        <w:rPr>
          <w:sz w:val="24"/>
          <w:szCs w:val="24"/>
        </w:rPr>
        <w:t>Idarubicin</w:t>
      </w:r>
      <w:proofErr w:type="spellEnd"/>
      <w:r>
        <w:rPr>
          <w:sz w:val="24"/>
          <w:szCs w:val="24"/>
        </w:rPr>
        <w:t xml:space="preserve"> kan være genotoksisk. Både m</w:t>
      </w:r>
      <w:r w:rsidRPr="00C10DE4">
        <w:rPr>
          <w:sz w:val="24"/>
          <w:szCs w:val="24"/>
        </w:rPr>
        <w:t>ænd</w:t>
      </w:r>
      <w:r>
        <w:rPr>
          <w:sz w:val="24"/>
          <w:szCs w:val="24"/>
        </w:rPr>
        <w:t xml:space="preserve"> og kvinder</w:t>
      </w:r>
      <w:r w:rsidRPr="00C10DE4">
        <w:rPr>
          <w:sz w:val="24"/>
          <w:szCs w:val="24"/>
        </w:rPr>
        <w:t xml:space="preserve">, der er i behandling med </w:t>
      </w:r>
      <w:proofErr w:type="spellStart"/>
      <w:r w:rsidRPr="00C10DE4">
        <w:rPr>
          <w:sz w:val="24"/>
          <w:szCs w:val="24"/>
        </w:rPr>
        <w:t>idarubicin</w:t>
      </w:r>
      <w:proofErr w:type="spellEnd"/>
      <w:r w:rsidRPr="00C10DE4">
        <w:rPr>
          <w:sz w:val="24"/>
          <w:szCs w:val="24"/>
        </w:rPr>
        <w:t xml:space="preserve">, tilrådes at anvende sikker </w:t>
      </w:r>
      <w:proofErr w:type="spellStart"/>
      <w:r>
        <w:rPr>
          <w:sz w:val="24"/>
          <w:szCs w:val="24"/>
        </w:rPr>
        <w:t>kontraception</w:t>
      </w:r>
      <w:proofErr w:type="spellEnd"/>
      <w:r w:rsidRPr="00C10DE4">
        <w:rPr>
          <w:sz w:val="24"/>
          <w:szCs w:val="24"/>
        </w:rPr>
        <w:t xml:space="preserve"> under behandlingen</w:t>
      </w:r>
      <w:r>
        <w:rPr>
          <w:sz w:val="24"/>
          <w:szCs w:val="24"/>
        </w:rPr>
        <w:t xml:space="preserve"> og i en periode efter behandlingen</w:t>
      </w:r>
      <w:r w:rsidRPr="00C10DE4">
        <w:rPr>
          <w:sz w:val="24"/>
          <w:szCs w:val="24"/>
        </w:rPr>
        <w:t xml:space="preserve">. Hvis det er relevant og tilgængeligt, bør </w:t>
      </w:r>
      <w:r>
        <w:rPr>
          <w:sz w:val="24"/>
          <w:szCs w:val="24"/>
        </w:rPr>
        <w:t xml:space="preserve">mænd, behandlet med </w:t>
      </w:r>
      <w:proofErr w:type="spellStart"/>
      <w:r>
        <w:rPr>
          <w:sz w:val="24"/>
          <w:szCs w:val="24"/>
        </w:rPr>
        <w:t>idarubicinhydrochlorid</w:t>
      </w:r>
      <w:proofErr w:type="spellEnd"/>
      <w:r>
        <w:rPr>
          <w:sz w:val="24"/>
          <w:szCs w:val="24"/>
        </w:rPr>
        <w:t>, informeres om at</w:t>
      </w:r>
      <w:r w:rsidRPr="00C10DE4">
        <w:rPr>
          <w:sz w:val="24"/>
          <w:szCs w:val="24"/>
        </w:rPr>
        <w:t xml:space="preserve"> søge rådgivning om opbevaring af sæd på grund af irreversibel </w:t>
      </w:r>
      <w:proofErr w:type="spellStart"/>
      <w:r w:rsidRPr="00C10DE4">
        <w:rPr>
          <w:sz w:val="24"/>
          <w:szCs w:val="24"/>
        </w:rPr>
        <w:t>infertilitet</w:t>
      </w:r>
      <w:proofErr w:type="spellEnd"/>
      <w:r w:rsidRPr="00C10DE4">
        <w:rPr>
          <w:sz w:val="24"/>
          <w:szCs w:val="24"/>
        </w:rPr>
        <w:t xml:space="preserve"> forårsaget af behandling (se pkt. 4.6). </w:t>
      </w:r>
      <w:r>
        <w:rPr>
          <w:sz w:val="24"/>
          <w:szCs w:val="24"/>
        </w:rPr>
        <w:t>Patienter, der ønsker at få børn efter endt behandling, bør rådgives om at diskutere dette med en specialist først.</w:t>
      </w:r>
      <w:bookmarkEnd w:id="2"/>
    </w:p>
    <w:p w:rsidR="005D2F96" w:rsidRDefault="005D2F96" w:rsidP="009C6769">
      <w:pPr>
        <w:rPr>
          <w:i/>
          <w:sz w:val="24"/>
          <w:szCs w:val="24"/>
        </w:rPr>
      </w:pPr>
    </w:p>
    <w:p w:rsidR="009C6769" w:rsidRDefault="009C6769" w:rsidP="009C6769">
      <w:pPr>
        <w:rPr>
          <w:sz w:val="24"/>
          <w:szCs w:val="24"/>
        </w:rPr>
      </w:pPr>
    </w:p>
    <w:p w:rsidR="009C6769" w:rsidRPr="00C10DE4" w:rsidRDefault="009C6769" w:rsidP="009C6769">
      <w:pPr>
        <w:rPr>
          <w:sz w:val="24"/>
          <w:szCs w:val="24"/>
        </w:rPr>
      </w:pPr>
    </w:p>
    <w:p w:rsidR="005D2F96" w:rsidRPr="00C10DE4" w:rsidRDefault="005D2F96" w:rsidP="005D2F96">
      <w:pPr>
        <w:ind w:left="851"/>
        <w:rPr>
          <w:sz w:val="24"/>
          <w:szCs w:val="24"/>
        </w:rPr>
      </w:pPr>
      <w:r w:rsidRPr="00C10DE4">
        <w:rPr>
          <w:i/>
          <w:sz w:val="24"/>
          <w:szCs w:val="24"/>
        </w:rPr>
        <w:lastRenderedPageBreak/>
        <w:t>Andet</w:t>
      </w:r>
    </w:p>
    <w:p w:rsidR="005D2F96" w:rsidRPr="00C10DE4" w:rsidRDefault="005D2F96" w:rsidP="005D2F96">
      <w:pPr>
        <w:ind w:left="851"/>
        <w:rPr>
          <w:sz w:val="24"/>
          <w:szCs w:val="24"/>
        </w:rPr>
      </w:pPr>
      <w:r w:rsidRPr="00C10DE4">
        <w:rPr>
          <w:sz w:val="24"/>
          <w:szCs w:val="24"/>
        </w:rPr>
        <w:t xml:space="preserve">Som ved andre </w:t>
      </w:r>
      <w:proofErr w:type="spellStart"/>
      <w:r w:rsidRPr="00C10DE4">
        <w:rPr>
          <w:sz w:val="24"/>
          <w:szCs w:val="24"/>
        </w:rPr>
        <w:t>cytostatika</w:t>
      </w:r>
      <w:proofErr w:type="spellEnd"/>
      <w:r w:rsidRPr="00C10DE4">
        <w:rPr>
          <w:sz w:val="24"/>
          <w:szCs w:val="24"/>
        </w:rPr>
        <w:t xml:space="preserve"> er der set enkelte tilfælde af </w:t>
      </w:r>
      <w:proofErr w:type="spellStart"/>
      <w:r w:rsidRPr="00C10DE4">
        <w:rPr>
          <w:sz w:val="24"/>
          <w:szCs w:val="24"/>
        </w:rPr>
        <w:t>tromboflebit</w:t>
      </w:r>
      <w:proofErr w:type="spellEnd"/>
      <w:r w:rsidRPr="00C10DE4">
        <w:rPr>
          <w:sz w:val="24"/>
          <w:szCs w:val="24"/>
        </w:rPr>
        <w:t xml:space="preserve"> og </w:t>
      </w:r>
      <w:proofErr w:type="spellStart"/>
      <w:r w:rsidRPr="00C10DE4">
        <w:rPr>
          <w:sz w:val="24"/>
          <w:szCs w:val="24"/>
        </w:rPr>
        <w:t>tromboemboli</w:t>
      </w:r>
      <w:proofErr w:type="spellEnd"/>
      <w:r w:rsidRPr="00C10DE4">
        <w:rPr>
          <w:sz w:val="24"/>
          <w:szCs w:val="24"/>
        </w:rPr>
        <w:t xml:space="preserve">, herunder </w:t>
      </w:r>
      <w:proofErr w:type="spellStart"/>
      <w:r w:rsidRPr="00C10DE4">
        <w:rPr>
          <w:sz w:val="24"/>
          <w:szCs w:val="24"/>
        </w:rPr>
        <w:t>lungeemboli</w:t>
      </w:r>
      <w:proofErr w:type="spellEnd"/>
      <w:r w:rsidRPr="00C10DE4">
        <w:rPr>
          <w:sz w:val="24"/>
          <w:szCs w:val="24"/>
        </w:rPr>
        <w:t xml:space="preserve"> ved brug af </w:t>
      </w:r>
      <w:proofErr w:type="spellStart"/>
      <w:r w:rsidRPr="00C10DE4">
        <w:rPr>
          <w:sz w:val="24"/>
          <w:szCs w:val="24"/>
        </w:rPr>
        <w:t>idarubicin</w:t>
      </w:r>
      <w:proofErr w:type="spellEnd"/>
      <w:r w:rsidRPr="00C10DE4">
        <w:rPr>
          <w:sz w:val="24"/>
          <w:szCs w:val="24"/>
        </w:rPr>
        <w:t>.</w:t>
      </w:r>
    </w:p>
    <w:p w:rsidR="00A3270E" w:rsidRDefault="005D2F96" w:rsidP="009C6769">
      <w:pPr>
        <w:ind w:left="851"/>
        <w:rPr>
          <w:sz w:val="24"/>
          <w:szCs w:val="24"/>
        </w:rPr>
      </w:pPr>
      <w:r w:rsidRPr="00C10DE4">
        <w:rPr>
          <w:spacing w:val="-3"/>
          <w:sz w:val="24"/>
          <w:szCs w:val="24"/>
        </w:rPr>
        <w:t xml:space="preserve">Patienterne bør oplyses om </w:t>
      </w:r>
      <w:r w:rsidRPr="00C10DE4">
        <w:rPr>
          <w:sz w:val="24"/>
          <w:szCs w:val="24"/>
        </w:rPr>
        <w:t>rødfarvning af urin 1-2 dage efter administration.</w:t>
      </w:r>
    </w:p>
    <w:p w:rsidR="00A3270E" w:rsidRPr="00C10DE4" w:rsidRDefault="00A3270E" w:rsidP="00A3270E">
      <w:pPr>
        <w:ind w:left="851" w:hanging="851"/>
        <w:rPr>
          <w:sz w:val="24"/>
          <w:szCs w:val="24"/>
        </w:rPr>
      </w:pPr>
    </w:p>
    <w:p w:rsidR="00A3270E" w:rsidRPr="00C10DE4" w:rsidRDefault="00A3270E" w:rsidP="00A3270E">
      <w:pPr>
        <w:ind w:left="851" w:hanging="851"/>
        <w:rPr>
          <w:b/>
          <w:sz w:val="24"/>
          <w:szCs w:val="24"/>
        </w:rPr>
      </w:pPr>
      <w:r w:rsidRPr="00C10DE4">
        <w:rPr>
          <w:b/>
          <w:sz w:val="24"/>
          <w:szCs w:val="24"/>
        </w:rPr>
        <w:t>4.5</w:t>
      </w:r>
      <w:r w:rsidRPr="00C10DE4">
        <w:rPr>
          <w:b/>
          <w:sz w:val="24"/>
          <w:szCs w:val="24"/>
        </w:rPr>
        <w:tab/>
        <w:t>Interaktion med andre lægemidler og andre former for interaktion</w:t>
      </w:r>
    </w:p>
    <w:p w:rsidR="00A3270E" w:rsidRPr="00C10DE4" w:rsidRDefault="00A3270E" w:rsidP="00A3270E">
      <w:pPr>
        <w:ind w:left="851"/>
        <w:rPr>
          <w:sz w:val="24"/>
          <w:szCs w:val="24"/>
          <w:lang w:eastAsia="da-DK"/>
        </w:rPr>
      </w:pPr>
      <w:proofErr w:type="spellStart"/>
      <w:r w:rsidRPr="00C10DE4">
        <w:rPr>
          <w:spacing w:val="-3"/>
          <w:sz w:val="24"/>
          <w:szCs w:val="24"/>
        </w:rPr>
        <w:t>Ida</w:t>
      </w:r>
      <w:r w:rsidRPr="00C10DE4">
        <w:rPr>
          <w:sz w:val="24"/>
          <w:szCs w:val="24"/>
        </w:rPr>
        <w:t>rubicin</w:t>
      </w:r>
      <w:proofErr w:type="spellEnd"/>
      <w:r w:rsidRPr="00C10DE4">
        <w:rPr>
          <w:sz w:val="24"/>
          <w:szCs w:val="24"/>
        </w:rPr>
        <w:t xml:space="preserve"> er en potent knoglemarvshæmmer, og kombinationsbehandling med andre </w:t>
      </w:r>
      <w:proofErr w:type="spellStart"/>
      <w:r w:rsidRPr="00C10DE4">
        <w:rPr>
          <w:sz w:val="24"/>
          <w:szCs w:val="24"/>
        </w:rPr>
        <w:t>cytostatika</w:t>
      </w:r>
      <w:proofErr w:type="spellEnd"/>
      <w:r w:rsidRPr="00C10DE4">
        <w:rPr>
          <w:sz w:val="24"/>
          <w:szCs w:val="24"/>
        </w:rPr>
        <w:t xml:space="preserve"> med tilsvarende virkning kan forvente at inducere additiv knoglemarvs</w:t>
      </w:r>
      <w:r>
        <w:rPr>
          <w:sz w:val="24"/>
          <w:szCs w:val="24"/>
        </w:rPr>
        <w:softHyphen/>
      </w:r>
      <w:r w:rsidRPr="00C10DE4">
        <w:rPr>
          <w:sz w:val="24"/>
          <w:szCs w:val="24"/>
        </w:rPr>
        <w:t xml:space="preserve">hæmmende effekt (se pkt. 4.4). Samtidig behandling med </w:t>
      </w:r>
      <w:proofErr w:type="spellStart"/>
      <w:r w:rsidRPr="00C10DE4">
        <w:rPr>
          <w:sz w:val="24"/>
          <w:szCs w:val="24"/>
        </w:rPr>
        <w:t>idarubicin</w:t>
      </w:r>
      <w:proofErr w:type="spellEnd"/>
      <w:r w:rsidRPr="00C10DE4">
        <w:rPr>
          <w:sz w:val="24"/>
          <w:szCs w:val="24"/>
        </w:rPr>
        <w:t xml:space="preserve"> og andre potentielle </w:t>
      </w:r>
      <w:proofErr w:type="spellStart"/>
      <w:r w:rsidRPr="00C10DE4">
        <w:rPr>
          <w:sz w:val="24"/>
          <w:szCs w:val="24"/>
        </w:rPr>
        <w:t>kardiotoksiske</w:t>
      </w:r>
      <w:proofErr w:type="spellEnd"/>
      <w:r w:rsidRPr="00C10DE4">
        <w:rPr>
          <w:sz w:val="24"/>
          <w:szCs w:val="24"/>
        </w:rPr>
        <w:t xml:space="preserve"> stoffer, såvel som samtidig behandling med andre </w:t>
      </w:r>
      <w:proofErr w:type="spellStart"/>
      <w:r w:rsidRPr="00C10DE4">
        <w:rPr>
          <w:sz w:val="24"/>
          <w:szCs w:val="24"/>
        </w:rPr>
        <w:t>kardioaktive</w:t>
      </w:r>
      <w:proofErr w:type="spellEnd"/>
      <w:r w:rsidRPr="00C10DE4">
        <w:rPr>
          <w:sz w:val="24"/>
          <w:szCs w:val="24"/>
        </w:rPr>
        <w:t xml:space="preserve"> lægemidler (f.eks. calciumantagonister)</w:t>
      </w:r>
      <w:r w:rsidRPr="00C10DE4">
        <w:rPr>
          <w:i/>
          <w:sz w:val="24"/>
          <w:szCs w:val="24"/>
        </w:rPr>
        <w:t xml:space="preserve"> </w:t>
      </w:r>
      <w:r w:rsidRPr="00C10DE4">
        <w:rPr>
          <w:sz w:val="24"/>
          <w:szCs w:val="24"/>
        </w:rPr>
        <w:t>kræver monitorering af hjertefunktionen under hele behandlingen.</w:t>
      </w:r>
    </w:p>
    <w:p w:rsidR="00A3270E" w:rsidRPr="00C10DE4" w:rsidRDefault="00A3270E" w:rsidP="00A3270E">
      <w:pPr>
        <w:ind w:left="851" w:hanging="851"/>
        <w:rPr>
          <w:i/>
          <w:sz w:val="24"/>
          <w:szCs w:val="24"/>
        </w:rPr>
      </w:pPr>
    </w:p>
    <w:p w:rsidR="00A3270E" w:rsidRPr="00C10DE4" w:rsidRDefault="00A3270E" w:rsidP="00A3270E">
      <w:pPr>
        <w:ind w:left="851"/>
        <w:rPr>
          <w:i/>
          <w:sz w:val="24"/>
          <w:szCs w:val="24"/>
        </w:rPr>
      </w:pPr>
      <w:r w:rsidRPr="00C10DE4">
        <w:rPr>
          <w:i/>
          <w:sz w:val="24"/>
          <w:szCs w:val="24"/>
        </w:rPr>
        <w:t>Lægemidler der påvirker nyre- eller leverfunktionen:</w:t>
      </w:r>
    </w:p>
    <w:p w:rsidR="00A3270E" w:rsidRPr="00C10DE4" w:rsidRDefault="00A3270E" w:rsidP="00A3270E">
      <w:pPr>
        <w:ind w:left="851"/>
        <w:rPr>
          <w:spacing w:val="-3"/>
          <w:sz w:val="24"/>
          <w:szCs w:val="24"/>
        </w:rPr>
      </w:pPr>
      <w:r w:rsidRPr="00C10DE4">
        <w:rPr>
          <w:sz w:val="24"/>
          <w:szCs w:val="24"/>
        </w:rPr>
        <w:t xml:space="preserve">Samtidig anvendelse af lægemidler der påvirker nyre- eller leverfunktionen, kan påvirke </w:t>
      </w:r>
      <w:proofErr w:type="spellStart"/>
      <w:r w:rsidRPr="00C10DE4">
        <w:rPr>
          <w:sz w:val="24"/>
          <w:szCs w:val="24"/>
        </w:rPr>
        <w:t>idarubicins</w:t>
      </w:r>
      <w:proofErr w:type="spellEnd"/>
      <w:r w:rsidRPr="00C10DE4">
        <w:rPr>
          <w:sz w:val="24"/>
          <w:szCs w:val="24"/>
        </w:rPr>
        <w:t xml:space="preserve"> metabolisme eller farmakokinetik og derved effekten og/eller toksiciteten af </w:t>
      </w:r>
      <w:proofErr w:type="spellStart"/>
      <w:r w:rsidRPr="00C10DE4">
        <w:rPr>
          <w:sz w:val="24"/>
          <w:szCs w:val="24"/>
        </w:rPr>
        <w:t>idarubicin</w:t>
      </w:r>
      <w:proofErr w:type="spellEnd"/>
      <w:r w:rsidRPr="00C10DE4">
        <w:rPr>
          <w:sz w:val="24"/>
          <w:szCs w:val="24"/>
        </w:rPr>
        <w:t xml:space="preserve"> (se pkt. 4.4). </w:t>
      </w:r>
      <w:r w:rsidRPr="00C10DE4">
        <w:rPr>
          <w:spacing w:val="-3"/>
          <w:sz w:val="24"/>
          <w:szCs w:val="24"/>
        </w:rPr>
        <w:t xml:space="preserve">Der kan opstå additiv knoglemarvshæmning, hvis der gives strålebehandling samtidig eller inden for 2-3 uger før behandling med </w:t>
      </w:r>
      <w:proofErr w:type="spellStart"/>
      <w:r w:rsidRPr="00C10DE4">
        <w:rPr>
          <w:spacing w:val="-3"/>
          <w:sz w:val="24"/>
          <w:szCs w:val="24"/>
        </w:rPr>
        <w:t>idarubicin</w:t>
      </w:r>
      <w:proofErr w:type="spellEnd"/>
      <w:r w:rsidRPr="00C10DE4">
        <w:rPr>
          <w:spacing w:val="-3"/>
          <w:sz w:val="24"/>
          <w:szCs w:val="24"/>
        </w:rPr>
        <w:t>.</w:t>
      </w:r>
    </w:p>
    <w:p w:rsidR="00A3270E" w:rsidRPr="00C10DE4" w:rsidRDefault="00A3270E" w:rsidP="00A3270E">
      <w:pPr>
        <w:ind w:left="851" w:hanging="851"/>
        <w:rPr>
          <w:spacing w:val="-3"/>
          <w:sz w:val="24"/>
          <w:szCs w:val="24"/>
        </w:rPr>
      </w:pPr>
    </w:p>
    <w:p w:rsidR="00A3270E" w:rsidRPr="00C10DE4" w:rsidRDefault="00A3270E" w:rsidP="00A3270E">
      <w:pPr>
        <w:ind w:left="851"/>
        <w:rPr>
          <w:spacing w:val="-3"/>
          <w:sz w:val="24"/>
          <w:szCs w:val="24"/>
        </w:rPr>
      </w:pPr>
      <w:r w:rsidRPr="00C10DE4">
        <w:rPr>
          <w:spacing w:val="-3"/>
          <w:sz w:val="24"/>
          <w:szCs w:val="24"/>
        </w:rPr>
        <w:t>Administration af levende eller svækkede vacciner (f.eks</w:t>
      </w:r>
      <w:r>
        <w:rPr>
          <w:spacing w:val="-3"/>
          <w:sz w:val="24"/>
          <w:szCs w:val="24"/>
        </w:rPr>
        <w:t>.</w:t>
      </w:r>
      <w:r w:rsidRPr="00C10DE4">
        <w:rPr>
          <w:spacing w:val="-3"/>
          <w:sz w:val="24"/>
          <w:szCs w:val="24"/>
        </w:rPr>
        <w:t xml:space="preserve"> gul feber) anbefales ikke på grund af risiko for alvorlige eller fatale infektioner. Risikoen er øget hos patienter der allerede er </w:t>
      </w:r>
      <w:r w:rsidRPr="00C10DE4">
        <w:rPr>
          <w:bCs/>
          <w:color w:val="000000"/>
          <w:sz w:val="24"/>
          <w:szCs w:val="24"/>
        </w:rPr>
        <w:t xml:space="preserve">immunkompromitterede på grund af deres underliggende sygdom. </w:t>
      </w:r>
      <w:r w:rsidRPr="00C10DE4">
        <w:rPr>
          <w:spacing w:val="-3"/>
          <w:sz w:val="24"/>
          <w:szCs w:val="24"/>
        </w:rPr>
        <w:t>Inaktiverede vacciner kan anvendes, hvis det er muligt.</w:t>
      </w:r>
    </w:p>
    <w:p w:rsidR="00A3270E" w:rsidRPr="00C10DE4" w:rsidRDefault="00A3270E" w:rsidP="00A3270E">
      <w:pPr>
        <w:ind w:left="851" w:hanging="851"/>
        <w:rPr>
          <w:spacing w:val="-3"/>
          <w:sz w:val="24"/>
          <w:szCs w:val="24"/>
        </w:rPr>
      </w:pPr>
    </w:p>
    <w:p w:rsidR="00A3270E" w:rsidRPr="00C10DE4" w:rsidRDefault="00A3270E" w:rsidP="00A3270E">
      <w:pPr>
        <w:ind w:left="851"/>
        <w:rPr>
          <w:bCs/>
          <w:color w:val="000000"/>
          <w:sz w:val="24"/>
          <w:szCs w:val="24"/>
        </w:rPr>
      </w:pPr>
      <w:r w:rsidRPr="00C10DE4">
        <w:rPr>
          <w:spacing w:val="-3"/>
          <w:sz w:val="24"/>
          <w:szCs w:val="24"/>
        </w:rPr>
        <w:t xml:space="preserve">Ved kombination af orale </w:t>
      </w:r>
      <w:proofErr w:type="spellStart"/>
      <w:r w:rsidRPr="00C10DE4">
        <w:rPr>
          <w:spacing w:val="-3"/>
          <w:sz w:val="24"/>
          <w:szCs w:val="24"/>
        </w:rPr>
        <w:t>antikoagulantia</w:t>
      </w:r>
      <w:proofErr w:type="spellEnd"/>
      <w:r w:rsidRPr="00C10DE4">
        <w:rPr>
          <w:spacing w:val="-3"/>
          <w:sz w:val="24"/>
          <w:szCs w:val="24"/>
        </w:rPr>
        <w:t xml:space="preserve"> og </w:t>
      </w:r>
      <w:r w:rsidRPr="00C10DE4">
        <w:rPr>
          <w:bCs/>
          <w:color w:val="000000"/>
          <w:sz w:val="24"/>
          <w:szCs w:val="24"/>
        </w:rPr>
        <w:t>kemoterapi anbefales hyppigere INR-monitorering, da risikoen for interaktion ikke kan udelukkes.</w:t>
      </w:r>
    </w:p>
    <w:p w:rsidR="00A3270E" w:rsidRPr="00C10DE4" w:rsidRDefault="00A3270E" w:rsidP="00A3270E">
      <w:pPr>
        <w:ind w:left="851" w:hanging="851"/>
        <w:rPr>
          <w:bCs/>
          <w:color w:val="000000"/>
          <w:sz w:val="24"/>
          <w:szCs w:val="24"/>
        </w:rPr>
      </w:pPr>
    </w:p>
    <w:p w:rsidR="00A3270E" w:rsidRPr="00C10DE4" w:rsidRDefault="00A3270E" w:rsidP="00A3270E">
      <w:pPr>
        <w:ind w:left="851"/>
        <w:rPr>
          <w:spacing w:val="-3"/>
          <w:sz w:val="24"/>
          <w:szCs w:val="24"/>
        </w:rPr>
      </w:pPr>
      <w:proofErr w:type="spellStart"/>
      <w:r w:rsidRPr="00C10DE4">
        <w:rPr>
          <w:bCs/>
          <w:color w:val="000000"/>
          <w:sz w:val="24"/>
          <w:szCs w:val="24"/>
        </w:rPr>
        <w:t>Ciclosporin</w:t>
      </w:r>
      <w:proofErr w:type="spellEnd"/>
      <w:r w:rsidRPr="00C10DE4">
        <w:rPr>
          <w:bCs/>
          <w:color w:val="000000"/>
          <w:sz w:val="24"/>
          <w:szCs w:val="24"/>
        </w:rPr>
        <w:t xml:space="preserve"> A: Samtidig administration af </w:t>
      </w:r>
      <w:proofErr w:type="spellStart"/>
      <w:r w:rsidRPr="00C10DE4">
        <w:rPr>
          <w:bCs/>
          <w:color w:val="000000"/>
          <w:sz w:val="24"/>
          <w:szCs w:val="24"/>
        </w:rPr>
        <w:t>ciclosporin</w:t>
      </w:r>
      <w:proofErr w:type="spellEnd"/>
      <w:r w:rsidRPr="00C10DE4">
        <w:rPr>
          <w:bCs/>
          <w:color w:val="000000"/>
          <w:sz w:val="24"/>
          <w:szCs w:val="24"/>
        </w:rPr>
        <w:t xml:space="preserve"> A og </w:t>
      </w:r>
      <w:proofErr w:type="spellStart"/>
      <w:r w:rsidRPr="00C10DE4">
        <w:rPr>
          <w:bCs/>
          <w:color w:val="000000"/>
          <w:sz w:val="24"/>
          <w:szCs w:val="24"/>
        </w:rPr>
        <w:t>idarubicin</w:t>
      </w:r>
      <w:proofErr w:type="spellEnd"/>
      <w:r w:rsidRPr="00C10DE4">
        <w:rPr>
          <w:bCs/>
          <w:color w:val="000000"/>
          <w:sz w:val="24"/>
          <w:szCs w:val="24"/>
        </w:rPr>
        <w:t xml:space="preserve"> øgede signifikant </w:t>
      </w:r>
      <w:proofErr w:type="spellStart"/>
      <w:r w:rsidRPr="00C10DE4">
        <w:rPr>
          <w:bCs/>
          <w:color w:val="000000"/>
          <w:sz w:val="24"/>
          <w:szCs w:val="24"/>
        </w:rPr>
        <w:t>idarubicin</w:t>
      </w:r>
      <w:proofErr w:type="spellEnd"/>
      <w:r w:rsidRPr="00C10DE4">
        <w:rPr>
          <w:bCs/>
          <w:color w:val="000000"/>
          <w:sz w:val="24"/>
          <w:szCs w:val="24"/>
        </w:rPr>
        <w:t xml:space="preserve"> AUC (1,78 gange) og </w:t>
      </w:r>
      <w:proofErr w:type="spellStart"/>
      <w:r w:rsidRPr="00C10DE4">
        <w:rPr>
          <w:bCs/>
          <w:color w:val="000000"/>
          <w:sz w:val="24"/>
          <w:szCs w:val="24"/>
        </w:rPr>
        <w:t>idarubicinol</w:t>
      </w:r>
      <w:proofErr w:type="spellEnd"/>
      <w:r w:rsidRPr="00C10DE4">
        <w:rPr>
          <w:bCs/>
          <w:color w:val="000000"/>
          <w:sz w:val="24"/>
          <w:szCs w:val="24"/>
        </w:rPr>
        <w:t xml:space="preserve"> (2,46 gange) hos patienter med akut leukæmi. Den kliniske betydning af dette er uklar og dosisjustering kan være nødvendig hos visse patienter.</w:t>
      </w:r>
    </w:p>
    <w:p w:rsidR="00A3270E" w:rsidRPr="00C10DE4" w:rsidRDefault="00A3270E" w:rsidP="00A3270E">
      <w:pPr>
        <w:ind w:left="851" w:hanging="851"/>
        <w:rPr>
          <w:sz w:val="24"/>
          <w:szCs w:val="24"/>
        </w:rPr>
      </w:pPr>
    </w:p>
    <w:p w:rsidR="00A3270E" w:rsidRPr="00C10DE4" w:rsidRDefault="00A3270E" w:rsidP="00A3270E">
      <w:pPr>
        <w:ind w:left="851" w:hanging="851"/>
        <w:rPr>
          <w:b/>
          <w:sz w:val="24"/>
          <w:szCs w:val="24"/>
        </w:rPr>
      </w:pPr>
      <w:r w:rsidRPr="00C10DE4">
        <w:rPr>
          <w:b/>
          <w:sz w:val="24"/>
          <w:szCs w:val="24"/>
        </w:rPr>
        <w:t>4.6</w:t>
      </w:r>
      <w:r w:rsidRPr="00C10DE4">
        <w:rPr>
          <w:b/>
          <w:sz w:val="24"/>
          <w:szCs w:val="24"/>
        </w:rPr>
        <w:tab/>
      </w:r>
      <w:r w:rsidR="009C6769">
        <w:rPr>
          <w:b/>
          <w:sz w:val="24"/>
          <w:szCs w:val="24"/>
        </w:rPr>
        <w:t>Fertilitet, g</w:t>
      </w:r>
      <w:r w:rsidRPr="00C10DE4">
        <w:rPr>
          <w:b/>
          <w:sz w:val="24"/>
          <w:szCs w:val="24"/>
        </w:rPr>
        <w:t>raviditet og amning</w:t>
      </w:r>
    </w:p>
    <w:p w:rsidR="009C6769" w:rsidRPr="00C10DE4" w:rsidRDefault="009C6769" w:rsidP="009C6769">
      <w:pPr>
        <w:jc w:val="both"/>
        <w:rPr>
          <w:i/>
          <w:spacing w:val="-3"/>
          <w:sz w:val="24"/>
          <w:szCs w:val="24"/>
        </w:rPr>
      </w:pPr>
      <w:bookmarkStart w:id="3" w:name="_Hlk88575661"/>
    </w:p>
    <w:p w:rsidR="009C6769" w:rsidRPr="00C10DE4" w:rsidRDefault="009C6769" w:rsidP="009C6769">
      <w:pPr>
        <w:ind w:left="851"/>
        <w:jc w:val="both"/>
        <w:rPr>
          <w:i/>
          <w:spacing w:val="-3"/>
          <w:sz w:val="24"/>
          <w:szCs w:val="24"/>
        </w:rPr>
      </w:pPr>
      <w:r w:rsidRPr="00C10DE4">
        <w:rPr>
          <w:i/>
          <w:spacing w:val="-3"/>
          <w:sz w:val="24"/>
          <w:szCs w:val="24"/>
        </w:rPr>
        <w:t>Graviditet:</w:t>
      </w:r>
    </w:p>
    <w:p w:rsidR="009C6769" w:rsidRDefault="009C6769" w:rsidP="009C6769">
      <w:pPr>
        <w:widowControl w:val="0"/>
        <w:ind w:left="851"/>
        <w:rPr>
          <w:noProof/>
          <w:sz w:val="24"/>
          <w:szCs w:val="24"/>
        </w:rPr>
      </w:pPr>
      <w:r>
        <w:rPr>
          <w:sz w:val="24"/>
          <w:szCs w:val="24"/>
        </w:rPr>
        <w:t xml:space="preserve">Der er begrænsede data om anvendelse af </w:t>
      </w:r>
      <w:proofErr w:type="spellStart"/>
      <w:r>
        <w:rPr>
          <w:sz w:val="24"/>
          <w:szCs w:val="24"/>
        </w:rPr>
        <w:t>idarubicin</w:t>
      </w:r>
      <w:proofErr w:type="spellEnd"/>
      <w:r>
        <w:rPr>
          <w:sz w:val="24"/>
          <w:szCs w:val="24"/>
        </w:rPr>
        <w:t xml:space="preserve"> hos gravide kvinder. Dyreforsøg har vist reproduktionstoksicitet (se pkt. 5.3). </w:t>
      </w:r>
      <w:r>
        <w:rPr>
          <w:noProof/>
          <w:sz w:val="24"/>
          <w:szCs w:val="24"/>
        </w:rPr>
        <w:t>I</w:t>
      </w:r>
      <w:r w:rsidRPr="00C10DE4">
        <w:rPr>
          <w:noProof/>
          <w:sz w:val="24"/>
          <w:szCs w:val="24"/>
        </w:rPr>
        <w:t xml:space="preserve">darubicin må </w:t>
      </w:r>
      <w:r>
        <w:rPr>
          <w:noProof/>
          <w:sz w:val="24"/>
          <w:szCs w:val="24"/>
        </w:rPr>
        <w:t>ikke</w:t>
      </w:r>
      <w:r w:rsidRPr="00C10DE4">
        <w:rPr>
          <w:noProof/>
          <w:sz w:val="24"/>
          <w:szCs w:val="24"/>
        </w:rPr>
        <w:t xml:space="preserve"> anvendes under graviditet, </w:t>
      </w:r>
      <w:r>
        <w:rPr>
          <w:noProof/>
          <w:sz w:val="24"/>
          <w:szCs w:val="24"/>
        </w:rPr>
        <w:t>medmindre</w:t>
      </w:r>
      <w:r w:rsidRPr="00C10DE4">
        <w:rPr>
          <w:noProof/>
          <w:sz w:val="24"/>
          <w:szCs w:val="24"/>
        </w:rPr>
        <w:t xml:space="preserve"> den potentielle fordel for moderen opvejer den potentielle risiko for fostret. Patienten bør underrettes om den potentielle risiko for fostret. </w:t>
      </w:r>
    </w:p>
    <w:p w:rsidR="009C6769" w:rsidRDefault="009C6769" w:rsidP="009C6769">
      <w:pPr>
        <w:widowControl w:val="0"/>
        <w:ind w:left="851"/>
        <w:rPr>
          <w:noProof/>
          <w:sz w:val="24"/>
          <w:szCs w:val="24"/>
        </w:rPr>
      </w:pPr>
    </w:p>
    <w:p w:rsidR="009C6769" w:rsidRPr="00291F16" w:rsidRDefault="009C6769" w:rsidP="009C6769">
      <w:pPr>
        <w:widowControl w:val="0"/>
        <w:ind w:left="851"/>
        <w:rPr>
          <w:i/>
          <w:iCs/>
          <w:noProof/>
          <w:sz w:val="24"/>
          <w:szCs w:val="24"/>
        </w:rPr>
      </w:pPr>
      <w:r w:rsidRPr="00291F16">
        <w:rPr>
          <w:i/>
          <w:iCs/>
          <w:sz w:val="24"/>
          <w:szCs w:val="24"/>
        </w:rPr>
        <w:t xml:space="preserve">Kvinder i den fertile alder/kvinder og mænds </w:t>
      </w:r>
      <w:proofErr w:type="spellStart"/>
      <w:r w:rsidRPr="00291F16">
        <w:rPr>
          <w:i/>
          <w:iCs/>
          <w:sz w:val="24"/>
          <w:szCs w:val="24"/>
        </w:rPr>
        <w:t>kontraception</w:t>
      </w:r>
      <w:proofErr w:type="spellEnd"/>
    </w:p>
    <w:p w:rsidR="009C6769" w:rsidRPr="00C10DE4" w:rsidRDefault="009C6769" w:rsidP="009C6769">
      <w:pPr>
        <w:widowControl w:val="0"/>
        <w:ind w:left="851"/>
        <w:rPr>
          <w:noProof/>
          <w:sz w:val="24"/>
          <w:szCs w:val="24"/>
        </w:rPr>
      </w:pPr>
      <w:r w:rsidRPr="00C10DE4">
        <w:rPr>
          <w:sz w:val="24"/>
          <w:szCs w:val="24"/>
        </w:rPr>
        <w:t xml:space="preserve">Kvinder i den fertile alder </w:t>
      </w:r>
      <w:r w:rsidRPr="00C10DE4">
        <w:rPr>
          <w:noProof/>
          <w:sz w:val="24"/>
          <w:szCs w:val="24"/>
        </w:rPr>
        <w:t>skal rådgives om ikke at blive gravide under behandling, og de skal anvende sikker kontraception under behandlingen</w:t>
      </w:r>
      <w:r>
        <w:rPr>
          <w:noProof/>
          <w:sz w:val="24"/>
          <w:szCs w:val="24"/>
        </w:rPr>
        <w:t xml:space="preserve"> og i mindst 6,5 måneder efter sidste dosis. Mænd med kvindelige partnere i den fertile alder </w:t>
      </w:r>
      <w:r w:rsidRPr="00C10DE4">
        <w:rPr>
          <w:noProof/>
          <w:sz w:val="24"/>
          <w:szCs w:val="24"/>
        </w:rPr>
        <w:t xml:space="preserve">skal rådgives om </w:t>
      </w:r>
      <w:r>
        <w:rPr>
          <w:noProof/>
          <w:sz w:val="24"/>
          <w:szCs w:val="24"/>
        </w:rPr>
        <w:t xml:space="preserve">at </w:t>
      </w:r>
      <w:r w:rsidRPr="00C10DE4">
        <w:rPr>
          <w:noProof/>
          <w:sz w:val="24"/>
          <w:szCs w:val="24"/>
        </w:rPr>
        <w:t>anvende sikker kontraception under behandlingen</w:t>
      </w:r>
      <w:r>
        <w:rPr>
          <w:noProof/>
          <w:sz w:val="24"/>
          <w:szCs w:val="24"/>
        </w:rPr>
        <w:t xml:space="preserve"> og i mindst 3,5 måneder efter sidste dosis (se pkt. 4.4).</w:t>
      </w:r>
    </w:p>
    <w:p w:rsidR="009C6769" w:rsidRPr="00C10DE4" w:rsidRDefault="009C6769" w:rsidP="009C6769">
      <w:pPr>
        <w:widowControl w:val="0"/>
        <w:ind w:left="851" w:hanging="851"/>
        <w:rPr>
          <w:noProof/>
          <w:sz w:val="24"/>
          <w:szCs w:val="24"/>
        </w:rPr>
      </w:pPr>
    </w:p>
    <w:p w:rsidR="009C6769" w:rsidRPr="00C10DE4" w:rsidRDefault="009C6769" w:rsidP="009C6769">
      <w:pPr>
        <w:widowControl w:val="0"/>
        <w:ind w:left="851"/>
        <w:rPr>
          <w:i/>
          <w:noProof/>
          <w:sz w:val="24"/>
          <w:szCs w:val="24"/>
        </w:rPr>
      </w:pPr>
      <w:r w:rsidRPr="00C10DE4">
        <w:rPr>
          <w:i/>
          <w:noProof/>
          <w:sz w:val="24"/>
          <w:szCs w:val="24"/>
        </w:rPr>
        <w:t>Amning</w:t>
      </w:r>
    </w:p>
    <w:p w:rsidR="009C6769" w:rsidRDefault="009C6769" w:rsidP="009C6769">
      <w:pPr>
        <w:widowControl w:val="0"/>
        <w:ind w:left="851"/>
        <w:rPr>
          <w:noProof/>
          <w:sz w:val="24"/>
          <w:szCs w:val="24"/>
        </w:rPr>
      </w:pPr>
      <w:r w:rsidRPr="00C10DE4">
        <w:rPr>
          <w:noProof/>
          <w:sz w:val="24"/>
          <w:szCs w:val="24"/>
        </w:rPr>
        <w:t xml:space="preserve">Det vides ikke om idarubicin eller dets metabolitter udskilles i modermælk. </w:t>
      </w:r>
      <w:r>
        <w:rPr>
          <w:noProof/>
          <w:sz w:val="24"/>
          <w:szCs w:val="24"/>
        </w:rPr>
        <w:t>Da andre antracycliner udskilles i modermælk, og på grund af idarubicins potentielle alvorlige bivirkninger hos det ammede barn bør m</w:t>
      </w:r>
      <w:r w:rsidRPr="00C10DE4">
        <w:rPr>
          <w:noProof/>
          <w:sz w:val="24"/>
          <w:szCs w:val="24"/>
        </w:rPr>
        <w:t xml:space="preserve">ødre </w:t>
      </w:r>
      <w:r>
        <w:rPr>
          <w:noProof/>
          <w:sz w:val="24"/>
          <w:szCs w:val="24"/>
        </w:rPr>
        <w:t>i</w:t>
      </w:r>
      <w:r w:rsidRPr="00C10DE4">
        <w:rPr>
          <w:noProof/>
          <w:sz w:val="24"/>
          <w:szCs w:val="24"/>
        </w:rPr>
        <w:t>kke amme under behandling</w:t>
      </w:r>
      <w:r>
        <w:rPr>
          <w:noProof/>
          <w:sz w:val="24"/>
          <w:szCs w:val="24"/>
        </w:rPr>
        <w:t>en</w:t>
      </w:r>
      <w:r w:rsidRPr="00C10DE4">
        <w:rPr>
          <w:noProof/>
          <w:sz w:val="24"/>
          <w:szCs w:val="24"/>
        </w:rPr>
        <w:t xml:space="preserve"> </w:t>
      </w:r>
      <w:r>
        <w:rPr>
          <w:noProof/>
          <w:sz w:val="24"/>
          <w:szCs w:val="24"/>
        </w:rPr>
        <w:t>og i mindst 14 dage efter sidste dosis</w:t>
      </w:r>
      <w:r w:rsidRPr="00C10DE4">
        <w:rPr>
          <w:noProof/>
          <w:sz w:val="24"/>
          <w:szCs w:val="24"/>
        </w:rPr>
        <w:t>.</w:t>
      </w:r>
    </w:p>
    <w:p w:rsidR="009C6769" w:rsidRDefault="009C6769" w:rsidP="009C6769">
      <w:pPr>
        <w:ind w:left="851" w:hanging="851"/>
        <w:rPr>
          <w:i/>
          <w:sz w:val="24"/>
          <w:szCs w:val="24"/>
        </w:rPr>
      </w:pPr>
    </w:p>
    <w:p w:rsidR="009C6769" w:rsidRPr="00C10DE4" w:rsidRDefault="009C6769" w:rsidP="009C6769">
      <w:pPr>
        <w:ind w:left="851"/>
        <w:rPr>
          <w:i/>
          <w:sz w:val="24"/>
          <w:szCs w:val="24"/>
          <w:lang w:eastAsia="da-DK"/>
        </w:rPr>
      </w:pPr>
      <w:r>
        <w:rPr>
          <w:i/>
          <w:sz w:val="24"/>
          <w:szCs w:val="24"/>
        </w:rPr>
        <w:t>F</w:t>
      </w:r>
      <w:r w:rsidRPr="00C10DE4">
        <w:rPr>
          <w:i/>
          <w:sz w:val="24"/>
          <w:szCs w:val="24"/>
        </w:rPr>
        <w:t>ertilitet</w:t>
      </w:r>
    </w:p>
    <w:p w:rsidR="009C6769" w:rsidRPr="00C10DE4" w:rsidRDefault="009C6769" w:rsidP="009C6769">
      <w:pPr>
        <w:ind w:left="851"/>
        <w:rPr>
          <w:sz w:val="24"/>
          <w:szCs w:val="24"/>
        </w:rPr>
      </w:pPr>
      <w:proofErr w:type="spellStart"/>
      <w:r w:rsidRPr="00C10DE4">
        <w:rPr>
          <w:sz w:val="24"/>
          <w:szCs w:val="24"/>
        </w:rPr>
        <w:t>Idarubicin</w:t>
      </w:r>
      <w:proofErr w:type="spellEnd"/>
      <w:r w:rsidRPr="00C10DE4">
        <w:rPr>
          <w:sz w:val="24"/>
          <w:szCs w:val="24"/>
        </w:rPr>
        <w:t xml:space="preserve"> kan inducere kromosomal ødelæggelse i humane spermatozoer. Mænd i behandling med </w:t>
      </w:r>
      <w:proofErr w:type="spellStart"/>
      <w:r w:rsidRPr="00C10DE4">
        <w:rPr>
          <w:sz w:val="24"/>
          <w:szCs w:val="24"/>
        </w:rPr>
        <w:t>idarubicin</w:t>
      </w:r>
      <w:proofErr w:type="spellEnd"/>
      <w:r w:rsidRPr="00C10DE4">
        <w:rPr>
          <w:sz w:val="24"/>
          <w:szCs w:val="24"/>
        </w:rPr>
        <w:t xml:space="preserve"> skal anvende sikker </w:t>
      </w:r>
      <w:proofErr w:type="spellStart"/>
      <w:r>
        <w:rPr>
          <w:sz w:val="24"/>
          <w:szCs w:val="24"/>
        </w:rPr>
        <w:t>kontraception</w:t>
      </w:r>
      <w:proofErr w:type="spellEnd"/>
      <w:r w:rsidRPr="00C10DE4">
        <w:rPr>
          <w:sz w:val="24"/>
          <w:szCs w:val="24"/>
        </w:rPr>
        <w:t xml:space="preserve"> </w:t>
      </w:r>
      <w:r>
        <w:rPr>
          <w:sz w:val="24"/>
          <w:szCs w:val="24"/>
        </w:rPr>
        <w:t>mindst</w:t>
      </w:r>
      <w:r w:rsidRPr="00C10DE4">
        <w:rPr>
          <w:sz w:val="24"/>
          <w:szCs w:val="24"/>
        </w:rPr>
        <w:t xml:space="preserve"> 3</w:t>
      </w:r>
      <w:r>
        <w:rPr>
          <w:sz w:val="24"/>
          <w:szCs w:val="24"/>
        </w:rPr>
        <w:t>,5</w:t>
      </w:r>
      <w:r w:rsidRPr="00C10DE4">
        <w:rPr>
          <w:sz w:val="24"/>
          <w:szCs w:val="24"/>
        </w:rPr>
        <w:t xml:space="preserve"> måned efter </w:t>
      </w:r>
      <w:r>
        <w:rPr>
          <w:sz w:val="24"/>
          <w:szCs w:val="24"/>
        </w:rPr>
        <w:t>sidste dosis</w:t>
      </w:r>
      <w:r w:rsidRPr="00C10DE4">
        <w:rPr>
          <w:sz w:val="24"/>
          <w:szCs w:val="24"/>
        </w:rPr>
        <w:t xml:space="preserve"> (se pkt. 4.4).</w:t>
      </w:r>
      <w:r>
        <w:rPr>
          <w:sz w:val="24"/>
          <w:szCs w:val="24"/>
        </w:rPr>
        <w:t xml:space="preserve"> Både kvinder og mænd bør søge </w:t>
      </w:r>
      <w:r w:rsidRPr="00C10DE4">
        <w:rPr>
          <w:noProof/>
          <w:sz w:val="24"/>
          <w:szCs w:val="24"/>
        </w:rPr>
        <w:t>genetisk rådgivning før</w:t>
      </w:r>
      <w:r>
        <w:rPr>
          <w:noProof/>
          <w:sz w:val="24"/>
          <w:szCs w:val="24"/>
        </w:rPr>
        <w:t xml:space="preserve"> behandlingen.</w:t>
      </w:r>
      <w:bookmarkEnd w:id="3"/>
    </w:p>
    <w:p w:rsidR="00A3270E" w:rsidRPr="00C10DE4" w:rsidRDefault="00A3270E" w:rsidP="00A3270E">
      <w:pPr>
        <w:ind w:left="851" w:hanging="851"/>
        <w:rPr>
          <w:sz w:val="24"/>
          <w:szCs w:val="24"/>
        </w:rPr>
      </w:pPr>
    </w:p>
    <w:p w:rsidR="00A3270E" w:rsidRPr="00C10DE4" w:rsidRDefault="00A3270E" w:rsidP="00A3270E">
      <w:pPr>
        <w:ind w:left="851" w:hanging="851"/>
        <w:rPr>
          <w:b/>
          <w:sz w:val="24"/>
          <w:szCs w:val="24"/>
        </w:rPr>
      </w:pPr>
      <w:r w:rsidRPr="00C10DE4">
        <w:rPr>
          <w:b/>
          <w:sz w:val="24"/>
          <w:szCs w:val="24"/>
        </w:rPr>
        <w:t>4.7</w:t>
      </w:r>
      <w:r w:rsidRPr="00C10DE4">
        <w:rPr>
          <w:b/>
          <w:sz w:val="24"/>
          <w:szCs w:val="24"/>
        </w:rPr>
        <w:tab/>
        <w:t xml:space="preserve">Virkninger på evnen til at føre motorkøretøj </w:t>
      </w:r>
      <w:r w:rsidR="00711BDD">
        <w:rPr>
          <w:b/>
          <w:sz w:val="24"/>
          <w:szCs w:val="24"/>
        </w:rPr>
        <w:t>og</w:t>
      </w:r>
      <w:r w:rsidRPr="00C10DE4">
        <w:rPr>
          <w:b/>
          <w:sz w:val="24"/>
          <w:szCs w:val="24"/>
        </w:rPr>
        <w:t xml:space="preserve"> betjene maskiner</w:t>
      </w:r>
    </w:p>
    <w:p w:rsidR="00A3270E" w:rsidRPr="00C10DE4" w:rsidRDefault="00A3270E" w:rsidP="00A3270E">
      <w:pPr>
        <w:ind w:left="851"/>
        <w:rPr>
          <w:spacing w:val="-3"/>
          <w:sz w:val="24"/>
          <w:szCs w:val="24"/>
          <w:lang w:eastAsia="da-DK"/>
        </w:rPr>
      </w:pPr>
      <w:r w:rsidRPr="00C10DE4">
        <w:rPr>
          <w:spacing w:val="-3"/>
          <w:sz w:val="24"/>
          <w:szCs w:val="24"/>
        </w:rPr>
        <w:t>Ikke mærkning.</w:t>
      </w:r>
    </w:p>
    <w:p w:rsidR="00A3270E" w:rsidRPr="00C10DE4" w:rsidRDefault="00A3270E" w:rsidP="00A3270E">
      <w:pPr>
        <w:ind w:left="851"/>
        <w:rPr>
          <w:sz w:val="24"/>
          <w:szCs w:val="24"/>
        </w:rPr>
      </w:pPr>
      <w:r w:rsidRPr="00C10DE4">
        <w:rPr>
          <w:sz w:val="24"/>
          <w:szCs w:val="24"/>
        </w:rPr>
        <w:t>Der er ikke foretaget undersøgelser af virkningen på evnen til at føre motorkøretøj eller betjene maskiner.</w:t>
      </w:r>
    </w:p>
    <w:p w:rsidR="00A3270E" w:rsidRPr="00C10DE4" w:rsidRDefault="00A3270E" w:rsidP="00A3270E">
      <w:pPr>
        <w:ind w:left="851"/>
        <w:rPr>
          <w:sz w:val="24"/>
          <w:szCs w:val="24"/>
        </w:rPr>
      </w:pPr>
      <w:proofErr w:type="spellStart"/>
      <w:r w:rsidRPr="00C10DE4">
        <w:rPr>
          <w:sz w:val="24"/>
          <w:szCs w:val="24"/>
        </w:rPr>
        <w:t>Zavedos</w:t>
      </w:r>
      <w:proofErr w:type="spellEnd"/>
      <w:r w:rsidRPr="00C10DE4">
        <w:rPr>
          <w:sz w:val="24"/>
          <w:szCs w:val="24"/>
        </w:rPr>
        <w:t xml:space="preserve"> kan på grund af bivirkninger (kvalme og opkastning) muligvis påvirke evnen til at føre motorkøretøj eller betjene maskiner.</w:t>
      </w:r>
    </w:p>
    <w:p w:rsidR="00A3270E" w:rsidRPr="00C10DE4" w:rsidRDefault="00A3270E" w:rsidP="00A3270E">
      <w:pPr>
        <w:ind w:left="851" w:hanging="851"/>
        <w:rPr>
          <w:sz w:val="24"/>
          <w:szCs w:val="24"/>
        </w:rPr>
      </w:pPr>
    </w:p>
    <w:p w:rsidR="00A3270E" w:rsidRPr="00C10DE4" w:rsidRDefault="00A3270E" w:rsidP="00A3270E">
      <w:pPr>
        <w:ind w:left="851" w:hanging="851"/>
        <w:rPr>
          <w:b/>
          <w:sz w:val="24"/>
          <w:szCs w:val="24"/>
        </w:rPr>
      </w:pPr>
      <w:r w:rsidRPr="00C10DE4">
        <w:rPr>
          <w:b/>
          <w:sz w:val="24"/>
          <w:szCs w:val="24"/>
        </w:rPr>
        <w:t>4.8</w:t>
      </w:r>
      <w:r w:rsidRPr="00C10DE4">
        <w:rPr>
          <w:b/>
          <w:sz w:val="24"/>
          <w:szCs w:val="24"/>
        </w:rPr>
        <w:tab/>
        <w:t>Bivirkninger</w:t>
      </w:r>
    </w:p>
    <w:p w:rsidR="00A3270E" w:rsidRPr="00C10DE4" w:rsidRDefault="00A3270E" w:rsidP="00A3270E">
      <w:pPr>
        <w:ind w:left="851"/>
        <w:jc w:val="both"/>
        <w:rPr>
          <w:spacing w:val="-3"/>
          <w:sz w:val="24"/>
          <w:szCs w:val="24"/>
          <w:lang w:eastAsia="da-DK"/>
        </w:rPr>
      </w:pPr>
      <w:r w:rsidRPr="00C10DE4">
        <w:rPr>
          <w:spacing w:val="-3"/>
          <w:sz w:val="24"/>
          <w:szCs w:val="24"/>
        </w:rPr>
        <w:t>Bivirkningerne er opdelt efter følgende hyppigheder:</w:t>
      </w:r>
    </w:p>
    <w:p w:rsidR="00A3270E" w:rsidRPr="00C10DE4" w:rsidRDefault="00A3270E" w:rsidP="00A3270E">
      <w:pPr>
        <w:ind w:left="851" w:hanging="851"/>
        <w:jc w:val="both"/>
        <w:rPr>
          <w:spacing w:val="-3"/>
          <w:sz w:val="24"/>
          <w:szCs w:val="24"/>
        </w:rPr>
      </w:pPr>
    </w:p>
    <w:p w:rsidR="00A3270E" w:rsidRPr="00C10DE4" w:rsidRDefault="00A3270E" w:rsidP="00A3270E">
      <w:pPr>
        <w:ind w:left="851"/>
        <w:rPr>
          <w:sz w:val="24"/>
          <w:szCs w:val="24"/>
        </w:rPr>
      </w:pPr>
      <w:r w:rsidRPr="00C10DE4">
        <w:rPr>
          <w:spacing w:val="-3"/>
          <w:sz w:val="24"/>
          <w:szCs w:val="24"/>
        </w:rPr>
        <w:t>Meget almindelig (</w:t>
      </w:r>
      <w:r w:rsidRPr="00C10DE4">
        <w:rPr>
          <w:sz w:val="24"/>
          <w:szCs w:val="24"/>
        </w:rPr>
        <w:t>³1/10)</w:t>
      </w:r>
    </w:p>
    <w:p w:rsidR="00A3270E" w:rsidRPr="00C10DE4" w:rsidRDefault="00A3270E" w:rsidP="00A3270E">
      <w:pPr>
        <w:ind w:left="851"/>
        <w:rPr>
          <w:spacing w:val="-3"/>
          <w:sz w:val="24"/>
          <w:szCs w:val="24"/>
        </w:rPr>
      </w:pPr>
      <w:r w:rsidRPr="00C10DE4">
        <w:rPr>
          <w:sz w:val="24"/>
          <w:szCs w:val="24"/>
        </w:rPr>
        <w:t>Almindelig (³1/100 til &lt;1/10)</w:t>
      </w:r>
    </w:p>
    <w:p w:rsidR="00A3270E" w:rsidRPr="00C10DE4" w:rsidRDefault="00A3270E" w:rsidP="00A3270E">
      <w:pPr>
        <w:ind w:left="851"/>
        <w:rPr>
          <w:sz w:val="24"/>
          <w:szCs w:val="24"/>
        </w:rPr>
      </w:pPr>
      <w:r w:rsidRPr="00C10DE4">
        <w:rPr>
          <w:sz w:val="24"/>
          <w:szCs w:val="24"/>
        </w:rPr>
        <w:t>Ikke almindelig (</w:t>
      </w:r>
      <w:r w:rsidRPr="00C10DE4">
        <w:rPr>
          <w:sz w:val="24"/>
          <w:szCs w:val="24"/>
        </w:rPr>
        <w:sym w:font="Symbol" w:char="F0B3"/>
      </w:r>
      <w:r w:rsidRPr="00C10DE4">
        <w:rPr>
          <w:sz w:val="24"/>
          <w:szCs w:val="24"/>
        </w:rPr>
        <w:t>1/1.000 til &lt;1/100)</w:t>
      </w:r>
    </w:p>
    <w:p w:rsidR="00A3270E" w:rsidRPr="00C10DE4" w:rsidRDefault="00A3270E" w:rsidP="00A3270E">
      <w:pPr>
        <w:ind w:left="851"/>
        <w:rPr>
          <w:color w:val="222222"/>
          <w:sz w:val="24"/>
          <w:szCs w:val="24"/>
        </w:rPr>
      </w:pPr>
      <w:r w:rsidRPr="00C10DE4">
        <w:rPr>
          <w:color w:val="222222"/>
          <w:sz w:val="24"/>
          <w:szCs w:val="24"/>
        </w:rPr>
        <w:t>Sjælden (</w:t>
      </w:r>
      <w:r w:rsidRPr="00C10DE4">
        <w:rPr>
          <w:sz w:val="24"/>
          <w:szCs w:val="24"/>
        </w:rPr>
        <w:sym w:font="Symbol" w:char="F0B3"/>
      </w:r>
      <w:r w:rsidRPr="00C10DE4">
        <w:rPr>
          <w:sz w:val="24"/>
          <w:szCs w:val="24"/>
        </w:rPr>
        <w:t xml:space="preserve">1/10.000 til </w:t>
      </w:r>
      <w:r w:rsidRPr="00C10DE4">
        <w:rPr>
          <w:color w:val="222222"/>
          <w:sz w:val="24"/>
          <w:szCs w:val="24"/>
        </w:rPr>
        <w:t>&lt;1/1.000)</w:t>
      </w:r>
    </w:p>
    <w:p w:rsidR="00A3270E" w:rsidRPr="00C10DE4" w:rsidRDefault="00A3270E" w:rsidP="00A3270E">
      <w:pPr>
        <w:ind w:left="851"/>
        <w:rPr>
          <w:color w:val="222222"/>
          <w:sz w:val="24"/>
          <w:szCs w:val="24"/>
        </w:rPr>
      </w:pPr>
      <w:r w:rsidRPr="00C10DE4">
        <w:rPr>
          <w:color w:val="222222"/>
          <w:sz w:val="24"/>
          <w:szCs w:val="24"/>
        </w:rPr>
        <w:t>Meget sjælden (&lt;1/10.000)</w:t>
      </w:r>
    </w:p>
    <w:p w:rsidR="00A3270E" w:rsidRPr="00C10DE4" w:rsidRDefault="00A3270E" w:rsidP="00A3270E">
      <w:pPr>
        <w:ind w:left="851"/>
        <w:rPr>
          <w:color w:val="222222"/>
          <w:sz w:val="24"/>
          <w:szCs w:val="24"/>
        </w:rPr>
      </w:pPr>
      <w:r w:rsidRPr="00C10DE4">
        <w:rPr>
          <w:color w:val="222222"/>
          <w:sz w:val="24"/>
          <w:szCs w:val="24"/>
        </w:rPr>
        <w:t>Ikke kendt (kan ikke bestemmes ud fra tilgængelige data).</w:t>
      </w:r>
    </w:p>
    <w:p w:rsidR="00A3270E" w:rsidRPr="00C10DE4" w:rsidRDefault="00A3270E" w:rsidP="00A3270E">
      <w:pPr>
        <w:ind w:left="851" w:hanging="851"/>
        <w:jc w:val="both"/>
        <w:rPr>
          <w:color w:val="222222"/>
          <w:sz w:val="24"/>
          <w:szCs w:val="24"/>
        </w:rPr>
      </w:pPr>
    </w:p>
    <w:tbl>
      <w:tblPr>
        <w:tblW w:w="4564" w:type="pct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0"/>
        <w:gridCol w:w="5528"/>
      </w:tblGrid>
      <w:tr w:rsidR="00A3270E" w:rsidRPr="00BB6130" w:rsidTr="003B4BCE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70E" w:rsidRPr="00BB6130" w:rsidRDefault="00A3270E" w:rsidP="003B4BCE">
            <w:pPr>
              <w:rPr>
                <w:b/>
                <w:caps/>
                <w:sz w:val="24"/>
                <w:szCs w:val="24"/>
              </w:rPr>
            </w:pPr>
            <w:r w:rsidRPr="00BB6130">
              <w:rPr>
                <w:b/>
                <w:noProof/>
                <w:sz w:val="24"/>
                <w:szCs w:val="24"/>
              </w:rPr>
              <w:t>Infektioner og parasitære sygdomme</w:t>
            </w:r>
          </w:p>
        </w:tc>
      </w:tr>
      <w:tr w:rsidR="00A3270E" w:rsidRPr="00BB6130" w:rsidTr="003B4BCE"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70E" w:rsidRPr="00BB6130" w:rsidRDefault="00A3270E" w:rsidP="003B4BCE">
            <w:pPr>
              <w:rPr>
                <w:caps/>
                <w:sz w:val="24"/>
                <w:szCs w:val="24"/>
              </w:rPr>
            </w:pPr>
            <w:r w:rsidRPr="00BB6130">
              <w:rPr>
                <w:sz w:val="24"/>
                <w:szCs w:val="24"/>
              </w:rPr>
              <w:t>Meget almindelig</w:t>
            </w: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70E" w:rsidRPr="00BB6130" w:rsidRDefault="00A3270E" w:rsidP="003B4BCE">
            <w:pPr>
              <w:rPr>
                <w:caps/>
                <w:sz w:val="24"/>
                <w:szCs w:val="24"/>
              </w:rPr>
            </w:pPr>
            <w:r w:rsidRPr="00BB6130">
              <w:rPr>
                <w:sz w:val="24"/>
                <w:szCs w:val="24"/>
              </w:rPr>
              <w:t>Infektioner</w:t>
            </w:r>
          </w:p>
        </w:tc>
      </w:tr>
      <w:tr w:rsidR="00A3270E" w:rsidRPr="00BB6130" w:rsidTr="003B4BCE"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70E" w:rsidRPr="00BB6130" w:rsidRDefault="00A3270E" w:rsidP="003B4BCE">
            <w:pPr>
              <w:rPr>
                <w:caps/>
                <w:sz w:val="24"/>
                <w:szCs w:val="24"/>
              </w:rPr>
            </w:pPr>
            <w:r w:rsidRPr="00BB6130">
              <w:rPr>
                <w:sz w:val="24"/>
                <w:szCs w:val="24"/>
              </w:rPr>
              <w:t>Ikke almindelig</w:t>
            </w: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70E" w:rsidRPr="00BB6130" w:rsidRDefault="00A3270E" w:rsidP="003B4BCE">
            <w:pPr>
              <w:rPr>
                <w:caps/>
                <w:sz w:val="24"/>
                <w:szCs w:val="24"/>
              </w:rPr>
            </w:pPr>
            <w:r w:rsidRPr="00BB6130">
              <w:rPr>
                <w:sz w:val="24"/>
                <w:szCs w:val="24"/>
              </w:rPr>
              <w:t xml:space="preserve">Sepsis, </w:t>
            </w:r>
            <w:proofErr w:type="spellStart"/>
            <w:r w:rsidRPr="00BB6130">
              <w:rPr>
                <w:sz w:val="24"/>
                <w:szCs w:val="24"/>
              </w:rPr>
              <w:t>septikæmi</w:t>
            </w:r>
            <w:proofErr w:type="spellEnd"/>
          </w:p>
        </w:tc>
      </w:tr>
      <w:tr w:rsidR="00A3270E" w:rsidRPr="00BB6130" w:rsidTr="003B4BCE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70E" w:rsidRPr="00BB6130" w:rsidRDefault="00A3270E" w:rsidP="003B4BCE">
            <w:pPr>
              <w:rPr>
                <w:b/>
                <w:caps/>
                <w:sz w:val="24"/>
                <w:szCs w:val="24"/>
              </w:rPr>
            </w:pPr>
            <w:r w:rsidRPr="00BB6130">
              <w:rPr>
                <w:b/>
                <w:noProof/>
                <w:sz w:val="24"/>
                <w:szCs w:val="24"/>
              </w:rPr>
              <w:t>Benigne, maligne og uspecificerede tumorer (inkl. cyster og polypper)</w:t>
            </w:r>
          </w:p>
        </w:tc>
      </w:tr>
      <w:tr w:rsidR="00A3270E" w:rsidRPr="00BB6130" w:rsidTr="003B4BCE"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70E" w:rsidRPr="00BB6130" w:rsidRDefault="00A3270E" w:rsidP="003B4BCE">
            <w:pPr>
              <w:rPr>
                <w:caps/>
                <w:sz w:val="24"/>
                <w:szCs w:val="24"/>
              </w:rPr>
            </w:pPr>
            <w:r w:rsidRPr="00BB6130">
              <w:rPr>
                <w:sz w:val="24"/>
                <w:szCs w:val="24"/>
              </w:rPr>
              <w:t>Ikke almindelig</w:t>
            </w: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0E" w:rsidRPr="00BB6130" w:rsidRDefault="00A3270E" w:rsidP="003B4BCE">
            <w:pPr>
              <w:rPr>
                <w:caps/>
                <w:sz w:val="24"/>
                <w:szCs w:val="24"/>
              </w:rPr>
            </w:pPr>
            <w:r w:rsidRPr="00BB6130">
              <w:rPr>
                <w:sz w:val="24"/>
                <w:szCs w:val="24"/>
              </w:rPr>
              <w:t xml:space="preserve">Sekundær leukæmi (akut </w:t>
            </w:r>
            <w:proofErr w:type="spellStart"/>
            <w:r w:rsidRPr="00BB6130">
              <w:rPr>
                <w:sz w:val="24"/>
                <w:szCs w:val="24"/>
              </w:rPr>
              <w:t>myeloid</w:t>
            </w:r>
            <w:proofErr w:type="spellEnd"/>
            <w:r w:rsidRPr="00BB6130">
              <w:rPr>
                <w:sz w:val="24"/>
                <w:szCs w:val="24"/>
              </w:rPr>
              <w:t xml:space="preserve"> leukæmi og </w:t>
            </w:r>
            <w:proofErr w:type="spellStart"/>
            <w:r w:rsidRPr="00BB6130">
              <w:rPr>
                <w:sz w:val="24"/>
                <w:szCs w:val="24"/>
              </w:rPr>
              <w:t>myelodysplastisk</w:t>
            </w:r>
            <w:proofErr w:type="spellEnd"/>
            <w:r w:rsidRPr="00BB6130">
              <w:rPr>
                <w:sz w:val="24"/>
                <w:szCs w:val="24"/>
              </w:rPr>
              <w:t xml:space="preserve"> syndrom)</w:t>
            </w:r>
          </w:p>
        </w:tc>
      </w:tr>
      <w:tr w:rsidR="00A3270E" w:rsidRPr="00BB6130" w:rsidTr="003B4BCE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70E" w:rsidRPr="00BB6130" w:rsidRDefault="00A3270E" w:rsidP="003B4BCE">
            <w:pPr>
              <w:rPr>
                <w:sz w:val="24"/>
                <w:szCs w:val="24"/>
              </w:rPr>
            </w:pPr>
            <w:r w:rsidRPr="00BB6130">
              <w:rPr>
                <w:b/>
                <w:sz w:val="24"/>
                <w:szCs w:val="24"/>
              </w:rPr>
              <w:t>Blod og lymfesystem</w:t>
            </w:r>
          </w:p>
        </w:tc>
      </w:tr>
      <w:tr w:rsidR="00A3270E" w:rsidRPr="00BB6130" w:rsidTr="003B4BCE"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70E" w:rsidRPr="00BB6130" w:rsidRDefault="00A3270E" w:rsidP="003B4BCE">
            <w:pPr>
              <w:rPr>
                <w:caps/>
                <w:sz w:val="24"/>
                <w:szCs w:val="24"/>
              </w:rPr>
            </w:pPr>
            <w:r w:rsidRPr="00BB6130">
              <w:rPr>
                <w:sz w:val="24"/>
                <w:szCs w:val="24"/>
              </w:rPr>
              <w:t>Meget almindelig</w:t>
            </w: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70E" w:rsidRPr="00BB6130" w:rsidRDefault="00A3270E" w:rsidP="003B4BCE">
            <w:pPr>
              <w:rPr>
                <w:caps/>
                <w:sz w:val="24"/>
                <w:szCs w:val="24"/>
              </w:rPr>
            </w:pPr>
            <w:proofErr w:type="spellStart"/>
            <w:r w:rsidRPr="00BB6130">
              <w:rPr>
                <w:sz w:val="24"/>
                <w:szCs w:val="24"/>
              </w:rPr>
              <w:t>Trombocytopeni</w:t>
            </w:r>
            <w:proofErr w:type="spellEnd"/>
            <w:r w:rsidRPr="00BB6130">
              <w:rPr>
                <w:sz w:val="24"/>
                <w:szCs w:val="24"/>
              </w:rPr>
              <w:t xml:space="preserve">, svær </w:t>
            </w:r>
            <w:proofErr w:type="spellStart"/>
            <w:r w:rsidRPr="00BB6130">
              <w:rPr>
                <w:sz w:val="24"/>
                <w:szCs w:val="24"/>
              </w:rPr>
              <w:t>leukopeni</w:t>
            </w:r>
            <w:proofErr w:type="spellEnd"/>
            <w:r w:rsidRPr="00BB6130">
              <w:rPr>
                <w:sz w:val="24"/>
                <w:szCs w:val="24"/>
              </w:rPr>
              <w:t xml:space="preserve"> og </w:t>
            </w:r>
            <w:proofErr w:type="spellStart"/>
            <w:r w:rsidRPr="00BB6130">
              <w:rPr>
                <w:sz w:val="24"/>
                <w:szCs w:val="24"/>
              </w:rPr>
              <w:t>neutropeni</w:t>
            </w:r>
            <w:proofErr w:type="spellEnd"/>
            <w:r w:rsidRPr="00BB6130">
              <w:rPr>
                <w:sz w:val="24"/>
                <w:szCs w:val="24"/>
              </w:rPr>
              <w:t>, anæmi</w:t>
            </w:r>
          </w:p>
        </w:tc>
      </w:tr>
      <w:tr w:rsidR="00A3270E" w:rsidRPr="00BB6130" w:rsidTr="003B4BCE"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70E" w:rsidRPr="00BB6130" w:rsidRDefault="00A3270E" w:rsidP="003B4BCE">
            <w:pPr>
              <w:rPr>
                <w:sz w:val="24"/>
                <w:szCs w:val="24"/>
              </w:rPr>
            </w:pPr>
            <w:r w:rsidRPr="00BB6130">
              <w:rPr>
                <w:sz w:val="24"/>
                <w:szCs w:val="24"/>
              </w:rPr>
              <w:t>Ikke kendt</w:t>
            </w: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70E" w:rsidRPr="00BB6130" w:rsidRDefault="00A3270E" w:rsidP="003B4BCE">
            <w:pPr>
              <w:rPr>
                <w:sz w:val="24"/>
                <w:szCs w:val="24"/>
              </w:rPr>
            </w:pPr>
            <w:proofErr w:type="spellStart"/>
            <w:r w:rsidRPr="00BB6130">
              <w:rPr>
                <w:sz w:val="24"/>
                <w:szCs w:val="24"/>
              </w:rPr>
              <w:t>Pancytopeni</w:t>
            </w:r>
            <w:proofErr w:type="spellEnd"/>
          </w:p>
        </w:tc>
      </w:tr>
      <w:tr w:rsidR="00A3270E" w:rsidRPr="00BB6130" w:rsidTr="003B4BCE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70E" w:rsidRPr="00BB6130" w:rsidRDefault="00A3270E" w:rsidP="003B4BCE">
            <w:pPr>
              <w:rPr>
                <w:sz w:val="24"/>
                <w:szCs w:val="24"/>
              </w:rPr>
            </w:pPr>
            <w:r w:rsidRPr="00BB6130">
              <w:rPr>
                <w:b/>
                <w:sz w:val="24"/>
                <w:szCs w:val="24"/>
              </w:rPr>
              <w:t>Immunsystemet</w:t>
            </w:r>
          </w:p>
        </w:tc>
      </w:tr>
      <w:tr w:rsidR="00A3270E" w:rsidRPr="00BB6130" w:rsidTr="003B4BCE"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70E" w:rsidRPr="00BB6130" w:rsidRDefault="00A3270E" w:rsidP="003B4BCE">
            <w:pPr>
              <w:rPr>
                <w:caps/>
                <w:sz w:val="24"/>
                <w:szCs w:val="24"/>
              </w:rPr>
            </w:pPr>
            <w:r w:rsidRPr="00BB6130">
              <w:rPr>
                <w:sz w:val="24"/>
                <w:szCs w:val="24"/>
              </w:rPr>
              <w:t>Meget sjælden</w:t>
            </w: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70E" w:rsidRPr="00BB6130" w:rsidRDefault="00A3270E" w:rsidP="003B4BCE">
            <w:pPr>
              <w:rPr>
                <w:caps/>
                <w:sz w:val="24"/>
                <w:szCs w:val="24"/>
              </w:rPr>
            </w:pPr>
            <w:r w:rsidRPr="00BB6130">
              <w:rPr>
                <w:sz w:val="24"/>
                <w:szCs w:val="24"/>
              </w:rPr>
              <w:t>Anafylaksi</w:t>
            </w:r>
          </w:p>
        </w:tc>
      </w:tr>
      <w:tr w:rsidR="00A3270E" w:rsidRPr="00BB6130" w:rsidTr="003B4BCE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70E" w:rsidRPr="00BB6130" w:rsidRDefault="00A3270E" w:rsidP="003B4BCE">
            <w:pPr>
              <w:rPr>
                <w:b/>
                <w:caps/>
                <w:sz w:val="24"/>
                <w:szCs w:val="24"/>
              </w:rPr>
            </w:pPr>
            <w:r w:rsidRPr="00BB6130">
              <w:rPr>
                <w:b/>
                <w:sz w:val="24"/>
                <w:szCs w:val="24"/>
              </w:rPr>
              <w:t>Det endokrine system</w:t>
            </w:r>
          </w:p>
        </w:tc>
      </w:tr>
      <w:tr w:rsidR="00A3270E" w:rsidRPr="00BB6130" w:rsidTr="003B4BCE"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70E" w:rsidRPr="00BB6130" w:rsidRDefault="00A3270E" w:rsidP="003B4BCE">
            <w:pPr>
              <w:rPr>
                <w:caps/>
                <w:sz w:val="24"/>
                <w:szCs w:val="24"/>
              </w:rPr>
            </w:pPr>
            <w:r w:rsidRPr="00BB6130">
              <w:rPr>
                <w:sz w:val="24"/>
                <w:szCs w:val="24"/>
              </w:rPr>
              <w:t>Meget almindelig</w:t>
            </w: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0E" w:rsidRPr="00BB6130" w:rsidRDefault="00A3270E" w:rsidP="003B4BCE">
            <w:pPr>
              <w:rPr>
                <w:caps/>
                <w:sz w:val="24"/>
                <w:szCs w:val="24"/>
              </w:rPr>
            </w:pPr>
            <w:r w:rsidRPr="00BB6130">
              <w:rPr>
                <w:sz w:val="24"/>
                <w:szCs w:val="24"/>
              </w:rPr>
              <w:t>Appetitløshed</w:t>
            </w:r>
          </w:p>
        </w:tc>
      </w:tr>
      <w:tr w:rsidR="00A3270E" w:rsidRPr="00BB6130" w:rsidTr="003B4BCE"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70E" w:rsidRPr="00BB6130" w:rsidRDefault="00A3270E" w:rsidP="003B4BCE">
            <w:pPr>
              <w:rPr>
                <w:caps/>
                <w:sz w:val="24"/>
                <w:szCs w:val="24"/>
              </w:rPr>
            </w:pPr>
            <w:r w:rsidRPr="00BB6130">
              <w:rPr>
                <w:sz w:val="24"/>
                <w:szCs w:val="24"/>
              </w:rPr>
              <w:t>Ikke almindelig</w:t>
            </w: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70E" w:rsidRPr="00BB6130" w:rsidRDefault="00A3270E" w:rsidP="003B4BCE">
            <w:pPr>
              <w:rPr>
                <w:caps/>
                <w:sz w:val="24"/>
                <w:szCs w:val="24"/>
              </w:rPr>
            </w:pPr>
            <w:r w:rsidRPr="00BB6130">
              <w:rPr>
                <w:sz w:val="24"/>
                <w:szCs w:val="24"/>
              </w:rPr>
              <w:t>Dehydrering</w:t>
            </w:r>
          </w:p>
        </w:tc>
      </w:tr>
      <w:tr w:rsidR="00A3270E" w:rsidRPr="00BB6130" w:rsidTr="003B4BCE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70E" w:rsidRPr="00BB6130" w:rsidRDefault="00A3270E" w:rsidP="003B4BCE">
            <w:pPr>
              <w:rPr>
                <w:b/>
                <w:caps/>
                <w:sz w:val="24"/>
                <w:szCs w:val="24"/>
              </w:rPr>
            </w:pPr>
            <w:r w:rsidRPr="00BB6130">
              <w:rPr>
                <w:b/>
                <w:noProof/>
                <w:sz w:val="24"/>
                <w:szCs w:val="24"/>
              </w:rPr>
              <w:t>Metabolisme og ernæring</w:t>
            </w:r>
          </w:p>
        </w:tc>
      </w:tr>
      <w:tr w:rsidR="00A3270E" w:rsidRPr="00BB6130" w:rsidTr="003B4BCE"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70E" w:rsidRPr="00BB6130" w:rsidRDefault="00A3270E" w:rsidP="003B4BCE">
            <w:pPr>
              <w:rPr>
                <w:caps/>
                <w:sz w:val="24"/>
                <w:szCs w:val="24"/>
              </w:rPr>
            </w:pPr>
            <w:r w:rsidRPr="00BB6130">
              <w:rPr>
                <w:sz w:val="24"/>
                <w:szCs w:val="24"/>
              </w:rPr>
              <w:t>Ikke almindelig</w:t>
            </w: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70E" w:rsidRPr="00BB6130" w:rsidRDefault="00A3270E" w:rsidP="003B4BCE">
            <w:pPr>
              <w:rPr>
                <w:caps/>
                <w:sz w:val="24"/>
                <w:szCs w:val="24"/>
              </w:rPr>
            </w:pPr>
            <w:proofErr w:type="spellStart"/>
            <w:r w:rsidRPr="00BB6130">
              <w:rPr>
                <w:sz w:val="24"/>
                <w:szCs w:val="24"/>
              </w:rPr>
              <w:t>Hyperurikæmi</w:t>
            </w:r>
            <w:proofErr w:type="spellEnd"/>
          </w:p>
        </w:tc>
      </w:tr>
      <w:tr w:rsidR="00A3270E" w:rsidRPr="00BB6130" w:rsidTr="003B4BCE"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70E" w:rsidRPr="00BB6130" w:rsidRDefault="00A3270E" w:rsidP="003B4BCE">
            <w:pPr>
              <w:rPr>
                <w:caps/>
                <w:sz w:val="24"/>
                <w:szCs w:val="24"/>
              </w:rPr>
            </w:pPr>
            <w:r w:rsidRPr="00BB6130">
              <w:rPr>
                <w:sz w:val="24"/>
                <w:szCs w:val="24"/>
              </w:rPr>
              <w:t>Ikke kendt</w:t>
            </w: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70E" w:rsidRPr="00BB6130" w:rsidRDefault="00A3270E" w:rsidP="003B4BCE">
            <w:pPr>
              <w:rPr>
                <w:caps/>
                <w:sz w:val="24"/>
                <w:szCs w:val="24"/>
              </w:rPr>
            </w:pPr>
            <w:r w:rsidRPr="00BB6130">
              <w:rPr>
                <w:sz w:val="24"/>
                <w:szCs w:val="24"/>
              </w:rPr>
              <w:t>Tumorlysesyndrom</w:t>
            </w:r>
          </w:p>
        </w:tc>
      </w:tr>
      <w:tr w:rsidR="00A3270E" w:rsidRPr="00BB6130" w:rsidTr="003B4BCE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70E" w:rsidRPr="00BB6130" w:rsidRDefault="00A3270E" w:rsidP="003B4BCE">
            <w:pPr>
              <w:rPr>
                <w:sz w:val="24"/>
                <w:szCs w:val="24"/>
              </w:rPr>
            </w:pPr>
            <w:r w:rsidRPr="00BB6130">
              <w:rPr>
                <w:b/>
                <w:sz w:val="24"/>
                <w:szCs w:val="24"/>
              </w:rPr>
              <w:t>Nervesystemet</w:t>
            </w:r>
          </w:p>
        </w:tc>
      </w:tr>
      <w:tr w:rsidR="00A3270E" w:rsidRPr="00BB6130" w:rsidTr="003B4BCE"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70E" w:rsidRPr="00BB6130" w:rsidRDefault="00A3270E" w:rsidP="003B4BCE">
            <w:pPr>
              <w:rPr>
                <w:caps/>
                <w:sz w:val="24"/>
                <w:szCs w:val="24"/>
              </w:rPr>
            </w:pPr>
            <w:r w:rsidRPr="00BB6130">
              <w:rPr>
                <w:sz w:val="24"/>
                <w:szCs w:val="24"/>
              </w:rPr>
              <w:t>Sjælden</w:t>
            </w: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70E" w:rsidRPr="00BB6130" w:rsidRDefault="00A3270E" w:rsidP="003B4BCE">
            <w:pPr>
              <w:rPr>
                <w:caps/>
                <w:sz w:val="24"/>
                <w:szCs w:val="24"/>
              </w:rPr>
            </w:pPr>
            <w:r w:rsidRPr="00BB6130">
              <w:rPr>
                <w:sz w:val="24"/>
                <w:szCs w:val="24"/>
              </w:rPr>
              <w:t>Cerebral blødning</w:t>
            </w:r>
          </w:p>
        </w:tc>
      </w:tr>
      <w:tr w:rsidR="00A3270E" w:rsidRPr="00BB6130" w:rsidTr="003B4BCE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70E" w:rsidRPr="00BB6130" w:rsidRDefault="00A3270E" w:rsidP="003B4BCE">
            <w:pPr>
              <w:rPr>
                <w:sz w:val="24"/>
                <w:szCs w:val="24"/>
              </w:rPr>
            </w:pPr>
            <w:r w:rsidRPr="00BB6130">
              <w:rPr>
                <w:b/>
                <w:sz w:val="24"/>
                <w:szCs w:val="24"/>
              </w:rPr>
              <w:t>Hjerte</w:t>
            </w:r>
          </w:p>
        </w:tc>
      </w:tr>
      <w:tr w:rsidR="00A3270E" w:rsidRPr="00BB6130" w:rsidTr="003B4BCE"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70E" w:rsidRPr="00BB6130" w:rsidRDefault="00A3270E" w:rsidP="003B4BCE">
            <w:pPr>
              <w:rPr>
                <w:caps/>
                <w:sz w:val="24"/>
                <w:szCs w:val="24"/>
              </w:rPr>
            </w:pPr>
            <w:r w:rsidRPr="00BB6130">
              <w:rPr>
                <w:sz w:val="24"/>
                <w:szCs w:val="24"/>
              </w:rPr>
              <w:t>Almindelig</w:t>
            </w: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70E" w:rsidRPr="00BB6130" w:rsidRDefault="00A3270E" w:rsidP="003B4BCE">
            <w:pPr>
              <w:rPr>
                <w:caps/>
                <w:sz w:val="24"/>
                <w:szCs w:val="24"/>
              </w:rPr>
            </w:pPr>
            <w:r w:rsidRPr="00BB6130">
              <w:rPr>
                <w:sz w:val="24"/>
                <w:szCs w:val="24"/>
              </w:rPr>
              <w:t xml:space="preserve">Kronisk </w:t>
            </w:r>
            <w:proofErr w:type="spellStart"/>
            <w:r w:rsidRPr="00BB6130">
              <w:rPr>
                <w:sz w:val="24"/>
                <w:szCs w:val="24"/>
              </w:rPr>
              <w:t>venstresidig</w:t>
            </w:r>
            <w:proofErr w:type="spellEnd"/>
            <w:r w:rsidRPr="00BB6130">
              <w:rPr>
                <w:sz w:val="24"/>
                <w:szCs w:val="24"/>
              </w:rPr>
              <w:t xml:space="preserve"> hjerteinsufficiens, bradykardi, sinus </w:t>
            </w:r>
            <w:proofErr w:type="spellStart"/>
            <w:r w:rsidRPr="00BB6130">
              <w:rPr>
                <w:sz w:val="24"/>
                <w:szCs w:val="24"/>
              </w:rPr>
              <w:t>takykardi</w:t>
            </w:r>
            <w:proofErr w:type="spellEnd"/>
            <w:r w:rsidRPr="00BB6130">
              <w:rPr>
                <w:sz w:val="24"/>
                <w:szCs w:val="24"/>
              </w:rPr>
              <w:t xml:space="preserve">, </w:t>
            </w:r>
            <w:proofErr w:type="spellStart"/>
            <w:r w:rsidRPr="00BB6130">
              <w:rPr>
                <w:sz w:val="24"/>
                <w:szCs w:val="24"/>
              </w:rPr>
              <w:t>takyarytmi</w:t>
            </w:r>
            <w:proofErr w:type="spellEnd"/>
            <w:r w:rsidRPr="00BB6130">
              <w:rPr>
                <w:sz w:val="24"/>
                <w:szCs w:val="24"/>
              </w:rPr>
              <w:t xml:space="preserve">, asymptomatisk reduktion i venstre ventrikels uddrivningsfraktion, </w:t>
            </w:r>
            <w:proofErr w:type="spellStart"/>
            <w:r w:rsidRPr="00BB6130">
              <w:rPr>
                <w:sz w:val="24"/>
                <w:szCs w:val="24"/>
              </w:rPr>
              <w:t>cardiomyopati</w:t>
            </w:r>
            <w:proofErr w:type="spellEnd"/>
            <w:r w:rsidRPr="00BB6130">
              <w:rPr>
                <w:sz w:val="24"/>
                <w:szCs w:val="24"/>
              </w:rPr>
              <w:t xml:space="preserve"> (se pkt. 4.4 for symptomer)</w:t>
            </w:r>
          </w:p>
        </w:tc>
      </w:tr>
      <w:tr w:rsidR="00A3270E" w:rsidRPr="00BB6130" w:rsidTr="003B4BCE"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70E" w:rsidRPr="00BB6130" w:rsidRDefault="00A3270E" w:rsidP="003B4BCE">
            <w:pPr>
              <w:rPr>
                <w:caps/>
                <w:sz w:val="24"/>
                <w:szCs w:val="24"/>
              </w:rPr>
            </w:pPr>
            <w:r w:rsidRPr="00BB6130">
              <w:rPr>
                <w:sz w:val="24"/>
                <w:szCs w:val="24"/>
              </w:rPr>
              <w:t>Ikke almindelig</w:t>
            </w: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70E" w:rsidRPr="00BB6130" w:rsidRDefault="00A3270E" w:rsidP="003B4BCE">
            <w:pPr>
              <w:rPr>
                <w:caps/>
                <w:sz w:val="24"/>
                <w:szCs w:val="24"/>
              </w:rPr>
            </w:pPr>
            <w:r w:rsidRPr="00BB6130">
              <w:rPr>
                <w:sz w:val="24"/>
                <w:szCs w:val="24"/>
              </w:rPr>
              <w:t xml:space="preserve">Myokardieinfarkt, ekg </w:t>
            </w:r>
            <w:proofErr w:type="spellStart"/>
            <w:r w:rsidRPr="00BB6130">
              <w:rPr>
                <w:sz w:val="24"/>
                <w:szCs w:val="24"/>
              </w:rPr>
              <w:t>abnormaliteter</w:t>
            </w:r>
            <w:proofErr w:type="spellEnd"/>
            <w:r w:rsidRPr="00BB6130">
              <w:rPr>
                <w:sz w:val="24"/>
                <w:szCs w:val="24"/>
              </w:rPr>
              <w:t xml:space="preserve"> (non-specifikke ST-segmentændringer)</w:t>
            </w:r>
          </w:p>
        </w:tc>
      </w:tr>
      <w:tr w:rsidR="00A3270E" w:rsidRPr="00BB6130" w:rsidTr="003B4BCE"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70E" w:rsidRPr="00BB6130" w:rsidRDefault="00A3270E" w:rsidP="003B4BCE">
            <w:pPr>
              <w:rPr>
                <w:caps/>
                <w:sz w:val="24"/>
                <w:szCs w:val="24"/>
              </w:rPr>
            </w:pPr>
            <w:r w:rsidRPr="00BB6130">
              <w:rPr>
                <w:sz w:val="24"/>
                <w:szCs w:val="24"/>
              </w:rPr>
              <w:lastRenderedPageBreak/>
              <w:t>Meget sjælden</w:t>
            </w: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70E" w:rsidRPr="00BB6130" w:rsidRDefault="00A3270E" w:rsidP="003B4BCE">
            <w:pPr>
              <w:rPr>
                <w:caps/>
                <w:sz w:val="24"/>
                <w:szCs w:val="24"/>
              </w:rPr>
            </w:pPr>
            <w:proofErr w:type="spellStart"/>
            <w:r w:rsidRPr="00BB6130">
              <w:rPr>
                <w:sz w:val="24"/>
                <w:szCs w:val="24"/>
              </w:rPr>
              <w:t>Pericarditis</w:t>
            </w:r>
            <w:proofErr w:type="spellEnd"/>
            <w:r w:rsidRPr="00BB6130">
              <w:rPr>
                <w:sz w:val="24"/>
                <w:szCs w:val="24"/>
              </w:rPr>
              <w:t xml:space="preserve">, </w:t>
            </w:r>
            <w:proofErr w:type="spellStart"/>
            <w:r w:rsidRPr="00BB6130">
              <w:rPr>
                <w:sz w:val="24"/>
                <w:szCs w:val="24"/>
              </w:rPr>
              <w:t>myocarditis</w:t>
            </w:r>
            <w:proofErr w:type="spellEnd"/>
            <w:r w:rsidRPr="00BB6130">
              <w:rPr>
                <w:sz w:val="24"/>
                <w:szCs w:val="24"/>
              </w:rPr>
              <w:t xml:space="preserve">, </w:t>
            </w:r>
            <w:proofErr w:type="spellStart"/>
            <w:r w:rsidRPr="00BB6130">
              <w:rPr>
                <w:sz w:val="24"/>
                <w:szCs w:val="24"/>
              </w:rPr>
              <w:t>atrioventrikulært</w:t>
            </w:r>
            <w:proofErr w:type="spellEnd"/>
            <w:r w:rsidRPr="00BB6130">
              <w:rPr>
                <w:sz w:val="24"/>
                <w:szCs w:val="24"/>
              </w:rPr>
              <w:t xml:space="preserve"> blok og grenblok</w:t>
            </w:r>
          </w:p>
        </w:tc>
      </w:tr>
      <w:tr w:rsidR="00A3270E" w:rsidRPr="00BB6130" w:rsidTr="003B4BCE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70E" w:rsidRPr="00BB6130" w:rsidRDefault="00A3270E" w:rsidP="003B4BCE">
            <w:pPr>
              <w:rPr>
                <w:sz w:val="24"/>
                <w:szCs w:val="24"/>
              </w:rPr>
            </w:pPr>
            <w:r w:rsidRPr="00BB6130">
              <w:rPr>
                <w:b/>
                <w:noProof/>
                <w:sz w:val="24"/>
                <w:szCs w:val="24"/>
              </w:rPr>
              <w:t>Vaskulære sygdomme</w:t>
            </w:r>
          </w:p>
        </w:tc>
      </w:tr>
      <w:tr w:rsidR="00A3270E" w:rsidRPr="00BB6130" w:rsidTr="003B4BCE"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70E" w:rsidRPr="00BB6130" w:rsidRDefault="00A3270E" w:rsidP="003B4BCE">
            <w:pPr>
              <w:rPr>
                <w:caps/>
                <w:sz w:val="24"/>
                <w:szCs w:val="24"/>
              </w:rPr>
            </w:pPr>
            <w:r w:rsidRPr="00BB6130">
              <w:rPr>
                <w:sz w:val="24"/>
                <w:szCs w:val="24"/>
              </w:rPr>
              <w:t>Almindelig</w:t>
            </w: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70E" w:rsidRPr="00BB6130" w:rsidRDefault="00A3270E" w:rsidP="003B4BCE">
            <w:pPr>
              <w:rPr>
                <w:caps/>
                <w:sz w:val="24"/>
                <w:szCs w:val="24"/>
              </w:rPr>
            </w:pPr>
            <w:proofErr w:type="spellStart"/>
            <w:r w:rsidRPr="00BB6130">
              <w:rPr>
                <w:sz w:val="24"/>
                <w:szCs w:val="24"/>
              </w:rPr>
              <w:t>Hæmoragi</w:t>
            </w:r>
            <w:proofErr w:type="spellEnd"/>
            <w:r w:rsidRPr="00BB6130">
              <w:rPr>
                <w:sz w:val="24"/>
                <w:szCs w:val="24"/>
              </w:rPr>
              <w:t xml:space="preserve">, lokal </w:t>
            </w:r>
            <w:proofErr w:type="spellStart"/>
            <w:r w:rsidRPr="00BB6130">
              <w:rPr>
                <w:sz w:val="24"/>
                <w:szCs w:val="24"/>
              </w:rPr>
              <w:t>flebit</w:t>
            </w:r>
            <w:proofErr w:type="spellEnd"/>
            <w:r w:rsidRPr="00BB6130">
              <w:rPr>
                <w:sz w:val="24"/>
                <w:szCs w:val="24"/>
              </w:rPr>
              <w:t xml:space="preserve">, </w:t>
            </w:r>
            <w:proofErr w:type="spellStart"/>
            <w:r w:rsidRPr="00BB6130">
              <w:rPr>
                <w:sz w:val="24"/>
                <w:szCs w:val="24"/>
              </w:rPr>
              <w:t>tromboflebit</w:t>
            </w:r>
            <w:proofErr w:type="spellEnd"/>
          </w:p>
        </w:tc>
      </w:tr>
      <w:tr w:rsidR="00A3270E" w:rsidRPr="00BB6130" w:rsidTr="003B4BCE"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70E" w:rsidRPr="00BB6130" w:rsidRDefault="00A3270E" w:rsidP="003B4BCE">
            <w:pPr>
              <w:rPr>
                <w:caps/>
                <w:sz w:val="24"/>
                <w:szCs w:val="24"/>
              </w:rPr>
            </w:pPr>
            <w:r w:rsidRPr="00BB6130">
              <w:rPr>
                <w:sz w:val="24"/>
                <w:szCs w:val="24"/>
              </w:rPr>
              <w:t>Ikke almindelig</w:t>
            </w: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70E" w:rsidRPr="00BB6130" w:rsidRDefault="00A3270E" w:rsidP="003B4BCE">
            <w:pPr>
              <w:rPr>
                <w:caps/>
                <w:sz w:val="24"/>
                <w:szCs w:val="24"/>
              </w:rPr>
            </w:pPr>
            <w:proofErr w:type="spellStart"/>
            <w:r w:rsidRPr="00BB6130">
              <w:rPr>
                <w:sz w:val="24"/>
                <w:szCs w:val="24"/>
              </w:rPr>
              <w:t>Shock</w:t>
            </w:r>
            <w:proofErr w:type="spellEnd"/>
          </w:p>
        </w:tc>
      </w:tr>
      <w:tr w:rsidR="00A3270E" w:rsidRPr="00BB6130" w:rsidTr="003B4BCE"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70E" w:rsidRPr="00BB6130" w:rsidRDefault="00A3270E" w:rsidP="003B4BCE">
            <w:pPr>
              <w:rPr>
                <w:caps/>
                <w:sz w:val="24"/>
                <w:szCs w:val="24"/>
              </w:rPr>
            </w:pPr>
            <w:r w:rsidRPr="00BB6130">
              <w:rPr>
                <w:sz w:val="24"/>
                <w:szCs w:val="24"/>
              </w:rPr>
              <w:t>Meget sjælden</w:t>
            </w: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70E" w:rsidRPr="00BB6130" w:rsidRDefault="00A3270E" w:rsidP="003B4BCE">
            <w:pPr>
              <w:rPr>
                <w:caps/>
                <w:sz w:val="24"/>
                <w:szCs w:val="24"/>
              </w:rPr>
            </w:pPr>
            <w:proofErr w:type="spellStart"/>
            <w:r w:rsidRPr="00BB6130">
              <w:rPr>
                <w:sz w:val="24"/>
                <w:szCs w:val="24"/>
              </w:rPr>
              <w:t>Tromboembolisme</w:t>
            </w:r>
            <w:proofErr w:type="spellEnd"/>
            <w:r w:rsidRPr="00BB6130">
              <w:rPr>
                <w:sz w:val="24"/>
                <w:szCs w:val="24"/>
              </w:rPr>
              <w:t>, rødmen</w:t>
            </w:r>
          </w:p>
        </w:tc>
      </w:tr>
      <w:tr w:rsidR="00A3270E" w:rsidRPr="00BB6130" w:rsidTr="003B4BCE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70E" w:rsidRPr="00BB6130" w:rsidRDefault="00A3270E" w:rsidP="003B4BCE">
            <w:pPr>
              <w:rPr>
                <w:noProof/>
                <w:sz w:val="24"/>
                <w:szCs w:val="24"/>
              </w:rPr>
            </w:pPr>
            <w:proofErr w:type="spellStart"/>
            <w:r w:rsidRPr="00BB6130">
              <w:rPr>
                <w:b/>
                <w:sz w:val="24"/>
                <w:szCs w:val="24"/>
              </w:rPr>
              <w:t>Mave-tarmkanalen</w:t>
            </w:r>
            <w:proofErr w:type="spellEnd"/>
          </w:p>
        </w:tc>
      </w:tr>
      <w:tr w:rsidR="00A3270E" w:rsidRPr="00BB6130" w:rsidTr="003B4BCE"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70E" w:rsidRPr="00BB6130" w:rsidRDefault="00A3270E" w:rsidP="003B4BCE">
            <w:pPr>
              <w:rPr>
                <w:iCs/>
                <w:caps/>
                <w:noProof/>
                <w:sz w:val="24"/>
                <w:szCs w:val="24"/>
              </w:rPr>
            </w:pPr>
            <w:r w:rsidRPr="00BB6130">
              <w:rPr>
                <w:sz w:val="24"/>
                <w:szCs w:val="24"/>
              </w:rPr>
              <w:t>Meget almindelig</w:t>
            </w: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70E" w:rsidRPr="00BB6130" w:rsidRDefault="00A3270E" w:rsidP="003B4BCE">
            <w:pPr>
              <w:rPr>
                <w:caps/>
                <w:sz w:val="24"/>
                <w:szCs w:val="24"/>
              </w:rPr>
            </w:pPr>
            <w:r w:rsidRPr="00BB6130">
              <w:rPr>
                <w:sz w:val="24"/>
                <w:szCs w:val="24"/>
              </w:rPr>
              <w:t xml:space="preserve">Kvalme, opkastning, </w:t>
            </w:r>
            <w:proofErr w:type="spellStart"/>
            <w:r w:rsidRPr="00BB6130">
              <w:rPr>
                <w:sz w:val="24"/>
                <w:szCs w:val="24"/>
              </w:rPr>
              <w:t>mucositis</w:t>
            </w:r>
            <w:proofErr w:type="spellEnd"/>
            <w:r w:rsidRPr="00BB6130">
              <w:rPr>
                <w:sz w:val="24"/>
                <w:szCs w:val="24"/>
              </w:rPr>
              <w:t>/</w:t>
            </w:r>
            <w:proofErr w:type="spellStart"/>
            <w:r w:rsidRPr="00BB6130">
              <w:rPr>
                <w:sz w:val="24"/>
                <w:szCs w:val="24"/>
              </w:rPr>
              <w:t>stomatitis</w:t>
            </w:r>
            <w:proofErr w:type="spellEnd"/>
            <w:r w:rsidRPr="00BB6130">
              <w:rPr>
                <w:sz w:val="24"/>
                <w:szCs w:val="24"/>
              </w:rPr>
              <w:t>, diarré, mavesmerter eller brændende fornemmelse</w:t>
            </w:r>
          </w:p>
        </w:tc>
      </w:tr>
      <w:tr w:rsidR="00A3270E" w:rsidRPr="00BB6130" w:rsidTr="003B4BCE"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70E" w:rsidRPr="00BB6130" w:rsidRDefault="00A3270E" w:rsidP="003B4BCE">
            <w:pPr>
              <w:rPr>
                <w:caps/>
                <w:sz w:val="24"/>
                <w:szCs w:val="24"/>
              </w:rPr>
            </w:pPr>
            <w:r w:rsidRPr="00BB6130">
              <w:rPr>
                <w:sz w:val="24"/>
                <w:szCs w:val="24"/>
              </w:rPr>
              <w:t>Almindelig</w:t>
            </w: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70E" w:rsidRPr="00BB6130" w:rsidRDefault="00A3270E" w:rsidP="003B4BCE">
            <w:pPr>
              <w:rPr>
                <w:caps/>
                <w:sz w:val="24"/>
                <w:szCs w:val="24"/>
              </w:rPr>
            </w:pPr>
            <w:proofErr w:type="spellStart"/>
            <w:r w:rsidRPr="00BB6130">
              <w:rPr>
                <w:sz w:val="24"/>
                <w:szCs w:val="24"/>
              </w:rPr>
              <w:t>Gastrointestinal</w:t>
            </w:r>
            <w:proofErr w:type="spellEnd"/>
            <w:r w:rsidRPr="00BB6130">
              <w:rPr>
                <w:sz w:val="24"/>
                <w:szCs w:val="24"/>
              </w:rPr>
              <w:t xml:space="preserve"> blødning, mavepine</w:t>
            </w:r>
          </w:p>
        </w:tc>
      </w:tr>
      <w:tr w:rsidR="00A3270E" w:rsidRPr="00BB6130" w:rsidTr="003B4BCE"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70E" w:rsidRPr="00BB6130" w:rsidRDefault="00A3270E" w:rsidP="003B4BCE">
            <w:pPr>
              <w:rPr>
                <w:caps/>
                <w:sz w:val="24"/>
                <w:szCs w:val="24"/>
              </w:rPr>
            </w:pPr>
            <w:r w:rsidRPr="00BB6130">
              <w:rPr>
                <w:sz w:val="24"/>
                <w:szCs w:val="24"/>
              </w:rPr>
              <w:t>Ikke almindelig</w:t>
            </w: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70E" w:rsidRPr="00BB6130" w:rsidRDefault="00A3270E" w:rsidP="003B4BCE">
            <w:pPr>
              <w:rPr>
                <w:caps/>
                <w:sz w:val="24"/>
                <w:szCs w:val="24"/>
              </w:rPr>
            </w:pPr>
            <w:proofErr w:type="spellStart"/>
            <w:r w:rsidRPr="00BB6130">
              <w:rPr>
                <w:sz w:val="24"/>
                <w:szCs w:val="24"/>
              </w:rPr>
              <w:t>Øsofagitis</w:t>
            </w:r>
            <w:proofErr w:type="spellEnd"/>
            <w:r w:rsidRPr="00BB6130">
              <w:rPr>
                <w:sz w:val="24"/>
                <w:szCs w:val="24"/>
              </w:rPr>
              <w:t xml:space="preserve">, colitis (herunder svær </w:t>
            </w:r>
            <w:proofErr w:type="spellStart"/>
            <w:r w:rsidRPr="00BB6130">
              <w:rPr>
                <w:sz w:val="24"/>
                <w:szCs w:val="24"/>
              </w:rPr>
              <w:t>enterocolitis</w:t>
            </w:r>
            <w:proofErr w:type="spellEnd"/>
            <w:r w:rsidRPr="00BB6130">
              <w:rPr>
                <w:sz w:val="24"/>
                <w:szCs w:val="24"/>
              </w:rPr>
              <w:t xml:space="preserve"> / </w:t>
            </w:r>
            <w:proofErr w:type="spellStart"/>
            <w:r w:rsidRPr="00BB6130">
              <w:rPr>
                <w:sz w:val="24"/>
                <w:szCs w:val="24"/>
              </w:rPr>
              <w:t>neutropenisk</w:t>
            </w:r>
            <w:proofErr w:type="spellEnd"/>
            <w:r w:rsidRPr="00BB6130">
              <w:rPr>
                <w:sz w:val="24"/>
                <w:szCs w:val="24"/>
              </w:rPr>
              <w:t xml:space="preserve"> </w:t>
            </w:r>
            <w:proofErr w:type="spellStart"/>
            <w:r w:rsidRPr="00BB6130">
              <w:rPr>
                <w:sz w:val="24"/>
                <w:szCs w:val="24"/>
              </w:rPr>
              <w:t>enterocolitis</w:t>
            </w:r>
            <w:proofErr w:type="spellEnd"/>
            <w:r w:rsidRPr="00BB6130">
              <w:rPr>
                <w:sz w:val="24"/>
                <w:szCs w:val="24"/>
              </w:rPr>
              <w:t xml:space="preserve"> med perforation) </w:t>
            </w:r>
          </w:p>
        </w:tc>
      </w:tr>
      <w:tr w:rsidR="00A3270E" w:rsidRPr="00BB6130" w:rsidTr="003B4BCE"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70E" w:rsidRPr="00BB6130" w:rsidRDefault="00A3270E" w:rsidP="003B4BCE">
            <w:pPr>
              <w:rPr>
                <w:caps/>
                <w:sz w:val="24"/>
                <w:szCs w:val="24"/>
              </w:rPr>
            </w:pPr>
            <w:r w:rsidRPr="00BB6130">
              <w:rPr>
                <w:sz w:val="24"/>
                <w:szCs w:val="24"/>
              </w:rPr>
              <w:t>Meget sjælden</w:t>
            </w: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70E" w:rsidRPr="00BB6130" w:rsidRDefault="00A3270E" w:rsidP="003B4BCE">
            <w:pPr>
              <w:rPr>
                <w:i/>
                <w:iCs/>
                <w:caps/>
                <w:noProof/>
                <w:color w:val="0000FF"/>
                <w:sz w:val="24"/>
                <w:szCs w:val="24"/>
                <w:lang w:eastAsia="da-DK"/>
              </w:rPr>
            </w:pPr>
            <w:r w:rsidRPr="00BB6130">
              <w:rPr>
                <w:sz w:val="24"/>
                <w:szCs w:val="24"/>
              </w:rPr>
              <w:t>Ventrikelerosion/-</w:t>
            </w:r>
            <w:proofErr w:type="spellStart"/>
            <w:r w:rsidRPr="00BB6130">
              <w:rPr>
                <w:sz w:val="24"/>
                <w:szCs w:val="24"/>
              </w:rPr>
              <w:t>ulceration</w:t>
            </w:r>
            <w:proofErr w:type="spellEnd"/>
          </w:p>
        </w:tc>
      </w:tr>
      <w:tr w:rsidR="00A3270E" w:rsidRPr="00BB6130" w:rsidTr="003B4BCE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70E" w:rsidRPr="00BB6130" w:rsidRDefault="00A3270E" w:rsidP="003B4BCE">
            <w:pPr>
              <w:rPr>
                <w:sz w:val="24"/>
                <w:szCs w:val="24"/>
              </w:rPr>
            </w:pPr>
            <w:r w:rsidRPr="00BB6130">
              <w:rPr>
                <w:b/>
                <w:sz w:val="24"/>
                <w:szCs w:val="24"/>
              </w:rPr>
              <w:t>Lever og galdeveje</w:t>
            </w:r>
          </w:p>
        </w:tc>
      </w:tr>
      <w:tr w:rsidR="00A3270E" w:rsidRPr="00BB6130" w:rsidTr="003B4BCE"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70E" w:rsidRPr="00BB6130" w:rsidRDefault="00A3270E" w:rsidP="003B4BCE">
            <w:pPr>
              <w:rPr>
                <w:iCs/>
                <w:caps/>
                <w:noProof/>
                <w:sz w:val="24"/>
                <w:szCs w:val="24"/>
                <w:lang w:eastAsia="da-DK"/>
              </w:rPr>
            </w:pPr>
            <w:r w:rsidRPr="00BB6130">
              <w:rPr>
                <w:sz w:val="24"/>
                <w:szCs w:val="24"/>
              </w:rPr>
              <w:t>Almindelig</w:t>
            </w: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70E" w:rsidRPr="00BB6130" w:rsidRDefault="00A3270E" w:rsidP="003B4BCE">
            <w:pPr>
              <w:rPr>
                <w:caps/>
                <w:sz w:val="24"/>
                <w:szCs w:val="24"/>
              </w:rPr>
            </w:pPr>
            <w:r w:rsidRPr="00BB6130">
              <w:rPr>
                <w:sz w:val="24"/>
                <w:szCs w:val="24"/>
              </w:rPr>
              <w:t>Stigning i leverenzymer og bilirubin</w:t>
            </w:r>
          </w:p>
        </w:tc>
      </w:tr>
      <w:tr w:rsidR="00A3270E" w:rsidRPr="00BB6130" w:rsidTr="003B4BCE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70E" w:rsidRPr="00BB6130" w:rsidRDefault="00A3270E" w:rsidP="003B4BCE">
            <w:pPr>
              <w:rPr>
                <w:noProof/>
                <w:sz w:val="24"/>
                <w:szCs w:val="24"/>
              </w:rPr>
            </w:pPr>
            <w:r w:rsidRPr="00BB6130">
              <w:rPr>
                <w:b/>
                <w:noProof/>
                <w:sz w:val="24"/>
                <w:szCs w:val="24"/>
              </w:rPr>
              <w:t>Hud og subkutane væv</w:t>
            </w:r>
          </w:p>
        </w:tc>
      </w:tr>
      <w:tr w:rsidR="00A3270E" w:rsidRPr="00BB6130" w:rsidTr="003B4BCE"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70E" w:rsidRPr="00BB6130" w:rsidRDefault="00A3270E" w:rsidP="003B4BCE">
            <w:pPr>
              <w:rPr>
                <w:iCs/>
                <w:caps/>
                <w:noProof/>
                <w:sz w:val="24"/>
                <w:szCs w:val="24"/>
              </w:rPr>
            </w:pPr>
            <w:r w:rsidRPr="00BB6130">
              <w:rPr>
                <w:sz w:val="24"/>
                <w:szCs w:val="24"/>
              </w:rPr>
              <w:t>Meget almindelig</w:t>
            </w: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70E" w:rsidRPr="00BB6130" w:rsidRDefault="00A3270E" w:rsidP="003B4BCE">
            <w:pPr>
              <w:rPr>
                <w:caps/>
                <w:sz w:val="24"/>
                <w:szCs w:val="24"/>
              </w:rPr>
            </w:pPr>
            <w:proofErr w:type="spellStart"/>
            <w:r w:rsidRPr="00BB6130">
              <w:rPr>
                <w:sz w:val="24"/>
                <w:szCs w:val="24"/>
              </w:rPr>
              <w:t>Alopeci</w:t>
            </w:r>
            <w:proofErr w:type="spellEnd"/>
            <w:r w:rsidRPr="00BB6130">
              <w:rPr>
                <w:sz w:val="24"/>
                <w:szCs w:val="24"/>
              </w:rPr>
              <w:t xml:space="preserve"> </w:t>
            </w:r>
          </w:p>
        </w:tc>
      </w:tr>
      <w:tr w:rsidR="00A3270E" w:rsidRPr="00BB6130" w:rsidTr="003B4BCE"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70E" w:rsidRPr="00BB6130" w:rsidRDefault="00A3270E" w:rsidP="003B4BCE">
            <w:pPr>
              <w:rPr>
                <w:iCs/>
                <w:caps/>
                <w:noProof/>
                <w:sz w:val="24"/>
                <w:szCs w:val="24"/>
                <w:lang w:eastAsia="da-DK"/>
              </w:rPr>
            </w:pPr>
            <w:r w:rsidRPr="00BB6130">
              <w:rPr>
                <w:sz w:val="24"/>
                <w:szCs w:val="24"/>
              </w:rPr>
              <w:t>Almindelig</w:t>
            </w: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70E" w:rsidRPr="00BB6130" w:rsidRDefault="00A3270E" w:rsidP="003B4BCE">
            <w:pPr>
              <w:rPr>
                <w:caps/>
                <w:sz w:val="24"/>
                <w:szCs w:val="24"/>
              </w:rPr>
            </w:pPr>
            <w:r w:rsidRPr="00BB6130">
              <w:rPr>
                <w:sz w:val="24"/>
                <w:szCs w:val="24"/>
              </w:rPr>
              <w:t xml:space="preserve">Udslæt, kløe, overfølsomhed af strålebehandlet hud (radiation </w:t>
            </w:r>
            <w:proofErr w:type="spellStart"/>
            <w:r w:rsidRPr="00BB6130">
              <w:rPr>
                <w:sz w:val="24"/>
                <w:szCs w:val="24"/>
              </w:rPr>
              <w:t>recall</w:t>
            </w:r>
            <w:proofErr w:type="spellEnd"/>
            <w:r w:rsidRPr="00BB6130">
              <w:rPr>
                <w:sz w:val="24"/>
                <w:szCs w:val="24"/>
              </w:rPr>
              <w:t xml:space="preserve"> </w:t>
            </w:r>
            <w:proofErr w:type="spellStart"/>
            <w:r w:rsidRPr="00BB6130">
              <w:rPr>
                <w:sz w:val="24"/>
                <w:szCs w:val="24"/>
              </w:rPr>
              <w:t>reaction</w:t>
            </w:r>
            <w:proofErr w:type="spellEnd"/>
            <w:r w:rsidRPr="00BB6130">
              <w:rPr>
                <w:sz w:val="24"/>
                <w:szCs w:val="24"/>
              </w:rPr>
              <w:t>)</w:t>
            </w:r>
          </w:p>
        </w:tc>
      </w:tr>
      <w:tr w:rsidR="00A3270E" w:rsidRPr="00BB6130" w:rsidTr="003B4BCE"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70E" w:rsidRPr="00BB6130" w:rsidRDefault="00A3270E" w:rsidP="003B4BCE">
            <w:pPr>
              <w:rPr>
                <w:caps/>
                <w:sz w:val="24"/>
                <w:szCs w:val="24"/>
              </w:rPr>
            </w:pPr>
            <w:r w:rsidRPr="00BB6130">
              <w:rPr>
                <w:sz w:val="24"/>
                <w:szCs w:val="24"/>
              </w:rPr>
              <w:t>Ikke almindelig</w:t>
            </w: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70E" w:rsidRPr="00BB6130" w:rsidRDefault="00A3270E" w:rsidP="003B4BCE">
            <w:pPr>
              <w:rPr>
                <w:caps/>
                <w:sz w:val="24"/>
                <w:szCs w:val="24"/>
              </w:rPr>
            </w:pPr>
            <w:proofErr w:type="spellStart"/>
            <w:r w:rsidRPr="00BB6130">
              <w:rPr>
                <w:sz w:val="24"/>
                <w:szCs w:val="24"/>
              </w:rPr>
              <w:t>Urticaria</w:t>
            </w:r>
            <w:proofErr w:type="spellEnd"/>
            <w:r w:rsidRPr="00BB6130">
              <w:rPr>
                <w:sz w:val="24"/>
                <w:szCs w:val="24"/>
              </w:rPr>
              <w:t xml:space="preserve">, </w:t>
            </w:r>
            <w:proofErr w:type="spellStart"/>
            <w:r w:rsidRPr="00BB6130">
              <w:rPr>
                <w:sz w:val="24"/>
                <w:szCs w:val="24"/>
              </w:rPr>
              <w:t>hyperpigmentering</w:t>
            </w:r>
            <w:proofErr w:type="spellEnd"/>
            <w:r w:rsidRPr="00BB6130">
              <w:rPr>
                <w:sz w:val="24"/>
                <w:szCs w:val="24"/>
              </w:rPr>
              <w:t xml:space="preserve"> af hud og negle, cellulitis (dette kan være alvorligt), vævsnekrose</w:t>
            </w:r>
          </w:p>
        </w:tc>
      </w:tr>
      <w:tr w:rsidR="00A3270E" w:rsidRPr="00BB6130" w:rsidTr="003B4BCE"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70E" w:rsidRPr="00BB6130" w:rsidRDefault="00A3270E" w:rsidP="003B4BCE">
            <w:pPr>
              <w:rPr>
                <w:caps/>
                <w:sz w:val="24"/>
                <w:szCs w:val="24"/>
              </w:rPr>
            </w:pPr>
            <w:r w:rsidRPr="00BB6130">
              <w:rPr>
                <w:sz w:val="24"/>
                <w:szCs w:val="24"/>
              </w:rPr>
              <w:t>Meget sjælden</w:t>
            </w: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70E" w:rsidRPr="00BB6130" w:rsidRDefault="00A3270E" w:rsidP="003B4BCE">
            <w:pPr>
              <w:rPr>
                <w:caps/>
                <w:sz w:val="24"/>
                <w:szCs w:val="24"/>
              </w:rPr>
            </w:pPr>
            <w:proofErr w:type="spellStart"/>
            <w:r w:rsidRPr="00BB6130">
              <w:rPr>
                <w:sz w:val="24"/>
                <w:szCs w:val="24"/>
              </w:rPr>
              <w:t>Akral</w:t>
            </w:r>
            <w:proofErr w:type="spellEnd"/>
            <w:r w:rsidRPr="00BB6130">
              <w:rPr>
                <w:sz w:val="24"/>
                <w:szCs w:val="24"/>
              </w:rPr>
              <w:t xml:space="preserve"> </w:t>
            </w:r>
            <w:proofErr w:type="spellStart"/>
            <w:r w:rsidRPr="00BB6130">
              <w:rPr>
                <w:sz w:val="24"/>
                <w:szCs w:val="24"/>
              </w:rPr>
              <w:t>erytem</w:t>
            </w:r>
            <w:proofErr w:type="spellEnd"/>
          </w:p>
        </w:tc>
      </w:tr>
      <w:tr w:rsidR="00A3270E" w:rsidRPr="00BB6130" w:rsidTr="003B4BCE"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70E" w:rsidRPr="00BB6130" w:rsidRDefault="00A3270E" w:rsidP="003B4BCE">
            <w:pPr>
              <w:rPr>
                <w:noProof/>
                <w:sz w:val="24"/>
                <w:szCs w:val="24"/>
                <w:lang w:eastAsia="da-DK"/>
              </w:rPr>
            </w:pPr>
            <w:r w:rsidRPr="00BB6130">
              <w:rPr>
                <w:noProof/>
                <w:sz w:val="24"/>
                <w:szCs w:val="24"/>
              </w:rPr>
              <w:t>Ikke kendt</w:t>
            </w: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70E" w:rsidRPr="00BB6130" w:rsidRDefault="00A3270E" w:rsidP="003B4BCE">
            <w:pPr>
              <w:rPr>
                <w:noProof/>
                <w:sz w:val="24"/>
                <w:szCs w:val="24"/>
              </w:rPr>
            </w:pPr>
            <w:r w:rsidRPr="00BB6130">
              <w:rPr>
                <w:noProof/>
                <w:sz w:val="24"/>
                <w:szCs w:val="24"/>
              </w:rPr>
              <w:t>Lokal reaktion</w:t>
            </w:r>
          </w:p>
        </w:tc>
      </w:tr>
      <w:tr w:rsidR="00A3270E" w:rsidRPr="00BB6130" w:rsidTr="003B4BCE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70E" w:rsidRPr="00BB6130" w:rsidRDefault="00A3270E" w:rsidP="003B4BCE">
            <w:pPr>
              <w:rPr>
                <w:noProof/>
                <w:sz w:val="24"/>
                <w:szCs w:val="24"/>
              </w:rPr>
            </w:pPr>
            <w:r w:rsidRPr="00BB6130">
              <w:rPr>
                <w:b/>
                <w:noProof/>
                <w:sz w:val="24"/>
                <w:szCs w:val="24"/>
              </w:rPr>
              <w:t>Nyrer og urinveje</w:t>
            </w:r>
          </w:p>
        </w:tc>
      </w:tr>
      <w:tr w:rsidR="00A3270E" w:rsidRPr="00BB6130" w:rsidTr="003B4BCE"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70E" w:rsidRPr="00BB6130" w:rsidRDefault="00A3270E" w:rsidP="003B4BCE">
            <w:pPr>
              <w:rPr>
                <w:iCs/>
                <w:caps/>
                <w:noProof/>
                <w:sz w:val="24"/>
                <w:szCs w:val="24"/>
              </w:rPr>
            </w:pPr>
            <w:r w:rsidRPr="00BB6130">
              <w:rPr>
                <w:sz w:val="24"/>
                <w:szCs w:val="24"/>
              </w:rPr>
              <w:t>Meget almindelig</w:t>
            </w: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70E" w:rsidRPr="00BB6130" w:rsidRDefault="00A3270E" w:rsidP="003B4BCE">
            <w:pPr>
              <w:rPr>
                <w:caps/>
                <w:noProof/>
                <w:sz w:val="24"/>
                <w:szCs w:val="24"/>
              </w:rPr>
            </w:pPr>
            <w:r w:rsidRPr="00BB6130">
              <w:rPr>
                <w:sz w:val="24"/>
                <w:szCs w:val="24"/>
              </w:rPr>
              <w:t>Rødfarvning af urin i 1-2 dage efter administration.</w:t>
            </w:r>
          </w:p>
        </w:tc>
      </w:tr>
      <w:tr w:rsidR="00A3270E" w:rsidRPr="00BB6130" w:rsidTr="003B4BCE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70E" w:rsidRPr="00BB6130" w:rsidRDefault="00A3270E" w:rsidP="003B4BCE">
            <w:pPr>
              <w:rPr>
                <w:b/>
                <w:noProof/>
                <w:sz w:val="24"/>
                <w:szCs w:val="24"/>
                <w:lang w:eastAsia="da-DK"/>
              </w:rPr>
            </w:pPr>
            <w:r w:rsidRPr="00BB6130">
              <w:rPr>
                <w:b/>
                <w:noProof/>
                <w:sz w:val="24"/>
                <w:szCs w:val="24"/>
              </w:rPr>
              <w:t>Almene symptomer og reaktioner på administrationsstedet</w:t>
            </w:r>
            <w:r w:rsidRPr="00BB6130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A3270E" w:rsidRPr="00BB6130" w:rsidTr="003B4BCE"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70E" w:rsidRPr="00BB6130" w:rsidRDefault="00A3270E" w:rsidP="003B4BCE">
            <w:pPr>
              <w:rPr>
                <w:caps/>
                <w:sz w:val="24"/>
                <w:szCs w:val="24"/>
              </w:rPr>
            </w:pPr>
            <w:r w:rsidRPr="00BB6130">
              <w:rPr>
                <w:sz w:val="24"/>
                <w:szCs w:val="24"/>
              </w:rPr>
              <w:t>Meget almindelig</w:t>
            </w: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70E" w:rsidRPr="00BB6130" w:rsidRDefault="00A3270E" w:rsidP="003B4BCE">
            <w:pPr>
              <w:rPr>
                <w:caps/>
                <w:sz w:val="24"/>
                <w:szCs w:val="24"/>
              </w:rPr>
            </w:pPr>
            <w:r w:rsidRPr="00BB6130">
              <w:rPr>
                <w:sz w:val="24"/>
                <w:szCs w:val="24"/>
              </w:rPr>
              <w:t>Feber, hovedpine, kulderystelser</w:t>
            </w:r>
          </w:p>
        </w:tc>
      </w:tr>
    </w:tbl>
    <w:p w:rsidR="00A3270E" w:rsidRPr="00C10DE4" w:rsidRDefault="00A3270E" w:rsidP="00A3270E">
      <w:pPr>
        <w:ind w:left="851" w:hanging="851"/>
        <w:jc w:val="both"/>
        <w:rPr>
          <w:spacing w:val="-3"/>
          <w:sz w:val="24"/>
          <w:szCs w:val="24"/>
          <w:lang w:eastAsia="da-DK"/>
        </w:rPr>
      </w:pPr>
    </w:p>
    <w:p w:rsidR="00A3270E" w:rsidRPr="00C10DE4" w:rsidRDefault="00A3270E" w:rsidP="00A3270E">
      <w:pPr>
        <w:ind w:left="851" w:hanging="851"/>
        <w:rPr>
          <w:spacing w:val="-3"/>
          <w:sz w:val="24"/>
          <w:szCs w:val="24"/>
          <w:u w:val="single"/>
        </w:rPr>
      </w:pPr>
      <w:r w:rsidRPr="00C10DE4">
        <w:rPr>
          <w:spacing w:val="-3"/>
          <w:sz w:val="24"/>
          <w:szCs w:val="24"/>
        </w:rPr>
        <w:tab/>
      </w:r>
      <w:proofErr w:type="spellStart"/>
      <w:r w:rsidRPr="00C10DE4">
        <w:rPr>
          <w:spacing w:val="-3"/>
          <w:sz w:val="24"/>
          <w:szCs w:val="24"/>
          <w:u w:val="single"/>
        </w:rPr>
        <w:t>Hæmatopoietisk</w:t>
      </w:r>
      <w:proofErr w:type="spellEnd"/>
      <w:r w:rsidRPr="00C10DE4">
        <w:rPr>
          <w:spacing w:val="-3"/>
          <w:sz w:val="24"/>
          <w:szCs w:val="24"/>
          <w:u w:val="single"/>
        </w:rPr>
        <w:t xml:space="preserve"> system</w:t>
      </w:r>
    </w:p>
    <w:p w:rsidR="00A3270E" w:rsidRPr="00C10DE4" w:rsidRDefault="00A3270E" w:rsidP="00A3270E">
      <w:pPr>
        <w:ind w:left="851"/>
        <w:rPr>
          <w:spacing w:val="-3"/>
          <w:sz w:val="24"/>
          <w:szCs w:val="24"/>
        </w:rPr>
      </w:pPr>
      <w:r w:rsidRPr="00C10DE4">
        <w:rPr>
          <w:spacing w:val="-3"/>
          <w:sz w:val="24"/>
          <w:szCs w:val="24"/>
        </w:rPr>
        <w:t xml:space="preserve">Den alvorligste bivirkning ved behandling med </w:t>
      </w:r>
      <w:proofErr w:type="spellStart"/>
      <w:r w:rsidRPr="00C10DE4">
        <w:rPr>
          <w:spacing w:val="-3"/>
          <w:sz w:val="24"/>
          <w:szCs w:val="24"/>
        </w:rPr>
        <w:t>idarubicin</w:t>
      </w:r>
      <w:proofErr w:type="spellEnd"/>
      <w:r w:rsidRPr="00C10DE4">
        <w:rPr>
          <w:spacing w:val="-3"/>
          <w:sz w:val="24"/>
          <w:szCs w:val="24"/>
        </w:rPr>
        <w:t xml:space="preserve"> er udtalt knoglemarvsdepression. Dette er dog nødvendigt for </w:t>
      </w:r>
      <w:proofErr w:type="spellStart"/>
      <w:r w:rsidRPr="00C10DE4">
        <w:rPr>
          <w:spacing w:val="-3"/>
          <w:sz w:val="24"/>
          <w:szCs w:val="24"/>
        </w:rPr>
        <w:t>eradikation</w:t>
      </w:r>
      <w:proofErr w:type="spellEnd"/>
      <w:r w:rsidRPr="00C10DE4">
        <w:rPr>
          <w:spacing w:val="-3"/>
          <w:sz w:val="24"/>
          <w:szCs w:val="24"/>
        </w:rPr>
        <w:t xml:space="preserve"> af leukæmiske celler (se pkt. 4.4).</w:t>
      </w:r>
    </w:p>
    <w:p w:rsidR="00A3270E" w:rsidRPr="00C10DE4" w:rsidRDefault="00A3270E" w:rsidP="00A3270E">
      <w:pPr>
        <w:ind w:left="851" w:hanging="851"/>
        <w:rPr>
          <w:spacing w:val="-3"/>
          <w:sz w:val="24"/>
          <w:szCs w:val="24"/>
          <w:u w:val="single"/>
        </w:rPr>
      </w:pPr>
    </w:p>
    <w:p w:rsidR="00A3270E" w:rsidRPr="00C10DE4" w:rsidRDefault="00A3270E" w:rsidP="00A3270E">
      <w:pPr>
        <w:ind w:left="851"/>
        <w:rPr>
          <w:sz w:val="24"/>
          <w:szCs w:val="24"/>
        </w:rPr>
      </w:pPr>
      <w:r w:rsidRPr="00C10DE4">
        <w:rPr>
          <w:sz w:val="24"/>
          <w:szCs w:val="24"/>
        </w:rPr>
        <w:t xml:space="preserve">Antallet af leukocytter og </w:t>
      </w:r>
      <w:proofErr w:type="spellStart"/>
      <w:r w:rsidRPr="00C10DE4">
        <w:rPr>
          <w:sz w:val="24"/>
          <w:szCs w:val="24"/>
        </w:rPr>
        <w:t>trombocytter</w:t>
      </w:r>
      <w:proofErr w:type="spellEnd"/>
      <w:r w:rsidRPr="00C10DE4">
        <w:rPr>
          <w:sz w:val="24"/>
          <w:szCs w:val="24"/>
        </w:rPr>
        <w:t xml:space="preserve"> når nadir 10-14 dage efter administration af </w:t>
      </w:r>
      <w:proofErr w:type="spellStart"/>
      <w:r w:rsidRPr="00C10DE4">
        <w:rPr>
          <w:sz w:val="24"/>
          <w:szCs w:val="24"/>
        </w:rPr>
        <w:t>idarubicinhydrochlorid</w:t>
      </w:r>
      <w:proofErr w:type="spellEnd"/>
      <w:r w:rsidRPr="00C10DE4">
        <w:rPr>
          <w:sz w:val="24"/>
          <w:szCs w:val="24"/>
        </w:rPr>
        <w:t xml:space="preserve">. Antallet af celler vender i de fleste tilfælde tilbage til normale niveauer i løbet af den tredje uge. Under fasen med alvorlig knoglemarvssuppression er der rapporteret om dødsfald i forbindelse med infektioner og/eller </w:t>
      </w:r>
      <w:proofErr w:type="spellStart"/>
      <w:r w:rsidRPr="00C10DE4">
        <w:rPr>
          <w:sz w:val="24"/>
          <w:szCs w:val="24"/>
        </w:rPr>
        <w:t>hæmoragi</w:t>
      </w:r>
      <w:proofErr w:type="spellEnd"/>
      <w:r w:rsidRPr="00C10DE4">
        <w:rPr>
          <w:sz w:val="24"/>
          <w:szCs w:val="24"/>
        </w:rPr>
        <w:t>.</w:t>
      </w:r>
    </w:p>
    <w:p w:rsidR="00A3270E" w:rsidRPr="00C10DE4" w:rsidRDefault="00A3270E" w:rsidP="00A3270E">
      <w:pPr>
        <w:ind w:left="851" w:hanging="851"/>
        <w:rPr>
          <w:sz w:val="24"/>
          <w:szCs w:val="24"/>
        </w:rPr>
      </w:pPr>
    </w:p>
    <w:p w:rsidR="00A3270E" w:rsidRPr="00C10DE4" w:rsidRDefault="00A3270E" w:rsidP="00A3270E">
      <w:pPr>
        <w:ind w:left="851"/>
        <w:rPr>
          <w:spacing w:val="-3"/>
          <w:sz w:val="24"/>
          <w:szCs w:val="24"/>
          <w:u w:val="single"/>
        </w:rPr>
      </w:pPr>
      <w:r w:rsidRPr="00C10DE4">
        <w:rPr>
          <w:sz w:val="24"/>
          <w:szCs w:val="24"/>
        </w:rPr>
        <w:t xml:space="preserve">De kliniske konsekvenser af knoglemarvssuppression kan være feber, infektioner, sepsis, septisk </w:t>
      </w:r>
      <w:proofErr w:type="spellStart"/>
      <w:r w:rsidRPr="00C10DE4">
        <w:rPr>
          <w:sz w:val="24"/>
          <w:szCs w:val="24"/>
        </w:rPr>
        <w:t>shock</w:t>
      </w:r>
      <w:proofErr w:type="spellEnd"/>
      <w:r w:rsidRPr="00C10DE4">
        <w:rPr>
          <w:sz w:val="24"/>
          <w:szCs w:val="24"/>
        </w:rPr>
        <w:t xml:space="preserve">, </w:t>
      </w:r>
      <w:proofErr w:type="spellStart"/>
      <w:r w:rsidRPr="00C10DE4">
        <w:rPr>
          <w:sz w:val="24"/>
          <w:szCs w:val="24"/>
        </w:rPr>
        <w:t>hæmoragi</w:t>
      </w:r>
      <w:proofErr w:type="spellEnd"/>
      <w:r w:rsidRPr="00C10DE4">
        <w:rPr>
          <w:sz w:val="24"/>
          <w:szCs w:val="24"/>
        </w:rPr>
        <w:t xml:space="preserve">, og vævs </w:t>
      </w:r>
      <w:proofErr w:type="spellStart"/>
      <w:r w:rsidRPr="00C10DE4">
        <w:rPr>
          <w:sz w:val="24"/>
          <w:szCs w:val="24"/>
        </w:rPr>
        <w:t>hypoxi</w:t>
      </w:r>
      <w:proofErr w:type="spellEnd"/>
      <w:r w:rsidRPr="00C10DE4">
        <w:rPr>
          <w:sz w:val="24"/>
          <w:szCs w:val="24"/>
        </w:rPr>
        <w:t xml:space="preserve">, som kan føre til dødsfald. Hvis der opstår febril </w:t>
      </w:r>
      <w:proofErr w:type="spellStart"/>
      <w:r w:rsidRPr="00C10DE4">
        <w:rPr>
          <w:sz w:val="24"/>
          <w:szCs w:val="24"/>
        </w:rPr>
        <w:t>neutropeni</w:t>
      </w:r>
      <w:proofErr w:type="spellEnd"/>
      <w:r w:rsidRPr="00C10DE4">
        <w:rPr>
          <w:sz w:val="24"/>
          <w:szCs w:val="24"/>
        </w:rPr>
        <w:t xml:space="preserve"> anbefales behandling med intravenøst antibiotika.</w:t>
      </w:r>
    </w:p>
    <w:p w:rsidR="00A3270E" w:rsidRPr="00C10DE4" w:rsidRDefault="00A3270E" w:rsidP="00A3270E">
      <w:pPr>
        <w:ind w:left="851" w:hanging="851"/>
        <w:rPr>
          <w:spacing w:val="-3"/>
          <w:sz w:val="24"/>
          <w:szCs w:val="24"/>
          <w:u w:val="single"/>
        </w:rPr>
      </w:pPr>
    </w:p>
    <w:p w:rsidR="00A3270E" w:rsidRPr="00C10DE4" w:rsidRDefault="00A3270E" w:rsidP="00A3270E">
      <w:pPr>
        <w:ind w:left="851" w:hanging="851"/>
        <w:rPr>
          <w:spacing w:val="-3"/>
          <w:sz w:val="24"/>
          <w:szCs w:val="24"/>
        </w:rPr>
      </w:pPr>
      <w:r w:rsidRPr="00C10DE4">
        <w:rPr>
          <w:spacing w:val="-3"/>
          <w:sz w:val="24"/>
          <w:szCs w:val="24"/>
        </w:rPr>
        <w:tab/>
      </w:r>
      <w:proofErr w:type="spellStart"/>
      <w:r w:rsidRPr="00C10DE4">
        <w:rPr>
          <w:spacing w:val="-3"/>
          <w:sz w:val="24"/>
          <w:szCs w:val="24"/>
          <w:u w:val="single"/>
        </w:rPr>
        <w:t>Kardiotoksicitet</w:t>
      </w:r>
      <w:proofErr w:type="spellEnd"/>
    </w:p>
    <w:p w:rsidR="00A3270E" w:rsidRPr="00C10DE4" w:rsidRDefault="00A3270E" w:rsidP="00A3270E">
      <w:pPr>
        <w:ind w:left="851" w:hanging="851"/>
        <w:rPr>
          <w:spacing w:val="-3"/>
          <w:sz w:val="24"/>
          <w:szCs w:val="24"/>
        </w:rPr>
      </w:pPr>
      <w:r w:rsidRPr="00C10DE4">
        <w:rPr>
          <w:spacing w:val="-3"/>
          <w:sz w:val="24"/>
          <w:szCs w:val="24"/>
        </w:rPr>
        <w:tab/>
        <w:t xml:space="preserve">Livstruende hjertesvigt er den alvorligste form for </w:t>
      </w:r>
      <w:proofErr w:type="spellStart"/>
      <w:r w:rsidRPr="00C10DE4">
        <w:rPr>
          <w:spacing w:val="-3"/>
          <w:sz w:val="24"/>
          <w:szCs w:val="24"/>
        </w:rPr>
        <w:t>anthracyclin</w:t>
      </w:r>
      <w:proofErr w:type="spellEnd"/>
      <w:r w:rsidRPr="00C10DE4">
        <w:rPr>
          <w:spacing w:val="-3"/>
          <w:sz w:val="24"/>
          <w:szCs w:val="24"/>
        </w:rPr>
        <w:t xml:space="preserve">-induceret </w:t>
      </w:r>
      <w:proofErr w:type="spellStart"/>
      <w:r w:rsidRPr="00C10DE4">
        <w:rPr>
          <w:spacing w:val="-3"/>
          <w:sz w:val="24"/>
          <w:szCs w:val="24"/>
        </w:rPr>
        <w:t>kardiomyopati</w:t>
      </w:r>
      <w:proofErr w:type="spellEnd"/>
      <w:r w:rsidRPr="00C10DE4">
        <w:rPr>
          <w:spacing w:val="-3"/>
          <w:sz w:val="24"/>
          <w:szCs w:val="24"/>
        </w:rPr>
        <w:t xml:space="preserve"> og repræsenterer kumulativ dosis-begrænsende </w:t>
      </w:r>
      <w:proofErr w:type="spellStart"/>
      <w:r w:rsidRPr="00C10DE4">
        <w:rPr>
          <w:spacing w:val="-3"/>
          <w:sz w:val="24"/>
          <w:szCs w:val="24"/>
        </w:rPr>
        <w:t>lægemiddeltokcisitet</w:t>
      </w:r>
      <w:proofErr w:type="spellEnd"/>
      <w:r w:rsidRPr="00C10DE4">
        <w:rPr>
          <w:spacing w:val="-3"/>
          <w:sz w:val="24"/>
          <w:szCs w:val="24"/>
        </w:rPr>
        <w:t xml:space="preserve"> (se pkt. 4.4). </w:t>
      </w:r>
    </w:p>
    <w:p w:rsidR="00A3270E" w:rsidRPr="00C10DE4" w:rsidRDefault="00A3270E" w:rsidP="00A3270E">
      <w:pPr>
        <w:ind w:left="851" w:hanging="851"/>
        <w:rPr>
          <w:spacing w:val="-3"/>
          <w:sz w:val="24"/>
          <w:szCs w:val="24"/>
        </w:rPr>
      </w:pPr>
    </w:p>
    <w:p w:rsidR="00A3270E" w:rsidRPr="00C10DE4" w:rsidRDefault="00A3270E" w:rsidP="00A3270E">
      <w:pPr>
        <w:ind w:left="851" w:hanging="851"/>
        <w:rPr>
          <w:sz w:val="24"/>
          <w:szCs w:val="24"/>
          <w:u w:val="single"/>
        </w:rPr>
      </w:pPr>
      <w:r w:rsidRPr="00C10DE4">
        <w:rPr>
          <w:spacing w:val="-3"/>
          <w:sz w:val="24"/>
          <w:szCs w:val="24"/>
        </w:rPr>
        <w:tab/>
      </w:r>
      <w:proofErr w:type="spellStart"/>
      <w:r w:rsidRPr="00C10DE4">
        <w:rPr>
          <w:sz w:val="24"/>
          <w:szCs w:val="24"/>
          <w:u w:val="single"/>
        </w:rPr>
        <w:t>Mave-tarmkanalen</w:t>
      </w:r>
      <w:proofErr w:type="spellEnd"/>
    </w:p>
    <w:p w:rsidR="00A3270E" w:rsidRPr="00C10DE4" w:rsidRDefault="00A3270E" w:rsidP="00A3270E">
      <w:pPr>
        <w:ind w:left="851" w:hanging="851"/>
        <w:rPr>
          <w:sz w:val="24"/>
          <w:szCs w:val="24"/>
        </w:rPr>
      </w:pPr>
      <w:r w:rsidRPr="00C10DE4">
        <w:rPr>
          <w:sz w:val="24"/>
          <w:szCs w:val="24"/>
        </w:rPr>
        <w:tab/>
      </w:r>
      <w:proofErr w:type="spellStart"/>
      <w:r w:rsidRPr="00C10DE4">
        <w:rPr>
          <w:sz w:val="24"/>
          <w:szCs w:val="24"/>
        </w:rPr>
        <w:t>Stomatitis</w:t>
      </w:r>
      <w:proofErr w:type="spellEnd"/>
      <w:r w:rsidRPr="00C10DE4">
        <w:rPr>
          <w:sz w:val="24"/>
          <w:szCs w:val="24"/>
        </w:rPr>
        <w:t xml:space="preserve"> og i alvorlige tilfælde sår på slimhinden, dehydrering på grund af kraftig opkastning og diarré, risiko for perforation af </w:t>
      </w:r>
      <w:proofErr w:type="spellStart"/>
      <w:r w:rsidRPr="00C10DE4">
        <w:rPr>
          <w:sz w:val="24"/>
          <w:szCs w:val="24"/>
        </w:rPr>
        <w:t>colon</w:t>
      </w:r>
      <w:proofErr w:type="spellEnd"/>
      <w:r w:rsidRPr="00C10DE4">
        <w:rPr>
          <w:sz w:val="24"/>
          <w:szCs w:val="24"/>
        </w:rPr>
        <w:t xml:space="preserve"> etc.</w:t>
      </w:r>
    </w:p>
    <w:p w:rsidR="00A3270E" w:rsidRDefault="00A3270E" w:rsidP="00A3270E">
      <w:pPr>
        <w:ind w:left="851" w:hanging="851"/>
        <w:rPr>
          <w:sz w:val="24"/>
          <w:szCs w:val="24"/>
          <w:u w:val="single"/>
        </w:rPr>
      </w:pPr>
    </w:p>
    <w:p w:rsidR="00EA4B0D" w:rsidRPr="00C10DE4" w:rsidRDefault="00EA4B0D" w:rsidP="00A3270E">
      <w:pPr>
        <w:ind w:left="851" w:hanging="851"/>
        <w:rPr>
          <w:sz w:val="24"/>
          <w:szCs w:val="24"/>
          <w:u w:val="single"/>
        </w:rPr>
      </w:pPr>
    </w:p>
    <w:p w:rsidR="00A3270E" w:rsidRPr="00C10DE4" w:rsidRDefault="00A3270E" w:rsidP="00A3270E">
      <w:pPr>
        <w:ind w:left="851" w:hanging="851"/>
        <w:rPr>
          <w:sz w:val="24"/>
          <w:szCs w:val="24"/>
          <w:u w:val="single"/>
        </w:rPr>
      </w:pPr>
      <w:r w:rsidRPr="00C10DE4">
        <w:rPr>
          <w:sz w:val="24"/>
          <w:szCs w:val="24"/>
        </w:rPr>
        <w:lastRenderedPageBreak/>
        <w:tab/>
      </w:r>
      <w:r w:rsidRPr="00C10DE4">
        <w:rPr>
          <w:sz w:val="24"/>
          <w:szCs w:val="24"/>
          <w:u w:val="single"/>
        </w:rPr>
        <w:t>Administrationsstedet</w:t>
      </w:r>
    </w:p>
    <w:p w:rsidR="00A3270E" w:rsidRPr="00C10DE4" w:rsidRDefault="00A3270E" w:rsidP="00A3270E">
      <w:pPr>
        <w:ind w:left="851" w:hanging="851"/>
        <w:rPr>
          <w:sz w:val="24"/>
          <w:szCs w:val="24"/>
        </w:rPr>
      </w:pPr>
      <w:r w:rsidRPr="00C10DE4">
        <w:rPr>
          <w:sz w:val="24"/>
          <w:szCs w:val="24"/>
        </w:rPr>
        <w:tab/>
      </w:r>
      <w:proofErr w:type="spellStart"/>
      <w:r w:rsidRPr="00C10DE4">
        <w:rPr>
          <w:sz w:val="24"/>
          <w:szCs w:val="24"/>
        </w:rPr>
        <w:t>Flebitis</w:t>
      </w:r>
      <w:proofErr w:type="spellEnd"/>
      <w:r w:rsidRPr="00C10DE4">
        <w:rPr>
          <w:sz w:val="24"/>
          <w:szCs w:val="24"/>
        </w:rPr>
        <w:t>/</w:t>
      </w:r>
      <w:proofErr w:type="spellStart"/>
      <w:r w:rsidRPr="00C10DE4">
        <w:rPr>
          <w:sz w:val="24"/>
          <w:szCs w:val="24"/>
        </w:rPr>
        <w:t>tromboflebitis</w:t>
      </w:r>
      <w:proofErr w:type="spellEnd"/>
      <w:r w:rsidRPr="00C10DE4">
        <w:rPr>
          <w:sz w:val="24"/>
          <w:szCs w:val="24"/>
        </w:rPr>
        <w:t xml:space="preserve"> og forebyggelse er diskuteret i pkt. 4.2, utilsigtet </w:t>
      </w:r>
      <w:proofErr w:type="spellStart"/>
      <w:r w:rsidRPr="00C10DE4">
        <w:rPr>
          <w:sz w:val="24"/>
          <w:szCs w:val="24"/>
        </w:rPr>
        <w:t>paravenøse</w:t>
      </w:r>
      <w:proofErr w:type="spellEnd"/>
      <w:r w:rsidRPr="00C10DE4">
        <w:rPr>
          <w:sz w:val="24"/>
          <w:szCs w:val="24"/>
        </w:rPr>
        <w:t xml:space="preserve"> </w:t>
      </w:r>
      <w:proofErr w:type="spellStart"/>
      <w:r w:rsidRPr="00C10DE4">
        <w:rPr>
          <w:sz w:val="24"/>
          <w:szCs w:val="24"/>
        </w:rPr>
        <w:t>infiltrater</w:t>
      </w:r>
      <w:proofErr w:type="spellEnd"/>
      <w:r w:rsidRPr="00C10DE4">
        <w:rPr>
          <w:sz w:val="24"/>
          <w:szCs w:val="24"/>
        </w:rPr>
        <w:t xml:space="preserve"> kan give smerte, alvorlig cellulitis og vævsnekrose.</w:t>
      </w:r>
    </w:p>
    <w:p w:rsidR="00A3270E" w:rsidRPr="00C10DE4" w:rsidRDefault="00A3270E" w:rsidP="00A3270E">
      <w:pPr>
        <w:ind w:left="851" w:hanging="851"/>
        <w:rPr>
          <w:sz w:val="24"/>
          <w:szCs w:val="24"/>
        </w:rPr>
      </w:pPr>
    </w:p>
    <w:p w:rsidR="00A3270E" w:rsidRPr="00C10DE4" w:rsidRDefault="00A3270E" w:rsidP="00A3270E">
      <w:pPr>
        <w:ind w:left="851" w:hanging="851"/>
        <w:rPr>
          <w:sz w:val="24"/>
          <w:szCs w:val="24"/>
          <w:u w:val="single"/>
          <w:lang w:eastAsia="da-DK"/>
        </w:rPr>
      </w:pPr>
      <w:r w:rsidRPr="00C10DE4">
        <w:rPr>
          <w:sz w:val="24"/>
          <w:szCs w:val="24"/>
        </w:rPr>
        <w:tab/>
      </w:r>
      <w:r w:rsidRPr="00C10DE4">
        <w:rPr>
          <w:sz w:val="24"/>
          <w:szCs w:val="24"/>
          <w:u w:val="single"/>
        </w:rPr>
        <w:t xml:space="preserve">Andre bivirkninger: </w:t>
      </w:r>
      <w:proofErr w:type="spellStart"/>
      <w:r w:rsidRPr="00C10DE4">
        <w:rPr>
          <w:sz w:val="24"/>
          <w:szCs w:val="24"/>
          <w:u w:val="single"/>
        </w:rPr>
        <w:t>hyperurikæmi</w:t>
      </w:r>
      <w:proofErr w:type="spellEnd"/>
    </w:p>
    <w:p w:rsidR="00A3270E" w:rsidRDefault="00A3270E" w:rsidP="00EA4B0D">
      <w:pPr>
        <w:ind w:left="851" w:hanging="851"/>
        <w:rPr>
          <w:sz w:val="24"/>
          <w:szCs w:val="24"/>
        </w:rPr>
      </w:pPr>
      <w:r w:rsidRPr="00C10DE4">
        <w:rPr>
          <w:spacing w:val="-3"/>
          <w:sz w:val="24"/>
          <w:szCs w:val="24"/>
        </w:rPr>
        <w:tab/>
        <w:t xml:space="preserve">Forebyggelse af symptomer ved hydrering, </w:t>
      </w:r>
      <w:proofErr w:type="spellStart"/>
      <w:r w:rsidRPr="00C10DE4">
        <w:rPr>
          <w:spacing w:val="-3"/>
          <w:sz w:val="24"/>
          <w:szCs w:val="24"/>
        </w:rPr>
        <w:t>alkalisering</w:t>
      </w:r>
      <w:proofErr w:type="spellEnd"/>
      <w:r w:rsidRPr="00C10DE4">
        <w:rPr>
          <w:spacing w:val="-3"/>
          <w:sz w:val="24"/>
          <w:szCs w:val="24"/>
        </w:rPr>
        <w:t xml:space="preserve"> af urin og </w:t>
      </w:r>
      <w:proofErr w:type="spellStart"/>
      <w:r w:rsidRPr="00C10DE4">
        <w:rPr>
          <w:spacing w:val="-3"/>
          <w:sz w:val="24"/>
          <w:szCs w:val="24"/>
        </w:rPr>
        <w:t>allopurinolprofylakse</w:t>
      </w:r>
      <w:proofErr w:type="spellEnd"/>
      <w:r w:rsidRPr="00C10DE4">
        <w:rPr>
          <w:spacing w:val="-3"/>
          <w:sz w:val="24"/>
          <w:szCs w:val="24"/>
        </w:rPr>
        <w:t xml:space="preserve"> kan minimere potentielle komplikationer af tumorlysesyndrom.</w:t>
      </w:r>
    </w:p>
    <w:p w:rsidR="00A3270E" w:rsidRPr="00C10DE4" w:rsidRDefault="00A3270E" w:rsidP="00A3270E">
      <w:pPr>
        <w:ind w:left="851" w:hanging="851"/>
        <w:rPr>
          <w:sz w:val="24"/>
          <w:szCs w:val="24"/>
        </w:rPr>
      </w:pPr>
    </w:p>
    <w:p w:rsidR="00A3270E" w:rsidRPr="00C10DE4" w:rsidRDefault="00A3270E" w:rsidP="00A3270E">
      <w:pPr>
        <w:ind w:left="851" w:hanging="851"/>
        <w:rPr>
          <w:sz w:val="24"/>
          <w:szCs w:val="24"/>
          <w:u w:val="single"/>
        </w:rPr>
      </w:pPr>
      <w:r w:rsidRPr="00C10DE4">
        <w:rPr>
          <w:sz w:val="24"/>
          <w:szCs w:val="24"/>
        </w:rPr>
        <w:tab/>
      </w:r>
      <w:r w:rsidRPr="00C10DE4">
        <w:rPr>
          <w:noProof/>
          <w:sz w:val="24"/>
          <w:szCs w:val="24"/>
          <w:u w:val="single"/>
        </w:rPr>
        <w:t>Pædiatrisk population</w:t>
      </w:r>
    </w:p>
    <w:p w:rsidR="00A3270E" w:rsidRPr="00C10DE4" w:rsidRDefault="00A3270E" w:rsidP="00A3270E">
      <w:pPr>
        <w:ind w:left="851" w:right="440"/>
        <w:rPr>
          <w:spacing w:val="-3"/>
          <w:sz w:val="24"/>
          <w:szCs w:val="24"/>
        </w:rPr>
      </w:pPr>
      <w:r w:rsidRPr="00C10DE4">
        <w:rPr>
          <w:spacing w:val="-3"/>
          <w:sz w:val="24"/>
          <w:szCs w:val="24"/>
        </w:rPr>
        <w:t xml:space="preserve">Bivirkningerne hos børn og voksne er de samme, men hos </w:t>
      </w:r>
      <w:r w:rsidRPr="00C10DE4">
        <w:rPr>
          <w:sz w:val="24"/>
          <w:szCs w:val="24"/>
        </w:rPr>
        <w:t xml:space="preserve">børn ses en større risiko for </w:t>
      </w:r>
      <w:proofErr w:type="spellStart"/>
      <w:r w:rsidRPr="00C10DE4">
        <w:rPr>
          <w:sz w:val="24"/>
          <w:szCs w:val="24"/>
        </w:rPr>
        <w:t>anthracyclin</w:t>
      </w:r>
      <w:proofErr w:type="spellEnd"/>
      <w:r w:rsidRPr="00C10DE4">
        <w:rPr>
          <w:sz w:val="24"/>
          <w:szCs w:val="24"/>
        </w:rPr>
        <w:t xml:space="preserve">-induceret </w:t>
      </w:r>
      <w:proofErr w:type="spellStart"/>
      <w:r w:rsidRPr="00C10DE4">
        <w:rPr>
          <w:sz w:val="24"/>
          <w:szCs w:val="24"/>
        </w:rPr>
        <w:t>kardiotoksicitet</w:t>
      </w:r>
      <w:proofErr w:type="spellEnd"/>
      <w:r w:rsidRPr="00C10DE4">
        <w:rPr>
          <w:spacing w:val="-3"/>
          <w:sz w:val="24"/>
          <w:szCs w:val="24"/>
        </w:rPr>
        <w:t>.</w:t>
      </w:r>
    </w:p>
    <w:p w:rsidR="00A3270E" w:rsidRPr="00C10DE4" w:rsidRDefault="00A3270E" w:rsidP="00A3270E">
      <w:pPr>
        <w:ind w:left="851" w:right="440" w:hanging="851"/>
        <w:rPr>
          <w:spacing w:val="-3"/>
          <w:sz w:val="24"/>
          <w:szCs w:val="24"/>
        </w:rPr>
      </w:pPr>
    </w:p>
    <w:p w:rsidR="00A3270E" w:rsidRPr="00C10DE4" w:rsidRDefault="00A3270E" w:rsidP="00A3270E">
      <w:pPr>
        <w:ind w:left="851" w:right="440"/>
        <w:rPr>
          <w:spacing w:val="-3"/>
          <w:sz w:val="24"/>
          <w:szCs w:val="24"/>
          <w:u w:val="single"/>
        </w:rPr>
      </w:pPr>
      <w:r w:rsidRPr="00C10DE4">
        <w:rPr>
          <w:spacing w:val="-3"/>
          <w:sz w:val="24"/>
          <w:szCs w:val="24"/>
          <w:u w:val="single"/>
        </w:rPr>
        <w:t>Indberetning af formodede bivirkninger</w:t>
      </w:r>
    </w:p>
    <w:p w:rsidR="00A3270E" w:rsidRPr="00C10DE4" w:rsidRDefault="00A3270E" w:rsidP="00A3270E">
      <w:pPr>
        <w:ind w:left="851" w:right="440"/>
        <w:rPr>
          <w:spacing w:val="-3"/>
          <w:sz w:val="24"/>
          <w:szCs w:val="24"/>
        </w:rPr>
      </w:pPr>
      <w:r w:rsidRPr="00C10DE4">
        <w:rPr>
          <w:spacing w:val="-3"/>
          <w:sz w:val="24"/>
          <w:szCs w:val="24"/>
        </w:rPr>
        <w:t xml:space="preserve">Når lægemidlet er godkendt, er indberetning af formodede bivirkninger vigtig. Det </w:t>
      </w:r>
      <w:r w:rsidRPr="00C10DE4">
        <w:rPr>
          <w:spacing w:val="-3"/>
          <w:sz w:val="24"/>
          <w:szCs w:val="24"/>
        </w:rPr>
        <w:br/>
        <w:t>muliggør løbende overvågning af benefit/</w:t>
      </w:r>
      <w:proofErr w:type="spellStart"/>
      <w:r w:rsidRPr="00C10DE4">
        <w:rPr>
          <w:spacing w:val="-3"/>
          <w:sz w:val="24"/>
          <w:szCs w:val="24"/>
        </w:rPr>
        <w:t>risk</w:t>
      </w:r>
      <w:proofErr w:type="spellEnd"/>
      <w:r w:rsidRPr="00C10DE4">
        <w:rPr>
          <w:spacing w:val="-3"/>
          <w:sz w:val="24"/>
          <w:szCs w:val="24"/>
        </w:rPr>
        <w:t xml:space="preserve">-forholdet for lægemidlet. </w:t>
      </w:r>
      <w:r w:rsidR="009C6769">
        <w:rPr>
          <w:spacing w:val="-3"/>
          <w:sz w:val="24"/>
          <w:szCs w:val="24"/>
        </w:rPr>
        <w:t>Su</w:t>
      </w:r>
      <w:r w:rsidRPr="00C10DE4">
        <w:rPr>
          <w:spacing w:val="-3"/>
          <w:sz w:val="24"/>
          <w:szCs w:val="24"/>
        </w:rPr>
        <w:t>ndhedsperson</w:t>
      </w:r>
      <w:r w:rsidR="009C6769">
        <w:rPr>
          <w:spacing w:val="-3"/>
          <w:sz w:val="24"/>
          <w:szCs w:val="24"/>
        </w:rPr>
        <w:t>er</w:t>
      </w:r>
      <w:r w:rsidRPr="00C10DE4">
        <w:rPr>
          <w:spacing w:val="-3"/>
          <w:sz w:val="24"/>
          <w:szCs w:val="24"/>
        </w:rPr>
        <w:t xml:space="preserve"> anmodes om at indberette alle formodede bivirkninger via:</w:t>
      </w:r>
    </w:p>
    <w:p w:rsidR="00A3270E" w:rsidRPr="00C10DE4" w:rsidRDefault="00A3270E" w:rsidP="00A3270E">
      <w:pPr>
        <w:ind w:left="851" w:right="440"/>
        <w:rPr>
          <w:spacing w:val="-3"/>
          <w:sz w:val="24"/>
          <w:szCs w:val="24"/>
        </w:rPr>
      </w:pPr>
    </w:p>
    <w:p w:rsidR="00A3270E" w:rsidRPr="00C10DE4" w:rsidRDefault="00A3270E" w:rsidP="00A3270E">
      <w:pPr>
        <w:ind w:left="851"/>
        <w:rPr>
          <w:sz w:val="24"/>
          <w:szCs w:val="24"/>
        </w:rPr>
      </w:pPr>
      <w:r w:rsidRPr="00C10DE4">
        <w:rPr>
          <w:sz w:val="24"/>
          <w:szCs w:val="24"/>
        </w:rPr>
        <w:t>Lægemiddelstyrelsen</w:t>
      </w:r>
    </w:p>
    <w:p w:rsidR="00A3270E" w:rsidRPr="00C10DE4" w:rsidRDefault="00A3270E" w:rsidP="00A3270E">
      <w:pPr>
        <w:ind w:left="851"/>
        <w:rPr>
          <w:sz w:val="24"/>
          <w:szCs w:val="24"/>
        </w:rPr>
      </w:pPr>
      <w:r w:rsidRPr="00C10DE4">
        <w:rPr>
          <w:sz w:val="24"/>
          <w:szCs w:val="24"/>
        </w:rPr>
        <w:t>Axel Heides Gade 1</w:t>
      </w:r>
    </w:p>
    <w:p w:rsidR="00A3270E" w:rsidRPr="00C10DE4" w:rsidRDefault="00A3270E" w:rsidP="00A3270E">
      <w:pPr>
        <w:ind w:left="851"/>
        <w:rPr>
          <w:sz w:val="24"/>
          <w:szCs w:val="24"/>
        </w:rPr>
      </w:pPr>
      <w:r w:rsidRPr="00C10DE4">
        <w:rPr>
          <w:sz w:val="24"/>
          <w:szCs w:val="24"/>
        </w:rPr>
        <w:t>2300 København S</w:t>
      </w:r>
    </w:p>
    <w:p w:rsidR="00A3270E" w:rsidRPr="00134D45" w:rsidRDefault="00A3270E" w:rsidP="00A3270E">
      <w:pPr>
        <w:ind w:left="851"/>
        <w:rPr>
          <w:sz w:val="24"/>
          <w:szCs w:val="24"/>
        </w:rPr>
      </w:pPr>
      <w:r w:rsidRPr="00134D45">
        <w:rPr>
          <w:sz w:val="24"/>
          <w:szCs w:val="24"/>
        </w:rPr>
        <w:t xml:space="preserve">Websted: </w:t>
      </w:r>
      <w:hyperlink r:id="rId8" w:history="1">
        <w:r w:rsidRPr="00134D45">
          <w:rPr>
            <w:rStyle w:val="Hyperlink"/>
            <w:sz w:val="24"/>
            <w:szCs w:val="24"/>
          </w:rPr>
          <w:t>www.meldenbivirkning.dk</w:t>
        </w:r>
      </w:hyperlink>
    </w:p>
    <w:p w:rsidR="00A3270E" w:rsidRPr="00134D45" w:rsidRDefault="00A3270E" w:rsidP="00A3270E">
      <w:pPr>
        <w:pStyle w:val="Sidehoved"/>
        <w:tabs>
          <w:tab w:val="clear" w:pos="4819"/>
          <w:tab w:val="clear" w:pos="9638"/>
        </w:tabs>
        <w:ind w:left="851" w:hanging="851"/>
        <w:rPr>
          <w:szCs w:val="24"/>
        </w:rPr>
      </w:pPr>
    </w:p>
    <w:p w:rsidR="00A3270E" w:rsidRPr="00134D45" w:rsidRDefault="00A3270E" w:rsidP="00A3270E">
      <w:pPr>
        <w:ind w:left="851" w:hanging="851"/>
        <w:rPr>
          <w:b/>
          <w:sz w:val="24"/>
          <w:szCs w:val="24"/>
        </w:rPr>
      </w:pPr>
      <w:r w:rsidRPr="00134D45">
        <w:rPr>
          <w:b/>
          <w:sz w:val="24"/>
          <w:szCs w:val="24"/>
        </w:rPr>
        <w:t>4.9</w:t>
      </w:r>
      <w:r w:rsidRPr="00134D45">
        <w:rPr>
          <w:b/>
          <w:sz w:val="24"/>
          <w:szCs w:val="24"/>
        </w:rPr>
        <w:tab/>
        <w:t>Overdosering</w:t>
      </w:r>
    </w:p>
    <w:p w:rsidR="00A3270E" w:rsidRPr="00134D45" w:rsidRDefault="00A3270E" w:rsidP="00A3270E">
      <w:pPr>
        <w:ind w:left="851" w:right="440" w:hanging="851"/>
        <w:rPr>
          <w:spacing w:val="-3"/>
          <w:sz w:val="24"/>
          <w:szCs w:val="24"/>
        </w:rPr>
      </w:pPr>
    </w:p>
    <w:p w:rsidR="00A3270E" w:rsidRPr="00134D45" w:rsidRDefault="00A3270E" w:rsidP="00A3270E">
      <w:pPr>
        <w:ind w:left="851" w:right="440"/>
        <w:rPr>
          <w:i/>
          <w:spacing w:val="-3"/>
          <w:sz w:val="24"/>
          <w:szCs w:val="24"/>
          <w:lang w:eastAsia="da-DK"/>
        </w:rPr>
      </w:pPr>
      <w:r w:rsidRPr="00134D45">
        <w:rPr>
          <w:i/>
          <w:spacing w:val="-3"/>
          <w:sz w:val="24"/>
          <w:szCs w:val="24"/>
        </w:rPr>
        <w:t>Symptomer:</w:t>
      </w:r>
    </w:p>
    <w:p w:rsidR="00A3270E" w:rsidRPr="00C10DE4" w:rsidRDefault="00A3270E" w:rsidP="00A3270E">
      <w:pPr>
        <w:ind w:left="851" w:right="440"/>
        <w:rPr>
          <w:spacing w:val="-3"/>
          <w:sz w:val="24"/>
          <w:szCs w:val="24"/>
        </w:rPr>
      </w:pPr>
      <w:r w:rsidRPr="00C10DE4">
        <w:rPr>
          <w:spacing w:val="-3"/>
          <w:sz w:val="24"/>
          <w:szCs w:val="24"/>
        </w:rPr>
        <w:t xml:space="preserve">Høje doser af </w:t>
      </w:r>
      <w:proofErr w:type="spellStart"/>
      <w:r w:rsidRPr="00C10DE4">
        <w:rPr>
          <w:spacing w:val="-3"/>
          <w:sz w:val="24"/>
          <w:szCs w:val="24"/>
        </w:rPr>
        <w:t>idarubicin</w:t>
      </w:r>
      <w:proofErr w:type="spellEnd"/>
      <w:r w:rsidRPr="00C10DE4">
        <w:rPr>
          <w:spacing w:val="-3"/>
          <w:sz w:val="24"/>
          <w:szCs w:val="24"/>
        </w:rPr>
        <w:t xml:space="preserve"> kan forårsage akut </w:t>
      </w:r>
      <w:proofErr w:type="spellStart"/>
      <w:r w:rsidRPr="00C10DE4">
        <w:rPr>
          <w:spacing w:val="-3"/>
          <w:sz w:val="24"/>
          <w:szCs w:val="24"/>
        </w:rPr>
        <w:t>myokardietoksicitet</w:t>
      </w:r>
      <w:proofErr w:type="spellEnd"/>
      <w:r w:rsidRPr="00C10DE4">
        <w:rPr>
          <w:spacing w:val="-3"/>
          <w:sz w:val="24"/>
          <w:szCs w:val="24"/>
        </w:rPr>
        <w:t xml:space="preserve"> inden for 24 timer og alvorlig knoglemarvshæmning i løbet af 1-2 uger. Der er set forsinket hjertesvigt op til flere måneder efter en overdosis (se pkt</w:t>
      </w:r>
      <w:r>
        <w:rPr>
          <w:spacing w:val="-3"/>
          <w:sz w:val="24"/>
          <w:szCs w:val="24"/>
        </w:rPr>
        <w:t>.</w:t>
      </w:r>
      <w:r w:rsidRPr="00C10DE4">
        <w:rPr>
          <w:spacing w:val="-3"/>
          <w:sz w:val="24"/>
          <w:szCs w:val="24"/>
        </w:rPr>
        <w:t xml:space="preserve"> 4.4 og 4.8).</w:t>
      </w:r>
    </w:p>
    <w:p w:rsidR="00A3270E" w:rsidRPr="00C10DE4" w:rsidRDefault="00A3270E" w:rsidP="00A3270E">
      <w:pPr>
        <w:ind w:left="851" w:right="440" w:hanging="851"/>
        <w:rPr>
          <w:i/>
          <w:spacing w:val="-3"/>
          <w:sz w:val="24"/>
          <w:szCs w:val="24"/>
        </w:rPr>
      </w:pPr>
    </w:p>
    <w:p w:rsidR="00A3270E" w:rsidRPr="00C10DE4" w:rsidRDefault="00A3270E" w:rsidP="00A3270E">
      <w:pPr>
        <w:ind w:left="851" w:right="440"/>
        <w:jc w:val="both"/>
        <w:rPr>
          <w:i/>
          <w:spacing w:val="-3"/>
          <w:sz w:val="24"/>
          <w:szCs w:val="24"/>
        </w:rPr>
      </w:pPr>
      <w:r w:rsidRPr="00C10DE4">
        <w:rPr>
          <w:i/>
          <w:spacing w:val="-3"/>
          <w:sz w:val="24"/>
          <w:szCs w:val="24"/>
        </w:rPr>
        <w:t xml:space="preserve">Behandling: </w:t>
      </w:r>
    </w:p>
    <w:p w:rsidR="00A3270E" w:rsidRPr="00C10DE4" w:rsidRDefault="00A3270E" w:rsidP="00A3270E">
      <w:pPr>
        <w:ind w:left="851" w:right="440"/>
        <w:jc w:val="both"/>
        <w:rPr>
          <w:spacing w:val="-3"/>
          <w:sz w:val="24"/>
          <w:szCs w:val="24"/>
        </w:rPr>
      </w:pPr>
      <w:r w:rsidRPr="00C10DE4">
        <w:rPr>
          <w:spacing w:val="-3"/>
          <w:sz w:val="24"/>
          <w:szCs w:val="24"/>
        </w:rPr>
        <w:t>Symptomatisk.</w:t>
      </w:r>
    </w:p>
    <w:p w:rsidR="00A3270E" w:rsidRPr="00C10DE4" w:rsidRDefault="00A3270E" w:rsidP="00A3270E">
      <w:pPr>
        <w:ind w:left="851" w:hanging="851"/>
        <w:rPr>
          <w:sz w:val="24"/>
          <w:szCs w:val="24"/>
        </w:rPr>
      </w:pPr>
    </w:p>
    <w:p w:rsidR="00A3270E" w:rsidRPr="00C10DE4" w:rsidRDefault="00A3270E" w:rsidP="00A3270E">
      <w:pPr>
        <w:ind w:left="851" w:hanging="851"/>
        <w:rPr>
          <w:b/>
          <w:sz w:val="24"/>
          <w:szCs w:val="24"/>
        </w:rPr>
      </w:pPr>
      <w:r w:rsidRPr="00C10DE4">
        <w:rPr>
          <w:b/>
          <w:sz w:val="24"/>
          <w:szCs w:val="24"/>
        </w:rPr>
        <w:t>4.10</w:t>
      </w:r>
      <w:r w:rsidRPr="00C10DE4">
        <w:rPr>
          <w:b/>
          <w:sz w:val="24"/>
          <w:szCs w:val="24"/>
        </w:rPr>
        <w:tab/>
        <w:t>Udlevering</w:t>
      </w:r>
    </w:p>
    <w:p w:rsidR="00A3270E" w:rsidRPr="00C10DE4" w:rsidRDefault="00A3270E" w:rsidP="00A3270E">
      <w:pPr>
        <w:ind w:left="851"/>
        <w:rPr>
          <w:sz w:val="24"/>
          <w:szCs w:val="24"/>
        </w:rPr>
      </w:pPr>
      <w:r w:rsidRPr="00C10DE4">
        <w:rPr>
          <w:sz w:val="24"/>
          <w:szCs w:val="24"/>
        </w:rPr>
        <w:t>A</w:t>
      </w:r>
    </w:p>
    <w:p w:rsidR="00A3270E" w:rsidRPr="00C10DE4" w:rsidRDefault="00A3270E" w:rsidP="00A3270E">
      <w:pPr>
        <w:ind w:left="851" w:hanging="851"/>
        <w:rPr>
          <w:sz w:val="24"/>
          <w:szCs w:val="24"/>
        </w:rPr>
      </w:pPr>
    </w:p>
    <w:p w:rsidR="00A3270E" w:rsidRPr="00C10DE4" w:rsidRDefault="00A3270E" w:rsidP="00A3270E">
      <w:pPr>
        <w:ind w:left="851" w:hanging="851"/>
        <w:rPr>
          <w:sz w:val="24"/>
          <w:szCs w:val="24"/>
        </w:rPr>
      </w:pPr>
    </w:p>
    <w:p w:rsidR="005D2F96" w:rsidRPr="00EA4B0D" w:rsidRDefault="00A3270E" w:rsidP="00EA4B0D">
      <w:pPr>
        <w:ind w:left="851" w:hanging="851"/>
        <w:rPr>
          <w:b/>
          <w:sz w:val="24"/>
          <w:szCs w:val="24"/>
        </w:rPr>
      </w:pPr>
      <w:r w:rsidRPr="00C10DE4">
        <w:rPr>
          <w:b/>
          <w:sz w:val="24"/>
          <w:szCs w:val="24"/>
        </w:rPr>
        <w:t>5.</w:t>
      </w:r>
      <w:r w:rsidRPr="00C10DE4">
        <w:rPr>
          <w:b/>
          <w:sz w:val="24"/>
          <w:szCs w:val="24"/>
        </w:rPr>
        <w:tab/>
        <w:t>FARMAKOLOGISKE EGENSKABER</w:t>
      </w:r>
      <w:r w:rsidRPr="00C10DE4">
        <w:rPr>
          <w:spacing w:val="-3"/>
          <w:sz w:val="24"/>
          <w:szCs w:val="24"/>
        </w:rPr>
        <w:tab/>
      </w:r>
    </w:p>
    <w:p w:rsidR="00A3270E" w:rsidRPr="00C10DE4" w:rsidRDefault="00A3270E" w:rsidP="005D2F96">
      <w:pPr>
        <w:ind w:left="851" w:hanging="851"/>
        <w:jc w:val="both"/>
        <w:rPr>
          <w:sz w:val="24"/>
          <w:szCs w:val="24"/>
        </w:rPr>
      </w:pPr>
    </w:p>
    <w:p w:rsidR="00A3270E" w:rsidRPr="00C10DE4" w:rsidRDefault="00A3270E" w:rsidP="00A3270E">
      <w:pPr>
        <w:ind w:left="851" w:hanging="851"/>
        <w:rPr>
          <w:b/>
          <w:sz w:val="24"/>
          <w:szCs w:val="24"/>
        </w:rPr>
      </w:pPr>
      <w:r w:rsidRPr="00C10DE4">
        <w:rPr>
          <w:b/>
          <w:sz w:val="24"/>
          <w:szCs w:val="24"/>
        </w:rPr>
        <w:t>5.1</w:t>
      </w:r>
      <w:r w:rsidRPr="00C10DE4">
        <w:rPr>
          <w:b/>
          <w:sz w:val="24"/>
          <w:szCs w:val="24"/>
        </w:rPr>
        <w:tab/>
      </w:r>
      <w:proofErr w:type="spellStart"/>
      <w:r w:rsidRPr="00C10DE4">
        <w:rPr>
          <w:b/>
          <w:sz w:val="24"/>
          <w:szCs w:val="24"/>
        </w:rPr>
        <w:t>Farmakodynamiske</w:t>
      </w:r>
      <w:proofErr w:type="spellEnd"/>
      <w:r w:rsidRPr="00C10DE4">
        <w:rPr>
          <w:b/>
          <w:sz w:val="24"/>
          <w:szCs w:val="24"/>
        </w:rPr>
        <w:t xml:space="preserve"> egenskaber</w:t>
      </w:r>
    </w:p>
    <w:p w:rsidR="00EA4B0D" w:rsidRPr="00C10DE4" w:rsidRDefault="00EA4B0D" w:rsidP="00EA4B0D">
      <w:pPr>
        <w:ind w:left="851"/>
        <w:rPr>
          <w:spacing w:val="-3"/>
          <w:sz w:val="24"/>
          <w:szCs w:val="24"/>
          <w:lang w:eastAsia="da-DK"/>
        </w:rPr>
      </w:pPr>
      <w:proofErr w:type="spellStart"/>
      <w:r w:rsidRPr="006B3D71">
        <w:rPr>
          <w:bCs/>
          <w:sz w:val="24"/>
          <w:szCs w:val="24"/>
        </w:rPr>
        <w:t>Farmakoterapeutisk</w:t>
      </w:r>
      <w:proofErr w:type="spellEnd"/>
      <w:r w:rsidRPr="006B3D71">
        <w:rPr>
          <w:bCs/>
          <w:sz w:val="24"/>
          <w:szCs w:val="24"/>
        </w:rPr>
        <w:t xml:space="preserve"> klassifikation:</w:t>
      </w:r>
      <w:r>
        <w:rPr>
          <w:bCs/>
          <w:sz w:val="24"/>
          <w:szCs w:val="24"/>
        </w:rPr>
        <w:t xml:space="preserve"> </w:t>
      </w:r>
      <w:proofErr w:type="spellStart"/>
      <w:r w:rsidRPr="00C10DE4">
        <w:rPr>
          <w:spacing w:val="-3"/>
          <w:sz w:val="24"/>
          <w:szCs w:val="24"/>
        </w:rPr>
        <w:t>Antineoplastiske</w:t>
      </w:r>
      <w:proofErr w:type="spellEnd"/>
      <w:r w:rsidRPr="00C10DE4">
        <w:rPr>
          <w:spacing w:val="-3"/>
          <w:sz w:val="24"/>
          <w:szCs w:val="24"/>
        </w:rPr>
        <w:t xml:space="preserve"> stoffer, </w:t>
      </w:r>
      <w:proofErr w:type="spellStart"/>
      <w:r w:rsidRPr="00C10DE4">
        <w:rPr>
          <w:spacing w:val="-3"/>
          <w:sz w:val="24"/>
          <w:szCs w:val="24"/>
        </w:rPr>
        <w:t>anthracycliner</w:t>
      </w:r>
      <w:proofErr w:type="spellEnd"/>
      <w:r w:rsidRPr="00C10DE4">
        <w:rPr>
          <w:spacing w:val="-3"/>
          <w:sz w:val="24"/>
          <w:szCs w:val="24"/>
        </w:rPr>
        <w:t xml:space="preserve"> og beslægtede stoffer</w:t>
      </w:r>
      <w:r>
        <w:rPr>
          <w:spacing w:val="-3"/>
          <w:sz w:val="24"/>
          <w:szCs w:val="24"/>
        </w:rPr>
        <w:t xml:space="preserve">, ATC-kode: </w:t>
      </w:r>
      <w:r w:rsidRPr="00C10DE4">
        <w:rPr>
          <w:spacing w:val="-3"/>
          <w:sz w:val="24"/>
          <w:szCs w:val="24"/>
        </w:rPr>
        <w:t>L 01 DB 06</w:t>
      </w:r>
      <w:r>
        <w:rPr>
          <w:spacing w:val="-3"/>
          <w:sz w:val="24"/>
          <w:szCs w:val="24"/>
        </w:rPr>
        <w:t xml:space="preserve">. </w:t>
      </w:r>
    </w:p>
    <w:p w:rsidR="00EA4B0D" w:rsidRDefault="00EA4B0D" w:rsidP="00A3270E">
      <w:pPr>
        <w:ind w:left="851"/>
        <w:rPr>
          <w:spacing w:val="-3"/>
          <w:sz w:val="24"/>
          <w:szCs w:val="24"/>
        </w:rPr>
      </w:pPr>
    </w:p>
    <w:p w:rsidR="00A3270E" w:rsidRPr="00C10DE4" w:rsidRDefault="00A3270E" w:rsidP="00A3270E">
      <w:pPr>
        <w:ind w:left="851"/>
        <w:rPr>
          <w:spacing w:val="-3"/>
          <w:sz w:val="24"/>
          <w:szCs w:val="24"/>
        </w:rPr>
      </w:pPr>
      <w:proofErr w:type="spellStart"/>
      <w:r w:rsidRPr="00C10DE4">
        <w:rPr>
          <w:spacing w:val="-3"/>
          <w:sz w:val="24"/>
          <w:szCs w:val="24"/>
        </w:rPr>
        <w:t>Idarubicin</w:t>
      </w:r>
      <w:proofErr w:type="spellEnd"/>
      <w:r w:rsidRPr="00C10DE4">
        <w:rPr>
          <w:spacing w:val="-3"/>
          <w:sz w:val="24"/>
          <w:szCs w:val="24"/>
        </w:rPr>
        <w:t xml:space="preserve"> er et </w:t>
      </w:r>
      <w:proofErr w:type="spellStart"/>
      <w:r w:rsidRPr="00C10DE4">
        <w:rPr>
          <w:spacing w:val="-3"/>
          <w:sz w:val="24"/>
          <w:szCs w:val="24"/>
        </w:rPr>
        <w:t>cytotoksisk</w:t>
      </w:r>
      <w:proofErr w:type="spellEnd"/>
      <w:r w:rsidRPr="00C10DE4">
        <w:rPr>
          <w:spacing w:val="-3"/>
          <w:sz w:val="24"/>
          <w:szCs w:val="24"/>
        </w:rPr>
        <w:t xml:space="preserve"> antibiotikum og et DNA-</w:t>
      </w:r>
      <w:proofErr w:type="spellStart"/>
      <w:r w:rsidRPr="00C10DE4">
        <w:rPr>
          <w:spacing w:val="-3"/>
          <w:sz w:val="24"/>
          <w:szCs w:val="24"/>
        </w:rPr>
        <w:t>interkalerende</w:t>
      </w:r>
      <w:proofErr w:type="spellEnd"/>
      <w:r w:rsidRPr="00C10DE4">
        <w:rPr>
          <w:spacing w:val="-3"/>
          <w:sz w:val="24"/>
          <w:szCs w:val="24"/>
        </w:rPr>
        <w:t xml:space="preserve"> </w:t>
      </w:r>
      <w:proofErr w:type="spellStart"/>
      <w:r w:rsidRPr="00C10DE4">
        <w:rPr>
          <w:spacing w:val="-3"/>
          <w:sz w:val="24"/>
          <w:szCs w:val="24"/>
        </w:rPr>
        <w:t>antracyclin</w:t>
      </w:r>
      <w:proofErr w:type="spellEnd"/>
      <w:r w:rsidRPr="00C10DE4">
        <w:rPr>
          <w:spacing w:val="-3"/>
          <w:sz w:val="24"/>
          <w:szCs w:val="24"/>
        </w:rPr>
        <w:t>,</w:t>
      </w:r>
      <w:r>
        <w:rPr>
          <w:spacing w:val="-3"/>
          <w:sz w:val="24"/>
          <w:szCs w:val="24"/>
        </w:rPr>
        <w:t xml:space="preserve"> </w:t>
      </w:r>
      <w:r w:rsidRPr="00C10DE4">
        <w:rPr>
          <w:spacing w:val="-3"/>
          <w:sz w:val="24"/>
          <w:szCs w:val="24"/>
        </w:rPr>
        <w:t xml:space="preserve">som interagerer med enzymet </w:t>
      </w:r>
      <w:proofErr w:type="spellStart"/>
      <w:r w:rsidRPr="00C10DE4">
        <w:rPr>
          <w:spacing w:val="-3"/>
          <w:sz w:val="24"/>
          <w:szCs w:val="24"/>
        </w:rPr>
        <w:t>topoisomerase</w:t>
      </w:r>
      <w:proofErr w:type="spellEnd"/>
      <w:r w:rsidRPr="00C10DE4">
        <w:rPr>
          <w:spacing w:val="-3"/>
          <w:sz w:val="24"/>
          <w:szCs w:val="24"/>
        </w:rPr>
        <w:t xml:space="preserve"> II og derigennem hindrer </w:t>
      </w:r>
      <w:proofErr w:type="spellStart"/>
      <w:r w:rsidRPr="00C10DE4">
        <w:rPr>
          <w:spacing w:val="-3"/>
          <w:sz w:val="24"/>
          <w:szCs w:val="24"/>
        </w:rPr>
        <w:t>nuklein</w:t>
      </w:r>
      <w:proofErr w:type="spellEnd"/>
      <w:r w:rsidRPr="00C10DE4">
        <w:rPr>
          <w:spacing w:val="-3"/>
          <w:sz w:val="24"/>
          <w:szCs w:val="24"/>
        </w:rPr>
        <w:t xml:space="preserve">-syresyntesen. </w:t>
      </w:r>
      <w:proofErr w:type="spellStart"/>
      <w:r w:rsidRPr="00C10DE4">
        <w:rPr>
          <w:spacing w:val="-3"/>
          <w:sz w:val="24"/>
          <w:szCs w:val="24"/>
        </w:rPr>
        <w:t>Idarubicin</w:t>
      </w:r>
      <w:proofErr w:type="spellEnd"/>
      <w:r w:rsidRPr="00C10DE4">
        <w:rPr>
          <w:spacing w:val="-3"/>
          <w:sz w:val="24"/>
          <w:szCs w:val="24"/>
        </w:rPr>
        <w:t xml:space="preserve"> er mere </w:t>
      </w:r>
      <w:proofErr w:type="spellStart"/>
      <w:r w:rsidRPr="00C10DE4">
        <w:rPr>
          <w:spacing w:val="-3"/>
          <w:sz w:val="24"/>
          <w:szCs w:val="24"/>
        </w:rPr>
        <w:t>lipofilt</w:t>
      </w:r>
      <w:proofErr w:type="spellEnd"/>
      <w:r w:rsidRPr="00C10DE4">
        <w:rPr>
          <w:spacing w:val="-3"/>
          <w:sz w:val="24"/>
          <w:szCs w:val="24"/>
        </w:rPr>
        <w:t xml:space="preserve"> end </w:t>
      </w:r>
      <w:proofErr w:type="spellStart"/>
      <w:r w:rsidRPr="00C10DE4">
        <w:rPr>
          <w:spacing w:val="-3"/>
          <w:sz w:val="24"/>
          <w:szCs w:val="24"/>
        </w:rPr>
        <w:t>doxorubicin</w:t>
      </w:r>
      <w:proofErr w:type="spellEnd"/>
      <w:r w:rsidRPr="00C10DE4">
        <w:rPr>
          <w:spacing w:val="-3"/>
          <w:sz w:val="24"/>
          <w:szCs w:val="24"/>
        </w:rPr>
        <w:t xml:space="preserve"> og </w:t>
      </w:r>
      <w:proofErr w:type="spellStart"/>
      <w:r w:rsidRPr="00C10DE4">
        <w:rPr>
          <w:spacing w:val="-3"/>
          <w:sz w:val="24"/>
          <w:szCs w:val="24"/>
        </w:rPr>
        <w:t>daunorubicin</w:t>
      </w:r>
      <w:proofErr w:type="spellEnd"/>
      <w:r w:rsidRPr="00C10DE4">
        <w:rPr>
          <w:spacing w:val="-3"/>
          <w:sz w:val="24"/>
          <w:szCs w:val="24"/>
        </w:rPr>
        <w:t>, hvilket</w:t>
      </w:r>
      <w:r>
        <w:rPr>
          <w:spacing w:val="-3"/>
          <w:sz w:val="24"/>
          <w:szCs w:val="24"/>
        </w:rPr>
        <w:t xml:space="preserve"> </w:t>
      </w:r>
      <w:r w:rsidRPr="00C10DE4">
        <w:rPr>
          <w:spacing w:val="-3"/>
          <w:sz w:val="24"/>
          <w:szCs w:val="24"/>
        </w:rPr>
        <w:t xml:space="preserve">medfører en højere cellulær optagelse. Der er observeret en lavere grad af kryds-resistens sammenlignet med </w:t>
      </w:r>
      <w:proofErr w:type="spellStart"/>
      <w:r w:rsidRPr="00C10DE4">
        <w:rPr>
          <w:spacing w:val="-3"/>
          <w:sz w:val="24"/>
          <w:szCs w:val="24"/>
        </w:rPr>
        <w:t>doxorubicin</w:t>
      </w:r>
      <w:proofErr w:type="spellEnd"/>
      <w:r w:rsidRPr="00C10DE4">
        <w:rPr>
          <w:spacing w:val="-3"/>
          <w:sz w:val="24"/>
          <w:szCs w:val="24"/>
        </w:rPr>
        <w:t xml:space="preserve"> og </w:t>
      </w:r>
      <w:proofErr w:type="spellStart"/>
      <w:r w:rsidRPr="00C10DE4">
        <w:rPr>
          <w:spacing w:val="-3"/>
          <w:sz w:val="24"/>
          <w:szCs w:val="24"/>
        </w:rPr>
        <w:t>daunorubicin</w:t>
      </w:r>
      <w:proofErr w:type="spellEnd"/>
      <w:r w:rsidRPr="00C10DE4">
        <w:rPr>
          <w:spacing w:val="-3"/>
          <w:sz w:val="24"/>
          <w:szCs w:val="24"/>
        </w:rPr>
        <w:t xml:space="preserve"> i in </w:t>
      </w:r>
      <w:proofErr w:type="spellStart"/>
      <w:r w:rsidRPr="00C10DE4">
        <w:rPr>
          <w:spacing w:val="-3"/>
          <w:sz w:val="24"/>
          <w:szCs w:val="24"/>
        </w:rPr>
        <w:t>vitro</w:t>
      </w:r>
      <w:proofErr w:type="spellEnd"/>
      <w:r w:rsidRPr="00C10DE4">
        <w:rPr>
          <w:spacing w:val="-3"/>
          <w:sz w:val="24"/>
          <w:szCs w:val="24"/>
        </w:rPr>
        <w:t xml:space="preserve"> studier.</w:t>
      </w:r>
    </w:p>
    <w:p w:rsidR="00A3270E" w:rsidRDefault="00A3270E" w:rsidP="00A3270E">
      <w:pPr>
        <w:ind w:left="851" w:hanging="851"/>
        <w:rPr>
          <w:sz w:val="24"/>
          <w:szCs w:val="24"/>
        </w:rPr>
      </w:pPr>
    </w:p>
    <w:p w:rsidR="00EA4B0D" w:rsidRDefault="00EA4B0D" w:rsidP="00A3270E">
      <w:pPr>
        <w:ind w:left="851" w:hanging="851"/>
        <w:rPr>
          <w:sz w:val="24"/>
          <w:szCs w:val="24"/>
        </w:rPr>
      </w:pPr>
    </w:p>
    <w:p w:rsidR="00EA4B0D" w:rsidRDefault="00EA4B0D" w:rsidP="00A3270E">
      <w:pPr>
        <w:ind w:left="851" w:hanging="851"/>
        <w:rPr>
          <w:sz w:val="24"/>
          <w:szCs w:val="24"/>
        </w:rPr>
      </w:pPr>
    </w:p>
    <w:p w:rsidR="00EA4B0D" w:rsidRPr="00C10DE4" w:rsidRDefault="00EA4B0D" w:rsidP="00A3270E">
      <w:pPr>
        <w:ind w:left="851" w:hanging="851"/>
        <w:rPr>
          <w:sz w:val="24"/>
          <w:szCs w:val="24"/>
        </w:rPr>
      </w:pPr>
    </w:p>
    <w:p w:rsidR="00A3270E" w:rsidRPr="00C10DE4" w:rsidRDefault="00A3270E" w:rsidP="00A3270E">
      <w:pPr>
        <w:ind w:left="851" w:hanging="851"/>
        <w:rPr>
          <w:b/>
          <w:sz w:val="24"/>
          <w:szCs w:val="24"/>
        </w:rPr>
      </w:pPr>
      <w:r w:rsidRPr="00C10DE4">
        <w:rPr>
          <w:b/>
          <w:sz w:val="24"/>
          <w:szCs w:val="24"/>
        </w:rPr>
        <w:lastRenderedPageBreak/>
        <w:t>5.2</w:t>
      </w:r>
      <w:r w:rsidRPr="00C10DE4">
        <w:rPr>
          <w:b/>
          <w:sz w:val="24"/>
          <w:szCs w:val="24"/>
        </w:rPr>
        <w:tab/>
      </w:r>
      <w:proofErr w:type="spellStart"/>
      <w:r w:rsidRPr="00C10DE4">
        <w:rPr>
          <w:b/>
          <w:sz w:val="24"/>
          <w:szCs w:val="24"/>
        </w:rPr>
        <w:t>Farmakokinetiske</w:t>
      </w:r>
      <w:proofErr w:type="spellEnd"/>
      <w:r w:rsidRPr="00C10DE4">
        <w:rPr>
          <w:b/>
          <w:sz w:val="24"/>
          <w:szCs w:val="24"/>
        </w:rPr>
        <w:t xml:space="preserve"> egenskaber</w:t>
      </w:r>
    </w:p>
    <w:p w:rsidR="00A3270E" w:rsidRDefault="00A3270E" w:rsidP="00A3270E">
      <w:pPr>
        <w:ind w:left="851" w:hanging="851"/>
        <w:rPr>
          <w:i/>
          <w:spacing w:val="-3"/>
          <w:sz w:val="24"/>
          <w:szCs w:val="24"/>
        </w:rPr>
      </w:pPr>
    </w:p>
    <w:p w:rsidR="00A3270E" w:rsidRPr="00C10DE4" w:rsidRDefault="00A3270E" w:rsidP="00A3270E">
      <w:pPr>
        <w:ind w:left="851"/>
        <w:rPr>
          <w:i/>
          <w:spacing w:val="-3"/>
          <w:sz w:val="24"/>
          <w:szCs w:val="24"/>
          <w:lang w:eastAsia="da-DK"/>
        </w:rPr>
      </w:pPr>
      <w:r w:rsidRPr="00C10DE4">
        <w:rPr>
          <w:i/>
          <w:spacing w:val="-3"/>
          <w:sz w:val="24"/>
          <w:szCs w:val="24"/>
        </w:rPr>
        <w:t>Voksne</w:t>
      </w:r>
    </w:p>
    <w:p w:rsidR="00A3270E" w:rsidRPr="00C10DE4" w:rsidRDefault="00A3270E" w:rsidP="00A3270E">
      <w:pPr>
        <w:ind w:left="851" w:hanging="851"/>
        <w:rPr>
          <w:spacing w:val="-3"/>
          <w:sz w:val="24"/>
          <w:szCs w:val="24"/>
        </w:rPr>
      </w:pPr>
      <w:r w:rsidRPr="00C10DE4">
        <w:rPr>
          <w:sz w:val="24"/>
          <w:szCs w:val="24"/>
        </w:rPr>
        <w:tab/>
        <w:t xml:space="preserve">Efter oral administration af </w:t>
      </w:r>
      <w:proofErr w:type="spellStart"/>
      <w:r w:rsidRPr="00C10DE4">
        <w:rPr>
          <w:sz w:val="24"/>
          <w:szCs w:val="24"/>
        </w:rPr>
        <w:t>idarubicinhydrochlorid</w:t>
      </w:r>
      <w:proofErr w:type="spellEnd"/>
      <w:r w:rsidRPr="00C10DE4">
        <w:rPr>
          <w:sz w:val="24"/>
          <w:szCs w:val="24"/>
        </w:rPr>
        <w:t xml:space="preserve"> 10-60 mg/m</w:t>
      </w:r>
      <w:r w:rsidRPr="00C10DE4">
        <w:rPr>
          <w:sz w:val="24"/>
          <w:szCs w:val="24"/>
          <w:vertAlign w:val="superscript"/>
        </w:rPr>
        <w:t>2</w:t>
      </w:r>
      <w:r w:rsidRPr="00C10DE4">
        <w:rPr>
          <w:sz w:val="24"/>
          <w:szCs w:val="24"/>
        </w:rPr>
        <w:t xml:space="preserve"> absorberes </w:t>
      </w:r>
      <w:proofErr w:type="spellStart"/>
      <w:r w:rsidRPr="00C10DE4">
        <w:rPr>
          <w:sz w:val="24"/>
          <w:szCs w:val="24"/>
        </w:rPr>
        <w:t>idarubicin</w:t>
      </w:r>
      <w:proofErr w:type="spellEnd"/>
      <w:r w:rsidRPr="00C10DE4">
        <w:rPr>
          <w:sz w:val="24"/>
          <w:szCs w:val="24"/>
        </w:rPr>
        <w:t xml:space="preserve"> hurtigt med maksimal plasmakoncentration på 4-12,65 </w:t>
      </w:r>
      <w:proofErr w:type="spellStart"/>
      <w:r w:rsidRPr="00C10DE4">
        <w:rPr>
          <w:sz w:val="24"/>
          <w:szCs w:val="24"/>
        </w:rPr>
        <w:t>ng</w:t>
      </w:r>
      <w:proofErr w:type="spellEnd"/>
      <w:r w:rsidRPr="00C10DE4">
        <w:rPr>
          <w:sz w:val="24"/>
          <w:szCs w:val="24"/>
        </w:rPr>
        <w:t>/ml 1-4 timer efter administration. Halveringstiden er 12,7 ± 6,0 timer (</w:t>
      </w:r>
      <w:proofErr w:type="spellStart"/>
      <w:r w:rsidRPr="00C10DE4">
        <w:rPr>
          <w:sz w:val="24"/>
          <w:szCs w:val="24"/>
        </w:rPr>
        <w:t>middel±SD</w:t>
      </w:r>
      <w:proofErr w:type="spellEnd"/>
      <w:r w:rsidRPr="00C10DE4">
        <w:rPr>
          <w:sz w:val="24"/>
          <w:szCs w:val="24"/>
        </w:rPr>
        <w:t xml:space="preserve">). Efter intravenøs administration af </w:t>
      </w:r>
      <w:proofErr w:type="spellStart"/>
      <w:r w:rsidRPr="00C10DE4">
        <w:rPr>
          <w:sz w:val="24"/>
          <w:szCs w:val="24"/>
        </w:rPr>
        <w:t>idarubicinhydrochlorid</w:t>
      </w:r>
      <w:proofErr w:type="spellEnd"/>
      <w:r w:rsidRPr="00C10DE4">
        <w:rPr>
          <w:sz w:val="24"/>
          <w:szCs w:val="24"/>
        </w:rPr>
        <w:t xml:space="preserve"> er halveringstiden 13,9±5,9 timer (</w:t>
      </w:r>
      <w:proofErr w:type="spellStart"/>
      <w:r w:rsidRPr="00C10DE4">
        <w:rPr>
          <w:sz w:val="24"/>
          <w:szCs w:val="24"/>
        </w:rPr>
        <w:t>middel±SD</w:t>
      </w:r>
      <w:proofErr w:type="spellEnd"/>
      <w:r w:rsidRPr="00C10DE4">
        <w:rPr>
          <w:sz w:val="24"/>
          <w:szCs w:val="24"/>
        </w:rPr>
        <w:t>) svarende til den, der blev observeret ved oral administration.</w:t>
      </w:r>
    </w:p>
    <w:p w:rsidR="00A3270E" w:rsidRPr="00C10DE4" w:rsidRDefault="00A3270E" w:rsidP="00A3270E">
      <w:pPr>
        <w:ind w:left="851" w:hanging="851"/>
        <w:jc w:val="both"/>
        <w:rPr>
          <w:spacing w:val="-3"/>
          <w:sz w:val="24"/>
          <w:szCs w:val="24"/>
        </w:rPr>
      </w:pPr>
    </w:p>
    <w:p w:rsidR="00A3270E" w:rsidRPr="00C10DE4" w:rsidRDefault="00A3270E" w:rsidP="00A3270E">
      <w:pPr>
        <w:ind w:left="851" w:hanging="851"/>
        <w:rPr>
          <w:spacing w:val="-3"/>
          <w:sz w:val="24"/>
          <w:szCs w:val="24"/>
        </w:rPr>
      </w:pPr>
      <w:r w:rsidRPr="00C10DE4">
        <w:rPr>
          <w:spacing w:val="-3"/>
          <w:sz w:val="24"/>
          <w:szCs w:val="24"/>
        </w:rPr>
        <w:tab/>
      </w:r>
      <w:r w:rsidRPr="00C10DE4">
        <w:rPr>
          <w:sz w:val="24"/>
          <w:szCs w:val="24"/>
        </w:rPr>
        <w:t xml:space="preserve">Efter </w:t>
      </w:r>
      <w:proofErr w:type="spellStart"/>
      <w:r w:rsidRPr="00C10DE4">
        <w:rPr>
          <w:sz w:val="24"/>
          <w:szCs w:val="24"/>
        </w:rPr>
        <w:t>i.v</w:t>
      </w:r>
      <w:proofErr w:type="spellEnd"/>
      <w:r w:rsidRPr="00C10DE4">
        <w:rPr>
          <w:sz w:val="24"/>
          <w:szCs w:val="24"/>
        </w:rPr>
        <w:t xml:space="preserve">. administration bindes stoffet hurtigt i vævene. </w:t>
      </w:r>
    </w:p>
    <w:p w:rsidR="00A3270E" w:rsidRPr="00C10DE4" w:rsidRDefault="00A3270E" w:rsidP="00A3270E">
      <w:pPr>
        <w:widowControl w:val="0"/>
        <w:ind w:left="851"/>
        <w:rPr>
          <w:sz w:val="24"/>
          <w:szCs w:val="24"/>
        </w:rPr>
      </w:pPr>
      <w:r w:rsidRPr="00C10DE4">
        <w:rPr>
          <w:sz w:val="24"/>
          <w:szCs w:val="24"/>
        </w:rPr>
        <w:t xml:space="preserve">Den aktive hovedmetabolit, </w:t>
      </w:r>
      <w:proofErr w:type="spellStart"/>
      <w:r w:rsidRPr="00C10DE4">
        <w:rPr>
          <w:sz w:val="24"/>
          <w:szCs w:val="24"/>
        </w:rPr>
        <w:t>idarubicinol</w:t>
      </w:r>
      <w:proofErr w:type="spellEnd"/>
      <w:r w:rsidRPr="00C10DE4">
        <w:rPr>
          <w:sz w:val="24"/>
          <w:szCs w:val="24"/>
        </w:rPr>
        <w:t xml:space="preserve"> har en halveringstid på 41-69 timer. </w:t>
      </w:r>
      <w:proofErr w:type="spellStart"/>
      <w:r w:rsidRPr="00C10DE4">
        <w:rPr>
          <w:sz w:val="24"/>
          <w:szCs w:val="24"/>
        </w:rPr>
        <w:t>Idarubicin</w:t>
      </w:r>
      <w:proofErr w:type="spellEnd"/>
      <w:r w:rsidRPr="00C10DE4">
        <w:rPr>
          <w:sz w:val="24"/>
          <w:szCs w:val="24"/>
        </w:rPr>
        <w:t xml:space="preserve"> udskilles gennem nyrerne og med galden, hovedsagelig som </w:t>
      </w:r>
      <w:proofErr w:type="spellStart"/>
      <w:r w:rsidRPr="00C10DE4">
        <w:rPr>
          <w:sz w:val="24"/>
          <w:szCs w:val="24"/>
        </w:rPr>
        <w:t>idarubicinol</w:t>
      </w:r>
      <w:proofErr w:type="spellEnd"/>
      <w:r w:rsidRPr="00C10DE4">
        <w:rPr>
          <w:sz w:val="24"/>
          <w:szCs w:val="24"/>
        </w:rPr>
        <w:t>.</w:t>
      </w:r>
    </w:p>
    <w:p w:rsidR="00A3270E" w:rsidRPr="00C10DE4" w:rsidRDefault="00A3270E" w:rsidP="00A3270E">
      <w:pPr>
        <w:ind w:left="851" w:hanging="851"/>
        <w:jc w:val="both"/>
        <w:rPr>
          <w:spacing w:val="-3"/>
          <w:sz w:val="24"/>
          <w:szCs w:val="24"/>
        </w:rPr>
      </w:pPr>
    </w:p>
    <w:p w:rsidR="00A3270E" w:rsidRPr="00C10DE4" w:rsidRDefault="00A3270E" w:rsidP="00A3270E">
      <w:pPr>
        <w:ind w:left="851"/>
        <w:rPr>
          <w:i/>
          <w:sz w:val="24"/>
          <w:szCs w:val="24"/>
        </w:rPr>
      </w:pPr>
      <w:r w:rsidRPr="00C10DE4">
        <w:rPr>
          <w:i/>
          <w:sz w:val="24"/>
          <w:szCs w:val="24"/>
        </w:rPr>
        <w:t>Pædiatrisk population</w:t>
      </w:r>
    </w:p>
    <w:p w:rsidR="00A3270E" w:rsidRPr="00C10DE4" w:rsidRDefault="00A3270E" w:rsidP="00A3270E">
      <w:pPr>
        <w:ind w:left="851"/>
        <w:rPr>
          <w:sz w:val="24"/>
          <w:szCs w:val="24"/>
        </w:rPr>
      </w:pPr>
      <w:proofErr w:type="spellStart"/>
      <w:r w:rsidRPr="00C10DE4">
        <w:rPr>
          <w:sz w:val="24"/>
          <w:szCs w:val="24"/>
        </w:rPr>
        <w:t>Farmakokinetiske</w:t>
      </w:r>
      <w:proofErr w:type="spellEnd"/>
      <w:r w:rsidRPr="00C10DE4">
        <w:rPr>
          <w:sz w:val="24"/>
          <w:szCs w:val="24"/>
        </w:rPr>
        <w:t xml:space="preserve"> målinger hos 7 pædiatriske patienter, der blev behandlet med intravenøs </w:t>
      </w:r>
      <w:proofErr w:type="spellStart"/>
      <w:r w:rsidRPr="00C10DE4">
        <w:rPr>
          <w:sz w:val="24"/>
          <w:szCs w:val="24"/>
        </w:rPr>
        <w:t>idarubicinhydrochlorid</w:t>
      </w:r>
      <w:proofErr w:type="spellEnd"/>
      <w:r w:rsidRPr="00C10DE4">
        <w:rPr>
          <w:sz w:val="24"/>
          <w:szCs w:val="24"/>
        </w:rPr>
        <w:t xml:space="preserve"> i doser på 15-40 mg/m</w:t>
      </w:r>
      <w:r w:rsidRPr="00C10DE4">
        <w:rPr>
          <w:sz w:val="24"/>
          <w:szCs w:val="24"/>
          <w:vertAlign w:val="superscript"/>
        </w:rPr>
        <w:t>2</w:t>
      </w:r>
      <w:r w:rsidRPr="00C10DE4">
        <w:rPr>
          <w:sz w:val="24"/>
          <w:szCs w:val="24"/>
        </w:rPr>
        <w:t xml:space="preserve"> i 3 dage, viste en median halveringstid på 8,5 timer (interval: 3,6-26,4 timer) for </w:t>
      </w:r>
      <w:proofErr w:type="spellStart"/>
      <w:r w:rsidRPr="00C10DE4">
        <w:rPr>
          <w:sz w:val="24"/>
          <w:szCs w:val="24"/>
        </w:rPr>
        <w:t>idarubicin</w:t>
      </w:r>
      <w:proofErr w:type="spellEnd"/>
      <w:r w:rsidRPr="00C10DE4">
        <w:rPr>
          <w:sz w:val="24"/>
          <w:szCs w:val="24"/>
        </w:rPr>
        <w:t xml:space="preserve">. Den aktive metabolit </w:t>
      </w:r>
      <w:proofErr w:type="spellStart"/>
      <w:r w:rsidRPr="00C10DE4">
        <w:rPr>
          <w:sz w:val="24"/>
          <w:szCs w:val="24"/>
        </w:rPr>
        <w:t>idarubicinol</w:t>
      </w:r>
      <w:proofErr w:type="spellEnd"/>
      <w:r w:rsidRPr="00C10DE4">
        <w:rPr>
          <w:sz w:val="24"/>
          <w:szCs w:val="24"/>
        </w:rPr>
        <w:t xml:space="preserve"> blev akkumuleret under de 3 dages behandling og udviste en median halveringstid på 43,7 timer (interval: 27.8 -131 timer). I et andet studie, hvor 15 pædiatriske patienter blev behandlet med oral </w:t>
      </w:r>
      <w:proofErr w:type="spellStart"/>
      <w:r w:rsidRPr="00C10DE4">
        <w:rPr>
          <w:sz w:val="24"/>
          <w:szCs w:val="24"/>
        </w:rPr>
        <w:t>idarubicinhydrochlorid</w:t>
      </w:r>
      <w:proofErr w:type="spellEnd"/>
      <w:r w:rsidRPr="00C10DE4">
        <w:rPr>
          <w:sz w:val="24"/>
          <w:szCs w:val="24"/>
        </w:rPr>
        <w:t xml:space="preserve"> i doser på 30-50 mg/m</w:t>
      </w:r>
      <w:r w:rsidRPr="00C10DE4">
        <w:rPr>
          <w:sz w:val="24"/>
          <w:szCs w:val="24"/>
          <w:vertAlign w:val="superscript"/>
        </w:rPr>
        <w:t>2</w:t>
      </w:r>
      <w:r w:rsidRPr="00C10DE4">
        <w:rPr>
          <w:sz w:val="24"/>
          <w:szCs w:val="24"/>
        </w:rPr>
        <w:t xml:space="preserve"> i 3 dage, var </w:t>
      </w:r>
      <w:proofErr w:type="spellStart"/>
      <w:r w:rsidRPr="00C10DE4">
        <w:rPr>
          <w:sz w:val="24"/>
          <w:szCs w:val="24"/>
        </w:rPr>
        <w:t>idarubicins</w:t>
      </w:r>
      <w:proofErr w:type="spellEnd"/>
      <w:r w:rsidRPr="00C10DE4">
        <w:rPr>
          <w:sz w:val="24"/>
          <w:szCs w:val="24"/>
        </w:rPr>
        <w:t xml:space="preserve"> maksimale plasmakoncentration 10,6 </w:t>
      </w:r>
      <w:proofErr w:type="spellStart"/>
      <w:r w:rsidRPr="00C10DE4">
        <w:rPr>
          <w:sz w:val="24"/>
          <w:szCs w:val="24"/>
        </w:rPr>
        <w:t>ng</w:t>
      </w:r>
      <w:proofErr w:type="spellEnd"/>
      <w:r w:rsidRPr="00C10DE4">
        <w:rPr>
          <w:sz w:val="24"/>
          <w:szCs w:val="24"/>
        </w:rPr>
        <w:t xml:space="preserve">/ml (interval: 2,7-16,7 </w:t>
      </w:r>
      <w:proofErr w:type="spellStart"/>
      <w:r w:rsidRPr="00C10DE4">
        <w:rPr>
          <w:sz w:val="24"/>
          <w:szCs w:val="24"/>
        </w:rPr>
        <w:t>ng</w:t>
      </w:r>
      <w:proofErr w:type="spellEnd"/>
      <w:r w:rsidRPr="00C10DE4">
        <w:rPr>
          <w:sz w:val="24"/>
          <w:szCs w:val="24"/>
        </w:rPr>
        <w:t xml:space="preserve">/ml ved en dosis på 40 mg/m2). Median halveringstid af </w:t>
      </w:r>
      <w:proofErr w:type="spellStart"/>
      <w:r w:rsidRPr="00C10DE4">
        <w:rPr>
          <w:sz w:val="24"/>
          <w:szCs w:val="24"/>
        </w:rPr>
        <w:t>idarubicin</w:t>
      </w:r>
      <w:proofErr w:type="spellEnd"/>
      <w:r w:rsidRPr="00C10DE4">
        <w:rPr>
          <w:sz w:val="24"/>
          <w:szCs w:val="24"/>
        </w:rPr>
        <w:t xml:space="preserve"> var 9,2 timer (interval: 6,4-25,5 timer). </w:t>
      </w:r>
    </w:p>
    <w:p w:rsidR="00A3270E" w:rsidRPr="00C10DE4" w:rsidRDefault="00A3270E" w:rsidP="00A3270E">
      <w:pPr>
        <w:ind w:left="851"/>
        <w:rPr>
          <w:sz w:val="24"/>
          <w:szCs w:val="24"/>
        </w:rPr>
      </w:pPr>
      <w:r w:rsidRPr="00C10DE4">
        <w:rPr>
          <w:sz w:val="24"/>
          <w:szCs w:val="24"/>
        </w:rPr>
        <w:t xml:space="preserve">Der sås signifikant akkumulering af </w:t>
      </w:r>
      <w:proofErr w:type="spellStart"/>
      <w:r w:rsidRPr="00C10DE4">
        <w:rPr>
          <w:sz w:val="24"/>
          <w:szCs w:val="24"/>
        </w:rPr>
        <w:t>idarubicinol</w:t>
      </w:r>
      <w:proofErr w:type="spellEnd"/>
      <w:r w:rsidRPr="00C10DE4">
        <w:rPr>
          <w:sz w:val="24"/>
          <w:szCs w:val="24"/>
        </w:rPr>
        <w:t xml:space="preserve"> i 3-dages behandlingsperioden. Den observerede halveringstid, efter </w:t>
      </w:r>
      <w:proofErr w:type="spellStart"/>
      <w:r w:rsidRPr="00C10DE4">
        <w:rPr>
          <w:sz w:val="24"/>
          <w:szCs w:val="24"/>
        </w:rPr>
        <w:t>i.v</w:t>
      </w:r>
      <w:proofErr w:type="spellEnd"/>
      <w:r w:rsidRPr="00C10DE4">
        <w:rPr>
          <w:sz w:val="24"/>
          <w:szCs w:val="24"/>
        </w:rPr>
        <w:t>. administration hos pædiatriske patienter, svarer til den for oral administration.</w:t>
      </w:r>
    </w:p>
    <w:p w:rsidR="00A3270E" w:rsidRPr="00C10DE4" w:rsidRDefault="00A3270E" w:rsidP="00A3270E">
      <w:pPr>
        <w:ind w:left="851" w:hanging="851"/>
        <w:jc w:val="both"/>
        <w:rPr>
          <w:spacing w:val="-3"/>
          <w:sz w:val="24"/>
          <w:szCs w:val="24"/>
        </w:rPr>
      </w:pPr>
    </w:p>
    <w:p w:rsidR="00A3270E" w:rsidRPr="00C10DE4" w:rsidRDefault="00A3270E" w:rsidP="00A3270E">
      <w:pPr>
        <w:ind w:left="851"/>
        <w:rPr>
          <w:sz w:val="24"/>
          <w:szCs w:val="24"/>
        </w:rPr>
      </w:pPr>
      <w:r w:rsidRPr="00C10DE4">
        <w:rPr>
          <w:sz w:val="24"/>
          <w:szCs w:val="24"/>
        </w:rPr>
        <w:t xml:space="preserve">Da </w:t>
      </w:r>
      <w:proofErr w:type="spellStart"/>
      <w:r w:rsidRPr="00C10DE4">
        <w:rPr>
          <w:sz w:val="24"/>
          <w:szCs w:val="24"/>
        </w:rPr>
        <w:t>idarubicin</w:t>
      </w:r>
      <w:proofErr w:type="spellEnd"/>
      <w:r w:rsidRPr="00C10DE4">
        <w:rPr>
          <w:sz w:val="24"/>
          <w:szCs w:val="24"/>
        </w:rPr>
        <w:t xml:space="preserve"> </w:t>
      </w:r>
      <w:proofErr w:type="spellStart"/>
      <w:r w:rsidRPr="00C10DE4">
        <w:rPr>
          <w:sz w:val="24"/>
          <w:szCs w:val="24"/>
        </w:rPr>
        <w:t>C</w:t>
      </w:r>
      <w:r w:rsidRPr="00C10DE4">
        <w:rPr>
          <w:sz w:val="24"/>
          <w:szCs w:val="24"/>
          <w:vertAlign w:val="subscript"/>
        </w:rPr>
        <w:t>max</w:t>
      </w:r>
      <w:proofErr w:type="spellEnd"/>
      <w:r w:rsidRPr="00C10DE4">
        <w:rPr>
          <w:sz w:val="24"/>
          <w:szCs w:val="24"/>
        </w:rPr>
        <w:t xml:space="preserve"> efter oral administration er den samme hos børn og voksne, tyder det på, at der ikke er forskel på absorptionskinetik hos børn og voksne.</w:t>
      </w:r>
    </w:p>
    <w:p w:rsidR="00A3270E" w:rsidRPr="00C10DE4" w:rsidRDefault="00A3270E" w:rsidP="00A3270E">
      <w:pPr>
        <w:ind w:left="851" w:hanging="851"/>
        <w:rPr>
          <w:sz w:val="24"/>
          <w:szCs w:val="24"/>
        </w:rPr>
      </w:pPr>
    </w:p>
    <w:p w:rsidR="00A3270E" w:rsidRPr="00C10DE4" w:rsidRDefault="00A3270E" w:rsidP="00A3270E">
      <w:pPr>
        <w:ind w:left="851"/>
        <w:rPr>
          <w:sz w:val="24"/>
          <w:szCs w:val="24"/>
        </w:rPr>
      </w:pPr>
      <w:r w:rsidRPr="00C10DE4">
        <w:rPr>
          <w:sz w:val="24"/>
          <w:szCs w:val="24"/>
        </w:rPr>
        <w:t xml:space="preserve">Efter både oral og intravenøs administration er </w:t>
      </w:r>
      <w:proofErr w:type="spellStart"/>
      <w:r w:rsidRPr="00C10DE4">
        <w:rPr>
          <w:sz w:val="24"/>
          <w:szCs w:val="24"/>
        </w:rPr>
        <w:t>idarubicins</w:t>
      </w:r>
      <w:proofErr w:type="spellEnd"/>
      <w:r w:rsidRPr="00C10DE4">
        <w:rPr>
          <w:sz w:val="24"/>
          <w:szCs w:val="24"/>
        </w:rPr>
        <w:t xml:space="preserve"> halveringstid forskellig hos børn og voksne:</w:t>
      </w:r>
    </w:p>
    <w:p w:rsidR="00A3270E" w:rsidRPr="00C10DE4" w:rsidRDefault="00A3270E" w:rsidP="00A3270E">
      <w:pPr>
        <w:ind w:left="851" w:hanging="851"/>
        <w:rPr>
          <w:sz w:val="24"/>
          <w:szCs w:val="24"/>
        </w:rPr>
      </w:pPr>
    </w:p>
    <w:p w:rsidR="00A3270E" w:rsidRPr="00C10DE4" w:rsidRDefault="00A3270E" w:rsidP="00A3270E">
      <w:pPr>
        <w:ind w:left="851"/>
        <w:rPr>
          <w:sz w:val="24"/>
          <w:szCs w:val="24"/>
        </w:rPr>
      </w:pPr>
      <w:proofErr w:type="spellStart"/>
      <w:r w:rsidRPr="00C10DE4">
        <w:rPr>
          <w:sz w:val="24"/>
          <w:szCs w:val="24"/>
        </w:rPr>
        <w:t>Totalclearance</w:t>
      </w:r>
      <w:proofErr w:type="spellEnd"/>
      <w:r w:rsidRPr="00C10DE4">
        <w:rPr>
          <w:sz w:val="24"/>
          <w:szCs w:val="24"/>
        </w:rPr>
        <w:t xml:space="preserve"> på 30-107,9 l/time/m</w:t>
      </w:r>
      <w:r w:rsidRPr="00C10DE4">
        <w:rPr>
          <w:sz w:val="24"/>
          <w:szCs w:val="24"/>
          <w:vertAlign w:val="superscript"/>
        </w:rPr>
        <w:t>2</w:t>
      </w:r>
      <w:r w:rsidRPr="00C10DE4">
        <w:rPr>
          <w:sz w:val="24"/>
          <w:szCs w:val="24"/>
        </w:rPr>
        <w:t xml:space="preserve"> hos voksne er højere end </w:t>
      </w:r>
      <w:proofErr w:type="spellStart"/>
      <w:r w:rsidRPr="00C10DE4">
        <w:rPr>
          <w:sz w:val="24"/>
          <w:szCs w:val="24"/>
        </w:rPr>
        <w:t>totalclearance</w:t>
      </w:r>
      <w:proofErr w:type="spellEnd"/>
      <w:r w:rsidRPr="00C10DE4">
        <w:rPr>
          <w:sz w:val="24"/>
          <w:szCs w:val="24"/>
        </w:rPr>
        <w:t xml:space="preserve"> på </w:t>
      </w:r>
      <w:r w:rsidRPr="00C10DE4">
        <w:rPr>
          <w:sz w:val="24"/>
          <w:szCs w:val="24"/>
        </w:rPr>
        <w:br/>
        <w:t>18-33 l/time/m</w:t>
      </w:r>
      <w:r w:rsidRPr="00C10DE4">
        <w:rPr>
          <w:sz w:val="24"/>
          <w:szCs w:val="24"/>
          <w:vertAlign w:val="superscript"/>
        </w:rPr>
        <w:t>2</w:t>
      </w:r>
      <w:r w:rsidRPr="00BB6130">
        <w:rPr>
          <w:sz w:val="24"/>
          <w:szCs w:val="24"/>
        </w:rPr>
        <w:t xml:space="preserve"> </w:t>
      </w:r>
      <w:r w:rsidRPr="00C10DE4">
        <w:rPr>
          <w:sz w:val="24"/>
          <w:szCs w:val="24"/>
        </w:rPr>
        <w:t xml:space="preserve">hos pædiatrisk population. Selvom </w:t>
      </w:r>
      <w:proofErr w:type="spellStart"/>
      <w:r w:rsidRPr="00C10DE4">
        <w:rPr>
          <w:sz w:val="24"/>
          <w:szCs w:val="24"/>
        </w:rPr>
        <w:t>idarubicin</w:t>
      </w:r>
      <w:proofErr w:type="spellEnd"/>
      <w:r w:rsidRPr="00C10DE4">
        <w:rPr>
          <w:sz w:val="24"/>
          <w:szCs w:val="24"/>
        </w:rPr>
        <w:t xml:space="preserve"> har et meget stort fordelingsvolumen, som tyder på stor vævsbinding, kan den kortere halveringstid og lavere </w:t>
      </w:r>
      <w:proofErr w:type="spellStart"/>
      <w:r w:rsidRPr="00C10DE4">
        <w:rPr>
          <w:sz w:val="24"/>
          <w:szCs w:val="24"/>
        </w:rPr>
        <w:t>totalclearance</w:t>
      </w:r>
      <w:proofErr w:type="spellEnd"/>
      <w:r w:rsidRPr="00C10DE4">
        <w:rPr>
          <w:sz w:val="24"/>
          <w:szCs w:val="24"/>
        </w:rPr>
        <w:t xml:space="preserve"> ikke udelukkende forklare det tilsyneladende mindre distributionsvolumen hos børn sammenlignet med voksne.</w:t>
      </w:r>
    </w:p>
    <w:p w:rsidR="00A3270E" w:rsidRPr="00C10DE4" w:rsidRDefault="00A3270E" w:rsidP="00A3270E">
      <w:pPr>
        <w:ind w:left="851" w:hanging="851"/>
        <w:rPr>
          <w:sz w:val="24"/>
          <w:szCs w:val="24"/>
        </w:rPr>
      </w:pPr>
    </w:p>
    <w:p w:rsidR="00A3270E" w:rsidRPr="00C10DE4" w:rsidRDefault="00A3270E" w:rsidP="00A3270E">
      <w:pPr>
        <w:ind w:left="851" w:hanging="851"/>
        <w:rPr>
          <w:b/>
          <w:sz w:val="24"/>
          <w:szCs w:val="24"/>
        </w:rPr>
      </w:pPr>
      <w:r w:rsidRPr="00C10DE4">
        <w:rPr>
          <w:b/>
          <w:sz w:val="24"/>
          <w:szCs w:val="24"/>
        </w:rPr>
        <w:t>5.3</w:t>
      </w:r>
      <w:r w:rsidRPr="00C10DE4">
        <w:rPr>
          <w:b/>
          <w:sz w:val="24"/>
          <w:szCs w:val="24"/>
        </w:rPr>
        <w:tab/>
      </w:r>
      <w:r w:rsidR="00EA4B0D">
        <w:rPr>
          <w:b/>
          <w:sz w:val="24"/>
          <w:szCs w:val="24"/>
        </w:rPr>
        <w:t>Non-</w:t>
      </w:r>
      <w:r w:rsidRPr="00C10DE4">
        <w:rPr>
          <w:b/>
          <w:sz w:val="24"/>
          <w:szCs w:val="24"/>
        </w:rPr>
        <w:t>kliniske sikkerhedsdata</w:t>
      </w:r>
    </w:p>
    <w:p w:rsidR="00A3270E" w:rsidRPr="00C10DE4" w:rsidRDefault="00A3270E" w:rsidP="00A3270E">
      <w:pPr>
        <w:ind w:left="851"/>
        <w:rPr>
          <w:spacing w:val="-3"/>
          <w:sz w:val="24"/>
          <w:szCs w:val="24"/>
        </w:rPr>
      </w:pPr>
      <w:r w:rsidRPr="00C10DE4">
        <w:rPr>
          <w:spacing w:val="-3"/>
          <w:sz w:val="24"/>
          <w:szCs w:val="24"/>
        </w:rPr>
        <w:t xml:space="preserve">Som andre </w:t>
      </w:r>
      <w:proofErr w:type="spellStart"/>
      <w:r w:rsidRPr="00C10DE4">
        <w:rPr>
          <w:spacing w:val="-3"/>
          <w:sz w:val="24"/>
          <w:szCs w:val="24"/>
        </w:rPr>
        <w:t>antracycliner</w:t>
      </w:r>
      <w:proofErr w:type="spellEnd"/>
      <w:r w:rsidRPr="00C10DE4">
        <w:rPr>
          <w:spacing w:val="-3"/>
          <w:sz w:val="24"/>
          <w:szCs w:val="24"/>
        </w:rPr>
        <w:t xml:space="preserve"> er </w:t>
      </w:r>
      <w:proofErr w:type="spellStart"/>
      <w:r w:rsidRPr="00C10DE4">
        <w:rPr>
          <w:spacing w:val="-3"/>
          <w:sz w:val="24"/>
          <w:szCs w:val="24"/>
        </w:rPr>
        <w:t>idarubicin</w:t>
      </w:r>
      <w:proofErr w:type="spellEnd"/>
      <w:r w:rsidRPr="00C10DE4">
        <w:rPr>
          <w:spacing w:val="-3"/>
          <w:sz w:val="24"/>
          <w:szCs w:val="24"/>
        </w:rPr>
        <w:t xml:space="preserve"> mutagent, embryotoksisk, </w:t>
      </w:r>
      <w:proofErr w:type="spellStart"/>
      <w:r w:rsidRPr="00C10DE4">
        <w:rPr>
          <w:spacing w:val="-3"/>
          <w:sz w:val="24"/>
          <w:szCs w:val="24"/>
        </w:rPr>
        <w:t>teratogent</w:t>
      </w:r>
      <w:proofErr w:type="spellEnd"/>
      <w:r w:rsidRPr="00C10DE4">
        <w:rPr>
          <w:spacing w:val="-3"/>
          <w:sz w:val="24"/>
          <w:szCs w:val="24"/>
        </w:rPr>
        <w:t xml:space="preserve"> og potentielt </w:t>
      </w:r>
      <w:proofErr w:type="spellStart"/>
      <w:r w:rsidRPr="00C10DE4">
        <w:rPr>
          <w:spacing w:val="-3"/>
          <w:sz w:val="24"/>
          <w:szCs w:val="24"/>
        </w:rPr>
        <w:t>karcinogent</w:t>
      </w:r>
      <w:proofErr w:type="spellEnd"/>
      <w:r w:rsidRPr="00C10DE4">
        <w:rPr>
          <w:spacing w:val="-3"/>
          <w:sz w:val="24"/>
          <w:szCs w:val="24"/>
        </w:rPr>
        <w:t xml:space="preserve">. Målorganerne for toksiciteten er blod- og lymfesystemet, det immunologiske system, det </w:t>
      </w:r>
      <w:proofErr w:type="spellStart"/>
      <w:r w:rsidRPr="00C10DE4">
        <w:rPr>
          <w:spacing w:val="-3"/>
          <w:sz w:val="24"/>
          <w:szCs w:val="24"/>
        </w:rPr>
        <w:t>gastrointestinale</w:t>
      </w:r>
      <w:proofErr w:type="spellEnd"/>
      <w:r w:rsidRPr="00C10DE4">
        <w:rPr>
          <w:spacing w:val="-3"/>
          <w:sz w:val="24"/>
          <w:szCs w:val="24"/>
        </w:rPr>
        <w:t xml:space="preserve"> system, hjerte, lever, nyrer og testikler.</w:t>
      </w:r>
    </w:p>
    <w:p w:rsidR="00A3270E" w:rsidRPr="00C10DE4" w:rsidRDefault="00A3270E" w:rsidP="00A3270E">
      <w:pPr>
        <w:ind w:left="851" w:hanging="851"/>
        <w:rPr>
          <w:sz w:val="24"/>
          <w:szCs w:val="24"/>
        </w:rPr>
      </w:pPr>
    </w:p>
    <w:p w:rsidR="00A3270E" w:rsidRPr="00C10DE4" w:rsidRDefault="00A3270E" w:rsidP="00A3270E">
      <w:pPr>
        <w:ind w:left="851" w:hanging="851"/>
        <w:rPr>
          <w:sz w:val="24"/>
          <w:szCs w:val="24"/>
        </w:rPr>
      </w:pPr>
    </w:p>
    <w:p w:rsidR="00A3270E" w:rsidRPr="00C10DE4" w:rsidRDefault="00A3270E" w:rsidP="00A3270E">
      <w:pPr>
        <w:ind w:left="851" w:hanging="851"/>
        <w:rPr>
          <w:b/>
          <w:sz w:val="24"/>
          <w:szCs w:val="24"/>
        </w:rPr>
      </w:pPr>
      <w:r w:rsidRPr="00C10DE4">
        <w:rPr>
          <w:b/>
          <w:sz w:val="24"/>
          <w:szCs w:val="24"/>
        </w:rPr>
        <w:t>6.</w:t>
      </w:r>
      <w:r w:rsidRPr="00C10DE4">
        <w:rPr>
          <w:b/>
          <w:sz w:val="24"/>
          <w:szCs w:val="24"/>
        </w:rPr>
        <w:tab/>
        <w:t>FARMACEUTISKE OPLYSNINGER</w:t>
      </w:r>
    </w:p>
    <w:p w:rsidR="00A3270E" w:rsidRPr="00C10DE4" w:rsidRDefault="00A3270E" w:rsidP="00A3270E">
      <w:pPr>
        <w:ind w:left="851" w:hanging="851"/>
        <w:rPr>
          <w:sz w:val="24"/>
          <w:szCs w:val="24"/>
        </w:rPr>
      </w:pPr>
    </w:p>
    <w:p w:rsidR="00A3270E" w:rsidRPr="00C10DE4" w:rsidRDefault="00A3270E" w:rsidP="00A3270E">
      <w:pPr>
        <w:ind w:left="851" w:hanging="851"/>
        <w:rPr>
          <w:b/>
          <w:sz w:val="24"/>
          <w:szCs w:val="24"/>
        </w:rPr>
      </w:pPr>
      <w:r w:rsidRPr="00C10DE4">
        <w:rPr>
          <w:b/>
          <w:sz w:val="24"/>
          <w:szCs w:val="24"/>
        </w:rPr>
        <w:t>6.1</w:t>
      </w:r>
      <w:r w:rsidRPr="00C10DE4">
        <w:rPr>
          <w:b/>
          <w:sz w:val="24"/>
          <w:szCs w:val="24"/>
        </w:rPr>
        <w:tab/>
        <w:t>Hjælpestoffer</w:t>
      </w:r>
    </w:p>
    <w:p w:rsidR="00A3270E" w:rsidRPr="00C10DE4" w:rsidRDefault="00A3270E" w:rsidP="00A3270E">
      <w:pPr>
        <w:ind w:left="851"/>
        <w:jc w:val="both"/>
        <w:rPr>
          <w:spacing w:val="-3"/>
          <w:sz w:val="24"/>
          <w:szCs w:val="24"/>
          <w:lang w:eastAsia="da-DK"/>
        </w:rPr>
      </w:pPr>
      <w:r w:rsidRPr="00C10DE4">
        <w:rPr>
          <w:spacing w:val="-3"/>
          <w:sz w:val="24"/>
          <w:szCs w:val="24"/>
        </w:rPr>
        <w:t>Glycerol</w:t>
      </w:r>
    </w:p>
    <w:p w:rsidR="00A3270E" w:rsidRPr="00C10DE4" w:rsidRDefault="00A3270E" w:rsidP="00A3270E">
      <w:pPr>
        <w:ind w:left="851" w:hanging="851"/>
        <w:jc w:val="both"/>
        <w:rPr>
          <w:spacing w:val="-3"/>
          <w:sz w:val="24"/>
          <w:szCs w:val="24"/>
        </w:rPr>
      </w:pPr>
      <w:r w:rsidRPr="00C10DE4">
        <w:rPr>
          <w:spacing w:val="-3"/>
          <w:sz w:val="24"/>
          <w:szCs w:val="24"/>
        </w:rPr>
        <w:tab/>
        <w:t>Sterilt vand</w:t>
      </w:r>
    </w:p>
    <w:p w:rsidR="00A3270E" w:rsidRPr="00C10DE4" w:rsidRDefault="00A3270E" w:rsidP="00A3270E">
      <w:pPr>
        <w:ind w:left="851" w:hanging="851"/>
        <w:jc w:val="both"/>
        <w:rPr>
          <w:spacing w:val="-3"/>
          <w:sz w:val="24"/>
          <w:szCs w:val="24"/>
        </w:rPr>
      </w:pPr>
      <w:r w:rsidRPr="00C10DE4">
        <w:rPr>
          <w:spacing w:val="-3"/>
          <w:sz w:val="24"/>
          <w:szCs w:val="24"/>
        </w:rPr>
        <w:tab/>
        <w:t>Saltsyre (til justering af pH).</w:t>
      </w:r>
    </w:p>
    <w:p w:rsidR="00A3270E" w:rsidRPr="00C10DE4" w:rsidRDefault="00A3270E" w:rsidP="00A3270E">
      <w:pPr>
        <w:ind w:left="851" w:hanging="851"/>
        <w:rPr>
          <w:sz w:val="24"/>
          <w:szCs w:val="24"/>
        </w:rPr>
      </w:pPr>
    </w:p>
    <w:p w:rsidR="00A3270E" w:rsidRPr="00C10DE4" w:rsidRDefault="00A3270E" w:rsidP="00A3270E">
      <w:pPr>
        <w:ind w:left="851" w:hanging="851"/>
        <w:rPr>
          <w:b/>
          <w:sz w:val="24"/>
          <w:szCs w:val="24"/>
        </w:rPr>
      </w:pPr>
      <w:r w:rsidRPr="00C10DE4">
        <w:rPr>
          <w:b/>
          <w:sz w:val="24"/>
          <w:szCs w:val="24"/>
        </w:rPr>
        <w:lastRenderedPageBreak/>
        <w:t>6.2</w:t>
      </w:r>
      <w:r w:rsidRPr="00C10DE4">
        <w:rPr>
          <w:b/>
          <w:sz w:val="24"/>
          <w:szCs w:val="24"/>
        </w:rPr>
        <w:tab/>
        <w:t>Uforligeligheder</w:t>
      </w:r>
    </w:p>
    <w:p w:rsidR="00A3270E" w:rsidRPr="00C10DE4" w:rsidRDefault="00A3270E" w:rsidP="00A3270E">
      <w:pPr>
        <w:ind w:left="851"/>
        <w:rPr>
          <w:spacing w:val="-3"/>
          <w:sz w:val="24"/>
          <w:szCs w:val="24"/>
          <w:lang w:eastAsia="da-DK"/>
        </w:rPr>
      </w:pPr>
      <w:proofErr w:type="spellStart"/>
      <w:r w:rsidRPr="00C10DE4">
        <w:rPr>
          <w:spacing w:val="-3"/>
          <w:sz w:val="24"/>
          <w:szCs w:val="24"/>
        </w:rPr>
        <w:t>Zavedos</w:t>
      </w:r>
      <w:proofErr w:type="spellEnd"/>
      <w:r w:rsidRPr="00C10DE4">
        <w:rPr>
          <w:spacing w:val="-3"/>
          <w:sz w:val="24"/>
          <w:szCs w:val="24"/>
        </w:rPr>
        <w:t xml:space="preserve"> må ikke blandes med alkaliske opløsninger, da dette kan medføre nedbrydning af </w:t>
      </w:r>
      <w:proofErr w:type="spellStart"/>
      <w:r w:rsidRPr="00C10DE4">
        <w:rPr>
          <w:spacing w:val="-3"/>
          <w:sz w:val="24"/>
          <w:szCs w:val="24"/>
        </w:rPr>
        <w:t>idarubicin</w:t>
      </w:r>
      <w:proofErr w:type="spellEnd"/>
      <w:r w:rsidRPr="00C10DE4">
        <w:rPr>
          <w:spacing w:val="-3"/>
          <w:sz w:val="24"/>
          <w:szCs w:val="24"/>
        </w:rPr>
        <w:t xml:space="preserve">. </w:t>
      </w:r>
      <w:proofErr w:type="spellStart"/>
      <w:r w:rsidRPr="00C10DE4">
        <w:rPr>
          <w:spacing w:val="-3"/>
          <w:sz w:val="24"/>
          <w:szCs w:val="24"/>
        </w:rPr>
        <w:t>Zavedos</w:t>
      </w:r>
      <w:proofErr w:type="spellEnd"/>
      <w:r w:rsidRPr="00C10DE4">
        <w:rPr>
          <w:spacing w:val="-3"/>
          <w:sz w:val="24"/>
          <w:szCs w:val="24"/>
        </w:rPr>
        <w:t xml:space="preserve"> bør heller ikke blandes med </w:t>
      </w:r>
      <w:proofErr w:type="spellStart"/>
      <w:r w:rsidRPr="00C10DE4">
        <w:rPr>
          <w:spacing w:val="-3"/>
          <w:sz w:val="24"/>
          <w:szCs w:val="24"/>
        </w:rPr>
        <w:t>heparin</w:t>
      </w:r>
      <w:proofErr w:type="spellEnd"/>
      <w:r w:rsidRPr="00C10DE4">
        <w:rPr>
          <w:spacing w:val="-3"/>
          <w:sz w:val="24"/>
          <w:szCs w:val="24"/>
        </w:rPr>
        <w:t>, da dette medfører udfældning. Det kan ikke anbefales at blande injektionsvæsken med andre lægemidler.</w:t>
      </w:r>
    </w:p>
    <w:p w:rsidR="00A3270E" w:rsidRPr="00C10DE4" w:rsidRDefault="00A3270E" w:rsidP="00A3270E">
      <w:pPr>
        <w:ind w:left="851" w:hanging="851"/>
        <w:rPr>
          <w:spacing w:val="-3"/>
          <w:sz w:val="24"/>
          <w:szCs w:val="24"/>
        </w:rPr>
      </w:pPr>
    </w:p>
    <w:p w:rsidR="00A3270E" w:rsidRPr="00C10DE4" w:rsidRDefault="00A3270E" w:rsidP="00A3270E">
      <w:pPr>
        <w:ind w:left="851" w:hanging="851"/>
        <w:rPr>
          <w:spacing w:val="-3"/>
          <w:sz w:val="24"/>
          <w:szCs w:val="24"/>
        </w:rPr>
      </w:pPr>
      <w:r w:rsidRPr="00C10DE4">
        <w:rPr>
          <w:spacing w:val="-3"/>
          <w:sz w:val="24"/>
          <w:szCs w:val="24"/>
        </w:rPr>
        <w:tab/>
      </w:r>
      <w:proofErr w:type="spellStart"/>
      <w:r w:rsidRPr="00C10DE4">
        <w:rPr>
          <w:spacing w:val="-3"/>
          <w:sz w:val="24"/>
          <w:szCs w:val="24"/>
        </w:rPr>
        <w:t>Zavedos</w:t>
      </w:r>
      <w:proofErr w:type="spellEnd"/>
      <w:r w:rsidRPr="00C10DE4">
        <w:rPr>
          <w:spacing w:val="-3"/>
          <w:sz w:val="24"/>
          <w:szCs w:val="24"/>
        </w:rPr>
        <w:t xml:space="preserve"> kan fortyndes med 9 mg/ml </w:t>
      </w:r>
      <w:proofErr w:type="spellStart"/>
      <w:r w:rsidRPr="00C10DE4">
        <w:rPr>
          <w:spacing w:val="-3"/>
          <w:sz w:val="24"/>
          <w:szCs w:val="24"/>
        </w:rPr>
        <w:t>natriumchloridopløsning</w:t>
      </w:r>
      <w:proofErr w:type="spellEnd"/>
      <w:r w:rsidRPr="00C10DE4">
        <w:rPr>
          <w:spacing w:val="-3"/>
          <w:sz w:val="24"/>
          <w:szCs w:val="24"/>
        </w:rPr>
        <w:t xml:space="preserve"> eller 5% </w:t>
      </w:r>
      <w:proofErr w:type="spellStart"/>
      <w:r w:rsidRPr="00C10DE4">
        <w:rPr>
          <w:spacing w:val="-3"/>
          <w:sz w:val="24"/>
          <w:szCs w:val="24"/>
        </w:rPr>
        <w:t>glucoseopløsning</w:t>
      </w:r>
      <w:proofErr w:type="spellEnd"/>
      <w:r w:rsidRPr="00C10DE4">
        <w:rPr>
          <w:spacing w:val="-3"/>
          <w:sz w:val="24"/>
          <w:szCs w:val="24"/>
        </w:rPr>
        <w:t>.</w:t>
      </w:r>
    </w:p>
    <w:p w:rsidR="00A3270E" w:rsidRPr="00C10DE4" w:rsidRDefault="00A3270E" w:rsidP="00A3270E">
      <w:pPr>
        <w:ind w:left="851" w:hanging="851"/>
        <w:rPr>
          <w:sz w:val="24"/>
          <w:szCs w:val="24"/>
        </w:rPr>
      </w:pPr>
    </w:p>
    <w:p w:rsidR="00A3270E" w:rsidRPr="00C10DE4" w:rsidRDefault="00A3270E" w:rsidP="00A3270E">
      <w:pPr>
        <w:ind w:left="851" w:hanging="851"/>
        <w:rPr>
          <w:b/>
          <w:sz w:val="24"/>
          <w:szCs w:val="24"/>
        </w:rPr>
      </w:pPr>
      <w:r w:rsidRPr="00C10DE4">
        <w:rPr>
          <w:b/>
          <w:sz w:val="24"/>
          <w:szCs w:val="24"/>
        </w:rPr>
        <w:t>6.3</w:t>
      </w:r>
      <w:r w:rsidRPr="00C10DE4">
        <w:rPr>
          <w:b/>
          <w:sz w:val="24"/>
          <w:szCs w:val="24"/>
        </w:rPr>
        <w:tab/>
        <w:t>Opbevaringstid</w:t>
      </w:r>
    </w:p>
    <w:p w:rsidR="00A3270E" w:rsidRPr="00001F88" w:rsidRDefault="00A3270E" w:rsidP="00A3270E">
      <w:pPr>
        <w:ind w:left="851"/>
        <w:rPr>
          <w:sz w:val="24"/>
          <w:szCs w:val="24"/>
          <w:lang w:eastAsia="da-DK"/>
        </w:rPr>
      </w:pPr>
      <w:r w:rsidRPr="00001F88">
        <w:rPr>
          <w:sz w:val="24"/>
          <w:szCs w:val="24"/>
        </w:rPr>
        <w:t>3</w:t>
      </w:r>
      <w:r>
        <w:rPr>
          <w:sz w:val="24"/>
          <w:szCs w:val="24"/>
        </w:rPr>
        <w:t xml:space="preserve"> år</w:t>
      </w:r>
      <w:r w:rsidRPr="00001F88">
        <w:rPr>
          <w:sz w:val="24"/>
          <w:szCs w:val="24"/>
        </w:rPr>
        <w:t>.</w:t>
      </w:r>
    </w:p>
    <w:p w:rsidR="009C6769" w:rsidRPr="00001F88" w:rsidRDefault="009C6769" w:rsidP="009C6769">
      <w:pPr>
        <w:ind w:left="851"/>
        <w:rPr>
          <w:sz w:val="24"/>
          <w:szCs w:val="24"/>
        </w:rPr>
      </w:pPr>
      <w:r w:rsidRPr="00001F88">
        <w:rPr>
          <w:sz w:val="24"/>
          <w:szCs w:val="24"/>
        </w:rPr>
        <w:t xml:space="preserve">Ud fra et mikrobiologisk synspunkt skal præparatet bruges med det samme. Hvis det ikke anvendes med det samme er opbevaringsbetingelser på brugerens eget ansvar og må ikke overstige 24 timer ved 2-8 °C, med mindre </w:t>
      </w:r>
      <w:r>
        <w:rPr>
          <w:sz w:val="24"/>
          <w:szCs w:val="24"/>
        </w:rPr>
        <w:t>håndteringen</w:t>
      </w:r>
      <w:r w:rsidRPr="00001F88">
        <w:rPr>
          <w:sz w:val="24"/>
          <w:szCs w:val="24"/>
        </w:rPr>
        <w:t xml:space="preserve"> er udført under kontrollerede og validerede aseptiske beting</w:t>
      </w:r>
      <w:r w:rsidRPr="00001F88">
        <w:rPr>
          <w:sz w:val="24"/>
          <w:szCs w:val="24"/>
        </w:rPr>
        <w:softHyphen/>
        <w:t>elser.</w:t>
      </w:r>
    </w:p>
    <w:p w:rsidR="00A3270E" w:rsidRPr="00C10DE4" w:rsidRDefault="00A3270E" w:rsidP="00A3270E">
      <w:pPr>
        <w:ind w:left="851" w:hanging="851"/>
        <w:rPr>
          <w:sz w:val="24"/>
          <w:szCs w:val="24"/>
        </w:rPr>
      </w:pPr>
    </w:p>
    <w:p w:rsidR="00A3270E" w:rsidRPr="00C10DE4" w:rsidRDefault="00A3270E" w:rsidP="00A3270E">
      <w:pPr>
        <w:ind w:left="851" w:hanging="851"/>
        <w:rPr>
          <w:b/>
          <w:sz w:val="24"/>
          <w:szCs w:val="24"/>
        </w:rPr>
      </w:pPr>
      <w:r w:rsidRPr="00C10DE4">
        <w:rPr>
          <w:b/>
          <w:sz w:val="24"/>
          <w:szCs w:val="24"/>
        </w:rPr>
        <w:t>6.4</w:t>
      </w:r>
      <w:r w:rsidRPr="00C10DE4">
        <w:rPr>
          <w:b/>
          <w:sz w:val="24"/>
          <w:szCs w:val="24"/>
        </w:rPr>
        <w:tab/>
        <w:t>Særlige opbevaringsforhold</w:t>
      </w:r>
    </w:p>
    <w:p w:rsidR="00A3270E" w:rsidRPr="00C10DE4" w:rsidRDefault="00A3270E" w:rsidP="00A3270E">
      <w:pPr>
        <w:ind w:left="851"/>
        <w:rPr>
          <w:sz w:val="24"/>
          <w:szCs w:val="24"/>
          <w:lang w:eastAsia="da-DK"/>
        </w:rPr>
      </w:pPr>
      <w:r w:rsidRPr="00C10DE4">
        <w:rPr>
          <w:noProof/>
          <w:sz w:val="24"/>
          <w:szCs w:val="24"/>
        </w:rPr>
        <w:t>Opbevares i køleskab (2 – 8 °C)</w:t>
      </w:r>
      <w:r w:rsidRPr="00C10DE4">
        <w:rPr>
          <w:sz w:val="24"/>
          <w:szCs w:val="24"/>
        </w:rPr>
        <w:t>.</w:t>
      </w:r>
    </w:p>
    <w:p w:rsidR="00A3270E" w:rsidRPr="00C10DE4" w:rsidRDefault="00A3270E" w:rsidP="00A3270E">
      <w:pPr>
        <w:ind w:left="851"/>
        <w:rPr>
          <w:sz w:val="24"/>
          <w:szCs w:val="24"/>
        </w:rPr>
      </w:pPr>
      <w:r w:rsidRPr="00C10DE4">
        <w:rPr>
          <w:sz w:val="24"/>
          <w:szCs w:val="24"/>
        </w:rPr>
        <w:t>Opbevares i den originale yderpakning for at beskytte mod lys.</w:t>
      </w:r>
    </w:p>
    <w:p w:rsidR="00A3270E" w:rsidRPr="00C10DE4" w:rsidRDefault="00A3270E" w:rsidP="00A3270E">
      <w:pPr>
        <w:ind w:left="851" w:hanging="851"/>
        <w:rPr>
          <w:sz w:val="24"/>
          <w:szCs w:val="24"/>
        </w:rPr>
      </w:pPr>
    </w:p>
    <w:p w:rsidR="00A3270E" w:rsidRPr="00C10DE4" w:rsidRDefault="00A3270E" w:rsidP="00A3270E">
      <w:pPr>
        <w:ind w:left="851" w:hanging="851"/>
        <w:rPr>
          <w:b/>
          <w:sz w:val="24"/>
          <w:szCs w:val="24"/>
        </w:rPr>
      </w:pPr>
      <w:r w:rsidRPr="00C10DE4">
        <w:rPr>
          <w:b/>
          <w:sz w:val="24"/>
          <w:szCs w:val="24"/>
        </w:rPr>
        <w:t>6.5</w:t>
      </w:r>
      <w:r w:rsidRPr="00C10DE4">
        <w:rPr>
          <w:b/>
          <w:sz w:val="24"/>
          <w:szCs w:val="24"/>
        </w:rPr>
        <w:tab/>
        <w:t>Emballagetype og pakningsstørrelser</w:t>
      </w:r>
    </w:p>
    <w:p w:rsidR="00654926" w:rsidRDefault="00654926" w:rsidP="00654926">
      <w:pPr>
        <w:ind w:left="851"/>
        <w:rPr>
          <w:sz w:val="24"/>
          <w:szCs w:val="24"/>
        </w:rPr>
      </w:pPr>
      <w:r>
        <w:rPr>
          <w:sz w:val="24"/>
          <w:szCs w:val="24"/>
        </w:rPr>
        <w:t>H</w:t>
      </w:r>
      <w:r w:rsidRPr="00C10DE4">
        <w:rPr>
          <w:sz w:val="24"/>
          <w:szCs w:val="24"/>
        </w:rPr>
        <w:t xml:space="preserve">ætteglas af </w:t>
      </w:r>
      <w:r>
        <w:rPr>
          <w:sz w:val="24"/>
          <w:szCs w:val="24"/>
        </w:rPr>
        <w:t>klart type I glas</w:t>
      </w:r>
      <w:r w:rsidRPr="00C10DE4">
        <w:rPr>
          <w:sz w:val="24"/>
          <w:szCs w:val="24"/>
        </w:rPr>
        <w:t xml:space="preserve"> med en </w:t>
      </w:r>
      <w:proofErr w:type="spellStart"/>
      <w:r>
        <w:rPr>
          <w:sz w:val="24"/>
          <w:szCs w:val="24"/>
        </w:rPr>
        <w:t>chloro</w:t>
      </w:r>
      <w:r w:rsidRPr="00C10DE4">
        <w:rPr>
          <w:sz w:val="24"/>
          <w:szCs w:val="24"/>
        </w:rPr>
        <w:t>butyl</w:t>
      </w:r>
      <w:r w:rsidRPr="00203C06">
        <w:rPr>
          <w:sz w:val="24"/>
          <w:szCs w:val="24"/>
        </w:rPr>
        <w:t>gummiprop</w:t>
      </w:r>
      <w:proofErr w:type="spellEnd"/>
      <w:r w:rsidRPr="00203C06">
        <w:rPr>
          <w:sz w:val="24"/>
          <w:szCs w:val="24"/>
        </w:rPr>
        <w:t xml:space="preserve"> (</w:t>
      </w:r>
      <w:proofErr w:type="spellStart"/>
      <w:r w:rsidRPr="00C10DE4">
        <w:rPr>
          <w:sz w:val="24"/>
          <w:szCs w:val="24"/>
        </w:rPr>
        <w:t>FluroTec</w:t>
      </w:r>
      <w:proofErr w:type="spellEnd"/>
      <w:r w:rsidRPr="00C10DE4">
        <w:rPr>
          <w:sz w:val="24"/>
          <w:szCs w:val="24"/>
        </w:rPr>
        <w:t xml:space="preserve"> Plus</w:t>
      </w:r>
      <w:r>
        <w:rPr>
          <w:sz w:val="24"/>
          <w:szCs w:val="24"/>
        </w:rPr>
        <w:t xml:space="preserve">) og forseglet med </w:t>
      </w:r>
      <w:r w:rsidRPr="00C10DE4">
        <w:rPr>
          <w:sz w:val="24"/>
          <w:szCs w:val="24"/>
        </w:rPr>
        <w:t xml:space="preserve">en aluminiumshætte med </w:t>
      </w:r>
      <w:r>
        <w:rPr>
          <w:sz w:val="24"/>
          <w:szCs w:val="24"/>
        </w:rPr>
        <w:t xml:space="preserve">uigennemsigtigt, farvet </w:t>
      </w:r>
      <w:r w:rsidRPr="00C10DE4">
        <w:rPr>
          <w:sz w:val="24"/>
          <w:szCs w:val="24"/>
        </w:rPr>
        <w:t>plastik flip-</w:t>
      </w:r>
      <w:proofErr w:type="spellStart"/>
      <w:r w:rsidRPr="00C10DE4">
        <w:rPr>
          <w:sz w:val="24"/>
          <w:szCs w:val="24"/>
        </w:rPr>
        <w:t>off</w:t>
      </w:r>
      <w:proofErr w:type="spellEnd"/>
      <w:r w:rsidRPr="00C10DE4">
        <w:rPr>
          <w:sz w:val="24"/>
          <w:szCs w:val="24"/>
        </w:rPr>
        <w:t>.</w:t>
      </w:r>
    </w:p>
    <w:p w:rsidR="00A3270E" w:rsidRPr="00C10DE4" w:rsidRDefault="00A3270E" w:rsidP="00A3270E">
      <w:pPr>
        <w:ind w:left="851" w:hanging="851"/>
        <w:rPr>
          <w:sz w:val="24"/>
          <w:szCs w:val="24"/>
        </w:rPr>
      </w:pPr>
    </w:p>
    <w:p w:rsidR="00A3270E" w:rsidRPr="00C10DE4" w:rsidRDefault="00A3270E" w:rsidP="00A3270E">
      <w:pPr>
        <w:ind w:left="851"/>
        <w:rPr>
          <w:sz w:val="24"/>
          <w:szCs w:val="24"/>
        </w:rPr>
      </w:pPr>
      <w:r w:rsidRPr="00C10DE4">
        <w:rPr>
          <w:sz w:val="24"/>
          <w:szCs w:val="24"/>
        </w:rPr>
        <w:t>Hætteglas: 1</w:t>
      </w:r>
      <w:r>
        <w:rPr>
          <w:sz w:val="24"/>
          <w:szCs w:val="24"/>
        </w:rPr>
        <w:t>×</w:t>
      </w:r>
      <w:r w:rsidRPr="00C10DE4">
        <w:rPr>
          <w:sz w:val="24"/>
          <w:szCs w:val="24"/>
        </w:rPr>
        <w:t>5 ml, 1</w:t>
      </w:r>
      <w:r>
        <w:rPr>
          <w:sz w:val="24"/>
          <w:szCs w:val="24"/>
        </w:rPr>
        <w:t>×</w:t>
      </w:r>
      <w:r w:rsidRPr="00C10DE4">
        <w:rPr>
          <w:sz w:val="24"/>
          <w:szCs w:val="24"/>
        </w:rPr>
        <w:t>10 ml og 1</w:t>
      </w:r>
      <w:r>
        <w:rPr>
          <w:sz w:val="24"/>
          <w:szCs w:val="24"/>
        </w:rPr>
        <w:t>×</w:t>
      </w:r>
      <w:r w:rsidRPr="00C10DE4">
        <w:rPr>
          <w:sz w:val="24"/>
          <w:szCs w:val="24"/>
        </w:rPr>
        <w:t xml:space="preserve">20 ml. </w:t>
      </w:r>
    </w:p>
    <w:p w:rsidR="00A3270E" w:rsidRPr="00C10DE4" w:rsidRDefault="00A3270E" w:rsidP="00A3270E">
      <w:pPr>
        <w:ind w:left="851"/>
        <w:rPr>
          <w:sz w:val="24"/>
          <w:szCs w:val="24"/>
        </w:rPr>
      </w:pPr>
      <w:r w:rsidRPr="00C10DE4">
        <w:rPr>
          <w:sz w:val="24"/>
          <w:szCs w:val="24"/>
        </w:rPr>
        <w:t>Ikke alle pakningsstørrelser er markedsført.</w:t>
      </w:r>
    </w:p>
    <w:p w:rsidR="00A3270E" w:rsidRPr="00C10DE4" w:rsidRDefault="00A3270E" w:rsidP="00A3270E">
      <w:pPr>
        <w:ind w:left="851" w:hanging="851"/>
        <w:rPr>
          <w:sz w:val="24"/>
          <w:szCs w:val="24"/>
        </w:rPr>
      </w:pPr>
    </w:p>
    <w:p w:rsidR="00A3270E" w:rsidRPr="00C10DE4" w:rsidRDefault="00A3270E" w:rsidP="00A3270E">
      <w:pPr>
        <w:ind w:left="851" w:hanging="851"/>
        <w:rPr>
          <w:b/>
          <w:sz w:val="24"/>
          <w:szCs w:val="24"/>
        </w:rPr>
      </w:pPr>
      <w:r w:rsidRPr="00C10DE4">
        <w:rPr>
          <w:b/>
          <w:sz w:val="24"/>
          <w:szCs w:val="24"/>
        </w:rPr>
        <w:t>6.6</w:t>
      </w:r>
      <w:r w:rsidRPr="00C10DE4">
        <w:rPr>
          <w:b/>
          <w:sz w:val="24"/>
          <w:szCs w:val="24"/>
        </w:rPr>
        <w:tab/>
        <w:t xml:space="preserve">Regler for </w:t>
      </w:r>
      <w:r w:rsidR="00EA4B0D">
        <w:rPr>
          <w:b/>
          <w:sz w:val="24"/>
          <w:szCs w:val="24"/>
        </w:rPr>
        <w:t>bortskaffelse</w:t>
      </w:r>
      <w:r w:rsidRPr="00C10DE4">
        <w:rPr>
          <w:b/>
          <w:sz w:val="24"/>
          <w:szCs w:val="24"/>
        </w:rPr>
        <w:t xml:space="preserve"> og anden håndtering</w:t>
      </w:r>
    </w:p>
    <w:p w:rsidR="00A3270E" w:rsidRPr="00C10DE4" w:rsidRDefault="00A3270E" w:rsidP="00A3270E">
      <w:pPr>
        <w:ind w:left="851"/>
        <w:rPr>
          <w:spacing w:val="-3"/>
          <w:sz w:val="24"/>
          <w:szCs w:val="24"/>
          <w:lang w:eastAsia="da-DK"/>
        </w:rPr>
      </w:pPr>
      <w:r w:rsidRPr="00C10DE4">
        <w:rPr>
          <w:spacing w:val="-3"/>
          <w:sz w:val="24"/>
          <w:szCs w:val="24"/>
        </w:rPr>
        <w:t xml:space="preserve">Arbejdstilsynets regler om håndtering af </w:t>
      </w:r>
      <w:proofErr w:type="spellStart"/>
      <w:r w:rsidRPr="00C10DE4">
        <w:rPr>
          <w:spacing w:val="-3"/>
          <w:sz w:val="24"/>
          <w:szCs w:val="24"/>
        </w:rPr>
        <w:t>cytostatika</w:t>
      </w:r>
      <w:proofErr w:type="spellEnd"/>
      <w:r w:rsidRPr="00C10DE4">
        <w:rPr>
          <w:spacing w:val="-3"/>
          <w:sz w:val="24"/>
          <w:szCs w:val="24"/>
        </w:rPr>
        <w:t xml:space="preserve"> bør følges. Der henvises endvidere til den tekniske vejledning. </w:t>
      </w:r>
    </w:p>
    <w:p w:rsidR="00A3270E" w:rsidRPr="00C10DE4" w:rsidRDefault="00A3270E" w:rsidP="00A3270E">
      <w:pPr>
        <w:pStyle w:val="Brdtekst"/>
        <w:tabs>
          <w:tab w:val="clear" w:pos="0"/>
          <w:tab w:val="clear" w:pos="426"/>
          <w:tab w:val="clear" w:pos="851"/>
          <w:tab w:val="clear" w:pos="1701"/>
          <w:tab w:val="clear" w:pos="2552"/>
          <w:tab w:val="clear" w:pos="3403"/>
          <w:tab w:val="clear" w:pos="4254"/>
          <w:tab w:val="clear" w:pos="5105"/>
          <w:tab w:val="clear" w:pos="5955"/>
          <w:tab w:val="clear" w:pos="6806"/>
          <w:tab w:val="clear" w:pos="7657"/>
          <w:tab w:val="clear" w:pos="8508"/>
        </w:tabs>
        <w:ind w:left="851" w:hanging="851"/>
        <w:rPr>
          <w:sz w:val="24"/>
          <w:szCs w:val="24"/>
        </w:rPr>
      </w:pPr>
      <w:r w:rsidRPr="00C10DE4">
        <w:rPr>
          <w:sz w:val="24"/>
          <w:szCs w:val="24"/>
        </w:rPr>
        <w:tab/>
      </w:r>
    </w:p>
    <w:p w:rsidR="00A3270E" w:rsidRPr="00C10DE4" w:rsidRDefault="00A3270E" w:rsidP="00A3270E">
      <w:pPr>
        <w:autoSpaceDE w:val="0"/>
        <w:autoSpaceDN w:val="0"/>
        <w:adjustRightInd w:val="0"/>
        <w:ind w:left="851"/>
        <w:rPr>
          <w:bCs/>
          <w:i/>
          <w:sz w:val="24"/>
          <w:szCs w:val="24"/>
        </w:rPr>
      </w:pPr>
      <w:r w:rsidRPr="00C10DE4">
        <w:rPr>
          <w:bCs/>
          <w:i/>
          <w:sz w:val="24"/>
          <w:szCs w:val="24"/>
        </w:rPr>
        <w:t>Forberedelser og forsigtighedsregler:</w:t>
      </w:r>
    </w:p>
    <w:p w:rsidR="00A3270E" w:rsidRPr="00C10DE4" w:rsidRDefault="00A3270E" w:rsidP="00A3270E">
      <w:pPr>
        <w:numPr>
          <w:ilvl w:val="0"/>
          <w:numId w:val="7"/>
        </w:numPr>
        <w:tabs>
          <w:tab w:val="clear" w:pos="1211"/>
        </w:tabs>
        <w:autoSpaceDE w:val="0"/>
        <w:autoSpaceDN w:val="0"/>
        <w:adjustRightInd w:val="0"/>
        <w:ind w:left="1276" w:hanging="425"/>
        <w:rPr>
          <w:sz w:val="24"/>
          <w:szCs w:val="24"/>
        </w:rPr>
      </w:pPr>
      <w:proofErr w:type="spellStart"/>
      <w:r w:rsidRPr="00C10DE4">
        <w:rPr>
          <w:sz w:val="24"/>
          <w:szCs w:val="24"/>
        </w:rPr>
        <w:t>Idarubicin</w:t>
      </w:r>
      <w:proofErr w:type="spellEnd"/>
      <w:r w:rsidRPr="00C10DE4">
        <w:rPr>
          <w:sz w:val="24"/>
          <w:szCs w:val="24"/>
        </w:rPr>
        <w:t xml:space="preserve"> må kun håndteres af personer, som er trænet i håndtering af </w:t>
      </w:r>
      <w:proofErr w:type="spellStart"/>
      <w:r w:rsidRPr="00C10DE4">
        <w:rPr>
          <w:sz w:val="24"/>
          <w:szCs w:val="24"/>
        </w:rPr>
        <w:t>cytostatika</w:t>
      </w:r>
      <w:proofErr w:type="spellEnd"/>
      <w:r w:rsidRPr="00C10DE4">
        <w:rPr>
          <w:sz w:val="24"/>
          <w:szCs w:val="24"/>
        </w:rPr>
        <w:t>.</w:t>
      </w:r>
    </w:p>
    <w:p w:rsidR="00A3270E" w:rsidRPr="00C10DE4" w:rsidRDefault="00A3270E" w:rsidP="00A3270E">
      <w:pPr>
        <w:numPr>
          <w:ilvl w:val="0"/>
          <w:numId w:val="7"/>
        </w:numPr>
        <w:tabs>
          <w:tab w:val="clear" w:pos="1211"/>
        </w:tabs>
        <w:autoSpaceDE w:val="0"/>
        <w:autoSpaceDN w:val="0"/>
        <w:adjustRightInd w:val="0"/>
        <w:ind w:left="1276" w:hanging="425"/>
        <w:rPr>
          <w:sz w:val="24"/>
          <w:szCs w:val="24"/>
        </w:rPr>
      </w:pPr>
      <w:proofErr w:type="spellStart"/>
      <w:r w:rsidRPr="00C10DE4">
        <w:rPr>
          <w:sz w:val="24"/>
          <w:szCs w:val="24"/>
        </w:rPr>
        <w:t>Idarubicin</w:t>
      </w:r>
      <w:proofErr w:type="spellEnd"/>
      <w:r w:rsidRPr="00C10DE4">
        <w:rPr>
          <w:sz w:val="24"/>
          <w:szCs w:val="24"/>
        </w:rPr>
        <w:t xml:space="preserve"> bør ikke håndteres af gravide.</w:t>
      </w:r>
    </w:p>
    <w:p w:rsidR="00A3270E" w:rsidRPr="00C10DE4" w:rsidRDefault="00A3270E" w:rsidP="00A3270E">
      <w:pPr>
        <w:numPr>
          <w:ilvl w:val="0"/>
          <w:numId w:val="7"/>
        </w:numPr>
        <w:tabs>
          <w:tab w:val="clear" w:pos="1211"/>
        </w:tabs>
        <w:autoSpaceDE w:val="0"/>
        <w:autoSpaceDN w:val="0"/>
        <w:adjustRightInd w:val="0"/>
        <w:ind w:left="1276" w:hanging="425"/>
        <w:rPr>
          <w:sz w:val="24"/>
          <w:szCs w:val="24"/>
        </w:rPr>
      </w:pPr>
      <w:proofErr w:type="spellStart"/>
      <w:r w:rsidRPr="00C10DE4">
        <w:rPr>
          <w:sz w:val="24"/>
          <w:szCs w:val="24"/>
        </w:rPr>
        <w:t>Idarubicin</w:t>
      </w:r>
      <w:proofErr w:type="spellEnd"/>
      <w:r w:rsidRPr="00C10DE4">
        <w:rPr>
          <w:sz w:val="24"/>
          <w:szCs w:val="24"/>
        </w:rPr>
        <w:t xml:space="preserve"> bør tilberedes i en LAF-bænk (med vertikal luftstrøm).</w:t>
      </w:r>
    </w:p>
    <w:p w:rsidR="00A3270E" w:rsidRPr="00C10DE4" w:rsidRDefault="00A3270E" w:rsidP="00A3270E">
      <w:pPr>
        <w:numPr>
          <w:ilvl w:val="0"/>
          <w:numId w:val="7"/>
        </w:numPr>
        <w:tabs>
          <w:tab w:val="clear" w:pos="1211"/>
        </w:tabs>
        <w:autoSpaceDE w:val="0"/>
        <w:autoSpaceDN w:val="0"/>
        <w:adjustRightInd w:val="0"/>
        <w:ind w:left="1276" w:hanging="425"/>
        <w:rPr>
          <w:sz w:val="24"/>
          <w:szCs w:val="24"/>
        </w:rPr>
      </w:pPr>
      <w:r w:rsidRPr="00C10DE4">
        <w:rPr>
          <w:sz w:val="24"/>
          <w:szCs w:val="24"/>
        </w:rPr>
        <w:t>Bordet beskyttes med et plastbehandlet, absorberende papir til engangsbrug.</w:t>
      </w:r>
    </w:p>
    <w:p w:rsidR="00A3270E" w:rsidRPr="00C10DE4" w:rsidRDefault="00A3270E" w:rsidP="00A3270E">
      <w:pPr>
        <w:numPr>
          <w:ilvl w:val="0"/>
          <w:numId w:val="7"/>
        </w:numPr>
        <w:tabs>
          <w:tab w:val="clear" w:pos="1211"/>
        </w:tabs>
        <w:autoSpaceDE w:val="0"/>
        <w:autoSpaceDN w:val="0"/>
        <w:adjustRightInd w:val="0"/>
        <w:ind w:left="1276" w:hanging="425"/>
        <w:rPr>
          <w:sz w:val="24"/>
          <w:szCs w:val="24"/>
        </w:rPr>
      </w:pPr>
      <w:r w:rsidRPr="00C10DE4">
        <w:rPr>
          <w:sz w:val="24"/>
          <w:szCs w:val="24"/>
        </w:rPr>
        <w:t>Beskyttelseshandsker og overtrækstøj bør anvendes. Såfremt LAF-bænk ikke findes, suppleres med næsemundbind, ansigtsskærm og beskyttelsesbriller.</w:t>
      </w:r>
    </w:p>
    <w:p w:rsidR="00A3270E" w:rsidRPr="00C10DE4" w:rsidRDefault="00A3270E" w:rsidP="00A3270E">
      <w:pPr>
        <w:numPr>
          <w:ilvl w:val="0"/>
          <w:numId w:val="7"/>
        </w:numPr>
        <w:tabs>
          <w:tab w:val="clear" w:pos="1211"/>
        </w:tabs>
        <w:autoSpaceDE w:val="0"/>
        <w:autoSpaceDN w:val="0"/>
        <w:adjustRightInd w:val="0"/>
        <w:ind w:left="1276" w:hanging="425"/>
        <w:rPr>
          <w:sz w:val="24"/>
          <w:szCs w:val="24"/>
        </w:rPr>
      </w:pPr>
      <w:r w:rsidRPr="00C10DE4">
        <w:rPr>
          <w:sz w:val="24"/>
          <w:szCs w:val="24"/>
        </w:rPr>
        <w:t>Eventuel luft og overskudsvæske i sprøjten kan forsigtigt sprøjtes ud i et sterilt kompres inden injektion.</w:t>
      </w:r>
    </w:p>
    <w:p w:rsidR="00A3270E" w:rsidRPr="00C10DE4" w:rsidRDefault="00A3270E" w:rsidP="00A3270E">
      <w:pPr>
        <w:numPr>
          <w:ilvl w:val="0"/>
          <w:numId w:val="7"/>
        </w:numPr>
        <w:tabs>
          <w:tab w:val="clear" w:pos="1211"/>
        </w:tabs>
        <w:autoSpaceDE w:val="0"/>
        <w:autoSpaceDN w:val="0"/>
        <w:adjustRightInd w:val="0"/>
        <w:ind w:left="1276" w:hanging="425"/>
        <w:rPr>
          <w:sz w:val="24"/>
          <w:szCs w:val="24"/>
        </w:rPr>
      </w:pPr>
      <w:r w:rsidRPr="00C10DE4">
        <w:rPr>
          <w:sz w:val="24"/>
          <w:szCs w:val="24"/>
        </w:rPr>
        <w:t xml:space="preserve">Ved stænk og lækage skylles med 1 % </w:t>
      </w:r>
      <w:proofErr w:type="spellStart"/>
      <w:r w:rsidRPr="00C10DE4">
        <w:rPr>
          <w:sz w:val="24"/>
          <w:szCs w:val="24"/>
        </w:rPr>
        <w:t>natriumhypochloritopløsning</w:t>
      </w:r>
      <w:proofErr w:type="spellEnd"/>
      <w:r w:rsidRPr="00C10DE4">
        <w:rPr>
          <w:sz w:val="24"/>
          <w:szCs w:val="24"/>
        </w:rPr>
        <w:t xml:space="preserve"> eller med en fosfatbuffer (pH &gt;8) for at affarve opløsningen. Alle rengøringsmaterialer, som har været i kontakt med injektionsvæske, skal håndteres som risikoaffald (se Destruktion).</w:t>
      </w:r>
    </w:p>
    <w:p w:rsidR="00A3270E" w:rsidRPr="00C10DE4" w:rsidRDefault="00A3270E" w:rsidP="00A3270E">
      <w:pPr>
        <w:numPr>
          <w:ilvl w:val="0"/>
          <w:numId w:val="7"/>
        </w:numPr>
        <w:tabs>
          <w:tab w:val="clear" w:pos="1211"/>
        </w:tabs>
        <w:autoSpaceDE w:val="0"/>
        <w:autoSpaceDN w:val="0"/>
        <w:adjustRightInd w:val="0"/>
        <w:ind w:left="1276" w:hanging="425"/>
        <w:rPr>
          <w:sz w:val="24"/>
          <w:szCs w:val="24"/>
        </w:rPr>
      </w:pPr>
      <w:r w:rsidRPr="00C10DE4">
        <w:rPr>
          <w:sz w:val="24"/>
          <w:szCs w:val="24"/>
        </w:rPr>
        <w:t xml:space="preserve">Kommer injektionsvæske i kontakt med huden, vaskes grundigt med sæbe og vand. </w:t>
      </w:r>
      <w:proofErr w:type="spellStart"/>
      <w:r w:rsidRPr="00C10DE4">
        <w:rPr>
          <w:sz w:val="24"/>
          <w:szCs w:val="24"/>
        </w:rPr>
        <w:t>Idarubicin</w:t>
      </w:r>
      <w:proofErr w:type="spellEnd"/>
      <w:r w:rsidRPr="00C10DE4">
        <w:rPr>
          <w:sz w:val="24"/>
          <w:szCs w:val="24"/>
        </w:rPr>
        <w:t xml:space="preserve"> er stærkt vævstoksisk og kan give skader på ubeskyttet hud.</w:t>
      </w:r>
    </w:p>
    <w:p w:rsidR="00A3270E" w:rsidRPr="00C10DE4" w:rsidRDefault="00A3270E" w:rsidP="00A3270E">
      <w:pPr>
        <w:numPr>
          <w:ilvl w:val="0"/>
          <w:numId w:val="7"/>
        </w:numPr>
        <w:tabs>
          <w:tab w:val="clear" w:pos="1211"/>
        </w:tabs>
        <w:autoSpaceDE w:val="0"/>
        <w:autoSpaceDN w:val="0"/>
        <w:adjustRightInd w:val="0"/>
        <w:ind w:left="1276" w:hanging="425"/>
        <w:rPr>
          <w:sz w:val="24"/>
          <w:szCs w:val="24"/>
        </w:rPr>
      </w:pPr>
      <w:r w:rsidRPr="00C10DE4">
        <w:rPr>
          <w:sz w:val="24"/>
          <w:szCs w:val="24"/>
        </w:rPr>
        <w:t xml:space="preserve">Kommer opløsningen i øjnene, skylles med vand eller steril </w:t>
      </w:r>
      <w:proofErr w:type="spellStart"/>
      <w:r w:rsidRPr="00C10DE4">
        <w:rPr>
          <w:sz w:val="24"/>
          <w:szCs w:val="24"/>
        </w:rPr>
        <w:t>natriumchloridopløsning</w:t>
      </w:r>
      <w:proofErr w:type="spellEnd"/>
      <w:r w:rsidRPr="00C10DE4">
        <w:rPr>
          <w:sz w:val="24"/>
          <w:szCs w:val="24"/>
        </w:rPr>
        <w:t>, hvorefter øjenlæge kontaktes.</w:t>
      </w:r>
    </w:p>
    <w:p w:rsidR="00A3270E" w:rsidRPr="00C10DE4" w:rsidRDefault="00A3270E" w:rsidP="00A3270E">
      <w:pPr>
        <w:numPr>
          <w:ilvl w:val="0"/>
          <w:numId w:val="7"/>
        </w:numPr>
        <w:tabs>
          <w:tab w:val="clear" w:pos="1211"/>
        </w:tabs>
        <w:autoSpaceDE w:val="0"/>
        <w:autoSpaceDN w:val="0"/>
        <w:adjustRightInd w:val="0"/>
        <w:ind w:left="1276" w:hanging="425"/>
        <w:rPr>
          <w:sz w:val="24"/>
          <w:szCs w:val="24"/>
        </w:rPr>
      </w:pPr>
      <w:r w:rsidRPr="00C10DE4">
        <w:rPr>
          <w:sz w:val="24"/>
          <w:szCs w:val="24"/>
        </w:rPr>
        <w:t>Vask altid hænder når beskyttelseshandskerne er taget af.</w:t>
      </w:r>
    </w:p>
    <w:p w:rsidR="00A3270E" w:rsidRPr="00C10DE4" w:rsidRDefault="00A3270E" w:rsidP="00A3270E">
      <w:pPr>
        <w:autoSpaceDE w:val="0"/>
        <w:autoSpaceDN w:val="0"/>
        <w:adjustRightInd w:val="0"/>
        <w:ind w:left="851" w:hanging="851"/>
        <w:rPr>
          <w:sz w:val="24"/>
          <w:szCs w:val="24"/>
        </w:rPr>
      </w:pPr>
    </w:p>
    <w:p w:rsidR="00A3270E" w:rsidRPr="00C10DE4" w:rsidRDefault="00A3270E" w:rsidP="00A3270E">
      <w:pPr>
        <w:ind w:left="851"/>
        <w:rPr>
          <w:sz w:val="24"/>
          <w:szCs w:val="24"/>
        </w:rPr>
      </w:pPr>
      <w:r w:rsidRPr="00C10DE4">
        <w:rPr>
          <w:sz w:val="24"/>
          <w:szCs w:val="24"/>
          <w:u w:val="single"/>
        </w:rPr>
        <w:t>Administration</w:t>
      </w:r>
    </w:p>
    <w:p w:rsidR="00A3270E" w:rsidRPr="00C10DE4" w:rsidRDefault="00A3270E" w:rsidP="00A3270E">
      <w:pPr>
        <w:ind w:left="851"/>
        <w:rPr>
          <w:spacing w:val="-3"/>
          <w:sz w:val="24"/>
          <w:szCs w:val="24"/>
        </w:rPr>
      </w:pPr>
      <w:proofErr w:type="spellStart"/>
      <w:r w:rsidRPr="00C10DE4">
        <w:rPr>
          <w:spacing w:val="-3"/>
          <w:sz w:val="24"/>
          <w:szCs w:val="24"/>
        </w:rPr>
        <w:t>Zavedos</w:t>
      </w:r>
      <w:proofErr w:type="spellEnd"/>
      <w:r w:rsidRPr="00C10DE4">
        <w:rPr>
          <w:spacing w:val="-3"/>
          <w:sz w:val="24"/>
          <w:szCs w:val="24"/>
        </w:rPr>
        <w:t xml:space="preserve"> administreres som intravenøs injektion, helst i centralt kateter, over 5-10 minutter, samtidig med infusion af 9 mg/ml </w:t>
      </w:r>
      <w:proofErr w:type="spellStart"/>
      <w:r w:rsidRPr="00C10DE4">
        <w:rPr>
          <w:spacing w:val="-3"/>
          <w:sz w:val="24"/>
          <w:szCs w:val="24"/>
        </w:rPr>
        <w:t>natriumchlorid</w:t>
      </w:r>
      <w:proofErr w:type="spellEnd"/>
      <w:r w:rsidRPr="00C10DE4">
        <w:rPr>
          <w:spacing w:val="-3"/>
          <w:sz w:val="24"/>
          <w:szCs w:val="24"/>
        </w:rPr>
        <w:t xml:space="preserve"> infusionsvæske eller 5% </w:t>
      </w:r>
      <w:proofErr w:type="spellStart"/>
      <w:r w:rsidRPr="00C10DE4">
        <w:rPr>
          <w:spacing w:val="-3"/>
          <w:sz w:val="24"/>
          <w:szCs w:val="24"/>
        </w:rPr>
        <w:t>glucoseopløsning</w:t>
      </w:r>
      <w:proofErr w:type="spellEnd"/>
      <w:r w:rsidRPr="00C10DE4">
        <w:rPr>
          <w:spacing w:val="-3"/>
          <w:sz w:val="24"/>
          <w:szCs w:val="24"/>
        </w:rPr>
        <w:t xml:space="preserve">. </w:t>
      </w:r>
      <w:r w:rsidRPr="00C10DE4">
        <w:rPr>
          <w:sz w:val="24"/>
          <w:szCs w:val="24"/>
        </w:rPr>
        <w:lastRenderedPageBreak/>
        <w:t xml:space="preserve">Direkte indsprøjtning anbefales ikke på grund af risiko for </w:t>
      </w:r>
      <w:proofErr w:type="spellStart"/>
      <w:r w:rsidRPr="00C10DE4">
        <w:rPr>
          <w:sz w:val="24"/>
          <w:szCs w:val="24"/>
        </w:rPr>
        <w:t>ekstravasation</w:t>
      </w:r>
      <w:proofErr w:type="spellEnd"/>
      <w:r w:rsidRPr="00C10DE4">
        <w:rPr>
          <w:sz w:val="24"/>
          <w:szCs w:val="24"/>
        </w:rPr>
        <w:t>, som kan forekomme på trods af blodaspiration til kanylen (se pkt</w:t>
      </w:r>
      <w:r>
        <w:rPr>
          <w:sz w:val="24"/>
          <w:szCs w:val="24"/>
        </w:rPr>
        <w:t>.</w:t>
      </w:r>
      <w:r w:rsidRPr="00C10DE4">
        <w:rPr>
          <w:sz w:val="24"/>
          <w:szCs w:val="24"/>
        </w:rPr>
        <w:t xml:space="preserve"> 4.4)</w:t>
      </w:r>
      <w:r w:rsidRPr="00C10DE4">
        <w:rPr>
          <w:spacing w:val="-3"/>
          <w:sz w:val="24"/>
          <w:szCs w:val="24"/>
        </w:rPr>
        <w:t>.</w:t>
      </w:r>
    </w:p>
    <w:p w:rsidR="00A3270E" w:rsidRPr="00C10DE4" w:rsidRDefault="00A3270E" w:rsidP="00A3270E">
      <w:pPr>
        <w:ind w:left="851" w:hanging="851"/>
        <w:rPr>
          <w:spacing w:val="-3"/>
          <w:sz w:val="24"/>
          <w:szCs w:val="24"/>
        </w:rPr>
      </w:pPr>
    </w:p>
    <w:p w:rsidR="00A3270E" w:rsidRPr="00EA4B0D" w:rsidRDefault="009C6769" w:rsidP="00EA4B0D">
      <w:pPr>
        <w:ind w:left="851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 xml:space="preserve">Injektionsvæske, </w:t>
      </w:r>
      <w:r w:rsidRPr="00C10DE4">
        <w:rPr>
          <w:spacing w:val="-3"/>
          <w:sz w:val="24"/>
          <w:szCs w:val="24"/>
        </w:rPr>
        <w:t xml:space="preserve">opløsning kan eventuelt fortyndes med 9 mg/ml </w:t>
      </w:r>
      <w:proofErr w:type="spellStart"/>
      <w:r w:rsidRPr="00C10DE4">
        <w:rPr>
          <w:spacing w:val="-3"/>
          <w:sz w:val="24"/>
          <w:szCs w:val="24"/>
        </w:rPr>
        <w:t>natriumchlorid</w:t>
      </w:r>
      <w:proofErr w:type="spellEnd"/>
      <w:r w:rsidRPr="00C10DE4">
        <w:rPr>
          <w:spacing w:val="-3"/>
          <w:sz w:val="24"/>
          <w:szCs w:val="24"/>
        </w:rPr>
        <w:t xml:space="preserve"> infusionsvæske eller 5% </w:t>
      </w:r>
      <w:proofErr w:type="spellStart"/>
      <w:r w:rsidRPr="00C10DE4">
        <w:rPr>
          <w:spacing w:val="-3"/>
          <w:sz w:val="24"/>
          <w:szCs w:val="24"/>
        </w:rPr>
        <w:t>glucoseopløsning</w:t>
      </w:r>
      <w:proofErr w:type="spellEnd"/>
      <w:r w:rsidRPr="00C10DE4">
        <w:rPr>
          <w:spacing w:val="-3"/>
          <w:sz w:val="24"/>
          <w:szCs w:val="24"/>
        </w:rPr>
        <w:t>. Fortyndet opløsning skal anvendes umiddelbart efter opblanding og infusionen skal være afsluttet senest 24 timer efter fremstilling.</w:t>
      </w:r>
    </w:p>
    <w:p w:rsidR="00A3270E" w:rsidRPr="00C10DE4" w:rsidRDefault="00A3270E" w:rsidP="00A3270E">
      <w:pPr>
        <w:autoSpaceDE w:val="0"/>
        <w:autoSpaceDN w:val="0"/>
        <w:adjustRightInd w:val="0"/>
        <w:ind w:left="851" w:hanging="851"/>
        <w:rPr>
          <w:sz w:val="24"/>
          <w:szCs w:val="24"/>
        </w:rPr>
      </w:pPr>
    </w:p>
    <w:p w:rsidR="00A3270E" w:rsidRPr="00C10DE4" w:rsidRDefault="00A3270E" w:rsidP="00A3270E">
      <w:pPr>
        <w:autoSpaceDE w:val="0"/>
        <w:autoSpaceDN w:val="0"/>
        <w:adjustRightInd w:val="0"/>
        <w:ind w:left="851"/>
        <w:rPr>
          <w:bCs/>
          <w:i/>
          <w:sz w:val="24"/>
          <w:szCs w:val="24"/>
        </w:rPr>
      </w:pPr>
      <w:bookmarkStart w:id="4" w:name="OLE_LINK2"/>
      <w:bookmarkStart w:id="5" w:name="OLE_LINK1"/>
      <w:r w:rsidRPr="00C10DE4">
        <w:rPr>
          <w:bCs/>
          <w:i/>
          <w:sz w:val="24"/>
          <w:szCs w:val="24"/>
        </w:rPr>
        <w:t>Destruktion:</w:t>
      </w:r>
    </w:p>
    <w:p w:rsidR="00A3270E" w:rsidRPr="00C10DE4" w:rsidRDefault="00A3270E" w:rsidP="00A3270E">
      <w:pPr>
        <w:ind w:left="851" w:hanging="851"/>
        <w:rPr>
          <w:bCs/>
          <w:sz w:val="24"/>
          <w:szCs w:val="24"/>
        </w:rPr>
      </w:pPr>
      <w:r w:rsidRPr="00C10DE4">
        <w:rPr>
          <w:sz w:val="24"/>
          <w:szCs w:val="24"/>
        </w:rPr>
        <w:tab/>
        <w:t xml:space="preserve">Alt udstyr, som har været i kontakt med injektionsvæsken (beskyttelseshandsker, ampuller og lignende), håndteres som risikoaffald og </w:t>
      </w:r>
      <w:r w:rsidRPr="00C10DE4">
        <w:rPr>
          <w:bCs/>
          <w:sz w:val="24"/>
          <w:szCs w:val="24"/>
        </w:rPr>
        <w:t xml:space="preserve">bør destrueres i henhold til lokale </w:t>
      </w:r>
      <w:proofErr w:type="spellStart"/>
      <w:r w:rsidRPr="00C10DE4">
        <w:rPr>
          <w:bCs/>
          <w:sz w:val="24"/>
          <w:szCs w:val="24"/>
        </w:rPr>
        <w:t>retningslinier</w:t>
      </w:r>
      <w:proofErr w:type="spellEnd"/>
      <w:r w:rsidRPr="00C10DE4">
        <w:rPr>
          <w:bCs/>
          <w:sz w:val="24"/>
          <w:szCs w:val="24"/>
        </w:rPr>
        <w:t>.</w:t>
      </w:r>
    </w:p>
    <w:p w:rsidR="00A3270E" w:rsidRPr="00C10DE4" w:rsidRDefault="00A3270E" w:rsidP="00A3270E">
      <w:pPr>
        <w:ind w:left="851" w:hanging="851"/>
        <w:rPr>
          <w:bCs/>
          <w:sz w:val="24"/>
          <w:szCs w:val="24"/>
        </w:rPr>
      </w:pPr>
    </w:p>
    <w:p w:rsidR="00A3270E" w:rsidRPr="00C10DE4" w:rsidRDefault="00A3270E" w:rsidP="00A3270E">
      <w:pPr>
        <w:ind w:left="851"/>
        <w:rPr>
          <w:sz w:val="24"/>
          <w:szCs w:val="24"/>
        </w:rPr>
      </w:pPr>
      <w:r w:rsidRPr="00C10DE4">
        <w:rPr>
          <w:sz w:val="24"/>
          <w:szCs w:val="24"/>
        </w:rPr>
        <w:t>Ikke anvendt lægemiddel samt affald heraf skal bortskaffes i henhold til lokale retningslinjer.</w:t>
      </w:r>
      <w:bookmarkEnd w:id="4"/>
      <w:bookmarkEnd w:id="5"/>
    </w:p>
    <w:p w:rsidR="00A3270E" w:rsidRPr="00C10DE4" w:rsidRDefault="00A3270E" w:rsidP="00A3270E">
      <w:pPr>
        <w:ind w:left="851" w:hanging="851"/>
        <w:jc w:val="both"/>
        <w:rPr>
          <w:sz w:val="24"/>
          <w:szCs w:val="24"/>
        </w:rPr>
      </w:pPr>
    </w:p>
    <w:p w:rsidR="00A3270E" w:rsidRPr="00C10DE4" w:rsidRDefault="00A3270E" w:rsidP="00A3270E">
      <w:pPr>
        <w:ind w:left="851" w:hanging="851"/>
        <w:rPr>
          <w:b/>
          <w:sz w:val="24"/>
          <w:szCs w:val="24"/>
        </w:rPr>
      </w:pPr>
      <w:r w:rsidRPr="00C10DE4">
        <w:rPr>
          <w:b/>
          <w:sz w:val="24"/>
          <w:szCs w:val="24"/>
        </w:rPr>
        <w:t>7.</w:t>
      </w:r>
      <w:r w:rsidRPr="00C10DE4">
        <w:rPr>
          <w:b/>
          <w:sz w:val="24"/>
          <w:szCs w:val="24"/>
        </w:rPr>
        <w:tab/>
        <w:t>INDEHAVER AF MARKEDSFØRINGSTILLADELSEN</w:t>
      </w:r>
    </w:p>
    <w:p w:rsidR="00A3270E" w:rsidRPr="00001F88" w:rsidRDefault="00A3270E" w:rsidP="00A3270E">
      <w:pPr>
        <w:ind w:left="851"/>
        <w:rPr>
          <w:sz w:val="24"/>
          <w:szCs w:val="24"/>
          <w:lang w:eastAsia="da-DK"/>
        </w:rPr>
      </w:pPr>
      <w:r w:rsidRPr="00001F88">
        <w:rPr>
          <w:sz w:val="24"/>
          <w:szCs w:val="24"/>
        </w:rPr>
        <w:t>Pfizer ApS</w:t>
      </w:r>
    </w:p>
    <w:p w:rsidR="00A3270E" w:rsidRPr="00001F88" w:rsidRDefault="00A3270E" w:rsidP="00A3270E">
      <w:pPr>
        <w:ind w:left="851"/>
        <w:rPr>
          <w:sz w:val="24"/>
          <w:szCs w:val="24"/>
        </w:rPr>
      </w:pPr>
      <w:r w:rsidRPr="00001F88">
        <w:rPr>
          <w:sz w:val="24"/>
          <w:szCs w:val="24"/>
        </w:rPr>
        <w:t>Lautrupvang 8</w:t>
      </w:r>
    </w:p>
    <w:p w:rsidR="00A3270E" w:rsidRPr="00001F88" w:rsidRDefault="00A3270E" w:rsidP="00A3270E">
      <w:pPr>
        <w:ind w:left="851"/>
        <w:rPr>
          <w:sz w:val="24"/>
          <w:szCs w:val="24"/>
        </w:rPr>
      </w:pPr>
      <w:r w:rsidRPr="00001F88">
        <w:rPr>
          <w:sz w:val="24"/>
          <w:szCs w:val="24"/>
        </w:rPr>
        <w:t>2750 Ballerup</w:t>
      </w:r>
    </w:p>
    <w:p w:rsidR="00A3270E" w:rsidRPr="00C10DE4" w:rsidRDefault="00A3270E" w:rsidP="00A3270E">
      <w:pPr>
        <w:ind w:left="851" w:hanging="851"/>
        <w:rPr>
          <w:sz w:val="24"/>
          <w:szCs w:val="24"/>
        </w:rPr>
      </w:pPr>
    </w:p>
    <w:p w:rsidR="00A3270E" w:rsidRPr="00C10DE4" w:rsidRDefault="00A3270E" w:rsidP="00A3270E">
      <w:pPr>
        <w:ind w:left="851" w:hanging="851"/>
        <w:rPr>
          <w:b/>
          <w:sz w:val="24"/>
          <w:szCs w:val="24"/>
        </w:rPr>
      </w:pPr>
      <w:r w:rsidRPr="00C10DE4">
        <w:rPr>
          <w:b/>
          <w:sz w:val="24"/>
          <w:szCs w:val="24"/>
        </w:rPr>
        <w:t>8.</w:t>
      </w:r>
      <w:r w:rsidRPr="00C10DE4">
        <w:rPr>
          <w:b/>
          <w:sz w:val="24"/>
          <w:szCs w:val="24"/>
        </w:rPr>
        <w:tab/>
        <w:t>MARKEDSFØRINGSTILLADELSESNUMMER (</w:t>
      </w:r>
      <w:r w:rsidR="00EA4B0D">
        <w:rPr>
          <w:b/>
          <w:sz w:val="24"/>
          <w:szCs w:val="24"/>
        </w:rPr>
        <w:t>-</w:t>
      </w:r>
      <w:r w:rsidRPr="00C10DE4">
        <w:rPr>
          <w:b/>
          <w:sz w:val="24"/>
          <w:szCs w:val="24"/>
        </w:rPr>
        <w:t>NUMRE)</w:t>
      </w:r>
    </w:p>
    <w:p w:rsidR="00A3270E" w:rsidRPr="00C10DE4" w:rsidRDefault="00A3270E" w:rsidP="00A3270E">
      <w:pPr>
        <w:ind w:left="851"/>
        <w:rPr>
          <w:sz w:val="24"/>
          <w:szCs w:val="24"/>
        </w:rPr>
      </w:pPr>
      <w:r w:rsidRPr="00C10DE4">
        <w:rPr>
          <w:sz w:val="24"/>
          <w:szCs w:val="24"/>
        </w:rPr>
        <w:t>57275</w:t>
      </w:r>
    </w:p>
    <w:p w:rsidR="00A3270E" w:rsidRPr="00C10DE4" w:rsidRDefault="00A3270E" w:rsidP="00A3270E">
      <w:pPr>
        <w:ind w:left="851" w:hanging="851"/>
        <w:jc w:val="both"/>
        <w:rPr>
          <w:sz w:val="24"/>
          <w:szCs w:val="24"/>
        </w:rPr>
      </w:pPr>
    </w:p>
    <w:p w:rsidR="00A3270E" w:rsidRPr="00C10DE4" w:rsidRDefault="00A3270E" w:rsidP="00A3270E">
      <w:pPr>
        <w:ind w:left="851" w:hanging="851"/>
        <w:rPr>
          <w:b/>
          <w:sz w:val="24"/>
          <w:szCs w:val="24"/>
        </w:rPr>
      </w:pPr>
      <w:r w:rsidRPr="00C10DE4">
        <w:rPr>
          <w:b/>
          <w:sz w:val="24"/>
          <w:szCs w:val="24"/>
        </w:rPr>
        <w:t>9.</w:t>
      </w:r>
      <w:r w:rsidRPr="00C10DE4">
        <w:rPr>
          <w:b/>
          <w:sz w:val="24"/>
          <w:szCs w:val="24"/>
        </w:rPr>
        <w:tab/>
        <w:t>DATO FOR FØRSTE MARKEDSFØRINGSTILLADELSE</w:t>
      </w:r>
    </w:p>
    <w:p w:rsidR="00A3270E" w:rsidRPr="00C10DE4" w:rsidRDefault="00A3270E" w:rsidP="00A3270E">
      <w:pPr>
        <w:ind w:left="851"/>
        <w:rPr>
          <w:sz w:val="24"/>
          <w:szCs w:val="24"/>
        </w:rPr>
      </w:pPr>
      <w:r w:rsidRPr="00C10DE4">
        <w:rPr>
          <w:sz w:val="24"/>
          <w:szCs w:val="24"/>
        </w:rPr>
        <w:t>7. november 1990</w:t>
      </w:r>
    </w:p>
    <w:p w:rsidR="00A3270E" w:rsidRPr="00C10DE4" w:rsidRDefault="00A3270E" w:rsidP="00A3270E">
      <w:pPr>
        <w:ind w:left="851" w:hanging="851"/>
        <w:rPr>
          <w:sz w:val="24"/>
          <w:szCs w:val="24"/>
        </w:rPr>
      </w:pPr>
    </w:p>
    <w:p w:rsidR="00A3270E" w:rsidRPr="00C10DE4" w:rsidRDefault="00A3270E" w:rsidP="00A3270E">
      <w:pPr>
        <w:ind w:left="851" w:hanging="851"/>
        <w:rPr>
          <w:b/>
          <w:sz w:val="24"/>
          <w:szCs w:val="24"/>
        </w:rPr>
      </w:pPr>
      <w:r w:rsidRPr="00C10DE4">
        <w:rPr>
          <w:b/>
          <w:sz w:val="24"/>
          <w:szCs w:val="24"/>
        </w:rPr>
        <w:t>10.</w:t>
      </w:r>
      <w:r w:rsidRPr="00C10DE4">
        <w:rPr>
          <w:b/>
          <w:sz w:val="24"/>
          <w:szCs w:val="24"/>
        </w:rPr>
        <w:tab/>
        <w:t>DATO FOR ÆNDRING AF TEKSTEN</w:t>
      </w:r>
    </w:p>
    <w:p w:rsidR="00A3270E" w:rsidRPr="00C10DE4" w:rsidRDefault="00654926" w:rsidP="00A3270E">
      <w:pPr>
        <w:ind w:left="851"/>
        <w:rPr>
          <w:sz w:val="24"/>
          <w:szCs w:val="24"/>
        </w:rPr>
      </w:pPr>
      <w:r>
        <w:rPr>
          <w:sz w:val="24"/>
          <w:szCs w:val="24"/>
        </w:rPr>
        <w:t>15</w:t>
      </w:r>
      <w:r w:rsidR="009C6769">
        <w:rPr>
          <w:sz w:val="24"/>
          <w:szCs w:val="24"/>
        </w:rPr>
        <w:t>. januar 202</w:t>
      </w:r>
      <w:r>
        <w:rPr>
          <w:sz w:val="24"/>
          <w:szCs w:val="24"/>
        </w:rPr>
        <w:t>5</w:t>
      </w:r>
      <w:bookmarkStart w:id="6" w:name="_GoBack"/>
      <w:bookmarkEnd w:id="6"/>
    </w:p>
    <w:p w:rsidR="00A3270E" w:rsidRPr="00C44E57" w:rsidRDefault="00A3270E" w:rsidP="00A3270E"/>
    <w:p w:rsidR="00A3270E" w:rsidRPr="002318A0" w:rsidRDefault="00A3270E" w:rsidP="00A3270E"/>
    <w:p w:rsidR="009260DE" w:rsidRPr="00A3270E" w:rsidRDefault="009260DE" w:rsidP="00A3270E"/>
    <w:sectPr w:rsidR="009260DE" w:rsidRPr="00A3270E" w:rsidSect="000259B9">
      <w:footerReference w:type="default" r:id="rId9"/>
      <w:pgSz w:w="11906" w:h="16838" w:code="9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270E" w:rsidRDefault="00A3270E">
      <w:r>
        <w:separator/>
      </w:r>
    </w:p>
  </w:endnote>
  <w:endnote w:type="continuationSeparator" w:id="0">
    <w:p w:rsidR="00A3270E" w:rsidRDefault="00A32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59B9" w:rsidRDefault="000259B9">
    <w:pPr>
      <w:pStyle w:val="Sidefod"/>
      <w:pBdr>
        <w:bottom w:val="single" w:sz="6" w:space="1" w:color="auto"/>
      </w:pBdr>
    </w:pPr>
  </w:p>
  <w:p w:rsidR="000259B9" w:rsidRDefault="000259B9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</w:p>
  <w:p w:rsidR="000259B9" w:rsidRPr="00B373D7" w:rsidRDefault="00067C2E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  <w:proofErr w:type="spellStart"/>
    <w:r w:rsidRPr="00067C2E">
      <w:rPr>
        <w:i/>
        <w:sz w:val="18"/>
        <w:szCs w:val="18"/>
      </w:rPr>
      <w:t>Zavedos</w:t>
    </w:r>
    <w:proofErr w:type="spellEnd"/>
    <w:r w:rsidRPr="00067C2E">
      <w:rPr>
        <w:i/>
        <w:sz w:val="18"/>
        <w:szCs w:val="18"/>
      </w:rPr>
      <w:t>, injektionsvæske, opløsning 1 mg-ml</w:t>
    </w:r>
    <w:r w:rsidR="000259B9" w:rsidRPr="00B373D7">
      <w:rPr>
        <w:i/>
        <w:sz w:val="18"/>
        <w:szCs w:val="18"/>
      </w:rPr>
      <w:tab/>
      <w:t xml:space="preserve">Side </w:t>
    </w:r>
    <w:r w:rsidR="00782AF4"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PAGE </w:instrText>
    </w:r>
    <w:r w:rsidR="00782AF4" w:rsidRPr="00B373D7">
      <w:rPr>
        <w:rStyle w:val="Sidetal"/>
        <w:i/>
        <w:sz w:val="18"/>
        <w:szCs w:val="18"/>
      </w:rPr>
      <w:fldChar w:fldCharType="separate"/>
    </w:r>
    <w:r w:rsidR="00C60CCD">
      <w:rPr>
        <w:rStyle w:val="Sidetal"/>
        <w:i/>
        <w:noProof/>
        <w:sz w:val="18"/>
        <w:szCs w:val="18"/>
      </w:rPr>
      <w:t>3</w:t>
    </w:r>
    <w:r w:rsidR="00782AF4" w:rsidRPr="00B373D7">
      <w:rPr>
        <w:rStyle w:val="Sidetal"/>
        <w:i/>
        <w:sz w:val="18"/>
        <w:szCs w:val="18"/>
      </w:rPr>
      <w:fldChar w:fldCharType="end"/>
    </w:r>
    <w:r w:rsidR="000259B9" w:rsidRPr="00B373D7">
      <w:rPr>
        <w:rStyle w:val="Sidetal"/>
        <w:i/>
        <w:sz w:val="18"/>
        <w:szCs w:val="18"/>
      </w:rPr>
      <w:t xml:space="preserve"> af </w:t>
    </w:r>
    <w:r w:rsidR="00782AF4"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NUMPAGES </w:instrText>
    </w:r>
    <w:r w:rsidR="00782AF4" w:rsidRPr="00B373D7">
      <w:rPr>
        <w:rStyle w:val="Sidetal"/>
        <w:i/>
        <w:sz w:val="18"/>
        <w:szCs w:val="18"/>
      </w:rPr>
      <w:fldChar w:fldCharType="separate"/>
    </w:r>
    <w:r w:rsidR="00C60CCD">
      <w:rPr>
        <w:rStyle w:val="Sidetal"/>
        <w:i/>
        <w:noProof/>
        <w:sz w:val="18"/>
        <w:szCs w:val="18"/>
      </w:rPr>
      <w:t>3</w:t>
    </w:r>
    <w:r w:rsidR="00782AF4" w:rsidRPr="00B373D7">
      <w:rPr>
        <w:rStyle w:val="Sidetal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270E" w:rsidRDefault="00A3270E">
      <w:r>
        <w:separator/>
      </w:r>
    </w:p>
  </w:footnote>
  <w:footnote w:type="continuationSeparator" w:id="0">
    <w:p w:rsidR="00A3270E" w:rsidRDefault="00A327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1732C"/>
    <w:multiLevelType w:val="multilevel"/>
    <w:tmpl w:val="7BE2F61C"/>
    <w:lvl w:ilvl="0">
      <w:start w:val="6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3397578A"/>
    <w:multiLevelType w:val="multilevel"/>
    <w:tmpl w:val="392232EE"/>
    <w:lvl w:ilvl="0">
      <w:start w:val="5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3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364660C3"/>
    <w:multiLevelType w:val="multilevel"/>
    <w:tmpl w:val="DAF0ED20"/>
    <w:lvl w:ilvl="0">
      <w:start w:val="5"/>
      <w:numFmt w:val="decimal"/>
      <w:lvlText w:val="%1.0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2159"/>
        </w:tabs>
        <w:ind w:left="2159" w:hanging="855"/>
      </w:pPr>
    </w:lvl>
    <w:lvl w:ilvl="2">
      <w:start w:val="1"/>
      <w:numFmt w:val="decimal"/>
      <w:lvlText w:val="%1.%2.%3"/>
      <w:lvlJc w:val="left"/>
      <w:pPr>
        <w:tabs>
          <w:tab w:val="num" w:pos="3463"/>
        </w:tabs>
        <w:ind w:left="3463" w:hanging="855"/>
      </w:pPr>
    </w:lvl>
    <w:lvl w:ilvl="3">
      <w:start w:val="1"/>
      <w:numFmt w:val="decimal"/>
      <w:lvlText w:val="%1.%2.%3.%4"/>
      <w:lvlJc w:val="left"/>
      <w:pPr>
        <w:tabs>
          <w:tab w:val="num" w:pos="4767"/>
        </w:tabs>
        <w:ind w:left="4767" w:hanging="855"/>
      </w:pPr>
    </w:lvl>
    <w:lvl w:ilvl="4">
      <w:start w:val="1"/>
      <w:numFmt w:val="decimal"/>
      <w:lvlText w:val="%1.%2.%3.%4.%5"/>
      <w:lvlJc w:val="left"/>
      <w:pPr>
        <w:tabs>
          <w:tab w:val="num" w:pos="6296"/>
        </w:tabs>
        <w:ind w:left="6296" w:hanging="1080"/>
      </w:pPr>
    </w:lvl>
    <w:lvl w:ilvl="5">
      <w:start w:val="1"/>
      <w:numFmt w:val="decimal"/>
      <w:lvlText w:val="%1.%2.%3.%4.%5.%6"/>
      <w:lvlJc w:val="left"/>
      <w:pPr>
        <w:tabs>
          <w:tab w:val="num" w:pos="7600"/>
        </w:tabs>
        <w:ind w:left="76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9264"/>
        </w:tabs>
        <w:ind w:left="926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0568"/>
        </w:tabs>
        <w:ind w:left="1056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2232"/>
        </w:tabs>
        <w:ind w:left="12232" w:hanging="1800"/>
      </w:pPr>
    </w:lvl>
  </w:abstractNum>
  <w:abstractNum w:abstractNumId="3" w15:restartNumberingAfterBreak="0">
    <w:nsid w:val="3DF52CBD"/>
    <w:multiLevelType w:val="hybridMultilevel"/>
    <w:tmpl w:val="0CA213C0"/>
    <w:lvl w:ilvl="0" w:tplc="04060001">
      <w:start w:val="1"/>
      <w:numFmt w:val="bullet"/>
      <w:lvlText w:val=""/>
      <w:lvlJc w:val="left"/>
      <w:pPr>
        <w:tabs>
          <w:tab w:val="num" w:pos="1575"/>
        </w:tabs>
        <w:ind w:left="1575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tabs>
          <w:tab w:val="num" w:pos="2295"/>
        </w:tabs>
        <w:ind w:left="2295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tabs>
          <w:tab w:val="num" w:pos="3015"/>
        </w:tabs>
        <w:ind w:left="3015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tabs>
          <w:tab w:val="num" w:pos="3735"/>
        </w:tabs>
        <w:ind w:left="3735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tabs>
          <w:tab w:val="num" w:pos="4455"/>
        </w:tabs>
        <w:ind w:left="4455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tabs>
          <w:tab w:val="num" w:pos="5175"/>
        </w:tabs>
        <w:ind w:left="5175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tabs>
          <w:tab w:val="num" w:pos="5895"/>
        </w:tabs>
        <w:ind w:left="5895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tabs>
          <w:tab w:val="num" w:pos="6615"/>
        </w:tabs>
        <w:ind w:left="6615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tabs>
          <w:tab w:val="num" w:pos="7335"/>
        </w:tabs>
        <w:ind w:left="7335" w:hanging="360"/>
      </w:pPr>
      <w:rPr>
        <w:rFonts w:ascii="Wingdings" w:hAnsi="Wingdings" w:hint="default"/>
      </w:rPr>
    </w:lvl>
  </w:abstractNum>
  <w:abstractNum w:abstractNumId="4" w15:restartNumberingAfterBreak="0">
    <w:nsid w:val="405C5D3C"/>
    <w:multiLevelType w:val="multilevel"/>
    <w:tmpl w:val="9CBC71DC"/>
    <w:lvl w:ilvl="0"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strike w:val="0"/>
        <w:dstrike w:val="0"/>
        <w:u w:val="none"/>
        <w:effect w:val="none"/>
      </w:rPr>
    </w:lvl>
  </w:abstractNum>
  <w:abstractNum w:abstractNumId="5" w15:restartNumberingAfterBreak="0">
    <w:nsid w:val="53F411F3"/>
    <w:multiLevelType w:val="hybridMultilevel"/>
    <w:tmpl w:val="B3487690"/>
    <w:lvl w:ilvl="0" w:tplc="0406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6" w15:restartNumberingAfterBreak="0">
    <w:nsid w:val="55542CAA"/>
    <w:multiLevelType w:val="multilevel"/>
    <w:tmpl w:val="6E481CAC"/>
    <w:lvl w:ilvl="0">
      <w:start w:val="5"/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70E"/>
    <w:rsid w:val="000259B9"/>
    <w:rsid w:val="00041491"/>
    <w:rsid w:val="00050D16"/>
    <w:rsid w:val="00067C2E"/>
    <w:rsid w:val="00074F2A"/>
    <w:rsid w:val="000A1CA8"/>
    <w:rsid w:val="000A466B"/>
    <w:rsid w:val="000B058C"/>
    <w:rsid w:val="000D2F60"/>
    <w:rsid w:val="000E4EE6"/>
    <w:rsid w:val="00134D45"/>
    <w:rsid w:val="001454E2"/>
    <w:rsid w:val="00151A27"/>
    <w:rsid w:val="00206CE8"/>
    <w:rsid w:val="0021526C"/>
    <w:rsid w:val="00263ED7"/>
    <w:rsid w:val="00283A2B"/>
    <w:rsid w:val="002B30AD"/>
    <w:rsid w:val="002C2C01"/>
    <w:rsid w:val="002E5F49"/>
    <w:rsid w:val="003A29AE"/>
    <w:rsid w:val="003A32D7"/>
    <w:rsid w:val="003A70FE"/>
    <w:rsid w:val="003B4074"/>
    <w:rsid w:val="003C769A"/>
    <w:rsid w:val="003F1838"/>
    <w:rsid w:val="0045746C"/>
    <w:rsid w:val="0049104B"/>
    <w:rsid w:val="004D5F74"/>
    <w:rsid w:val="004E3B12"/>
    <w:rsid w:val="00532310"/>
    <w:rsid w:val="00560ECC"/>
    <w:rsid w:val="00565F0F"/>
    <w:rsid w:val="00594A86"/>
    <w:rsid w:val="00596D86"/>
    <w:rsid w:val="005D2F96"/>
    <w:rsid w:val="00637F5A"/>
    <w:rsid w:val="00654926"/>
    <w:rsid w:val="006560B1"/>
    <w:rsid w:val="0067386F"/>
    <w:rsid w:val="006756DD"/>
    <w:rsid w:val="006D2CAD"/>
    <w:rsid w:val="00711BDD"/>
    <w:rsid w:val="00737275"/>
    <w:rsid w:val="00740EEC"/>
    <w:rsid w:val="0078011A"/>
    <w:rsid w:val="00782AF4"/>
    <w:rsid w:val="00790EE7"/>
    <w:rsid w:val="007B3A08"/>
    <w:rsid w:val="007B6649"/>
    <w:rsid w:val="007C79F0"/>
    <w:rsid w:val="0081546F"/>
    <w:rsid w:val="0082576E"/>
    <w:rsid w:val="00907F75"/>
    <w:rsid w:val="009260DE"/>
    <w:rsid w:val="0093258A"/>
    <w:rsid w:val="009C6769"/>
    <w:rsid w:val="009C7BA3"/>
    <w:rsid w:val="009D1F5A"/>
    <w:rsid w:val="00A3270E"/>
    <w:rsid w:val="00A90D2B"/>
    <w:rsid w:val="00B003BF"/>
    <w:rsid w:val="00B373D7"/>
    <w:rsid w:val="00C36276"/>
    <w:rsid w:val="00C42586"/>
    <w:rsid w:val="00C60CCD"/>
    <w:rsid w:val="00C84483"/>
    <w:rsid w:val="00C95551"/>
    <w:rsid w:val="00CB20D7"/>
    <w:rsid w:val="00D020B0"/>
    <w:rsid w:val="00D11748"/>
    <w:rsid w:val="00D366CF"/>
    <w:rsid w:val="00D6599A"/>
    <w:rsid w:val="00DB16A7"/>
    <w:rsid w:val="00E108AA"/>
    <w:rsid w:val="00E31812"/>
    <w:rsid w:val="00E3749A"/>
    <w:rsid w:val="00E64BDE"/>
    <w:rsid w:val="00E7437F"/>
    <w:rsid w:val="00E865B8"/>
    <w:rsid w:val="00E902C5"/>
    <w:rsid w:val="00EA4B0D"/>
    <w:rsid w:val="00EC0B9B"/>
    <w:rsid w:val="00ED5E9F"/>
    <w:rsid w:val="00F66D4F"/>
    <w:rsid w:val="00FB294B"/>
    <w:rsid w:val="00FB6D01"/>
    <w:rsid w:val="00FC6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54D492"/>
  <w15:chartTrackingRefBased/>
  <w15:docId w15:val="{D2CD82AD-C78F-4425-B0F8-78DA27A52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6D01"/>
    <w:rPr>
      <w:sz w:val="23"/>
      <w:lang w:eastAsia="en-US"/>
    </w:rPr>
  </w:style>
  <w:style w:type="paragraph" w:styleId="Overskrift1">
    <w:name w:val="heading 1"/>
    <w:basedOn w:val="Normal"/>
    <w:next w:val="Normal"/>
    <w:qFormat/>
    <w:rsid w:val="00FB6D0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qFormat/>
    <w:rsid w:val="00FB6D01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Kommentartekst">
    <w:name w:val="annotation text"/>
    <w:basedOn w:val="Normal"/>
    <w:link w:val="KommentartekstTegn"/>
    <w:semiHidden/>
    <w:rsid w:val="00790EE7"/>
    <w:rPr>
      <w:sz w:val="20"/>
      <w:lang w:eastAsia="da-DK"/>
    </w:rPr>
  </w:style>
  <w:style w:type="paragraph" w:styleId="Sidehoved">
    <w:name w:val="header"/>
    <w:basedOn w:val="Normal"/>
    <w:link w:val="SidehovedTegn"/>
    <w:rsid w:val="00790EE7"/>
    <w:pPr>
      <w:tabs>
        <w:tab w:val="center" w:pos="4819"/>
        <w:tab w:val="right" w:pos="9638"/>
      </w:tabs>
    </w:pPr>
    <w:rPr>
      <w:sz w:val="24"/>
      <w:lang w:eastAsia="da-DK"/>
    </w:rPr>
  </w:style>
  <w:style w:type="paragraph" w:styleId="Titel">
    <w:name w:val="Title"/>
    <w:basedOn w:val="Normal"/>
    <w:link w:val="TitelTegn"/>
    <w:qFormat/>
    <w:rsid w:val="00790EE7"/>
    <w:pPr>
      <w:jc w:val="center"/>
    </w:pPr>
    <w:rPr>
      <w:b/>
      <w:sz w:val="24"/>
      <w:lang w:eastAsia="da-DK"/>
    </w:rPr>
  </w:style>
  <w:style w:type="character" w:styleId="Kommentarhenvisning">
    <w:name w:val="annotation reference"/>
    <w:semiHidden/>
    <w:rsid w:val="00790EE7"/>
    <w:rPr>
      <w:sz w:val="16"/>
      <w:szCs w:val="16"/>
    </w:rPr>
  </w:style>
  <w:style w:type="paragraph" w:styleId="Markeringsbobletekst">
    <w:name w:val="Balloon Text"/>
    <w:basedOn w:val="Normal"/>
    <w:semiHidden/>
    <w:rsid w:val="00790EE7"/>
    <w:rPr>
      <w:rFonts w:ascii="Tahoma" w:hAnsi="Tahoma" w:cs="Tahoma"/>
      <w:sz w:val="16"/>
      <w:szCs w:val="16"/>
    </w:rPr>
  </w:style>
  <w:style w:type="paragraph" w:styleId="Sidefod">
    <w:name w:val="footer"/>
    <w:basedOn w:val="Normal"/>
    <w:rsid w:val="00C42586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C42586"/>
  </w:style>
  <w:style w:type="character" w:customStyle="1" w:styleId="KommentartekstTegn">
    <w:name w:val="Kommentartekst Tegn"/>
    <w:basedOn w:val="Standardskrifttypeiafsnit"/>
    <w:link w:val="Kommentartekst"/>
    <w:semiHidden/>
    <w:rsid w:val="00B003BF"/>
  </w:style>
  <w:style w:type="character" w:customStyle="1" w:styleId="SidehovedTegn">
    <w:name w:val="Sidehoved Tegn"/>
    <w:link w:val="Sidehoved"/>
    <w:rsid w:val="00B003BF"/>
    <w:rPr>
      <w:sz w:val="24"/>
    </w:rPr>
  </w:style>
  <w:style w:type="character" w:customStyle="1" w:styleId="TitelTegn">
    <w:name w:val="Titel Tegn"/>
    <w:link w:val="Titel"/>
    <w:rsid w:val="00B003BF"/>
    <w:rPr>
      <w:b/>
      <w:sz w:val="24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260DE"/>
    <w:rPr>
      <w:b/>
      <w:bCs/>
      <w:lang w:eastAsia="en-US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260DE"/>
    <w:rPr>
      <w:b/>
      <w:bCs/>
      <w:lang w:eastAsia="en-US"/>
    </w:rPr>
  </w:style>
  <w:style w:type="character" w:styleId="Hyperlink">
    <w:name w:val="Hyperlink"/>
    <w:uiPriority w:val="99"/>
    <w:semiHidden/>
    <w:unhideWhenUsed/>
    <w:rsid w:val="00A3270E"/>
    <w:rPr>
      <w:color w:val="0000FF"/>
      <w:u w:val="single"/>
    </w:rPr>
  </w:style>
  <w:style w:type="paragraph" w:styleId="Brdtekst">
    <w:name w:val="Body Text"/>
    <w:basedOn w:val="Normal"/>
    <w:link w:val="BrdtekstTegn"/>
    <w:semiHidden/>
    <w:unhideWhenUsed/>
    <w:rsid w:val="00A3270E"/>
    <w:pPr>
      <w:widowControl w:val="0"/>
      <w:tabs>
        <w:tab w:val="left" w:pos="0"/>
        <w:tab w:val="left" w:pos="426"/>
        <w:tab w:val="left" w:pos="851"/>
        <w:tab w:val="left" w:pos="1701"/>
        <w:tab w:val="left" w:pos="2552"/>
        <w:tab w:val="left" w:pos="3403"/>
        <w:tab w:val="left" w:pos="4254"/>
        <w:tab w:val="left" w:pos="5105"/>
        <w:tab w:val="left" w:pos="5955"/>
        <w:tab w:val="left" w:pos="6806"/>
        <w:tab w:val="left" w:pos="7657"/>
        <w:tab w:val="left" w:pos="8508"/>
      </w:tabs>
      <w:suppressAutoHyphens/>
    </w:pPr>
    <w:rPr>
      <w:sz w:val="22"/>
      <w:lang w:eastAsia="da-DK"/>
    </w:rPr>
  </w:style>
  <w:style w:type="character" w:customStyle="1" w:styleId="BrdtekstTegn">
    <w:name w:val="Brødtekst Tegn"/>
    <w:basedOn w:val="Standardskrifttypeiafsnit"/>
    <w:link w:val="Brdtekst"/>
    <w:semiHidden/>
    <w:rsid w:val="00A3270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4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ldenbivirkning.d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3432</Words>
  <Characters>23830</Characters>
  <Application>Microsoft Office Word</Application>
  <DocSecurity>0</DocSecurity>
  <Lines>198</Lines>
  <Paragraphs>54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Ott Jensen</dc:creator>
  <cp:keywords/>
  <dc:description>2024053154 SPC punkt 6.5 + lille rettelse til punkt 4.4</dc:description>
  <cp:lastModifiedBy>Nanna Helene Lillelund</cp:lastModifiedBy>
  <cp:revision>2</cp:revision>
  <cp:lastPrinted>2012-08-22T08:53:00Z</cp:lastPrinted>
  <dcterms:created xsi:type="dcterms:W3CDTF">2025-01-15T09:47:00Z</dcterms:created>
  <dcterms:modified xsi:type="dcterms:W3CDTF">2025-01-15T09:47:00Z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ewTemplateConverted">
    <vt:lpwstr>SPC Hum.dotm</vt:lpwstr>
  </property>
  <property fmtid="{D5CDD505-2E9C-101B-9397-08002B2CF9AE}" pid="3" name="ConvertedFromMacroDocument">
    <vt:lpwstr>True</vt:lpwstr>
  </property>
</Properties>
</file>