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438DE"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18020B7" wp14:editId="5B7405A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1566A59" w14:textId="77777777" w:rsidR="009260DE" w:rsidRPr="00C84483" w:rsidRDefault="009260DE" w:rsidP="009260DE">
      <w:pPr>
        <w:pStyle w:val="Titel"/>
        <w:tabs>
          <w:tab w:val="right" w:pos="9356"/>
        </w:tabs>
        <w:jc w:val="left"/>
        <w:rPr>
          <w:b w:val="0"/>
          <w:szCs w:val="24"/>
          <w:lang w:eastAsia="en-US"/>
        </w:rPr>
      </w:pPr>
    </w:p>
    <w:p w14:paraId="4B3AC008" w14:textId="3538352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03225">
        <w:rPr>
          <w:szCs w:val="24"/>
        </w:rPr>
        <w:t>23. august 2024</w:t>
      </w:r>
    </w:p>
    <w:p w14:paraId="27E5DBBC" w14:textId="77777777" w:rsidR="009260DE" w:rsidRPr="00C84483" w:rsidRDefault="009260DE" w:rsidP="009260DE">
      <w:pPr>
        <w:pStyle w:val="Titel"/>
        <w:tabs>
          <w:tab w:val="left" w:pos="8222"/>
        </w:tabs>
        <w:jc w:val="left"/>
        <w:rPr>
          <w:b w:val="0"/>
          <w:szCs w:val="24"/>
        </w:rPr>
      </w:pPr>
    </w:p>
    <w:p w14:paraId="382B7332" w14:textId="441F8A1D" w:rsidR="009260DE" w:rsidRPr="00C84483" w:rsidRDefault="009260DE" w:rsidP="009260DE">
      <w:pPr>
        <w:pStyle w:val="Titel"/>
        <w:jc w:val="left"/>
        <w:rPr>
          <w:b w:val="0"/>
          <w:szCs w:val="24"/>
        </w:rPr>
      </w:pPr>
    </w:p>
    <w:p w14:paraId="75EF0BF8" w14:textId="77777777" w:rsidR="009260DE" w:rsidRPr="00C84483" w:rsidRDefault="009260DE" w:rsidP="009260DE">
      <w:pPr>
        <w:pStyle w:val="Titel"/>
        <w:jc w:val="left"/>
        <w:rPr>
          <w:b w:val="0"/>
          <w:szCs w:val="24"/>
        </w:rPr>
      </w:pPr>
    </w:p>
    <w:p w14:paraId="6EAB1BE2" w14:textId="77777777" w:rsidR="009260DE" w:rsidRPr="00C84483" w:rsidRDefault="009260DE" w:rsidP="009260DE">
      <w:pPr>
        <w:jc w:val="center"/>
        <w:rPr>
          <w:b/>
          <w:sz w:val="24"/>
          <w:szCs w:val="24"/>
        </w:rPr>
      </w:pPr>
      <w:r w:rsidRPr="00C84483">
        <w:rPr>
          <w:b/>
          <w:sz w:val="24"/>
          <w:szCs w:val="24"/>
        </w:rPr>
        <w:t>PRODUKTRESUMÉ</w:t>
      </w:r>
    </w:p>
    <w:p w14:paraId="3559916E" w14:textId="77777777" w:rsidR="009260DE" w:rsidRPr="00C84483" w:rsidRDefault="009260DE" w:rsidP="009260DE">
      <w:pPr>
        <w:jc w:val="center"/>
        <w:rPr>
          <w:b/>
          <w:sz w:val="24"/>
          <w:szCs w:val="24"/>
        </w:rPr>
      </w:pPr>
    </w:p>
    <w:p w14:paraId="482D0B31" w14:textId="77777777" w:rsidR="009260DE" w:rsidRDefault="009260DE" w:rsidP="009260DE">
      <w:pPr>
        <w:jc w:val="center"/>
        <w:rPr>
          <w:b/>
          <w:sz w:val="24"/>
          <w:szCs w:val="24"/>
        </w:rPr>
      </w:pPr>
      <w:r w:rsidRPr="00C84483">
        <w:rPr>
          <w:b/>
          <w:sz w:val="24"/>
          <w:szCs w:val="24"/>
        </w:rPr>
        <w:t>for</w:t>
      </w:r>
    </w:p>
    <w:p w14:paraId="031335AA" w14:textId="77777777" w:rsidR="000B058C" w:rsidRPr="00C84483" w:rsidRDefault="000B058C" w:rsidP="009260DE">
      <w:pPr>
        <w:jc w:val="center"/>
        <w:rPr>
          <w:b/>
          <w:sz w:val="24"/>
          <w:szCs w:val="24"/>
        </w:rPr>
      </w:pPr>
    </w:p>
    <w:p w14:paraId="12FE6C97" w14:textId="57E2EDD2" w:rsidR="009260DE" w:rsidRPr="00C84483" w:rsidRDefault="00D576E4" w:rsidP="009260DE">
      <w:pPr>
        <w:jc w:val="center"/>
        <w:rPr>
          <w:b/>
          <w:sz w:val="24"/>
          <w:szCs w:val="24"/>
        </w:rPr>
      </w:pPr>
      <w:r>
        <w:rPr>
          <w:b/>
          <w:sz w:val="24"/>
          <w:szCs w:val="24"/>
        </w:rPr>
        <w:t>Zeltacin, injektions</w:t>
      </w:r>
      <w:r w:rsidR="00503225">
        <w:rPr>
          <w:b/>
          <w:sz w:val="24"/>
          <w:szCs w:val="24"/>
        </w:rPr>
        <w:t>-/infusionsvæske, opløsning</w:t>
      </w:r>
    </w:p>
    <w:p w14:paraId="45988851" w14:textId="77777777" w:rsidR="009260DE" w:rsidRPr="00C84483" w:rsidRDefault="009260DE" w:rsidP="009260DE">
      <w:pPr>
        <w:jc w:val="both"/>
        <w:rPr>
          <w:sz w:val="24"/>
          <w:szCs w:val="24"/>
        </w:rPr>
      </w:pPr>
    </w:p>
    <w:p w14:paraId="07B26365" w14:textId="77777777" w:rsidR="009260DE" w:rsidRPr="00C84483" w:rsidRDefault="009260DE" w:rsidP="009260DE">
      <w:pPr>
        <w:jc w:val="both"/>
        <w:rPr>
          <w:sz w:val="24"/>
          <w:szCs w:val="24"/>
        </w:rPr>
      </w:pPr>
    </w:p>
    <w:p w14:paraId="619BD69B"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284EC00" w14:textId="77777777" w:rsidR="009260DE" w:rsidRPr="00C84483" w:rsidRDefault="00D576E4" w:rsidP="009260DE">
      <w:pPr>
        <w:tabs>
          <w:tab w:val="left" w:pos="851"/>
        </w:tabs>
        <w:ind w:left="851"/>
        <w:rPr>
          <w:sz w:val="24"/>
          <w:szCs w:val="24"/>
        </w:rPr>
      </w:pPr>
      <w:r>
        <w:rPr>
          <w:sz w:val="24"/>
          <w:szCs w:val="24"/>
        </w:rPr>
        <w:t>33019</w:t>
      </w:r>
    </w:p>
    <w:p w14:paraId="305E80DC" w14:textId="77777777" w:rsidR="009260DE" w:rsidRPr="00C84483" w:rsidRDefault="009260DE" w:rsidP="009260DE">
      <w:pPr>
        <w:tabs>
          <w:tab w:val="left" w:pos="851"/>
        </w:tabs>
        <w:ind w:left="851"/>
        <w:rPr>
          <w:sz w:val="24"/>
          <w:szCs w:val="24"/>
        </w:rPr>
      </w:pPr>
    </w:p>
    <w:p w14:paraId="34824EFD"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61D1C4D" w14:textId="4A915EA0" w:rsidR="009260DE" w:rsidRPr="00C84483" w:rsidRDefault="00B63A1C" w:rsidP="009260DE">
      <w:pPr>
        <w:tabs>
          <w:tab w:val="left" w:pos="851"/>
        </w:tabs>
        <w:ind w:left="851"/>
        <w:rPr>
          <w:sz w:val="24"/>
          <w:szCs w:val="24"/>
        </w:rPr>
      </w:pPr>
      <w:r>
        <w:rPr>
          <w:sz w:val="24"/>
          <w:szCs w:val="24"/>
        </w:rPr>
        <w:t>Zeltacin</w:t>
      </w:r>
    </w:p>
    <w:p w14:paraId="25D36807" w14:textId="77777777" w:rsidR="009260DE" w:rsidRPr="00C84483" w:rsidRDefault="009260DE" w:rsidP="009260DE">
      <w:pPr>
        <w:tabs>
          <w:tab w:val="left" w:pos="851"/>
        </w:tabs>
        <w:ind w:left="851"/>
        <w:rPr>
          <w:sz w:val="24"/>
          <w:szCs w:val="24"/>
        </w:rPr>
      </w:pPr>
    </w:p>
    <w:p w14:paraId="3A4A94E8"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DA64330" w14:textId="77777777" w:rsidR="00B63A1C" w:rsidRPr="00B63A1C" w:rsidRDefault="00B63A1C" w:rsidP="00B63A1C">
      <w:pPr>
        <w:tabs>
          <w:tab w:val="left" w:pos="851"/>
        </w:tabs>
        <w:ind w:left="851"/>
        <w:rPr>
          <w:sz w:val="24"/>
          <w:szCs w:val="24"/>
        </w:rPr>
      </w:pPr>
      <w:r w:rsidRPr="00B63A1C">
        <w:rPr>
          <w:sz w:val="24"/>
          <w:szCs w:val="24"/>
        </w:rPr>
        <w:t>1 ml 100 mg/ml indeholder 95 mg calciumgluconat som aktivt stof, svarende til 0,212 mmol calcium.</w:t>
      </w:r>
    </w:p>
    <w:p w14:paraId="7E6C5E27" w14:textId="77777777" w:rsidR="00B63A1C" w:rsidRPr="00B63A1C" w:rsidRDefault="00B63A1C" w:rsidP="00B63A1C">
      <w:pPr>
        <w:tabs>
          <w:tab w:val="left" w:pos="851"/>
        </w:tabs>
        <w:ind w:left="851"/>
        <w:rPr>
          <w:sz w:val="24"/>
          <w:szCs w:val="24"/>
        </w:rPr>
      </w:pPr>
    </w:p>
    <w:p w14:paraId="344E67F5" w14:textId="77777777" w:rsidR="00B63A1C" w:rsidRPr="00B63A1C" w:rsidRDefault="00B63A1C" w:rsidP="00B63A1C">
      <w:pPr>
        <w:tabs>
          <w:tab w:val="left" w:pos="851"/>
        </w:tabs>
        <w:ind w:left="851"/>
        <w:rPr>
          <w:sz w:val="24"/>
          <w:szCs w:val="24"/>
          <w:u w:val="single"/>
        </w:rPr>
      </w:pPr>
      <w:r w:rsidRPr="00B63A1C">
        <w:rPr>
          <w:sz w:val="24"/>
          <w:szCs w:val="24"/>
          <w:u w:val="single"/>
        </w:rPr>
        <w:t>Hjælpestoffer</w:t>
      </w:r>
    </w:p>
    <w:p w14:paraId="1E64F695" w14:textId="66EEAB47" w:rsidR="00B63A1C" w:rsidRPr="00B63A1C" w:rsidRDefault="00B63A1C" w:rsidP="00B63A1C">
      <w:pPr>
        <w:tabs>
          <w:tab w:val="left" w:pos="851"/>
        </w:tabs>
        <w:ind w:left="851"/>
        <w:rPr>
          <w:sz w:val="24"/>
          <w:szCs w:val="24"/>
        </w:rPr>
      </w:pPr>
      <w:r>
        <w:rPr>
          <w:sz w:val="24"/>
          <w:szCs w:val="24"/>
        </w:rPr>
        <w:t>C</w:t>
      </w:r>
      <w:r w:rsidRPr="00B63A1C">
        <w:rPr>
          <w:sz w:val="24"/>
          <w:szCs w:val="24"/>
        </w:rPr>
        <w:t>alciumsaccharat svarende til 0,0112 mmol calcium pr. ml.</w:t>
      </w:r>
    </w:p>
    <w:p w14:paraId="225461B6" w14:textId="77777777" w:rsidR="00B63A1C" w:rsidRPr="00B63A1C" w:rsidRDefault="00B63A1C" w:rsidP="00B63A1C">
      <w:pPr>
        <w:tabs>
          <w:tab w:val="left" w:pos="851"/>
        </w:tabs>
        <w:ind w:left="851"/>
        <w:rPr>
          <w:sz w:val="24"/>
          <w:szCs w:val="24"/>
        </w:rPr>
      </w:pPr>
    </w:p>
    <w:p w14:paraId="1A3543B5" w14:textId="77777777" w:rsidR="00B63A1C" w:rsidRPr="00B63A1C" w:rsidRDefault="00B63A1C" w:rsidP="00B63A1C">
      <w:pPr>
        <w:tabs>
          <w:tab w:val="left" w:pos="851"/>
        </w:tabs>
        <w:ind w:left="851"/>
        <w:rPr>
          <w:iCs/>
          <w:sz w:val="24"/>
          <w:szCs w:val="24"/>
          <w:u w:val="single"/>
        </w:rPr>
      </w:pPr>
      <w:r w:rsidRPr="00B63A1C">
        <w:rPr>
          <w:sz w:val="24"/>
          <w:szCs w:val="24"/>
        </w:rPr>
        <w:t>Totalt calciumindhold: 0,223 mmol pr. ml.</w:t>
      </w:r>
    </w:p>
    <w:p w14:paraId="08734043" w14:textId="77777777" w:rsidR="00B63A1C" w:rsidRPr="00B63A1C" w:rsidRDefault="00B63A1C" w:rsidP="00B63A1C">
      <w:pPr>
        <w:tabs>
          <w:tab w:val="left" w:pos="851"/>
        </w:tabs>
        <w:ind w:left="851"/>
        <w:rPr>
          <w:sz w:val="24"/>
          <w:szCs w:val="24"/>
        </w:rPr>
      </w:pPr>
    </w:p>
    <w:p w14:paraId="48750515" w14:textId="77777777" w:rsidR="00B63A1C" w:rsidRPr="00B63A1C" w:rsidRDefault="00B63A1C" w:rsidP="00B63A1C">
      <w:pPr>
        <w:tabs>
          <w:tab w:val="left" w:pos="851"/>
        </w:tabs>
        <w:ind w:left="851"/>
        <w:rPr>
          <w:sz w:val="24"/>
          <w:szCs w:val="24"/>
        </w:rPr>
      </w:pPr>
      <w:r w:rsidRPr="00B63A1C">
        <w:rPr>
          <w:sz w:val="24"/>
          <w:szCs w:val="24"/>
        </w:rPr>
        <w:t>Alle hjælpestoffer er anført under pkt. 6.1.</w:t>
      </w:r>
    </w:p>
    <w:p w14:paraId="4CCF2EFE" w14:textId="77777777" w:rsidR="009260DE" w:rsidRPr="00C84483" w:rsidRDefault="009260DE" w:rsidP="009260DE">
      <w:pPr>
        <w:tabs>
          <w:tab w:val="left" w:pos="851"/>
        </w:tabs>
        <w:ind w:left="851"/>
        <w:rPr>
          <w:sz w:val="24"/>
          <w:szCs w:val="24"/>
        </w:rPr>
      </w:pPr>
    </w:p>
    <w:p w14:paraId="434AAE9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30F08C3" w14:textId="77777777" w:rsidR="00B63A1C" w:rsidRDefault="00B63A1C" w:rsidP="00B63A1C">
      <w:pPr>
        <w:tabs>
          <w:tab w:val="left" w:pos="851"/>
        </w:tabs>
        <w:ind w:left="851"/>
        <w:rPr>
          <w:sz w:val="24"/>
          <w:szCs w:val="24"/>
        </w:rPr>
      </w:pPr>
      <w:r w:rsidRPr="00B63A1C">
        <w:rPr>
          <w:sz w:val="24"/>
          <w:szCs w:val="24"/>
        </w:rPr>
        <w:t>Injektions-/infusionsvæske, opløsning</w:t>
      </w:r>
    </w:p>
    <w:p w14:paraId="75FE2970" w14:textId="72CFCFD1" w:rsidR="00B63A1C" w:rsidRPr="00B63A1C" w:rsidRDefault="00B63A1C" w:rsidP="00B63A1C">
      <w:pPr>
        <w:tabs>
          <w:tab w:val="left" w:pos="851"/>
        </w:tabs>
        <w:ind w:left="851"/>
        <w:rPr>
          <w:sz w:val="24"/>
          <w:szCs w:val="24"/>
        </w:rPr>
      </w:pPr>
      <w:r w:rsidRPr="00B63A1C">
        <w:rPr>
          <w:sz w:val="24"/>
          <w:szCs w:val="24"/>
        </w:rPr>
        <w:br/>
        <w:t>Klar, farveløs vandig steril opløsning, i det væsentlige fri for partikler.</w:t>
      </w:r>
      <w:r w:rsidRPr="00B63A1C">
        <w:rPr>
          <w:sz w:val="24"/>
          <w:szCs w:val="24"/>
        </w:rPr>
        <w:br/>
        <w:t>pH: 6</w:t>
      </w:r>
      <w:r w:rsidRPr="00B63A1C">
        <w:rPr>
          <w:sz w:val="24"/>
          <w:szCs w:val="24"/>
        </w:rPr>
        <w:noBreakHyphen/>
        <w:t>8,2</w:t>
      </w:r>
      <w:r>
        <w:rPr>
          <w:sz w:val="24"/>
          <w:szCs w:val="24"/>
        </w:rPr>
        <w:t>.</w:t>
      </w:r>
    </w:p>
    <w:p w14:paraId="6D5A818A" w14:textId="77777777" w:rsidR="009260DE" w:rsidRPr="00C84483" w:rsidRDefault="009260DE" w:rsidP="009260DE">
      <w:pPr>
        <w:tabs>
          <w:tab w:val="left" w:pos="851"/>
        </w:tabs>
        <w:ind w:left="851"/>
        <w:rPr>
          <w:sz w:val="24"/>
          <w:szCs w:val="24"/>
        </w:rPr>
      </w:pPr>
    </w:p>
    <w:p w14:paraId="44287B4D" w14:textId="77777777" w:rsidR="009260DE" w:rsidRPr="00C84483" w:rsidRDefault="009260DE" w:rsidP="009260DE">
      <w:pPr>
        <w:tabs>
          <w:tab w:val="left" w:pos="851"/>
        </w:tabs>
        <w:ind w:left="851"/>
        <w:rPr>
          <w:sz w:val="24"/>
          <w:szCs w:val="24"/>
        </w:rPr>
      </w:pPr>
    </w:p>
    <w:p w14:paraId="600F0FAA"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CD8CCAB" w14:textId="77777777" w:rsidR="009260DE" w:rsidRPr="00C84483" w:rsidRDefault="009260DE" w:rsidP="009260DE">
      <w:pPr>
        <w:tabs>
          <w:tab w:val="left" w:pos="851"/>
        </w:tabs>
        <w:ind w:left="851"/>
        <w:rPr>
          <w:b/>
          <w:sz w:val="24"/>
          <w:szCs w:val="24"/>
        </w:rPr>
      </w:pPr>
    </w:p>
    <w:p w14:paraId="643082C7"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7C5AFDA" w14:textId="77777777" w:rsidR="00B63A1C" w:rsidRPr="00B63A1C" w:rsidRDefault="00B63A1C" w:rsidP="00B63A1C">
      <w:pPr>
        <w:tabs>
          <w:tab w:val="left" w:pos="851"/>
        </w:tabs>
        <w:ind w:left="851"/>
        <w:rPr>
          <w:sz w:val="24"/>
          <w:szCs w:val="24"/>
        </w:rPr>
      </w:pPr>
      <w:bookmarkStart w:id="0" w:name="_Hlk113653665"/>
      <w:r w:rsidRPr="00B63A1C">
        <w:rPr>
          <w:sz w:val="24"/>
          <w:szCs w:val="24"/>
        </w:rPr>
        <w:t>Behandling af akut symptomatisk hypokalcæmi.</w:t>
      </w:r>
      <w:bookmarkEnd w:id="0"/>
    </w:p>
    <w:p w14:paraId="48D10503" w14:textId="77777777" w:rsidR="009260DE" w:rsidRPr="00C84483" w:rsidRDefault="009260DE" w:rsidP="009260DE">
      <w:pPr>
        <w:tabs>
          <w:tab w:val="left" w:pos="851"/>
        </w:tabs>
        <w:ind w:left="851"/>
        <w:rPr>
          <w:sz w:val="24"/>
          <w:szCs w:val="24"/>
        </w:rPr>
      </w:pPr>
    </w:p>
    <w:p w14:paraId="15BA2580"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0E27401" w14:textId="77777777" w:rsidR="00B63A1C" w:rsidRPr="00B63A1C" w:rsidRDefault="00B63A1C" w:rsidP="00B63A1C">
      <w:pPr>
        <w:tabs>
          <w:tab w:val="left" w:pos="851"/>
        </w:tabs>
        <w:ind w:left="851"/>
        <w:rPr>
          <w:sz w:val="24"/>
          <w:szCs w:val="24"/>
        </w:rPr>
      </w:pPr>
      <w:r w:rsidRPr="00B63A1C">
        <w:rPr>
          <w:sz w:val="24"/>
          <w:szCs w:val="24"/>
        </w:rPr>
        <w:t>Den normale koncentration af calcium i plasma ligger inden for området 2,25</w:t>
      </w:r>
      <w:r w:rsidRPr="00B63A1C">
        <w:rPr>
          <w:sz w:val="24"/>
          <w:szCs w:val="24"/>
        </w:rPr>
        <w:noBreakHyphen/>
        <w:t>2,62 mmol pr. liter. Behandlingen bør sigte mod at genoprette dette niveau. Under behandlingen bør serumcalciumniveauerne overvåges nøje.</w:t>
      </w:r>
    </w:p>
    <w:p w14:paraId="0A890AA8" w14:textId="77777777" w:rsidR="00B63A1C" w:rsidRPr="00B63A1C" w:rsidRDefault="00B63A1C" w:rsidP="00B63A1C">
      <w:pPr>
        <w:tabs>
          <w:tab w:val="left" w:pos="851"/>
        </w:tabs>
        <w:ind w:left="851"/>
        <w:rPr>
          <w:sz w:val="24"/>
          <w:szCs w:val="24"/>
        </w:rPr>
      </w:pPr>
    </w:p>
    <w:p w14:paraId="466A7CAA" w14:textId="77777777" w:rsidR="00B63A1C" w:rsidRPr="00B63A1C" w:rsidRDefault="00B63A1C" w:rsidP="00B63A1C">
      <w:pPr>
        <w:tabs>
          <w:tab w:val="left" w:pos="851"/>
        </w:tabs>
        <w:ind w:left="851"/>
        <w:rPr>
          <w:sz w:val="24"/>
          <w:szCs w:val="24"/>
          <w:u w:val="single"/>
        </w:rPr>
      </w:pPr>
      <w:r w:rsidRPr="00B63A1C">
        <w:rPr>
          <w:sz w:val="24"/>
          <w:szCs w:val="24"/>
          <w:u w:val="single"/>
        </w:rPr>
        <w:lastRenderedPageBreak/>
        <w:t>Dosering</w:t>
      </w:r>
    </w:p>
    <w:p w14:paraId="7E3D5C7C" w14:textId="77777777" w:rsidR="00B63A1C" w:rsidRPr="00B63A1C" w:rsidRDefault="00B63A1C" w:rsidP="00B63A1C">
      <w:pPr>
        <w:tabs>
          <w:tab w:val="left" w:pos="851"/>
        </w:tabs>
        <w:ind w:left="851"/>
        <w:rPr>
          <w:sz w:val="24"/>
          <w:szCs w:val="24"/>
          <w:u w:val="single"/>
        </w:rPr>
      </w:pPr>
    </w:p>
    <w:p w14:paraId="1311F796" w14:textId="77777777" w:rsidR="00B63A1C" w:rsidRPr="00B63A1C" w:rsidRDefault="00B63A1C" w:rsidP="00B63A1C">
      <w:pPr>
        <w:tabs>
          <w:tab w:val="left" w:pos="851"/>
        </w:tabs>
        <w:ind w:left="851"/>
        <w:rPr>
          <w:i/>
          <w:sz w:val="24"/>
          <w:szCs w:val="24"/>
        </w:rPr>
      </w:pPr>
      <w:r w:rsidRPr="00B63A1C">
        <w:rPr>
          <w:i/>
          <w:sz w:val="24"/>
          <w:szCs w:val="24"/>
        </w:rPr>
        <w:t>Voksne</w:t>
      </w:r>
    </w:p>
    <w:p w14:paraId="3353F6C1" w14:textId="77777777" w:rsidR="00B63A1C" w:rsidRPr="00B63A1C" w:rsidRDefault="00B63A1C" w:rsidP="00B63A1C">
      <w:pPr>
        <w:tabs>
          <w:tab w:val="left" w:pos="851"/>
        </w:tabs>
        <w:ind w:left="851"/>
        <w:rPr>
          <w:sz w:val="24"/>
          <w:szCs w:val="24"/>
        </w:rPr>
      </w:pPr>
      <w:r w:rsidRPr="00B63A1C">
        <w:rPr>
          <w:sz w:val="24"/>
          <w:szCs w:val="24"/>
        </w:rPr>
        <w:t>Den sædvanlige startdosis til voksne er 10 ml Zeltacin 100 mg/ml injektions-/infusionsvæske, opløsning, svarende til 2,23 mmol calcium. Om nødvendigt kan dosis gentages afhængigt af patientens kliniske tilstand. Niveauet af efterfølgende doser varierer i overensstemmelse med den aktuelle serumcalciumkoncentration.</w:t>
      </w:r>
    </w:p>
    <w:p w14:paraId="372E2BF8" w14:textId="77777777" w:rsidR="00B63A1C" w:rsidRPr="00B63A1C" w:rsidRDefault="00B63A1C" w:rsidP="00B63A1C">
      <w:pPr>
        <w:tabs>
          <w:tab w:val="left" w:pos="851"/>
        </w:tabs>
        <w:ind w:left="851"/>
        <w:rPr>
          <w:sz w:val="24"/>
          <w:szCs w:val="24"/>
        </w:rPr>
      </w:pPr>
    </w:p>
    <w:p w14:paraId="0159AB7B" w14:textId="77777777" w:rsidR="00B63A1C" w:rsidRPr="00B63A1C" w:rsidRDefault="00B63A1C" w:rsidP="00B63A1C">
      <w:pPr>
        <w:tabs>
          <w:tab w:val="left" w:pos="851"/>
        </w:tabs>
        <w:ind w:left="851"/>
        <w:rPr>
          <w:i/>
          <w:iCs/>
          <w:sz w:val="24"/>
          <w:szCs w:val="24"/>
        </w:rPr>
      </w:pPr>
      <w:r w:rsidRPr="00B63A1C">
        <w:rPr>
          <w:i/>
          <w:sz w:val="24"/>
          <w:szCs w:val="24"/>
        </w:rPr>
        <w:t>Unge og børn (&lt; 18 år)</w:t>
      </w:r>
    </w:p>
    <w:p w14:paraId="68142DC0" w14:textId="77777777" w:rsidR="00B63A1C" w:rsidRPr="00B63A1C" w:rsidRDefault="00B63A1C" w:rsidP="00B63A1C">
      <w:pPr>
        <w:tabs>
          <w:tab w:val="left" w:pos="851"/>
        </w:tabs>
        <w:ind w:left="851"/>
        <w:rPr>
          <w:i/>
          <w:iCs/>
          <w:sz w:val="24"/>
          <w:szCs w:val="24"/>
        </w:rPr>
      </w:pPr>
      <w:r w:rsidRPr="00B63A1C">
        <w:rPr>
          <w:sz w:val="24"/>
          <w:szCs w:val="24"/>
        </w:rPr>
        <w:t>Dosis og applikationstype varierer afhængigt af graden af hypokalcæmi samt symptomernes type og sværhedsgrad. Oral administration af calcium foretrækkes i tilfælde af lette neuromuskulære symptomer.</w:t>
      </w:r>
    </w:p>
    <w:p w14:paraId="692C1510" w14:textId="77777777" w:rsidR="00B63A1C" w:rsidRPr="00B63A1C" w:rsidRDefault="00B63A1C" w:rsidP="00B63A1C">
      <w:pPr>
        <w:tabs>
          <w:tab w:val="left" w:pos="851"/>
        </w:tabs>
        <w:ind w:left="851"/>
        <w:rPr>
          <w:sz w:val="24"/>
          <w:szCs w:val="24"/>
        </w:rPr>
      </w:pPr>
    </w:p>
    <w:p w14:paraId="5B30E4D9" w14:textId="77777777" w:rsidR="00B63A1C" w:rsidRPr="00B63A1C" w:rsidRDefault="00B63A1C" w:rsidP="00B63A1C">
      <w:pPr>
        <w:tabs>
          <w:tab w:val="left" w:pos="851"/>
        </w:tabs>
        <w:ind w:left="851"/>
        <w:rPr>
          <w:sz w:val="24"/>
          <w:szCs w:val="24"/>
        </w:rPr>
      </w:pPr>
      <w:r w:rsidRPr="00B63A1C">
        <w:rPr>
          <w:sz w:val="24"/>
          <w:szCs w:val="24"/>
        </w:rPr>
        <w:t>Følgende tabel giver sædvanlige indledende doseringsværdier som vejledning:</w:t>
      </w:r>
    </w:p>
    <w:p w14:paraId="7DC83118" w14:textId="77777777" w:rsidR="00B63A1C" w:rsidRPr="00B63A1C" w:rsidRDefault="00B63A1C" w:rsidP="00B63A1C">
      <w:pPr>
        <w:tabs>
          <w:tab w:val="left" w:pos="851"/>
        </w:tabs>
        <w:ind w:left="851"/>
        <w:rPr>
          <w:sz w:val="24"/>
          <w:szCs w:val="24"/>
          <w:u w:val="single"/>
        </w:rPr>
      </w:pPr>
    </w:p>
    <w:tbl>
      <w:tblPr>
        <w:tblW w:w="9298" w:type="dxa"/>
        <w:tblInd w:w="871" w:type="dxa"/>
        <w:tblCellMar>
          <w:left w:w="10" w:type="dxa"/>
          <w:right w:w="10" w:type="dxa"/>
        </w:tblCellMar>
        <w:tblLook w:val="04A0" w:firstRow="1" w:lastRow="0" w:firstColumn="1" w:lastColumn="0" w:noHBand="0" w:noVBand="1"/>
      </w:tblPr>
      <w:tblGrid>
        <w:gridCol w:w="4440"/>
        <w:gridCol w:w="4858"/>
      </w:tblGrid>
      <w:tr w:rsidR="00B63A1C" w:rsidRPr="00B63A1C" w14:paraId="4130E493" w14:textId="77777777" w:rsidTr="00B63A1C">
        <w:trPr>
          <w:trHeight w:hRule="exact" w:val="278"/>
        </w:trPr>
        <w:tc>
          <w:tcPr>
            <w:tcW w:w="4440" w:type="dxa"/>
            <w:tcBorders>
              <w:top w:val="single" w:sz="4" w:space="0" w:color="auto"/>
              <w:left w:val="single" w:sz="4" w:space="0" w:color="auto"/>
              <w:bottom w:val="nil"/>
              <w:right w:val="nil"/>
            </w:tcBorders>
            <w:vAlign w:val="bottom"/>
            <w:hideMark/>
          </w:tcPr>
          <w:p w14:paraId="041064E0" w14:textId="77777777" w:rsidR="00B63A1C" w:rsidRPr="00B63A1C" w:rsidRDefault="00B63A1C" w:rsidP="00B63A1C">
            <w:pPr>
              <w:tabs>
                <w:tab w:val="left" w:pos="851"/>
              </w:tabs>
              <w:ind w:left="851"/>
              <w:rPr>
                <w:sz w:val="24"/>
                <w:szCs w:val="24"/>
              </w:rPr>
            </w:pPr>
            <w:r w:rsidRPr="00B63A1C">
              <w:rPr>
                <w:sz w:val="24"/>
                <w:szCs w:val="24"/>
              </w:rPr>
              <w:t>Alder</w:t>
            </w:r>
          </w:p>
        </w:tc>
        <w:tc>
          <w:tcPr>
            <w:tcW w:w="4858" w:type="dxa"/>
            <w:tcBorders>
              <w:top w:val="single" w:sz="4" w:space="0" w:color="auto"/>
              <w:left w:val="single" w:sz="4" w:space="0" w:color="auto"/>
              <w:bottom w:val="nil"/>
              <w:right w:val="single" w:sz="4" w:space="0" w:color="auto"/>
            </w:tcBorders>
            <w:vAlign w:val="bottom"/>
            <w:hideMark/>
          </w:tcPr>
          <w:p w14:paraId="03FAA24C" w14:textId="77777777" w:rsidR="00B63A1C" w:rsidRPr="00B63A1C" w:rsidRDefault="00B63A1C" w:rsidP="00B63A1C">
            <w:pPr>
              <w:tabs>
                <w:tab w:val="left" w:pos="851"/>
              </w:tabs>
              <w:ind w:left="851"/>
              <w:rPr>
                <w:sz w:val="24"/>
                <w:szCs w:val="24"/>
              </w:rPr>
            </w:pPr>
            <w:r w:rsidRPr="00B63A1C">
              <w:rPr>
                <w:sz w:val="24"/>
                <w:szCs w:val="24"/>
              </w:rPr>
              <w:t>ml/kg</w:t>
            </w:r>
          </w:p>
        </w:tc>
      </w:tr>
      <w:tr w:rsidR="00B63A1C" w:rsidRPr="00B63A1C" w14:paraId="6ED4CF2A" w14:textId="77777777" w:rsidTr="00B63A1C">
        <w:trPr>
          <w:trHeight w:hRule="exact" w:val="269"/>
        </w:trPr>
        <w:tc>
          <w:tcPr>
            <w:tcW w:w="4440" w:type="dxa"/>
            <w:tcBorders>
              <w:top w:val="single" w:sz="4" w:space="0" w:color="auto"/>
              <w:left w:val="single" w:sz="4" w:space="0" w:color="auto"/>
              <w:bottom w:val="single" w:sz="4" w:space="0" w:color="auto"/>
              <w:right w:val="single" w:sz="4" w:space="0" w:color="auto"/>
            </w:tcBorders>
            <w:vAlign w:val="bottom"/>
            <w:hideMark/>
          </w:tcPr>
          <w:p w14:paraId="0BBDA044" w14:textId="77777777" w:rsidR="00B63A1C" w:rsidRPr="00B63A1C" w:rsidRDefault="00B63A1C" w:rsidP="00B63A1C">
            <w:pPr>
              <w:tabs>
                <w:tab w:val="left" w:pos="851"/>
              </w:tabs>
              <w:ind w:left="851"/>
              <w:rPr>
                <w:sz w:val="24"/>
                <w:szCs w:val="24"/>
              </w:rPr>
            </w:pPr>
            <w:r w:rsidRPr="00B63A1C">
              <w:rPr>
                <w:sz w:val="24"/>
                <w:szCs w:val="24"/>
              </w:rPr>
              <w:t>3 måneder</w:t>
            </w:r>
          </w:p>
        </w:tc>
        <w:tc>
          <w:tcPr>
            <w:tcW w:w="4858" w:type="dxa"/>
            <w:tcBorders>
              <w:top w:val="single" w:sz="4" w:space="0" w:color="auto"/>
              <w:left w:val="single" w:sz="4" w:space="0" w:color="auto"/>
              <w:bottom w:val="single" w:sz="4" w:space="0" w:color="auto"/>
              <w:right w:val="single" w:sz="4" w:space="0" w:color="auto"/>
            </w:tcBorders>
            <w:vAlign w:val="bottom"/>
            <w:hideMark/>
          </w:tcPr>
          <w:p w14:paraId="04BA0169" w14:textId="77777777" w:rsidR="00B63A1C" w:rsidRPr="00B63A1C" w:rsidRDefault="00B63A1C" w:rsidP="00B63A1C">
            <w:pPr>
              <w:tabs>
                <w:tab w:val="left" w:pos="851"/>
              </w:tabs>
              <w:ind w:left="851"/>
              <w:rPr>
                <w:sz w:val="24"/>
                <w:szCs w:val="24"/>
              </w:rPr>
            </w:pPr>
            <w:r w:rsidRPr="00B63A1C">
              <w:rPr>
                <w:sz w:val="24"/>
                <w:szCs w:val="24"/>
              </w:rPr>
              <w:t>0,4</w:t>
            </w:r>
            <w:r w:rsidRPr="00B63A1C">
              <w:rPr>
                <w:sz w:val="24"/>
                <w:szCs w:val="24"/>
              </w:rPr>
              <w:noBreakHyphen/>
              <w:t>0,9</w:t>
            </w:r>
          </w:p>
        </w:tc>
      </w:tr>
      <w:tr w:rsidR="00B63A1C" w:rsidRPr="00B63A1C" w14:paraId="4B6119AD" w14:textId="77777777" w:rsidTr="00B63A1C">
        <w:trPr>
          <w:trHeight w:hRule="exact" w:val="274"/>
        </w:trPr>
        <w:tc>
          <w:tcPr>
            <w:tcW w:w="4440" w:type="dxa"/>
            <w:tcBorders>
              <w:top w:val="single" w:sz="4" w:space="0" w:color="auto"/>
              <w:left w:val="single" w:sz="4" w:space="0" w:color="auto"/>
              <w:bottom w:val="single" w:sz="4" w:space="0" w:color="auto"/>
              <w:right w:val="single" w:sz="4" w:space="0" w:color="auto"/>
            </w:tcBorders>
            <w:vAlign w:val="bottom"/>
            <w:hideMark/>
          </w:tcPr>
          <w:p w14:paraId="751C7D09" w14:textId="77777777" w:rsidR="00B63A1C" w:rsidRPr="00B63A1C" w:rsidRDefault="00B63A1C" w:rsidP="00B63A1C">
            <w:pPr>
              <w:tabs>
                <w:tab w:val="left" w:pos="851"/>
              </w:tabs>
              <w:ind w:left="851"/>
              <w:rPr>
                <w:sz w:val="24"/>
                <w:szCs w:val="24"/>
              </w:rPr>
            </w:pPr>
            <w:r w:rsidRPr="00B63A1C">
              <w:rPr>
                <w:sz w:val="24"/>
                <w:szCs w:val="24"/>
              </w:rPr>
              <w:t>6 måneder</w:t>
            </w:r>
          </w:p>
        </w:tc>
        <w:tc>
          <w:tcPr>
            <w:tcW w:w="4858" w:type="dxa"/>
            <w:tcBorders>
              <w:top w:val="single" w:sz="4" w:space="0" w:color="auto"/>
              <w:left w:val="single" w:sz="4" w:space="0" w:color="auto"/>
              <w:bottom w:val="single" w:sz="4" w:space="0" w:color="auto"/>
              <w:right w:val="single" w:sz="4" w:space="0" w:color="auto"/>
            </w:tcBorders>
            <w:vAlign w:val="bottom"/>
            <w:hideMark/>
          </w:tcPr>
          <w:p w14:paraId="60F5A8FF" w14:textId="77777777" w:rsidR="00B63A1C" w:rsidRPr="00B63A1C" w:rsidRDefault="00B63A1C" w:rsidP="00B63A1C">
            <w:pPr>
              <w:tabs>
                <w:tab w:val="left" w:pos="851"/>
              </w:tabs>
              <w:ind w:left="851"/>
              <w:rPr>
                <w:sz w:val="24"/>
                <w:szCs w:val="24"/>
              </w:rPr>
            </w:pPr>
            <w:r w:rsidRPr="00B63A1C">
              <w:rPr>
                <w:sz w:val="24"/>
                <w:szCs w:val="24"/>
              </w:rPr>
              <w:t>0,3</w:t>
            </w:r>
            <w:r w:rsidRPr="00B63A1C">
              <w:rPr>
                <w:sz w:val="24"/>
                <w:szCs w:val="24"/>
              </w:rPr>
              <w:noBreakHyphen/>
              <w:t>0,7</w:t>
            </w:r>
          </w:p>
        </w:tc>
      </w:tr>
      <w:tr w:rsidR="00B63A1C" w:rsidRPr="00B63A1C" w14:paraId="4385093A" w14:textId="77777777" w:rsidTr="00B63A1C">
        <w:trPr>
          <w:trHeight w:hRule="exact" w:val="264"/>
        </w:trPr>
        <w:tc>
          <w:tcPr>
            <w:tcW w:w="4440" w:type="dxa"/>
            <w:tcBorders>
              <w:top w:val="single" w:sz="4" w:space="0" w:color="auto"/>
              <w:left w:val="single" w:sz="4" w:space="0" w:color="auto"/>
              <w:bottom w:val="single" w:sz="4" w:space="0" w:color="auto"/>
              <w:right w:val="single" w:sz="4" w:space="0" w:color="auto"/>
            </w:tcBorders>
            <w:vAlign w:val="bottom"/>
            <w:hideMark/>
          </w:tcPr>
          <w:p w14:paraId="6722CFEC" w14:textId="77777777" w:rsidR="00B63A1C" w:rsidRPr="00B63A1C" w:rsidRDefault="00B63A1C" w:rsidP="00B63A1C">
            <w:pPr>
              <w:tabs>
                <w:tab w:val="left" w:pos="851"/>
              </w:tabs>
              <w:ind w:left="851"/>
              <w:rPr>
                <w:sz w:val="24"/>
                <w:szCs w:val="24"/>
              </w:rPr>
            </w:pPr>
            <w:r w:rsidRPr="00B63A1C">
              <w:rPr>
                <w:sz w:val="24"/>
                <w:szCs w:val="24"/>
              </w:rPr>
              <w:t>1 år</w:t>
            </w:r>
          </w:p>
        </w:tc>
        <w:tc>
          <w:tcPr>
            <w:tcW w:w="4858" w:type="dxa"/>
            <w:tcBorders>
              <w:top w:val="single" w:sz="4" w:space="0" w:color="auto"/>
              <w:left w:val="single" w:sz="4" w:space="0" w:color="auto"/>
              <w:bottom w:val="single" w:sz="4" w:space="0" w:color="auto"/>
              <w:right w:val="single" w:sz="4" w:space="0" w:color="auto"/>
            </w:tcBorders>
            <w:vAlign w:val="bottom"/>
            <w:hideMark/>
          </w:tcPr>
          <w:p w14:paraId="3D8F74EA" w14:textId="77777777" w:rsidR="00B63A1C" w:rsidRPr="00B63A1C" w:rsidRDefault="00B63A1C" w:rsidP="00B63A1C">
            <w:pPr>
              <w:tabs>
                <w:tab w:val="left" w:pos="851"/>
              </w:tabs>
              <w:ind w:left="851"/>
              <w:rPr>
                <w:sz w:val="24"/>
                <w:szCs w:val="24"/>
              </w:rPr>
            </w:pPr>
            <w:r w:rsidRPr="00B63A1C">
              <w:rPr>
                <w:sz w:val="24"/>
                <w:szCs w:val="24"/>
              </w:rPr>
              <w:t>0,2</w:t>
            </w:r>
            <w:r w:rsidRPr="00B63A1C">
              <w:rPr>
                <w:sz w:val="24"/>
                <w:szCs w:val="24"/>
              </w:rPr>
              <w:noBreakHyphen/>
              <w:t>0,5</w:t>
            </w:r>
          </w:p>
        </w:tc>
      </w:tr>
      <w:tr w:rsidR="00B63A1C" w:rsidRPr="00B63A1C" w14:paraId="0CDF8EA2" w14:textId="77777777" w:rsidTr="00B63A1C">
        <w:trPr>
          <w:trHeight w:hRule="exact" w:val="274"/>
        </w:trPr>
        <w:tc>
          <w:tcPr>
            <w:tcW w:w="4440" w:type="dxa"/>
            <w:tcBorders>
              <w:top w:val="single" w:sz="4" w:space="0" w:color="auto"/>
              <w:left w:val="single" w:sz="4" w:space="0" w:color="auto"/>
              <w:bottom w:val="single" w:sz="4" w:space="0" w:color="auto"/>
              <w:right w:val="single" w:sz="4" w:space="0" w:color="auto"/>
            </w:tcBorders>
            <w:vAlign w:val="bottom"/>
            <w:hideMark/>
          </w:tcPr>
          <w:p w14:paraId="61BFD634" w14:textId="77777777" w:rsidR="00B63A1C" w:rsidRPr="00B63A1C" w:rsidRDefault="00B63A1C" w:rsidP="00B63A1C">
            <w:pPr>
              <w:tabs>
                <w:tab w:val="left" w:pos="851"/>
              </w:tabs>
              <w:ind w:left="851"/>
              <w:rPr>
                <w:sz w:val="24"/>
                <w:szCs w:val="24"/>
              </w:rPr>
            </w:pPr>
            <w:r w:rsidRPr="00B63A1C">
              <w:rPr>
                <w:sz w:val="24"/>
                <w:szCs w:val="24"/>
              </w:rPr>
              <w:t>3 år</w:t>
            </w:r>
          </w:p>
        </w:tc>
        <w:tc>
          <w:tcPr>
            <w:tcW w:w="4858" w:type="dxa"/>
            <w:tcBorders>
              <w:top w:val="single" w:sz="4" w:space="0" w:color="auto"/>
              <w:left w:val="single" w:sz="4" w:space="0" w:color="auto"/>
              <w:bottom w:val="single" w:sz="4" w:space="0" w:color="auto"/>
              <w:right w:val="single" w:sz="4" w:space="0" w:color="auto"/>
            </w:tcBorders>
            <w:vAlign w:val="bottom"/>
            <w:hideMark/>
          </w:tcPr>
          <w:p w14:paraId="17896475" w14:textId="77777777" w:rsidR="00B63A1C" w:rsidRPr="00B63A1C" w:rsidRDefault="00B63A1C" w:rsidP="00B63A1C">
            <w:pPr>
              <w:tabs>
                <w:tab w:val="left" w:pos="851"/>
              </w:tabs>
              <w:ind w:left="851"/>
              <w:rPr>
                <w:sz w:val="24"/>
                <w:szCs w:val="24"/>
              </w:rPr>
            </w:pPr>
            <w:r w:rsidRPr="00B63A1C">
              <w:rPr>
                <w:sz w:val="24"/>
                <w:szCs w:val="24"/>
              </w:rPr>
              <w:t>0,4</w:t>
            </w:r>
            <w:r w:rsidRPr="00B63A1C">
              <w:rPr>
                <w:sz w:val="24"/>
                <w:szCs w:val="24"/>
              </w:rPr>
              <w:noBreakHyphen/>
              <w:t>0,7</w:t>
            </w:r>
          </w:p>
        </w:tc>
      </w:tr>
      <w:tr w:rsidR="00B63A1C" w:rsidRPr="00B63A1C" w14:paraId="738A7FED" w14:textId="77777777" w:rsidTr="00B63A1C">
        <w:trPr>
          <w:trHeight w:hRule="exact" w:val="269"/>
        </w:trPr>
        <w:tc>
          <w:tcPr>
            <w:tcW w:w="4440" w:type="dxa"/>
            <w:tcBorders>
              <w:top w:val="single" w:sz="4" w:space="0" w:color="auto"/>
              <w:left w:val="single" w:sz="4" w:space="0" w:color="auto"/>
              <w:bottom w:val="single" w:sz="4" w:space="0" w:color="auto"/>
              <w:right w:val="single" w:sz="4" w:space="0" w:color="auto"/>
            </w:tcBorders>
            <w:vAlign w:val="bottom"/>
            <w:hideMark/>
          </w:tcPr>
          <w:p w14:paraId="776FA42E" w14:textId="77777777" w:rsidR="00B63A1C" w:rsidRPr="00B63A1C" w:rsidRDefault="00B63A1C" w:rsidP="00B63A1C">
            <w:pPr>
              <w:tabs>
                <w:tab w:val="left" w:pos="851"/>
              </w:tabs>
              <w:ind w:left="851"/>
              <w:rPr>
                <w:sz w:val="24"/>
                <w:szCs w:val="24"/>
              </w:rPr>
            </w:pPr>
            <w:r w:rsidRPr="00B63A1C">
              <w:rPr>
                <w:sz w:val="24"/>
                <w:szCs w:val="24"/>
              </w:rPr>
              <w:t>7,5 år</w:t>
            </w:r>
          </w:p>
        </w:tc>
        <w:tc>
          <w:tcPr>
            <w:tcW w:w="4858" w:type="dxa"/>
            <w:tcBorders>
              <w:top w:val="single" w:sz="4" w:space="0" w:color="auto"/>
              <w:left w:val="single" w:sz="4" w:space="0" w:color="auto"/>
              <w:bottom w:val="single" w:sz="4" w:space="0" w:color="auto"/>
              <w:right w:val="single" w:sz="4" w:space="0" w:color="auto"/>
            </w:tcBorders>
            <w:vAlign w:val="bottom"/>
            <w:hideMark/>
          </w:tcPr>
          <w:p w14:paraId="10FA75EB" w14:textId="77777777" w:rsidR="00B63A1C" w:rsidRPr="00B63A1C" w:rsidRDefault="00B63A1C" w:rsidP="00B63A1C">
            <w:pPr>
              <w:tabs>
                <w:tab w:val="left" w:pos="851"/>
              </w:tabs>
              <w:ind w:left="851"/>
              <w:rPr>
                <w:sz w:val="24"/>
                <w:szCs w:val="24"/>
              </w:rPr>
            </w:pPr>
            <w:r w:rsidRPr="00B63A1C">
              <w:rPr>
                <w:sz w:val="24"/>
                <w:szCs w:val="24"/>
              </w:rPr>
              <w:t>0,2</w:t>
            </w:r>
            <w:r w:rsidRPr="00B63A1C">
              <w:rPr>
                <w:sz w:val="24"/>
                <w:szCs w:val="24"/>
              </w:rPr>
              <w:noBreakHyphen/>
              <w:t>0,4</w:t>
            </w:r>
          </w:p>
        </w:tc>
      </w:tr>
      <w:tr w:rsidR="00B63A1C" w:rsidRPr="00B63A1C" w14:paraId="3FE794EC" w14:textId="77777777" w:rsidTr="00B63A1C">
        <w:trPr>
          <w:trHeight w:hRule="exact" w:val="274"/>
        </w:trPr>
        <w:tc>
          <w:tcPr>
            <w:tcW w:w="4440" w:type="dxa"/>
            <w:tcBorders>
              <w:top w:val="single" w:sz="4" w:space="0" w:color="auto"/>
              <w:left w:val="single" w:sz="4" w:space="0" w:color="auto"/>
              <w:bottom w:val="single" w:sz="4" w:space="0" w:color="auto"/>
              <w:right w:val="single" w:sz="4" w:space="0" w:color="auto"/>
            </w:tcBorders>
            <w:vAlign w:val="bottom"/>
            <w:hideMark/>
          </w:tcPr>
          <w:p w14:paraId="235A92D9" w14:textId="77777777" w:rsidR="00B63A1C" w:rsidRPr="00B63A1C" w:rsidRDefault="00B63A1C" w:rsidP="00B63A1C">
            <w:pPr>
              <w:tabs>
                <w:tab w:val="left" w:pos="851"/>
              </w:tabs>
              <w:ind w:left="851"/>
              <w:rPr>
                <w:sz w:val="24"/>
                <w:szCs w:val="24"/>
              </w:rPr>
            </w:pPr>
            <w:r w:rsidRPr="00B63A1C">
              <w:rPr>
                <w:sz w:val="24"/>
                <w:szCs w:val="24"/>
              </w:rPr>
              <w:t>12 år</w:t>
            </w:r>
          </w:p>
        </w:tc>
        <w:tc>
          <w:tcPr>
            <w:tcW w:w="4858" w:type="dxa"/>
            <w:tcBorders>
              <w:top w:val="single" w:sz="4" w:space="0" w:color="auto"/>
              <w:left w:val="single" w:sz="4" w:space="0" w:color="auto"/>
              <w:bottom w:val="single" w:sz="4" w:space="0" w:color="auto"/>
              <w:right w:val="single" w:sz="4" w:space="0" w:color="auto"/>
            </w:tcBorders>
            <w:vAlign w:val="bottom"/>
            <w:hideMark/>
          </w:tcPr>
          <w:p w14:paraId="64C04A19" w14:textId="77777777" w:rsidR="00B63A1C" w:rsidRPr="00B63A1C" w:rsidRDefault="00B63A1C" w:rsidP="00B63A1C">
            <w:pPr>
              <w:tabs>
                <w:tab w:val="left" w:pos="851"/>
              </w:tabs>
              <w:ind w:left="851"/>
              <w:rPr>
                <w:sz w:val="24"/>
                <w:szCs w:val="24"/>
              </w:rPr>
            </w:pPr>
            <w:r w:rsidRPr="00B63A1C">
              <w:rPr>
                <w:sz w:val="24"/>
                <w:szCs w:val="24"/>
              </w:rPr>
              <w:t>0,1</w:t>
            </w:r>
            <w:r w:rsidRPr="00B63A1C">
              <w:rPr>
                <w:sz w:val="24"/>
                <w:szCs w:val="24"/>
              </w:rPr>
              <w:noBreakHyphen/>
              <w:t>0,3</w:t>
            </w:r>
          </w:p>
        </w:tc>
      </w:tr>
      <w:tr w:rsidR="00B63A1C" w:rsidRPr="00B63A1C" w14:paraId="46AFB892" w14:textId="77777777" w:rsidTr="00B63A1C">
        <w:trPr>
          <w:trHeight w:hRule="exact" w:val="278"/>
        </w:trPr>
        <w:tc>
          <w:tcPr>
            <w:tcW w:w="4440" w:type="dxa"/>
            <w:tcBorders>
              <w:top w:val="single" w:sz="4" w:space="0" w:color="auto"/>
              <w:left w:val="single" w:sz="4" w:space="0" w:color="auto"/>
              <w:bottom w:val="single" w:sz="4" w:space="0" w:color="auto"/>
              <w:right w:val="nil"/>
            </w:tcBorders>
            <w:vAlign w:val="bottom"/>
            <w:hideMark/>
          </w:tcPr>
          <w:p w14:paraId="3248F488" w14:textId="77777777" w:rsidR="00B63A1C" w:rsidRPr="00B63A1C" w:rsidRDefault="00B63A1C" w:rsidP="00B63A1C">
            <w:pPr>
              <w:tabs>
                <w:tab w:val="left" w:pos="851"/>
              </w:tabs>
              <w:ind w:left="851"/>
              <w:rPr>
                <w:sz w:val="24"/>
                <w:szCs w:val="24"/>
              </w:rPr>
            </w:pPr>
            <w:r w:rsidRPr="00B63A1C">
              <w:rPr>
                <w:sz w:val="24"/>
                <w:szCs w:val="24"/>
              </w:rPr>
              <w:t>&gt; 12 år</w:t>
            </w:r>
          </w:p>
        </w:tc>
        <w:tc>
          <w:tcPr>
            <w:tcW w:w="4858" w:type="dxa"/>
            <w:tcBorders>
              <w:top w:val="single" w:sz="4" w:space="0" w:color="auto"/>
              <w:left w:val="single" w:sz="4" w:space="0" w:color="auto"/>
              <w:bottom w:val="single" w:sz="4" w:space="0" w:color="auto"/>
              <w:right w:val="single" w:sz="4" w:space="0" w:color="auto"/>
            </w:tcBorders>
            <w:vAlign w:val="bottom"/>
            <w:hideMark/>
          </w:tcPr>
          <w:p w14:paraId="33D9D43B" w14:textId="77777777" w:rsidR="00B63A1C" w:rsidRPr="00B63A1C" w:rsidRDefault="00B63A1C" w:rsidP="00B63A1C">
            <w:pPr>
              <w:tabs>
                <w:tab w:val="left" w:pos="851"/>
              </w:tabs>
              <w:ind w:left="851"/>
              <w:rPr>
                <w:sz w:val="24"/>
                <w:szCs w:val="24"/>
              </w:rPr>
            </w:pPr>
            <w:r w:rsidRPr="00B63A1C">
              <w:rPr>
                <w:sz w:val="24"/>
                <w:szCs w:val="24"/>
              </w:rPr>
              <w:t>som for voksne</w:t>
            </w:r>
          </w:p>
        </w:tc>
      </w:tr>
    </w:tbl>
    <w:p w14:paraId="5E488A69" w14:textId="77777777" w:rsidR="00B63A1C" w:rsidRPr="00B63A1C" w:rsidRDefault="00B63A1C" w:rsidP="00B63A1C">
      <w:pPr>
        <w:tabs>
          <w:tab w:val="left" w:pos="851"/>
        </w:tabs>
        <w:ind w:left="851"/>
        <w:rPr>
          <w:sz w:val="24"/>
          <w:szCs w:val="24"/>
          <w:u w:val="single"/>
        </w:rPr>
      </w:pPr>
    </w:p>
    <w:p w14:paraId="1FF2C207" w14:textId="2AE94B09" w:rsidR="00B63A1C" w:rsidRDefault="00B63A1C" w:rsidP="00B63A1C">
      <w:pPr>
        <w:tabs>
          <w:tab w:val="left" w:pos="851"/>
        </w:tabs>
        <w:ind w:left="851"/>
        <w:rPr>
          <w:sz w:val="24"/>
          <w:szCs w:val="24"/>
          <w:u w:val="single"/>
        </w:rPr>
      </w:pPr>
      <w:r w:rsidRPr="00B63A1C">
        <w:rPr>
          <w:sz w:val="24"/>
          <w:szCs w:val="24"/>
          <w:u w:val="single"/>
        </w:rPr>
        <w:t>Dette svarer nogenlunde til:</w:t>
      </w:r>
    </w:p>
    <w:p w14:paraId="52F0503D" w14:textId="77777777" w:rsidR="00B63A1C" w:rsidRPr="00B63A1C" w:rsidRDefault="00B63A1C" w:rsidP="00B63A1C">
      <w:pPr>
        <w:tabs>
          <w:tab w:val="left" w:pos="851"/>
        </w:tabs>
        <w:ind w:left="851"/>
        <w:rPr>
          <w:sz w:val="24"/>
          <w:szCs w:val="24"/>
          <w:u w:val="single"/>
        </w:rPr>
      </w:pPr>
    </w:p>
    <w:p w14:paraId="3F0A3EE4" w14:textId="77777777" w:rsidR="00B63A1C" w:rsidRPr="00B63A1C" w:rsidRDefault="00B63A1C" w:rsidP="00B63A1C">
      <w:pPr>
        <w:tabs>
          <w:tab w:val="left" w:pos="851"/>
        </w:tabs>
        <w:ind w:left="851"/>
        <w:rPr>
          <w:i/>
          <w:iCs/>
          <w:sz w:val="24"/>
          <w:szCs w:val="24"/>
        </w:rPr>
      </w:pPr>
      <w:r w:rsidRPr="00B63A1C">
        <w:rPr>
          <w:i/>
          <w:sz w:val="24"/>
          <w:szCs w:val="24"/>
        </w:rPr>
        <w:t>Spædbørn, små børn og børn &lt; 4 år</w:t>
      </w:r>
    </w:p>
    <w:p w14:paraId="071B7B16" w14:textId="77777777" w:rsidR="00B63A1C" w:rsidRPr="00B63A1C" w:rsidRDefault="00B63A1C" w:rsidP="00B63A1C">
      <w:pPr>
        <w:tabs>
          <w:tab w:val="left" w:pos="851"/>
        </w:tabs>
        <w:ind w:left="851"/>
        <w:rPr>
          <w:sz w:val="24"/>
          <w:szCs w:val="24"/>
        </w:rPr>
      </w:pPr>
      <w:r w:rsidRPr="00B63A1C">
        <w:rPr>
          <w:sz w:val="24"/>
          <w:szCs w:val="24"/>
        </w:rPr>
        <w:t>- 0,4</w:t>
      </w:r>
      <w:r w:rsidRPr="00B63A1C">
        <w:rPr>
          <w:sz w:val="24"/>
          <w:szCs w:val="24"/>
        </w:rPr>
        <w:noBreakHyphen/>
        <w:t>1 ml/kg legemsvægt (0,09</w:t>
      </w:r>
      <w:r w:rsidRPr="00B63A1C">
        <w:rPr>
          <w:sz w:val="24"/>
          <w:szCs w:val="24"/>
        </w:rPr>
        <w:noBreakHyphen/>
        <w:t>0,23 mmol calcium pr. kg legemsvægt) til spædbørn, små børn og børn op til 3 år.</w:t>
      </w:r>
    </w:p>
    <w:p w14:paraId="444DAEB1" w14:textId="77777777" w:rsidR="00B63A1C" w:rsidRPr="00B63A1C" w:rsidRDefault="00B63A1C" w:rsidP="00B63A1C">
      <w:pPr>
        <w:tabs>
          <w:tab w:val="left" w:pos="851"/>
        </w:tabs>
        <w:ind w:left="851"/>
        <w:rPr>
          <w:sz w:val="24"/>
          <w:szCs w:val="24"/>
        </w:rPr>
      </w:pPr>
    </w:p>
    <w:p w14:paraId="7333A2E0" w14:textId="77777777" w:rsidR="00B63A1C" w:rsidRPr="00B63A1C" w:rsidRDefault="00B63A1C" w:rsidP="00B63A1C">
      <w:pPr>
        <w:tabs>
          <w:tab w:val="left" w:pos="851"/>
        </w:tabs>
        <w:ind w:left="851"/>
        <w:rPr>
          <w:sz w:val="24"/>
          <w:szCs w:val="24"/>
        </w:rPr>
      </w:pPr>
      <w:r w:rsidRPr="00B63A1C">
        <w:rPr>
          <w:sz w:val="24"/>
          <w:szCs w:val="24"/>
        </w:rPr>
        <w:t>I tilfælde af alvorlige hypokalcæmiske symptomer hos nyfødte og spædbørn, som for eksempel med hjertesymptomer, kan højere startdoser være nødvendige for at opnå en hurtig normalisering af serumcalciumniveauerne (op til 2 ml pr. kg legemsvægt, 0,45 mmol calcium pr. kg legemsvægt).</w:t>
      </w:r>
    </w:p>
    <w:p w14:paraId="1EFC5EC4" w14:textId="77777777" w:rsidR="00B63A1C" w:rsidRPr="00B63A1C" w:rsidRDefault="00B63A1C" w:rsidP="00B63A1C">
      <w:pPr>
        <w:tabs>
          <w:tab w:val="left" w:pos="851"/>
        </w:tabs>
        <w:ind w:left="851"/>
        <w:rPr>
          <w:sz w:val="24"/>
          <w:szCs w:val="24"/>
        </w:rPr>
      </w:pPr>
    </w:p>
    <w:p w14:paraId="52CC548D" w14:textId="77777777" w:rsidR="00B63A1C" w:rsidRPr="00B63A1C" w:rsidRDefault="00B63A1C" w:rsidP="00B63A1C">
      <w:pPr>
        <w:tabs>
          <w:tab w:val="left" w:pos="851"/>
        </w:tabs>
        <w:ind w:left="851"/>
        <w:rPr>
          <w:i/>
          <w:iCs/>
          <w:sz w:val="24"/>
          <w:szCs w:val="24"/>
        </w:rPr>
      </w:pPr>
      <w:r w:rsidRPr="00B63A1C">
        <w:rPr>
          <w:i/>
          <w:sz w:val="24"/>
          <w:szCs w:val="24"/>
        </w:rPr>
        <w:t>Børn fra &gt; 4 år til 12 år</w:t>
      </w:r>
    </w:p>
    <w:p w14:paraId="03D48CC7" w14:textId="77777777" w:rsidR="00B63A1C" w:rsidRPr="00B63A1C" w:rsidRDefault="00B63A1C" w:rsidP="00B63A1C">
      <w:pPr>
        <w:tabs>
          <w:tab w:val="left" w:pos="851"/>
        </w:tabs>
        <w:ind w:left="851"/>
        <w:rPr>
          <w:sz w:val="24"/>
          <w:szCs w:val="24"/>
        </w:rPr>
      </w:pPr>
      <w:r w:rsidRPr="00B63A1C">
        <w:rPr>
          <w:sz w:val="24"/>
          <w:szCs w:val="24"/>
        </w:rPr>
        <w:t>- 0,2</w:t>
      </w:r>
      <w:r w:rsidRPr="00B63A1C">
        <w:rPr>
          <w:sz w:val="24"/>
          <w:szCs w:val="24"/>
        </w:rPr>
        <w:noBreakHyphen/>
        <w:t>0,5 ml/kg legemsvægt (0,05</w:t>
      </w:r>
      <w:r w:rsidRPr="00B63A1C">
        <w:rPr>
          <w:sz w:val="24"/>
          <w:szCs w:val="24"/>
        </w:rPr>
        <w:noBreakHyphen/>
        <w:t>0,11 mmol calcium pr. kg legemsvægt) for børn i alderen 4</w:t>
      </w:r>
      <w:r w:rsidRPr="00B63A1C">
        <w:rPr>
          <w:sz w:val="24"/>
          <w:szCs w:val="24"/>
        </w:rPr>
        <w:noBreakHyphen/>
        <w:t>12 år.</w:t>
      </w:r>
    </w:p>
    <w:p w14:paraId="0C2962D2" w14:textId="77777777" w:rsidR="00B63A1C" w:rsidRPr="00B63A1C" w:rsidRDefault="00B63A1C" w:rsidP="00B63A1C">
      <w:pPr>
        <w:tabs>
          <w:tab w:val="left" w:pos="851"/>
        </w:tabs>
        <w:ind w:left="851"/>
        <w:rPr>
          <w:sz w:val="24"/>
          <w:szCs w:val="24"/>
        </w:rPr>
      </w:pPr>
    </w:p>
    <w:p w14:paraId="2AC0D26E" w14:textId="77777777" w:rsidR="00B63A1C" w:rsidRPr="00B63A1C" w:rsidRDefault="00B63A1C" w:rsidP="00B63A1C">
      <w:pPr>
        <w:tabs>
          <w:tab w:val="left" w:pos="851"/>
        </w:tabs>
        <w:ind w:left="851"/>
        <w:rPr>
          <w:i/>
          <w:iCs/>
          <w:sz w:val="24"/>
          <w:szCs w:val="24"/>
        </w:rPr>
      </w:pPr>
      <w:r w:rsidRPr="00B63A1C">
        <w:rPr>
          <w:i/>
          <w:sz w:val="24"/>
          <w:szCs w:val="24"/>
        </w:rPr>
        <w:t>Unge &gt; 12 år</w:t>
      </w:r>
    </w:p>
    <w:p w14:paraId="42558C05" w14:textId="77777777" w:rsidR="00B63A1C" w:rsidRPr="00B63A1C" w:rsidRDefault="00B63A1C" w:rsidP="00B63A1C">
      <w:pPr>
        <w:tabs>
          <w:tab w:val="left" w:pos="851"/>
        </w:tabs>
        <w:ind w:left="851"/>
        <w:rPr>
          <w:sz w:val="24"/>
          <w:szCs w:val="24"/>
        </w:rPr>
      </w:pPr>
      <w:r w:rsidRPr="00B63A1C">
        <w:rPr>
          <w:sz w:val="24"/>
          <w:szCs w:val="24"/>
        </w:rPr>
        <w:t>Hos patienter over 12 år skal der bruges samme dosering som hos voksne.</w:t>
      </w:r>
    </w:p>
    <w:p w14:paraId="66E96F49" w14:textId="77777777" w:rsidR="00B63A1C" w:rsidRPr="00B63A1C" w:rsidRDefault="00B63A1C" w:rsidP="00B63A1C">
      <w:pPr>
        <w:tabs>
          <w:tab w:val="left" w:pos="851"/>
        </w:tabs>
        <w:ind w:left="851"/>
        <w:rPr>
          <w:sz w:val="24"/>
          <w:szCs w:val="24"/>
        </w:rPr>
      </w:pPr>
    </w:p>
    <w:p w14:paraId="245F2AB3" w14:textId="77777777" w:rsidR="00B63A1C" w:rsidRPr="00B63A1C" w:rsidRDefault="00B63A1C" w:rsidP="00B63A1C">
      <w:pPr>
        <w:tabs>
          <w:tab w:val="left" w:pos="851"/>
        </w:tabs>
        <w:ind w:left="851"/>
        <w:rPr>
          <w:sz w:val="24"/>
          <w:szCs w:val="24"/>
        </w:rPr>
      </w:pPr>
      <w:r w:rsidRPr="00B63A1C">
        <w:rPr>
          <w:sz w:val="24"/>
          <w:szCs w:val="24"/>
        </w:rPr>
        <w:t>Om nødvendigt kan dosis gentages afhængigt af patientens kliniske tilstand. Niveauet af efterfølgende doser varierer i overensstemmelse med den aktuelle serumcalciumkoncentration.</w:t>
      </w:r>
    </w:p>
    <w:p w14:paraId="71F5CD12" w14:textId="77777777" w:rsidR="00B63A1C" w:rsidRPr="00B63A1C" w:rsidRDefault="00B63A1C" w:rsidP="00B63A1C">
      <w:pPr>
        <w:tabs>
          <w:tab w:val="left" w:pos="851"/>
        </w:tabs>
        <w:ind w:left="851"/>
        <w:rPr>
          <w:sz w:val="24"/>
          <w:szCs w:val="24"/>
        </w:rPr>
      </w:pPr>
    </w:p>
    <w:p w14:paraId="7DC926A5" w14:textId="77777777" w:rsidR="00B63A1C" w:rsidRPr="00B63A1C" w:rsidRDefault="00B63A1C" w:rsidP="00B63A1C">
      <w:pPr>
        <w:tabs>
          <w:tab w:val="left" w:pos="851"/>
        </w:tabs>
        <w:ind w:left="851"/>
        <w:rPr>
          <w:sz w:val="24"/>
          <w:szCs w:val="24"/>
        </w:rPr>
      </w:pPr>
      <w:r w:rsidRPr="00B63A1C">
        <w:rPr>
          <w:sz w:val="24"/>
          <w:szCs w:val="24"/>
        </w:rPr>
        <w:t>Hvor det er relevant, kan en efterfølgende behandling med oralt calcium være indikeret efter intravenøs behandling, såsom i tilfælde af calciferolmangel.</w:t>
      </w:r>
    </w:p>
    <w:p w14:paraId="28DC7291" w14:textId="6843284C" w:rsidR="00B63A1C" w:rsidRDefault="00B63A1C">
      <w:pPr>
        <w:rPr>
          <w:sz w:val="24"/>
          <w:szCs w:val="24"/>
        </w:rPr>
      </w:pPr>
      <w:r>
        <w:rPr>
          <w:sz w:val="24"/>
          <w:szCs w:val="24"/>
        </w:rPr>
        <w:br w:type="page"/>
      </w:r>
    </w:p>
    <w:p w14:paraId="736DDA47" w14:textId="77777777" w:rsidR="00B63A1C" w:rsidRPr="00B63A1C" w:rsidRDefault="00B63A1C" w:rsidP="00B63A1C">
      <w:pPr>
        <w:tabs>
          <w:tab w:val="left" w:pos="851"/>
        </w:tabs>
        <w:ind w:left="851"/>
        <w:rPr>
          <w:sz w:val="24"/>
          <w:szCs w:val="24"/>
        </w:rPr>
      </w:pPr>
    </w:p>
    <w:p w14:paraId="2C23EA70" w14:textId="77777777" w:rsidR="00B63A1C" w:rsidRPr="00B63A1C" w:rsidRDefault="00B63A1C" w:rsidP="00B63A1C">
      <w:pPr>
        <w:tabs>
          <w:tab w:val="left" w:pos="851"/>
        </w:tabs>
        <w:ind w:left="851"/>
        <w:rPr>
          <w:i/>
          <w:iCs/>
          <w:sz w:val="24"/>
          <w:szCs w:val="24"/>
        </w:rPr>
      </w:pPr>
      <w:r w:rsidRPr="00B63A1C">
        <w:rPr>
          <w:i/>
          <w:sz w:val="24"/>
          <w:szCs w:val="24"/>
        </w:rPr>
        <w:t>Ældre patienter</w:t>
      </w:r>
    </w:p>
    <w:p w14:paraId="78E58248" w14:textId="77777777" w:rsidR="00B63A1C" w:rsidRPr="00B63A1C" w:rsidRDefault="00B63A1C" w:rsidP="00B63A1C">
      <w:pPr>
        <w:tabs>
          <w:tab w:val="left" w:pos="851"/>
        </w:tabs>
        <w:ind w:left="851"/>
        <w:rPr>
          <w:sz w:val="24"/>
          <w:szCs w:val="24"/>
        </w:rPr>
      </w:pPr>
      <w:r w:rsidRPr="00B63A1C">
        <w:rPr>
          <w:sz w:val="24"/>
          <w:szCs w:val="24"/>
        </w:rPr>
        <w:t>Selvom der ikke er evidens for, at tolerancen af calciumgluconatinjektion påvirkes direkte af fremskreden alder, kan faktorer, der undertiden kan være forbundet med aldring, såsom nedsat nyrefunktion og dårlig kost, indirekte påvirke tolerancen og en reduktion i dosering kan være nødvendig.</w:t>
      </w:r>
    </w:p>
    <w:p w14:paraId="17C3FBD2" w14:textId="77777777" w:rsidR="00B63A1C" w:rsidRPr="00B63A1C" w:rsidRDefault="00B63A1C" w:rsidP="00B63A1C">
      <w:pPr>
        <w:tabs>
          <w:tab w:val="left" w:pos="851"/>
        </w:tabs>
        <w:ind w:left="851"/>
        <w:rPr>
          <w:sz w:val="24"/>
          <w:szCs w:val="24"/>
        </w:rPr>
      </w:pPr>
    </w:p>
    <w:p w14:paraId="54A05DE9" w14:textId="77777777" w:rsidR="00B63A1C" w:rsidRPr="00B63A1C" w:rsidRDefault="00B63A1C" w:rsidP="00B63A1C">
      <w:pPr>
        <w:tabs>
          <w:tab w:val="left" w:pos="851"/>
        </w:tabs>
        <w:ind w:left="851"/>
        <w:rPr>
          <w:i/>
          <w:iCs/>
          <w:sz w:val="24"/>
          <w:szCs w:val="24"/>
        </w:rPr>
      </w:pPr>
      <w:r w:rsidRPr="00B63A1C">
        <w:rPr>
          <w:i/>
          <w:sz w:val="24"/>
          <w:szCs w:val="24"/>
        </w:rPr>
        <w:t>Patienter med nedsat leverfunktion</w:t>
      </w:r>
    </w:p>
    <w:p w14:paraId="273F9D72" w14:textId="77777777" w:rsidR="00B63A1C" w:rsidRPr="00B63A1C" w:rsidRDefault="00B63A1C" w:rsidP="00B63A1C">
      <w:pPr>
        <w:tabs>
          <w:tab w:val="left" w:pos="851"/>
        </w:tabs>
        <w:ind w:left="851"/>
        <w:rPr>
          <w:sz w:val="24"/>
          <w:szCs w:val="24"/>
        </w:rPr>
      </w:pPr>
      <w:r w:rsidRPr="00B63A1C">
        <w:rPr>
          <w:sz w:val="24"/>
          <w:szCs w:val="24"/>
        </w:rPr>
        <w:t>Ingen dosisjusteringer er nødvendige.</w:t>
      </w:r>
    </w:p>
    <w:p w14:paraId="4E87E42C" w14:textId="77777777" w:rsidR="00B63A1C" w:rsidRPr="00B63A1C" w:rsidRDefault="00B63A1C" w:rsidP="00B63A1C">
      <w:pPr>
        <w:tabs>
          <w:tab w:val="left" w:pos="851"/>
        </w:tabs>
        <w:ind w:left="851"/>
        <w:rPr>
          <w:sz w:val="24"/>
          <w:szCs w:val="24"/>
        </w:rPr>
      </w:pPr>
    </w:p>
    <w:p w14:paraId="4E4949F2" w14:textId="77777777" w:rsidR="00B63A1C" w:rsidRPr="00B63A1C" w:rsidRDefault="00B63A1C" w:rsidP="00B63A1C">
      <w:pPr>
        <w:tabs>
          <w:tab w:val="left" w:pos="851"/>
        </w:tabs>
        <w:ind w:left="851"/>
        <w:rPr>
          <w:i/>
          <w:iCs/>
          <w:sz w:val="24"/>
          <w:szCs w:val="24"/>
        </w:rPr>
      </w:pPr>
      <w:r w:rsidRPr="00B63A1C">
        <w:rPr>
          <w:i/>
          <w:sz w:val="24"/>
          <w:szCs w:val="24"/>
        </w:rPr>
        <w:t>Patienter med nedsat nyrefunktion</w:t>
      </w:r>
    </w:p>
    <w:p w14:paraId="6CA69A35" w14:textId="77777777" w:rsidR="00B63A1C" w:rsidRPr="00B63A1C" w:rsidRDefault="00B63A1C" w:rsidP="00B63A1C">
      <w:pPr>
        <w:tabs>
          <w:tab w:val="left" w:pos="851"/>
        </w:tabs>
        <w:ind w:left="851"/>
        <w:rPr>
          <w:sz w:val="24"/>
          <w:szCs w:val="24"/>
        </w:rPr>
      </w:pPr>
      <w:r w:rsidRPr="00B63A1C">
        <w:rPr>
          <w:sz w:val="24"/>
          <w:szCs w:val="24"/>
        </w:rPr>
        <w:t>Kan være nødvendigt med en dosisreduktion (se afsnittet ”Ældre patienter” ovenfor og pkt. 4.4).</w:t>
      </w:r>
    </w:p>
    <w:p w14:paraId="4E76E687" w14:textId="77777777" w:rsidR="00B63A1C" w:rsidRPr="00B63A1C" w:rsidRDefault="00B63A1C" w:rsidP="00B63A1C">
      <w:pPr>
        <w:tabs>
          <w:tab w:val="left" w:pos="851"/>
        </w:tabs>
        <w:ind w:left="851"/>
        <w:rPr>
          <w:bCs/>
          <w:sz w:val="24"/>
          <w:szCs w:val="24"/>
        </w:rPr>
      </w:pPr>
    </w:p>
    <w:p w14:paraId="4276ABE0" w14:textId="77777777" w:rsidR="00B63A1C" w:rsidRPr="00B63A1C" w:rsidRDefault="00B63A1C" w:rsidP="00B63A1C">
      <w:pPr>
        <w:tabs>
          <w:tab w:val="left" w:pos="851"/>
        </w:tabs>
        <w:ind w:left="851"/>
        <w:rPr>
          <w:sz w:val="24"/>
          <w:szCs w:val="24"/>
          <w:u w:val="single"/>
        </w:rPr>
      </w:pPr>
      <w:r w:rsidRPr="00B63A1C">
        <w:rPr>
          <w:sz w:val="24"/>
          <w:szCs w:val="24"/>
          <w:u w:val="single"/>
        </w:rPr>
        <w:t>Administration</w:t>
      </w:r>
    </w:p>
    <w:p w14:paraId="5DAC7A41" w14:textId="77777777" w:rsidR="00B63A1C" w:rsidRPr="00B63A1C" w:rsidRDefault="00B63A1C" w:rsidP="00B63A1C">
      <w:pPr>
        <w:tabs>
          <w:tab w:val="left" w:pos="851"/>
        </w:tabs>
        <w:ind w:left="851"/>
        <w:rPr>
          <w:sz w:val="24"/>
          <w:szCs w:val="24"/>
        </w:rPr>
      </w:pPr>
      <w:r w:rsidRPr="00B63A1C">
        <w:rPr>
          <w:sz w:val="24"/>
          <w:szCs w:val="24"/>
        </w:rPr>
        <w:t>Patienten skal ligge ned og observeres nøje under injektionen.</w:t>
      </w:r>
    </w:p>
    <w:p w14:paraId="3CDAED33" w14:textId="77777777" w:rsidR="00B63A1C" w:rsidRPr="00B63A1C" w:rsidRDefault="00B63A1C" w:rsidP="00B63A1C">
      <w:pPr>
        <w:tabs>
          <w:tab w:val="left" w:pos="851"/>
        </w:tabs>
        <w:ind w:left="851"/>
        <w:rPr>
          <w:sz w:val="24"/>
          <w:szCs w:val="24"/>
        </w:rPr>
      </w:pPr>
      <w:r w:rsidRPr="00B63A1C">
        <w:rPr>
          <w:sz w:val="24"/>
          <w:szCs w:val="24"/>
        </w:rPr>
        <w:t>Overvågningen skal omfatte hjertefrekvens eller EKG.</w:t>
      </w:r>
    </w:p>
    <w:p w14:paraId="35CA9259" w14:textId="77777777" w:rsidR="00B63A1C" w:rsidRPr="00B63A1C" w:rsidRDefault="00B63A1C" w:rsidP="00B63A1C">
      <w:pPr>
        <w:tabs>
          <w:tab w:val="left" w:pos="851"/>
        </w:tabs>
        <w:ind w:left="851"/>
        <w:rPr>
          <w:sz w:val="24"/>
          <w:szCs w:val="24"/>
        </w:rPr>
      </w:pPr>
    </w:p>
    <w:p w14:paraId="375D2B7C" w14:textId="77777777" w:rsidR="00B63A1C" w:rsidRPr="00B63A1C" w:rsidRDefault="00B63A1C" w:rsidP="00B63A1C">
      <w:pPr>
        <w:tabs>
          <w:tab w:val="left" w:pos="851"/>
        </w:tabs>
        <w:ind w:left="851"/>
        <w:rPr>
          <w:i/>
          <w:sz w:val="24"/>
          <w:szCs w:val="24"/>
        </w:rPr>
      </w:pPr>
      <w:r w:rsidRPr="00B63A1C">
        <w:rPr>
          <w:i/>
          <w:sz w:val="24"/>
          <w:szCs w:val="24"/>
        </w:rPr>
        <w:t>Voksne</w:t>
      </w:r>
    </w:p>
    <w:p w14:paraId="0C5A1502" w14:textId="77777777" w:rsidR="00B63A1C" w:rsidRPr="00B63A1C" w:rsidRDefault="00B63A1C" w:rsidP="00B63A1C">
      <w:pPr>
        <w:tabs>
          <w:tab w:val="left" w:pos="851"/>
        </w:tabs>
        <w:ind w:left="851"/>
        <w:rPr>
          <w:sz w:val="24"/>
          <w:szCs w:val="24"/>
        </w:rPr>
      </w:pPr>
      <w:r w:rsidRPr="00B63A1C">
        <w:rPr>
          <w:sz w:val="24"/>
          <w:szCs w:val="24"/>
        </w:rPr>
        <w:t>Intravenøs anvendelse. Hos voksne bør den intravenøse administrationshastighed ikke overstige 2 ml (0,45 mmol calcium) pr. minut.</w:t>
      </w:r>
    </w:p>
    <w:p w14:paraId="76E4A2D9" w14:textId="77777777" w:rsidR="00B63A1C" w:rsidRPr="00B63A1C" w:rsidRDefault="00B63A1C" w:rsidP="00B63A1C">
      <w:pPr>
        <w:tabs>
          <w:tab w:val="left" w:pos="851"/>
        </w:tabs>
        <w:ind w:left="851"/>
        <w:rPr>
          <w:sz w:val="24"/>
          <w:szCs w:val="24"/>
        </w:rPr>
      </w:pPr>
    </w:p>
    <w:p w14:paraId="3C4856B8" w14:textId="77777777" w:rsidR="00B63A1C" w:rsidRPr="00B63A1C" w:rsidRDefault="00B63A1C" w:rsidP="00B63A1C">
      <w:pPr>
        <w:tabs>
          <w:tab w:val="left" w:pos="851"/>
        </w:tabs>
        <w:ind w:left="851"/>
        <w:rPr>
          <w:i/>
          <w:iCs/>
          <w:sz w:val="24"/>
          <w:szCs w:val="24"/>
        </w:rPr>
      </w:pPr>
      <w:r w:rsidRPr="00B63A1C">
        <w:rPr>
          <w:i/>
          <w:sz w:val="24"/>
          <w:szCs w:val="24"/>
        </w:rPr>
        <w:t>Pædiatriske patienter (&lt; 18 år)</w:t>
      </w:r>
    </w:p>
    <w:p w14:paraId="3E339C4C" w14:textId="77777777" w:rsidR="00B63A1C" w:rsidRPr="00B63A1C" w:rsidRDefault="00B63A1C" w:rsidP="00B63A1C">
      <w:pPr>
        <w:tabs>
          <w:tab w:val="left" w:pos="851"/>
        </w:tabs>
        <w:ind w:left="851"/>
        <w:rPr>
          <w:sz w:val="24"/>
          <w:szCs w:val="24"/>
        </w:rPr>
      </w:pPr>
      <w:r w:rsidRPr="00B63A1C">
        <w:rPr>
          <w:sz w:val="24"/>
          <w:szCs w:val="24"/>
        </w:rPr>
        <w:t>Kun en langsom intravenøs injektion eller intravenøs infusion (begge efter fortynding) for at opnå tilstrækkeligt lave administrationshastigheder og for at undgå irritation/nekrose i tilfælde af utilsigtet ekstravasation. Den intravenøse administrationshastighed må ikke overstige 5 ml af en 1:10 fortynding pr. minut (se pkt. 6.6) af Zeltacin hos børn og unge.</w:t>
      </w:r>
    </w:p>
    <w:p w14:paraId="496889B3" w14:textId="77777777" w:rsidR="009260DE" w:rsidRPr="00C84483" w:rsidRDefault="009260DE" w:rsidP="009260DE">
      <w:pPr>
        <w:tabs>
          <w:tab w:val="left" w:pos="851"/>
        </w:tabs>
        <w:ind w:left="851"/>
        <w:rPr>
          <w:sz w:val="24"/>
          <w:szCs w:val="24"/>
        </w:rPr>
      </w:pPr>
    </w:p>
    <w:p w14:paraId="4A7765B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4EF2EFD" w14:textId="77777777" w:rsidR="003B69EC" w:rsidRPr="003B69EC" w:rsidRDefault="003B69EC" w:rsidP="003B69EC">
      <w:pPr>
        <w:tabs>
          <w:tab w:val="left" w:pos="1134"/>
        </w:tabs>
        <w:ind w:left="1134" w:hanging="283"/>
        <w:rPr>
          <w:sz w:val="24"/>
          <w:szCs w:val="24"/>
        </w:rPr>
      </w:pPr>
      <w:r w:rsidRPr="003B69EC">
        <w:rPr>
          <w:sz w:val="24"/>
          <w:szCs w:val="24"/>
        </w:rPr>
        <w:t>-</w:t>
      </w:r>
      <w:r w:rsidRPr="003B69EC">
        <w:rPr>
          <w:sz w:val="24"/>
          <w:szCs w:val="24"/>
        </w:rPr>
        <w:tab/>
        <w:t>Overfølsomhed over for det aktive stof eller over for en eller flere af de andre komponenter, der henvises til i pkt. 6.1.</w:t>
      </w:r>
    </w:p>
    <w:p w14:paraId="66EA4D2A" w14:textId="77777777" w:rsidR="003B69EC" w:rsidRPr="003B69EC" w:rsidRDefault="003B69EC" w:rsidP="003B69EC">
      <w:pPr>
        <w:tabs>
          <w:tab w:val="left" w:pos="1134"/>
        </w:tabs>
        <w:ind w:left="1134" w:hanging="283"/>
        <w:rPr>
          <w:sz w:val="24"/>
          <w:szCs w:val="24"/>
        </w:rPr>
      </w:pPr>
      <w:r w:rsidRPr="003B69EC">
        <w:rPr>
          <w:sz w:val="24"/>
          <w:szCs w:val="24"/>
        </w:rPr>
        <w:t>-</w:t>
      </w:r>
      <w:r w:rsidRPr="003B69EC">
        <w:rPr>
          <w:sz w:val="24"/>
          <w:szCs w:val="24"/>
        </w:rPr>
        <w:tab/>
        <w:t>Hyperkalcæmi (for eksempel hos patienter med overfunktion af biskjoldbruskkirtlerne, D-vitaminhypervitaminose, afkalkende ondartede sygdomme, nyresvigt, osteoporose ved immobilisering, sarkoidose, mælkealkalisyndrom)</w:t>
      </w:r>
    </w:p>
    <w:p w14:paraId="459F395F" w14:textId="77777777" w:rsidR="003B69EC" w:rsidRPr="003B69EC" w:rsidRDefault="003B69EC" w:rsidP="003B69EC">
      <w:pPr>
        <w:tabs>
          <w:tab w:val="left" w:pos="1134"/>
        </w:tabs>
        <w:ind w:left="1134" w:hanging="283"/>
        <w:rPr>
          <w:sz w:val="24"/>
          <w:szCs w:val="24"/>
        </w:rPr>
      </w:pPr>
      <w:r w:rsidRPr="003B69EC">
        <w:rPr>
          <w:sz w:val="24"/>
          <w:szCs w:val="24"/>
        </w:rPr>
        <w:t>-</w:t>
      </w:r>
      <w:r w:rsidRPr="003B69EC">
        <w:rPr>
          <w:sz w:val="24"/>
          <w:szCs w:val="24"/>
        </w:rPr>
        <w:tab/>
        <w:t>Hyperkalciuri,</w:t>
      </w:r>
    </w:p>
    <w:p w14:paraId="0868C7AF" w14:textId="77777777" w:rsidR="003B69EC" w:rsidRPr="003B69EC" w:rsidRDefault="003B69EC" w:rsidP="003B69EC">
      <w:pPr>
        <w:tabs>
          <w:tab w:val="left" w:pos="1134"/>
        </w:tabs>
        <w:ind w:left="1134" w:hanging="283"/>
        <w:rPr>
          <w:sz w:val="24"/>
          <w:szCs w:val="24"/>
        </w:rPr>
      </w:pPr>
      <w:r w:rsidRPr="003B69EC">
        <w:rPr>
          <w:sz w:val="24"/>
          <w:szCs w:val="24"/>
        </w:rPr>
        <w:t>-</w:t>
      </w:r>
      <w:r w:rsidRPr="003B69EC">
        <w:rPr>
          <w:sz w:val="24"/>
          <w:szCs w:val="24"/>
        </w:rPr>
        <w:tab/>
        <w:t>Forgiftning med hjerteglykosider,</w:t>
      </w:r>
    </w:p>
    <w:p w14:paraId="36C133B4" w14:textId="77777777" w:rsidR="003B69EC" w:rsidRPr="003B69EC" w:rsidRDefault="003B69EC" w:rsidP="003B69EC">
      <w:pPr>
        <w:tabs>
          <w:tab w:val="left" w:pos="1134"/>
        </w:tabs>
        <w:ind w:left="1134" w:hanging="283"/>
        <w:rPr>
          <w:sz w:val="24"/>
          <w:szCs w:val="24"/>
        </w:rPr>
      </w:pPr>
      <w:r w:rsidRPr="003B69EC">
        <w:rPr>
          <w:sz w:val="24"/>
          <w:szCs w:val="24"/>
        </w:rPr>
        <w:t>-</w:t>
      </w:r>
      <w:r w:rsidRPr="003B69EC">
        <w:rPr>
          <w:sz w:val="24"/>
          <w:szCs w:val="24"/>
        </w:rPr>
        <w:tab/>
        <w:t>Behandling med hjerteglykosider, med undtagelse af en overbevisende indikation for en intravenøs calciumapplikation til behandling af svære, umiddelbart livstruende symptomer på hypokalcæmi, hvis mere sikre alternativer ikke er tilgængelige, og oral administration af calcium ikke er mulig (se også pkt. 4.4 og 4.5).</w:t>
      </w:r>
    </w:p>
    <w:p w14:paraId="2CE963E6" w14:textId="77777777" w:rsidR="003B69EC" w:rsidRPr="003B69EC" w:rsidRDefault="003B69EC" w:rsidP="003B69EC">
      <w:pPr>
        <w:tabs>
          <w:tab w:val="left" w:pos="1134"/>
        </w:tabs>
        <w:ind w:left="1134" w:hanging="283"/>
        <w:rPr>
          <w:sz w:val="24"/>
          <w:szCs w:val="24"/>
        </w:rPr>
      </w:pPr>
      <w:r w:rsidRPr="003B69EC">
        <w:rPr>
          <w:sz w:val="24"/>
          <w:szCs w:val="24"/>
        </w:rPr>
        <w:t>-</w:t>
      </w:r>
      <w:r w:rsidRPr="003B69EC">
        <w:rPr>
          <w:sz w:val="24"/>
          <w:szCs w:val="24"/>
        </w:rPr>
        <w:tab/>
        <w:t>Samtidig administration af ceftriaxon og calciumholdige i.v. præparater er kontraindiceret hos for tidligt fødte og nyfødte (≤ 28 dage). Ceftriaxon må ikke anvendes til for tidligt fødte og nyfødte (≤ 28 dage), hvis de får (eller forventes at få) calciumholdige intravenøse præparater.</w:t>
      </w:r>
    </w:p>
    <w:p w14:paraId="7EC0D7E3" w14:textId="77777777" w:rsidR="009260DE" w:rsidRPr="00C84483" w:rsidRDefault="009260DE" w:rsidP="009260DE">
      <w:pPr>
        <w:tabs>
          <w:tab w:val="left" w:pos="851"/>
        </w:tabs>
        <w:ind w:left="851"/>
        <w:rPr>
          <w:sz w:val="24"/>
          <w:szCs w:val="24"/>
        </w:rPr>
      </w:pPr>
    </w:p>
    <w:p w14:paraId="47272416"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F78F5EF" w14:textId="77777777" w:rsidR="003B69EC" w:rsidRPr="003B69EC" w:rsidRDefault="003B69EC" w:rsidP="003B69EC">
      <w:pPr>
        <w:tabs>
          <w:tab w:val="left" w:pos="851"/>
        </w:tabs>
        <w:ind w:left="851"/>
        <w:rPr>
          <w:sz w:val="24"/>
          <w:szCs w:val="24"/>
        </w:rPr>
      </w:pPr>
    </w:p>
    <w:p w14:paraId="4E7FA37F" w14:textId="77777777" w:rsidR="003B69EC" w:rsidRPr="003B69EC" w:rsidRDefault="003B69EC" w:rsidP="003B69EC">
      <w:pPr>
        <w:tabs>
          <w:tab w:val="left" w:pos="851"/>
        </w:tabs>
        <w:ind w:left="851"/>
        <w:rPr>
          <w:sz w:val="24"/>
          <w:szCs w:val="24"/>
          <w:u w:val="single"/>
        </w:rPr>
      </w:pPr>
      <w:r w:rsidRPr="003B69EC">
        <w:rPr>
          <w:sz w:val="24"/>
          <w:szCs w:val="24"/>
          <w:u w:val="single"/>
        </w:rPr>
        <w:t>Særlige advarsler</w:t>
      </w:r>
    </w:p>
    <w:p w14:paraId="11B01888" w14:textId="77777777" w:rsidR="003B69EC" w:rsidRPr="003B69EC" w:rsidRDefault="003B69EC" w:rsidP="003B69EC">
      <w:pPr>
        <w:tabs>
          <w:tab w:val="left" w:pos="851"/>
        </w:tabs>
        <w:ind w:left="851"/>
        <w:rPr>
          <w:sz w:val="24"/>
          <w:szCs w:val="24"/>
        </w:rPr>
      </w:pPr>
      <w:r w:rsidRPr="003B69EC">
        <w:rPr>
          <w:sz w:val="24"/>
          <w:szCs w:val="24"/>
        </w:rPr>
        <w:t>I de yderst sjældne tilfælde af intravenøs administration af calciumgluconat til patienter, der får hjerteglykosider, er tilstrækkelig hjerteovervågning obligatorisk, og akut behandling af hjertekomplikationer, såsom alvorlige arytmier, skal være tilgængelig.</w:t>
      </w:r>
    </w:p>
    <w:p w14:paraId="2BA9C145" w14:textId="77777777" w:rsidR="003B69EC" w:rsidRPr="003B69EC" w:rsidRDefault="003B69EC" w:rsidP="003B69EC">
      <w:pPr>
        <w:tabs>
          <w:tab w:val="left" w:pos="851"/>
        </w:tabs>
        <w:ind w:left="851"/>
        <w:rPr>
          <w:sz w:val="24"/>
          <w:szCs w:val="24"/>
        </w:rPr>
      </w:pPr>
    </w:p>
    <w:p w14:paraId="2A683FD2" w14:textId="77777777" w:rsidR="003B69EC" w:rsidRPr="003B69EC" w:rsidRDefault="003B69EC" w:rsidP="003B69EC">
      <w:pPr>
        <w:tabs>
          <w:tab w:val="left" w:pos="851"/>
        </w:tabs>
        <w:ind w:left="851"/>
        <w:rPr>
          <w:sz w:val="24"/>
          <w:szCs w:val="24"/>
          <w:u w:val="single"/>
        </w:rPr>
      </w:pPr>
      <w:r w:rsidRPr="003B69EC">
        <w:rPr>
          <w:sz w:val="24"/>
          <w:szCs w:val="24"/>
        </w:rPr>
        <w:t>Calciumsalte bør kun anvendes med forsigtighed og efter omhyggelig klarlæggende af indikationen hos patienter med nefrocalcinose, hjertesygdomme, sarkoidose (Boecks sygdom), hos patienter, der får adrenalin (se pkt. 4.5), eller hos ældre.</w:t>
      </w:r>
    </w:p>
    <w:p w14:paraId="7C652743" w14:textId="77777777" w:rsidR="003B69EC" w:rsidRPr="003B69EC" w:rsidRDefault="003B69EC" w:rsidP="003B69EC">
      <w:pPr>
        <w:tabs>
          <w:tab w:val="left" w:pos="851"/>
        </w:tabs>
        <w:ind w:left="851"/>
        <w:rPr>
          <w:sz w:val="24"/>
          <w:szCs w:val="24"/>
        </w:rPr>
      </w:pPr>
    </w:p>
    <w:p w14:paraId="4FA03C96" w14:textId="77777777" w:rsidR="003B69EC" w:rsidRPr="003B69EC" w:rsidRDefault="003B69EC" w:rsidP="003B69EC">
      <w:pPr>
        <w:tabs>
          <w:tab w:val="left" w:pos="851"/>
        </w:tabs>
        <w:ind w:left="851"/>
        <w:rPr>
          <w:sz w:val="24"/>
          <w:szCs w:val="24"/>
        </w:rPr>
      </w:pPr>
      <w:r w:rsidRPr="003B69EC">
        <w:rPr>
          <w:sz w:val="24"/>
          <w:szCs w:val="24"/>
        </w:rPr>
        <w:t>Nedsat nyrefunktion kan være forbundet med hyperkalcæmi og sekundær hyperparatyroidisme. Derfor må parenteral calcium kun administreres hos patienter med nedsat nyrefunktion efter nøje vurdering af indikationen, og calciumfosfatbalancen skal overvåges.</w:t>
      </w:r>
    </w:p>
    <w:p w14:paraId="51411B16" w14:textId="77777777" w:rsidR="003B69EC" w:rsidRPr="003B69EC" w:rsidRDefault="003B69EC" w:rsidP="003B69EC">
      <w:pPr>
        <w:tabs>
          <w:tab w:val="left" w:pos="851"/>
        </w:tabs>
        <w:ind w:left="851"/>
        <w:rPr>
          <w:sz w:val="24"/>
          <w:szCs w:val="24"/>
        </w:rPr>
      </w:pPr>
    </w:p>
    <w:p w14:paraId="49B8F79A" w14:textId="77777777" w:rsidR="003B69EC" w:rsidRPr="003B69EC" w:rsidRDefault="003B69EC" w:rsidP="003B69EC">
      <w:pPr>
        <w:tabs>
          <w:tab w:val="left" w:pos="851"/>
        </w:tabs>
        <w:ind w:left="851"/>
        <w:rPr>
          <w:sz w:val="24"/>
          <w:szCs w:val="24"/>
          <w:u w:val="single"/>
        </w:rPr>
      </w:pPr>
      <w:r w:rsidRPr="003B69EC">
        <w:rPr>
          <w:sz w:val="24"/>
          <w:szCs w:val="24"/>
          <w:u w:val="single"/>
        </w:rPr>
        <w:t>Patienter, der får ceftriaxon</w:t>
      </w:r>
    </w:p>
    <w:p w14:paraId="57FFBC44" w14:textId="77777777" w:rsidR="003B69EC" w:rsidRPr="003B69EC" w:rsidRDefault="003B69EC" w:rsidP="003B69EC">
      <w:pPr>
        <w:tabs>
          <w:tab w:val="left" w:pos="851"/>
        </w:tabs>
        <w:ind w:left="851"/>
        <w:rPr>
          <w:sz w:val="24"/>
          <w:szCs w:val="24"/>
        </w:rPr>
      </w:pPr>
      <w:r w:rsidRPr="003B69EC">
        <w:rPr>
          <w:sz w:val="24"/>
          <w:szCs w:val="24"/>
        </w:rPr>
        <w:t>Hos patienter uanset alder må ceftriaxon ikke blandes eller administreres samtidigt med calciumholdige intravenøse opløsninger, heller ikke via forskellige infusionsslanger eller forskellige infusionssteder (se pkt. 6.2).</w:t>
      </w:r>
    </w:p>
    <w:p w14:paraId="08E65712" w14:textId="77777777" w:rsidR="003B69EC" w:rsidRPr="003B69EC" w:rsidRDefault="003B69EC" w:rsidP="003B69EC">
      <w:pPr>
        <w:tabs>
          <w:tab w:val="left" w:pos="851"/>
        </w:tabs>
        <w:ind w:left="851"/>
        <w:rPr>
          <w:sz w:val="24"/>
          <w:szCs w:val="24"/>
        </w:rPr>
      </w:pPr>
    </w:p>
    <w:p w14:paraId="07A70344" w14:textId="77777777" w:rsidR="003B69EC" w:rsidRPr="003B69EC" w:rsidRDefault="003B69EC" w:rsidP="003B69EC">
      <w:pPr>
        <w:tabs>
          <w:tab w:val="left" w:pos="851"/>
        </w:tabs>
        <w:ind w:left="851"/>
        <w:rPr>
          <w:sz w:val="24"/>
          <w:szCs w:val="24"/>
        </w:rPr>
      </w:pPr>
      <w:r w:rsidRPr="003B69EC">
        <w:rPr>
          <w:sz w:val="24"/>
          <w:szCs w:val="24"/>
        </w:rPr>
        <w:t>Tilfælde af dødelige reaktioner med calcium-ceftriaxonudfældning i lunger og nyrer hos for tidligt fødte og fuldbårne nyfødte under 1 måned er blevet beskrevet.</w:t>
      </w:r>
    </w:p>
    <w:p w14:paraId="2D35043F" w14:textId="77777777" w:rsidR="003B69EC" w:rsidRPr="003B69EC" w:rsidRDefault="003B69EC" w:rsidP="003B69EC">
      <w:pPr>
        <w:tabs>
          <w:tab w:val="left" w:pos="851"/>
        </w:tabs>
        <w:ind w:left="851"/>
        <w:rPr>
          <w:sz w:val="24"/>
          <w:szCs w:val="24"/>
        </w:rPr>
      </w:pPr>
    </w:p>
    <w:p w14:paraId="65F0B5BB" w14:textId="77777777" w:rsidR="003B69EC" w:rsidRPr="003B69EC" w:rsidRDefault="003B69EC" w:rsidP="003B69EC">
      <w:pPr>
        <w:tabs>
          <w:tab w:val="left" w:pos="851"/>
        </w:tabs>
        <w:ind w:left="851"/>
        <w:rPr>
          <w:sz w:val="24"/>
          <w:szCs w:val="24"/>
        </w:rPr>
      </w:pPr>
      <w:r w:rsidRPr="003B69EC">
        <w:rPr>
          <w:sz w:val="24"/>
          <w:szCs w:val="24"/>
        </w:rPr>
        <w:t>Hos patienter, der er ældre end 28 dage, kan ceftriaxon og calciumholdige opløsninger administreres efter hinanden, hvis der anvendes infusionsslanger på forskellige steder, eller hvis infusionsslangerne udskiftes eller skylles grundigt mellem infusionerne med en fysiologisk saltvandsopløsning for at undgå udfældning.</w:t>
      </w:r>
    </w:p>
    <w:p w14:paraId="5E78C6C2" w14:textId="77777777" w:rsidR="003B69EC" w:rsidRPr="003B69EC" w:rsidRDefault="003B69EC" w:rsidP="003B69EC">
      <w:pPr>
        <w:tabs>
          <w:tab w:val="left" w:pos="851"/>
        </w:tabs>
        <w:ind w:left="851"/>
        <w:rPr>
          <w:sz w:val="24"/>
          <w:szCs w:val="24"/>
        </w:rPr>
      </w:pPr>
      <w:r w:rsidRPr="003B69EC">
        <w:rPr>
          <w:sz w:val="24"/>
          <w:szCs w:val="24"/>
        </w:rPr>
        <w:t>På hinanden følgende infusioner af ceftriaxon og calciumholdige præparater skal undgås i tilfælde af hypovolæmi.</w:t>
      </w:r>
    </w:p>
    <w:p w14:paraId="5A6DFC08" w14:textId="77777777" w:rsidR="003B69EC" w:rsidRPr="003B69EC" w:rsidRDefault="003B69EC" w:rsidP="003B69EC">
      <w:pPr>
        <w:tabs>
          <w:tab w:val="left" w:pos="851"/>
        </w:tabs>
        <w:ind w:left="851"/>
        <w:rPr>
          <w:sz w:val="24"/>
          <w:szCs w:val="24"/>
        </w:rPr>
      </w:pPr>
    </w:p>
    <w:p w14:paraId="486AACE7" w14:textId="77777777" w:rsidR="003B69EC" w:rsidRPr="003B69EC" w:rsidRDefault="003B69EC" w:rsidP="003B69EC">
      <w:pPr>
        <w:tabs>
          <w:tab w:val="left" w:pos="851"/>
        </w:tabs>
        <w:ind w:left="851"/>
        <w:rPr>
          <w:sz w:val="24"/>
          <w:szCs w:val="24"/>
          <w:u w:val="single"/>
        </w:rPr>
      </w:pPr>
      <w:r w:rsidRPr="003B69EC">
        <w:rPr>
          <w:sz w:val="24"/>
          <w:szCs w:val="24"/>
          <w:u w:val="single"/>
        </w:rPr>
        <w:t>Patienter med sepsis</w:t>
      </w:r>
    </w:p>
    <w:p w14:paraId="3F77E645" w14:textId="77777777" w:rsidR="003B69EC" w:rsidRPr="003B69EC" w:rsidRDefault="003B69EC" w:rsidP="003B69EC">
      <w:pPr>
        <w:tabs>
          <w:tab w:val="left" w:pos="851"/>
        </w:tabs>
        <w:ind w:left="851"/>
        <w:rPr>
          <w:sz w:val="24"/>
          <w:szCs w:val="24"/>
        </w:rPr>
      </w:pPr>
      <w:r w:rsidRPr="003B69EC">
        <w:rPr>
          <w:sz w:val="24"/>
          <w:szCs w:val="24"/>
        </w:rPr>
        <w:t>Det er blevet rapporteret, at calciumtilskud ikke giver nogen fordel, og kan forårsage skade på patienter med sepsis.</w:t>
      </w:r>
    </w:p>
    <w:p w14:paraId="75C9C26D" w14:textId="77777777" w:rsidR="003B69EC" w:rsidRPr="003B69EC" w:rsidRDefault="003B69EC" w:rsidP="003B69EC">
      <w:pPr>
        <w:tabs>
          <w:tab w:val="left" w:pos="851"/>
        </w:tabs>
        <w:ind w:left="851"/>
        <w:rPr>
          <w:sz w:val="24"/>
          <w:szCs w:val="24"/>
        </w:rPr>
      </w:pPr>
    </w:p>
    <w:p w14:paraId="5834B5E0" w14:textId="77777777" w:rsidR="003B69EC" w:rsidRPr="003B69EC" w:rsidRDefault="003B69EC" w:rsidP="003B69EC">
      <w:pPr>
        <w:tabs>
          <w:tab w:val="left" w:pos="851"/>
        </w:tabs>
        <w:ind w:left="851"/>
        <w:rPr>
          <w:sz w:val="24"/>
          <w:szCs w:val="24"/>
          <w:u w:val="single"/>
        </w:rPr>
      </w:pPr>
      <w:r w:rsidRPr="003B69EC">
        <w:rPr>
          <w:sz w:val="24"/>
          <w:szCs w:val="24"/>
          <w:u w:val="single"/>
        </w:rPr>
        <w:t>Forsigtighedsregler vedrørende brugen</w:t>
      </w:r>
    </w:p>
    <w:p w14:paraId="793229F7" w14:textId="77777777" w:rsidR="003B69EC" w:rsidRPr="003B69EC" w:rsidRDefault="003B69EC" w:rsidP="003B69EC">
      <w:pPr>
        <w:tabs>
          <w:tab w:val="left" w:pos="851"/>
        </w:tabs>
        <w:ind w:left="851"/>
        <w:rPr>
          <w:sz w:val="24"/>
          <w:szCs w:val="24"/>
        </w:rPr>
      </w:pPr>
      <w:r w:rsidRPr="003B69EC">
        <w:rPr>
          <w:sz w:val="24"/>
          <w:szCs w:val="24"/>
        </w:rPr>
        <w:t>Opløsninger, der indeholder calcium, skal administreres langsomt for at minimere perifer vasodilatation og hjertedepression.</w:t>
      </w:r>
    </w:p>
    <w:p w14:paraId="1480CF89" w14:textId="77777777" w:rsidR="003B69EC" w:rsidRPr="003B69EC" w:rsidRDefault="003B69EC" w:rsidP="003B69EC">
      <w:pPr>
        <w:tabs>
          <w:tab w:val="left" w:pos="851"/>
        </w:tabs>
        <w:ind w:left="851"/>
        <w:rPr>
          <w:sz w:val="24"/>
          <w:szCs w:val="24"/>
        </w:rPr>
      </w:pPr>
      <w:r w:rsidRPr="003B69EC">
        <w:rPr>
          <w:sz w:val="24"/>
          <w:szCs w:val="24"/>
        </w:rPr>
        <w:t>Intravenøse injektioner skal ledsages af overvågning af hjertefrekvens eller med EKG, da bradykardi med vasodilatation eller arytmi kan forekomme, hvis calcium administreres for hurtigt.</w:t>
      </w:r>
    </w:p>
    <w:p w14:paraId="2CA67657" w14:textId="77777777" w:rsidR="003B69EC" w:rsidRPr="003B69EC" w:rsidRDefault="003B69EC" w:rsidP="003B69EC">
      <w:pPr>
        <w:tabs>
          <w:tab w:val="left" w:pos="851"/>
        </w:tabs>
        <w:ind w:left="851"/>
        <w:rPr>
          <w:sz w:val="24"/>
          <w:szCs w:val="24"/>
        </w:rPr>
      </w:pPr>
      <w:r w:rsidRPr="003B69EC">
        <w:rPr>
          <w:sz w:val="24"/>
          <w:szCs w:val="24"/>
        </w:rPr>
        <w:t>Patienter, der får calciumsalte, skal overvåges nøje for at sikre, at der opretholdes en korrekt calciumbalance uden vævsaflejring.</w:t>
      </w:r>
    </w:p>
    <w:p w14:paraId="0916AA98" w14:textId="77777777" w:rsidR="003B69EC" w:rsidRPr="003B69EC" w:rsidRDefault="003B69EC" w:rsidP="003B69EC">
      <w:pPr>
        <w:tabs>
          <w:tab w:val="left" w:pos="851"/>
        </w:tabs>
        <w:ind w:left="851"/>
        <w:rPr>
          <w:sz w:val="24"/>
          <w:szCs w:val="24"/>
        </w:rPr>
      </w:pPr>
      <w:r w:rsidRPr="003B69EC">
        <w:rPr>
          <w:sz w:val="24"/>
          <w:szCs w:val="24"/>
        </w:rPr>
        <w:t>Plasmaniveauer af calcium og udskillelse af calcium i urinen skal overvåges, når der administreres højdosis parenteralt calcium.</w:t>
      </w:r>
    </w:p>
    <w:p w14:paraId="459B4B88" w14:textId="77777777" w:rsidR="003B69EC" w:rsidRPr="003B69EC" w:rsidRDefault="003B69EC" w:rsidP="003B69EC">
      <w:pPr>
        <w:tabs>
          <w:tab w:val="left" w:pos="851"/>
        </w:tabs>
        <w:ind w:left="851"/>
        <w:rPr>
          <w:sz w:val="24"/>
          <w:szCs w:val="24"/>
        </w:rPr>
      </w:pPr>
    </w:p>
    <w:p w14:paraId="71AD70BA" w14:textId="77777777" w:rsidR="003B69EC" w:rsidRPr="003B69EC" w:rsidRDefault="003B69EC" w:rsidP="003B69EC">
      <w:pPr>
        <w:tabs>
          <w:tab w:val="left" w:pos="851"/>
        </w:tabs>
        <w:ind w:left="851"/>
        <w:rPr>
          <w:sz w:val="24"/>
          <w:szCs w:val="24"/>
        </w:rPr>
      </w:pPr>
      <w:r w:rsidRPr="003B69EC">
        <w:rPr>
          <w:sz w:val="24"/>
          <w:szCs w:val="24"/>
        </w:rPr>
        <w:t>Zeltacin må ikke injiceres i fedtvæv, da calcium er uopløseligt i fedtvæv og kan forårsage infiltration og efterfølgende bylddannelse, vævsindurationer og -nekrose.</w:t>
      </w:r>
    </w:p>
    <w:p w14:paraId="25CA84FC" w14:textId="77777777" w:rsidR="003B69EC" w:rsidRPr="003B69EC" w:rsidRDefault="003B69EC" w:rsidP="003B69EC">
      <w:pPr>
        <w:tabs>
          <w:tab w:val="left" w:pos="851"/>
        </w:tabs>
        <w:ind w:left="851"/>
        <w:rPr>
          <w:sz w:val="24"/>
          <w:szCs w:val="24"/>
        </w:rPr>
      </w:pPr>
      <w:r w:rsidRPr="003B69EC">
        <w:rPr>
          <w:sz w:val="24"/>
          <w:szCs w:val="24"/>
        </w:rPr>
        <w:t>Efter perivaskulær injektion kan der forekomme lokal irritation, eventuelt efterfulgt af hudablation eller vævsnekrose (se pkt. 4.8). Ekstravasation skal undgås. Injektionsstedet skal overvåges nøje.</w:t>
      </w:r>
    </w:p>
    <w:p w14:paraId="655C834C" w14:textId="77777777" w:rsidR="003B69EC" w:rsidRPr="003B69EC" w:rsidRDefault="003B69EC" w:rsidP="003B69EC">
      <w:pPr>
        <w:tabs>
          <w:tab w:val="left" w:pos="851"/>
        </w:tabs>
        <w:ind w:left="851"/>
        <w:rPr>
          <w:sz w:val="24"/>
          <w:szCs w:val="24"/>
        </w:rPr>
      </w:pPr>
      <w:r w:rsidRPr="003B69EC">
        <w:rPr>
          <w:sz w:val="24"/>
          <w:szCs w:val="24"/>
        </w:rPr>
        <w:t>En høj D-vitaminindtagelse bør undgås.</w:t>
      </w:r>
    </w:p>
    <w:p w14:paraId="2925ECF4" w14:textId="47B8D92F" w:rsidR="003B69EC" w:rsidRDefault="003B69EC">
      <w:pPr>
        <w:rPr>
          <w:sz w:val="24"/>
          <w:szCs w:val="24"/>
        </w:rPr>
      </w:pPr>
      <w:r>
        <w:rPr>
          <w:sz w:val="24"/>
          <w:szCs w:val="24"/>
        </w:rPr>
        <w:br w:type="page"/>
      </w:r>
    </w:p>
    <w:p w14:paraId="1970C874" w14:textId="77777777" w:rsidR="003B69EC" w:rsidRPr="003B69EC" w:rsidRDefault="003B69EC" w:rsidP="003B69EC">
      <w:pPr>
        <w:tabs>
          <w:tab w:val="left" w:pos="851"/>
        </w:tabs>
        <w:ind w:left="851"/>
        <w:rPr>
          <w:sz w:val="24"/>
          <w:szCs w:val="24"/>
        </w:rPr>
      </w:pPr>
    </w:p>
    <w:p w14:paraId="07C2C1B0"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0BC2674" w14:textId="77777777" w:rsidR="003B69EC" w:rsidRPr="003B69EC" w:rsidRDefault="003B69EC" w:rsidP="003B69EC">
      <w:pPr>
        <w:tabs>
          <w:tab w:val="left" w:pos="851"/>
        </w:tabs>
        <w:ind w:left="851"/>
        <w:rPr>
          <w:sz w:val="24"/>
          <w:szCs w:val="24"/>
        </w:rPr>
      </w:pPr>
    </w:p>
    <w:p w14:paraId="1D1BF886" w14:textId="77777777" w:rsidR="003B69EC" w:rsidRPr="003B69EC" w:rsidRDefault="003B69EC" w:rsidP="003B69EC">
      <w:pPr>
        <w:tabs>
          <w:tab w:val="left" w:pos="851"/>
        </w:tabs>
        <w:ind w:left="851"/>
        <w:rPr>
          <w:i/>
          <w:iCs/>
          <w:sz w:val="24"/>
          <w:szCs w:val="24"/>
        </w:rPr>
      </w:pPr>
      <w:r w:rsidRPr="003B69EC">
        <w:rPr>
          <w:i/>
          <w:sz w:val="24"/>
          <w:szCs w:val="24"/>
        </w:rPr>
        <w:t>Hjerteglykosider</w:t>
      </w:r>
    </w:p>
    <w:p w14:paraId="5519F1FD" w14:textId="77777777" w:rsidR="003B69EC" w:rsidRPr="003B69EC" w:rsidRDefault="003B69EC" w:rsidP="003B69EC">
      <w:pPr>
        <w:tabs>
          <w:tab w:val="left" w:pos="851"/>
        </w:tabs>
        <w:ind w:left="851"/>
        <w:rPr>
          <w:sz w:val="24"/>
          <w:szCs w:val="24"/>
        </w:rPr>
      </w:pPr>
      <w:r w:rsidRPr="003B69EC">
        <w:rPr>
          <w:sz w:val="24"/>
          <w:szCs w:val="24"/>
        </w:rPr>
        <w:t>Virkningerne af digoxin og andre hjerteglykosider kan forstærkes af calcium, hvilket kan føre til alvorlig toksicitet. Derfor er intravenøs administration af calciumpræparater til patienter under behandling med hjerteglykosider kontraindiceret. Den eneste undtagelse kan være, at intravenøs calciumadministration er afgørende for behandling af svære hypokalcæmisymptomer, der udsætter patienten for umiddelbar vital risiko, hvis der ikke findes mere sikre behandlingsalternativer, og calciumadministration via oral vej ikke er mulig (se pkt. 4.3 og 4.4).</w:t>
      </w:r>
    </w:p>
    <w:p w14:paraId="5F65516C" w14:textId="77777777" w:rsidR="003B69EC" w:rsidRPr="003B69EC" w:rsidRDefault="003B69EC" w:rsidP="003B69EC">
      <w:pPr>
        <w:tabs>
          <w:tab w:val="left" w:pos="851"/>
        </w:tabs>
        <w:ind w:left="851"/>
        <w:rPr>
          <w:sz w:val="24"/>
          <w:szCs w:val="24"/>
        </w:rPr>
      </w:pPr>
    </w:p>
    <w:p w14:paraId="4CF18642" w14:textId="77777777" w:rsidR="003B69EC" w:rsidRPr="003B69EC" w:rsidRDefault="003B69EC" w:rsidP="003B69EC">
      <w:pPr>
        <w:tabs>
          <w:tab w:val="left" w:pos="851"/>
        </w:tabs>
        <w:ind w:left="851"/>
        <w:rPr>
          <w:i/>
          <w:iCs/>
          <w:sz w:val="24"/>
          <w:szCs w:val="24"/>
        </w:rPr>
      </w:pPr>
      <w:r w:rsidRPr="003B69EC">
        <w:rPr>
          <w:i/>
          <w:sz w:val="24"/>
          <w:szCs w:val="24"/>
        </w:rPr>
        <w:t>Adrenalin</w:t>
      </w:r>
    </w:p>
    <w:p w14:paraId="68B86CA3" w14:textId="77777777" w:rsidR="003B69EC" w:rsidRPr="003B69EC" w:rsidRDefault="003B69EC" w:rsidP="003B69EC">
      <w:pPr>
        <w:tabs>
          <w:tab w:val="left" w:pos="851"/>
        </w:tabs>
        <w:ind w:left="851"/>
        <w:rPr>
          <w:sz w:val="24"/>
          <w:szCs w:val="24"/>
        </w:rPr>
      </w:pPr>
      <w:r w:rsidRPr="003B69EC">
        <w:rPr>
          <w:sz w:val="24"/>
          <w:szCs w:val="24"/>
        </w:rPr>
        <w:t>Samtidig administration af calcium og adrenalin dæmper adrenalins β-adrenerge virkninger hos patienter efter hjertekirurgi (se pkt. 4.4).</w:t>
      </w:r>
    </w:p>
    <w:p w14:paraId="062CA12E" w14:textId="77777777" w:rsidR="003B69EC" w:rsidRPr="003B69EC" w:rsidRDefault="003B69EC" w:rsidP="003B69EC">
      <w:pPr>
        <w:tabs>
          <w:tab w:val="left" w:pos="851"/>
        </w:tabs>
        <w:ind w:left="851"/>
        <w:rPr>
          <w:b/>
          <w:sz w:val="24"/>
          <w:szCs w:val="24"/>
        </w:rPr>
      </w:pPr>
    </w:p>
    <w:p w14:paraId="79300DC4" w14:textId="77777777" w:rsidR="003B69EC" w:rsidRPr="003B69EC" w:rsidRDefault="003B69EC" w:rsidP="003B69EC">
      <w:pPr>
        <w:tabs>
          <w:tab w:val="left" w:pos="851"/>
        </w:tabs>
        <w:ind w:left="851"/>
        <w:rPr>
          <w:i/>
          <w:iCs/>
          <w:sz w:val="24"/>
          <w:szCs w:val="24"/>
        </w:rPr>
      </w:pPr>
      <w:r w:rsidRPr="003B69EC">
        <w:rPr>
          <w:i/>
          <w:sz w:val="24"/>
          <w:szCs w:val="24"/>
        </w:rPr>
        <w:t>Magnesium</w:t>
      </w:r>
    </w:p>
    <w:p w14:paraId="438D10EA" w14:textId="77777777" w:rsidR="003B69EC" w:rsidRPr="003B69EC" w:rsidRDefault="003B69EC" w:rsidP="003B69EC">
      <w:pPr>
        <w:tabs>
          <w:tab w:val="left" w:pos="851"/>
        </w:tabs>
        <w:ind w:left="851"/>
        <w:rPr>
          <w:b/>
          <w:sz w:val="24"/>
          <w:szCs w:val="24"/>
        </w:rPr>
      </w:pPr>
      <w:r w:rsidRPr="003B69EC">
        <w:rPr>
          <w:sz w:val="24"/>
          <w:szCs w:val="24"/>
        </w:rPr>
        <w:t>Calcium og magnesium modvirker gensidigt deres virkninger.</w:t>
      </w:r>
    </w:p>
    <w:p w14:paraId="15CEAC77" w14:textId="77777777" w:rsidR="003B69EC" w:rsidRPr="003B69EC" w:rsidRDefault="003B69EC" w:rsidP="003B69EC">
      <w:pPr>
        <w:tabs>
          <w:tab w:val="left" w:pos="851"/>
        </w:tabs>
        <w:ind w:left="851"/>
        <w:rPr>
          <w:b/>
          <w:sz w:val="24"/>
          <w:szCs w:val="24"/>
        </w:rPr>
      </w:pPr>
    </w:p>
    <w:p w14:paraId="34BB0156" w14:textId="77777777" w:rsidR="003B69EC" w:rsidRPr="003B69EC" w:rsidRDefault="003B69EC" w:rsidP="003B69EC">
      <w:pPr>
        <w:tabs>
          <w:tab w:val="left" w:pos="851"/>
        </w:tabs>
        <w:ind w:left="851"/>
        <w:rPr>
          <w:i/>
          <w:iCs/>
          <w:sz w:val="24"/>
          <w:szCs w:val="24"/>
        </w:rPr>
      </w:pPr>
      <w:r w:rsidRPr="003B69EC">
        <w:rPr>
          <w:i/>
          <w:sz w:val="24"/>
          <w:szCs w:val="24"/>
        </w:rPr>
        <w:t>Calciumantagonister</w:t>
      </w:r>
    </w:p>
    <w:p w14:paraId="052F0B40" w14:textId="77777777" w:rsidR="003B69EC" w:rsidRPr="003B69EC" w:rsidRDefault="003B69EC" w:rsidP="003B69EC">
      <w:pPr>
        <w:tabs>
          <w:tab w:val="left" w:pos="851"/>
        </w:tabs>
        <w:ind w:left="851"/>
        <w:rPr>
          <w:sz w:val="24"/>
          <w:szCs w:val="24"/>
        </w:rPr>
      </w:pPr>
      <w:r w:rsidRPr="003B69EC">
        <w:rPr>
          <w:sz w:val="24"/>
          <w:szCs w:val="24"/>
        </w:rPr>
        <w:t>Calcium kan modvirke virkningen af calciumantagonister (calciumkanalblokkere).</w:t>
      </w:r>
    </w:p>
    <w:p w14:paraId="78CF42E7" w14:textId="77777777" w:rsidR="003B69EC" w:rsidRPr="003B69EC" w:rsidRDefault="003B69EC" w:rsidP="003B69EC">
      <w:pPr>
        <w:tabs>
          <w:tab w:val="left" w:pos="851"/>
        </w:tabs>
        <w:ind w:left="851"/>
        <w:rPr>
          <w:sz w:val="24"/>
          <w:szCs w:val="24"/>
          <w:u w:val="single"/>
        </w:rPr>
      </w:pPr>
    </w:p>
    <w:p w14:paraId="4246A203" w14:textId="77777777" w:rsidR="003B69EC" w:rsidRPr="003B69EC" w:rsidRDefault="003B69EC" w:rsidP="003B69EC">
      <w:pPr>
        <w:tabs>
          <w:tab w:val="left" w:pos="851"/>
        </w:tabs>
        <w:ind w:left="851"/>
        <w:rPr>
          <w:i/>
          <w:iCs/>
          <w:sz w:val="24"/>
          <w:szCs w:val="24"/>
        </w:rPr>
      </w:pPr>
      <w:r w:rsidRPr="003B69EC">
        <w:rPr>
          <w:i/>
          <w:sz w:val="24"/>
          <w:szCs w:val="24"/>
        </w:rPr>
        <w:t>Thiaziddiuretika</w:t>
      </w:r>
    </w:p>
    <w:p w14:paraId="2AC21DF0" w14:textId="77777777" w:rsidR="003B69EC" w:rsidRPr="003B69EC" w:rsidRDefault="003B69EC" w:rsidP="003B69EC">
      <w:pPr>
        <w:tabs>
          <w:tab w:val="left" w:pos="851"/>
        </w:tabs>
        <w:ind w:left="851"/>
        <w:rPr>
          <w:sz w:val="24"/>
          <w:szCs w:val="24"/>
        </w:rPr>
      </w:pPr>
      <w:r w:rsidRPr="003B69EC">
        <w:rPr>
          <w:sz w:val="24"/>
          <w:szCs w:val="24"/>
        </w:rPr>
        <w:t>Kombination med thiaziddiuretika kan medføre hyperkalcæmi, da disse lægemidler nedsætter udskillelsen af calcium i nyrerne.</w:t>
      </w:r>
    </w:p>
    <w:p w14:paraId="740359A6" w14:textId="77777777" w:rsidR="003B69EC" w:rsidRPr="003B69EC" w:rsidRDefault="003B69EC" w:rsidP="003B69EC">
      <w:pPr>
        <w:tabs>
          <w:tab w:val="left" w:pos="851"/>
        </w:tabs>
        <w:ind w:left="851"/>
        <w:rPr>
          <w:sz w:val="24"/>
          <w:szCs w:val="24"/>
        </w:rPr>
      </w:pPr>
    </w:p>
    <w:p w14:paraId="3F9330DD" w14:textId="77777777" w:rsidR="003B69EC" w:rsidRPr="003B69EC" w:rsidRDefault="003B69EC" w:rsidP="003B69EC">
      <w:pPr>
        <w:tabs>
          <w:tab w:val="left" w:pos="851"/>
        </w:tabs>
        <w:ind w:left="851"/>
        <w:rPr>
          <w:i/>
          <w:iCs/>
          <w:sz w:val="24"/>
          <w:szCs w:val="24"/>
        </w:rPr>
      </w:pPr>
      <w:r w:rsidRPr="003B69EC">
        <w:rPr>
          <w:i/>
          <w:sz w:val="24"/>
          <w:szCs w:val="24"/>
        </w:rPr>
        <w:t>Interaktion med ceftriaxon</w:t>
      </w:r>
    </w:p>
    <w:p w14:paraId="0CC655FF" w14:textId="77777777" w:rsidR="003B69EC" w:rsidRPr="003B69EC" w:rsidRDefault="003B69EC" w:rsidP="003B69EC">
      <w:pPr>
        <w:tabs>
          <w:tab w:val="left" w:pos="851"/>
        </w:tabs>
        <w:ind w:left="851"/>
        <w:rPr>
          <w:sz w:val="24"/>
          <w:szCs w:val="24"/>
        </w:rPr>
      </w:pPr>
      <w:r w:rsidRPr="003B69EC">
        <w:rPr>
          <w:sz w:val="24"/>
          <w:szCs w:val="24"/>
        </w:rPr>
        <w:t>Se pkt. 4.4 og 6.2.</w:t>
      </w:r>
    </w:p>
    <w:p w14:paraId="25E5D467" w14:textId="77777777" w:rsidR="009260DE" w:rsidRPr="00C84483" w:rsidRDefault="009260DE" w:rsidP="009260DE">
      <w:pPr>
        <w:tabs>
          <w:tab w:val="left" w:pos="851"/>
        </w:tabs>
        <w:ind w:left="851"/>
        <w:rPr>
          <w:sz w:val="24"/>
          <w:szCs w:val="24"/>
        </w:rPr>
      </w:pPr>
    </w:p>
    <w:p w14:paraId="7D1248C2"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BF239C3" w14:textId="77777777" w:rsidR="003B69EC" w:rsidRPr="003B69EC" w:rsidRDefault="003B69EC" w:rsidP="003B69EC">
      <w:pPr>
        <w:tabs>
          <w:tab w:val="left" w:pos="851"/>
        </w:tabs>
        <w:ind w:left="851"/>
        <w:rPr>
          <w:i/>
          <w:sz w:val="24"/>
          <w:szCs w:val="24"/>
        </w:rPr>
      </w:pPr>
    </w:p>
    <w:p w14:paraId="569ED41E" w14:textId="77777777" w:rsidR="003B69EC" w:rsidRPr="003B69EC" w:rsidRDefault="003B69EC" w:rsidP="003B69EC">
      <w:pPr>
        <w:tabs>
          <w:tab w:val="left" w:pos="851"/>
        </w:tabs>
        <w:ind w:left="851"/>
        <w:rPr>
          <w:sz w:val="24"/>
          <w:szCs w:val="24"/>
          <w:u w:val="single"/>
        </w:rPr>
      </w:pPr>
      <w:r w:rsidRPr="003B69EC">
        <w:rPr>
          <w:sz w:val="24"/>
          <w:szCs w:val="24"/>
          <w:u w:val="single"/>
        </w:rPr>
        <w:t>Graviditet</w:t>
      </w:r>
    </w:p>
    <w:p w14:paraId="263C5A6B" w14:textId="77777777" w:rsidR="003B69EC" w:rsidRPr="003B69EC" w:rsidRDefault="003B69EC" w:rsidP="003B69EC">
      <w:pPr>
        <w:tabs>
          <w:tab w:val="left" w:pos="851"/>
        </w:tabs>
        <w:ind w:left="851"/>
        <w:rPr>
          <w:sz w:val="24"/>
          <w:szCs w:val="24"/>
        </w:rPr>
      </w:pPr>
      <w:r w:rsidRPr="003B69EC">
        <w:rPr>
          <w:sz w:val="24"/>
          <w:szCs w:val="24"/>
        </w:rPr>
        <w:t>Calcium krydser placentabarrieren, og koncentrationen i fosterblod er højere end i moderens blod.</w:t>
      </w:r>
    </w:p>
    <w:p w14:paraId="74657457" w14:textId="77777777" w:rsidR="003B69EC" w:rsidRPr="003B69EC" w:rsidRDefault="003B69EC" w:rsidP="003B69EC">
      <w:pPr>
        <w:tabs>
          <w:tab w:val="left" w:pos="851"/>
        </w:tabs>
        <w:ind w:left="851"/>
        <w:rPr>
          <w:sz w:val="24"/>
          <w:szCs w:val="24"/>
        </w:rPr>
      </w:pPr>
      <w:r w:rsidRPr="003B69EC">
        <w:rPr>
          <w:sz w:val="24"/>
          <w:szCs w:val="24"/>
        </w:rPr>
        <w:t>Zeltacin bør ikke anvendes under graviditet, medmindre moderens kliniske tilstand kræver behandling med Zeltacin. Den administrerede dosis skal beregnes omhyggeligt, og serumcalciumniveauet skal regelmæssigt overvåges og evalueres for at undgå hyperkalcæmi, hvilket kan være skadelig for fosteret.</w:t>
      </w:r>
    </w:p>
    <w:p w14:paraId="732D13A8" w14:textId="77777777" w:rsidR="003B69EC" w:rsidRPr="003B69EC" w:rsidRDefault="003B69EC" w:rsidP="003B69EC">
      <w:pPr>
        <w:tabs>
          <w:tab w:val="left" w:pos="851"/>
        </w:tabs>
        <w:ind w:left="851"/>
        <w:rPr>
          <w:sz w:val="24"/>
          <w:szCs w:val="24"/>
          <w:u w:val="single"/>
        </w:rPr>
      </w:pPr>
    </w:p>
    <w:p w14:paraId="2357FD28" w14:textId="77777777" w:rsidR="003B69EC" w:rsidRPr="003B69EC" w:rsidRDefault="003B69EC" w:rsidP="003B69EC">
      <w:pPr>
        <w:tabs>
          <w:tab w:val="left" w:pos="851"/>
        </w:tabs>
        <w:ind w:left="851"/>
        <w:rPr>
          <w:sz w:val="24"/>
          <w:szCs w:val="24"/>
          <w:u w:val="single"/>
        </w:rPr>
      </w:pPr>
      <w:r w:rsidRPr="003B69EC">
        <w:rPr>
          <w:sz w:val="24"/>
          <w:szCs w:val="24"/>
          <w:u w:val="single"/>
        </w:rPr>
        <w:t>Amning</w:t>
      </w:r>
    </w:p>
    <w:p w14:paraId="0197BB61" w14:textId="77777777" w:rsidR="003B69EC" w:rsidRPr="003B69EC" w:rsidRDefault="003B69EC" w:rsidP="003B69EC">
      <w:pPr>
        <w:tabs>
          <w:tab w:val="left" w:pos="851"/>
        </w:tabs>
        <w:ind w:left="851"/>
        <w:rPr>
          <w:sz w:val="24"/>
          <w:szCs w:val="24"/>
        </w:rPr>
      </w:pPr>
      <w:r w:rsidRPr="003B69EC">
        <w:rPr>
          <w:sz w:val="24"/>
          <w:szCs w:val="24"/>
        </w:rPr>
        <w:t>Calcium udskilles i modermælk. Dette bør tages i betragtning ved administration til kvinder, der ammer deres spædbørn. Det skal besluttes, om amning skal ophøre eller behandling med Zeltacin seponeres, idet der tages højde for fordelene ved amning for barnet i forhold til de terapeutiske fordele for moderen.</w:t>
      </w:r>
    </w:p>
    <w:p w14:paraId="34FC3588" w14:textId="77777777" w:rsidR="003B69EC" w:rsidRPr="003B69EC" w:rsidRDefault="003B69EC" w:rsidP="003B69EC">
      <w:pPr>
        <w:tabs>
          <w:tab w:val="left" w:pos="851"/>
        </w:tabs>
        <w:ind w:left="851"/>
        <w:rPr>
          <w:sz w:val="24"/>
          <w:szCs w:val="24"/>
          <w:u w:val="single"/>
        </w:rPr>
      </w:pPr>
    </w:p>
    <w:p w14:paraId="4A9E6C36" w14:textId="77777777" w:rsidR="003B69EC" w:rsidRPr="003B69EC" w:rsidRDefault="003B69EC" w:rsidP="003B69EC">
      <w:pPr>
        <w:tabs>
          <w:tab w:val="left" w:pos="851"/>
        </w:tabs>
        <w:ind w:left="851"/>
        <w:rPr>
          <w:sz w:val="24"/>
          <w:szCs w:val="24"/>
          <w:u w:val="single"/>
        </w:rPr>
      </w:pPr>
      <w:r w:rsidRPr="003B69EC">
        <w:rPr>
          <w:sz w:val="24"/>
          <w:szCs w:val="24"/>
          <w:u w:val="single"/>
        </w:rPr>
        <w:t>Fertilitet</w:t>
      </w:r>
    </w:p>
    <w:p w14:paraId="3AAA35BD" w14:textId="77777777" w:rsidR="003B69EC" w:rsidRPr="003B69EC" w:rsidRDefault="003B69EC" w:rsidP="003B69EC">
      <w:pPr>
        <w:tabs>
          <w:tab w:val="left" w:pos="851"/>
        </w:tabs>
        <w:ind w:left="851"/>
        <w:rPr>
          <w:sz w:val="24"/>
          <w:szCs w:val="24"/>
        </w:rPr>
      </w:pPr>
      <w:r w:rsidRPr="003B69EC">
        <w:rPr>
          <w:sz w:val="24"/>
          <w:szCs w:val="24"/>
        </w:rPr>
        <w:t>Der foreligger ingen data.</w:t>
      </w:r>
    </w:p>
    <w:p w14:paraId="21FA1E68" w14:textId="77777777" w:rsidR="009260DE" w:rsidRPr="00C84483" w:rsidRDefault="009260DE" w:rsidP="009260DE">
      <w:pPr>
        <w:tabs>
          <w:tab w:val="left" w:pos="851"/>
        </w:tabs>
        <w:ind w:left="851"/>
        <w:rPr>
          <w:sz w:val="24"/>
          <w:szCs w:val="24"/>
        </w:rPr>
      </w:pPr>
    </w:p>
    <w:p w14:paraId="136D4178"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1754938" w14:textId="4CFD0B1F" w:rsidR="009260DE" w:rsidRDefault="003B69EC" w:rsidP="009260DE">
      <w:pPr>
        <w:tabs>
          <w:tab w:val="left" w:pos="851"/>
        </w:tabs>
        <w:ind w:left="851"/>
        <w:rPr>
          <w:sz w:val="24"/>
          <w:szCs w:val="24"/>
        </w:rPr>
      </w:pPr>
      <w:r>
        <w:rPr>
          <w:sz w:val="24"/>
          <w:szCs w:val="24"/>
        </w:rPr>
        <w:t>Ikke mærkning.</w:t>
      </w:r>
    </w:p>
    <w:p w14:paraId="0A25932C" w14:textId="77777777" w:rsidR="003B69EC" w:rsidRPr="003B69EC" w:rsidRDefault="003B69EC" w:rsidP="003B69EC">
      <w:pPr>
        <w:tabs>
          <w:tab w:val="left" w:pos="851"/>
        </w:tabs>
        <w:ind w:left="851"/>
        <w:rPr>
          <w:sz w:val="24"/>
          <w:szCs w:val="24"/>
        </w:rPr>
      </w:pPr>
      <w:r w:rsidRPr="003B69EC">
        <w:rPr>
          <w:sz w:val="24"/>
          <w:szCs w:val="24"/>
        </w:rPr>
        <w:t>Ikke relevant.</w:t>
      </w:r>
    </w:p>
    <w:p w14:paraId="22A07483" w14:textId="77777777" w:rsidR="003B69EC" w:rsidRPr="00C84483" w:rsidRDefault="003B69EC" w:rsidP="009260DE">
      <w:pPr>
        <w:tabs>
          <w:tab w:val="left" w:pos="851"/>
        </w:tabs>
        <w:ind w:left="851"/>
        <w:rPr>
          <w:sz w:val="24"/>
          <w:szCs w:val="24"/>
        </w:rPr>
      </w:pPr>
    </w:p>
    <w:p w14:paraId="6B86E51F" w14:textId="77777777" w:rsidR="009260DE" w:rsidRPr="00C84483" w:rsidRDefault="009260DE" w:rsidP="009260DE">
      <w:pPr>
        <w:tabs>
          <w:tab w:val="left" w:pos="851"/>
        </w:tabs>
        <w:ind w:left="851"/>
        <w:rPr>
          <w:sz w:val="24"/>
          <w:szCs w:val="24"/>
        </w:rPr>
      </w:pPr>
    </w:p>
    <w:p w14:paraId="3110D92A"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E48E1E0" w14:textId="77777777" w:rsidR="003B69EC" w:rsidRPr="003B69EC" w:rsidRDefault="003B69EC" w:rsidP="003B69EC">
      <w:pPr>
        <w:tabs>
          <w:tab w:val="left" w:pos="851"/>
        </w:tabs>
        <w:ind w:left="851"/>
        <w:rPr>
          <w:sz w:val="24"/>
          <w:szCs w:val="24"/>
        </w:rPr>
      </w:pPr>
      <w:r w:rsidRPr="003B69EC">
        <w:rPr>
          <w:sz w:val="24"/>
          <w:szCs w:val="24"/>
        </w:rPr>
        <w:t>Hyppigheden af bivirkninger, der er anført nedenfor, er defineret ved hjælp af følgende konvention:</w:t>
      </w:r>
    </w:p>
    <w:p w14:paraId="3D0E2418" w14:textId="0AADBCA4" w:rsidR="003B69EC" w:rsidRPr="003B69EC" w:rsidRDefault="003B69EC" w:rsidP="003B69EC">
      <w:pPr>
        <w:tabs>
          <w:tab w:val="left" w:pos="851"/>
          <w:tab w:val="left" w:pos="2694"/>
        </w:tabs>
        <w:ind w:left="851"/>
        <w:rPr>
          <w:sz w:val="24"/>
          <w:szCs w:val="24"/>
        </w:rPr>
      </w:pPr>
      <w:r w:rsidRPr="003B69EC">
        <w:rPr>
          <w:sz w:val="24"/>
          <w:szCs w:val="24"/>
        </w:rPr>
        <w:t>Meget almindelig</w:t>
      </w:r>
      <w:r w:rsidRPr="003B69EC">
        <w:rPr>
          <w:sz w:val="24"/>
          <w:szCs w:val="24"/>
        </w:rPr>
        <w:tab/>
        <w:t>≥ 1/10</w:t>
      </w:r>
    </w:p>
    <w:p w14:paraId="628B7EC3" w14:textId="5EE0BB91" w:rsidR="003B69EC" w:rsidRPr="003B69EC" w:rsidRDefault="003B69EC" w:rsidP="003B69EC">
      <w:pPr>
        <w:tabs>
          <w:tab w:val="left" w:pos="851"/>
          <w:tab w:val="left" w:pos="2694"/>
        </w:tabs>
        <w:ind w:left="851"/>
        <w:rPr>
          <w:sz w:val="24"/>
          <w:szCs w:val="24"/>
        </w:rPr>
      </w:pPr>
      <w:r w:rsidRPr="003B69EC">
        <w:rPr>
          <w:sz w:val="24"/>
          <w:szCs w:val="24"/>
        </w:rPr>
        <w:t xml:space="preserve">Almindelig </w:t>
      </w:r>
      <w:r w:rsidRPr="003B69EC">
        <w:rPr>
          <w:sz w:val="24"/>
          <w:szCs w:val="24"/>
        </w:rPr>
        <w:tab/>
        <w:t>≥ 1/100 til &lt; 1/10</w:t>
      </w:r>
    </w:p>
    <w:p w14:paraId="1C8AFB13" w14:textId="36D68608" w:rsidR="003B69EC" w:rsidRPr="003B69EC" w:rsidRDefault="003B69EC" w:rsidP="003B69EC">
      <w:pPr>
        <w:tabs>
          <w:tab w:val="left" w:pos="851"/>
          <w:tab w:val="left" w:pos="2694"/>
        </w:tabs>
        <w:ind w:left="851"/>
        <w:rPr>
          <w:sz w:val="24"/>
          <w:szCs w:val="24"/>
        </w:rPr>
      </w:pPr>
      <w:r w:rsidRPr="003B69EC">
        <w:rPr>
          <w:sz w:val="24"/>
          <w:szCs w:val="24"/>
        </w:rPr>
        <w:t xml:space="preserve">Ikke almindelig </w:t>
      </w:r>
      <w:r w:rsidRPr="003B69EC">
        <w:rPr>
          <w:sz w:val="24"/>
          <w:szCs w:val="24"/>
        </w:rPr>
        <w:tab/>
        <w:t>≥ 1/1.000 til &lt; 1/100</w:t>
      </w:r>
    </w:p>
    <w:p w14:paraId="1ACEC186" w14:textId="6938DEB0" w:rsidR="003B69EC" w:rsidRPr="003B69EC" w:rsidRDefault="003B69EC" w:rsidP="003B69EC">
      <w:pPr>
        <w:tabs>
          <w:tab w:val="left" w:pos="851"/>
          <w:tab w:val="left" w:pos="2694"/>
        </w:tabs>
        <w:ind w:left="851"/>
        <w:rPr>
          <w:sz w:val="24"/>
          <w:szCs w:val="24"/>
        </w:rPr>
      </w:pPr>
      <w:r w:rsidRPr="003B69EC">
        <w:rPr>
          <w:sz w:val="24"/>
          <w:szCs w:val="24"/>
        </w:rPr>
        <w:t xml:space="preserve">Sjælden </w:t>
      </w:r>
      <w:r w:rsidRPr="003B69EC">
        <w:rPr>
          <w:sz w:val="24"/>
          <w:szCs w:val="24"/>
        </w:rPr>
        <w:tab/>
        <w:t>≥ 1/10.000 til &lt; 1/1.000</w:t>
      </w:r>
    </w:p>
    <w:p w14:paraId="08E2FF4F" w14:textId="45C3FBCD" w:rsidR="003B69EC" w:rsidRPr="003B69EC" w:rsidRDefault="003B69EC" w:rsidP="003B69EC">
      <w:pPr>
        <w:tabs>
          <w:tab w:val="left" w:pos="851"/>
          <w:tab w:val="left" w:pos="2694"/>
        </w:tabs>
        <w:ind w:left="851"/>
        <w:rPr>
          <w:sz w:val="24"/>
          <w:szCs w:val="24"/>
        </w:rPr>
      </w:pPr>
      <w:r w:rsidRPr="003B69EC">
        <w:rPr>
          <w:sz w:val="24"/>
          <w:szCs w:val="24"/>
        </w:rPr>
        <w:t xml:space="preserve">Meget sjælden </w:t>
      </w:r>
      <w:r w:rsidRPr="003B69EC">
        <w:rPr>
          <w:sz w:val="24"/>
          <w:szCs w:val="24"/>
        </w:rPr>
        <w:tab/>
        <w:t>&lt; 1/10.000</w:t>
      </w:r>
    </w:p>
    <w:p w14:paraId="07693412" w14:textId="0A9FB69A" w:rsidR="003B69EC" w:rsidRPr="003B69EC" w:rsidRDefault="003B69EC" w:rsidP="003B69EC">
      <w:pPr>
        <w:tabs>
          <w:tab w:val="left" w:pos="851"/>
          <w:tab w:val="left" w:pos="2694"/>
        </w:tabs>
        <w:ind w:left="851"/>
        <w:rPr>
          <w:b/>
          <w:sz w:val="24"/>
          <w:szCs w:val="24"/>
        </w:rPr>
      </w:pPr>
      <w:r w:rsidRPr="003B69EC">
        <w:rPr>
          <w:sz w:val="24"/>
          <w:szCs w:val="24"/>
        </w:rPr>
        <w:t xml:space="preserve">Ikke kendt: </w:t>
      </w:r>
      <w:r w:rsidRPr="003B69EC">
        <w:rPr>
          <w:sz w:val="24"/>
          <w:szCs w:val="24"/>
        </w:rPr>
        <w:tab/>
        <w:t>Hyppigheden kan ikke estimeres ud fra forhåndenværende data.</w:t>
      </w:r>
    </w:p>
    <w:p w14:paraId="69FF5D1F" w14:textId="77777777" w:rsidR="003B69EC" w:rsidRPr="003B69EC" w:rsidRDefault="003B69EC" w:rsidP="003B69EC">
      <w:pPr>
        <w:tabs>
          <w:tab w:val="left" w:pos="851"/>
        </w:tabs>
        <w:ind w:left="851"/>
        <w:rPr>
          <w:b/>
          <w:sz w:val="24"/>
          <w:szCs w:val="24"/>
        </w:rPr>
      </w:pPr>
    </w:p>
    <w:p w14:paraId="04A44C27" w14:textId="77777777" w:rsidR="003B69EC" w:rsidRPr="003B69EC" w:rsidRDefault="003B69EC" w:rsidP="003B69EC">
      <w:pPr>
        <w:tabs>
          <w:tab w:val="left" w:pos="851"/>
        </w:tabs>
        <w:ind w:left="851"/>
        <w:rPr>
          <w:sz w:val="24"/>
          <w:szCs w:val="24"/>
        </w:rPr>
      </w:pPr>
      <w:r w:rsidRPr="003B69EC">
        <w:rPr>
          <w:sz w:val="24"/>
          <w:szCs w:val="24"/>
        </w:rPr>
        <w:t>Kardiovaskulære og andre systemiske bivirkninger vil sandsynligvis forekomme som symptomer på akut hyperkalcæmi som følge af intravenøs overdosering eller for hurtig intravenøs injektion. Deres forekomst og hyppighed er direkte relateret til administrationshastigheden og den administrerede dosis.</w:t>
      </w:r>
    </w:p>
    <w:p w14:paraId="2E0A1823" w14:textId="77777777" w:rsidR="003B69EC" w:rsidRPr="003B69EC" w:rsidRDefault="003B69EC" w:rsidP="003B69EC">
      <w:pPr>
        <w:tabs>
          <w:tab w:val="left" w:pos="851"/>
        </w:tabs>
        <w:ind w:left="851"/>
        <w:rPr>
          <w:sz w:val="24"/>
          <w:szCs w:val="24"/>
        </w:rPr>
      </w:pPr>
    </w:p>
    <w:p w14:paraId="544CB162" w14:textId="77777777" w:rsidR="003B69EC" w:rsidRPr="003B69EC" w:rsidRDefault="003B69EC" w:rsidP="003B69EC">
      <w:pPr>
        <w:tabs>
          <w:tab w:val="left" w:pos="851"/>
        </w:tabs>
        <w:ind w:left="851"/>
        <w:rPr>
          <w:iCs/>
          <w:sz w:val="24"/>
          <w:szCs w:val="24"/>
        </w:rPr>
      </w:pPr>
      <w:r w:rsidRPr="003B69EC">
        <w:rPr>
          <w:sz w:val="24"/>
          <w:szCs w:val="24"/>
        </w:rPr>
        <w:t>Hjerte</w:t>
      </w:r>
    </w:p>
    <w:p w14:paraId="1D3DDF0F" w14:textId="77777777" w:rsidR="003B69EC" w:rsidRPr="003B69EC" w:rsidRDefault="003B69EC" w:rsidP="003B69EC">
      <w:pPr>
        <w:tabs>
          <w:tab w:val="left" w:pos="851"/>
        </w:tabs>
        <w:ind w:left="851"/>
        <w:rPr>
          <w:sz w:val="24"/>
          <w:szCs w:val="24"/>
        </w:rPr>
      </w:pPr>
      <w:r w:rsidRPr="003B69EC">
        <w:rPr>
          <w:sz w:val="24"/>
          <w:szCs w:val="24"/>
          <w:u w:val="single"/>
        </w:rPr>
        <w:t>Ikke kendt:</w:t>
      </w:r>
      <w:r w:rsidRPr="003B69EC">
        <w:rPr>
          <w:sz w:val="24"/>
          <w:szCs w:val="24"/>
        </w:rPr>
        <w:t xml:space="preserve"> Bradykardi, hjertearytmi</w:t>
      </w:r>
    </w:p>
    <w:p w14:paraId="69A30FD9" w14:textId="77777777" w:rsidR="003B69EC" w:rsidRPr="003B69EC" w:rsidRDefault="003B69EC" w:rsidP="003B69EC">
      <w:pPr>
        <w:tabs>
          <w:tab w:val="left" w:pos="851"/>
        </w:tabs>
        <w:ind w:left="851"/>
        <w:rPr>
          <w:sz w:val="24"/>
          <w:szCs w:val="24"/>
        </w:rPr>
      </w:pPr>
    </w:p>
    <w:p w14:paraId="2FA3EA06" w14:textId="77777777" w:rsidR="003B69EC" w:rsidRPr="003B69EC" w:rsidRDefault="003B69EC" w:rsidP="003B69EC">
      <w:pPr>
        <w:tabs>
          <w:tab w:val="left" w:pos="851"/>
        </w:tabs>
        <w:ind w:left="851"/>
        <w:rPr>
          <w:iCs/>
          <w:sz w:val="24"/>
          <w:szCs w:val="24"/>
        </w:rPr>
      </w:pPr>
      <w:r w:rsidRPr="003B69EC">
        <w:rPr>
          <w:sz w:val="24"/>
          <w:szCs w:val="24"/>
        </w:rPr>
        <w:t>Vaskulære sygdomme</w:t>
      </w:r>
    </w:p>
    <w:p w14:paraId="3E55BB20" w14:textId="77777777" w:rsidR="003B69EC" w:rsidRPr="003B69EC" w:rsidRDefault="003B69EC" w:rsidP="003B69EC">
      <w:pPr>
        <w:tabs>
          <w:tab w:val="left" w:pos="851"/>
        </w:tabs>
        <w:ind w:left="851"/>
        <w:rPr>
          <w:sz w:val="24"/>
          <w:szCs w:val="24"/>
        </w:rPr>
      </w:pPr>
      <w:r w:rsidRPr="003B69EC">
        <w:rPr>
          <w:sz w:val="24"/>
          <w:szCs w:val="24"/>
          <w:u w:val="single"/>
        </w:rPr>
        <w:t>Ikke kendt:</w:t>
      </w:r>
      <w:r w:rsidRPr="003B69EC">
        <w:rPr>
          <w:sz w:val="24"/>
          <w:szCs w:val="24"/>
        </w:rPr>
        <w:t xml:space="preserve"> Hypotension, vasodilatation, kredsløbskollaps (muligvis dødelig), rødme, hovedsageligt efter for hurtig injektion</w:t>
      </w:r>
    </w:p>
    <w:p w14:paraId="79F89762" w14:textId="77777777" w:rsidR="003B69EC" w:rsidRPr="003B69EC" w:rsidRDefault="003B69EC" w:rsidP="003B69EC">
      <w:pPr>
        <w:tabs>
          <w:tab w:val="left" w:pos="851"/>
        </w:tabs>
        <w:ind w:left="851"/>
        <w:rPr>
          <w:sz w:val="24"/>
          <w:szCs w:val="24"/>
        </w:rPr>
      </w:pPr>
    </w:p>
    <w:p w14:paraId="50D485DC" w14:textId="77777777" w:rsidR="003B69EC" w:rsidRPr="003B69EC" w:rsidRDefault="003B69EC" w:rsidP="003B69EC">
      <w:pPr>
        <w:tabs>
          <w:tab w:val="left" w:pos="851"/>
        </w:tabs>
        <w:ind w:left="851"/>
        <w:rPr>
          <w:iCs/>
          <w:sz w:val="24"/>
          <w:szCs w:val="24"/>
        </w:rPr>
      </w:pPr>
      <w:r w:rsidRPr="003B69EC">
        <w:rPr>
          <w:sz w:val="24"/>
          <w:szCs w:val="24"/>
        </w:rPr>
        <w:t>Mave-tarm-kanalen</w:t>
      </w:r>
    </w:p>
    <w:p w14:paraId="04201B1F" w14:textId="77777777" w:rsidR="003B69EC" w:rsidRPr="003B69EC" w:rsidRDefault="003B69EC" w:rsidP="003B69EC">
      <w:pPr>
        <w:tabs>
          <w:tab w:val="left" w:pos="851"/>
        </w:tabs>
        <w:ind w:left="851"/>
        <w:rPr>
          <w:sz w:val="24"/>
          <w:szCs w:val="24"/>
        </w:rPr>
      </w:pPr>
      <w:r w:rsidRPr="003B69EC">
        <w:rPr>
          <w:sz w:val="24"/>
          <w:szCs w:val="24"/>
          <w:u w:val="single"/>
        </w:rPr>
        <w:t>Ikke kendt:</w:t>
      </w:r>
      <w:r w:rsidRPr="003B69EC">
        <w:rPr>
          <w:sz w:val="24"/>
          <w:szCs w:val="24"/>
        </w:rPr>
        <w:t xml:space="preserve"> Kvalme, opkastning</w:t>
      </w:r>
    </w:p>
    <w:p w14:paraId="5EBD31B4" w14:textId="77777777" w:rsidR="003B69EC" w:rsidRPr="003B69EC" w:rsidRDefault="003B69EC" w:rsidP="003B69EC">
      <w:pPr>
        <w:tabs>
          <w:tab w:val="left" w:pos="851"/>
        </w:tabs>
        <w:ind w:left="851"/>
        <w:rPr>
          <w:sz w:val="24"/>
          <w:szCs w:val="24"/>
        </w:rPr>
      </w:pPr>
    </w:p>
    <w:p w14:paraId="1B289E22" w14:textId="77777777" w:rsidR="003B69EC" w:rsidRPr="003B69EC" w:rsidRDefault="003B69EC" w:rsidP="003B69EC">
      <w:pPr>
        <w:tabs>
          <w:tab w:val="left" w:pos="851"/>
        </w:tabs>
        <w:ind w:left="851"/>
        <w:rPr>
          <w:iCs/>
          <w:sz w:val="24"/>
          <w:szCs w:val="24"/>
        </w:rPr>
      </w:pPr>
      <w:r w:rsidRPr="003B69EC">
        <w:rPr>
          <w:sz w:val="24"/>
          <w:szCs w:val="24"/>
        </w:rPr>
        <w:t>Almene symptomer og reaktioner på administrationsstedet</w:t>
      </w:r>
    </w:p>
    <w:p w14:paraId="00474CBB" w14:textId="77777777" w:rsidR="003B69EC" w:rsidRPr="003B69EC" w:rsidRDefault="003B69EC" w:rsidP="003B69EC">
      <w:pPr>
        <w:tabs>
          <w:tab w:val="left" w:pos="851"/>
        </w:tabs>
        <w:ind w:left="851"/>
        <w:rPr>
          <w:sz w:val="24"/>
          <w:szCs w:val="24"/>
        </w:rPr>
      </w:pPr>
      <w:r w:rsidRPr="003B69EC">
        <w:rPr>
          <w:sz w:val="24"/>
          <w:szCs w:val="24"/>
          <w:u w:val="single"/>
        </w:rPr>
        <w:t>Ikke kendt:</w:t>
      </w:r>
      <w:r w:rsidRPr="003B69EC">
        <w:rPr>
          <w:sz w:val="24"/>
          <w:szCs w:val="24"/>
        </w:rPr>
        <w:t xml:space="preserve"> Varmefornemmelser, svedtendens</w:t>
      </w:r>
    </w:p>
    <w:p w14:paraId="4A575542" w14:textId="77777777" w:rsidR="003B69EC" w:rsidRPr="003B69EC" w:rsidRDefault="003B69EC" w:rsidP="003B69EC">
      <w:pPr>
        <w:tabs>
          <w:tab w:val="left" w:pos="851"/>
        </w:tabs>
        <w:ind w:left="851"/>
        <w:rPr>
          <w:sz w:val="24"/>
          <w:szCs w:val="24"/>
        </w:rPr>
      </w:pPr>
    </w:p>
    <w:p w14:paraId="136EAF14" w14:textId="77777777" w:rsidR="003B69EC" w:rsidRPr="003B69EC" w:rsidRDefault="003B69EC" w:rsidP="003B69EC">
      <w:pPr>
        <w:tabs>
          <w:tab w:val="left" w:pos="851"/>
        </w:tabs>
        <w:ind w:left="851"/>
        <w:rPr>
          <w:i/>
          <w:sz w:val="24"/>
          <w:szCs w:val="24"/>
        </w:rPr>
      </w:pPr>
      <w:r w:rsidRPr="003B69EC">
        <w:rPr>
          <w:i/>
          <w:sz w:val="24"/>
          <w:szCs w:val="24"/>
        </w:rPr>
        <w:t>Udfældning af ceftriaxon-calciumsalt</w:t>
      </w:r>
    </w:p>
    <w:p w14:paraId="183F5BEC" w14:textId="77777777" w:rsidR="003B69EC" w:rsidRPr="003B69EC" w:rsidRDefault="003B69EC" w:rsidP="003B69EC">
      <w:pPr>
        <w:tabs>
          <w:tab w:val="left" w:pos="851"/>
        </w:tabs>
        <w:ind w:left="851"/>
        <w:rPr>
          <w:sz w:val="24"/>
          <w:szCs w:val="24"/>
        </w:rPr>
      </w:pPr>
      <w:r w:rsidRPr="003B69EC">
        <w:rPr>
          <w:sz w:val="24"/>
          <w:szCs w:val="24"/>
        </w:rPr>
        <w:t>I sjældne tilfælde er der rapporteret svære, og i nogle tilfælde dødelige bivirkninger hos for tidligt fødte og fuldbårne nyfødte (&lt; 28 dage), som var blevet behandlet med intravenøs ceftriaxon og calcium. Udfældninger af ceftriaxon-calciumsalt er blevet observeret i lunger og nyrer post mortem. Den høje risiko for udfældning hos nyfødte er et resultat af deres lave blodvolumen og ceftriaxons længere halveringstid, sammenlignet med voksne (se pkt. 4.3, 4.4 og 6.2).</w:t>
      </w:r>
    </w:p>
    <w:p w14:paraId="51B6356A" w14:textId="77777777" w:rsidR="003B69EC" w:rsidRPr="003B69EC" w:rsidRDefault="003B69EC" w:rsidP="003B69EC">
      <w:pPr>
        <w:tabs>
          <w:tab w:val="left" w:pos="851"/>
        </w:tabs>
        <w:ind w:left="851"/>
        <w:rPr>
          <w:bCs/>
          <w:sz w:val="24"/>
          <w:szCs w:val="24"/>
        </w:rPr>
      </w:pPr>
    </w:p>
    <w:p w14:paraId="562C04B0" w14:textId="77777777" w:rsidR="003B69EC" w:rsidRPr="003B69EC" w:rsidRDefault="003B69EC" w:rsidP="003B69EC">
      <w:pPr>
        <w:tabs>
          <w:tab w:val="left" w:pos="851"/>
        </w:tabs>
        <w:ind w:left="851"/>
        <w:rPr>
          <w:bCs/>
          <w:iCs/>
          <w:sz w:val="24"/>
          <w:szCs w:val="24"/>
          <w:u w:val="single"/>
        </w:rPr>
      </w:pPr>
      <w:r w:rsidRPr="003B69EC">
        <w:rPr>
          <w:sz w:val="24"/>
          <w:szCs w:val="24"/>
          <w:u w:val="single"/>
        </w:rPr>
        <w:t>Bivirkninger, der kun forekommer ved forkert administrationsteknik:</w:t>
      </w:r>
    </w:p>
    <w:p w14:paraId="71BCC454" w14:textId="77777777" w:rsidR="003B69EC" w:rsidRPr="003B69EC" w:rsidRDefault="003B69EC" w:rsidP="003B69EC">
      <w:pPr>
        <w:tabs>
          <w:tab w:val="left" w:pos="851"/>
        </w:tabs>
        <w:ind w:left="851"/>
        <w:rPr>
          <w:sz w:val="24"/>
          <w:szCs w:val="24"/>
        </w:rPr>
      </w:pPr>
      <w:r w:rsidRPr="003B69EC">
        <w:rPr>
          <w:sz w:val="24"/>
          <w:szCs w:val="24"/>
        </w:rPr>
        <w:t>Hudrødme, brændende fornemmelse eller smerter under den intravenøse injektion kan indikere utilsigtet perivaskulær injektion, hvilket kan føre til vævsnekrose.</w:t>
      </w:r>
    </w:p>
    <w:p w14:paraId="71C4B609" w14:textId="77777777" w:rsidR="003B69EC" w:rsidRPr="003B69EC" w:rsidRDefault="003B69EC" w:rsidP="003B69EC">
      <w:pPr>
        <w:tabs>
          <w:tab w:val="left" w:pos="851"/>
        </w:tabs>
        <w:ind w:left="851"/>
        <w:rPr>
          <w:sz w:val="24"/>
          <w:szCs w:val="24"/>
        </w:rPr>
      </w:pPr>
    </w:p>
    <w:p w14:paraId="22886A49" w14:textId="77777777" w:rsidR="003B69EC" w:rsidRPr="003B69EC" w:rsidRDefault="003B69EC" w:rsidP="003B69EC">
      <w:pPr>
        <w:tabs>
          <w:tab w:val="left" w:pos="851"/>
        </w:tabs>
        <w:ind w:left="851"/>
        <w:rPr>
          <w:sz w:val="24"/>
          <w:szCs w:val="24"/>
          <w:u w:val="single"/>
        </w:rPr>
      </w:pPr>
      <w:r w:rsidRPr="003B69EC">
        <w:rPr>
          <w:sz w:val="24"/>
          <w:szCs w:val="24"/>
          <w:u w:val="single"/>
        </w:rPr>
        <w:t>Indberetning af formodede bivirkninger</w:t>
      </w:r>
    </w:p>
    <w:p w14:paraId="66624577" w14:textId="77777777" w:rsidR="003B69EC" w:rsidRPr="003B69EC" w:rsidRDefault="003B69EC" w:rsidP="003B69EC">
      <w:pPr>
        <w:tabs>
          <w:tab w:val="left" w:pos="851"/>
        </w:tabs>
        <w:ind w:left="851"/>
        <w:rPr>
          <w:sz w:val="24"/>
          <w:szCs w:val="24"/>
        </w:rPr>
      </w:pPr>
      <w:r w:rsidRPr="003B69EC">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30FC2FD" w14:textId="77777777" w:rsidR="003B69EC" w:rsidRPr="003B69EC" w:rsidRDefault="003B69EC" w:rsidP="003B69EC">
      <w:pPr>
        <w:tabs>
          <w:tab w:val="left" w:pos="851"/>
        </w:tabs>
        <w:ind w:left="851"/>
        <w:rPr>
          <w:sz w:val="24"/>
          <w:szCs w:val="24"/>
        </w:rPr>
      </w:pPr>
    </w:p>
    <w:p w14:paraId="6EB85F2A" w14:textId="77777777" w:rsidR="003B69EC" w:rsidRPr="003B69EC" w:rsidRDefault="003B69EC" w:rsidP="003B69EC">
      <w:pPr>
        <w:tabs>
          <w:tab w:val="left" w:pos="851"/>
        </w:tabs>
        <w:ind w:left="851"/>
        <w:rPr>
          <w:sz w:val="24"/>
          <w:szCs w:val="24"/>
        </w:rPr>
      </w:pPr>
      <w:r w:rsidRPr="003B69EC">
        <w:rPr>
          <w:sz w:val="24"/>
          <w:szCs w:val="24"/>
        </w:rPr>
        <w:t>Lægemiddelstyrelsen</w:t>
      </w:r>
    </w:p>
    <w:p w14:paraId="3227C6BE" w14:textId="77777777" w:rsidR="003B69EC" w:rsidRPr="003B69EC" w:rsidRDefault="003B69EC" w:rsidP="003B69EC">
      <w:pPr>
        <w:tabs>
          <w:tab w:val="left" w:pos="851"/>
        </w:tabs>
        <w:ind w:left="851"/>
        <w:rPr>
          <w:sz w:val="24"/>
          <w:szCs w:val="24"/>
        </w:rPr>
      </w:pPr>
      <w:r w:rsidRPr="003B69EC">
        <w:rPr>
          <w:sz w:val="24"/>
          <w:szCs w:val="24"/>
        </w:rPr>
        <w:t>Axel Heides Gade 1</w:t>
      </w:r>
    </w:p>
    <w:p w14:paraId="3B0043DC" w14:textId="77777777" w:rsidR="003B69EC" w:rsidRPr="003B69EC" w:rsidRDefault="003B69EC" w:rsidP="003B69EC">
      <w:pPr>
        <w:tabs>
          <w:tab w:val="left" w:pos="851"/>
        </w:tabs>
        <w:ind w:left="851"/>
        <w:rPr>
          <w:sz w:val="24"/>
          <w:szCs w:val="24"/>
        </w:rPr>
      </w:pPr>
      <w:r w:rsidRPr="003B69EC">
        <w:rPr>
          <w:sz w:val="24"/>
          <w:szCs w:val="24"/>
        </w:rPr>
        <w:t>DK-2300 København S</w:t>
      </w:r>
    </w:p>
    <w:p w14:paraId="14382AC9" w14:textId="50563E52" w:rsidR="003B69EC" w:rsidRPr="00551338" w:rsidRDefault="003B69EC" w:rsidP="003B69EC">
      <w:pPr>
        <w:tabs>
          <w:tab w:val="left" w:pos="851"/>
        </w:tabs>
        <w:ind w:left="851"/>
        <w:rPr>
          <w:sz w:val="24"/>
          <w:szCs w:val="24"/>
        </w:rPr>
      </w:pPr>
      <w:r w:rsidRPr="00551338">
        <w:rPr>
          <w:sz w:val="24"/>
          <w:szCs w:val="24"/>
        </w:rPr>
        <w:t>Websted: www.meldenbivirkning.dk</w:t>
      </w:r>
    </w:p>
    <w:p w14:paraId="22158F3E" w14:textId="77777777" w:rsidR="009260DE" w:rsidRPr="00551338" w:rsidRDefault="009260DE" w:rsidP="00A10294">
      <w:pPr>
        <w:tabs>
          <w:tab w:val="left" w:pos="851"/>
        </w:tabs>
        <w:ind w:left="851"/>
        <w:rPr>
          <w:sz w:val="24"/>
          <w:szCs w:val="24"/>
        </w:rPr>
      </w:pPr>
    </w:p>
    <w:p w14:paraId="30251544" w14:textId="77777777" w:rsidR="009260DE" w:rsidRPr="00551338" w:rsidRDefault="009260DE" w:rsidP="009260DE">
      <w:pPr>
        <w:tabs>
          <w:tab w:val="left" w:pos="851"/>
        </w:tabs>
        <w:ind w:left="851" w:hanging="851"/>
        <w:rPr>
          <w:b/>
          <w:sz w:val="24"/>
          <w:szCs w:val="24"/>
        </w:rPr>
      </w:pPr>
      <w:r w:rsidRPr="00551338">
        <w:rPr>
          <w:b/>
          <w:sz w:val="24"/>
          <w:szCs w:val="24"/>
        </w:rPr>
        <w:t>4.9</w:t>
      </w:r>
      <w:r w:rsidRPr="00551338">
        <w:rPr>
          <w:b/>
          <w:sz w:val="24"/>
          <w:szCs w:val="24"/>
        </w:rPr>
        <w:tab/>
        <w:t>Overdosering</w:t>
      </w:r>
    </w:p>
    <w:p w14:paraId="601BF929" w14:textId="77777777" w:rsidR="003B69EC" w:rsidRDefault="003B69EC" w:rsidP="003B69EC">
      <w:pPr>
        <w:tabs>
          <w:tab w:val="left" w:pos="851"/>
        </w:tabs>
        <w:ind w:left="851"/>
        <w:rPr>
          <w:sz w:val="24"/>
          <w:szCs w:val="24"/>
          <w:u w:val="single"/>
        </w:rPr>
      </w:pPr>
    </w:p>
    <w:p w14:paraId="125EB4D0" w14:textId="792D7630" w:rsidR="003B69EC" w:rsidRPr="003B69EC" w:rsidRDefault="003B69EC" w:rsidP="003B69EC">
      <w:pPr>
        <w:tabs>
          <w:tab w:val="left" w:pos="851"/>
        </w:tabs>
        <w:ind w:left="851"/>
        <w:rPr>
          <w:sz w:val="24"/>
          <w:szCs w:val="24"/>
          <w:u w:val="single"/>
        </w:rPr>
      </w:pPr>
      <w:r w:rsidRPr="003B69EC">
        <w:rPr>
          <w:sz w:val="24"/>
          <w:szCs w:val="24"/>
          <w:u w:val="single"/>
        </w:rPr>
        <w:t>Symptomer</w:t>
      </w:r>
    </w:p>
    <w:p w14:paraId="564B4908" w14:textId="77777777" w:rsidR="003B69EC" w:rsidRPr="003B69EC" w:rsidRDefault="003B69EC" w:rsidP="003B69EC">
      <w:pPr>
        <w:tabs>
          <w:tab w:val="left" w:pos="851"/>
        </w:tabs>
        <w:ind w:left="851"/>
        <w:rPr>
          <w:sz w:val="24"/>
          <w:szCs w:val="24"/>
        </w:rPr>
      </w:pPr>
      <w:r w:rsidRPr="003B69EC">
        <w:rPr>
          <w:sz w:val="24"/>
          <w:szCs w:val="24"/>
        </w:rPr>
        <w:t>Symptomer på hyperkalcæmi kan omfatte: anoreksi, kvalme, opkastning, forstoppelse, abdominalsmerter, polyuri, polydipsi, dehydrering, muskelsvaghed, knoglesmerter, nyreforkalkning, døsighed, forvirring, hypertension og i alvorlige tilfælde hjertearytmi op til hjertestop og koma.</w:t>
      </w:r>
    </w:p>
    <w:p w14:paraId="213D9DF6" w14:textId="77777777" w:rsidR="003B69EC" w:rsidRPr="003B69EC" w:rsidRDefault="003B69EC" w:rsidP="003B69EC">
      <w:pPr>
        <w:tabs>
          <w:tab w:val="left" w:pos="851"/>
        </w:tabs>
        <w:ind w:left="851"/>
        <w:rPr>
          <w:sz w:val="24"/>
          <w:szCs w:val="24"/>
        </w:rPr>
      </w:pPr>
      <w:r w:rsidRPr="003B69EC">
        <w:rPr>
          <w:sz w:val="24"/>
          <w:szCs w:val="24"/>
        </w:rPr>
        <w:t>Hvis den intravenøse injektion er for hurtig, kan der opstå symptomer på hyperkalcæmi samt en kridtagtig smag, hedeture og hypotension.</w:t>
      </w:r>
    </w:p>
    <w:p w14:paraId="53E1A8FA" w14:textId="77777777" w:rsidR="003B69EC" w:rsidRPr="003B69EC" w:rsidRDefault="003B69EC" w:rsidP="003B69EC">
      <w:pPr>
        <w:tabs>
          <w:tab w:val="left" w:pos="851"/>
        </w:tabs>
        <w:ind w:left="851"/>
        <w:rPr>
          <w:sz w:val="24"/>
          <w:szCs w:val="24"/>
        </w:rPr>
      </w:pPr>
    </w:p>
    <w:p w14:paraId="131C6B05" w14:textId="77777777" w:rsidR="003B69EC" w:rsidRPr="003B69EC" w:rsidRDefault="003B69EC" w:rsidP="003B69EC">
      <w:pPr>
        <w:tabs>
          <w:tab w:val="left" w:pos="851"/>
        </w:tabs>
        <w:ind w:left="851"/>
        <w:rPr>
          <w:sz w:val="24"/>
          <w:szCs w:val="24"/>
          <w:u w:val="single"/>
        </w:rPr>
      </w:pPr>
      <w:r w:rsidRPr="003B69EC">
        <w:rPr>
          <w:sz w:val="24"/>
          <w:szCs w:val="24"/>
          <w:u w:val="single"/>
        </w:rPr>
        <w:t>Nødbehandling, antidoter</w:t>
      </w:r>
    </w:p>
    <w:p w14:paraId="44425D62" w14:textId="77777777" w:rsidR="003B69EC" w:rsidRPr="003B69EC" w:rsidRDefault="003B69EC" w:rsidP="003B69EC">
      <w:pPr>
        <w:tabs>
          <w:tab w:val="left" w:pos="851"/>
        </w:tabs>
        <w:ind w:left="851"/>
        <w:rPr>
          <w:sz w:val="24"/>
          <w:szCs w:val="24"/>
        </w:rPr>
      </w:pPr>
      <w:r w:rsidRPr="003B69EC">
        <w:rPr>
          <w:sz w:val="24"/>
          <w:szCs w:val="24"/>
        </w:rPr>
        <w:t>Behandlingen bør sigte mod at sænke den forhøjede plasmacalciumkoncentration.</w:t>
      </w:r>
    </w:p>
    <w:p w14:paraId="410545C7" w14:textId="77777777" w:rsidR="003B69EC" w:rsidRPr="003B69EC" w:rsidRDefault="003B69EC" w:rsidP="003B69EC">
      <w:pPr>
        <w:tabs>
          <w:tab w:val="left" w:pos="851"/>
        </w:tabs>
        <w:ind w:left="851"/>
        <w:rPr>
          <w:sz w:val="24"/>
          <w:szCs w:val="24"/>
        </w:rPr>
      </w:pPr>
    </w:p>
    <w:p w14:paraId="0252C095" w14:textId="77777777" w:rsidR="003B69EC" w:rsidRPr="003B69EC" w:rsidRDefault="003B69EC" w:rsidP="003B69EC">
      <w:pPr>
        <w:tabs>
          <w:tab w:val="left" w:pos="851"/>
        </w:tabs>
        <w:ind w:left="851"/>
        <w:rPr>
          <w:sz w:val="24"/>
          <w:szCs w:val="24"/>
        </w:rPr>
      </w:pPr>
      <w:r w:rsidRPr="003B69EC">
        <w:rPr>
          <w:sz w:val="24"/>
          <w:szCs w:val="24"/>
        </w:rPr>
        <w:t>Den indledende behandling bør omfatte rehydrering, og ved svær hyperkalcæmi kan det være nødvendigt at administrere natriumchlorid via intravenøs infusion for at udvide ekstracellulærvæsken. Calcitonin kan gives for at sænke den forhøjede serumcalciumkoncentration. Furosemid kan administreres for at øge calciumudskillelsen, men thiaziddiuretika bør undgås, da de kan øge den renale absorption af calcium.</w:t>
      </w:r>
    </w:p>
    <w:p w14:paraId="3BB2CD13" w14:textId="77777777" w:rsidR="003B69EC" w:rsidRPr="003B69EC" w:rsidRDefault="003B69EC" w:rsidP="003B69EC">
      <w:pPr>
        <w:tabs>
          <w:tab w:val="left" w:pos="851"/>
        </w:tabs>
        <w:ind w:left="851"/>
        <w:rPr>
          <w:sz w:val="24"/>
          <w:szCs w:val="24"/>
        </w:rPr>
      </w:pPr>
    </w:p>
    <w:p w14:paraId="55722D8A" w14:textId="77777777" w:rsidR="003B69EC" w:rsidRPr="003B69EC" w:rsidRDefault="003B69EC" w:rsidP="003B69EC">
      <w:pPr>
        <w:tabs>
          <w:tab w:val="left" w:pos="851"/>
        </w:tabs>
        <w:ind w:left="851"/>
        <w:rPr>
          <w:i/>
          <w:sz w:val="24"/>
          <w:szCs w:val="24"/>
        </w:rPr>
      </w:pPr>
      <w:r w:rsidRPr="003B69EC">
        <w:rPr>
          <w:sz w:val="24"/>
          <w:szCs w:val="24"/>
        </w:rPr>
        <w:t>Hæmodialyse eller peritonealdialyse kan overvejes, hvis andre foranstaltninger ikke er lykkedes, og hvis patienten fortsat er akut symptomatisk. Serumelektrolytter bør overvåges nøje under hele behandlingen af overdosering.</w:t>
      </w:r>
    </w:p>
    <w:p w14:paraId="34E2F8F5" w14:textId="77777777" w:rsidR="009260DE" w:rsidRPr="00C84483" w:rsidRDefault="009260DE" w:rsidP="009260DE">
      <w:pPr>
        <w:tabs>
          <w:tab w:val="left" w:pos="851"/>
        </w:tabs>
        <w:ind w:left="851"/>
        <w:rPr>
          <w:sz w:val="24"/>
          <w:szCs w:val="24"/>
        </w:rPr>
      </w:pPr>
    </w:p>
    <w:p w14:paraId="027592BE"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38B3E4A" w14:textId="2843B150" w:rsidR="009260DE" w:rsidRPr="00C84483" w:rsidRDefault="003B69EC" w:rsidP="009260DE">
      <w:pPr>
        <w:tabs>
          <w:tab w:val="left" w:pos="851"/>
        </w:tabs>
        <w:ind w:left="851"/>
        <w:rPr>
          <w:sz w:val="24"/>
          <w:szCs w:val="24"/>
        </w:rPr>
      </w:pPr>
      <w:r>
        <w:rPr>
          <w:sz w:val="24"/>
          <w:szCs w:val="24"/>
        </w:rPr>
        <w:t>B</w:t>
      </w:r>
    </w:p>
    <w:p w14:paraId="3FE190BA" w14:textId="77777777" w:rsidR="009260DE" w:rsidRPr="00C84483" w:rsidRDefault="009260DE" w:rsidP="009260DE">
      <w:pPr>
        <w:tabs>
          <w:tab w:val="left" w:pos="851"/>
        </w:tabs>
        <w:ind w:left="851"/>
        <w:rPr>
          <w:sz w:val="24"/>
          <w:szCs w:val="24"/>
        </w:rPr>
      </w:pPr>
    </w:p>
    <w:p w14:paraId="4B79F315" w14:textId="77777777" w:rsidR="009260DE" w:rsidRPr="00C84483" w:rsidRDefault="009260DE" w:rsidP="009260DE">
      <w:pPr>
        <w:tabs>
          <w:tab w:val="left" w:pos="851"/>
        </w:tabs>
        <w:ind w:left="851"/>
        <w:rPr>
          <w:sz w:val="24"/>
          <w:szCs w:val="24"/>
        </w:rPr>
      </w:pPr>
    </w:p>
    <w:p w14:paraId="206F395C"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5F831E5" w14:textId="77777777" w:rsidR="009260DE" w:rsidRPr="00C84483" w:rsidRDefault="009260DE" w:rsidP="009260DE">
      <w:pPr>
        <w:tabs>
          <w:tab w:val="left" w:pos="851"/>
        </w:tabs>
        <w:ind w:left="851"/>
        <w:rPr>
          <w:sz w:val="24"/>
          <w:szCs w:val="24"/>
        </w:rPr>
      </w:pPr>
    </w:p>
    <w:p w14:paraId="7D9F163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F9AF1B6" w14:textId="74C6EB8B" w:rsidR="0014378E" w:rsidRPr="0014378E" w:rsidRDefault="0014378E" w:rsidP="0014378E">
      <w:pPr>
        <w:tabs>
          <w:tab w:val="left" w:pos="851"/>
        </w:tabs>
        <w:ind w:left="851"/>
        <w:rPr>
          <w:sz w:val="24"/>
          <w:szCs w:val="24"/>
        </w:rPr>
      </w:pPr>
      <w:r w:rsidRPr="0014378E">
        <w:rPr>
          <w:sz w:val="24"/>
          <w:szCs w:val="24"/>
        </w:rPr>
        <w:t>Farmakoterapeutisk klassifikation: Opløsninger med virkning på elektrolytbalancen</w:t>
      </w:r>
      <w:r>
        <w:rPr>
          <w:sz w:val="24"/>
          <w:szCs w:val="24"/>
        </w:rPr>
        <w:t>,</w:t>
      </w:r>
      <w:r w:rsidRPr="0014378E">
        <w:rPr>
          <w:sz w:val="24"/>
          <w:szCs w:val="24"/>
        </w:rPr>
        <w:t xml:space="preserve"> elektrolytter</w:t>
      </w:r>
      <w:r>
        <w:rPr>
          <w:sz w:val="24"/>
          <w:szCs w:val="24"/>
        </w:rPr>
        <w:t xml:space="preserve">, </w:t>
      </w:r>
      <w:r w:rsidRPr="0014378E">
        <w:rPr>
          <w:sz w:val="24"/>
          <w:szCs w:val="24"/>
        </w:rPr>
        <w:t>ATC-kode: B05BB01.</w:t>
      </w:r>
    </w:p>
    <w:p w14:paraId="5637C861" w14:textId="77777777" w:rsidR="0014378E" w:rsidRPr="0014378E" w:rsidRDefault="0014378E" w:rsidP="0014378E">
      <w:pPr>
        <w:tabs>
          <w:tab w:val="left" w:pos="851"/>
        </w:tabs>
        <w:ind w:left="851"/>
        <w:rPr>
          <w:b/>
          <w:sz w:val="24"/>
          <w:szCs w:val="24"/>
        </w:rPr>
      </w:pPr>
    </w:p>
    <w:p w14:paraId="350F1558" w14:textId="77777777" w:rsidR="0014378E" w:rsidRPr="0014378E" w:rsidRDefault="0014378E" w:rsidP="0014378E">
      <w:pPr>
        <w:tabs>
          <w:tab w:val="left" w:pos="851"/>
        </w:tabs>
        <w:ind w:left="851"/>
        <w:rPr>
          <w:bCs/>
          <w:sz w:val="24"/>
          <w:szCs w:val="24"/>
        </w:rPr>
      </w:pPr>
      <w:r w:rsidRPr="0014378E">
        <w:rPr>
          <w:sz w:val="24"/>
          <w:szCs w:val="24"/>
        </w:rPr>
        <w:t>Calcium er det mest udbredte mineral i den menneskelige organisme (ca. 1,5 % af hele legemsvægten). Over 99 % af kroppens samlede calcium findes i knogler og tænder, ca. 1 % opløses i intra- og ekstracellulærvæske.</w:t>
      </w:r>
    </w:p>
    <w:p w14:paraId="1EB29E39" w14:textId="77777777" w:rsidR="0014378E" w:rsidRPr="0014378E" w:rsidRDefault="0014378E" w:rsidP="0014378E">
      <w:pPr>
        <w:tabs>
          <w:tab w:val="left" w:pos="851"/>
        </w:tabs>
        <w:ind w:left="851"/>
        <w:rPr>
          <w:bCs/>
          <w:sz w:val="24"/>
          <w:szCs w:val="24"/>
        </w:rPr>
      </w:pPr>
    </w:p>
    <w:p w14:paraId="456CAE99" w14:textId="77777777" w:rsidR="0014378E" w:rsidRPr="0014378E" w:rsidRDefault="0014378E" w:rsidP="0014378E">
      <w:pPr>
        <w:tabs>
          <w:tab w:val="left" w:pos="851"/>
        </w:tabs>
        <w:ind w:left="851"/>
        <w:rPr>
          <w:bCs/>
          <w:sz w:val="24"/>
          <w:szCs w:val="24"/>
        </w:rPr>
      </w:pPr>
      <w:r w:rsidRPr="0014378E">
        <w:rPr>
          <w:sz w:val="24"/>
          <w:szCs w:val="24"/>
        </w:rPr>
        <w:t>Calcium er nødvendigt for den funktionelle integritet af nerver og muskler. Det er afgørende for muskelkontraktion, hjertefunktion og blodkoagulation.</w:t>
      </w:r>
    </w:p>
    <w:p w14:paraId="7572FEC4" w14:textId="77777777" w:rsidR="0014378E" w:rsidRPr="0014378E" w:rsidRDefault="0014378E" w:rsidP="0014378E">
      <w:pPr>
        <w:tabs>
          <w:tab w:val="left" w:pos="851"/>
        </w:tabs>
        <w:ind w:left="851"/>
        <w:rPr>
          <w:bCs/>
          <w:sz w:val="24"/>
          <w:szCs w:val="24"/>
        </w:rPr>
      </w:pPr>
    </w:p>
    <w:p w14:paraId="57A4A794" w14:textId="77777777" w:rsidR="0014378E" w:rsidRPr="0014378E" w:rsidRDefault="0014378E" w:rsidP="0014378E">
      <w:pPr>
        <w:tabs>
          <w:tab w:val="left" w:pos="851"/>
        </w:tabs>
        <w:ind w:left="851"/>
        <w:rPr>
          <w:bCs/>
          <w:sz w:val="24"/>
          <w:szCs w:val="24"/>
        </w:rPr>
      </w:pPr>
      <w:r w:rsidRPr="0014378E">
        <w:rPr>
          <w:sz w:val="24"/>
          <w:szCs w:val="24"/>
        </w:rPr>
        <w:t>Det fysiologiske niveau af calciumkoncentrationen i plasma holdes på 2,25</w:t>
      </w:r>
      <w:r w:rsidRPr="0014378E">
        <w:rPr>
          <w:sz w:val="24"/>
          <w:szCs w:val="24"/>
        </w:rPr>
        <w:noBreakHyphen/>
        <w:t>2,62 mmol/l. Da ca. 40</w:t>
      </w:r>
      <w:r w:rsidRPr="0014378E">
        <w:rPr>
          <w:sz w:val="24"/>
          <w:szCs w:val="24"/>
        </w:rPr>
        <w:noBreakHyphen/>
        <w:t>50 % af calcium i plasma er bundet til albumin, kobles det samlede calcium i plasma til plasmaproteinkoncentrationen. Koncentrationen af ioniseret calcium er fra 1,23 til 1,43 mmol/l, reguleret af calcitonin og parathormon.</w:t>
      </w:r>
    </w:p>
    <w:p w14:paraId="62BDB4B3" w14:textId="77777777" w:rsidR="0014378E" w:rsidRPr="0014378E" w:rsidRDefault="0014378E" w:rsidP="0014378E">
      <w:pPr>
        <w:tabs>
          <w:tab w:val="left" w:pos="851"/>
        </w:tabs>
        <w:ind w:left="851"/>
        <w:rPr>
          <w:bCs/>
          <w:sz w:val="24"/>
          <w:szCs w:val="24"/>
        </w:rPr>
      </w:pPr>
    </w:p>
    <w:p w14:paraId="22CA325D" w14:textId="77777777" w:rsidR="0014378E" w:rsidRPr="0014378E" w:rsidRDefault="0014378E" w:rsidP="0014378E">
      <w:pPr>
        <w:tabs>
          <w:tab w:val="left" w:pos="851"/>
        </w:tabs>
        <w:ind w:left="851"/>
        <w:rPr>
          <w:bCs/>
          <w:sz w:val="24"/>
          <w:szCs w:val="24"/>
        </w:rPr>
      </w:pPr>
      <w:r w:rsidRPr="0014378E">
        <w:rPr>
          <w:sz w:val="24"/>
          <w:szCs w:val="24"/>
        </w:rPr>
        <w:t>Hypokalcæmi (totalt calcium under hhv. 2,25 mmol/l eller ioniseret calcium under 1,23 mmol/l) kan skyldes nyresvigt, D-vitaminmangel, magnesiummangel, massiv blodtransfusion, osteoblastiske maligne tumorer, hypoparatyroidisme eller forgiftning med fosfater, oxalater, fluorider, strontium eller radium.</w:t>
      </w:r>
    </w:p>
    <w:p w14:paraId="41FACC83" w14:textId="77777777" w:rsidR="0014378E" w:rsidRPr="0014378E" w:rsidRDefault="0014378E" w:rsidP="0014378E">
      <w:pPr>
        <w:tabs>
          <w:tab w:val="left" w:pos="851"/>
        </w:tabs>
        <w:ind w:left="851"/>
        <w:rPr>
          <w:bCs/>
          <w:sz w:val="24"/>
          <w:szCs w:val="24"/>
        </w:rPr>
      </w:pPr>
    </w:p>
    <w:p w14:paraId="4D84964E" w14:textId="77777777" w:rsidR="0014378E" w:rsidRPr="0014378E" w:rsidRDefault="0014378E" w:rsidP="0014378E">
      <w:pPr>
        <w:tabs>
          <w:tab w:val="left" w:pos="851"/>
        </w:tabs>
        <w:ind w:left="851"/>
        <w:rPr>
          <w:bCs/>
          <w:sz w:val="24"/>
          <w:szCs w:val="24"/>
        </w:rPr>
      </w:pPr>
      <w:r w:rsidRPr="0014378E">
        <w:rPr>
          <w:sz w:val="24"/>
          <w:szCs w:val="24"/>
        </w:rPr>
        <w:lastRenderedPageBreak/>
        <w:t>Hypokalcæmi kan ledsages af følgende symptomer: øget neuromuskulær excitabilitet op til tetanus, paræstesi, carpopedale spasmer, spasmer i den glatte muskulatur, f.eks. i form af tarmkolik, muskelsvaghed, forvirring, cerebrale konvulsive anfald og hjertesymptomer som forlænget QT-interval, arytmi og endda akut myokardiesvigt.</w:t>
      </w:r>
    </w:p>
    <w:p w14:paraId="72870A92" w14:textId="77777777" w:rsidR="0014378E" w:rsidRPr="0014378E" w:rsidRDefault="0014378E" w:rsidP="0014378E">
      <w:pPr>
        <w:tabs>
          <w:tab w:val="left" w:pos="851"/>
        </w:tabs>
        <w:ind w:left="851"/>
        <w:rPr>
          <w:bCs/>
          <w:sz w:val="24"/>
          <w:szCs w:val="24"/>
        </w:rPr>
      </w:pPr>
    </w:p>
    <w:p w14:paraId="41AD73E2" w14:textId="77777777" w:rsidR="0014378E" w:rsidRPr="0014378E" w:rsidRDefault="0014378E" w:rsidP="0014378E">
      <w:pPr>
        <w:tabs>
          <w:tab w:val="left" w:pos="851"/>
        </w:tabs>
        <w:ind w:left="851"/>
        <w:rPr>
          <w:bCs/>
          <w:sz w:val="24"/>
          <w:szCs w:val="24"/>
        </w:rPr>
      </w:pPr>
      <w:r w:rsidRPr="0014378E">
        <w:rPr>
          <w:sz w:val="24"/>
          <w:szCs w:val="24"/>
        </w:rPr>
        <w:t>Den terapeutiske virkning af parenteral calciumsubstitution er normalisering af patologisk lave calciumniveauer i serum, og dermed lindring af symptomerne på hypokalcæmi.</w:t>
      </w:r>
    </w:p>
    <w:p w14:paraId="2393E52B" w14:textId="77777777" w:rsidR="009260DE" w:rsidRPr="00C84483" w:rsidRDefault="009260DE" w:rsidP="009260DE">
      <w:pPr>
        <w:tabs>
          <w:tab w:val="left" w:pos="851"/>
        </w:tabs>
        <w:ind w:left="851"/>
        <w:rPr>
          <w:sz w:val="24"/>
          <w:szCs w:val="24"/>
        </w:rPr>
      </w:pPr>
    </w:p>
    <w:p w14:paraId="7BCB7557"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FC27849" w14:textId="77777777" w:rsidR="00996AF8" w:rsidRDefault="00996AF8" w:rsidP="00996AF8">
      <w:pPr>
        <w:tabs>
          <w:tab w:val="left" w:pos="851"/>
        </w:tabs>
        <w:ind w:left="851"/>
        <w:rPr>
          <w:sz w:val="24"/>
          <w:szCs w:val="24"/>
          <w:u w:val="single"/>
        </w:rPr>
      </w:pPr>
    </w:p>
    <w:p w14:paraId="43EFE643" w14:textId="52B47392" w:rsidR="00996AF8" w:rsidRPr="00996AF8" w:rsidRDefault="00996AF8" w:rsidP="00996AF8">
      <w:pPr>
        <w:tabs>
          <w:tab w:val="left" w:pos="851"/>
        </w:tabs>
        <w:ind w:left="851"/>
        <w:rPr>
          <w:iCs/>
          <w:sz w:val="24"/>
          <w:szCs w:val="24"/>
          <w:u w:val="single"/>
        </w:rPr>
      </w:pPr>
      <w:r w:rsidRPr="00996AF8">
        <w:rPr>
          <w:sz w:val="24"/>
          <w:szCs w:val="24"/>
          <w:u w:val="single"/>
        </w:rPr>
        <w:t>Fordeling</w:t>
      </w:r>
    </w:p>
    <w:p w14:paraId="65617A1F" w14:textId="77777777" w:rsidR="00996AF8" w:rsidRPr="00996AF8" w:rsidRDefault="00996AF8" w:rsidP="00996AF8">
      <w:pPr>
        <w:tabs>
          <w:tab w:val="left" w:pos="851"/>
        </w:tabs>
        <w:ind w:left="851"/>
        <w:rPr>
          <w:sz w:val="24"/>
          <w:szCs w:val="24"/>
        </w:rPr>
      </w:pPr>
      <w:r w:rsidRPr="00996AF8">
        <w:rPr>
          <w:sz w:val="24"/>
          <w:szCs w:val="24"/>
        </w:rPr>
        <w:t>Efter injektion udviser det administrerede calcium samme fordelingsmønster som det endogene calcium. Ca. 45</w:t>
      </w:r>
      <w:r w:rsidRPr="00996AF8">
        <w:rPr>
          <w:sz w:val="24"/>
          <w:szCs w:val="24"/>
        </w:rPr>
        <w:noBreakHyphen/>
        <w:t>50 % af det samlede calcium i plasma er i den fysiologisk aktive ioniserede form, ca. 40</w:t>
      </w:r>
      <w:r w:rsidRPr="00996AF8">
        <w:rPr>
          <w:sz w:val="24"/>
          <w:szCs w:val="24"/>
        </w:rPr>
        <w:noBreakHyphen/>
        <w:t>50 % er bundet til proteiner, hovedsageligt albumin, og 8</w:t>
      </w:r>
      <w:r w:rsidRPr="00996AF8">
        <w:rPr>
          <w:sz w:val="24"/>
          <w:szCs w:val="24"/>
        </w:rPr>
        <w:noBreakHyphen/>
        <w:t>10 % er kompleksbundet med anioner.</w:t>
      </w:r>
    </w:p>
    <w:p w14:paraId="6796D2AC" w14:textId="77777777" w:rsidR="00996AF8" w:rsidRPr="00996AF8" w:rsidRDefault="00996AF8" w:rsidP="00996AF8">
      <w:pPr>
        <w:tabs>
          <w:tab w:val="left" w:pos="851"/>
        </w:tabs>
        <w:ind w:left="851"/>
        <w:rPr>
          <w:iCs/>
          <w:sz w:val="24"/>
          <w:szCs w:val="24"/>
          <w:u w:val="single"/>
        </w:rPr>
      </w:pPr>
    </w:p>
    <w:p w14:paraId="201D0167" w14:textId="77777777" w:rsidR="00996AF8" w:rsidRPr="00996AF8" w:rsidRDefault="00996AF8" w:rsidP="00996AF8">
      <w:pPr>
        <w:tabs>
          <w:tab w:val="left" w:pos="851"/>
        </w:tabs>
        <w:ind w:left="851"/>
        <w:rPr>
          <w:iCs/>
          <w:sz w:val="24"/>
          <w:szCs w:val="24"/>
          <w:u w:val="single"/>
        </w:rPr>
      </w:pPr>
      <w:r w:rsidRPr="00996AF8">
        <w:rPr>
          <w:sz w:val="24"/>
          <w:szCs w:val="24"/>
          <w:u w:val="single"/>
        </w:rPr>
        <w:t>Biotransformation</w:t>
      </w:r>
    </w:p>
    <w:p w14:paraId="13CB9BFF" w14:textId="77777777" w:rsidR="00996AF8" w:rsidRPr="00996AF8" w:rsidRDefault="00996AF8" w:rsidP="00996AF8">
      <w:pPr>
        <w:tabs>
          <w:tab w:val="left" w:pos="851"/>
        </w:tabs>
        <w:ind w:left="851"/>
        <w:rPr>
          <w:sz w:val="24"/>
          <w:szCs w:val="24"/>
        </w:rPr>
      </w:pPr>
      <w:r w:rsidRPr="00996AF8">
        <w:rPr>
          <w:sz w:val="24"/>
          <w:szCs w:val="24"/>
        </w:rPr>
        <w:t>Efter injektion tilsættes det administrerede calcium til den intravaskulære calciumpulje og det håndteres af organismen på samme måde som det endogene calcium.</w:t>
      </w:r>
    </w:p>
    <w:p w14:paraId="052C355F" w14:textId="77777777" w:rsidR="00996AF8" w:rsidRPr="00996AF8" w:rsidRDefault="00996AF8" w:rsidP="00996AF8">
      <w:pPr>
        <w:tabs>
          <w:tab w:val="left" w:pos="851"/>
        </w:tabs>
        <w:ind w:left="851"/>
        <w:rPr>
          <w:iCs/>
          <w:sz w:val="24"/>
          <w:szCs w:val="24"/>
          <w:u w:val="single"/>
        </w:rPr>
      </w:pPr>
    </w:p>
    <w:p w14:paraId="0C0825AD" w14:textId="77777777" w:rsidR="00996AF8" w:rsidRPr="00996AF8" w:rsidRDefault="00996AF8" w:rsidP="00996AF8">
      <w:pPr>
        <w:tabs>
          <w:tab w:val="left" w:pos="851"/>
        </w:tabs>
        <w:ind w:left="851"/>
        <w:rPr>
          <w:iCs/>
          <w:sz w:val="24"/>
          <w:szCs w:val="24"/>
          <w:u w:val="single"/>
        </w:rPr>
      </w:pPr>
      <w:r w:rsidRPr="00996AF8">
        <w:rPr>
          <w:sz w:val="24"/>
          <w:szCs w:val="24"/>
          <w:u w:val="single"/>
        </w:rPr>
        <w:t>Elimination</w:t>
      </w:r>
    </w:p>
    <w:p w14:paraId="2F9A1F1D" w14:textId="77777777" w:rsidR="00996AF8" w:rsidRPr="00996AF8" w:rsidRDefault="00996AF8" w:rsidP="00996AF8">
      <w:pPr>
        <w:tabs>
          <w:tab w:val="left" w:pos="851"/>
        </w:tabs>
        <w:ind w:left="851"/>
        <w:rPr>
          <w:iCs/>
          <w:sz w:val="24"/>
          <w:szCs w:val="24"/>
        </w:rPr>
      </w:pPr>
      <w:r w:rsidRPr="00996AF8">
        <w:rPr>
          <w:sz w:val="24"/>
          <w:szCs w:val="24"/>
        </w:rPr>
        <w:t>Udskillelse af calcium finder sted via urinen, selvom en stor del gennemgår tubulær reabsorption i nyrerne.</w:t>
      </w:r>
    </w:p>
    <w:p w14:paraId="016517FD" w14:textId="77777777" w:rsidR="009260DE" w:rsidRPr="00C84483" w:rsidRDefault="009260DE" w:rsidP="009260DE">
      <w:pPr>
        <w:tabs>
          <w:tab w:val="left" w:pos="851"/>
        </w:tabs>
        <w:ind w:left="851"/>
        <w:rPr>
          <w:sz w:val="24"/>
          <w:szCs w:val="24"/>
        </w:rPr>
      </w:pPr>
    </w:p>
    <w:p w14:paraId="1E55F684"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A816266" w14:textId="77777777" w:rsidR="00996AF8" w:rsidRPr="00996AF8" w:rsidRDefault="00996AF8" w:rsidP="00996AF8">
      <w:pPr>
        <w:tabs>
          <w:tab w:val="left" w:pos="851"/>
        </w:tabs>
        <w:ind w:left="851"/>
        <w:rPr>
          <w:sz w:val="24"/>
          <w:szCs w:val="24"/>
        </w:rPr>
      </w:pPr>
      <w:r w:rsidRPr="00996AF8">
        <w:rPr>
          <w:sz w:val="24"/>
          <w:szCs w:val="24"/>
        </w:rPr>
        <w:t>Non-kliniske data viser ingen speciel risiko for mennesker vurderet ud fra konventionelle studier af sikkerhedsfarmakologi, toksicitet efter gentagne doser, reproduktions- og udviklingstoksicitet.</w:t>
      </w:r>
    </w:p>
    <w:p w14:paraId="1BB25DD7" w14:textId="77777777" w:rsidR="009260DE" w:rsidRPr="00C84483" w:rsidRDefault="009260DE" w:rsidP="009260DE">
      <w:pPr>
        <w:tabs>
          <w:tab w:val="left" w:pos="851"/>
        </w:tabs>
        <w:ind w:left="851"/>
        <w:rPr>
          <w:sz w:val="24"/>
          <w:szCs w:val="24"/>
        </w:rPr>
      </w:pPr>
    </w:p>
    <w:p w14:paraId="24C6D494" w14:textId="77777777" w:rsidR="009260DE" w:rsidRPr="00C84483" w:rsidRDefault="009260DE" w:rsidP="009260DE">
      <w:pPr>
        <w:tabs>
          <w:tab w:val="left" w:pos="851"/>
        </w:tabs>
        <w:ind w:left="851"/>
        <w:rPr>
          <w:sz w:val="24"/>
          <w:szCs w:val="24"/>
        </w:rPr>
      </w:pPr>
    </w:p>
    <w:p w14:paraId="7AD5F29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CC7F62C" w14:textId="77777777" w:rsidR="009260DE" w:rsidRPr="00BA09F1" w:rsidRDefault="009260DE" w:rsidP="009260DE">
      <w:pPr>
        <w:tabs>
          <w:tab w:val="left" w:pos="851"/>
        </w:tabs>
        <w:ind w:left="851"/>
        <w:rPr>
          <w:sz w:val="24"/>
          <w:szCs w:val="24"/>
        </w:rPr>
      </w:pPr>
    </w:p>
    <w:p w14:paraId="1E3BF118"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947FA12" w14:textId="77777777" w:rsidR="00996AF8" w:rsidRPr="00996AF8" w:rsidRDefault="00996AF8" w:rsidP="00996AF8">
      <w:pPr>
        <w:tabs>
          <w:tab w:val="left" w:pos="851"/>
        </w:tabs>
        <w:ind w:left="851"/>
        <w:rPr>
          <w:sz w:val="24"/>
          <w:szCs w:val="24"/>
        </w:rPr>
      </w:pPr>
      <w:r w:rsidRPr="00996AF8">
        <w:rPr>
          <w:sz w:val="24"/>
          <w:szCs w:val="24"/>
        </w:rPr>
        <w:t>Calciumsaccharat</w:t>
      </w:r>
      <w:r w:rsidRPr="00996AF8">
        <w:rPr>
          <w:sz w:val="24"/>
          <w:szCs w:val="24"/>
        </w:rPr>
        <w:br/>
        <w:t>Vand til injektionsvæsker</w:t>
      </w:r>
    </w:p>
    <w:p w14:paraId="2AC907DE" w14:textId="77777777" w:rsidR="009260DE" w:rsidRPr="00C84483" w:rsidRDefault="009260DE" w:rsidP="009260DE">
      <w:pPr>
        <w:tabs>
          <w:tab w:val="left" w:pos="851"/>
        </w:tabs>
        <w:ind w:left="851"/>
        <w:rPr>
          <w:sz w:val="24"/>
          <w:szCs w:val="24"/>
        </w:rPr>
      </w:pPr>
    </w:p>
    <w:p w14:paraId="7D3FA6C9"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72D2B99" w14:textId="77777777" w:rsidR="00996AF8" w:rsidRPr="00996AF8" w:rsidRDefault="00996AF8" w:rsidP="00996AF8">
      <w:pPr>
        <w:tabs>
          <w:tab w:val="left" w:pos="851"/>
        </w:tabs>
        <w:ind w:left="851"/>
        <w:rPr>
          <w:sz w:val="24"/>
          <w:szCs w:val="24"/>
        </w:rPr>
      </w:pPr>
      <w:r w:rsidRPr="00996AF8">
        <w:rPr>
          <w:sz w:val="24"/>
          <w:szCs w:val="24"/>
        </w:rPr>
        <w:t>Calciumsalte kan danne komplekser med mange lægemidler, og dette kan føre til udfældning.</w:t>
      </w:r>
    </w:p>
    <w:p w14:paraId="1AEE7FE6" w14:textId="77777777" w:rsidR="00996AF8" w:rsidRPr="00996AF8" w:rsidRDefault="00996AF8" w:rsidP="00996AF8">
      <w:pPr>
        <w:tabs>
          <w:tab w:val="left" w:pos="851"/>
        </w:tabs>
        <w:ind w:left="851"/>
        <w:rPr>
          <w:sz w:val="24"/>
          <w:szCs w:val="24"/>
        </w:rPr>
      </w:pPr>
    </w:p>
    <w:p w14:paraId="4AAD6303" w14:textId="77777777" w:rsidR="00996AF8" w:rsidRPr="00996AF8" w:rsidRDefault="00996AF8" w:rsidP="00996AF8">
      <w:pPr>
        <w:tabs>
          <w:tab w:val="left" w:pos="851"/>
        </w:tabs>
        <w:ind w:left="851"/>
        <w:rPr>
          <w:sz w:val="24"/>
          <w:szCs w:val="24"/>
        </w:rPr>
      </w:pPr>
      <w:r w:rsidRPr="00996AF8">
        <w:rPr>
          <w:sz w:val="24"/>
          <w:szCs w:val="24"/>
        </w:rPr>
        <w:t>Calciumsalte er uforenelige med oxidationsmidler, citrater, opløselige carbonater, bicarbonater, oxalater, fosfater, tartrater og sulfater.</w:t>
      </w:r>
    </w:p>
    <w:p w14:paraId="78BC365D" w14:textId="77777777" w:rsidR="00996AF8" w:rsidRPr="00996AF8" w:rsidRDefault="00996AF8" w:rsidP="00996AF8">
      <w:pPr>
        <w:tabs>
          <w:tab w:val="left" w:pos="851"/>
        </w:tabs>
        <w:ind w:left="851"/>
        <w:rPr>
          <w:sz w:val="24"/>
          <w:szCs w:val="24"/>
        </w:rPr>
      </w:pPr>
    </w:p>
    <w:p w14:paraId="677E8A8A" w14:textId="77777777" w:rsidR="00996AF8" w:rsidRPr="00996AF8" w:rsidRDefault="00996AF8" w:rsidP="00996AF8">
      <w:pPr>
        <w:tabs>
          <w:tab w:val="left" w:pos="851"/>
        </w:tabs>
        <w:ind w:left="851"/>
        <w:rPr>
          <w:sz w:val="24"/>
          <w:szCs w:val="24"/>
        </w:rPr>
      </w:pPr>
      <w:r w:rsidRPr="00996AF8">
        <w:rPr>
          <w:sz w:val="24"/>
          <w:szCs w:val="24"/>
        </w:rPr>
        <w:t>Der er også rapporteret om fysisk uforligelighed med amphotericin, cephalothinnatrium, ceftriaxon (se pkt. 4.4), cephazolinnatrium, cephamandolnafat, novobiocinnatrium, dobutaminhydrochlorid, prochlorperazin og tetracykliner.</w:t>
      </w:r>
    </w:p>
    <w:p w14:paraId="7C95BA9A" w14:textId="77777777" w:rsidR="00996AF8" w:rsidRPr="00996AF8" w:rsidRDefault="00996AF8" w:rsidP="00996AF8">
      <w:pPr>
        <w:tabs>
          <w:tab w:val="left" w:pos="851"/>
        </w:tabs>
        <w:ind w:left="851"/>
        <w:rPr>
          <w:sz w:val="24"/>
          <w:szCs w:val="24"/>
        </w:rPr>
      </w:pPr>
    </w:p>
    <w:p w14:paraId="1724AA6C" w14:textId="77777777" w:rsidR="00996AF8" w:rsidRPr="00996AF8" w:rsidRDefault="00996AF8" w:rsidP="00996AF8">
      <w:pPr>
        <w:tabs>
          <w:tab w:val="left" w:pos="851"/>
        </w:tabs>
        <w:ind w:left="851"/>
        <w:rPr>
          <w:sz w:val="24"/>
          <w:szCs w:val="24"/>
        </w:rPr>
      </w:pPr>
      <w:r w:rsidRPr="00996AF8">
        <w:rPr>
          <w:sz w:val="24"/>
          <w:szCs w:val="24"/>
        </w:rPr>
        <w:t>Dette lægemiddel må ikke blandes med andre lægemidler end dem, der er anført under pkt. 6.6, eller medmindre forligelighed er blevet tilfredsstillende påvist.</w:t>
      </w:r>
    </w:p>
    <w:p w14:paraId="104E051C" w14:textId="42F9029D" w:rsidR="00996AF8" w:rsidRDefault="00996AF8">
      <w:pPr>
        <w:rPr>
          <w:sz w:val="24"/>
          <w:szCs w:val="24"/>
        </w:rPr>
      </w:pPr>
      <w:r>
        <w:rPr>
          <w:sz w:val="24"/>
          <w:szCs w:val="24"/>
        </w:rPr>
        <w:br w:type="page"/>
      </w:r>
    </w:p>
    <w:p w14:paraId="65E60CC9" w14:textId="77777777" w:rsidR="009260DE" w:rsidRPr="00C84483" w:rsidRDefault="009260DE" w:rsidP="009260DE">
      <w:pPr>
        <w:tabs>
          <w:tab w:val="left" w:pos="851"/>
        </w:tabs>
        <w:ind w:left="851"/>
        <w:rPr>
          <w:sz w:val="24"/>
          <w:szCs w:val="24"/>
        </w:rPr>
      </w:pPr>
    </w:p>
    <w:p w14:paraId="1C26AB7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A841CD5" w14:textId="77777777" w:rsidR="00996AF8" w:rsidRDefault="00996AF8" w:rsidP="00996AF8">
      <w:pPr>
        <w:tabs>
          <w:tab w:val="left" w:pos="851"/>
        </w:tabs>
        <w:ind w:left="851"/>
        <w:rPr>
          <w:i/>
          <w:sz w:val="24"/>
          <w:szCs w:val="24"/>
        </w:rPr>
      </w:pPr>
    </w:p>
    <w:p w14:paraId="6B4B2390" w14:textId="705EA8F1" w:rsidR="00996AF8" w:rsidRPr="00996AF8" w:rsidRDefault="00996AF8" w:rsidP="00996AF8">
      <w:pPr>
        <w:tabs>
          <w:tab w:val="left" w:pos="851"/>
        </w:tabs>
        <w:ind w:left="851"/>
        <w:rPr>
          <w:sz w:val="24"/>
          <w:szCs w:val="24"/>
        </w:rPr>
      </w:pPr>
      <w:r w:rsidRPr="00996AF8">
        <w:rPr>
          <w:i/>
          <w:sz w:val="24"/>
          <w:szCs w:val="24"/>
        </w:rPr>
        <w:t>Uåbnet</w:t>
      </w:r>
    </w:p>
    <w:p w14:paraId="3CA04885" w14:textId="77777777" w:rsidR="00996AF8" w:rsidRPr="00996AF8" w:rsidRDefault="00996AF8" w:rsidP="00996AF8">
      <w:pPr>
        <w:tabs>
          <w:tab w:val="left" w:pos="851"/>
        </w:tabs>
        <w:ind w:left="851"/>
        <w:rPr>
          <w:i/>
          <w:iCs/>
          <w:sz w:val="24"/>
          <w:szCs w:val="24"/>
        </w:rPr>
      </w:pPr>
      <w:r w:rsidRPr="00996AF8">
        <w:rPr>
          <w:sz w:val="24"/>
          <w:szCs w:val="24"/>
        </w:rPr>
        <w:t>2 år</w:t>
      </w:r>
    </w:p>
    <w:p w14:paraId="6C0ADDDF" w14:textId="77777777" w:rsidR="00996AF8" w:rsidRPr="00996AF8" w:rsidRDefault="00996AF8" w:rsidP="00996AF8">
      <w:pPr>
        <w:tabs>
          <w:tab w:val="left" w:pos="851"/>
        </w:tabs>
        <w:ind w:left="851"/>
        <w:rPr>
          <w:sz w:val="24"/>
          <w:szCs w:val="24"/>
        </w:rPr>
      </w:pPr>
    </w:p>
    <w:p w14:paraId="77EE9FC1" w14:textId="77777777" w:rsidR="00996AF8" w:rsidRPr="00996AF8" w:rsidRDefault="00996AF8" w:rsidP="00996AF8">
      <w:pPr>
        <w:tabs>
          <w:tab w:val="left" w:pos="851"/>
        </w:tabs>
        <w:ind w:left="851"/>
        <w:rPr>
          <w:i/>
          <w:iCs/>
          <w:sz w:val="24"/>
          <w:szCs w:val="24"/>
        </w:rPr>
      </w:pPr>
      <w:r w:rsidRPr="00996AF8">
        <w:rPr>
          <w:i/>
          <w:sz w:val="24"/>
          <w:szCs w:val="24"/>
        </w:rPr>
        <w:t>Efter fortynding</w:t>
      </w:r>
    </w:p>
    <w:p w14:paraId="1873B71C" w14:textId="77777777" w:rsidR="00996AF8" w:rsidRPr="00996AF8" w:rsidRDefault="00996AF8" w:rsidP="00996AF8">
      <w:pPr>
        <w:tabs>
          <w:tab w:val="left" w:pos="851"/>
        </w:tabs>
        <w:ind w:left="851"/>
        <w:rPr>
          <w:sz w:val="24"/>
          <w:szCs w:val="24"/>
        </w:rPr>
      </w:pPr>
      <w:r w:rsidRPr="00996AF8">
        <w:rPr>
          <w:sz w:val="24"/>
          <w:szCs w:val="24"/>
        </w:rPr>
        <w:t>Efter fortynding til 10 mg/ml i henhold til anvisningerne med de anbefalede infusionsvæsker (dvs. natriumchlorid 9 mg/ml (0,9 %) injektionsvæske, opløsning eller 50 mg/ml (5 %) glucoseinjektionsvæske, opløsning) er der påvist fysisk stabilitet under brug i 48 timer ved 23</w:t>
      </w:r>
      <w:r w:rsidRPr="00996AF8">
        <w:rPr>
          <w:sz w:val="24"/>
          <w:szCs w:val="24"/>
        </w:rPr>
        <w:noBreakHyphen/>
        <w:t>27 °C.</w:t>
      </w:r>
    </w:p>
    <w:p w14:paraId="2A447AB9" w14:textId="77777777" w:rsidR="00996AF8" w:rsidRPr="00996AF8" w:rsidRDefault="00996AF8" w:rsidP="00996AF8">
      <w:pPr>
        <w:tabs>
          <w:tab w:val="left" w:pos="851"/>
        </w:tabs>
        <w:ind w:left="851"/>
        <w:rPr>
          <w:sz w:val="24"/>
          <w:szCs w:val="24"/>
        </w:rPr>
      </w:pPr>
    </w:p>
    <w:p w14:paraId="2024E4F9" w14:textId="77777777" w:rsidR="00996AF8" w:rsidRPr="00996AF8" w:rsidRDefault="00996AF8" w:rsidP="00996AF8">
      <w:pPr>
        <w:tabs>
          <w:tab w:val="left" w:pos="851"/>
        </w:tabs>
        <w:ind w:left="851"/>
        <w:rPr>
          <w:sz w:val="24"/>
          <w:szCs w:val="24"/>
        </w:rPr>
      </w:pPr>
      <w:r w:rsidRPr="00996AF8">
        <w:rPr>
          <w:sz w:val="24"/>
          <w:szCs w:val="24"/>
        </w:rPr>
        <w:t>Fra et mikrobiologisk synspunkt skal præparatet anvendes straks. Hvis det ikke anvendes straks, er opbevaringstiderne og -betingelserne før brug brugerens ansvar og vil normalt ikke være længere end 24 timer ved temperaturer fra 2</w:t>
      </w:r>
      <w:r w:rsidRPr="00996AF8">
        <w:rPr>
          <w:sz w:val="24"/>
          <w:szCs w:val="24"/>
        </w:rPr>
        <w:noBreakHyphen/>
        <w:t>8 °C, medmindre fortyndingen har fundet sted under kontrollerede og validerede aseptiske betingelser.</w:t>
      </w:r>
    </w:p>
    <w:p w14:paraId="59F0E180" w14:textId="77777777" w:rsidR="009260DE" w:rsidRPr="00C84483" w:rsidRDefault="009260DE" w:rsidP="009260DE">
      <w:pPr>
        <w:tabs>
          <w:tab w:val="left" w:pos="851"/>
        </w:tabs>
        <w:ind w:left="851"/>
        <w:rPr>
          <w:sz w:val="24"/>
          <w:szCs w:val="24"/>
        </w:rPr>
      </w:pPr>
    </w:p>
    <w:p w14:paraId="0907CEA2"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CF9797B" w14:textId="77777777" w:rsidR="00996AF8" w:rsidRPr="00996AF8" w:rsidRDefault="00996AF8" w:rsidP="00996AF8">
      <w:pPr>
        <w:tabs>
          <w:tab w:val="left" w:pos="851"/>
        </w:tabs>
        <w:ind w:left="851"/>
        <w:rPr>
          <w:sz w:val="24"/>
          <w:szCs w:val="24"/>
        </w:rPr>
      </w:pPr>
      <w:r w:rsidRPr="00996AF8">
        <w:rPr>
          <w:sz w:val="24"/>
          <w:szCs w:val="24"/>
        </w:rPr>
        <w:t>Dette lægemiddel kræver ingen særlige forholdsregler vedrørende opbevaringen.</w:t>
      </w:r>
    </w:p>
    <w:p w14:paraId="02A403A1" w14:textId="77777777" w:rsidR="009260DE" w:rsidRPr="00C84483" w:rsidRDefault="009260DE" w:rsidP="009260DE">
      <w:pPr>
        <w:tabs>
          <w:tab w:val="left" w:pos="851"/>
        </w:tabs>
        <w:ind w:left="851"/>
        <w:rPr>
          <w:sz w:val="24"/>
          <w:szCs w:val="24"/>
        </w:rPr>
      </w:pPr>
    </w:p>
    <w:p w14:paraId="692BE771"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5E3D6C4" w14:textId="77777777" w:rsidR="00996AF8" w:rsidRPr="00996AF8" w:rsidRDefault="00996AF8" w:rsidP="00996AF8">
      <w:pPr>
        <w:tabs>
          <w:tab w:val="left" w:pos="851"/>
        </w:tabs>
        <w:ind w:left="851"/>
        <w:rPr>
          <w:sz w:val="24"/>
          <w:szCs w:val="24"/>
        </w:rPr>
      </w:pPr>
      <w:r w:rsidRPr="00996AF8">
        <w:rPr>
          <w:sz w:val="24"/>
          <w:szCs w:val="24"/>
        </w:rPr>
        <w:t>Zeltacin leveres i plasticflasker indeholdende 50 eller 250 ml opløsning.</w:t>
      </w:r>
    </w:p>
    <w:p w14:paraId="10B2C42B" w14:textId="77777777" w:rsidR="00996AF8" w:rsidRPr="00996AF8" w:rsidRDefault="00996AF8" w:rsidP="00996AF8">
      <w:pPr>
        <w:tabs>
          <w:tab w:val="left" w:pos="851"/>
        </w:tabs>
        <w:ind w:left="851"/>
        <w:rPr>
          <w:sz w:val="24"/>
          <w:szCs w:val="24"/>
        </w:rPr>
      </w:pPr>
    </w:p>
    <w:p w14:paraId="351C6A7B" w14:textId="77777777" w:rsidR="00996AF8" w:rsidRPr="00996AF8" w:rsidRDefault="00996AF8" w:rsidP="00996AF8">
      <w:pPr>
        <w:tabs>
          <w:tab w:val="left" w:pos="851"/>
        </w:tabs>
        <w:ind w:left="851"/>
        <w:rPr>
          <w:sz w:val="24"/>
          <w:szCs w:val="24"/>
        </w:rPr>
      </w:pPr>
      <w:r w:rsidRPr="00996AF8">
        <w:rPr>
          <w:sz w:val="24"/>
          <w:szCs w:val="24"/>
        </w:rPr>
        <w:t>Ikke alle pakningsstørrelser er nødvendigvis markedsført.</w:t>
      </w:r>
    </w:p>
    <w:p w14:paraId="382409F3" w14:textId="77777777" w:rsidR="009260DE" w:rsidRPr="00C84483" w:rsidRDefault="009260DE" w:rsidP="009260DE">
      <w:pPr>
        <w:tabs>
          <w:tab w:val="left" w:pos="851"/>
        </w:tabs>
        <w:ind w:left="851"/>
        <w:rPr>
          <w:sz w:val="24"/>
          <w:szCs w:val="24"/>
        </w:rPr>
      </w:pPr>
    </w:p>
    <w:p w14:paraId="599E8931"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4780EDF" w14:textId="77777777" w:rsidR="00996AF8" w:rsidRDefault="00996AF8" w:rsidP="00996AF8">
      <w:pPr>
        <w:tabs>
          <w:tab w:val="left" w:pos="851"/>
        </w:tabs>
        <w:ind w:left="851"/>
        <w:rPr>
          <w:sz w:val="24"/>
          <w:szCs w:val="24"/>
          <w:u w:val="single"/>
        </w:rPr>
      </w:pPr>
    </w:p>
    <w:p w14:paraId="11EE32AF" w14:textId="0F43509B" w:rsidR="00996AF8" w:rsidRPr="00996AF8" w:rsidRDefault="00996AF8" w:rsidP="00996AF8">
      <w:pPr>
        <w:tabs>
          <w:tab w:val="left" w:pos="851"/>
        </w:tabs>
        <w:ind w:left="851"/>
        <w:rPr>
          <w:sz w:val="24"/>
          <w:szCs w:val="24"/>
          <w:u w:val="single"/>
        </w:rPr>
      </w:pPr>
      <w:r w:rsidRPr="00996AF8">
        <w:rPr>
          <w:sz w:val="24"/>
          <w:szCs w:val="24"/>
          <w:u w:val="single"/>
        </w:rPr>
        <w:t>Bortskaffelse</w:t>
      </w:r>
    </w:p>
    <w:p w14:paraId="7A1B23E6" w14:textId="77777777" w:rsidR="00996AF8" w:rsidRPr="00996AF8" w:rsidRDefault="00996AF8" w:rsidP="00996AF8">
      <w:pPr>
        <w:tabs>
          <w:tab w:val="left" w:pos="851"/>
        </w:tabs>
        <w:ind w:left="851"/>
        <w:rPr>
          <w:sz w:val="24"/>
          <w:szCs w:val="24"/>
        </w:rPr>
      </w:pPr>
      <w:r w:rsidRPr="00996AF8">
        <w:rPr>
          <w:sz w:val="24"/>
          <w:szCs w:val="24"/>
        </w:rPr>
        <w:t>Ingen særlige krav til bortskaffelse.</w:t>
      </w:r>
    </w:p>
    <w:p w14:paraId="7E3D1936" w14:textId="77777777" w:rsidR="00996AF8" w:rsidRPr="00996AF8" w:rsidRDefault="00996AF8" w:rsidP="00996AF8">
      <w:pPr>
        <w:tabs>
          <w:tab w:val="left" w:pos="851"/>
        </w:tabs>
        <w:ind w:left="851"/>
        <w:rPr>
          <w:sz w:val="24"/>
          <w:szCs w:val="24"/>
        </w:rPr>
      </w:pPr>
    </w:p>
    <w:p w14:paraId="08FD2F5F" w14:textId="77777777" w:rsidR="00996AF8" w:rsidRPr="00996AF8" w:rsidRDefault="00996AF8" w:rsidP="00996AF8">
      <w:pPr>
        <w:tabs>
          <w:tab w:val="left" w:pos="851"/>
        </w:tabs>
        <w:ind w:left="851"/>
        <w:rPr>
          <w:bCs/>
          <w:sz w:val="24"/>
          <w:szCs w:val="24"/>
          <w:u w:val="single"/>
        </w:rPr>
      </w:pPr>
      <w:r w:rsidRPr="00996AF8">
        <w:rPr>
          <w:sz w:val="24"/>
          <w:szCs w:val="24"/>
          <w:u w:val="single"/>
        </w:rPr>
        <w:t>Håndtering</w:t>
      </w:r>
    </w:p>
    <w:p w14:paraId="740F01A3" w14:textId="77777777" w:rsidR="00996AF8" w:rsidRPr="00996AF8" w:rsidRDefault="00996AF8" w:rsidP="00996AF8">
      <w:pPr>
        <w:tabs>
          <w:tab w:val="left" w:pos="851"/>
        </w:tabs>
        <w:ind w:left="851"/>
        <w:rPr>
          <w:sz w:val="24"/>
          <w:szCs w:val="24"/>
        </w:rPr>
      </w:pPr>
      <w:r w:rsidRPr="00996AF8">
        <w:rPr>
          <w:sz w:val="24"/>
          <w:szCs w:val="24"/>
        </w:rPr>
        <w:t>Dette præparat er kun beregnet til engangsbrug. Eventuel ubrugt opløsning skal bortskaffes.</w:t>
      </w:r>
    </w:p>
    <w:p w14:paraId="7EBEB7E8" w14:textId="77777777" w:rsidR="00996AF8" w:rsidRPr="00996AF8" w:rsidRDefault="00996AF8" w:rsidP="00996AF8">
      <w:pPr>
        <w:tabs>
          <w:tab w:val="left" w:pos="851"/>
        </w:tabs>
        <w:ind w:left="851"/>
        <w:rPr>
          <w:bCs/>
          <w:sz w:val="24"/>
          <w:szCs w:val="24"/>
        </w:rPr>
      </w:pPr>
    </w:p>
    <w:p w14:paraId="75A23C7C" w14:textId="77777777" w:rsidR="00996AF8" w:rsidRPr="00996AF8" w:rsidRDefault="00996AF8" w:rsidP="00996AF8">
      <w:pPr>
        <w:tabs>
          <w:tab w:val="left" w:pos="851"/>
        </w:tabs>
        <w:ind w:left="851"/>
        <w:rPr>
          <w:sz w:val="24"/>
          <w:szCs w:val="24"/>
        </w:rPr>
      </w:pPr>
      <w:r w:rsidRPr="00996AF8">
        <w:rPr>
          <w:b/>
          <w:sz w:val="24"/>
          <w:szCs w:val="24"/>
        </w:rPr>
        <w:t xml:space="preserve">BEMÆRK: </w:t>
      </w:r>
      <w:r w:rsidRPr="00996AF8">
        <w:rPr>
          <w:sz w:val="24"/>
          <w:szCs w:val="24"/>
        </w:rPr>
        <w:t>Dette særlige præparat er en overmættet opløsning af calciumgluconat. Overmættede opløsninger er tilbøjelige til udfældning.</w:t>
      </w:r>
    </w:p>
    <w:p w14:paraId="6BF74EF7" w14:textId="77777777" w:rsidR="00996AF8" w:rsidRPr="00996AF8" w:rsidRDefault="00996AF8" w:rsidP="00996AF8">
      <w:pPr>
        <w:tabs>
          <w:tab w:val="left" w:pos="851"/>
        </w:tabs>
        <w:ind w:left="851"/>
        <w:rPr>
          <w:sz w:val="24"/>
          <w:szCs w:val="24"/>
        </w:rPr>
      </w:pPr>
      <w:r w:rsidRPr="00996AF8">
        <w:rPr>
          <w:sz w:val="24"/>
          <w:szCs w:val="24"/>
        </w:rPr>
        <w:t>Lægemidlet skal inspiceres visuelt for partikler eller misfarvning. Opløsningen må kun anvendes, hvis den er en klar, farveløs til lysegul, vandig opløsning praktisk taget fri for synlige partikler.</w:t>
      </w:r>
    </w:p>
    <w:p w14:paraId="099D458E" w14:textId="77777777" w:rsidR="00996AF8" w:rsidRPr="00996AF8" w:rsidRDefault="00996AF8" w:rsidP="00996AF8">
      <w:pPr>
        <w:tabs>
          <w:tab w:val="left" w:pos="851"/>
        </w:tabs>
        <w:ind w:left="851"/>
        <w:rPr>
          <w:sz w:val="24"/>
          <w:szCs w:val="24"/>
        </w:rPr>
      </w:pPr>
    </w:p>
    <w:p w14:paraId="71821ABF" w14:textId="77777777" w:rsidR="00996AF8" w:rsidRPr="00996AF8" w:rsidRDefault="00996AF8" w:rsidP="00996AF8">
      <w:pPr>
        <w:tabs>
          <w:tab w:val="left" w:pos="851"/>
        </w:tabs>
        <w:ind w:left="851"/>
        <w:rPr>
          <w:sz w:val="24"/>
          <w:szCs w:val="24"/>
          <w:u w:val="single"/>
        </w:rPr>
      </w:pPr>
      <w:r w:rsidRPr="00996AF8">
        <w:rPr>
          <w:sz w:val="24"/>
          <w:szCs w:val="24"/>
          <w:u w:val="single"/>
        </w:rPr>
        <w:t>Fortynding</w:t>
      </w:r>
    </w:p>
    <w:p w14:paraId="2748FA23" w14:textId="77777777" w:rsidR="00996AF8" w:rsidRPr="00996AF8" w:rsidRDefault="00996AF8" w:rsidP="00996AF8">
      <w:pPr>
        <w:tabs>
          <w:tab w:val="left" w:pos="851"/>
        </w:tabs>
        <w:ind w:left="851"/>
        <w:rPr>
          <w:sz w:val="24"/>
          <w:szCs w:val="24"/>
        </w:rPr>
      </w:pPr>
      <w:r w:rsidRPr="00996AF8">
        <w:rPr>
          <w:sz w:val="24"/>
          <w:szCs w:val="24"/>
        </w:rPr>
        <w:t>Til intravenøs infusion kan Zeltacin fortyndes i forholdet 1:10 til en koncentration på 10 mg/ml med følgende to infusionsvæsker: natriumchlorid 9 mg/ml (0,9 %) injektionsvæske, opløsning eller 50 mg/ml (5 %) glucoseinjektionsvæske, opløsning. Når de resulterende opløsninger fortyndes med disse anbefalede infusionsvæsker, er de beregnet til øjeblikkelig engangsbrug. Fortyndingen skal udføres under kontrollerede og validerede aseptiske forhold.</w:t>
      </w:r>
    </w:p>
    <w:p w14:paraId="35B0E828" w14:textId="77777777" w:rsidR="00996AF8" w:rsidRPr="00996AF8" w:rsidRDefault="00996AF8" w:rsidP="00996AF8">
      <w:pPr>
        <w:tabs>
          <w:tab w:val="left" w:pos="851"/>
        </w:tabs>
        <w:ind w:left="851"/>
        <w:rPr>
          <w:sz w:val="24"/>
          <w:szCs w:val="24"/>
        </w:rPr>
      </w:pPr>
      <w:r w:rsidRPr="00996AF8">
        <w:rPr>
          <w:sz w:val="24"/>
          <w:szCs w:val="24"/>
        </w:rPr>
        <w:t>Efter blanding skal beholderen omrøres forsigtigt for at sikre homogenitet.</w:t>
      </w:r>
    </w:p>
    <w:p w14:paraId="5EC71F65" w14:textId="77777777" w:rsidR="00996AF8" w:rsidRPr="00996AF8" w:rsidRDefault="00996AF8" w:rsidP="00996AF8">
      <w:pPr>
        <w:tabs>
          <w:tab w:val="left" w:pos="851"/>
        </w:tabs>
        <w:ind w:left="851"/>
        <w:rPr>
          <w:sz w:val="24"/>
          <w:szCs w:val="24"/>
        </w:rPr>
      </w:pPr>
    </w:p>
    <w:p w14:paraId="180C4FDE" w14:textId="77777777" w:rsidR="00996AF8" w:rsidRPr="00996AF8" w:rsidRDefault="00996AF8" w:rsidP="00996AF8">
      <w:pPr>
        <w:tabs>
          <w:tab w:val="left" w:pos="851"/>
        </w:tabs>
        <w:ind w:left="851"/>
        <w:rPr>
          <w:sz w:val="24"/>
          <w:szCs w:val="24"/>
        </w:rPr>
      </w:pPr>
      <w:r w:rsidRPr="00996AF8">
        <w:rPr>
          <w:sz w:val="24"/>
          <w:szCs w:val="24"/>
        </w:rPr>
        <w:t>Ikke anvendt lægemiddel samt affald heraf skal bortskaffes i henhold til lokale retningslinjer.</w:t>
      </w:r>
    </w:p>
    <w:p w14:paraId="2B60B9E3" w14:textId="77777777" w:rsidR="00996AF8" w:rsidRPr="00996AF8" w:rsidRDefault="00996AF8" w:rsidP="00996AF8">
      <w:pPr>
        <w:tabs>
          <w:tab w:val="left" w:pos="851"/>
        </w:tabs>
        <w:ind w:left="851"/>
        <w:rPr>
          <w:sz w:val="24"/>
          <w:szCs w:val="24"/>
        </w:rPr>
      </w:pPr>
    </w:p>
    <w:p w14:paraId="606BA963"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2CF3D4D" w14:textId="77777777" w:rsidR="00590397" w:rsidRPr="00590397" w:rsidRDefault="00590397" w:rsidP="00590397">
      <w:pPr>
        <w:tabs>
          <w:tab w:val="left" w:pos="851"/>
        </w:tabs>
        <w:ind w:left="851"/>
        <w:rPr>
          <w:sz w:val="24"/>
          <w:szCs w:val="24"/>
        </w:rPr>
      </w:pPr>
      <w:bookmarkStart w:id="1" w:name="_Hlk172110479"/>
      <w:r w:rsidRPr="00590397">
        <w:rPr>
          <w:sz w:val="24"/>
          <w:szCs w:val="24"/>
        </w:rPr>
        <w:t>Macure Pharma ApS</w:t>
      </w:r>
    </w:p>
    <w:p w14:paraId="636F77D4" w14:textId="77777777" w:rsidR="00590397" w:rsidRPr="00590397" w:rsidRDefault="00590397" w:rsidP="00590397">
      <w:pPr>
        <w:tabs>
          <w:tab w:val="left" w:pos="851"/>
        </w:tabs>
        <w:ind w:left="851"/>
        <w:rPr>
          <w:sz w:val="24"/>
          <w:szCs w:val="24"/>
        </w:rPr>
      </w:pPr>
      <w:r w:rsidRPr="00590397">
        <w:rPr>
          <w:sz w:val="24"/>
          <w:szCs w:val="24"/>
        </w:rPr>
        <w:t>Hejrevej 39</w:t>
      </w:r>
    </w:p>
    <w:p w14:paraId="4654FD73" w14:textId="77777777" w:rsidR="00590397" w:rsidRPr="00590397" w:rsidRDefault="00590397" w:rsidP="00590397">
      <w:pPr>
        <w:tabs>
          <w:tab w:val="left" w:pos="851"/>
        </w:tabs>
        <w:ind w:left="851"/>
        <w:rPr>
          <w:sz w:val="24"/>
          <w:szCs w:val="24"/>
        </w:rPr>
      </w:pPr>
      <w:r w:rsidRPr="00590397">
        <w:rPr>
          <w:sz w:val="24"/>
          <w:szCs w:val="24"/>
        </w:rPr>
        <w:t>2400 København NV</w:t>
      </w:r>
      <w:bookmarkEnd w:id="1"/>
    </w:p>
    <w:p w14:paraId="743B3616" w14:textId="3F7D65CC" w:rsidR="00641C65" w:rsidRPr="00641C65" w:rsidRDefault="00641C65" w:rsidP="009260DE">
      <w:pPr>
        <w:tabs>
          <w:tab w:val="left" w:pos="851"/>
        </w:tabs>
        <w:ind w:left="851"/>
        <w:rPr>
          <w:sz w:val="24"/>
          <w:szCs w:val="24"/>
        </w:rPr>
      </w:pPr>
    </w:p>
    <w:p w14:paraId="1E96E4CD"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DD45B3A" w14:textId="3F43B5D9" w:rsidR="009260DE" w:rsidRPr="00C84483" w:rsidRDefault="003227BD" w:rsidP="009260DE">
      <w:pPr>
        <w:tabs>
          <w:tab w:val="left" w:pos="851"/>
        </w:tabs>
        <w:ind w:left="851"/>
        <w:rPr>
          <w:sz w:val="24"/>
          <w:szCs w:val="24"/>
        </w:rPr>
      </w:pPr>
      <w:r>
        <w:rPr>
          <w:sz w:val="24"/>
          <w:szCs w:val="24"/>
        </w:rPr>
        <w:t>67856</w:t>
      </w:r>
    </w:p>
    <w:p w14:paraId="76BC6FDF" w14:textId="77777777" w:rsidR="009260DE" w:rsidRPr="00C84483" w:rsidRDefault="009260DE" w:rsidP="009260DE">
      <w:pPr>
        <w:tabs>
          <w:tab w:val="left" w:pos="851"/>
        </w:tabs>
        <w:ind w:left="851"/>
        <w:jc w:val="both"/>
        <w:rPr>
          <w:sz w:val="24"/>
          <w:szCs w:val="24"/>
        </w:rPr>
      </w:pPr>
    </w:p>
    <w:p w14:paraId="361CB9DE"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7135D3B" w14:textId="1FF1D3CF" w:rsidR="009260DE" w:rsidRPr="00C84483" w:rsidRDefault="00503225" w:rsidP="009260DE">
      <w:pPr>
        <w:tabs>
          <w:tab w:val="left" w:pos="851"/>
        </w:tabs>
        <w:ind w:left="851"/>
        <w:rPr>
          <w:sz w:val="24"/>
          <w:szCs w:val="24"/>
        </w:rPr>
      </w:pPr>
      <w:r>
        <w:rPr>
          <w:sz w:val="24"/>
          <w:szCs w:val="24"/>
        </w:rPr>
        <w:t>23. august 2024</w:t>
      </w:r>
    </w:p>
    <w:p w14:paraId="0CEC6346" w14:textId="77777777" w:rsidR="009260DE" w:rsidRPr="00C84483" w:rsidRDefault="009260DE" w:rsidP="009260DE">
      <w:pPr>
        <w:tabs>
          <w:tab w:val="left" w:pos="851"/>
        </w:tabs>
        <w:ind w:left="851"/>
        <w:rPr>
          <w:sz w:val="24"/>
          <w:szCs w:val="24"/>
        </w:rPr>
      </w:pPr>
    </w:p>
    <w:p w14:paraId="63A928C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B8F3F66" w14:textId="2009054C" w:rsidR="009260DE" w:rsidRPr="00C84483" w:rsidRDefault="003227BD" w:rsidP="009260DE">
      <w:pPr>
        <w:tabs>
          <w:tab w:val="left" w:pos="851"/>
        </w:tabs>
        <w:ind w:left="851"/>
        <w:rPr>
          <w:sz w:val="24"/>
          <w:szCs w:val="24"/>
        </w:rPr>
      </w:pPr>
      <w:r>
        <w:rPr>
          <w:sz w:val="24"/>
          <w:szCs w:val="24"/>
        </w:rPr>
        <w:t>-</w:t>
      </w:r>
      <w:bookmarkStart w:id="2" w:name="_GoBack"/>
      <w:bookmarkEnd w:id="2"/>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DD9E7" w14:textId="77777777" w:rsidR="00D576E4" w:rsidRDefault="00D576E4">
      <w:r>
        <w:separator/>
      </w:r>
    </w:p>
  </w:endnote>
  <w:endnote w:type="continuationSeparator" w:id="0">
    <w:p w14:paraId="2DA32A0D" w14:textId="77777777" w:rsidR="00D576E4" w:rsidRDefault="00D5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896F" w14:textId="77777777" w:rsidR="000259B9" w:rsidRDefault="000259B9">
    <w:pPr>
      <w:pStyle w:val="Sidefod"/>
      <w:pBdr>
        <w:bottom w:val="single" w:sz="6" w:space="1" w:color="auto"/>
      </w:pBdr>
    </w:pPr>
  </w:p>
  <w:p w14:paraId="1F4E474F" w14:textId="77777777" w:rsidR="000259B9" w:rsidRDefault="000259B9" w:rsidP="00C42586">
    <w:pPr>
      <w:pStyle w:val="Sidefod"/>
      <w:tabs>
        <w:tab w:val="clear" w:pos="4819"/>
        <w:tab w:val="left" w:pos="8505"/>
      </w:tabs>
      <w:rPr>
        <w:i/>
        <w:sz w:val="18"/>
        <w:szCs w:val="18"/>
      </w:rPr>
    </w:pPr>
  </w:p>
  <w:p w14:paraId="19126F54" w14:textId="166E9E5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D3BDD">
      <w:rPr>
        <w:i/>
        <w:noProof/>
        <w:sz w:val="18"/>
        <w:szCs w:val="18"/>
      </w:rPr>
      <w:t>Zeltacin, injektions--infusionsvæske, opløsning 100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4B269" w14:textId="77777777" w:rsidR="00D576E4" w:rsidRDefault="00D576E4">
      <w:r>
        <w:separator/>
      </w:r>
    </w:p>
  </w:footnote>
  <w:footnote w:type="continuationSeparator" w:id="0">
    <w:p w14:paraId="67357940" w14:textId="77777777" w:rsidR="00D576E4" w:rsidRDefault="00D57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E4"/>
    <w:rsid w:val="000259B9"/>
    <w:rsid w:val="00041491"/>
    <w:rsid w:val="00050D16"/>
    <w:rsid w:val="000730CA"/>
    <w:rsid w:val="00074F2A"/>
    <w:rsid w:val="000A1CA8"/>
    <w:rsid w:val="000A466B"/>
    <w:rsid w:val="000B058C"/>
    <w:rsid w:val="000D68B0"/>
    <w:rsid w:val="000E4EE6"/>
    <w:rsid w:val="0014378E"/>
    <w:rsid w:val="001454E2"/>
    <w:rsid w:val="00206CE8"/>
    <w:rsid w:val="0021526C"/>
    <w:rsid w:val="00283A2B"/>
    <w:rsid w:val="002B30AD"/>
    <w:rsid w:val="002C1EC0"/>
    <w:rsid w:val="002C2C01"/>
    <w:rsid w:val="002D3BDD"/>
    <w:rsid w:val="003227BD"/>
    <w:rsid w:val="003A29AE"/>
    <w:rsid w:val="003A32D7"/>
    <w:rsid w:val="003B4074"/>
    <w:rsid w:val="003B69EC"/>
    <w:rsid w:val="003C769A"/>
    <w:rsid w:val="003D3A90"/>
    <w:rsid w:val="003F1838"/>
    <w:rsid w:val="004251C1"/>
    <w:rsid w:val="0045746C"/>
    <w:rsid w:val="0049104B"/>
    <w:rsid w:val="004E3B12"/>
    <w:rsid w:val="00503225"/>
    <w:rsid w:val="00532310"/>
    <w:rsid w:val="00551338"/>
    <w:rsid w:val="00565F0F"/>
    <w:rsid w:val="00590397"/>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96AF8"/>
    <w:rsid w:val="009C7BA3"/>
    <w:rsid w:val="009D1F5A"/>
    <w:rsid w:val="00A10294"/>
    <w:rsid w:val="00B003BF"/>
    <w:rsid w:val="00B373D7"/>
    <w:rsid w:val="00B55271"/>
    <w:rsid w:val="00B63A1C"/>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576E4"/>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90538"/>
  <w15:chartTrackingRefBased/>
  <w15:docId w15:val="{AD86E6C0-C840-45CB-915A-FD35C106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B69EC"/>
    <w:rPr>
      <w:color w:val="0563C1" w:themeColor="hyperlink"/>
      <w:u w:val="single"/>
    </w:rPr>
  </w:style>
  <w:style w:type="character" w:styleId="Ulstomtale">
    <w:name w:val="Unresolved Mention"/>
    <w:basedOn w:val="Standardskrifttypeiafsnit"/>
    <w:uiPriority w:val="99"/>
    <w:semiHidden/>
    <w:unhideWhenUsed/>
    <w:rsid w:val="003B6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3613">
      <w:bodyDiv w:val="1"/>
      <w:marLeft w:val="0"/>
      <w:marRight w:val="0"/>
      <w:marTop w:val="0"/>
      <w:marBottom w:val="0"/>
      <w:divBdr>
        <w:top w:val="none" w:sz="0" w:space="0" w:color="auto"/>
        <w:left w:val="none" w:sz="0" w:space="0" w:color="auto"/>
        <w:bottom w:val="none" w:sz="0" w:space="0" w:color="auto"/>
        <w:right w:val="none" w:sz="0" w:space="0" w:color="auto"/>
      </w:divBdr>
    </w:div>
    <w:div w:id="1559961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5221053">
      <w:bodyDiv w:val="1"/>
      <w:marLeft w:val="0"/>
      <w:marRight w:val="0"/>
      <w:marTop w:val="0"/>
      <w:marBottom w:val="0"/>
      <w:divBdr>
        <w:top w:val="none" w:sz="0" w:space="0" w:color="auto"/>
        <w:left w:val="none" w:sz="0" w:space="0" w:color="auto"/>
        <w:bottom w:val="none" w:sz="0" w:space="0" w:color="auto"/>
        <w:right w:val="none" w:sz="0" w:space="0" w:color="auto"/>
      </w:divBdr>
    </w:div>
    <w:div w:id="216553472">
      <w:bodyDiv w:val="1"/>
      <w:marLeft w:val="0"/>
      <w:marRight w:val="0"/>
      <w:marTop w:val="0"/>
      <w:marBottom w:val="0"/>
      <w:divBdr>
        <w:top w:val="none" w:sz="0" w:space="0" w:color="auto"/>
        <w:left w:val="none" w:sz="0" w:space="0" w:color="auto"/>
        <w:bottom w:val="none" w:sz="0" w:space="0" w:color="auto"/>
        <w:right w:val="none" w:sz="0" w:space="0" w:color="auto"/>
      </w:divBdr>
    </w:div>
    <w:div w:id="261763320">
      <w:bodyDiv w:val="1"/>
      <w:marLeft w:val="0"/>
      <w:marRight w:val="0"/>
      <w:marTop w:val="0"/>
      <w:marBottom w:val="0"/>
      <w:divBdr>
        <w:top w:val="none" w:sz="0" w:space="0" w:color="auto"/>
        <w:left w:val="none" w:sz="0" w:space="0" w:color="auto"/>
        <w:bottom w:val="none" w:sz="0" w:space="0" w:color="auto"/>
        <w:right w:val="none" w:sz="0" w:space="0" w:color="auto"/>
      </w:divBdr>
    </w:div>
    <w:div w:id="309600117">
      <w:bodyDiv w:val="1"/>
      <w:marLeft w:val="0"/>
      <w:marRight w:val="0"/>
      <w:marTop w:val="0"/>
      <w:marBottom w:val="0"/>
      <w:divBdr>
        <w:top w:val="none" w:sz="0" w:space="0" w:color="auto"/>
        <w:left w:val="none" w:sz="0" w:space="0" w:color="auto"/>
        <w:bottom w:val="none" w:sz="0" w:space="0" w:color="auto"/>
        <w:right w:val="none" w:sz="0" w:space="0" w:color="auto"/>
      </w:divBdr>
    </w:div>
    <w:div w:id="394354980">
      <w:bodyDiv w:val="1"/>
      <w:marLeft w:val="0"/>
      <w:marRight w:val="0"/>
      <w:marTop w:val="0"/>
      <w:marBottom w:val="0"/>
      <w:divBdr>
        <w:top w:val="none" w:sz="0" w:space="0" w:color="auto"/>
        <w:left w:val="none" w:sz="0" w:space="0" w:color="auto"/>
        <w:bottom w:val="none" w:sz="0" w:space="0" w:color="auto"/>
        <w:right w:val="none" w:sz="0" w:space="0" w:color="auto"/>
      </w:divBdr>
    </w:div>
    <w:div w:id="433937290">
      <w:bodyDiv w:val="1"/>
      <w:marLeft w:val="0"/>
      <w:marRight w:val="0"/>
      <w:marTop w:val="0"/>
      <w:marBottom w:val="0"/>
      <w:divBdr>
        <w:top w:val="none" w:sz="0" w:space="0" w:color="auto"/>
        <w:left w:val="none" w:sz="0" w:space="0" w:color="auto"/>
        <w:bottom w:val="none" w:sz="0" w:space="0" w:color="auto"/>
        <w:right w:val="none" w:sz="0" w:space="0" w:color="auto"/>
      </w:divBdr>
    </w:div>
    <w:div w:id="470753190">
      <w:bodyDiv w:val="1"/>
      <w:marLeft w:val="0"/>
      <w:marRight w:val="0"/>
      <w:marTop w:val="0"/>
      <w:marBottom w:val="0"/>
      <w:divBdr>
        <w:top w:val="none" w:sz="0" w:space="0" w:color="auto"/>
        <w:left w:val="none" w:sz="0" w:space="0" w:color="auto"/>
        <w:bottom w:val="none" w:sz="0" w:space="0" w:color="auto"/>
        <w:right w:val="none" w:sz="0" w:space="0" w:color="auto"/>
      </w:divBdr>
    </w:div>
    <w:div w:id="478889586">
      <w:bodyDiv w:val="1"/>
      <w:marLeft w:val="0"/>
      <w:marRight w:val="0"/>
      <w:marTop w:val="0"/>
      <w:marBottom w:val="0"/>
      <w:divBdr>
        <w:top w:val="none" w:sz="0" w:space="0" w:color="auto"/>
        <w:left w:val="none" w:sz="0" w:space="0" w:color="auto"/>
        <w:bottom w:val="none" w:sz="0" w:space="0" w:color="auto"/>
        <w:right w:val="none" w:sz="0" w:space="0" w:color="auto"/>
      </w:divBdr>
    </w:div>
    <w:div w:id="494876801">
      <w:bodyDiv w:val="1"/>
      <w:marLeft w:val="0"/>
      <w:marRight w:val="0"/>
      <w:marTop w:val="0"/>
      <w:marBottom w:val="0"/>
      <w:divBdr>
        <w:top w:val="none" w:sz="0" w:space="0" w:color="auto"/>
        <w:left w:val="none" w:sz="0" w:space="0" w:color="auto"/>
        <w:bottom w:val="none" w:sz="0" w:space="0" w:color="auto"/>
        <w:right w:val="none" w:sz="0" w:space="0" w:color="auto"/>
      </w:divBdr>
    </w:div>
    <w:div w:id="598099607">
      <w:bodyDiv w:val="1"/>
      <w:marLeft w:val="0"/>
      <w:marRight w:val="0"/>
      <w:marTop w:val="0"/>
      <w:marBottom w:val="0"/>
      <w:divBdr>
        <w:top w:val="none" w:sz="0" w:space="0" w:color="auto"/>
        <w:left w:val="none" w:sz="0" w:space="0" w:color="auto"/>
        <w:bottom w:val="none" w:sz="0" w:space="0" w:color="auto"/>
        <w:right w:val="none" w:sz="0" w:space="0" w:color="auto"/>
      </w:divBdr>
    </w:div>
    <w:div w:id="616958077">
      <w:bodyDiv w:val="1"/>
      <w:marLeft w:val="0"/>
      <w:marRight w:val="0"/>
      <w:marTop w:val="0"/>
      <w:marBottom w:val="0"/>
      <w:divBdr>
        <w:top w:val="none" w:sz="0" w:space="0" w:color="auto"/>
        <w:left w:val="none" w:sz="0" w:space="0" w:color="auto"/>
        <w:bottom w:val="none" w:sz="0" w:space="0" w:color="auto"/>
        <w:right w:val="none" w:sz="0" w:space="0" w:color="auto"/>
      </w:divBdr>
    </w:div>
    <w:div w:id="650017724">
      <w:bodyDiv w:val="1"/>
      <w:marLeft w:val="0"/>
      <w:marRight w:val="0"/>
      <w:marTop w:val="0"/>
      <w:marBottom w:val="0"/>
      <w:divBdr>
        <w:top w:val="none" w:sz="0" w:space="0" w:color="auto"/>
        <w:left w:val="none" w:sz="0" w:space="0" w:color="auto"/>
        <w:bottom w:val="none" w:sz="0" w:space="0" w:color="auto"/>
        <w:right w:val="none" w:sz="0" w:space="0" w:color="auto"/>
      </w:divBdr>
    </w:div>
    <w:div w:id="676077758">
      <w:bodyDiv w:val="1"/>
      <w:marLeft w:val="0"/>
      <w:marRight w:val="0"/>
      <w:marTop w:val="0"/>
      <w:marBottom w:val="0"/>
      <w:divBdr>
        <w:top w:val="none" w:sz="0" w:space="0" w:color="auto"/>
        <w:left w:val="none" w:sz="0" w:space="0" w:color="auto"/>
        <w:bottom w:val="none" w:sz="0" w:space="0" w:color="auto"/>
        <w:right w:val="none" w:sz="0" w:space="0" w:color="auto"/>
      </w:divBdr>
    </w:div>
    <w:div w:id="784034035">
      <w:bodyDiv w:val="1"/>
      <w:marLeft w:val="0"/>
      <w:marRight w:val="0"/>
      <w:marTop w:val="0"/>
      <w:marBottom w:val="0"/>
      <w:divBdr>
        <w:top w:val="none" w:sz="0" w:space="0" w:color="auto"/>
        <w:left w:val="none" w:sz="0" w:space="0" w:color="auto"/>
        <w:bottom w:val="none" w:sz="0" w:space="0" w:color="auto"/>
        <w:right w:val="none" w:sz="0" w:space="0" w:color="auto"/>
      </w:divBdr>
    </w:div>
    <w:div w:id="838617052">
      <w:bodyDiv w:val="1"/>
      <w:marLeft w:val="0"/>
      <w:marRight w:val="0"/>
      <w:marTop w:val="0"/>
      <w:marBottom w:val="0"/>
      <w:divBdr>
        <w:top w:val="none" w:sz="0" w:space="0" w:color="auto"/>
        <w:left w:val="none" w:sz="0" w:space="0" w:color="auto"/>
        <w:bottom w:val="none" w:sz="0" w:space="0" w:color="auto"/>
        <w:right w:val="none" w:sz="0" w:space="0" w:color="auto"/>
      </w:divBdr>
    </w:div>
    <w:div w:id="913664637">
      <w:bodyDiv w:val="1"/>
      <w:marLeft w:val="0"/>
      <w:marRight w:val="0"/>
      <w:marTop w:val="0"/>
      <w:marBottom w:val="0"/>
      <w:divBdr>
        <w:top w:val="none" w:sz="0" w:space="0" w:color="auto"/>
        <w:left w:val="none" w:sz="0" w:space="0" w:color="auto"/>
        <w:bottom w:val="none" w:sz="0" w:space="0" w:color="auto"/>
        <w:right w:val="none" w:sz="0" w:space="0" w:color="auto"/>
      </w:divBdr>
    </w:div>
    <w:div w:id="982588448">
      <w:bodyDiv w:val="1"/>
      <w:marLeft w:val="0"/>
      <w:marRight w:val="0"/>
      <w:marTop w:val="0"/>
      <w:marBottom w:val="0"/>
      <w:divBdr>
        <w:top w:val="none" w:sz="0" w:space="0" w:color="auto"/>
        <w:left w:val="none" w:sz="0" w:space="0" w:color="auto"/>
        <w:bottom w:val="none" w:sz="0" w:space="0" w:color="auto"/>
        <w:right w:val="none" w:sz="0" w:space="0" w:color="auto"/>
      </w:divBdr>
    </w:div>
    <w:div w:id="987825785">
      <w:bodyDiv w:val="1"/>
      <w:marLeft w:val="0"/>
      <w:marRight w:val="0"/>
      <w:marTop w:val="0"/>
      <w:marBottom w:val="0"/>
      <w:divBdr>
        <w:top w:val="none" w:sz="0" w:space="0" w:color="auto"/>
        <w:left w:val="none" w:sz="0" w:space="0" w:color="auto"/>
        <w:bottom w:val="none" w:sz="0" w:space="0" w:color="auto"/>
        <w:right w:val="none" w:sz="0" w:space="0" w:color="auto"/>
      </w:divBdr>
    </w:div>
    <w:div w:id="996614397">
      <w:bodyDiv w:val="1"/>
      <w:marLeft w:val="0"/>
      <w:marRight w:val="0"/>
      <w:marTop w:val="0"/>
      <w:marBottom w:val="0"/>
      <w:divBdr>
        <w:top w:val="none" w:sz="0" w:space="0" w:color="auto"/>
        <w:left w:val="none" w:sz="0" w:space="0" w:color="auto"/>
        <w:bottom w:val="none" w:sz="0" w:space="0" w:color="auto"/>
        <w:right w:val="none" w:sz="0" w:space="0" w:color="auto"/>
      </w:divBdr>
    </w:div>
    <w:div w:id="1042100428">
      <w:bodyDiv w:val="1"/>
      <w:marLeft w:val="0"/>
      <w:marRight w:val="0"/>
      <w:marTop w:val="0"/>
      <w:marBottom w:val="0"/>
      <w:divBdr>
        <w:top w:val="none" w:sz="0" w:space="0" w:color="auto"/>
        <w:left w:val="none" w:sz="0" w:space="0" w:color="auto"/>
        <w:bottom w:val="none" w:sz="0" w:space="0" w:color="auto"/>
        <w:right w:val="none" w:sz="0" w:space="0" w:color="auto"/>
      </w:divBdr>
    </w:div>
    <w:div w:id="1114249354">
      <w:bodyDiv w:val="1"/>
      <w:marLeft w:val="0"/>
      <w:marRight w:val="0"/>
      <w:marTop w:val="0"/>
      <w:marBottom w:val="0"/>
      <w:divBdr>
        <w:top w:val="none" w:sz="0" w:space="0" w:color="auto"/>
        <w:left w:val="none" w:sz="0" w:space="0" w:color="auto"/>
        <w:bottom w:val="none" w:sz="0" w:space="0" w:color="auto"/>
        <w:right w:val="none" w:sz="0" w:space="0" w:color="auto"/>
      </w:divBdr>
    </w:div>
    <w:div w:id="1123034126">
      <w:bodyDiv w:val="1"/>
      <w:marLeft w:val="0"/>
      <w:marRight w:val="0"/>
      <w:marTop w:val="0"/>
      <w:marBottom w:val="0"/>
      <w:divBdr>
        <w:top w:val="none" w:sz="0" w:space="0" w:color="auto"/>
        <w:left w:val="none" w:sz="0" w:space="0" w:color="auto"/>
        <w:bottom w:val="none" w:sz="0" w:space="0" w:color="auto"/>
        <w:right w:val="none" w:sz="0" w:space="0" w:color="auto"/>
      </w:divBdr>
    </w:div>
    <w:div w:id="1211766401">
      <w:bodyDiv w:val="1"/>
      <w:marLeft w:val="0"/>
      <w:marRight w:val="0"/>
      <w:marTop w:val="0"/>
      <w:marBottom w:val="0"/>
      <w:divBdr>
        <w:top w:val="none" w:sz="0" w:space="0" w:color="auto"/>
        <w:left w:val="none" w:sz="0" w:space="0" w:color="auto"/>
        <w:bottom w:val="none" w:sz="0" w:space="0" w:color="auto"/>
        <w:right w:val="none" w:sz="0" w:space="0" w:color="auto"/>
      </w:divBdr>
    </w:div>
    <w:div w:id="1212887453">
      <w:bodyDiv w:val="1"/>
      <w:marLeft w:val="0"/>
      <w:marRight w:val="0"/>
      <w:marTop w:val="0"/>
      <w:marBottom w:val="0"/>
      <w:divBdr>
        <w:top w:val="none" w:sz="0" w:space="0" w:color="auto"/>
        <w:left w:val="none" w:sz="0" w:space="0" w:color="auto"/>
        <w:bottom w:val="none" w:sz="0" w:space="0" w:color="auto"/>
        <w:right w:val="none" w:sz="0" w:space="0" w:color="auto"/>
      </w:divBdr>
    </w:div>
    <w:div w:id="1215852662">
      <w:bodyDiv w:val="1"/>
      <w:marLeft w:val="0"/>
      <w:marRight w:val="0"/>
      <w:marTop w:val="0"/>
      <w:marBottom w:val="0"/>
      <w:divBdr>
        <w:top w:val="none" w:sz="0" w:space="0" w:color="auto"/>
        <w:left w:val="none" w:sz="0" w:space="0" w:color="auto"/>
        <w:bottom w:val="none" w:sz="0" w:space="0" w:color="auto"/>
        <w:right w:val="none" w:sz="0" w:space="0" w:color="auto"/>
      </w:divBdr>
    </w:div>
    <w:div w:id="1309475510">
      <w:bodyDiv w:val="1"/>
      <w:marLeft w:val="0"/>
      <w:marRight w:val="0"/>
      <w:marTop w:val="0"/>
      <w:marBottom w:val="0"/>
      <w:divBdr>
        <w:top w:val="none" w:sz="0" w:space="0" w:color="auto"/>
        <w:left w:val="none" w:sz="0" w:space="0" w:color="auto"/>
        <w:bottom w:val="none" w:sz="0" w:space="0" w:color="auto"/>
        <w:right w:val="none" w:sz="0" w:space="0" w:color="auto"/>
      </w:divBdr>
    </w:div>
    <w:div w:id="1396659170">
      <w:bodyDiv w:val="1"/>
      <w:marLeft w:val="0"/>
      <w:marRight w:val="0"/>
      <w:marTop w:val="0"/>
      <w:marBottom w:val="0"/>
      <w:divBdr>
        <w:top w:val="none" w:sz="0" w:space="0" w:color="auto"/>
        <w:left w:val="none" w:sz="0" w:space="0" w:color="auto"/>
        <w:bottom w:val="none" w:sz="0" w:space="0" w:color="auto"/>
        <w:right w:val="none" w:sz="0" w:space="0" w:color="auto"/>
      </w:divBdr>
    </w:div>
    <w:div w:id="1404446008">
      <w:bodyDiv w:val="1"/>
      <w:marLeft w:val="0"/>
      <w:marRight w:val="0"/>
      <w:marTop w:val="0"/>
      <w:marBottom w:val="0"/>
      <w:divBdr>
        <w:top w:val="none" w:sz="0" w:space="0" w:color="auto"/>
        <w:left w:val="none" w:sz="0" w:space="0" w:color="auto"/>
        <w:bottom w:val="none" w:sz="0" w:space="0" w:color="auto"/>
        <w:right w:val="none" w:sz="0" w:space="0" w:color="auto"/>
      </w:divBdr>
    </w:div>
    <w:div w:id="1472795439">
      <w:bodyDiv w:val="1"/>
      <w:marLeft w:val="0"/>
      <w:marRight w:val="0"/>
      <w:marTop w:val="0"/>
      <w:marBottom w:val="0"/>
      <w:divBdr>
        <w:top w:val="none" w:sz="0" w:space="0" w:color="auto"/>
        <w:left w:val="none" w:sz="0" w:space="0" w:color="auto"/>
        <w:bottom w:val="none" w:sz="0" w:space="0" w:color="auto"/>
        <w:right w:val="none" w:sz="0" w:space="0" w:color="auto"/>
      </w:divBdr>
    </w:div>
    <w:div w:id="1499736970">
      <w:bodyDiv w:val="1"/>
      <w:marLeft w:val="0"/>
      <w:marRight w:val="0"/>
      <w:marTop w:val="0"/>
      <w:marBottom w:val="0"/>
      <w:divBdr>
        <w:top w:val="none" w:sz="0" w:space="0" w:color="auto"/>
        <w:left w:val="none" w:sz="0" w:space="0" w:color="auto"/>
        <w:bottom w:val="none" w:sz="0" w:space="0" w:color="auto"/>
        <w:right w:val="none" w:sz="0" w:space="0" w:color="auto"/>
      </w:divBdr>
    </w:div>
    <w:div w:id="1521240701">
      <w:bodyDiv w:val="1"/>
      <w:marLeft w:val="0"/>
      <w:marRight w:val="0"/>
      <w:marTop w:val="0"/>
      <w:marBottom w:val="0"/>
      <w:divBdr>
        <w:top w:val="none" w:sz="0" w:space="0" w:color="auto"/>
        <w:left w:val="none" w:sz="0" w:space="0" w:color="auto"/>
        <w:bottom w:val="none" w:sz="0" w:space="0" w:color="auto"/>
        <w:right w:val="none" w:sz="0" w:space="0" w:color="auto"/>
      </w:divBdr>
    </w:div>
    <w:div w:id="1724939122">
      <w:bodyDiv w:val="1"/>
      <w:marLeft w:val="0"/>
      <w:marRight w:val="0"/>
      <w:marTop w:val="0"/>
      <w:marBottom w:val="0"/>
      <w:divBdr>
        <w:top w:val="none" w:sz="0" w:space="0" w:color="auto"/>
        <w:left w:val="none" w:sz="0" w:space="0" w:color="auto"/>
        <w:bottom w:val="none" w:sz="0" w:space="0" w:color="auto"/>
        <w:right w:val="none" w:sz="0" w:space="0" w:color="auto"/>
      </w:divBdr>
    </w:div>
    <w:div w:id="1824616739">
      <w:bodyDiv w:val="1"/>
      <w:marLeft w:val="0"/>
      <w:marRight w:val="0"/>
      <w:marTop w:val="0"/>
      <w:marBottom w:val="0"/>
      <w:divBdr>
        <w:top w:val="none" w:sz="0" w:space="0" w:color="auto"/>
        <w:left w:val="none" w:sz="0" w:space="0" w:color="auto"/>
        <w:bottom w:val="none" w:sz="0" w:space="0" w:color="auto"/>
        <w:right w:val="none" w:sz="0" w:space="0" w:color="auto"/>
      </w:divBdr>
    </w:div>
    <w:div w:id="1829902633">
      <w:bodyDiv w:val="1"/>
      <w:marLeft w:val="0"/>
      <w:marRight w:val="0"/>
      <w:marTop w:val="0"/>
      <w:marBottom w:val="0"/>
      <w:divBdr>
        <w:top w:val="none" w:sz="0" w:space="0" w:color="auto"/>
        <w:left w:val="none" w:sz="0" w:space="0" w:color="auto"/>
        <w:bottom w:val="none" w:sz="0" w:space="0" w:color="auto"/>
        <w:right w:val="none" w:sz="0" w:space="0" w:color="auto"/>
      </w:divBdr>
    </w:div>
    <w:div w:id="1838687697">
      <w:bodyDiv w:val="1"/>
      <w:marLeft w:val="0"/>
      <w:marRight w:val="0"/>
      <w:marTop w:val="0"/>
      <w:marBottom w:val="0"/>
      <w:divBdr>
        <w:top w:val="none" w:sz="0" w:space="0" w:color="auto"/>
        <w:left w:val="none" w:sz="0" w:space="0" w:color="auto"/>
        <w:bottom w:val="none" w:sz="0" w:space="0" w:color="auto"/>
        <w:right w:val="none" w:sz="0" w:space="0" w:color="auto"/>
      </w:divBdr>
    </w:div>
    <w:div w:id="1897936739">
      <w:bodyDiv w:val="1"/>
      <w:marLeft w:val="0"/>
      <w:marRight w:val="0"/>
      <w:marTop w:val="0"/>
      <w:marBottom w:val="0"/>
      <w:divBdr>
        <w:top w:val="none" w:sz="0" w:space="0" w:color="auto"/>
        <w:left w:val="none" w:sz="0" w:space="0" w:color="auto"/>
        <w:bottom w:val="none" w:sz="0" w:space="0" w:color="auto"/>
        <w:right w:val="none" w:sz="0" w:space="0" w:color="auto"/>
      </w:divBdr>
    </w:div>
    <w:div w:id="1901285918">
      <w:bodyDiv w:val="1"/>
      <w:marLeft w:val="0"/>
      <w:marRight w:val="0"/>
      <w:marTop w:val="0"/>
      <w:marBottom w:val="0"/>
      <w:divBdr>
        <w:top w:val="none" w:sz="0" w:space="0" w:color="auto"/>
        <w:left w:val="none" w:sz="0" w:space="0" w:color="auto"/>
        <w:bottom w:val="none" w:sz="0" w:space="0" w:color="auto"/>
        <w:right w:val="none" w:sz="0" w:space="0" w:color="auto"/>
      </w:divBdr>
    </w:div>
    <w:div w:id="2054186002">
      <w:bodyDiv w:val="1"/>
      <w:marLeft w:val="0"/>
      <w:marRight w:val="0"/>
      <w:marTop w:val="0"/>
      <w:marBottom w:val="0"/>
      <w:divBdr>
        <w:top w:val="none" w:sz="0" w:space="0" w:color="auto"/>
        <w:left w:val="none" w:sz="0" w:space="0" w:color="auto"/>
        <w:bottom w:val="none" w:sz="0" w:space="0" w:color="auto"/>
        <w:right w:val="none" w:sz="0" w:space="0" w:color="auto"/>
      </w:divBdr>
    </w:div>
    <w:div w:id="2139451912">
      <w:bodyDiv w:val="1"/>
      <w:marLeft w:val="0"/>
      <w:marRight w:val="0"/>
      <w:marTop w:val="0"/>
      <w:marBottom w:val="0"/>
      <w:divBdr>
        <w:top w:val="none" w:sz="0" w:space="0" w:color="auto"/>
        <w:left w:val="none" w:sz="0" w:space="0" w:color="auto"/>
        <w:bottom w:val="none" w:sz="0" w:space="0" w:color="auto"/>
        <w:right w:val="none" w:sz="0" w:space="0" w:color="auto"/>
      </w:divBdr>
    </w:div>
    <w:div w:id="214723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18</TotalTime>
  <Pages>10</Pages>
  <Words>2421</Words>
  <Characters>16322</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2022054658 mt</dc:description>
  <cp:lastModifiedBy>Hanne Thy Iversen</cp:lastModifiedBy>
  <cp:revision>9</cp:revision>
  <cp:lastPrinted>2012-08-22T08:53:00Z</cp:lastPrinted>
  <dcterms:created xsi:type="dcterms:W3CDTF">2024-08-23T09:12:00Z</dcterms:created>
  <dcterms:modified xsi:type="dcterms:W3CDTF">2024-09-04T08:35:00Z</dcterms:modified>
</cp:coreProperties>
</file>