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51DD68" w14:textId="532875D0"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076E9049" wp14:editId="37A1F1C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8A6CC5D" w14:textId="093145C4"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F19FE" w:rsidRPr="009F19FE">
        <w:rPr>
          <w:szCs w:val="24"/>
          <w:lang w:eastAsia="en-US"/>
        </w:rPr>
        <w:t>9</w:t>
      </w:r>
      <w:r w:rsidR="00F73680">
        <w:rPr>
          <w:szCs w:val="24"/>
        </w:rPr>
        <w:t xml:space="preserve">. </w:t>
      </w:r>
      <w:r w:rsidR="009F19FE">
        <w:rPr>
          <w:szCs w:val="24"/>
        </w:rPr>
        <w:t>december</w:t>
      </w:r>
      <w:r w:rsidR="00F73680">
        <w:rPr>
          <w:szCs w:val="24"/>
        </w:rPr>
        <w:t xml:space="preserve"> 2024</w:t>
      </w:r>
    </w:p>
    <w:p w14:paraId="11FAF30A" w14:textId="77777777" w:rsidR="009260DE" w:rsidRPr="00C84483" w:rsidRDefault="009260DE" w:rsidP="009260DE">
      <w:pPr>
        <w:pStyle w:val="Titel"/>
        <w:tabs>
          <w:tab w:val="left" w:pos="8222"/>
        </w:tabs>
        <w:jc w:val="left"/>
        <w:rPr>
          <w:b w:val="0"/>
          <w:szCs w:val="24"/>
        </w:rPr>
      </w:pPr>
    </w:p>
    <w:p w14:paraId="634A85A5" w14:textId="1EB96589" w:rsidR="009260DE" w:rsidRPr="00C84483" w:rsidRDefault="009260DE" w:rsidP="009260DE">
      <w:pPr>
        <w:pStyle w:val="Titel"/>
        <w:jc w:val="left"/>
        <w:rPr>
          <w:b w:val="0"/>
          <w:szCs w:val="24"/>
        </w:rPr>
      </w:pPr>
    </w:p>
    <w:p w14:paraId="44B4CC05" w14:textId="77777777" w:rsidR="009260DE" w:rsidRPr="00C84483" w:rsidRDefault="009260DE" w:rsidP="009260DE">
      <w:pPr>
        <w:jc w:val="center"/>
        <w:rPr>
          <w:b/>
          <w:sz w:val="24"/>
          <w:szCs w:val="24"/>
        </w:rPr>
      </w:pPr>
      <w:r w:rsidRPr="00C84483">
        <w:rPr>
          <w:b/>
          <w:sz w:val="24"/>
          <w:szCs w:val="24"/>
        </w:rPr>
        <w:t>PRODUKTRESUMÉ</w:t>
      </w:r>
    </w:p>
    <w:p w14:paraId="6703BD5F" w14:textId="77777777" w:rsidR="009260DE" w:rsidRPr="00C84483" w:rsidRDefault="009260DE" w:rsidP="009260DE">
      <w:pPr>
        <w:jc w:val="center"/>
        <w:rPr>
          <w:b/>
          <w:sz w:val="24"/>
          <w:szCs w:val="24"/>
        </w:rPr>
      </w:pPr>
    </w:p>
    <w:p w14:paraId="1584D263" w14:textId="77777777" w:rsidR="009260DE" w:rsidRDefault="009260DE" w:rsidP="009260DE">
      <w:pPr>
        <w:jc w:val="center"/>
        <w:rPr>
          <w:b/>
          <w:sz w:val="24"/>
          <w:szCs w:val="24"/>
        </w:rPr>
      </w:pPr>
      <w:r w:rsidRPr="00C84483">
        <w:rPr>
          <w:b/>
          <w:sz w:val="24"/>
          <w:szCs w:val="24"/>
        </w:rPr>
        <w:t>for</w:t>
      </w:r>
    </w:p>
    <w:p w14:paraId="2387D085" w14:textId="77777777" w:rsidR="000B058C" w:rsidRPr="00C84483" w:rsidRDefault="000B058C" w:rsidP="009260DE">
      <w:pPr>
        <w:jc w:val="center"/>
        <w:rPr>
          <w:b/>
          <w:sz w:val="24"/>
          <w:szCs w:val="24"/>
        </w:rPr>
      </w:pPr>
    </w:p>
    <w:p w14:paraId="2C574CC5" w14:textId="77777777" w:rsidR="009260DE" w:rsidRPr="00C84483" w:rsidRDefault="005453AE" w:rsidP="009260DE">
      <w:pPr>
        <w:jc w:val="center"/>
        <w:rPr>
          <w:b/>
          <w:sz w:val="24"/>
          <w:szCs w:val="24"/>
        </w:rPr>
      </w:pPr>
      <w:proofErr w:type="spellStart"/>
      <w:r>
        <w:rPr>
          <w:b/>
          <w:sz w:val="24"/>
          <w:szCs w:val="24"/>
        </w:rPr>
        <w:t>Zeqmelit</w:t>
      </w:r>
      <w:proofErr w:type="spellEnd"/>
      <w:r>
        <w:rPr>
          <w:b/>
          <w:sz w:val="24"/>
          <w:szCs w:val="24"/>
        </w:rPr>
        <w:t>, smeltefilm</w:t>
      </w:r>
    </w:p>
    <w:p w14:paraId="2C28DBDD" w14:textId="77777777" w:rsidR="009260DE" w:rsidRPr="00C84483" w:rsidRDefault="009260DE" w:rsidP="009260DE">
      <w:pPr>
        <w:jc w:val="both"/>
        <w:rPr>
          <w:sz w:val="24"/>
          <w:szCs w:val="24"/>
        </w:rPr>
      </w:pPr>
    </w:p>
    <w:p w14:paraId="36876CE6" w14:textId="77777777" w:rsidR="009260DE" w:rsidRPr="00C84483" w:rsidRDefault="009260DE" w:rsidP="009260DE">
      <w:pPr>
        <w:jc w:val="both"/>
        <w:rPr>
          <w:sz w:val="24"/>
          <w:szCs w:val="24"/>
        </w:rPr>
      </w:pPr>
    </w:p>
    <w:p w14:paraId="0469959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19B7F44" w14:textId="51767F11" w:rsidR="009260DE" w:rsidRPr="00C84483" w:rsidRDefault="00ED76E4" w:rsidP="009260DE">
      <w:pPr>
        <w:tabs>
          <w:tab w:val="left" w:pos="851"/>
        </w:tabs>
        <w:ind w:left="851"/>
        <w:rPr>
          <w:sz w:val="24"/>
          <w:szCs w:val="24"/>
        </w:rPr>
      </w:pPr>
      <w:r>
        <w:rPr>
          <w:sz w:val="24"/>
          <w:szCs w:val="24"/>
        </w:rPr>
        <w:t>32728</w:t>
      </w:r>
    </w:p>
    <w:p w14:paraId="256E3842" w14:textId="77777777" w:rsidR="009260DE" w:rsidRPr="00C84483" w:rsidRDefault="009260DE" w:rsidP="009260DE">
      <w:pPr>
        <w:tabs>
          <w:tab w:val="left" w:pos="851"/>
        </w:tabs>
        <w:ind w:left="851"/>
        <w:rPr>
          <w:sz w:val="24"/>
          <w:szCs w:val="24"/>
        </w:rPr>
      </w:pPr>
    </w:p>
    <w:p w14:paraId="10710CAD"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C001460" w14:textId="0A1C010F" w:rsidR="009260DE" w:rsidRPr="00C84483" w:rsidRDefault="00ED76E4" w:rsidP="009260DE">
      <w:pPr>
        <w:tabs>
          <w:tab w:val="left" w:pos="851"/>
        </w:tabs>
        <w:ind w:left="851"/>
        <w:rPr>
          <w:sz w:val="24"/>
          <w:szCs w:val="24"/>
        </w:rPr>
      </w:pPr>
      <w:proofErr w:type="spellStart"/>
      <w:r>
        <w:rPr>
          <w:sz w:val="24"/>
          <w:szCs w:val="24"/>
        </w:rPr>
        <w:t>Zeqmelit</w:t>
      </w:r>
      <w:proofErr w:type="spellEnd"/>
    </w:p>
    <w:p w14:paraId="0A1A8450" w14:textId="77777777" w:rsidR="009260DE" w:rsidRPr="00C84483" w:rsidRDefault="009260DE" w:rsidP="009260DE">
      <w:pPr>
        <w:tabs>
          <w:tab w:val="left" w:pos="851"/>
        </w:tabs>
        <w:ind w:left="851"/>
        <w:rPr>
          <w:sz w:val="24"/>
          <w:szCs w:val="24"/>
        </w:rPr>
      </w:pPr>
    </w:p>
    <w:p w14:paraId="3652B7F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8CDAB85" w14:textId="77777777" w:rsidR="00DE46FA" w:rsidRPr="00DE46FA" w:rsidRDefault="00DE46FA" w:rsidP="00DE46FA">
      <w:pPr>
        <w:tabs>
          <w:tab w:val="left" w:pos="851"/>
        </w:tabs>
        <w:ind w:left="851"/>
        <w:rPr>
          <w:bCs/>
          <w:sz w:val="24"/>
          <w:szCs w:val="24"/>
        </w:rPr>
      </w:pPr>
    </w:p>
    <w:p w14:paraId="776390CB" w14:textId="3A5396AB" w:rsidR="00DE46FA" w:rsidRPr="00DE46FA" w:rsidRDefault="00DE46FA" w:rsidP="00DE46FA">
      <w:pPr>
        <w:tabs>
          <w:tab w:val="left" w:pos="851"/>
        </w:tabs>
        <w:ind w:left="851"/>
        <w:rPr>
          <w:sz w:val="24"/>
          <w:szCs w:val="24"/>
          <w:u w:val="single"/>
        </w:rPr>
      </w:pPr>
      <w:r w:rsidRPr="00DE46FA">
        <w:rPr>
          <w:bCs/>
          <w:sz w:val="24"/>
          <w:szCs w:val="24"/>
          <w:u w:val="single"/>
        </w:rPr>
        <w:t>4 mg</w:t>
      </w:r>
    </w:p>
    <w:p w14:paraId="41B6A791" w14:textId="77777777" w:rsidR="00DE46FA" w:rsidRPr="00DE46FA" w:rsidRDefault="00DE46FA" w:rsidP="00DE46FA">
      <w:pPr>
        <w:tabs>
          <w:tab w:val="left" w:pos="851"/>
        </w:tabs>
        <w:ind w:left="851"/>
        <w:rPr>
          <w:sz w:val="24"/>
          <w:szCs w:val="24"/>
        </w:rPr>
      </w:pPr>
      <w:r w:rsidRPr="00DE46FA">
        <w:rPr>
          <w:bCs/>
          <w:sz w:val="24"/>
          <w:szCs w:val="24"/>
        </w:rPr>
        <w:t xml:space="preserve">Hver smeltefilm indeholder 4 mg </w:t>
      </w:r>
      <w:proofErr w:type="spellStart"/>
      <w:r w:rsidRPr="00DE46FA">
        <w:rPr>
          <w:bCs/>
          <w:sz w:val="24"/>
          <w:szCs w:val="24"/>
        </w:rPr>
        <w:t>dexamethason</w:t>
      </w:r>
      <w:proofErr w:type="spellEnd"/>
      <w:r w:rsidRPr="00DE46FA">
        <w:rPr>
          <w:bCs/>
          <w:sz w:val="24"/>
          <w:szCs w:val="24"/>
        </w:rPr>
        <w:t>.</w:t>
      </w:r>
    </w:p>
    <w:p w14:paraId="17474E34" w14:textId="77777777" w:rsidR="00DE46FA" w:rsidRPr="00DE46FA" w:rsidRDefault="00DE46FA" w:rsidP="00DE46FA">
      <w:pPr>
        <w:tabs>
          <w:tab w:val="left" w:pos="851"/>
        </w:tabs>
        <w:ind w:left="851"/>
        <w:rPr>
          <w:sz w:val="24"/>
          <w:szCs w:val="24"/>
        </w:rPr>
      </w:pPr>
    </w:p>
    <w:p w14:paraId="258FE347" w14:textId="0FAC6A86" w:rsidR="00DE46FA" w:rsidRPr="00DE46FA" w:rsidRDefault="00DE46FA" w:rsidP="00DE46FA">
      <w:pPr>
        <w:tabs>
          <w:tab w:val="left" w:pos="851"/>
        </w:tabs>
        <w:ind w:left="851"/>
        <w:rPr>
          <w:sz w:val="24"/>
          <w:szCs w:val="24"/>
          <w:u w:val="single"/>
        </w:rPr>
      </w:pPr>
      <w:r w:rsidRPr="00DE46FA">
        <w:rPr>
          <w:bCs/>
          <w:sz w:val="24"/>
          <w:szCs w:val="24"/>
          <w:u w:val="single"/>
        </w:rPr>
        <w:t>6 mg</w:t>
      </w:r>
    </w:p>
    <w:p w14:paraId="1C0EF216" w14:textId="77777777" w:rsidR="00DE46FA" w:rsidRPr="00DE46FA" w:rsidRDefault="00DE46FA" w:rsidP="00DE46FA">
      <w:pPr>
        <w:tabs>
          <w:tab w:val="left" w:pos="851"/>
        </w:tabs>
        <w:ind w:left="851"/>
        <w:rPr>
          <w:sz w:val="24"/>
          <w:szCs w:val="24"/>
        </w:rPr>
      </w:pPr>
      <w:r w:rsidRPr="00DE46FA">
        <w:rPr>
          <w:bCs/>
          <w:sz w:val="24"/>
          <w:szCs w:val="24"/>
        </w:rPr>
        <w:t xml:space="preserve">Hver smeltefilm indeholder 6 mg </w:t>
      </w:r>
      <w:proofErr w:type="spellStart"/>
      <w:r w:rsidRPr="00DE46FA">
        <w:rPr>
          <w:bCs/>
          <w:sz w:val="24"/>
          <w:szCs w:val="24"/>
        </w:rPr>
        <w:t>dexamethason</w:t>
      </w:r>
      <w:proofErr w:type="spellEnd"/>
      <w:r w:rsidRPr="00DE46FA">
        <w:rPr>
          <w:bCs/>
          <w:sz w:val="24"/>
          <w:szCs w:val="24"/>
        </w:rPr>
        <w:t>.</w:t>
      </w:r>
    </w:p>
    <w:p w14:paraId="046A00ED" w14:textId="77777777" w:rsidR="00DE46FA" w:rsidRPr="00DE46FA" w:rsidRDefault="00DE46FA" w:rsidP="00DE46FA">
      <w:pPr>
        <w:tabs>
          <w:tab w:val="left" w:pos="851"/>
        </w:tabs>
        <w:ind w:left="851"/>
        <w:rPr>
          <w:sz w:val="24"/>
          <w:szCs w:val="24"/>
        </w:rPr>
      </w:pPr>
    </w:p>
    <w:p w14:paraId="71B229C9" w14:textId="3D2FEDDC" w:rsidR="00DE46FA" w:rsidRPr="00DE46FA" w:rsidRDefault="00DE46FA" w:rsidP="00DE46FA">
      <w:pPr>
        <w:tabs>
          <w:tab w:val="left" w:pos="851"/>
        </w:tabs>
        <w:ind w:left="851"/>
        <w:rPr>
          <w:sz w:val="24"/>
          <w:szCs w:val="24"/>
          <w:u w:val="single"/>
        </w:rPr>
      </w:pPr>
      <w:r w:rsidRPr="00DE46FA">
        <w:rPr>
          <w:bCs/>
          <w:sz w:val="24"/>
          <w:szCs w:val="24"/>
          <w:u w:val="single"/>
        </w:rPr>
        <w:t>8 mg</w:t>
      </w:r>
    </w:p>
    <w:p w14:paraId="5AF9EBDE" w14:textId="77777777" w:rsidR="00DE46FA" w:rsidRPr="00DE46FA" w:rsidRDefault="00DE46FA" w:rsidP="00DE46FA">
      <w:pPr>
        <w:tabs>
          <w:tab w:val="left" w:pos="851"/>
        </w:tabs>
        <w:ind w:left="851"/>
        <w:rPr>
          <w:sz w:val="24"/>
          <w:szCs w:val="24"/>
        </w:rPr>
      </w:pPr>
      <w:r w:rsidRPr="00DE46FA">
        <w:rPr>
          <w:bCs/>
          <w:sz w:val="24"/>
          <w:szCs w:val="24"/>
        </w:rPr>
        <w:t xml:space="preserve">Hver smeltefilm indeholder 8 mg </w:t>
      </w:r>
      <w:proofErr w:type="spellStart"/>
      <w:r w:rsidRPr="00DE46FA">
        <w:rPr>
          <w:bCs/>
          <w:sz w:val="24"/>
          <w:szCs w:val="24"/>
        </w:rPr>
        <w:t>dexamethason</w:t>
      </w:r>
      <w:proofErr w:type="spellEnd"/>
      <w:r w:rsidRPr="00DE46FA">
        <w:rPr>
          <w:bCs/>
          <w:sz w:val="24"/>
          <w:szCs w:val="24"/>
        </w:rPr>
        <w:t>.</w:t>
      </w:r>
    </w:p>
    <w:p w14:paraId="40DA9A8F" w14:textId="77777777" w:rsidR="00DE46FA" w:rsidRPr="00DE46FA" w:rsidRDefault="00DE46FA" w:rsidP="00DE46FA">
      <w:pPr>
        <w:tabs>
          <w:tab w:val="left" w:pos="851"/>
        </w:tabs>
        <w:ind w:left="851"/>
        <w:rPr>
          <w:sz w:val="24"/>
          <w:szCs w:val="24"/>
        </w:rPr>
      </w:pPr>
    </w:p>
    <w:p w14:paraId="1D6843E8" w14:textId="77777777" w:rsidR="00DE46FA" w:rsidRPr="00DE46FA" w:rsidRDefault="00DE46FA" w:rsidP="00DE46FA">
      <w:pPr>
        <w:tabs>
          <w:tab w:val="left" w:pos="851"/>
        </w:tabs>
        <w:ind w:left="851"/>
        <w:rPr>
          <w:sz w:val="24"/>
          <w:szCs w:val="24"/>
        </w:rPr>
      </w:pPr>
      <w:r w:rsidRPr="00DE46FA">
        <w:rPr>
          <w:bCs/>
          <w:sz w:val="24"/>
          <w:szCs w:val="24"/>
        </w:rPr>
        <w:t>Alle hjælpestoffer er anført under pkt. 6.1.</w:t>
      </w:r>
    </w:p>
    <w:p w14:paraId="0664C0E9" w14:textId="77777777" w:rsidR="009260DE" w:rsidRPr="00DE46FA" w:rsidRDefault="009260DE" w:rsidP="009260DE">
      <w:pPr>
        <w:tabs>
          <w:tab w:val="left" w:pos="851"/>
        </w:tabs>
        <w:ind w:left="851"/>
        <w:rPr>
          <w:sz w:val="24"/>
          <w:szCs w:val="24"/>
        </w:rPr>
      </w:pPr>
    </w:p>
    <w:p w14:paraId="624966C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762EFC8" w14:textId="77777777" w:rsidR="00DE46FA" w:rsidRPr="00DE46FA" w:rsidRDefault="00DE46FA" w:rsidP="00DE46FA">
      <w:pPr>
        <w:tabs>
          <w:tab w:val="left" w:pos="851"/>
        </w:tabs>
        <w:ind w:left="851"/>
        <w:rPr>
          <w:bCs/>
          <w:sz w:val="24"/>
          <w:szCs w:val="24"/>
        </w:rPr>
      </w:pPr>
      <w:r w:rsidRPr="00DE46FA">
        <w:rPr>
          <w:bCs/>
          <w:sz w:val="24"/>
          <w:szCs w:val="24"/>
        </w:rPr>
        <w:t>Smeltefilm</w:t>
      </w:r>
    </w:p>
    <w:p w14:paraId="1995A1AE" w14:textId="77777777" w:rsidR="00DE46FA" w:rsidRPr="00DE46FA" w:rsidRDefault="00DE46FA" w:rsidP="00DE46FA">
      <w:pPr>
        <w:tabs>
          <w:tab w:val="left" w:pos="851"/>
        </w:tabs>
        <w:ind w:left="851"/>
        <w:rPr>
          <w:sz w:val="24"/>
          <w:szCs w:val="24"/>
        </w:rPr>
      </w:pPr>
    </w:p>
    <w:p w14:paraId="1C684869" w14:textId="2102245C" w:rsidR="00DE46FA" w:rsidRPr="00DE46FA" w:rsidRDefault="00DE46FA" w:rsidP="00DE46FA">
      <w:pPr>
        <w:tabs>
          <w:tab w:val="left" w:pos="851"/>
        </w:tabs>
        <w:ind w:left="851"/>
        <w:rPr>
          <w:sz w:val="24"/>
          <w:szCs w:val="24"/>
          <w:u w:val="single"/>
        </w:rPr>
      </w:pPr>
      <w:r>
        <w:rPr>
          <w:bCs/>
          <w:sz w:val="24"/>
          <w:szCs w:val="24"/>
          <w:u w:val="single"/>
        </w:rPr>
        <w:t>4 mg</w:t>
      </w:r>
    </w:p>
    <w:p w14:paraId="67AEA076" w14:textId="199DEFB0" w:rsidR="00DE46FA" w:rsidRPr="00DE46FA" w:rsidRDefault="00DE46FA" w:rsidP="00DE46FA">
      <w:pPr>
        <w:tabs>
          <w:tab w:val="left" w:pos="851"/>
        </w:tabs>
        <w:ind w:left="851"/>
        <w:rPr>
          <w:sz w:val="24"/>
          <w:szCs w:val="24"/>
        </w:rPr>
      </w:pPr>
      <w:r w:rsidRPr="00DE46FA">
        <w:rPr>
          <w:sz w:val="24"/>
          <w:szCs w:val="24"/>
        </w:rPr>
        <w:t>Hvid til lysegul, gennemsigtig, rektangulær film med målene 20</w:t>
      </w:r>
      <w:r w:rsidR="00ED4AC6">
        <w:rPr>
          <w:sz w:val="24"/>
          <w:szCs w:val="24"/>
        </w:rPr>
        <w:t>×</w:t>
      </w:r>
      <w:r w:rsidRPr="00DE46FA">
        <w:rPr>
          <w:sz w:val="24"/>
          <w:szCs w:val="24"/>
        </w:rPr>
        <w:t>17 mm.</w:t>
      </w:r>
    </w:p>
    <w:p w14:paraId="314EB12D" w14:textId="77777777" w:rsidR="00DE46FA" w:rsidRPr="00DE46FA" w:rsidRDefault="00DE46FA" w:rsidP="00DE46FA">
      <w:pPr>
        <w:tabs>
          <w:tab w:val="left" w:pos="851"/>
        </w:tabs>
        <w:ind w:left="851"/>
        <w:rPr>
          <w:sz w:val="24"/>
          <w:szCs w:val="24"/>
        </w:rPr>
      </w:pPr>
    </w:p>
    <w:p w14:paraId="32EFCAD0" w14:textId="3BB514C3" w:rsidR="00DE46FA" w:rsidRPr="00DE46FA" w:rsidRDefault="00DE46FA" w:rsidP="00DE46FA">
      <w:pPr>
        <w:tabs>
          <w:tab w:val="left" w:pos="851"/>
        </w:tabs>
        <w:ind w:left="851"/>
        <w:rPr>
          <w:sz w:val="24"/>
          <w:szCs w:val="24"/>
          <w:u w:val="single"/>
        </w:rPr>
      </w:pPr>
      <w:r>
        <w:rPr>
          <w:bCs/>
          <w:sz w:val="24"/>
          <w:szCs w:val="24"/>
          <w:u w:val="single"/>
        </w:rPr>
        <w:t>6 mg</w:t>
      </w:r>
    </w:p>
    <w:p w14:paraId="344461A2" w14:textId="0E4B1972" w:rsidR="00DE46FA" w:rsidRPr="00DE46FA" w:rsidRDefault="00DE46FA" w:rsidP="00DE46FA">
      <w:pPr>
        <w:tabs>
          <w:tab w:val="left" w:pos="851"/>
        </w:tabs>
        <w:ind w:left="851"/>
        <w:rPr>
          <w:sz w:val="24"/>
          <w:szCs w:val="24"/>
        </w:rPr>
      </w:pPr>
      <w:r w:rsidRPr="00DE46FA">
        <w:rPr>
          <w:sz w:val="24"/>
          <w:szCs w:val="24"/>
        </w:rPr>
        <w:t>Hvid til lysegul, gennemsigtig, rektangulær film med målene 20</w:t>
      </w:r>
      <w:r w:rsidR="00ED4AC6">
        <w:rPr>
          <w:sz w:val="24"/>
          <w:szCs w:val="24"/>
        </w:rPr>
        <w:t>×</w:t>
      </w:r>
      <w:r w:rsidRPr="00DE46FA">
        <w:rPr>
          <w:sz w:val="24"/>
          <w:szCs w:val="24"/>
        </w:rPr>
        <w:t>25 mm.</w:t>
      </w:r>
    </w:p>
    <w:p w14:paraId="3E62560C" w14:textId="77777777" w:rsidR="00DE46FA" w:rsidRPr="00DE46FA" w:rsidRDefault="00DE46FA" w:rsidP="00DE46FA">
      <w:pPr>
        <w:tabs>
          <w:tab w:val="left" w:pos="851"/>
        </w:tabs>
        <w:ind w:left="851"/>
        <w:rPr>
          <w:b/>
          <w:bCs/>
          <w:sz w:val="24"/>
          <w:szCs w:val="24"/>
        </w:rPr>
      </w:pPr>
    </w:p>
    <w:p w14:paraId="5D8BEE2A" w14:textId="4EFCAB10" w:rsidR="00DE46FA" w:rsidRPr="00DE46FA" w:rsidRDefault="00DE46FA" w:rsidP="00DE46FA">
      <w:pPr>
        <w:tabs>
          <w:tab w:val="left" w:pos="851"/>
        </w:tabs>
        <w:ind w:left="851"/>
        <w:rPr>
          <w:sz w:val="24"/>
          <w:szCs w:val="24"/>
          <w:u w:val="single"/>
        </w:rPr>
      </w:pPr>
      <w:r>
        <w:rPr>
          <w:bCs/>
          <w:sz w:val="24"/>
          <w:szCs w:val="24"/>
          <w:u w:val="single"/>
        </w:rPr>
        <w:t>8 mg</w:t>
      </w:r>
    </w:p>
    <w:p w14:paraId="5C3C98FF" w14:textId="0D743BD2" w:rsidR="00DE46FA" w:rsidRPr="00DE46FA" w:rsidRDefault="00DE46FA" w:rsidP="00DE46FA">
      <w:pPr>
        <w:tabs>
          <w:tab w:val="left" w:pos="851"/>
        </w:tabs>
        <w:ind w:left="851"/>
        <w:rPr>
          <w:sz w:val="24"/>
          <w:szCs w:val="24"/>
        </w:rPr>
      </w:pPr>
      <w:r w:rsidRPr="00DE46FA">
        <w:rPr>
          <w:sz w:val="24"/>
          <w:szCs w:val="24"/>
        </w:rPr>
        <w:t>Hvid til lysegul, gennemsigtig, rektangulær film med målene 20</w:t>
      </w:r>
      <w:r w:rsidR="00ED4AC6">
        <w:rPr>
          <w:sz w:val="24"/>
          <w:szCs w:val="24"/>
        </w:rPr>
        <w:t>×</w:t>
      </w:r>
      <w:r w:rsidRPr="00DE46FA">
        <w:rPr>
          <w:sz w:val="24"/>
          <w:szCs w:val="24"/>
        </w:rPr>
        <w:t>33 mm.</w:t>
      </w:r>
    </w:p>
    <w:p w14:paraId="77F55187" w14:textId="77777777" w:rsidR="009260DE" w:rsidRPr="00C84483" w:rsidRDefault="009260DE" w:rsidP="009260DE">
      <w:pPr>
        <w:tabs>
          <w:tab w:val="left" w:pos="851"/>
        </w:tabs>
        <w:ind w:left="851"/>
        <w:rPr>
          <w:sz w:val="24"/>
          <w:szCs w:val="24"/>
        </w:rPr>
      </w:pPr>
    </w:p>
    <w:p w14:paraId="1945A1BB" w14:textId="0A653E96" w:rsidR="00A770E9" w:rsidRDefault="00A770E9">
      <w:pPr>
        <w:rPr>
          <w:sz w:val="24"/>
          <w:szCs w:val="24"/>
        </w:rPr>
      </w:pPr>
      <w:r>
        <w:rPr>
          <w:sz w:val="24"/>
          <w:szCs w:val="24"/>
        </w:rPr>
        <w:br w:type="page"/>
      </w:r>
    </w:p>
    <w:p w14:paraId="691EB697" w14:textId="77777777" w:rsidR="009260DE" w:rsidRPr="00C84483" w:rsidRDefault="009260DE" w:rsidP="009260DE">
      <w:pPr>
        <w:tabs>
          <w:tab w:val="left" w:pos="851"/>
        </w:tabs>
        <w:ind w:left="851"/>
        <w:rPr>
          <w:sz w:val="24"/>
          <w:szCs w:val="24"/>
        </w:rPr>
      </w:pPr>
    </w:p>
    <w:p w14:paraId="1F5A35D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2CF2CD9" w14:textId="77777777" w:rsidR="009260DE" w:rsidRPr="00C84483" w:rsidRDefault="009260DE" w:rsidP="009260DE">
      <w:pPr>
        <w:tabs>
          <w:tab w:val="left" w:pos="851"/>
        </w:tabs>
        <w:ind w:left="851"/>
        <w:rPr>
          <w:b/>
          <w:sz w:val="24"/>
          <w:szCs w:val="24"/>
        </w:rPr>
      </w:pPr>
    </w:p>
    <w:p w14:paraId="40F87B31"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BFD3EEC" w14:textId="77777777" w:rsidR="00ED4AC6" w:rsidRPr="00ED4AC6" w:rsidRDefault="00ED4AC6" w:rsidP="00ED4AC6">
      <w:pPr>
        <w:tabs>
          <w:tab w:val="left" w:pos="851"/>
        </w:tabs>
        <w:ind w:left="851"/>
        <w:rPr>
          <w:sz w:val="24"/>
          <w:szCs w:val="24"/>
        </w:rPr>
      </w:pPr>
      <w:r w:rsidRPr="00ED4AC6">
        <w:rPr>
          <w:sz w:val="24"/>
          <w:szCs w:val="24"/>
        </w:rPr>
        <w:t>Processer, der kræver antiinflammatorisk og immunsupprimerende behandling, blandt andet:</w:t>
      </w:r>
    </w:p>
    <w:p w14:paraId="6D63C716"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Behandling af cerebralt ødem sekundært til hjernetumorer, neurokirurgi, hjerneabscesser</w:t>
      </w:r>
    </w:p>
    <w:p w14:paraId="27D991CD"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Behandling af akut, svær astma</w:t>
      </w:r>
    </w:p>
    <w:p w14:paraId="60BB3438"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Initial behandling af akutte, svære dermatologiske sygdomme</w:t>
      </w:r>
    </w:p>
    <w:p w14:paraId="08CF44E1"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Initial behandling af autoimmune sygdomme</w:t>
      </w:r>
    </w:p>
    <w:p w14:paraId="12921ADF"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 xml:space="preserve">Behandling af aktiv </w:t>
      </w:r>
      <w:proofErr w:type="spellStart"/>
      <w:r w:rsidRPr="00ED4AC6">
        <w:rPr>
          <w:sz w:val="24"/>
          <w:szCs w:val="24"/>
        </w:rPr>
        <w:t>reumatoid</w:t>
      </w:r>
      <w:proofErr w:type="spellEnd"/>
      <w:r w:rsidRPr="00ED4AC6">
        <w:rPr>
          <w:sz w:val="24"/>
          <w:szCs w:val="24"/>
        </w:rPr>
        <w:t xml:space="preserve"> </w:t>
      </w:r>
      <w:proofErr w:type="spellStart"/>
      <w:r w:rsidRPr="00ED4AC6">
        <w:rPr>
          <w:sz w:val="24"/>
          <w:szCs w:val="24"/>
        </w:rPr>
        <w:t>artrit</w:t>
      </w:r>
      <w:proofErr w:type="spellEnd"/>
    </w:p>
    <w:p w14:paraId="0A1D9A28"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 xml:space="preserve">Profylakse og behandling af kvalme og opkastning fremkaldt af </w:t>
      </w:r>
      <w:proofErr w:type="spellStart"/>
      <w:r w:rsidRPr="00ED4AC6">
        <w:rPr>
          <w:sz w:val="24"/>
          <w:szCs w:val="24"/>
        </w:rPr>
        <w:t>cytostatika</w:t>
      </w:r>
      <w:proofErr w:type="spellEnd"/>
      <w:r w:rsidRPr="00ED4AC6">
        <w:rPr>
          <w:sz w:val="24"/>
          <w:szCs w:val="24"/>
        </w:rPr>
        <w:t xml:space="preserve"> inden for rammerne af </w:t>
      </w:r>
      <w:proofErr w:type="spellStart"/>
      <w:r w:rsidRPr="00ED4AC6">
        <w:rPr>
          <w:sz w:val="24"/>
          <w:szCs w:val="24"/>
        </w:rPr>
        <w:t>antiemetiske</w:t>
      </w:r>
      <w:proofErr w:type="spellEnd"/>
      <w:r w:rsidRPr="00ED4AC6">
        <w:rPr>
          <w:sz w:val="24"/>
          <w:szCs w:val="24"/>
        </w:rPr>
        <w:t xml:space="preserve"> behandlinger</w:t>
      </w:r>
    </w:p>
    <w:p w14:paraId="2CAFAC67"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Strubehoste</w:t>
      </w:r>
    </w:p>
    <w:p w14:paraId="6A75A3E9"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Allergiske reaktioner, herunder akutte allergiske reaktioner</w:t>
      </w:r>
    </w:p>
    <w:p w14:paraId="3E1E2033" w14:textId="77777777" w:rsidR="00ED4AC6" w:rsidRPr="00ED4AC6" w:rsidRDefault="00ED4AC6" w:rsidP="00ED4AC6">
      <w:pPr>
        <w:numPr>
          <w:ilvl w:val="2"/>
          <w:numId w:val="6"/>
        </w:numPr>
        <w:tabs>
          <w:tab w:val="left" w:pos="1134"/>
        </w:tabs>
        <w:ind w:left="1134" w:hanging="283"/>
        <w:rPr>
          <w:sz w:val="24"/>
          <w:szCs w:val="24"/>
        </w:rPr>
      </w:pPr>
      <w:r w:rsidRPr="00ED4AC6">
        <w:rPr>
          <w:sz w:val="24"/>
          <w:szCs w:val="24"/>
        </w:rPr>
        <w:t xml:space="preserve">Behandling af </w:t>
      </w:r>
      <w:proofErr w:type="spellStart"/>
      <w:r w:rsidRPr="00ED4AC6">
        <w:rPr>
          <w:sz w:val="24"/>
          <w:szCs w:val="24"/>
        </w:rPr>
        <w:t>coronavirus</w:t>
      </w:r>
      <w:proofErr w:type="spellEnd"/>
      <w:r w:rsidRPr="00ED4AC6">
        <w:rPr>
          <w:sz w:val="24"/>
          <w:szCs w:val="24"/>
        </w:rPr>
        <w:t xml:space="preserve"> 2019 (COVID-19) hos voksne og unge patienter (fra 12 år og ældre og med en legemsvægt på mindst 40 kg), der har behov for supplerende iltbehandling.</w:t>
      </w:r>
    </w:p>
    <w:p w14:paraId="29783E78" w14:textId="77777777" w:rsidR="009260DE" w:rsidRPr="00C84483" w:rsidRDefault="009260DE" w:rsidP="009260DE">
      <w:pPr>
        <w:tabs>
          <w:tab w:val="left" w:pos="851"/>
        </w:tabs>
        <w:ind w:left="851"/>
        <w:rPr>
          <w:sz w:val="24"/>
          <w:szCs w:val="24"/>
        </w:rPr>
      </w:pPr>
    </w:p>
    <w:p w14:paraId="050158F7" w14:textId="7985C215"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bookmarkStart w:id="1" w:name="_Hlk121742956"/>
      <w:r w:rsidR="00F73680" w:rsidRPr="00BA4587">
        <w:rPr>
          <w:b/>
          <w:sz w:val="24"/>
          <w:szCs w:val="24"/>
        </w:rPr>
        <w:t>Dosering og administration</w:t>
      </w:r>
      <w:bookmarkEnd w:id="1"/>
    </w:p>
    <w:p w14:paraId="6F42D14B" w14:textId="77777777" w:rsidR="000D2B25" w:rsidRDefault="000D2B25" w:rsidP="000D2B25">
      <w:pPr>
        <w:tabs>
          <w:tab w:val="left" w:pos="851"/>
        </w:tabs>
        <w:ind w:left="851"/>
        <w:rPr>
          <w:sz w:val="24"/>
          <w:szCs w:val="24"/>
          <w:u w:val="single"/>
        </w:rPr>
      </w:pPr>
    </w:p>
    <w:p w14:paraId="047C0BDD" w14:textId="684D0EEF" w:rsidR="000D2B25" w:rsidRPr="000D2B25" w:rsidRDefault="000D2B25" w:rsidP="000D2B25">
      <w:pPr>
        <w:tabs>
          <w:tab w:val="left" w:pos="851"/>
        </w:tabs>
        <w:ind w:left="851"/>
        <w:rPr>
          <w:b/>
          <w:sz w:val="24"/>
          <w:szCs w:val="24"/>
        </w:rPr>
      </w:pPr>
      <w:r w:rsidRPr="000D2B25">
        <w:rPr>
          <w:b/>
          <w:sz w:val="24"/>
          <w:szCs w:val="24"/>
        </w:rPr>
        <w:t>Dosering</w:t>
      </w:r>
    </w:p>
    <w:p w14:paraId="1838A4EB" w14:textId="77777777" w:rsidR="000D2B25" w:rsidRPr="000D2B25" w:rsidRDefault="000D2B25" w:rsidP="000D2B25">
      <w:pPr>
        <w:tabs>
          <w:tab w:val="left" w:pos="851"/>
        </w:tabs>
        <w:ind w:left="851"/>
        <w:rPr>
          <w:sz w:val="24"/>
          <w:szCs w:val="24"/>
        </w:rPr>
      </w:pPr>
      <w:r w:rsidRPr="000D2B25">
        <w:rPr>
          <w:sz w:val="24"/>
          <w:szCs w:val="24"/>
        </w:rPr>
        <w:t>Den nødvendige dosis afhænger af sygdommens sværhedsgrad og patientens individuelle respons. Generelt administreres der højere doser i starten. Dosis vil normalt være højere under akutte, alvorlige betingelser end under kronisk sygdom. Når sygdommen er under kontrol, skal patienten vurderes regelmæssigt af en læge, og dosis skal nedtrappes til laveste effektive dosis (se pkt. 4.4).</w:t>
      </w:r>
    </w:p>
    <w:p w14:paraId="501B80B8" w14:textId="77777777" w:rsidR="000D2B25" w:rsidRPr="000D2B25" w:rsidRDefault="000D2B25" w:rsidP="000D2B25">
      <w:pPr>
        <w:tabs>
          <w:tab w:val="left" w:pos="851"/>
        </w:tabs>
        <w:ind w:left="851"/>
        <w:rPr>
          <w:sz w:val="24"/>
          <w:szCs w:val="24"/>
        </w:rPr>
      </w:pPr>
    </w:p>
    <w:p w14:paraId="4A25F945" w14:textId="77777777" w:rsidR="000D2B25" w:rsidRPr="000D2B25" w:rsidRDefault="000D2B25" w:rsidP="000D2B25">
      <w:pPr>
        <w:tabs>
          <w:tab w:val="left" w:pos="851"/>
        </w:tabs>
        <w:ind w:left="851"/>
        <w:rPr>
          <w:sz w:val="24"/>
          <w:szCs w:val="24"/>
        </w:rPr>
      </w:pPr>
      <w:r w:rsidRPr="000D2B25">
        <w:rPr>
          <w:sz w:val="24"/>
          <w:szCs w:val="24"/>
        </w:rPr>
        <w:t>De aktuelle retningslinjer for behandling af tilstanden bør også tages i betragtning i valget af en dosis.</w:t>
      </w:r>
    </w:p>
    <w:p w14:paraId="2DD8B185" w14:textId="77777777" w:rsidR="000D2B25" w:rsidRPr="000D2B25" w:rsidRDefault="000D2B25" w:rsidP="000D2B25">
      <w:pPr>
        <w:tabs>
          <w:tab w:val="left" w:pos="851"/>
        </w:tabs>
        <w:ind w:left="851"/>
        <w:rPr>
          <w:sz w:val="24"/>
          <w:szCs w:val="24"/>
        </w:rPr>
      </w:pPr>
    </w:p>
    <w:p w14:paraId="6D1F12E8" w14:textId="77777777" w:rsidR="000D2B25" w:rsidRPr="000D2B25" w:rsidRDefault="000D2B25" w:rsidP="000D2B25">
      <w:pPr>
        <w:tabs>
          <w:tab w:val="left" w:pos="851"/>
        </w:tabs>
        <w:ind w:left="851"/>
        <w:rPr>
          <w:sz w:val="24"/>
          <w:szCs w:val="24"/>
          <w:u w:val="single"/>
        </w:rPr>
      </w:pPr>
      <w:r w:rsidRPr="000D2B25">
        <w:rPr>
          <w:sz w:val="24"/>
          <w:szCs w:val="24"/>
          <w:u w:val="single"/>
        </w:rPr>
        <w:t>Voksne</w:t>
      </w:r>
    </w:p>
    <w:p w14:paraId="1A724890" w14:textId="77777777" w:rsidR="000D2B25" w:rsidRPr="000D2B25" w:rsidRDefault="000D2B25" w:rsidP="000D2B25">
      <w:pPr>
        <w:tabs>
          <w:tab w:val="left" w:pos="851"/>
        </w:tabs>
        <w:ind w:left="851"/>
        <w:rPr>
          <w:sz w:val="24"/>
          <w:szCs w:val="24"/>
        </w:rPr>
      </w:pPr>
      <w:r w:rsidRPr="000D2B25">
        <w:rPr>
          <w:sz w:val="24"/>
          <w:szCs w:val="24"/>
        </w:rPr>
        <w:t>Anbefalet dosis:</w:t>
      </w:r>
    </w:p>
    <w:p w14:paraId="2D567F4D" w14:textId="77777777" w:rsidR="000D2B25" w:rsidRPr="000D2B25" w:rsidRDefault="000D2B25" w:rsidP="000D2B25">
      <w:pPr>
        <w:tabs>
          <w:tab w:val="left" w:pos="851"/>
        </w:tabs>
        <w:ind w:left="851"/>
        <w:rPr>
          <w:sz w:val="24"/>
          <w:szCs w:val="24"/>
        </w:rPr>
      </w:pPr>
    </w:p>
    <w:p w14:paraId="6A5E6F48" w14:textId="38589FFD" w:rsidR="000D2B25" w:rsidRPr="000D2B25" w:rsidRDefault="000D2B25" w:rsidP="000D2B25">
      <w:pPr>
        <w:numPr>
          <w:ilvl w:val="2"/>
          <w:numId w:val="6"/>
        </w:numPr>
        <w:tabs>
          <w:tab w:val="left" w:pos="1134"/>
        </w:tabs>
        <w:ind w:left="1134" w:hanging="283"/>
        <w:rPr>
          <w:sz w:val="24"/>
          <w:szCs w:val="24"/>
        </w:rPr>
      </w:pPr>
      <w:r w:rsidRPr="000D2B25">
        <w:rPr>
          <w:sz w:val="24"/>
          <w:szCs w:val="24"/>
        </w:rPr>
        <w:t xml:space="preserve">Cerebralt ødem: En initialdosis på 4-8 mg </w:t>
      </w:r>
      <w:r w:rsidR="00B057BE">
        <w:rPr>
          <w:sz w:val="24"/>
          <w:szCs w:val="24"/>
        </w:rPr>
        <w:t>daglig</w:t>
      </w:r>
      <w:r w:rsidRPr="000D2B25">
        <w:rPr>
          <w:sz w:val="24"/>
          <w:szCs w:val="24"/>
        </w:rPr>
        <w:t xml:space="preserve"> anbefales. Ved akutte tilfælde anbefales højere daglige doser på 16-24 mg. Under strålebehandling, der gives som </w:t>
      </w:r>
      <w:proofErr w:type="gramStart"/>
      <w:r w:rsidRPr="000D2B25">
        <w:rPr>
          <w:sz w:val="24"/>
          <w:szCs w:val="24"/>
        </w:rPr>
        <w:t>supplement  til</w:t>
      </w:r>
      <w:proofErr w:type="gramEnd"/>
      <w:r w:rsidRPr="000D2B25">
        <w:rPr>
          <w:sz w:val="24"/>
          <w:szCs w:val="24"/>
        </w:rPr>
        <w:t xml:space="preserve"> standardbehandling af inoperable hjernetumorer, kan lave vedligeholdelsesdoser med </w:t>
      </w:r>
      <w:proofErr w:type="spellStart"/>
      <w:r w:rsidRPr="000D2B25">
        <w:rPr>
          <w:sz w:val="24"/>
          <w:szCs w:val="24"/>
        </w:rPr>
        <w:t>dexamethason</w:t>
      </w:r>
      <w:proofErr w:type="spellEnd"/>
      <w:r w:rsidRPr="000D2B25">
        <w:rPr>
          <w:sz w:val="24"/>
          <w:szCs w:val="24"/>
        </w:rPr>
        <w:t xml:space="preserve"> være påkrævet.</w:t>
      </w:r>
    </w:p>
    <w:p w14:paraId="43E013D8" w14:textId="77777777" w:rsidR="000D2B25" w:rsidRPr="000D2B25" w:rsidRDefault="000D2B25" w:rsidP="000D2B25">
      <w:pPr>
        <w:tabs>
          <w:tab w:val="left" w:pos="1134"/>
        </w:tabs>
        <w:ind w:left="1134" w:hanging="283"/>
        <w:rPr>
          <w:sz w:val="24"/>
          <w:szCs w:val="24"/>
        </w:rPr>
      </w:pPr>
    </w:p>
    <w:p w14:paraId="06661486" w14:textId="77777777" w:rsidR="000D2B25" w:rsidRPr="000D2B25" w:rsidRDefault="000D2B25" w:rsidP="000D2B25">
      <w:pPr>
        <w:numPr>
          <w:ilvl w:val="2"/>
          <w:numId w:val="6"/>
        </w:numPr>
        <w:tabs>
          <w:tab w:val="left" w:pos="1134"/>
        </w:tabs>
        <w:ind w:left="1134" w:hanging="283"/>
        <w:rPr>
          <w:sz w:val="24"/>
          <w:szCs w:val="24"/>
        </w:rPr>
      </w:pPr>
      <w:r w:rsidRPr="000D2B25">
        <w:rPr>
          <w:sz w:val="24"/>
          <w:szCs w:val="24"/>
        </w:rPr>
        <w:t>Akut, svær astma: 16 mg om dagen i op til 2 dage.</w:t>
      </w:r>
    </w:p>
    <w:p w14:paraId="152DFDFF" w14:textId="77777777" w:rsidR="000D2B25" w:rsidRPr="000D2B25" w:rsidRDefault="000D2B25" w:rsidP="000D2B25">
      <w:pPr>
        <w:tabs>
          <w:tab w:val="left" w:pos="1134"/>
        </w:tabs>
        <w:ind w:left="1134" w:hanging="283"/>
        <w:rPr>
          <w:sz w:val="24"/>
          <w:szCs w:val="24"/>
        </w:rPr>
      </w:pPr>
    </w:p>
    <w:p w14:paraId="2075E4A6" w14:textId="77777777" w:rsidR="000D2B25" w:rsidRPr="000D2B25" w:rsidRDefault="000D2B25" w:rsidP="000D2B25">
      <w:pPr>
        <w:numPr>
          <w:ilvl w:val="2"/>
          <w:numId w:val="6"/>
        </w:numPr>
        <w:tabs>
          <w:tab w:val="left" w:pos="1134"/>
        </w:tabs>
        <w:ind w:left="1134" w:hanging="283"/>
        <w:rPr>
          <w:sz w:val="24"/>
          <w:szCs w:val="24"/>
        </w:rPr>
      </w:pPr>
      <w:r w:rsidRPr="000D2B25">
        <w:rPr>
          <w:sz w:val="24"/>
          <w:szCs w:val="24"/>
        </w:rPr>
        <w:t>Akutte, svære dermatologiske sygdomme: 8-40 mg om dagen afhængigt af sygdommens type og varighed, efterfulgt af en nedtrapning af doserne.</w:t>
      </w:r>
    </w:p>
    <w:p w14:paraId="65D172F1" w14:textId="77777777" w:rsidR="000D2B25" w:rsidRPr="000D2B25" w:rsidRDefault="000D2B25" w:rsidP="000D2B25">
      <w:pPr>
        <w:tabs>
          <w:tab w:val="left" w:pos="1134"/>
        </w:tabs>
        <w:ind w:left="1134" w:hanging="283"/>
        <w:rPr>
          <w:sz w:val="24"/>
          <w:szCs w:val="24"/>
        </w:rPr>
      </w:pPr>
    </w:p>
    <w:p w14:paraId="2F33820F" w14:textId="77777777" w:rsidR="000D2B25" w:rsidRPr="000D2B25" w:rsidRDefault="000D2B25" w:rsidP="000D2B25">
      <w:pPr>
        <w:numPr>
          <w:ilvl w:val="2"/>
          <w:numId w:val="6"/>
        </w:numPr>
        <w:tabs>
          <w:tab w:val="left" w:pos="1134"/>
        </w:tabs>
        <w:ind w:left="1134" w:hanging="283"/>
        <w:rPr>
          <w:sz w:val="24"/>
          <w:szCs w:val="24"/>
        </w:rPr>
      </w:pPr>
      <w:r w:rsidRPr="000D2B25">
        <w:rPr>
          <w:sz w:val="24"/>
          <w:szCs w:val="24"/>
        </w:rPr>
        <w:t xml:space="preserve">Autoimmune sygdomme i den aktive fase, for eksempel systemisk lupus </w:t>
      </w:r>
      <w:proofErr w:type="spellStart"/>
      <w:r w:rsidRPr="000D2B25">
        <w:rPr>
          <w:sz w:val="24"/>
          <w:szCs w:val="24"/>
        </w:rPr>
        <w:t>erythematosus</w:t>
      </w:r>
      <w:proofErr w:type="spellEnd"/>
      <w:r w:rsidRPr="000D2B25">
        <w:rPr>
          <w:sz w:val="24"/>
          <w:szCs w:val="24"/>
        </w:rPr>
        <w:t>: 6-16 mg om dagen.</w:t>
      </w:r>
    </w:p>
    <w:p w14:paraId="6611529D" w14:textId="77777777" w:rsidR="000D2B25" w:rsidRPr="000D2B25" w:rsidRDefault="000D2B25" w:rsidP="000D2B25">
      <w:pPr>
        <w:tabs>
          <w:tab w:val="left" w:pos="1134"/>
        </w:tabs>
        <w:ind w:left="1134" w:hanging="283"/>
        <w:rPr>
          <w:sz w:val="24"/>
          <w:szCs w:val="24"/>
        </w:rPr>
      </w:pPr>
    </w:p>
    <w:p w14:paraId="419B30B8" w14:textId="77777777" w:rsidR="000D2B25" w:rsidRPr="000D2B25" w:rsidRDefault="000D2B25" w:rsidP="000D2B25">
      <w:pPr>
        <w:numPr>
          <w:ilvl w:val="2"/>
          <w:numId w:val="6"/>
        </w:numPr>
        <w:tabs>
          <w:tab w:val="left" w:pos="1134"/>
        </w:tabs>
        <w:ind w:left="1134" w:hanging="283"/>
        <w:rPr>
          <w:sz w:val="24"/>
          <w:szCs w:val="24"/>
        </w:rPr>
      </w:pPr>
      <w:proofErr w:type="spellStart"/>
      <w:r w:rsidRPr="000D2B25">
        <w:rPr>
          <w:sz w:val="24"/>
          <w:szCs w:val="24"/>
        </w:rPr>
        <w:t>Reumatoid</w:t>
      </w:r>
      <w:proofErr w:type="spellEnd"/>
      <w:r w:rsidRPr="000D2B25">
        <w:rPr>
          <w:sz w:val="24"/>
          <w:szCs w:val="24"/>
        </w:rPr>
        <w:t xml:space="preserve"> </w:t>
      </w:r>
      <w:proofErr w:type="spellStart"/>
      <w:r w:rsidRPr="000D2B25">
        <w:rPr>
          <w:sz w:val="24"/>
          <w:szCs w:val="24"/>
        </w:rPr>
        <w:t>artrit</w:t>
      </w:r>
      <w:proofErr w:type="spellEnd"/>
      <w:r w:rsidRPr="000D2B25">
        <w:rPr>
          <w:sz w:val="24"/>
          <w:szCs w:val="24"/>
        </w:rPr>
        <w:t xml:space="preserve">: 4 mg </w:t>
      </w:r>
      <w:proofErr w:type="spellStart"/>
      <w:r w:rsidRPr="000D2B25">
        <w:rPr>
          <w:sz w:val="24"/>
          <w:szCs w:val="24"/>
        </w:rPr>
        <w:t>dexamethason</w:t>
      </w:r>
      <w:proofErr w:type="spellEnd"/>
      <w:r w:rsidRPr="000D2B25">
        <w:rPr>
          <w:sz w:val="24"/>
          <w:szCs w:val="24"/>
        </w:rPr>
        <w:t xml:space="preserve"> kan administreres ved initiering eller ændring af behandling med sygdomsmodificerende antireumatiske lægemidler (</w:t>
      </w:r>
      <w:proofErr w:type="spellStart"/>
      <w:r w:rsidRPr="000D2B25">
        <w:rPr>
          <w:sz w:val="24"/>
          <w:szCs w:val="24"/>
        </w:rPr>
        <w:t>DMARD'er</w:t>
      </w:r>
      <w:proofErr w:type="spellEnd"/>
      <w:r w:rsidRPr="000D2B25">
        <w:rPr>
          <w:sz w:val="24"/>
          <w:szCs w:val="24"/>
        </w:rPr>
        <w:t xml:space="preserve">). Ved </w:t>
      </w:r>
      <w:r w:rsidRPr="000D2B25">
        <w:rPr>
          <w:sz w:val="24"/>
          <w:szCs w:val="24"/>
        </w:rPr>
        <w:lastRenderedPageBreak/>
        <w:t>opblussen skal den lavest mulige dosis tages med den korteste varighed. Behandlingstiden bør ikke overstige 3 måneder.</w:t>
      </w:r>
    </w:p>
    <w:p w14:paraId="79A8DAF5" w14:textId="77777777" w:rsidR="000D2B25" w:rsidRPr="000D2B25" w:rsidRDefault="000D2B25" w:rsidP="000D2B25">
      <w:pPr>
        <w:tabs>
          <w:tab w:val="left" w:pos="1134"/>
        </w:tabs>
        <w:ind w:left="1134" w:hanging="283"/>
        <w:rPr>
          <w:sz w:val="24"/>
          <w:szCs w:val="24"/>
        </w:rPr>
      </w:pPr>
    </w:p>
    <w:p w14:paraId="5DE4DA38" w14:textId="69DB4910" w:rsidR="000D2B25" w:rsidRPr="000D2B25" w:rsidRDefault="000D2B25" w:rsidP="000D2B25">
      <w:pPr>
        <w:numPr>
          <w:ilvl w:val="2"/>
          <w:numId w:val="6"/>
        </w:numPr>
        <w:tabs>
          <w:tab w:val="left" w:pos="1134"/>
        </w:tabs>
        <w:ind w:left="1134" w:hanging="283"/>
        <w:rPr>
          <w:sz w:val="24"/>
          <w:szCs w:val="24"/>
        </w:rPr>
      </w:pPr>
      <w:r w:rsidRPr="000D2B25">
        <w:rPr>
          <w:sz w:val="24"/>
          <w:szCs w:val="24"/>
        </w:rPr>
        <w:t xml:space="preserve">Profylakse og behandling af kvalme og opkastning fremkaldt af </w:t>
      </w:r>
      <w:proofErr w:type="spellStart"/>
      <w:r w:rsidRPr="000D2B25">
        <w:rPr>
          <w:sz w:val="24"/>
          <w:szCs w:val="24"/>
        </w:rPr>
        <w:t>cytostatika</w:t>
      </w:r>
      <w:proofErr w:type="spellEnd"/>
      <w:r w:rsidRPr="000D2B25">
        <w:rPr>
          <w:sz w:val="24"/>
          <w:szCs w:val="24"/>
        </w:rPr>
        <w:t xml:space="preserve">:  enkeltdosis på 10-20 mg før påbegyndelse af kemoterapi. I tilfælde af akut </w:t>
      </w:r>
      <w:proofErr w:type="spellStart"/>
      <w:r w:rsidRPr="000D2B25">
        <w:rPr>
          <w:sz w:val="24"/>
          <w:szCs w:val="24"/>
        </w:rPr>
        <w:t>emesis</w:t>
      </w:r>
      <w:proofErr w:type="spellEnd"/>
      <w:r w:rsidRPr="000D2B25">
        <w:rPr>
          <w:sz w:val="24"/>
          <w:szCs w:val="24"/>
        </w:rPr>
        <w:t xml:space="preserve">: 4-20 mg, afhængigt af risikoen for </w:t>
      </w:r>
      <w:proofErr w:type="spellStart"/>
      <w:r w:rsidRPr="000D2B25">
        <w:rPr>
          <w:sz w:val="24"/>
          <w:szCs w:val="24"/>
        </w:rPr>
        <w:t>emesis</w:t>
      </w:r>
      <w:proofErr w:type="spellEnd"/>
      <w:r w:rsidRPr="000D2B25">
        <w:rPr>
          <w:sz w:val="24"/>
          <w:szCs w:val="24"/>
        </w:rPr>
        <w:t xml:space="preserve"> ved den anvendte kemoterapi. I tilfælde af forsinket </w:t>
      </w:r>
      <w:proofErr w:type="spellStart"/>
      <w:r w:rsidRPr="000D2B25">
        <w:rPr>
          <w:sz w:val="24"/>
          <w:szCs w:val="24"/>
        </w:rPr>
        <w:t>emesis</w:t>
      </w:r>
      <w:proofErr w:type="spellEnd"/>
      <w:r w:rsidRPr="000D2B25">
        <w:rPr>
          <w:sz w:val="24"/>
          <w:szCs w:val="24"/>
        </w:rPr>
        <w:t xml:space="preserve">: 8 mg, 1-2 gange </w:t>
      </w:r>
      <w:r w:rsidR="00B057BE">
        <w:rPr>
          <w:sz w:val="24"/>
          <w:szCs w:val="24"/>
        </w:rPr>
        <w:t>daglig</w:t>
      </w:r>
      <w:r w:rsidRPr="000D2B25">
        <w:rPr>
          <w:sz w:val="24"/>
          <w:szCs w:val="24"/>
        </w:rPr>
        <w:t xml:space="preserve"> i et tidsrum på 2-4 dage, afhængigt af risikoen for </w:t>
      </w:r>
      <w:proofErr w:type="spellStart"/>
      <w:r w:rsidRPr="000D2B25">
        <w:rPr>
          <w:sz w:val="24"/>
          <w:szCs w:val="24"/>
        </w:rPr>
        <w:t>emesis</w:t>
      </w:r>
      <w:proofErr w:type="spellEnd"/>
      <w:r w:rsidRPr="000D2B25">
        <w:rPr>
          <w:sz w:val="24"/>
          <w:szCs w:val="24"/>
        </w:rPr>
        <w:t xml:space="preserve"> ved den anvendte kemoterapi.</w:t>
      </w:r>
    </w:p>
    <w:p w14:paraId="2F9481DE" w14:textId="77777777" w:rsidR="000D2B25" w:rsidRPr="000D2B25" w:rsidRDefault="000D2B25" w:rsidP="000D2B25">
      <w:pPr>
        <w:tabs>
          <w:tab w:val="left" w:pos="1134"/>
        </w:tabs>
        <w:ind w:left="1134" w:hanging="283"/>
        <w:rPr>
          <w:sz w:val="24"/>
          <w:szCs w:val="24"/>
        </w:rPr>
      </w:pPr>
    </w:p>
    <w:p w14:paraId="6F46EE39" w14:textId="77777777" w:rsidR="000D2B25" w:rsidRPr="000D2B25" w:rsidRDefault="000D2B25" w:rsidP="000D2B25">
      <w:pPr>
        <w:numPr>
          <w:ilvl w:val="2"/>
          <w:numId w:val="6"/>
        </w:numPr>
        <w:tabs>
          <w:tab w:val="left" w:pos="1134"/>
        </w:tabs>
        <w:ind w:left="1134" w:hanging="283"/>
        <w:rPr>
          <w:sz w:val="24"/>
          <w:szCs w:val="24"/>
        </w:rPr>
      </w:pPr>
      <w:r w:rsidRPr="000D2B25">
        <w:rPr>
          <w:sz w:val="24"/>
          <w:szCs w:val="24"/>
        </w:rPr>
        <w:t>Allergiske reaktioner, herunder akutte allergiske reaktioner: 4-10 mg initialt, efterfulgt af en nedtrapning af doserne. Den maksimale enkeltdosis er 12 mg.</w:t>
      </w:r>
    </w:p>
    <w:p w14:paraId="0F2DF2FA" w14:textId="77777777" w:rsidR="000D2B25" w:rsidRPr="000D2B25" w:rsidRDefault="000D2B25" w:rsidP="000D2B25">
      <w:pPr>
        <w:tabs>
          <w:tab w:val="left" w:pos="1134"/>
        </w:tabs>
        <w:ind w:left="1134" w:hanging="283"/>
        <w:rPr>
          <w:sz w:val="24"/>
          <w:szCs w:val="24"/>
        </w:rPr>
      </w:pPr>
    </w:p>
    <w:p w14:paraId="70CF1471" w14:textId="53B4A048" w:rsidR="000D2B25" w:rsidRPr="000D2B25" w:rsidRDefault="000D2B25" w:rsidP="000D2B25">
      <w:pPr>
        <w:numPr>
          <w:ilvl w:val="2"/>
          <w:numId w:val="6"/>
        </w:numPr>
        <w:tabs>
          <w:tab w:val="left" w:pos="1134"/>
        </w:tabs>
        <w:ind w:left="1134" w:hanging="283"/>
        <w:rPr>
          <w:sz w:val="24"/>
          <w:szCs w:val="24"/>
        </w:rPr>
      </w:pPr>
      <w:r w:rsidRPr="000D2B25">
        <w:rPr>
          <w:sz w:val="24"/>
          <w:szCs w:val="24"/>
        </w:rPr>
        <w:t xml:space="preserve">Til behandling af COVID-19: 6 mg </w:t>
      </w:r>
      <w:r w:rsidR="00B057BE">
        <w:rPr>
          <w:sz w:val="24"/>
          <w:szCs w:val="24"/>
        </w:rPr>
        <w:t>en gang daglig</w:t>
      </w:r>
      <w:r w:rsidRPr="000D2B25">
        <w:rPr>
          <w:sz w:val="24"/>
          <w:szCs w:val="24"/>
        </w:rPr>
        <w:t xml:space="preserve"> i op til 10 dage.</w:t>
      </w:r>
    </w:p>
    <w:p w14:paraId="53503906" w14:textId="77777777" w:rsidR="000D2B25" w:rsidRPr="000D2B25" w:rsidRDefault="000D2B25" w:rsidP="000D2B25">
      <w:pPr>
        <w:tabs>
          <w:tab w:val="left" w:pos="851"/>
        </w:tabs>
        <w:ind w:left="851"/>
        <w:rPr>
          <w:sz w:val="24"/>
          <w:szCs w:val="24"/>
        </w:rPr>
      </w:pPr>
    </w:p>
    <w:p w14:paraId="47A86C54" w14:textId="77777777" w:rsidR="000D2B25" w:rsidRPr="000D2B25" w:rsidRDefault="000D2B25" w:rsidP="000D2B25">
      <w:pPr>
        <w:tabs>
          <w:tab w:val="left" w:pos="851"/>
        </w:tabs>
        <w:ind w:left="851"/>
        <w:rPr>
          <w:sz w:val="24"/>
          <w:szCs w:val="24"/>
          <w:u w:val="single"/>
        </w:rPr>
      </w:pPr>
      <w:r w:rsidRPr="000D2B25">
        <w:rPr>
          <w:sz w:val="24"/>
          <w:szCs w:val="24"/>
          <w:u w:val="single"/>
        </w:rPr>
        <w:t>Pædiatrisk population</w:t>
      </w:r>
    </w:p>
    <w:p w14:paraId="2350A17E" w14:textId="77777777" w:rsidR="000D2B25" w:rsidRPr="000D2B25" w:rsidRDefault="000D2B25" w:rsidP="000D2B25">
      <w:pPr>
        <w:tabs>
          <w:tab w:val="left" w:pos="851"/>
        </w:tabs>
        <w:ind w:left="851"/>
        <w:rPr>
          <w:sz w:val="24"/>
          <w:szCs w:val="24"/>
        </w:rPr>
      </w:pPr>
      <w:proofErr w:type="spellStart"/>
      <w:r w:rsidRPr="000D2B25">
        <w:rPr>
          <w:sz w:val="24"/>
          <w:szCs w:val="24"/>
        </w:rPr>
        <w:t>Zeqmelit</w:t>
      </w:r>
      <w:proofErr w:type="spellEnd"/>
      <w:r w:rsidRPr="000D2B25">
        <w:rPr>
          <w:sz w:val="24"/>
          <w:szCs w:val="24"/>
        </w:rPr>
        <w:t xml:space="preserve"> anbefales kun til børn over 3 måneder, der vejer mere end 7 kg. Den maksimale enkeltdosis er 16 mg.</w:t>
      </w:r>
    </w:p>
    <w:p w14:paraId="6750237B" w14:textId="77777777" w:rsidR="000D2B25" w:rsidRPr="000D2B25" w:rsidRDefault="000D2B25" w:rsidP="00F94A19">
      <w:pPr>
        <w:numPr>
          <w:ilvl w:val="2"/>
          <w:numId w:val="6"/>
        </w:numPr>
        <w:tabs>
          <w:tab w:val="left" w:pos="1134"/>
        </w:tabs>
        <w:ind w:left="1134" w:hanging="283"/>
        <w:rPr>
          <w:sz w:val="24"/>
          <w:szCs w:val="24"/>
        </w:rPr>
      </w:pPr>
      <w:r w:rsidRPr="000D2B25">
        <w:rPr>
          <w:sz w:val="24"/>
          <w:szCs w:val="24"/>
        </w:rPr>
        <w:t>Akut, svær astma: 0,6 mg/kg (maksimalt 16 mg om dagen) i op til 2 dage.</w:t>
      </w:r>
    </w:p>
    <w:p w14:paraId="086E152E" w14:textId="77777777" w:rsidR="000D2B25" w:rsidRPr="000D2B25" w:rsidRDefault="000D2B25" w:rsidP="00F94A19">
      <w:pPr>
        <w:numPr>
          <w:ilvl w:val="2"/>
          <w:numId w:val="6"/>
        </w:numPr>
        <w:tabs>
          <w:tab w:val="left" w:pos="1134"/>
        </w:tabs>
        <w:ind w:left="1134" w:hanging="283"/>
        <w:rPr>
          <w:sz w:val="24"/>
          <w:szCs w:val="24"/>
        </w:rPr>
      </w:pPr>
      <w:r w:rsidRPr="000D2B25">
        <w:rPr>
          <w:sz w:val="24"/>
          <w:szCs w:val="24"/>
        </w:rPr>
        <w:t>Strubehoste - ved let til moderat strubehoste: 0,15-0,6 mg/kg som enkeltdosis, der om nødvendigt kan gentages én gang efter 24-48 timer. Ved svær strubehoste: 0,6 mg/kg i kombination med anden behandling anbefales.</w:t>
      </w:r>
    </w:p>
    <w:p w14:paraId="022F43FB" w14:textId="77777777" w:rsidR="000D2B25" w:rsidRPr="000D2B25" w:rsidRDefault="000D2B25" w:rsidP="00F94A19">
      <w:pPr>
        <w:numPr>
          <w:ilvl w:val="2"/>
          <w:numId w:val="6"/>
        </w:numPr>
        <w:tabs>
          <w:tab w:val="left" w:pos="1134"/>
        </w:tabs>
        <w:ind w:left="1134" w:hanging="283"/>
        <w:rPr>
          <w:sz w:val="24"/>
          <w:szCs w:val="24"/>
        </w:rPr>
      </w:pPr>
      <w:r w:rsidRPr="000D2B25">
        <w:rPr>
          <w:sz w:val="24"/>
          <w:szCs w:val="24"/>
        </w:rPr>
        <w:t>Allergiske reaktioner, herunder akutte allergiske reaktioner: 0,15-0,6 mg/kg.</w:t>
      </w:r>
    </w:p>
    <w:p w14:paraId="6A4FA57C" w14:textId="77777777" w:rsidR="000D2B25" w:rsidRPr="000D2B25" w:rsidRDefault="000D2B25" w:rsidP="000D2B25">
      <w:pPr>
        <w:tabs>
          <w:tab w:val="left" w:pos="838"/>
        </w:tabs>
        <w:ind w:left="851"/>
        <w:rPr>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1810"/>
        <w:gridCol w:w="2152"/>
        <w:gridCol w:w="2712"/>
      </w:tblGrid>
      <w:tr w:rsidR="000D2B25" w:rsidRPr="00E80462" w14:paraId="119BB1DA" w14:textId="77777777" w:rsidTr="00633FB9">
        <w:trPr>
          <w:trHeight w:val="516"/>
        </w:trPr>
        <w:tc>
          <w:tcPr>
            <w:tcW w:w="2114" w:type="dxa"/>
            <w:tcBorders>
              <w:top w:val="single" w:sz="4" w:space="0" w:color="auto"/>
              <w:left w:val="single" w:sz="4" w:space="0" w:color="auto"/>
              <w:bottom w:val="single" w:sz="4" w:space="0" w:color="auto"/>
              <w:right w:val="single" w:sz="4" w:space="0" w:color="auto"/>
              <w:tl2br w:val="single" w:sz="4" w:space="0" w:color="auto"/>
            </w:tcBorders>
            <w:hideMark/>
          </w:tcPr>
          <w:p w14:paraId="0C8C73D3" w14:textId="77777777" w:rsidR="000D2B25" w:rsidRPr="00E80462" w:rsidRDefault="000D2B25" w:rsidP="00F94A19">
            <w:pPr>
              <w:ind w:left="1167"/>
              <w:rPr>
                <w:sz w:val="24"/>
                <w:szCs w:val="24"/>
              </w:rPr>
            </w:pPr>
            <w:r w:rsidRPr="00E80462">
              <w:rPr>
                <w:sz w:val="24"/>
                <w:szCs w:val="24"/>
              </w:rPr>
              <w:t>Dosis</w:t>
            </w:r>
          </w:p>
          <w:p w14:paraId="03440DBE" w14:textId="77777777" w:rsidR="000D2B25" w:rsidRPr="00E80462" w:rsidRDefault="000D2B25" w:rsidP="00F94A19">
            <w:pPr>
              <w:ind w:left="174"/>
              <w:rPr>
                <w:sz w:val="24"/>
                <w:szCs w:val="24"/>
              </w:rPr>
            </w:pPr>
            <w:r w:rsidRPr="00E80462">
              <w:rPr>
                <w:sz w:val="24"/>
                <w:szCs w:val="24"/>
              </w:rPr>
              <w:t xml:space="preserve">Vægt </w:t>
            </w:r>
          </w:p>
        </w:tc>
        <w:tc>
          <w:tcPr>
            <w:tcW w:w="1810" w:type="dxa"/>
            <w:tcBorders>
              <w:top w:val="single" w:sz="4" w:space="0" w:color="auto"/>
              <w:left w:val="single" w:sz="4" w:space="0" w:color="auto"/>
              <w:bottom w:val="single" w:sz="4" w:space="0" w:color="auto"/>
              <w:right w:val="single" w:sz="4" w:space="0" w:color="auto"/>
            </w:tcBorders>
            <w:hideMark/>
          </w:tcPr>
          <w:p w14:paraId="64CFEC51" w14:textId="77777777" w:rsidR="000D2B25" w:rsidRPr="00E80462" w:rsidRDefault="000D2B25" w:rsidP="00633FB9">
            <w:pPr>
              <w:ind w:left="191"/>
              <w:rPr>
                <w:sz w:val="24"/>
                <w:szCs w:val="24"/>
              </w:rPr>
            </w:pPr>
            <w:r w:rsidRPr="00E80462">
              <w:rPr>
                <w:sz w:val="24"/>
                <w:szCs w:val="24"/>
              </w:rPr>
              <w:t>0,15 mg/kg</w:t>
            </w:r>
          </w:p>
        </w:tc>
        <w:tc>
          <w:tcPr>
            <w:tcW w:w="2152" w:type="dxa"/>
            <w:tcBorders>
              <w:top w:val="single" w:sz="4" w:space="0" w:color="auto"/>
              <w:left w:val="single" w:sz="4" w:space="0" w:color="auto"/>
              <w:bottom w:val="single" w:sz="4" w:space="0" w:color="auto"/>
              <w:right w:val="single" w:sz="4" w:space="0" w:color="auto"/>
            </w:tcBorders>
            <w:hideMark/>
          </w:tcPr>
          <w:p w14:paraId="17A9C569" w14:textId="77777777" w:rsidR="000D2B25" w:rsidRPr="00E80462" w:rsidRDefault="000D2B25" w:rsidP="00633FB9">
            <w:pPr>
              <w:ind w:left="82" w:right="229"/>
              <w:rPr>
                <w:sz w:val="24"/>
                <w:szCs w:val="24"/>
              </w:rPr>
            </w:pPr>
            <w:r w:rsidRPr="00E80462">
              <w:rPr>
                <w:sz w:val="24"/>
                <w:szCs w:val="24"/>
              </w:rPr>
              <w:t>0,3 mg/kg</w:t>
            </w:r>
          </w:p>
        </w:tc>
        <w:tc>
          <w:tcPr>
            <w:tcW w:w="2712" w:type="dxa"/>
            <w:tcBorders>
              <w:top w:val="single" w:sz="4" w:space="0" w:color="auto"/>
              <w:left w:val="single" w:sz="4" w:space="0" w:color="auto"/>
              <w:bottom w:val="single" w:sz="4" w:space="0" w:color="auto"/>
              <w:right w:val="single" w:sz="4" w:space="0" w:color="auto"/>
            </w:tcBorders>
            <w:hideMark/>
          </w:tcPr>
          <w:p w14:paraId="6706F96D" w14:textId="77777777" w:rsidR="000D2B25" w:rsidRPr="00E80462" w:rsidRDefault="000D2B25" w:rsidP="00633FB9">
            <w:pPr>
              <w:ind w:left="48"/>
              <w:rPr>
                <w:sz w:val="24"/>
                <w:szCs w:val="24"/>
              </w:rPr>
            </w:pPr>
            <w:r w:rsidRPr="00E80462">
              <w:rPr>
                <w:sz w:val="24"/>
                <w:szCs w:val="24"/>
              </w:rPr>
              <w:t>0,6 mg/kg</w:t>
            </w:r>
          </w:p>
        </w:tc>
      </w:tr>
      <w:tr w:rsidR="000D2B25" w:rsidRPr="00E80462" w14:paraId="4AD638F2" w14:textId="77777777" w:rsidTr="00633FB9">
        <w:tc>
          <w:tcPr>
            <w:tcW w:w="2114" w:type="dxa"/>
            <w:tcBorders>
              <w:top w:val="single" w:sz="4" w:space="0" w:color="auto"/>
              <w:left w:val="single" w:sz="4" w:space="0" w:color="auto"/>
              <w:bottom w:val="single" w:sz="4" w:space="0" w:color="auto"/>
              <w:right w:val="single" w:sz="4" w:space="0" w:color="auto"/>
            </w:tcBorders>
            <w:hideMark/>
          </w:tcPr>
          <w:p w14:paraId="1D02B736" w14:textId="77777777" w:rsidR="000D2B25" w:rsidRPr="00E80462" w:rsidRDefault="000D2B25" w:rsidP="00F94A19">
            <w:pPr>
              <w:ind w:left="174"/>
              <w:rPr>
                <w:sz w:val="24"/>
                <w:szCs w:val="24"/>
              </w:rPr>
            </w:pPr>
            <w:r w:rsidRPr="00E80462">
              <w:rPr>
                <w:sz w:val="24"/>
                <w:szCs w:val="24"/>
              </w:rPr>
              <w:t>7 kg</w:t>
            </w:r>
          </w:p>
        </w:tc>
        <w:tc>
          <w:tcPr>
            <w:tcW w:w="1810" w:type="dxa"/>
            <w:tcBorders>
              <w:top w:val="single" w:sz="4" w:space="0" w:color="auto"/>
              <w:left w:val="single" w:sz="4" w:space="0" w:color="auto"/>
              <w:bottom w:val="single" w:sz="4" w:space="0" w:color="auto"/>
              <w:right w:val="single" w:sz="4" w:space="0" w:color="auto"/>
            </w:tcBorders>
            <w:hideMark/>
          </w:tcPr>
          <w:p w14:paraId="0C3B633E" w14:textId="77777777" w:rsidR="000D2B25" w:rsidRPr="00E80462" w:rsidRDefault="000D2B25" w:rsidP="00633FB9">
            <w:pPr>
              <w:tabs>
                <w:tab w:val="left" w:pos="851"/>
              </w:tabs>
              <w:ind w:left="191"/>
              <w:rPr>
                <w:sz w:val="24"/>
                <w:szCs w:val="24"/>
              </w:rPr>
            </w:pPr>
            <w:r w:rsidRPr="00E80462">
              <w:rPr>
                <w:sz w:val="24"/>
                <w:szCs w:val="24"/>
              </w:rPr>
              <w:t>-</w:t>
            </w:r>
          </w:p>
        </w:tc>
        <w:tc>
          <w:tcPr>
            <w:tcW w:w="2152" w:type="dxa"/>
            <w:tcBorders>
              <w:top w:val="single" w:sz="4" w:space="0" w:color="auto"/>
              <w:left w:val="single" w:sz="4" w:space="0" w:color="auto"/>
              <w:bottom w:val="single" w:sz="4" w:space="0" w:color="auto"/>
              <w:right w:val="single" w:sz="4" w:space="0" w:color="auto"/>
            </w:tcBorders>
            <w:hideMark/>
          </w:tcPr>
          <w:p w14:paraId="5D5B0615" w14:textId="77777777" w:rsidR="000D2B25" w:rsidRPr="00E80462" w:rsidRDefault="000D2B25" w:rsidP="00633FB9">
            <w:pPr>
              <w:ind w:left="82"/>
              <w:rPr>
                <w:sz w:val="24"/>
                <w:szCs w:val="24"/>
              </w:rPr>
            </w:pPr>
            <w:r w:rsidRPr="00E80462">
              <w:rPr>
                <w:sz w:val="24"/>
                <w:szCs w:val="24"/>
              </w:rPr>
              <w:t>-</w:t>
            </w:r>
          </w:p>
        </w:tc>
        <w:tc>
          <w:tcPr>
            <w:tcW w:w="2712" w:type="dxa"/>
            <w:tcBorders>
              <w:top w:val="single" w:sz="4" w:space="0" w:color="auto"/>
              <w:left w:val="single" w:sz="4" w:space="0" w:color="auto"/>
              <w:bottom w:val="single" w:sz="4" w:space="0" w:color="auto"/>
              <w:right w:val="single" w:sz="4" w:space="0" w:color="auto"/>
            </w:tcBorders>
            <w:hideMark/>
          </w:tcPr>
          <w:p w14:paraId="08053530" w14:textId="77777777" w:rsidR="000D2B25" w:rsidRPr="00E80462" w:rsidRDefault="000D2B25" w:rsidP="00633FB9">
            <w:pPr>
              <w:ind w:left="48"/>
              <w:rPr>
                <w:sz w:val="24"/>
                <w:szCs w:val="24"/>
              </w:rPr>
            </w:pPr>
            <w:r w:rsidRPr="00E80462">
              <w:rPr>
                <w:sz w:val="24"/>
                <w:szCs w:val="24"/>
              </w:rPr>
              <w:t>4 mg</w:t>
            </w:r>
          </w:p>
        </w:tc>
      </w:tr>
      <w:tr w:rsidR="000D2B25" w:rsidRPr="00E80462" w14:paraId="6DFD089D" w14:textId="77777777" w:rsidTr="00633FB9">
        <w:tc>
          <w:tcPr>
            <w:tcW w:w="2114" w:type="dxa"/>
            <w:tcBorders>
              <w:top w:val="single" w:sz="4" w:space="0" w:color="auto"/>
              <w:left w:val="single" w:sz="4" w:space="0" w:color="auto"/>
              <w:bottom w:val="single" w:sz="4" w:space="0" w:color="auto"/>
              <w:right w:val="single" w:sz="4" w:space="0" w:color="auto"/>
            </w:tcBorders>
            <w:hideMark/>
          </w:tcPr>
          <w:p w14:paraId="175372D5" w14:textId="77777777" w:rsidR="000D2B25" w:rsidRPr="00E80462" w:rsidRDefault="000D2B25" w:rsidP="00F94A19">
            <w:pPr>
              <w:ind w:left="174"/>
              <w:rPr>
                <w:sz w:val="24"/>
                <w:szCs w:val="24"/>
              </w:rPr>
            </w:pPr>
            <w:r w:rsidRPr="00E80462">
              <w:rPr>
                <w:sz w:val="24"/>
                <w:szCs w:val="24"/>
              </w:rPr>
              <w:t>10 kg</w:t>
            </w:r>
          </w:p>
        </w:tc>
        <w:tc>
          <w:tcPr>
            <w:tcW w:w="1810" w:type="dxa"/>
            <w:tcBorders>
              <w:top w:val="single" w:sz="4" w:space="0" w:color="auto"/>
              <w:left w:val="single" w:sz="4" w:space="0" w:color="auto"/>
              <w:bottom w:val="single" w:sz="4" w:space="0" w:color="auto"/>
              <w:right w:val="single" w:sz="4" w:space="0" w:color="auto"/>
            </w:tcBorders>
            <w:hideMark/>
          </w:tcPr>
          <w:p w14:paraId="776923D3" w14:textId="77777777" w:rsidR="000D2B25" w:rsidRPr="00E80462" w:rsidRDefault="000D2B25" w:rsidP="00633FB9">
            <w:pPr>
              <w:tabs>
                <w:tab w:val="left" w:pos="851"/>
              </w:tabs>
              <w:ind w:left="191"/>
              <w:rPr>
                <w:sz w:val="24"/>
                <w:szCs w:val="24"/>
              </w:rPr>
            </w:pPr>
            <w:r w:rsidRPr="00E80462">
              <w:rPr>
                <w:sz w:val="24"/>
                <w:szCs w:val="24"/>
              </w:rPr>
              <w:t>-</w:t>
            </w:r>
          </w:p>
        </w:tc>
        <w:tc>
          <w:tcPr>
            <w:tcW w:w="2152" w:type="dxa"/>
            <w:tcBorders>
              <w:top w:val="single" w:sz="4" w:space="0" w:color="auto"/>
              <w:left w:val="single" w:sz="4" w:space="0" w:color="auto"/>
              <w:bottom w:val="single" w:sz="4" w:space="0" w:color="auto"/>
              <w:right w:val="single" w:sz="4" w:space="0" w:color="auto"/>
            </w:tcBorders>
            <w:hideMark/>
          </w:tcPr>
          <w:p w14:paraId="17905CAD" w14:textId="77777777" w:rsidR="000D2B25" w:rsidRPr="00E80462" w:rsidRDefault="000D2B25" w:rsidP="00633FB9">
            <w:pPr>
              <w:ind w:left="82"/>
              <w:rPr>
                <w:sz w:val="24"/>
                <w:szCs w:val="24"/>
              </w:rPr>
            </w:pPr>
            <w:r w:rsidRPr="00E80462">
              <w:rPr>
                <w:sz w:val="24"/>
                <w:szCs w:val="24"/>
              </w:rPr>
              <w:t>-</w:t>
            </w:r>
          </w:p>
        </w:tc>
        <w:tc>
          <w:tcPr>
            <w:tcW w:w="2712" w:type="dxa"/>
            <w:tcBorders>
              <w:top w:val="single" w:sz="4" w:space="0" w:color="auto"/>
              <w:left w:val="single" w:sz="4" w:space="0" w:color="auto"/>
              <w:bottom w:val="single" w:sz="4" w:space="0" w:color="auto"/>
              <w:right w:val="single" w:sz="4" w:space="0" w:color="auto"/>
            </w:tcBorders>
            <w:hideMark/>
          </w:tcPr>
          <w:p w14:paraId="1840189D" w14:textId="77777777" w:rsidR="000D2B25" w:rsidRPr="00E80462" w:rsidRDefault="000D2B25" w:rsidP="00633FB9">
            <w:pPr>
              <w:ind w:left="48"/>
              <w:rPr>
                <w:sz w:val="24"/>
                <w:szCs w:val="24"/>
              </w:rPr>
            </w:pPr>
            <w:r w:rsidRPr="00E80462">
              <w:rPr>
                <w:sz w:val="24"/>
                <w:szCs w:val="24"/>
              </w:rPr>
              <w:t>6 mg</w:t>
            </w:r>
          </w:p>
        </w:tc>
      </w:tr>
      <w:tr w:rsidR="000D2B25" w:rsidRPr="00E80462" w14:paraId="7BCE2CE2" w14:textId="77777777" w:rsidTr="00633FB9">
        <w:tc>
          <w:tcPr>
            <w:tcW w:w="2114" w:type="dxa"/>
            <w:tcBorders>
              <w:top w:val="single" w:sz="4" w:space="0" w:color="auto"/>
              <w:left w:val="single" w:sz="4" w:space="0" w:color="auto"/>
              <w:bottom w:val="single" w:sz="4" w:space="0" w:color="auto"/>
              <w:right w:val="single" w:sz="4" w:space="0" w:color="auto"/>
            </w:tcBorders>
            <w:hideMark/>
          </w:tcPr>
          <w:p w14:paraId="1F40571D" w14:textId="77777777" w:rsidR="000D2B25" w:rsidRPr="00E80462" w:rsidRDefault="000D2B25" w:rsidP="00F94A19">
            <w:pPr>
              <w:ind w:left="174"/>
              <w:rPr>
                <w:sz w:val="24"/>
                <w:szCs w:val="24"/>
              </w:rPr>
            </w:pPr>
            <w:r w:rsidRPr="00E80462">
              <w:rPr>
                <w:sz w:val="24"/>
                <w:szCs w:val="24"/>
              </w:rPr>
              <w:t>13 kg</w:t>
            </w:r>
          </w:p>
        </w:tc>
        <w:tc>
          <w:tcPr>
            <w:tcW w:w="1810" w:type="dxa"/>
            <w:tcBorders>
              <w:top w:val="single" w:sz="4" w:space="0" w:color="auto"/>
              <w:left w:val="single" w:sz="4" w:space="0" w:color="auto"/>
              <w:bottom w:val="single" w:sz="4" w:space="0" w:color="auto"/>
              <w:right w:val="single" w:sz="4" w:space="0" w:color="auto"/>
            </w:tcBorders>
            <w:hideMark/>
          </w:tcPr>
          <w:p w14:paraId="025AB28E" w14:textId="77777777" w:rsidR="000D2B25" w:rsidRPr="00E80462" w:rsidRDefault="000D2B25" w:rsidP="00633FB9">
            <w:pPr>
              <w:tabs>
                <w:tab w:val="left" w:pos="851"/>
              </w:tabs>
              <w:ind w:left="191"/>
              <w:rPr>
                <w:sz w:val="24"/>
                <w:szCs w:val="24"/>
              </w:rPr>
            </w:pPr>
            <w:r w:rsidRPr="00E80462">
              <w:rPr>
                <w:sz w:val="24"/>
                <w:szCs w:val="24"/>
              </w:rPr>
              <w:t>-</w:t>
            </w:r>
          </w:p>
        </w:tc>
        <w:tc>
          <w:tcPr>
            <w:tcW w:w="2152" w:type="dxa"/>
            <w:tcBorders>
              <w:top w:val="single" w:sz="4" w:space="0" w:color="auto"/>
              <w:left w:val="single" w:sz="4" w:space="0" w:color="auto"/>
              <w:bottom w:val="single" w:sz="4" w:space="0" w:color="auto"/>
              <w:right w:val="single" w:sz="4" w:space="0" w:color="auto"/>
            </w:tcBorders>
            <w:hideMark/>
          </w:tcPr>
          <w:p w14:paraId="6C809BD8" w14:textId="77777777" w:rsidR="000D2B25" w:rsidRPr="00E80462" w:rsidRDefault="000D2B25" w:rsidP="00633FB9">
            <w:pPr>
              <w:ind w:left="82"/>
              <w:rPr>
                <w:sz w:val="24"/>
                <w:szCs w:val="24"/>
              </w:rPr>
            </w:pPr>
            <w:r w:rsidRPr="00E80462">
              <w:rPr>
                <w:sz w:val="24"/>
                <w:szCs w:val="24"/>
              </w:rPr>
              <w:t>4 mg</w:t>
            </w:r>
          </w:p>
        </w:tc>
        <w:tc>
          <w:tcPr>
            <w:tcW w:w="2712" w:type="dxa"/>
            <w:tcBorders>
              <w:top w:val="single" w:sz="4" w:space="0" w:color="auto"/>
              <w:left w:val="single" w:sz="4" w:space="0" w:color="auto"/>
              <w:bottom w:val="single" w:sz="4" w:space="0" w:color="auto"/>
              <w:right w:val="single" w:sz="4" w:space="0" w:color="auto"/>
            </w:tcBorders>
            <w:hideMark/>
          </w:tcPr>
          <w:p w14:paraId="1CE79865" w14:textId="77777777" w:rsidR="000D2B25" w:rsidRPr="00E80462" w:rsidRDefault="000D2B25" w:rsidP="00633FB9">
            <w:pPr>
              <w:ind w:left="48"/>
              <w:rPr>
                <w:sz w:val="24"/>
                <w:szCs w:val="24"/>
              </w:rPr>
            </w:pPr>
            <w:r w:rsidRPr="00E80462">
              <w:rPr>
                <w:sz w:val="24"/>
                <w:szCs w:val="24"/>
              </w:rPr>
              <w:t>8 mg</w:t>
            </w:r>
          </w:p>
        </w:tc>
      </w:tr>
      <w:tr w:rsidR="000D2B25" w:rsidRPr="00E80462" w14:paraId="4D87CE74" w14:textId="77777777" w:rsidTr="00633FB9">
        <w:tc>
          <w:tcPr>
            <w:tcW w:w="2114" w:type="dxa"/>
            <w:tcBorders>
              <w:top w:val="single" w:sz="4" w:space="0" w:color="auto"/>
              <w:left w:val="single" w:sz="4" w:space="0" w:color="auto"/>
              <w:bottom w:val="single" w:sz="4" w:space="0" w:color="auto"/>
              <w:right w:val="single" w:sz="4" w:space="0" w:color="auto"/>
            </w:tcBorders>
            <w:hideMark/>
          </w:tcPr>
          <w:p w14:paraId="2F9CE445" w14:textId="77777777" w:rsidR="000D2B25" w:rsidRPr="00E80462" w:rsidRDefault="000D2B25" w:rsidP="00F94A19">
            <w:pPr>
              <w:ind w:left="174"/>
              <w:rPr>
                <w:sz w:val="24"/>
                <w:szCs w:val="24"/>
              </w:rPr>
            </w:pPr>
            <w:r w:rsidRPr="00E80462">
              <w:rPr>
                <w:sz w:val="24"/>
                <w:szCs w:val="24"/>
              </w:rPr>
              <w:t>20 kg</w:t>
            </w:r>
          </w:p>
        </w:tc>
        <w:tc>
          <w:tcPr>
            <w:tcW w:w="1810" w:type="dxa"/>
            <w:tcBorders>
              <w:top w:val="single" w:sz="4" w:space="0" w:color="auto"/>
              <w:left w:val="single" w:sz="4" w:space="0" w:color="auto"/>
              <w:bottom w:val="single" w:sz="4" w:space="0" w:color="auto"/>
              <w:right w:val="single" w:sz="4" w:space="0" w:color="auto"/>
            </w:tcBorders>
            <w:hideMark/>
          </w:tcPr>
          <w:p w14:paraId="30EE02CF" w14:textId="77777777" w:rsidR="000D2B25" w:rsidRPr="00E80462" w:rsidRDefault="000D2B25" w:rsidP="00633FB9">
            <w:pPr>
              <w:tabs>
                <w:tab w:val="left" w:pos="851"/>
              </w:tabs>
              <w:ind w:left="191"/>
              <w:rPr>
                <w:sz w:val="24"/>
                <w:szCs w:val="24"/>
              </w:rPr>
            </w:pPr>
            <w:r w:rsidRPr="00E80462">
              <w:rPr>
                <w:sz w:val="24"/>
                <w:szCs w:val="24"/>
              </w:rPr>
              <w:t>-</w:t>
            </w:r>
          </w:p>
        </w:tc>
        <w:tc>
          <w:tcPr>
            <w:tcW w:w="2152" w:type="dxa"/>
            <w:tcBorders>
              <w:top w:val="single" w:sz="4" w:space="0" w:color="auto"/>
              <w:left w:val="single" w:sz="4" w:space="0" w:color="auto"/>
              <w:bottom w:val="single" w:sz="4" w:space="0" w:color="auto"/>
              <w:right w:val="single" w:sz="4" w:space="0" w:color="auto"/>
            </w:tcBorders>
            <w:hideMark/>
          </w:tcPr>
          <w:p w14:paraId="35EE8D93" w14:textId="77777777" w:rsidR="000D2B25" w:rsidRPr="00E80462" w:rsidRDefault="000D2B25" w:rsidP="00633FB9">
            <w:pPr>
              <w:ind w:left="82"/>
              <w:rPr>
                <w:sz w:val="24"/>
                <w:szCs w:val="24"/>
              </w:rPr>
            </w:pPr>
            <w:r w:rsidRPr="00E80462">
              <w:rPr>
                <w:sz w:val="24"/>
                <w:szCs w:val="24"/>
              </w:rPr>
              <w:t>6 mg</w:t>
            </w:r>
          </w:p>
        </w:tc>
        <w:tc>
          <w:tcPr>
            <w:tcW w:w="2712" w:type="dxa"/>
            <w:tcBorders>
              <w:top w:val="single" w:sz="4" w:space="0" w:color="auto"/>
              <w:left w:val="single" w:sz="4" w:space="0" w:color="auto"/>
              <w:bottom w:val="single" w:sz="4" w:space="0" w:color="auto"/>
              <w:right w:val="single" w:sz="4" w:space="0" w:color="auto"/>
            </w:tcBorders>
            <w:hideMark/>
          </w:tcPr>
          <w:p w14:paraId="1BBA1A18" w14:textId="77777777" w:rsidR="000D2B25" w:rsidRPr="00E80462" w:rsidRDefault="000D2B25" w:rsidP="00633FB9">
            <w:pPr>
              <w:ind w:left="48"/>
              <w:rPr>
                <w:sz w:val="24"/>
                <w:szCs w:val="24"/>
              </w:rPr>
            </w:pPr>
            <w:r w:rsidRPr="00E80462">
              <w:rPr>
                <w:sz w:val="24"/>
                <w:szCs w:val="24"/>
              </w:rPr>
              <w:t>12 mg</w:t>
            </w:r>
          </w:p>
        </w:tc>
      </w:tr>
      <w:tr w:rsidR="000D2B25" w:rsidRPr="00E80462" w14:paraId="06EB4BC7" w14:textId="77777777" w:rsidTr="00633FB9">
        <w:tc>
          <w:tcPr>
            <w:tcW w:w="2114" w:type="dxa"/>
            <w:tcBorders>
              <w:top w:val="single" w:sz="4" w:space="0" w:color="auto"/>
              <w:left w:val="single" w:sz="4" w:space="0" w:color="auto"/>
              <w:bottom w:val="single" w:sz="4" w:space="0" w:color="auto"/>
              <w:right w:val="single" w:sz="4" w:space="0" w:color="auto"/>
            </w:tcBorders>
            <w:hideMark/>
          </w:tcPr>
          <w:p w14:paraId="6E0819C5" w14:textId="77777777" w:rsidR="000D2B25" w:rsidRPr="00E80462" w:rsidRDefault="000D2B25" w:rsidP="00F94A19">
            <w:pPr>
              <w:ind w:left="174"/>
              <w:rPr>
                <w:sz w:val="24"/>
                <w:szCs w:val="24"/>
              </w:rPr>
            </w:pPr>
            <w:r w:rsidRPr="00E80462">
              <w:rPr>
                <w:sz w:val="24"/>
                <w:szCs w:val="24"/>
              </w:rPr>
              <w:t>27 kg</w:t>
            </w:r>
          </w:p>
        </w:tc>
        <w:tc>
          <w:tcPr>
            <w:tcW w:w="1810" w:type="dxa"/>
            <w:tcBorders>
              <w:top w:val="single" w:sz="4" w:space="0" w:color="auto"/>
              <w:left w:val="single" w:sz="4" w:space="0" w:color="auto"/>
              <w:bottom w:val="single" w:sz="4" w:space="0" w:color="auto"/>
              <w:right w:val="single" w:sz="4" w:space="0" w:color="auto"/>
            </w:tcBorders>
            <w:hideMark/>
          </w:tcPr>
          <w:p w14:paraId="47D18E68" w14:textId="77777777" w:rsidR="000D2B25" w:rsidRPr="00E80462" w:rsidRDefault="000D2B25" w:rsidP="00633FB9">
            <w:pPr>
              <w:tabs>
                <w:tab w:val="left" w:pos="851"/>
              </w:tabs>
              <w:ind w:left="191"/>
              <w:rPr>
                <w:sz w:val="24"/>
                <w:szCs w:val="24"/>
              </w:rPr>
            </w:pPr>
            <w:r w:rsidRPr="00E80462">
              <w:rPr>
                <w:sz w:val="24"/>
                <w:szCs w:val="24"/>
              </w:rPr>
              <w:t>4 mg</w:t>
            </w:r>
          </w:p>
        </w:tc>
        <w:tc>
          <w:tcPr>
            <w:tcW w:w="2152" w:type="dxa"/>
            <w:tcBorders>
              <w:top w:val="single" w:sz="4" w:space="0" w:color="auto"/>
              <w:left w:val="single" w:sz="4" w:space="0" w:color="auto"/>
              <w:bottom w:val="single" w:sz="4" w:space="0" w:color="auto"/>
              <w:right w:val="single" w:sz="4" w:space="0" w:color="auto"/>
            </w:tcBorders>
            <w:hideMark/>
          </w:tcPr>
          <w:p w14:paraId="4D50FEBA" w14:textId="77777777" w:rsidR="000D2B25" w:rsidRPr="00E80462" w:rsidRDefault="000D2B25" w:rsidP="00633FB9">
            <w:pPr>
              <w:ind w:left="82"/>
              <w:rPr>
                <w:sz w:val="24"/>
                <w:szCs w:val="24"/>
              </w:rPr>
            </w:pPr>
            <w:r w:rsidRPr="00E80462">
              <w:rPr>
                <w:sz w:val="24"/>
                <w:szCs w:val="24"/>
              </w:rPr>
              <w:t>8 mg</w:t>
            </w:r>
          </w:p>
        </w:tc>
        <w:tc>
          <w:tcPr>
            <w:tcW w:w="2712" w:type="dxa"/>
            <w:tcBorders>
              <w:top w:val="single" w:sz="4" w:space="0" w:color="auto"/>
              <w:left w:val="single" w:sz="4" w:space="0" w:color="auto"/>
              <w:bottom w:val="single" w:sz="4" w:space="0" w:color="auto"/>
              <w:right w:val="single" w:sz="4" w:space="0" w:color="auto"/>
            </w:tcBorders>
            <w:hideMark/>
          </w:tcPr>
          <w:p w14:paraId="37490255" w14:textId="77777777" w:rsidR="000D2B25" w:rsidRPr="00E80462" w:rsidRDefault="000D2B25" w:rsidP="00633FB9">
            <w:pPr>
              <w:ind w:left="48"/>
              <w:rPr>
                <w:sz w:val="24"/>
                <w:szCs w:val="24"/>
              </w:rPr>
            </w:pPr>
            <w:r w:rsidRPr="00E80462">
              <w:rPr>
                <w:sz w:val="24"/>
                <w:szCs w:val="24"/>
              </w:rPr>
              <w:t>16 mg (maksimumdosis)</w:t>
            </w:r>
          </w:p>
        </w:tc>
      </w:tr>
      <w:tr w:rsidR="000D2B25" w:rsidRPr="00E80462" w14:paraId="624F788F" w14:textId="77777777" w:rsidTr="00633FB9">
        <w:tc>
          <w:tcPr>
            <w:tcW w:w="8788" w:type="dxa"/>
            <w:gridSpan w:val="4"/>
            <w:tcBorders>
              <w:top w:val="single" w:sz="4" w:space="0" w:color="auto"/>
              <w:left w:val="single" w:sz="4" w:space="0" w:color="auto"/>
              <w:bottom w:val="single" w:sz="4" w:space="0" w:color="auto"/>
              <w:right w:val="single" w:sz="4" w:space="0" w:color="auto"/>
            </w:tcBorders>
            <w:hideMark/>
          </w:tcPr>
          <w:p w14:paraId="0BC6BD0E" w14:textId="77777777" w:rsidR="000D2B25" w:rsidRPr="00E80462" w:rsidRDefault="000D2B25" w:rsidP="00633FB9">
            <w:pPr>
              <w:ind w:left="82"/>
              <w:rPr>
                <w:sz w:val="24"/>
                <w:szCs w:val="24"/>
              </w:rPr>
            </w:pPr>
            <w:r w:rsidRPr="00E80462">
              <w:rPr>
                <w:sz w:val="24"/>
                <w:szCs w:val="24"/>
              </w:rPr>
              <w:t>Hvis den nødvendige styrke, beregnet på baggrund af legemsvægt og dosis, ikke fås, skal styrken rundes op eller ned til nærmeste tilgængelige styrke eller nærmeste tilgængelige kombination af styrker.</w:t>
            </w:r>
          </w:p>
        </w:tc>
      </w:tr>
    </w:tbl>
    <w:p w14:paraId="1DD0E1D0" w14:textId="77777777" w:rsidR="000D2B25" w:rsidRPr="000D2B25" w:rsidRDefault="000D2B25" w:rsidP="000D2B25">
      <w:pPr>
        <w:tabs>
          <w:tab w:val="left" w:pos="838"/>
        </w:tabs>
        <w:ind w:left="851"/>
        <w:rPr>
          <w:sz w:val="24"/>
          <w:szCs w:val="24"/>
        </w:rPr>
      </w:pPr>
    </w:p>
    <w:p w14:paraId="7173B68F" w14:textId="77777777" w:rsidR="000D2B25" w:rsidRPr="000D2B25" w:rsidRDefault="000D2B25" w:rsidP="000D2B25">
      <w:pPr>
        <w:tabs>
          <w:tab w:val="left" w:pos="851"/>
        </w:tabs>
        <w:ind w:left="851"/>
        <w:rPr>
          <w:i/>
          <w:iCs/>
          <w:sz w:val="24"/>
          <w:szCs w:val="24"/>
          <w:u w:val="single"/>
        </w:rPr>
      </w:pPr>
      <w:r w:rsidRPr="000D2B25">
        <w:rPr>
          <w:i/>
          <w:sz w:val="24"/>
          <w:szCs w:val="24"/>
          <w:u w:val="single"/>
        </w:rPr>
        <w:t>Behandling af COVID-19</w:t>
      </w:r>
    </w:p>
    <w:p w14:paraId="7F2F8F85" w14:textId="77777777" w:rsidR="000D2B25" w:rsidRPr="000D2B25" w:rsidRDefault="000D2B25" w:rsidP="000D2B25">
      <w:pPr>
        <w:tabs>
          <w:tab w:val="left" w:pos="851"/>
        </w:tabs>
        <w:ind w:left="851"/>
        <w:rPr>
          <w:sz w:val="24"/>
          <w:szCs w:val="24"/>
        </w:rPr>
      </w:pPr>
      <w:r w:rsidRPr="000D2B25">
        <w:rPr>
          <w:sz w:val="24"/>
          <w:szCs w:val="24"/>
        </w:rPr>
        <w:t>Den anbefalede dosis til pædiatriske patienter (unge i alderen 12 år og ældre) er 6 mg én gang om dagen i op til 10 dage. Behandlingens varighed bør afhænge af den kliniske respons og den enkelt patients behov.</w:t>
      </w:r>
    </w:p>
    <w:p w14:paraId="5EA1E005" w14:textId="77777777" w:rsidR="000D2B25" w:rsidRPr="000D2B25" w:rsidRDefault="000D2B25" w:rsidP="000D2B25">
      <w:pPr>
        <w:tabs>
          <w:tab w:val="left" w:pos="851"/>
        </w:tabs>
        <w:ind w:left="851"/>
        <w:rPr>
          <w:sz w:val="24"/>
          <w:szCs w:val="24"/>
          <w:u w:val="single"/>
        </w:rPr>
      </w:pPr>
    </w:p>
    <w:p w14:paraId="031BFFA7" w14:textId="77777777" w:rsidR="000D2B25" w:rsidRPr="000D2B25" w:rsidRDefault="000D2B25" w:rsidP="000D2B25">
      <w:pPr>
        <w:tabs>
          <w:tab w:val="left" w:pos="851"/>
        </w:tabs>
        <w:ind w:left="851"/>
        <w:rPr>
          <w:sz w:val="24"/>
          <w:szCs w:val="24"/>
          <w:u w:val="single"/>
        </w:rPr>
      </w:pPr>
      <w:r w:rsidRPr="000D2B25">
        <w:rPr>
          <w:sz w:val="24"/>
          <w:szCs w:val="24"/>
          <w:u w:val="single"/>
        </w:rPr>
        <w:t>Nedsat leverfunktion</w:t>
      </w:r>
    </w:p>
    <w:p w14:paraId="642B695B" w14:textId="77777777" w:rsidR="000D2B25" w:rsidRPr="000D2B25" w:rsidRDefault="000D2B25" w:rsidP="000D2B25">
      <w:pPr>
        <w:tabs>
          <w:tab w:val="left" w:pos="851"/>
        </w:tabs>
        <w:ind w:left="851"/>
        <w:rPr>
          <w:sz w:val="24"/>
          <w:szCs w:val="24"/>
        </w:rPr>
      </w:pPr>
      <w:r w:rsidRPr="000D2B25">
        <w:rPr>
          <w:sz w:val="24"/>
          <w:szCs w:val="24"/>
        </w:rPr>
        <w:t>Det kan være nødvendigt at justere dosis hos patienter med svært nedsat leverfunktion (se pkt. 5.2).</w:t>
      </w:r>
    </w:p>
    <w:p w14:paraId="7075B108" w14:textId="77777777" w:rsidR="000D2B25" w:rsidRPr="000D2B25" w:rsidRDefault="000D2B25" w:rsidP="000D2B25">
      <w:pPr>
        <w:tabs>
          <w:tab w:val="left" w:pos="851"/>
        </w:tabs>
        <w:ind w:left="851"/>
        <w:rPr>
          <w:sz w:val="24"/>
          <w:szCs w:val="24"/>
        </w:rPr>
      </w:pPr>
    </w:p>
    <w:p w14:paraId="6E15831A" w14:textId="77777777" w:rsidR="000D2B25" w:rsidRPr="000D2B25" w:rsidRDefault="000D2B25" w:rsidP="000D2B25">
      <w:pPr>
        <w:tabs>
          <w:tab w:val="left" w:pos="851"/>
        </w:tabs>
        <w:ind w:left="851"/>
        <w:rPr>
          <w:sz w:val="24"/>
          <w:szCs w:val="24"/>
          <w:u w:val="single"/>
        </w:rPr>
      </w:pPr>
      <w:r w:rsidRPr="000D2B25">
        <w:rPr>
          <w:sz w:val="24"/>
          <w:szCs w:val="24"/>
          <w:u w:val="single"/>
        </w:rPr>
        <w:t>Nedsat nyrefunktion</w:t>
      </w:r>
    </w:p>
    <w:p w14:paraId="4A537EBF" w14:textId="77777777" w:rsidR="000D2B25" w:rsidRPr="000D2B25" w:rsidRDefault="000D2B25" w:rsidP="000D2B25">
      <w:pPr>
        <w:tabs>
          <w:tab w:val="left" w:pos="851"/>
        </w:tabs>
        <w:ind w:left="851"/>
        <w:rPr>
          <w:sz w:val="24"/>
          <w:szCs w:val="24"/>
        </w:rPr>
      </w:pPr>
      <w:r w:rsidRPr="000D2B25">
        <w:rPr>
          <w:sz w:val="24"/>
          <w:szCs w:val="24"/>
        </w:rPr>
        <w:t>Der er ikke behov for justering af dosis til patienter med nedsat nyrefunktion (se pkt. 5.2).</w:t>
      </w:r>
    </w:p>
    <w:p w14:paraId="00323A6F" w14:textId="77777777" w:rsidR="000D2B25" w:rsidRPr="000D2B25" w:rsidRDefault="000D2B25" w:rsidP="000D2B25">
      <w:pPr>
        <w:tabs>
          <w:tab w:val="left" w:pos="851"/>
        </w:tabs>
        <w:ind w:left="851"/>
        <w:rPr>
          <w:sz w:val="24"/>
          <w:szCs w:val="24"/>
        </w:rPr>
      </w:pPr>
    </w:p>
    <w:p w14:paraId="21F86E05" w14:textId="77777777" w:rsidR="000D2B25" w:rsidRPr="006B3636" w:rsidRDefault="000D2B25" w:rsidP="000D2B25">
      <w:pPr>
        <w:tabs>
          <w:tab w:val="left" w:pos="851"/>
        </w:tabs>
        <w:ind w:left="851"/>
        <w:rPr>
          <w:b/>
          <w:sz w:val="24"/>
          <w:szCs w:val="24"/>
        </w:rPr>
      </w:pPr>
      <w:r w:rsidRPr="006B3636">
        <w:rPr>
          <w:b/>
          <w:sz w:val="24"/>
          <w:szCs w:val="24"/>
        </w:rPr>
        <w:t>Administration</w:t>
      </w:r>
    </w:p>
    <w:p w14:paraId="52A18A69" w14:textId="77777777" w:rsidR="000D2B25" w:rsidRPr="000D2B25" w:rsidRDefault="000D2B25" w:rsidP="000D2B25">
      <w:pPr>
        <w:tabs>
          <w:tab w:val="left" w:pos="851"/>
        </w:tabs>
        <w:ind w:left="851"/>
        <w:rPr>
          <w:sz w:val="24"/>
          <w:szCs w:val="24"/>
        </w:rPr>
      </w:pPr>
      <w:proofErr w:type="spellStart"/>
      <w:r w:rsidRPr="000D2B25">
        <w:rPr>
          <w:sz w:val="24"/>
          <w:szCs w:val="24"/>
        </w:rPr>
        <w:t>Zeqmelit</w:t>
      </w:r>
      <w:proofErr w:type="spellEnd"/>
      <w:r w:rsidRPr="000D2B25">
        <w:rPr>
          <w:sz w:val="24"/>
          <w:szCs w:val="24"/>
        </w:rPr>
        <w:t xml:space="preserve"> smeltefilm skal tages ud af hvert enkelt brev på følgende måde: </w:t>
      </w:r>
    </w:p>
    <w:p w14:paraId="1A47C925" w14:textId="77777777" w:rsidR="000D2B25" w:rsidRPr="000D2B25" w:rsidRDefault="000D2B25" w:rsidP="006B3636">
      <w:pPr>
        <w:numPr>
          <w:ilvl w:val="0"/>
          <w:numId w:val="7"/>
        </w:numPr>
        <w:tabs>
          <w:tab w:val="left" w:pos="851"/>
        </w:tabs>
        <w:ind w:left="1134" w:hanging="283"/>
        <w:rPr>
          <w:sz w:val="24"/>
          <w:szCs w:val="24"/>
        </w:rPr>
      </w:pPr>
      <w:r w:rsidRPr="000D2B25">
        <w:rPr>
          <w:sz w:val="24"/>
          <w:szCs w:val="24"/>
        </w:rPr>
        <w:t>Klip eller skær ikke brevet op</w:t>
      </w:r>
    </w:p>
    <w:p w14:paraId="4EFC529A" w14:textId="77777777" w:rsidR="000D2B25" w:rsidRPr="000D2B25" w:rsidRDefault="000D2B25" w:rsidP="006B3636">
      <w:pPr>
        <w:numPr>
          <w:ilvl w:val="0"/>
          <w:numId w:val="7"/>
        </w:numPr>
        <w:tabs>
          <w:tab w:val="left" w:pos="851"/>
        </w:tabs>
        <w:ind w:left="1134" w:hanging="283"/>
        <w:rPr>
          <w:sz w:val="24"/>
          <w:szCs w:val="24"/>
        </w:rPr>
      </w:pPr>
      <w:r w:rsidRPr="000D2B25">
        <w:rPr>
          <w:sz w:val="24"/>
          <w:szCs w:val="24"/>
        </w:rPr>
        <w:t>Åbn kun brevet ved rivemærket</w:t>
      </w:r>
    </w:p>
    <w:p w14:paraId="40F9C6B2" w14:textId="77777777" w:rsidR="000D2B25" w:rsidRPr="000D2B25" w:rsidRDefault="000D2B25" w:rsidP="006B3636">
      <w:pPr>
        <w:numPr>
          <w:ilvl w:val="0"/>
          <w:numId w:val="7"/>
        </w:numPr>
        <w:tabs>
          <w:tab w:val="left" w:pos="851"/>
        </w:tabs>
        <w:ind w:left="1134" w:hanging="283"/>
        <w:rPr>
          <w:sz w:val="24"/>
          <w:szCs w:val="24"/>
        </w:rPr>
      </w:pPr>
      <w:r w:rsidRPr="000D2B25">
        <w:rPr>
          <w:sz w:val="24"/>
          <w:szCs w:val="24"/>
        </w:rPr>
        <w:t>Afriv langsomt</w:t>
      </w:r>
    </w:p>
    <w:p w14:paraId="494871F5" w14:textId="77777777" w:rsidR="000D2B25" w:rsidRPr="000D2B25" w:rsidRDefault="000D2B25" w:rsidP="006B3636">
      <w:pPr>
        <w:numPr>
          <w:ilvl w:val="0"/>
          <w:numId w:val="7"/>
        </w:numPr>
        <w:tabs>
          <w:tab w:val="left" w:pos="851"/>
        </w:tabs>
        <w:ind w:left="1134" w:hanging="283"/>
        <w:rPr>
          <w:sz w:val="24"/>
          <w:szCs w:val="24"/>
        </w:rPr>
      </w:pPr>
      <w:r w:rsidRPr="000D2B25">
        <w:rPr>
          <w:sz w:val="24"/>
          <w:szCs w:val="24"/>
        </w:rPr>
        <w:t>Kontrollér, at filmen er ubeskadiget</w:t>
      </w:r>
    </w:p>
    <w:p w14:paraId="7B488EEE" w14:textId="77777777" w:rsidR="000D2B25" w:rsidRPr="000D2B25" w:rsidRDefault="000D2B25" w:rsidP="006B3636">
      <w:pPr>
        <w:numPr>
          <w:ilvl w:val="0"/>
          <w:numId w:val="7"/>
        </w:numPr>
        <w:tabs>
          <w:tab w:val="left" w:pos="851"/>
        </w:tabs>
        <w:ind w:left="1134" w:hanging="283"/>
        <w:rPr>
          <w:sz w:val="24"/>
          <w:szCs w:val="24"/>
        </w:rPr>
      </w:pPr>
      <w:r w:rsidRPr="000D2B25">
        <w:rPr>
          <w:sz w:val="24"/>
          <w:szCs w:val="24"/>
        </w:rPr>
        <w:t>Filmen må ikke klippes eller rives i mindre dele</w:t>
      </w:r>
    </w:p>
    <w:p w14:paraId="29A032E1" w14:textId="77777777" w:rsidR="000D2B25" w:rsidRPr="000D2B25" w:rsidRDefault="000D2B25" w:rsidP="006B3636">
      <w:pPr>
        <w:numPr>
          <w:ilvl w:val="0"/>
          <w:numId w:val="7"/>
        </w:numPr>
        <w:tabs>
          <w:tab w:val="left" w:pos="851"/>
        </w:tabs>
        <w:ind w:left="1134" w:hanging="283"/>
        <w:rPr>
          <w:sz w:val="24"/>
          <w:szCs w:val="24"/>
        </w:rPr>
      </w:pPr>
      <w:r w:rsidRPr="000D2B25">
        <w:rPr>
          <w:sz w:val="24"/>
          <w:szCs w:val="24"/>
        </w:rPr>
        <w:t>Brug kun film, der er ubeskadigede</w:t>
      </w:r>
    </w:p>
    <w:p w14:paraId="01CCA34E" w14:textId="77777777" w:rsidR="000D2B25" w:rsidRPr="000D2B25" w:rsidRDefault="000D2B25" w:rsidP="000D2B25">
      <w:pPr>
        <w:tabs>
          <w:tab w:val="left" w:pos="851"/>
        </w:tabs>
        <w:ind w:left="851"/>
        <w:rPr>
          <w:sz w:val="24"/>
          <w:szCs w:val="24"/>
        </w:rPr>
      </w:pPr>
    </w:p>
    <w:p w14:paraId="22A19857" w14:textId="77777777" w:rsidR="000D2B25" w:rsidRPr="000D2B25" w:rsidRDefault="000D2B25" w:rsidP="000D2B25">
      <w:pPr>
        <w:tabs>
          <w:tab w:val="left" w:pos="851"/>
        </w:tabs>
        <w:ind w:left="851"/>
        <w:rPr>
          <w:sz w:val="24"/>
          <w:szCs w:val="24"/>
        </w:rPr>
      </w:pPr>
      <w:r w:rsidRPr="000D2B25">
        <w:rPr>
          <w:sz w:val="24"/>
          <w:szCs w:val="24"/>
        </w:rPr>
        <w:t xml:space="preserve">Munden skal være tom, når </w:t>
      </w:r>
      <w:proofErr w:type="spellStart"/>
      <w:r w:rsidRPr="000D2B25">
        <w:rPr>
          <w:sz w:val="24"/>
          <w:szCs w:val="24"/>
        </w:rPr>
        <w:t>Zeqmelit</w:t>
      </w:r>
      <w:proofErr w:type="spellEnd"/>
      <w:r w:rsidRPr="000D2B25">
        <w:rPr>
          <w:sz w:val="24"/>
          <w:szCs w:val="24"/>
        </w:rPr>
        <w:t xml:space="preserve"> administreres. Placer én film ad gangen på tungen med tørre fingre. Filmen opløses hurtigt i munden og synkes derefter direkte uden vand. Hvis patienten har tør mund, kan en lille tår vand tages inden administration af </w:t>
      </w:r>
      <w:proofErr w:type="spellStart"/>
      <w:r w:rsidRPr="000D2B25">
        <w:rPr>
          <w:sz w:val="24"/>
          <w:szCs w:val="24"/>
        </w:rPr>
        <w:t>Zeqmelit</w:t>
      </w:r>
      <w:proofErr w:type="spellEnd"/>
      <w:r w:rsidRPr="000D2B25">
        <w:rPr>
          <w:sz w:val="24"/>
          <w:szCs w:val="24"/>
        </w:rPr>
        <w:t>.</w:t>
      </w:r>
    </w:p>
    <w:p w14:paraId="2C5E1382" w14:textId="77777777" w:rsidR="000D2B25" w:rsidRPr="000D2B25" w:rsidRDefault="000D2B25" w:rsidP="000D2B25">
      <w:pPr>
        <w:tabs>
          <w:tab w:val="left" w:pos="851"/>
        </w:tabs>
        <w:ind w:left="851"/>
        <w:rPr>
          <w:sz w:val="24"/>
          <w:szCs w:val="24"/>
        </w:rPr>
      </w:pPr>
    </w:p>
    <w:p w14:paraId="301F1ACC" w14:textId="2F0C2A75" w:rsidR="000D2B25" w:rsidRPr="000D2B25" w:rsidRDefault="000D2B25" w:rsidP="000D2B25">
      <w:pPr>
        <w:tabs>
          <w:tab w:val="left" w:pos="851"/>
        </w:tabs>
        <w:ind w:left="851"/>
        <w:rPr>
          <w:sz w:val="24"/>
          <w:szCs w:val="24"/>
        </w:rPr>
      </w:pPr>
      <w:r w:rsidRPr="000D2B25">
        <w:rPr>
          <w:sz w:val="24"/>
          <w:szCs w:val="24"/>
        </w:rPr>
        <w:t xml:space="preserve">Ved behov for højere doser </w:t>
      </w:r>
      <w:proofErr w:type="spellStart"/>
      <w:r w:rsidRPr="000D2B25">
        <w:rPr>
          <w:sz w:val="24"/>
          <w:szCs w:val="24"/>
        </w:rPr>
        <w:t>dexamethason</w:t>
      </w:r>
      <w:proofErr w:type="spellEnd"/>
      <w:r w:rsidRPr="000D2B25">
        <w:rPr>
          <w:sz w:val="24"/>
          <w:szCs w:val="24"/>
        </w:rPr>
        <w:t xml:space="preserve"> (&gt; 48 mg </w:t>
      </w:r>
      <w:r w:rsidR="00B057BE">
        <w:rPr>
          <w:sz w:val="24"/>
          <w:szCs w:val="24"/>
        </w:rPr>
        <w:t>daglig</w:t>
      </w:r>
      <w:r w:rsidRPr="000D2B25">
        <w:rPr>
          <w:sz w:val="24"/>
          <w:szCs w:val="24"/>
        </w:rPr>
        <w:t>) bør en anden administrationsform overvejes, for eksempel intravenøs administration.</w:t>
      </w:r>
    </w:p>
    <w:p w14:paraId="3453E345" w14:textId="77777777" w:rsidR="000D2B25" w:rsidRPr="000D2B25" w:rsidRDefault="000D2B25" w:rsidP="000D2B25">
      <w:pPr>
        <w:tabs>
          <w:tab w:val="left" w:pos="851"/>
        </w:tabs>
        <w:ind w:left="851"/>
        <w:rPr>
          <w:sz w:val="24"/>
          <w:szCs w:val="24"/>
        </w:rPr>
      </w:pPr>
    </w:p>
    <w:p w14:paraId="2249661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5ED21489" w14:textId="77777777" w:rsidR="00BB086E" w:rsidRPr="00BB086E" w:rsidRDefault="00BB086E" w:rsidP="00BB086E">
      <w:pPr>
        <w:tabs>
          <w:tab w:val="left" w:pos="851"/>
        </w:tabs>
        <w:ind w:left="851"/>
        <w:rPr>
          <w:sz w:val="24"/>
          <w:szCs w:val="24"/>
        </w:rPr>
      </w:pPr>
      <w:r w:rsidRPr="00BB086E">
        <w:rPr>
          <w:sz w:val="24"/>
          <w:szCs w:val="24"/>
        </w:rPr>
        <w:t>Overfølsomhed over for det (de) aktive stof(fer) eller over for et eller flere af hjælpestofferne anført i pkt. 6.1.</w:t>
      </w:r>
    </w:p>
    <w:p w14:paraId="7E095EB9" w14:textId="77777777" w:rsidR="009260DE" w:rsidRPr="00C84483" w:rsidRDefault="009260DE" w:rsidP="009260DE">
      <w:pPr>
        <w:tabs>
          <w:tab w:val="left" w:pos="851"/>
        </w:tabs>
        <w:ind w:left="851"/>
        <w:rPr>
          <w:sz w:val="24"/>
          <w:szCs w:val="24"/>
        </w:rPr>
      </w:pPr>
    </w:p>
    <w:p w14:paraId="4883CB07"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3F725F6" w14:textId="77777777" w:rsidR="0029047D" w:rsidRDefault="0029047D" w:rsidP="0029047D">
      <w:pPr>
        <w:tabs>
          <w:tab w:val="left" w:pos="851"/>
        </w:tabs>
        <w:ind w:left="851"/>
        <w:rPr>
          <w:sz w:val="24"/>
          <w:szCs w:val="24"/>
          <w:u w:val="single"/>
        </w:rPr>
      </w:pPr>
    </w:p>
    <w:p w14:paraId="6E45C0DA" w14:textId="373DABDE" w:rsidR="0029047D" w:rsidRPr="0029047D" w:rsidRDefault="0029047D" w:rsidP="0029047D">
      <w:pPr>
        <w:tabs>
          <w:tab w:val="left" w:pos="851"/>
        </w:tabs>
        <w:ind w:left="851"/>
        <w:rPr>
          <w:sz w:val="24"/>
          <w:szCs w:val="24"/>
          <w:u w:val="single"/>
        </w:rPr>
      </w:pPr>
      <w:proofErr w:type="spellStart"/>
      <w:r w:rsidRPr="0029047D">
        <w:rPr>
          <w:sz w:val="24"/>
          <w:szCs w:val="24"/>
          <w:u w:val="single"/>
        </w:rPr>
        <w:t>Adrenokortikal</w:t>
      </w:r>
      <w:proofErr w:type="spellEnd"/>
      <w:r w:rsidRPr="0029047D">
        <w:rPr>
          <w:sz w:val="24"/>
          <w:szCs w:val="24"/>
          <w:u w:val="single"/>
        </w:rPr>
        <w:t xml:space="preserve"> insufficiens</w:t>
      </w:r>
    </w:p>
    <w:p w14:paraId="050457D8" w14:textId="77777777" w:rsidR="0029047D" w:rsidRPr="0029047D" w:rsidRDefault="0029047D" w:rsidP="0029047D">
      <w:pPr>
        <w:tabs>
          <w:tab w:val="left" w:pos="851"/>
        </w:tabs>
        <w:ind w:left="851"/>
        <w:rPr>
          <w:sz w:val="24"/>
          <w:szCs w:val="24"/>
        </w:rPr>
      </w:pPr>
      <w:r w:rsidRPr="0029047D">
        <w:rPr>
          <w:sz w:val="24"/>
          <w:szCs w:val="24"/>
        </w:rPr>
        <w:t xml:space="preserve">Ved behov for langtidsbehandling med </w:t>
      </w:r>
      <w:proofErr w:type="spellStart"/>
      <w:r w:rsidRPr="0029047D">
        <w:rPr>
          <w:sz w:val="24"/>
          <w:szCs w:val="24"/>
        </w:rPr>
        <w:t>kortikosteroider</w:t>
      </w:r>
      <w:proofErr w:type="spellEnd"/>
      <w:r w:rsidRPr="0029047D">
        <w:rPr>
          <w:sz w:val="24"/>
          <w:szCs w:val="24"/>
        </w:rPr>
        <w:t xml:space="preserve"> bør risikoen for induktion af midlertidig </w:t>
      </w:r>
      <w:proofErr w:type="spellStart"/>
      <w:r w:rsidRPr="0029047D">
        <w:rPr>
          <w:sz w:val="24"/>
          <w:szCs w:val="24"/>
        </w:rPr>
        <w:t>adrenokortikal</w:t>
      </w:r>
      <w:proofErr w:type="spellEnd"/>
      <w:r w:rsidRPr="0029047D">
        <w:rPr>
          <w:sz w:val="24"/>
          <w:szCs w:val="24"/>
        </w:rPr>
        <w:t xml:space="preserve"> insufficiens tages i betragtning. Som følge af den langvarige virkning kan fortsat administration føre til permanent </w:t>
      </w:r>
      <w:proofErr w:type="spellStart"/>
      <w:r w:rsidRPr="0029047D">
        <w:rPr>
          <w:sz w:val="24"/>
          <w:szCs w:val="24"/>
        </w:rPr>
        <w:t>adrenokortikal</w:t>
      </w:r>
      <w:proofErr w:type="spellEnd"/>
      <w:r w:rsidRPr="0029047D">
        <w:rPr>
          <w:sz w:val="24"/>
          <w:szCs w:val="24"/>
        </w:rPr>
        <w:t xml:space="preserve"> suppression og i sidste ende atrofi.</w:t>
      </w:r>
    </w:p>
    <w:p w14:paraId="12AABBA2" w14:textId="77777777" w:rsidR="0029047D" w:rsidRPr="0029047D" w:rsidRDefault="0029047D" w:rsidP="0029047D">
      <w:pPr>
        <w:tabs>
          <w:tab w:val="left" w:pos="851"/>
        </w:tabs>
        <w:ind w:left="851"/>
        <w:rPr>
          <w:sz w:val="24"/>
          <w:szCs w:val="24"/>
        </w:rPr>
      </w:pPr>
    </w:p>
    <w:p w14:paraId="3AECF83D" w14:textId="77777777" w:rsidR="0029047D" w:rsidRPr="0029047D" w:rsidRDefault="0029047D" w:rsidP="0029047D">
      <w:pPr>
        <w:tabs>
          <w:tab w:val="left" w:pos="851"/>
        </w:tabs>
        <w:ind w:left="851"/>
        <w:rPr>
          <w:sz w:val="24"/>
          <w:szCs w:val="24"/>
        </w:rPr>
      </w:pPr>
      <w:r w:rsidRPr="0029047D">
        <w:rPr>
          <w:sz w:val="24"/>
          <w:szCs w:val="24"/>
        </w:rPr>
        <w:t xml:space="preserve">I visse situationer med fysisk belastning (fx feberanfald, ulykker, operationer, fødsler) kan en midlertidig forhøjelse af den daglige dosis </w:t>
      </w:r>
      <w:proofErr w:type="spellStart"/>
      <w:r w:rsidRPr="0029047D">
        <w:rPr>
          <w:sz w:val="24"/>
          <w:szCs w:val="24"/>
        </w:rPr>
        <w:t>glukokortikoid</w:t>
      </w:r>
      <w:proofErr w:type="spellEnd"/>
      <w:r w:rsidRPr="0029047D">
        <w:rPr>
          <w:sz w:val="24"/>
          <w:szCs w:val="24"/>
        </w:rPr>
        <w:t xml:space="preserve"> være nødvendig.</w:t>
      </w:r>
    </w:p>
    <w:p w14:paraId="2FFC1374" w14:textId="77777777" w:rsidR="0029047D" w:rsidRPr="0029047D" w:rsidRDefault="0029047D" w:rsidP="0029047D">
      <w:pPr>
        <w:tabs>
          <w:tab w:val="left" w:pos="851"/>
        </w:tabs>
        <w:ind w:left="851"/>
        <w:rPr>
          <w:sz w:val="24"/>
          <w:szCs w:val="24"/>
        </w:rPr>
      </w:pPr>
    </w:p>
    <w:p w14:paraId="74831411" w14:textId="77777777" w:rsidR="0029047D" w:rsidRPr="0029047D" w:rsidRDefault="0029047D" w:rsidP="0029047D">
      <w:pPr>
        <w:tabs>
          <w:tab w:val="left" w:pos="851"/>
        </w:tabs>
        <w:ind w:left="851"/>
        <w:rPr>
          <w:sz w:val="24"/>
          <w:szCs w:val="24"/>
        </w:rPr>
      </w:pPr>
      <w:r w:rsidRPr="0029047D">
        <w:rPr>
          <w:sz w:val="24"/>
          <w:szCs w:val="24"/>
        </w:rPr>
        <w:t xml:space="preserve">Afhængigt af dosis og behandlingens varighed kan den </w:t>
      </w:r>
      <w:proofErr w:type="spellStart"/>
      <w:r w:rsidRPr="0029047D">
        <w:rPr>
          <w:sz w:val="24"/>
          <w:szCs w:val="24"/>
        </w:rPr>
        <w:t>adrenokortikale</w:t>
      </w:r>
      <w:proofErr w:type="spellEnd"/>
      <w:r w:rsidRPr="0029047D">
        <w:rPr>
          <w:sz w:val="24"/>
          <w:szCs w:val="24"/>
        </w:rPr>
        <w:t xml:space="preserve"> insufficiens, som induceres af </w:t>
      </w:r>
      <w:proofErr w:type="spellStart"/>
      <w:r w:rsidRPr="0029047D">
        <w:rPr>
          <w:sz w:val="24"/>
          <w:szCs w:val="24"/>
        </w:rPr>
        <w:t>glukokortikoider</w:t>
      </w:r>
      <w:proofErr w:type="spellEnd"/>
      <w:r w:rsidRPr="0029047D">
        <w:rPr>
          <w:sz w:val="24"/>
          <w:szCs w:val="24"/>
        </w:rPr>
        <w:t xml:space="preserve">, vare nogle få måneder og i enkelte tilfælde i mere end et år efter </w:t>
      </w:r>
      <w:proofErr w:type="spellStart"/>
      <w:r w:rsidRPr="0029047D">
        <w:rPr>
          <w:sz w:val="24"/>
          <w:szCs w:val="24"/>
        </w:rPr>
        <w:t>seponering</w:t>
      </w:r>
      <w:proofErr w:type="spellEnd"/>
      <w:r w:rsidRPr="0029047D">
        <w:rPr>
          <w:sz w:val="24"/>
          <w:szCs w:val="24"/>
        </w:rPr>
        <w:t xml:space="preserve"> af behandlingen. Akut </w:t>
      </w:r>
      <w:proofErr w:type="spellStart"/>
      <w:r w:rsidRPr="0029047D">
        <w:rPr>
          <w:sz w:val="24"/>
          <w:szCs w:val="24"/>
        </w:rPr>
        <w:t>adrenokortikal</w:t>
      </w:r>
      <w:proofErr w:type="spellEnd"/>
      <w:r w:rsidRPr="0029047D">
        <w:rPr>
          <w:sz w:val="24"/>
          <w:szCs w:val="24"/>
        </w:rPr>
        <w:t xml:space="preserve"> insufficiens kan minimeres ved en gradvis, planlagt reduktion af dosis.</w:t>
      </w:r>
    </w:p>
    <w:p w14:paraId="63A5C297" w14:textId="77777777" w:rsidR="0029047D" w:rsidRPr="0029047D" w:rsidRDefault="0029047D" w:rsidP="0029047D">
      <w:pPr>
        <w:tabs>
          <w:tab w:val="left" w:pos="851"/>
        </w:tabs>
        <w:ind w:left="851"/>
        <w:rPr>
          <w:sz w:val="24"/>
          <w:szCs w:val="24"/>
          <w:u w:val="single"/>
        </w:rPr>
      </w:pPr>
    </w:p>
    <w:p w14:paraId="692702C7" w14:textId="77777777" w:rsidR="0029047D" w:rsidRPr="0029047D" w:rsidRDefault="0029047D" w:rsidP="0029047D">
      <w:pPr>
        <w:tabs>
          <w:tab w:val="left" w:pos="851"/>
        </w:tabs>
        <w:ind w:left="851"/>
        <w:rPr>
          <w:sz w:val="24"/>
          <w:szCs w:val="24"/>
          <w:u w:val="single"/>
        </w:rPr>
      </w:pPr>
      <w:r w:rsidRPr="0029047D">
        <w:rPr>
          <w:sz w:val="24"/>
          <w:szCs w:val="24"/>
          <w:u w:val="single"/>
        </w:rPr>
        <w:t>Infektioner og vaccinationer</w:t>
      </w:r>
    </w:p>
    <w:p w14:paraId="18A28A06" w14:textId="77777777" w:rsidR="0029047D" w:rsidRPr="0029047D" w:rsidRDefault="0029047D" w:rsidP="0029047D">
      <w:pPr>
        <w:tabs>
          <w:tab w:val="left" w:pos="851"/>
        </w:tabs>
        <w:ind w:left="851"/>
        <w:rPr>
          <w:sz w:val="24"/>
          <w:szCs w:val="24"/>
        </w:rPr>
      </w:pPr>
      <w:r w:rsidRPr="0029047D">
        <w:rPr>
          <w:sz w:val="24"/>
          <w:szCs w:val="24"/>
        </w:rPr>
        <w:t xml:space="preserve">Som følge af </w:t>
      </w:r>
      <w:proofErr w:type="spellStart"/>
      <w:r w:rsidRPr="0029047D">
        <w:rPr>
          <w:sz w:val="24"/>
          <w:szCs w:val="24"/>
        </w:rPr>
        <w:t>immunsupprimering</w:t>
      </w:r>
      <w:proofErr w:type="spellEnd"/>
      <w:r w:rsidRPr="0029047D">
        <w:rPr>
          <w:sz w:val="24"/>
          <w:szCs w:val="24"/>
        </w:rPr>
        <w:t xml:space="preserve"> kan behandling med </w:t>
      </w:r>
      <w:proofErr w:type="spellStart"/>
      <w:r w:rsidRPr="0029047D">
        <w:rPr>
          <w:sz w:val="24"/>
          <w:szCs w:val="24"/>
        </w:rPr>
        <w:t>dexamethason</w:t>
      </w:r>
      <w:proofErr w:type="spellEnd"/>
      <w:r w:rsidRPr="0029047D">
        <w:rPr>
          <w:sz w:val="24"/>
          <w:szCs w:val="24"/>
        </w:rPr>
        <w:t xml:space="preserve"> forhøje risikoen for bakterie-, virus- eller svampeinfektioner eller parasitære infektioner samt opportunistiske infektioner. Symptomerne på eksisterende infektioner eller infektioner under udvikling kan være slørede og således gøre diagnosticeringen vanskeligere. Latente infektioner, herunder tuberkulose eller hepatitis B, kan blive reaktiveret.</w:t>
      </w:r>
    </w:p>
    <w:p w14:paraId="5A3E3B59" w14:textId="77777777" w:rsidR="0029047D" w:rsidRDefault="0029047D" w:rsidP="0029047D">
      <w:pPr>
        <w:tabs>
          <w:tab w:val="left" w:pos="851"/>
        </w:tabs>
        <w:ind w:left="851"/>
        <w:rPr>
          <w:sz w:val="24"/>
          <w:szCs w:val="24"/>
        </w:rPr>
      </w:pPr>
    </w:p>
    <w:p w14:paraId="2E95DA14" w14:textId="4B781EB1" w:rsidR="0029047D" w:rsidRPr="0029047D" w:rsidRDefault="0029047D" w:rsidP="0029047D">
      <w:pPr>
        <w:tabs>
          <w:tab w:val="left" w:pos="851"/>
        </w:tabs>
        <w:ind w:left="851"/>
        <w:rPr>
          <w:sz w:val="24"/>
          <w:szCs w:val="24"/>
        </w:rPr>
      </w:pPr>
      <w:r w:rsidRPr="0029047D">
        <w:rPr>
          <w:sz w:val="24"/>
          <w:szCs w:val="24"/>
        </w:rPr>
        <w:t>Der skal udvises særlig opmærksomhed i følgende situationer:</w:t>
      </w:r>
    </w:p>
    <w:p w14:paraId="45DBF932" w14:textId="77777777" w:rsidR="0029047D" w:rsidRPr="0029047D" w:rsidRDefault="0029047D" w:rsidP="0029047D">
      <w:pPr>
        <w:numPr>
          <w:ilvl w:val="2"/>
          <w:numId w:val="6"/>
        </w:numPr>
        <w:tabs>
          <w:tab w:val="left" w:pos="1134"/>
        </w:tabs>
        <w:ind w:left="1134" w:hanging="283"/>
        <w:rPr>
          <w:sz w:val="24"/>
          <w:szCs w:val="24"/>
        </w:rPr>
      </w:pPr>
      <w:r w:rsidRPr="0029047D">
        <w:rPr>
          <w:sz w:val="24"/>
          <w:szCs w:val="24"/>
        </w:rPr>
        <w:t xml:space="preserve">Akutte og kroniske bakterieinfektioner: Brug specifik antibiotikabehandling. </w:t>
      </w:r>
    </w:p>
    <w:p w14:paraId="22F3DB64" w14:textId="77777777" w:rsidR="0029047D" w:rsidRPr="0029047D" w:rsidRDefault="0029047D" w:rsidP="0029047D">
      <w:pPr>
        <w:numPr>
          <w:ilvl w:val="2"/>
          <w:numId w:val="6"/>
        </w:numPr>
        <w:tabs>
          <w:tab w:val="left" w:pos="1134"/>
        </w:tabs>
        <w:ind w:left="1134" w:hanging="283"/>
        <w:rPr>
          <w:sz w:val="24"/>
          <w:szCs w:val="24"/>
        </w:rPr>
      </w:pPr>
      <w:r w:rsidRPr="0029047D">
        <w:rPr>
          <w:sz w:val="24"/>
          <w:szCs w:val="24"/>
        </w:rPr>
        <w:t xml:space="preserve">Hos patienter med tuberkulose i anamnesen må </w:t>
      </w:r>
      <w:proofErr w:type="spellStart"/>
      <w:r w:rsidRPr="0029047D">
        <w:rPr>
          <w:sz w:val="24"/>
          <w:szCs w:val="24"/>
        </w:rPr>
        <w:t>dexamethason</w:t>
      </w:r>
      <w:proofErr w:type="spellEnd"/>
      <w:r w:rsidRPr="0029047D">
        <w:rPr>
          <w:sz w:val="24"/>
          <w:szCs w:val="24"/>
        </w:rPr>
        <w:t xml:space="preserve"> kun administreres sammen med </w:t>
      </w:r>
      <w:proofErr w:type="spellStart"/>
      <w:r w:rsidRPr="0029047D">
        <w:rPr>
          <w:sz w:val="24"/>
          <w:szCs w:val="24"/>
        </w:rPr>
        <w:t>antituberkulosemidler</w:t>
      </w:r>
      <w:proofErr w:type="spellEnd"/>
      <w:r w:rsidRPr="0029047D">
        <w:rPr>
          <w:sz w:val="24"/>
          <w:szCs w:val="24"/>
        </w:rPr>
        <w:t>.</w:t>
      </w:r>
    </w:p>
    <w:p w14:paraId="00345835" w14:textId="77777777" w:rsidR="0029047D" w:rsidRPr="0029047D" w:rsidRDefault="0029047D" w:rsidP="0029047D">
      <w:pPr>
        <w:numPr>
          <w:ilvl w:val="2"/>
          <w:numId w:val="6"/>
        </w:numPr>
        <w:tabs>
          <w:tab w:val="left" w:pos="1134"/>
        </w:tabs>
        <w:ind w:left="1134" w:hanging="283"/>
        <w:rPr>
          <w:sz w:val="24"/>
          <w:szCs w:val="24"/>
        </w:rPr>
      </w:pPr>
      <w:proofErr w:type="spellStart"/>
      <w:r w:rsidRPr="0029047D">
        <w:rPr>
          <w:sz w:val="24"/>
          <w:szCs w:val="24"/>
        </w:rPr>
        <w:t>Lymfadenit</w:t>
      </w:r>
      <w:proofErr w:type="spellEnd"/>
      <w:r w:rsidRPr="0029047D">
        <w:rPr>
          <w:sz w:val="24"/>
          <w:szCs w:val="24"/>
        </w:rPr>
        <w:t xml:space="preserve"> efter BCG-vaccination.</w:t>
      </w:r>
    </w:p>
    <w:p w14:paraId="7328AAAA" w14:textId="77777777" w:rsidR="0029047D" w:rsidRPr="0029047D" w:rsidRDefault="0029047D" w:rsidP="0029047D">
      <w:pPr>
        <w:numPr>
          <w:ilvl w:val="2"/>
          <w:numId w:val="6"/>
        </w:numPr>
        <w:tabs>
          <w:tab w:val="left" w:pos="1134"/>
        </w:tabs>
        <w:ind w:left="1134" w:hanging="283"/>
        <w:rPr>
          <w:sz w:val="24"/>
          <w:szCs w:val="24"/>
        </w:rPr>
      </w:pPr>
      <w:proofErr w:type="spellStart"/>
      <w:r w:rsidRPr="0029047D">
        <w:rPr>
          <w:sz w:val="24"/>
          <w:szCs w:val="24"/>
        </w:rPr>
        <w:t>HbsAg</w:t>
      </w:r>
      <w:proofErr w:type="spellEnd"/>
      <w:r w:rsidRPr="0029047D">
        <w:rPr>
          <w:sz w:val="24"/>
          <w:szCs w:val="24"/>
        </w:rPr>
        <w:t>-positiv kronisk hepatitis.</w:t>
      </w:r>
    </w:p>
    <w:p w14:paraId="7A282B8D" w14:textId="77777777" w:rsidR="0029047D" w:rsidRPr="0029047D" w:rsidRDefault="0029047D" w:rsidP="0029047D">
      <w:pPr>
        <w:numPr>
          <w:ilvl w:val="2"/>
          <w:numId w:val="6"/>
        </w:numPr>
        <w:tabs>
          <w:tab w:val="left" w:pos="1134"/>
        </w:tabs>
        <w:ind w:left="1134" w:hanging="283"/>
        <w:rPr>
          <w:sz w:val="24"/>
          <w:szCs w:val="24"/>
        </w:rPr>
      </w:pPr>
      <w:r w:rsidRPr="0029047D">
        <w:rPr>
          <w:sz w:val="24"/>
          <w:szCs w:val="24"/>
        </w:rPr>
        <w:t xml:space="preserve">Akutte virusinfektioner, fx hepatitis B, herpes </w:t>
      </w:r>
      <w:proofErr w:type="spellStart"/>
      <w:r w:rsidRPr="0029047D">
        <w:rPr>
          <w:sz w:val="24"/>
          <w:szCs w:val="24"/>
        </w:rPr>
        <w:t>zoster</w:t>
      </w:r>
      <w:proofErr w:type="spellEnd"/>
      <w:r w:rsidRPr="0029047D">
        <w:rPr>
          <w:sz w:val="24"/>
          <w:szCs w:val="24"/>
        </w:rPr>
        <w:t xml:space="preserve"> </w:t>
      </w:r>
      <w:proofErr w:type="spellStart"/>
      <w:r w:rsidRPr="0029047D">
        <w:rPr>
          <w:sz w:val="24"/>
          <w:szCs w:val="24"/>
        </w:rPr>
        <w:t>varicella</w:t>
      </w:r>
      <w:proofErr w:type="spellEnd"/>
      <w:r w:rsidRPr="0029047D">
        <w:rPr>
          <w:sz w:val="24"/>
          <w:szCs w:val="24"/>
        </w:rPr>
        <w:t xml:space="preserve">, herpes </w:t>
      </w:r>
      <w:proofErr w:type="spellStart"/>
      <w:r w:rsidRPr="0029047D">
        <w:rPr>
          <w:sz w:val="24"/>
          <w:szCs w:val="24"/>
        </w:rPr>
        <w:t>simplex</w:t>
      </w:r>
      <w:proofErr w:type="spellEnd"/>
      <w:r w:rsidRPr="0029047D">
        <w:rPr>
          <w:sz w:val="24"/>
          <w:szCs w:val="24"/>
        </w:rPr>
        <w:t xml:space="preserve">, poliomyelitis, </w:t>
      </w:r>
      <w:proofErr w:type="spellStart"/>
      <w:r w:rsidRPr="0029047D">
        <w:rPr>
          <w:sz w:val="24"/>
          <w:szCs w:val="24"/>
        </w:rPr>
        <w:t>keratitis</w:t>
      </w:r>
      <w:proofErr w:type="spellEnd"/>
      <w:r w:rsidRPr="0029047D">
        <w:rPr>
          <w:sz w:val="24"/>
          <w:szCs w:val="24"/>
        </w:rPr>
        <w:t xml:space="preserve"> </w:t>
      </w:r>
      <w:proofErr w:type="spellStart"/>
      <w:r w:rsidRPr="0029047D">
        <w:rPr>
          <w:sz w:val="24"/>
          <w:szCs w:val="24"/>
        </w:rPr>
        <w:t>herpetica</w:t>
      </w:r>
      <w:proofErr w:type="spellEnd"/>
      <w:r w:rsidRPr="0029047D">
        <w:rPr>
          <w:sz w:val="24"/>
          <w:szCs w:val="24"/>
        </w:rPr>
        <w:t>, mæslinger.</w:t>
      </w:r>
    </w:p>
    <w:p w14:paraId="721BA8BF" w14:textId="77777777" w:rsidR="0029047D" w:rsidRPr="0029047D" w:rsidRDefault="0029047D" w:rsidP="0029047D">
      <w:pPr>
        <w:numPr>
          <w:ilvl w:val="2"/>
          <w:numId w:val="6"/>
        </w:numPr>
        <w:tabs>
          <w:tab w:val="left" w:pos="1134"/>
        </w:tabs>
        <w:ind w:left="1134" w:hanging="283"/>
        <w:rPr>
          <w:sz w:val="24"/>
          <w:szCs w:val="24"/>
        </w:rPr>
      </w:pPr>
      <w:r w:rsidRPr="0029047D">
        <w:rPr>
          <w:sz w:val="24"/>
          <w:szCs w:val="24"/>
        </w:rPr>
        <w:t xml:space="preserve">Mæslinger eller skoldkopper: Særlig beskyttelse anbefales hos immunsupprimerede patienter eller patienter, der ikke har haft mæslinger eller skoldkopper, og som er i kontakt med personer med mæslinger eller skoldkopper. Disse virussygdomme kan give et særligt alvorligt forløb hos personer, der behandles med </w:t>
      </w:r>
      <w:proofErr w:type="spellStart"/>
      <w:r w:rsidRPr="0029047D">
        <w:rPr>
          <w:sz w:val="24"/>
          <w:szCs w:val="24"/>
        </w:rPr>
        <w:t>glukokortikoider</w:t>
      </w:r>
      <w:proofErr w:type="spellEnd"/>
      <w:r w:rsidRPr="0029047D">
        <w:rPr>
          <w:sz w:val="24"/>
          <w:szCs w:val="24"/>
        </w:rPr>
        <w:t>.</w:t>
      </w:r>
    </w:p>
    <w:p w14:paraId="2A259037" w14:textId="77777777" w:rsidR="0029047D" w:rsidRPr="0029047D" w:rsidRDefault="0029047D" w:rsidP="0029047D">
      <w:pPr>
        <w:numPr>
          <w:ilvl w:val="2"/>
          <w:numId w:val="6"/>
        </w:numPr>
        <w:tabs>
          <w:tab w:val="left" w:pos="1134"/>
        </w:tabs>
        <w:ind w:left="1134" w:hanging="283"/>
        <w:rPr>
          <w:sz w:val="24"/>
          <w:szCs w:val="24"/>
        </w:rPr>
      </w:pPr>
      <w:r w:rsidRPr="0029047D">
        <w:rPr>
          <w:sz w:val="24"/>
          <w:szCs w:val="24"/>
        </w:rPr>
        <w:t xml:space="preserve">Systemisk parasitær sygdom og </w:t>
      </w:r>
      <w:proofErr w:type="spellStart"/>
      <w:r w:rsidRPr="0029047D">
        <w:rPr>
          <w:sz w:val="24"/>
          <w:szCs w:val="24"/>
        </w:rPr>
        <w:t>mykose</w:t>
      </w:r>
      <w:proofErr w:type="spellEnd"/>
      <w:r w:rsidRPr="0029047D">
        <w:rPr>
          <w:sz w:val="24"/>
          <w:szCs w:val="24"/>
        </w:rPr>
        <w:t xml:space="preserve"> (fx orm, amøbeinfektion): Hos patienter med signifikant kendt eller formodet </w:t>
      </w:r>
      <w:proofErr w:type="spellStart"/>
      <w:r w:rsidRPr="0029047D">
        <w:rPr>
          <w:sz w:val="24"/>
          <w:szCs w:val="24"/>
        </w:rPr>
        <w:t>Strongyloides-infestation</w:t>
      </w:r>
      <w:proofErr w:type="spellEnd"/>
      <w:r w:rsidRPr="0029047D">
        <w:rPr>
          <w:sz w:val="24"/>
          <w:szCs w:val="24"/>
        </w:rPr>
        <w:t xml:space="preserve"> (trådorm) kan </w:t>
      </w:r>
      <w:proofErr w:type="spellStart"/>
      <w:r w:rsidRPr="0029047D">
        <w:rPr>
          <w:sz w:val="24"/>
          <w:szCs w:val="24"/>
        </w:rPr>
        <w:t>glukokortikoider</w:t>
      </w:r>
      <w:proofErr w:type="spellEnd"/>
      <w:r w:rsidRPr="0029047D">
        <w:rPr>
          <w:sz w:val="24"/>
          <w:szCs w:val="24"/>
        </w:rPr>
        <w:t xml:space="preserve"> forårsage aktivering og spredning.</w:t>
      </w:r>
    </w:p>
    <w:p w14:paraId="7E1A45F3" w14:textId="77777777" w:rsidR="0029047D" w:rsidRPr="0029047D" w:rsidRDefault="0029047D" w:rsidP="0029047D">
      <w:pPr>
        <w:numPr>
          <w:ilvl w:val="2"/>
          <w:numId w:val="6"/>
        </w:numPr>
        <w:tabs>
          <w:tab w:val="left" w:pos="1134"/>
        </w:tabs>
        <w:ind w:left="1134" w:hanging="283"/>
        <w:rPr>
          <w:i/>
          <w:iCs/>
          <w:sz w:val="24"/>
          <w:szCs w:val="24"/>
        </w:rPr>
      </w:pPr>
      <w:r w:rsidRPr="0029047D">
        <w:rPr>
          <w:sz w:val="24"/>
          <w:szCs w:val="24"/>
        </w:rPr>
        <w:t xml:space="preserve">Profylaktiske vaccinationer med levende vacciner (mellem 8 uger inden og 2 uger efter vaccination). Omvendt bør det tages i betragtning, at administration af inaktiverede vacciner generelt er muligt. Når der administreres høje doser </w:t>
      </w:r>
      <w:proofErr w:type="spellStart"/>
      <w:r w:rsidRPr="0029047D">
        <w:rPr>
          <w:sz w:val="24"/>
          <w:szCs w:val="24"/>
        </w:rPr>
        <w:t>glukokortikoider</w:t>
      </w:r>
      <w:proofErr w:type="spellEnd"/>
      <w:r w:rsidRPr="0029047D">
        <w:rPr>
          <w:sz w:val="24"/>
          <w:szCs w:val="24"/>
        </w:rPr>
        <w:t>, kan immunreaktionen og dermed resultatet af vaccinationen imidlertid blive kompromitteret.</w:t>
      </w:r>
    </w:p>
    <w:p w14:paraId="50FA6F6A" w14:textId="77777777" w:rsidR="0029047D" w:rsidRPr="0029047D" w:rsidRDefault="0029047D" w:rsidP="0029047D">
      <w:pPr>
        <w:tabs>
          <w:tab w:val="left" w:pos="838"/>
        </w:tabs>
        <w:ind w:left="851"/>
        <w:rPr>
          <w:sz w:val="24"/>
          <w:szCs w:val="24"/>
        </w:rPr>
      </w:pPr>
    </w:p>
    <w:p w14:paraId="32912454" w14:textId="77777777" w:rsidR="0029047D" w:rsidRPr="0029047D" w:rsidRDefault="0029047D" w:rsidP="0029047D">
      <w:pPr>
        <w:tabs>
          <w:tab w:val="left" w:pos="838"/>
        </w:tabs>
        <w:ind w:left="851"/>
        <w:rPr>
          <w:sz w:val="24"/>
          <w:szCs w:val="24"/>
          <w:u w:val="single"/>
        </w:rPr>
      </w:pPr>
      <w:proofErr w:type="spellStart"/>
      <w:r w:rsidRPr="0029047D">
        <w:rPr>
          <w:sz w:val="24"/>
          <w:szCs w:val="24"/>
          <w:u w:val="single"/>
        </w:rPr>
        <w:t>Fæokromocytom</w:t>
      </w:r>
      <w:proofErr w:type="spellEnd"/>
      <w:r w:rsidRPr="0029047D">
        <w:rPr>
          <w:sz w:val="24"/>
          <w:szCs w:val="24"/>
          <w:u w:val="single"/>
        </w:rPr>
        <w:t>-krise</w:t>
      </w:r>
    </w:p>
    <w:p w14:paraId="052B76CC" w14:textId="02DED81E" w:rsidR="0029047D" w:rsidRPr="0029047D" w:rsidRDefault="0029047D" w:rsidP="0029047D">
      <w:pPr>
        <w:tabs>
          <w:tab w:val="left" w:pos="838"/>
        </w:tabs>
        <w:ind w:left="851"/>
        <w:rPr>
          <w:sz w:val="24"/>
          <w:szCs w:val="24"/>
        </w:rPr>
      </w:pPr>
      <w:proofErr w:type="spellStart"/>
      <w:r w:rsidRPr="0029047D">
        <w:rPr>
          <w:sz w:val="24"/>
          <w:szCs w:val="24"/>
        </w:rPr>
        <w:t>Fæokromocytom</w:t>
      </w:r>
      <w:proofErr w:type="spellEnd"/>
      <w:r w:rsidRPr="0029047D">
        <w:rPr>
          <w:sz w:val="24"/>
          <w:szCs w:val="24"/>
        </w:rPr>
        <w:t xml:space="preserve">-krisen, som kan være dødelig, er blevet rapporteret efter administration af systemiske </w:t>
      </w:r>
      <w:proofErr w:type="spellStart"/>
      <w:r w:rsidRPr="0029047D">
        <w:rPr>
          <w:sz w:val="24"/>
          <w:szCs w:val="24"/>
        </w:rPr>
        <w:t>kortikosteroider</w:t>
      </w:r>
      <w:proofErr w:type="spellEnd"/>
      <w:r w:rsidRPr="0029047D">
        <w:rPr>
          <w:sz w:val="24"/>
          <w:szCs w:val="24"/>
        </w:rPr>
        <w:t xml:space="preserve">. </w:t>
      </w:r>
      <w:proofErr w:type="spellStart"/>
      <w:r w:rsidRPr="0029047D">
        <w:rPr>
          <w:sz w:val="24"/>
          <w:szCs w:val="24"/>
        </w:rPr>
        <w:t>Kortikosteroider</w:t>
      </w:r>
      <w:proofErr w:type="spellEnd"/>
      <w:r w:rsidRPr="0029047D">
        <w:rPr>
          <w:sz w:val="24"/>
          <w:szCs w:val="24"/>
        </w:rPr>
        <w:t xml:space="preserve"> bør kun gives til patienter med formodning om eller identificeret </w:t>
      </w:r>
      <w:proofErr w:type="spellStart"/>
      <w:r w:rsidRPr="0029047D">
        <w:rPr>
          <w:sz w:val="24"/>
          <w:szCs w:val="24"/>
        </w:rPr>
        <w:t>fæokromocytom</w:t>
      </w:r>
      <w:proofErr w:type="spellEnd"/>
      <w:r w:rsidRPr="0029047D">
        <w:rPr>
          <w:sz w:val="24"/>
          <w:szCs w:val="24"/>
        </w:rPr>
        <w:t xml:space="preserve"> efter en passende risiko-/risikovur</w:t>
      </w:r>
      <w:r w:rsidR="006B23B8">
        <w:rPr>
          <w:sz w:val="24"/>
          <w:szCs w:val="24"/>
        </w:rPr>
        <w:softHyphen/>
      </w:r>
      <w:r w:rsidRPr="0029047D">
        <w:rPr>
          <w:sz w:val="24"/>
          <w:szCs w:val="24"/>
        </w:rPr>
        <w:t>dering.</w:t>
      </w:r>
    </w:p>
    <w:p w14:paraId="6F792023" w14:textId="77777777" w:rsidR="0029047D" w:rsidRPr="0029047D" w:rsidRDefault="0029047D" w:rsidP="0029047D">
      <w:pPr>
        <w:tabs>
          <w:tab w:val="left" w:pos="838"/>
        </w:tabs>
        <w:ind w:left="851"/>
        <w:rPr>
          <w:sz w:val="24"/>
          <w:szCs w:val="24"/>
        </w:rPr>
      </w:pPr>
    </w:p>
    <w:p w14:paraId="14D2C91E" w14:textId="77777777" w:rsidR="0029047D" w:rsidRPr="0029047D" w:rsidRDefault="0029047D" w:rsidP="0029047D">
      <w:pPr>
        <w:tabs>
          <w:tab w:val="left" w:pos="838"/>
        </w:tabs>
        <w:ind w:left="851"/>
        <w:rPr>
          <w:sz w:val="24"/>
          <w:szCs w:val="24"/>
          <w:u w:val="single"/>
        </w:rPr>
      </w:pPr>
      <w:r w:rsidRPr="0029047D">
        <w:rPr>
          <w:sz w:val="24"/>
          <w:szCs w:val="24"/>
          <w:u w:val="single"/>
        </w:rPr>
        <w:t>Svært regulerbar diabetes mellitus</w:t>
      </w:r>
    </w:p>
    <w:p w14:paraId="757A34AC" w14:textId="77777777" w:rsidR="0029047D" w:rsidRPr="0029047D" w:rsidRDefault="0029047D" w:rsidP="0029047D">
      <w:pPr>
        <w:tabs>
          <w:tab w:val="left" w:pos="838"/>
        </w:tabs>
        <w:ind w:left="851"/>
        <w:rPr>
          <w:sz w:val="24"/>
          <w:szCs w:val="24"/>
        </w:rPr>
      </w:pPr>
      <w:r w:rsidRPr="0029047D">
        <w:rPr>
          <w:sz w:val="24"/>
          <w:szCs w:val="24"/>
        </w:rPr>
        <w:t>Der bør følges op klinisk på patienter med diabetes, som er svær at regulere. Justering af diabetesbehandlingen kan være påkrævet.</w:t>
      </w:r>
    </w:p>
    <w:p w14:paraId="6C43B433" w14:textId="77777777" w:rsidR="0029047D" w:rsidRPr="0029047D" w:rsidRDefault="0029047D" w:rsidP="0029047D">
      <w:pPr>
        <w:tabs>
          <w:tab w:val="left" w:pos="838"/>
        </w:tabs>
        <w:ind w:left="851"/>
        <w:rPr>
          <w:sz w:val="24"/>
          <w:szCs w:val="24"/>
          <w:u w:val="single"/>
        </w:rPr>
      </w:pPr>
    </w:p>
    <w:p w14:paraId="7C650355" w14:textId="3A159804" w:rsidR="0029047D" w:rsidRPr="0029047D" w:rsidRDefault="0029047D" w:rsidP="0029047D">
      <w:pPr>
        <w:tabs>
          <w:tab w:val="left" w:pos="838"/>
        </w:tabs>
        <w:ind w:left="851"/>
        <w:rPr>
          <w:sz w:val="24"/>
          <w:szCs w:val="24"/>
        </w:rPr>
      </w:pPr>
      <w:r w:rsidRPr="0029047D">
        <w:rPr>
          <w:sz w:val="24"/>
          <w:szCs w:val="24"/>
          <w:u w:val="single"/>
        </w:rPr>
        <w:t>Osteoporose</w:t>
      </w:r>
      <w:r w:rsidRPr="0029047D">
        <w:rPr>
          <w:sz w:val="24"/>
          <w:szCs w:val="24"/>
        </w:rPr>
        <w:t xml:space="preserve"> </w:t>
      </w:r>
    </w:p>
    <w:p w14:paraId="4A3DC8FE" w14:textId="77777777" w:rsidR="0029047D" w:rsidRPr="0029047D" w:rsidRDefault="0029047D" w:rsidP="0029047D">
      <w:pPr>
        <w:tabs>
          <w:tab w:val="left" w:pos="838"/>
        </w:tabs>
        <w:ind w:left="851"/>
        <w:rPr>
          <w:sz w:val="24"/>
          <w:szCs w:val="24"/>
        </w:rPr>
      </w:pPr>
      <w:r w:rsidRPr="0029047D">
        <w:rPr>
          <w:sz w:val="24"/>
          <w:szCs w:val="24"/>
        </w:rPr>
        <w:t xml:space="preserve">Der forventes en negativ indvirkning på calciummetabolismen, afhængigt af behandlingsvarigheden og doseringen af </w:t>
      </w:r>
      <w:proofErr w:type="spellStart"/>
      <w:r w:rsidRPr="0029047D">
        <w:rPr>
          <w:sz w:val="24"/>
          <w:szCs w:val="24"/>
        </w:rPr>
        <w:t>dexamethason</w:t>
      </w:r>
      <w:proofErr w:type="spellEnd"/>
      <w:r w:rsidRPr="0029047D">
        <w:rPr>
          <w:sz w:val="24"/>
          <w:szCs w:val="24"/>
        </w:rPr>
        <w:t xml:space="preserve">. Samtidig administration af calcium og om nødvendigt vitamin D anbefales. Hos patienter med osteoporose skal behovet for yderligere behandling overvejes. I tilfælde af svær osteoporose bør behandling med </w:t>
      </w:r>
      <w:proofErr w:type="spellStart"/>
      <w:r w:rsidRPr="0029047D">
        <w:rPr>
          <w:sz w:val="24"/>
          <w:szCs w:val="24"/>
        </w:rPr>
        <w:t>dexamethason</w:t>
      </w:r>
      <w:proofErr w:type="spellEnd"/>
      <w:r w:rsidRPr="0029047D">
        <w:rPr>
          <w:sz w:val="24"/>
          <w:szCs w:val="24"/>
        </w:rPr>
        <w:t xml:space="preserve"> kun overvejes ved alvorlig tilstand eller i kort tid.</w:t>
      </w:r>
    </w:p>
    <w:p w14:paraId="3F548E84" w14:textId="77777777" w:rsidR="0029047D" w:rsidRPr="0029047D" w:rsidRDefault="0029047D" w:rsidP="0029047D">
      <w:pPr>
        <w:tabs>
          <w:tab w:val="left" w:pos="838"/>
        </w:tabs>
        <w:ind w:left="851"/>
        <w:rPr>
          <w:sz w:val="24"/>
          <w:szCs w:val="24"/>
        </w:rPr>
      </w:pPr>
    </w:p>
    <w:p w14:paraId="29EC3A6B" w14:textId="77777777" w:rsidR="0029047D" w:rsidRPr="0029047D" w:rsidRDefault="0029047D" w:rsidP="0029047D">
      <w:pPr>
        <w:tabs>
          <w:tab w:val="left" w:pos="838"/>
        </w:tabs>
        <w:ind w:left="851"/>
        <w:rPr>
          <w:sz w:val="24"/>
          <w:szCs w:val="24"/>
          <w:u w:val="single"/>
        </w:rPr>
      </w:pPr>
      <w:r w:rsidRPr="0029047D">
        <w:rPr>
          <w:sz w:val="24"/>
          <w:szCs w:val="24"/>
          <w:u w:val="single"/>
        </w:rPr>
        <w:t>Svær hjerteinsufficiens</w:t>
      </w:r>
    </w:p>
    <w:p w14:paraId="6689D3E4" w14:textId="77777777" w:rsidR="0029047D" w:rsidRPr="0029047D" w:rsidRDefault="0029047D" w:rsidP="0029047D">
      <w:pPr>
        <w:tabs>
          <w:tab w:val="left" w:pos="838"/>
        </w:tabs>
        <w:ind w:left="851"/>
        <w:rPr>
          <w:sz w:val="24"/>
          <w:szCs w:val="24"/>
        </w:rPr>
      </w:pPr>
      <w:r w:rsidRPr="0029047D">
        <w:rPr>
          <w:sz w:val="24"/>
          <w:szCs w:val="24"/>
        </w:rPr>
        <w:t>Patienter med svær hjerteinsufficiens skal monitoreres nøje.</w:t>
      </w:r>
    </w:p>
    <w:p w14:paraId="5092B46F" w14:textId="77777777" w:rsidR="0029047D" w:rsidRPr="0029047D" w:rsidRDefault="0029047D" w:rsidP="0029047D">
      <w:pPr>
        <w:tabs>
          <w:tab w:val="left" w:pos="838"/>
        </w:tabs>
        <w:ind w:left="851"/>
        <w:rPr>
          <w:sz w:val="24"/>
          <w:szCs w:val="24"/>
        </w:rPr>
      </w:pPr>
    </w:p>
    <w:p w14:paraId="2720E1AA" w14:textId="77777777" w:rsidR="0029047D" w:rsidRPr="0029047D" w:rsidRDefault="0029047D" w:rsidP="0029047D">
      <w:pPr>
        <w:tabs>
          <w:tab w:val="left" w:pos="838"/>
        </w:tabs>
        <w:ind w:left="851"/>
        <w:rPr>
          <w:sz w:val="24"/>
          <w:szCs w:val="24"/>
          <w:u w:val="single"/>
        </w:rPr>
      </w:pPr>
      <w:r w:rsidRPr="0029047D">
        <w:rPr>
          <w:sz w:val="24"/>
          <w:szCs w:val="24"/>
          <w:u w:val="single"/>
        </w:rPr>
        <w:t>Svært regulerbar hypertension</w:t>
      </w:r>
    </w:p>
    <w:p w14:paraId="337DFA58" w14:textId="77777777" w:rsidR="0029047D" w:rsidRPr="0029047D" w:rsidRDefault="0029047D" w:rsidP="0029047D">
      <w:pPr>
        <w:tabs>
          <w:tab w:val="left" w:pos="838"/>
        </w:tabs>
        <w:ind w:left="851"/>
        <w:rPr>
          <w:sz w:val="24"/>
          <w:szCs w:val="24"/>
        </w:rPr>
      </w:pPr>
      <w:r w:rsidRPr="0029047D">
        <w:rPr>
          <w:sz w:val="24"/>
          <w:szCs w:val="24"/>
        </w:rPr>
        <w:t xml:space="preserve">Patienter med hypertension, der er vanskelig at regulere, skal have kombineret </w:t>
      </w:r>
      <w:proofErr w:type="spellStart"/>
      <w:r w:rsidRPr="0029047D">
        <w:rPr>
          <w:sz w:val="24"/>
          <w:szCs w:val="24"/>
        </w:rPr>
        <w:t>antihypertensiv</w:t>
      </w:r>
      <w:proofErr w:type="spellEnd"/>
      <w:r w:rsidRPr="0029047D">
        <w:rPr>
          <w:sz w:val="24"/>
          <w:szCs w:val="24"/>
        </w:rPr>
        <w:t xml:space="preserve"> behandling og monitoreres med regelmæssige intervaller.</w:t>
      </w:r>
    </w:p>
    <w:p w14:paraId="02F9D5AB" w14:textId="77777777" w:rsidR="0029047D" w:rsidRPr="0029047D" w:rsidRDefault="0029047D" w:rsidP="0029047D">
      <w:pPr>
        <w:tabs>
          <w:tab w:val="left" w:pos="838"/>
        </w:tabs>
        <w:ind w:left="851"/>
        <w:rPr>
          <w:sz w:val="24"/>
          <w:szCs w:val="24"/>
        </w:rPr>
      </w:pPr>
    </w:p>
    <w:p w14:paraId="4586B07A" w14:textId="77777777" w:rsidR="0029047D" w:rsidRPr="0029047D" w:rsidRDefault="0029047D" w:rsidP="0029047D">
      <w:pPr>
        <w:tabs>
          <w:tab w:val="left" w:pos="838"/>
        </w:tabs>
        <w:ind w:left="851"/>
        <w:rPr>
          <w:sz w:val="24"/>
          <w:szCs w:val="24"/>
        </w:rPr>
      </w:pPr>
      <w:r w:rsidRPr="0029047D">
        <w:rPr>
          <w:sz w:val="24"/>
          <w:szCs w:val="24"/>
          <w:u w:val="single"/>
        </w:rPr>
        <w:t>Psykiske lidelser, herunder selvmordsrisiko (også i patientens psykiatriske anamnese)</w:t>
      </w:r>
      <w:r w:rsidRPr="0029047D">
        <w:rPr>
          <w:sz w:val="24"/>
          <w:szCs w:val="24"/>
        </w:rPr>
        <w:t xml:space="preserve"> </w:t>
      </w:r>
    </w:p>
    <w:p w14:paraId="5B2D0A5E" w14:textId="77777777" w:rsidR="0029047D" w:rsidRPr="0029047D" w:rsidRDefault="0029047D" w:rsidP="0029047D">
      <w:pPr>
        <w:tabs>
          <w:tab w:val="left" w:pos="838"/>
        </w:tabs>
        <w:ind w:left="851"/>
        <w:rPr>
          <w:sz w:val="24"/>
          <w:szCs w:val="24"/>
        </w:rPr>
      </w:pPr>
      <w:r w:rsidRPr="0029047D">
        <w:rPr>
          <w:sz w:val="24"/>
          <w:szCs w:val="24"/>
        </w:rPr>
        <w:t>Neurologisk og psykiatrisk opfølgning anbefales.</w:t>
      </w:r>
    </w:p>
    <w:p w14:paraId="69F3A504" w14:textId="77777777" w:rsidR="0029047D" w:rsidRPr="0029047D" w:rsidRDefault="0029047D" w:rsidP="0029047D">
      <w:pPr>
        <w:tabs>
          <w:tab w:val="left" w:pos="851"/>
        </w:tabs>
        <w:ind w:left="851"/>
        <w:rPr>
          <w:sz w:val="24"/>
          <w:szCs w:val="24"/>
        </w:rPr>
      </w:pPr>
    </w:p>
    <w:p w14:paraId="430E87BC" w14:textId="77777777" w:rsidR="0029047D" w:rsidRPr="0029047D" w:rsidRDefault="0029047D" w:rsidP="0029047D">
      <w:pPr>
        <w:tabs>
          <w:tab w:val="left" w:pos="851"/>
        </w:tabs>
        <w:ind w:left="851"/>
        <w:rPr>
          <w:sz w:val="24"/>
          <w:szCs w:val="24"/>
          <w:u w:val="single"/>
        </w:rPr>
      </w:pPr>
      <w:r w:rsidRPr="0029047D">
        <w:rPr>
          <w:sz w:val="24"/>
          <w:szCs w:val="24"/>
          <w:u w:val="single"/>
        </w:rPr>
        <w:t>Tarmperforation</w:t>
      </w:r>
    </w:p>
    <w:p w14:paraId="1F7A05C0" w14:textId="77777777" w:rsidR="0029047D" w:rsidRPr="0029047D" w:rsidRDefault="0029047D" w:rsidP="0029047D">
      <w:pPr>
        <w:tabs>
          <w:tab w:val="left" w:pos="851"/>
        </w:tabs>
        <w:ind w:left="851"/>
        <w:rPr>
          <w:sz w:val="24"/>
          <w:szCs w:val="24"/>
        </w:rPr>
      </w:pPr>
      <w:r w:rsidRPr="0029047D">
        <w:rPr>
          <w:sz w:val="24"/>
          <w:szCs w:val="24"/>
        </w:rPr>
        <w:t xml:space="preserve">På grund af risikoen for tarmperforation bør </w:t>
      </w:r>
      <w:proofErr w:type="spellStart"/>
      <w:r w:rsidRPr="0029047D">
        <w:rPr>
          <w:sz w:val="24"/>
          <w:szCs w:val="24"/>
        </w:rPr>
        <w:t>dexamethason</w:t>
      </w:r>
      <w:proofErr w:type="spellEnd"/>
      <w:r w:rsidRPr="0029047D">
        <w:rPr>
          <w:sz w:val="24"/>
          <w:szCs w:val="24"/>
        </w:rPr>
        <w:t xml:space="preserve"> kun administreres ved akut indikation og under supervision under betingelser såsom:</w:t>
      </w:r>
    </w:p>
    <w:p w14:paraId="273B510C" w14:textId="77777777" w:rsidR="0029047D" w:rsidRPr="0029047D" w:rsidRDefault="0029047D" w:rsidP="006B23B8">
      <w:pPr>
        <w:numPr>
          <w:ilvl w:val="2"/>
          <w:numId w:val="6"/>
        </w:numPr>
        <w:tabs>
          <w:tab w:val="left" w:pos="1134"/>
        </w:tabs>
        <w:ind w:firstLine="14"/>
        <w:rPr>
          <w:sz w:val="24"/>
          <w:szCs w:val="24"/>
        </w:rPr>
      </w:pPr>
      <w:proofErr w:type="gramStart"/>
      <w:r w:rsidRPr="0029047D">
        <w:rPr>
          <w:sz w:val="24"/>
          <w:szCs w:val="24"/>
        </w:rPr>
        <w:t>Svær ulcerøs colitis</w:t>
      </w:r>
      <w:proofErr w:type="gramEnd"/>
      <w:r w:rsidRPr="0029047D">
        <w:rPr>
          <w:sz w:val="24"/>
          <w:szCs w:val="24"/>
        </w:rPr>
        <w:t xml:space="preserve"> med risiko for perforation uden </w:t>
      </w:r>
      <w:proofErr w:type="spellStart"/>
      <w:r w:rsidRPr="0029047D">
        <w:rPr>
          <w:sz w:val="24"/>
          <w:szCs w:val="24"/>
        </w:rPr>
        <w:t>peritoneal</w:t>
      </w:r>
      <w:proofErr w:type="spellEnd"/>
      <w:r w:rsidRPr="0029047D">
        <w:rPr>
          <w:sz w:val="24"/>
          <w:szCs w:val="24"/>
        </w:rPr>
        <w:t xml:space="preserve"> irritation.</w:t>
      </w:r>
    </w:p>
    <w:p w14:paraId="29A0F8FA" w14:textId="77777777" w:rsidR="0029047D" w:rsidRPr="0029047D" w:rsidRDefault="0029047D" w:rsidP="006B23B8">
      <w:pPr>
        <w:numPr>
          <w:ilvl w:val="2"/>
          <w:numId w:val="6"/>
        </w:numPr>
        <w:tabs>
          <w:tab w:val="left" w:pos="1134"/>
        </w:tabs>
        <w:ind w:firstLine="14"/>
        <w:rPr>
          <w:sz w:val="24"/>
          <w:szCs w:val="24"/>
        </w:rPr>
      </w:pPr>
      <w:proofErr w:type="spellStart"/>
      <w:r w:rsidRPr="0029047D">
        <w:rPr>
          <w:sz w:val="24"/>
          <w:szCs w:val="24"/>
        </w:rPr>
        <w:t>Divertikulitit</w:t>
      </w:r>
      <w:proofErr w:type="spellEnd"/>
      <w:r w:rsidRPr="0029047D">
        <w:rPr>
          <w:sz w:val="24"/>
          <w:szCs w:val="24"/>
        </w:rPr>
        <w:t>.</w:t>
      </w:r>
    </w:p>
    <w:p w14:paraId="1F7C4A77" w14:textId="77777777" w:rsidR="0029047D" w:rsidRPr="0029047D" w:rsidRDefault="0029047D" w:rsidP="006B23B8">
      <w:pPr>
        <w:numPr>
          <w:ilvl w:val="2"/>
          <w:numId w:val="6"/>
        </w:numPr>
        <w:tabs>
          <w:tab w:val="left" w:pos="1134"/>
        </w:tabs>
        <w:ind w:firstLine="14"/>
        <w:rPr>
          <w:sz w:val="24"/>
          <w:szCs w:val="24"/>
        </w:rPr>
      </w:pPr>
      <w:proofErr w:type="spellStart"/>
      <w:r w:rsidRPr="0029047D">
        <w:rPr>
          <w:sz w:val="24"/>
          <w:szCs w:val="24"/>
        </w:rPr>
        <w:t>Enteroanastomose</w:t>
      </w:r>
      <w:proofErr w:type="spellEnd"/>
      <w:r w:rsidRPr="0029047D">
        <w:rPr>
          <w:sz w:val="24"/>
          <w:szCs w:val="24"/>
        </w:rPr>
        <w:t xml:space="preserve"> (umiddelbart efter operation).</w:t>
      </w:r>
    </w:p>
    <w:p w14:paraId="7E41812E" w14:textId="77777777" w:rsidR="0029047D" w:rsidRPr="0029047D" w:rsidRDefault="0029047D" w:rsidP="0029047D">
      <w:pPr>
        <w:tabs>
          <w:tab w:val="left" w:pos="851"/>
        </w:tabs>
        <w:ind w:left="851"/>
        <w:rPr>
          <w:sz w:val="24"/>
          <w:szCs w:val="24"/>
        </w:rPr>
      </w:pPr>
    </w:p>
    <w:p w14:paraId="3205CCA1" w14:textId="77777777" w:rsidR="0029047D" w:rsidRPr="0029047D" w:rsidRDefault="0029047D" w:rsidP="0029047D">
      <w:pPr>
        <w:tabs>
          <w:tab w:val="left" w:pos="851"/>
        </w:tabs>
        <w:ind w:left="851"/>
        <w:rPr>
          <w:sz w:val="24"/>
          <w:szCs w:val="24"/>
        </w:rPr>
      </w:pPr>
      <w:r w:rsidRPr="0029047D">
        <w:rPr>
          <w:sz w:val="24"/>
          <w:szCs w:val="24"/>
        </w:rPr>
        <w:t xml:space="preserve">Tegn på </w:t>
      </w:r>
      <w:proofErr w:type="spellStart"/>
      <w:r w:rsidRPr="0029047D">
        <w:rPr>
          <w:sz w:val="24"/>
          <w:szCs w:val="24"/>
        </w:rPr>
        <w:t>peritoneal</w:t>
      </w:r>
      <w:proofErr w:type="spellEnd"/>
      <w:r w:rsidRPr="0029047D">
        <w:rPr>
          <w:sz w:val="24"/>
          <w:szCs w:val="24"/>
        </w:rPr>
        <w:t xml:space="preserve"> irritation efter </w:t>
      </w:r>
      <w:proofErr w:type="spellStart"/>
      <w:r w:rsidRPr="0029047D">
        <w:rPr>
          <w:sz w:val="24"/>
          <w:szCs w:val="24"/>
        </w:rPr>
        <w:t>gastrointestinal</w:t>
      </w:r>
      <w:proofErr w:type="spellEnd"/>
      <w:r w:rsidRPr="0029047D">
        <w:rPr>
          <w:sz w:val="24"/>
          <w:szCs w:val="24"/>
        </w:rPr>
        <w:t xml:space="preserve"> perforation kan være fraværende hos patienter, som behandles med høje doser </w:t>
      </w:r>
      <w:proofErr w:type="spellStart"/>
      <w:r w:rsidRPr="0029047D">
        <w:rPr>
          <w:sz w:val="24"/>
          <w:szCs w:val="24"/>
        </w:rPr>
        <w:t>glukokortikoider</w:t>
      </w:r>
      <w:proofErr w:type="spellEnd"/>
      <w:r w:rsidRPr="0029047D">
        <w:rPr>
          <w:sz w:val="24"/>
          <w:szCs w:val="24"/>
        </w:rPr>
        <w:t>.</w:t>
      </w:r>
    </w:p>
    <w:p w14:paraId="23880D57" w14:textId="77777777" w:rsidR="0029047D" w:rsidRPr="0029047D" w:rsidRDefault="0029047D" w:rsidP="0029047D">
      <w:pPr>
        <w:tabs>
          <w:tab w:val="left" w:pos="851"/>
        </w:tabs>
        <w:ind w:left="851"/>
        <w:rPr>
          <w:sz w:val="24"/>
          <w:szCs w:val="24"/>
        </w:rPr>
      </w:pPr>
    </w:p>
    <w:p w14:paraId="357475B5" w14:textId="77777777" w:rsidR="0029047D" w:rsidRPr="0029047D" w:rsidRDefault="0029047D" w:rsidP="0029047D">
      <w:pPr>
        <w:tabs>
          <w:tab w:val="left" w:pos="851"/>
        </w:tabs>
        <w:ind w:left="851"/>
        <w:rPr>
          <w:sz w:val="24"/>
          <w:szCs w:val="24"/>
          <w:u w:val="single"/>
        </w:rPr>
      </w:pPr>
      <w:proofErr w:type="spellStart"/>
      <w:r w:rsidRPr="0029047D">
        <w:rPr>
          <w:sz w:val="24"/>
          <w:szCs w:val="24"/>
          <w:u w:val="single"/>
        </w:rPr>
        <w:t>Anafylaktiske</w:t>
      </w:r>
      <w:proofErr w:type="spellEnd"/>
      <w:r w:rsidRPr="0029047D">
        <w:rPr>
          <w:sz w:val="24"/>
          <w:szCs w:val="24"/>
          <w:u w:val="single"/>
        </w:rPr>
        <w:t xml:space="preserve"> reaktioner</w:t>
      </w:r>
    </w:p>
    <w:p w14:paraId="4FD475F2" w14:textId="77777777" w:rsidR="0029047D" w:rsidRPr="0029047D" w:rsidRDefault="0029047D" w:rsidP="0029047D">
      <w:pPr>
        <w:tabs>
          <w:tab w:val="left" w:pos="851"/>
        </w:tabs>
        <w:ind w:left="851"/>
        <w:rPr>
          <w:sz w:val="24"/>
          <w:szCs w:val="24"/>
        </w:rPr>
      </w:pPr>
      <w:r w:rsidRPr="0029047D">
        <w:rPr>
          <w:sz w:val="24"/>
          <w:szCs w:val="24"/>
        </w:rPr>
        <w:t xml:space="preserve">Der kan opstå svære </w:t>
      </w:r>
      <w:proofErr w:type="spellStart"/>
      <w:r w:rsidRPr="0029047D">
        <w:rPr>
          <w:sz w:val="24"/>
          <w:szCs w:val="24"/>
        </w:rPr>
        <w:t>anafylaktiske</w:t>
      </w:r>
      <w:proofErr w:type="spellEnd"/>
      <w:r w:rsidRPr="0029047D">
        <w:rPr>
          <w:sz w:val="24"/>
          <w:szCs w:val="24"/>
        </w:rPr>
        <w:t xml:space="preserve"> reaktioner (se pkt. 4.8).</w:t>
      </w:r>
    </w:p>
    <w:p w14:paraId="24BDB2E9" w14:textId="77777777" w:rsidR="0029047D" w:rsidRPr="0029047D" w:rsidRDefault="0029047D" w:rsidP="0029047D">
      <w:pPr>
        <w:tabs>
          <w:tab w:val="left" w:pos="851"/>
        </w:tabs>
        <w:ind w:left="851"/>
        <w:rPr>
          <w:sz w:val="24"/>
          <w:szCs w:val="24"/>
        </w:rPr>
      </w:pPr>
    </w:p>
    <w:p w14:paraId="1C856100" w14:textId="77777777" w:rsidR="0029047D" w:rsidRPr="0029047D" w:rsidRDefault="0029047D" w:rsidP="0029047D">
      <w:pPr>
        <w:tabs>
          <w:tab w:val="left" w:pos="851"/>
        </w:tabs>
        <w:ind w:left="851"/>
        <w:rPr>
          <w:sz w:val="24"/>
          <w:szCs w:val="24"/>
          <w:u w:val="single"/>
        </w:rPr>
      </w:pPr>
      <w:proofErr w:type="spellStart"/>
      <w:r w:rsidRPr="0029047D">
        <w:rPr>
          <w:sz w:val="24"/>
          <w:szCs w:val="24"/>
          <w:u w:val="single"/>
        </w:rPr>
        <w:t>Myasthenia</w:t>
      </w:r>
      <w:proofErr w:type="spellEnd"/>
      <w:r w:rsidRPr="0029047D">
        <w:rPr>
          <w:sz w:val="24"/>
          <w:szCs w:val="24"/>
          <w:u w:val="single"/>
        </w:rPr>
        <w:t xml:space="preserve"> </w:t>
      </w:r>
      <w:proofErr w:type="spellStart"/>
      <w:r w:rsidRPr="0029047D">
        <w:rPr>
          <w:sz w:val="24"/>
          <w:szCs w:val="24"/>
          <w:u w:val="single"/>
        </w:rPr>
        <w:t>gravis</w:t>
      </w:r>
      <w:proofErr w:type="spellEnd"/>
    </w:p>
    <w:p w14:paraId="43E6F3FF" w14:textId="77777777" w:rsidR="0029047D" w:rsidRPr="0029047D" w:rsidRDefault="0029047D" w:rsidP="0029047D">
      <w:pPr>
        <w:tabs>
          <w:tab w:val="left" w:pos="851"/>
        </w:tabs>
        <w:ind w:left="851"/>
        <w:rPr>
          <w:sz w:val="24"/>
          <w:szCs w:val="24"/>
        </w:rPr>
      </w:pPr>
      <w:r w:rsidRPr="0029047D">
        <w:rPr>
          <w:sz w:val="24"/>
          <w:szCs w:val="24"/>
        </w:rPr>
        <w:t xml:space="preserve">Samtidig </w:t>
      </w:r>
      <w:proofErr w:type="spellStart"/>
      <w:r w:rsidRPr="0029047D">
        <w:rPr>
          <w:sz w:val="24"/>
          <w:szCs w:val="24"/>
        </w:rPr>
        <w:t>myasthenia</w:t>
      </w:r>
      <w:proofErr w:type="spellEnd"/>
      <w:r w:rsidRPr="0029047D">
        <w:rPr>
          <w:sz w:val="24"/>
          <w:szCs w:val="24"/>
        </w:rPr>
        <w:t xml:space="preserve"> </w:t>
      </w:r>
      <w:proofErr w:type="spellStart"/>
      <w:r w:rsidRPr="0029047D">
        <w:rPr>
          <w:sz w:val="24"/>
          <w:szCs w:val="24"/>
        </w:rPr>
        <w:t>gravis</w:t>
      </w:r>
      <w:proofErr w:type="spellEnd"/>
      <w:r w:rsidRPr="0029047D">
        <w:rPr>
          <w:sz w:val="24"/>
          <w:szCs w:val="24"/>
        </w:rPr>
        <w:t xml:space="preserve"> kan initialt forværres under behandling med </w:t>
      </w:r>
      <w:proofErr w:type="spellStart"/>
      <w:r w:rsidRPr="0029047D">
        <w:rPr>
          <w:sz w:val="24"/>
          <w:szCs w:val="24"/>
        </w:rPr>
        <w:t>dexamethason</w:t>
      </w:r>
      <w:proofErr w:type="spellEnd"/>
      <w:r w:rsidRPr="0029047D">
        <w:rPr>
          <w:sz w:val="24"/>
          <w:szCs w:val="24"/>
        </w:rPr>
        <w:t>.</w:t>
      </w:r>
    </w:p>
    <w:p w14:paraId="0E2B63EB" w14:textId="77777777" w:rsidR="0029047D" w:rsidRPr="0029047D" w:rsidRDefault="0029047D" w:rsidP="0029047D">
      <w:pPr>
        <w:tabs>
          <w:tab w:val="left" w:pos="851"/>
        </w:tabs>
        <w:ind w:left="851"/>
        <w:rPr>
          <w:sz w:val="24"/>
          <w:szCs w:val="24"/>
        </w:rPr>
      </w:pPr>
    </w:p>
    <w:p w14:paraId="31A4DF86" w14:textId="77777777" w:rsidR="0029047D" w:rsidRPr="0029047D" w:rsidRDefault="0029047D" w:rsidP="0029047D">
      <w:pPr>
        <w:tabs>
          <w:tab w:val="left" w:pos="851"/>
        </w:tabs>
        <w:ind w:left="851"/>
        <w:rPr>
          <w:sz w:val="24"/>
          <w:szCs w:val="24"/>
          <w:u w:val="single"/>
        </w:rPr>
      </w:pPr>
      <w:proofErr w:type="spellStart"/>
      <w:r w:rsidRPr="0029047D">
        <w:rPr>
          <w:sz w:val="24"/>
          <w:szCs w:val="24"/>
          <w:u w:val="single"/>
        </w:rPr>
        <w:t>Hypothyreoidisme</w:t>
      </w:r>
      <w:proofErr w:type="spellEnd"/>
      <w:r w:rsidRPr="0029047D">
        <w:rPr>
          <w:sz w:val="24"/>
          <w:szCs w:val="24"/>
          <w:u w:val="single"/>
        </w:rPr>
        <w:t xml:space="preserve"> eller levercirrose</w:t>
      </w:r>
    </w:p>
    <w:p w14:paraId="1D1FF784" w14:textId="77777777" w:rsidR="0029047D" w:rsidRPr="0029047D" w:rsidRDefault="0029047D" w:rsidP="0029047D">
      <w:pPr>
        <w:tabs>
          <w:tab w:val="left" w:pos="851"/>
        </w:tabs>
        <w:ind w:left="851"/>
        <w:rPr>
          <w:sz w:val="24"/>
          <w:szCs w:val="24"/>
        </w:rPr>
      </w:pPr>
      <w:r w:rsidRPr="0029047D">
        <w:rPr>
          <w:sz w:val="24"/>
          <w:szCs w:val="24"/>
        </w:rPr>
        <w:t xml:space="preserve">Virkningerne af </w:t>
      </w:r>
      <w:proofErr w:type="spellStart"/>
      <w:r w:rsidRPr="0029047D">
        <w:rPr>
          <w:sz w:val="24"/>
          <w:szCs w:val="24"/>
        </w:rPr>
        <w:t>kortikosteroider</w:t>
      </w:r>
      <w:proofErr w:type="spellEnd"/>
      <w:r w:rsidRPr="0029047D">
        <w:rPr>
          <w:sz w:val="24"/>
          <w:szCs w:val="24"/>
        </w:rPr>
        <w:t xml:space="preserve"> forstærkes hos patienter med </w:t>
      </w:r>
      <w:proofErr w:type="spellStart"/>
      <w:r w:rsidRPr="0029047D">
        <w:rPr>
          <w:sz w:val="24"/>
          <w:szCs w:val="24"/>
        </w:rPr>
        <w:t>hypothyreoidisme</w:t>
      </w:r>
      <w:proofErr w:type="spellEnd"/>
      <w:r w:rsidRPr="0029047D">
        <w:rPr>
          <w:sz w:val="24"/>
          <w:szCs w:val="24"/>
        </w:rPr>
        <w:t xml:space="preserve"> eller levercirrose.</w:t>
      </w:r>
    </w:p>
    <w:p w14:paraId="6E6742A4" w14:textId="77777777" w:rsidR="0029047D" w:rsidRPr="0029047D" w:rsidRDefault="0029047D" w:rsidP="0029047D">
      <w:pPr>
        <w:tabs>
          <w:tab w:val="left" w:pos="851"/>
        </w:tabs>
        <w:ind w:left="851"/>
        <w:rPr>
          <w:sz w:val="24"/>
          <w:szCs w:val="24"/>
          <w:u w:val="single"/>
        </w:rPr>
      </w:pPr>
    </w:p>
    <w:p w14:paraId="0A74768E" w14:textId="77777777" w:rsidR="0029047D" w:rsidRPr="0029047D" w:rsidRDefault="0029047D" w:rsidP="0029047D">
      <w:pPr>
        <w:tabs>
          <w:tab w:val="left" w:pos="851"/>
        </w:tabs>
        <w:ind w:left="851"/>
        <w:rPr>
          <w:sz w:val="24"/>
          <w:szCs w:val="24"/>
          <w:u w:val="single"/>
        </w:rPr>
      </w:pPr>
      <w:r w:rsidRPr="0029047D">
        <w:rPr>
          <w:sz w:val="24"/>
          <w:szCs w:val="24"/>
          <w:u w:val="single"/>
        </w:rPr>
        <w:t>Virkning på kalium- og natriumniveauer</w:t>
      </w:r>
    </w:p>
    <w:p w14:paraId="30F4EB7F" w14:textId="77777777" w:rsidR="0029047D" w:rsidRPr="0029047D" w:rsidRDefault="0029047D" w:rsidP="0029047D">
      <w:pPr>
        <w:tabs>
          <w:tab w:val="left" w:pos="851"/>
        </w:tabs>
        <w:ind w:left="851"/>
        <w:rPr>
          <w:sz w:val="24"/>
          <w:szCs w:val="24"/>
        </w:rPr>
      </w:pPr>
      <w:r w:rsidRPr="0029047D">
        <w:rPr>
          <w:sz w:val="24"/>
          <w:szCs w:val="24"/>
        </w:rPr>
        <w:t xml:space="preserve">Høje doser </w:t>
      </w:r>
      <w:proofErr w:type="spellStart"/>
      <w:r w:rsidRPr="0029047D">
        <w:rPr>
          <w:sz w:val="24"/>
          <w:szCs w:val="24"/>
        </w:rPr>
        <w:t>dexamethason</w:t>
      </w:r>
      <w:proofErr w:type="spellEnd"/>
      <w:r w:rsidRPr="0029047D">
        <w:rPr>
          <w:sz w:val="24"/>
          <w:szCs w:val="24"/>
        </w:rPr>
        <w:t xml:space="preserve"> kræver passende tilskud af kalium og en natriumbegrænset kost, og kaliumniveauerne i plasma bør monitoreres.</w:t>
      </w:r>
    </w:p>
    <w:p w14:paraId="3EFB2CAC" w14:textId="77777777" w:rsidR="0029047D" w:rsidRPr="0029047D" w:rsidRDefault="0029047D" w:rsidP="0029047D">
      <w:pPr>
        <w:tabs>
          <w:tab w:val="left" w:pos="851"/>
        </w:tabs>
        <w:ind w:left="851"/>
        <w:rPr>
          <w:sz w:val="24"/>
          <w:szCs w:val="24"/>
          <w:u w:val="single"/>
        </w:rPr>
      </w:pPr>
    </w:p>
    <w:p w14:paraId="44ED8B8A" w14:textId="77777777" w:rsidR="0029047D" w:rsidRPr="0029047D" w:rsidRDefault="0029047D" w:rsidP="0029047D">
      <w:pPr>
        <w:tabs>
          <w:tab w:val="left" w:pos="851"/>
        </w:tabs>
        <w:ind w:left="851"/>
        <w:rPr>
          <w:sz w:val="24"/>
          <w:szCs w:val="24"/>
          <w:u w:val="single"/>
        </w:rPr>
      </w:pPr>
      <w:r w:rsidRPr="0029047D">
        <w:rPr>
          <w:sz w:val="24"/>
          <w:szCs w:val="24"/>
          <w:u w:val="single"/>
        </w:rPr>
        <w:t>Bradykardi</w:t>
      </w:r>
    </w:p>
    <w:p w14:paraId="680F0ACB" w14:textId="77777777" w:rsidR="0029047D" w:rsidRPr="0029047D" w:rsidRDefault="0029047D" w:rsidP="0029047D">
      <w:pPr>
        <w:tabs>
          <w:tab w:val="left" w:pos="851"/>
        </w:tabs>
        <w:ind w:left="851"/>
        <w:rPr>
          <w:sz w:val="24"/>
          <w:szCs w:val="24"/>
        </w:rPr>
      </w:pPr>
      <w:r w:rsidRPr="0029047D">
        <w:rPr>
          <w:sz w:val="24"/>
          <w:szCs w:val="24"/>
        </w:rPr>
        <w:t xml:space="preserve">Administration af høje doser </w:t>
      </w:r>
      <w:proofErr w:type="spellStart"/>
      <w:r w:rsidRPr="0029047D">
        <w:rPr>
          <w:sz w:val="24"/>
          <w:szCs w:val="24"/>
        </w:rPr>
        <w:t>dexamethason</w:t>
      </w:r>
      <w:proofErr w:type="spellEnd"/>
      <w:r w:rsidRPr="0029047D">
        <w:rPr>
          <w:sz w:val="24"/>
          <w:szCs w:val="24"/>
        </w:rPr>
        <w:t xml:space="preserve"> kan føre til bradykardi.</w:t>
      </w:r>
    </w:p>
    <w:p w14:paraId="241DE989" w14:textId="77777777" w:rsidR="0029047D" w:rsidRPr="0029047D" w:rsidRDefault="0029047D" w:rsidP="0029047D">
      <w:pPr>
        <w:tabs>
          <w:tab w:val="left" w:pos="851"/>
        </w:tabs>
        <w:ind w:left="851"/>
        <w:rPr>
          <w:sz w:val="24"/>
          <w:szCs w:val="24"/>
        </w:rPr>
      </w:pPr>
    </w:p>
    <w:p w14:paraId="2A94F3CE" w14:textId="77777777" w:rsidR="0029047D" w:rsidRPr="0029047D" w:rsidRDefault="0029047D" w:rsidP="0029047D">
      <w:pPr>
        <w:tabs>
          <w:tab w:val="left" w:pos="851"/>
        </w:tabs>
        <w:ind w:left="851"/>
        <w:rPr>
          <w:sz w:val="24"/>
          <w:szCs w:val="24"/>
          <w:u w:val="single"/>
        </w:rPr>
      </w:pPr>
      <w:r w:rsidRPr="0029047D">
        <w:rPr>
          <w:sz w:val="24"/>
          <w:szCs w:val="24"/>
          <w:u w:val="single"/>
        </w:rPr>
        <w:t>Tumorlysesyndrom</w:t>
      </w:r>
    </w:p>
    <w:p w14:paraId="2F59E0CE" w14:textId="77777777" w:rsidR="0029047D" w:rsidRPr="0029047D" w:rsidRDefault="0029047D" w:rsidP="0029047D">
      <w:pPr>
        <w:tabs>
          <w:tab w:val="left" w:pos="851"/>
        </w:tabs>
        <w:ind w:left="851"/>
        <w:rPr>
          <w:sz w:val="24"/>
          <w:szCs w:val="24"/>
        </w:rPr>
      </w:pPr>
      <w:r w:rsidRPr="0029047D">
        <w:rPr>
          <w:sz w:val="24"/>
          <w:szCs w:val="24"/>
        </w:rPr>
        <w:t xml:space="preserve">Efter markedsføring er der rapporteret om tumorlysesyndrom (TLS) hos patienter med hæmatologiske </w:t>
      </w:r>
      <w:proofErr w:type="spellStart"/>
      <w:r w:rsidRPr="0029047D">
        <w:rPr>
          <w:sz w:val="24"/>
          <w:szCs w:val="24"/>
        </w:rPr>
        <w:t>maligniteter</w:t>
      </w:r>
      <w:proofErr w:type="spellEnd"/>
      <w:r w:rsidRPr="0029047D">
        <w:rPr>
          <w:sz w:val="24"/>
          <w:szCs w:val="24"/>
        </w:rPr>
        <w:t xml:space="preserve"> efter brug af </w:t>
      </w:r>
      <w:proofErr w:type="spellStart"/>
      <w:r w:rsidRPr="0029047D">
        <w:rPr>
          <w:sz w:val="24"/>
          <w:szCs w:val="24"/>
        </w:rPr>
        <w:t>dexamethason</w:t>
      </w:r>
      <w:proofErr w:type="spellEnd"/>
      <w:r w:rsidRPr="0029047D">
        <w:rPr>
          <w:sz w:val="24"/>
          <w:szCs w:val="24"/>
        </w:rPr>
        <w:t xml:space="preserve"> alene eller i kombination med kemoterapeutika. Patienter med høj risiko for TLS, for eksempel patienter med høj </w:t>
      </w:r>
      <w:proofErr w:type="spellStart"/>
      <w:r w:rsidRPr="0029047D">
        <w:rPr>
          <w:sz w:val="24"/>
          <w:szCs w:val="24"/>
        </w:rPr>
        <w:t>proliferationsrate</w:t>
      </w:r>
      <w:proofErr w:type="spellEnd"/>
      <w:r w:rsidRPr="0029047D">
        <w:rPr>
          <w:sz w:val="24"/>
          <w:szCs w:val="24"/>
        </w:rPr>
        <w:t xml:space="preserve">, høj tumorbyrde og høj følsomhed over for </w:t>
      </w:r>
      <w:proofErr w:type="spellStart"/>
      <w:r w:rsidRPr="0029047D">
        <w:rPr>
          <w:sz w:val="24"/>
          <w:szCs w:val="24"/>
        </w:rPr>
        <w:t>cytotoksika</w:t>
      </w:r>
      <w:proofErr w:type="spellEnd"/>
      <w:r w:rsidRPr="0029047D">
        <w:rPr>
          <w:sz w:val="24"/>
          <w:szCs w:val="24"/>
        </w:rPr>
        <w:t>, bør monitoreres nøje, og der bør træffes passende forholdsregler.</w:t>
      </w:r>
    </w:p>
    <w:p w14:paraId="261216CE" w14:textId="77777777" w:rsidR="0029047D" w:rsidRPr="0029047D" w:rsidRDefault="0029047D" w:rsidP="0029047D">
      <w:pPr>
        <w:tabs>
          <w:tab w:val="left" w:pos="851"/>
        </w:tabs>
        <w:ind w:left="851"/>
        <w:rPr>
          <w:sz w:val="24"/>
          <w:szCs w:val="24"/>
        </w:rPr>
      </w:pPr>
    </w:p>
    <w:p w14:paraId="1F0199C1" w14:textId="77777777" w:rsidR="0029047D" w:rsidRPr="0029047D" w:rsidRDefault="0029047D" w:rsidP="0029047D">
      <w:pPr>
        <w:tabs>
          <w:tab w:val="left" w:pos="838"/>
        </w:tabs>
        <w:ind w:left="851"/>
        <w:rPr>
          <w:sz w:val="24"/>
          <w:szCs w:val="24"/>
          <w:u w:val="single"/>
        </w:rPr>
      </w:pPr>
      <w:r w:rsidRPr="0029047D">
        <w:rPr>
          <w:sz w:val="24"/>
          <w:szCs w:val="24"/>
          <w:u w:val="single"/>
        </w:rPr>
        <w:t>Mavesår</w:t>
      </w:r>
    </w:p>
    <w:p w14:paraId="1B744E71" w14:textId="77777777" w:rsidR="0029047D" w:rsidRPr="0029047D" w:rsidRDefault="0029047D" w:rsidP="0029047D">
      <w:pPr>
        <w:tabs>
          <w:tab w:val="left" w:pos="838"/>
        </w:tabs>
        <w:ind w:left="851"/>
        <w:rPr>
          <w:sz w:val="24"/>
          <w:szCs w:val="24"/>
        </w:rPr>
      </w:pPr>
      <w:r w:rsidRPr="0029047D">
        <w:rPr>
          <w:sz w:val="24"/>
          <w:szCs w:val="24"/>
        </w:rPr>
        <w:t>Samtidig behandling med mavesårsmedicin anbefales.</w:t>
      </w:r>
    </w:p>
    <w:p w14:paraId="57F209E9" w14:textId="77777777" w:rsidR="0029047D" w:rsidRPr="0029047D" w:rsidRDefault="0029047D" w:rsidP="0029047D">
      <w:pPr>
        <w:tabs>
          <w:tab w:val="left" w:pos="851"/>
        </w:tabs>
        <w:ind w:left="851"/>
        <w:rPr>
          <w:sz w:val="24"/>
          <w:szCs w:val="24"/>
          <w:u w:val="single"/>
        </w:rPr>
      </w:pPr>
    </w:p>
    <w:p w14:paraId="7B7306B5" w14:textId="77777777" w:rsidR="0029047D" w:rsidRPr="0029047D" w:rsidRDefault="0029047D" w:rsidP="0029047D">
      <w:pPr>
        <w:tabs>
          <w:tab w:val="left" w:pos="838"/>
        </w:tabs>
        <w:ind w:left="851"/>
        <w:rPr>
          <w:sz w:val="24"/>
          <w:szCs w:val="24"/>
          <w:u w:val="single"/>
        </w:rPr>
      </w:pPr>
      <w:r w:rsidRPr="0029047D">
        <w:rPr>
          <w:sz w:val="24"/>
          <w:szCs w:val="24"/>
          <w:u w:val="single"/>
        </w:rPr>
        <w:t xml:space="preserve">Snævervinklet </w:t>
      </w:r>
      <w:proofErr w:type="spellStart"/>
      <w:r w:rsidRPr="0029047D">
        <w:rPr>
          <w:sz w:val="24"/>
          <w:szCs w:val="24"/>
          <w:u w:val="single"/>
        </w:rPr>
        <w:t>glaukom</w:t>
      </w:r>
      <w:proofErr w:type="spellEnd"/>
      <w:r w:rsidRPr="0029047D">
        <w:rPr>
          <w:sz w:val="24"/>
          <w:szCs w:val="24"/>
          <w:u w:val="single"/>
        </w:rPr>
        <w:t xml:space="preserve">, åbenvinklet </w:t>
      </w:r>
      <w:proofErr w:type="spellStart"/>
      <w:r w:rsidRPr="0029047D">
        <w:rPr>
          <w:sz w:val="24"/>
          <w:szCs w:val="24"/>
          <w:u w:val="single"/>
        </w:rPr>
        <w:t>glaukom</w:t>
      </w:r>
      <w:proofErr w:type="spellEnd"/>
      <w:r w:rsidRPr="0029047D">
        <w:rPr>
          <w:sz w:val="24"/>
          <w:szCs w:val="24"/>
          <w:u w:val="single"/>
        </w:rPr>
        <w:t>, sår eller læsioner på hornhinden</w:t>
      </w:r>
    </w:p>
    <w:p w14:paraId="06D55082" w14:textId="77777777" w:rsidR="0029047D" w:rsidRPr="0029047D" w:rsidRDefault="0029047D" w:rsidP="0029047D">
      <w:pPr>
        <w:tabs>
          <w:tab w:val="left" w:pos="838"/>
        </w:tabs>
        <w:ind w:left="851"/>
        <w:rPr>
          <w:sz w:val="24"/>
          <w:szCs w:val="24"/>
        </w:rPr>
      </w:pPr>
      <w:r w:rsidRPr="0029047D">
        <w:rPr>
          <w:sz w:val="24"/>
          <w:szCs w:val="24"/>
        </w:rPr>
        <w:t>Nøje oftalmologisk monitorering og relevant behandling anbefales.</w:t>
      </w:r>
    </w:p>
    <w:p w14:paraId="407E3D5B" w14:textId="77777777" w:rsidR="0029047D" w:rsidRPr="0029047D" w:rsidRDefault="0029047D" w:rsidP="0029047D">
      <w:pPr>
        <w:tabs>
          <w:tab w:val="left" w:pos="851"/>
        </w:tabs>
        <w:ind w:left="851"/>
        <w:rPr>
          <w:sz w:val="24"/>
          <w:szCs w:val="24"/>
          <w:u w:val="single"/>
        </w:rPr>
      </w:pPr>
    </w:p>
    <w:p w14:paraId="46049364" w14:textId="77777777" w:rsidR="0029047D" w:rsidRPr="0029047D" w:rsidRDefault="0029047D" w:rsidP="0029047D">
      <w:pPr>
        <w:tabs>
          <w:tab w:val="left" w:pos="851"/>
        </w:tabs>
        <w:ind w:left="851"/>
        <w:rPr>
          <w:sz w:val="24"/>
          <w:szCs w:val="24"/>
          <w:u w:val="single"/>
        </w:rPr>
      </w:pPr>
      <w:r w:rsidRPr="0029047D">
        <w:rPr>
          <w:sz w:val="24"/>
          <w:szCs w:val="24"/>
          <w:u w:val="single"/>
        </w:rPr>
        <w:t>Synsforstyrrelser</w:t>
      </w:r>
    </w:p>
    <w:p w14:paraId="38973A2C" w14:textId="77777777" w:rsidR="0029047D" w:rsidRPr="0029047D" w:rsidRDefault="0029047D" w:rsidP="0029047D">
      <w:pPr>
        <w:tabs>
          <w:tab w:val="left" w:pos="851"/>
        </w:tabs>
        <w:ind w:left="851"/>
        <w:rPr>
          <w:sz w:val="24"/>
          <w:szCs w:val="24"/>
        </w:rPr>
      </w:pPr>
      <w:r w:rsidRPr="0029047D">
        <w:rPr>
          <w:sz w:val="24"/>
          <w:szCs w:val="24"/>
        </w:rPr>
        <w:t xml:space="preserve">Der er rapporteret om synsforstyrrelser efter systemisk og topisk anvendelse af </w:t>
      </w:r>
      <w:proofErr w:type="spellStart"/>
      <w:r w:rsidRPr="0029047D">
        <w:rPr>
          <w:sz w:val="24"/>
          <w:szCs w:val="24"/>
        </w:rPr>
        <w:t>kortikosteroider</w:t>
      </w:r>
      <w:proofErr w:type="spellEnd"/>
      <w:r w:rsidRPr="0029047D">
        <w:rPr>
          <w:sz w:val="24"/>
          <w:szCs w:val="24"/>
        </w:rPr>
        <w:t xml:space="preserve">. Hvis en patient har symptomer såsom sløret syn eller andre synsforstyrrelser, bør det overvejes at henvise patienten til øjenlæge for at få klarlagt de mulige årsager. Årsagerne kan være katarakt, </w:t>
      </w:r>
      <w:proofErr w:type="spellStart"/>
      <w:r w:rsidRPr="0029047D">
        <w:rPr>
          <w:sz w:val="24"/>
          <w:szCs w:val="24"/>
        </w:rPr>
        <w:t>glaukom</w:t>
      </w:r>
      <w:proofErr w:type="spellEnd"/>
      <w:r w:rsidRPr="0029047D">
        <w:rPr>
          <w:sz w:val="24"/>
          <w:szCs w:val="24"/>
        </w:rPr>
        <w:t xml:space="preserve"> eller sjældne sygdomme, for eksempel central serøs </w:t>
      </w:r>
      <w:proofErr w:type="spellStart"/>
      <w:r w:rsidRPr="0029047D">
        <w:rPr>
          <w:sz w:val="24"/>
          <w:szCs w:val="24"/>
        </w:rPr>
        <w:t>korioretinopati</w:t>
      </w:r>
      <w:proofErr w:type="spellEnd"/>
      <w:r w:rsidRPr="0029047D">
        <w:rPr>
          <w:sz w:val="24"/>
          <w:szCs w:val="24"/>
        </w:rPr>
        <w:t xml:space="preserve"> (CSCR), der er indberettet efter anvendelse af systemiske og topiske </w:t>
      </w:r>
      <w:proofErr w:type="spellStart"/>
      <w:r w:rsidRPr="0029047D">
        <w:rPr>
          <w:sz w:val="24"/>
          <w:szCs w:val="24"/>
        </w:rPr>
        <w:t>kortikosteroider</w:t>
      </w:r>
      <w:proofErr w:type="spellEnd"/>
      <w:r w:rsidRPr="0029047D">
        <w:rPr>
          <w:sz w:val="24"/>
          <w:szCs w:val="24"/>
        </w:rPr>
        <w:t>.</w:t>
      </w:r>
    </w:p>
    <w:p w14:paraId="1C9F7178" w14:textId="77777777" w:rsidR="0029047D" w:rsidRPr="0029047D" w:rsidRDefault="0029047D" w:rsidP="0029047D">
      <w:pPr>
        <w:tabs>
          <w:tab w:val="left" w:pos="851"/>
        </w:tabs>
        <w:ind w:left="851"/>
        <w:rPr>
          <w:sz w:val="24"/>
          <w:szCs w:val="24"/>
        </w:rPr>
      </w:pPr>
    </w:p>
    <w:p w14:paraId="2BD0C703" w14:textId="77777777" w:rsidR="0029047D" w:rsidRPr="0029047D" w:rsidRDefault="0029047D" w:rsidP="0029047D">
      <w:pPr>
        <w:tabs>
          <w:tab w:val="left" w:pos="851"/>
        </w:tabs>
        <w:ind w:left="851"/>
        <w:rPr>
          <w:sz w:val="24"/>
          <w:szCs w:val="24"/>
          <w:u w:val="single"/>
        </w:rPr>
      </w:pPr>
      <w:r w:rsidRPr="0029047D">
        <w:rPr>
          <w:sz w:val="24"/>
          <w:szCs w:val="24"/>
          <w:u w:val="single"/>
        </w:rPr>
        <w:t>Behandling af COVID-19</w:t>
      </w:r>
    </w:p>
    <w:p w14:paraId="036F7D55" w14:textId="77777777" w:rsidR="0029047D" w:rsidRPr="0029047D" w:rsidRDefault="0029047D" w:rsidP="0029047D">
      <w:pPr>
        <w:tabs>
          <w:tab w:val="left" w:pos="851"/>
        </w:tabs>
        <w:ind w:left="851"/>
        <w:rPr>
          <w:sz w:val="24"/>
          <w:szCs w:val="24"/>
        </w:rPr>
      </w:pPr>
      <w:r w:rsidRPr="0029047D">
        <w:rPr>
          <w:sz w:val="24"/>
          <w:szCs w:val="24"/>
        </w:rPr>
        <w:t xml:space="preserve">Systemiske </w:t>
      </w:r>
      <w:proofErr w:type="spellStart"/>
      <w:r w:rsidRPr="0029047D">
        <w:rPr>
          <w:sz w:val="24"/>
          <w:szCs w:val="24"/>
        </w:rPr>
        <w:t>kortikosteroider</w:t>
      </w:r>
      <w:proofErr w:type="spellEnd"/>
      <w:r w:rsidRPr="0029047D">
        <w:rPr>
          <w:sz w:val="24"/>
          <w:szCs w:val="24"/>
        </w:rPr>
        <w:t xml:space="preserve"> bør ikke seponeres hos patienter, der allerede behandles med systemiske (orale) </w:t>
      </w:r>
      <w:proofErr w:type="spellStart"/>
      <w:r w:rsidRPr="0029047D">
        <w:rPr>
          <w:sz w:val="24"/>
          <w:szCs w:val="24"/>
        </w:rPr>
        <w:t>kortikosteroider</w:t>
      </w:r>
      <w:proofErr w:type="spellEnd"/>
      <w:r w:rsidRPr="0029047D">
        <w:rPr>
          <w:sz w:val="24"/>
          <w:szCs w:val="24"/>
        </w:rPr>
        <w:t xml:space="preserve"> af andre årsager (fx patienter med kronisk obstruktiv lungesygdom), men som ikke har behov for supplerende iltbehandling.</w:t>
      </w:r>
    </w:p>
    <w:p w14:paraId="6727E50B" w14:textId="77777777" w:rsidR="0029047D" w:rsidRPr="0029047D" w:rsidRDefault="0029047D" w:rsidP="0029047D">
      <w:pPr>
        <w:tabs>
          <w:tab w:val="left" w:pos="851"/>
        </w:tabs>
        <w:ind w:left="851"/>
        <w:rPr>
          <w:sz w:val="24"/>
          <w:szCs w:val="24"/>
        </w:rPr>
      </w:pPr>
    </w:p>
    <w:p w14:paraId="008AB58F" w14:textId="77777777" w:rsidR="0029047D" w:rsidRPr="0029047D" w:rsidRDefault="0029047D" w:rsidP="0029047D">
      <w:pPr>
        <w:tabs>
          <w:tab w:val="left" w:pos="851"/>
        </w:tabs>
        <w:ind w:left="851"/>
        <w:rPr>
          <w:sz w:val="24"/>
          <w:szCs w:val="24"/>
          <w:u w:val="single"/>
        </w:rPr>
      </w:pPr>
      <w:r w:rsidRPr="0029047D">
        <w:rPr>
          <w:sz w:val="24"/>
          <w:szCs w:val="24"/>
          <w:u w:val="single"/>
        </w:rPr>
        <w:t>Langtidsbehandling</w:t>
      </w:r>
    </w:p>
    <w:p w14:paraId="6463EB44" w14:textId="77777777" w:rsidR="0029047D" w:rsidRPr="0029047D" w:rsidRDefault="0029047D" w:rsidP="0029047D">
      <w:pPr>
        <w:tabs>
          <w:tab w:val="left" w:pos="851"/>
        </w:tabs>
        <w:ind w:left="851"/>
        <w:rPr>
          <w:sz w:val="24"/>
          <w:szCs w:val="24"/>
        </w:rPr>
      </w:pPr>
      <w:r w:rsidRPr="0029047D">
        <w:rPr>
          <w:sz w:val="24"/>
          <w:szCs w:val="24"/>
        </w:rPr>
        <w:t xml:space="preserve">Langtidsbehandling med </w:t>
      </w:r>
      <w:proofErr w:type="spellStart"/>
      <w:r w:rsidRPr="0029047D">
        <w:rPr>
          <w:sz w:val="24"/>
          <w:szCs w:val="24"/>
        </w:rPr>
        <w:t>dexamethason</w:t>
      </w:r>
      <w:proofErr w:type="spellEnd"/>
      <w:r w:rsidRPr="0029047D">
        <w:rPr>
          <w:sz w:val="24"/>
          <w:szCs w:val="24"/>
        </w:rPr>
        <w:t xml:space="preserve"> kræver regelmæssig medicinsk monitorering (herunder oftalmologisk kontrol hver 3. måned).</w:t>
      </w:r>
    </w:p>
    <w:p w14:paraId="68457202" w14:textId="77777777" w:rsidR="0029047D" w:rsidRPr="0029047D" w:rsidRDefault="0029047D" w:rsidP="0029047D">
      <w:pPr>
        <w:tabs>
          <w:tab w:val="left" w:pos="851"/>
        </w:tabs>
        <w:ind w:left="851"/>
        <w:rPr>
          <w:sz w:val="24"/>
          <w:szCs w:val="24"/>
        </w:rPr>
      </w:pPr>
    </w:p>
    <w:p w14:paraId="4B33A805" w14:textId="77777777" w:rsidR="0029047D" w:rsidRPr="0029047D" w:rsidRDefault="0029047D" w:rsidP="0029047D">
      <w:pPr>
        <w:tabs>
          <w:tab w:val="left" w:pos="851"/>
        </w:tabs>
        <w:ind w:left="851"/>
        <w:rPr>
          <w:sz w:val="24"/>
          <w:szCs w:val="24"/>
        </w:rPr>
      </w:pPr>
      <w:r w:rsidRPr="0029047D">
        <w:rPr>
          <w:sz w:val="24"/>
          <w:szCs w:val="24"/>
        </w:rPr>
        <w:t xml:space="preserve">Når langtidsbehandling med </w:t>
      </w:r>
      <w:proofErr w:type="spellStart"/>
      <w:r w:rsidRPr="0029047D">
        <w:rPr>
          <w:sz w:val="24"/>
          <w:szCs w:val="24"/>
        </w:rPr>
        <w:t>glukokortikoider</w:t>
      </w:r>
      <w:proofErr w:type="spellEnd"/>
      <w:r w:rsidRPr="0029047D">
        <w:rPr>
          <w:sz w:val="24"/>
          <w:szCs w:val="24"/>
        </w:rPr>
        <w:t xml:space="preserve"> seponeres, bør der tages højde for risikoen for </w:t>
      </w:r>
      <w:proofErr w:type="spellStart"/>
      <w:r w:rsidRPr="0029047D">
        <w:rPr>
          <w:sz w:val="24"/>
          <w:szCs w:val="24"/>
        </w:rPr>
        <w:t>eksacerbation</w:t>
      </w:r>
      <w:proofErr w:type="spellEnd"/>
      <w:r w:rsidRPr="0029047D">
        <w:rPr>
          <w:sz w:val="24"/>
          <w:szCs w:val="24"/>
        </w:rPr>
        <w:t xml:space="preserve"> eller recidiv af underliggende sygdom, </w:t>
      </w:r>
      <w:proofErr w:type="spellStart"/>
      <w:r w:rsidRPr="0029047D">
        <w:rPr>
          <w:sz w:val="24"/>
          <w:szCs w:val="24"/>
        </w:rPr>
        <w:t>adrenokortikal</w:t>
      </w:r>
      <w:proofErr w:type="spellEnd"/>
      <w:r w:rsidRPr="0029047D">
        <w:rPr>
          <w:sz w:val="24"/>
          <w:szCs w:val="24"/>
        </w:rPr>
        <w:t xml:space="preserve"> insufficiens samt </w:t>
      </w:r>
      <w:proofErr w:type="spellStart"/>
      <w:r w:rsidRPr="0029047D">
        <w:rPr>
          <w:sz w:val="24"/>
          <w:szCs w:val="24"/>
        </w:rPr>
        <w:t>cortison-seponeringssyndrom</w:t>
      </w:r>
      <w:proofErr w:type="spellEnd"/>
      <w:r w:rsidRPr="0029047D">
        <w:rPr>
          <w:sz w:val="24"/>
          <w:szCs w:val="24"/>
        </w:rPr>
        <w:t>.</w:t>
      </w:r>
    </w:p>
    <w:p w14:paraId="17C193DF" w14:textId="77777777" w:rsidR="0029047D" w:rsidRPr="0029047D" w:rsidRDefault="0029047D" w:rsidP="0029047D">
      <w:pPr>
        <w:tabs>
          <w:tab w:val="left" w:pos="851"/>
        </w:tabs>
        <w:ind w:left="851"/>
        <w:rPr>
          <w:sz w:val="24"/>
          <w:szCs w:val="24"/>
        </w:rPr>
      </w:pPr>
    </w:p>
    <w:p w14:paraId="7852937F" w14:textId="77777777" w:rsidR="0029047D" w:rsidRPr="0029047D" w:rsidRDefault="0029047D" w:rsidP="0029047D">
      <w:pPr>
        <w:tabs>
          <w:tab w:val="left" w:pos="851"/>
        </w:tabs>
        <w:ind w:left="851"/>
        <w:rPr>
          <w:sz w:val="24"/>
          <w:szCs w:val="24"/>
          <w:u w:val="single"/>
        </w:rPr>
      </w:pPr>
      <w:r w:rsidRPr="0029047D">
        <w:rPr>
          <w:sz w:val="24"/>
          <w:szCs w:val="24"/>
          <w:u w:val="single"/>
        </w:rPr>
        <w:t>Indflydelse på laboratorietests</w:t>
      </w:r>
    </w:p>
    <w:p w14:paraId="12F165E7" w14:textId="77777777" w:rsidR="0029047D" w:rsidRPr="0029047D" w:rsidRDefault="0029047D" w:rsidP="0029047D">
      <w:pPr>
        <w:tabs>
          <w:tab w:val="left" w:pos="851"/>
        </w:tabs>
        <w:ind w:left="851"/>
        <w:rPr>
          <w:sz w:val="24"/>
          <w:szCs w:val="24"/>
        </w:rPr>
      </w:pPr>
      <w:r w:rsidRPr="0029047D">
        <w:rPr>
          <w:sz w:val="24"/>
          <w:szCs w:val="24"/>
        </w:rPr>
        <w:t>Immunmodulerede undersøgelser (fx allergitests): Resultaterne kan være undertrykte.</w:t>
      </w:r>
    </w:p>
    <w:p w14:paraId="51DEFEA6" w14:textId="75D9B13B" w:rsidR="00652FD0" w:rsidRDefault="00652FD0">
      <w:pPr>
        <w:rPr>
          <w:sz w:val="24"/>
          <w:szCs w:val="24"/>
        </w:rPr>
      </w:pPr>
      <w:r>
        <w:rPr>
          <w:sz w:val="24"/>
          <w:szCs w:val="24"/>
        </w:rPr>
        <w:br w:type="page"/>
      </w:r>
    </w:p>
    <w:p w14:paraId="3B712C81" w14:textId="77777777" w:rsidR="0029047D" w:rsidRPr="0029047D" w:rsidRDefault="0029047D" w:rsidP="0029047D">
      <w:pPr>
        <w:tabs>
          <w:tab w:val="left" w:pos="851"/>
        </w:tabs>
        <w:ind w:left="851"/>
        <w:rPr>
          <w:sz w:val="24"/>
          <w:szCs w:val="24"/>
        </w:rPr>
      </w:pPr>
    </w:p>
    <w:p w14:paraId="72DBF4D4" w14:textId="77777777" w:rsidR="0029047D" w:rsidRPr="0029047D" w:rsidRDefault="0029047D" w:rsidP="0029047D">
      <w:pPr>
        <w:tabs>
          <w:tab w:val="left" w:pos="851"/>
        </w:tabs>
        <w:ind w:left="851"/>
        <w:rPr>
          <w:sz w:val="24"/>
          <w:szCs w:val="24"/>
          <w:u w:val="single"/>
        </w:rPr>
      </w:pPr>
      <w:r w:rsidRPr="0029047D">
        <w:rPr>
          <w:sz w:val="24"/>
          <w:szCs w:val="24"/>
          <w:u w:val="single"/>
        </w:rPr>
        <w:t>Ældre patienter</w:t>
      </w:r>
    </w:p>
    <w:p w14:paraId="7B4C50A3" w14:textId="77777777" w:rsidR="0029047D" w:rsidRPr="0029047D" w:rsidRDefault="0029047D" w:rsidP="0029047D">
      <w:pPr>
        <w:tabs>
          <w:tab w:val="left" w:pos="851"/>
        </w:tabs>
        <w:ind w:left="851"/>
        <w:rPr>
          <w:sz w:val="24"/>
          <w:szCs w:val="24"/>
        </w:rPr>
      </w:pPr>
      <w:r w:rsidRPr="0029047D">
        <w:rPr>
          <w:sz w:val="24"/>
          <w:szCs w:val="24"/>
        </w:rPr>
        <w:t xml:space="preserve">Generelt er ældre patienter mere følsomme over for risiciene ved behandling med </w:t>
      </w:r>
      <w:proofErr w:type="spellStart"/>
      <w:r w:rsidRPr="0029047D">
        <w:rPr>
          <w:sz w:val="24"/>
          <w:szCs w:val="24"/>
        </w:rPr>
        <w:t>dexamethason</w:t>
      </w:r>
      <w:proofErr w:type="spellEnd"/>
      <w:r w:rsidRPr="0029047D">
        <w:rPr>
          <w:sz w:val="24"/>
          <w:szCs w:val="24"/>
        </w:rPr>
        <w:t xml:space="preserve">, for eksempel osteoporose. </w:t>
      </w:r>
      <w:proofErr w:type="spellStart"/>
      <w:r w:rsidRPr="0029047D">
        <w:rPr>
          <w:sz w:val="24"/>
          <w:szCs w:val="24"/>
        </w:rPr>
        <w:t>Dexamethason</w:t>
      </w:r>
      <w:proofErr w:type="spellEnd"/>
      <w:r w:rsidRPr="0029047D">
        <w:rPr>
          <w:sz w:val="24"/>
          <w:szCs w:val="24"/>
        </w:rPr>
        <w:t xml:space="preserve"> bør derfor kun administreres efter nøje vurdering af risici og fordele ved behandling.</w:t>
      </w:r>
    </w:p>
    <w:p w14:paraId="39BE8583" w14:textId="77777777" w:rsidR="0029047D" w:rsidRPr="0029047D" w:rsidRDefault="0029047D" w:rsidP="0029047D">
      <w:pPr>
        <w:tabs>
          <w:tab w:val="left" w:pos="851"/>
        </w:tabs>
        <w:ind w:left="851"/>
        <w:rPr>
          <w:sz w:val="24"/>
          <w:szCs w:val="24"/>
        </w:rPr>
      </w:pPr>
    </w:p>
    <w:p w14:paraId="5D14B5A6" w14:textId="77777777" w:rsidR="0029047D" w:rsidRPr="0029047D" w:rsidRDefault="0029047D" w:rsidP="0029047D">
      <w:pPr>
        <w:tabs>
          <w:tab w:val="left" w:pos="851"/>
        </w:tabs>
        <w:ind w:left="851"/>
        <w:rPr>
          <w:sz w:val="24"/>
          <w:szCs w:val="24"/>
          <w:u w:val="single"/>
        </w:rPr>
      </w:pPr>
      <w:r w:rsidRPr="0029047D">
        <w:rPr>
          <w:sz w:val="24"/>
          <w:szCs w:val="24"/>
          <w:u w:val="single"/>
        </w:rPr>
        <w:t>Pædiatrisk population</w:t>
      </w:r>
    </w:p>
    <w:p w14:paraId="7E8990F2" w14:textId="77777777" w:rsidR="0029047D" w:rsidRPr="0029047D" w:rsidRDefault="0029047D" w:rsidP="0029047D">
      <w:pPr>
        <w:tabs>
          <w:tab w:val="left" w:pos="851"/>
        </w:tabs>
        <w:ind w:left="851"/>
        <w:rPr>
          <w:sz w:val="24"/>
          <w:szCs w:val="24"/>
        </w:rPr>
      </w:pPr>
      <w:r w:rsidRPr="0029047D">
        <w:rPr>
          <w:sz w:val="24"/>
          <w:szCs w:val="24"/>
        </w:rPr>
        <w:t xml:space="preserve">Anvendelse af </w:t>
      </w:r>
      <w:proofErr w:type="spellStart"/>
      <w:r w:rsidRPr="0029047D">
        <w:rPr>
          <w:sz w:val="24"/>
          <w:szCs w:val="24"/>
        </w:rPr>
        <w:t>dexamethason</w:t>
      </w:r>
      <w:proofErr w:type="spellEnd"/>
      <w:r w:rsidRPr="0029047D">
        <w:rPr>
          <w:sz w:val="24"/>
          <w:szCs w:val="24"/>
        </w:rPr>
        <w:t xml:space="preserve"> i den pædiatriske population skal vurderes med fokus på risici og fordele, da </w:t>
      </w:r>
      <w:proofErr w:type="spellStart"/>
      <w:r w:rsidRPr="0029047D">
        <w:rPr>
          <w:sz w:val="24"/>
          <w:szCs w:val="24"/>
        </w:rPr>
        <w:t>dexamethason</w:t>
      </w:r>
      <w:proofErr w:type="spellEnd"/>
      <w:r w:rsidRPr="0029047D">
        <w:rPr>
          <w:sz w:val="24"/>
          <w:szCs w:val="24"/>
        </w:rPr>
        <w:t xml:space="preserve"> kan forsinke væksten (se pkt. 4.8).</w:t>
      </w:r>
    </w:p>
    <w:p w14:paraId="32D8D8ED" w14:textId="77777777" w:rsidR="009260DE" w:rsidRPr="00C84483" w:rsidRDefault="009260DE" w:rsidP="009260DE">
      <w:pPr>
        <w:tabs>
          <w:tab w:val="left" w:pos="851"/>
        </w:tabs>
        <w:ind w:left="851"/>
        <w:rPr>
          <w:sz w:val="24"/>
          <w:szCs w:val="24"/>
        </w:rPr>
      </w:pPr>
    </w:p>
    <w:p w14:paraId="4406D364"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FE20D4F" w14:textId="77777777" w:rsidR="004012D2" w:rsidRPr="004012D2" w:rsidRDefault="004012D2" w:rsidP="004012D2">
      <w:pPr>
        <w:tabs>
          <w:tab w:val="left" w:pos="851"/>
        </w:tabs>
        <w:ind w:left="851"/>
        <w:rPr>
          <w:sz w:val="24"/>
          <w:szCs w:val="24"/>
        </w:rPr>
      </w:pPr>
    </w:p>
    <w:p w14:paraId="5E257560"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NSAID'er</w:t>
      </w:r>
      <w:proofErr w:type="spellEnd"/>
    </w:p>
    <w:p w14:paraId="5E14D05F" w14:textId="77777777" w:rsidR="004012D2" w:rsidRPr="004012D2" w:rsidRDefault="004012D2" w:rsidP="004012D2">
      <w:pPr>
        <w:tabs>
          <w:tab w:val="left" w:pos="851"/>
        </w:tabs>
        <w:ind w:left="851"/>
        <w:rPr>
          <w:sz w:val="24"/>
          <w:szCs w:val="24"/>
        </w:rPr>
      </w:pPr>
      <w:r w:rsidRPr="004012D2">
        <w:rPr>
          <w:sz w:val="24"/>
          <w:szCs w:val="24"/>
        </w:rPr>
        <w:t xml:space="preserve">Samtidig anvendelse af antiinflammatoriske eller antireumatiske lægemidler (fx </w:t>
      </w:r>
      <w:proofErr w:type="spellStart"/>
      <w:r w:rsidRPr="004012D2">
        <w:rPr>
          <w:sz w:val="24"/>
          <w:szCs w:val="24"/>
        </w:rPr>
        <w:t>indomethacin</w:t>
      </w:r>
      <w:proofErr w:type="spellEnd"/>
      <w:r w:rsidRPr="004012D2">
        <w:rPr>
          <w:sz w:val="24"/>
          <w:szCs w:val="24"/>
        </w:rPr>
        <w:t xml:space="preserve"> eller </w:t>
      </w:r>
      <w:proofErr w:type="spellStart"/>
      <w:r w:rsidRPr="004012D2">
        <w:rPr>
          <w:sz w:val="24"/>
          <w:szCs w:val="24"/>
        </w:rPr>
        <w:t>salicylater</w:t>
      </w:r>
      <w:proofErr w:type="spellEnd"/>
      <w:r w:rsidRPr="004012D2">
        <w:rPr>
          <w:sz w:val="24"/>
          <w:szCs w:val="24"/>
        </w:rPr>
        <w:t xml:space="preserve">) forhøjer risikoen for </w:t>
      </w:r>
      <w:proofErr w:type="spellStart"/>
      <w:r w:rsidRPr="004012D2">
        <w:rPr>
          <w:sz w:val="24"/>
          <w:szCs w:val="24"/>
        </w:rPr>
        <w:t>gastrointestinal</w:t>
      </w:r>
      <w:proofErr w:type="spellEnd"/>
      <w:r w:rsidRPr="004012D2">
        <w:rPr>
          <w:sz w:val="24"/>
          <w:szCs w:val="24"/>
        </w:rPr>
        <w:t xml:space="preserve"> ulcus og blødning.</w:t>
      </w:r>
    </w:p>
    <w:p w14:paraId="5F8AA6F3" w14:textId="77777777" w:rsidR="004012D2" w:rsidRPr="004012D2" w:rsidRDefault="004012D2" w:rsidP="004012D2">
      <w:pPr>
        <w:tabs>
          <w:tab w:val="left" w:pos="851"/>
        </w:tabs>
        <w:ind w:left="851"/>
        <w:rPr>
          <w:sz w:val="24"/>
          <w:szCs w:val="24"/>
        </w:rPr>
      </w:pPr>
    </w:p>
    <w:p w14:paraId="65339B55" w14:textId="77777777" w:rsidR="004012D2" w:rsidRPr="004012D2" w:rsidRDefault="004012D2" w:rsidP="004012D2">
      <w:pPr>
        <w:tabs>
          <w:tab w:val="left" w:pos="851"/>
        </w:tabs>
        <w:ind w:left="851"/>
        <w:rPr>
          <w:sz w:val="24"/>
          <w:szCs w:val="24"/>
          <w:u w:val="single"/>
        </w:rPr>
      </w:pPr>
      <w:r w:rsidRPr="004012D2">
        <w:rPr>
          <w:sz w:val="24"/>
          <w:szCs w:val="24"/>
          <w:u w:val="single"/>
        </w:rPr>
        <w:t xml:space="preserve">Orale </w:t>
      </w:r>
      <w:proofErr w:type="spellStart"/>
      <w:r w:rsidRPr="004012D2">
        <w:rPr>
          <w:sz w:val="24"/>
          <w:szCs w:val="24"/>
          <w:u w:val="single"/>
        </w:rPr>
        <w:t>antidiabetika</w:t>
      </w:r>
      <w:proofErr w:type="spellEnd"/>
      <w:r w:rsidRPr="004012D2">
        <w:rPr>
          <w:sz w:val="24"/>
          <w:szCs w:val="24"/>
          <w:u w:val="single"/>
        </w:rPr>
        <w:t xml:space="preserve"> og insulin</w:t>
      </w:r>
    </w:p>
    <w:p w14:paraId="07DAEAAB" w14:textId="77777777" w:rsidR="004012D2" w:rsidRPr="004012D2" w:rsidRDefault="004012D2" w:rsidP="004012D2">
      <w:pPr>
        <w:tabs>
          <w:tab w:val="left" w:pos="851"/>
        </w:tabs>
        <w:ind w:left="851"/>
        <w:rPr>
          <w:sz w:val="24"/>
          <w:szCs w:val="24"/>
        </w:rPr>
      </w:pPr>
      <w:proofErr w:type="spellStart"/>
      <w:r w:rsidRPr="004012D2">
        <w:rPr>
          <w:sz w:val="24"/>
          <w:szCs w:val="24"/>
        </w:rPr>
        <w:t>Dexamethason</w:t>
      </w:r>
      <w:proofErr w:type="spellEnd"/>
      <w:r w:rsidRPr="004012D2">
        <w:rPr>
          <w:sz w:val="24"/>
          <w:szCs w:val="24"/>
        </w:rPr>
        <w:t xml:space="preserve"> kan mindske den hypoglykæmiske virkning af orale </w:t>
      </w:r>
      <w:proofErr w:type="spellStart"/>
      <w:r w:rsidRPr="004012D2">
        <w:rPr>
          <w:sz w:val="24"/>
          <w:szCs w:val="24"/>
        </w:rPr>
        <w:t>antidiabetika</w:t>
      </w:r>
      <w:proofErr w:type="spellEnd"/>
      <w:r w:rsidRPr="004012D2">
        <w:rPr>
          <w:sz w:val="24"/>
          <w:szCs w:val="24"/>
        </w:rPr>
        <w:t xml:space="preserve"> og insulin.</w:t>
      </w:r>
    </w:p>
    <w:p w14:paraId="74694CFA" w14:textId="77777777" w:rsidR="004012D2" w:rsidRPr="004012D2" w:rsidRDefault="004012D2" w:rsidP="004012D2">
      <w:pPr>
        <w:tabs>
          <w:tab w:val="left" w:pos="851"/>
        </w:tabs>
        <w:ind w:left="851"/>
        <w:rPr>
          <w:sz w:val="24"/>
          <w:szCs w:val="24"/>
        </w:rPr>
      </w:pPr>
    </w:p>
    <w:p w14:paraId="06BB0F21" w14:textId="77777777" w:rsidR="004012D2" w:rsidRPr="004012D2" w:rsidRDefault="004012D2" w:rsidP="004012D2">
      <w:pPr>
        <w:tabs>
          <w:tab w:val="left" w:pos="851"/>
        </w:tabs>
        <w:ind w:left="851"/>
        <w:rPr>
          <w:sz w:val="24"/>
          <w:szCs w:val="24"/>
          <w:u w:val="single"/>
        </w:rPr>
      </w:pPr>
      <w:r w:rsidRPr="004012D2">
        <w:rPr>
          <w:sz w:val="24"/>
          <w:szCs w:val="24"/>
          <w:u w:val="single"/>
        </w:rPr>
        <w:t>CYP3A4-inducerende lægemidler</w:t>
      </w:r>
    </w:p>
    <w:p w14:paraId="514025A7" w14:textId="77777777" w:rsidR="004012D2" w:rsidRPr="004012D2" w:rsidRDefault="004012D2" w:rsidP="004012D2">
      <w:pPr>
        <w:tabs>
          <w:tab w:val="left" w:pos="851"/>
        </w:tabs>
        <w:ind w:left="851"/>
        <w:rPr>
          <w:sz w:val="24"/>
          <w:szCs w:val="24"/>
        </w:rPr>
      </w:pPr>
      <w:r w:rsidRPr="004012D2">
        <w:rPr>
          <w:sz w:val="24"/>
          <w:szCs w:val="24"/>
        </w:rPr>
        <w:t xml:space="preserve">CYP3A4-inducerende lægemidler, for eksempel </w:t>
      </w:r>
      <w:proofErr w:type="spellStart"/>
      <w:r w:rsidRPr="004012D2">
        <w:rPr>
          <w:sz w:val="24"/>
          <w:szCs w:val="24"/>
        </w:rPr>
        <w:t>rifampicin</w:t>
      </w:r>
      <w:proofErr w:type="spellEnd"/>
      <w:r w:rsidRPr="004012D2">
        <w:rPr>
          <w:sz w:val="24"/>
          <w:szCs w:val="24"/>
        </w:rPr>
        <w:t xml:space="preserve">, </w:t>
      </w:r>
      <w:proofErr w:type="spellStart"/>
      <w:r w:rsidRPr="004012D2">
        <w:rPr>
          <w:sz w:val="24"/>
          <w:szCs w:val="24"/>
        </w:rPr>
        <w:t>phenytoin</w:t>
      </w:r>
      <w:proofErr w:type="spellEnd"/>
      <w:r w:rsidRPr="004012D2">
        <w:rPr>
          <w:sz w:val="24"/>
          <w:szCs w:val="24"/>
        </w:rPr>
        <w:t xml:space="preserve">, </w:t>
      </w:r>
      <w:proofErr w:type="spellStart"/>
      <w:r w:rsidRPr="004012D2">
        <w:rPr>
          <w:sz w:val="24"/>
          <w:szCs w:val="24"/>
        </w:rPr>
        <w:t>carbamazepin</w:t>
      </w:r>
      <w:proofErr w:type="spellEnd"/>
      <w:r w:rsidRPr="004012D2">
        <w:rPr>
          <w:sz w:val="24"/>
          <w:szCs w:val="24"/>
        </w:rPr>
        <w:t xml:space="preserve">, barbiturater og </w:t>
      </w:r>
      <w:proofErr w:type="spellStart"/>
      <w:r w:rsidRPr="004012D2">
        <w:rPr>
          <w:sz w:val="24"/>
          <w:szCs w:val="24"/>
        </w:rPr>
        <w:t>primidon</w:t>
      </w:r>
      <w:proofErr w:type="spellEnd"/>
      <w:r w:rsidRPr="004012D2">
        <w:rPr>
          <w:sz w:val="24"/>
          <w:szCs w:val="24"/>
        </w:rPr>
        <w:t xml:space="preserve">, kan mindske virkningen af </w:t>
      </w:r>
      <w:proofErr w:type="spellStart"/>
      <w:r w:rsidRPr="004012D2">
        <w:rPr>
          <w:sz w:val="24"/>
          <w:szCs w:val="24"/>
        </w:rPr>
        <w:t>kortikosteroider</w:t>
      </w:r>
      <w:proofErr w:type="spellEnd"/>
      <w:r w:rsidRPr="004012D2">
        <w:rPr>
          <w:sz w:val="24"/>
          <w:szCs w:val="24"/>
        </w:rPr>
        <w:t>.</w:t>
      </w:r>
    </w:p>
    <w:p w14:paraId="24F14825" w14:textId="77777777" w:rsidR="004012D2" w:rsidRPr="004012D2" w:rsidRDefault="004012D2" w:rsidP="004012D2">
      <w:pPr>
        <w:tabs>
          <w:tab w:val="left" w:pos="851"/>
        </w:tabs>
        <w:ind w:left="851"/>
        <w:rPr>
          <w:sz w:val="24"/>
          <w:szCs w:val="24"/>
        </w:rPr>
      </w:pPr>
    </w:p>
    <w:p w14:paraId="57696A10" w14:textId="77777777" w:rsidR="004012D2" w:rsidRPr="004012D2" w:rsidRDefault="004012D2" w:rsidP="004012D2">
      <w:pPr>
        <w:tabs>
          <w:tab w:val="left" w:pos="851"/>
        </w:tabs>
        <w:ind w:left="851"/>
        <w:rPr>
          <w:sz w:val="24"/>
          <w:szCs w:val="24"/>
          <w:u w:val="single"/>
        </w:rPr>
      </w:pPr>
      <w:r w:rsidRPr="004012D2">
        <w:rPr>
          <w:sz w:val="24"/>
          <w:szCs w:val="24"/>
          <w:u w:val="single"/>
        </w:rPr>
        <w:t>CYP3A-hæmmere</w:t>
      </w:r>
    </w:p>
    <w:p w14:paraId="0216D19E" w14:textId="77777777" w:rsidR="004012D2" w:rsidRPr="004012D2" w:rsidRDefault="004012D2" w:rsidP="004012D2">
      <w:pPr>
        <w:tabs>
          <w:tab w:val="left" w:pos="851"/>
        </w:tabs>
        <w:ind w:left="851"/>
        <w:rPr>
          <w:sz w:val="24"/>
          <w:szCs w:val="24"/>
        </w:rPr>
      </w:pPr>
      <w:r w:rsidRPr="004012D2">
        <w:rPr>
          <w:sz w:val="24"/>
          <w:szCs w:val="24"/>
        </w:rPr>
        <w:t xml:space="preserve">Det forventes, at samtidig behandling med CYP3A-hæmmere, for eksempel </w:t>
      </w:r>
      <w:proofErr w:type="spellStart"/>
      <w:r w:rsidRPr="004012D2">
        <w:rPr>
          <w:sz w:val="24"/>
          <w:szCs w:val="24"/>
        </w:rPr>
        <w:t>ketoconazol</w:t>
      </w:r>
      <w:proofErr w:type="spellEnd"/>
      <w:r w:rsidRPr="004012D2">
        <w:rPr>
          <w:sz w:val="24"/>
          <w:szCs w:val="24"/>
        </w:rPr>
        <w:t xml:space="preserve"> og </w:t>
      </w:r>
      <w:proofErr w:type="spellStart"/>
      <w:r w:rsidRPr="004012D2">
        <w:rPr>
          <w:sz w:val="24"/>
          <w:szCs w:val="24"/>
        </w:rPr>
        <w:t>itraconazol</w:t>
      </w:r>
      <w:proofErr w:type="spellEnd"/>
      <w:r w:rsidRPr="004012D2">
        <w:rPr>
          <w:sz w:val="24"/>
          <w:szCs w:val="24"/>
        </w:rPr>
        <w:t xml:space="preserve"> samt lægemidler, der indeholder </w:t>
      </w:r>
      <w:proofErr w:type="spellStart"/>
      <w:r w:rsidRPr="004012D2">
        <w:rPr>
          <w:sz w:val="24"/>
          <w:szCs w:val="24"/>
        </w:rPr>
        <w:t>cobicistat</w:t>
      </w:r>
      <w:proofErr w:type="spellEnd"/>
      <w:r w:rsidRPr="004012D2">
        <w:rPr>
          <w:sz w:val="24"/>
          <w:szCs w:val="24"/>
        </w:rPr>
        <w:t xml:space="preserve">, forhøjer risikoen for systemiske bivirkninger. Denne kombination bør undgås, medmindre fordelen opvejer den forhøjede risiko for systemiske bivirkninger af </w:t>
      </w:r>
      <w:proofErr w:type="spellStart"/>
      <w:r w:rsidRPr="004012D2">
        <w:rPr>
          <w:sz w:val="24"/>
          <w:szCs w:val="24"/>
        </w:rPr>
        <w:t>kortikosteroider</w:t>
      </w:r>
      <w:proofErr w:type="spellEnd"/>
      <w:r w:rsidRPr="004012D2">
        <w:rPr>
          <w:sz w:val="24"/>
          <w:szCs w:val="24"/>
        </w:rPr>
        <w:t xml:space="preserve">. I det tilfælde bør patienten monitoreres for systemiske reaktioner på </w:t>
      </w:r>
      <w:proofErr w:type="spellStart"/>
      <w:r w:rsidRPr="004012D2">
        <w:rPr>
          <w:sz w:val="24"/>
          <w:szCs w:val="24"/>
        </w:rPr>
        <w:t>kortikosteroider</w:t>
      </w:r>
      <w:proofErr w:type="spellEnd"/>
      <w:r w:rsidRPr="004012D2">
        <w:rPr>
          <w:sz w:val="24"/>
          <w:szCs w:val="24"/>
        </w:rPr>
        <w:t>.</w:t>
      </w:r>
    </w:p>
    <w:p w14:paraId="407439CB" w14:textId="77777777" w:rsidR="004012D2" w:rsidRPr="004012D2" w:rsidRDefault="004012D2" w:rsidP="004012D2">
      <w:pPr>
        <w:tabs>
          <w:tab w:val="left" w:pos="851"/>
        </w:tabs>
        <w:ind w:left="851"/>
        <w:rPr>
          <w:sz w:val="24"/>
          <w:szCs w:val="24"/>
        </w:rPr>
      </w:pPr>
    </w:p>
    <w:p w14:paraId="45D9FEB5"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Efedrin</w:t>
      </w:r>
      <w:proofErr w:type="spellEnd"/>
    </w:p>
    <w:p w14:paraId="570D4E0E" w14:textId="77777777" w:rsidR="004012D2" w:rsidRPr="004012D2" w:rsidRDefault="004012D2" w:rsidP="004012D2">
      <w:pPr>
        <w:tabs>
          <w:tab w:val="left" w:pos="851"/>
        </w:tabs>
        <w:ind w:left="851"/>
        <w:rPr>
          <w:sz w:val="24"/>
          <w:szCs w:val="24"/>
        </w:rPr>
      </w:pPr>
      <w:proofErr w:type="spellStart"/>
      <w:r w:rsidRPr="004012D2">
        <w:rPr>
          <w:sz w:val="24"/>
          <w:szCs w:val="24"/>
        </w:rPr>
        <w:t>Efedrin</w:t>
      </w:r>
      <w:proofErr w:type="spellEnd"/>
      <w:r w:rsidRPr="004012D2">
        <w:rPr>
          <w:sz w:val="24"/>
          <w:szCs w:val="24"/>
        </w:rPr>
        <w:t xml:space="preserve"> kan fremskynde </w:t>
      </w:r>
      <w:proofErr w:type="spellStart"/>
      <w:r w:rsidRPr="004012D2">
        <w:rPr>
          <w:sz w:val="24"/>
          <w:szCs w:val="24"/>
        </w:rPr>
        <w:t>glukokortikoidernes</w:t>
      </w:r>
      <w:proofErr w:type="spellEnd"/>
      <w:r w:rsidRPr="004012D2">
        <w:rPr>
          <w:sz w:val="24"/>
          <w:szCs w:val="24"/>
        </w:rPr>
        <w:t xml:space="preserve"> metabolisme og dermed mindske deres virkning.</w:t>
      </w:r>
    </w:p>
    <w:p w14:paraId="347842EF" w14:textId="77777777" w:rsidR="004012D2" w:rsidRPr="004012D2" w:rsidRDefault="004012D2" w:rsidP="004012D2">
      <w:pPr>
        <w:tabs>
          <w:tab w:val="left" w:pos="851"/>
        </w:tabs>
        <w:ind w:left="851"/>
        <w:rPr>
          <w:sz w:val="24"/>
          <w:szCs w:val="24"/>
        </w:rPr>
      </w:pPr>
    </w:p>
    <w:p w14:paraId="04AC881F"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Coumarinderivater</w:t>
      </w:r>
      <w:proofErr w:type="spellEnd"/>
      <w:r w:rsidRPr="004012D2">
        <w:rPr>
          <w:sz w:val="24"/>
          <w:szCs w:val="24"/>
          <w:u w:val="single"/>
        </w:rPr>
        <w:t xml:space="preserve"> (orale </w:t>
      </w:r>
      <w:proofErr w:type="spellStart"/>
      <w:r w:rsidRPr="004012D2">
        <w:rPr>
          <w:sz w:val="24"/>
          <w:szCs w:val="24"/>
          <w:u w:val="single"/>
        </w:rPr>
        <w:t>antikoagulantia</w:t>
      </w:r>
      <w:proofErr w:type="spellEnd"/>
      <w:r w:rsidRPr="004012D2">
        <w:rPr>
          <w:sz w:val="24"/>
          <w:szCs w:val="24"/>
          <w:u w:val="single"/>
        </w:rPr>
        <w:t>)</w:t>
      </w:r>
    </w:p>
    <w:p w14:paraId="69EEB0B3" w14:textId="77777777" w:rsidR="004012D2" w:rsidRPr="004012D2" w:rsidRDefault="004012D2" w:rsidP="004012D2">
      <w:pPr>
        <w:tabs>
          <w:tab w:val="left" w:pos="851"/>
        </w:tabs>
        <w:ind w:left="851"/>
        <w:rPr>
          <w:sz w:val="24"/>
          <w:szCs w:val="24"/>
        </w:rPr>
      </w:pPr>
      <w:r w:rsidRPr="004012D2">
        <w:rPr>
          <w:sz w:val="24"/>
          <w:szCs w:val="24"/>
        </w:rPr>
        <w:t xml:space="preserve">Virkningen af </w:t>
      </w:r>
      <w:proofErr w:type="spellStart"/>
      <w:r w:rsidRPr="004012D2">
        <w:rPr>
          <w:sz w:val="24"/>
          <w:szCs w:val="24"/>
        </w:rPr>
        <w:t>coumarin-antikoagulantia</w:t>
      </w:r>
      <w:proofErr w:type="spellEnd"/>
      <w:r w:rsidRPr="004012D2">
        <w:rPr>
          <w:sz w:val="24"/>
          <w:szCs w:val="24"/>
        </w:rPr>
        <w:t xml:space="preserve"> kan være ændret (oftest nedsat) ved samtidig behandling med </w:t>
      </w:r>
      <w:proofErr w:type="spellStart"/>
      <w:r w:rsidRPr="004012D2">
        <w:rPr>
          <w:sz w:val="24"/>
          <w:szCs w:val="24"/>
        </w:rPr>
        <w:t>kortikosteroider</w:t>
      </w:r>
      <w:proofErr w:type="spellEnd"/>
      <w:r w:rsidRPr="004012D2">
        <w:rPr>
          <w:sz w:val="24"/>
          <w:szCs w:val="24"/>
        </w:rPr>
        <w:t xml:space="preserve">. Ved samtidig administration skal dosis af </w:t>
      </w:r>
      <w:proofErr w:type="spellStart"/>
      <w:r w:rsidRPr="004012D2">
        <w:rPr>
          <w:sz w:val="24"/>
          <w:szCs w:val="24"/>
        </w:rPr>
        <w:t>antikoagulantia</w:t>
      </w:r>
      <w:proofErr w:type="spellEnd"/>
      <w:r w:rsidRPr="004012D2">
        <w:rPr>
          <w:sz w:val="24"/>
          <w:szCs w:val="24"/>
        </w:rPr>
        <w:t xml:space="preserve"> muligvis justeres.</w:t>
      </w:r>
    </w:p>
    <w:p w14:paraId="04FDC003" w14:textId="77777777" w:rsidR="004012D2" w:rsidRPr="004012D2" w:rsidRDefault="004012D2" w:rsidP="004012D2">
      <w:pPr>
        <w:tabs>
          <w:tab w:val="left" w:pos="851"/>
        </w:tabs>
        <w:ind w:left="851"/>
        <w:rPr>
          <w:sz w:val="24"/>
          <w:szCs w:val="24"/>
        </w:rPr>
      </w:pPr>
    </w:p>
    <w:p w14:paraId="15BBE5AB" w14:textId="77777777" w:rsidR="004012D2" w:rsidRPr="004012D2" w:rsidRDefault="004012D2" w:rsidP="004012D2">
      <w:pPr>
        <w:tabs>
          <w:tab w:val="left" w:pos="851"/>
        </w:tabs>
        <w:ind w:left="851"/>
        <w:rPr>
          <w:sz w:val="24"/>
          <w:szCs w:val="24"/>
        </w:rPr>
      </w:pPr>
      <w:r w:rsidRPr="004012D2">
        <w:rPr>
          <w:sz w:val="24"/>
          <w:szCs w:val="24"/>
          <w:u w:val="single"/>
        </w:rPr>
        <w:t>Østrogener (fx præventionsmidler)</w:t>
      </w:r>
    </w:p>
    <w:p w14:paraId="64669BE6" w14:textId="77777777" w:rsidR="004012D2" w:rsidRPr="004012D2" w:rsidRDefault="004012D2" w:rsidP="004012D2">
      <w:pPr>
        <w:tabs>
          <w:tab w:val="left" w:pos="851"/>
        </w:tabs>
        <w:ind w:left="851"/>
        <w:rPr>
          <w:sz w:val="24"/>
          <w:szCs w:val="24"/>
        </w:rPr>
      </w:pPr>
      <w:r w:rsidRPr="004012D2">
        <w:rPr>
          <w:sz w:val="24"/>
          <w:szCs w:val="24"/>
        </w:rPr>
        <w:t xml:space="preserve">Østrogener kan forlænge </w:t>
      </w:r>
      <w:proofErr w:type="spellStart"/>
      <w:r w:rsidRPr="004012D2">
        <w:rPr>
          <w:sz w:val="24"/>
          <w:szCs w:val="24"/>
        </w:rPr>
        <w:t>glukokortikoiders</w:t>
      </w:r>
      <w:proofErr w:type="spellEnd"/>
      <w:r w:rsidRPr="004012D2">
        <w:rPr>
          <w:sz w:val="24"/>
          <w:szCs w:val="24"/>
        </w:rPr>
        <w:t xml:space="preserve"> halveringstid. Den kliniske virkning af </w:t>
      </w:r>
      <w:proofErr w:type="spellStart"/>
      <w:r w:rsidRPr="004012D2">
        <w:rPr>
          <w:sz w:val="24"/>
          <w:szCs w:val="24"/>
        </w:rPr>
        <w:t>glukokortikoider</w:t>
      </w:r>
      <w:proofErr w:type="spellEnd"/>
      <w:r w:rsidRPr="004012D2">
        <w:rPr>
          <w:sz w:val="24"/>
          <w:szCs w:val="24"/>
        </w:rPr>
        <w:t xml:space="preserve"> er derfor forstærket.</w:t>
      </w:r>
    </w:p>
    <w:p w14:paraId="4F77AB08" w14:textId="77777777" w:rsidR="004012D2" w:rsidRPr="004012D2" w:rsidRDefault="004012D2" w:rsidP="004012D2">
      <w:pPr>
        <w:tabs>
          <w:tab w:val="left" w:pos="851"/>
        </w:tabs>
        <w:ind w:left="851"/>
        <w:rPr>
          <w:sz w:val="24"/>
          <w:szCs w:val="24"/>
        </w:rPr>
      </w:pPr>
    </w:p>
    <w:p w14:paraId="3CE94200" w14:textId="77777777" w:rsidR="004012D2" w:rsidRPr="004012D2" w:rsidRDefault="004012D2" w:rsidP="004012D2">
      <w:pPr>
        <w:tabs>
          <w:tab w:val="left" w:pos="851"/>
        </w:tabs>
        <w:ind w:left="851"/>
        <w:rPr>
          <w:sz w:val="24"/>
          <w:szCs w:val="24"/>
          <w:u w:val="single"/>
        </w:rPr>
      </w:pPr>
      <w:r w:rsidRPr="004012D2">
        <w:rPr>
          <w:sz w:val="24"/>
          <w:szCs w:val="24"/>
          <w:u w:val="single"/>
        </w:rPr>
        <w:t xml:space="preserve">Atropin og andre </w:t>
      </w:r>
      <w:proofErr w:type="spellStart"/>
      <w:r w:rsidRPr="004012D2">
        <w:rPr>
          <w:sz w:val="24"/>
          <w:szCs w:val="24"/>
          <w:u w:val="single"/>
        </w:rPr>
        <w:t>antikolinerge</w:t>
      </w:r>
      <w:proofErr w:type="spellEnd"/>
      <w:r w:rsidRPr="004012D2">
        <w:rPr>
          <w:sz w:val="24"/>
          <w:szCs w:val="24"/>
          <w:u w:val="single"/>
        </w:rPr>
        <w:t xml:space="preserve"> lægemidler</w:t>
      </w:r>
    </w:p>
    <w:p w14:paraId="5B95C9A6" w14:textId="77777777" w:rsidR="004012D2" w:rsidRPr="004012D2" w:rsidRDefault="004012D2" w:rsidP="004012D2">
      <w:pPr>
        <w:tabs>
          <w:tab w:val="left" w:pos="851"/>
        </w:tabs>
        <w:ind w:left="851"/>
        <w:rPr>
          <w:sz w:val="24"/>
          <w:szCs w:val="24"/>
        </w:rPr>
      </w:pPr>
      <w:r w:rsidRPr="004012D2">
        <w:rPr>
          <w:sz w:val="24"/>
          <w:szCs w:val="24"/>
        </w:rPr>
        <w:t xml:space="preserve">Atropin og andre </w:t>
      </w:r>
      <w:proofErr w:type="spellStart"/>
      <w:r w:rsidRPr="004012D2">
        <w:rPr>
          <w:sz w:val="24"/>
          <w:szCs w:val="24"/>
        </w:rPr>
        <w:t>antikolinerge</w:t>
      </w:r>
      <w:proofErr w:type="spellEnd"/>
      <w:r w:rsidRPr="004012D2">
        <w:rPr>
          <w:sz w:val="24"/>
          <w:szCs w:val="24"/>
        </w:rPr>
        <w:t xml:space="preserve"> lægemidler kan føre til forhøjet </w:t>
      </w:r>
      <w:proofErr w:type="spellStart"/>
      <w:r w:rsidRPr="004012D2">
        <w:rPr>
          <w:sz w:val="24"/>
          <w:szCs w:val="24"/>
        </w:rPr>
        <w:t>intraokulært</w:t>
      </w:r>
      <w:proofErr w:type="spellEnd"/>
      <w:r w:rsidRPr="004012D2">
        <w:rPr>
          <w:sz w:val="24"/>
          <w:szCs w:val="24"/>
        </w:rPr>
        <w:t xml:space="preserve"> tryk under behandling med </w:t>
      </w:r>
      <w:proofErr w:type="spellStart"/>
      <w:r w:rsidRPr="004012D2">
        <w:rPr>
          <w:sz w:val="24"/>
          <w:szCs w:val="24"/>
        </w:rPr>
        <w:t>dexamethason</w:t>
      </w:r>
      <w:proofErr w:type="spellEnd"/>
      <w:r w:rsidRPr="004012D2">
        <w:rPr>
          <w:sz w:val="24"/>
          <w:szCs w:val="24"/>
        </w:rPr>
        <w:t>.</w:t>
      </w:r>
    </w:p>
    <w:p w14:paraId="1C65C25E" w14:textId="77777777" w:rsidR="004012D2" w:rsidRPr="004012D2" w:rsidRDefault="004012D2" w:rsidP="004012D2">
      <w:pPr>
        <w:tabs>
          <w:tab w:val="left" w:pos="851"/>
        </w:tabs>
        <w:ind w:left="851"/>
        <w:rPr>
          <w:sz w:val="24"/>
          <w:szCs w:val="24"/>
        </w:rPr>
      </w:pPr>
    </w:p>
    <w:p w14:paraId="06DE5A8E" w14:textId="77777777" w:rsidR="004012D2" w:rsidRPr="004012D2" w:rsidRDefault="004012D2" w:rsidP="004012D2">
      <w:pPr>
        <w:tabs>
          <w:tab w:val="left" w:pos="851"/>
        </w:tabs>
        <w:ind w:left="851"/>
        <w:rPr>
          <w:sz w:val="24"/>
          <w:szCs w:val="24"/>
          <w:u w:val="single"/>
        </w:rPr>
      </w:pPr>
      <w:r w:rsidRPr="004012D2">
        <w:rPr>
          <w:sz w:val="24"/>
          <w:szCs w:val="24"/>
          <w:u w:val="single"/>
        </w:rPr>
        <w:t>Hjerteglykosider</w:t>
      </w:r>
    </w:p>
    <w:p w14:paraId="1B44BB3A" w14:textId="77777777" w:rsidR="004012D2" w:rsidRPr="004012D2" w:rsidRDefault="004012D2" w:rsidP="004012D2">
      <w:pPr>
        <w:tabs>
          <w:tab w:val="left" w:pos="851"/>
        </w:tabs>
        <w:ind w:left="851"/>
        <w:rPr>
          <w:sz w:val="24"/>
          <w:szCs w:val="24"/>
        </w:rPr>
      </w:pPr>
      <w:r w:rsidRPr="004012D2">
        <w:rPr>
          <w:sz w:val="24"/>
          <w:szCs w:val="24"/>
        </w:rPr>
        <w:t xml:space="preserve">Glykosid-effekten kan blive forstærket på grund af den kaliummangel, der skyldes behandling med </w:t>
      </w:r>
      <w:proofErr w:type="spellStart"/>
      <w:r w:rsidRPr="004012D2">
        <w:rPr>
          <w:sz w:val="24"/>
          <w:szCs w:val="24"/>
        </w:rPr>
        <w:t>dexamethason</w:t>
      </w:r>
      <w:proofErr w:type="spellEnd"/>
      <w:r w:rsidRPr="004012D2">
        <w:rPr>
          <w:sz w:val="24"/>
          <w:szCs w:val="24"/>
        </w:rPr>
        <w:t>.</w:t>
      </w:r>
    </w:p>
    <w:p w14:paraId="36CF580B" w14:textId="77777777" w:rsidR="004012D2" w:rsidRPr="004012D2" w:rsidRDefault="004012D2" w:rsidP="004012D2">
      <w:pPr>
        <w:tabs>
          <w:tab w:val="left" w:pos="851"/>
        </w:tabs>
        <w:ind w:left="851"/>
        <w:rPr>
          <w:sz w:val="24"/>
          <w:szCs w:val="24"/>
        </w:rPr>
      </w:pPr>
    </w:p>
    <w:p w14:paraId="4B716BC5"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Saluretika</w:t>
      </w:r>
      <w:proofErr w:type="spellEnd"/>
      <w:r w:rsidRPr="004012D2">
        <w:rPr>
          <w:sz w:val="24"/>
          <w:szCs w:val="24"/>
          <w:u w:val="single"/>
        </w:rPr>
        <w:t>/laksativer</w:t>
      </w:r>
    </w:p>
    <w:p w14:paraId="5940533C" w14:textId="77777777" w:rsidR="004012D2" w:rsidRPr="004012D2" w:rsidRDefault="004012D2" w:rsidP="004012D2">
      <w:pPr>
        <w:tabs>
          <w:tab w:val="left" w:pos="851"/>
        </w:tabs>
        <w:ind w:left="851"/>
        <w:rPr>
          <w:sz w:val="24"/>
          <w:szCs w:val="24"/>
        </w:rPr>
      </w:pPr>
      <w:r w:rsidRPr="004012D2">
        <w:rPr>
          <w:sz w:val="24"/>
          <w:szCs w:val="24"/>
        </w:rPr>
        <w:t xml:space="preserve">Samtidig anvendelse af </w:t>
      </w:r>
      <w:proofErr w:type="spellStart"/>
      <w:r w:rsidRPr="004012D2">
        <w:rPr>
          <w:sz w:val="24"/>
          <w:szCs w:val="24"/>
        </w:rPr>
        <w:t>saluretika</w:t>
      </w:r>
      <w:proofErr w:type="spellEnd"/>
      <w:r w:rsidRPr="004012D2">
        <w:rPr>
          <w:sz w:val="24"/>
          <w:szCs w:val="24"/>
        </w:rPr>
        <w:t xml:space="preserve">/laksativer og </w:t>
      </w:r>
      <w:proofErr w:type="spellStart"/>
      <w:r w:rsidRPr="004012D2">
        <w:rPr>
          <w:sz w:val="24"/>
          <w:szCs w:val="24"/>
        </w:rPr>
        <w:t>dexamethason</w:t>
      </w:r>
      <w:proofErr w:type="spellEnd"/>
      <w:r w:rsidRPr="004012D2">
        <w:rPr>
          <w:sz w:val="24"/>
          <w:szCs w:val="24"/>
        </w:rPr>
        <w:t xml:space="preserve"> kan øge udskillelsen af kalium.</w:t>
      </w:r>
    </w:p>
    <w:p w14:paraId="13C60981" w14:textId="77777777" w:rsidR="004012D2" w:rsidRPr="004012D2" w:rsidRDefault="004012D2" w:rsidP="004012D2">
      <w:pPr>
        <w:tabs>
          <w:tab w:val="left" w:pos="851"/>
        </w:tabs>
        <w:ind w:left="851"/>
        <w:rPr>
          <w:sz w:val="24"/>
          <w:szCs w:val="24"/>
        </w:rPr>
      </w:pPr>
    </w:p>
    <w:p w14:paraId="2F675223"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Praziquantel</w:t>
      </w:r>
      <w:proofErr w:type="spellEnd"/>
    </w:p>
    <w:p w14:paraId="29C6CC01" w14:textId="77777777" w:rsidR="004012D2" w:rsidRPr="004012D2" w:rsidRDefault="004012D2" w:rsidP="004012D2">
      <w:pPr>
        <w:tabs>
          <w:tab w:val="left" w:pos="851"/>
        </w:tabs>
        <w:ind w:left="851"/>
        <w:rPr>
          <w:sz w:val="24"/>
          <w:szCs w:val="24"/>
        </w:rPr>
      </w:pPr>
      <w:proofErr w:type="spellStart"/>
      <w:r w:rsidRPr="004012D2">
        <w:rPr>
          <w:sz w:val="24"/>
          <w:szCs w:val="24"/>
        </w:rPr>
        <w:t>Glukokortikoider</w:t>
      </w:r>
      <w:proofErr w:type="spellEnd"/>
      <w:r w:rsidRPr="004012D2">
        <w:rPr>
          <w:sz w:val="24"/>
          <w:szCs w:val="24"/>
        </w:rPr>
        <w:t xml:space="preserve"> kan medføre fald i koncentrationen af </w:t>
      </w:r>
      <w:proofErr w:type="spellStart"/>
      <w:r w:rsidRPr="004012D2">
        <w:rPr>
          <w:sz w:val="24"/>
          <w:szCs w:val="24"/>
        </w:rPr>
        <w:t>praziquantel</w:t>
      </w:r>
      <w:proofErr w:type="spellEnd"/>
      <w:r w:rsidRPr="004012D2">
        <w:rPr>
          <w:sz w:val="24"/>
          <w:szCs w:val="24"/>
        </w:rPr>
        <w:t xml:space="preserve"> i blodet.</w:t>
      </w:r>
    </w:p>
    <w:p w14:paraId="4A8CFA2F" w14:textId="77777777" w:rsidR="004012D2" w:rsidRPr="004012D2" w:rsidRDefault="004012D2" w:rsidP="004012D2">
      <w:pPr>
        <w:tabs>
          <w:tab w:val="left" w:pos="851"/>
        </w:tabs>
        <w:ind w:left="851"/>
        <w:rPr>
          <w:sz w:val="24"/>
          <w:szCs w:val="24"/>
        </w:rPr>
      </w:pPr>
    </w:p>
    <w:p w14:paraId="1D66C347"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Chloroquin</w:t>
      </w:r>
      <w:proofErr w:type="spellEnd"/>
      <w:r w:rsidRPr="004012D2">
        <w:rPr>
          <w:sz w:val="24"/>
          <w:szCs w:val="24"/>
          <w:u w:val="single"/>
        </w:rPr>
        <w:t xml:space="preserve">, </w:t>
      </w:r>
      <w:proofErr w:type="spellStart"/>
      <w:r w:rsidRPr="004012D2">
        <w:rPr>
          <w:sz w:val="24"/>
          <w:szCs w:val="24"/>
          <w:u w:val="single"/>
        </w:rPr>
        <w:t>hydroxychloroquin</w:t>
      </w:r>
      <w:proofErr w:type="spellEnd"/>
      <w:r w:rsidRPr="004012D2">
        <w:rPr>
          <w:sz w:val="24"/>
          <w:szCs w:val="24"/>
          <w:u w:val="single"/>
        </w:rPr>
        <w:t xml:space="preserve">, </w:t>
      </w:r>
      <w:proofErr w:type="spellStart"/>
      <w:r w:rsidRPr="004012D2">
        <w:rPr>
          <w:sz w:val="24"/>
          <w:szCs w:val="24"/>
          <w:u w:val="single"/>
        </w:rPr>
        <w:t>mefloquin</w:t>
      </w:r>
      <w:proofErr w:type="spellEnd"/>
    </w:p>
    <w:p w14:paraId="0A5E4B58" w14:textId="77777777" w:rsidR="004012D2" w:rsidRPr="004012D2" w:rsidRDefault="004012D2" w:rsidP="004012D2">
      <w:pPr>
        <w:tabs>
          <w:tab w:val="left" w:pos="851"/>
        </w:tabs>
        <w:ind w:left="851"/>
        <w:rPr>
          <w:sz w:val="24"/>
          <w:szCs w:val="24"/>
        </w:rPr>
      </w:pPr>
      <w:r w:rsidRPr="004012D2">
        <w:rPr>
          <w:sz w:val="24"/>
          <w:szCs w:val="24"/>
        </w:rPr>
        <w:t xml:space="preserve">Der er forhøjet risiko for </w:t>
      </w:r>
      <w:proofErr w:type="spellStart"/>
      <w:r w:rsidRPr="004012D2">
        <w:rPr>
          <w:sz w:val="24"/>
          <w:szCs w:val="24"/>
        </w:rPr>
        <w:t>myopati</w:t>
      </w:r>
      <w:proofErr w:type="spellEnd"/>
      <w:r w:rsidRPr="004012D2">
        <w:rPr>
          <w:sz w:val="24"/>
          <w:szCs w:val="24"/>
        </w:rPr>
        <w:t xml:space="preserve"> og </w:t>
      </w:r>
      <w:proofErr w:type="spellStart"/>
      <w:r w:rsidRPr="004012D2">
        <w:rPr>
          <w:sz w:val="24"/>
          <w:szCs w:val="24"/>
        </w:rPr>
        <w:t>kardiomyopati</w:t>
      </w:r>
      <w:proofErr w:type="spellEnd"/>
      <w:r w:rsidRPr="004012D2">
        <w:rPr>
          <w:sz w:val="24"/>
          <w:szCs w:val="24"/>
        </w:rPr>
        <w:t xml:space="preserve"> ved samtidig anvendelse af </w:t>
      </w:r>
      <w:proofErr w:type="spellStart"/>
      <w:r w:rsidRPr="004012D2">
        <w:rPr>
          <w:sz w:val="24"/>
          <w:szCs w:val="24"/>
        </w:rPr>
        <w:t>dexamethason</w:t>
      </w:r>
      <w:proofErr w:type="spellEnd"/>
      <w:r w:rsidRPr="004012D2">
        <w:rPr>
          <w:sz w:val="24"/>
          <w:szCs w:val="24"/>
        </w:rPr>
        <w:t xml:space="preserve"> og </w:t>
      </w:r>
      <w:proofErr w:type="spellStart"/>
      <w:r w:rsidRPr="004012D2">
        <w:rPr>
          <w:sz w:val="24"/>
          <w:szCs w:val="24"/>
        </w:rPr>
        <w:t>chloroquin</w:t>
      </w:r>
      <w:proofErr w:type="spellEnd"/>
      <w:r w:rsidRPr="004012D2">
        <w:rPr>
          <w:sz w:val="24"/>
          <w:szCs w:val="24"/>
        </w:rPr>
        <w:t xml:space="preserve">, </w:t>
      </w:r>
      <w:proofErr w:type="spellStart"/>
      <w:r w:rsidRPr="004012D2">
        <w:rPr>
          <w:sz w:val="24"/>
          <w:szCs w:val="24"/>
        </w:rPr>
        <w:t>hydroxychloroquin</w:t>
      </w:r>
      <w:proofErr w:type="spellEnd"/>
      <w:r w:rsidRPr="004012D2">
        <w:rPr>
          <w:sz w:val="24"/>
          <w:szCs w:val="24"/>
        </w:rPr>
        <w:t xml:space="preserve"> eller </w:t>
      </w:r>
      <w:proofErr w:type="spellStart"/>
      <w:r w:rsidRPr="004012D2">
        <w:rPr>
          <w:sz w:val="24"/>
          <w:szCs w:val="24"/>
        </w:rPr>
        <w:t>mefloquin</w:t>
      </w:r>
      <w:proofErr w:type="spellEnd"/>
      <w:r w:rsidRPr="004012D2">
        <w:rPr>
          <w:sz w:val="24"/>
          <w:szCs w:val="24"/>
        </w:rPr>
        <w:t>.</w:t>
      </w:r>
    </w:p>
    <w:p w14:paraId="5E7D2C8F" w14:textId="77777777" w:rsidR="004012D2" w:rsidRPr="004012D2" w:rsidRDefault="004012D2" w:rsidP="004012D2">
      <w:pPr>
        <w:tabs>
          <w:tab w:val="left" w:pos="851"/>
        </w:tabs>
        <w:ind w:left="851"/>
        <w:rPr>
          <w:sz w:val="24"/>
          <w:szCs w:val="24"/>
        </w:rPr>
      </w:pPr>
    </w:p>
    <w:p w14:paraId="03234FA2" w14:textId="77777777" w:rsidR="004012D2" w:rsidRPr="004012D2" w:rsidRDefault="004012D2" w:rsidP="004012D2">
      <w:pPr>
        <w:tabs>
          <w:tab w:val="left" w:pos="851"/>
        </w:tabs>
        <w:ind w:left="851"/>
        <w:rPr>
          <w:sz w:val="24"/>
          <w:szCs w:val="24"/>
          <w:u w:val="single"/>
        </w:rPr>
      </w:pPr>
      <w:r w:rsidRPr="004012D2">
        <w:rPr>
          <w:sz w:val="24"/>
          <w:szCs w:val="24"/>
          <w:u w:val="single"/>
        </w:rPr>
        <w:t>Immunsupprimerende stoffer</w:t>
      </w:r>
    </w:p>
    <w:p w14:paraId="7CB2999E" w14:textId="77777777" w:rsidR="004012D2" w:rsidRPr="004012D2" w:rsidRDefault="004012D2" w:rsidP="004012D2">
      <w:pPr>
        <w:tabs>
          <w:tab w:val="left" w:pos="851"/>
        </w:tabs>
        <w:ind w:left="851"/>
        <w:rPr>
          <w:sz w:val="24"/>
          <w:szCs w:val="24"/>
        </w:rPr>
      </w:pPr>
      <w:r w:rsidRPr="004012D2">
        <w:rPr>
          <w:sz w:val="24"/>
          <w:szCs w:val="24"/>
        </w:rPr>
        <w:t xml:space="preserve">Samtidig administration af </w:t>
      </w:r>
      <w:proofErr w:type="spellStart"/>
      <w:r w:rsidRPr="004012D2">
        <w:rPr>
          <w:sz w:val="24"/>
          <w:szCs w:val="24"/>
        </w:rPr>
        <w:t>dexamethason</w:t>
      </w:r>
      <w:proofErr w:type="spellEnd"/>
      <w:r w:rsidRPr="004012D2">
        <w:rPr>
          <w:sz w:val="24"/>
          <w:szCs w:val="24"/>
        </w:rPr>
        <w:t xml:space="preserve"> og andre immunsupprimerende stoffer øger modtageligheden over for infektioner og mulig forværring eller manifestationer af latente infektioner (fx virus-, bakterie- eller svampeinfektioner eller parasitære infektioner samt opportunistiske infektioner).</w:t>
      </w:r>
    </w:p>
    <w:p w14:paraId="6ABC4333" w14:textId="77777777" w:rsidR="004012D2" w:rsidRPr="004012D2" w:rsidRDefault="004012D2" w:rsidP="004012D2">
      <w:pPr>
        <w:tabs>
          <w:tab w:val="left" w:pos="851"/>
        </w:tabs>
        <w:ind w:left="851"/>
        <w:rPr>
          <w:sz w:val="24"/>
          <w:szCs w:val="24"/>
        </w:rPr>
      </w:pPr>
    </w:p>
    <w:p w14:paraId="536AF596"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Ciclosporin</w:t>
      </w:r>
      <w:proofErr w:type="spellEnd"/>
    </w:p>
    <w:p w14:paraId="495C5136" w14:textId="77777777" w:rsidR="004012D2" w:rsidRPr="004012D2" w:rsidRDefault="004012D2" w:rsidP="004012D2">
      <w:pPr>
        <w:tabs>
          <w:tab w:val="left" w:pos="851"/>
        </w:tabs>
        <w:ind w:left="851"/>
        <w:rPr>
          <w:sz w:val="24"/>
          <w:szCs w:val="24"/>
        </w:rPr>
      </w:pPr>
      <w:r w:rsidRPr="004012D2">
        <w:rPr>
          <w:sz w:val="24"/>
          <w:szCs w:val="24"/>
        </w:rPr>
        <w:t xml:space="preserve">Samtidig administration af </w:t>
      </w:r>
      <w:proofErr w:type="spellStart"/>
      <w:r w:rsidRPr="004012D2">
        <w:rPr>
          <w:sz w:val="24"/>
          <w:szCs w:val="24"/>
        </w:rPr>
        <w:t>dexamethason</w:t>
      </w:r>
      <w:proofErr w:type="spellEnd"/>
      <w:r w:rsidRPr="004012D2">
        <w:rPr>
          <w:sz w:val="24"/>
          <w:szCs w:val="24"/>
        </w:rPr>
        <w:t xml:space="preserve"> og </w:t>
      </w:r>
      <w:proofErr w:type="spellStart"/>
      <w:r w:rsidRPr="004012D2">
        <w:rPr>
          <w:sz w:val="24"/>
          <w:szCs w:val="24"/>
        </w:rPr>
        <w:t>ciclosporin</w:t>
      </w:r>
      <w:proofErr w:type="spellEnd"/>
      <w:r w:rsidRPr="004012D2">
        <w:rPr>
          <w:sz w:val="24"/>
          <w:szCs w:val="24"/>
        </w:rPr>
        <w:t xml:space="preserve"> kan føre til øget koncentration af </w:t>
      </w:r>
      <w:proofErr w:type="spellStart"/>
      <w:r w:rsidRPr="004012D2">
        <w:rPr>
          <w:sz w:val="24"/>
          <w:szCs w:val="24"/>
        </w:rPr>
        <w:t>ciclosporin</w:t>
      </w:r>
      <w:proofErr w:type="spellEnd"/>
      <w:r w:rsidRPr="004012D2">
        <w:rPr>
          <w:sz w:val="24"/>
          <w:szCs w:val="24"/>
        </w:rPr>
        <w:t xml:space="preserve"> i blodet, hvilket medfører høj risiko for cerebrale kramper.</w:t>
      </w:r>
    </w:p>
    <w:p w14:paraId="75A456A9" w14:textId="77777777" w:rsidR="004012D2" w:rsidRPr="004012D2" w:rsidRDefault="004012D2" w:rsidP="004012D2">
      <w:pPr>
        <w:tabs>
          <w:tab w:val="left" w:pos="851"/>
        </w:tabs>
        <w:ind w:left="851"/>
        <w:rPr>
          <w:sz w:val="24"/>
          <w:szCs w:val="24"/>
        </w:rPr>
      </w:pPr>
    </w:p>
    <w:p w14:paraId="3C9D8DA0" w14:textId="77777777" w:rsidR="004012D2" w:rsidRPr="004012D2" w:rsidRDefault="004012D2" w:rsidP="004012D2">
      <w:pPr>
        <w:tabs>
          <w:tab w:val="left" w:pos="851"/>
        </w:tabs>
        <w:ind w:left="851"/>
        <w:rPr>
          <w:sz w:val="24"/>
          <w:szCs w:val="24"/>
          <w:u w:val="single"/>
        </w:rPr>
      </w:pPr>
      <w:r w:rsidRPr="004012D2">
        <w:rPr>
          <w:sz w:val="24"/>
          <w:szCs w:val="24"/>
          <w:u w:val="single"/>
        </w:rPr>
        <w:t>Ikke-</w:t>
      </w:r>
      <w:proofErr w:type="spellStart"/>
      <w:r w:rsidRPr="004012D2">
        <w:rPr>
          <w:sz w:val="24"/>
          <w:szCs w:val="24"/>
          <w:u w:val="single"/>
        </w:rPr>
        <w:t>depolariserende</w:t>
      </w:r>
      <w:proofErr w:type="spellEnd"/>
      <w:r w:rsidRPr="004012D2">
        <w:rPr>
          <w:sz w:val="24"/>
          <w:szCs w:val="24"/>
          <w:u w:val="single"/>
        </w:rPr>
        <w:t xml:space="preserve"> </w:t>
      </w:r>
      <w:proofErr w:type="spellStart"/>
      <w:r w:rsidRPr="004012D2">
        <w:rPr>
          <w:sz w:val="24"/>
          <w:szCs w:val="24"/>
          <w:u w:val="single"/>
        </w:rPr>
        <w:t>muskelrelaksantia</w:t>
      </w:r>
      <w:proofErr w:type="spellEnd"/>
      <w:r w:rsidRPr="004012D2">
        <w:rPr>
          <w:sz w:val="24"/>
          <w:szCs w:val="24"/>
          <w:u w:val="single"/>
        </w:rPr>
        <w:t xml:space="preserve"> (</w:t>
      </w:r>
      <w:proofErr w:type="spellStart"/>
      <w:r w:rsidRPr="004012D2">
        <w:rPr>
          <w:sz w:val="24"/>
          <w:szCs w:val="24"/>
          <w:u w:val="single"/>
        </w:rPr>
        <w:t>rocuronium</w:t>
      </w:r>
      <w:proofErr w:type="spellEnd"/>
      <w:r w:rsidRPr="004012D2">
        <w:rPr>
          <w:sz w:val="24"/>
          <w:szCs w:val="24"/>
          <w:u w:val="single"/>
        </w:rPr>
        <w:t xml:space="preserve">, </w:t>
      </w:r>
      <w:proofErr w:type="spellStart"/>
      <w:r w:rsidRPr="004012D2">
        <w:rPr>
          <w:sz w:val="24"/>
          <w:szCs w:val="24"/>
          <w:u w:val="single"/>
        </w:rPr>
        <w:t>vecuronium</w:t>
      </w:r>
      <w:proofErr w:type="spellEnd"/>
      <w:r w:rsidRPr="004012D2">
        <w:rPr>
          <w:sz w:val="24"/>
          <w:szCs w:val="24"/>
          <w:u w:val="single"/>
        </w:rPr>
        <w:t>)</w:t>
      </w:r>
    </w:p>
    <w:p w14:paraId="034F1343" w14:textId="77777777" w:rsidR="004012D2" w:rsidRPr="004012D2" w:rsidRDefault="004012D2" w:rsidP="004012D2">
      <w:pPr>
        <w:tabs>
          <w:tab w:val="left" w:pos="851"/>
        </w:tabs>
        <w:ind w:left="851"/>
        <w:rPr>
          <w:sz w:val="24"/>
          <w:szCs w:val="24"/>
        </w:rPr>
      </w:pPr>
      <w:r w:rsidRPr="004012D2">
        <w:rPr>
          <w:sz w:val="24"/>
          <w:szCs w:val="24"/>
        </w:rPr>
        <w:t>Samtidig administration af ikke-</w:t>
      </w:r>
      <w:proofErr w:type="spellStart"/>
      <w:r w:rsidRPr="004012D2">
        <w:rPr>
          <w:sz w:val="24"/>
          <w:szCs w:val="24"/>
        </w:rPr>
        <w:t>depolariserende</w:t>
      </w:r>
      <w:proofErr w:type="spellEnd"/>
      <w:r w:rsidRPr="004012D2">
        <w:rPr>
          <w:sz w:val="24"/>
          <w:szCs w:val="24"/>
        </w:rPr>
        <w:t xml:space="preserve"> </w:t>
      </w:r>
      <w:proofErr w:type="spellStart"/>
      <w:r w:rsidRPr="004012D2">
        <w:rPr>
          <w:sz w:val="24"/>
          <w:szCs w:val="24"/>
        </w:rPr>
        <w:t>muskelrelaksantia</w:t>
      </w:r>
      <w:proofErr w:type="spellEnd"/>
      <w:r w:rsidRPr="004012D2">
        <w:rPr>
          <w:sz w:val="24"/>
          <w:szCs w:val="24"/>
        </w:rPr>
        <w:t xml:space="preserve"> kan forlænge muskelafslapningen.</w:t>
      </w:r>
    </w:p>
    <w:p w14:paraId="0BA2A68B" w14:textId="77777777" w:rsidR="004012D2" w:rsidRPr="004012D2" w:rsidRDefault="004012D2" w:rsidP="004012D2">
      <w:pPr>
        <w:tabs>
          <w:tab w:val="left" w:pos="851"/>
        </w:tabs>
        <w:ind w:left="851"/>
        <w:rPr>
          <w:sz w:val="24"/>
          <w:szCs w:val="24"/>
        </w:rPr>
      </w:pPr>
    </w:p>
    <w:p w14:paraId="79DBD49F"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Protirelin</w:t>
      </w:r>
      <w:proofErr w:type="spellEnd"/>
    </w:p>
    <w:p w14:paraId="0178DC74" w14:textId="77777777" w:rsidR="004012D2" w:rsidRPr="004012D2" w:rsidRDefault="004012D2" w:rsidP="004012D2">
      <w:pPr>
        <w:tabs>
          <w:tab w:val="left" w:pos="851"/>
        </w:tabs>
        <w:ind w:left="851"/>
        <w:rPr>
          <w:sz w:val="24"/>
          <w:szCs w:val="24"/>
        </w:rPr>
      </w:pPr>
      <w:r w:rsidRPr="004012D2">
        <w:rPr>
          <w:sz w:val="24"/>
          <w:szCs w:val="24"/>
        </w:rPr>
        <w:t xml:space="preserve">Administration af </w:t>
      </w:r>
      <w:proofErr w:type="spellStart"/>
      <w:r w:rsidRPr="004012D2">
        <w:rPr>
          <w:sz w:val="24"/>
          <w:szCs w:val="24"/>
        </w:rPr>
        <w:t>glukokortikoider</w:t>
      </w:r>
      <w:proofErr w:type="spellEnd"/>
      <w:r w:rsidRPr="004012D2">
        <w:rPr>
          <w:sz w:val="24"/>
          <w:szCs w:val="24"/>
        </w:rPr>
        <w:t xml:space="preserve"> kan nedsætte stigningen i </w:t>
      </w:r>
      <w:proofErr w:type="spellStart"/>
      <w:r w:rsidRPr="004012D2">
        <w:rPr>
          <w:sz w:val="24"/>
          <w:szCs w:val="24"/>
        </w:rPr>
        <w:t>thyreoideastimulerende</w:t>
      </w:r>
      <w:proofErr w:type="spellEnd"/>
      <w:r w:rsidRPr="004012D2">
        <w:rPr>
          <w:sz w:val="24"/>
          <w:szCs w:val="24"/>
        </w:rPr>
        <w:t xml:space="preserve"> hormon (TSH), og dette kan forstyrre virkningen af lægemidler, som bruges til diagnostiske formål ved problemer med skjoldbruskkirtlen.</w:t>
      </w:r>
    </w:p>
    <w:p w14:paraId="14AE0CB5" w14:textId="77777777" w:rsidR="004012D2" w:rsidRPr="004012D2" w:rsidRDefault="004012D2" w:rsidP="004012D2">
      <w:pPr>
        <w:tabs>
          <w:tab w:val="left" w:pos="851"/>
        </w:tabs>
        <w:ind w:left="851"/>
        <w:rPr>
          <w:sz w:val="24"/>
          <w:szCs w:val="24"/>
        </w:rPr>
      </w:pPr>
    </w:p>
    <w:p w14:paraId="742A48EE"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Fluoroquinoloner</w:t>
      </w:r>
      <w:proofErr w:type="spellEnd"/>
    </w:p>
    <w:p w14:paraId="153CBB40" w14:textId="77777777" w:rsidR="004012D2" w:rsidRPr="004012D2" w:rsidRDefault="004012D2" w:rsidP="004012D2">
      <w:pPr>
        <w:tabs>
          <w:tab w:val="left" w:pos="851"/>
        </w:tabs>
        <w:ind w:left="851"/>
        <w:rPr>
          <w:sz w:val="24"/>
          <w:szCs w:val="24"/>
        </w:rPr>
      </w:pPr>
      <w:r w:rsidRPr="004012D2">
        <w:rPr>
          <w:sz w:val="24"/>
          <w:szCs w:val="24"/>
        </w:rPr>
        <w:t xml:space="preserve">Risikoen for </w:t>
      </w:r>
      <w:proofErr w:type="spellStart"/>
      <w:r w:rsidRPr="004012D2">
        <w:rPr>
          <w:sz w:val="24"/>
          <w:szCs w:val="24"/>
        </w:rPr>
        <w:t>seneabnormaliteter</w:t>
      </w:r>
      <w:proofErr w:type="spellEnd"/>
      <w:r w:rsidRPr="004012D2">
        <w:rPr>
          <w:sz w:val="24"/>
          <w:szCs w:val="24"/>
        </w:rPr>
        <w:t xml:space="preserve"> kan være forhøjet ved samtidig anvendelse af </w:t>
      </w:r>
      <w:proofErr w:type="spellStart"/>
      <w:r w:rsidRPr="004012D2">
        <w:rPr>
          <w:sz w:val="24"/>
          <w:szCs w:val="24"/>
        </w:rPr>
        <w:t>fluoroquinoloner</w:t>
      </w:r>
      <w:proofErr w:type="spellEnd"/>
      <w:r w:rsidRPr="004012D2">
        <w:rPr>
          <w:sz w:val="24"/>
          <w:szCs w:val="24"/>
        </w:rPr>
        <w:t>.</w:t>
      </w:r>
    </w:p>
    <w:p w14:paraId="55E84DF5" w14:textId="77777777" w:rsidR="004012D2" w:rsidRPr="004012D2" w:rsidRDefault="004012D2" w:rsidP="004012D2">
      <w:pPr>
        <w:tabs>
          <w:tab w:val="left" w:pos="851"/>
        </w:tabs>
        <w:ind w:left="851"/>
        <w:rPr>
          <w:sz w:val="24"/>
          <w:szCs w:val="24"/>
        </w:rPr>
      </w:pPr>
    </w:p>
    <w:p w14:paraId="4C038353"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Somatropin</w:t>
      </w:r>
      <w:proofErr w:type="spellEnd"/>
    </w:p>
    <w:p w14:paraId="3DD1E064" w14:textId="77777777" w:rsidR="004012D2" w:rsidRPr="004012D2" w:rsidRDefault="004012D2" w:rsidP="004012D2">
      <w:pPr>
        <w:tabs>
          <w:tab w:val="left" w:pos="851"/>
        </w:tabs>
        <w:ind w:left="851"/>
        <w:rPr>
          <w:sz w:val="24"/>
          <w:szCs w:val="24"/>
        </w:rPr>
      </w:pPr>
      <w:proofErr w:type="spellStart"/>
      <w:r w:rsidRPr="004012D2">
        <w:rPr>
          <w:sz w:val="24"/>
          <w:szCs w:val="24"/>
        </w:rPr>
        <w:t>Somatropins</w:t>
      </w:r>
      <w:proofErr w:type="spellEnd"/>
      <w:r w:rsidRPr="004012D2">
        <w:rPr>
          <w:sz w:val="24"/>
          <w:szCs w:val="24"/>
        </w:rPr>
        <w:t xml:space="preserve"> virkning kan være nedsat ved langtidsbehandling med </w:t>
      </w:r>
      <w:proofErr w:type="spellStart"/>
      <w:r w:rsidRPr="004012D2">
        <w:rPr>
          <w:sz w:val="24"/>
          <w:szCs w:val="24"/>
        </w:rPr>
        <w:t>kortikosteroider</w:t>
      </w:r>
      <w:proofErr w:type="spellEnd"/>
      <w:r w:rsidRPr="004012D2">
        <w:rPr>
          <w:sz w:val="24"/>
          <w:szCs w:val="24"/>
        </w:rPr>
        <w:t>.</w:t>
      </w:r>
    </w:p>
    <w:p w14:paraId="379A42FB" w14:textId="77777777" w:rsidR="004012D2" w:rsidRPr="004012D2" w:rsidRDefault="004012D2" w:rsidP="004012D2">
      <w:pPr>
        <w:tabs>
          <w:tab w:val="left" w:pos="851"/>
        </w:tabs>
        <w:ind w:left="851"/>
        <w:rPr>
          <w:sz w:val="24"/>
          <w:szCs w:val="24"/>
        </w:rPr>
      </w:pPr>
    </w:p>
    <w:p w14:paraId="34086B2E" w14:textId="77777777" w:rsidR="004012D2" w:rsidRPr="004012D2" w:rsidRDefault="004012D2" w:rsidP="004012D2">
      <w:pPr>
        <w:tabs>
          <w:tab w:val="left" w:pos="851"/>
        </w:tabs>
        <w:ind w:left="851"/>
        <w:rPr>
          <w:sz w:val="24"/>
          <w:szCs w:val="24"/>
          <w:u w:val="single"/>
        </w:rPr>
      </w:pPr>
      <w:proofErr w:type="spellStart"/>
      <w:r w:rsidRPr="004012D2">
        <w:rPr>
          <w:sz w:val="24"/>
          <w:szCs w:val="24"/>
          <w:u w:val="single"/>
        </w:rPr>
        <w:t>Antacida</w:t>
      </w:r>
      <w:proofErr w:type="spellEnd"/>
    </w:p>
    <w:p w14:paraId="42048EF0" w14:textId="77777777" w:rsidR="004012D2" w:rsidRPr="004012D2" w:rsidRDefault="004012D2" w:rsidP="004012D2">
      <w:pPr>
        <w:tabs>
          <w:tab w:val="left" w:pos="851"/>
        </w:tabs>
        <w:ind w:left="851"/>
        <w:rPr>
          <w:sz w:val="24"/>
          <w:szCs w:val="24"/>
        </w:rPr>
      </w:pPr>
      <w:r w:rsidRPr="004012D2">
        <w:rPr>
          <w:sz w:val="24"/>
          <w:szCs w:val="24"/>
        </w:rPr>
        <w:t xml:space="preserve">Samtidig anvendelse af syreneutraliserende medicin (fx magnesiumhydroxid og aluminiumhydroxid) og </w:t>
      </w:r>
      <w:proofErr w:type="spellStart"/>
      <w:r w:rsidRPr="004012D2">
        <w:rPr>
          <w:sz w:val="24"/>
          <w:szCs w:val="24"/>
        </w:rPr>
        <w:t>dexamethason</w:t>
      </w:r>
      <w:proofErr w:type="spellEnd"/>
      <w:r w:rsidRPr="004012D2">
        <w:rPr>
          <w:sz w:val="24"/>
          <w:szCs w:val="24"/>
        </w:rPr>
        <w:t xml:space="preserve"> kan mindske absorptionen af </w:t>
      </w:r>
      <w:proofErr w:type="spellStart"/>
      <w:r w:rsidRPr="004012D2">
        <w:rPr>
          <w:sz w:val="24"/>
          <w:szCs w:val="24"/>
        </w:rPr>
        <w:t>glukokortikoider</w:t>
      </w:r>
      <w:proofErr w:type="spellEnd"/>
      <w:r w:rsidRPr="004012D2">
        <w:rPr>
          <w:sz w:val="24"/>
          <w:szCs w:val="24"/>
        </w:rPr>
        <w:t xml:space="preserve"> og medføre nedsat virkning af </w:t>
      </w:r>
      <w:proofErr w:type="spellStart"/>
      <w:r w:rsidRPr="004012D2">
        <w:rPr>
          <w:sz w:val="24"/>
          <w:szCs w:val="24"/>
        </w:rPr>
        <w:t>dexamethason</w:t>
      </w:r>
      <w:proofErr w:type="spellEnd"/>
      <w:r w:rsidRPr="004012D2">
        <w:rPr>
          <w:sz w:val="24"/>
          <w:szCs w:val="24"/>
        </w:rPr>
        <w:t>. Disse lægemidler skal derfor tages med mindst 2 timers mellemrum.</w:t>
      </w:r>
    </w:p>
    <w:p w14:paraId="774D1E53" w14:textId="77777777" w:rsidR="009260DE" w:rsidRPr="00C84483" w:rsidRDefault="009260DE" w:rsidP="009260DE">
      <w:pPr>
        <w:tabs>
          <w:tab w:val="left" w:pos="851"/>
        </w:tabs>
        <w:ind w:left="851"/>
        <w:rPr>
          <w:sz w:val="24"/>
          <w:szCs w:val="24"/>
        </w:rPr>
      </w:pPr>
    </w:p>
    <w:p w14:paraId="64913ED3" w14:textId="3FAFDE99"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bookmarkStart w:id="2" w:name="_Hlk121742971"/>
      <w:r w:rsidR="00F73680" w:rsidRPr="00BA4587">
        <w:rPr>
          <w:b/>
          <w:noProof/>
          <w:sz w:val="24"/>
          <w:szCs w:val="24"/>
        </w:rPr>
        <w:t>Fertilitet, g</w:t>
      </w:r>
      <w:r w:rsidR="00F73680" w:rsidRPr="00BA4587">
        <w:rPr>
          <w:b/>
          <w:sz w:val="24"/>
          <w:szCs w:val="24"/>
        </w:rPr>
        <w:t>raviditet og amning</w:t>
      </w:r>
      <w:bookmarkEnd w:id="2"/>
    </w:p>
    <w:p w14:paraId="71FFA1AC" w14:textId="77777777" w:rsidR="00866065" w:rsidRPr="00866065" w:rsidRDefault="00866065" w:rsidP="00866065">
      <w:pPr>
        <w:tabs>
          <w:tab w:val="left" w:pos="851"/>
        </w:tabs>
        <w:ind w:left="851"/>
        <w:rPr>
          <w:sz w:val="24"/>
          <w:szCs w:val="24"/>
        </w:rPr>
      </w:pPr>
    </w:p>
    <w:p w14:paraId="76EA3586" w14:textId="77777777" w:rsidR="00866065" w:rsidRPr="00866065" w:rsidRDefault="00866065" w:rsidP="00866065">
      <w:pPr>
        <w:tabs>
          <w:tab w:val="left" w:pos="851"/>
        </w:tabs>
        <w:ind w:left="851"/>
        <w:rPr>
          <w:sz w:val="24"/>
          <w:szCs w:val="24"/>
          <w:u w:val="single"/>
        </w:rPr>
      </w:pPr>
      <w:r w:rsidRPr="00866065">
        <w:rPr>
          <w:sz w:val="24"/>
          <w:szCs w:val="24"/>
          <w:u w:val="single"/>
        </w:rPr>
        <w:t>Graviditet</w:t>
      </w:r>
    </w:p>
    <w:p w14:paraId="12144134" w14:textId="77777777" w:rsidR="00866065" w:rsidRPr="00866065" w:rsidRDefault="00866065" w:rsidP="00866065">
      <w:pPr>
        <w:tabs>
          <w:tab w:val="left" w:pos="851"/>
        </w:tabs>
        <w:ind w:left="851"/>
        <w:rPr>
          <w:sz w:val="24"/>
          <w:szCs w:val="24"/>
        </w:rPr>
      </w:pPr>
      <w:proofErr w:type="spellStart"/>
      <w:r w:rsidRPr="00866065">
        <w:rPr>
          <w:sz w:val="24"/>
          <w:szCs w:val="24"/>
        </w:rPr>
        <w:t>Dexamethason</w:t>
      </w:r>
      <w:proofErr w:type="spellEnd"/>
      <w:r w:rsidRPr="00866065">
        <w:rPr>
          <w:sz w:val="24"/>
          <w:szCs w:val="24"/>
        </w:rPr>
        <w:t xml:space="preserve"> krydser placenta. Under graviditet, især i første trimester, bør behandling først påbegyndes efter vurdering af de mulige risici og fordele. </w:t>
      </w:r>
      <w:proofErr w:type="spellStart"/>
      <w:r w:rsidRPr="00866065">
        <w:rPr>
          <w:sz w:val="24"/>
          <w:szCs w:val="24"/>
        </w:rPr>
        <w:t>Dexamethasons</w:t>
      </w:r>
      <w:proofErr w:type="spellEnd"/>
      <w:r w:rsidRPr="00866065">
        <w:rPr>
          <w:sz w:val="24"/>
          <w:szCs w:val="24"/>
        </w:rPr>
        <w:t xml:space="preserve"> halveringstid kan være forlænget.</w:t>
      </w:r>
    </w:p>
    <w:p w14:paraId="2E16348B" w14:textId="77777777" w:rsidR="00866065" w:rsidRPr="00866065" w:rsidRDefault="00866065" w:rsidP="00866065">
      <w:pPr>
        <w:tabs>
          <w:tab w:val="left" w:pos="851"/>
        </w:tabs>
        <w:ind w:left="851"/>
        <w:rPr>
          <w:sz w:val="24"/>
          <w:szCs w:val="24"/>
        </w:rPr>
      </w:pPr>
    </w:p>
    <w:p w14:paraId="24EA8B5E" w14:textId="77777777" w:rsidR="00866065" w:rsidRPr="00866065" w:rsidRDefault="00866065" w:rsidP="00866065">
      <w:pPr>
        <w:tabs>
          <w:tab w:val="left" w:pos="851"/>
        </w:tabs>
        <w:ind w:left="851"/>
        <w:rPr>
          <w:sz w:val="24"/>
          <w:szCs w:val="24"/>
        </w:rPr>
      </w:pPr>
      <w:proofErr w:type="spellStart"/>
      <w:r w:rsidRPr="00866065">
        <w:rPr>
          <w:sz w:val="24"/>
          <w:szCs w:val="24"/>
        </w:rPr>
        <w:t>Abnormaliteter</w:t>
      </w:r>
      <w:proofErr w:type="spellEnd"/>
      <w:r w:rsidRPr="00866065">
        <w:rPr>
          <w:sz w:val="24"/>
          <w:szCs w:val="24"/>
        </w:rPr>
        <w:t xml:space="preserve"> i fosterets vækst kan ikke udelukkes ved langtidsbehandling med </w:t>
      </w:r>
      <w:proofErr w:type="spellStart"/>
      <w:r w:rsidRPr="00866065">
        <w:rPr>
          <w:sz w:val="24"/>
          <w:szCs w:val="24"/>
        </w:rPr>
        <w:t>kortikosteroider</w:t>
      </w:r>
      <w:proofErr w:type="spellEnd"/>
      <w:r w:rsidRPr="00866065">
        <w:rPr>
          <w:sz w:val="24"/>
          <w:szCs w:val="24"/>
        </w:rPr>
        <w:t xml:space="preserve"> under graviditet. Administration af </w:t>
      </w:r>
      <w:proofErr w:type="spellStart"/>
      <w:r w:rsidRPr="00866065">
        <w:rPr>
          <w:sz w:val="24"/>
          <w:szCs w:val="24"/>
        </w:rPr>
        <w:t>kortikosteroider</w:t>
      </w:r>
      <w:proofErr w:type="spellEnd"/>
      <w:r w:rsidRPr="00866065">
        <w:rPr>
          <w:sz w:val="24"/>
          <w:szCs w:val="24"/>
        </w:rPr>
        <w:t xml:space="preserve"> til drægtige dyr kan forårsage </w:t>
      </w:r>
      <w:proofErr w:type="spellStart"/>
      <w:r w:rsidRPr="00866065">
        <w:rPr>
          <w:sz w:val="24"/>
          <w:szCs w:val="24"/>
        </w:rPr>
        <w:t>abnormaliteter</w:t>
      </w:r>
      <w:proofErr w:type="spellEnd"/>
      <w:r w:rsidRPr="00866065">
        <w:rPr>
          <w:sz w:val="24"/>
          <w:szCs w:val="24"/>
        </w:rPr>
        <w:t xml:space="preserve"> i fosterets udvikling, herunder ganespaltedannelse, hæmmet fostervækst og virkninger på hjernens vækst og udvikling. Der er ingen evidens for, at </w:t>
      </w:r>
      <w:proofErr w:type="spellStart"/>
      <w:r w:rsidRPr="00866065">
        <w:rPr>
          <w:sz w:val="24"/>
          <w:szCs w:val="24"/>
        </w:rPr>
        <w:t>kortikosteroider</w:t>
      </w:r>
      <w:proofErr w:type="spellEnd"/>
      <w:r w:rsidRPr="00866065">
        <w:rPr>
          <w:sz w:val="24"/>
          <w:szCs w:val="24"/>
        </w:rPr>
        <w:t xml:space="preserve"> fører til øget forekomst af </w:t>
      </w:r>
      <w:proofErr w:type="spellStart"/>
      <w:r w:rsidRPr="00866065">
        <w:rPr>
          <w:sz w:val="24"/>
          <w:szCs w:val="24"/>
        </w:rPr>
        <w:t>kognenitte</w:t>
      </w:r>
      <w:proofErr w:type="spellEnd"/>
      <w:r w:rsidRPr="00866065">
        <w:rPr>
          <w:sz w:val="24"/>
          <w:szCs w:val="24"/>
        </w:rPr>
        <w:t xml:space="preserve"> </w:t>
      </w:r>
      <w:proofErr w:type="spellStart"/>
      <w:r w:rsidRPr="00866065">
        <w:rPr>
          <w:sz w:val="24"/>
          <w:szCs w:val="24"/>
        </w:rPr>
        <w:t>abnormaliteter</w:t>
      </w:r>
      <w:proofErr w:type="spellEnd"/>
      <w:r w:rsidRPr="00866065">
        <w:rPr>
          <w:sz w:val="24"/>
          <w:szCs w:val="24"/>
        </w:rPr>
        <w:t xml:space="preserve"> såsom ganespaltedannelse/læbespaltedannelse hos mennesker. Se også pkt. 5.3.</w:t>
      </w:r>
    </w:p>
    <w:p w14:paraId="54F16AF1" w14:textId="77777777" w:rsidR="00866065" w:rsidRPr="00866065" w:rsidRDefault="00866065" w:rsidP="00866065">
      <w:pPr>
        <w:tabs>
          <w:tab w:val="left" w:pos="851"/>
        </w:tabs>
        <w:ind w:left="851"/>
        <w:rPr>
          <w:sz w:val="24"/>
          <w:szCs w:val="24"/>
        </w:rPr>
      </w:pPr>
    </w:p>
    <w:p w14:paraId="4CA07891" w14:textId="77777777" w:rsidR="00866065" w:rsidRPr="00866065" w:rsidRDefault="00866065" w:rsidP="00866065">
      <w:pPr>
        <w:tabs>
          <w:tab w:val="left" w:pos="851"/>
        </w:tabs>
        <w:ind w:left="851"/>
        <w:rPr>
          <w:sz w:val="24"/>
          <w:szCs w:val="24"/>
          <w:u w:val="single"/>
        </w:rPr>
      </w:pPr>
      <w:r w:rsidRPr="00866065">
        <w:rPr>
          <w:sz w:val="24"/>
          <w:szCs w:val="24"/>
        </w:rPr>
        <w:t xml:space="preserve">Hvis der gives behandling med </w:t>
      </w:r>
      <w:proofErr w:type="spellStart"/>
      <w:r w:rsidRPr="00866065">
        <w:rPr>
          <w:sz w:val="24"/>
          <w:szCs w:val="24"/>
        </w:rPr>
        <w:t>glukokortikoider</w:t>
      </w:r>
      <w:proofErr w:type="spellEnd"/>
      <w:r w:rsidRPr="00866065">
        <w:rPr>
          <w:sz w:val="24"/>
          <w:szCs w:val="24"/>
        </w:rPr>
        <w:t xml:space="preserve"> mod graviditetens slutning, er der risiko for </w:t>
      </w:r>
      <w:proofErr w:type="spellStart"/>
      <w:r w:rsidRPr="00866065">
        <w:rPr>
          <w:sz w:val="24"/>
          <w:szCs w:val="24"/>
        </w:rPr>
        <w:t>adrenokortikal</w:t>
      </w:r>
      <w:proofErr w:type="spellEnd"/>
      <w:r w:rsidRPr="00866065">
        <w:rPr>
          <w:sz w:val="24"/>
          <w:szCs w:val="24"/>
        </w:rPr>
        <w:t xml:space="preserve"> atrofi </w:t>
      </w:r>
      <w:proofErr w:type="spellStart"/>
      <w:r w:rsidRPr="00866065">
        <w:rPr>
          <w:sz w:val="24"/>
          <w:szCs w:val="24"/>
        </w:rPr>
        <w:t>hosfosterets</w:t>
      </w:r>
      <w:proofErr w:type="spellEnd"/>
      <w:r w:rsidRPr="00866065">
        <w:rPr>
          <w:sz w:val="24"/>
          <w:szCs w:val="24"/>
        </w:rPr>
        <w:t>, hvilket kan nødvendiggøre, at den nyfødte skal have substitutions-behandling, som langsomt skal reduceres.</w:t>
      </w:r>
    </w:p>
    <w:p w14:paraId="4B718AC2" w14:textId="77777777" w:rsidR="00866065" w:rsidRDefault="00866065" w:rsidP="00866065">
      <w:pPr>
        <w:tabs>
          <w:tab w:val="left" w:pos="851"/>
        </w:tabs>
        <w:ind w:left="851"/>
        <w:rPr>
          <w:sz w:val="24"/>
          <w:szCs w:val="24"/>
          <w:u w:val="single"/>
        </w:rPr>
      </w:pPr>
    </w:p>
    <w:p w14:paraId="433E246C" w14:textId="13AF6991" w:rsidR="00866065" w:rsidRPr="00866065" w:rsidRDefault="00866065" w:rsidP="00866065">
      <w:pPr>
        <w:tabs>
          <w:tab w:val="left" w:pos="851"/>
        </w:tabs>
        <w:ind w:left="851"/>
        <w:rPr>
          <w:sz w:val="24"/>
          <w:szCs w:val="24"/>
          <w:u w:val="single"/>
        </w:rPr>
      </w:pPr>
      <w:r w:rsidRPr="00866065">
        <w:rPr>
          <w:sz w:val="24"/>
          <w:szCs w:val="24"/>
          <w:u w:val="single"/>
        </w:rPr>
        <w:t>Amning</w:t>
      </w:r>
    </w:p>
    <w:p w14:paraId="42082398" w14:textId="77777777" w:rsidR="00866065" w:rsidRPr="00866065" w:rsidRDefault="00866065" w:rsidP="00866065">
      <w:pPr>
        <w:tabs>
          <w:tab w:val="left" w:pos="851"/>
        </w:tabs>
        <w:ind w:left="851"/>
        <w:rPr>
          <w:sz w:val="24"/>
          <w:szCs w:val="24"/>
        </w:rPr>
      </w:pPr>
      <w:proofErr w:type="spellStart"/>
      <w:r w:rsidRPr="00866065">
        <w:rPr>
          <w:sz w:val="24"/>
          <w:szCs w:val="24"/>
        </w:rPr>
        <w:t>Dexamethason</w:t>
      </w:r>
      <w:proofErr w:type="spellEnd"/>
      <w:r w:rsidRPr="00866065">
        <w:rPr>
          <w:sz w:val="24"/>
          <w:szCs w:val="24"/>
        </w:rPr>
        <w:t xml:space="preserve"> udskilles i human mælk. Det er endnu ukendt, om </w:t>
      </w:r>
      <w:proofErr w:type="spellStart"/>
      <w:r w:rsidRPr="00866065">
        <w:rPr>
          <w:sz w:val="24"/>
          <w:szCs w:val="24"/>
        </w:rPr>
        <w:t>dexamethason</w:t>
      </w:r>
      <w:proofErr w:type="spellEnd"/>
      <w:r w:rsidRPr="00866065">
        <w:rPr>
          <w:sz w:val="24"/>
          <w:szCs w:val="24"/>
        </w:rPr>
        <w:t xml:space="preserve"> er skadeligt for det ammede barn. Det anbefales ikke desto mindre, at </w:t>
      </w:r>
      <w:proofErr w:type="spellStart"/>
      <w:r w:rsidRPr="00866065">
        <w:rPr>
          <w:sz w:val="24"/>
          <w:szCs w:val="24"/>
        </w:rPr>
        <w:t>dexamethason</w:t>
      </w:r>
      <w:proofErr w:type="spellEnd"/>
      <w:r w:rsidRPr="00866065">
        <w:rPr>
          <w:sz w:val="24"/>
          <w:szCs w:val="24"/>
        </w:rPr>
        <w:t xml:space="preserve"> kun ordineres under amning på tvingende indikation. Hvis sygdommen nødvendiggør høje doser </w:t>
      </w:r>
      <w:proofErr w:type="spellStart"/>
      <w:r w:rsidRPr="00866065">
        <w:rPr>
          <w:sz w:val="24"/>
          <w:szCs w:val="24"/>
        </w:rPr>
        <w:t>dexamethason</w:t>
      </w:r>
      <w:proofErr w:type="spellEnd"/>
      <w:r w:rsidRPr="00866065">
        <w:rPr>
          <w:sz w:val="24"/>
          <w:szCs w:val="24"/>
        </w:rPr>
        <w:t>, anbefales det, at amning ophører.</w:t>
      </w:r>
    </w:p>
    <w:p w14:paraId="0B3C8787" w14:textId="77777777" w:rsidR="009260DE" w:rsidRPr="00C84483" w:rsidRDefault="009260DE" w:rsidP="009260DE">
      <w:pPr>
        <w:tabs>
          <w:tab w:val="left" w:pos="851"/>
        </w:tabs>
        <w:ind w:left="851"/>
        <w:rPr>
          <w:sz w:val="24"/>
          <w:szCs w:val="24"/>
        </w:rPr>
      </w:pPr>
    </w:p>
    <w:p w14:paraId="2C280D9A" w14:textId="0358735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3" w:name="_Hlk121750171"/>
      <w:r w:rsidR="00F73680" w:rsidRPr="00BA4587">
        <w:rPr>
          <w:b/>
          <w:sz w:val="24"/>
          <w:szCs w:val="24"/>
        </w:rPr>
        <w:t xml:space="preserve">Virkning på evnen til at føre motorkøretøj </w:t>
      </w:r>
      <w:r w:rsidR="00F73680" w:rsidRPr="00BA4587">
        <w:rPr>
          <w:b/>
          <w:noProof/>
          <w:sz w:val="24"/>
          <w:szCs w:val="24"/>
        </w:rPr>
        <w:t>og</w:t>
      </w:r>
      <w:r w:rsidR="00F73680" w:rsidRPr="00BA4587">
        <w:rPr>
          <w:b/>
          <w:sz w:val="24"/>
          <w:szCs w:val="24"/>
        </w:rPr>
        <w:t xml:space="preserve"> betjene maskiner</w:t>
      </w:r>
      <w:bookmarkEnd w:id="3"/>
    </w:p>
    <w:p w14:paraId="4A319843" w14:textId="77777777" w:rsidR="001D2443" w:rsidRPr="001D2443" w:rsidRDefault="001D2443" w:rsidP="001D2443">
      <w:pPr>
        <w:tabs>
          <w:tab w:val="left" w:pos="851"/>
        </w:tabs>
        <w:ind w:left="851"/>
        <w:rPr>
          <w:sz w:val="24"/>
          <w:szCs w:val="24"/>
        </w:rPr>
      </w:pPr>
      <w:r w:rsidRPr="001D2443">
        <w:rPr>
          <w:sz w:val="24"/>
          <w:szCs w:val="24"/>
        </w:rPr>
        <w:t>Ikke mærkning</w:t>
      </w:r>
    </w:p>
    <w:p w14:paraId="6BAB0FE3" w14:textId="77777777" w:rsidR="001D2443" w:rsidRPr="001D2443" w:rsidRDefault="001D2443" w:rsidP="001D2443">
      <w:pPr>
        <w:tabs>
          <w:tab w:val="left" w:pos="851"/>
        </w:tabs>
        <w:ind w:left="851"/>
        <w:rPr>
          <w:sz w:val="24"/>
          <w:szCs w:val="24"/>
        </w:rPr>
      </w:pPr>
      <w:proofErr w:type="spellStart"/>
      <w:r w:rsidRPr="001D2443">
        <w:rPr>
          <w:sz w:val="24"/>
          <w:szCs w:val="24"/>
        </w:rPr>
        <w:t>Zeqmelit</w:t>
      </w:r>
      <w:proofErr w:type="spellEnd"/>
      <w:r w:rsidRPr="001D2443">
        <w:rPr>
          <w:sz w:val="24"/>
          <w:szCs w:val="24"/>
        </w:rPr>
        <w:t xml:space="preserve"> påvirker ikke eller kun i ubetydelig grad evnen til at føre motorkøretøj og betjene maskiner.</w:t>
      </w:r>
    </w:p>
    <w:p w14:paraId="39608200" w14:textId="77777777" w:rsidR="009260DE" w:rsidRPr="00C84483" w:rsidRDefault="009260DE" w:rsidP="009260DE">
      <w:pPr>
        <w:tabs>
          <w:tab w:val="left" w:pos="851"/>
        </w:tabs>
        <w:ind w:left="851"/>
        <w:rPr>
          <w:sz w:val="24"/>
          <w:szCs w:val="24"/>
        </w:rPr>
      </w:pPr>
    </w:p>
    <w:p w14:paraId="4667F98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FC95530" w14:textId="77777777" w:rsidR="00291122" w:rsidRPr="00291122" w:rsidRDefault="00291122" w:rsidP="00291122">
      <w:pPr>
        <w:tabs>
          <w:tab w:val="left" w:pos="851"/>
        </w:tabs>
        <w:ind w:left="851"/>
        <w:rPr>
          <w:sz w:val="24"/>
          <w:szCs w:val="24"/>
        </w:rPr>
      </w:pPr>
      <w:r w:rsidRPr="00291122">
        <w:rPr>
          <w:sz w:val="24"/>
          <w:szCs w:val="24"/>
        </w:rPr>
        <w:t xml:space="preserve">Hyppighederne af lægemiddelbivirkninger af </w:t>
      </w:r>
      <w:proofErr w:type="spellStart"/>
      <w:r w:rsidRPr="00291122">
        <w:rPr>
          <w:sz w:val="24"/>
          <w:szCs w:val="24"/>
        </w:rPr>
        <w:t>dexamethason</w:t>
      </w:r>
      <w:proofErr w:type="spellEnd"/>
      <w:r w:rsidRPr="00291122">
        <w:rPr>
          <w:sz w:val="24"/>
          <w:szCs w:val="24"/>
        </w:rPr>
        <w:t xml:space="preserve"> er anført nedenfor. Listen er baseret på bivirkninger, der er indberettet for anvendelse efter markedsføring af produktet.</w:t>
      </w:r>
    </w:p>
    <w:p w14:paraId="59D5EAA0" w14:textId="77777777" w:rsidR="00291122" w:rsidRPr="00291122" w:rsidRDefault="00291122" w:rsidP="00291122">
      <w:pPr>
        <w:tabs>
          <w:tab w:val="left" w:pos="851"/>
        </w:tabs>
        <w:ind w:left="851"/>
        <w:rPr>
          <w:sz w:val="24"/>
          <w:szCs w:val="24"/>
        </w:rPr>
      </w:pPr>
    </w:p>
    <w:p w14:paraId="7E96F44E" w14:textId="77777777" w:rsidR="00291122" w:rsidRPr="00291122" w:rsidRDefault="00291122" w:rsidP="00291122">
      <w:pPr>
        <w:tabs>
          <w:tab w:val="left" w:pos="851"/>
        </w:tabs>
        <w:ind w:left="851"/>
        <w:rPr>
          <w:sz w:val="24"/>
          <w:szCs w:val="24"/>
        </w:rPr>
      </w:pPr>
      <w:r w:rsidRPr="00291122">
        <w:rPr>
          <w:sz w:val="24"/>
          <w:szCs w:val="24"/>
        </w:rPr>
        <w:t>Hyppigheden af bivirkningerne kan ikke fastlægges, da de er udledt af spontane indberetninger. Hyppigheden af alle nedenstående bivirkninger er derfor klassificeret som "ikke kendt".</w:t>
      </w:r>
    </w:p>
    <w:p w14:paraId="00276208" w14:textId="77777777" w:rsidR="00291122" w:rsidRPr="00291122" w:rsidRDefault="00291122" w:rsidP="00291122">
      <w:pPr>
        <w:tabs>
          <w:tab w:val="left" w:pos="851"/>
        </w:tabs>
        <w:ind w:left="851"/>
        <w:rPr>
          <w:sz w:val="24"/>
          <w:szCs w:val="24"/>
        </w:rPr>
      </w:pPr>
    </w:p>
    <w:p w14:paraId="01E86C9B" w14:textId="77777777" w:rsidR="00291122" w:rsidRPr="00291122" w:rsidRDefault="00291122" w:rsidP="00291122">
      <w:pPr>
        <w:tabs>
          <w:tab w:val="left" w:pos="851"/>
        </w:tabs>
        <w:ind w:left="851"/>
        <w:rPr>
          <w:sz w:val="24"/>
          <w:szCs w:val="24"/>
        </w:rPr>
      </w:pPr>
      <w:r w:rsidRPr="00291122">
        <w:rPr>
          <w:sz w:val="24"/>
          <w:szCs w:val="24"/>
        </w:rPr>
        <w:t xml:space="preserve">Nedenstående bivirkninger kan opstå, afhængigt af dosis og behandlingens varighed. Bivirkningerne er inddelt i henhold til </w:t>
      </w:r>
      <w:proofErr w:type="spellStart"/>
      <w:r w:rsidRPr="00291122">
        <w:rPr>
          <w:sz w:val="24"/>
          <w:szCs w:val="24"/>
        </w:rPr>
        <w:t>MedDRA's</w:t>
      </w:r>
      <w:proofErr w:type="spellEnd"/>
      <w:r w:rsidRPr="00291122">
        <w:rPr>
          <w:sz w:val="24"/>
          <w:szCs w:val="24"/>
        </w:rPr>
        <w:t xml:space="preserve"> klassificering af ramte organer og systemer:</w:t>
      </w:r>
    </w:p>
    <w:p w14:paraId="4C9B236B" w14:textId="77777777" w:rsidR="00291122" w:rsidRPr="00291122" w:rsidRDefault="00291122" w:rsidP="00291122">
      <w:pPr>
        <w:tabs>
          <w:tab w:val="left" w:pos="851"/>
        </w:tabs>
        <w:ind w:left="851"/>
        <w:rPr>
          <w:sz w:val="24"/>
          <w:szCs w:val="24"/>
        </w:rPr>
      </w:pPr>
    </w:p>
    <w:tbl>
      <w:tblPr>
        <w:tblW w:w="906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2"/>
        <w:gridCol w:w="4532"/>
      </w:tblGrid>
      <w:tr w:rsidR="00291122" w:rsidRPr="00291122" w14:paraId="75C184E3" w14:textId="77777777" w:rsidTr="00291122">
        <w:trPr>
          <w:cantSplit/>
          <w:tblHeader/>
        </w:trPr>
        <w:tc>
          <w:tcPr>
            <w:tcW w:w="4532" w:type="dxa"/>
            <w:tcBorders>
              <w:top w:val="single" w:sz="4" w:space="0" w:color="auto"/>
              <w:left w:val="single" w:sz="4" w:space="0" w:color="auto"/>
              <w:bottom w:val="single" w:sz="4" w:space="0" w:color="auto"/>
              <w:right w:val="single" w:sz="4" w:space="0" w:color="auto"/>
            </w:tcBorders>
            <w:hideMark/>
          </w:tcPr>
          <w:p w14:paraId="76AA8F0E" w14:textId="77777777" w:rsidR="00291122" w:rsidRPr="00291122" w:rsidRDefault="00291122" w:rsidP="00885610">
            <w:pPr>
              <w:ind w:left="34"/>
              <w:rPr>
                <w:sz w:val="24"/>
                <w:szCs w:val="24"/>
              </w:rPr>
            </w:pPr>
            <w:r w:rsidRPr="00291122">
              <w:rPr>
                <w:b/>
                <w:sz w:val="24"/>
                <w:szCs w:val="24"/>
              </w:rPr>
              <w:t>Systemorganklasse</w:t>
            </w:r>
          </w:p>
        </w:tc>
        <w:tc>
          <w:tcPr>
            <w:tcW w:w="4532" w:type="dxa"/>
            <w:tcBorders>
              <w:top w:val="single" w:sz="4" w:space="0" w:color="auto"/>
              <w:left w:val="single" w:sz="4" w:space="0" w:color="auto"/>
              <w:bottom w:val="single" w:sz="4" w:space="0" w:color="auto"/>
              <w:right w:val="single" w:sz="4" w:space="0" w:color="auto"/>
            </w:tcBorders>
            <w:hideMark/>
          </w:tcPr>
          <w:p w14:paraId="083F0C24" w14:textId="77777777" w:rsidR="00291122" w:rsidRPr="00291122" w:rsidRDefault="00291122" w:rsidP="00885610">
            <w:pPr>
              <w:ind w:left="38"/>
              <w:rPr>
                <w:b/>
                <w:bCs/>
                <w:sz w:val="24"/>
                <w:szCs w:val="24"/>
              </w:rPr>
            </w:pPr>
            <w:r w:rsidRPr="00291122">
              <w:rPr>
                <w:b/>
                <w:sz w:val="24"/>
                <w:szCs w:val="24"/>
              </w:rPr>
              <w:t>Ikke kendt (kan ikke estimeres ud fra forhåndenværende data)</w:t>
            </w:r>
          </w:p>
        </w:tc>
      </w:tr>
      <w:tr w:rsidR="00291122" w:rsidRPr="00291122" w14:paraId="4E09BE93"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1C13E111" w14:textId="77777777" w:rsidR="00291122" w:rsidRPr="00291122" w:rsidRDefault="00291122" w:rsidP="00885610">
            <w:pPr>
              <w:ind w:left="34"/>
              <w:rPr>
                <w:sz w:val="24"/>
                <w:szCs w:val="24"/>
              </w:rPr>
            </w:pPr>
            <w:r w:rsidRPr="00291122">
              <w:rPr>
                <w:sz w:val="24"/>
                <w:szCs w:val="24"/>
              </w:rPr>
              <w:t>Blod og lymfesystem</w:t>
            </w:r>
          </w:p>
        </w:tc>
        <w:tc>
          <w:tcPr>
            <w:tcW w:w="4532" w:type="dxa"/>
            <w:tcBorders>
              <w:top w:val="single" w:sz="4" w:space="0" w:color="auto"/>
              <w:left w:val="single" w:sz="4" w:space="0" w:color="auto"/>
              <w:bottom w:val="single" w:sz="4" w:space="0" w:color="auto"/>
              <w:right w:val="single" w:sz="4" w:space="0" w:color="auto"/>
            </w:tcBorders>
            <w:hideMark/>
          </w:tcPr>
          <w:p w14:paraId="41AE1288" w14:textId="77777777" w:rsidR="00291122" w:rsidRPr="00291122" w:rsidRDefault="00291122" w:rsidP="00885610">
            <w:pPr>
              <w:ind w:left="38"/>
              <w:rPr>
                <w:sz w:val="24"/>
                <w:szCs w:val="24"/>
              </w:rPr>
            </w:pPr>
            <w:r w:rsidRPr="00291122">
              <w:rPr>
                <w:sz w:val="24"/>
                <w:szCs w:val="24"/>
              </w:rPr>
              <w:t xml:space="preserve">Moderat leukocytose, </w:t>
            </w:r>
            <w:proofErr w:type="spellStart"/>
            <w:r w:rsidRPr="00291122">
              <w:rPr>
                <w:sz w:val="24"/>
                <w:szCs w:val="24"/>
              </w:rPr>
              <w:t>lymfopeni</w:t>
            </w:r>
            <w:proofErr w:type="spellEnd"/>
            <w:r w:rsidRPr="00291122">
              <w:rPr>
                <w:sz w:val="24"/>
                <w:szCs w:val="24"/>
              </w:rPr>
              <w:t xml:space="preserve">, </w:t>
            </w:r>
            <w:proofErr w:type="spellStart"/>
            <w:r w:rsidRPr="00291122">
              <w:rPr>
                <w:sz w:val="24"/>
                <w:szCs w:val="24"/>
              </w:rPr>
              <w:t>eosinopeni</w:t>
            </w:r>
            <w:proofErr w:type="spellEnd"/>
            <w:r w:rsidRPr="00291122">
              <w:rPr>
                <w:sz w:val="24"/>
                <w:szCs w:val="24"/>
              </w:rPr>
              <w:t xml:space="preserve"> og </w:t>
            </w:r>
            <w:proofErr w:type="spellStart"/>
            <w:r w:rsidRPr="00291122">
              <w:rPr>
                <w:sz w:val="24"/>
                <w:szCs w:val="24"/>
              </w:rPr>
              <w:t>polycytæmi</w:t>
            </w:r>
            <w:proofErr w:type="spellEnd"/>
            <w:r w:rsidRPr="00291122">
              <w:rPr>
                <w:sz w:val="24"/>
                <w:szCs w:val="24"/>
              </w:rPr>
              <w:t>.</w:t>
            </w:r>
          </w:p>
        </w:tc>
      </w:tr>
      <w:tr w:rsidR="00291122" w:rsidRPr="00291122" w14:paraId="5FDC6BC8"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66E0FF11" w14:textId="77777777" w:rsidR="00291122" w:rsidRPr="00291122" w:rsidRDefault="00291122" w:rsidP="00885610">
            <w:pPr>
              <w:ind w:left="34"/>
              <w:rPr>
                <w:sz w:val="24"/>
                <w:szCs w:val="24"/>
              </w:rPr>
            </w:pPr>
            <w:r w:rsidRPr="00291122">
              <w:rPr>
                <w:sz w:val="24"/>
                <w:szCs w:val="24"/>
              </w:rPr>
              <w:t>Det endokrine system</w:t>
            </w:r>
          </w:p>
        </w:tc>
        <w:tc>
          <w:tcPr>
            <w:tcW w:w="4532" w:type="dxa"/>
            <w:tcBorders>
              <w:top w:val="single" w:sz="4" w:space="0" w:color="auto"/>
              <w:left w:val="single" w:sz="4" w:space="0" w:color="auto"/>
              <w:bottom w:val="single" w:sz="4" w:space="0" w:color="auto"/>
              <w:right w:val="single" w:sz="4" w:space="0" w:color="auto"/>
            </w:tcBorders>
            <w:hideMark/>
          </w:tcPr>
          <w:p w14:paraId="60A61E11" w14:textId="77777777" w:rsidR="00291122" w:rsidRPr="00291122" w:rsidRDefault="00291122" w:rsidP="00885610">
            <w:pPr>
              <w:ind w:left="38"/>
              <w:rPr>
                <w:sz w:val="24"/>
                <w:szCs w:val="24"/>
              </w:rPr>
            </w:pPr>
            <w:proofErr w:type="spellStart"/>
            <w:r w:rsidRPr="00291122">
              <w:rPr>
                <w:sz w:val="24"/>
                <w:szCs w:val="24"/>
              </w:rPr>
              <w:t>Adrenal</w:t>
            </w:r>
            <w:proofErr w:type="spellEnd"/>
            <w:r w:rsidRPr="00291122">
              <w:rPr>
                <w:sz w:val="24"/>
                <w:szCs w:val="24"/>
              </w:rPr>
              <w:t xml:space="preserve"> insufficiens. </w:t>
            </w:r>
            <w:proofErr w:type="spellStart"/>
            <w:r w:rsidRPr="00291122">
              <w:rPr>
                <w:sz w:val="24"/>
                <w:szCs w:val="24"/>
              </w:rPr>
              <w:t>Cushings</w:t>
            </w:r>
            <w:proofErr w:type="spellEnd"/>
            <w:r w:rsidRPr="00291122">
              <w:rPr>
                <w:sz w:val="24"/>
                <w:szCs w:val="24"/>
              </w:rPr>
              <w:t xml:space="preserve"> syndrom (måneansigt, </w:t>
            </w:r>
            <w:proofErr w:type="spellStart"/>
            <w:r w:rsidRPr="00291122">
              <w:rPr>
                <w:sz w:val="24"/>
                <w:szCs w:val="24"/>
              </w:rPr>
              <w:t>trunkalfedme</w:t>
            </w:r>
            <w:proofErr w:type="spellEnd"/>
            <w:r w:rsidRPr="00291122">
              <w:rPr>
                <w:sz w:val="24"/>
                <w:szCs w:val="24"/>
              </w:rPr>
              <w:t>).</w:t>
            </w:r>
          </w:p>
        </w:tc>
      </w:tr>
      <w:tr w:rsidR="00291122" w:rsidRPr="00291122" w14:paraId="1E8EADA7"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261FD04B" w14:textId="77777777" w:rsidR="00291122" w:rsidRPr="00291122" w:rsidRDefault="00291122" w:rsidP="00885610">
            <w:pPr>
              <w:ind w:left="34"/>
              <w:rPr>
                <w:sz w:val="24"/>
                <w:szCs w:val="24"/>
              </w:rPr>
            </w:pPr>
            <w:r w:rsidRPr="00291122">
              <w:rPr>
                <w:sz w:val="24"/>
                <w:szCs w:val="24"/>
              </w:rPr>
              <w:t>Øjne</w:t>
            </w:r>
          </w:p>
        </w:tc>
        <w:tc>
          <w:tcPr>
            <w:tcW w:w="4532" w:type="dxa"/>
            <w:tcBorders>
              <w:top w:val="single" w:sz="4" w:space="0" w:color="auto"/>
              <w:left w:val="single" w:sz="4" w:space="0" w:color="auto"/>
              <w:bottom w:val="single" w:sz="4" w:space="0" w:color="auto"/>
              <w:right w:val="single" w:sz="4" w:space="0" w:color="auto"/>
            </w:tcBorders>
            <w:hideMark/>
          </w:tcPr>
          <w:p w14:paraId="2D8691A8" w14:textId="77777777" w:rsidR="00291122" w:rsidRPr="00291122" w:rsidRDefault="00291122" w:rsidP="00885610">
            <w:pPr>
              <w:ind w:left="38"/>
              <w:rPr>
                <w:sz w:val="24"/>
                <w:szCs w:val="24"/>
              </w:rPr>
            </w:pPr>
            <w:proofErr w:type="spellStart"/>
            <w:r w:rsidRPr="00291122">
              <w:rPr>
                <w:sz w:val="24"/>
                <w:szCs w:val="24"/>
              </w:rPr>
              <w:t>Glaukom</w:t>
            </w:r>
            <w:proofErr w:type="spellEnd"/>
            <w:r w:rsidRPr="00291122">
              <w:rPr>
                <w:sz w:val="24"/>
                <w:szCs w:val="24"/>
              </w:rPr>
              <w:t xml:space="preserve">, katarakter (især i forbindelse med efterfølgende </w:t>
            </w:r>
            <w:proofErr w:type="spellStart"/>
            <w:r w:rsidRPr="00291122">
              <w:rPr>
                <w:sz w:val="24"/>
                <w:szCs w:val="24"/>
              </w:rPr>
              <w:t>subkapsulær</w:t>
            </w:r>
            <w:proofErr w:type="spellEnd"/>
            <w:r w:rsidRPr="00291122">
              <w:rPr>
                <w:sz w:val="24"/>
                <w:szCs w:val="24"/>
              </w:rPr>
              <w:t xml:space="preserve"> opacitet), forværring af symptomerne på hornhindesår, svampe-, virus- og bakterieinfektioner i øjnene, forværring af bakterieinfektioner i hornhinden, </w:t>
            </w:r>
            <w:proofErr w:type="spellStart"/>
            <w:r w:rsidRPr="00291122">
              <w:rPr>
                <w:sz w:val="24"/>
                <w:szCs w:val="24"/>
              </w:rPr>
              <w:t>ptose</w:t>
            </w:r>
            <w:proofErr w:type="spellEnd"/>
            <w:r w:rsidRPr="00291122">
              <w:rPr>
                <w:sz w:val="24"/>
                <w:szCs w:val="24"/>
              </w:rPr>
              <w:t xml:space="preserve">, </w:t>
            </w:r>
            <w:proofErr w:type="spellStart"/>
            <w:r w:rsidRPr="00291122">
              <w:rPr>
                <w:sz w:val="24"/>
                <w:szCs w:val="24"/>
              </w:rPr>
              <w:t>mydriasis</w:t>
            </w:r>
            <w:proofErr w:type="spellEnd"/>
            <w:r w:rsidRPr="00291122">
              <w:rPr>
                <w:sz w:val="24"/>
                <w:szCs w:val="24"/>
              </w:rPr>
              <w:t xml:space="preserve">, </w:t>
            </w:r>
            <w:proofErr w:type="spellStart"/>
            <w:r w:rsidRPr="00291122">
              <w:rPr>
                <w:sz w:val="24"/>
                <w:szCs w:val="24"/>
              </w:rPr>
              <w:t>chemosis</w:t>
            </w:r>
            <w:proofErr w:type="spellEnd"/>
            <w:r w:rsidRPr="00291122">
              <w:rPr>
                <w:sz w:val="24"/>
                <w:szCs w:val="24"/>
              </w:rPr>
              <w:t xml:space="preserve">, </w:t>
            </w:r>
            <w:proofErr w:type="spellStart"/>
            <w:r w:rsidRPr="00291122">
              <w:rPr>
                <w:sz w:val="24"/>
                <w:szCs w:val="24"/>
              </w:rPr>
              <w:t>sklerotisk</w:t>
            </w:r>
            <w:proofErr w:type="spellEnd"/>
            <w:r w:rsidRPr="00291122">
              <w:rPr>
                <w:sz w:val="24"/>
                <w:szCs w:val="24"/>
              </w:rPr>
              <w:t xml:space="preserve"> </w:t>
            </w:r>
            <w:proofErr w:type="spellStart"/>
            <w:r w:rsidRPr="00291122">
              <w:rPr>
                <w:sz w:val="24"/>
                <w:szCs w:val="24"/>
              </w:rPr>
              <w:t>iatrogen</w:t>
            </w:r>
            <w:proofErr w:type="spellEnd"/>
            <w:r w:rsidRPr="00291122">
              <w:rPr>
                <w:sz w:val="24"/>
                <w:szCs w:val="24"/>
              </w:rPr>
              <w:t xml:space="preserve"> perforation, </w:t>
            </w:r>
            <w:proofErr w:type="spellStart"/>
            <w:r w:rsidRPr="00291122">
              <w:rPr>
                <w:sz w:val="24"/>
                <w:szCs w:val="24"/>
              </w:rPr>
              <w:t>chorioretinopati</w:t>
            </w:r>
            <w:proofErr w:type="spellEnd"/>
            <w:r w:rsidRPr="00291122">
              <w:rPr>
                <w:sz w:val="24"/>
                <w:szCs w:val="24"/>
              </w:rPr>
              <w:t>, sløret syn (se også pkt. 4.4).</w:t>
            </w:r>
          </w:p>
        </w:tc>
      </w:tr>
      <w:tr w:rsidR="00291122" w:rsidRPr="00291122" w14:paraId="0E8BF621"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62A8AE6A" w14:textId="77777777" w:rsidR="00291122" w:rsidRPr="00291122" w:rsidRDefault="00291122" w:rsidP="00885610">
            <w:pPr>
              <w:ind w:left="34"/>
              <w:rPr>
                <w:sz w:val="24"/>
                <w:szCs w:val="24"/>
              </w:rPr>
            </w:pPr>
            <w:r w:rsidRPr="00291122">
              <w:rPr>
                <w:sz w:val="24"/>
                <w:szCs w:val="24"/>
              </w:rPr>
              <w:t>Mave-tarm-kanalen</w:t>
            </w:r>
          </w:p>
        </w:tc>
        <w:tc>
          <w:tcPr>
            <w:tcW w:w="4532" w:type="dxa"/>
            <w:tcBorders>
              <w:top w:val="single" w:sz="4" w:space="0" w:color="auto"/>
              <w:left w:val="single" w:sz="4" w:space="0" w:color="auto"/>
              <w:bottom w:val="single" w:sz="4" w:space="0" w:color="auto"/>
              <w:right w:val="single" w:sz="4" w:space="0" w:color="auto"/>
            </w:tcBorders>
            <w:hideMark/>
          </w:tcPr>
          <w:p w14:paraId="7C381509" w14:textId="77777777" w:rsidR="00291122" w:rsidRPr="00291122" w:rsidRDefault="00291122" w:rsidP="00885610">
            <w:pPr>
              <w:ind w:left="38"/>
              <w:rPr>
                <w:sz w:val="24"/>
                <w:szCs w:val="24"/>
              </w:rPr>
            </w:pPr>
            <w:proofErr w:type="spellStart"/>
            <w:r w:rsidRPr="00291122">
              <w:rPr>
                <w:sz w:val="24"/>
                <w:szCs w:val="24"/>
              </w:rPr>
              <w:t>Peptisk</w:t>
            </w:r>
            <w:proofErr w:type="spellEnd"/>
            <w:r w:rsidRPr="00291122">
              <w:rPr>
                <w:sz w:val="24"/>
                <w:szCs w:val="24"/>
              </w:rPr>
              <w:t xml:space="preserve"> ulcus, </w:t>
            </w:r>
            <w:proofErr w:type="spellStart"/>
            <w:r w:rsidRPr="00291122">
              <w:rPr>
                <w:sz w:val="24"/>
                <w:szCs w:val="24"/>
              </w:rPr>
              <w:t>gastrointestinal</w:t>
            </w:r>
            <w:proofErr w:type="spellEnd"/>
            <w:r w:rsidRPr="00291122">
              <w:rPr>
                <w:sz w:val="24"/>
                <w:szCs w:val="24"/>
              </w:rPr>
              <w:t xml:space="preserve"> blødning, </w:t>
            </w:r>
            <w:proofErr w:type="spellStart"/>
            <w:r w:rsidRPr="00291122">
              <w:rPr>
                <w:sz w:val="24"/>
                <w:szCs w:val="24"/>
              </w:rPr>
              <w:t>pankreatit</w:t>
            </w:r>
            <w:proofErr w:type="spellEnd"/>
            <w:r w:rsidRPr="00291122">
              <w:rPr>
                <w:sz w:val="24"/>
                <w:szCs w:val="24"/>
              </w:rPr>
              <w:t>, ubehag i maven.</w:t>
            </w:r>
          </w:p>
        </w:tc>
      </w:tr>
      <w:tr w:rsidR="00291122" w:rsidRPr="00291122" w14:paraId="474EE618"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2A6E0D35" w14:textId="77777777" w:rsidR="00291122" w:rsidRPr="00291122" w:rsidRDefault="00291122" w:rsidP="00885610">
            <w:pPr>
              <w:ind w:left="34"/>
              <w:rPr>
                <w:sz w:val="24"/>
                <w:szCs w:val="24"/>
              </w:rPr>
            </w:pPr>
            <w:r w:rsidRPr="00291122">
              <w:rPr>
                <w:sz w:val="24"/>
                <w:szCs w:val="24"/>
              </w:rPr>
              <w:t>Almene symptomer og reaktioner på administrationsstedet</w:t>
            </w:r>
          </w:p>
        </w:tc>
        <w:tc>
          <w:tcPr>
            <w:tcW w:w="4532" w:type="dxa"/>
            <w:tcBorders>
              <w:top w:val="single" w:sz="4" w:space="0" w:color="auto"/>
              <w:left w:val="single" w:sz="4" w:space="0" w:color="auto"/>
              <w:bottom w:val="single" w:sz="4" w:space="0" w:color="auto"/>
              <w:right w:val="single" w:sz="4" w:space="0" w:color="auto"/>
            </w:tcBorders>
            <w:hideMark/>
          </w:tcPr>
          <w:p w14:paraId="5AFD6D17" w14:textId="77777777" w:rsidR="00291122" w:rsidRPr="00291122" w:rsidRDefault="00291122" w:rsidP="00885610">
            <w:pPr>
              <w:ind w:left="38"/>
              <w:rPr>
                <w:sz w:val="24"/>
                <w:szCs w:val="24"/>
              </w:rPr>
            </w:pPr>
            <w:r w:rsidRPr="00291122">
              <w:rPr>
                <w:sz w:val="24"/>
                <w:szCs w:val="24"/>
              </w:rPr>
              <w:t xml:space="preserve">Forsinket </w:t>
            </w:r>
            <w:proofErr w:type="spellStart"/>
            <w:r w:rsidRPr="00291122">
              <w:rPr>
                <w:sz w:val="24"/>
                <w:szCs w:val="24"/>
              </w:rPr>
              <w:t>ardannelse</w:t>
            </w:r>
            <w:proofErr w:type="spellEnd"/>
            <w:r w:rsidRPr="00291122">
              <w:rPr>
                <w:sz w:val="24"/>
                <w:szCs w:val="24"/>
              </w:rPr>
              <w:t xml:space="preserve"> på sår.</w:t>
            </w:r>
          </w:p>
        </w:tc>
      </w:tr>
      <w:tr w:rsidR="00291122" w:rsidRPr="00291122" w14:paraId="45908803"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38DDFF49" w14:textId="77777777" w:rsidR="00291122" w:rsidRPr="00291122" w:rsidRDefault="00291122" w:rsidP="00885610">
            <w:pPr>
              <w:ind w:left="34"/>
              <w:rPr>
                <w:sz w:val="24"/>
                <w:szCs w:val="24"/>
              </w:rPr>
            </w:pPr>
            <w:r w:rsidRPr="00291122">
              <w:rPr>
                <w:sz w:val="24"/>
                <w:szCs w:val="24"/>
              </w:rPr>
              <w:t>Immunsystemet</w:t>
            </w:r>
          </w:p>
        </w:tc>
        <w:tc>
          <w:tcPr>
            <w:tcW w:w="4532" w:type="dxa"/>
            <w:tcBorders>
              <w:top w:val="single" w:sz="4" w:space="0" w:color="auto"/>
              <w:left w:val="single" w:sz="4" w:space="0" w:color="auto"/>
              <w:bottom w:val="single" w:sz="4" w:space="0" w:color="auto"/>
              <w:right w:val="single" w:sz="4" w:space="0" w:color="auto"/>
            </w:tcBorders>
            <w:hideMark/>
          </w:tcPr>
          <w:p w14:paraId="379761D2" w14:textId="77777777" w:rsidR="00291122" w:rsidRPr="00291122" w:rsidRDefault="00291122" w:rsidP="00885610">
            <w:pPr>
              <w:ind w:left="38"/>
              <w:rPr>
                <w:sz w:val="24"/>
                <w:szCs w:val="24"/>
              </w:rPr>
            </w:pPr>
            <w:r w:rsidRPr="00291122">
              <w:rPr>
                <w:sz w:val="24"/>
                <w:szCs w:val="24"/>
              </w:rPr>
              <w:t xml:space="preserve">Overfølsomhedsreaktioner (fx </w:t>
            </w:r>
            <w:proofErr w:type="spellStart"/>
            <w:r w:rsidRPr="00291122">
              <w:rPr>
                <w:sz w:val="24"/>
                <w:szCs w:val="24"/>
              </w:rPr>
              <w:t>exanthem</w:t>
            </w:r>
            <w:proofErr w:type="spellEnd"/>
            <w:r w:rsidRPr="00291122">
              <w:rPr>
                <w:sz w:val="24"/>
                <w:szCs w:val="24"/>
              </w:rPr>
              <w:t xml:space="preserve">), svære </w:t>
            </w:r>
            <w:proofErr w:type="spellStart"/>
            <w:r w:rsidRPr="00291122">
              <w:rPr>
                <w:sz w:val="24"/>
                <w:szCs w:val="24"/>
              </w:rPr>
              <w:t>anafylaktiske</w:t>
            </w:r>
            <w:proofErr w:type="spellEnd"/>
            <w:r w:rsidRPr="00291122">
              <w:rPr>
                <w:sz w:val="24"/>
                <w:szCs w:val="24"/>
              </w:rPr>
              <w:t xml:space="preserve"> reaktioner såsom </w:t>
            </w:r>
            <w:proofErr w:type="spellStart"/>
            <w:r w:rsidRPr="00291122">
              <w:rPr>
                <w:sz w:val="24"/>
                <w:szCs w:val="24"/>
              </w:rPr>
              <w:t>arytmi</w:t>
            </w:r>
            <w:proofErr w:type="spellEnd"/>
            <w:r w:rsidRPr="00291122">
              <w:rPr>
                <w:sz w:val="24"/>
                <w:szCs w:val="24"/>
              </w:rPr>
              <w:t xml:space="preserve">, </w:t>
            </w:r>
            <w:proofErr w:type="spellStart"/>
            <w:r w:rsidRPr="00291122">
              <w:rPr>
                <w:sz w:val="24"/>
                <w:szCs w:val="24"/>
              </w:rPr>
              <w:t>bronchospasme</w:t>
            </w:r>
            <w:proofErr w:type="spellEnd"/>
            <w:r w:rsidRPr="00291122">
              <w:rPr>
                <w:sz w:val="24"/>
                <w:szCs w:val="24"/>
              </w:rPr>
              <w:t>, nedsat eller forhøjet blodtryk, kredsløbsinsufficiens, hjertestop.</w:t>
            </w:r>
          </w:p>
        </w:tc>
      </w:tr>
      <w:tr w:rsidR="00291122" w:rsidRPr="00291122" w14:paraId="6CB30BFB"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54BEA2F2" w14:textId="77777777" w:rsidR="00291122" w:rsidRPr="00291122" w:rsidRDefault="00291122" w:rsidP="00885610">
            <w:pPr>
              <w:ind w:left="34"/>
              <w:rPr>
                <w:sz w:val="24"/>
                <w:szCs w:val="24"/>
              </w:rPr>
            </w:pPr>
            <w:r w:rsidRPr="00291122">
              <w:rPr>
                <w:sz w:val="24"/>
                <w:szCs w:val="24"/>
              </w:rPr>
              <w:t>Infektioner og parasitære sygdomme</w:t>
            </w:r>
          </w:p>
        </w:tc>
        <w:tc>
          <w:tcPr>
            <w:tcW w:w="4532" w:type="dxa"/>
            <w:tcBorders>
              <w:top w:val="single" w:sz="4" w:space="0" w:color="auto"/>
              <w:left w:val="single" w:sz="4" w:space="0" w:color="auto"/>
              <w:bottom w:val="single" w:sz="4" w:space="0" w:color="auto"/>
              <w:right w:val="single" w:sz="4" w:space="0" w:color="auto"/>
            </w:tcBorders>
            <w:hideMark/>
          </w:tcPr>
          <w:p w14:paraId="307DFF2C" w14:textId="77777777" w:rsidR="00291122" w:rsidRPr="00291122" w:rsidRDefault="00291122" w:rsidP="00885610">
            <w:pPr>
              <w:ind w:left="38"/>
              <w:rPr>
                <w:sz w:val="24"/>
                <w:szCs w:val="24"/>
              </w:rPr>
            </w:pPr>
            <w:r w:rsidRPr="00291122">
              <w:rPr>
                <w:sz w:val="24"/>
                <w:szCs w:val="24"/>
              </w:rPr>
              <w:t xml:space="preserve">Maskering af infektioner, manifestation, </w:t>
            </w:r>
            <w:proofErr w:type="spellStart"/>
            <w:r w:rsidRPr="00291122">
              <w:rPr>
                <w:sz w:val="24"/>
                <w:szCs w:val="24"/>
              </w:rPr>
              <w:t>eksacerbation</w:t>
            </w:r>
            <w:proofErr w:type="spellEnd"/>
            <w:r w:rsidRPr="00291122">
              <w:rPr>
                <w:sz w:val="24"/>
                <w:szCs w:val="24"/>
              </w:rPr>
              <w:t xml:space="preserve"> eller reaktivering af infektioner (bakterie-, virus- eller svampeinfektioner eller parasitære infektioner samt opportunistiske infektioner), aktivering af </w:t>
            </w:r>
            <w:proofErr w:type="spellStart"/>
            <w:r w:rsidRPr="00291122">
              <w:rPr>
                <w:sz w:val="24"/>
                <w:szCs w:val="24"/>
              </w:rPr>
              <w:t>strongyloidiasis</w:t>
            </w:r>
            <w:proofErr w:type="spellEnd"/>
            <w:r w:rsidRPr="00291122">
              <w:rPr>
                <w:sz w:val="24"/>
                <w:szCs w:val="24"/>
              </w:rPr>
              <w:t xml:space="preserve"> (se pkt. 4.4).</w:t>
            </w:r>
          </w:p>
        </w:tc>
      </w:tr>
      <w:tr w:rsidR="00291122" w:rsidRPr="00291122" w14:paraId="66AD83CB"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2BDF8396" w14:textId="77777777" w:rsidR="00291122" w:rsidRPr="00291122" w:rsidRDefault="00291122" w:rsidP="00885610">
            <w:pPr>
              <w:ind w:left="34"/>
              <w:rPr>
                <w:sz w:val="24"/>
                <w:szCs w:val="24"/>
              </w:rPr>
            </w:pPr>
            <w:r w:rsidRPr="00291122">
              <w:rPr>
                <w:sz w:val="24"/>
                <w:szCs w:val="24"/>
              </w:rPr>
              <w:t>Metabolisme og ernæring</w:t>
            </w:r>
          </w:p>
        </w:tc>
        <w:tc>
          <w:tcPr>
            <w:tcW w:w="4532" w:type="dxa"/>
            <w:tcBorders>
              <w:top w:val="single" w:sz="4" w:space="0" w:color="auto"/>
              <w:left w:val="single" w:sz="4" w:space="0" w:color="auto"/>
              <w:bottom w:val="single" w:sz="4" w:space="0" w:color="auto"/>
              <w:right w:val="single" w:sz="4" w:space="0" w:color="auto"/>
            </w:tcBorders>
            <w:hideMark/>
          </w:tcPr>
          <w:p w14:paraId="38C7DE72" w14:textId="77777777" w:rsidR="00291122" w:rsidRPr="00291122" w:rsidRDefault="00291122" w:rsidP="00885610">
            <w:pPr>
              <w:ind w:left="38"/>
              <w:rPr>
                <w:sz w:val="24"/>
                <w:szCs w:val="24"/>
              </w:rPr>
            </w:pPr>
            <w:r w:rsidRPr="00291122">
              <w:rPr>
                <w:sz w:val="24"/>
                <w:szCs w:val="24"/>
              </w:rPr>
              <w:t xml:space="preserve">Natriumretention med ødem, øget udskillelse af kalium (som kan føre til </w:t>
            </w:r>
            <w:proofErr w:type="spellStart"/>
            <w:r w:rsidRPr="00291122">
              <w:rPr>
                <w:sz w:val="24"/>
                <w:szCs w:val="24"/>
              </w:rPr>
              <w:t>arytmier</w:t>
            </w:r>
            <w:proofErr w:type="spellEnd"/>
            <w:r w:rsidRPr="00291122">
              <w:rPr>
                <w:sz w:val="24"/>
                <w:szCs w:val="24"/>
              </w:rPr>
              <w:t xml:space="preserve">), vægtstigning, nedsat </w:t>
            </w:r>
            <w:proofErr w:type="spellStart"/>
            <w:r w:rsidRPr="00291122">
              <w:rPr>
                <w:sz w:val="24"/>
                <w:szCs w:val="24"/>
              </w:rPr>
              <w:t>glucosetolerance</w:t>
            </w:r>
            <w:proofErr w:type="spellEnd"/>
            <w:r w:rsidRPr="00291122">
              <w:rPr>
                <w:sz w:val="24"/>
                <w:szCs w:val="24"/>
              </w:rPr>
              <w:t xml:space="preserve">, diabetes mellitus, </w:t>
            </w:r>
            <w:proofErr w:type="spellStart"/>
            <w:r w:rsidRPr="00291122">
              <w:rPr>
                <w:sz w:val="24"/>
                <w:szCs w:val="24"/>
              </w:rPr>
              <w:t>hyperkolesterolæmi</w:t>
            </w:r>
            <w:proofErr w:type="spellEnd"/>
            <w:r w:rsidRPr="00291122">
              <w:rPr>
                <w:sz w:val="24"/>
                <w:szCs w:val="24"/>
              </w:rPr>
              <w:t xml:space="preserve">, </w:t>
            </w:r>
            <w:proofErr w:type="spellStart"/>
            <w:r w:rsidRPr="00291122">
              <w:rPr>
                <w:sz w:val="24"/>
                <w:szCs w:val="24"/>
              </w:rPr>
              <w:t>hypertriglyceridæmi</w:t>
            </w:r>
            <w:proofErr w:type="spellEnd"/>
            <w:r w:rsidRPr="00291122">
              <w:rPr>
                <w:sz w:val="24"/>
                <w:szCs w:val="24"/>
              </w:rPr>
              <w:t>, øget appetit.</w:t>
            </w:r>
          </w:p>
        </w:tc>
      </w:tr>
      <w:tr w:rsidR="00291122" w:rsidRPr="00291122" w14:paraId="73C5F8FA"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29A5EE6B" w14:textId="77777777" w:rsidR="00291122" w:rsidRPr="00291122" w:rsidRDefault="00291122" w:rsidP="00885610">
            <w:pPr>
              <w:ind w:left="34"/>
              <w:rPr>
                <w:sz w:val="24"/>
                <w:szCs w:val="24"/>
              </w:rPr>
            </w:pPr>
            <w:r w:rsidRPr="00291122">
              <w:rPr>
                <w:sz w:val="24"/>
                <w:szCs w:val="24"/>
              </w:rPr>
              <w:t>Knogler, led, muskler og bindevæv</w:t>
            </w:r>
          </w:p>
        </w:tc>
        <w:tc>
          <w:tcPr>
            <w:tcW w:w="4532" w:type="dxa"/>
            <w:tcBorders>
              <w:top w:val="single" w:sz="4" w:space="0" w:color="auto"/>
              <w:left w:val="single" w:sz="4" w:space="0" w:color="auto"/>
              <w:bottom w:val="single" w:sz="4" w:space="0" w:color="auto"/>
              <w:right w:val="single" w:sz="4" w:space="0" w:color="auto"/>
            </w:tcBorders>
          </w:tcPr>
          <w:p w14:paraId="5DB85962" w14:textId="77777777" w:rsidR="00291122" w:rsidRPr="00291122" w:rsidRDefault="00291122" w:rsidP="00885610">
            <w:pPr>
              <w:ind w:left="38"/>
              <w:rPr>
                <w:sz w:val="24"/>
                <w:szCs w:val="24"/>
              </w:rPr>
            </w:pPr>
            <w:r w:rsidRPr="00291122">
              <w:rPr>
                <w:sz w:val="24"/>
                <w:szCs w:val="24"/>
              </w:rPr>
              <w:t xml:space="preserve">Muskelatrofi, muskelsvækkelse, </w:t>
            </w:r>
            <w:proofErr w:type="spellStart"/>
            <w:r w:rsidRPr="00291122">
              <w:rPr>
                <w:sz w:val="24"/>
                <w:szCs w:val="24"/>
              </w:rPr>
              <w:t>myopati</w:t>
            </w:r>
            <w:proofErr w:type="spellEnd"/>
            <w:r w:rsidRPr="00291122">
              <w:rPr>
                <w:sz w:val="24"/>
                <w:szCs w:val="24"/>
              </w:rPr>
              <w:t xml:space="preserve">, </w:t>
            </w:r>
            <w:proofErr w:type="spellStart"/>
            <w:r w:rsidRPr="00291122">
              <w:rPr>
                <w:sz w:val="24"/>
                <w:szCs w:val="24"/>
              </w:rPr>
              <w:t>seneabnormaliteter</w:t>
            </w:r>
            <w:proofErr w:type="spellEnd"/>
            <w:r w:rsidRPr="00291122">
              <w:rPr>
                <w:sz w:val="24"/>
                <w:szCs w:val="24"/>
              </w:rPr>
              <w:t xml:space="preserve">, </w:t>
            </w:r>
            <w:proofErr w:type="spellStart"/>
            <w:r w:rsidRPr="00291122">
              <w:rPr>
                <w:sz w:val="24"/>
                <w:szCs w:val="24"/>
              </w:rPr>
              <w:t>tendinitis</w:t>
            </w:r>
            <w:proofErr w:type="spellEnd"/>
            <w:r w:rsidRPr="00291122">
              <w:rPr>
                <w:sz w:val="24"/>
                <w:szCs w:val="24"/>
              </w:rPr>
              <w:t xml:space="preserve">, </w:t>
            </w:r>
            <w:proofErr w:type="spellStart"/>
            <w:r w:rsidRPr="00291122">
              <w:rPr>
                <w:sz w:val="24"/>
                <w:szCs w:val="24"/>
              </w:rPr>
              <w:t>senerupturer</w:t>
            </w:r>
            <w:proofErr w:type="spellEnd"/>
            <w:r w:rsidRPr="00291122">
              <w:rPr>
                <w:sz w:val="24"/>
                <w:szCs w:val="24"/>
              </w:rPr>
              <w:t xml:space="preserve">, osteoporose (dosisafhængig, kan endda opstå efter kort tids behandling), aseptisk </w:t>
            </w:r>
            <w:proofErr w:type="spellStart"/>
            <w:r w:rsidRPr="00291122">
              <w:rPr>
                <w:sz w:val="24"/>
                <w:szCs w:val="24"/>
              </w:rPr>
              <w:t>osteonekrose</w:t>
            </w:r>
            <w:proofErr w:type="spellEnd"/>
            <w:r w:rsidRPr="00291122">
              <w:rPr>
                <w:sz w:val="24"/>
                <w:szCs w:val="24"/>
              </w:rPr>
              <w:t xml:space="preserve">, forsinket vækst hos børn, </w:t>
            </w:r>
            <w:proofErr w:type="spellStart"/>
            <w:r w:rsidRPr="00291122">
              <w:rPr>
                <w:sz w:val="24"/>
                <w:szCs w:val="24"/>
              </w:rPr>
              <w:t>epidural</w:t>
            </w:r>
            <w:proofErr w:type="spellEnd"/>
            <w:r w:rsidRPr="00291122">
              <w:rPr>
                <w:sz w:val="24"/>
                <w:szCs w:val="24"/>
              </w:rPr>
              <w:t xml:space="preserve"> </w:t>
            </w:r>
            <w:proofErr w:type="spellStart"/>
            <w:r w:rsidRPr="00291122">
              <w:rPr>
                <w:sz w:val="24"/>
                <w:szCs w:val="24"/>
              </w:rPr>
              <w:t>lipomatose</w:t>
            </w:r>
            <w:proofErr w:type="spellEnd"/>
            <w:r w:rsidRPr="00291122">
              <w:rPr>
                <w:sz w:val="24"/>
                <w:szCs w:val="24"/>
              </w:rPr>
              <w:t>.</w:t>
            </w:r>
          </w:p>
          <w:p w14:paraId="0449EEA1" w14:textId="77777777" w:rsidR="00291122" w:rsidRPr="00291122" w:rsidRDefault="00291122" w:rsidP="00885610">
            <w:pPr>
              <w:ind w:left="38"/>
              <w:rPr>
                <w:sz w:val="24"/>
                <w:szCs w:val="24"/>
                <w:u w:val="single"/>
              </w:rPr>
            </w:pPr>
          </w:p>
          <w:p w14:paraId="23544ACA" w14:textId="77777777" w:rsidR="00291122" w:rsidRPr="00291122" w:rsidRDefault="00291122" w:rsidP="00885610">
            <w:pPr>
              <w:ind w:left="38"/>
              <w:rPr>
                <w:sz w:val="24"/>
                <w:szCs w:val="24"/>
              </w:rPr>
            </w:pPr>
            <w:r w:rsidRPr="00291122">
              <w:rPr>
                <w:sz w:val="24"/>
                <w:szCs w:val="24"/>
              </w:rPr>
              <w:t>For hurtig nedsættelse af dosis efter langtidsbehandling kan give symptomer som muskel- og ledsmerter.</w:t>
            </w:r>
          </w:p>
        </w:tc>
      </w:tr>
      <w:tr w:rsidR="00291122" w:rsidRPr="00291122" w14:paraId="0D30536A"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0CED879C" w14:textId="77777777" w:rsidR="00291122" w:rsidRPr="00291122" w:rsidRDefault="00291122" w:rsidP="00885610">
            <w:pPr>
              <w:ind w:left="34"/>
              <w:rPr>
                <w:sz w:val="24"/>
                <w:szCs w:val="24"/>
              </w:rPr>
            </w:pPr>
            <w:r w:rsidRPr="00291122">
              <w:rPr>
                <w:sz w:val="24"/>
                <w:szCs w:val="24"/>
              </w:rPr>
              <w:t>Nervesystemet</w:t>
            </w:r>
          </w:p>
        </w:tc>
        <w:tc>
          <w:tcPr>
            <w:tcW w:w="4532" w:type="dxa"/>
            <w:tcBorders>
              <w:top w:val="single" w:sz="4" w:space="0" w:color="auto"/>
              <w:left w:val="single" w:sz="4" w:space="0" w:color="auto"/>
              <w:bottom w:val="single" w:sz="4" w:space="0" w:color="auto"/>
              <w:right w:val="single" w:sz="4" w:space="0" w:color="auto"/>
            </w:tcBorders>
            <w:hideMark/>
          </w:tcPr>
          <w:p w14:paraId="0F7817A8" w14:textId="77777777" w:rsidR="00291122" w:rsidRPr="00291122" w:rsidRDefault="00291122" w:rsidP="00885610">
            <w:pPr>
              <w:ind w:left="38"/>
              <w:rPr>
                <w:sz w:val="24"/>
                <w:szCs w:val="24"/>
              </w:rPr>
            </w:pPr>
            <w:r w:rsidRPr="00291122">
              <w:rPr>
                <w:sz w:val="24"/>
                <w:szCs w:val="24"/>
              </w:rPr>
              <w:t>Pseudotumor i hjernen (især hos børn), manifestationer og forværring af epilepsi (krampeanfald).</w:t>
            </w:r>
          </w:p>
        </w:tc>
      </w:tr>
      <w:tr w:rsidR="00291122" w:rsidRPr="00291122" w14:paraId="06D9E5D3"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11FCB2A6" w14:textId="77777777" w:rsidR="00291122" w:rsidRPr="00291122" w:rsidRDefault="00291122" w:rsidP="00885610">
            <w:pPr>
              <w:ind w:left="34"/>
              <w:rPr>
                <w:sz w:val="24"/>
                <w:szCs w:val="24"/>
              </w:rPr>
            </w:pPr>
            <w:r w:rsidRPr="00291122">
              <w:rPr>
                <w:sz w:val="24"/>
                <w:szCs w:val="24"/>
              </w:rPr>
              <w:t>Psykiske forstyrrelser</w:t>
            </w:r>
          </w:p>
        </w:tc>
        <w:tc>
          <w:tcPr>
            <w:tcW w:w="4532" w:type="dxa"/>
            <w:tcBorders>
              <w:top w:val="single" w:sz="4" w:space="0" w:color="auto"/>
              <w:left w:val="single" w:sz="4" w:space="0" w:color="auto"/>
              <w:bottom w:val="single" w:sz="4" w:space="0" w:color="auto"/>
              <w:right w:val="single" w:sz="4" w:space="0" w:color="auto"/>
            </w:tcBorders>
            <w:hideMark/>
          </w:tcPr>
          <w:p w14:paraId="265E3311" w14:textId="77777777" w:rsidR="00291122" w:rsidRPr="00291122" w:rsidRDefault="00291122" w:rsidP="00885610">
            <w:pPr>
              <w:ind w:left="38"/>
              <w:rPr>
                <w:sz w:val="24"/>
                <w:szCs w:val="24"/>
              </w:rPr>
            </w:pPr>
            <w:r w:rsidRPr="00291122">
              <w:rPr>
                <w:sz w:val="24"/>
                <w:szCs w:val="24"/>
              </w:rPr>
              <w:t>Depression, hallucinationer, følelsesmæssig ustabilitet, irritabilitet, øget aktivitetsniveau, psykose, mani, eufori, angst, søvnforstyrrelser, selvmordstanker.</w:t>
            </w:r>
          </w:p>
        </w:tc>
      </w:tr>
      <w:tr w:rsidR="00291122" w:rsidRPr="00291122" w14:paraId="0747E94B"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7052908A" w14:textId="77777777" w:rsidR="00291122" w:rsidRPr="00291122" w:rsidRDefault="00291122" w:rsidP="00885610">
            <w:pPr>
              <w:ind w:left="34"/>
              <w:rPr>
                <w:sz w:val="24"/>
                <w:szCs w:val="24"/>
              </w:rPr>
            </w:pPr>
            <w:r w:rsidRPr="00291122">
              <w:rPr>
                <w:sz w:val="24"/>
                <w:szCs w:val="24"/>
              </w:rPr>
              <w:t>Det reproduktive system og mammae</w:t>
            </w:r>
          </w:p>
        </w:tc>
        <w:tc>
          <w:tcPr>
            <w:tcW w:w="4532" w:type="dxa"/>
            <w:tcBorders>
              <w:top w:val="single" w:sz="4" w:space="0" w:color="auto"/>
              <w:left w:val="single" w:sz="4" w:space="0" w:color="auto"/>
              <w:bottom w:val="single" w:sz="4" w:space="0" w:color="auto"/>
              <w:right w:val="single" w:sz="4" w:space="0" w:color="auto"/>
            </w:tcBorders>
            <w:hideMark/>
          </w:tcPr>
          <w:p w14:paraId="2A7FE383" w14:textId="77777777" w:rsidR="00291122" w:rsidRPr="00291122" w:rsidRDefault="00291122" w:rsidP="00885610">
            <w:pPr>
              <w:ind w:left="38"/>
              <w:rPr>
                <w:sz w:val="24"/>
                <w:szCs w:val="24"/>
              </w:rPr>
            </w:pPr>
            <w:r w:rsidRPr="00291122">
              <w:rPr>
                <w:sz w:val="24"/>
                <w:szCs w:val="24"/>
              </w:rPr>
              <w:t>Abnorm udskillelse af kønshormoner (</w:t>
            </w:r>
            <w:proofErr w:type="spellStart"/>
            <w:r w:rsidRPr="00291122">
              <w:rPr>
                <w:sz w:val="24"/>
                <w:szCs w:val="24"/>
              </w:rPr>
              <w:t>amenorré</w:t>
            </w:r>
            <w:proofErr w:type="spellEnd"/>
            <w:r w:rsidRPr="00291122">
              <w:rPr>
                <w:sz w:val="24"/>
                <w:szCs w:val="24"/>
              </w:rPr>
              <w:t xml:space="preserve">, </w:t>
            </w:r>
            <w:proofErr w:type="spellStart"/>
            <w:r w:rsidRPr="00291122">
              <w:rPr>
                <w:sz w:val="24"/>
                <w:szCs w:val="24"/>
              </w:rPr>
              <w:t>hirsutisme</w:t>
            </w:r>
            <w:proofErr w:type="spellEnd"/>
            <w:r w:rsidRPr="00291122">
              <w:rPr>
                <w:sz w:val="24"/>
                <w:szCs w:val="24"/>
              </w:rPr>
              <w:t>, impotens).</w:t>
            </w:r>
          </w:p>
        </w:tc>
      </w:tr>
      <w:tr w:rsidR="00291122" w:rsidRPr="00291122" w14:paraId="1646AF17"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6CCD8768" w14:textId="77777777" w:rsidR="00291122" w:rsidRPr="00291122" w:rsidRDefault="00291122" w:rsidP="00885610">
            <w:pPr>
              <w:ind w:left="34"/>
              <w:rPr>
                <w:sz w:val="24"/>
                <w:szCs w:val="24"/>
              </w:rPr>
            </w:pPr>
            <w:r w:rsidRPr="00291122">
              <w:rPr>
                <w:sz w:val="24"/>
                <w:szCs w:val="24"/>
              </w:rPr>
              <w:t>Hud og subkutane væv</w:t>
            </w:r>
          </w:p>
        </w:tc>
        <w:tc>
          <w:tcPr>
            <w:tcW w:w="4532" w:type="dxa"/>
            <w:tcBorders>
              <w:top w:val="single" w:sz="4" w:space="0" w:color="auto"/>
              <w:left w:val="single" w:sz="4" w:space="0" w:color="auto"/>
              <w:bottom w:val="single" w:sz="4" w:space="0" w:color="auto"/>
              <w:right w:val="single" w:sz="4" w:space="0" w:color="auto"/>
            </w:tcBorders>
            <w:hideMark/>
          </w:tcPr>
          <w:p w14:paraId="23D0A495" w14:textId="77777777" w:rsidR="00291122" w:rsidRPr="00291122" w:rsidRDefault="00291122" w:rsidP="00885610">
            <w:pPr>
              <w:ind w:left="38"/>
              <w:rPr>
                <w:sz w:val="24"/>
                <w:szCs w:val="24"/>
              </w:rPr>
            </w:pPr>
            <w:r w:rsidRPr="00291122">
              <w:rPr>
                <w:sz w:val="24"/>
                <w:szCs w:val="24"/>
              </w:rPr>
              <w:t xml:space="preserve">Steroidinduceret akne, røde strækmærker, hudatrofi, </w:t>
            </w:r>
            <w:proofErr w:type="spellStart"/>
            <w:r w:rsidRPr="00291122">
              <w:rPr>
                <w:sz w:val="24"/>
                <w:szCs w:val="24"/>
              </w:rPr>
              <w:t>petekkier</w:t>
            </w:r>
            <w:proofErr w:type="spellEnd"/>
            <w:r w:rsidRPr="00291122">
              <w:rPr>
                <w:sz w:val="24"/>
                <w:szCs w:val="24"/>
              </w:rPr>
              <w:t xml:space="preserve">, </w:t>
            </w:r>
            <w:proofErr w:type="spellStart"/>
            <w:r w:rsidRPr="00291122">
              <w:rPr>
                <w:sz w:val="24"/>
                <w:szCs w:val="24"/>
              </w:rPr>
              <w:t>telangiektasier</w:t>
            </w:r>
            <w:proofErr w:type="spellEnd"/>
            <w:r w:rsidRPr="00291122">
              <w:rPr>
                <w:sz w:val="24"/>
                <w:szCs w:val="24"/>
              </w:rPr>
              <w:t xml:space="preserve">, </w:t>
            </w:r>
            <w:proofErr w:type="spellStart"/>
            <w:r w:rsidRPr="00291122">
              <w:rPr>
                <w:sz w:val="24"/>
                <w:szCs w:val="24"/>
              </w:rPr>
              <w:t>ekkymose</w:t>
            </w:r>
            <w:proofErr w:type="spellEnd"/>
            <w:r w:rsidRPr="00291122">
              <w:rPr>
                <w:sz w:val="24"/>
                <w:szCs w:val="24"/>
              </w:rPr>
              <w:t xml:space="preserve">, </w:t>
            </w:r>
            <w:proofErr w:type="spellStart"/>
            <w:r w:rsidRPr="00291122">
              <w:rPr>
                <w:sz w:val="24"/>
                <w:szCs w:val="24"/>
              </w:rPr>
              <w:t>hypertrikose</w:t>
            </w:r>
            <w:proofErr w:type="spellEnd"/>
            <w:r w:rsidRPr="00291122">
              <w:rPr>
                <w:sz w:val="24"/>
                <w:szCs w:val="24"/>
              </w:rPr>
              <w:t xml:space="preserve">, </w:t>
            </w:r>
            <w:proofErr w:type="spellStart"/>
            <w:r w:rsidRPr="00291122">
              <w:rPr>
                <w:sz w:val="24"/>
                <w:szCs w:val="24"/>
              </w:rPr>
              <w:t>rosaceiform</w:t>
            </w:r>
            <w:proofErr w:type="spellEnd"/>
            <w:r w:rsidRPr="00291122">
              <w:rPr>
                <w:sz w:val="24"/>
                <w:szCs w:val="24"/>
              </w:rPr>
              <w:t xml:space="preserve"> </w:t>
            </w:r>
            <w:proofErr w:type="spellStart"/>
            <w:r w:rsidRPr="00291122">
              <w:rPr>
                <w:sz w:val="24"/>
                <w:szCs w:val="24"/>
              </w:rPr>
              <w:t>dermatitis</w:t>
            </w:r>
            <w:proofErr w:type="spellEnd"/>
            <w:r w:rsidRPr="00291122">
              <w:rPr>
                <w:sz w:val="24"/>
                <w:szCs w:val="24"/>
              </w:rPr>
              <w:t xml:space="preserve"> (perioral), ændringer i hudpigmentering.</w:t>
            </w:r>
          </w:p>
        </w:tc>
      </w:tr>
      <w:tr w:rsidR="00291122" w:rsidRPr="00291122" w14:paraId="4D61D259" w14:textId="77777777" w:rsidTr="00291122">
        <w:trPr>
          <w:cantSplit/>
        </w:trPr>
        <w:tc>
          <w:tcPr>
            <w:tcW w:w="4532" w:type="dxa"/>
            <w:tcBorders>
              <w:top w:val="single" w:sz="4" w:space="0" w:color="auto"/>
              <w:left w:val="single" w:sz="4" w:space="0" w:color="auto"/>
              <w:bottom w:val="single" w:sz="4" w:space="0" w:color="auto"/>
              <w:right w:val="single" w:sz="4" w:space="0" w:color="auto"/>
            </w:tcBorders>
            <w:hideMark/>
          </w:tcPr>
          <w:p w14:paraId="30B7B95B" w14:textId="77777777" w:rsidR="00291122" w:rsidRPr="00291122" w:rsidRDefault="00291122" w:rsidP="00885610">
            <w:pPr>
              <w:ind w:left="34"/>
              <w:rPr>
                <w:sz w:val="24"/>
                <w:szCs w:val="24"/>
              </w:rPr>
            </w:pPr>
            <w:proofErr w:type="spellStart"/>
            <w:r w:rsidRPr="00291122">
              <w:rPr>
                <w:sz w:val="24"/>
                <w:szCs w:val="24"/>
              </w:rPr>
              <w:t>Vaskulære</w:t>
            </w:r>
            <w:proofErr w:type="spellEnd"/>
            <w:r w:rsidRPr="00291122">
              <w:rPr>
                <w:sz w:val="24"/>
                <w:szCs w:val="24"/>
              </w:rPr>
              <w:t xml:space="preserve"> sygdomme</w:t>
            </w:r>
          </w:p>
        </w:tc>
        <w:tc>
          <w:tcPr>
            <w:tcW w:w="4532" w:type="dxa"/>
            <w:tcBorders>
              <w:top w:val="single" w:sz="4" w:space="0" w:color="auto"/>
              <w:left w:val="single" w:sz="4" w:space="0" w:color="auto"/>
              <w:bottom w:val="single" w:sz="4" w:space="0" w:color="auto"/>
              <w:right w:val="single" w:sz="4" w:space="0" w:color="auto"/>
            </w:tcBorders>
            <w:hideMark/>
          </w:tcPr>
          <w:p w14:paraId="134EB426" w14:textId="77777777" w:rsidR="00291122" w:rsidRPr="00291122" w:rsidRDefault="00291122" w:rsidP="00885610">
            <w:pPr>
              <w:ind w:left="38"/>
              <w:rPr>
                <w:sz w:val="24"/>
                <w:szCs w:val="24"/>
              </w:rPr>
            </w:pPr>
            <w:r w:rsidRPr="00291122">
              <w:rPr>
                <w:sz w:val="24"/>
                <w:szCs w:val="24"/>
              </w:rPr>
              <w:t xml:space="preserve">Hypertension, øget risiko for arteriosklerose og trombose, </w:t>
            </w:r>
            <w:proofErr w:type="spellStart"/>
            <w:r w:rsidRPr="00291122">
              <w:rPr>
                <w:sz w:val="24"/>
                <w:szCs w:val="24"/>
              </w:rPr>
              <w:t>vasculitis</w:t>
            </w:r>
            <w:proofErr w:type="spellEnd"/>
            <w:r w:rsidRPr="00291122">
              <w:rPr>
                <w:sz w:val="24"/>
                <w:szCs w:val="24"/>
              </w:rPr>
              <w:t xml:space="preserve">, </w:t>
            </w:r>
            <w:proofErr w:type="spellStart"/>
            <w:r w:rsidRPr="00291122">
              <w:rPr>
                <w:sz w:val="24"/>
                <w:szCs w:val="24"/>
              </w:rPr>
              <w:t>kapillær</w:t>
            </w:r>
            <w:proofErr w:type="spellEnd"/>
            <w:r w:rsidRPr="00291122">
              <w:rPr>
                <w:sz w:val="24"/>
                <w:szCs w:val="24"/>
              </w:rPr>
              <w:t xml:space="preserve"> skrøbelighed.</w:t>
            </w:r>
          </w:p>
        </w:tc>
      </w:tr>
    </w:tbl>
    <w:p w14:paraId="3CCF712E" w14:textId="1D21364F" w:rsidR="00885610" w:rsidRDefault="00885610" w:rsidP="00291122">
      <w:pPr>
        <w:tabs>
          <w:tab w:val="left" w:pos="851"/>
        </w:tabs>
        <w:ind w:left="851"/>
        <w:rPr>
          <w:sz w:val="24"/>
          <w:szCs w:val="24"/>
        </w:rPr>
      </w:pPr>
    </w:p>
    <w:p w14:paraId="1E2D3FA1" w14:textId="77777777" w:rsidR="00885610" w:rsidRDefault="00885610">
      <w:pPr>
        <w:rPr>
          <w:sz w:val="24"/>
          <w:szCs w:val="24"/>
        </w:rPr>
      </w:pPr>
      <w:r>
        <w:rPr>
          <w:sz w:val="24"/>
          <w:szCs w:val="24"/>
        </w:rPr>
        <w:br w:type="page"/>
      </w:r>
    </w:p>
    <w:p w14:paraId="620962D3" w14:textId="77777777" w:rsidR="00291122" w:rsidRPr="00291122" w:rsidRDefault="00291122" w:rsidP="00291122">
      <w:pPr>
        <w:tabs>
          <w:tab w:val="left" w:pos="851"/>
        </w:tabs>
        <w:ind w:left="851"/>
        <w:rPr>
          <w:sz w:val="24"/>
          <w:szCs w:val="24"/>
        </w:rPr>
      </w:pPr>
    </w:p>
    <w:p w14:paraId="7D35CB2C" w14:textId="77777777" w:rsidR="00291122" w:rsidRPr="00291122" w:rsidRDefault="00291122" w:rsidP="00291122">
      <w:pPr>
        <w:tabs>
          <w:tab w:val="left" w:pos="851"/>
        </w:tabs>
        <w:ind w:left="851"/>
        <w:rPr>
          <w:sz w:val="24"/>
          <w:szCs w:val="24"/>
          <w:u w:val="single"/>
        </w:rPr>
      </w:pPr>
      <w:r w:rsidRPr="00291122">
        <w:rPr>
          <w:sz w:val="24"/>
          <w:szCs w:val="24"/>
          <w:u w:val="single"/>
        </w:rPr>
        <w:t>Indberetning af formodede bivirkninger</w:t>
      </w:r>
    </w:p>
    <w:p w14:paraId="13C0528B" w14:textId="77777777" w:rsidR="00291122" w:rsidRPr="00291122" w:rsidRDefault="00291122" w:rsidP="00291122">
      <w:pPr>
        <w:tabs>
          <w:tab w:val="left" w:pos="851"/>
        </w:tabs>
        <w:ind w:left="851"/>
        <w:rPr>
          <w:sz w:val="24"/>
          <w:szCs w:val="24"/>
        </w:rPr>
      </w:pPr>
      <w:r w:rsidRPr="00291122">
        <w:rPr>
          <w:sz w:val="24"/>
          <w:szCs w:val="24"/>
        </w:rPr>
        <w:t>Når lægemidlet er godkendt, er indberetning af formodede bivirkninger vigtig. Det muliggør løbende overvågning af benefit/</w:t>
      </w:r>
      <w:proofErr w:type="spellStart"/>
      <w:r w:rsidRPr="00291122">
        <w:rPr>
          <w:sz w:val="24"/>
          <w:szCs w:val="24"/>
        </w:rPr>
        <w:t>risk</w:t>
      </w:r>
      <w:proofErr w:type="spellEnd"/>
      <w:r w:rsidRPr="00291122">
        <w:rPr>
          <w:sz w:val="24"/>
          <w:szCs w:val="24"/>
        </w:rPr>
        <w:t xml:space="preserve">-forholdet for lægemidlet. Sundhedspersoner anmodes om at indberette alle formodede bivirkninger via </w:t>
      </w:r>
    </w:p>
    <w:p w14:paraId="542B6634" w14:textId="77777777" w:rsidR="00291122" w:rsidRPr="00291122" w:rsidRDefault="00291122" w:rsidP="00291122">
      <w:pPr>
        <w:tabs>
          <w:tab w:val="left" w:pos="851"/>
        </w:tabs>
        <w:ind w:left="851"/>
        <w:rPr>
          <w:sz w:val="24"/>
          <w:szCs w:val="24"/>
        </w:rPr>
      </w:pPr>
    </w:p>
    <w:p w14:paraId="1FFCAC37" w14:textId="78AA1963" w:rsidR="00291122" w:rsidRPr="00291122" w:rsidRDefault="00291122" w:rsidP="00291122">
      <w:pPr>
        <w:tabs>
          <w:tab w:val="left" w:pos="851"/>
        </w:tabs>
        <w:ind w:left="851"/>
        <w:rPr>
          <w:sz w:val="24"/>
          <w:szCs w:val="24"/>
        </w:rPr>
      </w:pPr>
      <w:r w:rsidRPr="00291122">
        <w:rPr>
          <w:sz w:val="24"/>
          <w:szCs w:val="24"/>
        </w:rPr>
        <w:t>Lægemiddelstyrelsen</w:t>
      </w:r>
      <w:r w:rsidRPr="00291122">
        <w:rPr>
          <w:sz w:val="24"/>
          <w:szCs w:val="24"/>
        </w:rPr>
        <w:br/>
        <w:t>Axel Heides Gade 1</w:t>
      </w:r>
      <w:r w:rsidRPr="00291122">
        <w:rPr>
          <w:sz w:val="24"/>
          <w:szCs w:val="24"/>
        </w:rPr>
        <w:br/>
        <w:t>DK-2300 København S</w:t>
      </w:r>
      <w:r w:rsidRPr="00291122">
        <w:rPr>
          <w:sz w:val="24"/>
          <w:szCs w:val="24"/>
        </w:rPr>
        <w:br/>
        <w:t>Websted: www.meldenbivirkning.dk</w:t>
      </w:r>
    </w:p>
    <w:p w14:paraId="420FAC0F" w14:textId="77777777" w:rsidR="009260DE" w:rsidRPr="00A10294" w:rsidRDefault="009260DE" w:rsidP="00A10294">
      <w:pPr>
        <w:tabs>
          <w:tab w:val="left" w:pos="851"/>
        </w:tabs>
        <w:ind w:left="851"/>
        <w:rPr>
          <w:sz w:val="24"/>
          <w:szCs w:val="24"/>
        </w:rPr>
      </w:pPr>
    </w:p>
    <w:p w14:paraId="6E489FA0"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1CE2B19B" w14:textId="77777777" w:rsidR="00885610" w:rsidRPr="00885610" w:rsidRDefault="00885610" w:rsidP="00885610">
      <w:pPr>
        <w:tabs>
          <w:tab w:val="left" w:pos="851"/>
        </w:tabs>
        <w:ind w:left="851"/>
        <w:rPr>
          <w:sz w:val="24"/>
          <w:szCs w:val="24"/>
        </w:rPr>
      </w:pPr>
      <w:r w:rsidRPr="00885610">
        <w:rPr>
          <w:sz w:val="24"/>
          <w:szCs w:val="24"/>
        </w:rPr>
        <w:t xml:space="preserve">Der findes ingen kendte akutte forgiftninger med </w:t>
      </w:r>
      <w:proofErr w:type="spellStart"/>
      <w:r w:rsidRPr="00885610">
        <w:rPr>
          <w:sz w:val="24"/>
          <w:szCs w:val="24"/>
        </w:rPr>
        <w:t>dexamethason</w:t>
      </w:r>
      <w:proofErr w:type="spellEnd"/>
      <w:r w:rsidRPr="00885610">
        <w:rPr>
          <w:sz w:val="24"/>
          <w:szCs w:val="24"/>
        </w:rPr>
        <w:t>. I tilfælde af kronisk overdosering kan de beskrevne bivirkninger (se pkt. 4.8) blive forstærket, især bivirkninger, som vedrører det endokrine system, metabolisme og elektrolytbalance.</w:t>
      </w:r>
    </w:p>
    <w:p w14:paraId="49347AE3" w14:textId="77777777" w:rsidR="009260DE" w:rsidRPr="00C84483" w:rsidRDefault="009260DE" w:rsidP="009260DE">
      <w:pPr>
        <w:tabs>
          <w:tab w:val="left" w:pos="851"/>
        </w:tabs>
        <w:ind w:left="851"/>
        <w:rPr>
          <w:sz w:val="24"/>
          <w:szCs w:val="24"/>
        </w:rPr>
      </w:pPr>
    </w:p>
    <w:p w14:paraId="7D5B321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E9DEEE8" w14:textId="3E33359F" w:rsidR="009260DE" w:rsidRPr="00C84483" w:rsidRDefault="00272B16" w:rsidP="009260DE">
      <w:pPr>
        <w:tabs>
          <w:tab w:val="left" w:pos="851"/>
        </w:tabs>
        <w:ind w:left="851"/>
        <w:rPr>
          <w:sz w:val="24"/>
          <w:szCs w:val="24"/>
        </w:rPr>
      </w:pPr>
      <w:r>
        <w:rPr>
          <w:sz w:val="24"/>
          <w:szCs w:val="24"/>
        </w:rPr>
        <w:t>B</w:t>
      </w:r>
    </w:p>
    <w:p w14:paraId="7BE2FDA3" w14:textId="77777777" w:rsidR="009260DE" w:rsidRPr="00C84483" w:rsidRDefault="009260DE" w:rsidP="009260DE">
      <w:pPr>
        <w:tabs>
          <w:tab w:val="left" w:pos="851"/>
        </w:tabs>
        <w:ind w:left="851"/>
        <w:rPr>
          <w:sz w:val="24"/>
          <w:szCs w:val="24"/>
        </w:rPr>
      </w:pPr>
    </w:p>
    <w:p w14:paraId="4E2961BB" w14:textId="77777777" w:rsidR="009260DE" w:rsidRPr="00C84483" w:rsidRDefault="009260DE" w:rsidP="009260DE">
      <w:pPr>
        <w:tabs>
          <w:tab w:val="left" w:pos="851"/>
        </w:tabs>
        <w:ind w:left="851"/>
        <w:rPr>
          <w:sz w:val="24"/>
          <w:szCs w:val="24"/>
        </w:rPr>
      </w:pPr>
    </w:p>
    <w:p w14:paraId="2497252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E64AFAD" w14:textId="77777777" w:rsidR="009260DE" w:rsidRPr="00C84483" w:rsidRDefault="009260DE" w:rsidP="00F73680">
      <w:pPr>
        <w:tabs>
          <w:tab w:val="left" w:pos="851"/>
        </w:tabs>
        <w:rPr>
          <w:sz w:val="24"/>
          <w:szCs w:val="24"/>
        </w:rPr>
      </w:pPr>
    </w:p>
    <w:p w14:paraId="37B445D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4B03DE1" w14:textId="3012D2FF" w:rsidR="00F73680" w:rsidRDefault="00F73680" w:rsidP="00F73680">
      <w:pPr>
        <w:tabs>
          <w:tab w:val="left" w:pos="851"/>
        </w:tabs>
        <w:ind w:left="851"/>
        <w:rPr>
          <w:sz w:val="24"/>
          <w:szCs w:val="24"/>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r w:rsidRPr="00C922B2">
        <w:rPr>
          <w:sz w:val="24"/>
          <w:szCs w:val="24"/>
        </w:rPr>
        <w:t xml:space="preserve"> </w:t>
      </w:r>
      <w:bookmarkEnd w:id="5"/>
      <w:proofErr w:type="spellStart"/>
      <w:r w:rsidRPr="00DB0641">
        <w:rPr>
          <w:sz w:val="24"/>
          <w:szCs w:val="24"/>
        </w:rPr>
        <w:t>Kortikosteroider</w:t>
      </w:r>
      <w:proofErr w:type="spellEnd"/>
      <w:r w:rsidRPr="00DB0641">
        <w:rPr>
          <w:sz w:val="24"/>
          <w:szCs w:val="24"/>
        </w:rPr>
        <w:t xml:space="preserve"> til systemisk brug, </w:t>
      </w:r>
      <w:proofErr w:type="spellStart"/>
      <w:r w:rsidRPr="00DB0641">
        <w:rPr>
          <w:sz w:val="24"/>
          <w:szCs w:val="24"/>
        </w:rPr>
        <w:t>kortikosteroider</w:t>
      </w:r>
      <w:proofErr w:type="spellEnd"/>
      <w:r w:rsidRPr="00DB0641">
        <w:rPr>
          <w:sz w:val="24"/>
          <w:szCs w:val="24"/>
        </w:rPr>
        <w:t xml:space="preserve"> til systemisk brug, usammensatte, </w:t>
      </w:r>
      <w:proofErr w:type="spellStart"/>
      <w:r w:rsidRPr="00DB0641">
        <w:rPr>
          <w:sz w:val="24"/>
          <w:szCs w:val="24"/>
        </w:rPr>
        <w:t>glukokortikoider</w:t>
      </w:r>
      <w:proofErr w:type="spellEnd"/>
      <w:r>
        <w:rPr>
          <w:sz w:val="24"/>
          <w:szCs w:val="24"/>
        </w:rPr>
        <w:t xml:space="preserve">. </w:t>
      </w:r>
      <w:r w:rsidRPr="00DB0641">
        <w:rPr>
          <w:sz w:val="24"/>
          <w:szCs w:val="24"/>
        </w:rPr>
        <w:t>ATC-kode: H</w:t>
      </w:r>
      <w:r>
        <w:rPr>
          <w:sz w:val="24"/>
          <w:szCs w:val="24"/>
        </w:rPr>
        <w:t xml:space="preserve"> </w:t>
      </w:r>
      <w:r w:rsidRPr="00DB0641">
        <w:rPr>
          <w:sz w:val="24"/>
          <w:szCs w:val="24"/>
        </w:rPr>
        <w:t>02</w:t>
      </w:r>
      <w:r>
        <w:rPr>
          <w:sz w:val="24"/>
          <w:szCs w:val="24"/>
        </w:rPr>
        <w:t xml:space="preserve"> </w:t>
      </w:r>
      <w:r w:rsidRPr="00DB0641">
        <w:rPr>
          <w:sz w:val="24"/>
          <w:szCs w:val="24"/>
        </w:rPr>
        <w:t>AB</w:t>
      </w:r>
      <w:r>
        <w:rPr>
          <w:sz w:val="24"/>
          <w:szCs w:val="24"/>
        </w:rPr>
        <w:t xml:space="preserve"> </w:t>
      </w:r>
      <w:r w:rsidRPr="00DB0641">
        <w:rPr>
          <w:sz w:val="24"/>
          <w:szCs w:val="24"/>
        </w:rPr>
        <w:t>02</w:t>
      </w:r>
      <w:r>
        <w:rPr>
          <w:sz w:val="24"/>
          <w:szCs w:val="24"/>
        </w:rPr>
        <w:t xml:space="preserve">. </w:t>
      </w:r>
    </w:p>
    <w:p w14:paraId="030DD0AA" w14:textId="77777777" w:rsidR="00F73680" w:rsidRDefault="00F73680" w:rsidP="00603A18">
      <w:pPr>
        <w:pStyle w:val="Brdtekst"/>
        <w:keepLines/>
        <w:ind w:left="851" w:right="108"/>
        <w:rPr>
          <w:sz w:val="24"/>
          <w:szCs w:val="24"/>
        </w:rPr>
      </w:pPr>
    </w:p>
    <w:p w14:paraId="0C3564E8" w14:textId="0842BB08" w:rsidR="00603A18" w:rsidRPr="00603A18" w:rsidRDefault="00603A18" w:rsidP="00603A18">
      <w:pPr>
        <w:pStyle w:val="Brdtekst"/>
        <w:keepLines/>
        <w:ind w:left="851" w:right="108"/>
        <w:rPr>
          <w:sz w:val="24"/>
          <w:szCs w:val="24"/>
        </w:rPr>
      </w:pPr>
      <w:proofErr w:type="spellStart"/>
      <w:r w:rsidRPr="00603A18">
        <w:rPr>
          <w:sz w:val="24"/>
          <w:szCs w:val="24"/>
        </w:rPr>
        <w:t>Dexamethason</w:t>
      </w:r>
      <w:proofErr w:type="spellEnd"/>
      <w:r w:rsidRPr="00603A18">
        <w:rPr>
          <w:sz w:val="24"/>
          <w:szCs w:val="24"/>
        </w:rPr>
        <w:t xml:space="preserve"> er et </w:t>
      </w:r>
      <w:proofErr w:type="spellStart"/>
      <w:r w:rsidRPr="00603A18">
        <w:rPr>
          <w:sz w:val="24"/>
          <w:szCs w:val="24"/>
        </w:rPr>
        <w:t>fluorineret</w:t>
      </w:r>
      <w:proofErr w:type="spellEnd"/>
      <w:r w:rsidRPr="00603A18">
        <w:rPr>
          <w:sz w:val="24"/>
          <w:szCs w:val="24"/>
        </w:rPr>
        <w:t xml:space="preserve"> </w:t>
      </w:r>
      <w:proofErr w:type="spellStart"/>
      <w:r w:rsidRPr="00603A18">
        <w:rPr>
          <w:sz w:val="24"/>
          <w:szCs w:val="24"/>
        </w:rPr>
        <w:t>glukokortikoid</w:t>
      </w:r>
      <w:proofErr w:type="spellEnd"/>
      <w:r w:rsidRPr="00603A18">
        <w:rPr>
          <w:sz w:val="24"/>
          <w:szCs w:val="24"/>
        </w:rPr>
        <w:t xml:space="preserve"> med meget kraftige antiinflammatoriske og immunsupprimerende virkninger og en svag </w:t>
      </w:r>
      <w:proofErr w:type="spellStart"/>
      <w:r w:rsidRPr="00603A18">
        <w:rPr>
          <w:sz w:val="24"/>
          <w:szCs w:val="24"/>
        </w:rPr>
        <w:t>mineralokortikoid</w:t>
      </w:r>
      <w:proofErr w:type="spellEnd"/>
      <w:r w:rsidRPr="00603A18">
        <w:rPr>
          <w:sz w:val="24"/>
          <w:szCs w:val="24"/>
        </w:rPr>
        <w:t xml:space="preserve"> aktivitet. </w:t>
      </w:r>
      <w:proofErr w:type="spellStart"/>
      <w:r w:rsidRPr="00603A18">
        <w:rPr>
          <w:sz w:val="24"/>
          <w:szCs w:val="24"/>
        </w:rPr>
        <w:t>Kortikosteroider</w:t>
      </w:r>
      <w:proofErr w:type="spellEnd"/>
      <w:r w:rsidRPr="00603A18">
        <w:rPr>
          <w:sz w:val="24"/>
          <w:szCs w:val="24"/>
        </w:rPr>
        <w:t xml:space="preserve"> hæmmer syntesen af </w:t>
      </w:r>
      <w:proofErr w:type="spellStart"/>
      <w:r w:rsidRPr="00603A18">
        <w:rPr>
          <w:sz w:val="24"/>
          <w:szCs w:val="24"/>
        </w:rPr>
        <w:t>prostaglandiner</w:t>
      </w:r>
      <w:proofErr w:type="spellEnd"/>
      <w:r w:rsidRPr="00603A18">
        <w:rPr>
          <w:sz w:val="24"/>
          <w:szCs w:val="24"/>
        </w:rPr>
        <w:t xml:space="preserve"> og </w:t>
      </w:r>
      <w:proofErr w:type="spellStart"/>
      <w:r w:rsidRPr="00603A18">
        <w:rPr>
          <w:sz w:val="24"/>
          <w:szCs w:val="24"/>
        </w:rPr>
        <w:t>leukotriener</w:t>
      </w:r>
      <w:proofErr w:type="spellEnd"/>
      <w:r w:rsidRPr="00603A18">
        <w:rPr>
          <w:sz w:val="24"/>
          <w:szCs w:val="24"/>
        </w:rPr>
        <w:t xml:space="preserve">, som er stoffer, der medierer </w:t>
      </w:r>
      <w:proofErr w:type="spellStart"/>
      <w:r w:rsidRPr="00603A18">
        <w:rPr>
          <w:sz w:val="24"/>
          <w:szCs w:val="24"/>
        </w:rPr>
        <w:t>vaskulære</w:t>
      </w:r>
      <w:proofErr w:type="spellEnd"/>
      <w:r w:rsidRPr="00603A18">
        <w:rPr>
          <w:sz w:val="24"/>
          <w:szCs w:val="24"/>
        </w:rPr>
        <w:t xml:space="preserve"> og cellulære inflammationsprocesser ud over den immunologiske respons. Dette kan omskrives til nedsat </w:t>
      </w:r>
      <w:proofErr w:type="spellStart"/>
      <w:r w:rsidRPr="00603A18">
        <w:rPr>
          <w:sz w:val="24"/>
          <w:szCs w:val="24"/>
        </w:rPr>
        <w:t>vasodilation</w:t>
      </w:r>
      <w:proofErr w:type="spellEnd"/>
      <w:r w:rsidRPr="00603A18">
        <w:rPr>
          <w:sz w:val="24"/>
          <w:szCs w:val="24"/>
        </w:rPr>
        <w:t xml:space="preserve">, nedsat </w:t>
      </w:r>
      <w:proofErr w:type="spellStart"/>
      <w:r w:rsidRPr="00603A18">
        <w:rPr>
          <w:sz w:val="24"/>
          <w:szCs w:val="24"/>
        </w:rPr>
        <w:t>væskeekssudat</w:t>
      </w:r>
      <w:proofErr w:type="spellEnd"/>
      <w:r w:rsidRPr="00603A18">
        <w:rPr>
          <w:sz w:val="24"/>
          <w:szCs w:val="24"/>
        </w:rPr>
        <w:t xml:space="preserve">, leukocyt-aktivitet, aggregering og </w:t>
      </w:r>
      <w:proofErr w:type="spellStart"/>
      <w:r w:rsidRPr="00603A18">
        <w:rPr>
          <w:sz w:val="24"/>
          <w:szCs w:val="24"/>
        </w:rPr>
        <w:t>degranulering</w:t>
      </w:r>
      <w:proofErr w:type="spellEnd"/>
      <w:r w:rsidRPr="00603A18">
        <w:rPr>
          <w:sz w:val="24"/>
          <w:szCs w:val="24"/>
        </w:rPr>
        <w:t xml:space="preserve"> af </w:t>
      </w:r>
      <w:proofErr w:type="spellStart"/>
      <w:r w:rsidRPr="00603A18">
        <w:rPr>
          <w:sz w:val="24"/>
          <w:szCs w:val="24"/>
        </w:rPr>
        <w:t>neutrofiler</w:t>
      </w:r>
      <w:proofErr w:type="spellEnd"/>
      <w:r w:rsidRPr="00603A18">
        <w:rPr>
          <w:sz w:val="24"/>
          <w:szCs w:val="24"/>
        </w:rPr>
        <w:t xml:space="preserve">, frigivelse af hydrolytiske enzymer fra lysosomer, produktion af superoxid-lignende frie radikaler og antal blodkar (med mindre fibrose) under kroniske processer. Begge virkninger svarer til den mekanisme, der består af hæmning af </w:t>
      </w:r>
      <w:proofErr w:type="spellStart"/>
      <w:r w:rsidRPr="00603A18">
        <w:rPr>
          <w:sz w:val="24"/>
          <w:szCs w:val="24"/>
        </w:rPr>
        <w:t>phospholipase</w:t>
      </w:r>
      <w:proofErr w:type="spellEnd"/>
      <w:r w:rsidRPr="00603A18">
        <w:rPr>
          <w:sz w:val="24"/>
          <w:szCs w:val="24"/>
        </w:rPr>
        <w:t xml:space="preserve"> A2-syntesen; et enzym, der frigiver polyumættede fedtsyrer, som er forstadier til </w:t>
      </w:r>
      <w:proofErr w:type="spellStart"/>
      <w:r w:rsidRPr="00603A18">
        <w:rPr>
          <w:sz w:val="24"/>
          <w:szCs w:val="24"/>
        </w:rPr>
        <w:t>prostaglandiner</w:t>
      </w:r>
      <w:proofErr w:type="spellEnd"/>
      <w:r w:rsidRPr="00603A18">
        <w:rPr>
          <w:sz w:val="24"/>
          <w:szCs w:val="24"/>
        </w:rPr>
        <w:t xml:space="preserve"> og </w:t>
      </w:r>
      <w:proofErr w:type="spellStart"/>
      <w:r w:rsidRPr="00603A18">
        <w:rPr>
          <w:sz w:val="24"/>
          <w:szCs w:val="24"/>
        </w:rPr>
        <w:t>leukotriener</w:t>
      </w:r>
      <w:proofErr w:type="spellEnd"/>
      <w:r w:rsidRPr="00603A18">
        <w:rPr>
          <w:sz w:val="24"/>
          <w:szCs w:val="24"/>
        </w:rPr>
        <w:t>.</w:t>
      </w:r>
    </w:p>
    <w:p w14:paraId="776CE215" w14:textId="77777777" w:rsidR="00603A18" w:rsidRPr="00603A18" w:rsidRDefault="00603A18" w:rsidP="00603A18">
      <w:pPr>
        <w:pStyle w:val="Brdtekst"/>
        <w:ind w:left="851"/>
        <w:rPr>
          <w:sz w:val="24"/>
          <w:szCs w:val="24"/>
        </w:rPr>
      </w:pPr>
    </w:p>
    <w:p w14:paraId="272A3C9C" w14:textId="77777777" w:rsidR="00603A18" w:rsidRPr="00603A18" w:rsidRDefault="00603A18" w:rsidP="00603A18">
      <w:pPr>
        <w:pStyle w:val="Brdtekst"/>
        <w:ind w:left="851"/>
        <w:rPr>
          <w:sz w:val="24"/>
          <w:szCs w:val="24"/>
        </w:rPr>
      </w:pPr>
      <w:proofErr w:type="spellStart"/>
      <w:r w:rsidRPr="00603A18">
        <w:rPr>
          <w:sz w:val="24"/>
          <w:szCs w:val="24"/>
        </w:rPr>
        <w:t>Dexamethason</w:t>
      </w:r>
      <w:proofErr w:type="spellEnd"/>
      <w:r w:rsidRPr="00603A18">
        <w:rPr>
          <w:sz w:val="24"/>
          <w:szCs w:val="24"/>
        </w:rPr>
        <w:t xml:space="preserve"> har lang virkningstid (en biologisk halveringstid på 36 timer) og en virkning af </w:t>
      </w:r>
      <w:proofErr w:type="spellStart"/>
      <w:r w:rsidRPr="00603A18">
        <w:rPr>
          <w:sz w:val="24"/>
          <w:szCs w:val="24"/>
        </w:rPr>
        <w:t>glukokortikoidet</w:t>
      </w:r>
      <w:proofErr w:type="spellEnd"/>
      <w:r w:rsidRPr="00603A18">
        <w:rPr>
          <w:sz w:val="24"/>
          <w:szCs w:val="24"/>
        </w:rPr>
        <w:t xml:space="preserve">, som er 7,5 gange mere potent end </w:t>
      </w:r>
      <w:proofErr w:type="spellStart"/>
      <w:r w:rsidRPr="00603A18">
        <w:rPr>
          <w:sz w:val="24"/>
          <w:szCs w:val="24"/>
        </w:rPr>
        <w:t>prednisons</w:t>
      </w:r>
      <w:proofErr w:type="spellEnd"/>
      <w:r w:rsidRPr="00603A18">
        <w:rPr>
          <w:sz w:val="24"/>
          <w:szCs w:val="24"/>
        </w:rPr>
        <w:t xml:space="preserve"> eller </w:t>
      </w:r>
      <w:proofErr w:type="spellStart"/>
      <w:r w:rsidRPr="00603A18">
        <w:rPr>
          <w:sz w:val="24"/>
          <w:szCs w:val="24"/>
        </w:rPr>
        <w:t>prednisolons</w:t>
      </w:r>
      <w:proofErr w:type="spellEnd"/>
      <w:r w:rsidRPr="00603A18">
        <w:rPr>
          <w:sz w:val="24"/>
          <w:szCs w:val="24"/>
        </w:rPr>
        <w:t xml:space="preserve"> virkning og 30 gange mere potent end </w:t>
      </w:r>
      <w:proofErr w:type="spellStart"/>
      <w:r w:rsidRPr="00603A18">
        <w:rPr>
          <w:sz w:val="24"/>
          <w:szCs w:val="24"/>
        </w:rPr>
        <w:t>hydrokortisons</w:t>
      </w:r>
      <w:proofErr w:type="spellEnd"/>
      <w:r w:rsidRPr="00603A18">
        <w:rPr>
          <w:sz w:val="24"/>
          <w:szCs w:val="24"/>
        </w:rPr>
        <w:t>.</w:t>
      </w:r>
    </w:p>
    <w:p w14:paraId="1A64059D" w14:textId="77777777" w:rsidR="00603A18" w:rsidRPr="00603A18" w:rsidRDefault="00603A18" w:rsidP="00603A18">
      <w:pPr>
        <w:pStyle w:val="Brdtekst"/>
        <w:ind w:left="851"/>
        <w:rPr>
          <w:sz w:val="24"/>
          <w:szCs w:val="24"/>
        </w:rPr>
      </w:pPr>
    </w:p>
    <w:p w14:paraId="0A3822D1" w14:textId="77777777" w:rsidR="00603A18" w:rsidRPr="00603A18" w:rsidRDefault="00603A18" w:rsidP="00603A18">
      <w:pPr>
        <w:pStyle w:val="Brdtekst"/>
        <w:ind w:left="851"/>
        <w:rPr>
          <w:sz w:val="24"/>
          <w:szCs w:val="24"/>
          <w:u w:val="single"/>
        </w:rPr>
      </w:pPr>
      <w:r w:rsidRPr="00603A18">
        <w:rPr>
          <w:sz w:val="24"/>
          <w:szCs w:val="24"/>
          <w:u w:val="single"/>
        </w:rPr>
        <w:t>Behandling af COVID-19</w:t>
      </w:r>
    </w:p>
    <w:p w14:paraId="269C6A0B" w14:textId="77777777" w:rsidR="00603A18" w:rsidRPr="00603A18" w:rsidRDefault="00603A18" w:rsidP="00603A18">
      <w:pPr>
        <w:pStyle w:val="Brdtekst"/>
        <w:spacing w:before="11"/>
        <w:ind w:left="851"/>
        <w:rPr>
          <w:sz w:val="24"/>
          <w:szCs w:val="24"/>
        </w:rPr>
      </w:pPr>
      <w:r w:rsidRPr="00603A18">
        <w:rPr>
          <w:sz w:val="24"/>
          <w:szCs w:val="24"/>
        </w:rPr>
        <w:t>RECOVERY-studiet (</w:t>
      </w:r>
      <w:proofErr w:type="spellStart"/>
      <w:r w:rsidRPr="00603A18">
        <w:rPr>
          <w:sz w:val="24"/>
          <w:szCs w:val="24"/>
        </w:rPr>
        <w:t>Randomised</w:t>
      </w:r>
      <w:proofErr w:type="spellEnd"/>
      <w:r w:rsidRPr="00603A18">
        <w:rPr>
          <w:sz w:val="24"/>
          <w:szCs w:val="24"/>
        </w:rPr>
        <w:t xml:space="preserve"> Evaluation of COVid-19 </w:t>
      </w:r>
      <w:proofErr w:type="spellStart"/>
      <w:r w:rsidRPr="00603A18">
        <w:rPr>
          <w:sz w:val="24"/>
          <w:szCs w:val="24"/>
        </w:rPr>
        <w:t>thERapY</w:t>
      </w:r>
      <w:proofErr w:type="spellEnd"/>
      <w:r w:rsidRPr="00603A18">
        <w:rPr>
          <w:sz w:val="24"/>
          <w:szCs w:val="24"/>
        </w:rPr>
        <w:t xml:space="preserve">)1 er et individuelt randomiseret, kontrolleret, åbent studie med en fleksibel platform til undersøgelse af virkningerne af potentielle behandlinger hos patienter, der er hospitalsindlagte på grund af COVID-19. Studiet er iværksat af </w:t>
      </w:r>
      <w:proofErr w:type="spellStart"/>
      <w:r w:rsidRPr="00603A18">
        <w:rPr>
          <w:sz w:val="24"/>
          <w:szCs w:val="24"/>
        </w:rPr>
        <w:t>investigatorer</w:t>
      </w:r>
      <w:proofErr w:type="spellEnd"/>
      <w:r w:rsidRPr="00603A18">
        <w:rPr>
          <w:sz w:val="24"/>
          <w:szCs w:val="24"/>
        </w:rPr>
        <w:t>.</w:t>
      </w:r>
    </w:p>
    <w:p w14:paraId="599CF1B9" w14:textId="77777777" w:rsidR="00603A18" w:rsidRPr="00603A18" w:rsidRDefault="00603A18" w:rsidP="00603A18">
      <w:pPr>
        <w:pStyle w:val="Brdtekst"/>
        <w:spacing w:before="11"/>
        <w:ind w:left="851"/>
        <w:rPr>
          <w:sz w:val="24"/>
          <w:szCs w:val="24"/>
        </w:rPr>
      </w:pPr>
    </w:p>
    <w:p w14:paraId="74F23C37" w14:textId="77777777" w:rsidR="00603A18" w:rsidRPr="00603A18" w:rsidRDefault="00603A18" w:rsidP="00603A18">
      <w:pPr>
        <w:pStyle w:val="Brdtekst"/>
        <w:spacing w:before="11"/>
        <w:ind w:left="851"/>
        <w:rPr>
          <w:sz w:val="24"/>
          <w:szCs w:val="24"/>
        </w:rPr>
      </w:pPr>
      <w:r w:rsidRPr="00603A18">
        <w:rPr>
          <w:sz w:val="24"/>
          <w:szCs w:val="24"/>
        </w:rPr>
        <w:t>Studiet blev gennemført på 176 hospitalsorganisationer i Storbritannien.</w:t>
      </w:r>
    </w:p>
    <w:p w14:paraId="0BFD0D69" w14:textId="77777777" w:rsidR="00603A18" w:rsidRPr="00603A18" w:rsidRDefault="00603A18" w:rsidP="00603A18">
      <w:pPr>
        <w:pStyle w:val="Brdtekst"/>
        <w:spacing w:before="11"/>
        <w:ind w:left="851"/>
        <w:rPr>
          <w:sz w:val="24"/>
          <w:szCs w:val="24"/>
        </w:rPr>
      </w:pPr>
      <w:r w:rsidRPr="00603A18">
        <w:rPr>
          <w:sz w:val="24"/>
          <w:szCs w:val="24"/>
        </w:rPr>
        <w:t xml:space="preserve">Der blev randomiseret 6425 patienter til behandling med enten </w:t>
      </w:r>
      <w:proofErr w:type="spellStart"/>
      <w:r w:rsidRPr="00603A18">
        <w:rPr>
          <w:sz w:val="24"/>
          <w:szCs w:val="24"/>
        </w:rPr>
        <w:t>dexamethason</w:t>
      </w:r>
      <w:proofErr w:type="spellEnd"/>
      <w:r w:rsidRPr="00603A18">
        <w:rPr>
          <w:sz w:val="24"/>
          <w:szCs w:val="24"/>
        </w:rPr>
        <w:t xml:space="preserve"> (2104 patienter) eller standardbehandling alene (4321 patienter). 89 % af patienterne havde laboratoriebekræftet SARS-CoV-2-infektion.</w:t>
      </w:r>
    </w:p>
    <w:p w14:paraId="05F81957" w14:textId="77777777" w:rsidR="00603A18" w:rsidRPr="00603A18" w:rsidRDefault="00603A18" w:rsidP="00603A18">
      <w:pPr>
        <w:pStyle w:val="Brdtekst"/>
        <w:spacing w:before="11"/>
        <w:ind w:left="851"/>
        <w:rPr>
          <w:sz w:val="24"/>
          <w:szCs w:val="24"/>
        </w:rPr>
      </w:pPr>
    </w:p>
    <w:p w14:paraId="19F0C7D2" w14:textId="77777777" w:rsidR="00603A18" w:rsidRPr="00603A18" w:rsidRDefault="00603A18" w:rsidP="00603A18">
      <w:pPr>
        <w:pStyle w:val="Brdtekst"/>
        <w:spacing w:before="11"/>
        <w:ind w:left="851"/>
        <w:rPr>
          <w:sz w:val="24"/>
          <w:szCs w:val="24"/>
        </w:rPr>
      </w:pPr>
      <w:r w:rsidRPr="00603A18">
        <w:rPr>
          <w:sz w:val="24"/>
          <w:szCs w:val="24"/>
        </w:rPr>
        <w:t xml:space="preserve">Ved </w:t>
      </w:r>
      <w:proofErr w:type="spellStart"/>
      <w:r w:rsidRPr="00603A18">
        <w:rPr>
          <w:sz w:val="24"/>
          <w:szCs w:val="24"/>
        </w:rPr>
        <w:t>randomiseringen</w:t>
      </w:r>
      <w:proofErr w:type="spellEnd"/>
      <w:r w:rsidRPr="00603A18">
        <w:rPr>
          <w:sz w:val="24"/>
          <w:szCs w:val="24"/>
        </w:rPr>
        <w:t xml:space="preserve"> fik 16 % af patienterne invasiv mekanisk ventilation eller ekstrakorporal </w:t>
      </w:r>
      <w:proofErr w:type="spellStart"/>
      <w:r w:rsidRPr="00603A18">
        <w:rPr>
          <w:sz w:val="24"/>
          <w:szCs w:val="24"/>
        </w:rPr>
        <w:t>membranoxygenering</w:t>
      </w:r>
      <w:proofErr w:type="spellEnd"/>
      <w:r w:rsidRPr="00603A18">
        <w:rPr>
          <w:sz w:val="24"/>
          <w:szCs w:val="24"/>
        </w:rPr>
        <w:t>; 60 % fik kun ilt (med eller uden noninvasiv ventilation), og 24 % fik ingen af delene.</w:t>
      </w:r>
    </w:p>
    <w:p w14:paraId="452E7305" w14:textId="77777777" w:rsidR="00603A18" w:rsidRPr="00603A18" w:rsidRDefault="00603A18" w:rsidP="00603A18">
      <w:pPr>
        <w:pStyle w:val="Brdtekst"/>
        <w:spacing w:before="11"/>
        <w:ind w:left="851"/>
        <w:rPr>
          <w:sz w:val="24"/>
          <w:szCs w:val="24"/>
        </w:rPr>
      </w:pPr>
    </w:p>
    <w:p w14:paraId="21FF5558" w14:textId="77777777" w:rsidR="00603A18" w:rsidRPr="00603A18" w:rsidRDefault="00603A18" w:rsidP="00603A18">
      <w:pPr>
        <w:pStyle w:val="Brdtekst"/>
        <w:spacing w:before="11"/>
        <w:ind w:left="851"/>
        <w:rPr>
          <w:sz w:val="24"/>
          <w:szCs w:val="24"/>
        </w:rPr>
      </w:pPr>
      <w:r w:rsidRPr="00603A18">
        <w:rPr>
          <w:sz w:val="24"/>
          <w:szCs w:val="24"/>
        </w:rPr>
        <w:t>Patienternes gennemsnitsalder var 66,1 +/-15,7 år. 36 % af patienterne var kvinder. 24 % havde diabetes i anamnesen, 27 % havde hjertesygdom i anamnesen, og 21 % havde kronisk lungesygdom i anamnesen.</w:t>
      </w:r>
    </w:p>
    <w:p w14:paraId="5B79D23B" w14:textId="77777777" w:rsidR="00603A18" w:rsidRPr="00603A18" w:rsidRDefault="00603A18" w:rsidP="00603A18">
      <w:pPr>
        <w:pStyle w:val="Brdtekst"/>
        <w:spacing w:before="11"/>
        <w:ind w:left="851"/>
        <w:rPr>
          <w:sz w:val="24"/>
          <w:szCs w:val="24"/>
        </w:rPr>
      </w:pPr>
    </w:p>
    <w:p w14:paraId="6B83034A" w14:textId="77777777" w:rsidR="00603A18" w:rsidRPr="00603A18" w:rsidRDefault="00603A18" w:rsidP="00603A18">
      <w:pPr>
        <w:pStyle w:val="Brdtekst"/>
        <w:spacing w:before="11"/>
        <w:ind w:left="851"/>
        <w:rPr>
          <w:sz w:val="24"/>
          <w:szCs w:val="24"/>
          <w:u w:val="single"/>
        </w:rPr>
      </w:pPr>
      <w:r w:rsidRPr="00603A18">
        <w:rPr>
          <w:sz w:val="24"/>
          <w:szCs w:val="24"/>
          <w:u w:val="single"/>
        </w:rPr>
        <w:t>Primært endepunkt</w:t>
      </w:r>
    </w:p>
    <w:p w14:paraId="1C221044" w14:textId="77777777" w:rsidR="00603A18" w:rsidRPr="00603A18" w:rsidRDefault="00603A18" w:rsidP="00603A18">
      <w:pPr>
        <w:pStyle w:val="Brdtekst"/>
        <w:spacing w:before="11"/>
        <w:ind w:left="851"/>
        <w:rPr>
          <w:sz w:val="24"/>
          <w:szCs w:val="24"/>
        </w:rPr>
      </w:pPr>
      <w:r w:rsidRPr="00603A18">
        <w:rPr>
          <w:sz w:val="24"/>
          <w:szCs w:val="24"/>
        </w:rPr>
        <w:t xml:space="preserve">Mortaliteten efter 28 dage var signifikant lavere i </w:t>
      </w:r>
      <w:proofErr w:type="spellStart"/>
      <w:r w:rsidRPr="00603A18">
        <w:rPr>
          <w:sz w:val="24"/>
          <w:szCs w:val="24"/>
        </w:rPr>
        <w:t>dexamethason</w:t>
      </w:r>
      <w:proofErr w:type="spellEnd"/>
      <w:r w:rsidRPr="00603A18">
        <w:rPr>
          <w:sz w:val="24"/>
          <w:szCs w:val="24"/>
        </w:rPr>
        <w:t>-gruppen end i gruppen i standardbehandling; dødsfald blev rapporteret for henholdsvis 482 ud af 2104 patienter (22,9 %) og 1.110 ud af 4321 patienter (25,7 %) (rate ratio 0,83; 95 % konfidensinterval [CI] 0,75 til 0,93; P&lt;0,001).</w:t>
      </w:r>
    </w:p>
    <w:p w14:paraId="61D6C735" w14:textId="77777777" w:rsidR="00603A18" w:rsidRPr="00603A18" w:rsidRDefault="00603A18" w:rsidP="00603A18">
      <w:pPr>
        <w:pStyle w:val="Brdtekst"/>
        <w:spacing w:before="11"/>
        <w:ind w:left="851"/>
        <w:rPr>
          <w:sz w:val="24"/>
          <w:szCs w:val="24"/>
        </w:rPr>
      </w:pPr>
    </w:p>
    <w:p w14:paraId="07A5398A" w14:textId="77777777" w:rsidR="00603A18" w:rsidRPr="00603A18" w:rsidRDefault="00603A18" w:rsidP="00603A18">
      <w:pPr>
        <w:pStyle w:val="Brdtekst"/>
        <w:spacing w:before="11"/>
        <w:ind w:left="851"/>
        <w:rPr>
          <w:sz w:val="24"/>
          <w:szCs w:val="24"/>
        </w:rPr>
      </w:pPr>
      <w:r w:rsidRPr="00603A18">
        <w:rPr>
          <w:sz w:val="24"/>
          <w:szCs w:val="24"/>
        </w:rPr>
        <w:t xml:space="preserve">I </w:t>
      </w:r>
      <w:proofErr w:type="spellStart"/>
      <w:r w:rsidRPr="00603A18">
        <w:rPr>
          <w:sz w:val="24"/>
          <w:szCs w:val="24"/>
        </w:rPr>
        <w:t>dexamethason</w:t>
      </w:r>
      <w:proofErr w:type="spellEnd"/>
      <w:r w:rsidRPr="00603A18">
        <w:rPr>
          <w:sz w:val="24"/>
          <w:szCs w:val="24"/>
        </w:rPr>
        <w:t xml:space="preserve">-gruppen var antal dødsfald lavere end i gruppen i standardbehandling hos de patienter, som fik invasiv mekanisk ventilation (29,3 % </w:t>
      </w:r>
      <w:r w:rsidRPr="00603A18">
        <w:rPr>
          <w:i/>
          <w:sz w:val="24"/>
          <w:szCs w:val="24"/>
        </w:rPr>
        <w:t>vs</w:t>
      </w:r>
      <w:r w:rsidRPr="00603A18">
        <w:rPr>
          <w:sz w:val="24"/>
          <w:szCs w:val="24"/>
        </w:rPr>
        <w:t xml:space="preserve">. 41,4 %; rate ratio 0,64; 95 % CI 0,51 til 0,81), og hos de patienter, der fik supplerende iltbehandling uden invasiv mekanisk ventilation (23,3 % </w:t>
      </w:r>
      <w:r w:rsidRPr="00603A18">
        <w:rPr>
          <w:i/>
          <w:sz w:val="24"/>
          <w:szCs w:val="24"/>
        </w:rPr>
        <w:t>vs</w:t>
      </w:r>
      <w:r w:rsidRPr="00603A18">
        <w:rPr>
          <w:sz w:val="24"/>
          <w:szCs w:val="24"/>
        </w:rPr>
        <w:t>. 26,2 %; rate ratio 0,82; 95 % CI 0,72 til 0,94).</w:t>
      </w:r>
    </w:p>
    <w:p w14:paraId="689D0B38" w14:textId="77777777" w:rsidR="00603A18" w:rsidRPr="00603A18" w:rsidRDefault="00603A18" w:rsidP="00603A18">
      <w:pPr>
        <w:pStyle w:val="Brdtekst"/>
        <w:spacing w:before="11"/>
        <w:ind w:left="851"/>
        <w:rPr>
          <w:sz w:val="24"/>
          <w:szCs w:val="24"/>
        </w:rPr>
      </w:pPr>
    </w:p>
    <w:p w14:paraId="6BC44400" w14:textId="77777777" w:rsidR="00603A18" w:rsidRPr="00603A18" w:rsidRDefault="00603A18" w:rsidP="00603A18">
      <w:pPr>
        <w:pStyle w:val="Brdtekst"/>
        <w:spacing w:before="11"/>
        <w:ind w:left="851"/>
        <w:rPr>
          <w:sz w:val="24"/>
          <w:szCs w:val="24"/>
        </w:rPr>
      </w:pPr>
      <w:r w:rsidRPr="00603A18">
        <w:rPr>
          <w:sz w:val="24"/>
          <w:szCs w:val="24"/>
        </w:rPr>
        <w:t xml:space="preserve">Der var ingen tydelig virkning af </w:t>
      </w:r>
      <w:proofErr w:type="spellStart"/>
      <w:r w:rsidRPr="00603A18">
        <w:rPr>
          <w:sz w:val="24"/>
          <w:szCs w:val="24"/>
        </w:rPr>
        <w:t>dexamethason</w:t>
      </w:r>
      <w:proofErr w:type="spellEnd"/>
      <w:r w:rsidRPr="00603A18">
        <w:rPr>
          <w:sz w:val="24"/>
          <w:szCs w:val="24"/>
        </w:rPr>
        <w:t xml:space="preserve"> blandt patienter, som ikke fik nogen respiratorisk støtte ved </w:t>
      </w:r>
      <w:proofErr w:type="spellStart"/>
      <w:r w:rsidRPr="00603A18">
        <w:rPr>
          <w:sz w:val="24"/>
          <w:szCs w:val="24"/>
        </w:rPr>
        <w:t>randomisering</w:t>
      </w:r>
      <w:proofErr w:type="spellEnd"/>
      <w:r w:rsidRPr="00603A18">
        <w:rPr>
          <w:sz w:val="24"/>
          <w:szCs w:val="24"/>
        </w:rPr>
        <w:t xml:space="preserve"> (17,8 % </w:t>
      </w:r>
      <w:r w:rsidRPr="00603A18">
        <w:rPr>
          <w:i/>
          <w:sz w:val="24"/>
          <w:szCs w:val="24"/>
        </w:rPr>
        <w:t>vs</w:t>
      </w:r>
      <w:r w:rsidRPr="00603A18">
        <w:rPr>
          <w:sz w:val="24"/>
          <w:szCs w:val="24"/>
        </w:rPr>
        <w:t>. 14,0 %; rate ratio 1,19; 95 % CI 0,91 til 1,55).</w:t>
      </w:r>
    </w:p>
    <w:p w14:paraId="637199FA" w14:textId="77777777" w:rsidR="00603A18" w:rsidRPr="00603A18" w:rsidRDefault="00603A18" w:rsidP="00603A18">
      <w:pPr>
        <w:pStyle w:val="Brdtekst"/>
        <w:spacing w:before="11"/>
        <w:ind w:left="851"/>
        <w:rPr>
          <w:sz w:val="24"/>
          <w:szCs w:val="24"/>
        </w:rPr>
      </w:pPr>
    </w:p>
    <w:p w14:paraId="182CEDE7" w14:textId="77777777" w:rsidR="00603A18" w:rsidRPr="00603A18" w:rsidRDefault="00603A18" w:rsidP="00603A18">
      <w:pPr>
        <w:pStyle w:val="Brdtekst"/>
        <w:spacing w:before="11"/>
        <w:ind w:left="851"/>
        <w:rPr>
          <w:sz w:val="24"/>
          <w:szCs w:val="24"/>
          <w:u w:val="single"/>
        </w:rPr>
      </w:pPr>
      <w:r w:rsidRPr="00603A18">
        <w:rPr>
          <w:sz w:val="24"/>
          <w:szCs w:val="24"/>
          <w:u w:val="single"/>
        </w:rPr>
        <w:t>Sekundære endepunkter</w:t>
      </w:r>
    </w:p>
    <w:p w14:paraId="0EAF87D8" w14:textId="77777777" w:rsidR="00603A18" w:rsidRPr="00603A18" w:rsidRDefault="00603A18" w:rsidP="00603A18">
      <w:pPr>
        <w:pStyle w:val="Brdtekst"/>
        <w:spacing w:before="11"/>
        <w:ind w:left="851"/>
        <w:rPr>
          <w:sz w:val="24"/>
          <w:szCs w:val="24"/>
        </w:rPr>
      </w:pPr>
      <w:r w:rsidRPr="00603A18">
        <w:rPr>
          <w:sz w:val="24"/>
          <w:szCs w:val="24"/>
        </w:rPr>
        <w:t xml:space="preserve">Patienterne i </w:t>
      </w:r>
      <w:proofErr w:type="spellStart"/>
      <w:r w:rsidRPr="00603A18">
        <w:rPr>
          <w:sz w:val="24"/>
          <w:szCs w:val="24"/>
        </w:rPr>
        <w:t>dexamethason</w:t>
      </w:r>
      <w:proofErr w:type="spellEnd"/>
      <w:r w:rsidRPr="00603A18">
        <w:rPr>
          <w:sz w:val="24"/>
          <w:szCs w:val="24"/>
        </w:rPr>
        <w:t xml:space="preserve">-gruppen havde kortere hospitalsophold end dem, der fik standardbehandling (median 12 dage </w:t>
      </w:r>
      <w:r w:rsidRPr="00603A18">
        <w:rPr>
          <w:i/>
          <w:sz w:val="24"/>
          <w:szCs w:val="24"/>
        </w:rPr>
        <w:t>vs</w:t>
      </w:r>
      <w:r w:rsidRPr="00603A18">
        <w:rPr>
          <w:sz w:val="24"/>
          <w:szCs w:val="24"/>
        </w:rPr>
        <w:t>. 13 dage), og større sandsynlighed for udskrivning i live inden for 28 dage (rate ratio 1,10; 95 % CI 1,03 til 1,17).</w:t>
      </w:r>
    </w:p>
    <w:p w14:paraId="7EFB2389" w14:textId="77777777" w:rsidR="00603A18" w:rsidRPr="00603A18" w:rsidRDefault="00603A18" w:rsidP="00603A18">
      <w:pPr>
        <w:pStyle w:val="Brdtekst"/>
        <w:spacing w:before="11"/>
        <w:ind w:left="851"/>
        <w:rPr>
          <w:sz w:val="24"/>
          <w:szCs w:val="24"/>
        </w:rPr>
      </w:pPr>
    </w:p>
    <w:p w14:paraId="038F3636" w14:textId="77777777" w:rsidR="00603A18" w:rsidRPr="00603A18" w:rsidRDefault="00603A18" w:rsidP="00603A18">
      <w:pPr>
        <w:pStyle w:val="Brdtekst"/>
        <w:spacing w:before="11"/>
        <w:ind w:left="851"/>
        <w:rPr>
          <w:sz w:val="24"/>
          <w:szCs w:val="24"/>
        </w:rPr>
      </w:pPr>
      <w:r w:rsidRPr="00603A18">
        <w:rPr>
          <w:sz w:val="24"/>
          <w:szCs w:val="24"/>
        </w:rPr>
        <w:t xml:space="preserve">I overensstemmelse med det primære endepunkt blev den største effekt hvad angår udskrivning inden for 28 dage set hos de patienter, der fik invasiv mekanisk ventilation ved </w:t>
      </w:r>
      <w:proofErr w:type="spellStart"/>
      <w:r w:rsidRPr="00603A18">
        <w:rPr>
          <w:sz w:val="24"/>
          <w:szCs w:val="24"/>
        </w:rPr>
        <w:t>randomisering</w:t>
      </w:r>
      <w:proofErr w:type="spellEnd"/>
      <w:r w:rsidRPr="00603A18">
        <w:rPr>
          <w:sz w:val="24"/>
          <w:szCs w:val="24"/>
        </w:rPr>
        <w:t xml:space="preserve"> (rate ratio 1,48; 95 % CI 1,16; 1,90), efterfulgt af behandling med ilt alene (rate ratio 1,15; 95 % CI 1,06 til 1,24) uden nogen gavnlig effekt hos de patienter, der ikke fik ilt (rate ratio 0,96; 95 % CI 0,85 til 1,08).</w:t>
      </w:r>
    </w:p>
    <w:p w14:paraId="281F5769" w14:textId="77777777" w:rsidR="00603A18" w:rsidRDefault="00603A18" w:rsidP="00603A18">
      <w:pPr>
        <w:pStyle w:val="Brdtekst"/>
        <w:spacing w:before="1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407"/>
        <w:gridCol w:w="2407"/>
        <w:gridCol w:w="2407"/>
        <w:gridCol w:w="2407"/>
      </w:tblGrid>
      <w:tr w:rsidR="00603A18" w14:paraId="262C443B" w14:textId="77777777" w:rsidTr="00603A18">
        <w:trPr>
          <w:cantSplit/>
        </w:trPr>
        <w:tc>
          <w:tcPr>
            <w:tcW w:w="1250" w:type="pct"/>
            <w:tcBorders>
              <w:top w:val="single" w:sz="4" w:space="0" w:color="auto"/>
              <w:left w:val="single" w:sz="4" w:space="0" w:color="auto"/>
              <w:bottom w:val="nil"/>
              <w:right w:val="nil"/>
            </w:tcBorders>
            <w:vAlign w:val="center"/>
            <w:hideMark/>
          </w:tcPr>
          <w:p w14:paraId="55692DE9" w14:textId="77777777" w:rsidR="00603A18" w:rsidRDefault="00603A18">
            <w:pPr>
              <w:pStyle w:val="Brdtekst"/>
              <w:keepNext/>
              <w:spacing w:before="11"/>
              <w:rPr>
                <w:b/>
                <w:bCs/>
              </w:rPr>
            </w:pPr>
            <w:r>
              <w:rPr>
                <w:b/>
              </w:rPr>
              <w:t>Udfald</w:t>
            </w:r>
          </w:p>
        </w:tc>
        <w:tc>
          <w:tcPr>
            <w:tcW w:w="1250" w:type="pct"/>
            <w:tcBorders>
              <w:top w:val="single" w:sz="4" w:space="0" w:color="auto"/>
              <w:left w:val="nil"/>
              <w:bottom w:val="nil"/>
              <w:right w:val="nil"/>
            </w:tcBorders>
            <w:hideMark/>
          </w:tcPr>
          <w:p w14:paraId="3F132A85" w14:textId="77777777" w:rsidR="00603A18" w:rsidRDefault="00603A18">
            <w:pPr>
              <w:pStyle w:val="Brdtekst"/>
              <w:keepNext/>
              <w:spacing w:before="11"/>
              <w:jc w:val="center"/>
              <w:rPr>
                <w:b/>
                <w:bCs/>
              </w:rPr>
            </w:pPr>
            <w:proofErr w:type="spellStart"/>
            <w:r>
              <w:rPr>
                <w:b/>
              </w:rPr>
              <w:t>Dexamethason</w:t>
            </w:r>
            <w:proofErr w:type="spellEnd"/>
          </w:p>
          <w:p w14:paraId="5D531937" w14:textId="77777777" w:rsidR="00603A18" w:rsidRDefault="00603A18">
            <w:pPr>
              <w:pStyle w:val="Brdtekst"/>
              <w:keepNext/>
              <w:spacing w:before="11"/>
              <w:jc w:val="center"/>
              <w:rPr>
                <w:b/>
                <w:bCs/>
              </w:rPr>
            </w:pPr>
            <w:r>
              <w:rPr>
                <w:b/>
              </w:rPr>
              <w:t>(N = 2.104)</w:t>
            </w:r>
          </w:p>
        </w:tc>
        <w:tc>
          <w:tcPr>
            <w:tcW w:w="1250" w:type="pct"/>
            <w:tcBorders>
              <w:top w:val="single" w:sz="4" w:space="0" w:color="auto"/>
              <w:left w:val="nil"/>
              <w:bottom w:val="nil"/>
              <w:right w:val="nil"/>
            </w:tcBorders>
            <w:hideMark/>
          </w:tcPr>
          <w:p w14:paraId="57FB3835" w14:textId="77777777" w:rsidR="00603A18" w:rsidRDefault="00603A18">
            <w:pPr>
              <w:pStyle w:val="Brdtekst"/>
              <w:keepNext/>
              <w:spacing w:before="11"/>
              <w:jc w:val="center"/>
              <w:rPr>
                <w:b/>
                <w:bCs/>
              </w:rPr>
            </w:pPr>
            <w:r>
              <w:rPr>
                <w:b/>
              </w:rPr>
              <w:t>Standardbehandling</w:t>
            </w:r>
          </w:p>
          <w:p w14:paraId="5BA8324D" w14:textId="77777777" w:rsidR="00603A18" w:rsidRDefault="00603A18">
            <w:pPr>
              <w:pStyle w:val="Brdtekst"/>
              <w:keepNext/>
              <w:spacing w:before="11"/>
              <w:jc w:val="center"/>
              <w:rPr>
                <w:b/>
                <w:bCs/>
              </w:rPr>
            </w:pPr>
            <w:r>
              <w:rPr>
                <w:b/>
              </w:rPr>
              <w:t>(N = 4.321)</w:t>
            </w:r>
          </w:p>
        </w:tc>
        <w:tc>
          <w:tcPr>
            <w:tcW w:w="1250" w:type="pct"/>
            <w:tcBorders>
              <w:top w:val="single" w:sz="4" w:space="0" w:color="auto"/>
              <w:left w:val="nil"/>
              <w:bottom w:val="nil"/>
              <w:right w:val="single" w:sz="4" w:space="0" w:color="auto"/>
            </w:tcBorders>
            <w:hideMark/>
          </w:tcPr>
          <w:p w14:paraId="5E9EA723" w14:textId="77777777" w:rsidR="00603A18" w:rsidRDefault="00603A18">
            <w:pPr>
              <w:pStyle w:val="Brdtekst"/>
              <w:keepNext/>
              <w:spacing w:before="11"/>
              <w:jc w:val="center"/>
              <w:rPr>
                <w:b/>
                <w:bCs/>
              </w:rPr>
            </w:pPr>
            <w:r>
              <w:rPr>
                <w:b/>
              </w:rPr>
              <w:t>Rate ratio eller risikoratio</w:t>
            </w:r>
          </w:p>
          <w:p w14:paraId="077ECA87" w14:textId="77777777" w:rsidR="00603A18" w:rsidRDefault="00603A18">
            <w:pPr>
              <w:pStyle w:val="Brdtekst"/>
              <w:keepNext/>
              <w:spacing w:before="11"/>
              <w:jc w:val="center"/>
              <w:rPr>
                <w:b/>
                <w:bCs/>
              </w:rPr>
            </w:pPr>
            <w:r>
              <w:rPr>
                <w:b/>
              </w:rPr>
              <w:t xml:space="preserve">(95 % </w:t>
            </w:r>
            <w:proofErr w:type="gramStart"/>
            <w:r>
              <w:rPr>
                <w:b/>
              </w:rPr>
              <w:t>CI)*</w:t>
            </w:r>
            <w:proofErr w:type="gramEnd"/>
          </w:p>
        </w:tc>
      </w:tr>
      <w:tr w:rsidR="00603A18" w14:paraId="30AE54F2" w14:textId="77777777" w:rsidTr="00603A18">
        <w:trPr>
          <w:cantSplit/>
        </w:trPr>
        <w:tc>
          <w:tcPr>
            <w:tcW w:w="1250" w:type="pct"/>
            <w:tcBorders>
              <w:top w:val="nil"/>
              <w:left w:val="single" w:sz="4" w:space="0" w:color="auto"/>
              <w:bottom w:val="single" w:sz="4" w:space="0" w:color="auto"/>
              <w:right w:val="nil"/>
            </w:tcBorders>
          </w:tcPr>
          <w:p w14:paraId="0B426534" w14:textId="77777777" w:rsidR="00603A18" w:rsidRDefault="00603A18">
            <w:pPr>
              <w:pStyle w:val="Brdtekst"/>
              <w:keepNext/>
              <w:spacing w:before="11"/>
              <w:rPr>
                <w:i/>
                <w:iCs/>
              </w:rPr>
            </w:pPr>
          </w:p>
        </w:tc>
        <w:tc>
          <w:tcPr>
            <w:tcW w:w="3750" w:type="pct"/>
            <w:gridSpan w:val="3"/>
            <w:tcBorders>
              <w:top w:val="nil"/>
              <w:left w:val="nil"/>
              <w:bottom w:val="single" w:sz="4" w:space="0" w:color="auto"/>
              <w:right w:val="single" w:sz="4" w:space="0" w:color="auto"/>
            </w:tcBorders>
            <w:hideMark/>
          </w:tcPr>
          <w:p w14:paraId="0D31203C" w14:textId="77777777" w:rsidR="00603A18" w:rsidRDefault="00603A18">
            <w:pPr>
              <w:pStyle w:val="Brdtekst"/>
              <w:keepNext/>
              <w:spacing w:before="11"/>
              <w:jc w:val="center"/>
              <w:rPr>
                <w:i/>
                <w:iCs/>
              </w:rPr>
            </w:pPr>
            <w:r>
              <w:rPr>
                <w:i/>
              </w:rPr>
              <w:t>antal/samlet antal patienter (%)</w:t>
            </w:r>
          </w:p>
        </w:tc>
      </w:tr>
      <w:tr w:rsidR="00603A18" w14:paraId="51936939" w14:textId="77777777" w:rsidTr="00603A18">
        <w:trPr>
          <w:cantSplit/>
        </w:trPr>
        <w:tc>
          <w:tcPr>
            <w:tcW w:w="1250" w:type="pct"/>
            <w:tcBorders>
              <w:top w:val="single" w:sz="4" w:space="0" w:color="auto"/>
              <w:left w:val="single" w:sz="4" w:space="0" w:color="auto"/>
              <w:bottom w:val="single" w:sz="4" w:space="0" w:color="auto"/>
              <w:right w:val="nil"/>
            </w:tcBorders>
            <w:hideMark/>
          </w:tcPr>
          <w:p w14:paraId="2AFD95C4" w14:textId="77777777" w:rsidR="00603A18" w:rsidRDefault="00603A18">
            <w:pPr>
              <w:pStyle w:val="Brdtekst"/>
              <w:keepNext/>
              <w:spacing w:before="11"/>
              <w:rPr>
                <w:b/>
                <w:bCs/>
              </w:rPr>
            </w:pPr>
            <w:r>
              <w:rPr>
                <w:b/>
              </w:rPr>
              <w:t>Primært udfald</w:t>
            </w:r>
          </w:p>
        </w:tc>
        <w:tc>
          <w:tcPr>
            <w:tcW w:w="1250" w:type="pct"/>
            <w:tcBorders>
              <w:top w:val="single" w:sz="4" w:space="0" w:color="auto"/>
              <w:left w:val="nil"/>
              <w:bottom w:val="single" w:sz="4" w:space="0" w:color="auto"/>
              <w:right w:val="nil"/>
            </w:tcBorders>
          </w:tcPr>
          <w:p w14:paraId="5D674F7A" w14:textId="77777777" w:rsidR="00603A18" w:rsidRDefault="00603A18">
            <w:pPr>
              <w:pStyle w:val="Brdtekst"/>
              <w:keepNext/>
              <w:spacing w:before="11"/>
              <w:jc w:val="center"/>
            </w:pPr>
          </w:p>
        </w:tc>
        <w:tc>
          <w:tcPr>
            <w:tcW w:w="1250" w:type="pct"/>
            <w:tcBorders>
              <w:top w:val="single" w:sz="4" w:space="0" w:color="auto"/>
              <w:left w:val="nil"/>
              <w:bottom w:val="single" w:sz="4" w:space="0" w:color="auto"/>
              <w:right w:val="nil"/>
            </w:tcBorders>
          </w:tcPr>
          <w:p w14:paraId="5F60DBE7" w14:textId="77777777" w:rsidR="00603A18" w:rsidRDefault="00603A18">
            <w:pPr>
              <w:pStyle w:val="Brdtekst"/>
              <w:keepNext/>
              <w:spacing w:before="11"/>
              <w:jc w:val="center"/>
            </w:pPr>
          </w:p>
        </w:tc>
        <w:tc>
          <w:tcPr>
            <w:tcW w:w="1250" w:type="pct"/>
            <w:tcBorders>
              <w:top w:val="single" w:sz="4" w:space="0" w:color="auto"/>
              <w:left w:val="nil"/>
              <w:bottom w:val="single" w:sz="4" w:space="0" w:color="auto"/>
              <w:right w:val="single" w:sz="4" w:space="0" w:color="auto"/>
            </w:tcBorders>
          </w:tcPr>
          <w:p w14:paraId="21E10BEE" w14:textId="77777777" w:rsidR="00603A18" w:rsidRDefault="00603A18">
            <w:pPr>
              <w:pStyle w:val="Brdtekst"/>
              <w:keepNext/>
              <w:spacing w:before="11"/>
              <w:jc w:val="center"/>
            </w:pPr>
          </w:p>
        </w:tc>
      </w:tr>
      <w:tr w:rsidR="00603A18" w14:paraId="17AC1BDA" w14:textId="77777777" w:rsidTr="00603A18">
        <w:trPr>
          <w:cantSplit/>
        </w:trPr>
        <w:tc>
          <w:tcPr>
            <w:tcW w:w="1250" w:type="pct"/>
            <w:tcBorders>
              <w:top w:val="single" w:sz="4" w:space="0" w:color="auto"/>
              <w:left w:val="single" w:sz="4" w:space="0" w:color="auto"/>
              <w:bottom w:val="single" w:sz="4" w:space="0" w:color="auto"/>
              <w:right w:val="nil"/>
            </w:tcBorders>
            <w:hideMark/>
          </w:tcPr>
          <w:p w14:paraId="1F389FA7" w14:textId="77777777" w:rsidR="00603A18" w:rsidRDefault="00603A18">
            <w:pPr>
              <w:pStyle w:val="Brdtekst"/>
              <w:spacing w:before="11"/>
            </w:pPr>
            <w:r>
              <w:t>Mortalitet efter 28 dage</w:t>
            </w:r>
          </w:p>
        </w:tc>
        <w:tc>
          <w:tcPr>
            <w:tcW w:w="1250" w:type="pct"/>
            <w:tcBorders>
              <w:top w:val="single" w:sz="4" w:space="0" w:color="auto"/>
              <w:left w:val="nil"/>
              <w:bottom w:val="single" w:sz="4" w:space="0" w:color="auto"/>
              <w:right w:val="nil"/>
            </w:tcBorders>
            <w:hideMark/>
          </w:tcPr>
          <w:p w14:paraId="5A518B61" w14:textId="77777777" w:rsidR="00603A18" w:rsidRDefault="00603A18">
            <w:pPr>
              <w:pStyle w:val="Brdtekst"/>
              <w:spacing w:before="11"/>
              <w:jc w:val="center"/>
            </w:pPr>
            <w:r>
              <w:t>482/2.104 (22,9)</w:t>
            </w:r>
          </w:p>
        </w:tc>
        <w:tc>
          <w:tcPr>
            <w:tcW w:w="1250" w:type="pct"/>
            <w:tcBorders>
              <w:top w:val="single" w:sz="4" w:space="0" w:color="auto"/>
              <w:left w:val="nil"/>
              <w:bottom w:val="single" w:sz="4" w:space="0" w:color="auto"/>
              <w:right w:val="nil"/>
            </w:tcBorders>
            <w:hideMark/>
          </w:tcPr>
          <w:p w14:paraId="055CED8C" w14:textId="77777777" w:rsidR="00603A18" w:rsidRDefault="00603A18">
            <w:pPr>
              <w:pStyle w:val="Brdtekst"/>
              <w:spacing w:before="11"/>
              <w:jc w:val="center"/>
            </w:pPr>
            <w:r>
              <w:t>1.110/4.321 (25,7)</w:t>
            </w:r>
          </w:p>
        </w:tc>
        <w:tc>
          <w:tcPr>
            <w:tcW w:w="1250" w:type="pct"/>
            <w:tcBorders>
              <w:top w:val="single" w:sz="4" w:space="0" w:color="auto"/>
              <w:left w:val="nil"/>
              <w:bottom w:val="single" w:sz="4" w:space="0" w:color="auto"/>
              <w:right w:val="single" w:sz="4" w:space="0" w:color="auto"/>
            </w:tcBorders>
            <w:hideMark/>
          </w:tcPr>
          <w:p w14:paraId="5911B726" w14:textId="77777777" w:rsidR="00603A18" w:rsidRDefault="00603A18">
            <w:pPr>
              <w:pStyle w:val="Brdtekst"/>
              <w:spacing w:before="11"/>
              <w:jc w:val="center"/>
            </w:pPr>
            <w:r>
              <w:t>0,83 (0,75-0,93)</w:t>
            </w:r>
          </w:p>
        </w:tc>
      </w:tr>
      <w:tr w:rsidR="00603A18" w14:paraId="0EB15547" w14:textId="77777777" w:rsidTr="00603A18">
        <w:trPr>
          <w:cantSplit/>
        </w:trPr>
        <w:tc>
          <w:tcPr>
            <w:tcW w:w="1250" w:type="pct"/>
            <w:tcBorders>
              <w:top w:val="single" w:sz="4" w:space="0" w:color="auto"/>
              <w:left w:val="single" w:sz="4" w:space="0" w:color="auto"/>
              <w:bottom w:val="single" w:sz="4" w:space="0" w:color="auto"/>
              <w:right w:val="nil"/>
            </w:tcBorders>
            <w:hideMark/>
          </w:tcPr>
          <w:p w14:paraId="40B53504" w14:textId="77777777" w:rsidR="00603A18" w:rsidRDefault="00603A18">
            <w:pPr>
              <w:pStyle w:val="Brdtekst"/>
              <w:keepNext/>
              <w:spacing w:before="11"/>
              <w:rPr>
                <w:b/>
                <w:bCs/>
              </w:rPr>
            </w:pPr>
            <w:r>
              <w:rPr>
                <w:b/>
              </w:rPr>
              <w:t>Sekundært udfald</w:t>
            </w:r>
          </w:p>
        </w:tc>
        <w:tc>
          <w:tcPr>
            <w:tcW w:w="1250" w:type="pct"/>
            <w:tcBorders>
              <w:top w:val="single" w:sz="4" w:space="0" w:color="auto"/>
              <w:left w:val="nil"/>
              <w:bottom w:val="single" w:sz="4" w:space="0" w:color="auto"/>
              <w:right w:val="nil"/>
            </w:tcBorders>
          </w:tcPr>
          <w:p w14:paraId="02BFA47D" w14:textId="77777777" w:rsidR="00603A18" w:rsidRDefault="00603A18">
            <w:pPr>
              <w:pStyle w:val="Brdtekst"/>
              <w:keepNext/>
              <w:spacing w:before="11"/>
              <w:jc w:val="center"/>
            </w:pPr>
          </w:p>
        </w:tc>
        <w:tc>
          <w:tcPr>
            <w:tcW w:w="1250" w:type="pct"/>
            <w:tcBorders>
              <w:top w:val="single" w:sz="4" w:space="0" w:color="auto"/>
              <w:left w:val="nil"/>
              <w:bottom w:val="single" w:sz="4" w:space="0" w:color="auto"/>
              <w:right w:val="nil"/>
            </w:tcBorders>
          </w:tcPr>
          <w:p w14:paraId="0D15EE36" w14:textId="77777777" w:rsidR="00603A18" w:rsidRDefault="00603A18">
            <w:pPr>
              <w:pStyle w:val="Brdtekst"/>
              <w:keepNext/>
              <w:spacing w:before="11"/>
              <w:jc w:val="center"/>
            </w:pPr>
          </w:p>
        </w:tc>
        <w:tc>
          <w:tcPr>
            <w:tcW w:w="1250" w:type="pct"/>
            <w:tcBorders>
              <w:top w:val="single" w:sz="4" w:space="0" w:color="auto"/>
              <w:left w:val="nil"/>
              <w:bottom w:val="single" w:sz="4" w:space="0" w:color="auto"/>
              <w:right w:val="single" w:sz="4" w:space="0" w:color="auto"/>
            </w:tcBorders>
          </w:tcPr>
          <w:p w14:paraId="1D6033D6" w14:textId="77777777" w:rsidR="00603A18" w:rsidRDefault="00603A18">
            <w:pPr>
              <w:pStyle w:val="Brdtekst"/>
              <w:keepNext/>
              <w:spacing w:before="11"/>
              <w:jc w:val="center"/>
            </w:pPr>
          </w:p>
        </w:tc>
      </w:tr>
      <w:tr w:rsidR="00603A18" w14:paraId="58C8CC08" w14:textId="77777777" w:rsidTr="00603A18">
        <w:trPr>
          <w:cantSplit/>
        </w:trPr>
        <w:tc>
          <w:tcPr>
            <w:tcW w:w="1250" w:type="pct"/>
            <w:tcBorders>
              <w:top w:val="single" w:sz="4" w:space="0" w:color="auto"/>
              <w:left w:val="single" w:sz="4" w:space="0" w:color="auto"/>
              <w:bottom w:val="single" w:sz="4" w:space="0" w:color="auto"/>
              <w:right w:val="nil"/>
            </w:tcBorders>
            <w:hideMark/>
          </w:tcPr>
          <w:p w14:paraId="44214665" w14:textId="77777777" w:rsidR="00603A18" w:rsidRDefault="00603A18">
            <w:pPr>
              <w:pStyle w:val="Brdtekst"/>
              <w:spacing w:before="11"/>
            </w:pPr>
            <w:r>
              <w:t>Udskrevet fra hospitalet inden for 28 dage</w:t>
            </w:r>
          </w:p>
        </w:tc>
        <w:tc>
          <w:tcPr>
            <w:tcW w:w="1250" w:type="pct"/>
            <w:tcBorders>
              <w:top w:val="single" w:sz="4" w:space="0" w:color="auto"/>
              <w:left w:val="nil"/>
              <w:bottom w:val="single" w:sz="4" w:space="0" w:color="auto"/>
              <w:right w:val="nil"/>
            </w:tcBorders>
            <w:hideMark/>
          </w:tcPr>
          <w:p w14:paraId="4B96585C" w14:textId="77777777" w:rsidR="00603A18" w:rsidRDefault="00603A18">
            <w:pPr>
              <w:pStyle w:val="Brdtekst"/>
              <w:spacing w:before="11"/>
              <w:jc w:val="center"/>
            </w:pPr>
            <w:r>
              <w:t>1.413/2.104 (67,2)</w:t>
            </w:r>
          </w:p>
        </w:tc>
        <w:tc>
          <w:tcPr>
            <w:tcW w:w="1250" w:type="pct"/>
            <w:tcBorders>
              <w:top w:val="single" w:sz="4" w:space="0" w:color="auto"/>
              <w:left w:val="nil"/>
              <w:bottom w:val="single" w:sz="4" w:space="0" w:color="auto"/>
              <w:right w:val="nil"/>
            </w:tcBorders>
            <w:hideMark/>
          </w:tcPr>
          <w:p w14:paraId="61C8A47A" w14:textId="77777777" w:rsidR="00603A18" w:rsidRDefault="00603A18">
            <w:pPr>
              <w:pStyle w:val="Brdtekst"/>
              <w:spacing w:before="11"/>
              <w:jc w:val="center"/>
            </w:pPr>
            <w:r>
              <w:t>2.745/4.321 (63,5)</w:t>
            </w:r>
          </w:p>
        </w:tc>
        <w:tc>
          <w:tcPr>
            <w:tcW w:w="1250" w:type="pct"/>
            <w:tcBorders>
              <w:top w:val="single" w:sz="4" w:space="0" w:color="auto"/>
              <w:left w:val="nil"/>
              <w:bottom w:val="single" w:sz="4" w:space="0" w:color="auto"/>
              <w:right w:val="single" w:sz="4" w:space="0" w:color="auto"/>
            </w:tcBorders>
            <w:hideMark/>
          </w:tcPr>
          <w:p w14:paraId="695ABB1A" w14:textId="77777777" w:rsidR="00603A18" w:rsidRDefault="00603A18">
            <w:pPr>
              <w:pStyle w:val="Brdtekst"/>
              <w:spacing w:before="11"/>
              <w:jc w:val="center"/>
            </w:pPr>
            <w:r>
              <w:t>1,10 (1,03-1,17)</w:t>
            </w:r>
          </w:p>
        </w:tc>
      </w:tr>
      <w:tr w:rsidR="00603A18" w14:paraId="3456AC72" w14:textId="77777777" w:rsidTr="00603A18">
        <w:trPr>
          <w:cantSplit/>
        </w:trPr>
        <w:tc>
          <w:tcPr>
            <w:tcW w:w="1250" w:type="pct"/>
            <w:tcBorders>
              <w:top w:val="single" w:sz="4" w:space="0" w:color="auto"/>
              <w:left w:val="single" w:sz="4" w:space="0" w:color="auto"/>
              <w:bottom w:val="single" w:sz="4" w:space="0" w:color="auto"/>
              <w:right w:val="nil"/>
            </w:tcBorders>
            <w:hideMark/>
          </w:tcPr>
          <w:p w14:paraId="2A4824DA" w14:textId="77777777" w:rsidR="00603A18" w:rsidRDefault="00603A18">
            <w:pPr>
              <w:pStyle w:val="Brdtekst"/>
              <w:spacing w:before="11"/>
            </w:pPr>
            <w:r>
              <w:t>Invasiv mekanisk ventilation eller død</w:t>
            </w:r>
            <w:r>
              <w:rPr>
                <w:vertAlign w:val="superscript"/>
                <w:lang w:val="es-ES"/>
              </w:rPr>
              <w:t>†</w:t>
            </w:r>
          </w:p>
        </w:tc>
        <w:tc>
          <w:tcPr>
            <w:tcW w:w="1250" w:type="pct"/>
            <w:tcBorders>
              <w:top w:val="single" w:sz="4" w:space="0" w:color="auto"/>
              <w:left w:val="nil"/>
              <w:bottom w:val="single" w:sz="4" w:space="0" w:color="auto"/>
              <w:right w:val="nil"/>
            </w:tcBorders>
            <w:hideMark/>
          </w:tcPr>
          <w:p w14:paraId="2CBA7FC9" w14:textId="77777777" w:rsidR="00603A18" w:rsidRDefault="00603A18">
            <w:pPr>
              <w:pStyle w:val="Brdtekst"/>
              <w:spacing w:before="11"/>
              <w:jc w:val="center"/>
            </w:pPr>
            <w:r>
              <w:t>456/1.780 (25,6)</w:t>
            </w:r>
          </w:p>
        </w:tc>
        <w:tc>
          <w:tcPr>
            <w:tcW w:w="1250" w:type="pct"/>
            <w:tcBorders>
              <w:top w:val="single" w:sz="4" w:space="0" w:color="auto"/>
              <w:left w:val="nil"/>
              <w:bottom w:val="single" w:sz="4" w:space="0" w:color="auto"/>
              <w:right w:val="nil"/>
            </w:tcBorders>
            <w:hideMark/>
          </w:tcPr>
          <w:p w14:paraId="09C50B87" w14:textId="77777777" w:rsidR="00603A18" w:rsidRDefault="00603A18">
            <w:pPr>
              <w:pStyle w:val="Brdtekst"/>
              <w:spacing w:before="11"/>
              <w:jc w:val="center"/>
            </w:pPr>
            <w:r>
              <w:t>994/3.638 (27,3)</w:t>
            </w:r>
          </w:p>
        </w:tc>
        <w:tc>
          <w:tcPr>
            <w:tcW w:w="1250" w:type="pct"/>
            <w:tcBorders>
              <w:top w:val="single" w:sz="4" w:space="0" w:color="auto"/>
              <w:left w:val="nil"/>
              <w:bottom w:val="single" w:sz="4" w:space="0" w:color="auto"/>
              <w:right w:val="single" w:sz="4" w:space="0" w:color="auto"/>
            </w:tcBorders>
            <w:hideMark/>
          </w:tcPr>
          <w:p w14:paraId="6757F4C9" w14:textId="77777777" w:rsidR="00603A18" w:rsidRDefault="00603A18">
            <w:pPr>
              <w:pStyle w:val="Brdtekst"/>
              <w:spacing w:before="11"/>
              <w:jc w:val="center"/>
            </w:pPr>
            <w:r>
              <w:t>0,92 (0,84-1,01)</w:t>
            </w:r>
          </w:p>
        </w:tc>
      </w:tr>
      <w:tr w:rsidR="00603A18" w14:paraId="27A1831C" w14:textId="77777777" w:rsidTr="00603A18">
        <w:trPr>
          <w:cantSplit/>
        </w:trPr>
        <w:tc>
          <w:tcPr>
            <w:tcW w:w="1250" w:type="pct"/>
            <w:tcBorders>
              <w:top w:val="single" w:sz="4" w:space="0" w:color="auto"/>
              <w:left w:val="single" w:sz="4" w:space="0" w:color="auto"/>
              <w:bottom w:val="single" w:sz="4" w:space="0" w:color="auto"/>
              <w:right w:val="nil"/>
            </w:tcBorders>
            <w:hideMark/>
          </w:tcPr>
          <w:p w14:paraId="7C225AB1" w14:textId="77777777" w:rsidR="00603A18" w:rsidRDefault="00603A18">
            <w:pPr>
              <w:pStyle w:val="Brdtekst"/>
              <w:spacing w:before="11"/>
              <w:ind w:left="313"/>
            </w:pPr>
            <w:r>
              <w:t>Invasiv mekanisk ventilation</w:t>
            </w:r>
          </w:p>
        </w:tc>
        <w:tc>
          <w:tcPr>
            <w:tcW w:w="1250" w:type="pct"/>
            <w:tcBorders>
              <w:top w:val="single" w:sz="4" w:space="0" w:color="auto"/>
              <w:left w:val="nil"/>
              <w:bottom w:val="single" w:sz="4" w:space="0" w:color="auto"/>
              <w:right w:val="nil"/>
            </w:tcBorders>
            <w:hideMark/>
          </w:tcPr>
          <w:p w14:paraId="4CFE2ADE" w14:textId="77777777" w:rsidR="00603A18" w:rsidRDefault="00603A18">
            <w:pPr>
              <w:pStyle w:val="Brdtekst"/>
              <w:spacing w:before="11"/>
              <w:jc w:val="center"/>
            </w:pPr>
            <w:r>
              <w:t>102/1.780 (5,7)</w:t>
            </w:r>
          </w:p>
        </w:tc>
        <w:tc>
          <w:tcPr>
            <w:tcW w:w="1250" w:type="pct"/>
            <w:tcBorders>
              <w:top w:val="single" w:sz="4" w:space="0" w:color="auto"/>
              <w:left w:val="nil"/>
              <w:bottom w:val="single" w:sz="4" w:space="0" w:color="auto"/>
              <w:right w:val="nil"/>
            </w:tcBorders>
            <w:hideMark/>
          </w:tcPr>
          <w:p w14:paraId="4DBF5626" w14:textId="77777777" w:rsidR="00603A18" w:rsidRDefault="00603A18">
            <w:pPr>
              <w:pStyle w:val="Brdtekst"/>
              <w:spacing w:before="11"/>
              <w:jc w:val="center"/>
            </w:pPr>
            <w:r>
              <w:t>285/3.638 (7,8)</w:t>
            </w:r>
          </w:p>
        </w:tc>
        <w:tc>
          <w:tcPr>
            <w:tcW w:w="1250" w:type="pct"/>
            <w:tcBorders>
              <w:top w:val="single" w:sz="4" w:space="0" w:color="auto"/>
              <w:left w:val="nil"/>
              <w:bottom w:val="single" w:sz="4" w:space="0" w:color="auto"/>
              <w:right w:val="single" w:sz="4" w:space="0" w:color="auto"/>
            </w:tcBorders>
            <w:hideMark/>
          </w:tcPr>
          <w:p w14:paraId="4058BEEE" w14:textId="77777777" w:rsidR="00603A18" w:rsidRDefault="00603A18">
            <w:pPr>
              <w:pStyle w:val="Brdtekst"/>
              <w:spacing w:before="11"/>
              <w:jc w:val="center"/>
            </w:pPr>
            <w:r>
              <w:t>0,77 (0,62-0,95)</w:t>
            </w:r>
          </w:p>
        </w:tc>
      </w:tr>
      <w:tr w:rsidR="00603A18" w14:paraId="04BCDD2B" w14:textId="77777777" w:rsidTr="00603A18">
        <w:trPr>
          <w:cantSplit/>
        </w:trPr>
        <w:tc>
          <w:tcPr>
            <w:tcW w:w="1250" w:type="pct"/>
            <w:tcBorders>
              <w:top w:val="single" w:sz="4" w:space="0" w:color="auto"/>
              <w:left w:val="single" w:sz="4" w:space="0" w:color="auto"/>
              <w:bottom w:val="single" w:sz="4" w:space="0" w:color="auto"/>
              <w:right w:val="nil"/>
            </w:tcBorders>
            <w:hideMark/>
          </w:tcPr>
          <w:p w14:paraId="7A2F8A0E" w14:textId="77777777" w:rsidR="00603A18" w:rsidRDefault="00603A18">
            <w:pPr>
              <w:pStyle w:val="Brdtekst"/>
              <w:spacing w:before="11"/>
              <w:ind w:left="313"/>
            </w:pPr>
            <w:r>
              <w:t>Død</w:t>
            </w:r>
          </w:p>
        </w:tc>
        <w:tc>
          <w:tcPr>
            <w:tcW w:w="1250" w:type="pct"/>
            <w:tcBorders>
              <w:top w:val="single" w:sz="4" w:space="0" w:color="auto"/>
              <w:left w:val="nil"/>
              <w:bottom w:val="single" w:sz="4" w:space="0" w:color="auto"/>
              <w:right w:val="nil"/>
            </w:tcBorders>
            <w:hideMark/>
          </w:tcPr>
          <w:p w14:paraId="0CD046D5" w14:textId="77777777" w:rsidR="00603A18" w:rsidRDefault="00603A18">
            <w:pPr>
              <w:pStyle w:val="Brdtekst"/>
              <w:spacing w:before="11"/>
              <w:jc w:val="center"/>
            </w:pPr>
            <w:r>
              <w:t>387/1.780 (21,7)</w:t>
            </w:r>
          </w:p>
        </w:tc>
        <w:tc>
          <w:tcPr>
            <w:tcW w:w="1250" w:type="pct"/>
            <w:tcBorders>
              <w:top w:val="single" w:sz="4" w:space="0" w:color="auto"/>
              <w:left w:val="nil"/>
              <w:bottom w:val="single" w:sz="4" w:space="0" w:color="auto"/>
              <w:right w:val="nil"/>
            </w:tcBorders>
            <w:hideMark/>
          </w:tcPr>
          <w:p w14:paraId="2D3A03B7" w14:textId="77777777" w:rsidR="00603A18" w:rsidRDefault="00603A18">
            <w:pPr>
              <w:pStyle w:val="Brdtekst"/>
              <w:spacing w:before="11"/>
              <w:jc w:val="center"/>
            </w:pPr>
            <w:r>
              <w:t>827/3.638 (22,7)</w:t>
            </w:r>
          </w:p>
        </w:tc>
        <w:tc>
          <w:tcPr>
            <w:tcW w:w="1250" w:type="pct"/>
            <w:tcBorders>
              <w:top w:val="single" w:sz="4" w:space="0" w:color="auto"/>
              <w:left w:val="nil"/>
              <w:bottom w:val="single" w:sz="4" w:space="0" w:color="auto"/>
              <w:right w:val="single" w:sz="4" w:space="0" w:color="auto"/>
            </w:tcBorders>
            <w:hideMark/>
          </w:tcPr>
          <w:p w14:paraId="25AD4F03" w14:textId="77777777" w:rsidR="00603A18" w:rsidRDefault="00603A18">
            <w:pPr>
              <w:pStyle w:val="Brdtekst"/>
              <w:spacing w:before="11"/>
              <w:jc w:val="center"/>
            </w:pPr>
            <w:r>
              <w:t>0,93 (0,84-1,03)</w:t>
            </w:r>
          </w:p>
        </w:tc>
      </w:tr>
      <w:tr w:rsidR="00603A18" w14:paraId="34A8CD2A" w14:textId="77777777" w:rsidTr="00603A18">
        <w:trPr>
          <w:cantSplit/>
        </w:trPr>
        <w:tc>
          <w:tcPr>
            <w:tcW w:w="5000" w:type="pct"/>
            <w:gridSpan w:val="4"/>
            <w:tcBorders>
              <w:top w:val="single" w:sz="4" w:space="0" w:color="auto"/>
              <w:left w:val="nil"/>
              <w:bottom w:val="nil"/>
              <w:right w:val="nil"/>
            </w:tcBorders>
            <w:vAlign w:val="center"/>
            <w:hideMark/>
          </w:tcPr>
          <w:p w14:paraId="5C7D5B23" w14:textId="77777777" w:rsidR="00603A18" w:rsidRDefault="00603A18">
            <w:pPr>
              <w:pStyle w:val="Brdtekst"/>
              <w:spacing w:before="11"/>
              <w:ind w:left="171" w:hanging="142"/>
              <w:rPr>
                <w:sz w:val="18"/>
                <w:szCs w:val="18"/>
              </w:rPr>
            </w:pPr>
            <w:r>
              <w:rPr>
                <w:sz w:val="18"/>
              </w:rPr>
              <w:t>*</w:t>
            </w:r>
            <w:r>
              <w:rPr>
                <w:sz w:val="18"/>
              </w:rPr>
              <w:tab/>
              <w:t>Rate ratios er blevet justeret for alder for udfaldene 28-dages mortalitet og udskrivning fra hospitalet. Risikoratios er blevet justeret for alder for udfaldet behandling med invasiv mekanisk ventilation eller død samt dets underkomponenter.</w:t>
            </w:r>
          </w:p>
          <w:p w14:paraId="501E4779" w14:textId="77777777" w:rsidR="00603A18" w:rsidRDefault="00603A18">
            <w:pPr>
              <w:pStyle w:val="Brdtekst"/>
              <w:spacing w:before="11"/>
              <w:ind w:left="171" w:hanging="142"/>
              <w:rPr>
                <w:sz w:val="18"/>
                <w:szCs w:val="18"/>
              </w:rPr>
            </w:pPr>
            <w:r>
              <w:rPr>
                <w:sz w:val="18"/>
                <w:vertAlign w:val="superscript"/>
                <w:lang w:val="es-ES"/>
              </w:rPr>
              <w:t>†</w:t>
            </w:r>
            <w:r>
              <w:rPr>
                <w:sz w:val="18"/>
              </w:rPr>
              <w:tab/>
              <w:t xml:space="preserve">Patienter, der fik invasiv mekanisk ventilation ved </w:t>
            </w:r>
            <w:proofErr w:type="spellStart"/>
            <w:r>
              <w:rPr>
                <w:sz w:val="18"/>
              </w:rPr>
              <w:t>randomisering</w:t>
            </w:r>
            <w:proofErr w:type="spellEnd"/>
            <w:r>
              <w:rPr>
                <w:sz w:val="18"/>
              </w:rPr>
              <w:t>, er udelukket fra denne kategori.</w:t>
            </w:r>
          </w:p>
        </w:tc>
      </w:tr>
    </w:tbl>
    <w:p w14:paraId="4AD3A6CA" w14:textId="77777777" w:rsidR="00603A18" w:rsidRPr="00B51D93" w:rsidRDefault="00603A18" w:rsidP="00B51D93">
      <w:pPr>
        <w:pStyle w:val="Brdtekst"/>
        <w:spacing w:before="11"/>
        <w:ind w:left="851"/>
        <w:rPr>
          <w:sz w:val="24"/>
          <w:szCs w:val="24"/>
        </w:rPr>
      </w:pPr>
    </w:p>
    <w:p w14:paraId="34B267C1" w14:textId="77777777" w:rsidR="00603A18" w:rsidRPr="00B51D93" w:rsidRDefault="00603A18" w:rsidP="00B51D93">
      <w:pPr>
        <w:pStyle w:val="Brdtekst"/>
        <w:spacing w:before="11"/>
        <w:ind w:left="851"/>
        <w:rPr>
          <w:sz w:val="24"/>
          <w:szCs w:val="24"/>
          <w:u w:val="single"/>
        </w:rPr>
      </w:pPr>
      <w:r w:rsidRPr="00B51D93">
        <w:rPr>
          <w:sz w:val="24"/>
          <w:szCs w:val="24"/>
          <w:u w:val="single"/>
        </w:rPr>
        <w:t>Sikkerhed</w:t>
      </w:r>
    </w:p>
    <w:p w14:paraId="3B431ED2" w14:textId="77777777" w:rsidR="00603A18" w:rsidRPr="00B51D93" w:rsidRDefault="00603A18" w:rsidP="00B51D93">
      <w:pPr>
        <w:pStyle w:val="Brdtekst"/>
        <w:spacing w:before="11"/>
        <w:ind w:left="851"/>
        <w:rPr>
          <w:sz w:val="24"/>
          <w:szCs w:val="24"/>
        </w:rPr>
      </w:pPr>
      <w:r w:rsidRPr="00B51D93">
        <w:rPr>
          <w:sz w:val="24"/>
          <w:szCs w:val="24"/>
        </w:rPr>
        <w:t>Der var fire alvorlige bivirkninger (</w:t>
      </w:r>
      <w:proofErr w:type="spellStart"/>
      <w:r w:rsidRPr="00B51D93">
        <w:rPr>
          <w:sz w:val="24"/>
          <w:szCs w:val="24"/>
        </w:rPr>
        <w:t>SAE'er</w:t>
      </w:r>
      <w:proofErr w:type="spellEnd"/>
      <w:r w:rsidRPr="00B51D93">
        <w:rPr>
          <w:sz w:val="24"/>
          <w:szCs w:val="24"/>
        </w:rPr>
        <w:t xml:space="preserve">) relateret </w:t>
      </w:r>
      <w:proofErr w:type="gramStart"/>
      <w:r w:rsidRPr="00B51D93">
        <w:rPr>
          <w:sz w:val="24"/>
          <w:szCs w:val="24"/>
        </w:rPr>
        <w:t>til  forsøgsbehandlingen</w:t>
      </w:r>
      <w:proofErr w:type="gramEnd"/>
      <w:r w:rsidRPr="00B51D93">
        <w:rPr>
          <w:sz w:val="24"/>
          <w:szCs w:val="24"/>
        </w:rPr>
        <w:t xml:space="preserve">: to </w:t>
      </w:r>
      <w:proofErr w:type="spellStart"/>
      <w:r w:rsidRPr="00B51D93">
        <w:rPr>
          <w:sz w:val="24"/>
          <w:szCs w:val="24"/>
        </w:rPr>
        <w:t>SAE'er</w:t>
      </w:r>
      <w:proofErr w:type="spellEnd"/>
      <w:r w:rsidRPr="00B51D93">
        <w:rPr>
          <w:sz w:val="24"/>
          <w:szCs w:val="24"/>
        </w:rPr>
        <w:t xml:space="preserve"> med </w:t>
      </w:r>
      <w:proofErr w:type="spellStart"/>
      <w:r w:rsidRPr="00B51D93">
        <w:rPr>
          <w:sz w:val="24"/>
          <w:szCs w:val="24"/>
        </w:rPr>
        <w:t>hyperglykæmi</w:t>
      </w:r>
      <w:proofErr w:type="spellEnd"/>
      <w:r w:rsidRPr="00B51D93">
        <w:rPr>
          <w:sz w:val="24"/>
          <w:szCs w:val="24"/>
        </w:rPr>
        <w:t>, en SAE med steroidinduceret psykose samt en SAE med blødning i øvre mave-tarm-kanal. Alle bivirkninger forsvandt.</w:t>
      </w:r>
    </w:p>
    <w:p w14:paraId="1902319D" w14:textId="77777777" w:rsidR="00603A18" w:rsidRPr="00B51D93" w:rsidRDefault="00603A18" w:rsidP="00B51D93">
      <w:pPr>
        <w:pStyle w:val="Brdtekst"/>
        <w:spacing w:before="11"/>
        <w:ind w:left="851"/>
        <w:rPr>
          <w:sz w:val="24"/>
          <w:szCs w:val="24"/>
        </w:rPr>
      </w:pPr>
    </w:p>
    <w:p w14:paraId="043606EA" w14:textId="77777777" w:rsidR="00603A18" w:rsidRPr="00B51D93" w:rsidRDefault="00603A18" w:rsidP="00B51D93">
      <w:pPr>
        <w:pStyle w:val="Brdtekst"/>
        <w:keepNext/>
        <w:keepLines/>
        <w:spacing w:before="11"/>
        <w:ind w:left="851"/>
        <w:rPr>
          <w:sz w:val="24"/>
          <w:szCs w:val="24"/>
          <w:u w:val="single"/>
        </w:rPr>
      </w:pPr>
      <w:r w:rsidRPr="00B51D93">
        <w:rPr>
          <w:sz w:val="24"/>
          <w:szCs w:val="24"/>
          <w:u w:val="single"/>
        </w:rPr>
        <w:t>Analyser af undergrupper</w:t>
      </w:r>
    </w:p>
    <w:p w14:paraId="27B3FF4C" w14:textId="77777777" w:rsidR="00603A18" w:rsidRPr="00B51D93" w:rsidRDefault="00603A18" w:rsidP="00B51D93">
      <w:pPr>
        <w:pStyle w:val="Brdtekst"/>
        <w:keepNext/>
        <w:keepLines/>
        <w:spacing w:before="11"/>
        <w:ind w:left="851"/>
        <w:rPr>
          <w:sz w:val="24"/>
          <w:szCs w:val="24"/>
        </w:rPr>
      </w:pPr>
    </w:p>
    <w:p w14:paraId="3F55DA9B" w14:textId="77777777" w:rsidR="00603A18" w:rsidRPr="00B51D93" w:rsidRDefault="00603A18" w:rsidP="00B51D93">
      <w:pPr>
        <w:pStyle w:val="Brdtekst"/>
        <w:keepNext/>
        <w:keepLines/>
        <w:spacing w:before="11"/>
        <w:rPr>
          <w:i/>
          <w:sz w:val="24"/>
          <w:szCs w:val="24"/>
        </w:rPr>
      </w:pPr>
      <w:r w:rsidRPr="00B51D93">
        <w:rPr>
          <w:i/>
          <w:sz w:val="24"/>
          <w:szCs w:val="24"/>
        </w:rPr>
        <w:t xml:space="preserve">Virkninger af allokering til DEXAMETHASON på mortaliteten efter 28 dage, inddelt efter alder og respiratorisk støtte ved </w:t>
      </w:r>
      <w:proofErr w:type="spellStart"/>
      <w:r w:rsidRPr="00B51D93">
        <w:rPr>
          <w:i/>
          <w:sz w:val="24"/>
          <w:szCs w:val="24"/>
        </w:rPr>
        <w:t>randomisering</w:t>
      </w:r>
      <w:proofErr w:type="spellEnd"/>
    </w:p>
    <w:p w14:paraId="5BB03789" w14:textId="77777777" w:rsidR="00603A18" w:rsidRPr="00B51D93" w:rsidRDefault="00603A18" w:rsidP="00B51D93">
      <w:pPr>
        <w:pStyle w:val="Brdtekst"/>
        <w:keepNext/>
        <w:keepLines/>
        <w:spacing w:before="11"/>
        <w:ind w:left="851"/>
        <w:rPr>
          <w:i/>
          <w:iCs/>
          <w:sz w:val="24"/>
          <w:szCs w:val="24"/>
        </w:rPr>
      </w:pPr>
    </w:p>
    <w:tbl>
      <w:tblPr>
        <w:tblW w:w="0" w:type="auto"/>
        <w:tblLayout w:type="fixed"/>
        <w:tblCellMar>
          <w:left w:w="85" w:type="dxa"/>
          <w:right w:w="85" w:type="dxa"/>
        </w:tblCellMar>
        <w:tblLook w:val="04A0" w:firstRow="1" w:lastRow="0" w:firstColumn="1" w:lastColumn="0" w:noHBand="0" w:noVBand="1"/>
      </w:tblPr>
      <w:tblGrid>
        <w:gridCol w:w="1503"/>
        <w:gridCol w:w="1559"/>
        <w:gridCol w:w="1701"/>
        <w:gridCol w:w="1418"/>
        <w:gridCol w:w="1275"/>
        <w:gridCol w:w="1353"/>
      </w:tblGrid>
      <w:tr w:rsidR="00603A18" w14:paraId="51F863D6" w14:textId="77777777" w:rsidTr="00603A18">
        <w:trPr>
          <w:cantSplit/>
        </w:trPr>
        <w:tc>
          <w:tcPr>
            <w:tcW w:w="1503" w:type="dxa"/>
            <w:tcBorders>
              <w:top w:val="nil"/>
              <w:left w:val="nil"/>
              <w:bottom w:val="single" w:sz="4" w:space="0" w:color="auto"/>
              <w:right w:val="nil"/>
            </w:tcBorders>
          </w:tcPr>
          <w:p w14:paraId="124F6AB3" w14:textId="77777777" w:rsidR="00603A18" w:rsidRDefault="00603A18">
            <w:pPr>
              <w:keepNext/>
              <w:keepLines/>
              <w:jc w:val="center"/>
              <w:rPr>
                <w:b/>
                <w:bCs/>
                <w:sz w:val="18"/>
                <w:szCs w:val="18"/>
              </w:rPr>
            </w:pPr>
          </w:p>
        </w:tc>
        <w:tc>
          <w:tcPr>
            <w:tcW w:w="1559" w:type="dxa"/>
            <w:tcBorders>
              <w:top w:val="nil"/>
              <w:left w:val="nil"/>
              <w:bottom w:val="single" w:sz="4" w:space="0" w:color="auto"/>
              <w:right w:val="nil"/>
            </w:tcBorders>
            <w:hideMark/>
          </w:tcPr>
          <w:p w14:paraId="0BBD0609" w14:textId="77777777" w:rsidR="00603A18" w:rsidRDefault="00603A18">
            <w:pPr>
              <w:keepNext/>
              <w:keepLines/>
              <w:jc w:val="center"/>
              <w:rPr>
                <w:b/>
                <w:bCs/>
                <w:sz w:val="18"/>
                <w:szCs w:val="18"/>
              </w:rPr>
            </w:pPr>
            <w:proofErr w:type="spellStart"/>
            <w:r>
              <w:rPr>
                <w:b/>
                <w:sz w:val="18"/>
              </w:rPr>
              <w:t>Dexamethason</w:t>
            </w:r>
            <w:proofErr w:type="spellEnd"/>
          </w:p>
        </w:tc>
        <w:tc>
          <w:tcPr>
            <w:tcW w:w="1701" w:type="dxa"/>
            <w:tcBorders>
              <w:top w:val="nil"/>
              <w:left w:val="nil"/>
              <w:bottom w:val="single" w:sz="4" w:space="0" w:color="auto"/>
              <w:right w:val="nil"/>
            </w:tcBorders>
            <w:hideMark/>
          </w:tcPr>
          <w:p w14:paraId="6D9D32CD" w14:textId="77777777" w:rsidR="00603A18" w:rsidRDefault="00603A18">
            <w:pPr>
              <w:keepNext/>
              <w:keepLines/>
              <w:jc w:val="center"/>
              <w:rPr>
                <w:b/>
                <w:bCs/>
                <w:sz w:val="18"/>
                <w:szCs w:val="18"/>
              </w:rPr>
            </w:pPr>
            <w:r>
              <w:rPr>
                <w:b/>
                <w:sz w:val="18"/>
              </w:rPr>
              <w:t>Standardbehandling</w:t>
            </w:r>
          </w:p>
        </w:tc>
        <w:tc>
          <w:tcPr>
            <w:tcW w:w="2693" w:type="dxa"/>
            <w:gridSpan w:val="2"/>
            <w:tcBorders>
              <w:top w:val="nil"/>
              <w:left w:val="nil"/>
              <w:bottom w:val="single" w:sz="4" w:space="0" w:color="auto"/>
              <w:right w:val="nil"/>
            </w:tcBorders>
          </w:tcPr>
          <w:p w14:paraId="42B2D0C4" w14:textId="77777777" w:rsidR="00603A18" w:rsidRDefault="00603A18">
            <w:pPr>
              <w:keepNext/>
              <w:keepLines/>
              <w:jc w:val="center"/>
              <w:rPr>
                <w:b/>
                <w:bCs/>
                <w:sz w:val="18"/>
                <w:szCs w:val="18"/>
              </w:rPr>
            </w:pPr>
          </w:p>
        </w:tc>
        <w:tc>
          <w:tcPr>
            <w:tcW w:w="1353" w:type="dxa"/>
            <w:tcBorders>
              <w:top w:val="nil"/>
              <w:left w:val="nil"/>
              <w:bottom w:val="single" w:sz="4" w:space="0" w:color="auto"/>
              <w:right w:val="nil"/>
            </w:tcBorders>
            <w:hideMark/>
          </w:tcPr>
          <w:p w14:paraId="60FFD76D" w14:textId="77777777" w:rsidR="00603A18" w:rsidRDefault="00603A18">
            <w:pPr>
              <w:keepNext/>
              <w:keepLines/>
              <w:jc w:val="center"/>
              <w:rPr>
                <w:b/>
                <w:bCs/>
                <w:sz w:val="18"/>
                <w:szCs w:val="18"/>
              </w:rPr>
            </w:pPr>
            <w:r>
              <w:rPr>
                <w:b/>
                <w:sz w:val="18"/>
              </w:rPr>
              <w:t>RR (95% CI)</w:t>
            </w:r>
          </w:p>
        </w:tc>
      </w:tr>
      <w:tr w:rsidR="00603A18" w14:paraId="3EF9563A" w14:textId="77777777" w:rsidTr="00603A18">
        <w:trPr>
          <w:cantSplit/>
        </w:trPr>
        <w:tc>
          <w:tcPr>
            <w:tcW w:w="4763" w:type="dxa"/>
            <w:gridSpan w:val="3"/>
            <w:tcBorders>
              <w:top w:val="single" w:sz="4" w:space="0" w:color="auto"/>
              <w:left w:val="nil"/>
              <w:bottom w:val="nil"/>
              <w:right w:val="nil"/>
            </w:tcBorders>
            <w:hideMark/>
          </w:tcPr>
          <w:p w14:paraId="411AF085" w14:textId="3206A12B" w:rsidR="00603A18" w:rsidRDefault="00603A18">
            <w:pPr>
              <w:keepNext/>
              <w:keepLines/>
              <w:rPr>
                <w:b/>
                <w:bCs/>
                <w:sz w:val="18"/>
                <w:szCs w:val="18"/>
              </w:rPr>
            </w:pPr>
            <w:r>
              <w:rPr>
                <w:b/>
                <w:sz w:val="18"/>
              </w:rPr>
              <w:t>Ingen ilt (</w:t>
            </w:r>
            <w:r>
              <w:rPr>
                <w:b/>
                <w:noProof/>
                <w:sz w:val="18"/>
              </w:rPr>
              <w:drawing>
                <wp:inline distT="0" distB="0" distL="0" distR="0" wp14:anchorId="301A9093" wp14:editId="58543874">
                  <wp:extent cx="133350" cy="1333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sz w:val="18"/>
              </w:rPr>
              <w:t>=0,70; p=0,40)</w:t>
            </w:r>
          </w:p>
        </w:tc>
        <w:tc>
          <w:tcPr>
            <w:tcW w:w="2693" w:type="dxa"/>
            <w:gridSpan w:val="2"/>
            <w:vMerge w:val="restart"/>
            <w:tcBorders>
              <w:top w:val="single" w:sz="4" w:space="0" w:color="auto"/>
              <w:left w:val="nil"/>
              <w:bottom w:val="nil"/>
              <w:right w:val="nil"/>
            </w:tcBorders>
            <w:vAlign w:val="center"/>
            <w:hideMark/>
          </w:tcPr>
          <w:p w14:paraId="4189E7BF" w14:textId="306BA5B0" w:rsidR="00603A18" w:rsidRDefault="00603A18">
            <w:pPr>
              <w:keepNext/>
              <w:keepLines/>
              <w:rPr>
                <w:b/>
                <w:bCs/>
                <w:sz w:val="2"/>
                <w:szCs w:val="2"/>
              </w:rPr>
            </w:pPr>
            <w:r>
              <w:rPr>
                <w:noProof/>
              </w:rPr>
              <w:drawing>
                <wp:inline distT="0" distB="0" distL="0" distR="0" wp14:anchorId="06292076" wp14:editId="3D84F304">
                  <wp:extent cx="1676400" cy="320040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3200400"/>
                          </a:xfrm>
                          <a:prstGeom prst="rect">
                            <a:avLst/>
                          </a:prstGeom>
                          <a:noFill/>
                          <a:ln>
                            <a:noFill/>
                          </a:ln>
                        </pic:spPr>
                      </pic:pic>
                    </a:graphicData>
                  </a:graphic>
                </wp:inline>
              </w:drawing>
            </w:r>
          </w:p>
        </w:tc>
        <w:tc>
          <w:tcPr>
            <w:tcW w:w="1353" w:type="dxa"/>
            <w:tcBorders>
              <w:top w:val="single" w:sz="4" w:space="0" w:color="auto"/>
              <w:left w:val="nil"/>
              <w:bottom w:val="nil"/>
              <w:right w:val="nil"/>
            </w:tcBorders>
          </w:tcPr>
          <w:p w14:paraId="628C6486" w14:textId="77777777" w:rsidR="00603A18" w:rsidRDefault="00603A18">
            <w:pPr>
              <w:keepNext/>
              <w:keepLines/>
              <w:rPr>
                <w:b/>
                <w:bCs/>
                <w:sz w:val="18"/>
                <w:szCs w:val="18"/>
              </w:rPr>
            </w:pPr>
          </w:p>
        </w:tc>
      </w:tr>
      <w:tr w:rsidR="00603A18" w14:paraId="55A0FFDB" w14:textId="77777777" w:rsidTr="00603A18">
        <w:trPr>
          <w:cantSplit/>
        </w:trPr>
        <w:tc>
          <w:tcPr>
            <w:tcW w:w="1503" w:type="dxa"/>
            <w:hideMark/>
          </w:tcPr>
          <w:p w14:paraId="7E6DB7F9" w14:textId="77777777" w:rsidR="00603A18" w:rsidRDefault="00603A18">
            <w:pPr>
              <w:keepNext/>
              <w:keepLines/>
              <w:rPr>
                <w:sz w:val="18"/>
                <w:szCs w:val="18"/>
              </w:rPr>
            </w:pPr>
            <w:r>
              <w:rPr>
                <w:sz w:val="18"/>
              </w:rPr>
              <w:t>&lt;70</w:t>
            </w:r>
          </w:p>
        </w:tc>
        <w:tc>
          <w:tcPr>
            <w:tcW w:w="1559" w:type="dxa"/>
            <w:hideMark/>
          </w:tcPr>
          <w:p w14:paraId="5237C18B" w14:textId="77777777" w:rsidR="00603A18" w:rsidRDefault="00603A18">
            <w:pPr>
              <w:keepNext/>
              <w:keepLines/>
              <w:jc w:val="right"/>
              <w:rPr>
                <w:sz w:val="18"/>
                <w:szCs w:val="18"/>
              </w:rPr>
            </w:pPr>
            <w:r>
              <w:rPr>
                <w:sz w:val="18"/>
              </w:rPr>
              <w:t>10/197 (5,1 %)</w:t>
            </w:r>
          </w:p>
        </w:tc>
        <w:tc>
          <w:tcPr>
            <w:tcW w:w="1701" w:type="dxa"/>
            <w:hideMark/>
          </w:tcPr>
          <w:p w14:paraId="4008D587" w14:textId="77777777" w:rsidR="00603A18" w:rsidRDefault="00603A18">
            <w:pPr>
              <w:keepNext/>
              <w:keepLines/>
              <w:jc w:val="right"/>
              <w:rPr>
                <w:sz w:val="18"/>
                <w:szCs w:val="18"/>
              </w:rPr>
            </w:pPr>
            <w:r>
              <w:rPr>
                <w:sz w:val="18"/>
              </w:rPr>
              <w:t>18/462 (3,9 %)</w:t>
            </w:r>
          </w:p>
        </w:tc>
        <w:tc>
          <w:tcPr>
            <w:tcW w:w="3968" w:type="dxa"/>
            <w:gridSpan w:val="2"/>
            <w:vMerge/>
            <w:tcBorders>
              <w:top w:val="single" w:sz="4" w:space="0" w:color="auto"/>
              <w:left w:val="nil"/>
              <w:bottom w:val="nil"/>
              <w:right w:val="nil"/>
            </w:tcBorders>
            <w:vAlign w:val="center"/>
            <w:hideMark/>
          </w:tcPr>
          <w:p w14:paraId="2DF46254" w14:textId="77777777" w:rsidR="00603A18" w:rsidRDefault="00603A18">
            <w:pPr>
              <w:rPr>
                <w:b/>
                <w:bCs/>
                <w:sz w:val="2"/>
                <w:szCs w:val="2"/>
              </w:rPr>
            </w:pPr>
          </w:p>
        </w:tc>
        <w:tc>
          <w:tcPr>
            <w:tcW w:w="1353" w:type="dxa"/>
            <w:hideMark/>
          </w:tcPr>
          <w:p w14:paraId="136CF288" w14:textId="77777777" w:rsidR="00603A18" w:rsidRDefault="00603A18">
            <w:pPr>
              <w:keepNext/>
              <w:keepLines/>
              <w:jc w:val="right"/>
              <w:rPr>
                <w:sz w:val="18"/>
                <w:szCs w:val="18"/>
              </w:rPr>
            </w:pPr>
            <w:r>
              <w:rPr>
                <w:sz w:val="18"/>
              </w:rPr>
              <w:t>1,31 (0,60-2,83)</w:t>
            </w:r>
          </w:p>
        </w:tc>
      </w:tr>
      <w:tr w:rsidR="00603A18" w14:paraId="1B1B4E54" w14:textId="77777777" w:rsidTr="00603A18">
        <w:trPr>
          <w:cantSplit/>
        </w:trPr>
        <w:tc>
          <w:tcPr>
            <w:tcW w:w="1503" w:type="dxa"/>
            <w:hideMark/>
          </w:tcPr>
          <w:p w14:paraId="1C845418" w14:textId="77777777" w:rsidR="00603A18" w:rsidRDefault="00603A18">
            <w:pPr>
              <w:keepNext/>
              <w:keepLines/>
              <w:rPr>
                <w:sz w:val="18"/>
                <w:szCs w:val="18"/>
              </w:rPr>
            </w:pPr>
            <w:r>
              <w:rPr>
                <w:sz w:val="18"/>
                <w:lang w:val="es-ES"/>
              </w:rPr>
              <w:t>≥</w:t>
            </w:r>
            <w:r>
              <w:rPr>
                <w:sz w:val="18"/>
              </w:rPr>
              <w:t>70 &lt;80</w:t>
            </w:r>
          </w:p>
        </w:tc>
        <w:tc>
          <w:tcPr>
            <w:tcW w:w="1559" w:type="dxa"/>
            <w:hideMark/>
          </w:tcPr>
          <w:p w14:paraId="1B9AE6E6" w14:textId="77777777" w:rsidR="00603A18" w:rsidRDefault="00603A18">
            <w:pPr>
              <w:keepNext/>
              <w:keepLines/>
              <w:jc w:val="right"/>
              <w:rPr>
                <w:sz w:val="18"/>
                <w:szCs w:val="18"/>
              </w:rPr>
            </w:pPr>
            <w:r>
              <w:rPr>
                <w:sz w:val="18"/>
              </w:rPr>
              <w:t>25/114 (21,9 %)</w:t>
            </w:r>
          </w:p>
        </w:tc>
        <w:tc>
          <w:tcPr>
            <w:tcW w:w="1701" w:type="dxa"/>
            <w:hideMark/>
          </w:tcPr>
          <w:p w14:paraId="2098D8A7" w14:textId="77777777" w:rsidR="00603A18" w:rsidRDefault="00603A18">
            <w:pPr>
              <w:keepNext/>
              <w:keepLines/>
              <w:jc w:val="right"/>
              <w:rPr>
                <w:sz w:val="18"/>
                <w:szCs w:val="18"/>
              </w:rPr>
            </w:pPr>
            <w:r>
              <w:rPr>
                <w:sz w:val="18"/>
              </w:rPr>
              <w:t>35/224 (15,6 %)</w:t>
            </w:r>
          </w:p>
        </w:tc>
        <w:tc>
          <w:tcPr>
            <w:tcW w:w="3968" w:type="dxa"/>
            <w:gridSpan w:val="2"/>
            <w:vMerge/>
            <w:tcBorders>
              <w:top w:val="single" w:sz="4" w:space="0" w:color="auto"/>
              <w:left w:val="nil"/>
              <w:bottom w:val="nil"/>
              <w:right w:val="nil"/>
            </w:tcBorders>
            <w:vAlign w:val="center"/>
            <w:hideMark/>
          </w:tcPr>
          <w:p w14:paraId="22BC4301" w14:textId="77777777" w:rsidR="00603A18" w:rsidRDefault="00603A18">
            <w:pPr>
              <w:rPr>
                <w:b/>
                <w:bCs/>
                <w:sz w:val="2"/>
                <w:szCs w:val="2"/>
              </w:rPr>
            </w:pPr>
          </w:p>
        </w:tc>
        <w:tc>
          <w:tcPr>
            <w:tcW w:w="1353" w:type="dxa"/>
            <w:hideMark/>
          </w:tcPr>
          <w:p w14:paraId="2B634A04" w14:textId="77777777" w:rsidR="00603A18" w:rsidRDefault="00603A18">
            <w:pPr>
              <w:keepNext/>
              <w:keepLines/>
              <w:jc w:val="right"/>
              <w:rPr>
                <w:sz w:val="18"/>
                <w:szCs w:val="18"/>
              </w:rPr>
            </w:pPr>
            <w:r>
              <w:rPr>
                <w:sz w:val="18"/>
              </w:rPr>
              <w:t>1,46 (0,88-2,45)</w:t>
            </w:r>
          </w:p>
        </w:tc>
      </w:tr>
      <w:tr w:rsidR="00603A18" w14:paraId="4C4DC77A" w14:textId="77777777" w:rsidTr="00603A18">
        <w:trPr>
          <w:cantSplit/>
        </w:trPr>
        <w:tc>
          <w:tcPr>
            <w:tcW w:w="1503" w:type="dxa"/>
            <w:hideMark/>
          </w:tcPr>
          <w:p w14:paraId="01989BF3" w14:textId="77777777" w:rsidR="00603A18" w:rsidRDefault="00603A18">
            <w:pPr>
              <w:keepNext/>
              <w:keepLines/>
              <w:rPr>
                <w:sz w:val="18"/>
                <w:szCs w:val="18"/>
              </w:rPr>
            </w:pPr>
            <w:r>
              <w:rPr>
                <w:sz w:val="18"/>
                <w:lang w:val="es-ES"/>
              </w:rPr>
              <w:t>≥</w:t>
            </w:r>
            <w:r>
              <w:rPr>
                <w:sz w:val="18"/>
              </w:rPr>
              <w:t>80</w:t>
            </w:r>
          </w:p>
        </w:tc>
        <w:tc>
          <w:tcPr>
            <w:tcW w:w="1559" w:type="dxa"/>
            <w:hideMark/>
          </w:tcPr>
          <w:p w14:paraId="56A36BEE" w14:textId="77777777" w:rsidR="00603A18" w:rsidRDefault="00603A18">
            <w:pPr>
              <w:keepNext/>
              <w:keepLines/>
              <w:jc w:val="right"/>
              <w:rPr>
                <w:sz w:val="18"/>
                <w:szCs w:val="18"/>
              </w:rPr>
            </w:pPr>
            <w:r>
              <w:rPr>
                <w:sz w:val="18"/>
              </w:rPr>
              <w:t>54/190 (28,4 %)</w:t>
            </w:r>
          </w:p>
        </w:tc>
        <w:tc>
          <w:tcPr>
            <w:tcW w:w="1701" w:type="dxa"/>
            <w:hideMark/>
          </w:tcPr>
          <w:p w14:paraId="56705B35" w14:textId="77777777" w:rsidR="00603A18" w:rsidRDefault="00603A18">
            <w:pPr>
              <w:keepNext/>
              <w:keepLines/>
              <w:jc w:val="right"/>
              <w:rPr>
                <w:sz w:val="18"/>
                <w:szCs w:val="18"/>
              </w:rPr>
            </w:pPr>
            <w:r>
              <w:rPr>
                <w:sz w:val="18"/>
              </w:rPr>
              <w:t>92/348 (26,4 %)</w:t>
            </w:r>
          </w:p>
        </w:tc>
        <w:tc>
          <w:tcPr>
            <w:tcW w:w="3968" w:type="dxa"/>
            <w:gridSpan w:val="2"/>
            <w:vMerge/>
            <w:tcBorders>
              <w:top w:val="single" w:sz="4" w:space="0" w:color="auto"/>
              <w:left w:val="nil"/>
              <w:bottom w:val="nil"/>
              <w:right w:val="nil"/>
            </w:tcBorders>
            <w:vAlign w:val="center"/>
            <w:hideMark/>
          </w:tcPr>
          <w:p w14:paraId="2F67EC14" w14:textId="77777777" w:rsidR="00603A18" w:rsidRDefault="00603A18">
            <w:pPr>
              <w:rPr>
                <w:b/>
                <w:bCs/>
                <w:sz w:val="2"/>
                <w:szCs w:val="2"/>
              </w:rPr>
            </w:pPr>
          </w:p>
        </w:tc>
        <w:tc>
          <w:tcPr>
            <w:tcW w:w="1353" w:type="dxa"/>
            <w:hideMark/>
          </w:tcPr>
          <w:p w14:paraId="40D87D5A" w14:textId="77777777" w:rsidR="00603A18" w:rsidRDefault="00603A18">
            <w:pPr>
              <w:keepNext/>
              <w:keepLines/>
              <w:jc w:val="right"/>
              <w:rPr>
                <w:sz w:val="18"/>
                <w:szCs w:val="18"/>
              </w:rPr>
            </w:pPr>
            <w:r>
              <w:rPr>
                <w:sz w:val="18"/>
              </w:rPr>
              <w:t>1,06 (0,76-1,49)</w:t>
            </w:r>
          </w:p>
        </w:tc>
      </w:tr>
      <w:tr w:rsidR="00603A18" w14:paraId="6FCE9CFF" w14:textId="77777777" w:rsidTr="00603A18">
        <w:trPr>
          <w:cantSplit/>
        </w:trPr>
        <w:tc>
          <w:tcPr>
            <w:tcW w:w="1503" w:type="dxa"/>
            <w:hideMark/>
          </w:tcPr>
          <w:p w14:paraId="5EEA6EBB" w14:textId="77777777" w:rsidR="00603A18" w:rsidRDefault="00603A18">
            <w:pPr>
              <w:keepNext/>
              <w:keepLines/>
              <w:rPr>
                <w:b/>
                <w:bCs/>
                <w:sz w:val="18"/>
                <w:szCs w:val="18"/>
              </w:rPr>
            </w:pPr>
            <w:r>
              <w:rPr>
                <w:b/>
                <w:sz w:val="18"/>
              </w:rPr>
              <w:t>Subtotal</w:t>
            </w:r>
          </w:p>
        </w:tc>
        <w:tc>
          <w:tcPr>
            <w:tcW w:w="1559" w:type="dxa"/>
            <w:hideMark/>
          </w:tcPr>
          <w:p w14:paraId="62A6ECD9" w14:textId="77777777" w:rsidR="00603A18" w:rsidRDefault="00603A18">
            <w:pPr>
              <w:keepNext/>
              <w:keepLines/>
              <w:jc w:val="right"/>
              <w:rPr>
                <w:b/>
                <w:bCs/>
                <w:sz w:val="18"/>
                <w:szCs w:val="18"/>
              </w:rPr>
            </w:pPr>
            <w:r>
              <w:rPr>
                <w:b/>
                <w:sz w:val="18"/>
              </w:rPr>
              <w:t>89/501 (17,8 %)</w:t>
            </w:r>
          </w:p>
        </w:tc>
        <w:tc>
          <w:tcPr>
            <w:tcW w:w="1701" w:type="dxa"/>
            <w:hideMark/>
          </w:tcPr>
          <w:p w14:paraId="38D936C5" w14:textId="77777777" w:rsidR="00603A18" w:rsidRDefault="00603A18">
            <w:pPr>
              <w:keepNext/>
              <w:keepLines/>
              <w:jc w:val="right"/>
              <w:rPr>
                <w:b/>
                <w:bCs/>
                <w:sz w:val="18"/>
                <w:szCs w:val="18"/>
              </w:rPr>
            </w:pPr>
            <w:r>
              <w:rPr>
                <w:b/>
                <w:sz w:val="18"/>
              </w:rPr>
              <w:t>145/1.034 (14,0 %)</w:t>
            </w:r>
          </w:p>
        </w:tc>
        <w:tc>
          <w:tcPr>
            <w:tcW w:w="3968" w:type="dxa"/>
            <w:gridSpan w:val="2"/>
            <w:vMerge/>
            <w:tcBorders>
              <w:top w:val="single" w:sz="4" w:space="0" w:color="auto"/>
              <w:left w:val="nil"/>
              <w:bottom w:val="nil"/>
              <w:right w:val="nil"/>
            </w:tcBorders>
            <w:vAlign w:val="center"/>
            <w:hideMark/>
          </w:tcPr>
          <w:p w14:paraId="0016F9AA" w14:textId="77777777" w:rsidR="00603A18" w:rsidRDefault="00603A18">
            <w:pPr>
              <w:rPr>
                <w:b/>
                <w:bCs/>
                <w:sz w:val="2"/>
                <w:szCs w:val="2"/>
              </w:rPr>
            </w:pPr>
          </w:p>
        </w:tc>
        <w:tc>
          <w:tcPr>
            <w:tcW w:w="1353" w:type="dxa"/>
            <w:hideMark/>
          </w:tcPr>
          <w:p w14:paraId="0C7496EC" w14:textId="77777777" w:rsidR="00603A18" w:rsidRDefault="00603A18">
            <w:pPr>
              <w:keepNext/>
              <w:keepLines/>
              <w:jc w:val="right"/>
              <w:rPr>
                <w:b/>
                <w:bCs/>
                <w:sz w:val="18"/>
                <w:szCs w:val="18"/>
              </w:rPr>
            </w:pPr>
            <w:r>
              <w:rPr>
                <w:b/>
                <w:sz w:val="18"/>
              </w:rPr>
              <w:t>1,19 (0,91-1,55)</w:t>
            </w:r>
          </w:p>
        </w:tc>
      </w:tr>
      <w:tr w:rsidR="00603A18" w14:paraId="6118C42A" w14:textId="77777777" w:rsidTr="00603A18">
        <w:trPr>
          <w:cantSplit/>
        </w:trPr>
        <w:tc>
          <w:tcPr>
            <w:tcW w:w="1503" w:type="dxa"/>
          </w:tcPr>
          <w:p w14:paraId="6469D226" w14:textId="77777777" w:rsidR="00603A18" w:rsidRDefault="00603A18">
            <w:pPr>
              <w:keepNext/>
              <w:keepLines/>
              <w:rPr>
                <w:sz w:val="18"/>
                <w:szCs w:val="18"/>
              </w:rPr>
            </w:pPr>
          </w:p>
        </w:tc>
        <w:tc>
          <w:tcPr>
            <w:tcW w:w="1559" w:type="dxa"/>
          </w:tcPr>
          <w:p w14:paraId="4AAFD8A4" w14:textId="77777777" w:rsidR="00603A18" w:rsidRDefault="00603A18">
            <w:pPr>
              <w:keepNext/>
              <w:keepLines/>
              <w:rPr>
                <w:sz w:val="18"/>
                <w:szCs w:val="18"/>
              </w:rPr>
            </w:pPr>
          </w:p>
        </w:tc>
        <w:tc>
          <w:tcPr>
            <w:tcW w:w="1701" w:type="dxa"/>
          </w:tcPr>
          <w:p w14:paraId="5716E770" w14:textId="77777777" w:rsidR="00603A18" w:rsidRDefault="00603A18">
            <w:pPr>
              <w:keepNext/>
              <w:keepLines/>
              <w:rPr>
                <w:sz w:val="18"/>
                <w:szCs w:val="18"/>
              </w:rPr>
            </w:pPr>
          </w:p>
        </w:tc>
        <w:tc>
          <w:tcPr>
            <w:tcW w:w="3968" w:type="dxa"/>
            <w:gridSpan w:val="2"/>
            <w:vMerge/>
            <w:tcBorders>
              <w:top w:val="single" w:sz="4" w:space="0" w:color="auto"/>
              <w:left w:val="nil"/>
              <w:bottom w:val="nil"/>
              <w:right w:val="nil"/>
            </w:tcBorders>
            <w:vAlign w:val="center"/>
            <w:hideMark/>
          </w:tcPr>
          <w:p w14:paraId="24B9A80E" w14:textId="77777777" w:rsidR="00603A18" w:rsidRDefault="00603A18">
            <w:pPr>
              <w:rPr>
                <w:b/>
                <w:bCs/>
                <w:sz w:val="2"/>
                <w:szCs w:val="2"/>
              </w:rPr>
            </w:pPr>
          </w:p>
        </w:tc>
        <w:tc>
          <w:tcPr>
            <w:tcW w:w="1353" w:type="dxa"/>
          </w:tcPr>
          <w:p w14:paraId="0170D7F0" w14:textId="77777777" w:rsidR="00603A18" w:rsidRDefault="00603A18">
            <w:pPr>
              <w:keepNext/>
              <w:keepLines/>
              <w:jc w:val="right"/>
              <w:rPr>
                <w:sz w:val="18"/>
                <w:szCs w:val="18"/>
              </w:rPr>
            </w:pPr>
          </w:p>
        </w:tc>
      </w:tr>
      <w:tr w:rsidR="00603A18" w14:paraId="3AD98A61" w14:textId="77777777" w:rsidTr="00603A18">
        <w:trPr>
          <w:cantSplit/>
        </w:trPr>
        <w:tc>
          <w:tcPr>
            <w:tcW w:w="4763" w:type="dxa"/>
            <w:gridSpan w:val="3"/>
            <w:hideMark/>
          </w:tcPr>
          <w:p w14:paraId="0E2A5F05" w14:textId="6FE88E4C" w:rsidR="00603A18" w:rsidRDefault="00603A18">
            <w:pPr>
              <w:keepNext/>
              <w:keepLines/>
              <w:rPr>
                <w:b/>
                <w:bCs/>
                <w:sz w:val="18"/>
                <w:szCs w:val="18"/>
              </w:rPr>
            </w:pPr>
            <w:r>
              <w:rPr>
                <w:b/>
                <w:sz w:val="18"/>
              </w:rPr>
              <w:t>Kun ilt (</w:t>
            </w:r>
            <w:r>
              <w:rPr>
                <w:b/>
                <w:noProof/>
                <w:sz w:val="18"/>
              </w:rPr>
              <w:drawing>
                <wp:inline distT="0" distB="0" distL="0" distR="0" wp14:anchorId="72CF0629" wp14:editId="7CF57724">
                  <wp:extent cx="133350" cy="13335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sz w:val="18"/>
              </w:rPr>
              <w:t>=2,54; p=0,11)</w:t>
            </w:r>
          </w:p>
        </w:tc>
        <w:tc>
          <w:tcPr>
            <w:tcW w:w="3968" w:type="dxa"/>
            <w:gridSpan w:val="2"/>
            <w:vMerge/>
            <w:tcBorders>
              <w:top w:val="single" w:sz="4" w:space="0" w:color="auto"/>
              <w:left w:val="nil"/>
              <w:bottom w:val="nil"/>
              <w:right w:val="nil"/>
            </w:tcBorders>
            <w:vAlign w:val="center"/>
            <w:hideMark/>
          </w:tcPr>
          <w:p w14:paraId="0A8C0701" w14:textId="77777777" w:rsidR="00603A18" w:rsidRDefault="00603A18">
            <w:pPr>
              <w:rPr>
                <w:b/>
                <w:bCs/>
                <w:sz w:val="2"/>
                <w:szCs w:val="2"/>
              </w:rPr>
            </w:pPr>
          </w:p>
        </w:tc>
        <w:tc>
          <w:tcPr>
            <w:tcW w:w="1353" w:type="dxa"/>
          </w:tcPr>
          <w:p w14:paraId="38F57014" w14:textId="77777777" w:rsidR="00603A18" w:rsidRDefault="00603A18">
            <w:pPr>
              <w:keepNext/>
              <w:keepLines/>
              <w:jc w:val="right"/>
              <w:rPr>
                <w:sz w:val="18"/>
                <w:szCs w:val="18"/>
              </w:rPr>
            </w:pPr>
          </w:p>
        </w:tc>
      </w:tr>
      <w:tr w:rsidR="00603A18" w14:paraId="15DF1E83" w14:textId="77777777" w:rsidTr="00603A18">
        <w:trPr>
          <w:cantSplit/>
        </w:trPr>
        <w:tc>
          <w:tcPr>
            <w:tcW w:w="1503" w:type="dxa"/>
            <w:hideMark/>
          </w:tcPr>
          <w:p w14:paraId="469E8048" w14:textId="77777777" w:rsidR="00603A18" w:rsidRDefault="00603A18">
            <w:pPr>
              <w:keepNext/>
              <w:keepLines/>
              <w:rPr>
                <w:sz w:val="18"/>
                <w:szCs w:val="18"/>
              </w:rPr>
            </w:pPr>
            <w:r>
              <w:rPr>
                <w:sz w:val="18"/>
              </w:rPr>
              <w:t>&lt;70</w:t>
            </w:r>
          </w:p>
        </w:tc>
        <w:tc>
          <w:tcPr>
            <w:tcW w:w="1559" w:type="dxa"/>
            <w:hideMark/>
          </w:tcPr>
          <w:p w14:paraId="49AC2A37" w14:textId="77777777" w:rsidR="00603A18" w:rsidRDefault="00603A18">
            <w:pPr>
              <w:keepNext/>
              <w:keepLines/>
              <w:jc w:val="right"/>
              <w:rPr>
                <w:sz w:val="18"/>
                <w:szCs w:val="18"/>
              </w:rPr>
            </w:pPr>
            <w:r>
              <w:rPr>
                <w:sz w:val="18"/>
              </w:rPr>
              <w:t>53/675 (7,9 %)</w:t>
            </w:r>
          </w:p>
        </w:tc>
        <w:tc>
          <w:tcPr>
            <w:tcW w:w="1701" w:type="dxa"/>
            <w:hideMark/>
          </w:tcPr>
          <w:p w14:paraId="6CDC5492" w14:textId="77777777" w:rsidR="00603A18" w:rsidRDefault="00603A18">
            <w:pPr>
              <w:keepNext/>
              <w:keepLines/>
              <w:jc w:val="right"/>
              <w:rPr>
                <w:sz w:val="18"/>
                <w:szCs w:val="18"/>
              </w:rPr>
            </w:pPr>
            <w:r>
              <w:rPr>
                <w:sz w:val="18"/>
              </w:rPr>
              <w:t>193/1.473 (13,1 %)</w:t>
            </w:r>
          </w:p>
        </w:tc>
        <w:tc>
          <w:tcPr>
            <w:tcW w:w="3968" w:type="dxa"/>
            <w:gridSpan w:val="2"/>
            <w:vMerge/>
            <w:tcBorders>
              <w:top w:val="single" w:sz="4" w:space="0" w:color="auto"/>
              <w:left w:val="nil"/>
              <w:bottom w:val="nil"/>
              <w:right w:val="nil"/>
            </w:tcBorders>
            <w:vAlign w:val="center"/>
            <w:hideMark/>
          </w:tcPr>
          <w:p w14:paraId="5BA56803" w14:textId="77777777" w:rsidR="00603A18" w:rsidRDefault="00603A18">
            <w:pPr>
              <w:rPr>
                <w:b/>
                <w:bCs/>
                <w:sz w:val="2"/>
                <w:szCs w:val="2"/>
              </w:rPr>
            </w:pPr>
          </w:p>
        </w:tc>
        <w:tc>
          <w:tcPr>
            <w:tcW w:w="1353" w:type="dxa"/>
            <w:hideMark/>
          </w:tcPr>
          <w:p w14:paraId="73942868" w14:textId="77777777" w:rsidR="00603A18" w:rsidRDefault="00603A18">
            <w:pPr>
              <w:keepNext/>
              <w:keepLines/>
              <w:jc w:val="right"/>
              <w:rPr>
                <w:sz w:val="18"/>
                <w:szCs w:val="18"/>
              </w:rPr>
            </w:pPr>
            <w:r>
              <w:rPr>
                <w:sz w:val="18"/>
              </w:rPr>
              <w:t>0,58 (0,43-0,78)</w:t>
            </w:r>
          </w:p>
        </w:tc>
      </w:tr>
      <w:tr w:rsidR="00603A18" w14:paraId="69437CBF" w14:textId="77777777" w:rsidTr="00603A18">
        <w:trPr>
          <w:cantSplit/>
        </w:trPr>
        <w:tc>
          <w:tcPr>
            <w:tcW w:w="1503" w:type="dxa"/>
            <w:hideMark/>
          </w:tcPr>
          <w:p w14:paraId="2BA23D77" w14:textId="77777777" w:rsidR="00603A18" w:rsidRDefault="00603A18">
            <w:pPr>
              <w:keepNext/>
              <w:keepLines/>
              <w:rPr>
                <w:sz w:val="18"/>
                <w:szCs w:val="18"/>
              </w:rPr>
            </w:pPr>
            <w:r>
              <w:rPr>
                <w:sz w:val="18"/>
                <w:lang w:val="es-ES"/>
              </w:rPr>
              <w:t>≥</w:t>
            </w:r>
            <w:r>
              <w:rPr>
                <w:sz w:val="18"/>
              </w:rPr>
              <w:t>70 &lt;80</w:t>
            </w:r>
          </w:p>
        </w:tc>
        <w:tc>
          <w:tcPr>
            <w:tcW w:w="1559" w:type="dxa"/>
            <w:hideMark/>
          </w:tcPr>
          <w:p w14:paraId="0A1CC8B6" w14:textId="77777777" w:rsidR="00603A18" w:rsidRDefault="00603A18">
            <w:pPr>
              <w:keepNext/>
              <w:keepLines/>
              <w:jc w:val="right"/>
              <w:rPr>
                <w:sz w:val="18"/>
                <w:szCs w:val="18"/>
              </w:rPr>
            </w:pPr>
            <w:r>
              <w:rPr>
                <w:sz w:val="18"/>
              </w:rPr>
              <w:t>104/306 (34,0 %)</w:t>
            </w:r>
          </w:p>
        </w:tc>
        <w:tc>
          <w:tcPr>
            <w:tcW w:w="1701" w:type="dxa"/>
            <w:hideMark/>
          </w:tcPr>
          <w:p w14:paraId="0D4CB6BA" w14:textId="77777777" w:rsidR="00603A18" w:rsidRDefault="00603A18">
            <w:pPr>
              <w:keepNext/>
              <w:keepLines/>
              <w:jc w:val="right"/>
              <w:rPr>
                <w:sz w:val="18"/>
                <w:szCs w:val="18"/>
              </w:rPr>
            </w:pPr>
            <w:r>
              <w:rPr>
                <w:sz w:val="18"/>
              </w:rPr>
              <w:t>178/531 (33,5 %)</w:t>
            </w:r>
          </w:p>
        </w:tc>
        <w:tc>
          <w:tcPr>
            <w:tcW w:w="3968" w:type="dxa"/>
            <w:gridSpan w:val="2"/>
            <w:vMerge/>
            <w:tcBorders>
              <w:top w:val="single" w:sz="4" w:space="0" w:color="auto"/>
              <w:left w:val="nil"/>
              <w:bottom w:val="nil"/>
              <w:right w:val="nil"/>
            </w:tcBorders>
            <w:vAlign w:val="center"/>
            <w:hideMark/>
          </w:tcPr>
          <w:p w14:paraId="530AB16B" w14:textId="77777777" w:rsidR="00603A18" w:rsidRDefault="00603A18">
            <w:pPr>
              <w:rPr>
                <w:b/>
                <w:bCs/>
                <w:sz w:val="2"/>
                <w:szCs w:val="2"/>
              </w:rPr>
            </w:pPr>
          </w:p>
        </w:tc>
        <w:tc>
          <w:tcPr>
            <w:tcW w:w="1353" w:type="dxa"/>
            <w:hideMark/>
          </w:tcPr>
          <w:p w14:paraId="5C454A62" w14:textId="77777777" w:rsidR="00603A18" w:rsidRDefault="00603A18">
            <w:pPr>
              <w:keepNext/>
              <w:keepLines/>
              <w:jc w:val="right"/>
              <w:rPr>
                <w:sz w:val="18"/>
                <w:szCs w:val="18"/>
              </w:rPr>
            </w:pPr>
            <w:r>
              <w:rPr>
                <w:sz w:val="18"/>
              </w:rPr>
              <w:t>0,98 (0,77-1,25)</w:t>
            </w:r>
          </w:p>
        </w:tc>
      </w:tr>
      <w:tr w:rsidR="00603A18" w14:paraId="2822B9F6" w14:textId="77777777" w:rsidTr="00603A18">
        <w:trPr>
          <w:cantSplit/>
        </w:trPr>
        <w:tc>
          <w:tcPr>
            <w:tcW w:w="1503" w:type="dxa"/>
            <w:hideMark/>
          </w:tcPr>
          <w:p w14:paraId="5D15A1D9" w14:textId="77777777" w:rsidR="00603A18" w:rsidRDefault="00603A18">
            <w:pPr>
              <w:keepNext/>
              <w:keepLines/>
              <w:rPr>
                <w:sz w:val="18"/>
                <w:szCs w:val="18"/>
              </w:rPr>
            </w:pPr>
            <w:r>
              <w:rPr>
                <w:sz w:val="18"/>
                <w:lang w:val="es-ES"/>
              </w:rPr>
              <w:t>≥</w:t>
            </w:r>
            <w:r>
              <w:rPr>
                <w:sz w:val="18"/>
              </w:rPr>
              <w:t>80</w:t>
            </w:r>
          </w:p>
        </w:tc>
        <w:tc>
          <w:tcPr>
            <w:tcW w:w="1559" w:type="dxa"/>
            <w:hideMark/>
          </w:tcPr>
          <w:p w14:paraId="21EEE258" w14:textId="77777777" w:rsidR="00603A18" w:rsidRDefault="00603A18">
            <w:pPr>
              <w:keepNext/>
              <w:keepLines/>
              <w:jc w:val="right"/>
              <w:rPr>
                <w:sz w:val="18"/>
                <w:szCs w:val="18"/>
              </w:rPr>
            </w:pPr>
            <w:r>
              <w:rPr>
                <w:sz w:val="18"/>
              </w:rPr>
              <w:t>141/298 (47,3 %)</w:t>
            </w:r>
          </w:p>
        </w:tc>
        <w:tc>
          <w:tcPr>
            <w:tcW w:w="1701" w:type="dxa"/>
            <w:hideMark/>
          </w:tcPr>
          <w:p w14:paraId="646DFBA5" w14:textId="77777777" w:rsidR="00603A18" w:rsidRDefault="00603A18">
            <w:pPr>
              <w:keepNext/>
              <w:keepLines/>
              <w:jc w:val="right"/>
              <w:rPr>
                <w:sz w:val="18"/>
                <w:szCs w:val="18"/>
              </w:rPr>
            </w:pPr>
            <w:r>
              <w:rPr>
                <w:sz w:val="18"/>
              </w:rPr>
              <w:t>311/600 (51,8 %)</w:t>
            </w:r>
          </w:p>
        </w:tc>
        <w:tc>
          <w:tcPr>
            <w:tcW w:w="3968" w:type="dxa"/>
            <w:gridSpan w:val="2"/>
            <w:vMerge/>
            <w:tcBorders>
              <w:top w:val="single" w:sz="4" w:space="0" w:color="auto"/>
              <w:left w:val="nil"/>
              <w:bottom w:val="nil"/>
              <w:right w:val="nil"/>
            </w:tcBorders>
            <w:vAlign w:val="center"/>
            <w:hideMark/>
          </w:tcPr>
          <w:p w14:paraId="6A5BD330" w14:textId="77777777" w:rsidR="00603A18" w:rsidRDefault="00603A18">
            <w:pPr>
              <w:rPr>
                <w:b/>
                <w:bCs/>
                <w:sz w:val="2"/>
                <w:szCs w:val="2"/>
              </w:rPr>
            </w:pPr>
          </w:p>
        </w:tc>
        <w:tc>
          <w:tcPr>
            <w:tcW w:w="1353" w:type="dxa"/>
            <w:hideMark/>
          </w:tcPr>
          <w:p w14:paraId="5FC1C801" w14:textId="77777777" w:rsidR="00603A18" w:rsidRDefault="00603A18">
            <w:pPr>
              <w:keepNext/>
              <w:keepLines/>
              <w:jc w:val="right"/>
              <w:rPr>
                <w:sz w:val="18"/>
                <w:szCs w:val="18"/>
              </w:rPr>
            </w:pPr>
            <w:r>
              <w:rPr>
                <w:sz w:val="18"/>
              </w:rPr>
              <w:t>0,85 (0,70-1,04)</w:t>
            </w:r>
          </w:p>
        </w:tc>
      </w:tr>
      <w:tr w:rsidR="00603A18" w14:paraId="05199A02" w14:textId="77777777" w:rsidTr="00603A18">
        <w:trPr>
          <w:cantSplit/>
        </w:trPr>
        <w:tc>
          <w:tcPr>
            <w:tcW w:w="1503" w:type="dxa"/>
            <w:hideMark/>
          </w:tcPr>
          <w:p w14:paraId="5744E5E9" w14:textId="77777777" w:rsidR="00603A18" w:rsidRDefault="00603A18">
            <w:pPr>
              <w:keepNext/>
              <w:keepLines/>
              <w:rPr>
                <w:b/>
                <w:bCs/>
                <w:sz w:val="18"/>
                <w:szCs w:val="18"/>
              </w:rPr>
            </w:pPr>
            <w:r>
              <w:rPr>
                <w:b/>
                <w:sz w:val="18"/>
              </w:rPr>
              <w:t>Subtotal</w:t>
            </w:r>
          </w:p>
        </w:tc>
        <w:tc>
          <w:tcPr>
            <w:tcW w:w="1559" w:type="dxa"/>
            <w:hideMark/>
          </w:tcPr>
          <w:p w14:paraId="093509CB" w14:textId="77777777" w:rsidR="00603A18" w:rsidRDefault="00603A18">
            <w:pPr>
              <w:keepNext/>
              <w:keepLines/>
              <w:jc w:val="right"/>
              <w:rPr>
                <w:b/>
                <w:bCs/>
                <w:sz w:val="18"/>
                <w:szCs w:val="18"/>
              </w:rPr>
            </w:pPr>
            <w:r>
              <w:rPr>
                <w:b/>
                <w:sz w:val="18"/>
              </w:rPr>
              <w:t>298/1.279 (23,3 %)</w:t>
            </w:r>
          </w:p>
        </w:tc>
        <w:tc>
          <w:tcPr>
            <w:tcW w:w="1701" w:type="dxa"/>
            <w:hideMark/>
          </w:tcPr>
          <w:p w14:paraId="52C564AC" w14:textId="77777777" w:rsidR="00603A18" w:rsidRDefault="00603A18">
            <w:pPr>
              <w:keepNext/>
              <w:keepLines/>
              <w:jc w:val="right"/>
              <w:rPr>
                <w:b/>
                <w:bCs/>
                <w:sz w:val="18"/>
                <w:szCs w:val="18"/>
              </w:rPr>
            </w:pPr>
            <w:r>
              <w:rPr>
                <w:b/>
                <w:sz w:val="18"/>
              </w:rPr>
              <w:t>682/2.604 (26,2 %)</w:t>
            </w:r>
          </w:p>
        </w:tc>
        <w:tc>
          <w:tcPr>
            <w:tcW w:w="3968" w:type="dxa"/>
            <w:gridSpan w:val="2"/>
            <w:vMerge/>
            <w:tcBorders>
              <w:top w:val="single" w:sz="4" w:space="0" w:color="auto"/>
              <w:left w:val="nil"/>
              <w:bottom w:val="nil"/>
              <w:right w:val="nil"/>
            </w:tcBorders>
            <w:vAlign w:val="center"/>
            <w:hideMark/>
          </w:tcPr>
          <w:p w14:paraId="79B3EF9A" w14:textId="77777777" w:rsidR="00603A18" w:rsidRDefault="00603A18">
            <w:pPr>
              <w:rPr>
                <w:b/>
                <w:bCs/>
                <w:sz w:val="2"/>
                <w:szCs w:val="2"/>
              </w:rPr>
            </w:pPr>
          </w:p>
        </w:tc>
        <w:tc>
          <w:tcPr>
            <w:tcW w:w="1353" w:type="dxa"/>
            <w:hideMark/>
          </w:tcPr>
          <w:p w14:paraId="06FBCDFA" w14:textId="77777777" w:rsidR="00603A18" w:rsidRDefault="00603A18">
            <w:pPr>
              <w:keepNext/>
              <w:keepLines/>
              <w:jc w:val="right"/>
              <w:rPr>
                <w:b/>
                <w:bCs/>
                <w:sz w:val="18"/>
                <w:szCs w:val="18"/>
              </w:rPr>
            </w:pPr>
            <w:r>
              <w:rPr>
                <w:b/>
                <w:sz w:val="18"/>
              </w:rPr>
              <w:t>0,82 (0,72-0,94)</w:t>
            </w:r>
          </w:p>
        </w:tc>
      </w:tr>
      <w:tr w:rsidR="00603A18" w14:paraId="4870A784" w14:textId="77777777" w:rsidTr="00603A18">
        <w:trPr>
          <w:cantSplit/>
        </w:trPr>
        <w:tc>
          <w:tcPr>
            <w:tcW w:w="1503" w:type="dxa"/>
          </w:tcPr>
          <w:p w14:paraId="4235FC51" w14:textId="77777777" w:rsidR="00603A18" w:rsidRDefault="00603A18">
            <w:pPr>
              <w:keepNext/>
              <w:keepLines/>
              <w:rPr>
                <w:sz w:val="18"/>
                <w:szCs w:val="18"/>
              </w:rPr>
            </w:pPr>
          </w:p>
        </w:tc>
        <w:tc>
          <w:tcPr>
            <w:tcW w:w="1559" w:type="dxa"/>
          </w:tcPr>
          <w:p w14:paraId="2C1D951B" w14:textId="77777777" w:rsidR="00603A18" w:rsidRDefault="00603A18">
            <w:pPr>
              <w:keepNext/>
              <w:keepLines/>
              <w:rPr>
                <w:sz w:val="18"/>
                <w:szCs w:val="18"/>
              </w:rPr>
            </w:pPr>
          </w:p>
        </w:tc>
        <w:tc>
          <w:tcPr>
            <w:tcW w:w="1701" w:type="dxa"/>
          </w:tcPr>
          <w:p w14:paraId="05EDF2F2" w14:textId="77777777" w:rsidR="00603A18" w:rsidRDefault="00603A18">
            <w:pPr>
              <w:keepNext/>
              <w:keepLines/>
              <w:rPr>
                <w:sz w:val="18"/>
                <w:szCs w:val="18"/>
              </w:rPr>
            </w:pPr>
          </w:p>
        </w:tc>
        <w:tc>
          <w:tcPr>
            <w:tcW w:w="3968" w:type="dxa"/>
            <w:gridSpan w:val="2"/>
            <w:vMerge/>
            <w:tcBorders>
              <w:top w:val="single" w:sz="4" w:space="0" w:color="auto"/>
              <w:left w:val="nil"/>
              <w:bottom w:val="nil"/>
              <w:right w:val="nil"/>
            </w:tcBorders>
            <w:vAlign w:val="center"/>
            <w:hideMark/>
          </w:tcPr>
          <w:p w14:paraId="148DE1FE" w14:textId="77777777" w:rsidR="00603A18" w:rsidRDefault="00603A18">
            <w:pPr>
              <w:rPr>
                <w:b/>
                <w:bCs/>
                <w:sz w:val="2"/>
                <w:szCs w:val="2"/>
              </w:rPr>
            </w:pPr>
          </w:p>
        </w:tc>
        <w:tc>
          <w:tcPr>
            <w:tcW w:w="1353" w:type="dxa"/>
          </w:tcPr>
          <w:p w14:paraId="222389F8" w14:textId="77777777" w:rsidR="00603A18" w:rsidRDefault="00603A18">
            <w:pPr>
              <w:keepNext/>
              <w:keepLines/>
              <w:jc w:val="right"/>
              <w:rPr>
                <w:sz w:val="18"/>
                <w:szCs w:val="18"/>
              </w:rPr>
            </w:pPr>
          </w:p>
        </w:tc>
      </w:tr>
      <w:tr w:rsidR="00603A18" w14:paraId="28ACC65A" w14:textId="77777777" w:rsidTr="00603A18">
        <w:trPr>
          <w:cantSplit/>
        </w:trPr>
        <w:tc>
          <w:tcPr>
            <w:tcW w:w="1503" w:type="dxa"/>
          </w:tcPr>
          <w:p w14:paraId="24D7442D" w14:textId="77777777" w:rsidR="00603A18" w:rsidRDefault="00603A18">
            <w:pPr>
              <w:keepNext/>
              <w:keepLines/>
              <w:rPr>
                <w:sz w:val="18"/>
                <w:szCs w:val="18"/>
              </w:rPr>
            </w:pPr>
          </w:p>
        </w:tc>
        <w:tc>
          <w:tcPr>
            <w:tcW w:w="1559" w:type="dxa"/>
          </w:tcPr>
          <w:p w14:paraId="715F484A" w14:textId="77777777" w:rsidR="00603A18" w:rsidRDefault="00603A18">
            <w:pPr>
              <w:keepNext/>
              <w:keepLines/>
              <w:rPr>
                <w:sz w:val="18"/>
                <w:szCs w:val="18"/>
              </w:rPr>
            </w:pPr>
          </w:p>
        </w:tc>
        <w:tc>
          <w:tcPr>
            <w:tcW w:w="1701" w:type="dxa"/>
          </w:tcPr>
          <w:p w14:paraId="6F6525D5" w14:textId="77777777" w:rsidR="00603A18" w:rsidRDefault="00603A18">
            <w:pPr>
              <w:keepNext/>
              <w:keepLines/>
              <w:rPr>
                <w:sz w:val="18"/>
                <w:szCs w:val="18"/>
              </w:rPr>
            </w:pPr>
          </w:p>
        </w:tc>
        <w:tc>
          <w:tcPr>
            <w:tcW w:w="3968" w:type="dxa"/>
            <w:gridSpan w:val="2"/>
            <w:vMerge/>
            <w:tcBorders>
              <w:top w:val="single" w:sz="4" w:space="0" w:color="auto"/>
              <w:left w:val="nil"/>
              <w:bottom w:val="nil"/>
              <w:right w:val="nil"/>
            </w:tcBorders>
            <w:vAlign w:val="center"/>
            <w:hideMark/>
          </w:tcPr>
          <w:p w14:paraId="16694C66" w14:textId="77777777" w:rsidR="00603A18" w:rsidRDefault="00603A18">
            <w:pPr>
              <w:rPr>
                <w:b/>
                <w:bCs/>
                <w:sz w:val="2"/>
                <w:szCs w:val="2"/>
              </w:rPr>
            </w:pPr>
          </w:p>
        </w:tc>
        <w:tc>
          <w:tcPr>
            <w:tcW w:w="1353" w:type="dxa"/>
          </w:tcPr>
          <w:p w14:paraId="60A4ADCF" w14:textId="77777777" w:rsidR="00603A18" w:rsidRDefault="00603A18">
            <w:pPr>
              <w:keepNext/>
              <w:keepLines/>
              <w:jc w:val="right"/>
              <w:rPr>
                <w:sz w:val="18"/>
                <w:szCs w:val="18"/>
              </w:rPr>
            </w:pPr>
          </w:p>
        </w:tc>
      </w:tr>
      <w:tr w:rsidR="00603A18" w14:paraId="3BA34457" w14:textId="77777777" w:rsidTr="00603A18">
        <w:trPr>
          <w:cantSplit/>
        </w:trPr>
        <w:tc>
          <w:tcPr>
            <w:tcW w:w="4763" w:type="dxa"/>
            <w:gridSpan w:val="3"/>
            <w:hideMark/>
          </w:tcPr>
          <w:p w14:paraId="0742309B" w14:textId="545EF499" w:rsidR="00603A18" w:rsidRDefault="00603A18">
            <w:pPr>
              <w:keepNext/>
              <w:keepLines/>
              <w:rPr>
                <w:b/>
                <w:bCs/>
                <w:sz w:val="18"/>
                <w:szCs w:val="18"/>
              </w:rPr>
            </w:pPr>
            <w:r>
              <w:rPr>
                <w:b/>
                <w:sz w:val="18"/>
              </w:rPr>
              <w:t>Mekanisk ventilation (</w:t>
            </w:r>
            <w:r>
              <w:rPr>
                <w:b/>
                <w:noProof/>
                <w:sz w:val="18"/>
              </w:rPr>
              <w:drawing>
                <wp:inline distT="0" distB="0" distL="0" distR="0" wp14:anchorId="0B2C550C" wp14:editId="4601F69E">
                  <wp:extent cx="133350" cy="133350"/>
                  <wp:effectExtent l="0" t="0" r="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sz w:val="18"/>
              </w:rPr>
              <w:t>=0,28; p=0,60)</w:t>
            </w:r>
          </w:p>
        </w:tc>
        <w:tc>
          <w:tcPr>
            <w:tcW w:w="3968" w:type="dxa"/>
            <w:gridSpan w:val="2"/>
            <w:vMerge/>
            <w:tcBorders>
              <w:top w:val="single" w:sz="4" w:space="0" w:color="auto"/>
              <w:left w:val="nil"/>
              <w:bottom w:val="nil"/>
              <w:right w:val="nil"/>
            </w:tcBorders>
            <w:vAlign w:val="center"/>
            <w:hideMark/>
          </w:tcPr>
          <w:p w14:paraId="114F6FD8" w14:textId="77777777" w:rsidR="00603A18" w:rsidRDefault="00603A18">
            <w:pPr>
              <w:rPr>
                <w:b/>
                <w:bCs/>
                <w:sz w:val="2"/>
                <w:szCs w:val="2"/>
              </w:rPr>
            </w:pPr>
          </w:p>
        </w:tc>
        <w:tc>
          <w:tcPr>
            <w:tcW w:w="1353" w:type="dxa"/>
          </w:tcPr>
          <w:p w14:paraId="2F827A86" w14:textId="77777777" w:rsidR="00603A18" w:rsidRDefault="00603A18">
            <w:pPr>
              <w:keepNext/>
              <w:keepLines/>
              <w:jc w:val="right"/>
              <w:rPr>
                <w:sz w:val="18"/>
                <w:szCs w:val="18"/>
              </w:rPr>
            </w:pPr>
          </w:p>
        </w:tc>
      </w:tr>
      <w:tr w:rsidR="00603A18" w14:paraId="1180F663" w14:textId="77777777" w:rsidTr="00603A18">
        <w:trPr>
          <w:cantSplit/>
        </w:trPr>
        <w:tc>
          <w:tcPr>
            <w:tcW w:w="1503" w:type="dxa"/>
            <w:hideMark/>
          </w:tcPr>
          <w:p w14:paraId="01819966" w14:textId="77777777" w:rsidR="00603A18" w:rsidRDefault="00603A18">
            <w:pPr>
              <w:keepNext/>
              <w:keepLines/>
              <w:rPr>
                <w:sz w:val="18"/>
                <w:szCs w:val="18"/>
              </w:rPr>
            </w:pPr>
            <w:r>
              <w:rPr>
                <w:sz w:val="18"/>
              </w:rPr>
              <w:t>&lt;70</w:t>
            </w:r>
          </w:p>
        </w:tc>
        <w:tc>
          <w:tcPr>
            <w:tcW w:w="1559" w:type="dxa"/>
            <w:hideMark/>
          </w:tcPr>
          <w:p w14:paraId="63E67EB9" w14:textId="77777777" w:rsidR="00603A18" w:rsidRDefault="00603A18">
            <w:pPr>
              <w:keepNext/>
              <w:keepLines/>
              <w:jc w:val="right"/>
              <w:rPr>
                <w:sz w:val="18"/>
                <w:szCs w:val="18"/>
              </w:rPr>
            </w:pPr>
            <w:r>
              <w:rPr>
                <w:sz w:val="18"/>
              </w:rPr>
              <w:t>66/269 (24,5 %)</w:t>
            </w:r>
          </w:p>
        </w:tc>
        <w:tc>
          <w:tcPr>
            <w:tcW w:w="1701" w:type="dxa"/>
            <w:hideMark/>
          </w:tcPr>
          <w:p w14:paraId="1C98608B" w14:textId="77777777" w:rsidR="00603A18" w:rsidRDefault="00603A18">
            <w:pPr>
              <w:keepNext/>
              <w:keepLines/>
              <w:jc w:val="right"/>
              <w:rPr>
                <w:sz w:val="18"/>
                <w:szCs w:val="18"/>
              </w:rPr>
            </w:pPr>
            <w:r>
              <w:rPr>
                <w:sz w:val="18"/>
              </w:rPr>
              <w:t>217/569 (38,1 %)</w:t>
            </w:r>
          </w:p>
        </w:tc>
        <w:tc>
          <w:tcPr>
            <w:tcW w:w="3968" w:type="dxa"/>
            <w:gridSpan w:val="2"/>
            <w:vMerge/>
            <w:tcBorders>
              <w:top w:val="single" w:sz="4" w:space="0" w:color="auto"/>
              <w:left w:val="nil"/>
              <w:bottom w:val="nil"/>
              <w:right w:val="nil"/>
            </w:tcBorders>
            <w:vAlign w:val="center"/>
            <w:hideMark/>
          </w:tcPr>
          <w:p w14:paraId="1CBC7191" w14:textId="77777777" w:rsidR="00603A18" w:rsidRDefault="00603A18">
            <w:pPr>
              <w:rPr>
                <w:b/>
                <w:bCs/>
                <w:sz w:val="2"/>
                <w:szCs w:val="2"/>
              </w:rPr>
            </w:pPr>
          </w:p>
        </w:tc>
        <w:tc>
          <w:tcPr>
            <w:tcW w:w="1353" w:type="dxa"/>
            <w:hideMark/>
          </w:tcPr>
          <w:p w14:paraId="045D7C94" w14:textId="77777777" w:rsidR="00603A18" w:rsidRDefault="00603A18">
            <w:pPr>
              <w:keepNext/>
              <w:keepLines/>
              <w:jc w:val="right"/>
              <w:rPr>
                <w:sz w:val="18"/>
                <w:szCs w:val="18"/>
              </w:rPr>
            </w:pPr>
            <w:r>
              <w:rPr>
                <w:sz w:val="18"/>
              </w:rPr>
              <w:t>0,61 (0,46-0,81)</w:t>
            </w:r>
          </w:p>
        </w:tc>
      </w:tr>
      <w:tr w:rsidR="00603A18" w14:paraId="73490603" w14:textId="77777777" w:rsidTr="00603A18">
        <w:trPr>
          <w:cantSplit/>
        </w:trPr>
        <w:tc>
          <w:tcPr>
            <w:tcW w:w="1503" w:type="dxa"/>
            <w:hideMark/>
          </w:tcPr>
          <w:p w14:paraId="1B78E56C" w14:textId="77777777" w:rsidR="00603A18" w:rsidRDefault="00603A18">
            <w:pPr>
              <w:keepNext/>
              <w:keepLines/>
              <w:rPr>
                <w:sz w:val="18"/>
                <w:szCs w:val="18"/>
              </w:rPr>
            </w:pPr>
            <w:r>
              <w:rPr>
                <w:sz w:val="18"/>
                <w:lang w:val="es-ES"/>
              </w:rPr>
              <w:t>≥</w:t>
            </w:r>
            <w:r>
              <w:rPr>
                <w:sz w:val="18"/>
              </w:rPr>
              <w:t>70 &lt;80</w:t>
            </w:r>
          </w:p>
        </w:tc>
        <w:tc>
          <w:tcPr>
            <w:tcW w:w="1559" w:type="dxa"/>
            <w:hideMark/>
          </w:tcPr>
          <w:p w14:paraId="08060F38" w14:textId="77777777" w:rsidR="00603A18" w:rsidRDefault="00603A18">
            <w:pPr>
              <w:keepNext/>
              <w:keepLines/>
              <w:jc w:val="right"/>
              <w:rPr>
                <w:sz w:val="18"/>
                <w:szCs w:val="18"/>
              </w:rPr>
            </w:pPr>
            <w:r>
              <w:rPr>
                <w:sz w:val="18"/>
              </w:rPr>
              <w:t>26/49 (53,1 %)</w:t>
            </w:r>
          </w:p>
        </w:tc>
        <w:tc>
          <w:tcPr>
            <w:tcW w:w="1701" w:type="dxa"/>
            <w:hideMark/>
          </w:tcPr>
          <w:p w14:paraId="6B82868C" w14:textId="77777777" w:rsidR="00603A18" w:rsidRDefault="00603A18">
            <w:pPr>
              <w:keepNext/>
              <w:keepLines/>
              <w:jc w:val="right"/>
              <w:rPr>
                <w:sz w:val="18"/>
                <w:szCs w:val="18"/>
              </w:rPr>
            </w:pPr>
            <w:r>
              <w:rPr>
                <w:sz w:val="18"/>
              </w:rPr>
              <w:t>58/104 (55,8 %)</w:t>
            </w:r>
          </w:p>
        </w:tc>
        <w:tc>
          <w:tcPr>
            <w:tcW w:w="3968" w:type="dxa"/>
            <w:gridSpan w:val="2"/>
            <w:vMerge/>
            <w:tcBorders>
              <w:top w:val="single" w:sz="4" w:space="0" w:color="auto"/>
              <w:left w:val="nil"/>
              <w:bottom w:val="nil"/>
              <w:right w:val="nil"/>
            </w:tcBorders>
            <w:vAlign w:val="center"/>
            <w:hideMark/>
          </w:tcPr>
          <w:p w14:paraId="09709356" w14:textId="77777777" w:rsidR="00603A18" w:rsidRDefault="00603A18">
            <w:pPr>
              <w:rPr>
                <w:b/>
                <w:bCs/>
                <w:sz w:val="2"/>
                <w:szCs w:val="2"/>
              </w:rPr>
            </w:pPr>
          </w:p>
        </w:tc>
        <w:tc>
          <w:tcPr>
            <w:tcW w:w="1353" w:type="dxa"/>
            <w:hideMark/>
          </w:tcPr>
          <w:p w14:paraId="3ED10210" w14:textId="77777777" w:rsidR="00603A18" w:rsidRDefault="00603A18">
            <w:pPr>
              <w:keepNext/>
              <w:keepLines/>
              <w:jc w:val="right"/>
              <w:rPr>
                <w:sz w:val="18"/>
                <w:szCs w:val="18"/>
              </w:rPr>
            </w:pPr>
            <w:r>
              <w:rPr>
                <w:sz w:val="18"/>
              </w:rPr>
              <w:t>0,85 (0,53-1,34)</w:t>
            </w:r>
          </w:p>
        </w:tc>
      </w:tr>
      <w:tr w:rsidR="00603A18" w14:paraId="5B8ECA68" w14:textId="77777777" w:rsidTr="00603A18">
        <w:trPr>
          <w:cantSplit/>
        </w:trPr>
        <w:tc>
          <w:tcPr>
            <w:tcW w:w="1503" w:type="dxa"/>
            <w:hideMark/>
          </w:tcPr>
          <w:p w14:paraId="53789800" w14:textId="77777777" w:rsidR="00603A18" w:rsidRDefault="00603A18">
            <w:pPr>
              <w:keepNext/>
              <w:keepLines/>
              <w:rPr>
                <w:sz w:val="18"/>
                <w:szCs w:val="18"/>
              </w:rPr>
            </w:pPr>
            <w:r>
              <w:rPr>
                <w:sz w:val="18"/>
                <w:lang w:val="es-ES"/>
              </w:rPr>
              <w:t>≥</w:t>
            </w:r>
            <w:r>
              <w:rPr>
                <w:sz w:val="18"/>
              </w:rPr>
              <w:t>80</w:t>
            </w:r>
          </w:p>
        </w:tc>
        <w:tc>
          <w:tcPr>
            <w:tcW w:w="1559" w:type="dxa"/>
            <w:hideMark/>
          </w:tcPr>
          <w:p w14:paraId="546C1C07" w14:textId="77777777" w:rsidR="00603A18" w:rsidRDefault="00603A18">
            <w:pPr>
              <w:keepNext/>
              <w:keepLines/>
              <w:jc w:val="right"/>
              <w:rPr>
                <w:sz w:val="18"/>
                <w:szCs w:val="18"/>
              </w:rPr>
            </w:pPr>
            <w:r>
              <w:rPr>
                <w:sz w:val="18"/>
              </w:rPr>
              <w:t>3/6 (50,0 %)</w:t>
            </w:r>
          </w:p>
        </w:tc>
        <w:tc>
          <w:tcPr>
            <w:tcW w:w="1701" w:type="dxa"/>
            <w:hideMark/>
          </w:tcPr>
          <w:p w14:paraId="527C2530" w14:textId="77777777" w:rsidR="00603A18" w:rsidRDefault="00603A18">
            <w:pPr>
              <w:keepNext/>
              <w:keepLines/>
              <w:jc w:val="right"/>
              <w:rPr>
                <w:sz w:val="18"/>
                <w:szCs w:val="18"/>
              </w:rPr>
            </w:pPr>
            <w:r>
              <w:rPr>
                <w:sz w:val="18"/>
              </w:rPr>
              <w:t>8/10 (80,0 %)</w:t>
            </w:r>
          </w:p>
        </w:tc>
        <w:tc>
          <w:tcPr>
            <w:tcW w:w="3968" w:type="dxa"/>
            <w:gridSpan w:val="2"/>
            <w:vMerge/>
            <w:tcBorders>
              <w:top w:val="single" w:sz="4" w:space="0" w:color="auto"/>
              <w:left w:val="nil"/>
              <w:bottom w:val="nil"/>
              <w:right w:val="nil"/>
            </w:tcBorders>
            <w:vAlign w:val="center"/>
            <w:hideMark/>
          </w:tcPr>
          <w:p w14:paraId="7FAB8ACF" w14:textId="77777777" w:rsidR="00603A18" w:rsidRDefault="00603A18">
            <w:pPr>
              <w:rPr>
                <w:b/>
                <w:bCs/>
                <w:sz w:val="2"/>
                <w:szCs w:val="2"/>
              </w:rPr>
            </w:pPr>
          </w:p>
        </w:tc>
        <w:tc>
          <w:tcPr>
            <w:tcW w:w="1353" w:type="dxa"/>
            <w:hideMark/>
          </w:tcPr>
          <w:p w14:paraId="72F9285F" w14:textId="77777777" w:rsidR="00603A18" w:rsidRDefault="00603A18">
            <w:pPr>
              <w:keepNext/>
              <w:keepLines/>
              <w:jc w:val="right"/>
              <w:rPr>
                <w:sz w:val="18"/>
                <w:szCs w:val="18"/>
              </w:rPr>
            </w:pPr>
            <w:r>
              <w:rPr>
                <w:sz w:val="18"/>
              </w:rPr>
              <w:t>0,39 (0,10-1,47)</w:t>
            </w:r>
          </w:p>
        </w:tc>
      </w:tr>
      <w:tr w:rsidR="00603A18" w14:paraId="763B3CC2" w14:textId="77777777" w:rsidTr="00603A18">
        <w:trPr>
          <w:cantSplit/>
        </w:trPr>
        <w:tc>
          <w:tcPr>
            <w:tcW w:w="1503" w:type="dxa"/>
            <w:hideMark/>
          </w:tcPr>
          <w:p w14:paraId="0FF7E867" w14:textId="77777777" w:rsidR="00603A18" w:rsidRDefault="00603A18">
            <w:pPr>
              <w:keepNext/>
              <w:keepLines/>
              <w:rPr>
                <w:b/>
                <w:bCs/>
                <w:sz w:val="18"/>
                <w:szCs w:val="18"/>
              </w:rPr>
            </w:pPr>
            <w:r>
              <w:rPr>
                <w:b/>
                <w:sz w:val="18"/>
              </w:rPr>
              <w:t>Subtotal</w:t>
            </w:r>
          </w:p>
        </w:tc>
        <w:tc>
          <w:tcPr>
            <w:tcW w:w="1559" w:type="dxa"/>
            <w:hideMark/>
          </w:tcPr>
          <w:p w14:paraId="349B6B1F" w14:textId="77777777" w:rsidR="00603A18" w:rsidRDefault="00603A18">
            <w:pPr>
              <w:keepNext/>
              <w:keepLines/>
              <w:jc w:val="right"/>
              <w:rPr>
                <w:b/>
                <w:bCs/>
                <w:sz w:val="18"/>
                <w:szCs w:val="18"/>
              </w:rPr>
            </w:pPr>
            <w:r>
              <w:rPr>
                <w:b/>
                <w:sz w:val="18"/>
              </w:rPr>
              <w:t>95/324 (29,3 %)</w:t>
            </w:r>
          </w:p>
        </w:tc>
        <w:tc>
          <w:tcPr>
            <w:tcW w:w="1701" w:type="dxa"/>
            <w:hideMark/>
          </w:tcPr>
          <w:p w14:paraId="4969447A" w14:textId="77777777" w:rsidR="00603A18" w:rsidRDefault="00603A18">
            <w:pPr>
              <w:keepNext/>
              <w:keepLines/>
              <w:jc w:val="right"/>
              <w:rPr>
                <w:b/>
                <w:bCs/>
                <w:sz w:val="18"/>
                <w:szCs w:val="18"/>
              </w:rPr>
            </w:pPr>
            <w:r>
              <w:rPr>
                <w:b/>
                <w:sz w:val="18"/>
              </w:rPr>
              <w:t>283/683 (41,4 %)</w:t>
            </w:r>
          </w:p>
        </w:tc>
        <w:tc>
          <w:tcPr>
            <w:tcW w:w="3968" w:type="dxa"/>
            <w:gridSpan w:val="2"/>
            <w:vMerge/>
            <w:tcBorders>
              <w:top w:val="single" w:sz="4" w:space="0" w:color="auto"/>
              <w:left w:val="nil"/>
              <w:bottom w:val="nil"/>
              <w:right w:val="nil"/>
            </w:tcBorders>
            <w:vAlign w:val="center"/>
            <w:hideMark/>
          </w:tcPr>
          <w:p w14:paraId="6674C958" w14:textId="77777777" w:rsidR="00603A18" w:rsidRDefault="00603A18">
            <w:pPr>
              <w:rPr>
                <w:b/>
                <w:bCs/>
                <w:sz w:val="2"/>
                <w:szCs w:val="2"/>
              </w:rPr>
            </w:pPr>
          </w:p>
        </w:tc>
        <w:tc>
          <w:tcPr>
            <w:tcW w:w="1353" w:type="dxa"/>
            <w:hideMark/>
          </w:tcPr>
          <w:p w14:paraId="295D2AAF" w14:textId="77777777" w:rsidR="00603A18" w:rsidRDefault="00603A18">
            <w:pPr>
              <w:keepNext/>
              <w:keepLines/>
              <w:jc w:val="right"/>
              <w:rPr>
                <w:b/>
                <w:bCs/>
                <w:sz w:val="18"/>
                <w:szCs w:val="18"/>
              </w:rPr>
            </w:pPr>
            <w:r>
              <w:rPr>
                <w:b/>
                <w:sz w:val="18"/>
              </w:rPr>
              <w:t>0,64 (0,51-0,81)</w:t>
            </w:r>
          </w:p>
        </w:tc>
      </w:tr>
      <w:tr w:rsidR="00603A18" w14:paraId="1E0C6427" w14:textId="77777777" w:rsidTr="00603A18">
        <w:trPr>
          <w:cantSplit/>
        </w:trPr>
        <w:tc>
          <w:tcPr>
            <w:tcW w:w="1503" w:type="dxa"/>
          </w:tcPr>
          <w:p w14:paraId="5996DFBA" w14:textId="77777777" w:rsidR="00603A18" w:rsidRDefault="00603A18">
            <w:pPr>
              <w:keepNext/>
              <w:keepLines/>
              <w:rPr>
                <w:sz w:val="18"/>
                <w:szCs w:val="18"/>
              </w:rPr>
            </w:pPr>
          </w:p>
        </w:tc>
        <w:tc>
          <w:tcPr>
            <w:tcW w:w="1559" w:type="dxa"/>
          </w:tcPr>
          <w:p w14:paraId="0C11C927" w14:textId="77777777" w:rsidR="00603A18" w:rsidRDefault="00603A18">
            <w:pPr>
              <w:keepNext/>
              <w:keepLines/>
              <w:rPr>
                <w:sz w:val="18"/>
                <w:szCs w:val="18"/>
              </w:rPr>
            </w:pPr>
          </w:p>
        </w:tc>
        <w:tc>
          <w:tcPr>
            <w:tcW w:w="1701" w:type="dxa"/>
          </w:tcPr>
          <w:p w14:paraId="215E83D5" w14:textId="77777777" w:rsidR="00603A18" w:rsidRDefault="00603A18">
            <w:pPr>
              <w:keepNext/>
              <w:keepLines/>
              <w:rPr>
                <w:sz w:val="18"/>
                <w:szCs w:val="18"/>
              </w:rPr>
            </w:pPr>
          </w:p>
        </w:tc>
        <w:tc>
          <w:tcPr>
            <w:tcW w:w="3968" w:type="dxa"/>
            <w:gridSpan w:val="2"/>
            <w:vMerge/>
            <w:tcBorders>
              <w:top w:val="single" w:sz="4" w:space="0" w:color="auto"/>
              <w:left w:val="nil"/>
              <w:bottom w:val="nil"/>
              <w:right w:val="nil"/>
            </w:tcBorders>
            <w:vAlign w:val="center"/>
            <w:hideMark/>
          </w:tcPr>
          <w:p w14:paraId="41F451BA" w14:textId="77777777" w:rsidR="00603A18" w:rsidRDefault="00603A18">
            <w:pPr>
              <w:rPr>
                <w:b/>
                <w:bCs/>
                <w:sz w:val="2"/>
                <w:szCs w:val="2"/>
              </w:rPr>
            </w:pPr>
          </w:p>
        </w:tc>
        <w:tc>
          <w:tcPr>
            <w:tcW w:w="1353" w:type="dxa"/>
          </w:tcPr>
          <w:p w14:paraId="54F0341F" w14:textId="77777777" w:rsidR="00603A18" w:rsidRDefault="00603A18">
            <w:pPr>
              <w:keepNext/>
              <w:keepLines/>
              <w:jc w:val="right"/>
              <w:rPr>
                <w:sz w:val="18"/>
                <w:szCs w:val="18"/>
              </w:rPr>
            </w:pPr>
          </w:p>
        </w:tc>
      </w:tr>
      <w:tr w:rsidR="00603A18" w14:paraId="1B3257F3" w14:textId="77777777" w:rsidTr="00603A18">
        <w:trPr>
          <w:cantSplit/>
        </w:trPr>
        <w:tc>
          <w:tcPr>
            <w:tcW w:w="1503" w:type="dxa"/>
            <w:hideMark/>
          </w:tcPr>
          <w:p w14:paraId="5C6AEC4E" w14:textId="77777777" w:rsidR="00603A18" w:rsidRDefault="00603A18">
            <w:pPr>
              <w:keepNext/>
              <w:keepLines/>
              <w:rPr>
                <w:b/>
                <w:bCs/>
                <w:sz w:val="18"/>
                <w:szCs w:val="18"/>
              </w:rPr>
            </w:pPr>
            <w:r>
              <w:rPr>
                <w:b/>
                <w:sz w:val="18"/>
              </w:rPr>
              <w:t>Alle deltagere</w:t>
            </w:r>
          </w:p>
        </w:tc>
        <w:tc>
          <w:tcPr>
            <w:tcW w:w="1559" w:type="dxa"/>
            <w:hideMark/>
          </w:tcPr>
          <w:p w14:paraId="0CF858C3" w14:textId="77777777" w:rsidR="00603A18" w:rsidRDefault="00603A18">
            <w:pPr>
              <w:keepNext/>
              <w:keepLines/>
              <w:jc w:val="right"/>
              <w:rPr>
                <w:b/>
                <w:bCs/>
                <w:sz w:val="18"/>
                <w:szCs w:val="18"/>
              </w:rPr>
            </w:pPr>
            <w:r>
              <w:rPr>
                <w:b/>
                <w:sz w:val="18"/>
              </w:rPr>
              <w:t>482/2.104 (22,9 %)</w:t>
            </w:r>
          </w:p>
        </w:tc>
        <w:tc>
          <w:tcPr>
            <w:tcW w:w="1701" w:type="dxa"/>
            <w:hideMark/>
          </w:tcPr>
          <w:p w14:paraId="2E71DDF3" w14:textId="77777777" w:rsidR="00603A18" w:rsidRDefault="00603A18">
            <w:pPr>
              <w:keepNext/>
              <w:keepLines/>
              <w:jc w:val="right"/>
              <w:rPr>
                <w:b/>
                <w:bCs/>
                <w:sz w:val="18"/>
                <w:szCs w:val="18"/>
              </w:rPr>
            </w:pPr>
            <w:r>
              <w:rPr>
                <w:b/>
                <w:sz w:val="18"/>
              </w:rPr>
              <w:t>1110/4.321 (25,7 %)</w:t>
            </w:r>
          </w:p>
        </w:tc>
        <w:tc>
          <w:tcPr>
            <w:tcW w:w="3968" w:type="dxa"/>
            <w:gridSpan w:val="2"/>
            <w:vMerge/>
            <w:tcBorders>
              <w:top w:val="single" w:sz="4" w:space="0" w:color="auto"/>
              <w:left w:val="nil"/>
              <w:bottom w:val="nil"/>
              <w:right w:val="nil"/>
            </w:tcBorders>
            <w:vAlign w:val="center"/>
            <w:hideMark/>
          </w:tcPr>
          <w:p w14:paraId="615C7417" w14:textId="77777777" w:rsidR="00603A18" w:rsidRDefault="00603A18">
            <w:pPr>
              <w:rPr>
                <w:b/>
                <w:bCs/>
                <w:sz w:val="2"/>
                <w:szCs w:val="2"/>
              </w:rPr>
            </w:pPr>
          </w:p>
        </w:tc>
        <w:tc>
          <w:tcPr>
            <w:tcW w:w="1353" w:type="dxa"/>
            <w:hideMark/>
          </w:tcPr>
          <w:p w14:paraId="32DE74C4" w14:textId="77777777" w:rsidR="00603A18" w:rsidRDefault="00603A18">
            <w:pPr>
              <w:keepNext/>
              <w:keepLines/>
              <w:jc w:val="right"/>
              <w:rPr>
                <w:b/>
                <w:bCs/>
                <w:sz w:val="18"/>
                <w:szCs w:val="18"/>
              </w:rPr>
            </w:pPr>
            <w:r>
              <w:rPr>
                <w:b/>
                <w:sz w:val="18"/>
              </w:rPr>
              <w:t>0,83 (0,75-0,93)</w:t>
            </w:r>
          </w:p>
        </w:tc>
      </w:tr>
      <w:tr w:rsidR="00603A18" w14:paraId="2BD75405" w14:textId="77777777" w:rsidTr="00603A18">
        <w:trPr>
          <w:cantSplit/>
        </w:trPr>
        <w:tc>
          <w:tcPr>
            <w:tcW w:w="1503" w:type="dxa"/>
          </w:tcPr>
          <w:p w14:paraId="7564C976" w14:textId="77777777" w:rsidR="00603A18" w:rsidRDefault="00603A18">
            <w:pPr>
              <w:keepNext/>
              <w:keepLines/>
              <w:rPr>
                <w:sz w:val="18"/>
                <w:szCs w:val="18"/>
              </w:rPr>
            </w:pPr>
          </w:p>
        </w:tc>
        <w:tc>
          <w:tcPr>
            <w:tcW w:w="1559" w:type="dxa"/>
          </w:tcPr>
          <w:p w14:paraId="369198F2" w14:textId="77777777" w:rsidR="00603A18" w:rsidRDefault="00603A18">
            <w:pPr>
              <w:keepNext/>
              <w:keepLines/>
              <w:rPr>
                <w:sz w:val="18"/>
                <w:szCs w:val="18"/>
              </w:rPr>
            </w:pPr>
          </w:p>
        </w:tc>
        <w:tc>
          <w:tcPr>
            <w:tcW w:w="1701" w:type="dxa"/>
          </w:tcPr>
          <w:p w14:paraId="0AA5571B" w14:textId="77777777" w:rsidR="00603A18" w:rsidRDefault="00603A18">
            <w:pPr>
              <w:keepNext/>
              <w:keepLines/>
              <w:rPr>
                <w:sz w:val="18"/>
                <w:szCs w:val="18"/>
              </w:rPr>
            </w:pPr>
          </w:p>
        </w:tc>
        <w:tc>
          <w:tcPr>
            <w:tcW w:w="3968" w:type="dxa"/>
            <w:gridSpan w:val="2"/>
            <w:vMerge/>
            <w:tcBorders>
              <w:top w:val="single" w:sz="4" w:space="0" w:color="auto"/>
              <w:left w:val="nil"/>
              <w:bottom w:val="nil"/>
              <w:right w:val="nil"/>
            </w:tcBorders>
            <w:vAlign w:val="center"/>
            <w:hideMark/>
          </w:tcPr>
          <w:p w14:paraId="040B5C76" w14:textId="77777777" w:rsidR="00603A18" w:rsidRDefault="00603A18">
            <w:pPr>
              <w:rPr>
                <w:b/>
                <w:bCs/>
                <w:sz w:val="2"/>
                <w:szCs w:val="2"/>
              </w:rPr>
            </w:pPr>
          </w:p>
        </w:tc>
        <w:tc>
          <w:tcPr>
            <w:tcW w:w="1353" w:type="dxa"/>
            <w:hideMark/>
          </w:tcPr>
          <w:p w14:paraId="42E6D071" w14:textId="77777777" w:rsidR="00603A18" w:rsidRDefault="00603A18">
            <w:pPr>
              <w:keepNext/>
              <w:keepLines/>
              <w:jc w:val="right"/>
              <w:rPr>
                <w:b/>
                <w:bCs/>
                <w:sz w:val="18"/>
                <w:szCs w:val="18"/>
              </w:rPr>
            </w:pPr>
            <w:r>
              <w:rPr>
                <w:b/>
                <w:sz w:val="18"/>
              </w:rPr>
              <w:t>p&lt;0,001</w:t>
            </w:r>
          </w:p>
        </w:tc>
      </w:tr>
      <w:tr w:rsidR="00603A18" w14:paraId="4E0DEC1B" w14:textId="77777777" w:rsidTr="00603A18">
        <w:trPr>
          <w:cantSplit/>
        </w:trPr>
        <w:tc>
          <w:tcPr>
            <w:tcW w:w="1503" w:type="dxa"/>
          </w:tcPr>
          <w:p w14:paraId="7EBF1CE7" w14:textId="77777777" w:rsidR="00603A18" w:rsidRDefault="00603A18">
            <w:pPr>
              <w:keepNext/>
              <w:keepLines/>
              <w:rPr>
                <w:sz w:val="18"/>
                <w:szCs w:val="18"/>
              </w:rPr>
            </w:pPr>
          </w:p>
        </w:tc>
        <w:tc>
          <w:tcPr>
            <w:tcW w:w="1559" w:type="dxa"/>
          </w:tcPr>
          <w:p w14:paraId="04C4C900" w14:textId="77777777" w:rsidR="00603A18" w:rsidRDefault="00603A18">
            <w:pPr>
              <w:keepNext/>
              <w:keepLines/>
              <w:rPr>
                <w:sz w:val="18"/>
                <w:szCs w:val="18"/>
              </w:rPr>
            </w:pPr>
          </w:p>
        </w:tc>
        <w:tc>
          <w:tcPr>
            <w:tcW w:w="1701" w:type="dxa"/>
          </w:tcPr>
          <w:p w14:paraId="0C5FBAE0" w14:textId="77777777" w:rsidR="00603A18" w:rsidRDefault="00603A18">
            <w:pPr>
              <w:keepNext/>
              <w:keepLines/>
              <w:rPr>
                <w:sz w:val="18"/>
                <w:szCs w:val="18"/>
              </w:rPr>
            </w:pPr>
          </w:p>
        </w:tc>
        <w:tc>
          <w:tcPr>
            <w:tcW w:w="1418" w:type="dxa"/>
            <w:hideMark/>
          </w:tcPr>
          <w:p w14:paraId="4F90EDDA" w14:textId="77777777" w:rsidR="00603A18" w:rsidRDefault="00603A18">
            <w:pPr>
              <w:keepNext/>
              <w:keepLines/>
              <w:jc w:val="center"/>
              <w:rPr>
                <w:sz w:val="18"/>
                <w:szCs w:val="18"/>
              </w:rPr>
            </w:pPr>
            <w:proofErr w:type="spellStart"/>
            <w:r>
              <w:rPr>
                <w:sz w:val="18"/>
              </w:rPr>
              <w:t>Dexamethason</w:t>
            </w:r>
            <w:proofErr w:type="spellEnd"/>
            <w:r>
              <w:rPr>
                <w:sz w:val="18"/>
              </w:rPr>
              <w:t xml:space="preserve"> bedre</w:t>
            </w:r>
          </w:p>
        </w:tc>
        <w:tc>
          <w:tcPr>
            <w:tcW w:w="1275" w:type="dxa"/>
            <w:hideMark/>
          </w:tcPr>
          <w:p w14:paraId="0601B32B" w14:textId="77777777" w:rsidR="00603A18" w:rsidRDefault="00603A18">
            <w:pPr>
              <w:keepNext/>
              <w:keepLines/>
              <w:jc w:val="center"/>
              <w:rPr>
                <w:sz w:val="18"/>
                <w:szCs w:val="18"/>
              </w:rPr>
            </w:pPr>
            <w:proofErr w:type="spellStart"/>
            <w:r>
              <w:rPr>
                <w:sz w:val="18"/>
              </w:rPr>
              <w:t>Standardbe</w:t>
            </w:r>
            <w:proofErr w:type="spellEnd"/>
            <w:r>
              <w:rPr>
                <w:sz w:val="18"/>
              </w:rPr>
              <w:t>-handling bedre</w:t>
            </w:r>
          </w:p>
        </w:tc>
        <w:tc>
          <w:tcPr>
            <w:tcW w:w="1353" w:type="dxa"/>
          </w:tcPr>
          <w:p w14:paraId="0A432C7A" w14:textId="77777777" w:rsidR="00603A18" w:rsidRDefault="00603A18">
            <w:pPr>
              <w:keepNext/>
              <w:keepLines/>
              <w:rPr>
                <w:b/>
                <w:bCs/>
                <w:sz w:val="18"/>
                <w:szCs w:val="18"/>
              </w:rPr>
            </w:pPr>
          </w:p>
        </w:tc>
      </w:tr>
    </w:tbl>
    <w:p w14:paraId="0727B2F6" w14:textId="77777777" w:rsidR="00603A18" w:rsidRDefault="00603A18" w:rsidP="00603A18">
      <w:pPr>
        <w:pStyle w:val="Brdtekst"/>
        <w:spacing w:before="11"/>
        <w:rPr>
          <w:sz w:val="16"/>
          <w:szCs w:val="16"/>
        </w:rPr>
      </w:pPr>
      <w:r>
        <w:rPr>
          <w:sz w:val="16"/>
        </w:rPr>
        <w:t xml:space="preserve">Kilde: </w:t>
      </w:r>
      <w:proofErr w:type="spellStart"/>
      <w:r>
        <w:rPr>
          <w:sz w:val="16"/>
        </w:rPr>
        <w:t>Horby</w:t>
      </w:r>
      <w:proofErr w:type="spellEnd"/>
      <w:r>
        <w:rPr>
          <w:sz w:val="16"/>
        </w:rPr>
        <w:t xml:space="preserve"> P. et al., N </w:t>
      </w:r>
      <w:proofErr w:type="spellStart"/>
      <w:r>
        <w:rPr>
          <w:sz w:val="16"/>
        </w:rPr>
        <w:t>Engl</w:t>
      </w:r>
      <w:proofErr w:type="spellEnd"/>
      <w:r>
        <w:rPr>
          <w:sz w:val="16"/>
        </w:rPr>
        <w:t xml:space="preserve"> J Med. 2020 juli 17</w:t>
      </w:r>
    </w:p>
    <w:p w14:paraId="1909311B" w14:textId="77777777" w:rsidR="00603A18" w:rsidRDefault="00603A18" w:rsidP="00603A18">
      <w:pPr>
        <w:pStyle w:val="Brdtekst"/>
        <w:spacing w:before="11"/>
        <w:rPr>
          <w:sz w:val="16"/>
          <w:szCs w:val="16"/>
        </w:rPr>
      </w:pPr>
    </w:p>
    <w:p w14:paraId="10AD92F5" w14:textId="77777777" w:rsidR="00603A18" w:rsidRDefault="00603A18" w:rsidP="00603A18">
      <w:pPr>
        <w:pStyle w:val="Brdtekst"/>
        <w:spacing w:before="11"/>
        <w:rPr>
          <w:sz w:val="16"/>
          <w:szCs w:val="16"/>
        </w:rPr>
      </w:pPr>
    </w:p>
    <w:p w14:paraId="6DEB72AE" w14:textId="77777777" w:rsidR="00603A18" w:rsidRPr="00B51D93" w:rsidRDefault="00603A18" w:rsidP="00603A18">
      <w:pPr>
        <w:pStyle w:val="Brdtekst"/>
        <w:keepNext/>
        <w:keepLines/>
        <w:spacing w:before="11"/>
        <w:rPr>
          <w:i/>
          <w:sz w:val="24"/>
          <w:szCs w:val="24"/>
        </w:rPr>
      </w:pPr>
      <w:r w:rsidRPr="00B51D93">
        <w:rPr>
          <w:i/>
          <w:sz w:val="24"/>
          <w:szCs w:val="24"/>
        </w:rPr>
        <w:t xml:space="preserve">Virkninger af allokering til DEXAMETHASON på mortaliteten efter 28 dage, inddelt efter respiratorisk støtte ved </w:t>
      </w:r>
      <w:proofErr w:type="spellStart"/>
      <w:r w:rsidRPr="00B51D93">
        <w:rPr>
          <w:i/>
          <w:sz w:val="24"/>
          <w:szCs w:val="24"/>
        </w:rPr>
        <w:t>randomisering</w:t>
      </w:r>
      <w:proofErr w:type="spellEnd"/>
      <w:r w:rsidRPr="00B51D93">
        <w:rPr>
          <w:i/>
          <w:sz w:val="24"/>
          <w:szCs w:val="24"/>
        </w:rPr>
        <w:t xml:space="preserve"> samt eventuel kronisk sygdom i anamnesen.</w:t>
      </w:r>
    </w:p>
    <w:p w14:paraId="7C9B6775" w14:textId="77777777" w:rsidR="00603A18" w:rsidRPr="00B51D93" w:rsidRDefault="00603A18" w:rsidP="00603A18">
      <w:pPr>
        <w:pStyle w:val="Brdtekst"/>
        <w:keepNext/>
        <w:keepLines/>
        <w:spacing w:before="11"/>
        <w:rPr>
          <w:i/>
          <w:iCs/>
          <w:sz w:val="24"/>
          <w:szCs w:val="24"/>
        </w:rPr>
      </w:pPr>
    </w:p>
    <w:tbl>
      <w:tblPr>
        <w:tblW w:w="0" w:type="auto"/>
        <w:tblLayout w:type="fixed"/>
        <w:tblCellMar>
          <w:left w:w="85" w:type="dxa"/>
          <w:right w:w="85" w:type="dxa"/>
        </w:tblCellMar>
        <w:tblLook w:val="04A0" w:firstRow="1" w:lastRow="0" w:firstColumn="1" w:lastColumn="0" w:noHBand="0" w:noVBand="1"/>
      </w:tblPr>
      <w:tblGrid>
        <w:gridCol w:w="1786"/>
        <w:gridCol w:w="1560"/>
        <w:gridCol w:w="1701"/>
        <w:gridCol w:w="1275"/>
        <w:gridCol w:w="1134"/>
        <w:gridCol w:w="142"/>
        <w:gridCol w:w="1211"/>
      </w:tblGrid>
      <w:tr w:rsidR="00603A18" w14:paraId="08F427BB" w14:textId="77777777" w:rsidTr="00603A18">
        <w:trPr>
          <w:cantSplit/>
        </w:trPr>
        <w:tc>
          <w:tcPr>
            <w:tcW w:w="1786" w:type="dxa"/>
            <w:tcBorders>
              <w:top w:val="nil"/>
              <w:left w:val="nil"/>
              <w:bottom w:val="single" w:sz="4" w:space="0" w:color="auto"/>
              <w:right w:val="nil"/>
            </w:tcBorders>
          </w:tcPr>
          <w:p w14:paraId="70DCE338" w14:textId="77777777" w:rsidR="00603A18" w:rsidRDefault="00603A18">
            <w:pPr>
              <w:keepNext/>
              <w:keepLines/>
              <w:ind w:right="-83"/>
              <w:jc w:val="center"/>
              <w:rPr>
                <w:b/>
                <w:bCs/>
                <w:sz w:val="18"/>
                <w:szCs w:val="18"/>
              </w:rPr>
            </w:pPr>
          </w:p>
        </w:tc>
        <w:tc>
          <w:tcPr>
            <w:tcW w:w="1560" w:type="dxa"/>
            <w:tcBorders>
              <w:top w:val="nil"/>
              <w:left w:val="nil"/>
              <w:bottom w:val="single" w:sz="4" w:space="0" w:color="auto"/>
              <w:right w:val="nil"/>
            </w:tcBorders>
            <w:hideMark/>
          </w:tcPr>
          <w:p w14:paraId="6505D4F3" w14:textId="77777777" w:rsidR="00603A18" w:rsidRDefault="00603A18">
            <w:pPr>
              <w:keepNext/>
              <w:keepLines/>
              <w:jc w:val="center"/>
              <w:rPr>
                <w:b/>
                <w:bCs/>
                <w:sz w:val="18"/>
                <w:szCs w:val="18"/>
              </w:rPr>
            </w:pPr>
            <w:proofErr w:type="spellStart"/>
            <w:r>
              <w:rPr>
                <w:b/>
                <w:sz w:val="18"/>
              </w:rPr>
              <w:t>Dexamethason</w:t>
            </w:r>
            <w:proofErr w:type="spellEnd"/>
          </w:p>
        </w:tc>
        <w:tc>
          <w:tcPr>
            <w:tcW w:w="1701" w:type="dxa"/>
            <w:tcBorders>
              <w:top w:val="nil"/>
              <w:left w:val="nil"/>
              <w:bottom w:val="single" w:sz="4" w:space="0" w:color="auto"/>
              <w:right w:val="nil"/>
            </w:tcBorders>
            <w:hideMark/>
          </w:tcPr>
          <w:p w14:paraId="2BC766FD" w14:textId="77777777" w:rsidR="00603A18" w:rsidRDefault="00603A18">
            <w:pPr>
              <w:keepNext/>
              <w:keepLines/>
              <w:jc w:val="center"/>
              <w:rPr>
                <w:b/>
                <w:bCs/>
                <w:sz w:val="18"/>
                <w:szCs w:val="18"/>
              </w:rPr>
            </w:pPr>
            <w:r>
              <w:rPr>
                <w:b/>
                <w:sz w:val="18"/>
              </w:rPr>
              <w:t>Standardbehandling</w:t>
            </w:r>
          </w:p>
        </w:tc>
        <w:tc>
          <w:tcPr>
            <w:tcW w:w="2409" w:type="dxa"/>
            <w:gridSpan w:val="2"/>
            <w:tcBorders>
              <w:top w:val="nil"/>
              <w:left w:val="nil"/>
              <w:bottom w:val="single" w:sz="4" w:space="0" w:color="auto"/>
              <w:right w:val="nil"/>
            </w:tcBorders>
          </w:tcPr>
          <w:p w14:paraId="1BC6C34A" w14:textId="77777777" w:rsidR="00603A18" w:rsidRDefault="00603A18">
            <w:pPr>
              <w:keepNext/>
              <w:keepLines/>
              <w:jc w:val="center"/>
              <w:rPr>
                <w:b/>
                <w:bCs/>
                <w:sz w:val="18"/>
                <w:szCs w:val="18"/>
              </w:rPr>
            </w:pPr>
          </w:p>
        </w:tc>
        <w:tc>
          <w:tcPr>
            <w:tcW w:w="1353" w:type="dxa"/>
            <w:gridSpan w:val="2"/>
            <w:tcBorders>
              <w:top w:val="nil"/>
              <w:left w:val="nil"/>
              <w:bottom w:val="single" w:sz="4" w:space="0" w:color="auto"/>
              <w:right w:val="nil"/>
            </w:tcBorders>
            <w:hideMark/>
          </w:tcPr>
          <w:p w14:paraId="333EBD62" w14:textId="77777777" w:rsidR="00603A18" w:rsidRDefault="00603A18">
            <w:pPr>
              <w:keepNext/>
              <w:keepLines/>
              <w:jc w:val="center"/>
              <w:rPr>
                <w:b/>
                <w:bCs/>
                <w:sz w:val="18"/>
                <w:szCs w:val="18"/>
              </w:rPr>
            </w:pPr>
            <w:r>
              <w:rPr>
                <w:b/>
                <w:sz w:val="18"/>
              </w:rPr>
              <w:t>RR (95% CI)</w:t>
            </w:r>
          </w:p>
        </w:tc>
      </w:tr>
      <w:tr w:rsidR="00603A18" w14:paraId="1AC4A630" w14:textId="77777777" w:rsidTr="00603A18">
        <w:trPr>
          <w:cantSplit/>
        </w:trPr>
        <w:tc>
          <w:tcPr>
            <w:tcW w:w="5047" w:type="dxa"/>
            <w:gridSpan w:val="3"/>
            <w:tcBorders>
              <w:top w:val="single" w:sz="4" w:space="0" w:color="auto"/>
              <w:left w:val="nil"/>
              <w:bottom w:val="nil"/>
              <w:right w:val="nil"/>
            </w:tcBorders>
            <w:hideMark/>
          </w:tcPr>
          <w:p w14:paraId="19A4DD38" w14:textId="56E505D3" w:rsidR="00603A18" w:rsidRDefault="00603A18">
            <w:pPr>
              <w:keepNext/>
              <w:keepLines/>
              <w:ind w:right="-83"/>
              <w:rPr>
                <w:b/>
                <w:bCs/>
                <w:sz w:val="18"/>
                <w:szCs w:val="18"/>
              </w:rPr>
            </w:pPr>
            <w:r>
              <w:rPr>
                <w:b/>
                <w:sz w:val="18"/>
              </w:rPr>
              <w:t>Ingen ilt (</w:t>
            </w:r>
            <w:r>
              <w:rPr>
                <w:b/>
                <w:noProof/>
                <w:sz w:val="18"/>
              </w:rPr>
              <w:drawing>
                <wp:inline distT="0" distB="0" distL="0" distR="0" wp14:anchorId="3EC77477" wp14:editId="0D88DF23">
                  <wp:extent cx="133350" cy="1333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sz w:val="18"/>
              </w:rPr>
              <w:t>=0,08; p=0,78)</w:t>
            </w:r>
          </w:p>
        </w:tc>
        <w:tc>
          <w:tcPr>
            <w:tcW w:w="2409" w:type="dxa"/>
            <w:gridSpan w:val="2"/>
            <w:vMerge w:val="restart"/>
            <w:tcBorders>
              <w:top w:val="single" w:sz="4" w:space="0" w:color="auto"/>
              <w:left w:val="nil"/>
              <w:bottom w:val="nil"/>
              <w:right w:val="nil"/>
            </w:tcBorders>
            <w:vAlign w:val="center"/>
            <w:hideMark/>
          </w:tcPr>
          <w:p w14:paraId="64C76E3B" w14:textId="180747FD" w:rsidR="00603A18" w:rsidRDefault="00603A18">
            <w:pPr>
              <w:keepNext/>
              <w:keepLines/>
              <w:rPr>
                <w:b/>
                <w:bCs/>
                <w:sz w:val="2"/>
                <w:szCs w:val="2"/>
              </w:rPr>
            </w:pPr>
            <w:r>
              <w:rPr>
                <w:noProof/>
                <w:sz w:val="22"/>
                <w:szCs w:val="22"/>
                <w:lang w:bidi="es-ES"/>
              </w:rPr>
              <w:drawing>
                <wp:anchor distT="0" distB="0" distL="114300" distR="114300" simplePos="0" relativeHeight="251660288" behindDoc="0" locked="0" layoutInCell="1" allowOverlap="1" wp14:anchorId="4044F292" wp14:editId="30B12C8F">
                  <wp:simplePos x="0" y="0"/>
                  <wp:positionH relativeFrom="margin">
                    <wp:posOffset>-21590</wp:posOffset>
                  </wp:positionH>
                  <wp:positionV relativeFrom="margin">
                    <wp:posOffset>0</wp:posOffset>
                  </wp:positionV>
                  <wp:extent cx="1425575" cy="2533650"/>
                  <wp:effectExtent l="0" t="0" r="3175" b="0"/>
                  <wp:wrapSquare wrapText="bothSides"/>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5575" cy="2533650"/>
                          </a:xfrm>
                          <a:prstGeom prst="rect">
                            <a:avLst/>
                          </a:prstGeom>
                          <a:noFill/>
                        </pic:spPr>
                      </pic:pic>
                    </a:graphicData>
                  </a:graphic>
                  <wp14:sizeRelH relativeFrom="page">
                    <wp14:pctWidth>0</wp14:pctWidth>
                  </wp14:sizeRelH>
                  <wp14:sizeRelV relativeFrom="page">
                    <wp14:pctHeight>0</wp14:pctHeight>
                  </wp14:sizeRelV>
                </wp:anchor>
              </w:drawing>
            </w:r>
          </w:p>
        </w:tc>
        <w:tc>
          <w:tcPr>
            <w:tcW w:w="1353" w:type="dxa"/>
            <w:gridSpan w:val="2"/>
            <w:tcBorders>
              <w:top w:val="single" w:sz="4" w:space="0" w:color="auto"/>
              <w:left w:val="nil"/>
              <w:bottom w:val="nil"/>
              <w:right w:val="nil"/>
            </w:tcBorders>
          </w:tcPr>
          <w:p w14:paraId="51DCB2D0" w14:textId="77777777" w:rsidR="00603A18" w:rsidRDefault="00603A18">
            <w:pPr>
              <w:keepNext/>
              <w:keepLines/>
              <w:rPr>
                <w:b/>
                <w:bCs/>
                <w:sz w:val="18"/>
                <w:szCs w:val="18"/>
              </w:rPr>
            </w:pPr>
          </w:p>
        </w:tc>
      </w:tr>
      <w:tr w:rsidR="00603A18" w14:paraId="175CF033" w14:textId="77777777" w:rsidTr="00603A18">
        <w:trPr>
          <w:cantSplit/>
        </w:trPr>
        <w:tc>
          <w:tcPr>
            <w:tcW w:w="1786" w:type="dxa"/>
            <w:hideMark/>
          </w:tcPr>
          <w:p w14:paraId="05284400" w14:textId="77777777" w:rsidR="00603A18" w:rsidRDefault="00603A18">
            <w:pPr>
              <w:keepNext/>
              <w:keepLines/>
              <w:ind w:right="-83"/>
              <w:rPr>
                <w:sz w:val="18"/>
                <w:szCs w:val="18"/>
              </w:rPr>
            </w:pPr>
            <w:r>
              <w:rPr>
                <w:sz w:val="18"/>
              </w:rPr>
              <w:t>Tidligere sygdom</w:t>
            </w:r>
          </w:p>
        </w:tc>
        <w:tc>
          <w:tcPr>
            <w:tcW w:w="1560" w:type="dxa"/>
            <w:hideMark/>
          </w:tcPr>
          <w:p w14:paraId="74C56F31" w14:textId="77777777" w:rsidR="00603A18" w:rsidRDefault="00603A18">
            <w:pPr>
              <w:keepNext/>
              <w:keepLines/>
              <w:jc w:val="right"/>
              <w:rPr>
                <w:sz w:val="18"/>
                <w:szCs w:val="18"/>
              </w:rPr>
            </w:pPr>
            <w:r>
              <w:rPr>
                <w:sz w:val="18"/>
              </w:rPr>
              <w:t>65/313 (20,8 %)</w:t>
            </w:r>
          </w:p>
        </w:tc>
        <w:tc>
          <w:tcPr>
            <w:tcW w:w="1701" w:type="dxa"/>
            <w:hideMark/>
          </w:tcPr>
          <w:p w14:paraId="554797AC" w14:textId="77777777" w:rsidR="00603A18" w:rsidRDefault="00603A18">
            <w:pPr>
              <w:keepNext/>
              <w:keepLines/>
              <w:jc w:val="right"/>
              <w:rPr>
                <w:sz w:val="18"/>
                <w:szCs w:val="18"/>
              </w:rPr>
            </w:pPr>
            <w:r>
              <w:rPr>
                <w:sz w:val="18"/>
              </w:rPr>
              <w:t>100/598 (16,7 %)</w:t>
            </w:r>
          </w:p>
        </w:tc>
        <w:tc>
          <w:tcPr>
            <w:tcW w:w="3685" w:type="dxa"/>
            <w:gridSpan w:val="2"/>
            <w:vMerge/>
            <w:tcBorders>
              <w:top w:val="single" w:sz="4" w:space="0" w:color="auto"/>
              <w:left w:val="nil"/>
              <w:bottom w:val="nil"/>
              <w:right w:val="nil"/>
            </w:tcBorders>
            <w:vAlign w:val="center"/>
            <w:hideMark/>
          </w:tcPr>
          <w:p w14:paraId="3692787A" w14:textId="77777777" w:rsidR="00603A18" w:rsidRDefault="00603A18">
            <w:pPr>
              <w:rPr>
                <w:b/>
                <w:bCs/>
                <w:sz w:val="2"/>
                <w:szCs w:val="2"/>
              </w:rPr>
            </w:pPr>
          </w:p>
        </w:tc>
        <w:tc>
          <w:tcPr>
            <w:tcW w:w="1353" w:type="dxa"/>
            <w:gridSpan w:val="2"/>
            <w:hideMark/>
          </w:tcPr>
          <w:p w14:paraId="2C24B5BD" w14:textId="77777777" w:rsidR="00603A18" w:rsidRDefault="00603A18">
            <w:pPr>
              <w:keepNext/>
              <w:keepLines/>
              <w:jc w:val="right"/>
              <w:rPr>
                <w:sz w:val="18"/>
                <w:szCs w:val="18"/>
              </w:rPr>
            </w:pPr>
            <w:r>
              <w:rPr>
                <w:sz w:val="18"/>
              </w:rPr>
              <w:t>1,22 (0,89-1,66)</w:t>
            </w:r>
          </w:p>
        </w:tc>
      </w:tr>
      <w:tr w:rsidR="00603A18" w14:paraId="27493F75" w14:textId="77777777" w:rsidTr="00603A18">
        <w:trPr>
          <w:cantSplit/>
        </w:trPr>
        <w:tc>
          <w:tcPr>
            <w:tcW w:w="1786" w:type="dxa"/>
            <w:hideMark/>
          </w:tcPr>
          <w:p w14:paraId="63779484" w14:textId="77777777" w:rsidR="00603A18" w:rsidRDefault="00603A18">
            <w:pPr>
              <w:keepNext/>
              <w:keepLines/>
              <w:ind w:right="-83"/>
              <w:rPr>
                <w:sz w:val="18"/>
                <w:szCs w:val="18"/>
              </w:rPr>
            </w:pPr>
            <w:r>
              <w:rPr>
                <w:sz w:val="18"/>
              </w:rPr>
              <w:t>Ingen tidligere sygdom</w:t>
            </w:r>
          </w:p>
        </w:tc>
        <w:tc>
          <w:tcPr>
            <w:tcW w:w="1560" w:type="dxa"/>
            <w:hideMark/>
          </w:tcPr>
          <w:p w14:paraId="7D896A6F" w14:textId="77777777" w:rsidR="00603A18" w:rsidRDefault="00603A18">
            <w:pPr>
              <w:keepNext/>
              <w:keepLines/>
              <w:jc w:val="right"/>
              <w:rPr>
                <w:sz w:val="18"/>
                <w:szCs w:val="18"/>
              </w:rPr>
            </w:pPr>
            <w:r>
              <w:rPr>
                <w:sz w:val="18"/>
              </w:rPr>
              <w:t>24/188 (12,8 %)</w:t>
            </w:r>
          </w:p>
        </w:tc>
        <w:tc>
          <w:tcPr>
            <w:tcW w:w="1701" w:type="dxa"/>
            <w:hideMark/>
          </w:tcPr>
          <w:p w14:paraId="1BC52667" w14:textId="77777777" w:rsidR="00603A18" w:rsidRDefault="00603A18">
            <w:pPr>
              <w:keepNext/>
              <w:keepLines/>
              <w:jc w:val="right"/>
              <w:rPr>
                <w:sz w:val="18"/>
                <w:szCs w:val="18"/>
              </w:rPr>
            </w:pPr>
            <w:r>
              <w:rPr>
                <w:sz w:val="18"/>
              </w:rPr>
              <w:t>45/436 (10,3 %)</w:t>
            </w:r>
          </w:p>
        </w:tc>
        <w:tc>
          <w:tcPr>
            <w:tcW w:w="3685" w:type="dxa"/>
            <w:gridSpan w:val="2"/>
            <w:vMerge/>
            <w:tcBorders>
              <w:top w:val="single" w:sz="4" w:space="0" w:color="auto"/>
              <w:left w:val="nil"/>
              <w:bottom w:val="nil"/>
              <w:right w:val="nil"/>
            </w:tcBorders>
            <w:vAlign w:val="center"/>
            <w:hideMark/>
          </w:tcPr>
          <w:p w14:paraId="755EFD7B" w14:textId="77777777" w:rsidR="00603A18" w:rsidRDefault="00603A18">
            <w:pPr>
              <w:rPr>
                <w:b/>
                <w:bCs/>
                <w:sz w:val="2"/>
                <w:szCs w:val="2"/>
              </w:rPr>
            </w:pPr>
          </w:p>
        </w:tc>
        <w:tc>
          <w:tcPr>
            <w:tcW w:w="1353" w:type="dxa"/>
            <w:gridSpan w:val="2"/>
            <w:hideMark/>
          </w:tcPr>
          <w:p w14:paraId="582F3D23" w14:textId="77777777" w:rsidR="00603A18" w:rsidRDefault="00603A18">
            <w:pPr>
              <w:keepNext/>
              <w:keepLines/>
              <w:jc w:val="right"/>
              <w:rPr>
                <w:sz w:val="18"/>
                <w:szCs w:val="18"/>
              </w:rPr>
            </w:pPr>
            <w:r>
              <w:rPr>
                <w:sz w:val="18"/>
              </w:rPr>
              <w:t>1,12 (0,68-1,83)</w:t>
            </w:r>
          </w:p>
        </w:tc>
      </w:tr>
      <w:tr w:rsidR="00603A18" w14:paraId="47BECACA" w14:textId="77777777" w:rsidTr="00603A18">
        <w:trPr>
          <w:cantSplit/>
        </w:trPr>
        <w:tc>
          <w:tcPr>
            <w:tcW w:w="1786" w:type="dxa"/>
            <w:hideMark/>
          </w:tcPr>
          <w:p w14:paraId="401439E1" w14:textId="77777777" w:rsidR="00603A18" w:rsidRDefault="00603A18">
            <w:pPr>
              <w:keepNext/>
              <w:keepLines/>
              <w:ind w:right="-83"/>
              <w:rPr>
                <w:b/>
                <w:bCs/>
                <w:sz w:val="18"/>
                <w:szCs w:val="18"/>
              </w:rPr>
            </w:pPr>
            <w:r>
              <w:rPr>
                <w:b/>
                <w:sz w:val="18"/>
              </w:rPr>
              <w:t>Subtotal</w:t>
            </w:r>
          </w:p>
        </w:tc>
        <w:tc>
          <w:tcPr>
            <w:tcW w:w="1560" w:type="dxa"/>
            <w:hideMark/>
          </w:tcPr>
          <w:p w14:paraId="62FD466D" w14:textId="77777777" w:rsidR="00603A18" w:rsidRDefault="00603A18">
            <w:pPr>
              <w:keepNext/>
              <w:keepLines/>
              <w:jc w:val="right"/>
              <w:rPr>
                <w:b/>
                <w:bCs/>
                <w:sz w:val="18"/>
                <w:szCs w:val="18"/>
              </w:rPr>
            </w:pPr>
            <w:r>
              <w:rPr>
                <w:b/>
                <w:sz w:val="18"/>
              </w:rPr>
              <w:t>89/501 (17,8 %)</w:t>
            </w:r>
          </w:p>
        </w:tc>
        <w:tc>
          <w:tcPr>
            <w:tcW w:w="1701" w:type="dxa"/>
            <w:hideMark/>
          </w:tcPr>
          <w:p w14:paraId="2983ADB3" w14:textId="77777777" w:rsidR="00603A18" w:rsidRDefault="00603A18">
            <w:pPr>
              <w:keepNext/>
              <w:keepLines/>
              <w:jc w:val="right"/>
              <w:rPr>
                <w:b/>
                <w:bCs/>
                <w:sz w:val="18"/>
                <w:szCs w:val="18"/>
              </w:rPr>
            </w:pPr>
            <w:r>
              <w:rPr>
                <w:b/>
                <w:sz w:val="18"/>
              </w:rPr>
              <w:t>145/1.034 (14,0 %)</w:t>
            </w:r>
          </w:p>
        </w:tc>
        <w:tc>
          <w:tcPr>
            <w:tcW w:w="3685" w:type="dxa"/>
            <w:gridSpan w:val="2"/>
            <w:vMerge/>
            <w:tcBorders>
              <w:top w:val="single" w:sz="4" w:space="0" w:color="auto"/>
              <w:left w:val="nil"/>
              <w:bottom w:val="nil"/>
              <w:right w:val="nil"/>
            </w:tcBorders>
            <w:vAlign w:val="center"/>
            <w:hideMark/>
          </w:tcPr>
          <w:p w14:paraId="3BAB674C" w14:textId="77777777" w:rsidR="00603A18" w:rsidRDefault="00603A18">
            <w:pPr>
              <w:rPr>
                <w:b/>
                <w:bCs/>
                <w:sz w:val="2"/>
                <w:szCs w:val="2"/>
              </w:rPr>
            </w:pPr>
          </w:p>
        </w:tc>
        <w:tc>
          <w:tcPr>
            <w:tcW w:w="1353" w:type="dxa"/>
            <w:gridSpan w:val="2"/>
            <w:hideMark/>
          </w:tcPr>
          <w:p w14:paraId="39A69C16" w14:textId="77777777" w:rsidR="00603A18" w:rsidRDefault="00603A18">
            <w:pPr>
              <w:keepNext/>
              <w:keepLines/>
              <w:jc w:val="right"/>
              <w:rPr>
                <w:b/>
                <w:bCs/>
                <w:sz w:val="18"/>
                <w:szCs w:val="18"/>
              </w:rPr>
            </w:pPr>
            <w:r>
              <w:rPr>
                <w:b/>
                <w:sz w:val="18"/>
              </w:rPr>
              <w:t>1,19 (0,91-1,55)</w:t>
            </w:r>
          </w:p>
        </w:tc>
      </w:tr>
      <w:tr w:rsidR="00603A18" w14:paraId="494957BB" w14:textId="77777777" w:rsidTr="00603A18">
        <w:trPr>
          <w:cantSplit/>
        </w:trPr>
        <w:tc>
          <w:tcPr>
            <w:tcW w:w="1786" w:type="dxa"/>
          </w:tcPr>
          <w:p w14:paraId="7D767634" w14:textId="77777777" w:rsidR="00603A18" w:rsidRDefault="00603A18">
            <w:pPr>
              <w:keepNext/>
              <w:keepLines/>
              <w:ind w:right="-83"/>
              <w:rPr>
                <w:sz w:val="18"/>
                <w:szCs w:val="18"/>
              </w:rPr>
            </w:pPr>
          </w:p>
        </w:tc>
        <w:tc>
          <w:tcPr>
            <w:tcW w:w="1560" w:type="dxa"/>
          </w:tcPr>
          <w:p w14:paraId="44A1AC64" w14:textId="77777777" w:rsidR="00603A18" w:rsidRDefault="00603A18">
            <w:pPr>
              <w:keepNext/>
              <w:keepLines/>
              <w:rPr>
                <w:sz w:val="18"/>
                <w:szCs w:val="18"/>
              </w:rPr>
            </w:pPr>
          </w:p>
        </w:tc>
        <w:tc>
          <w:tcPr>
            <w:tcW w:w="1701" w:type="dxa"/>
          </w:tcPr>
          <w:p w14:paraId="095F49C7" w14:textId="77777777" w:rsidR="00603A18" w:rsidRDefault="00603A18">
            <w:pPr>
              <w:keepNext/>
              <w:keepLines/>
              <w:rPr>
                <w:sz w:val="18"/>
                <w:szCs w:val="18"/>
              </w:rPr>
            </w:pPr>
          </w:p>
        </w:tc>
        <w:tc>
          <w:tcPr>
            <w:tcW w:w="3685" w:type="dxa"/>
            <w:gridSpan w:val="2"/>
            <w:vMerge/>
            <w:tcBorders>
              <w:top w:val="single" w:sz="4" w:space="0" w:color="auto"/>
              <w:left w:val="nil"/>
              <w:bottom w:val="nil"/>
              <w:right w:val="nil"/>
            </w:tcBorders>
            <w:vAlign w:val="center"/>
            <w:hideMark/>
          </w:tcPr>
          <w:p w14:paraId="279E1BC7" w14:textId="77777777" w:rsidR="00603A18" w:rsidRDefault="00603A18">
            <w:pPr>
              <w:rPr>
                <w:b/>
                <w:bCs/>
                <w:sz w:val="2"/>
                <w:szCs w:val="2"/>
              </w:rPr>
            </w:pPr>
          </w:p>
        </w:tc>
        <w:tc>
          <w:tcPr>
            <w:tcW w:w="1353" w:type="dxa"/>
            <w:gridSpan w:val="2"/>
          </w:tcPr>
          <w:p w14:paraId="779C7BE1" w14:textId="77777777" w:rsidR="00603A18" w:rsidRDefault="00603A18">
            <w:pPr>
              <w:keepNext/>
              <w:keepLines/>
              <w:jc w:val="right"/>
              <w:rPr>
                <w:sz w:val="18"/>
                <w:szCs w:val="18"/>
              </w:rPr>
            </w:pPr>
          </w:p>
        </w:tc>
      </w:tr>
      <w:tr w:rsidR="00603A18" w14:paraId="2AC1888C" w14:textId="77777777" w:rsidTr="00603A18">
        <w:trPr>
          <w:cantSplit/>
        </w:trPr>
        <w:tc>
          <w:tcPr>
            <w:tcW w:w="5047" w:type="dxa"/>
            <w:gridSpan w:val="3"/>
            <w:hideMark/>
          </w:tcPr>
          <w:p w14:paraId="1DB7777A" w14:textId="295DE74A" w:rsidR="00603A18" w:rsidRDefault="00603A18">
            <w:pPr>
              <w:keepNext/>
              <w:keepLines/>
              <w:ind w:right="-83"/>
              <w:rPr>
                <w:b/>
                <w:bCs/>
                <w:sz w:val="18"/>
                <w:szCs w:val="18"/>
              </w:rPr>
            </w:pPr>
            <w:r>
              <w:rPr>
                <w:b/>
                <w:sz w:val="18"/>
              </w:rPr>
              <w:t>Kun ilt (</w:t>
            </w:r>
            <w:r>
              <w:rPr>
                <w:b/>
                <w:noProof/>
                <w:sz w:val="18"/>
              </w:rPr>
              <w:drawing>
                <wp:inline distT="0" distB="0" distL="0" distR="0" wp14:anchorId="04CBE189" wp14:editId="2E37AFBE">
                  <wp:extent cx="133350" cy="1333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sz w:val="18"/>
              </w:rPr>
              <w:t>=2,05; p=0,15)</w:t>
            </w:r>
          </w:p>
        </w:tc>
        <w:tc>
          <w:tcPr>
            <w:tcW w:w="3685" w:type="dxa"/>
            <w:gridSpan w:val="2"/>
            <w:vMerge/>
            <w:tcBorders>
              <w:top w:val="single" w:sz="4" w:space="0" w:color="auto"/>
              <w:left w:val="nil"/>
              <w:bottom w:val="nil"/>
              <w:right w:val="nil"/>
            </w:tcBorders>
            <w:vAlign w:val="center"/>
            <w:hideMark/>
          </w:tcPr>
          <w:p w14:paraId="226F554B" w14:textId="77777777" w:rsidR="00603A18" w:rsidRDefault="00603A18">
            <w:pPr>
              <w:rPr>
                <w:b/>
                <w:bCs/>
                <w:sz w:val="2"/>
                <w:szCs w:val="2"/>
              </w:rPr>
            </w:pPr>
          </w:p>
        </w:tc>
        <w:tc>
          <w:tcPr>
            <w:tcW w:w="1353" w:type="dxa"/>
            <w:gridSpan w:val="2"/>
          </w:tcPr>
          <w:p w14:paraId="2427ED26" w14:textId="77777777" w:rsidR="00603A18" w:rsidRDefault="00603A18">
            <w:pPr>
              <w:keepNext/>
              <w:keepLines/>
              <w:jc w:val="right"/>
              <w:rPr>
                <w:sz w:val="18"/>
                <w:szCs w:val="18"/>
              </w:rPr>
            </w:pPr>
          </w:p>
        </w:tc>
      </w:tr>
      <w:tr w:rsidR="00603A18" w14:paraId="68D5B26F" w14:textId="77777777" w:rsidTr="00603A18">
        <w:trPr>
          <w:cantSplit/>
        </w:trPr>
        <w:tc>
          <w:tcPr>
            <w:tcW w:w="1786" w:type="dxa"/>
            <w:hideMark/>
          </w:tcPr>
          <w:p w14:paraId="5DA0301C" w14:textId="77777777" w:rsidR="00603A18" w:rsidRDefault="00603A18">
            <w:pPr>
              <w:keepNext/>
              <w:keepLines/>
              <w:ind w:right="-83"/>
              <w:rPr>
                <w:sz w:val="18"/>
                <w:szCs w:val="18"/>
              </w:rPr>
            </w:pPr>
            <w:r>
              <w:rPr>
                <w:sz w:val="18"/>
              </w:rPr>
              <w:t>Tidligere sygdom</w:t>
            </w:r>
          </w:p>
        </w:tc>
        <w:tc>
          <w:tcPr>
            <w:tcW w:w="1560" w:type="dxa"/>
            <w:hideMark/>
          </w:tcPr>
          <w:p w14:paraId="6562866D" w14:textId="77777777" w:rsidR="00603A18" w:rsidRDefault="00603A18">
            <w:pPr>
              <w:keepNext/>
              <w:keepLines/>
              <w:jc w:val="right"/>
              <w:rPr>
                <w:sz w:val="18"/>
                <w:szCs w:val="18"/>
              </w:rPr>
            </w:pPr>
            <w:r>
              <w:rPr>
                <w:sz w:val="18"/>
              </w:rPr>
              <w:t>221/702 (31,5 %)</w:t>
            </w:r>
          </w:p>
        </w:tc>
        <w:tc>
          <w:tcPr>
            <w:tcW w:w="1701" w:type="dxa"/>
            <w:hideMark/>
          </w:tcPr>
          <w:p w14:paraId="0FCBDECA" w14:textId="77777777" w:rsidR="00603A18" w:rsidRDefault="00603A18">
            <w:pPr>
              <w:keepNext/>
              <w:keepLines/>
              <w:jc w:val="right"/>
              <w:rPr>
                <w:sz w:val="18"/>
                <w:szCs w:val="18"/>
              </w:rPr>
            </w:pPr>
            <w:r>
              <w:rPr>
                <w:sz w:val="18"/>
              </w:rPr>
              <w:t>481/1.473 (32,7 %)</w:t>
            </w:r>
          </w:p>
        </w:tc>
        <w:tc>
          <w:tcPr>
            <w:tcW w:w="3685" w:type="dxa"/>
            <w:gridSpan w:val="2"/>
            <w:vMerge/>
            <w:tcBorders>
              <w:top w:val="single" w:sz="4" w:space="0" w:color="auto"/>
              <w:left w:val="nil"/>
              <w:bottom w:val="nil"/>
              <w:right w:val="nil"/>
            </w:tcBorders>
            <w:vAlign w:val="center"/>
            <w:hideMark/>
          </w:tcPr>
          <w:p w14:paraId="1B2EA109" w14:textId="77777777" w:rsidR="00603A18" w:rsidRDefault="00603A18">
            <w:pPr>
              <w:rPr>
                <w:b/>
                <w:bCs/>
                <w:sz w:val="2"/>
                <w:szCs w:val="2"/>
              </w:rPr>
            </w:pPr>
          </w:p>
        </w:tc>
        <w:tc>
          <w:tcPr>
            <w:tcW w:w="1353" w:type="dxa"/>
            <w:gridSpan w:val="2"/>
            <w:hideMark/>
          </w:tcPr>
          <w:p w14:paraId="66E48BD7" w14:textId="77777777" w:rsidR="00603A18" w:rsidRDefault="00603A18">
            <w:pPr>
              <w:keepNext/>
              <w:keepLines/>
              <w:jc w:val="right"/>
              <w:rPr>
                <w:sz w:val="18"/>
                <w:szCs w:val="18"/>
              </w:rPr>
            </w:pPr>
            <w:r>
              <w:rPr>
                <w:sz w:val="18"/>
              </w:rPr>
              <w:t>0,88 (0,75-1,03)</w:t>
            </w:r>
          </w:p>
        </w:tc>
      </w:tr>
      <w:tr w:rsidR="00603A18" w14:paraId="7D6854FE" w14:textId="77777777" w:rsidTr="00603A18">
        <w:trPr>
          <w:cantSplit/>
        </w:trPr>
        <w:tc>
          <w:tcPr>
            <w:tcW w:w="1786" w:type="dxa"/>
            <w:hideMark/>
          </w:tcPr>
          <w:p w14:paraId="692B4BC6" w14:textId="77777777" w:rsidR="00603A18" w:rsidRDefault="00603A18">
            <w:pPr>
              <w:keepNext/>
              <w:keepLines/>
              <w:ind w:right="-83"/>
              <w:rPr>
                <w:sz w:val="18"/>
                <w:szCs w:val="18"/>
              </w:rPr>
            </w:pPr>
            <w:r>
              <w:rPr>
                <w:sz w:val="18"/>
              </w:rPr>
              <w:t>Ingen tidligere sygdom</w:t>
            </w:r>
          </w:p>
        </w:tc>
        <w:tc>
          <w:tcPr>
            <w:tcW w:w="1560" w:type="dxa"/>
            <w:hideMark/>
          </w:tcPr>
          <w:p w14:paraId="3D06EA02" w14:textId="77777777" w:rsidR="00603A18" w:rsidRDefault="00603A18">
            <w:pPr>
              <w:keepNext/>
              <w:keepLines/>
              <w:jc w:val="right"/>
              <w:rPr>
                <w:sz w:val="18"/>
                <w:szCs w:val="18"/>
              </w:rPr>
            </w:pPr>
            <w:r>
              <w:rPr>
                <w:sz w:val="18"/>
              </w:rPr>
              <w:t>77/577 (13,3 %)</w:t>
            </w:r>
          </w:p>
        </w:tc>
        <w:tc>
          <w:tcPr>
            <w:tcW w:w="1701" w:type="dxa"/>
            <w:hideMark/>
          </w:tcPr>
          <w:p w14:paraId="4D4C2AF6" w14:textId="77777777" w:rsidR="00603A18" w:rsidRDefault="00603A18">
            <w:pPr>
              <w:keepNext/>
              <w:keepLines/>
              <w:jc w:val="right"/>
              <w:rPr>
                <w:sz w:val="18"/>
                <w:szCs w:val="18"/>
              </w:rPr>
            </w:pPr>
            <w:r>
              <w:rPr>
                <w:sz w:val="18"/>
              </w:rPr>
              <w:t>201/1.131 (17,8 %)</w:t>
            </w:r>
          </w:p>
        </w:tc>
        <w:tc>
          <w:tcPr>
            <w:tcW w:w="3685" w:type="dxa"/>
            <w:gridSpan w:val="2"/>
            <w:vMerge/>
            <w:tcBorders>
              <w:top w:val="single" w:sz="4" w:space="0" w:color="auto"/>
              <w:left w:val="nil"/>
              <w:bottom w:val="nil"/>
              <w:right w:val="nil"/>
            </w:tcBorders>
            <w:vAlign w:val="center"/>
            <w:hideMark/>
          </w:tcPr>
          <w:p w14:paraId="7E191035" w14:textId="77777777" w:rsidR="00603A18" w:rsidRDefault="00603A18">
            <w:pPr>
              <w:rPr>
                <w:b/>
                <w:bCs/>
                <w:sz w:val="2"/>
                <w:szCs w:val="2"/>
              </w:rPr>
            </w:pPr>
          </w:p>
        </w:tc>
        <w:tc>
          <w:tcPr>
            <w:tcW w:w="1353" w:type="dxa"/>
            <w:gridSpan w:val="2"/>
            <w:hideMark/>
          </w:tcPr>
          <w:p w14:paraId="228FB03A" w14:textId="77777777" w:rsidR="00603A18" w:rsidRDefault="00603A18">
            <w:pPr>
              <w:keepNext/>
              <w:keepLines/>
              <w:jc w:val="right"/>
              <w:rPr>
                <w:sz w:val="18"/>
                <w:szCs w:val="18"/>
              </w:rPr>
            </w:pPr>
            <w:r>
              <w:rPr>
                <w:sz w:val="18"/>
              </w:rPr>
              <w:t>0,70 (0,54-0,91)</w:t>
            </w:r>
          </w:p>
        </w:tc>
      </w:tr>
      <w:tr w:rsidR="00603A18" w14:paraId="0EED8AD9" w14:textId="77777777" w:rsidTr="00603A18">
        <w:trPr>
          <w:cantSplit/>
        </w:trPr>
        <w:tc>
          <w:tcPr>
            <w:tcW w:w="1786" w:type="dxa"/>
            <w:hideMark/>
          </w:tcPr>
          <w:p w14:paraId="26918FC2" w14:textId="77777777" w:rsidR="00603A18" w:rsidRDefault="00603A18">
            <w:pPr>
              <w:keepNext/>
              <w:keepLines/>
              <w:ind w:right="-83"/>
              <w:rPr>
                <w:b/>
                <w:bCs/>
                <w:sz w:val="18"/>
                <w:szCs w:val="18"/>
              </w:rPr>
            </w:pPr>
            <w:r>
              <w:rPr>
                <w:b/>
                <w:sz w:val="18"/>
              </w:rPr>
              <w:t>Subtotal</w:t>
            </w:r>
          </w:p>
        </w:tc>
        <w:tc>
          <w:tcPr>
            <w:tcW w:w="1560" w:type="dxa"/>
            <w:hideMark/>
          </w:tcPr>
          <w:p w14:paraId="3944C624" w14:textId="77777777" w:rsidR="00603A18" w:rsidRDefault="00603A18">
            <w:pPr>
              <w:keepNext/>
              <w:keepLines/>
              <w:jc w:val="right"/>
              <w:rPr>
                <w:b/>
                <w:bCs/>
                <w:sz w:val="18"/>
                <w:szCs w:val="18"/>
              </w:rPr>
            </w:pPr>
            <w:r>
              <w:rPr>
                <w:b/>
                <w:sz w:val="18"/>
              </w:rPr>
              <w:t>298/1.279 (23,3 %)</w:t>
            </w:r>
          </w:p>
        </w:tc>
        <w:tc>
          <w:tcPr>
            <w:tcW w:w="1701" w:type="dxa"/>
            <w:hideMark/>
          </w:tcPr>
          <w:p w14:paraId="1E72238E" w14:textId="77777777" w:rsidR="00603A18" w:rsidRDefault="00603A18">
            <w:pPr>
              <w:keepNext/>
              <w:keepLines/>
              <w:jc w:val="right"/>
              <w:rPr>
                <w:b/>
                <w:bCs/>
                <w:sz w:val="18"/>
                <w:szCs w:val="18"/>
              </w:rPr>
            </w:pPr>
            <w:r>
              <w:rPr>
                <w:b/>
                <w:sz w:val="18"/>
              </w:rPr>
              <w:t>682/2.604 (26,2 %)</w:t>
            </w:r>
          </w:p>
        </w:tc>
        <w:tc>
          <w:tcPr>
            <w:tcW w:w="3685" w:type="dxa"/>
            <w:gridSpan w:val="2"/>
            <w:vMerge/>
            <w:tcBorders>
              <w:top w:val="single" w:sz="4" w:space="0" w:color="auto"/>
              <w:left w:val="nil"/>
              <w:bottom w:val="nil"/>
              <w:right w:val="nil"/>
            </w:tcBorders>
            <w:vAlign w:val="center"/>
            <w:hideMark/>
          </w:tcPr>
          <w:p w14:paraId="1BCAB536" w14:textId="77777777" w:rsidR="00603A18" w:rsidRDefault="00603A18">
            <w:pPr>
              <w:rPr>
                <w:b/>
                <w:bCs/>
                <w:sz w:val="2"/>
                <w:szCs w:val="2"/>
              </w:rPr>
            </w:pPr>
          </w:p>
        </w:tc>
        <w:tc>
          <w:tcPr>
            <w:tcW w:w="1353" w:type="dxa"/>
            <w:gridSpan w:val="2"/>
            <w:hideMark/>
          </w:tcPr>
          <w:p w14:paraId="4A969C0D" w14:textId="77777777" w:rsidR="00603A18" w:rsidRDefault="00603A18">
            <w:pPr>
              <w:keepNext/>
              <w:keepLines/>
              <w:jc w:val="right"/>
              <w:rPr>
                <w:b/>
                <w:bCs/>
                <w:sz w:val="18"/>
                <w:szCs w:val="18"/>
              </w:rPr>
            </w:pPr>
            <w:r>
              <w:rPr>
                <w:b/>
                <w:sz w:val="18"/>
              </w:rPr>
              <w:t>0,82 (0,72-0,94)</w:t>
            </w:r>
          </w:p>
        </w:tc>
      </w:tr>
      <w:tr w:rsidR="00603A18" w14:paraId="458FF3FF" w14:textId="77777777" w:rsidTr="00603A18">
        <w:trPr>
          <w:cantSplit/>
        </w:trPr>
        <w:tc>
          <w:tcPr>
            <w:tcW w:w="1786" w:type="dxa"/>
          </w:tcPr>
          <w:p w14:paraId="49F45E6E" w14:textId="77777777" w:rsidR="00603A18" w:rsidRDefault="00603A18">
            <w:pPr>
              <w:keepNext/>
              <w:keepLines/>
              <w:ind w:right="-83"/>
              <w:rPr>
                <w:sz w:val="18"/>
                <w:szCs w:val="18"/>
              </w:rPr>
            </w:pPr>
          </w:p>
        </w:tc>
        <w:tc>
          <w:tcPr>
            <w:tcW w:w="1560" w:type="dxa"/>
          </w:tcPr>
          <w:p w14:paraId="3ED77342" w14:textId="77777777" w:rsidR="00603A18" w:rsidRDefault="00603A18">
            <w:pPr>
              <w:keepNext/>
              <w:keepLines/>
              <w:rPr>
                <w:sz w:val="18"/>
                <w:szCs w:val="18"/>
              </w:rPr>
            </w:pPr>
          </w:p>
        </w:tc>
        <w:tc>
          <w:tcPr>
            <w:tcW w:w="1701" w:type="dxa"/>
          </w:tcPr>
          <w:p w14:paraId="6A6D87E3" w14:textId="77777777" w:rsidR="00603A18" w:rsidRDefault="00603A18">
            <w:pPr>
              <w:keepNext/>
              <w:keepLines/>
              <w:rPr>
                <w:sz w:val="18"/>
                <w:szCs w:val="18"/>
              </w:rPr>
            </w:pPr>
          </w:p>
        </w:tc>
        <w:tc>
          <w:tcPr>
            <w:tcW w:w="3685" w:type="dxa"/>
            <w:gridSpan w:val="2"/>
            <w:vMerge/>
            <w:tcBorders>
              <w:top w:val="single" w:sz="4" w:space="0" w:color="auto"/>
              <w:left w:val="nil"/>
              <w:bottom w:val="nil"/>
              <w:right w:val="nil"/>
            </w:tcBorders>
            <w:vAlign w:val="center"/>
            <w:hideMark/>
          </w:tcPr>
          <w:p w14:paraId="0702F24D" w14:textId="77777777" w:rsidR="00603A18" w:rsidRDefault="00603A18">
            <w:pPr>
              <w:rPr>
                <w:b/>
                <w:bCs/>
                <w:sz w:val="2"/>
                <w:szCs w:val="2"/>
              </w:rPr>
            </w:pPr>
          </w:p>
        </w:tc>
        <w:tc>
          <w:tcPr>
            <w:tcW w:w="1353" w:type="dxa"/>
            <w:gridSpan w:val="2"/>
          </w:tcPr>
          <w:p w14:paraId="1716177E" w14:textId="77777777" w:rsidR="00603A18" w:rsidRDefault="00603A18">
            <w:pPr>
              <w:keepNext/>
              <w:keepLines/>
              <w:jc w:val="right"/>
              <w:rPr>
                <w:sz w:val="18"/>
                <w:szCs w:val="18"/>
              </w:rPr>
            </w:pPr>
          </w:p>
        </w:tc>
      </w:tr>
      <w:tr w:rsidR="00603A18" w14:paraId="47EB4366" w14:textId="77777777" w:rsidTr="00603A18">
        <w:trPr>
          <w:cantSplit/>
        </w:trPr>
        <w:tc>
          <w:tcPr>
            <w:tcW w:w="5047" w:type="dxa"/>
            <w:gridSpan w:val="3"/>
            <w:hideMark/>
          </w:tcPr>
          <w:p w14:paraId="3E905275" w14:textId="3A30F0F4" w:rsidR="00603A18" w:rsidRDefault="00603A18">
            <w:pPr>
              <w:keepNext/>
              <w:keepLines/>
              <w:ind w:right="-83"/>
              <w:rPr>
                <w:b/>
                <w:bCs/>
                <w:sz w:val="18"/>
                <w:szCs w:val="18"/>
              </w:rPr>
            </w:pPr>
            <w:r>
              <w:rPr>
                <w:b/>
                <w:sz w:val="18"/>
              </w:rPr>
              <w:t>Mekanisk ventilation (</w:t>
            </w:r>
            <w:r>
              <w:rPr>
                <w:b/>
                <w:noProof/>
                <w:sz w:val="18"/>
              </w:rPr>
              <w:drawing>
                <wp:inline distT="0" distB="0" distL="0" distR="0" wp14:anchorId="1C97F241" wp14:editId="4AB91A40">
                  <wp:extent cx="133350" cy="1333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b/>
                <w:sz w:val="18"/>
              </w:rPr>
              <w:t>=1,52; p=0,22)</w:t>
            </w:r>
          </w:p>
        </w:tc>
        <w:tc>
          <w:tcPr>
            <w:tcW w:w="3685" w:type="dxa"/>
            <w:gridSpan w:val="2"/>
            <w:vMerge/>
            <w:tcBorders>
              <w:top w:val="single" w:sz="4" w:space="0" w:color="auto"/>
              <w:left w:val="nil"/>
              <w:bottom w:val="nil"/>
              <w:right w:val="nil"/>
            </w:tcBorders>
            <w:vAlign w:val="center"/>
            <w:hideMark/>
          </w:tcPr>
          <w:p w14:paraId="41B81DA8" w14:textId="77777777" w:rsidR="00603A18" w:rsidRDefault="00603A18">
            <w:pPr>
              <w:rPr>
                <w:b/>
                <w:bCs/>
                <w:sz w:val="2"/>
                <w:szCs w:val="2"/>
              </w:rPr>
            </w:pPr>
          </w:p>
        </w:tc>
        <w:tc>
          <w:tcPr>
            <w:tcW w:w="1353" w:type="dxa"/>
            <w:gridSpan w:val="2"/>
          </w:tcPr>
          <w:p w14:paraId="4F5696FD" w14:textId="77777777" w:rsidR="00603A18" w:rsidRDefault="00603A18">
            <w:pPr>
              <w:keepNext/>
              <w:keepLines/>
              <w:jc w:val="right"/>
              <w:rPr>
                <w:sz w:val="18"/>
                <w:szCs w:val="18"/>
              </w:rPr>
            </w:pPr>
          </w:p>
        </w:tc>
      </w:tr>
      <w:tr w:rsidR="00603A18" w14:paraId="13C10E66" w14:textId="77777777" w:rsidTr="00603A18">
        <w:trPr>
          <w:cantSplit/>
        </w:trPr>
        <w:tc>
          <w:tcPr>
            <w:tcW w:w="1786" w:type="dxa"/>
            <w:hideMark/>
          </w:tcPr>
          <w:p w14:paraId="27857194" w14:textId="77777777" w:rsidR="00603A18" w:rsidRDefault="00603A18">
            <w:pPr>
              <w:keepNext/>
              <w:keepLines/>
              <w:ind w:right="-83"/>
              <w:rPr>
                <w:sz w:val="18"/>
                <w:szCs w:val="18"/>
              </w:rPr>
            </w:pPr>
            <w:r>
              <w:rPr>
                <w:sz w:val="18"/>
              </w:rPr>
              <w:t>Tidligere sygdom</w:t>
            </w:r>
          </w:p>
        </w:tc>
        <w:tc>
          <w:tcPr>
            <w:tcW w:w="1560" w:type="dxa"/>
            <w:hideMark/>
          </w:tcPr>
          <w:p w14:paraId="45630638" w14:textId="77777777" w:rsidR="00603A18" w:rsidRDefault="00603A18">
            <w:pPr>
              <w:keepNext/>
              <w:keepLines/>
              <w:jc w:val="right"/>
              <w:rPr>
                <w:sz w:val="18"/>
                <w:szCs w:val="18"/>
              </w:rPr>
            </w:pPr>
            <w:r>
              <w:rPr>
                <w:sz w:val="18"/>
              </w:rPr>
              <w:t>51/159 (32,1 %)</w:t>
            </w:r>
          </w:p>
        </w:tc>
        <w:tc>
          <w:tcPr>
            <w:tcW w:w="1701" w:type="dxa"/>
            <w:hideMark/>
          </w:tcPr>
          <w:p w14:paraId="02F268D1" w14:textId="77777777" w:rsidR="00603A18" w:rsidRDefault="00603A18">
            <w:pPr>
              <w:keepNext/>
              <w:keepLines/>
              <w:jc w:val="right"/>
              <w:rPr>
                <w:sz w:val="18"/>
                <w:szCs w:val="18"/>
              </w:rPr>
            </w:pPr>
            <w:r>
              <w:rPr>
                <w:sz w:val="18"/>
              </w:rPr>
              <w:t>150/346 (43,4 %)</w:t>
            </w:r>
          </w:p>
        </w:tc>
        <w:tc>
          <w:tcPr>
            <w:tcW w:w="3685" w:type="dxa"/>
            <w:gridSpan w:val="2"/>
            <w:vMerge/>
            <w:tcBorders>
              <w:top w:val="single" w:sz="4" w:space="0" w:color="auto"/>
              <w:left w:val="nil"/>
              <w:bottom w:val="nil"/>
              <w:right w:val="nil"/>
            </w:tcBorders>
            <w:vAlign w:val="center"/>
            <w:hideMark/>
          </w:tcPr>
          <w:p w14:paraId="28ABBE91" w14:textId="77777777" w:rsidR="00603A18" w:rsidRDefault="00603A18">
            <w:pPr>
              <w:rPr>
                <w:b/>
                <w:bCs/>
                <w:sz w:val="2"/>
                <w:szCs w:val="2"/>
              </w:rPr>
            </w:pPr>
          </w:p>
        </w:tc>
        <w:tc>
          <w:tcPr>
            <w:tcW w:w="1353" w:type="dxa"/>
            <w:gridSpan w:val="2"/>
            <w:hideMark/>
          </w:tcPr>
          <w:p w14:paraId="5FBA93B2" w14:textId="77777777" w:rsidR="00603A18" w:rsidRDefault="00603A18">
            <w:pPr>
              <w:keepNext/>
              <w:keepLines/>
              <w:jc w:val="right"/>
              <w:rPr>
                <w:sz w:val="18"/>
                <w:szCs w:val="18"/>
              </w:rPr>
            </w:pPr>
            <w:r>
              <w:rPr>
                <w:sz w:val="18"/>
              </w:rPr>
              <w:t>0,75 (0,54-1,02)</w:t>
            </w:r>
          </w:p>
        </w:tc>
      </w:tr>
      <w:tr w:rsidR="00603A18" w14:paraId="1B3D8DA7" w14:textId="77777777" w:rsidTr="00603A18">
        <w:trPr>
          <w:cantSplit/>
        </w:trPr>
        <w:tc>
          <w:tcPr>
            <w:tcW w:w="1786" w:type="dxa"/>
            <w:hideMark/>
          </w:tcPr>
          <w:p w14:paraId="705226C2" w14:textId="77777777" w:rsidR="00603A18" w:rsidRDefault="00603A18">
            <w:pPr>
              <w:keepNext/>
              <w:keepLines/>
              <w:ind w:right="-83"/>
              <w:rPr>
                <w:sz w:val="18"/>
                <w:szCs w:val="18"/>
              </w:rPr>
            </w:pPr>
            <w:r>
              <w:rPr>
                <w:sz w:val="18"/>
              </w:rPr>
              <w:t>Ingen tidligere sygdom</w:t>
            </w:r>
          </w:p>
        </w:tc>
        <w:tc>
          <w:tcPr>
            <w:tcW w:w="1560" w:type="dxa"/>
            <w:hideMark/>
          </w:tcPr>
          <w:p w14:paraId="1AA5DA2A" w14:textId="77777777" w:rsidR="00603A18" w:rsidRDefault="00603A18">
            <w:pPr>
              <w:keepNext/>
              <w:keepLines/>
              <w:jc w:val="right"/>
              <w:rPr>
                <w:sz w:val="18"/>
                <w:szCs w:val="18"/>
              </w:rPr>
            </w:pPr>
            <w:r>
              <w:rPr>
                <w:sz w:val="18"/>
              </w:rPr>
              <w:t>44/165 (26,7 %)</w:t>
            </w:r>
          </w:p>
        </w:tc>
        <w:tc>
          <w:tcPr>
            <w:tcW w:w="1701" w:type="dxa"/>
            <w:hideMark/>
          </w:tcPr>
          <w:p w14:paraId="67AF3022" w14:textId="77777777" w:rsidR="00603A18" w:rsidRDefault="00603A18">
            <w:pPr>
              <w:keepNext/>
              <w:keepLines/>
              <w:jc w:val="right"/>
              <w:rPr>
                <w:sz w:val="18"/>
                <w:szCs w:val="18"/>
              </w:rPr>
            </w:pPr>
            <w:r>
              <w:rPr>
                <w:sz w:val="18"/>
              </w:rPr>
              <w:t>133/337 (39,5 %)</w:t>
            </w:r>
          </w:p>
        </w:tc>
        <w:tc>
          <w:tcPr>
            <w:tcW w:w="3685" w:type="dxa"/>
            <w:gridSpan w:val="2"/>
            <w:vMerge/>
            <w:tcBorders>
              <w:top w:val="single" w:sz="4" w:space="0" w:color="auto"/>
              <w:left w:val="nil"/>
              <w:bottom w:val="nil"/>
              <w:right w:val="nil"/>
            </w:tcBorders>
            <w:vAlign w:val="center"/>
            <w:hideMark/>
          </w:tcPr>
          <w:p w14:paraId="46D66F01" w14:textId="77777777" w:rsidR="00603A18" w:rsidRDefault="00603A18">
            <w:pPr>
              <w:rPr>
                <w:b/>
                <w:bCs/>
                <w:sz w:val="2"/>
                <w:szCs w:val="2"/>
              </w:rPr>
            </w:pPr>
          </w:p>
        </w:tc>
        <w:tc>
          <w:tcPr>
            <w:tcW w:w="1353" w:type="dxa"/>
            <w:gridSpan w:val="2"/>
            <w:hideMark/>
          </w:tcPr>
          <w:p w14:paraId="2B6D4D5C" w14:textId="77777777" w:rsidR="00603A18" w:rsidRDefault="00603A18">
            <w:pPr>
              <w:keepNext/>
              <w:keepLines/>
              <w:jc w:val="right"/>
              <w:rPr>
                <w:sz w:val="18"/>
                <w:szCs w:val="18"/>
              </w:rPr>
            </w:pPr>
            <w:r>
              <w:rPr>
                <w:sz w:val="18"/>
              </w:rPr>
              <w:t>0,56 (0,40-0,78)</w:t>
            </w:r>
          </w:p>
        </w:tc>
      </w:tr>
      <w:tr w:rsidR="00603A18" w14:paraId="35CE5CAC" w14:textId="77777777" w:rsidTr="00603A18">
        <w:trPr>
          <w:cantSplit/>
        </w:trPr>
        <w:tc>
          <w:tcPr>
            <w:tcW w:w="1786" w:type="dxa"/>
            <w:hideMark/>
          </w:tcPr>
          <w:p w14:paraId="2370013B" w14:textId="77777777" w:rsidR="00603A18" w:rsidRDefault="00603A18">
            <w:pPr>
              <w:keepNext/>
              <w:keepLines/>
              <w:ind w:right="-83"/>
              <w:rPr>
                <w:b/>
                <w:bCs/>
                <w:sz w:val="18"/>
                <w:szCs w:val="18"/>
              </w:rPr>
            </w:pPr>
            <w:r>
              <w:rPr>
                <w:b/>
                <w:sz w:val="18"/>
              </w:rPr>
              <w:t>Subtotal</w:t>
            </w:r>
          </w:p>
        </w:tc>
        <w:tc>
          <w:tcPr>
            <w:tcW w:w="1560" w:type="dxa"/>
            <w:hideMark/>
          </w:tcPr>
          <w:p w14:paraId="1AEC0BCD" w14:textId="77777777" w:rsidR="00603A18" w:rsidRDefault="00603A18">
            <w:pPr>
              <w:keepNext/>
              <w:keepLines/>
              <w:jc w:val="right"/>
              <w:rPr>
                <w:b/>
                <w:bCs/>
                <w:sz w:val="18"/>
                <w:szCs w:val="18"/>
              </w:rPr>
            </w:pPr>
            <w:r>
              <w:rPr>
                <w:b/>
                <w:sz w:val="18"/>
              </w:rPr>
              <w:t>95/324 (29,3 %)</w:t>
            </w:r>
          </w:p>
        </w:tc>
        <w:tc>
          <w:tcPr>
            <w:tcW w:w="1701" w:type="dxa"/>
            <w:hideMark/>
          </w:tcPr>
          <w:p w14:paraId="6C8D895E" w14:textId="77777777" w:rsidR="00603A18" w:rsidRDefault="00603A18">
            <w:pPr>
              <w:keepNext/>
              <w:keepLines/>
              <w:jc w:val="right"/>
              <w:rPr>
                <w:b/>
                <w:bCs/>
                <w:sz w:val="18"/>
                <w:szCs w:val="18"/>
              </w:rPr>
            </w:pPr>
            <w:r>
              <w:rPr>
                <w:b/>
                <w:sz w:val="18"/>
              </w:rPr>
              <w:t>283/683 (41,4 %)</w:t>
            </w:r>
          </w:p>
        </w:tc>
        <w:tc>
          <w:tcPr>
            <w:tcW w:w="3685" w:type="dxa"/>
            <w:gridSpan w:val="2"/>
            <w:vMerge/>
            <w:tcBorders>
              <w:top w:val="single" w:sz="4" w:space="0" w:color="auto"/>
              <w:left w:val="nil"/>
              <w:bottom w:val="nil"/>
              <w:right w:val="nil"/>
            </w:tcBorders>
            <w:vAlign w:val="center"/>
            <w:hideMark/>
          </w:tcPr>
          <w:p w14:paraId="0CDBC972" w14:textId="77777777" w:rsidR="00603A18" w:rsidRDefault="00603A18">
            <w:pPr>
              <w:rPr>
                <w:b/>
                <w:bCs/>
                <w:sz w:val="2"/>
                <w:szCs w:val="2"/>
              </w:rPr>
            </w:pPr>
          </w:p>
        </w:tc>
        <w:tc>
          <w:tcPr>
            <w:tcW w:w="1353" w:type="dxa"/>
            <w:gridSpan w:val="2"/>
            <w:hideMark/>
          </w:tcPr>
          <w:p w14:paraId="66CBDC46" w14:textId="77777777" w:rsidR="00603A18" w:rsidRDefault="00603A18">
            <w:pPr>
              <w:keepNext/>
              <w:keepLines/>
              <w:jc w:val="right"/>
              <w:rPr>
                <w:b/>
                <w:bCs/>
                <w:sz w:val="18"/>
                <w:szCs w:val="18"/>
              </w:rPr>
            </w:pPr>
            <w:r>
              <w:rPr>
                <w:b/>
                <w:sz w:val="18"/>
              </w:rPr>
              <w:t>0,64 (0,51-0,81)</w:t>
            </w:r>
          </w:p>
        </w:tc>
      </w:tr>
      <w:tr w:rsidR="00603A18" w14:paraId="5D39883C" w14:textId="77777777" w:rsidTr="00603A18">
        <w:trPr>
          <w:cantSplit/>
        </w:trPr>
        <w:tc>
          <w:tcPr>
            <w:tcW w:w="1786" w:type="dxa"/>
          </w:tcPr>
          <w:p w14:paraId="48C5F3E6" w14:textId="77777777" w:rsidR="00603A18" w:rsidRDefault="00603A18">
            <w:pPr>
              <w:keepNext/>
              <w:keepLines/>
              <w:ind w:right="-83"/>
              <w:rPr>
                <w:sz w:val="18"/>
                <w:szCs w:val="18"/>
              </w:rPr>
            </w:pPr>
          </w:p>
        </w:tc>
        <w:tc>
          <w:tcPr>
            <w:tcW w:w="1560" w:type="dxa"/>
          </w:tcPr>
          <w:p w14:paraId="6D2A87FB" w14:textId="77777777" w:rsidR="00603A18" w:rsidRDefault="00603A18">
            <w:pPr>
              <w:keepNext/>
              <w:keepLines/>
              <w:rPr>
                <w:sz w:val="18"/>
                <w:szCs w:val="18"/>
              </w:rPr>
            </w:pPr>
          </w:p>
        </w:tc>
        <w:tc>
          <w:tcPr>
            <w:tcW w:w="1701" w:type="dxa"/>
          </w:tcPr>
          <w:p w14:paraId="13AFA8B0" w14:textId="77777777" w:rsidR="00603A18" w:rsidRDefault="00603A18">
            <w:pPr>
              <w:keepNext/>
              <w:keepLines/>
              <w:rPr>
                <w:sz w:val="18"/>
                <w:szCs w:val="18"/>
              </w:rPr>
            </w:pPr>
          </w:p>
        </w:tc>
        <w:tc>
          <w:tcPr>
            <w:tcW w:w="3685" w:type="dxa"/>
            <w:gridSpan w:val="2"/>
            <w:vMerge/>
            <w:tcBorders>
              <w:top w:val="single" w:sz="4" w:space="0" w:color="auto"/>
              <w:left w:val="nil"/>
              <w:bottom w:val="nil"/>
              <w:right w:val="nil"/>
            </w:tcBorders>
            <w:vAlign w:val="center"/>
            <w:hideMark/>
          </w:tcPr>
          <w:p w14:paraId="54E72F31" w14:textId="77777777" w:rsidR="00603A18" w:rsidRDefault="00603A18">
            <w:pPr>
              <w:rPr>
                <w:b/>
                <w:bCs/>
                <w:sz w:val="2"/>
                <w:szCs w:val="2"/>
              </w:rPr>
            </w:pPr>
          </w:p>
        </w:tc>
        <w:tc>
          <w:tcPr>
            <w:tcW w:w="1353" w:type="dxa"/>
            <w:gridSpan w:val="2"/>
          </w:tcPr>
          <w:p w14:paraId="440A610A" w14:textId="77777777" w:rsidR="00603A18" w:rsidRDefault="00603A18">
            <w:pPr>
              <w:keepNext/>
              <w:keepLines/>
              <w:jc w:val="right"/>
              <w:rPr>
                <w:sz w:val="18"/>
                <w:szCs w:val="18"/>
              </w:rPr>
            </w:pPr>
          </w:p>
        </w:tc>
      </w:tr>
      <w:tr w:rsidR="00603A18" w14:paraId="0E9C6927" w14:textId="77777777" w:rsidTr="00603A18">
        <w:trPr>
          <w:cantSplit/>
        </w:trPr>
        <w:tc>
          <w:tcPr>
            <w:tcW w:w="1786" w:type="dxa"/>
            <w:hideMark/>
          </w:tcPr>
          <w:p w14:paraId="032C4A34" w14:textId="77777777" w:rsidR="00603A18" w:rsidRDefault="00603A18">
            <w:pPr>
              <w:keepNext/>
              <w:keepLines/>
              <w:ind w:right="-83"/>
              <w:rPr>
                <w:b/>
                <w:bCs/>
                <w:sz w:val="18"/>
                <w:szCs w:val="18"/>
              </w:rPr>
            </w:pPr>
            <w:r>
              <w:rPr>
                <w:b/>
                <w:sz w:val="18"/>
              </w:rPr>
              <w:t>Alle deltagere</w:t>
            </w:r>
          </w:p>
        </w:tc>
        <w:tc>
          <w:tcPr>
            <w:tcW w:w="1560" w:type="dxa"/>
            <w:hideMark/>
          </w:tcPr>
          <w:p w14:paraId="55276FA7" w14:textId="77777777" w:rsidR="00603A18" w:rsidRDefault="00603A18">
            <w:pPr>
              <w:keepNext/>
              <w:keepLines/>
              <w:jc w:val="right"/>
              <w:rPr>
                <w:b/>
                <w:bCs/>
                <w:sz w:val="18"/>
                <w:szCs w:val="18"/>
              </w:rPr>
            </w:pPr>
            <w:r>
              <w:rPr>
                <w:b/>
                <w:sz w:val="18"/>
              </w:rPr>
              <w:t>482/2.104 (22,9 %)</w:t>
            </w:r>
          </w:p>
        </w:tc>
        <w:tc>
          <w:tcPr>
            <w:tcW w:w="1701" w:type="dxa"/>
            <w:hideMark/>
          </w:tcPr>
          <w:p w14:paraId="64F32D70" w14:textId="77777777" w:rsidR="00603A18" w:rsidRDefault="00603A18">
            <w:pPr>
              <w:keepNext/>
              <w:keepLines/>
              <w:jc w:val="right"/>
              <w:rPr>
                <w:b/>
                <w:bCs/>
                <w:sz w:val="18"/>
                <w:szCs w:val="18"/>
              </w:rPr>
            </w:pPr>
            <w:r>
              <w:rPr>
                <w:b/>
                <w:sz w:val="18"/>
              </w:rPr>
              <w:t>1110/4.321 (25,7 %)</w:t>
            </w:r>
          </w:p>
        </w:tc>
        <w:tc>
          <w:tcPr>
            <w:tcW w:w="3685" w:type="dxa"/>
            <w:gridSpan w:val="2"/>
            <w:vMerge/>
            <w:tcBorders>
              <w:top w:val="single" w:sz="4" w:space="0" w:color="auto"/>
              <w:left w:val="nil"/>
              <w:bottom w:val="nil"/>
              <w:right w:val="nil"/>
            </w:tcBorders>
            <w:vAlign w:val="center"/>
            <w:hideMark/>
          </w:tcPr>
          <w:p w14:paraId="60231560" w14:textId="77777777" w:rsidR="00603A18" w:rsidRDefault="00603A18">
            <w:pPr>
              <w:rPr>
                <w:b/>
                <w:bCs/>
                <w:sz w:val="2"/>
                <w:szCs w:val="2"/>
              </w:rPr>
            </w:pPr>
          </w:p>
        </w:tc>
        <w:tc>
          <w:tcPr>
            <w:tcW w:w="1353" w:type="dxa"/>
            <w:gridSpan w:val="2"/>
            <w:hideMark/>
          </w:tcPr>
          <w:p w14:paraId="3CF7EF19" w14:textId="77777777" w:rsidR="00603A18" w:rsidRDefault="00603A18">
            <w:pPr>
              <w:keepNext/>
              <w:keepLines/>
              <w:jc w:val="right"/>
              <w:rPr>
                <w:b/>
                <w:bCs/>
                <w:sz w:val="18"/>
                <w:szCs w:val="18"/>
              </w:rPr>
            </w:pPr>
            <w:r>
              <w:rPr>
                <w:b/>
                <w:sz w:val="18"/>
              </w:rPr>
              <w:t>0,83 (0,75-0,93)</w:t>
            </w:r>
          </w:p>
        </w:tc>
      </w:tr>
      <w:tr w:rsidR="00603A18" w14:paraId="76ABF677" w14:textId="77777777" w:rsidTr="00603A18">
        <w:trPr>
          <w:cantSplit/>
        </w:trPr>
        <w:tc>
          <w:tcPr>
            <w:tcW w:w="1786" w:type="dxa"/>
          </w:tcPr>
          <w:p w14:paraId="217AB332" w14:textId="77777777" w:rsidR="00603A18" w:rsidRDefault="00603A18">
            <w:pPr>
              <w:keepNext/>
              <w:keepLines/>
              <w:ind w:right="-83"/>
              <w:rPr>
                <w:sz w:val="18"/>
                <w:szCs w:val="18"/>
              </w:rPr>
            </w:pPr>
          </w:p>
        </w:tc>
        <w:tc>
          <w:tcPr>
            <w:tcW w:w="1560" w:type="dxa"/>
          </w:tcPr>
          <w:p w14:paraId="7B393736" w14:textId="77777777" w:rsidR="00603A18" w:rsidRDefault="00603A18">
            <w:pPr>
              <w:keepNext/>
              <w:keepLines/>
              <w:rPr>
                <w:sz w:val="18"/>
                <w:szCs w:val="18"/>
              </w:rPr>
            </w:pPr>
          </w:p>
        </w:tc>
        <w:tc>
          <w:tcPr>
            <w:tcW w:w="1701" w:type="dxa"/>
          </w:tcPr>
          <w:p w14:paraId="5D081FB5" w14:textId="77777777" w:rsidR="00603A18" w:rsidRDefault="00603A18">
            <w:pPr>
              <w:keepNext/>
              <w:keepLines/>
              <w:rPr>
                <w:sz w:val="18"/>
                <w:szCs w:val="18"/>
              </w:rPr>
            </w:pPr>
          </w:p>
        </w:tc>
        <w:tc>
          <w:tcPr>
            <w:tcW w:w="3685" w:type="dxa"/>
            <w:gridSpan w:val="2"/>
            <w:vMerge/>
            <w:tcBorders>
              <w:top w:val="single" w:sz="4" w:space="0" w:color="auto"/>
              <w:left w:val="nil"/>
              <w:bottom w:val="nil"/>
              <w:right w:val="nil"/>
            </w:tcBorders>
            <w:vAlign w:val="center"/>
            <w:hideMark/>
          </w:tcPr>
          <w:p w14:paraId="1BB53DCB" w14:textId="77777777" w:rsidR="00603A18" w:rsidRDefault="00603A18">
            <w:pPr>
              <w:rPr>
                <w:b/>
                <w:bCs/>
                <w:sz w:val="2"/>
                <w:szCs w:val="2"/>
              </w:rPr>
            </w:pPr>
          </w:p>
        </w:tc>
        <w:tc>
          <w:tcPr>
            <w:tcW w:w="1353" w:type="dxa"/>
            <w:gridSpan w:val="2"/>
            <w:hideMark/>
          </w:tcPr>
          <w:p w14:paraId="131062D3" w14:textId="77777777" w:rsidR="00603A18" w:rsidRDefault="00603A18">
            <w:pPr>
              <w:keepNext/>
              <w:keepLines/>
              <w:jc w:val="right"/>
              <w:rPr>
                <w:b/>
                <w:bCs/>
                <w:sz w:val="18"/>
                <w:szCs w:val="18"/>
              </w:rPr>
            </w:pPr>
            <w:r>
              <w:rPr>
                <w:b/>
                <w:sz w:val="18"/>
              </w:rPr>
              <w:t>p&lt;0,001</w:t>
            </w:r>
          </w:p>
        </w:tc>
      </w:tr>
      <w:tr w:rsidR="00603A18" w14:paraId="73DBF280" w14:textId="77777777" w:rsidTr="00603A18">
        <w:trPr>
          <w:cantSplit/>
        </w:trPr>
        <w:tc>
          <w:tcPr>
            <w:tcW w:w="1786" w:type="dxa"/>
          </w:tcPr>
          <w:p w14:paraId="3E1B2DD0" w14:textId="77777777" w:rsidR="00603A18" w:rsidRDefault="00603A18">
            <w:pPr>
              <w:keepNext/>
              <w:keepLines/>
              <w:ind w:right="-83"/>
              <w:rPr>
                <w:sz w:val="18"/>
                <w:szCs w:val="18"/>
              </w:rPr>
            </w:pPr>
          </w:p>
        </w:tc>
        <w:tc>
          <w:tcPr>
            <w:tcW w:w="1560" w:type="dxa"/>
          </w:tcPr>
          <w:p w14:paraId="33B964B2" w14:textId="77777777" w:rsidR="00603A18" w:rsidRDefault="00603A18">
            <w:pPr>
              <w:keepNext/>
              <w:keepLines/>
              <w:rPr>
                <w:sz w:val="18"/>
                <w:szCs w:val="18"/>
              </w:rPr>
            </w:pPr>
          </w:p>
        </w:tc>
        <w:tc>
          <w:tcPr>
            <w:tcW w:w="1701" w:type="dxa"/>
          </w:tcPr>
          <w:p w14:paraId="6A58DC39" w14:textId="77777777" w:rsidR="00603A18" w:rsidRDefault="00603A18">
            <w:pPr>
              <w:keepNext/>
              <w:keepLines/>
              <w:rPr>
                <w:sz w:val="18"/>
                <w:szCs w:val="18"/>
              </w:rPr>
            </w:pPr>
          </w:p>
        </w:tc>
        <w:tc>
          <w:tcPr>
            <w:tcW w:w="1275" w:type="dxa"/>
            <w:hideMark/>
          </w:tcPr>
          <w:p w14:paraId="6E05758F" w14:textId="77777777" w:rsidR="00603A18" w:rsidRDefault="00603A18">
            <w:pPr>
              <w:keepNext/>
              <w:keepLines/>
              <w:ind w:right="-139"/>
              <w:jc w:val="center"/>
              <w:rPr>
                <w:sz w:val="18"/>
                <w:szCs w:val="18"/>
              </w:rPr>
            </w:pPr>
            <w:proofErr w:type="spellStart"/>
            <w:r>
              <w:rPr>
                <w:sz w:val="18"/>
              </w:rPr>
              <w:t>Dexamethason</w:t>
            </w:r>
            <w:proofErr w:type="spellEnd"/>
            <w:r>
              <w:rPr>
                <w:sz w:val="18"/>
              </w:rPr>
              <w:t xml:space="preserve"> bedre</w:t>
            </w:r>
          </w:p>
        </w:tc>
        <w:tc>
          <w:tcPr>
            <w:tcW w:w="1276" w:type="dxa"/>
            <w:gridSpan w:val="2"/>
            <w:hideMark/>
          </w:tcPr>
          <w:p w14:paraId="627BDCA4" w14:textId="77777777" w:rsidR="00603A18" w:rsidRDefault="00603A18">
            <w:pPr>
              <w:keepNext/>
              <w:keepLines/>
              <w:jc w:val="center"/>
              <w:rPr>
                <w:sz w:val="18"/>
                <w:szCs w:val="18"/>
              </w:rPr>
            </w:pPr>
            <w:proofErr w:type="spellStart"/>
            <w:r>
              <w:rPr>
                <w:sz w:val="18"/>
              </w:rPr>
              <w:t>Standardbe</w:t>
            </w:r>
            <w:proofErr w:type="spellEnd"/>
            <w:r>
              <w:rPr>
                <w:sz w:val="18"/>
              </w:rPr>
              <w:t>-handling bedre</w:t>
            </w:r>
          </w:p>
        </w:tc>
        <w:tc>
          <w:tcPr>
            <w:tcW w:w="1211" w:type="dxa"/>
          </w:tcPr>
          <w:p w14:paraId="44CC7CC9" w14:textId="77777777" w:rsidR="00603A18" w:rsidRDefault="00603A18">
            <w:pPr>
              <w:keepNext/>
              <w:keepLines/>
              <w:rPr>
                <w:b/>
                <w:bCs/>
                <w:sz w:val="18"/>
                <w:szCs w:val="18"/>
              </w:rPr>
            </w:pPr>
          </w:p>
        </w:tc>
      </w:tr>
    </w:tbl>
    <w:p w14:paraId="57F2FD47" w14:textId="77777777" w:rsidR="00603A18" w:rsidRDefault="00603A18" w:rsidP="00603A18">
      <w:pPr>
        <w:pStyle w:val="Brdtekst"/>
        <w:keepNext/>
        <w:keepLines/>
        <w:spacing w:before="11"/>
        <w:rPr>
          <w:sz w:val="16"/>
          <w:szCs w:val="16"/>
        </w:rPr>
      </w:pPr>
    </w:p>
    <w:p w14:paraId="1FEB7279" w14:textId="77777777" w:rsidR="00603A18" w:rsidRDefault="00603A18" w:rsidP="00603A18">
      <w:pPr>
        <w:pStyle w:val="Brdtekst"/>
        <w:spacing w:before="11"/>
        <w:rPr>
          <w:sz w:val="16"/>
          <w:szCs w:val="16"/>
        </w:rPr>
      </w:pPr>
      <w:r>
        <w:rPr>
          <w:sz w:val="16"/>
        </w:rPr>
        <w:t xml:space="preserve">Kilde: </w:t>
      </w:r>
      <w:proofErr w:type="spellStart"/>
      <w:r>
        <w:rPr>
          <w:sz w:val="16"/>
        </w:rPr>
        <w:t>Horby</w:t>
      </w:r>
      <w:proofErr w:type="spellEnd"/>
      <w:r>
        <w:rPr>
          <w:sz w:val="16"/>
        </w:rPr>
        <w:t xml:space="preserve"> P. et al., N </w:t>
      </w:r>
      <w:proofErr w:type="spellStart"/>
      <w:r>
        <w:rPr>
          <w:sz w:val="16"/>
        </w:rPr>
        <w:t>Engl</w:t>
      </w:r>
      <w:proofErr w:type="spellEnd"/>
      <w:r>
        <w:rPr>
          <w:sz w:val="16"/>
        </w:rPr>
        <w:t xml:space="preserve"> J Med. 2020 juli 17</w:t>
      </w:r>
    </w:p>
    <w:p w14:paraId="26935217" w14:textId="77777777" w:rsidR="00603A18" w:rsidRPr="00B51D93" w:rsidRDefault="00603A18" w:rsidP="00603A18">
      <w:pPr>
        <w:pStyle w:val="Brdtekst"/>
        <w:spacing w:before="11"/>
        <w:rPr>
          <w:sz w:val="24"/>
          <w:szCs w:val="24"/>
        </w:rPr>
      </w:pPr>
    </w:p>
    <w:p w14:paraId="14D5764F"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14B8DDD0" w14:textId="77777777" w:rsidR="00792979" w:rsidRPr="00792979" w:rsidRDefault="00792979" w:rsidP="00792979">
      <w:pPr>
        <w:tabs>
          <w:tab w:val="left" w:pos="851"/>
        </w:tabs>
        <w:ind w:left="851"/>
        <w:rPr>
          <w:sz w:val="24"/>
          <w:szCs w:val="24"/>
        </w:rPr>
      </w:pPr>
    </w:p>
    <w:p w14:paraId="13222532" w14:textId="77777777" w:rsidR="00792979" w:rsidRPr="00792979" w:rsidRDefault="00792979" w:rsidP="00792979">
      <w:pPr>
        <w:tabs>
          <w:tab w:val="left" w:pos="851"/>
        </w:tabs>
        <w:ind w:left="851"/>
        <w:rPr>
          <w:sz w:val="24"/>
          <w:szCs w:val="24"/>
          <w:u w:val="single"/>
        </w:rPr>
      </w:pPr>
      <w:r w:rsidRPr="00792979">
        <w:rPr>
          <w:sz w:val="24"/>
          <w:szCs w:val="24"/>
          <w:u w:val="single"/>
        </w:rPr>
        <w:t>Absorption</w:t>
      </w:r>
    </w:p>
    <w:p w14:paraId="1FF99E39" w14:textId="77777777" w:rsidR="00792979" w:rsidRPr="00792979" w:rsidRDefault="00792979" w:rsidP="00792979">
      <w:pPr>
        <w:tabs>
          <w:tab w:val="left" w:pos="851"/>
        </w:tabs>
        <w:ind w:left="851"/>
        <w:rPr>
          <w:sz w:val="24"/>
          <w:szCs w:val="24"/>
        </w:rPr>
      </w:pPr>
      <w:proofErr w:type="spellStart"/>
      <w:r w:rsidRPr="00792979">
        <w:rPr>
          <w:sz w:val="24"/>
          <w:szCs w:val="24"/>
        </w:rPr>
        <w:t>Dexamethason</w:t>
      </w:r>
      <w:proofErr w:type="spellEnd"/>
      <w:r w:rsidRPr="00792979">
        <w:rPr>
          <w:sz w:val="24"/>
          <w:szCs w:val="24"/>
        </w:rPr>
        <w:t xml:space="preserve"> absorberes hurtigt og næsten fuldstændigt i mave og tyndtarm efter oral administration. Biotilgængeligheden efter oral administration er 80 % til 90 %. Den maksimale plasmakoncentration nås 1-2 timer efter administration.</w:t>
      </w:r>
    </w:p>
    <w:p w14:paraId="4637A6E1" w14:textId="77777777" w:rsidR="00792979" w:rsidRPr="00792979" w:rsidRDefault="00792979" w:rsidP="00792979">
      <w:pPr>
        <w:tabs>
          <w:tab w:val="left" w:pos="851"/>
        </w:tabs>
        <w:ind w:left="851"/>
        <w:rPr>
          <w:sz w:val="24"/>
          <w:szCs w:val="24"/>
        </w:rPr>
      </w:pPr>
    </w:p>
    <w:p w14:paraId="6009EC17" w14:textId="77777777" w:rsidR="00792979" w:rsidRPr="00792979" w:rsidRDefault="00792979" w:rsidP="00792979">
      <w:pPr>
        <w:tabs>
          <w:tab w:val="left" w:pos="851"/>
        </w:tabs>
        <w:ind w:left="851"/>
        <w:rPr>
          <w:sz w:val="24"/>
          <w:szCs w:val="24"/>
          <w:u w:val="single"/>
        </w:rPr>
      </w:pPr>
      <w:r w:rsidRPr="00792979">
        <w:rPr>
          <w:sz w:val="24"/>
          <w:szCs w:val="24"/>
          <w:u w:val="single"/>
        </w:rPr>
        <w:t>Fordeling</w:t>
      </w:r>
    </w:p>
    <w:p w14:paraId="77B30CD6" w14:textId="754C83A8" w:rsidR="00792979" w:rsidRDefault="00792979" w:rsidP="00792979">
      <w:pPr>
        <w:tabs>
          <w:tab w:val="left" w:pos="851"/>
        </w:tabs>
        <w:ind w:left="851"/>
        <w:rPr>
          <w:sz w:val="24"/>
          <w:szCs w:val="24"/>
        </w:rPr>
      </w:pPr>
      <w:proofErr w:type="spellStart"/>
      <w:r w:rsidRPr="00792979">
        <w:rPr>
          <w:sz w:val="24"/>
          <w:szCs w:val="24"/>
        </w:rPr>
        <w:t>Dexamethason</w:t>
      </w:r>
      <w:proofErr w:type="spellEnd"/>
      <w:r w:rsidRPr="00792979">
        <w:rPr>
          <w:sz w:val="24"/>
          <w:szCs w:val="24"/>
        </w:rPr>
        <w:t xml:space="preserve"> binder til plasmaalbumin på en dosisafhængig måde. I høje doser cirkulerer størstedelen frit i blodplasma, og ved hypoalbuminæmi stiger den andel af </w:t>
      </w:r>
      <w:proofErr w:type="spellStart"/>
      <w:r w:rsidRPr="00792979">
        <w:rPr>
          <w:sz w:val="24"/>
          <w:szCs w:val="24"/>
        </w:rPr>
        <w:t>kortikoidet</w:t>
      </w:r>
      <w:proofErr w:type="spellEnd"/>
      <w:r w:rsidRPr="00792979">
        <w:rPr>
          <w:sz w:val="24"/>
          <w:szCs w:val="24"/>
        </w:rPr>
        <w:t>, der ikke er bundet til proteiner.</w:t>
      </w:r>
    </w:p>
    <w:p w14:paraId="1363BE04" w14:textId="77777777" w:rsidR="00792979" w:rsidRPr="00792979" w:rsidRDefault="00792979" w:rsidP="00792979">
      <w:pPr>
        <w:tabs>
          <w:tab w:val="left" w:pos="851"/>
        </w:tabs>
        <w:ind w:left="851"/>
        <w:rPr>
          <w:sz w:val="24"/>
          <w:szCs w:val="24"/>
        </w:rPr>
      </w:pPr>
    </w:p>
    <w:p w14:paraId="2B006FD2" w14:textId="77777777" w:rsidR="00792979" w:rsidRPr="00792979" w:rsidRDefault="00792979" w:rsidP="00792979">
      <w:pPr>
        <w:tabs>
          <w:tab w:val="left" w:pos="851"/>
        </w:tabs>
        <w:ind w:left="851"/>
        <w:rPr>
          <w:sz w:val="24"/>
          <w:szCs w:val="24"/>
          <w:u w:val="single"/>
        </w:rPr>
      </w:pPr>
      <w:r w:rsidRPr="00792979">
        <w:rPr>
          <w:sz w:val="24"/>
          <w:szCs w:val="24"/>
          <w:u w:val="single"/>
        </w:rPr>
        <w:t>Metabolisme og elimination</w:t>
      </w:r>
    </w:p>
    <w:p w14:paraId="4ACE8B5A" w14:textId="77777777" w:rsidR="00792979" w:rsidRPr="00792979" w:rsidRDefault="00792979" w:rsidP="00792979">
      <w:pPr>
        <w:tabs>
          <w:tab w:val="left" w:pos="851"/>
        </w:tabs>
        <w:ind w:left="851"/>
        <w:rPr>
          <w:sz w:val="24"/>
          <w:szCs w:val="24"/>
        </w:rPr>
      </w:pPr>
      <w:proofErr w:type="spellStart"/>
      <w:r w:rsidRPr="00792979">
        <w:rPr>
          <w:sz w:val="24"/>
          <w:szCs w:val="24"/>
        </w:rPr>
        <w:t>Dexamethasons</w:t>
      </w:r>
      <w:proofErr w:type="spellEnd"/>
      <w:r w:rsidRPr="00792979">
        <w:rPr>
          <w:sz w:val="24"/>
          <w:szCs w:val="24"/>
        </w:rPr>
        <w:t xml:space="preserve"> halveringstid hos voksne er cirka 3-6 timer. </w:t>
      </w:r>
    </w:p>
    <w:p w14:paraId="70C4E125" w14:textId="77777777" w:rsidR="00792979" w:rsidRPr="00792979" w:rsidRDefault="00792979" w:rsidP="00792979">
      <w:pPr>
        <w:tabs>
          <w:tab w:val="left" w:pos="851"/>
        </w:tabs>
        <w:ind w:left="851"/>
        <w:rPr>
          <w:sz w:val="24"/>
          <w:szCs w:val="24"/>
        </w:rPr>
      </w:pPr>
      <w:r w:rsidRPr="00792979">
        <w:rPr>
          <w:sz w:val="24"/>
          <w:szCs w:val="24"/>
        </w:rPr>
        <w:t xml:space="preserve">Elimination af </w:t>
      </w:r>
      <w:proofErr w:type="spellStart"/>
      <w:r w:rsidRPr="00792979">
        <w:rPr>
          <w:sz w:val="24"/>
          <w:szCs w:val="24"/>
        </w:rPr>
        <w:t>dexamethason</w:t>
      </w:r>
      <w:proofErr w:type="spellEnd"/>
      <w:r w:rsidRPr="00792979">
        <w:rPr>
          <w:sz w:val="24"/>
          <w:szCs w:val="24"/>
        </w:rPr>
        <w:t xml:space="preserve"> foregår primært ved metabolisme. </w:t>
      </w:r>
      <w:proofErr w:type="spellStart"/>
      <w:r w:rsidRPr="00792979">
        <w:rPr>
          <w:sz w:val="24"/>
          <w:szCs w:val="24"/>
        </w:rPr>
        <w:t>Dexamethason</w:t>
      </w:r>
      <w:proofErr w:type="spellEnd"/>
      <w:r w:rsidRPr="00792979">
        <w:rPr>
          <w:sz w:val="24"/>
          <w:szCs w:val="24"/>
        </w:rPr>
        <w:t xml:space="preserve"> </w:t>
      </w:r>
      <w:proofErr w:type="spellStart"/>
      <w:r w:rsidRPr="00792979">
        <w:rPr>
          <w:sz w:val="24"/>
          <w:szCs w:val="24"/>
        </w:rPr>
        <w:t>metaboliseres</w:t>
      </w:r>
      <w:proofErr w:type="spellEnd"/>
      <w:r w:rsidRPr="00792979">
        <w:rPr>
          <w:sz w:val="24"/>
          <w:szCs w:val="24"/>
        </w:rPr>
        <w:t xml:space="preserve"> primært ved </w:t>
      </w:r>
      <w:proofErr w:type="spellStart"/>
      <w:r w:rsidRPr="00792979">
        <w:rPr>
          <w:sz w:val="24"/>
          <w:szCs w:val="24"/>
        </w:rPr>
        <w:t>hydroxylering</w:t>
      </w:r>
      <w:proofErr w:type="spellEnd"/>
      <w:r w:rsidRPr="00792979">
        <w:rPr>
          <w:sz w:val="24"/>
          <w:szCs w:val="24"/>
        </w:rPr>
        <w:t xml:space="preserve"> i leveren af CYP3A, men også i nyrerne af 11-beta-hydroxysteroid-dehydrogenase-isoenzymer. </w:t>
      </w:r>
      <w:proofErr w:type="spellStart"/>
      <w:r w:rsidRPr="00792979">
        <w:rPr>
          <w:sz w:val="24"/>
          <w:szCs w:val="24"/>
        </w:rPr>
        <w:t>Dexamethason</w:t>
      </w:r>
      <w:proofErr w:type="spellEnd"/>
      <w:r w:rsidRPr="00792979">
        <w:rPr>
          <w:sz w:val="24"/>
          <w:szCs w:val="24"/>
        </w:rPr>
        <w:t xml:space="preserve"> og dets metabolitter udskilles i urin.</w:t>
      </w:r>
    </w:p>
    <w:p w14:paraId="4BFE4665" w14:textId="77777777" w:rsidR="00792979" w:rsidRPr="00792979" w:rsidRDefault="00792979" w:rsidP="00792979">
      <w:pPr>
        <w:tabs>
          <w:tab w:val="left" w:pos="851"/>
        </w:tabs>
        <w:ind w:left="851"/>
        <w:rPr>
          <w:sz w:val="24"/>
          <w:szCs w:val="24"/>
        </w:rPr>
      </w:pPr>
    </w:p>
    <w:p w14:paraId="74DF7791" w14:textId="77777777" w:rsidR="00792979" w:rsidRPr="00792979" w:rsidRDefault="00792979" w:rsidP="00792979">
      <w:pPr>
        <w:tabs>
          <w:tab w:val="left" w:pos="851"/>
        </w:tabs>
        <w:ind w:left="851"/>
        <w:rPr>
          <w:sz w:val="24"/>
          <w:szCs w:val="24"/>
        </w:rPr>
      </w:pPr>
      <w:r w:rsidRPr="00792979">
        <w:rPr>
          <w:sz w:val="24"/>
          <w:szCs w:val="24"/>
          <w:u w:val="single"/>
        </w:rPr>
        <w:t>Nedsat nyre- og leverfunktion</w:t>
      </w:r>
    </w:p>
    <w:p w14:paraId="3BFADE93" w14:textId="77777777" w:rsidR="00792979" w:rsidRPr="00792979" w:rsidRDefault="00792979" w:rsidP="00792979">
      <w:pPr>
        <w:tabs>
          <w:tab w:val="left" w:pos="851"/>
        </w:tabs>
        <w:ind w:left="851"/>
        <w:rPr>
          <w:sz w:val="24"/>
          <w:szCs w:val="24"/>
        </w:rPr>
      </w:pPr>
      <w:proofErr w:type="spellStart"/>
      <w:r w:rsidRPr="00792979">
        <w:rPr>
          <w:sz w:val="24"/>
          <w:szCs w:val="24"/>
        </w:rPr>
        <w:t>Dexamethasons</w:t>
      </w:r>
      <w:proofErr w:type="spellEnd"/>
      <w:r w:rsidRPr="00792979">
        <w:rPr>
          <w:sz w:val="24"/>
          <w:szCs w:val="24"/>
        </w:rPr>
        <w:t xml:space="preserve"> farmakokinetik påvirkes ikke af en nedsat nyrefunktion. </w:t>
      </w:r>
      <w:proofErr w:type="spellStart"/>
      <w:r w:rsidRPr="00792979">
        <w:rPr>
          <w:sz w:val="24"/>
          <w:szCs w:val="24"/>
        </w:rPr>
        <w:t>Dexamethasons</w:t>
      </w:r>
      <w:proofErr w:type="spellEnd"/>
      <w:r w:rsidRPr="00792979">
        <w:rPr>
          <w:sz w:val="24"/>
          <w:szCs w:val="24"/>
        </w:rPr>
        <w:t xml:space="preserve"> terminale halveringstid har vist sig at stige hos patienter med svært nedsat leverfunktion.</w:t>
      </w:r>
    </w:p>
    <w:p w14:paraId="14F7DA9C" w14:textId="393689BE" w:rsidR="000F7AD9" w:rsidRDefault="000F7AD9">
      <w:pPr>
        <w:rPr>
          <w:sz w:val="24"/>
          <w:szCs w:val="24"/>
        </w:rPr>
      </w:pPr>
      <w:r>
        <w:rPr>
          <w:sz w:val="24"/>
          <w:szCs w:val="24"/>
        </w:rPr>
        <w:br w:type="page"/>
      </w:r>
    </w:p>
    <w:p w14:paraId="7C4F129D" w14:textId="77777777" w:rsidR="009260DE" w:rsidRPr="00C84483" w:rsidRDefault="009260DE" w:rsidP="009260DE">
      <w:pPr>
        <w:tabs>
          <w:tab w:val="left" w:pos="851"/>
        </w:tabs>
        <w:ind w:left="851"/>
        <w:rPr>
          <w:sz w:val="24"/>
          <w:szCs w:val="24"/>
        </w:rPr>
      </w:pPr>
    </w:p>
    <w:p w14:paraId="038A4B66" w14:textId="49E1FED0"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6" w:name="_Hlk121750318"/>
      <w:r w:rsidR="00F73680" w:rsidRPr="00BA4587">
        <w:rPr>
          <w:b/>
          <w:sz w:val="24"/>
          <w:szCs w:val="24"/>
        </w:rPr>
        <w:t>Non-kliniske sikkerhedsdata</w:t>
      </w:r>
      <w:bookmarkEnd w:id="6"/>
    </w:p>
    <w:p w14:paraId="352A777B" w14:textId="77777777" w:rsidR="000F7AD9" w:rsidRDefault="000F7AD9" w:rsidP="0024381B">
      <w:pPr>
        <w:tabs>
          <w:tab w:val="left" w:pos="851"/>
        </w:tabs>
        <w:ind w:left="851"/>
        <w:rPr>
          <w:sz w:val="24"/>
          <w:szCs w:val="24"/>
          <w:u w:val="single"/>
        </w:rPr>
      </w:pPr>
    </w:p>
    <w:p w14:paraId="7DDC3E7C" w14:textId="28072530" w:rsidR="0024381B" w:rsidRPr="0024381B" w:rsidRDefault="0024381B" w:rsidP="0024381B">
      <w:pPr>
        <w:tabs>
          <w:tab w:val="left" w:pos="851"/>
        </w:tabs>
        <w:ind w:left="851"/>
        <w:rPr>
          <w:sz w:val="24"/>
          <w:szCs w:val="24"/>
        </w:rPr>
      </w:pPr>
      <w:r w:rsidRPr="0024381B">
        <w:rPr>
          <w:sz w:val="24"/>
          <w:szCs w:val="24"/>
          <w:u w:val="single"/>
        </w:rPr>
        <w:t>Akut og kronisk toksicitet</w:t>
      </w:r>
    </w:p>
    <w:p w14:paraId="05560C58" w14:textId="77777777" w:rsidR="0024381B" w:rsidRPr="0024381B" w:rsidRDefault="0024381B" w:rsidP="0024381B">
      <w:pPr>
        <w:tabs>
          <w:tab w:val="left" w:pos="851"/>
        </w:tabs>
        <w:ind w:left="851"/>
        <w:rPr>
          <w:sz w:val="24"/>
          <w:szCs w:val="24"/>
        </w:rPr>
      </w:pPr>
      <w:proofErr w:type="spellStart"/>
      <w:r w:rsidRPr="0024381B">
        <w:rPr>
          <w:sz w:val="24"/>
          <w:szCs w:val="24"/>
        </w:rPr>
        <w:t>Glukokortikoider</w:t>
      </w:r>
      <w:proofErr w:type="spellEnd"/>
      <w:r w:rsidRPr="0024381B">
        <w:rPr>
          <w:sz w:val="24"/>
          <w:szCs w:val="24"/>
        </w:rPr>
        <w:t xml:space="preserve"> har en meget lav akut toksicitet. Der findes ingen data vedrørende eksponeringen for kronisk toksicitet hos dyr.</w:t>
      </w:r>
    </w:p>
    <w:p w14:paraId="512431A8" w14:textId="77777777" w:rsidR="0024381B" w:rsidRPr="0024381B" w:rsidRDefault="0024381B" w:rsidP="0024381B">
      <w:pPr>
        <w:tabs>
          <w:tab w:val="left" w:pos="851"/>
        </w:tabs>
        <w:ind w:left="851"/>
        <w:rPr>
          <w:sz w:val="24"/>
          <w:szCs w:val="24"/>
        </w:rPr>
      </w:pPr>
    </w:p>
    <w:p w14:paraId="7491E1E1" w14:textId="77777777" w:rsidR="0024381B" w:rsidRPr="0024381B" w:rsidRDefault="0024381B" w:rsidP="0024381B">
      <w:pPr>
        <w:tabs>
          <w:tab w:val="left" w:pos="851"/>
        </w:tabs>
        <w:ind w:left="851"/>
        <w:rPr>
          <w:sz w:val="24"/>
          <w:szCs w:val="24"/>
          <w:u w:val="single"/>
        </w:rPr>
      </w:pPr>
      <w:proofErr w:type="spellStart"/>
      <w:r w:rsidRPr="0024381B">
        <w:rPr>
          <w:sz w:val="24"/>
          <w:szCs w:val="24"/>
          <w:u w:val="single"/>
        </w:rPr>
        <w:t>Mutagenicitet</w:t>
      </w:r>
      <w:proofErr w:type="spellEnd"/>
      <w:r w:rsidRPr="0024381B">
        <w:rPr>
          <w:sz w:val="24"/>
          <w:szCs w:val="24"/>
          <w:u w:val="single"/>
        </w:rPr>
        <w:t xml:space="preserve"> og </w:t>
      </w:r>
      <w:proofErr w:type="spellStart"/>
      <w:r w:rsidRPr="0024381B">
        <w:rPr>
          <w:sz w:val="24"/>
          <w:szCs w:val="24"/>
          <w:u w:val="single"/>
        </w:rPr>
        <w:t>teratogenicitet</w:t>
      </w:r>
      <w:proofErr w:type="spellEnd"/>
    </w:p>
    <w:p w14:paraId="1B936B81" w14:textId="77777777" w:rsidR="0024381B" w:rsidRPr="0024381B" w:rsidRDefault="0024381B" w:rsidP="0024381B">
      <w:pPr>
        <w:tabs>
          <w:tab w:val="left" w:pos="851"/>
        </w:tabs>
        <w:ind w:left="851"/>
        <w:rPr>
          <w:sz w:val="24"/>
          <w:szCs w:val="24"/>
        </w:rPr>
      </w:pPr>
      <w:r w:rsidRPr="0024381B">
        <w:rPr>
          <w:sz w:val="24"/>
          <w:szCs w:val="24"/>
        </w:rPr>
        <w:t xml:space="preserve">Resultater af undersøgelser af </w:t>
      </w:r>
      <w:proofErr w:type="spellStart"/>
      <w:r w:rsidRPr="0024381B">
        <w:rPr>
          <w:sz w:val="24"/>
          <w:szCs w:val="24"/>
        </w:rPr>
        <w:t>glukokortikoider</w:t>
      </w:r>
      <w:proofErr w:type="spellEnd"/>
      <w:r w:rsidRPr="0024381B">
        <w:rPr>
          <w:sz w:val="24"/>
          <w:szCs w:val="24"/>
        </w:rPr>
        <w:t xml:space="preserve"> har ikke vist nogen klinisk relevante genotoksiske egenskaber.</w:t>
      </w:r>
    </w:p>
    <w:p w14:paraId="018FE399" w14:textId="77777777" w:rsidR="0024381B" w:rsidRPr="0024381B" w:rsidRDefault="0024381B" w:rsidP="0024381B">
      <w:pPr>
        <w:tabs>
          <w:tab w:val="left" w:pos="851"/>
        </w:tabs>
        <w:ind w:left="851"/>
        <w:rPr>
          <w:sz w:val="24"/>
          <w:szCs w:val="24"/>
        </w:rPr>
      </w:pPr>
    </w:p>
    <w:p w14:paraId="081B0CBF" w14:textId="77777777" w:rsidR="0024381B" w:rsidRPr="0024381B" w:rsidRDefault="0024381B" w:rsidP="0024381B">
      <w:pPr>
        <w:tabs>
          <w:tab w:val="left" w:pos="851"/>
        </w:tabs>
        <w:ind w:left="851"/>
        <w:rPr>
          <w:sz w:val="24"/>
          <w:szCs w:val="24"/>
          <w:u w:val="single"/>
        </w:rPr>
      </w:pPr>
      <w:r w:rsidRPr="0024381B">
        <w:rPr>
          <w:sz w:val="24"/>
          <w:szCs w:val="24"/>
          <w:u w:val="single"/>
        </w:rPr>
        <w:t>Reproduktionstoksicitet</w:t>
      </w:r>
    </w:p>
    <w:p w14:paraId="10C4BCA7" w14:textId="77777777" w:rsidR="0024381B" w:rsidRPr="0024381B" w:rsidRDefault="0024381B" w:rsidP="0024381B">
      <w:pPr>
        <w:tabs>
          <w:tab w:val="left" w:pos="851"/>
        </w:tabs>
        <w:ind w:left="851"/>
        <w:rPr>
          <w:sz w:val="24"/>
          <w:szCs w:val="24"/>
        </w:rPr>
      </w:pPr>
      <w:r w:rsidRPr="0024381B">
        <w:rPr>
          <w:sz w:val="24"/>
          <w:szCs w:val="24"/>
        </w:rPr>
        <w:t>Der blev i dyreforsøg observeret ganespaltedannelse hos rotter, mus, hamstre, kaniner, hunde og primater. Disse fund var i nogle tilfælde kombineret med defekter i centralnervesystem og hjerte. Der kan desuden forekomme hæmmet fostervækst. Alle disse virkninger blev observeret i høje doser.</w:t>
      </w:r>
    </w:p>
    <w:p w14:paraId="6ECAA30E" w14:textId="77777777" w:rsidR="009260DE" w:rsidRPr="00C84483" w:rsidRDefault="009260DE" w:rsidP="009260DE">
      <w:pPr>
        <w:tabs>
          <w:tab w:val="left" w:pos="851"/>
        </w:tabs>
        <w:ind w:left="851"/>
        <w:rPr>
          <w:sz w:val="24"/>
          <w:szCs w:val="24"/>
        </w:rPr>
      </w:pPr>
    </w:p>
    <w:p w14:paraId="6EDE389C" w14:textId="77777777" w:rsidR="009260DE" w:rsidRPr="00C84483" w:rsidRDefault="009260DE" w:rsidP="009260DE">
      <w:pPr>
        <w:tabs>
          <w:tab w:val="left" w:pos="851"/>
        </w:tabs>
        <w:ind w:left="851"/>
        <w:rPr>
          <w:sz w:val="24"/>
          <w:szCs w:val="24"/>
        </w:rPr>
      </w:pPr>
    </w:p>
    <w:p w14:paraId="5E2EA17F"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DF66379" w14:textId="77777777" w:rsidR="009260DE" w:rsidRPr="00BA09F1" w:rsidRDefault="009260DE" w:rsidP="009260DE">
      <w:pPr>
        <w:tabs>
          <w:tab w:val="left" w:pos="851"/>
        </w:tabs>
        <w:ind w:left="851"/>
        <w:rPr>
          <w:sz w:val="24"/>
          <w:szCs w:val="24"/>
        </w:rPr>
      </w:pPr>
    </w:p>
    <w:p w14:paraId="3052E6BC"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C910665" w14:textId="77777777" w:rsidR="00011057" w:rsidRPr="00011057" w:rsidRDefault="00011057" w:rsidP="00011057">
      <w:pPr>
        <w:tabs>
          <w:tab w:val="left" w:pos="851"/>
        </w:tabs>
        <w:ind w:left="851"/>
        <w:rPr>
          <w:sz w:val="24"/>
          <w:szCs w:val="24"/>
        </w:rPr>
      </w:pPr>
      <w:proofErr w:type="spellStart"/>
      <w:r w:rsidRPr="00011057">
        <w:rPr>
          <w:sz w:val="24"/>
          <w:szCs w:val="24"/>
        </w:rPr>
        <w:t>Hypromellose</w:t>
      </w:r>
      <w:proofErr w:type="spellEnd"/>
    </w:p>
    <w:p w14:paraId="32AF140E" w14:textId="77777777" w:rsidR="00011057" w:rsidRPr="00011057" w:rsidRDefault="00011057" w:rsidP="00011057">
      <w:pPr>
        <w:tabs>
          <w:tab w:val="left" w:pos="851"/>
        </w:tabs>
        <w:ind w:left="851"/>
        <w:rPr>
          <w:sz w:val="24"/>
          <w:szCs w:val="24"/>
        </w:rPr>
      </w:pPr>
      <w:r w:rsidRPr="00011057">
        <w:rPr>
          <w:sz w:val="24"/>
          <w:szCs w:val="24"/>
        </w:rPr>
        <w:t>Glycerol</w:t>
      </w:r>
    </w:p>
    <w:p w14:paraId="4C2132A6" w14:textId="77777777" w:rsidR="009260DE" w:rsidRPr="00C84483" w:rsidRDefault="009260DE" w:rsidP="009260DE">
      <w:pPr>
        <w:tabs>
          <w:tab w:val="left" w:pos="851"/>
        </w:tabs>
        <w:ind w:left="851"/>
        <w:rPr>
          <w:sz w:val="24"/>
          <w:szCs w:val="24"/>
        </w:rPr>
      </w:pPr>
    </w:p>
    <w:p w14:paraId="30A0E8F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81528D7" w14:textId="6AA1302C" w:rsidR="009260DE" w:rsidRPr="00C84483" w:rsidRDefault="00011057" w:rsidP="009260DE">
      <w:pPr>
        <w:tabs>
          <w:tab w:val="left" w:pos="851"/>
        </w:tabs>
        <w:ind w:left="851"/>
        <w:rPr>
          <w:sz w:val="24"/>
          <w:szCs w:val="24"/>
        </w:rPr>
      </w:pPr>
      <w:r>
        <w:rPr>
          <w:sz w:val="24"/>
          <w:szCs w:val="24"/>
        </w:rPr>
        <w:t>Ikke relevant.</w:t>
      </w:r>
    </w:p>
    <w:p w14:paraId="4ECC77ED" w14:textId="77777777" w:rsidR="009260DE" w:rsidRPr="00C84483" w:rsidRDefault="009260DE" w:rsidP="009260DE">
      <w:pPr>
        <w:tabs>
          <w:tab w:val="left" w:pos="851"/>
        </w:tabs>
        <w:ind w:left="851"/>
        <w:rPr>
          <w:sz w:val="24"/>
          <w:szCs w:val="24"/>
        </w:rPr>
      </w:pPr>
    </w:p>
    <w:p w14:paraId="1521A54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6CF4B85" w14:textId="39A0FBF9" w:rsidR="009260DE" w:rsidRPr="00C84483" w:rsidRDefault="009260DE" w:rsidP="009260DE">
      <w:pPr>
        <w:tabs>
          <w:tab w:val="left" w:pos="851"/>
        </w:tabs>
        <w:ind w:left="851" w:hanging="851"/>
        <w:rPr>
          <w:sz w:val="24"/>
          <w:szCs w:val="24"/>
        </w:rPr>
      </w:pPr>
      <w:r w:rsidRPr="00C84483">
        <w:rPr>
          <w:sz w:val="24"/>
          <w:szCs w:val="24"/>
        </w:rPr>
        <w:tab/>
      </w:r>
      <w:r w:rsidR="00F73680">
        <w:rPr>
          <w:sz w:val="24"/>
          <w:szCs w:val="24"/>
        </w:rPr>
        <w:t>3</w:t>
      </w:r>
      <w:r w:rsidR="00011057">
        <w:rPr>
          <w:sz w:val="24"/>
          <w:szCs w:val="24"/>
        </w:rPr>
        <w:t xml:space="preserve"> år.</w:t>
      </w:r>
    </w:p>
    <w:p w14:paraId="19911146" w14:textId="77777777" w:rsidR="009260DE" w:rsidRPr="00C84483" w:rsidRDefault="009260DE" w:rsidP="009260DE">
      <w:pPr>
        <w:tabs>
          <w:tab w:val="left" w:pos="851"/>
        </w:tabs>
        <w:ind w:left="851"/>
        <w:rPr>
          <w:sz w:val="24"/>
          <w:szCs w:val="24"/>
        </w:rPr>
      </w:pPr>
    </w:p>
    <w:p w14:paraId="6D5069BE"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90EDE41" w14:textId="77777777" w:rsidR="00011057" w:rsidRPr="00011057" w:rsidRDefault="00011057" w:rsidP="00011057">
      <w:pPr>
        <w:tabs>
          <w:tab w:val="left" w:pos="851"/>
        </w:tabs>
        <w:ind w:left="851"/>
        <w:rPr>
          <w:sz w:val="24"/>
          <w:szCs w:val="24"/>
        </w:rPr>
      </w:pPr>
      <w:r w:rsidRPr="00011057">
        <w:rPr>
          <w:sz w:val="24"/>
          <w:szCs w:val="24"/>
        </w:rPr>
        <w:t>Dette lægemiddel kræver ingen særlige forholdsregler vedrørende opbevaringen.</w:t>
      </w:r>
    </w:p>
    <w:p w14:paraId="26CFEAC2" w14:textId="77777777" w:rsidR="009260DE" w:rsidRPr="00C84483" w:rsidRDefault="009260DE" w:rsidP="009260DE">
      <w:pPr>
        <w:tabs>
          <w:tab w:val="left" w:pos="851"/>
        </w:tabs>
        <w:ind w:left="851"/>
        <w:rPr>
          <w:sz w:val="24"/>
          <w:szCs w:val="24"/>
        </w:rPr>
      </w:pPr>
    </w:p>
    <w:p w14:paraId="116DD12C" w14:textId="097C4465"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bookmarkStart w:id="7" w:name="_Hlk121743052"/>
      <w:r w:rsidR="00F73680" w:rsidRPr="00BA4587">
        <w:rPr>
          <w:b/>
          <w:sz w:val="24"/>
          <w:szCs w:val="24"/>
        </w:rPr>
        <w:t>Emballagetype og pakningsstørrelser</w:t>
      </w:r>
      <w:bookmarkEnd w:id="7"/>
    </w:p>
    <w:p w14:paraId="75982BFC" w14:textId="77777777" w:rsidR="00DF7041" w:rsidRPr="00DF7041" w:rsidRDefault="00DF7041" w:rsidP="00DF7041">
      <w:pPr>
        <w:tabs>
          <w:tab w:val="left" w:pos="851"/>
        </w:tabs>
        <w:ind w:left="851"/>
        <w:rPr>
          <w:sz w:val="24"/>
          <w:szCs w:val="24"/>
        </w:rPr>
      </w:pPr>
      <w:r w:rsidRPr="00DF7041">
        <w:rPr>
          <w:sz w:val="24"/>
          <w:szCs w:val="24"/>
        </w:rPr>
        <w:t xml:space="preserve">Smeltefilmen er pakket i et brev. Materialet er </w:t>
      </w:r>
      <w:proofErr w:type="spellStart"/>
      <w:r w:rsidRPr="00DF7041">
        <w:rPr>
          <w:sz w:val="24"/>
          <w:szCs w:val="24"/>
        </w:rPr>
        <w:t>polyethylen</w:t>
      </w:r>
      <w:proofErr w:type="spellEnd"/>
      <w:r w:rsidRPr="00DF7041">
        <w:rPr>
          <w:sz w:val="24"/>
          <w:szCs w:val="24"/>
        </w:rPr>
        <w:t>-aluminium-</w:t>
      </w:r>
      <w:proofErr w:type="spellStart"/>
      <w:r w:rsidRPr="00DF7041">
        <w:rPr>
          <w:sz w:val="24"/>
          <w:szCs w:val="24"/>
        </w:rPr>
        <w:t>polyethylen</w:t>
      </w:r>
      <w:proofErr w:type="spellEnd"/>
      <w:r w:rsidRPr="00DF7041">
        <w:rPr>
          <w:sz w:val="24"/>
          <w:szCs w:val="24"/>
        </w:rPr>
        <w:t>-</w:t>
      </w:r>
      <w:proofErr w:type="spellStart"/>
      <w:r w:rsidRPr="00DF7041">
        <w:rPr>
          <w:sz w:val="24"/>
          <w:szCs w:val="24"/>
        </w:rPr>
        <w:t>terephthalat</w:t>
      </w:r>
      <w:proofErr w:type="spellEnd"/>
      <w:r w:rsidRPr="00DF7041">
        <w:rPr>
          <w:sz w:val="24"/>
          <w:szCs w:val="24"/>
        </w:rPr>
        <w:t xml:space="preserve"> (PE-Al-PET).</w:t>
      </w:r>
    </w:p>
    <w:p w14:paraId="69DC6BD0" w14:textId="77777777" w:rsidR="00DF7041" w:rsidRPr="00DF7041" w:rsidRDefault="00DF7041" w:rsidP="00DF7041">
      <w:pPr>
        <w:tabs>
          <w:tab w:val="left" w:pos="851"/>
        </w:tabs>
        <w:ind w:left="851"/>
        <w:rPr>
          <w:sz w:val="24"/>
          <w:szCs w:val="24"/>
        </w:rPr>
      </w:pPr>
    </w:p>
    <w:p w14:paraId="482101C6" w14:textId="3D18A256" w:rsidR="00DF7041" w:rsidRPr="00DF7041" w:rsidRDefault="00DF7041" w:rsidP="00DF7041">
      <w:pPr>
        <w:tabs>
          <w:tab w:val="left" w:pos="851"/>
        </w:tabs>
        <w:ind w:left="851"/>
        <w:rPr>
          <w:sz w:val="24"/>
          <w:szCs w:val="24"/>
        </w:rPr>
      </w:pPr>
      <w:r w:rsidRPr="00DF7041">
        <w:rPr>
          <w:sz w:val="24"/>
          <w:szCs w:val="24"/>
        </w:rPr>
        <w:t>Pakningsstørrelse</w:t>
      </w:r>
      <w:r>
        <w:rPr>
          <w:sz w:val="24"/>
          <w:szCs w:val="24"/>
        </w:rPr>
        <w:t>r</w:t>
      </w:r>
      <w:r w:rsidRPr="00DF7041">
        <w:rPr>
          <w:sz w:val="24"/>
          <w:szCs w:val="24"/>
        </w:rPr>
        <w:t xml:space="preserve">: </w:t>
      </w:r>
      <w:r w:rsidR="005A0C93">
        <w:rPr>
          <w:sz w:val="24"/>
          <w:szCs w:val="24"/>
        </w:rPr>
        <w:t xml:space="preserve">2,3 eller </w:t>
      </w:r>
      <w:r w:rsidRPr="00DF7041">
        <w:rPr>
          <w:sz w:val="24"/>
          <w:szCs w:val="24"/>
        </w:rPr>
        <w:t>5 breve</w:t>
      </w:r>
      <w:r>
        <w:rPr>
          <w:sz w:val="24"/>
          <w:szCs w:val="24"/>
        </w:rPr>
        <w:t>.</w:t>
      </w:r>
    </w:p>
    <w:p w14:paraId="00869002" w14:textId="3F9FAC94" w:rsidR="009260DE" w:rsidRDefault="00DF7041" w:rsidP="009260DE">
      <w:pPr>
        <w:tabs>
          <w:tab w:val="left" w:pos="851"/>
        </w:tabs>
        <w:ind w:left="851"/>
        <w:rPr>
          <w:sz w:val="24"/>
          <w:szCs w:val="24"/>
        </w:rPr>
      </w:pPr>
      <w:r>
        <w:rPr>
          <w:sz w:val="24"/>
          <w:szCs w:val="24"/>
        </w:rPr>
        <w:t>Ikke alle pakningsstørrelser er nødvendigvis markedsført.</w:t>
      </w:r>
    </w:p>
    <w:p w14:paraId="6BAC9057" w14:textId="77777777" w:rsidR="00DF7041" w:rsidRPr="00C84483" w:rsidRDefault="00DF7041" w:rsidP="009260DE">
      <w:pPr>
        <w:tabs>
          <w:tab w:val="left" w:pos="851"/>
        </w:tabs>
        <w:ind w:left="851"/>
        <w:rPr>
          <w:sz w:val="24"/>
          <w:szCs w:val="24"/>
        </w:rPr>
      </w:pPr>
    </w:p>
    <w:p w14:paraId="454F4C4E" w14:textId="07F78083"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8" w:name="_Hlk121754038"/>
      <w:r w:rsidR="00F73680" w:rsidRPr="00BA4587">
        <w:rPr>
          <w:b/>
          <w:noProof/>
          <w:sz w:val="24"/>
          <w:szCs w:val="24"/>
        </w:rPr>
        <w:t>Regler for bortskaffelse og anden håndtering</w:t>
      </w:r>
      <w:bookmarkEnd w:id="8"/>
    </w:p>
    <w:p w14:paraId="5E9E1DBE" w14:textId="77777777" w:rsidR="00E7649B" w:rsidRPr="00E7649B" w:rsidRDefault="00E7649B" w:rsidP="00E7649B">
      <w:pPr>
        <w:tabs>
          <w:tab w:val="left" w:pos="851"/>
        </w:tabs>
        <w:ind w:left="851"/>
        <w:rPr>
          <w:sz w:val="24"/>
          <w:szCs w:val="24"/>
        </w:rPr>
      </w:pPr>
      <w:r w:rsidRPr="00E7649B">
        <w:rPr>
          <w:sz w:val="24"/>
          <w:szCs w:val="24"/>
        </w:rPr>
        <w:t>Ikke anvendt lægemiddel samt affald heraf skal bortskaffes i henhold til lokale retningslinjer.</w:t>
      </w:r>
    </w:p>
    <w:p w14:paraId="43CF72DA" w14:textId="77777777" w:rsidR="009260DE" w:rsidRPr="00C84483" w:rsidRDefault="009260DE" w:rsidP="000730CA">
      <w:pPr>
        <w:tabs>
          <w:tab w:val="left" w:pos="851"/>
        </w:tabs>
        <w:ind w:left="851"/>
        <w:rPr>
          <w:sz w:val="24"/>
          <w:szCs w:val="24"/>
        </w:rPr>
      </w:pPr>
    </w:p>
    <w:p w14:paraId="0875EE4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409514B" w14:textId="77777777" w:rsidR="00E7649B" w:rsidRPr="00E7649B" w:rsidRDefault="00E7649B" w:rsidP="00E7649B">
      <w:pPr>
        <w:tabs>
          <w:tab w:val="left" w:pos="851"/>
        </w:tabs>
        <w:ind w:left="851"/>
        <w:rPr>
          <w:sz w:val="24"/>
          <w:szCs w:val="24"/>
        </w:rPr>
      </w:pPr>
      <w:proofErr w:type="spellStart"/>
      <w:r w:rsidRPr="00E7649B">
        <w:rPr>
          <w:sz w:val="24"/>
          <w:szCs w:val="24"/>
        </w:rPr>
        <w:t>AcuCort</w:t>
      </w:r>
      <w:proofErr w:type="spellEnd"/>
      <w:r w:rsidRPr="00E7649B">
        <w:rPr>
          <w:sz w:val="24"/>
          <w:szCs w:val="24"/>
        </w:rPr>
        <w:t xml:space="preserve"> AB</w:t>
      </w:r>
    </w:p>
    <w:p w14:paraId="2480988B" w14:textId="77777777" w:rsidR="00E7649B" w:rsidRPr="00E7649B" w:rsidRDefault="00E7649B" w:rsidP="00E7649B">
      <w:pPr>
        <w:tabs>
          <w:tab w:val="left" w:pos="851"/>
        </w:tabs>
        <w:ind w:left="851"/>
        <w:rPr>
          <w:sz w:val="24"/>
          <w:szCs w:val="24"/>
        </w:rPr>
      </w:pPr>
      <w:proofErr w:type="spellStart"/>
      <w:r w:rsidRPr="00E7649B">
        <w:rPr>
          <w:sz w:val="24"/>
          <w:szCs w:val="24"/>
        </w:rPr>
        <w:t>Scheeletorget</w:t>
      </w:r>
      <w:proofErr w:type="spellEnd"/>
      <w:r w:rsidRPr="00E7649B">
        <w:rPr>
          <w:sz w:val="24"/>
          <w:szCs w:val="24"/>
        </w:rPr>
        <w:t xml:space="preserve"> 1</w:t>
      </w:r>
    </w:p>
    <w:p w14:paraId="7468CE5B" w14:textId="77777777" w:rsidR="00E7649B" w:rsidRPr="00E7649B" w:rsidRDefault="00E7649B" w:rsidP="00E7649B">
      <w:pPr>
        <w:tabs>
          <w:tab w:val="left" w:pos="851"/>
        </w:tabs>
        <w:ind w:left="851"/>
        <w:rPr>
          <w:sz w:val="24"/>
          <w:szCs w:val="24"/>
        </w:rPr>
      </w:pPr>
      <w:r w:rsidRPr="00E7649B">
        <w:rPr>
          <w:sz w:val="24"/>
          <w:szCs w:val="24"/>
        </w:rPr>
        <w:t>223 81 Lund</w:t>
      </w:r>
    </w:p>
    <w:p w14:paraId="73C16C4C" w14:textId="31064456" w:rsidR="00E7649B" w:rsidRDefault="00E7649B" w:rsidP="00E7649B">
      <w:pPr>
        <w:tabs>
          <w:tab w:val="left" w:pos="851"/>
        </w:tabs>
        <w:ind w:left="851"/>
        <w:rPr>
          <w:sz w:val="24"/>
          <w:szCs w:val="24"/>
        </w:rPr>
      </w:pPr>
      <w:r w:rsidRPr="00E7649B">
        <w:rPr>
          <w:sz w:val="24"/>
          <w:szCs w:val="24"/>
        </w:rPr>
        <w:t>Sverige</w:t>
      </w:r>
    </w:p>
    <w:p w14:paraId="58786371" w14:textId="4B258102" w:rsidR="009F19FE" w:rsidRDefault="009F19FE" w:rsidP="00E7649B">
      <w:pPr>
        <w:tabs>
          <w:tab w:val="left" w:pos="851"/>
        </w:tabs>
        <w:ind w:left="851"/>
        <w:rPr>
          <w:sz w:val="24"/>
          <w:szCs w:val="24"/>
        </w:rPr>
      </w:pPr>
    </w:p>
    <w:p w14:paraId="78D2FDCB" w14:textId="77777777" w:rsidR="009F19FE" w:rsidRDefault="009F19FE" w:rsidP="00E7649B">
      <w:pPr>
        <w:tabs>
          <w:tab w:val="left" w:pos="851"/>
        </w:tabs>
        <w:ind w:left="851"/>
        <w:rPr>
          <w:sz w:val="24"/>
          <w:szCs w:val="24"/>
        </w:rPr>
      </w:pPr>
    </w:p>
    <w:p w14:paraId="197D8F44" w14:textId="67AE5811" w:rsidR="009F19FE" w:rsidRDefault="009F19FE" w:rsidP="00E7649B">
      <w:pPr>
        <w:tabs>
          <w:tab w:val="left" w:pos="851"/>
        </w:tabs>
        <w:ind w:left="851"/>
        <w:rPr>
          <w:sz w:val="24"/>
          <w:szCs w:val="24"/>
        </w:rPr>
      </w:pPr>
      <w:r>
        <w:rPr>
          <w:b/>
          <w:sz w:val="24"/>
          <w:szCs w:val="24"/>
        </w:rPr>
        <w:t>Repræsentant</w:t>
      </w:r>
    </w:p>
    <w:p w14:paraId="0C99C2DD" w14:textId="77777777" w:rsidR="009F19FE" w:rsidRPr="009F19FE" w:rsidRDefault="009F19FE" w:rsidP="009F19FE">
      <w:pPr>
        <w:tabs>
          <w:tab w:val="left" w:pos="851"/>
        </w:tabs>
        <w:ind w:left="851"/>
        <w:rPr>
          <w:sz w:val="24"/>
          <w:szCs w:val="24"/>
          <w:lang w:val="en-US"/>
        </w:rPr>
      </w:pPr>
      <w:proofErr w:type="spellStart"/>
      <w:r w:rsidRPr="009F19FE">
        <w:rPr>
          <w:sz w:val="24"/>
          <w:szCs w:val="24"/>
          <w:lang w:val="en-US"/>
        </w:rPr>
        <w:t>Unimedic</w:t>
      </w:r>
      <w:proofErr w:type="spellEnd"/>
      <w:r w:rsidRPr="009F19FE">
        <w:rPr>
          <w:sz w:val="24"/>
          <w:szCs w:val="24"/>
          <w:lang w:val="en-US"/>
        </w:rPr>
        <w:t xml:space="preserve"> Pharma AB</w:t>
      </w:r>
    </w:p>
    <w:p w14:paraId="01D54432" w14:textId="77777777" w:rsidR="009F19FE" w:rsidRPr="009F19FE" w:rsidRDefault="009F19FE" w:rsidP="009F19FE">
      <w:pPr>
        <w:tabs>
          <w:tab w:val="left" w:pos="851"/>
        </w:tabs>
        <w:ind w:left="851"/>
        <w:rPr>
          <w:sz w:val="24"/>
          <w:szCs w:val="24"/>
          <w:lang w:val="en-US"/>
        </w:rPr>
      </w:pPr>
      <w:r w:rsidRPr="009F19FE">
        <w:rPr>
          <w:sz w:val="24"/>
          <w:szCs w:val="24"/>
          <w:lang w:val="en-US"/>
        </w:rPr>
        <w:t xml:space="preserve">Box 6216 </w:t>
      </w:r>
    </w:p>
    <w:p w14:paraId="6DA5F692" w14:textId="77777777" w:rsidR="009F19FE" w:rsidRPr="009F19FE" w:rsidRDefault="009F19FE" w:rsidP="009F19FE">
      <w:pPr>
        <w:tabs>
          <w:tab w:val="left" w:pos="851"/>
        </w:tabs>
        <w:ind w:left="851"/>
        <w:rPr>
          <w:sz w:val="24"/>
          <w:szCs w:val="24"/>
          <w:lang w:val="en-US"/>
        </w:rPr>
      </w:pPr>
      <w:r w:rsidRPr="009F19FE">
        <w:rPr>
          <w:sz w:val="24"/>
          <w:szCs w:val="24"/>
          <w:lang w:val="en-US"/>
        </w:rPr>
        <w:t xml:space="preserve">102 34 Stockholm </w:t>
      </w:r>
    </w:p>
    <w:p w14:paraId="267560CA" w14:textId="12F13907" w:rsidR="009F19FE" w:rsidRPr="009F19FE" w:rsidRDefault="009F19FE" w:rsidP="009F19FE">
      <w:pPr>
        <w:tabs>
          <w:tab w:val="left" w:pos="851"/>
        </w:tabs>
        <w:ind w:left="851"/>
        <w:rPr>
          <w:sz w:val="24"/>
          <w:szCs w:val="24"/>
          <w:lang w:val="en-US"/>
        </w:rPr>
      </w:pPr>
      <w:r w:rsidRPr="009F19FE">
        <w:rPr>
          <w:sz w:val="24"/>
          <w:szCs w:val="24"/>
          <w:lang w:val="en-US"/>
        </w:rPr>
        <w:t>Sverige</w:t>
      </w:r>
    </w:p>
    <w:p w14:paraId="23284C70" w14:textId="77777777" w:rsidR="009260DE" w:rsidRPr="009F19FE" w:rsidRDefault="009260DE" w:rsidP="009260DE">
      <w:pPr>
        <w:tabs>
          <w:tab w:val="left" w:pos="851"/>
        </w:tabs>
        <w:ind w:left="851"/>
        <w:rPr>
          <w:sz w:val="24"/>
          <w:szCs w:val="24"/>
          <w:lang w:val="en-US"/>
        </w:rPr>
      </w:pPr>
    </w:p>
    <w:p w14:paraId="72A9CCBF" w14:textId="3D09C542"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73680">
        <w:rPr>
          <w:b/>
          <w:sz w:val="24"/>
          <w:szCs w:val="24"/>
        </w:rPr>
        <w:t>-</w:t>
      </w:r>
      <w:r w:rsidRPr="00C84483">
        <w:rPr>
          <w:b/>
          <w:sz w:val="24"/>
          <w:szCs w:val="24"/>
        </w:rPr>
        <w:t>NUMRE)</w:t>
      </w:r>
    </w:p>
    <w:p w14:paraId="7720AA5A" w14:textId="2DDBBF28" w:rsidR="009260DE" w:rsidRDefault="00C206DC" w:rsidP="007D2AEB">
      <w:pPr>
        <w:tabs>
          <w:tab w:val="left" w:pos="851"/>
          <w:tab w:val="left" w:pos="1560"/>
        </w:tabs>
        <w:ind w:left="851"/>
        <w:rPr>
          <w:sz w:val="24"/>
          <w:szCs w:val="24"/>
        </w:rPr>
      </w:pPr>
      <w:r>
        <w:rPr>
          <w:sz w:val="24"/>
          <w:szCs w:val="24"/>
        </w:rPr>
        <w:t>4 mg:</w:t>
      </w:r>
      <w:r>
        <w:rPr>
          <w:sz w:val="24"/>
          <w:szCs w:val="24"/>
        </w:rPr>
        <w:tab/>
        <w:t>66943</w:t>
      </w:r>
    </w:p>
    <w:p w14:paraId="583036CB" w14:textId="4B8A016A" w:rsidR="00C206DC" w:rsidRDefault="00C206DC" w:rsidP="007D2AEB">
      <w:pPr>
        <w:tabs>
          <w:tab w:val="left" w:pos="851"/>
          <w:tab w:val="left" w:pos="1560"/>
        </w:tabs>
        <w:ind w:left="851"/>
        <w:rPr>
          <w:sz w:val="24"/>
          <w:szCs w:val="24"/>
        </w:rPr>
      </w:pPr>
      <w:r>
        <w:rPr>
          <w:sz w:val="24"/>
          <w:szCs w:val="24"/>
        </w:rPr>
        <w:t>6 mg:</w:t>
      </w:r>
      <w:r>
        <w:rPr>
          <w:sz w:val="24"/>
          <w:szCs w:val="24"/>
        </w:rPr>
        <w:tab/>
        <w:t>66946</w:t>
      </w:r>
    </w:p>
    <w:p w14:paraId="1A75F06E" w14:textId="1E56A749" w:rsidR="00C206DC" w:rsidRPr="00C84483" w:rsidRDefault="00C206DC" w:rsidP="007D2AEB">
      <w:pPr>
        <w:tabs>
          <w:tab w:val="left" w:pos="851"/>
          <w:tab w:val="left" w:pos="1560"/>
        </w:tabs>
        <w:ind w:left="851"/>
        <w:rPr>
          <w:sz w:val="24"/>
          <w:szCs w:val="24"/>
        </w:rPr>
      </w:pPr>
      <w:r>
        <w:rPr>
          <w:sz w:val="24"/>
          <w:szCs w:val="24"/>
        </w:rPr>
        <w:t>8 mg:</w:t>
      </w:r>
      <w:r>
        <w:rPr>
          <w:sz w:val="24"/>
          <w:szCs w:val="24"/>
        </w:rPr>
        <w:tab/>
        <w:t>66947</w:t>
      </w:r>
    </w:p>
    <w:p w14:paraId="3B343F59" w14:textId="77777777" w:rsidR="009260DE" w:rsidRPr="00C84483" w:rsidRDefault="009260DE" w:rsidP="009260DE">
      <w:pPr>
        <w:tabs>
          <w:tab w:val="left" w:pos="851"/>
        </w:tabs>
        <w:ind w:left="851"/>
        <w:jc w:val="both"/>
        <w:rPr>
          <w:sz w:val="24"/>
          <w:szCs w:val="24"/>
        </w:rPr>
      </w:pPr>
    </w:p>
    <w:p w14:paraId="5E6F0E8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58D18AC" w14:textId="07C55CE2" w:rsidR="009260DE" w:rsidRPr="00C84483" w:rsidRDefault="002372E9" w:rsidP="009260DE">
      <w:pPr>
        <w:tabs>
          <w:tab w:val="left" w:pos="851"/>
        </w:tabs>
        <w:ind w:left="851"/>
        <w:rPr>
          <w:sz w:val="24"/>
          <w:szCs w:val="24"/>
        </w:rPr>
      </w:pPr>
      <w:r>
        <w:rPr>
          <w:sz w:val="24"/>
          <w:szCs w:val="24"/>
        </w:rPr>
        <w:t>13. juli 2022</w:t>
      </w:r>
    </w:p>
    <w:p w14:paraId="70F87132" w14:textId="77777777" w:rsidR="009260DE" w:rsidRPr="00C84483" w:rsidRDefault="009260DE" w:rsidP="009260DE">
      <w:pPr>
        <w:tabs>
          <w:tab w:val="left" w:pos="851"/>
        </w:tabs>
        <w:ind w:left="851"/>
        <w:rPr>
          <w:sz w:val="24"/>
          <w:szCs w:val="24"/>
        </w:rPr>
      </w:pPr>
    </w:p>
    <w:p w14:paraId="061B8EE4"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A4580E4" w14:textId="7521E976" w:rsidR="009260DE" w:rsidRPr="00C84483" w:rsidRDefault="009F19FE" w:rsidP="009260DE">
      <w:pPr>
        <w:tabs>
          <w:tab w:val="left" w:pos="851"/>
        </w:tabs>
        <w:ind w:left="851"/>
        <w:rPr>
          <w:sz w:val="24"/>
          <w:szCs w:val="24"/>
        </w:rPr>
      </w:pPr>
      <w:r>
        <w:rPr>
          <w:sz w:val="24"/>
          <w:szCs w:val="24"/>
        </w:rPr>
        <w:t>9. december</w:t>
      </w:r>
      <w:r w:rsidR="00F73680">
        <w:rPr>
          <w:sz w:val="24"/>
          <w:szCs w:val="24"/>
        </w:rPr>
        <w:t xml:space="preserve"> 2024</w:t>
      </w:r>
    </w:p>
    <w:sectPr w:rsidR="009260DE" w:rsidRPr="00C8448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1DD1C" w14:textId="77777777" w:rsidR="00CE70D4" w:rsidRDefault="00CE70D4">
      <w:r>
        <w:separator/>
      </w:r>
    </w:p>
  </w:endnote>
  <w:endnote w:type="continuationSeparator" w:id="0">
    <w:p w14:paraId="1F3DEBE7" w14:textId="77777777" w:rsidR="00CE70D4" w:rsidRDefault="00CE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10164" w14:textId="77777777" w:rsidR="00CE70D4" w:rsidRDefault="00CE70D4">
    <w:pPr>
      <w:pStyle w:val="Sidefod"/>
      <w:pBdr>
        <w:bottom w:val="single" w:sz="6" w:space="1" w:color="auto"/>
      </w:pBdr>
    </w:pPr>
  </w:p>
  <w:p w14:paraId="658F20A8" w14:textId="77777777" w:rsidR="00CE70D4" w:rsidRDefault="00CE70D4" w:rsidP="00C42586">
    <w:pPr>
      <w:pStyle w:val="Sidefod"/>
      <w:tabs>
        <w:tab w:val="clear" w:pos="4819"/>
        <w:tab w:val="left" w:pos="8505"/>
      </w:tabs>
      <w:rPr>
        <w:i/>
        <w:sz w:val="18"/>
        <w:szCs w:val="18"/>
      </w:rPr>
    </w:pPr>
  </w:p>
  <w:p w14:paraId="3EE4CA3D" w14:textId="14D3D417" w:rsidR="00CE70D4" w:rsidRPr="00B373D7" w:rsidRDefault="00CE70D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Zeqmelit, smeltefilm, 4 mg, 6 mg og 8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F8784" w14:textId="77777777" w:rsidR="00CE70D4" w:rsidRDefault="00CE70D4">
      <w:r>
        <w:separator/>
      </w:r>
    </w:p>
  </w:footnote>
  <w:footnote w:type="continuationSeparator" w:id="0">
    <w:p w14:paraId="6A8871DC" w14:textId="77777777" w:rsidR="00CE70D4" w:rsidRDefault="00CE7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04F50"/>
    <w:multiLevelType w:val="multilevel"/>
    <w:tmpl w:val="BAF0097A"/>
    <w:lvl w:ilvl="0">
      <w:start w:val="1"/>
      <w:numFmt w:val="decimal"/>
      <w:lvlText w:val="%1."/>
      <w:lvlJc w:val="left"/>
      <w:pPr>
        <w:ind w:left="337" w:hanging="221"/>
      </w:pPr>
      <w:rPr>
        <w:rFonts w:ascii="Times New Roman" w:eastAsia="Times New Roman" w:hAnsi="Times New Roman" w:cs="Times New Roman" w:hint="default"/>
        <w:b/>
        <w:bCs/>
        <w:w w:val="100"/>
        <w:sz w:val="22"/>
        <w:szCs w:val="22"/>
        <w:lang w:val="es-ES" w:eastAsia="es-ES" w:bidi="es-ES"/>
      </w:rPr>
    </w:lvl>
    <w:lvl w:ilvl="1">
      <w:start w:val="1"/>
      <w:numFmt w:val="decimal"/>
      <w:lvlText w:val="%1.%2."/>
      <w:lvlJc w:val="left"/>
      <w:pPr>
        <w:ind w:left="1522" w:hanging="387"/>
      </w:pPr>
      <w:rPr>
        <w:rFonts w:ascii="Times New Roman" w:eastAsia="Times New Roman" w:hAnsi="Times New Roman" w:cs="Times New Roman" w:hint="default"/>
        <w:b/>
        <w:bCs/>
        <w:w w:val="100"/>
        <w:sz w:val="22"/>
        <w:szCs w:val="22"/>
        <w:lang w:val="es-ES" w:eastAsia="es-ES" w:bidi="es-ES"/>
      </w:rPr>
    </w:lvl>
    <w:lvl w:ilvl="2">
      <w:start w:val="1"/>
      <w:numFmt w:val="bullet"/>
      <w:lvlText w:val=""/>
      <w:lvlJc w:val="left"/>
      <w:pPr>
        <w:ind w:left="837" w:hanging="360"/>
      </w:pPr>
      <w:rPr>
        <w:rFonts w:ascii="Symbol" w:hAnsi="Symbol" w:hint="default"/>
        <w:w w:val="100"/>
        <w:sz w:val="22"/>
        <w:szCs w:val="22"/>
        <w:lang w:val="es-ES" w:eastAsia="es-ES" w:bidi="es-ES"/>
      </w:rPr>
    </w:lvl>
    <w:lvl w:ilvl="3">
      <w:numFmt w:val="bullet"/>
      <w:lvlText w:val="•"/>
      <w:lvlJc w:val="left"/>
      <w:pPr>
        <w:ind w:left="1950" w:hanging="360"/>
      </w:pPr>
      <w:rPr>
        <w:lang w:val="es-ES" w:eastAsia="es-ES" w:bidi="es-ES"/>
      </w:rPr>
    </w:lvl>
    <w:lvl w:ilvl="4">
      <w:numFmt w:val="bullet"/>
      <w:lvlText w:val="•"/>
      <w:lvlJc w:val="left"/>
      <w:pPr>
        <w:ind w:left="3061" w:hanging="360"/>
      </w:pPr>
      <w:rPr>
        <w:lang w:val="es-ES" w:eastAsia="es-ES" w:bidi="es-ES"/>
      </w:rPr>
    </w:lvl>
    <w:lvl w:ilvl="5">
      <w:numFmt w:val="bullet"/>
      <w:lvlText w:val="•"/>
      <w:lvlJc w:val="left"/>
      <w:pPr>
        <w:ind w:left="4172" w:hanging="360"/>
      </w:pPr>
      <w:rPr>
        <w:lang w:val="es-ES" w:eastAsia="es-ES" w:bidi="es-ES"/>
      </w:rPr>
    </w:lvl>
    <w:lvl w:ilvl="6">
      <w:numFmt w:val="bullet"/>
      <w:lvlText w:val="•"/>
      <w:lvlJc w:val="left"/>
      <w:pPr>
        <w:ind w:left="5283" w:hanging="360"/>
      </w:pPr>
      <w:rPr>
        <w:lang w:val="es-ES" w:eastAsia="es-ES" w:bidi="es-ES"/>
      </w:rPr>
    </w:lvl>
    <w:lvl w:ilvl="7">
      <w:numFmt w:val="bullet"/>
      <w:lvlText w:val="•"/>
      <w:lvlJc w:val="left"/>
      <w:pPr>
        <w:ind w:left="6394" w:hanging="360"/>
      </w:pPr>
      <w:rPr>
        <w:lang w:val="es-ES" w:eastAsia="es-ES" w:bidi="es-ES"/>
      </w:rPr>
    </w:lvl>
    <w:lvl w:ilvl="8">
      <w:numFmt w:val="bullet"/>
      <w:lvlText w:val="•"/>
      <w:lvlJc w:val="left"/>
      <w:pPr>
        <w:ind w:left="7504" w:hanging="360"/>
      </w:pPr>
      <w:rPr>
        <w:lang w:val="es-ES" w:eastAsia="es-ES" w:bidi="es-ES"/>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2B14D4"/>
    <w:multiLevelType w:val="hybridMultilevel"/>
    <w:tmpl w:val="7AEAD39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3AE"/>
    <w:rsid w:val="00011057"/>
    <w:rsid w:val="000259B9"/>
    <w:rsid w:val="00041491"/>
    <w:rsid w:val="00050D16"/>
    <w:rsid w:val="000730CA"/>
    <w:rsid w:val="00074F2A"/>
    <w:rsid w:val="000A1CA8"/>
    <w:rsid w:val="000A466B"/>
    <w:rsid w:val="000B058C"/>
    <w:rsid w:val="000D2B25"/>
    <w:rsid w:val="000E4EE6"/>
    <w:rsid w:val="000F7AD9"/>
    <w:rsid w:val="001454E2"/>
    <w:rsid w:val="001D2443"/>
    <w:rsid w:val="001D318E"/>
    <w:rsid w:val="00206CE8"/>
    <w:rsid w:val="0021526C"/>
    <w:rsid w:val="002372E9"/>
    <w:rsid w:val="0024381B"/>
    <w:rsid w:val="00272B16"/>
    <w:rsid w:val="00283A2B"/>
    <w:rsid w:val="0029047D"/>
    <w:rsid w:val="00291122"/>
    <w:rsid w:val="002B30AD"/>
    <w:rsid w:val="002C2C01"/>
    <w:rsid w:val="003A29AE"/>
    <w:rsid w:val="003A32D7"/>
    <w:rsid w:val="003B4074"/>
    <w:rsid w:val="003C769A"/>
    <w:rsid w:val="003F1838"/>
    <w:rsid w:val="004012D2"/>
    <w:rsid w:val="00440D20"/>
    <w:rsid w:val="0045746C"/>
    <w:rsid w:val="0049104B"/>
    <w:rsid w:val="004E3B12"/>
    <w:rsid w:val="00532310"/>
    <w:rsid w:val="005453AE"/>
    <w:rsid w:val="00565F0F"/>
    <w:rsid w:val="00594A86"/>
    <w:rsid w:val="00596D86"/>
    <w:rsid w:val="005A0C93"/>
    <w:rsid w:val="00603A18"/>
    <w:rsid w:val="00633FB9"/>
    <w:rsid w:val="00637F5A"/>
    <w:rsid w:val="00652FD0"/>
    <w:rsid w:val="006560B1"/>
    <w:rsid w:val="006756DD"/>
    <w:rsid w:val="006B23B8"/>
    <w:rsid w:val="006B3636"/>
    <w:rsid w:val="00737275"/>
    <w:rsid w:val="00740EEC"/>
    <w:rsid w:val="0078011A"/>
    <w:rsid w:val="00782AF4"/>
    <w:rsid w:val="00790EE7"/>
    <w:rsid w:val="00792979"/>
    <w:rsid w:val="007B6649"/>
    <w:rsid w:val="007D2AEB"/>
    <w:rsid w:val="0082576E"/>
    <w:rsid w:val="00866065"/>
    <w:rsid w:val="00885610"/>
    <w:rsid w:val="008E296C"/>
    <w:rsid w:val="00907F75"/>
    <w:rsid w:val="009260DE"/>
    <w:rsid w:val="0093258A"/>
    <w:rsid w:val="009778CE"/>
    <w:rsid w:val="009B589D"/>
    <w:rsid w:val="009C7BA3"/>
    <w:rsid w:val="009D1F5A"/>
    <w:rsid w:val="009F19FE"/>
    <w:rsid w:val="00A10294"/>
    <w:rsid w:val="00A770E9"/>
    <w:rsid w:val="00A8134E"/>
    <w:rsid w:val="00B003BF"/>
    <w:rsid w:val="00B057BE"/>
    <w:rsid w:val="00B373D7"/>
    <w:rsid w:val="00B51D93"/>
    <w:rsid w:val="00BB086E"/>
    <w:rsid w:val="00C206DC"/>
    <w:rsid w:val="00C251AB"/>
    <w:rsid w:val="00C36276"/>
    <w:rsid w:val="00C42586"/>
    <w:rsid w:val="00C60CCD"/>
    <w:rsid w:val="00C84483"/>
    <w:rsid w:val="00C95551"/>
    <w:rsid w:val="00CB20D7"/>
    <w:rsid w:val="00CE70D4"/>
    <w:rsid w:val="00D020B0"/>
    <w:rsid w:val="00D11748"/>
    <w:rsid w:val="00D366CF"/>
    <w:rsid w:val="00DB0641"/>
    <w:rsid w:val="00DE46FA"/>
    <w:rsid w:val="00DF7041"/>
    <w:rsid w:val="00E0267F"/>
    <w:rsid w:val="00E108AA"/>
    <w:rsid w:val="00E3749A"/>
    <w:rsid w:val="00E7437F"/>
    <w:rsid w:val="00E7649B"/>
    <w:rsid w:val="00E80462"/>
    <w:rsid w:val="00E865B8"/>
    <w:rsid w:val="00EC0B9B"/>
    <w:rsid w:val="00ED4AC6"/>
    <w:rsid w:val="00ED5E9F"/>
    <w:rsid w:val="00ED76E4"/>
    <w:rsid w:val="00F66D4F"/>
    <w:rsid w:val="00F73680"/>
    <w:rsid w:val="00F94A1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9CCED"/>
  <w15:chartTrackingRefBased/>
  <w15:docId w15:val="{6981FFA8-3302-4345-A90B-7779C9DA0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91122"/>
    <w:rPr>
      <w:color w:val="0563C1" w:themeColor="hyperlink"/>
      <w:u w:val="single"/>
    </w:rPr>
  </w:style>
  <w:style w:type="character" w:styleId="Ulstomtale">
    <w:name w:val="Unresolved Mention"/>
    <w:basedOn w:val="Standardskrifttypeiafsnit"/>
    <w:uiPriority w:val="99"/>
    <w:semiHidden/>
    <w:unhideWhenUsed/>
    <w:rsid w:val="00291122"/>
    <w:rPr>
      <w:color w:val="605E5C"/>
      <w:shd w:val="clear" w:color="auto" w:fill="E1DFDD"/>
    </w:rPr>
  </w:style>
  <w:style w:type="paragraph" w:styleId="Brdtekst">
    <w:name w:val="Body Text"/>
    <w:basedOn w:val="Normal"/>
    <w:link w:val="BrdtekstTegn"/>
    <w:uiPriority w:val="1"/>
    <w:semiHidden/>
    <w:unhideWhenUsed/>
    <w:qFormat/>
    <w:rsid w:val="00603A18"/>
    <w:pPr>
      <w:widowControl w:val="0"/>
      <w:autoSpaceDE w:val="0"/>
      <w:autoSpaceDN w:val="0"/>
    </w:pPr>
    <w:rPr>
      <w:sz w:val="22"/>
      <w:szCs w:val="22"/>
      <w:lang w:eastAsia="da-DK" w:bidi="es-ES"/>
    </w:rPr>
  </w:style>
  <w:style w:type="character" w:customStyle="1" w:styleId="BrdtekstTegn">
    <w:name w:val="Brødtekst Tegn"/>
    <w:basedOn w:val="Standardskrifttypeiafsnit"/>
    <w:link w:val="Brdtekst"/>
    <w:uiPriority w:val="1"/>
    <w:semiHidden/>
    <w:rsid w:val="00603A18"/>
    <w:rPr>
      <w:sz w:val="22"/>
      <w:szCs w:val="22"/>
      <w:lang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49111">
      <w:bodyDiv w:val="1"/>
      <w:marLeft w:val="0"/>
      <w:marRight w:val="0"/>
      <w:marTop w:val="0"/>
      <w:marBottom w:val="0"/>
      <w:divBdr>
        <w:top w:val="none" w:sz="0" w:space="0" w:color="auto"/>
        <w:left w:val="none" w:sz="0" w:space="0" w:color="auto"/>
        <w:bottom w:val="none" w:sz="0" w:space="0" w:color="auto"/>
        <w:right w:val="none" w:sz="0" w:space="0" w:color="auto"/>
      </w:divBdr>
    </w:div>
    <w:div w:id="88234955">
      <w:bodyDiv w:val="1"/>
      <w:marLeft w:val="0"/>
      <w:marRight w:val="0"/>
      <w:marTop w:val="0"/>
      <w:marBottom w:val="0"/>
      <w:divBdr>
        <w:top w:val="none" w:sz="0" w:space="0" w:color="auto"/>
        <w:left w:val="none" w:sz="0" w:space="0" w:color="auto"/>
        <w:bottom w:val="none" w:sz="0" w:space="0" w:color="auto"/>
        <w:right w:val="none" w:sz="0" w:space="0" w:color="auto"/>
      </w:divBdr>
      <w:divsChild>
        <w:div w:id="1316296806">
          <w:marLeft w:val="0"/>
          <w:marRight w:val="0"/>
          <w:marTop w:val="0"/>
          <w:marBottom w:val="0"/>
          <w:divBdr>
            <w:top w:val="none" w:sz="0" w:space="0" w:color="auto"/>
            <w:left w:val="none" w:sz="0" w:space="0" w:color="auto"/>
            <w:bottom w:val="none" w:sz="0" w:space="0" w:color="auto"/>
            <w:right w:val="none" w:sz="0" w:space="0" w:color="auto"/>
          </w:divBdr>
          <w:divsChild>
            <w:div w:id="1698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89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175452">
      <w:bodyDiv w:val="1"/>
      <w:marLeft w:val="0"/>
      <w:marRight w:val="0"/>
      <w:marTop w:val="0"/>
      <w:marBottom w:val="0"/>
      <w:divBdr>
        <w:top w:val="none" w:sz="0" w:space="0" w:color="auto"/>
        <w:left w:val="none" w:sz="0" w:space="0" w:color="auto"/>
        <w:bottom w:val="none" w:sz="0" w:space="0" w:color="auto"/>
        <w:right w:val="none" w:sz="0" w:space="0" w:color="auto"/>
      </w:divBdr>
    </w:div>
    <w:div w:id="236135961">
      <w:bodyDiv w:val="1"/>
      <w:marLeft w:val="0"/>
      <w:marRight w:val="0"/>
      <w:marTop w:val="0"/>
      <w:marBottom w:val="0"/>
      <w:divBdr>
        <w:top w:val="none" w:sz="0" w:space="0" w:color="auto"/>
        <w:left w:val="none" w:sz="0" w:space="0" w:color="auto"/>
        <w:bottom w:val="none" w:sz="0" w:space="0" w:color="auto"/>
        <w:right w:val="none" w:sz="0" w:space="0" w:color="auto"/>
      </w:divBdr>
      <w:divsChild>
        <w:div w:id="2070178994">
          <w:marLeft w:val="0"/>
          <w:marRight w:val="0"/>
          <w:marTop w:val="0"/>
          <w:marBottom w:val="0"/>
          <w:divBdr>
            <w:top w:val="none" w:sz="0" w:space="0" w:color="auto"/>
            <w:left w:val="none" w:sz="0" w:space="0" w:color="auto"/>
            <w:bottom w:val="none" w:sz="0" w:space="0" w:color="auto"/>
            <w:right w:val="none" w:sz="0" w:space="0" w:color="auto"/>
          </w:divBdr>
          <w:divsChild>
            <w:div w:id="10438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29739">
      <w:bodyDiv w:val="1"/>
      <w:marLeft w:val="0"/>
      <w:marRight w:val="0"/>
      <w:marTop w:val="0"/>
      <w:marBottom w:val="0"/>
      <w:divBdr>
        <w:top w:val="none" w:sz="0" w:space="0" w:color="auto"/>
        <w:left w:val="none" w:sz="0" w:space="0" w:color="auto"/>
        <w:bottom w:val="none" w:sz="0" w:space="0" w:color="auto"/>
        <w:right w:val="none" w:sz="0" w:space="0" w:color="auto"/>
      </w:divBdr>
    </w:div>
    <w:div w:id="389153994">
      <w:bodyDiv w:val="1"/>
      <w:marLeft w:val="0"/>
      <w:marRight w:val="0"/>
      <w:marTop w:val="0"/>
      <w:marBottom w:val="0"/>
      <w:divBdr>
        <w:top w:val="none" w:sz="0" w:space="0" w:color="auto"/>
        <w:left w:val="none" w:sz="0" w:space="0" w:color="auto"/>
        <w:bottom w:val="none" w:sz="0" w:space="0" w:color="auto"/>
        <w:right w:val="none" w:sz="0" w:space="0" w:color="auto"/>
      </w:divBdr>
    </w:div>
    <w:div w:id="405300178">
      <w:bodyDiv w:val="1"/>
      <w:marLeft w:val="0"/>
      <w:marRight w:val="0"/>
      <w:marTop w:val="0"/>
      <w:marBottom w:val="0"/>
      <w:divBdr>
        <w:top w:val="none" w:sz="0" w:space="0" w:color="auto"/>
        <w:left w:val="none" w:sz="0" w:space="0" w:color="auto"/>
        <w:bottom w:val="none" w:sz="0" w:space="0" w:color="auto"/>
        <w:right w:val="none" w:sz="0" w:space="0" w:color="auto"/>
      </w:divBdr>
    </w:div>
    <w:div w:id="430275235">
      <w:bodyDiv w:val="1"/>
      <w:marLeft w:val="0"/>
      <w:marRight w:val="0"/>
      <w:marTop w:val="0"/>
      <w:marBottom w:val="0"/>
      <w:divBdr>
        <w:top w:val="none" w:sz="0" w:space="0" w:color="auto"/>
        <w:left w:val="none" w:sz="0" w:space="0" w:color="auto"/>
        <w:bottom w:val="none" w:sz="0" w:space="0" w:color="auto"/>
        <w:right w:val="none" w:sz="0" w:space="0" w:color="auto"/>
      </w:divBdr>
    </w:div>
    <w:div w:id="486476406">
      <w:bodyDiv w:val="1"/>
      <w:marLeft w:val="0"/>
      <w:marRight w:val="0"/>
      <w:marTop w:val="0"/>
      <w:marBottom w:val="0"/>
      <w:divBdr>
        <w:top w:val="none" w:sz="0" w:space="0" w:color="auto"/>
        <w:left w:val="none" w:sz="0" w:space="0" w:color="auto"/>
        <w:bottom w:val="none" w:sz="0" w:space="0" w:color="auto"/>
        <w:right w:val="none" w:sz="0" w:space="0" w:color="auto"/>
      </w:divBdr>
    </w:div>
    <w:div w:id="519585299">
      <w:bodyDiv w:val="1"/>
      <w:marLeft w:val="0"/>
      <w:marRight w:val="0"/>
      <w:marTop w:val="0"/>
      <w:marBottom w:val="0"/>
      <w:divBdr>
        <w:top w:val="none" w:sz="0" w:space="0" w:color="auto"/>
        <w:left w:val="none" w:sz="0" w:space="0" w:color="auto"/>
        <w:bottom w:val="none" w:sz="0" w:space="0" w:color="auto"/>
        <w:right w:val="none" w:sz="0" w:space="0" w:color="auto"/>
      </w:divBdr>
    </w:div>
    <w:div w:id="725378065">
      <w:bodyDiv w:val="1"/>
      <w:marLeft w:val="0"/>
      <w:marRight w:val="0"/>
      <w:marTop w:val="0"/>
      <w:marBottom w:val="0"/>
      <w:divBdr>
        <w:top w:val="none" w:sz="0" w:space="0" w:color="auto"/>
        <w:left w:val="none" w:sz="0" w:space="0" w:color="auto"/>
        <w:bottom w:val="none" w:sz="0" w:space="0" w:color="auto"/>
        <w:right w:val="none" w:sz="0" w:space="0" w:color="auto"/>
      </w:divBdr>
    </w:div>
    <w:div w:id="734619455">
      <w:bodyDiv w:val="1"/>
      <w:marLeft w:val="0"/>
      <w:marRight w:val="0"/>
      <w:marTop w:val="0"/>
      <w:marBottom w:val="0"/>
      <w:divBdr>
        <w:top w:val="none" w:sz="0" w:space="0" w:color="auto"/>
        <w:left w:val="none" w:sz="0" w:space="0" w:color="auto"/>
        <w:bottom w:val="none" w:sz="0" w:space="0" w:color="auto"/>
        <w:right w:val="none" w:sz="0" w:space="0" w:color="auto"/>
      </w:divBdr>
    </w:div>
    <w:div w:id="734819546">
      <w:bodyDiv w:val="1"/>
      <w:marLeft w:val="0"/>
      <w:marRight w:val="0"/>
      <w:marTop w:val="0"/>
      <w:marBottom w:val="0"/>
      <w:divBdr>
        <w:top w:val="none" w:sz="0" w:space="0" w:color="auto"/>
        <w:left w:val="none" w:sz="0" w:space="0" w:color="auto"/>
        <w:bottom w:val="none" w:sz="0" w:space="0" w:color="auto"/>
        <w:right w:val="none" w:sz="0" w:space="0" w:color="auto"/>
      </w:divBdr>
    </w:div>
    <w:div w:id="735737061">
      <w:bodyDiv w:val="1"/>
      <w:marLeft w:val="0"/>
      <w:marRight w:val="0"/>
      <w:marTop w:val="0"/>
      <w:marBottom w:val="0"/>
      <w:divBdr>
        <w:top w:val="none" w:sz="0" w:space="0" w:color="auto"/>
        <w:left w:val="none" w:sz="0" w:space="0" w:color="auto"/>
        <w:bottom w:val="none" w:sz="0" w:space="0" w:color="auto"/>
        <w:right w:val="none" w:sz="0" w:space="0" w:color="auto"/>
      </w:divBdr>
    </w:div>
    <w:div w:id="739837039">
      <w:bodyDiv w:val="1"/>
      <w:marLeft w:val="0"/>
      <w:marRight w:val="0"/>
      <w:marTop w:val="0"/>
      <w:marBottom w:val="0"/>
      <w:divBdr>
        <w:top w:val="none" w:sz="0" w:space="0" w:color="auto"/>
        <w:left w:val="none" w:sz="0" w:space="0" w:color="auto"/>
        <w:bottom w:val="none" w:sz="0" w:space="0" w:color="auto"/>
        <w:right w:val="none" w:sz="0" w:space="0" w:color="auto"/>
      </w:divBdr>
    </w:div>
    <w:div w:id="781537464">
      <w:bodyDiv w:val="1"/>
      <w:marLeft w:val="0"/>
      <w:marRight w:val="0"/>
      <w:marTop w:val="0"/>
      <w:marBottom w:val="0"/>
      <w:divBdr>
        <w:top w:val="none" w:sz="0" w:space="0" w:color="auto"/>
        <w:left w:val="none" w:sz="0" w:space="0" w:color="auto"/>
        <w:bottom w:val="none" w:sz="0" w:space="0" w:color="auto"/>
        <w:right w:val="none" w:sz="0" w:space="0" w:color="auto"/>
      </w:divBdr>
    </w:div>
    <w:div w:id="806900397">
      <w:bodyDiv w:val="1"/>
      <w:marLeft w:val="0"/>
      <w:marRight w:val="0"/>
      <w:marTop w:val="0"/>
      <w:marBottom w:val="0"/>
      <w:divBdr>
        <w:top w:val="none" w:sz="0" w:space="0" w:color="auto"/>
        <w:left w:val="none" w:sz="0" w:space="0" w:color="auto"/>
        <w:bottom w:val="none" w:sz="0" w:space="0" w:color="auto"/>
        <w:right w:val="none" w:sz="0" w:space="0" w:color="auto"/>
      </w:divBdr>
    </w:div>
    <w:div w:id="853764215">
      <w:bodyDiv w:val="1"/>
      <w:marLeft w:val="0"/>
      <w:marRight w:val="0"/>
      <w:marTop w:val="0"/>
      <w:marBottom w:val="0"/>
      <w:divBdr>
        <w:top w:val="none" w:sz="0" w:space="0" w:color="auto"/>
        <w:left w:val="none" w:sz="0" w:space="0" w:color="auto"/>
        <w:bottom w:val="none" w:sz="0" w:space="0" w:color="auto"/>
        <w:right w:val="none" w:sz="0" w:space="0" w:color="auto"/>
      </w:divBdr>
    </w:div>
    <w:div w:id="896279747">
      <w:bodyDiv w:val="1"/>
      <w:marLeft w:val="0"/>
      <w:marRight w:val="0"/>
      <w:marTop w:val="0"/>
      <w:marBottom w:val="0"/>
      <w:divBdr>
        <w:top w:val="none" w:sz="0" w:space="0" w:color="auto"/>
        <w:left w:val="none" w:sz="0" w:space="0" w:color="auto"/>
        <w:bottom w:val="none" w:sz="0" w:space="0" w:color="auto"/>
        <w:right w:val="none" w:sz="0" w:space="0" w:color="auto"/>
      </w:divBdr>
    </w:div>
    <w:div w:id="915745680">
      <w:bodyDiv w:val="1"/>
      <w:marLeft w:val="0"/>
      <w:marRight w:val="0"/>
      <w:marTop w:val="0"/>
      <w:marBottom w:val="0"/>
      <w:divBdr>
        <w:top w:val="none" w:sz="0" w:space="0" w:color="auto"/>
        <w:left w:val="none" w:sz="0" w:space="0" w:color="auto"/>
        <w:bottom w:val="none" w:sz="0" w:space="0" w:color="auto"/>
        <w:right w:val="none" w:sz="0" w:space="0" w:color="auto"/>
      </w:divBdr>
    </w:div>
    <w:div w:id="982348142">
      <w:bodyDiv w:val="1"/>
      <w:marLeft w:val="0"/>
      <w:marRight w:val="0"/>
      <w:marTop w:val="0"/>
      <w:marBottom w:val="0"/>
      <w:divBdr>
        <w:top w:val="none" w:sz="0" w:space="0" w:color="auto"/>
        <w:left w:val="none" w:sz="0" w:space="0" w:color="auto"/>
        <w:bottom w:val="none" w:sz="0" w:space="0" w:color="auto"/>
        <w:right w:val="none" w:sz="0" w:space="0" w:color="auto"/>
      </w:divBdr>
    </w:div>
    <w:div w:id="1055274844">
      <w:bodyDiv w:val="1"/>
      <w:marLeft w:val="0"/>
      <w:marRight w:val="0"/>
      <w:marTop w:val="0"/>
      <w:marBottom w:val="0"/>
      <w:divBdr>
        <w:top w:val="none" w:sz="0" w:space="0" w:color="auto"/>
        <w:left w:val="none" w:sz="0" w:space="0" w:color="auto"/>
        <w:bottom w:val="none" w:sz="0" w:space="0" w:color="auto"/>
        <w:right w:val="none" w:sz="0" w:space="0" w:color="auto"/>
      </w:divBdr>
    </w:div>
    <w:div w:id="1213929696">
      <w:bodyDiv w:val="1"/>
      <w:marLeft w:val="0"/>
      <w:marRight w:val="0"/>
      <w:marTop w:val="0"/>
      <w:marBottom w:val="0"/>
      <w:divBdr>
        <w:top w:val="none" w:sz="0" w:space="0" w:color="auto"/>
        <w:left w:val="none" w:sz="0" w:space="0" w:color="auto"/>
        <w:bottom w:val="none" w:sz="0" w:space="0" w:color="auto"/>
        <w:right w:val="none" w:sz="0" w:space="0" w:color="auto"/>
      </w:divBdr>
    </w:div>
    <w:div w:id="1294562851">
      <w:bodyDiv w:val="1"/>
      <w:marLeft w:val="0"/>
      <w:marRight w:val="0"/>
      <w:marTop w:val="0"/>
      <w:marBottom w:val="0"/>
      <w:divBdr>
        <w:top w:val="none" w:sz="0" w:space="0" w:color="auto"/>
        <w:left w:val="none" w:sz="0" w:space="0" w:color="auto"/>
        <w:bottom w:val="none" w:sz="0" w:space="0" w:color="auto"/>
        <w:right w:val="none" w:sz="0" w:space="0" w:color="auto"/>
      </w:divBdr>
    </w:div>
    <w:div w:id="1398942289">
      <w:bodyDiv w:val="1"/>
      <w:marLeft w:val="0"/>
      <w:marRight w:val="0"/>
      <w:marTop w:val="0"/>
      <w:marBottom w:val="0"/>
      <w:divBdr>
        <w:top w:val="none" w:sz="0" w:space="0" w:color="auto"/>
        <w:left w:val="none" w:sz="0" w:space="0" w:color="auto"/>
        <w:bottom w:val="none" w:sz="0" w:space="0" w:color="auto"/>
        <w:right w:val="none" w:sz="0" w:space="0" w:color="auto"/>
      </w:divBdr>
    </w:div>
    <w:div w:id="1466654273">
      <w:bodyDiv w:val="1"/>
      <w:marLeft w:val="0"/>
      <w:marRight w:val="0"/>
      <w:marTop w:val="0"/>
      <w:marBottom w:val="0"/>
      <w:divBdr>
        <w:top w:val="none" w:sz="0" w:space="0" w:color="auto"/>
        <w:left w:val="none" w:sz="0" w:space="0" w:color="auto"/>
        <w:bottom w:val="none" w:sz="0" w:space="0" w:color="auto"/>
        <w:right w:val="none" w:sz="0" w:space="0" w:color="auto"/>
      </w:divBdr>
    </w:div>
    <w:div w:id="1495611522">
      <w:bodyDiv w:val="1"/>
      <w:marLeft w:val="0"/>
      <w:marRight w:val="0"/>
      <w:marTop w:val="0"/>
      <w:marBottom w:val="0"/>
      <w:divBdr>
        <w:top w:val="none" w:sz="0" w:space="0" w:color="auto"/>
        <w:left w:val="none" w:sz="0" w:space="0" w:color="auto"/>
        <w:bottom w:val="none" w:sz="0" w:space="0" w:color="auto"/>
        <w:right w:val="none" w:sz="0" w:space="0" w:color="auto"/>
      </w:divBdr>
    </w:div>
    <w:div w:id="1524322220">
      <w:bodyDiv w:val="1"/>
      <w:marLeft w:val="0"/>
      <w:marRight w:val="0"/>
      <w:marTop w:val="0"/>
      <w:marBottom w:val="0"/>
      <w:divBdr>
        <w:top w:val="none" w:sz="0" w:space="0" w:color="auto"/>
        <w:left w:val="none" w:sz="0" w:space="0" w:color="auto"/>
        <w:bottom w:val="none" w:sz="0" w:space="0" w:color="auto"/>
        <w:right w:val="none" w:sz="0" w:space="0" w:color="auto"/>
      </w:divBdr>
    </w:div>
    <w:div w:id="1612936502">
      <w:bodyDiv w:val="1"/>
      <w:marLeft w:val="0"/>
      <w:marRight w:val="0"/>
      <w:marTop w:val="0"/>
      <w:marBottom w:val="0"/>
      <w:divBdr>
        <w:top w:val="none" w:sz="0" w:space="0" w:color="auto"/>
        <w:left w:val="none" w:sz="0" w:space="0" w:color="auto"/>
        <w:bottom w:val="none" w:sz="0" w:space="0" w:color="auto"/>
        <w:right w:val="none" w:sz="0" w:space="0" w:color="auto"/>
      </w:divBdr>
    </w:div>
    <w:div w:id="1739935662">
      <w:bodyDiv w:val="1"/>
      <w:marLeft w:val="0"/>
      <w:marRight w:val="0"/>
      <w:marTop w:val="0"/>
      <w:marBottom w:val="0"/>
      <w:divBdr>
        <w:top w:val="none" w:sz="0" w:space="0" w:color="auto"/>
        <w:left w:val="none" w:sz="0" w:space="0" w:color="auto"/>
        <w:bottom w:val="none" w:sz="0" w:space="0" w:color="auto"/>
        <w:right w:val="none" w:sz="0" w:space="0" w:color="auto"/>
      </w:divBdr>
    </w:div>
    <w:div w:id="1794442498">
      <w:bodyDiv w:val="1"/>
      <w:marLeft w:val="0"/>
      <w:marRight w:val="0"/>
      <w:marTop w:val="0"/>
      <w:marBottom w:val="0"/>
      <w:divBdr>
        <w:top w:val="none" w:sz="0" w:space="0" w:color="auto"/>
        <w:left w:val="none" w:sz="0" w:space="0" w:color="auto"/>
        <w:bottom w:val="none" w:sz="0" w:space="0" w:color="auto"/>
        <w:right w:val="none" w:sz="0" w:space="0" w:color="auto"/>
      </w:divBdr>
    </w:div>
    <w:div w:id="1830906384">
      <w:bodyDiv w:val="1"/>
      <w:marLeft w:val="0"/>
      <w:marRight w:val="0"/>
      <w:marTop w:val="0"/>
      <w:marBottom w:val="0"/>
      <w:divBdr>
        <w:top w:val="none" w:sz="0" w:space="0" w:color="auto"/>
        <w:left w:val="none" w:sz="0" w:space="0" w:color="auto"/>
        <w:bottom w:val="none" w:sz="0" w:space="0" w:color="auto"/>
        <w:right w:val="none" w:sz="0" w:space="0" w:color="auto"/>
      </w:divBdr>
    </w:div>
    <w:div w:id="1840342101">
      <w:bodyDiv w:val="1"/>
      <w:marLeft w:val="0"/>
      <w:marRight w:val="0"/>
      <w:marTop w:val="0"/>
      <w:marBottom w:val="0"/>
      <w:divBdr>
        <w:top w:val="none" w:sz="0" w:space="0" w:color="auto"/>
        <w:left w:val="none" w:sz="0" w:space="0" w:color="auto"/>
        <w:bottom w:val="none" w:sz="0" w:space="0" w:color="auto"/>
        <w:right w:val="none" w:sz="0" w:space="0" w:color="auto"/>
      </w:divBdr>
    </w:div>
    <w:div w:id="1958247799">
      <w:bodyDiv w:val="1"/>
      <w:marLeft w:val="0"/>
      <w:marRight w:val="0"/>
      <w:marTop w:val="0"/>
      <w:marBottom w:val="0"/>
      <w:divBdr>
        <w:top w:val="none" w:sz="0" w:space="0" w:color="auto"/>
        <w:left w:val="none" w:sz="0" w:space="0" w:color="auto"/>
        <w:bottom w:val="none" w:sz="0" w:space="0" w:color="auto"/>
        <w:right w:val="none" w:sz="0" w:space="0" w:color="auto"/>
      </w:divBdr>
    </w:div>
    <w:div w:id="1976982819">
      <w:bodyDiv w:val="1"/>
      <w:marLeft w:val="0"/>
      <w:marRight w:val="0"/>
      <w:marTop w:val="0"/>
      <w:marBottom w:val="0"/>
      <w:divBdr>
        <w:top w:val="none" w:sz="0" w:space="0" w:color="auto"/>
        <w:left w:val="none" w:sz="0" w:space="0" w:color="auto"/>
        <w:bottom w:val="none" w:sz="0" w:space="0" w:color="auto"/>
        <w:right w:val="none" w:sz="0" w:space="0" w:color="auto"/>
      </w:divBdr>
    </w:div>
    <w:div w:id="2062820631">
      <w:bodyDiv w:val="1"/>
      <w:marLeft w:val="0"/>
      <w:marRight w:val="0"/>
      <w:marTop w:val="0"/>
      <w:marBottom w:val="0"/>
      <w:divBdr>
        <w:top w:val="none" w:sz="0" w:space="0" w:color="auto"/>
        <w:left w:val="none" w:sz="0" w:space="0" w:color="auto"/>
        <w:bottom w:val="none" w:sz="0" w:space="0" w:color="auto"/>
        <w:right w:val="none" w:sz="0" w:space="0" w:color="auto"/>
      </w:divBdr>
    </w:div>
    <w:div w:id="2071883839">
      <w:bodyDiv w:val="1"/>
      <w:marLeft w:val="0"/>
      <w:marRight w:val="0"/>
      <w:marTop w:val="0"/>
      <w:marBottom w:val="0"/>
      <w:divBdr>
        <w:top w:val="none" w:sz="0" w:space="0" w:color="auto"/>
        <w:left w:val="none" w:sz="0" w:space="0" w:color="auto"/>
        <w:bottom w:val="none" w:sz="0" w:space="0" w:color="auto"/>
        <w:right w:val="none" w:sz="0" w:space="0" w:color="auto"/>
      </w:divBdr>
    </w:div>
    <w:div w:id="214160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4059</Words>
  <Characters>27436</Characters>
  <Application>Microsoft Office Word</Application>
  <DocSecurity>0</DocSecurity>
  <Lines>228</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2024113811_x000d_
tilføjelse af repræsentanten Unimedic Pharma AB</dc:description>
  <cp:lastModifiedBy>Marianne Ott Jensen</cp:lastModifiedBy>
  <cp:revision>4</cp:revision>
  <cp:lastPrinted>2012-08-22T08:53:00Z</cp:lastPrinted>
  <dcterms:created xsi:type="dcterms:W3CDTF">2024-12-09T10:35:00Z</dcterms:created>
  <dcterms:modified xsi:type="dcterms:W3CDTF">2024-12-09T10:37:00Z</dcterms:modified>
</cp:coreProperties>
</file>