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CCD" w:rsidRPr="00C84483" w:rsidRDefault="00E92CCD" w:rsidP="00E92CCD">
      <w:pPr>
        <w:rPr>
          <w:sz w:val="24"/>
          <w:szCs w:val="24"/>
        </w:rPr>
      </w:pPr>
      <w:r>
        <w:rPr>
          <w:b/>
          <w:noProof/>
          <w:lang w:eastAsia="da-DK"/>
        </w:rPr>
        <w:drawing>
          <wp:inline distT="0" distB="0" distL="0" distR="0" wp14:anchorId="31FFB75E" wp14:editId="3A2A65D1">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444E6" w:rsidRDefault="00C444E6" w:rsidP="00E92CCD">
      <w:pPr>
        <w:pStyle w:val="Titel"/>
        <w:tabs>
          <w:tab w:val="right" w:pos="9356"/>
        </w:tabs>
        <w:jc w:val="left"/>
        <w:rPr>
          <w:b w:val="0"/>
          <w:szCs w:val="24"/>
          <w:lang w:eastAsia="en-US"/>
        </w:rPr>
      </w:pPr>
    </w:p>
    <w:p w:rsidR="00E92CCD" w:rsidRPr="00C444E6" w:rsidRDefault="00E92CCD" w:rsidP="00E92CCD">
      <w:pPr>
        <w:pStyle w:val="Titel"/>
        <w:tabs>
          <w:tab w:val="right" w:pos="9356"/>
        </w:tabs>
        <w:jc w:val="left"/>
        <w:rPr>
          <w:szCs w:val="24"/>
          <w:lang w:eastAsia="en-US"/>
        </w:rPr>
      </w:pPr>
      <w:r w:rsidRPr="00C84483">
        <w:rPr>
          <w:b w:val="0"/>
          <w:szCs w:val="24"/>
          <w:lang w:eastAsia="en-US"/>
        </w:rPr>
        <w:tab/>
      </w:r>
      <w:r w:rsidR="00C444E6" w:rsidRPr="00C444E6">
        <w:rPr>
          <w:szCs w:val="24"/>
          <w:lang w:eastAsia="en-US"/>
        </w:rPr>
        <w:t>12. februar 2025</w:t>
      </w:r>
    </w:p>
    <w:p w:rsidR="00E92CCD" w:rsidRDefault="00E92CCD" w:rsidP="00E92CCD">
      <w:pPr>
        <w:pStyle w:val="Titel"/>
        <w:jc w:val="left"/>
        <w:rPr>
          <w:b w:val="0"/>
          <w:szCs w:val="24"/>
        </w:rPr>
      </w:pPr>
    </w:p>
    <w:p w:rsidR="00E92CCD" w:rsidRPr="00C84483" w:rsidRDefault="00E92CCD" w:rsidP="00E92CCD">
      <w:pPr>
        <w:pStyle w:val="Titel"/>
        <w:jc w:val="left"/>
        <w:rPr>
          <w:b w:val="0"/>
          <w:szCs w:val="24"/>
        </w:rPr>
      </w:pPr>
    </w:p>
    <w:p w:rsidR="00E92CCD" w:rsidRPr="00C84483" w:rsidRDefault="00E92CCD" w:rsidP="00E92CCD">
      <w:pPr>
        <w:pStyle w:val="Titel"/>
        <w:jc w:val="left"/>
        <w:rPr>
          <w:b w:val="0"/>
          <w:szCs w:val="24"/>
        </w:rPr>
      </w:pPr>
    </w:p>
    <w:p w:rsidR="00E92CCD" w:rsidRPr="00C84483" w:rsidRDefault="00E92CCD" w:rsidP="00E92CCD">
      <w:pPr>
        <w:jc w:val="center"/>
        <w:rPr>
          <w:b/>
          <w:sz w:val="24"/>
          <w:szCs w:val="24"/>
        </w:rPr>
      </w:pPr>
      <w:r w:rsidRPr="00C84483">
        <w:rPr>
          <w:b/>
          <w:sz w:val="24"/>
          <w:szCs w:val="24"/>
        </w:rPr>
        <w:t>PRODUKTRESUMÉ</w:t>
      </w:r>
    </w:p>
    <w:p w:rsidR="00E92CCD" w:rsidRPr="00C84483" w:rsidRDefault="00E92CCD" w:rsidP="00E92CCD">
      <w:pPr>
        <w:tabs>
          <w:tab w:val="left" w:pos="792"/>
        </w:tabs>
        <w:rPr>
          <w:b/>
          <w:sz w:val="24"/>
          <w:szCs w:val="24"/>
        </w:rPr>
      </w:pPr>
      <w:r>
        <w:rPr>
          <w:b/>
          <w:sz w:val="24"/>
          <w:szCs w:val="24"/>
        </w:rPr>
        <w:tab/>
      </w:r>
    </w:p>
    <w:p w:rsidR="00E92CCD" w:rsidRPr="00C84483" w:rsidRDefault="00E92CCD" w:rsidP="00E92CCD">
      <w:pPr>
        <w:jc w:val="center"/>
        <w:rPr>
          <w:b/>
          <w:sz w:val="24"/>
          <w:szCs w:val="24"/>
        </w:rPr>
      </w:pPr>
      <w:r w:rsidRPr="00C84483">
        <w:rPr>
          <w:b/>
          <w:sz w:val="24"/>
          <w:szCs w:val="24"/>
        </w:rPr>
        <w:t>for</w:t>
      </w:r>
    </w:p>
    <w:p w:rsidR="00E92CCD" w:rsidRPr="00C84483" w:rsidRDefault="00E92CCD" w:rsidP="00E92CCD">
      <w:pPr>
        <w:jc w:val="center"/>
        <w:rPr>
          <w:b/>
          <w:sz w:val="24"/>
          <w:szCs w:val="24"/>
        </w:rPr>
      </w:pPr>
    </w:p>
    <w:p w:rsidR="00E92CCD" w:rsidRPr="00C84483" w:rsidRDefault="00E92CCD" w:rsidP="00E92CCD">
      <w:pPr>
        <w:jc w:val="center"/>
        <w:rPr>
          <w:b/>
          <w:sz w:val="24"/>
          <w:szCs w:val="24"/>
        </w:rPr>
      </w:pPr>
      <w:proofErr w:type="spellStart"/>
      <w:r>
        <w:rPr>
          <w:b/>
          <w:sz w:val="24"/>
          <w:szCs w:val="24"/>
        </w:rPr>
        <w:t>Zevtera</w:t>
      </w:r>
      <w:proofErr w:type="spellEnd"/>
      <w:r>
        <w:rPr>
          <w:b/>
          <w:sz w:val="24"/>
          <w:szCs w:val="24"/>
        </w:rPr>
        <w:t>, pulver til koncentrat til infusionsvæske, opløsning</w:t>
      </w:r>
    </w:p>
    <w:p w:rsidR="00E92CCD" w:rsidRPr="00C84483" w:rsidRDefault="00E92CCD" w:rsidP="00E92CCD">
      <w:pPr>
        <w:jc w:val="both"/>
        <w:rPr>
          <w:sz w:val="24"/>
          <w:szCs w:val="24"/>
        </w:rPr>
      </w:pPr>
    </w:p>
    <w:p w:rsidR="00E92CCD" w:rsidRPr="00553FC4" w:rsidRDefault="00E92CCD" w:rsidP="00E92CCD">
      <w:pPr>
        <w:ind w:left="851" w:hanging="851"/>
        <w:jc w:val="both"/>
        <w:rPr>
          <w:sz w:val="24"/>
          <w:szCs w:val="24"/>
        </w:rPr>
      </w:pPr>
    </w:p>
    <w:p w:rsidR="00E92CCD" w:rsidRPr="00553FC4" w:rsidRDefault="00E92CCD" w:rsidP="00E92CCD">
      <w:pPr>
        <w:ind w:left="851" w:hanging="851"/>
        <w:rPr>
          <w:b/>
          <w:sz w:val="24"/>
          <w:szCs w:val="24"/>
        </w:rPr>
      </w:pPr>
      <w:r w:rsidRPr="00553FC4">
        <w:rPr>
          <w:b/>
          <w:sz w:val="24"/>
          <w:szCs w:val="24"/>
        </w:rPr>
        <w:t>0.</w:t>
      </w:r>
      <w:r w:rsidRPr="00553FC4">
        <w:rPr>
          <w:b/>
          <w:sz w:val="24"/>
          <w:szCs w:val="24"/>
        </w:rPr>
        <w:tab/>
        <w:t>D.SP.NR.</w:t>
      </w:r>
    </w:p>
    <w:p w:rsidR="00E92CCD" w:rsidRPr="00553FC4" w:rsidRDefault="00E92CCD" w:rsidP="00E92CCD">
      <w:pPr>
        <w:ind w:left="851" w:hanging="851"/>
        <w:rPr>
          <w:sz w:val="24"/>
          <w:szCs w:val="24"/>
        </w:rPr>
      </w:pPr>
      <w:r w:rsidRPr="00553FC4">
        <w:rPr>
          <w:sz w:val="24"/>
          <w:szCs w:val="24"/>
        </w:rPr>
        <w:tab/>
        <w:t>28521</w:t>
      </w: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1.</w:t>
      </w:r>
      <w:r w:rsidRPr="00553FC4">
        <w:rPr>
          <w:b/>
          <w:sz w:val="24"/>
          <w:szCs w:val="24"/>
        </w:rPr>
        <w:tab/>
        <w:t>LÆGEMIDLETS NAVN</w:t>
      </w:r>
    </w:p>
    <w:p w:rsidR="00E92CCD" w:rsidRPr="00553FC4" w:rsidRDefault="00E92CCD" w:rsidP="00E92CCD">
      <w:pPr>
        <w:ind w:left="851" w:hanging="851"/>
        <w:rPr>
          <w:sz w:val="24"/>
          <w:szCs w:val="24"/>
        </w:rPr>
      </w:pPr>
      <w:r w:rsidRPr="00553FC4">
        <w:rPr>
          <w:sz w:val="24"/>
          <w:szCs w:val="24"/>
        </w:rPr>
        <w:tab/>
      </w:r>
      <w:proofErr w:type="spellStart"/>
      <w:r w:rsidRPr="00553FC4">
        <w:rPr>
          <w:sz w:val="24"/>
          <w:szCs w:val="24"/>
        </w:rPr>
        <w:t>Zevtera</w:t>
      </w:r>
      <w:proofErr w:type="spellEnd"/>
    </w:p>
    <w:p w:rsidR="00E92CCD" w:rsidRPr="00553FC4" w:rsidRDefault="00E92CCD" w:rsidP="00E92CCD">
      <w:pPr>
        <w:ind w:left="851" w:hanging="851"/>
        <w:rPr>
          <w:sz w:val="24"/>
          <w:szCs w:val="24"/>
        </w:rPr>
      </w:pPr>
      <w:r w:rsidRPr="00553FC4">
        <w:rPr>
          <w:sz w:val="24"/>
          <w:szCs w:val="24"/>
        </w:rPr>
        <w:tab/>
      </w:r>
    </w:p>
    <w:p w:rsidR="00E92CCD" w:rsidRPr="00553FC4" w:rsidRDefault="00E92CCD" w:rsidP="00E92CCD">
      <w:pPr>
        <w:ind w:left="851" w:hanging="851"/>
        <w:rPr>
          <w:b/>
          <w:sz w:val="24"/>
          <w:szCs w:val="24"/>
        </w:rPr>
      </w:pPr>
      <w:r w:rsidRPr="00553FC4">
        <w:rPr>
          <w:b/>
          <w:sz w:val="24"/>
          <w:szCs w:val="24"/>
        </w:rPr>
        <w:t>2.</w:t>
      </w:r>
      <w:r w:rsidRPr="00553FC4">
        <w:rPr>
          <w:b/>
          <w:sz w:val="24"/>
          <w:szCs w:val="24"/>
        </w:rPr>
        <w:tab/>
        <w:t>KVALITATIV OG KVANTITATIV SAMMENSÆTNING</w:t>
      </w:r>
    </w:p>
    <w:p w:rsidR="00E92CCD" w:rsidRPr="00553FC4" w:rsidRDefault="00E92CCD" w:rsidP="00E92CCD">
      <w:pPr>
        <w:ind w:left="851" w:hanging="851"/>
        <w:rPr>
          <w:sz w:val="24"/>
          <w:szCs w:val="24"/>
        </w:rPr>
      </w:pPr>
      <w:r w:rsidRPr="00553FC4">
        <w:rPr>
          <w:sz w:val="24"/>
          <w:szCs w:val="24"/>
        </w:rPr>
        <w:tab/>
        <w:t xml:space="preserve">Hvert hætteglas indeholder 500 mg </w:t>
      </w:r>
      <w:proofErr w:type="spellStart"/>
      <w:r w:rsidRPr="00553FC4">
        <w:rPr>
          <w:sz w:val="24"/>
          <w:szCs w:val="24"/>
        </w:rPr>
        <w:t>ceftobiprol</w:t>
      </w:r>
      <w:proofErr w:type="spellEnd"/>
      <w:r w:rsidRPr="00553FC4">
        <w:rPr>
          <w:sz w:val="24"/>
          <w:szCs w:val="24"/>
        </w:rPr>
        <w:t xml:space="preserve"> (som 666,6 mg </w:t>
      </w:r>
      <w:proofErr w:type="spellStart"/>
      <w:r w:rsidRPr="00553FC4">
        <w:rPr>
          <w:sz w:val="24"/>
          <w:szCs w:val="24"/>
        </w:rPr>
        <w:t>ceftobiprolmedocaril</w:t>
      </w:r>
      <w:r>
        <w:rPr>
          <w:sz w:val="24"/>
          <w:szCs w:val="24"/>
        </w:rPr>
        <w:softHyphen/>
      </w:r>
      <w:r w:rsidRPr="00553FC4">
        <w:rPr>
          <w:sz w:val="24"/>
          <w:szCs w:val="24"/>
        </w:rPr>
        <w:t>natrium</w:t>
      </w:r>
      <w:proofErr w:type="spellEnd"/>
      <w:r w:rsidRPr="00553FC4">
        <w:rPr>
          <w:sz w:val="24"/>
          <w:szCs w:val="24"/>
        </w:rPr>
        <w:t xml:space="preserve">). Efter </w:t>
      </w:r>
      <w:proofErr w:type="spellStart"/>
      <w:r w:rsidRPr="00553FC4">
        <w:rPr>
          <w:sz w:val="24"/>
          <w:szCs w:val="24"/>
        </w:rPr>
        <w:t>rekonstitution</w:t>
      </w:r>
      <w:proofErr w:type="spellEnd"/>
      <w:r w:rsidRPr="00553FC4">
        <w:rPr>
          <w:sz w:val="24"/>
          <w:szCs w:val="24"/>
        </w:rPr>
        <w:t xml:space="preserve"> indeholder hver ml af koncentrat 50 mg </w:t>
      </w:r>
      <w:proofErr w:type="spellStart"/>
      <w:r w:rsidRPr="00553FC4">
        <w:rPr>
          <w:sz w:val="24"/>
          <w:szCs w:val="24"/>
        </w:rPr>
        <w:t>ceftobiprol</w:t>
      </w:r>
      <w:proofErr w:type="spellEnd"/>
      <w:r w:rsidRPr="00553FC4">
        <w:rPr>
          <w:sz w:val="24"/>
          <w:szCs w:val="24"/>
        </w:rPr>
        <w:t xml:space="preserve"> (som 66,7 mg </w:t>
      </w:r>
      <w:proofErr w:type="spellStart"/>
      <w:r w:rsidRPr="00553FC4">
        <w:rPr>
          <w:sz w:val="24"/>
          <w:szCs w:val="24"/>
        </w:rPr>
        <w:t>ceftobiprolmedocarilnatrium</w:t>
      </w:r>
      <w:proofErr w:type="spellEnd"/>
      <w:r w:rsidRPr="00553FC4">
        <w:rPr>
          <w:sz w:val="24"/>
          <w:szCs w:val="24"/>
        </w:rPr>
        <w:t>).</w:t>
      </w:r>
    </w:p>
    <w:p w:rsidR="00E92CCD" w:rsidRPr="00553FC4" w:rsidRDefault="00E92CCD" w:rsidP="00E92CCD">
      <w:pPr>
        <w:ind w:left="851" w:hanging="851"/>
        <w:rPr>
          <w:sz w:val="24"/>
          <w:szCs w:val="24"/>
        </w:rPr>
      </w:pPr>
    </w:p>
    <w:p w:rsidR="00E92CCD" w:rsidRPr="00553FC4" w:rsidRDefault="00E92CCD" w:rsidP="00E92CCD">
      <w:pPr>
        <w:ind w:left="851"/>
        <w:rPr>
          <w:sz w:val="24"/>
          <w:szCs w:val="24"/>
        </w:rPr>
      </w:pPr>
      <w:r w:rsidRPr="00553FC4">
        <w:rPr>
          <w:sz w:val="24"/>
          <w:szCs w:val="24"/>
          <w:u w:val="single"/>
        </w:rPr>
        <w:t>Hjælpestof(fer), som behandleren skal være opmærksom på:</w:t>
      </w:r>
      <w:r w:rsidRPr="00553FC4">
        <w:rPr>
          <w:sz w:val="24"/>
          <w:szCs w:val="24"/>
        </w:rPr>
        <w:t xml:space="preserve"> </w:t>
      </w:r>
    </w:p>
    <w:p w:rsidR="002F06C0" w:rsidRDefault="002F06C0" w:rsidP="00E92CCD">
      <w:pPr>
        <w:ind w:left="851"/>
        <w:rPr>
          <w:sz w:val="24"/>
          <w:szCs w:val="24"/>
        </w:rPr>
      </w:pPr>
      <w:r>
        <w:rPr>
          <w:sz w:val="24"/>
          <w:szCs w:val="24"/>
        </w:rPr>
        <w:t xml:space="preserve">Hvert hætteglas indeholder cirka 0,95 mmol (22 mg) </w:t>
      </w:r>
      <w:proofErr w:type="spellStart"/>
      <w:r>
        <w:rPr>
          <w:sz w:val="24"/>
          <w:szCs w:val="24"/>
        </w:rPr>
        <w:t>natrium</w:t>
      </w:r>
    </w:p>
    <w:p w:rsidR="002F06C0" w:rsidRDefault="002F06C0" w:rsidP="00E92CCD">
      <w:pPr>
        <w:ind w:left="851"/>
        <w:rPr>
          <w:sz w:val="24"/>
          <w:szCs w:val="24"/>
        </w:rPr>
      </w:pPr>
      <w:proofErr w:type="spellEnd"/>
    </w:p>
    <w:p w:rsidR="00E92CCD" w:rsidRPr="00553FC4" w:rsidRDefault="00E92CCD" w:rsidP="00E92CCD">
      <w:pPr>
        <w:ind w:left="851"/>
        <w:rPr>
          <w:sz w:val="24"/>
          <w:szCs w:val="24"/>
        </w:rPr>
      </w:pPr>
      <w:r w:rsidRPr="00553FC4">
        <w:rPr>
          <w:sz w:val="24"/>
          <w:szCs w:val="24"/>
        </w:rPr>
        <w:t>Alle hjælpestoffer er anført under pkt. 6.1.</w:t>
      </w: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3.</w:t>
      </w:r>
      <w:r w:rsidRPr="00553FC4">
        <w:rPr>
          <w:b/>
          <w:sz w:val="24"/>
          <w:szCs w:val="24"/>
        </w:rPr>
        <w:tab/>
        <w:t>LÆGEMIDDELFORM</w:t>
      </w:r>
    </w:p>
    <w:p w:rsidR="00E92CCD" w:rsidRPr="00553FC4" w:rsidRDefault="00E92CCD" w:rsidP="00E92CCD">
      <w:pPr>
        <w:ind w:left="851" w:hanging="851"/>
        <w:rPr>
          <w:sz w:val="24"/>
          <w:szCs w:val="24"/>
        </w:rPr>
      </w:pPr>
      <w:r w:rsidRPr="00553FC4">
        <w:rPr>
          <w:sz w:val="24"/>
          <w:szCs w:val="24"/>
        </w:rPr>
        <w:tab/>
        <w:t>Pulver til koncentrat til infusionsvæske, opløsning.</w:t>
      </w:r>
    </w:p>
    <w:p w:rsidR="00E92CCD" w:rsidRPr="00553FC4" w:rsidRDefault="00E92CCD" w:rsidP="00E92CCD">
      <w:pPr>
        <w:ind w:left="851" w:hanging="851"/>
        <w:rPr>
          <w:sz w:val="24"/>
          <w:szCs w:val="24"/>
        </w:rPr>
      </w:pPr>
    </w:p>
    <w:p w:rsidR="00E92CCD" w:rsidRPr="00553FC4" w:rsidRDefault="00E92CCD" w:rsidP="00E92CCD">
      <w:pPr>
        <w:ind w:left="851" w:hanging="851"/>
        <w:rPr>
          <w:sz w:val="24"/>
          <w:szCs w:val="24"/>
        </w:rPr>
      </w:pPr>
      <w:r>
        <w:rPr>
          <w:sz w:val="24"/>
          <w:szCs w:val="24"/>
        </w:rPr>
        <w:tab/>
      </w:r>
      <w:r w:rsidRPr="00553FC4">
        <w:rPr>
          <w:sz w:val="24"/>
          <w:szCs w:val="24"/>
        </w:rPr>
        <w:t>Hvid, gullig til let brunlig klump, eventuelt brækket i stykker eller pulver.</w:t>
      </w:r>
    </w:p>
    <w:p w:rsidR="00E92CCD" w:rsidRPr="00553FC4" w:rsidRDefault="00E92CCD" w:rsidP="00E92CCD">
      <w:pPr>
        <w:ind w:left="851" w:hanging="851"/>
        <w:rPr>
          <w:sz w:val="24"/>
          <w:szCs w:val="24"/>
        </w:rPr>
      </w:pPr>
    </w:p>
    <w:p w:rsidR="00E92CCD" w:rsidRPr="00553FC4" w:rsidRDefault="00E92CCD" w:rsidP="00E92CCD">
      <w:pPr>
        <w:ind w:left="851" w:hanging="851"/>
        <w:rPr>
          <w:sz w:val="24"/>
          <w:szCs w:val="24"/>
        </w:rPr>
      </w:pPr>
      <w:r>
        <w:rPr>
          <w:sz w:val="24"/>
          <w:szCs w:val="24"/>
        </w:rPr>
        <w:tab/>
      </w:r>
      <w:r w:rsidRPr="00553FC4">
        <w:rPr>
          <w:sz w:val="24"/>
          <w:szCs w:val="24"/>
        </w:rPr>
        <w:t xml:space="preserve">pH-værdien af den </w:t>
      </w:r>
      <w:proofErr w:type="spellStart"/>
      <w:r w:rsidRPr="00553FC4">
        <w:rPr>
          <w:sz w:val="24"/>
          <w:szCs w:val="24"/>
        </w:rPr>
        <w:t>rekonstituerede</w:t>
      </w:r>
      <w:proofErr w:type="spellEnd"/>
      <w:r w:rsidRPr="00553FC4">
        <w:rPr>
          <w:sz w:val="24"/>
          <w:szCs w:val="24"/>
        </w:rPr>
        <w:t xml:space="preserve"> opløsning er mellem 4,5 og 5,5.</w:t>
      </w:r>
    </w:p>
    <w:p w:rsidR="00E92CCD" w:rsidRPr="00553FC4" w:rsidRDefault="00E92CCD" w:rsidP="00E92CCD">
      <w:pPr>
        <w:ind w:left="851" w:hanging="851"/>
        <w:rPr>
          <w:sz w:val="24"/>
          <w:szCs w:val="24"/>
        </w:rPr>
      </w:pP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4.</w:t>
      </w:r>
      <w:r w:rsidRPr="00553FC4">
        <w:rPr>
          <w:b/>
          <w:sz w:val="24"/>
          <w:szCs w:val="24"/>
        </w:rPr>
        <w:tab/>
        <w:t>KLINISKE OPLYSNINGER</w:t>
      </w:r>
    </w:p>
    <w:p w:rsidR="00E92CCD" w:rsidRPr="00553FC4" w:rsidRDefault="00E92CCD" w:rsidP="00E92CCD">
      <w:pPr>
        <w:ind w:left="851" w:hanging="851"/>
        <w:rPr>
          <w:b/>
          <w:sz w:val="24"/>
          <w:szCs w:val="24"/>
        </w:rPr>
      </w:pPr>
    </w:p>
    <w:p w:rsidR="001763E4" w:rsidRPr="00AD311F" w:rsidRDefault="00E92CCD" w:rsidP="001763E4">
      <w:pPr>
        <w:ind w:left="851" w:hanging="851"/>
        <w:rPr>
          <w:b/>
          <w:sz w:val="24"/>
          <w:szCs w:val="24"/>
          <w:u w:val="single"/>
        </w:rPr>
      </w:pPr>
      <w:r w:rsidRPr="00553FC4">
        <w:rPr>
          <w:b/>
          <w:sz w:val="24"/>
          <w:szCs w:val="24"/>
        </w:rPr>
        <w:t>4.1</w:t>
      </w:r>
      <w:r w:rsidRPr="00553FC4">
        <w:rPr>
          <w:b/>
          <w:sz w:val="24"/>
          <w:szCs w:val="24"/>
        </w:rPr>
        <w:tab/>
      </w:r>
      <w:r w:rsidR="001763E4" w:rsidRPr="00AD311F">
        <w:rPr>
          <w:b/>
          <w:sz w:val="24"/>
          <w:szCs w:val="24"/>
        </w:rPr>
        <w:t>Terapeutiske indikationer</w:t>
      </w:r>
    </w:p>
    <w:p w:rsidR="001763E4" w:rsidRPr="00AD311F" w:rsidRDefault="001763E4" w:rsidP="001763E4">
      <w:pPr>
        <w:ind w:left="851" w:hanging="851"/>
        <w:rPr>
          <w:sz w:val="24"/>
          <w:szCs w:val="24"/>
        </w:rPr>
      </w:pPr>
      <w:r w:rsidRPr="00AD311F">
        <w:rPr>
          <w:sz w:val="24"/>
          <w:szCs w:val="24"/>
        </w:rPr>
        <w:tab/>
      </w:r>
      <w:proofErr w:type="spellStart"/>
      <w:r w:rsidRPr="00AD311F">
        <w:rPr>
          <w:sz w:val="24"/>
          <w:szCs w:val="24"/>
        </w:rPr>
        <w:t>Zevtera</w:t>
      </w:r>
      <w:proofErr w:type="spellEnd"/>
      <w:r w:rsidRPr="00AD311F">
        <w:rPr>
          <w:sz w:val="24"/>
          <w:szCs w:val="24"/>
        </w:rPr>
        <w:t xml:space="preserve"> er indiceret til behandling af følgende infektioner hos nyfødte børn født til tiden, spædbørn, børn, unge og voksne (se pkt. 4.4 og 5.1): </w:t>
      </w:r>
    </w:p>
    <w:p w:rsidR="001763E4" w:rsidRPr="00AD311F" w:rsidRDefault="001763E4" w:rsidP="001763E4">
      <w:pPr>
        <w:ind w:left="851" w:hanging="851"/>
        <w:rPr>
          <w:sz w:val="24"/>
          <w:szCs w:val="24"/>
        </w:rPr>
      </w:pPr>
    </w:p>
    <w:p w:rsidR="001763E4" w:rsidRPr="00AD311F" w:rsidRDefault="001763E4" w:rsidP="001763E4">
      <w:pPr>
        <w:numPr>
          <w:ilvl w:val="0"/>
          <w:numId w:val="6"/>
        </w:numPr>
        <w:ind w:left="1276" w:hanging="425"/>
        <w:rPr>
          <w:sz w:val="24"/>
          <w:szCs w:val="24"/>
        </w:rPr>
      </w:pPr>
      <w:r w:rsidRPr="00AD311F">
        <w:rPr>
          <w:sz w:val="24"/>
          <w:szCs w:val="24"/>
        </w:rPr>
        <w:t>Hospitalserhvervet pneumoni (HAP) undtagen ventilatorassocieret pneumoni (VAP)</w:t>
      </w:r>
    </w:p>
    <w:p w:rsidR="001763E4" w:rsidRPr="00AD311F" w:rsidRDefault="001763E4" w:rsidP="001763E4">
      <w:pPr>
        <w:numPr>
          <w:ilvl w:val="0"/>
          <w:numId w:val="6"/>
        </w:numPr>
        <w:ind w:left="1276" w:hanging="425"/>
        <w:rPr>
          <w:sz w:val="24"/>
          <w:szCs w:val="24"/>
        </w:rPr>
      </w:pPr>
      <w:r w:rsidRPr="00AD311F">
        <w:rPr>
          <w:sz w:val="24"/>
          <w:szCs w:val="24"/>
        </w:rPr>
        <w:t>Samfundserhvervet pneumoni (CAP)</w:t>
      </w:r>
    </w:p>
    <w:p w:rsidR="001763E4" w:rsidRPr="00AD311F" w:rsidRDefault="001763E4" w:rsidP="001763E4">
      <w:pPr>
        <w:ind w:left="851" w:hanging="851"/>
        <w:rPr>
          <w:sz w:val="24"/>
          <w:szCs w:val="24"/>
        </w:rPr>
      </w:pPr>
    </w:p>
    <w:p w:rsidR="001763E4" w:rsidRPr="00AD311F" w:rsidRDefault="001763E4" w:rsidP="001763E4">
      <w:pPr>
        <w:ind w:left="851" w:hanging="851"/>
        <w:rPr>
          <w:sz w:val="24"/>
          <w:szCs w:val="24"/>
        </w:rPr>
      </w:pPr>
      <w:r w:rsidRPr="00AD311F">
        <w:rPr>
          <w:sz w:val="24"/>
          <w:szCs w:val="24"/>
        </w:rPr>
        <w:tab/>
        <w:t>Den officielle vejledning vedrørende korrekt brug af antibakterielle midler skal tages i betragtning.</w:t>
      </w:r>
    </w:p>
    <w:p w:rsidR="001763E4" w:rsidRPr="00AD311F" w:rsidRDefault="001763E4" w:rsidP="001763E4">
      <w:pPr>
        <w:ind w:left="851" w:hanging="851"/>
        <w:rPr>
          <w:sz w:val="24"/>
          <w:szCs w:val="24"/>
        </w:rPr>
      </w:pPr>
    </w:p>
    <w:p w:rsidR="001763E4" w:rsidRDefault="001763E4" w:rsidP="002F06C0">
      <w:pPr>
        <w:tabs>
          <w:tab w:val="left" w:pos="1304"/>
          <w:tab w:val="left" w:pos="2608"/>
          <w:tab w:val="left" w:pos="3912"/>
          <w:tab w:val="center" w:pos="4819"/>
        </w:tabs>
        <w:ind w:left="851" w:hanging="851"/>
        <w:rPr>
          <w:b/>
          <w:sz w:val="24"/>
          <w:szCs w:val="24"/>
        </w:rPr>
      </w:pPr>
      <w:r w:rsidRPr="00AD311F">
        <w:rPr>
          <w:b/>
          <w:sz w:val="24"/>
          <w:szCs w:val="24"/>
        </w:rPr>
        <w:t>4.2</w:t>
      </w:r>
      <w:r w:rsidRPr="00AD311F">
        <w:rPr>
          <w:b/>
          <w:sz w:val="24"/>
          <w:szCs w:val="24"/>
        </w:rPr>
        <w:tab/>
      </w:r>
      <w:r w:rsidR="002F06C0" w:rsidRPr="00F31B64">
        <w:rPr>
          <w:b/>
          <w:sz w:val="24"/>
          <w:szCs w:val="24"/>
        </w:rPr>
        <w:t>Dosering og administration</w:t>
      </w:r>
      <w:r w:rsidR="002F06C0">
        <w:rPr>
          <w:b/>
          <w:sz w:val="24"/>
          <w:szCs w:val="24"/>
        </w:rPr>
        <w:tab/>
      </w:r>
    </w:p>
    <w:p w:rsidR="002F06C0" w:rsidRPr="00AD311F" w:rsidRDefault="002F06C0" w:rsidP="002F06C0">
      <w:pPr>
        <w:tabs>
          <w:tab w:val="left" w:pos="1304"/>
          <w:tab w:val="left" w:pos="2608"/>
          <w:tab w:val="left" w:pos="3912"/>
          <w:tab w:val="center" w:pos="4819"/>
        </w:tabs>
        <w:ind w:left="851" w:hanging="851"/>
        <w:rPr>
          <w:b/>
          <w:sz w:val="24"/>
          <w:szCs w:val="24"/>
        </w:rPr>
      </w:pPr>
    </w:p>
    <w:p w:rsidR="001763E4" w:rsidRPr="00AD311F" w:rsidRDefault="001763E4" w:rsidP="001763E4">
      <w:pPr>
        <w:ind w:left="851" w:hanging="851"/>
        <w:rPr>
          <w:sz w:val="24"/>
          <w:szCs w:val="24"/>
          <w:u w:val="single"/>
        </w:rPr>
      </w:pPr>
      <w:r w:rsidRPr="00AD311F">
        <w:rPr>
          <w:sz w:val="24"/>
          <w:szCs w:val="24"/>
        </w:rPr>
        <w:tab/>
      </w:r>
      <w:r w:rsidRPr="00AD311F">
        <w:rPr>
          <w:sz w:val="24"/>
          <w:szCs w:val="24"/>
          <w:u w:val="single"/>
        </w:rPr>
        <w:t>Dosering</w:t>
      </w:r>
    </w:p>
    <w:p w:rsidR="001763E4" w:rsidRPr="00AD311F" w:rsidRDefault="001763E4" w:rsidP="001763E4">
      <w:pPr>
        <w:ind w:left="851"/>
        <w:rPr>
          <w:sz w:val="24"/>
          <w:szCs w:val="24"/>
        </w:rPr>
      </w:pPr>
      <w:r w:rsidRPr="00AD311F">
        <w:rPr>
          <w:sz w:val="24"/>
          <w:szCs w:val="24"/>
        </w:rPr>
        <w:t>Det anbefalede regime for voksne og pædiatriske patienter med normal nyrefunktion fremgår af tabel 1.</w:t>
      </w:r>
    </w:p>
    <w:p w:rsidR="001763E4" w:rsidRPr="00AD311F" w:rsidRDefault="001763E4" w:rsidP="001763E4">
      <w:pPr>
        <w:ind w:left="851"/>
        <w:rPr>
          <w:sz w:val="24"/>
          <w:szCs w:val="24"/>
        </w:rPr>
      </w:pPr>
    </w:p>
    <w:p w:rsidR="001763E4" w:rsidRPr="00AD311F" w:rsidRDefault="001763E4" w:rsidP="001763E4">
      <w:pPr>
        <w:tabs>
          <w:tab w:val="left" w:pos="1843"/>
        </w:tabs>
        <w:spacing w:after="120"/>
        <w:ind w:left="1841" w:hanging="990"/>
        <w:rPr>
          <w:b/>
          <w:sz w:val="24"/>
          <w:szCs w:val="24"/>
        </w:rPr>
      </w:pPr>
      <w:r w:rsidRPr="00AD311F">
        <w:rPr>
          <w:b/>
          <w:sz w:val="24"/>
          <w:szCs w:val="24"/>
        </w:rPr>
        <w:t>Tabel 1</w:t>
      </w:r>
      <w:r w:rsidRPr="00AD311F">
        <w:rPr>
          <w:b/>
          <w:sz w:val="24"/>
          <w:szCs w:val="24"/>
        </w:rPr>
        <w:tab/>
        <w:t xml:space="preserve">Dosering hos voksne og pædiatriske patienter med normal nyrefunktion eller let nedsat nyrefunktion (dvs. </w:t>
      </w:r>
      <w:proofErr w:type="spellStart"/>
      <w:r w:rsidRPr="00AD311F">
        <w:rPr>
          <w:b/>
          <w:sz w:val="24"/>
          <w:szCs w:val="24"/>
        </w:rPr>
        <w:t>kreatininclearance</w:t>
      </w:r>
      <w:proofErr w:type="spellEnd"/>
      <w:r w:rsidRPr="00AD311F">
        <w:rPr>
          <w:b/>
          <w:sz w:val="24"/>
          <w:szCs w:val="24"/>
        </w:rPr>
        <w:t xml:space="preserve"> [CL</w:t>
      </w:r>
      <w:r w:rsidRPr="00AD311F">
        <w:rPr>
          <w:b/>
          <w:sz w:val="24"/>
          <w:szCs w:val="24"/>
          <w:vertAlign w:val="subscript"/>
        </w:rPr>
        <w:t>CR</w:t>
      </w:r>
      <w:r w:rsidRPr="00AD311F">
        <w:rPr>
          <w:b/>
          <w:sz w:val="24"/>
          <w:szCs w:val="24"/>
        </w:rPr>
        <w:t>] ≥ 50 ml/min)</w:t>
      </w:r>
    </w:p>
    <w:tbl>
      <w:tblPr>
        <w:tblStyle w:val="TableGrid1"/>
        <w:tblW w:w="9290" w:type="dxa"/>
        <w:tblInd w:w="846" w:type="dxa"/>
        <w:tblCellMar>
          <w:left w:w="28" w:type="dxa"/>
          <w:right w:w="28" w:type="dxa"/>
        </w:tblCellMar>
        <w:tblLook w:val="04A0" w:firstRow="1" w:lastRow="0" w:firstColumn="1" w:lastColumn="0" w:noHBand="0" w:noVBand="1"/>
      </w:tblPr>
      <w:tblGrid>
        <w:gridCol w:w="2363"/>
        <w:gridCol w:w="1438"/>
        <w:gridCol w:w="1296"/>
        <w:gridCol w:w="1959"/>
        <w:gridCol w:w="2234"/>
      </w:tblGrid>
      <w:tr w:rsidR="001763E4" w:rsidRPr="00AD311F" w:rsidTr="001763E4">
        <w:tc>
          <w:tcPr>
            <w:tcW w:w="2469" w:type="dxa"/>
          </w:tcPr>
          <w:p w:rsidR="001763E4" w:rsidRPr="00AD311F" w:rsidRDefault="001763E4" w:rsidP="001763E4">
            <w:pPr>
              <w:spacing w:before="0" w:line="260" w:lineRule="exact"/>
              <w:jc w:val="left"/>
              <w:rPr>
                <w:rFonts w:ascii="Times New Roman" w:hAnsi="Times New Roman"/>
                <w:b/>
                <w:sz w:val="20"/>
                <w:lang w:val="da-DK"/>
              </w:rPr>
            </w:pPr>
            <w:proofErr w:type="spellStart"/>
            <w:r w:rsidRPr="00AD311F">
              <w:rPr>
                <w:b/>
                <w:sz w:val="20"/>
              </w:rPr>
              <w:t>Aldersgruppe</w:t>
            </w:r>
            <w:proofErr w:type="spellEnd"/>
          </w:p>
        </w:tc>
        <w:tc>
          <w:tcPr>
            <w:tcW w:w="1453" w:type="dxa"/>
          </w:tcPr>
          <w:p w:rsidR="001763E4" w:rsidRPr="00AD311F" w:rsidRDefault="001763E4" w:rsidP="001763E4">
            <w:pPr>
              <w:spacing w:before="0" w:line="260" w:lineRule="exact"/>
              <w:jc w:val="center"/>
              <w:rPr>
                <w:rFonts w:ascii="Times New Roman" w:hAnsi="Times New Roman"/>
                <w:b/>
                <w:sz w:val="20"/>
                <w:lang w:val="da-DK"/>
              </w:rPr>
            </w:pPr>
            <w:proofErr w:type="spellStart"/>
            <w:r w:rsidRPr="00AD311F">
              <w:rPr>
                <w:b/>
                <w:sz w:val="20"/>
              </w:rPr>
              <w:t>Legemsvægt</w:t>
            </w:r>
            <w:proofErr w:type="spellEnd"/>
            <w:r w:rsidRPr="00AD311F">
              <w:rPr>
                <w:b/>
                <w:sz w:val="20"/>
              </w:rPr>
              <w:t xml:space="preserve"> (kg)</w:t>
            </w:r>
          </w:p>
        </w:tc>
        <w:tc>
          <w:tcPr>
            <w:tcW w:w="1307" w:type="dxa"/>
          </w:tcPr>
          <w:p w:rsidR="001763E4" w:rsidRPr="00AD311F" w:rsidRDefault="001763E4" w:rsidP="001763E4">
            <w:pPr>
              <w:spacing w:before="0" w:line="260" w:lineRule="exact"/>
              <w:jc w:val="center"/>
              <w:rPr>
                <w:rFonts w:ascii="Times New Roman" w:hAnsi="Times New Roman"/>
                <w:b/>
                <w:sz w:val="20"/>
                <w:lang w:val="da-DK"/>
              </w:rPr>
            </w:pPr>
            <w:proofErr w:type="spellStart"/>
            <w:r w:rsidRPr="00AD311F">
              <w:rPr>
                <w:b/>
                <w:sz w:val="20"/>
              </w:rPr>
              <w:t>Ceftobiprol-dosis</w:t>
            </w:r>
            <w:proofErr w:type="spellEnd"/>
          </w:p>
        </w:tc>
        <w:tc>
          <w:tcPr>
            <w:tcW w:w="1717" w:type="dxa"/>
          </w:tcPr>
          <w:p w:rsidR="001763E4" w:rsidRPr="00AD311F" w:rsidRDefault="001763E4" w:rsidP="001763E4">
            <w:pPr>
              <w:spacing w:before="0" w:line="260" w:lineRule="exact"/>
              <w:ind w:left="-14"/>
              <w:jc w:val="center"/>
              <w:rPr>
                <w:rFonts w:ascii="Times New Roman" w:hAnsi="Times New Roman"/>
                <w:b/>
                <w:sz w:val="20"/>
                <w:lang w:val="da-DK"/>
              </w:rPr>
            </w:pPr>
            <w:proofErr w:type="spellStart"/>
            <w:r w:rsidRPr="00AD311F">
              <w:rPr>
                <w:b/>
                <w:sz w:val="20"/>
              </w:rPr>
              <w:t>Koncentration</w:t>
            </w:r>
            <w:proofErr w:type="spellEnd"/>
            <w:r w:rsidRPr="00AD311F">
              <w:rPr>
                <w:b/>
                <w:sz w:val="20"/>
              </w:rPr>
              <w:t xml:space="preserve"> </w:t>
            </w:r>
            <w:proofErr w:type="spellStart"/>
            <w:r w:rsidRPr="00AD311F">
              <w:rPr>
                <w:b/>
                <w:sz w:val="20"/>
              </w:rPr>
              <w:t>af</w:t>
            </w:r>
            <w:proofErr w:type="spellEnd"/>
            <w:r w:rsidRPr="00AD311F">
              <w:rPr>
                <w:b/>
                <w:sz w:val="20"/>
              </w:rPr>
              <w:t xml:space="preserve"> </w:t>
            </w:r>
            <w:proofErr w:type="spellStart"/>
            <w:r w:rsidRPr="00AD311F">
              <w:rPr>
                <w:b/>
                <w:sz w:val="20"/>
              </w:rPr>
              <w:t>infusionsopløsning</w:t>
            </w:r>
            <w:r w:rsidRPr="00AD311F">
              <w:rPr>
                <w:b/>
                <w:sz w:val="20"/>
                <w:vertAlign w:val="superscript"/>
              </w:rPr>
              <w:t>a</w:t>
            </w:r>
            <w:proofErr w:type="spellEnd"/>
          </w:p>
        </w:tc>
        <w:tc>
          <w:tcPr>
            <w:tcW w:w="2344" w:type="dxa"/>
          </w:tcPr>
          <w:p w:rsidR="001763E4" w:rsidRPr="00AD311F" w:rsidRDefault="001763E4" w:rsidP="001763E4">
            <w:pPr>
              <w:spacing w:before="0" w:line="260" w:lineRule="exact"/>
              <w:jc w:val="center"/>
              <w:rPr>
                <w:rFonts w:ascii="Times New Roman" w:hAnsi="Times New Roman"/>
                <w:b/>
                <w:sz w:val="20"/>
                <w:lang w:val="da-DK"/>
              </w:rPr>
            </w:pPr>
            <w:proofErr w:type="spellStart"/>
            <w:r w:rsidRPr="00AD311F">
              <w:rPr>
                <w:b/>
                <w:sz w:val="20"/>
              </w:rPr>
              <w:t>Infusionstid</w:t>
            </w:r>
            <w:proofErr w:type="spellEnd"/>
            <w:r w:rsidRPr="00AD311F">
              <w:rPr>
                <w:b/>
                <w:sz w:val="20"/>
              </w:rPr>
              <w:t xml:space="preserve"> / </w:t>
            </w:r>
            <w:proofErr w:type="spellStart"/>
            <w:r w:rsidRPr="00AD311F">
              <w:rPr>
                <w:b/>
                <w:sz w:val="20"/>
              </w:rPr>
              <w:t>hyppighed</w:t>
            </w:r>
            <w:proofErr w:type="spellEnd"/>
          </w:p>
        </w:tc>
      </w:tr>
      <w:tr w:rsidR="001763E4" w:rsidRPr="00AD311F" w:rsidTr="001763E4">
        <w:trPr>
          <w:trHeight w:val="320"/>
        </w:trPr>
        <w:tc>
          <w:tcPr>
            <w:tcW w:w="2469" w:type="dxa"/>
          </w:tcPr>
          <w:p w:rsidR="001763E4" w:rsidRPr="00AD311F" w:rsidRDefault="001763E4" w:rsidP="001763E4">
            <w:pPr>
              <w:tabs>
                <w:tab w:val="left" w:pos="567"/>
              </w:tabs>
              <w:spacing w:before="0" w:line="260" w:lineRule="exact"/>
              <w:jc w:val="left"/>
              <w:rPr>
                <w:rFonts w:ascii="Times New Roman" w:hAnsi="Times New Roman"/>
                <w:sz w:val="20"/>
                <w:lang w:val="da-DK"/>
              </w:rPr>
            </w:pPr>
            <w:proofErr w:type="spellStart"/>
            <w:r w:rsidRPr="00AD311F">
              <w:rPr>
                <w:sz w:val="20"/>
              </w:rPr>
              <w:t>Voksne</w:t>
            </w:r>
            <w:proofErr w:type="spellEnd"/>
          </w:p>
        </w:tc>
        <w:tc>
          <w:tcPr>
            <w:tcW w:w="1453"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w:t>
            </w:r>
          </w:p>
        </w:tc>
        <w:tc>
          <w:tcPr>
            <w:tcW w:w="1307"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500 mg</w:t>
            </w:r>
          </w:p>
        </w:tc>
        <w:tc>
          <w:tcPr>
            <w:tcW w:w="1717" w:type="dxa"/>
            <w:vMerge w:val="restart"/>
            <w:vAlign w:val="center"/>
          </w:tcPr>
          <w:p w:rsidR="001763E4" w:rsidRPr="00AD311F" w:rsidRDefault="001763E4" w:rsidP="001763E4">
            <w:pPr>
              <w:spacing w:before="0" w:line="260" w:lineRule="exact"/>
              <w:ind w:left="-14"/>
              <w:jc w:val="center"/>
              <w:rPr>
                <w:rFonts w:ascii="Times New Roman" w:hAnsi="Times New Roman"/>
                <w:sz w:val="20"/>
                <w:lang w:val="da-DK"/>
              </w:rPr>
            </w:pPr>
            <w:r w:rsidRPr="00AD311F">
              <w:rPr>
                <w:sz w:val="20"/>
              </w:rPr>
              <w:t>2 mg/ml</w:t>
            </w:r>
          </w:p>
        </w:tc>
        <w:tc>
          <w:tcPr>
            <w:tcW w:w="2344" w:type="dxa"/>
            <w:vMerge w:val="restart"/>
            <w:vAlign w:val="center"/>
          </w:tcPr>
          <w:p w:rsidR="001763E4" w:rsidRPr="00AD311F" w:rsidRDefault="001763E4" w:rsidP="001763E4">
            <w:pPr>
              <w:spacing w:before="0" w:line="260" w:lineRule="exact"/>
              <w:jc w:val="center"/>
              <w:rPr>
                <w:rFonts w:ascii="Times New Roman" w:hAnsi="Times New Roman"/>
                <w:sz w:val="20"/>
                <w:lang w:val="da-DK"/>
              </w:rPr>
            </w:pPr>
            <w:r w:rsidRPr="00AD311F">
              <w:rPr>
                <w:sz w:val="20"/>
              </w:rPr>
              <w:t xml:space="preserve">2 h infusion / </w:t>
            </w:r>
            <w:proofErr w:type="spellStart"/>
            <w:r w:rsidRPr="00AD311F">
              <w:rPr>
                <w:sz w:val="20"/>
              </w:rPr>
              <w:t>hver</w:t>
            </w:r>
            <w:proofErr w:type="spellEnd"/>
            <w:r w:rsidRPr="00AD311F">
              <w:rPr>
                <w:sz w:val="20"/>
              </w:rPr>
              <w:t xml:space="preserve"> 8. time</w:t>
            </w:r>
          </w:p>
        </w:tc>
      </w:tr>
      <w:tr w:rsidR="001763E4" w:rsidRPr="00AD311F" w:rsidTr="001763E4">
        <w:tc>
          <w:tcPr>
            <w:tcW w:w="2469" w:type="dxa"/>
            <w:vMerge w:val="restart"/>
          </w:tcPr>
          <w:p w:rsidR="001763E4" w:rsidRPr="00AD311F" w:rsidRDefault="001763E4" w:rsidP="001763E4">
            <w:pPr>
              <w:tabs>
                <w:tab w:val="left" w:pos="567"/>
              </w:tabs>
              <w:spacing w:before="0" w:line="260" w:lineRule="exact"/>
              <w:jc w:val="left"/>
              <w:rPr>
                <w:rFonts w:ascii="Times New Roman" w:hAnsi="Times New Roman"/>
                <w:sz w:val="20"/>
                <w:lang w:val="da-DK"/>
              </w:rPr>
            </w:pPr>
            <w:r w:rsidRPr="001763E4">
              <w:rPr>
                <w:sz w:val="20"/>
                <w:lang w:val="da-DK"/>
              </w:rPr>
              <w:t>Unge</w:t>
            </w:r>
          </w:p>
          <w:p w:rsidR="001763E4" w:rsidRPr="00AD311F" w:rsidRDefault="001763E4" w:rsidP="001763E4">
            <w:pPr>
              <w:tabs>
                <w:tab w:val="left" w:pos="567"/>
              </w:tabs>
              <w:spacing w:before="0" w:line="260" w:lineRule="exact"/>
              <w:jc w:val="left"/>
              <w:rPr>
                <w:rFonts w:ascii="Times New Roman" w:hAnsi="Times New Roman"/>
                <w:sz w:val="20"/>
                <w:lang w:val="da-DK"/>
              </w:rPr>
            </w:pPr>
            <w:r w:rsidRPr="001763E4">
              <w:rPr>
                <w:sz w:val="20"/>
                <w:lang w:val="da-DK"/>
              </w:rPr>
              <w:t>i alderen 12 til &lt; 18 år</w:t>
            </w:r>
          </w:p>
        </w:tc>
        <w:tc>
          <w:tcPr>
            <w:tcW w:w="1453" w:type="dxa"/>
          </w:tcPr>
          <w:p w:rsidR="001763E4" w:rsidRPr="00AD311F" w:rsidRDefault="001763E4" w:rsidP="001763E4">
            <w:pPr>
              <w:tabs>
                <w:tab w:val="left" w:pos="567"/>
              </w:tabs>
              <w:spacing w:before="0" w:line="260" w:lineRule="exact"/>
              <w:jc w:val="center"/>
              <w:rPr>
                <w:rFonts w:ascii="Times New Roman" w:hAnsi="Times New Roman"/>
                <w:sz w:val="20"/>
                <w:lang w:val="da-DK"/>
              </w:rPr>
            </w:pPr>
            <w:bookmarkStart w:id="0" w:name="_Hlk113009879"/>
            <w:r w:rsidRPr="00AD311F">
              <w:rPr>
                <w:sz w:val="20"/>
              </w:rPr>
              <w:t>≥</w:t>
            </w:r>
            <w:bookmarkEnd w:id="0"/>
            <w:r w:rsidRPr="00AD311F">
              <w:rPr>
                <w:sz w:val="20"/>
              </w:rPr>
              <w:t xml:space="preserve"> 50 kg</w:t>
            </w:r>
          </w:p>
        </w:tc>
        <w:tc>
          <w:tcPr>
            <w:tcW w:w="1307"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500 mg</w:t>
            </w:r>
          </w:p>
        </w:tc>
        <w:tc>
          <w:tcPr>
            <w:tcW w:w="1717" w:type="dxa"/>
            <w:vMerge/>
            <w:vAlign w:val="center"/>
          </w:tcPr>
          <w:p w:rsidR="001763E4" w:rsidRPr="00AD311F" w:rsidRDefault="001763E4" w:rsidP="001763E4">
            <w:pPr>
              <w:spacing w:before="0" w:line="260" w:lineRule="exact"/>
              <w:ind w:left="-14"/>
              <w:jc w:val="center"/>
              <w:rPr>
                <w:rFonts w:ascii="Times New Roman" w:hAnsi="Times New Roman"/>
                <w:sz w:val="20"/>
                <w:lang w:val="da-DK"/>
              </w:rPr>
            </w:pPr>
          </w:p>
        </w:tc>
        <w:tc>
          <w:tcPr>
            <w:tcW w:w="2344" w:type="dxa"/>
            <w:vMerge/>
            <w:vAlign w:val="center"/>
          </w:tcPr>
          <w:p w:rsidR="001763E4" w:rsidRPr="00AD311F" w:rsidRDefault="001763E4" w:rsidP="001763E4">
            <w:pPr>
              <w:spacing w:before="0" w:line="260" w:lineRule="exact"/>
              <w:jc w:val="center"/>
              <w:rPr>
                <w:rFonts w:ascii="Times New Roman" w:hAnsi="Times New Roman"/>
                <w:sz w:val="20"/>
                <w:lang w:val="da-DK"/>
              </w:rPr>
            </w:pPr>
          </w:p>
        </w:tc>
      </w:tr>
      <w:tr w:rsidR="001763E4" w:rsidRPr="00AD311F" w:rsidTr="001763E4">
        <w:trPr>
          <w:trHeight w:val="281"/>
        </w:trPr>
        <w:tc>
          <w:tcPr>
            <w:tcW w:w="2469" w:type="dxa"/>
            <w:vMerge/>
          </w:tcPr>
          <w:p w:rsidR="001763E4" w:rsidRPr="00AD311F" w:rsidRDefault="001763E4" w:rsidP="001763E4">
            <w:pPr>
              <w:tabs>
                <w:tab w:val="left" w:pos="567"/>
              </w:tabs>
              <w:spacing w:before="0" w:line="260" w:lineRule="exact"/>
              <w:jc w:val="left"/>
              <w:rPr>
                <w:rFonts w:ascii="Times New Roman" w:hAnsi="Times New Roman"/>
                <w:sz w:val="20"/>
                <w:lang w:val="da-DK"/>
              </w:rPr>
            </w:pPr>
          </w:p>
        </w:tc>
        <w:tc>
          <w:tcPr>
            <w:tcW w:w="1453" w:type="dxa"/>
          </w:tcPr>
          <w:p w:rsidR="001763E4" w:rsidRPr="00AD311F" w:rsidRDefault="001763E4" w:rsidP="001763E4">
            <w:pPr>
              <w:tabs>
                <w:tab w:val="left" w:pos="567"/>
              </w:tabs>
              <w:spacing w:before="0" w:line="260" w:lineRule="exact"/>
              <w:jc w:val="center"/>
              <w:rPr>
                <w:rFonts w:ascii="Times New Roman" w:hAnsi="Times New Roman"/>
                <w:sz w:val="20"/>
                <w:lang w:val="da-DK"/>
              </w:rPr>
            </w:pPr>
            <w:bookmarkStart w:id="1" w:name="_Hlk113010004"/>
            <w:bookmarkStart w:id="2" w:name="_Hlk113010402"/>
            <w:r w:rsidRPr="00AD311F">
              <w:rPr>
                <w:sz w:val="20"/>
              </w:rPr>
              <w:t>&lt;</w:t>
            </w:r>
            <w:bookmarkEnd w:id="1"/>
            <w:r w:rsidRPr="00AD311F">
              <w:rPr>
                <w:sz w:val="20"/>
              </w:rPr>
              <w:t xml:space="preserve"> 50 kg</w:t>
            </w:r>
            <w:bookmarkEnd w:id="2"/>
          </w:p>
        </w:tc>
        <w:tc>
          <w:tcPr>
            <w:tcW w:w="1307"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10 mg/kg</w:t>
            </w:r>
          </w:p>
        </w:tc>
        <w:tc>
          <w:tcPr>
            <w:tcW w:w="1717" w:type="dxa"/>
            <w:vMerge/>
            <w:vAlign w:val="center"/>
          </w:tcPr>
          <w:p w:rsidR="001763E4" w:rsidRPr="00AD311F" w:rsidRDefault="001763E4" w:rsidP="001763E4">
            <w:pPr>
              <w:spacing w:before="0" w:line="260" w:lineRule="exact"/>
              <w:ind w:left="-14"/>
              <w:jc w:val="center"/>
              <w:rPr>
                <w:rFonts w:ascii="Times New Roman" w:hAnsi="Times New Roman"/>
                <w:sz w:val="20"/>
                <w:lang w:val="da-DK"/>
              </w:rPr>
            </w:pPr>
          </w:p>
        </w:tc>
        <w:tc>
          <w:tcPr>
            <w:tcW w:w="2344" w:type="dxa"/>
            <w:vMerge/>
            <w:vAlign w:val="center"/>
          </w:tcPr>
          <w:p w:rsidR="001763E4" w:rsidRPr="00AD311F" w:rsidRDefault="001763E4" w:rsidP="001763E4">
            <w:pPr>
              <w:spacing w:before="0" w:line="260" w:lineRule="exact"/>
              <w:jc w:val="center"/>
              <w:rPr>
                <w:rFonts w:ascii="Times New Roman" w:hAnsi="Times New Roman"/>
                <w:sz w:val="20"/>
                <w:lang w:val="da-DK"/>
              </w:rPr>
            </w:pPr>
          </w:p>
        </w:tc>
      </w:tr>
      <w:tr w:rsidR="001763E4" w:rsidRPr="00AD311F" w:rsidTr="001763E4">
        <w:trPr>
          <w:trHeight w:val="213"/>
        </w:trPr>
        <w:tc>
          <w:tcPr>
            <w:tcW w:w="2469" w:type="dxa"/>
            <w:vMerge w:val="restart"/>
          </w:tcPr>
          <w:p w:rsidR="001763E4" w:rsidRPr="00AD311F" w:rsidRDefault="001763E4" w:rsidP="001763E4">
            <w:pPr>
              <w:tabs>
                <w:tab w:val="left" w:pos="567"/>
              </w:tabs>
              <w:spacing w:before="0" w:line="260" w:lineRule="exact"/>
              <w:jc w:val="left"/>
              <w:rPr>
                <w:rFonts w:ascii="Times New Roman" w:hAnsi="Times New Roman"/>
                <w:sz w:val="20"/>
                <w:lang w:val="da-DK"/>
              </w:rPr>
            </w:pPr>
            <w:r w:rsidRPr="001763E4">
              <w:rPr>
                <w:sz w:val="20"/>
                <w:lang w:val="da-DK"/>
              </w:rPr>
              <w:t>Spædbørn i alderen ≥ 3 måneder og børn &lt; 12 år</w:t>
            </w:r>
          </w:p>
        </w:tc>
        <w:tc>
          <w:tcPr>
            <w:tcW w:w="1453" w:type="dxa"/>
          </w:tcPr>
          <w:p w:rsidR="001763E4" w:rsidRPr="00AD311F" w:rsidRDefault="001763E4" w:rsidP="001763E4">
            <w:pPr>
              <w:tabs>
                <w:tab w:val="left" w:pos="567"/>
              </w:tabs>
              <w:spacing w:before="0" w:line="260" w:lineRule="exact"/>
              <w:jc w:val="center"/>
              <w:rPr>
                <w:rFonts w:ascii="Times New Roman" w:hAnsi="Times New Roman"/>
                <w:sz w:val="20"/>
                <w:lang w:val="da-DK"/>
              </w:rPr>
            </w:pPr>
            <w:bookmarkStart w:id="3" w:name="_Hlk113010015"/>
            <w:r w:rsidRPr="00AD311F">
              <w:rPr>
                <w:sz w:val="20"/>
              </w:rPr>
              <w:t>≥</w:t>
            </w:r>
            <w:bookmarkEnd w:id="3"/>
            <w:r w:rsidRPr="00AD311F">
              <w:rPr>
                <w:sz w:val="20"/>
              </w:rPr>
              <w:t xml:space="preserve"> 33 kg</w:t>
            </w:r>
          </w:p>
        </w:tc>
        <w:tc>
          <w:tcPr>
            <w:tcW w:w="1307"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500 mg</w:t>
            </w:r>
          </w:p>
        </w:tc>
        <w:tc>
          <w:tcPr>
            <w:tcW w:w="1717" w:type="dxa"/>
            <w:vMerge w:val="restart"/>
            <w:vAlign w:val="center"/>
          </w:tcPr>
          <w:p w:rsidR="001763E4" w:rsidRPr="00AD311F" w:rsidRDefault="001763E4" w:rsidP="001763E4">
            <w:pPr>
              <w:spacing w:before="0" w:line="260" w:lineRule="exact"/>
              <w:ind w:left="-14"/>
              <w:jc w:val="center"/>
              <w:rPr>
                <w:rFonts w:ascii="Times New Roman" w:hAnsi="Times New Roman"/>
                <w:sz w:val="20"/>
                <w:lang w:val="da-DK"/>
              </w:rPr>
            </w:pPr>
            <w:r w:rsidRPr="00AD311F">
              <w:rPr>
                <w:sz w:val="20"/>
              </w:rPr>
              <w:t>4 mg/ml</w:t>
            </w:r>
          </w:p>
        </w:tc>
        <w:tc>
          <w:tcPr>
            <w:tcW w:w="2344" w:type="dxa"/>
            <w:vMerge w:val="restart"/>
            <w:vAlign w:val="center"/>
          </w:tcPr>
          <w:p w:rsidR="001763E4" w:rsidRPr="00AD311F" w:rsidRDefault="001763E4" w:rsidP="001763E4">
            <w:pPr>
              <w:spacing w:before="0" w:line="260" w:lineRule="exact"/>
              <w:jc w:val="center"/>
              <w:rPr>
                <w:rFonts w:ascii="Times New Roman" w:hAnsi="Times New Roman"/>
                <w:sz w:val="20"/>
                <w:lang w:val="da-DK"/>
              </w:rPr>
            </w:pPr>
            <w:r w:rsidRPr="00AD311F">
              <w:rPr>
                <w:sz w:val="20"/>
              </w:rPr>
              <w:t xml:space="preserve">2 h infusion / </w:t>
            </w:r>
            <w:proofErr w:type="spellStart"/>
            <w:r w:rsidRPr="00AD311F">
              <w:rPr>
                <w:sz w:val="20"/>
              </w:rPr>
              <w:t>hver</w:t>
            </w:r>
            <w:proofErr w:type="spellEnd"/>
            <w:r w:rsidRPr="00AD311F">
              <w:rPr>
                <w:sz w:val="20"/>
              </w:rPr>
              <w:t xml:space="preserve"> 8. time</w:t>
            </w:r>
          </w:p>
        </w:tc>
      </w:tr>
      <w:tr w:rsidR="001763E4" w:rsidRPr="00AD311F" w:rsidTr="001763E4">
        <w:trPr>
          <w:trHeight w:val="247"/>
        </w:trPr>
        <w:tc>
          <w:tcPr>
            <w:tcW w:w="2469" w:type="dxa"/>
            <w:vMerge/>
          </w:tcPr>
          <w:p w:rsidR="001763E4" w:rsidRPr="00AD311F" w:rsidRDefault="001763E4" w:rsidP="001763E4">
            <w:pPr>
              <w:tabs>
                <w:tab w:val="left" w:pos="567"/>
              </w:tabs>
              <w:spacing w:before="0" w:line="260" w:lineRule="exact"/>
              <w:jc w:val="left"/>
              <w:rPr>
                <w:rFonts w:ascii="Times New Roman" w:hAnsi="Times New Roman"/>
                <w:sz w:val="20"/>
                <w:lang w:val="da-DK"/>
              </w:rPr>
            </w:pPr>
            <w:bookmarkStart w:id="4" w:name="_Hlk113010425"/>
          </w:p>
        </w:tc>
        <w:tc>
          <w:tcPr>
            <w:tcW w:w="1453" w:type="dxa"/>
          </w:tcPr>
          <w:p w:rsidR="001763E4" w:rsidRPr="00AD311F" w:rsidRDefault="001763E4" w:rsidP="001763E4">
            <w:pPr>
              <w:tabs>
                <w:tab w:val="left" w:pos="567"/>
              </w:tabs>
              <w:spacing w:before="0" w:line="260" w:lineRule="exact"/>
              <w:jc w:val="center"/>
              <w:rPr>
                <w:rFonts w:ascii="Times New Roman" w:hAnsi="Times New Roman"/>
                <w:sz w:val="20"/>
                <w:lang w:val="da-DK"/>
              </w:rPr>
            </w:pPr>
            <w:bookmarkStart w:id="5" w:name="_Hlk113010028"/>
            <w:r w:rsidRPr="00AD311F">
              <w:rPr>
                <w:sz w:val="20"/>
              </w:rPr>
              <w:t>&lt;</w:t>
            </w:r>
            <w:bookmarkEnd w:id="5"/>
            <w:r w:rsidRPr="00AD311F">
              <w:rPr>
                <w:sz w:val="20"/>
              </w:rPr>
              <w:t xml:space="preserve"> 33 kg</w:t>
            </w:r>
          </w:p>
        </w:tc>
        <w:tc>
          <w:tcPr>
            <w:tcW w:w="1307"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15 mg/kg</w:t>
            </w:r>
          </w:p>
        </w:tc>
        <w:tc>
          <w:tcPr>
            <w:tcW w:w="1717" w:type="dxa"/>
            <w:vMerge/>
            <w:vAlign w:val="center"/>
          </w:tcPr>
          <w:p w:rsidR="001763E4" w:rsidRPr="00AD311F" w:rsidRDefault="001763E4" w:rsidP="001763E4">
            <w:pPr>
              <w:tabs>
                <w:tab w:val="left" w:pos="567"/>
              </w:tabs>
              <w:spacing w:before="0" w:line="260" w:lineRule="exact"/>
              <w:ind w:left="851"/>
              <w:jc w:val="center"/>
              <w:rPr>
                <w:rFonts w:ascii="Times New Roman" w:hAnsi="Times New Roman"/>
                <w:sz w:val="20"/>
                <w:lang w:val="da-DK"/>
              </w:rPr>
            </w:pPr>
          </w:p>
        </w:tc>
        <w:tc>
          <w:tcPr>
            <w:tcW w:w="2344" w:type="dxa"/>
            <w:vMerge/>
            <w:vAlign w:val="center"/>
          </w:tcPr>
          <w:p w:rsidR="001763E4" w:rsidRPr="00AD311F" w:rsidRDefault="001763E4" w:rsidP="001763E4">
            <w:pPr>
              <w:spacing w:before="0" w:line="260" w:lineRule="exact"/>
              <w:jc w:val="center"/>
              <w:rPr>
                <w:rFonts w:ascii="Times New Roman" w:hAnsi="Times New Roman"/>
                <w:sz w:val="20"/>
                <w:lang w:val="da-DK"/>
              </w:rPr>
            </w:pPr>
          </w:p>
        </w:tc>
      </w:tr>
      <w:bookmarkEnd w:id="4"/>
      <w:tr w:rsidR="001763E4" w:rsidRPr="00AD311F" w:rsidTr="001763E4">
        <w:tc>
          <w:tcPr>
            <w:tcW w:w="2469" w:type="dxa"/>
            <w:vMerge w:val="restart"/>
          </w:tcPr>
          <w:p w:rsidR="001763E4" w:rsidRPr="00AD311F" w:rsidRDefault="001763E4" w:rsidP="001763E4">
            <w:pPr>
              <w:tabs>
                <w:tab w:val="left" w:pos="567"/>
              </w:tabs>
              <w:spacing w:before="0" w:line="260" w:lineRule="exact"/>
              <w:jc w:val="left"/>
              <w:rPr>
                <w:rFonts w:ascii="Times New Roman" w:hAnsi="Times New Roman"/>
                <w:sz w:val="20"/>
                <w:lang w:val="da-DK"/>
              </w:rPr>
            </w:pPr>
            <w:r w:rsidRPr="001763E4">
              <w:rPr>
                <w:sz w:val="20"/>
                <w:lang w:val="da-DK"/>
              </w:rPr>
              <w:t>Nyfødte børn født til tiden og spædbørn &lt; 3 måneder</w:t>
            </w:r>
          </w:p>
        </w:tc>
        <w:tc>
          <w:tcPr>
            <w:tcW w:w="1453" w:type="dxa"/>
          </w:tcPr>
          <w:p w:rsidR="001763E4" w:rsidRPr="00AD311F" w:rsidRDefault="001763E4" w:rsidP="001763E4">
            <w:pPr>
              <w:tabs>
                <w:tab w:val="left" w:pos="567"/>
              </w:tabs>
              <w:spacing w:before="0" w:line="260" w:lineRule="exact"/>
              <w:jc w:val="center"/>
              <w:rPr>
                <w:rFonts w:ascii="Times New Roman" w:hAnsi="Times New Roman"/>
                <w:sz w:val="20"/>
                <w:lang w:val="da-DK"/>
              </w:rPr>
            </w:pPr>
            <w:bookmarkStart w:id="6" w:name="_Hlk113009873"/>
            <w:r w:rsidRPr="00AD311F">
              <w:rPr>
                <w:sz w:val="20"/>
              </w:rPr>
              <w:t>≥</w:t>
            </w:r>
            <w:bookmarkEnd w:id="6"/>
            <w:r w:rsidRPr="00AD311F">
              <w:rPr>
                <w:sz w:val="20"/>
              </w:rPr>
              <w:t> 4 kg</w:t>
            </w:r>
          </w:p>
        </w:tc>
        <w:tc>
          <w:tcPr>
            <w:tcW w:w="1307"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15 mg/kg</w:t>
            </w:r>
          </w:p>
        </w:tc>
        <w:tc>
          <w:tcPr>
            <w:tcW w:w="1717" w:type="dxa"/>
            <w:vMerge/>
            <w:vAlign w:val="center"/>
          </w:tcPr>
          <w:p w:rsidR="001763E4" w:rsidRPr="00AD311F" w:rsidRDefault="001763E4" w:rsidP="001763E4">
            <w:pPr>
              <w:tabs>
                <w:tab w:val="left" w:pos="567"/>
              </w:tabs>
              <w:spacing w:before="0" w:line="260" w:lineRule="exact"/>
              <w:ind w:left="851"/>
              <w:jc w:val="center"/>
              <w:rPr>
                <w:rFonts w:ascii="Times New Roman" w:hAnsi="Times New Roman"/>
                <w:sz w:val="20"/>
                <w:lang w:val="da-DK"/>
              </w:rPr>
            </w:pPr>
          </w:p>
        </w:tc>
        <w:tc>
          <w:tcPr>
            <w:tcW w:w="2344" w:type="dxa"/>
            <w:vMerge w:val="restart"/>
            <w:vAlign w:val="center"/>
          </w:tcPr>
          <w:p w:rsidR="001763E4" w:rsidRPr="00AD311F" w:rsidRDefault="001763E4" w:rsidP="001763E4">
            <w:pPr>
              <w:spacing w:before="0" w:line="260" w:lineRule="exact"/>
              <w:jc w:val="center"/>
              <w:rPr>
                <w:rFonts w:ascii="Times New Roman" w:hAnsi="Times New Roman"/>
                <w:sz w:val="20"/>
                <w:lang w:val="da-DK"/>
              </w:rPr>
            </w:pPr>
            <w:r w:rsidRPr="00AD311F">
              <w:rPr>
                <w:sz w:val="20"/>
              </w:rPr>
              <w:t xml:space="preserve">2 h infusion / </w:t>
            </w:r>
            <w:proofErr w:type="spellStart"/>
            <w:r w:rsidRPr="00AD311F">
              <w:rPr>
                <w:sz w:val="20"/>
              </w:rPr>
              <w:t>hver</w:t>
            </w:r>
            <w:proofErr w:type="spellEnd"/>
            <w:r w:rsidRPr="00AD311F">
              <w:rPr>
                <w:sz w:val="20"/>
              </w:rPr>
              <w:t xml:space="preserve"> 12. time</w:t>
            </w:r>
          </w:p>
        </w:tc>
      </w:tr>
      <w:tr w:rsidR="001763E4" w:rsidRPr="00AD311F" w:rsidTr="001763E4">
        <w:tc>
          <w:tcPr>
            <w:tcW w:w="2469" w:type="dxa"/>
            <w:vMerge/>
          </w:tcPr>
          <w:p w:rsidR="001763E4" w:rsidRPr="00AD311F" w:rsidRDefault="001763E4" w:rsidP="001763E4">
            <w:pPr>
              <w:tabs>
                <w:tab w:val="left" w:pos="567"/>
              </w:tabs>
              <w:spacing w:before="0" w:line="260" w:lineRule="exact"/>
              <w:jc w:val="left"/>
              <w:rPr>
                <w:rFonts w:ascii="Times New Roman" w:hAnsi="Times New Roman"/>
                <w:lang w:val="da-DK"/>
              </w:rPr>
            </w:pPr>
          </w:p>
        </w:tc>
        <w:tc>
          <w:tcPr>
            <w:tcW w:w="1453"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&lt; 4 kg</w:t>
            </w:r>
          </w:p>
        </w:tc>
        <w:tc>
          <w:tcPr>
            <w:tcW w:w="1307" w:type="dxa"/>
          </w:tcPr>
          <w:p w:rsidR="001763E4" w:rsidRPr="00AD311F" w:rsidRDefault="001763E4" w:rsidP="001763E4">
            <w:pPr>
              <w:tabs>
                <w:tab w:val="left" w:pos="567"/>
              </w:tabs>
              <w:spacing w:before="0" w:line="260" w:lineRule="exact"/>
              <w:jc w:val="center"/>
              <w:rPr>
                <w:rFonts w:ascii="Times New Roman" w:hAnsi="Times New Roman"/>
                <w:sz w:val="20"/>
                <w:lang w:val="da-DK"/>
              </w:rPr>
            </w:pPr>
            <w:r w:rsidRPr="00AD311F">
              <w:rPr>
                <w:sz w:val="20"/>
              </w:rPr>
              <w:t>10 mg/kg</w:t>
            </w:r>
          </w:p>
        </w:tc>
        <w:tc>
          <w:tcPr>
            <w:tcW w:w="1717" w:type="dxa"/>
            <w:vMerge/>
          </w:tcPr>
          <w:p w:rsidR="001763E4" w:rsidRPr="00AD311F" w:rsidRDefault="001763E4" w:rsidP="001763E4">
            <w:pPr>
              <w:tabs>
                <w:tab w:val="left" w:pos="567"/>
              </w:tabs>
              <w:spacing w:before="0" w:line="260" w:lineRule="exact"/>
              <w:ind w:left="851"/>
              <w:jc w:val="center"/>
              <w:rPr>
                <w:rFonts w:ascii="Times New Roman" w:hAnsi="Times New Roman"/>
                <w:lang w:val="da-DK"/>
              </w:rPr>
            </w:pPr>
          </w:p>
        </w:tc>
        <w:tc>
          <w:tcPr>
            <w:tcW w:w="2344" w:type="dxa"/>
            <w:vMerge/>
          </w:tcPr>
          <w:p w:rsidR="001763E4" w:rsidRPr="00AD311F" w:rsidRDefault="001763E4" w:rsidP="001763E4">
            <w:pPr>
              <w:tabs>
                <w:tab w:val="left" w:pos="567"/>
              </w:tabs>
              <w:spacing w:before="0" w:line="260" w:lineRule="exact"/>
              <w:ind w:left="851"/>
              <w:jc w:val="center"/>
              <w:rPr>
                <w:rFonts w:ascii="Times New Roman" w:hAnsi="Times New Roman"/>
                <w:lang w:val="da-DK"/>
              </w:rPr>
            </w:pPr>
          </w:p>
        </w:tc>
      </w:tr>
    </w:tbl>
    <w:p w:rsidR="001763E4" w:rsidRPr="0040737C" w:rsidRDefault="001763E4" w:rsidP="0040737C">
      <w:pPr>
        <w:ind w:left="851"/>
        <w:rPr>
          <w:sz w:val="20"/>
        </w:rPr>
      </w:pPr>
      <w:r w:rsidRPr="00AD311F">
        <w:rPr>
          <w:sz w:val="20"/>
          <w:vertAlign w:val="superscript"/>
        </w:rPr>
        <w:t>a</w:t>
      </w:r>
      <w:r w:rsidRPr="00AD311F">
        <w:rPr>
          <w:sz w:val="20"/>
        </w:rPr>
        <w:t xml:space="preserve"> Se pkt. 6.6.</w:t>
      </w:r>
    </w:p>
    <w:p w:rsidR="002F06C0" w:rsidRDefault="002F06C0" w:rsidP="002F06C0">
      <w:pPr>
        <w:tabs>
          <w:tab w:val="left" w:pos="567"/>
        </w:tabs>
        <w:rPr>
          <w:sz w:val="22"/>
        </w:rPr>
      </w:pPr>
    </w:p>
    <w:p w:rsidR="002F06C0" w:rsidRDefault="002F06C0" w:rsidP="002F06C0">
      <w:pPr>
        <w:spacing w:line="260" w:lineRule="exact"/>
        <w:ind w:left="851"/>
        <w:rPr>
          <w:sz w:val="24"/>
          <w:szCs w:val="24"/>
        </w:rPr>
      </w:pPr>
      <w:r>
        <w:rPr>
          <w:sz w:val="24"/>
          <w:szCs w:val="24"/>
        </w:rPr>
        <w:t xml:space="preserve">Det kan i tilfælde af CAP overvejes at skifte til et passende oralt antibiotikum efter gennemførelse af mindst 3 dages behandling med intravenøs </w:t>
      </w:r>
      <w:proofErr w:type="spellStart"/>
      <w:r>
        <w:rPr>
          <w:sz w:val="24"/>
          <w:szCs w:val="24"/>
        </w:rPr>
        <w:t>ceftobiprol</w:t>
      </w:r>
      <w:proofErr w:type="spellEnd"/>
      <w:r>
        <w:rPr>
          <w:sz w:val="24"/>
          <w:szCs w:val="24"/>
        </w:rPr>
        <w:t xml:space="preserve"> afhængigt af patientens kliniske respons.</w:t>
      </w:r>
    </w:p>
    <w:p w:rsidR="002F06C0" w:rsidRDefault="002F06C0" w:rsidP="002F06C0">
      <w:pPr>
        <w:ind w:left="851" w:hanging="851"/>
        <w:rPr>
          <w:sz w:val="24"/>
          <w:szCs w:val="24"/>
        </w:rPr>
      </w:pPr>
    </w:p>
    <w:p w:rsidR="002F06C0" w:rsidRDefault="002F06C0" w:rsidP="002F06C0">
      <w:pPr>
        <w:ind w:left="851" w:hanging="851"/>
        <w:rPr>
          <w:i/>
          <w:iCs/>
          <w:sz w:val="24"/>
          <w:szCs w:val="24"/>
        </w:rPr>
      </w:pPr>
      <w:r>
        <w:rPr>
          <w:i/>
          <w:iCs/>
          <w:sz w:val="24"/>
          <w:szCs w:val="24"/>
        </w:rPr>
        <w:tab/>
        <w:t>Pædiatrisk population</w:t>
      </w:r>
    </w:p>
    <w:p w:rsidR="001763E4" w:rsidRPr="00AD311F" w:rsidRDefault="002F06C0" w:rsidP="0040737C">
      <w:pPr>
        <w:spacing w:line="260" w:lineRule="exact"/>
        <w:ind w:left="851" w:hanging="851"/>
        <w:rPr>
          <w:sz w:val="24"/>
          <w:szCs w:val="24"/>
        </w:rPr>
      </w:pPr>
      <w:r>
        <w:rPr>
          <w:sz w:val="24"/>
          <w:szCs w:val="24"/>
        </w:rPr>
        <w:tab/>
        <w:t xml:space="preserve">Der foreligger ingen data vedrørende brug af </w:t>
      </w:r>
      <w:proofErr w:type="spellStart"/>
      <w:r>
        <w:rPr>
          <w:sz w:val="24"/>
          <w:szCs w:val="24"/>
        </w:rPr>
        <w:t>ceftobiprol</w:t>
      </w:r>
      <w:proofErr w:type="spellEnd"/>
      <w:r>
        <w:rPr>
          <w:sz w:val="24"/>
          <w:szCs w:val="24"/>
        </w:rPr>
        <w:t xml:space="preserve"> til </w:t>
      </w:r>
      <w:bookmarkStart w:id="7" w:name="_Hlk113010508"/>
      <w:r>
        <w:rPr>
          <w:sz w:val="24"/>
          <w:szCs w:val="24"/>
        </w:rPr>
        <w:t>for tidligt fødte børn</w:t>
      </w:r>
      <w:bookmarkEnd w:id="7"/>
      <w:r>
        <w:rPr>
          <w:sz w:val="24"/>
          <w:szCs w:val="24"/>
        </w:rPr>
        <w:t>.</w:t>
      </w:r>
    </w:p>
    <w:p w:rsidR="001763E4" w:rsidRPr="00AD311F" w:rsidRDefault="001763E4" w:rsidP="001763E4">
      <w:pPr>
        <w:ind w:left="851" w:hanging="851"/>
        <w:rPr>
          <w:i/>
          <w:iCs/>
          <w:sz w:val="24"/>
          <w:szCs w:val="24"/>
        </w:rPr>
      </w:pPr>
    </w:p>
    <w:p w:rsidR="001763E4" w:rsidRPr="0040737C" w:rsidRDefault="001763E4" w:rsidP="001763E4">
      <w:pPr>
        <w:ind w:left="851" w:hanging="851"/>
        <w:rPr>
          <w:b/>
          <w:bCs/>
          <w:iCs/>
          <w:sz w:val="24"/>
          <w:szCs w:val="24"/>
        </w:rPr>
      </w:pPr>
      <w:r w:rsidRPr="00AD311F">
        <w:rPr>
          <w:b/>
          <w:bCs/>
          <w:i/>
          <w:iCs/>
          <w:sz w:val="24"/>
          <w:szCs w:val="24"/>
        </w:rPr>
        <w:tab/>
      </w:r>
      <w:r w:rsidRPr="0040737C">
        <w:rPr>
          <w:b/>
          <w:bCs/>
          <w:iCs/>
          <w:sz w:val="24"/>
          <w:szCs w:val="24"/>
        </w:rPr>
        <w:t>Særlige populationer</w:t>
      </w:r>
    </w:p>
    <w:p w:rsidR="0040737C" w:rsidRPr="00AD311F" w:rsidRDefault="0040737C" w:rsidP="001763E4">
      <w:pPr>
        <w:ind w:left="851" w:hanging="851"/>
        <w:rPr>
          <w:b/>
          <w:bCs/>
          <w:i/>
          <w:iCs/>
          <w:sz w:val="24"/>
          <w:szCs w:val="24"/>
        </w:rPr>
      </w:pPr>
    </w:p>
    <w:p w:rsidR="001763E4" w:rsidRPr="00AD311F" w:rsidRDefault="001763E4" w:rsidP="001763E4">
      <w:pPr>
        <w:ind w:left="851"/>
        <w:rPr>
          <w:i/>
          <w:iCs/>
          <w:sz w:val="24"/>
          <w:szCs w:val="24"/>
        </w:rPr>
      </w:pPr>
      <w:r w:rsidRPr="00AD311F">
        <w:rPr>
          <w:i/>
          <w:iCs/>
          <w:sz w:val="24"/>
          <w:szCs w:val="24"/>
        </w:rPr>
        <w:t>Ældre patienter</w:t>
      </w:r>
    </w:p>
    <w:p w:rsidR="001763E4" w:rsidRPr="00AD311F" w:rsidRDefault="001763E4" w:rsidP="001763E4">
      <w:pPr>
        <w:ind w:left="851" w:hanging="851"/>
        <w:rPr>
          <w:sz w:val="24"/>
          <w:szCs w:val="24"/>
        </w:rPr>
      </w:pPr>
      <w:r w:rsidRPr="00AD311F">
        <w:rPr>
          <w:sz w:val="24"/>
          <w:szCs w:val="24"/>
        </w:rPr>
        <w:tab/>
        <w:t>Justering af dosen er ikke nødvendig hos ældre patienter med undtagelse af patienter med moderat til svært nedsat nyrefunktion (se nedenfor og pkt. 5.2).</w:t>
      </w:r>
    </w:p>
    <w:p w:rsidR="001763E4" w:rsidRPr="00AD311F" w:rsidRDefault="001763E4" w:rsidP="001763E4">
      <w:pPr>
        <w:ind w:left="851" w:hanging="851"/>
        <w:rPr>
          <w:sz w:val="24"/>
          <w:szCs w:val="24"/>
        </w:rPr>
      </w:pPr>
    </w:p>
    <w:p w:rsidR="001763E4" w:rsidRPr="00AD311F" w:rsidRDefault="001763E4" w:rsidP="001763E4">
      <w:pPr>
        <w:ind w:left="851" w:hanging="851"/>
        <w:rPr>
          <w:i/>
          <w:iCs/>
          <w:sz w:val="24"/>
          <w:szCs w:val="24"/>
        </w:rPr>
      </w:pPr>
      <w:r w:rsidRPr="00AD311F">
        <w:rPr>
          <w:i/>
          <w:iCs/>
          <w:sz w:val="24"/>
          <w:szCs w:val="24"/>
        </w:rPr>
        <w:tab/>
      </w:r>
      <w:r w:rsidR="0040737C">
        <w:rPr>
          <w:i/>
          <w:iCs/>
          <w:sz w:val="24"/>
          <w:szCs w:val="24"/>
        </w:rPr>
        <w:t>Nedsat nyrefunktion</w:t>
      </w:r>
    </w:p>
    <w:p w:rsidR="001763E4" w:rsidRPr="00AD311F" w:rsidRDefault="001763E4" w:rsidP="001763E4">
      <w:pPr>
        <w:ind w:left="851" w:hanging="851"/>
        <w:rPr>
          <w:sz w:val="24"/>
          <w:szCs w:val="24"/>
        </w:rPr>
      </w:pPr>
      <w:r w:rsidRPr="00AD311F">
        <w:rPr>
          <w:sz w:val="24"/>
          <w:szCs w:val="24"/>
        </w:rPr>
        <w:tab/>
        <w:t>Det er ikke nødvendigt at justere dosen hos voksne og pædiatriske patienter med let nedsat nyrefunktion (dvs. CL</w:t>
      </w:r>
      <w:r w:rsidRPr="00AD311F">
        <w:rPr>
          <w:sz w:val="24"/>
          <w:szCs w:val="24"/>
          <w:vertAlign w:val="subscript"/>
        </w:rPr>
        <w:t>CR</w:t>
      </w:r>
      <w:r w:rsidRPr="00AD311F">
        <w:rPr>
          <w:sz w:val="24"/>
          <w:szCs w:val="24"/>
        </w:rPr>
        <w:t xml:space="preserve"> 50 til 80 ml/min).</w:t>
      </w:r>
    </w:p>
    <w:p w:rsidR="001763E4" w:rsidRPr="00AD311F" w:rsidRDefault="001763E4" w:rsidP="001763E4">
      <w:pPr>
        <w:ind w:left="851" w:hanging="851"/>
        <w:rPr>
          <w:sz w:val="24"/>
          <w:szCs w:val="24"/>
        </w:rPr>
      </w:pPr>
    </w:p>
    <w:p w:rsidR="0040737C" w:rsidRDefault="0040737C" w:rsidP="0040737C">
      <w:pPr>
        <w:spacing w:line="260" w:lineRule="exact"/>
        <w:ind w:left="851"/>
        <w:rPr>
          <w:sz w:val="24"/>
          <w:szCs w:val="24"/>
        </w:rPr>
      </w:pPr>
      <w:r>
        <w:rPr>
          <w:sz w:val="24"/>
          <w:szCs w:val="24"/>
        </w:rPr>
        <w:t>Hos voksne og pædiatriske patienter med moderat nedsat nyrefunktion (CL</w:t>
      </w:r>
      <w:r>
        <w:rPr>
          <w:sz w:val="24"/>
          <w:szCs w:val="24"/>
          <w:vertAlign w:val="subscript"/>
        </w:rPr>
        <w:t xml:space="preserve">CR </w:t>
      </w:r>
      <w:bookmarkStart w:id="8" w:name="_Hlk113475419"/>
      <w:r>
        <w:rPr>
          <w:sz w:val="24"/>
          <w:szCs w:val="24"/>
        </w:rPr>
        <w:t>30 til &lt; 50 ml/min</w:t>
      </w:r>
      <w:bookmarkEnd w:id="8"/>
      <w:r>
        <w:rPr>
          <w:sz w:val="24"/>
          <w:szCs w:val="24"/>
        </w:rPr>
        <w:t>), voksne og pædiatriske patienter med svært nedsat nyrefunktion (CL</w:t>
      </w:r>
      <w:r>
        <w:rPr>
          <w:sz w:val="24"/>
          <w:szCs w:val="24"/>
          <w:vertAlign w:val="subscript"/>
        </w:rPr>
        <w:t>CR</w:t>
      </w:r>
      <w:r>
        <w:rPr>
          <w:sz w:val="24"/>
          <w:szCs w:val="24"/>
        </w:rPr>
        <w:t xml:space="preserve"> </w:t>
      </w:r>
      <w:bookmarkStart w:id="9" w:name="_Hlk113475438"/>
      <w:r>
        <w:rPr>
          <w:sz w:val="24"/>
          <w:szCs w:val="24"/>
        </w:rPr>
        <w:t>10 ml/min til &lt; 30 ml/min</w:t>
      </w:r>
      <w:bookmarkEnd w:id="9"/>
      <w:r>
        <w:rPr>
          <w:sz w:val="24"/>
          <w:szCs w:val="24"/>
        </w:rPr>
        <w:t xml:space="preserve">) og voksne patienter med dialysekrævende nyresygdom i slutstadiet (ESRD) skal doseringen af </w:t>
      </w:r>
      <w:proofErr w:type="spellStart"/>
      <w:r>
        <w:rPr>
          <w:sz w:val="24"/>
          <w:szCs w:val="24"/>
        </w:rPr>
        <w:t>ceftobiprol</w:t>
      </w:r>
      <w:proofErr w:type="spellEnd"/>
      <w:r>
        <w:rPr>
          <w:sz w:val="24"/>
          <w:szCs w:val="24"/>
        </w:rPr>
        <w:t xml:space="preserve"> justeres som vist i tabel 2. Der er ikke tilstrækkelige oplysninger til at anbefale dosisjusteringer hos børn med ESRD.</w:t>
      </w:r>
    </w:p>
    <w:p w:rsidR="001763E4" w:rsidRPr="00AD311F" w:rsidRDefault="001763E4" w:rsidP="001763E4">
      <w:pPr>
        <w:ind w:left="851"/>
        <w:rPr>
          <w:sz w:val="24"/>
          <w:szCs w:val="24"/>
        </w:rPr>
      </w:pPr>
    </w:p>
    <w:p w:rsidR="0040737C" w:rsidRDefault="001763E4" w:rsidP="0040737C">
      <w:pPr>
        <w:tabs>
          <w:tab w:val="left" w:pos="1843"/>
        </w:tabs>
        <w:spacing w:after="120"/>
        <w:ind w:left="1841" w:hanging="990"/>
        <w:rPr>
          <w:b/>
          <w:sz w:val="24"/>
          <w:szCs w:val="24"/>
        </w:rPr>
      </w:pPr>
      <w:r w:rsidRPr="00AD311F">
        <w:rPr>
          <w:b/>
          <w:sz w:val="24"/>
          <w:szCs w:val="24"/>
        </w:rPr>
        <w:t>Tabel 2</w:t>
      </w:r>
      <w:r w:rsidRPr="00AD311F">
        <w:rPr>
          <w:b/>
          <w:sz w:val="24"/>
          <w:szCs w:val="24"/>
        </w:rPr>
        <w:tab/>
        <w:t>Dosering hos voksne og pædiatriske patienter med moderat nedsat nyrefunktion (CL</w:t>
      </w:r>
      <w:r w:rsidRPr="00AD311F">
        <w:rPr>
          <w:b/>
          <w:sz w:val="24"/>
          <w:szCs w:val="24"/>
          <w:vertAlign w:val="subscript"/>
        </w:rPr>
        <w:t>CR</w:t>
      </w:r>
      <w:r w:rsidRPr="00AD311F">
        <w:rPr>
          <w:b/>
          <w:sz w:val="24"/>
          <w:szCs w:val="24"/>
        </w:rPr>
        <w:t xml:space="preserve"> 30 til &lt; 50 ml/min), svært nedsat nyrefunktion (CL</w:t>
      </w:r>
      <w:r w:rsidRPr="00AD311F">
        <w:rPr>
          <w:b/>
          <w:sz w:val="24"/>
          <w:szCs w:val="24"/>
          <w:vertAlign w:val="subscript"/>
        </w:rPr>
        <w:t>CR</w:t>
      </w:r>
      <w:r w:rsidRPr="00AD311F">
        <w:rPr>
          <w:b/>
          <w:sz w:val="24"/>
          <w:szCs w:val="24"/>
        </w:rPr>
        <w:t xml:space="preserve"> &lt; 30 ml/min) eller patienter med dialysekrævende ESRD</w:t>
      </w:r>
      <w:r w:rsidR="0040737C" w:rsidRPr="0040737C">
        <w:rPr>
          <w:b/>
          <w:sz w:val="24"/>
          <w:szCs w:val="24"/>
        </w:rPr>
        <w:t xml:space="preserve"> </w:t>
      </w:r>
    </w:p>
    <w:tbl>
      <w:tblPr>
        <w:tblStyle w:val="Tabel-Gitter"/>
        <w:tblW w:w="9351" w:type="dxa"/>
        <w:tblInd w:w="845" w:type="dxa"/>
        <w:tblCellMar>
          <w:top w:w="6" w:type="dxa"/>
          <w:left w:w="28" w:type="dxa"/>
          <w:bottom w:w="6" w:type="dxa"/>
          <w:right w:w="28" w:type="dxa"/>
        </w:tblCellMar>
        <w:tblLook w:val="04A0" w:firstRow="1" w:lastRow="0" w:firstColumn="1" w:lastColumn="0" w:noHBand="0" w:noVBand="1"/>
      </w:tblPr>
      <w:tblGrid>
        <w:gridCol w:w="2475"/>
        <w:gridCol w:w="1475"/>
        <w:gridCol w:w="1326"/>
        <w:gridCol w:w="1724"/>
        <w:gridCol w:w="2351"/>
      </w:tblGrid>
      <w:tr w:rsidR="0040737C" w:rsidTr="0040737C">
        <w:trPr>
          <w:cantSplit/>
          <w:trHeight w:val="594"/>
        </w:trPr>
        <w:tc>
          <w:tcPr>
            <w:tcW w:w="2475" w:type="dxa"/>
            <w:tcBorders>
              <w:top w:val="single" w:sz="4" w:space="0" w:color="auto"/>
              <w:left w:val="single" w:sz="4" w:space="0" w:color="auto"/>
              <w:bottom w:val="single" w:sz="4" w:space="0" w:color="auto"/>
              <w:right w:val="single" w:sz="4" w:space="0" w:color="auto"/>
            </w:tcBorders>
            <w:hideMark/>
          </w:tcPr>
          <w:p w:rsidR="0040737C" w:rsidRDefault="0040737C">
            <w:pPr>
              <w:spacing w:line="260" w:lineRule="exact"/>
              <w:rPr>
                <w:b/>
                <w:sz w:val="20"/>
              </w:rPr>
            </w:pPr>
            <w:r>
              <w:rPr>
                <w:b/>
                <w:sz w:val="20"/>
              </w:rPr>
              <w:t>Aldersgruppe</w:t>
            </w: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b/>
                <w:sz w:val="20"/>
                <w:vertAlign w:val="superscript"/>
                <w:lang w:val="en-US"/>
              </w:rPr>
            </w:pPr>
            <w:proofErr w:type="spellStart"/>
            <w:r>
              <w:rPr>
                <w:b/>
                <w:sz w:val="20"/>
                <w:lang w:val="en-US"/>
              </w:rPr>
              <w:t>Kreatinin</w:t>
            </w:r>
            <w:proofErr w:type="spellEnd"/>
            <w:r>
              <w:rPr>
                <w:b/>
                <w:sz w:val="20"/>
                <w:lang w:val="en-US"/>
              </w:rPr>
              <w:t>-clearance, CL</w:t>
            </w:r>
            <w:r>
              <w:rPr>
                <w:b/>
                <w:sz w:val="20"/>
                <w:vertAlign w:val="subscript"/>
                <w:lang w:val="en-US"/>
              </w:rPr>
              <w:t>CR</w:t>
            </w:r>
            <w:r>
              <w:rPr>
                <w:b/>
                <w:sz w:val="20"/>
                <w:lang w:val="en-US"/>
              </w:rPr>
              <w:t xml:space="preserve"> (ml/</w:t>
            </w:r>
            <w:proofErr w:type="gramStart"/>
            <w:r>
              <w:rPr>
                <w:b/>
                <w:sz w:val="20"/>
                <w:lang w:val="en-US"/>
              </w:rPr>
              <w:t>min)</w:t>
            </w:r>
            <w:r>
              <w:rPr>
                <w:b/>
                <w:sz w:val="20"/>
                <w:vertAlign w:val="superscript"/>
                <w:lang w:val="en-US"/>
              </w:rPr>
              <w:t>a</w:t>
            </w:r>
            <w:proofErr w:type="gramEnd"/>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b/>
                <w:sz w:val="20"/>
              </w:rPr>
            </w:pPr>
            <w:proofErr w:type="spellStart"/>
            <w:r>
              <w:rPr>
                <w:b/>
                <w:sz w:val="20"/>
              </w:rPr>
              <w:t>Ceftobiprol</w:t>
            </w:r>
            <w:proofErr w:type="spellEnd"/>
            <w:r>
              <w:rPr>
                <w:b/>
                <w:sz w:val="20"/>
              </w:rPr>
              <w:t>-dosis</w:t>
            </w:r>
          </w:p>
        </w:tc>
        <w:tc>
          <w:tcPr>
            <w:tcW w:w="1724"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b/>
                <w:sz w:val="20"/>
              </w:rPr>
            </w:pPr>
            <w:r>
              <w:rPr>
                <w:b/>
                <w:sz w:val="20"/>
              </w:rPr>
              <w:t>Koncentration af infusions-</w:t>
            </w:r>
            <w:proofErr w:type="spellStart"/>
            <w:r>
              <w:rPr>
                <w:b/>
                <w:sz w:val="20"/>
              </w:rPr>
              <w:t>opløsning</w:t>
            </w:r>
            <w:r>
              <w:rPr>
                <w:b/>
                <w:sz w:val="20"/>
                <w:vertAlign w:val="superscript"/>
              </w:rPr>
              <w:t>d</w:t>
            </w:r>
            <w:proofErr w:type="spellEnd"/>
          </w:p>
        </w:tc>
        <w:tc>
          <w:tcPr>
            <w:tcW w:w="2351"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b/>
                <w:sz w:val="20"/>
              </w:rPr>
            </w:pPr>
            <w:r>
              <w:rPr>
                <w:b/>
                <w:sz w:val="20"/>
              </w:rPr>
              <w:t>Infusionstid (timer) / hyppighed</w:t>
            </w:r>
          </w:p>
        </w:tc>
      </w:tr>
      <w:tr w:rsidR="0040737C" w:rsidTr="0040737C">
        <w:trPr>
          <w:cantSplit/>
          <w:trHeight w:val="232"/>
        </w:trPr>
        <w:tc>
          <w:tcPr>
            <w:tcW w:w="2475" w:type="dxa"/>
            <w:vMerge w:val="restart"/>
            <w:tcBorders>
              <w:top w:val="single" w:sz="4" w:space="0" w:color="auto"/>
              <w:left w:val="single" w:sz="4" w:space="0" w:color="auto"/>
              <w:bottom w:val="single" w:sz="4" w:space="0" w:color="auto"/>
              <w:right w:val="single" w:sz="4" w:space="0" w:color="auto"/>
            </w:tcBorders>
            <w:hideMark/>
          </w:tcPr>
          <w:p w:rsidR="0040737C" w:rsidRDefault="0040737C">
            <w:pPr>
              <w:tabs>
                <w:tab w:val="right" w:pos="3119"/>
              </w:tabs>
              <w:spacing w:line="260" w:lineRule="exact"/>
              <w:rPr>
                <w:sz w:val="20"/>
              </w:rPr>
            </w:pPr>
            <w:r>
              <w:rPr>
                <w:sz w:val="20"/>
              </w:rPr>
              <w:lastRenderedPageBreak/>
              <w:t>Voksne</w:t>
            </w: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30 til &lt; 50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500 mg</w:t>
            </w:r>
          </w:p>
        </w:tc>
        <w:tc>
          <w:tcPr>
            <w:tcW w:w="1724" w:type="dxa"/>
            <w:vMerge w:val="restart"/>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 mg/ml</w:t>
            </w: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 h infusion / hver 12. time</w:t>
            </w:r>
          </w:p>
        </w:tc>
      </w:tr>
      <w:tr w:rsidR="0040737C" w:rsidTr="0040737C">
        <w:trPr>
          <w:cantSplit/>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10 til &lt; 30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250 mg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r>
      <w:tr w:rsidR="0040737C" w:rsidTr="0040737C">
        <w:trPr>
          <w:cantSplit/>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vertAlign w:val="superscript"/>
              </w:rPr>
            </w:pPr>
            <w:r>
              <w:rPr>
                <w:sz w:val="20"/>
              </w:rPr>
              <w:t xml:space="preserve">ESRD, med </w:t>
            </w:r>
            <w:proofErr w:type="spellStart"/>
            <w:r>
              <w:rPr>
                <w:sz w:val="20"/>
              </w:rPr>
              <w:t>hæmodialyse</w:t>
            </w:r>
            <w:r>
              <w:rPr>
                <w:sz w:val="20"/>
                <w:vertAlign w:val="superscript"/>
              </w:rPr>
              <w:t>b</w:t>
            </w:r>
            <w:proofErr w:type="spellEnd"/>
          </w:p>
        </w:tc>
        <w:tc>
          <w:tcPr>
            <w:tcW w:w="1326"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250 mg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vAlign w:val="center"/>
            <w:hideMark/>
          </w:tcPr>
          <w:p w:rsidR="0040737C" w:rsidRDefault="0040737C">
            <w:pPr>
              <w:spacing w:line="260" w:lineRule="exact"/>
              <w:jc w:val="center"/>
              <w:rPr>
                <w:sz w:val="20"/>
              </w:rPr>
            </w:pPr>
            <w:r>
              <w:rPr>
                <w:sz w:val="20"/>
              </w:rPr>
              <w:t>2 h infusion / hver 24. time</w:t>
            </w:r>
          </w:p>
        </w:tc>
      </w:tr>
      <w:tr w:rsidR="0040737C" w:rsidTr="0040737C">
        <w:trPr>
          <w:cantSplit/>
          <w:trHeight w:val="232"/>
        </w:trPr>
        <w:tc>
          <w:tcPr>
            <w:tcW w:w="2475" w:type="dxa"/>
            <w:vMerge w:val="restart"/>
            <w:tcBorders>
              <w:top w:val="single" w:sz="4" w:space="0" w:color="auto"/>
              <w:left w:val="single" w:sz="4" w:space="0" w:color="auto"/>
              <w:bottom w:val="single" w:sz="4" w:space="0" w:color="auto"/>
              <w:right w:val="single" w:sz="4" w:space="0" w:color="auto"/>
            </w:tcBorders>
            <w:hideMark/>
          </w:tcPr>
          <w:p w:rsidR="0040737C" w:rsidRDefault="0040737C">
            <w:pPr>
              <w:spacing w:line="260" w:lineRule="exact"/>
              <w:rPr>
                <w:sz w:val="20"/>
              </w:rPr>
            </w:pPr>
            <w:r>
              <w:rPr>
                <w:sz w:val="20"/>
              </w:rPr>
              <w:t>Unge</w:t>
            </w:r>
          </w:p>
          <w:p w:rsidR="0040737C" w:rsidRDefault="0040737C">
            <w:pPr>
              <w:spacing w:line="260" w:lineRule="exact"/>
              <w:rPr>
                <w:sz w:val="20"/>
              </w:rPr>
            </w:pPr>
            <w:r>
              <w:rPr>
                <w:sz w:val="20"/>
              </w:rPr>
              <w:t>i alderen 12 til &lt; 18 år</w:t>
            </w: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30 til &lt; 50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vertAlign w:val="superscript"/>
              </w:rPr>
            </w:pPr>
            <w:r>
              <w:rPr>
                <w:sz w:val="20"/>
              </w:rPr>
              <w:t>7,5 mg/kg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vMerge w:val="restart"/>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 h infusion / hver 12. time</w:t>
            </w:r>
          </w:p>
        </w:tc>
      </w:tr>
      <w:tr w:rsidR="0040737C" w:rsidTr="0040737C">
        <w:trPr>
          <w:cantSplit/>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10 til &lt; 30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vertAlign w:val="superscript"/>
              </w:rPr>
            </w:pPr>
            <w:r>
              <w:rPr>
                <w:sz w:val="20"/>
              </w:rPr>
              <w:t>7,5 mg/</w:t>
            </w:r>
            <w:proofErr w:type="spellStart"/>
            <w:r>
              <w:rPr>
                <w:sz w:val="20"/>
              </w:rPr>
              <w:t>kg</w:t>
            </w:r>
            <w:r>
              <w:rPr>
                <w:sz w:val="20"/>
                <w:vertAlign w:val="superscript"/>
              </w:rPr>
              <w:t>c</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r>
      <w:tr w:rsidR="0040737C" w:rsidTr="0040737C">
        <w:trPr>
          <w:cantSplit/>
          <w:trHeight w:val="232"/>
        </w:trPr>
        <w:tc>
          <w:tcPr>
            <w:tcW w:w="2475" w:type="dxa"/>
            <w:vMerge w:val="restart"/>
            <w:tcBorders>
              <w:top w:val="single" w:sz="4" w:space="0" w:color="auto"/>
              <w:left w:val="single" w:sz="4" w:space="0" w:color="auto"/>
              <w:bottom w:val="single" w:sz="4" w:space="0" w:color="auto"/>
              <w:right w:val="single" w:sz="4" w:space="0" w:color="auto"/>
            </w:tcBorders>
            <w:hideMark/>
          </w:tcPr>
          <w:p w:rsidR="0040737C" w:rsidRDefault="0040737C">
            <w:pPr>
              <w:spacing w:line="260" w:lineRule="exact"/>
              <w:rPr>
                <w:sz w:val="20"/>
              </w:rPr>
            </w:pPr>
            <w:r>
              <w:rPr>
                <w:sz w:val="20"/>
              </w:rPr>
              <w:t>Børn i alderen 6 til &lt; 12 år</w:t>
            </w: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30 til &lt; 50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vertAlign w:val="superscript"/>
              </w:rPr>
            </w:pPr>
            <w:r>
              <w:rPr>
                <w:sz w:val="20"/>
              </w:rPr>
              <w:t>7,5 mg/kg</w:t>
            </w:r>
          </w:p>
        </w:tc>
        <w:tc>
          <w:tcPr>
            <w:tcW w:w="1724" w:type="dxa"/>
            <w:vMerge w:val="restart"/>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4 mg/ml</w:t>
            </w:r>
          </w:p>
        </w:tc>
        <w:tc>
          <w:tcPr>
            <w:tcW w:w="2351"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2 h infusion / hver 12. time</w:t>
            </w:r>
          </w:p>
        </w:tc>
      </w:tr>
      <w:tr w:rsidR="0040737C" w:rsidTr="0040737C">
        <w:trPr>
          <w:cantSplit/>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10 til &lt; 30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7,5 mg/</w:t>
            </w:r>
            <w:proofErr w:type="spellStart"/>
            <w:r>
              <w:rPr>
                <w:sz w:val="20"/>
              </w:rPr>
              <w:t>kg</w:t>
            </w:r>
            <w:r>
              <w:rPr>
                <w:sz w:val="20"/>
                <w:vertAlign w:val="superscript"/>
              </w:rPr>
              <w:t>c</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2 h infusion / hver 24. time</w:t>
            </w:r>
          </w:p>
        </w:tc>
      </w:tr>
      <w:tr w:rsidR="0040737C" w:rsidTr="0040737C">
        <w:trPr>
          <w:cantSplit/>
          <w:trHeight w:val="232"/>
        </w:trPr>
        <w:tc>
          <w:tcPr>
            <w:tcW w:w="2475" w:type="dxa"/>
            <w:vMerge w:val="restart"/>
            <w:tcBorders>
              <w:top w:val="single" w:sz="4" w:space="0" w:color="auto"/>
              <w:left w:val="single" w:sz="4" w:space="0" w:color="auto"/>
              <w:bottom w:val="single" w:sz="4" w:space="0" w:color="auto"/>
              <w:right w:val="single" w:sz="4" w:space="0" w:color="auto"/>
            </w:tcBorders>
            <w:hideMark/>
          </w:tcPr>
          <w:p w:rsidR="0040737C" w:rsidRDefault="0040737C">
            <w:pPr>
              <w:spacing w:line="260" w:lineRule="exact"/>
              <w:rPr>
                <w:sz w:val="20"/>
              </w:rPr>
            </w:pPr>
            <w:r>
              <w:rPr>
                <w:sz w:val="20"/>
              </w:rPr>
              <w:t>Spædbørn i alderen ≥ 3 måneder og børn &lt; 6 år</w:t>
            </w: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30 til &lt; 50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vertAlign w:val="superscript"/>
              </w:rPr>
            </w:pPr>
            <w:r>
              <w:rPr>
                <w:sz w:val="20"/>
              </w:rPr>
              <w:t>10 mg/kg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2 h infusion / hver 12. time</w:t>
            </w:r>
          </w:p>
        </w:tc>
      </w:tr>
      <w:tr w:rsidR="0040737C" w:rsidTr="0040737C">
        <w:trPr>
          <w:cantSplit/>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10 til &lt; 30</w:t>
            </w:r>
          </w:p>
        </w:tc>
        <w:tc>
          <w:tcPr>
            <w:tcW w:w="1326"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vertAlign w:val="superscript"/>
              </w:rPr>
            </w:pPr>
            <w:r>
              <w:rPr>
                <w:sz w:val="20"/>
              </w:rPr>
              <w:t>10 mg/kg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 h infusion / hver 24. time</w:t>
            </w:r>
          </w:p>
        </w:tc>
      </w:tr>
      <w:tr w:rsidR="0040737C" w:rsidTr="0040737C">
        <w:trPr>
          <w:cantSplit/>
          <w:trHeight w:val="232"/>
        </w:trPr>
        <w:tc>
          <w:tcPr>
            <w:tcW w:w="2475" w:type="dxa"/>
            <w:vMerge w:val="restart"/>
            <w:tcBorders>
              <w:top w:val="single" w:sz="4" w:space="0" w:color="auto"/>
              <w:left w:val="single" w:sz="4" w:space="0" w:color="auto"/>
              <w:bottom w:val="single" w:sz="4" w:space="0" w:color="auto"/>
              <w:right w:val="single" w:sz="4" w:space="0" w:color="auto"/>
            </w:tcBorders>
            <w:hideMark/>
          </w:tcPr>
          <w:p w:rsidR="0040737C" w:rsidRDefault="0040737C">
            <w:pPr>
              <w:spacing w:line="260" w:lineRule="exact"/>
              <w:rPr>
                <w:sz w:val="20"/>
              </w:rPr>
            </w:pPr>
            <w:r>
              <w:rPr>
                <w:sz w:val="20"/>
              </w:rPr>
              <w:t>Nyfødte børn født til tiden og spædbørn &lt; 3 måneder, legemsvægt ≥ 4 kg</w:t>
            </w:r>
          </w:p>
        </w:tc>
        <w:tc>
          <w:tcPr>
            <w:tcW w:w="1475"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30 til &lt; 50</w:t>
            </w:r>
          </w:p>
        </w:tc>
        <w:tc>
          <w:tcPr>
            <w:tcW w:w="1326"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67"/>
              </w:tabs>
              <w:spacing w:line="260" w:lineRule="exact"/>
              <w:jc w:val="center"/>
              <w:rPr>
                <w:sz w:val="20"/>
              </w:rPr>
            </w:pPr>
            <w:r>
              <w:rPr>
                <w:sz w:val="20"/>
              </w:rPr>
              <w:t>15 mg/kg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hideMark/>
          </w:tcPr>
          <w:p w:rsidR="0040737C" w:rsidRDefault="0040737C">
            <w:pPr>
              <w:tabs>
                <w:tab w:val="left" w:pos="535"/>
              </w:tabs>
              <w:spacing w:line="260" w:lineRule="exact"/>
              <w:jc w:val="center"/>
              <w:rPr>
                <w:sz w:val="20"/>
              </w:rPr>
            </w:pPr>
            <w:r>
              <w:rPr>
                <w:sz w:val="20"/>
              </w:rPr>
              <w:t>2 h infusion / hver 12. time</w:t>
            </w:r>
          </w:p>
        </w:tc>
      </w:tr>
      <w:tr w:rsidR="0040737C" w:rsidTr="0040737C">
        <w:trPr>
          <w:cantSplit/>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10 til &lt; 30</w:t>
            </w:r>
          </w:p>
        </w:tc>
        <w:tc>
          <w:tcPr>
            <w:tcW w:w="1326"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15 mg/kg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 h infusion / hver 24. time</w:t>
            </w:r>
          </w:p>
        </w:tc>
      </w:tr>
      <w:tr w:rsidR="0040737C" w:rsidTr="0040737C">
        <w:trPr>
          <w:cantSplit/>
          <w:trHeight w:val="232"/>
        </w:trPr>
        <w:tc>
          <w:tcPr>
            <w:tcW w:w="2475" w:type="dxa"/>
            <w:vMerge w:val="restart"/>
            <w:tcBorders>
              <w:top w:val="single" w:sz="4" w:space="0" w:color="auto"/>
              <w:left w:val="single" w:sz="4" w:space="0" w:color="auto"/>
              <w:bottom w:val="single" w:sz="4" w:space="0" w:color="auto"/>
              <w:right w:val="single" w:sz="4" w:space="0" w:color="auto"/>
            </w:tcBorders>
            <w:hideMark/>
          </w:tcPr>
          <w:p w:rsidR="0040737C" w:rsidRDefault="0040737C">
            <w:pPr>
              <w:spacing w:line="260" w:lineRule="exact"/>
              <w:rPr>
                <w:sz w:val="20"/>
              </w:rPr>
            </w:pPr>
            <w:r>
              <w:rPr>
                <w:sz w:val="20"/>
              </w:rPr>
              <w:t>Nyfødte børn født til tiden og spædbørn &lt; 3 måneder, legemsvægt &lt; 4 kg</w:t>
            </w:r>
          </w:p>
        </w:tc>
        <w:tc>
          <w:tcPr>
            <w:tcW w:w="1475"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30 til &lt; 50</w:t>
            </w:r>
          </w:p>
        </w:tc>
        <w:tc>
          <w:tcPr>
            <w:tcW w:w="1326"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10 mg/kg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 h infusion / hver 12. time</w:t>
            </w:r>
          </w:p>
        </w:tc>
      </w:tr>
      <w:tr w:rsidR="0040737C" w:rsidTr="0040737C">
        <w:trPr>
          <w:cantSplit/>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1475"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10 til &lt; 30</w:t>
            </w:r>
          </w:p>
        </w:tc>
        <w:tc>
          <w:tcPr>
            <w:tcW w:w="1326"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10 mg/kg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737C" w:rsidRDefault="0040737C">
            <w:pPr>
              <w:rPr>
                <w:sz w:val="20"/>
              </w:rPr>
            </w:pPr>
          </w:p>
        </w:tc>
        <w:tc>
          <w:tcPr>
            <w:tcW w:w="2351" w:type="dxa"/>
            <w:tcBorders>
              <w:top w:val="single" w:sz="4" w:space="0" w:color="auto"/>
              <w:left w:val="single" w:sz="4" w:space="0" w:color="auto"/>
              <w:bottom w:val="single" w:sz="4" w:space="0" w:color="auto"/>
              <w:right w:val="single" w:sz="4" w:space="0" w:color="auto"/>
            </w:tcBorders>
            <w:vAlign w:val="center"/>
            <w:hideMark/>
          </w:tcPr>
          <w:p w:rsidR="0040737C" w:rsidRDefault="0040737C">
            <w:pPr>
              <w:tabs>
                <w:tab w:val="left" w:pos="567"/>
              </w:tabs>
              <w:spacing w:line="260" w:lineRule="exact"/>
              <w:jc w:val="center"/>
              <w:rPr>
                <w:sz w:val="20"/>
              </w:rPr>
            </w:pPr>
            <w:r>
              <w:rPr>
                <w:sz w:val="20"/>
              </w:rPr>
              <w:t>2 h infusion / hver 24. time</w:t>
            </w:r>
          </w:p>
        </w:tc>
      </w:tr>
    </w:tbl>
    <w:p w:rsidR="0040737C" w:rsidRDefault="0040737C" w:rsidP="0040737C">
      <w:pPr>
        <w:spacing w:before="60"/>
        <w:ind w:left="851"/>
        <w:rPr>
          <w:sz w:val="20"/>
        </w:rPr>
      </w:pPr>
      <w:r>
        <w:rPr>
          <w:sz w:val="20"/>
        </w:rPr>
        <w:t>Bemærk: Alle regimer administreret som en 2 h infusion med en maksimalt tilladelig dosis på 500 mg uanset patientens vægt, medmindre andet er angivet.</w:t>
      </w:r>
    </w:p>
    <w:p w:rsidR="001763E4" w:rsidRPr="00AD311F" w:rsidRDefault="001763E4" w:rsidP="001763E4">
      <w:pPr>
        <w:ind w:left="851"/>
        <w:rPr>
          <w:sz w:val="20"/>
        </w:rPr>
      </w:pPr>
      <w:r w:rsidRPr="00AD311F">
        <w:rPr>
          <w:sz w:val="20"/>
          <w:vertAlign w:val="superscript"/>
        </w:rPr>
        <w:t>a</w:t>
      </w:r>
      <w:r w:rsidRPr="00AD311F">
        <w:rPr>
          <w:sz w:val="20"/>
        </w:rPr>
        <w:t xml:space="preserve"> Beregnet i ml/min/1,73 m</w:t>
      </w:r>
      <w:r w:rsidRPr="00AD311F">
        <w:rPr>
          <w:sz w:val="20"/>
          <w:vertAlign w:val="superscript"/>
        </w:rPr>
        <w:t>2</w:t>
      </w:r>
      <w:r w:rsidRPr="00AD311F">
        <w:rPr>
          <w:sz w:val="20"/>
        </w:rPr>
        <w:t xml:space="preserve"> ved hjælp af Schwartz’ formel for pædiatriske patienter. CL</w:t>
      </w:r>
      <w:r w:rsidRPr="00AD311F">
        <w:rPr>
          <w:sz w:val="20"/>
          <w:vertAlign w:val="subscript"/>
        </w:rPr>
        <w:t>CR</w:t>
      </w:r>
      <w:r w:rsidRPr="00AD311F">
        <w:rPr>
          <w:sz w:val="20"/>
        </w:rPr>
        <w:t xml:space="preserve"> skal overvåges nøje og dosis justeres i henhold til ændringerne af nyrefunktionen.</w:t>
      </w:r>
    </w:p>
    <w:p w:rsidR="0040737C" w:rsidRDefault="0040737C" w:rsidP="0040737C">
      <w:pPr>
        <w:ind w:left="851"/>
        <w:rPr>
          <w:sz w:val="20"/>
        </w:rPr>
      </w:pPr>
      <w:r>
        <w:rPr>
          <w:sz w:val="20"/>
          <w:vertAlign w:val="superscript"/>
        </w:rPr>
        <w:t>b</w:t>
      </w:r>
      <w:r>
        <w:rPr>
          <w:sz w:val="20"/>
        </w:rPr>
        <w:t xml:space="preserve"> </w:t>
      </w:r>
      <w:proofErr w:type="spellStart"/>
      <w:r>
        <w:rPr>
          <w:sz w:val="20"/>
        </w:rPr>
        <w:t>Ceftobiprolmedocarilnatrium</w:t>
      </w:r>
      <w:proofErr w:type="spellEnd"/>
      <w:r>
        <w:rPr>
          <w:sz w:val="20"/>
        </w:rPr>
        <w:t xml:space="preserve"> kan </w:t>
      </w:r>
      <w:proofErr w:type="spellStart"/>
      <w:r>
        <w:rPr>
          <w:sz w:val="20"/>
        </w:rPr>
        <w:t>hæmodialyseres</w:t>
      </w:r>
      <w:proofErr w:type="spellEnd"/>
      <w:r>
        <w:rPr>
          <w:sz w:val="20"/>
        </w:rPr>
        <w:t xml:space="preserve">; derfor skal </w:t>
      </w:r>
      <w:proofErr w:type="spellStart"/>
      <w:r>
        <w:rPr>
          <w:sz w:val="20"/>
        </w:rPr>
        <w:t>ceftobiprol</w:t>
      </w:r>
      <w:proofErr w:type="spellEnd"/>
      <w:r>
        <w:rPr>
          <w:sz w:val="20"/>
        </w:rPr>
        <w:t xml:space="preserve"> administreres efter hæmodialyse på dage med hæmodialyse.</w:t>
      </w:r>
    </w:p>
    <w:p w:rsidR="001763E4" w:rsidRPr="00AD311F" w:rsidRDefault="001763E4" w:rsidP="0040737C">
      <w:pPr>
        <w:ind w:left="851"/>
        <w:rPr>
          <w:sz w:val="20"/>
        </w:rPr>
      </w:pPr>
      <w:r w:rsidRPr="00AD311F">
        <w:rPr>
          <w:sz w:val="20"/>
        </w:rPr>
        <w:t>c Op til en maksimal dosis på 250 mg.</w:t>
      </w:r>
    </w:p>
    <w:p w:rsidR="001763E4" w:rsidRDefault="001763E4" w:rsidP="001763E4">
      <w:pPr>
        <w:ind w:left="851"/>
        <w:rPr>
          <w:sz w:val="20"/>
        </w:rPr>
      </w:pPr>
      <w:r w:rsidRPr="00AD311F">
        <w:rPr>
          <w:sz w:val="20"/>
        </w:rPr>
        <w:t>d Se pkt. 6.6.</w:t>
      </w:r>
    </w:p>
    <w:p w:rsidR="0040737C" w:rsidRPr="00AD311F" w:rsidRDefault="0040737C" w:rsidP="001763E4">
      <w:pPr>
        <w:ind w:left="851"/>
        <w:rPr>
          <w:sz w:val="20"/>
        </w:rPr>
      </w:pPr>
    </w:p>
    <w:p w:rsidR="0040737C" w:rsidRDefault="0040737C" w:rsidP="0040737C">
      <w:pPr>
        <w:ind w:left="851"/>
        <w:rPr>
          <w:sz w:val="24"/>
          <w:szCs w:val="24"/>
        </w:rPr>
      </w:pPr>
      <w:r>
        <w:rPr>
          <w:sz w:val="24"/>
          <w:szCs w:val="24"/>
        </w:rPr>
        <w:t xml:space="preserve">Dosisanbefalinger for pædiatriske patienter er baseret på </w:t>
      </w:r>
      <w:proofErr w:type="spellStart"/>
      <w:r>
        <w:rPr>
          <w:sz w:val="24"/>
          <w:szCs w:val="24"/>
        </w:rPr>
        <w:t>farmakokinetisk</w:t>
      </w:r>
      <w:proofErr w:type="spellEnd"/>
      <w:r>
        <w:rPr>
          <w:sz w:val="24"/>
          <w:szCs w:val="24"/>
        </w:rPr>
        <w:t xml:space="preserve"> modellering.</w:t>
      </w:r>
    </w:p>
    <w:p w:rsidR="0040737C" w:rsidRDefault="0040737C" w:rsidP="0040737C">
      <w:pPr>
        <w:ind w:left="851"/>
        <w:rPr>
          <w:sz w:val="24"/>
          <w:szCs w:val="24"/>
        </w:rPr>
      </w:pPr>
    </w:p>
    <w:p w:rsidR="001763E4" w:rsidRDefault="0040737C" w:rsidP="0040737C">
      <w:pPr>
        <w:ind w:left="851"/>
        <w:rPr>
          <w:sz w:val="24"/>
          <w:szCs w:val="24"/>
        </w:rPr>
      </w:pPr>
      <w:r>
        <w:rPr>
          <w:sz w:val="24"/>
          <w:szCs w:val="24"/>
        </w:rPr>
        <w:t xml:space="preserve">Da der er begrænsede kliniske data og en forventet øget eksponering for </w:t>
      </w:r>
      <w:proofErr w:type="spellStart"/>
      <w:r>
        <w:rPr>
          <w:sz w:val="24"/>
          <w:szCs w:val="24"/>
        </w:rPr>
        <w:t>ceftobiprol</w:t>
      </w:r>
      <w:proofErr w:type="spellEnd"/>
      <w:r>
        <w:rPr>
          <w:sz w:val="24"/>
          <w:szCs w:val="24"/>
        </w:rPr>
        <w:t xml:space="preserve"> og dets metabolit, skal der udvises forsigtighed ved anvendelse af </w:t>
      </w:r>
      <w:proofErr w:type="spellStart"/>
      <w:r>
        <w:rPr>
          <w:sz w:val="24"/>
          <w:szCs w:val="24"/>
        </w:rPr>
        <w:t>ceftobiprol</w:t>
      </w:r>
      <w:proofErr w:type="spellEnd"/>
      <w:r>
        <w:rPr>
          <w:sz w:val="24"/>
          <w:szCs w:val="24"/>
        </w:rPr>
        <w:t xml:space="preserve"> til patienter med svært nedsat nyrefunktion (se pkt. 5.2).</w:t>
      </w:r>
    </w:p>
    <w:p w:rsidR="0040737C" w:rsidRPr="00AD311F" w:rsidRDefault="0040737C" w:rsidP="0040737C">
      <w:pPr>
        <w:ind w:left="851"/>
        <w:rPr>
          <w:i/>
          <w:iCs/>
          <w:sz w:val="24"/>
          <w:szCs w:val="24"/>
        </w:rPr>
      </w:pPr>
    </w:p>
    <w:p w:rsidR="001763E4" w:rsidRPr="00AD311F" w:rsidRDefault="001763E4" w:rsidP="001763E4">
      <w:pPr>
        <w:ind w:left="851" w:hanging="851"/>
        <w:rPr>
          <w:i/>
          <w:iCs/>
          <w:sz w:val="24"/>
          <w:szCs w:val="24"/>
        </w:rPr>
      </w:pPr>
      <w:r w:rsidRPr="00AD311F">
        <w:rPr>
          <w:i/>
          <w:iCs/>
          <w:sz w:val="24"/>
          <w:szCs w:val="24"/>
        </w:rPr>
        <w:tab/>
        <w:t xml:space="preserve">Patienter med </w:t>
      </w:r>
      <w:proofErr w:type="spellStart"/>
      <w:r w:rsidRPr="00AD311F">
        <w:rPr>
          <w:i/>
          <w:iCs/>
          <w:sz w:val="24"/>
          <w:szCs w:val="24"/>
        </w:rPr>
        <w:t>kreatininclearance</w:t>
      </w:r>
      <w:proofErr w:type="spellEnd"/>
      <w:r w:rsidRPr="00AD311F">
        <w:rPr>
          <w:i/>
          <w:iCs/>
          <w:sz w:val="24"/>
          <w:szCs w:val="24"/>
        </w:rPr>
        <w:t xml:space="preserve"> &gt; 150 ml/min</w:t>
      </w:r>
    </w:p>
    <w:p w:rsidR="001763E4" w:rsidRPr="00AD311F" w:rsidRDefault="001763E4" w:rsidP="001763E4">
      <w:pPr>
        <w:ind w:left="851" w:hanging="851"/>
        <w:rPr>
          <w:i/>
          <w:sz w:val="24"/>
          <w:szCs w:val="24"/>
        </w:rPr>
      </w:pPr>
      <w:r w:rsidRPr="00AD311F">
        <w:rPr>
          <w:sz w:val="24"/>
          <w:szCs w:val="24"/>
        </w:rPr>
        <w:tab/>
        <w:t xml:space="preserve">Ved start af behandling skal den ordinerende læge vurdere patientens nyrefunktion baseret på </w:t>
      </w:r>
      <w:proofErr w:type="spellStart"/>
      <w:r w:rsidRPr="00AD311F">
        <w:rPr>
          <w:sz w:val="24"/>
          <w:szCs w:val="24"/>
        </w:rPr>
        <w:t>kreatininclearance</w:t>
      </w:r>
      <w:proofErr w:type="spellEnd"/>
      <w:r w:rsidRPr="00AD311F">
        <w:rPr>
          <w:sz w:val="24"/>
          <w:szCs w:val="24"/>
        </w:rPr>
        <w:t xml:space="preserve"> udtrykt i ml/minut.</w:t>
      </w:r>
    </w:p>
    <w:p w:rsidR="001763E4" w:rsidRPr="00AD311F" w:rsidRDefault="001763E4" w:rsidP="001763E4">
      <w:pPr>
        <w:ind w:left="851" w:hanging="851"/>
        <w:rPr>
          <w:sz w:val="24"/>
          <w:szCs w:val="24"/>
        </w:rPr>
      </w:pPr>
    </w:p>
    <w:p w:rsidR="001763E4" w:rsidRPr="00AD311F" w:rsidRDefault="001763E4" w:rsidP="001763E4">
      <w:pPr>
        <w:ind w:left="851" w:hanging="851"/>
        <w:rPr>
          <w:sz w:val="24"/>
          <w:szCs w:val="24"/>
        </w:rPr>
      </w:pPr>
      <w:r w:rsidRPr="00AD311F">
        <w:rPr>
          <w:sz w:val="24"/>
          <w:szCs w:val="24"/>
        </w:rPr>
        <w:tab/>
        <w:t xml:space="preserve">Hos patienter med en supranormal </w:t>
      </w:r>
      <w:proofErr w:type="spellStart"/>
      <w:r w:rsidRPr="00AD311F">
        <w:rPr>
          <w:sz w:val="24"/>
          <w:szCs w:val="24"/>
        </w:rPr>
        <w:t>kreatininclearance</w:t>
      </w:r>
      <w:proofErr w:type="spellEnd"/>
      <w:r w:rsidRPr="00AD311F">
        <w:rPr>
          <w:sz w:val="24"/>
          <w:szCs w:val="24"/>
        </w:rPr>
        <w:t xml:space="preserve"> (&gt; 150 ml/min) anbefales en forlængelse af infusionsvarigheden til 4 timer, på baggrund af </w:t>
      </w:r>
      <w:proofErr w:type="spellStart"/>
      <w:r w:rsidRPr="00AD311F">
        <w:rPr>
          <w:sz w:val="24"/>
          <w:szCs w:val="24"/>
        </w:rPr>
        <w:t>farmakokinetiske</w:t>
      </w:r>
      <w:proofErr w:type="spellEnd"/>
      <w:r w:rsidRPr="00AD311F">
        <w:rPr>
          <w:sz w:val="24"/>
          <w:szCs w:val="24"/>
        </w:rPr>
        <w:t>/</w:t>
      </w:r>
      <w:proofErr w:type="spellStart"/>
      <w:r w:rsidRPr="00AD311F">
        <w:rPr>
          <w:sz w:val="24"/>
          <w:szCs w:val="24"/>
        </w:rPr>
        <w:t>farmako</w:t>
      </w:r>
      <w:r w:rsidRPr="00AD311F">
        <w:rPr>
          <w:sz w:val="24"/>
          <w:szCs w:val="24"/>
        </w:rPr>
        <w:softHyphen/>
        <w:t>dynamiske</w:t>
      </w:r>
      <w:proofErr w:type="spellEnd"/>
      <w:r w:rsidRPr="00AD311F">
        <w:rPr>
          <w:sz w:val="24"/>
          <w:szCs w:val="24"/>
        </w:rPr>
        <w:t xml:space="preserve"> overvejelser (se pkt. 5.2).</w:t>
      </w:r>
    </w:p>
    <w:p w:rsidR="001763E4" w:rsidRPr="00AD311F" w:rsidRDefault="001763E4" w:rsidP="001763E4">
      <w:pPr>
        <w:ind w:left="851" w:hanging="851"/>
        <w:rPr>
          <w:sz w:val="24"/>
          <w:szCs w:val="24"/>
        </w:rPr>
      </w:pPr>
    </w:p>
    <w:p w:rsidR="001763E4" w:rsidRPr="00AD311F" w:rsidRDefault="001763E4" w:rsidP="001763E4">
      <w:pPr>
        <w:ind w:left="851" w:hanging="851"/>
        <w:rPr>
          <w:i/>
          <w:iCs/>
          <w:sz w:val="24"/>
          <w:szCs w:val="24"/>
        </w:rPr>
      </w:pPr>
      <w:r w:rsidRPr="00AD311F">
        <w:rPr>
          <w:i/>
          <w:iCs/>
          <w:sz w:val="24"/>
          <w:szCs w:val="24"/>
        </w:rPr>
        <w:tab/>
        <w:t>Nedsat leverfunktion</w:t>
      </w:r>
    </w:p>
    <w:p w:rsidR="0040737C" w:rsidRDefault="001763E4" w:rsidP="0040737C">
      <w:pPr>
        <w:ind w:left="851" w:hanging="851"/>
        <w:rPr>
          <w:i/>
          <w:iCs/>
          <w:sz w:val="24"/>
          <w:szCs w:val="24"/>
        </w:rPr>
      </w:pPr>
      <w:r w:rsidRPr="00AD311F">
        <w:rPr>
          <w:sz w:val="24"/>
          <w:szCs w:val="24"/>
        </w:rPr>
        <w:tab/>
        <w:t xml:space="preserve">Der </w:t>
      </w:r>
      <w:bookmarkStart w:id="10" w:name="OLE_LINK4"/>
      <w:r w:rsidR="0040737C">
        <w:rPr>
          <w:sz w:val="24"/>
          <w:szCs w:val="24"/>
        </w:rPr>
        <w:t xml:space="preserve">er </w:t>
      </w:r>
      <w:r w:rsidR="0040737C">
        <w:rPr>
          <w:sz w:val="24"/>
          <w:szCs w:val="24"/>
        </w:rPr>
        <w:t xml:space="preserve">begrænset erfaring med patienter med nedsat leverfunktion. Da </w:t>
      </w:r>
      <w:proofErr w:type="spellStart"/>
      <w:r w:rsidR="0040737C">
        <w:rPr>
          <w:sz w:val="24"/>
          <w:szCs w:val="24"/>
        </w:rPr>
        <w:t>ceftobiprol</w:t>
      </w:r>
      <w:proofErr w:type="spellEnd"/>
      <w:r w:rsidR="0040737C">
        <w:rPr>
          <w:sz w:val="24"/>
          <w:szCs w:val="24"/>
        </w:rPr>
        <w:t xml:space="preserve"> omsættes minimalt af leveren og hovedsageligt elimineres af nyrerne, betragtes det ikke som nødvendigt at justere dosen hos patienter med nedsat leverfunktion. </w:t>
      </w:r>
    </w:p>
    <w:p w:rsidR="001763E4" w:rsidRPr="00AD311F" w:rsidRDefault="001763E4" w:rsidP="001763E4">
      <w:pPr>
        <w:ind w:left="851" w:hanging="851"/>
        <w:rPr>
          <w:i/>
          <w:iCs/>
          <w:sz w:val="24"/>
          <w:szCs w:val="24"/>
        </w:rPr>
      </w:pPr>
    </w:p>
    <w:p w:rsidR="001763E4" w:rsidRPr="00AD311F" w:rsidRDefault="001763E4" w:rsidP="001763E4">
      <w:pPr>
        <w:ind w:left="851"/>
        <w:rPr>
          <w:sz w:val="24"/>
          <w:szCs w:val="24"/>
          <w:u w:val="single"/>
        </w:rPr>
      </w:pPr>
      <w:r w:rsidRPr="00AD311F">
        <w:rPr>
          <w:sz w:val="24"/>
          <w:szCs w:val="24"/>
          <w:u w:val="single"/>
        </w:rPr>
        <w:t>Administration</w:t>
      </w:r>
    </w:p>
    <w:bookmarkEnd w:id="10"/>
    <w:p w:rsidR="0040737C" w:rsidRDefault="0040737C" w:rsidP="0040737C">
      <w:pPr>
        <w:ind w:left="851"/>
        <w:rPr>
          <w:sz w:val="24"/>
          <w:szCs w:val="24"/>
        </w:rPr>
      </w:pPr>
      <w:proofErr w:type="spellStart"/>
      <w:r>
        <w:rPr>
          <w:sz w:val="24"/>
          <w:szCs w:val="24"/>
        </w:rPr>
        <w:t>Zevtera</w:t>
      </w:r>
      <w:proofErr w:type="spellEnd"/>
      <w:r>
        <w:rPr>
          <w:sz w:val="24"/>
          <w:szCs w:val="24"/>
        </w:rPr>
        <w:t xml:space="preserve"> skal </w:t>
      </w:r>
      <w:proofErr w:type="spellStart"/>
      <w:r>
        <w:rPr>
          <w:sz w:val="24"/>
          <w:szCs w:val="24"/>
        </w:rPr>
        <w:t>rekonstitueres</w:t>
      </w:r>
      <w:proofErr w:type="spellEnd"/>
      <w:r>
        <w:rPr>
          <w:sz w:val="24"/>
          <w:szCs w:val="24"/>
        </w:rPr>
        <w:t xml:space="preserve"> og derefter fortyndes yderligere (se pkt. 6.6) inden indgivelse via intravenøs infusion over en periode på 2 timer. For instruktioner om </w:t>
      </w:r>
      <w:proofErr w:type="spellStart"/>
      <w:r>
        <w:rPr>
          <w:sz w:val="24"/>
          <w:szCs w:val="24"/>
        </w:rPr>
        <w:t>rekonstitution</w:t>
      </w:r>
      <w:proofErr w:type="spellEnd"/>
      <w:r>
        <w:rPr>
          <w:sz w:val="24"/>
          <w:szCs w:val="24"/>
        </w:rPr>
        <w:t xml:space="preserve"> og fortynding af lægemidlet før administration, se pkt. 6.6.</w:t>
      </w:r>
    </w:p>
    <w:p w:rsidR="0040737C" w:rsidRDefault="0040737C" w:rsidP="0040737C">
      <w:pPr>
        <w:ind w:left="851"/>
        <w:rPr>
          <w:sz w:val="24"/>
          <w:szCs w:val="24"/>
        </w:rPr>
      </w:pPr>
    </w:p>
    <w:p w:rsidR="0040737C" w:rsidRPr="0040737C" w:rsidRDefault="0040737C" w:rsidP="0040737C">
      <w:pPr>
        <w:ind w:left="851"/>
        <w:rPr>
          <w:sz w:val="24"/>
          <w:szCs w:val="24"/>
        </w:rPr>
      </w:pPr>
      <w:r w:rsidRPr="0040737C">
        <w:rPr>
          <w:sz w:val="24"/>
          <w:szCs w:val="24"/>
        </w:rPr>
        <w:t xml:space="preserve">Til voksne og pædiatriske patienter i alderen ≥ 12 år er </w:t>
      </w:r>
      <w:proofErr w:type="spellStart"/>
      <w:r w:rsidRPr="0040737C">
        <w:rPr>
          <w:sz w:val="24"/>
          <w:szCs w:val="24"/>
        </w:rPr>
        <w:t>ceftobiprolkoncentrationen</w:t>
      </w:r>
      <w:proofErr w:type="spellEnd"/>
      <w:r w:rsidRPr="0040737C">
        <w:rPr>
          <w:sz w:val="24"/>
          <w:szCs w:val="24"/>
        </w:rPr>
        <w:t xml:space="preserve"> i infusionsopløsningen 2 mg/ml. For at begrænse infusionsvolumen til pædiatriske patienter &lt; 12 år er </w:t>
      </w:r>
      <w:proofErr w:type="spellStart"/>
      <w:r w:rsidRPr="0040737C">
        <w:rPr>
          <w:sz w:val="24"/>
          <w:szCs w:val="24"/>
        </w:rPr>
        <w:t>ceftobiprolkoncentrationen</w:t>
      </w:r>
      <w:proofErr w:type="spellEnd"/>
      <w:r w:rsidRPr="0040737C">
        <w:rPr>
          <w:sz w:val="24"/>
          <w:szCs w:val="24"/>
        </w:rPr>
        <w:t xml:space="preserve"> i infusionsopløsningen til disse patienter 4 mg/ml.</w:t>
      </w:r>
    </w:p>
    <w:p w:rsidR="0040737C" w:rsidRDefault="0040737C" w:rsidP="0040737C">
      <w:pPr>
        <w:ind w:left="851"/>
        <w:rPr>
          <w:sz w:val="24"/>
          <w:szCs w:val="24"/>
        </w:rPr>
      </w:pPr>
    </w:p>
    <w:p w:rsidR="001763E4" w:rsidRPr="00AD311F" w:rsidRDefault="001763E4" w:rsidP="001763E4">
      <w:pPr>
        <w:ind w:left="851"/>
        <w:rPr>
          <w:sz w:val="24"/>
          <w:szCs w:val="24"/>
        </w:rPr>
      </w:pPr>
    </w:p>
    <w:p w:rsidR="001763E4" w:rsidRPr="00AD311F" w:rsidRDefault="001763E4" w:rsidP="001763E4">
      <w:pPr>
        <w:ind w:left="851"/>
        <w:rPr>
          <w:sz w:val="24"/>
          <w:szCs w:val="24"/>
        </w:rPr>
      </w:pPr>
      <w:r w:rsidRPr="00AD311F">
        <w:rPr>
          <w:sz w:val="24"/>
          <w:szCs w:val="24"/>
        </w:rPr>
        <w:t xml:space="preserve">Der kan forekomme bundfældning, når </w:t>
      </w:r>
      <w:proofErr w:type="spellStart"/>
      <w:r w:rsidRPr="00AD311F">
        <w:rPr>
          <w:sz w:val="24"/>
          <w:szCs w:val="24"/>
        </w:rPr>
        <w:t>Zevtera</w:t>
      </w:r>
      <w:proofErr w:type="spellEnd"/>
      <w:r w:rsidRPr="00AD311F">
        <w:rPr>
          <w:sz w:val="24"/>
          <w:szCs w:val="24"/>
        </w:rPr>
        <w:t xml:space="preserve"> blandes med opløsninger indeholdende calcium i samme intravenøse dropslange. </w:t>
      </w:r>
      <w:proofErr w:type="spellStart"/>
      <w:r w:rsidRPr="00AD311F">
        <w:rPr>
          <w:sz w:val="24"/>
          <w:szCs w:val="24"/>
        </w:rPr>
        <w:t>Zevtera</w:t>
      </w:r>
      <w:proofErr w:type="spellEnd"/>
      <w:r w:rsidRPr="00AD311F">
        <w:rPr>
          <w:sz w:val="24"/>
          <w:szCs w:val="24"/>
        </w:rPr>
        <w:t xml:space="preserve"> og opløsninger indeholdende calcium, </w:t>
      </w:r>
      <w:r w:rsidRPr="00AD311F">
        <w:rPr>
          <w:bCs/>
          <w:sz w:val="24"/>
          <w:szCs w:val="24"/>
        </w:rPr>
        <w:t>med undtagelse af Ringers laktat-injektionsvæske,</w:t>
      </w:r>
      <w:r w:rsidRPr="00AD311F">
        <w:rPr>
          <w:sz w:val="24"/>
          <w:szCs w:val="24"/>
        </w:rPr>
        <w:t xml:space="preserve"> må ikke blandes eller indgives samtidigt i samme intravenøse dropslange (se pkt. 4.4, 6.2).</w:t>
      </w:r>
    </w:p>
    <w:p w:rsidR="00E92CCD" w:rsidRPr="00553FC4" w:rsidRDefault="00E92CCD" w:rsidP="001763E4">
      <w:pPr>
        <w:ind w:left="851" w:hanging="851"/>
        <w:rPr>
          <w:sz w:val="24"/>
          <w:szCs w:val="24"/>
        </w:rPr>
      </w:pPr>
    </w:p>
    <w:p w:rsidR="00E92CCD" w:rsidRPr="00553FC4" w:rsidRDefault="00E92CCD" w:rsidP="00E92CCD">
      <w:pPr>
        <w:ind w:left="851" w:hanging="851"/>
        <w:rPr>
          <w:b/>
          <w:sz w:val="24"/>
          <w:szCs w:val="24"/>
        </w:rPr>
      </w:pPr>
      <w:r w:rsidRPr="00553FC4">
        <w:rPr>
          <w:b/>
          <w:sz w:val="24"/>
          <w:szCs w:val="24"/>
        </w:rPr>
        <w:t>4.3</w:t>
      </w:r>
      <w:r w:rsidRPr="00553FC4">
        <w:rPr>
          <w:b/>
          <w:sz w:val="24"/>
          <w:szCs w:val="24"/>
        </w:rPr>
        <w:tab/>
        <w:t>Kontraindikationer</w:t>
      </w:r>
    </w:p>
    <w:p w:rsidR="00E92CCD" w:rsidRDefault="00E92CCD" w:rsidP="00E92CCD">
      <w:pPr>
        <w:ind w:left="851" w:hanging="851"/>
        <w:rPr>
          <w:sz w:val="24"/>
          <w:szCs w:val="24"/>
        </w:rPr>
      </w:pPr>
      <w:r>
        <w:rPr>
          <w:sz w:val="24"/>
          <w:szCs w:val="24"/>
        </w:rPr>
        <w:tab/>
      </w:r>
      <w:r w:rsidRPr="00553FC4">
        <w:rPr>
          <w:sz w:val="24"/>
          <w:szCs w:val="24"/>
        </w:rPr>
        <w:t xml:space="preserve">Overfølsomhed over for det (de) aktive stof(fer) eller over for et eller flere af hjælpestofferne anført i pkt. 6.1. </w:t>
      </w:r>
    </w:p>
    <w:p w:rsidR="0040737C" w:rsidRPr="00553FC4" w:rsidRDefault="0040737C" w:rsidP="00E92CCD">
      <w:pPr>
        <w:ind w:left="851" w:hanging="851"/>
        <w:rPr>
          <w:sz w:val="24"/>
          <w:szCs w:val="24"/>
        </w:rPr>
      </w:pPr>
    </w:p>
    <w:p w:rsidR="00E92CCD" w:rsidRDefault="00E92CCD" w:rsidP="00E92CCD">
      <w:pPr>
        <w:ind w:left="851" w:hanging="851"/>
        <w:rPr>
          <w:sz w:val="24"/>
          <w:szCs w:val="24"/>
        </w:rPr>
      </w:pPr>
      <w:r>
        <w:rPr>
          <w:sz w:val="24"/>
          <w:szCs w:val="24"/>
        </w:rPr>
        <w:tab/>
      </w:r>
      <w:r w:rsidRPr="00553FC4">
        <w:rPr>
          <w:sz w:val="24"/>
          <w:szCs w:val="24"/>
        </w:rPr>
        <w:t xml:space="preserve">Overfølsomhed over for klassen af </w:t>
      </w:r>
      <w:proofErr w:type="spellStart"/>
      <w:r w:rsidRPr="00553FC4">
        <w:rPr>
          <w:sz w:val="24"/>
          <w:szCs w:val="24"/>
        </w:rPr>
        <w:t>cefalosporin</w:t>
      </w:r>
      <w:proofErr w:type="spellEnd"/>
      <w:r w:rsidRPr="00553FC4">
        <w:rPr>
          <w:sz w:val="24"/>
          <w:szCs w:val="24"/>
        </w:rPr>
        <w:t xml:space="preserve"> antibakterielle midler.</w:t>
      </w:r>
    </w:p>
    <w:p w:rsidR="0040737C" w:rsidRPr="00553FC4" w:rsidRDefault="0040737C" w:rsidP="00E92CCD">
      <w:pPr>
        <w:ind w:left="851" w:hanging="851"/>
        <w:rPr>
          <w:sz w:val="24"/>
          <w:szCs w:val="24"/>
        </w:rPr>
      </w:pPr>
    </w:p>
    <w:p w:rsidR="00E92CCD" w:rsidRPr="00553FC4" w:rsidRDefault="00E92CCD" w:rsidP="00E92CCD">
      <w:pPr>
        <w:ind w:left="851" w:hanging="851"/>
        <w:rPr>
          <w:sz w:val="24"/>
          <w:szCs w:val="24"/>
        </w:rPr>
      </w:pPr>
      <w:r>
        <w:rPr>
          <w:sz w:val="24"/>
          <w:szCs w:val="24"/>
        </w:rPr>
        <w:tab/>
      </w:r>
      <w:r w:rsidRPr="00553FC4">
        <w:rPr>
          <w:sz w:val="24"/>
          <w:szCs w:val="24"/>
        </w:rPr>
        <w:t xml:space="preserve">Øjeblikkelig og alvorlig overfølsomhed (f.eks. </w:t>
      </w:r>
      <w:proofErr w:type="spellStart"/>
      <w:r w:rsidRPr="00553FC4">
        <w:rPr>
          <w:sz w:val="24"/>
          <w:szCs w:val="24"/>
        </w:rPr>
        <w:t>anafylaksisk</w:t>
      </w:r>
      <w:proofErr w:type="spellEnd"/>
      <w:r w:rsidRPr="00553FC4">
        <w:rPr>
          <w:sz w:val="24"/>
          <w:szCs w:val="24"/>
        </w:rPr>
        <w:t xml:space="preserve"> reaktion) over for nogen anden type </w:t>
      </w:r>
      <w:proofErr w:type="spellStart"/>
      <w:r w:rsidRPr="00553FC4">
        <w:rPr>
          <w:sz w:val="24"/>
          <w:szCs w:val="24"/>
        </w:rPr>
        <w:t>betalaktam</w:t>
      </w:r>
      <w:proofErr w:type="spellEnd"/>
      <w:r w:rsidRPr="00553FC4">
        <w:rPr>
          <w:sz w:val="24"/>
          <w:szCs w:val="24"/>
        </w:rPr>
        <w:t xml:space="preserve"> antibakterielt middel (f.eks. penicillin eller </w:t>
      </w:r>
      <w:proofErr w:type="spellStart"/>
      <w:r w:rsidRPr="00553FC4">
        <w:rPr>
          <w:sz w:val="24"/>
          <w:szCs w:val="24"/>
        </w:rPr>
        <w:t>carbapenemer</w:t>
      </w:r>
      <w:proofErr w:type="spellEnd"/>
      <w:r w:rsidRPr="00553FC4">
        <w:rPr>
          <w:sz w:val="24"/>
          <w:szCs w:val="24"/>
        </w:rPr>
        <w:t>).</w:t>
      </w:r>
    </w:p>
    <w:p w:rsidR="00E92CCD" w:rsidRPr="00553FC4" w:rsidRDefault="00E92CCD" w:rsidP="00E92CCD">
      <w:pPr>
        <w:ind w:left="851" w:hanging="851"/>
        <w:rPr>
          <w:sz w:val="24"/>
          <w:szCs w:val="24"/>
        </w:rPr>
      </w:pPr>
    </w:p>
    <w:p w:rsidR="00E92CCD" w:rsidRDefault="00E92CCD" w:rsidP="00E92CCD">
      <w:pPr>
        <w:ind w:left="851" w:hanging="851"/>
        <w:rPr>
          <w:b/>
          <w:sz w:val="24"/>
          <w:szCs w:val="24"/>
        </w:rPr>
      </w:pPr>
      <w:r w:rsidRPr="00553FC4">
        <w:rPr>
          <w:b/>
          <w:sz w:val="24"/>
          <w:szCs w:val="24"/>
        </w:rPr>
        <w:t>4.4</w:t>
      </w:r>
      <w:r w:rsidRPr="00553FC4">
        <w:rPr>
          <w:b/>
          <w:sz w:val="24"/>
          <w:szCs w:val="24"/>
        </w:rPr>
        <w:tab/>
        <w:t>Særlige advarsler og forsigtighedsregler vedrørende brugen</w:t>
      </w:r>
    </w:p>
    <w:p w:rsidR="0040737C" w:rsidRPr="00553FC4" w:rsidRDefault="0040737C" w:rsidP="00E92CCD">
      <w:pPr>
        <w:ind w:left="851" w:hanging="851"/>
        <w:rPr>
          <w:b/>
          <w:sz w:val="24"/>
          <w:szCs w:val="24"/>
        </w:rPr>
      </w:pPr>
    </w:p>
    <w:p w:rsidR="00E92CCD" w:rsidRPr="00553FC4" w:rsidRDefault="00E92CCD" w:rsidP="00E92CCD">
      <w:pPr>
        <w:ind w:left="851" w:hanging="851"/>
        <w:rPr>
          <w:sz w:val="24"/>
          <w:szCs w:val="24"/>
          <w:u w:val="single"/>
        </w:rPr>
      </w:pPr>
      <w:r w:rsidRPr="00553FC4">
        <w:rPr>
          <w:sz w:val="24"/>
          <w:szCs w:val="24"/>
        </w:rPr>
        <w:tab/>
      </w:r>
      <w:r w:rsidRPr="00553FC4">
        <w:rPr>
          <w:sz w:val="24"/>
          <w:szCs w:val="24"/>
          <w:u w:val="single"/>
        </w:rPr>
        <w:t>Overfølsomhedsreaktioner</w:t>
      </w:r>
    </w:p>
    <w:p w:rsidR="0040737C" w:rsidRDefault="00E92CCD" w:rsidP="0040737C">
      <w:pPr>
        <w:ind w:left="851" w:hanging="851"/>
        <w:rPr>
          <w:sz w:val="24"/>
          <w:szCs w:val="24"/>
        </w:rPr>
      </w:pPr>
      <w:r>
        <w:rPr>
          <w:sz w:val="24"/>
          <w:szCs w:val="24"/>
        </w:rPr>
        <w:tab/>
      </w:r>
      <w:r w:rsidRPr="00553FC4">
        <w:rPr>
          <w:sz w:val="24"/>
          <w:szCs w:val="24"/>
        </w:rPr>
        <w:t>Der er blevet rapporteret alvorlige og lejlighedsvise overfølsomhedsreaktioner (</w:t>
      </w:r>
      <w:proofErr w:type="spellStart"/>
      <w:r w:rsidRPr="00553FC4">
        <w:rPr>
          <w:sz w:val="24"/>
          <w:szCs w:val="24"/>
        </w:rPr>
        <w:t>anafylaktiske</w:t>
      </w:r>
      <w:proofErr w:type="spellEnd"/>
      <w:r w:rsidRPr="00553FC4">
        <w:rPr>
          <w:sz w:val="24"/>
          <w:szCs w:val="24"/>
        </w:rPr>
        <w:t xml:space="preserve"> reaktioner) med alle </w:t>
      </w:r>
      <w:proofErr w:type="spellStart"/>
      <w:r w:rsidRPr="00553FC4">
        <w:rPr>
          <w:sz w:val="24"/>
          <w:szCs w:val="24"/>
        </w:rPr>
        <w:t>betalaktam</w:t>
      </w:r>
      <w:proofErr w:type="spellEnd"/>
      <w:r w:rsidRPr="00553FC4">
        <w:rPr>
          <w:sz w:val="24"/>
          <w:szCs w:val="24"/>
        </w:rPr>
        <w:t xml:space="preserve"> antibakterielle midler</w:t>
      </w:r>
      <w:r w:rsidR="0040737C">
        <w:rPr>
          <w:sz w:val="24"/>
          <w:szCs w:val="24"/>
        </w:rPr>
        <w:t xml:space="preserve">. I tilfælde af alvorlige overfølsomhedsreaktioner skal behandling med </w:t>
      </w:r>
      <w:proofErr w:type="spellStart"/>
      <w:r w:rsidR="0040737C">
        <w:rPr>
          <w:sz w:val="24"/>
          <w:szCs w:val="24"/>
        </w:rPr>
        <w:t>ceftobiprol</w:t>
      </w:r>
      <w:proofErr w:type="spellEnd"/>
      <w:r w:rsidR="0040737C">
        <w:rPr>
          <w:sz w:val="24"/>
          <w:szCs w:val="24"/>
        </w:rPr>
        <w:t xml:space="preserve"> straks seponeres, og passende nødhjælpsforanstaltninger indledes.</w:t>
      </w:r>
    </w:p>
    <w:p w:rsidR="00E92CCD" w:rsidRPr="00553FC4" w:rsidRDefault="00E92CCD" w:rsidP="0040737C">
      <w:pPr>
        <w:rPr>
          <w:sz w:val="24"/>
          <w:szCs w:val="24"/>
        </w:rPr>
      </w:pPr>
    </w:p>
    <w:p w:rsidR="00E92CCD" w:rsidRPr="00553FC4" w:rsidRDefault="00E92CCD" w:rsidP="00E92CCD">
      <w:pPr>
        <w:ind w:left="851" w:hanging="851"/>
        <w:rPr>
          <w:sz w:val="24"/>
          <w:szCs w:val="24"/>
        </w:rPr>
      </w:pPr>
      <w:r>
        <w:rPr>
          <w:sz w:val="24"/>
          <w:szCs w:val="24"/>
        </w:rPr>
        <w:tab/>
      </w:r>
      <w:r w:rsidR="00747193" w:rsidRPr="00747193">
        <w:rPr>
          <w:sz w:val="24"/>
          <w:szCs w:val="24"/>
        </w:rPr>
        <w:t xml:space="preserve">Før behandling påbegyndes, skal det fastslås, om patienten har en anamnese med alvorlige overfølsomhedsreaktioner over for </w:t>
      </w:r>
      <w:proofErr w:type="spellStart"/>
      <w:r w:rsidR="00747193" w:rsidRPr="00747193">
        <w:rPr>
          <w:sz w:val="24"/>
          <w:szCs w:val="24"/>
        </w:rPr>
        <w:t>ceftobiprol</w:t>
      </w:r>
      <w:proofErr w:type="spellEnd"/>
      <w:r w:rsidR="00747193" w:rsidRPr="00747193">
        <w:rPr>
          <w:sz w:val="24"/>
          <w:szCs w:val="24"/>
        </w:rPr>
        <w:t xml:space="preserve">, andre </w:t>
      </w:r>
      <w:proofErr w:type="spellStart"/>
      <w:r w:rsidR="00747193" w:rsidRPr="00747193">
        <w:rPr>
          <w:sz w:val="24"/>
          <w:szCs w:val="24"/>
        </w:rPr>
        <w:t>cefalosporin</w:t>
      </w:r>
      <w:proofErr w:type="spellEnd"/>
      <w:r w:rsidR="00747193" w:rsidRPr="00747193">
        <w:rPr>
          <w:sz w:val="24"/>
          <w:szCs w:val="24"/>
        </w:rPr>
        <w:t xml:space="preserve"> midler eller nogen anden type </w:t>
      </w:r>
      <w:proofErr w:type="spellStart"/>
      <w:r w:rsidR="00747193" w:rsidRPr="00747193">
        <w:rPr>
          <w:sz w:val="24"/>
          <w:szCs w:val="24"/>
        </w:rPr>
        <w:t>betalaktam</w:t>
      </w:r>
      <w:proofErr w:type="spellEnd"/>
      <w:r w:rsidR="00747193" w:rsidRPr="00747193">
        <w:rPr>
          <w:sz w:val="24"/>
          <w:szCs w:val="24"/>
        </w:rPr>
        <w:t xml:space="preserve"> middel. Der skal udvises forsigtighed, hvis </w:t>
      </w:r>
      <w:proofErr w:type="spellStart"/>
      <w:r w:rsidR="00747193" w:rsidRPr="00747193">
        <w:rPr>
          <w:sz w:val="24"/>
          <w:szCs w:val="24"/>
        </w:rPr>
        <w:t>ceftobiprol</w:t>
      </w:r>
      <w:proofErr w:type="spellEnd"/>
      <w:r w:rsidR="00747193" w:rsidRPr="00747193">
        <w:rPr>
          <w:sz w:val="24"/>
          <w:szCs w:val="24"/>
        </w:rPr>
        <w:t xml:space="preserve"> gives til patienter med en anamnese med ikke-alvorlig overfølsomhed over for andre </w:t>
      </w:r>
      <w:proofErr w:type="spellStart"/>
      <w:r w:rsidR="00747193" w:rsidRPr="00747193">
        <w:rPr>
          <w:sz w:val="24"/>
          <w:szCs w:val="24"/>
        </w:rPr>
        <w:t>betalaktam</w:t>
      </w:r>
      <w:proofErr w:type="spellEnd"/>
      <w:r w:rsidR="00747193" w:rsidRPr="00747193">
        <w:rPr>
          <w:sz w:val="24"/>
          <w:szCs w:val="24"/>
        </w:rPr>
        <w:t>-midler.</w:t>
      </w:r>
    </w:p>
    <w:p w:rsidR="00E92CCD" w:rsidRPr="00553FC4" w:rsidRDefault="00E92CCD" w:rsidP="00E92CCD">
      <w:pPr>
        <w:ind w:left="851" w:hanging="851"/>
        <w:rPr>
          <w:sz w:val="24"/>
          <w:szCs w:val="24"/>
        </w:rPr>
      </w:pPr>
    </w:p>
    <w:p w:rsidR="00E92CCD" w:rsidRPr="00553FC4" w:rsidRDefault="00E92CCD" w:rsidP="00E92CCD">
      <w:pPr>
        <w:ind w:left="851"/>
        <w:rPr>
          <w:sz w:val="24"/>
          <w:szCs w:val="24"/>
          <w:u w:val="single"/>
        </w:rPr>
      </w:pPr>
      <w:r w:rsidRPr="00553FC4">
        <w:rPr>
          <w:sz w:val="24"/>
          <w:szCs w:val="24"/>
          <w:u w:val="single"/>
        </w:rPr>
        <w:t>Dosering over den anbefalede dosis</w:t>
      </w:r>
    </w:p>
    <w:p w:rsidR="00E92CCD" w:rsidRDefault="00747193" w:rsidP="00E92CCD">
      <w:pPr>
        <w:ind w:left="851"/>
        <w:rPr>
          <w:sz w:val="24"/>
          <w:szCs w:val="24"/>
        </w:rPr>
      </w:pPr>
      <w:r>
        <w:rPr>
          <w:sz w:val="24"/>
          <w:szCs w:val="24"/>
        </w:rPr>
        <w:t xml:space="preserve">Der er ingen klinisk erfaring med </w:t>
      </w:r>
      <w:proofErr w:type="spellStart"/>
      <w:r>
        <w:rPr>
          <w:sz w:val="24"/>
          <w:szCs w:val="24"/>
        </w:rPr>
        <w:t>ceftobiprol</w:t>
      </w:r>
      <w:proofErr w:type="spellEnd"/>
      <w:r>
        <w:rPr>
          <w:sz w:val="24"/>
          <w:szCs w:val="24"/>
        </w:rPr>
        <w:t xml:space="preserve"> doser over den anbefalede dosis på 500 mg indgivet hver 8. time</w:t>
      </w:r>
    </w:p>
    <w:p w:rsidR="00747193" w:rsidRPr="00553FC4" w:rsidRDefault="00747193" w:rsidP="00E92CCD">
      <w:pPr>
        <w:ind w:left="851"/>
        <w:rPr>
          <w:sz w:val="24"/>
          <w:szCs w:val="24"/>
        </w:rPr>
      </w:pPr>
    </w:p>
    <w:p w:rsidR="00E92CCD" w:rsidRPr="00553FC4" w:rsidRDefault="00E92CCD" w:rsidP="00E92CCD">
      <w:pPr>
        <w:ind w:left="851"/>
        <w:rPr>
          <w:sz w:val="24"/>
          <w:szCs w:val="24"/>
          <w:u w:val="single"/>
        </w:rPr>
      </w:pPr>
      <w:r w:rsidRPr="00553FC4">
        <w:rPr>
          <w:sz w:val="24"/>
          <w:szCs w:val="24"/>
          <w:u w:val="single"/>
        </w:rPr>
        <w:t>Patienter med præeksisterende krampelidelser</w:t>
      </w:r>
    </w:p>
    <w:p w:rsidR="00E92CCD" w:rsidRDefault="00747193" w:rsidP="00E92CCD">
      <w:pPr>
        <w:ind w:left="851"/>
        <w:rPr>
          <w:sz w:val="24"/>
          <w:szCs w:val="24"/>
        </w:rPr>
      </w:pPr>
      <w:r>
        <w:rPr>
          <w:sz w:val="24"/>
          <w:szCs w:val="24"/>
        </w:rPr>
        <w:t xml:space="preserve">Krampeanfald er blevet forbundet med brugen af </w:t>
      </w:r>
      <w:proofErr w:type="spellStart"/>
      <w:r>
        <w:rPr>
          <w:sz w:val="24"/>
          <w:szCs w:val="24"/>
        </w:rPr>
        <w:t>ceftobiprol</w:t>
      </w:r>
      <w:proofErr w:type="spellEnd"/>
      <w:r>
        <w:rPr>
          <w:sz w:val="24"/>
          <w:szCs w:val="24"/>
        </w:rPr>
        <w:t xml:space="preserve">. Krampeanfald forekom hyppigst hos patienter med præeksisterende CNS-/krampelidelser under behandling med </w:t>
      </w:r>
      <w:proofErr w:type="spellStart"/>
      <w:r>
        <w:rPr>
          <w:sz w:val="24"/>
          <w:szCs w:val="24"/>
        </w:rPr>
        <w:t>ceftobiprol</w:t>
      </w:r>
      <w:proofErr w:type="spellEnd"/>
      <w:r>
        <w:rPr>
          <w:sz w:val="24"/>
          <w:szCs w:val="24"/>
        </w:rPr>
        <w:t>. Det anbefales derfor at udvise forsigtighed ved behandling af sådanne patienter</w:t>
      </w:r>
      <w:r>
        <w:rPr>
          <w:sz w:val="24"/>
          <w:szCs w:val="24"/>
        </w:rPr>
        <w:t>.</w:t>
      </w:r>
    </w:p>
    <w:p w:rsidR="00747193" w:rsidRPr="00553FC4" w:rsidRDefault="00747193" w:rsidP="00E92CCD">
      <w:pPr>
        <w:ind w:left="851"/>
        <w:rPr>
          <w:i/>
          <w:sz w:val="24"/>
          <w:szCs w:val="24"/>
        </w:rPr>
      </w:pPr>
    </w:p>
    <w:p w:rsidR="00E92CCD" w:rsidRPr="00553FC4" w:rsidRDefault="00E7429E" w:rsidP="00E92CCD">
      <w:pPr>
        <w:ind w:left="851"/>
        <w:rPr>
          <w:sz w:val="24"/>
          <w:szCs w:val="24"/>
          <w:u w:val="single"/>
        </w:rPr>
      </w:pPr>
      <w:proofErr w:type="spellStart"/>
      <w:r>
        <w:rPr>
          <w:i/>
          <w:sz w:val="24"/>
          <w:szCs w:val="24"/>
          <w:u w:val="single"/>
        </w:rPr>
        <w:t>Clostridioides</w:t>
      </w:r>
      <w:proofErr w:type="spellEnd"/>
      <w:r w:rsidR="00E92CCD" w:rsidRPr="00553FC4">
        <w:rPr>
          <w:i/>
          <w:sz w:val="24"/>
          <w:szCs w:val="24"/>
          <w:u w:val="single"/>
        </w:rPr>
        <w:t xml:space="preserve"> difficile-</w:t>
      </w:r>
      <w:r w:rsidR="00E92CCD" w:rsidRPr="00553FC4">
        <w:rPr>
          <w:sz w:val="24"/>
          <w:szCs w:val="24"/>
          <w:u w:val="single"/>
        </w:rPr>
        <w:t>associeret diarré</w:t>
      </w:r>
    </w:p>
    <w:p w:rsidR="00E92CCD" w:rsidRDefault="00747193" w:rsidP="00E92CCD">
      <w:pPr>
        <w:ind w:left="851"/>
        <w:rPr>
          <w:sz w:val="24"/>
          <w:szCs w:val="24"/>
        </w:rPr>
      </w:pPr>
      <w:proofErr w:type="spellStart"/>
      <w:r>
        <w:rPr>
          <w:sz w:val="24"/>
          <w:szCs w:val="24"/>
        </w:rPr>
        <w:t>Kolit</w:t>
      </w:r>
      <w:proofErr w:type="spellEnd"/>
      <w:r>
        <w:rPr>
          <w:sz w:val="24"/>
          <w:szCs w:val="24"/>
        </w:rPr>
        <w:t xml:space="preserve"> forbundet med antibakterielle midler og </w:t>
      </w:r>
      <w:proofErr w:type="spellStart"/>
      <w:r>
        <w:rPr>
          <w:sz w:val="24"/>
          <w:szCs w:val="24"/>
        </w:rPr>
        <w:t>pseudomembranøs</w:t>
      </w:r>
      <w:proofErr w:type="spellEnd"/>
      <w:r>
        <w:rPr>
          <w:sz w:val="24"/>
          <w:szCs w:val="24"/>
        </w:rPr>
        <w:t xml:space="preserve"> </w:t>
      </w:r>
      <w:proofErr w:type="spellStart"/>
      <w:r>
        <w:rPr>
          <w:sz w:val="24"/>
          <w:szCs w:val="24"/>
        </w:rPr>
        <w:t>kolit</w:t>
      </w:r>
      <w:proofErr w:type="spellEnd"/>
      <w:r>
        <w:rPr>
          <w:sz w:val="24"/>
          <w:szCs w:val="24"/>
        </w:rPr>
        <w:t xml:space="preserve"> er blevet rapporteret med brugen af </w:t>
      </w:r>
      <w:proofErr w:type="spellStart"/>
      <w:r>
        <w:rPr>
          <w:sz w:val="24"/>
          <w:szCs w:val="24"/>
        </w:rPr>
        <w:t>ceftobiprol</w:t>
      </w:r>
      <w:proofErr w:type="spellEnd"/>
      <w:r>
        <w:rPr>
          <w:sz w:val="24"/>
          <w:szCs w:val="24"/>
        </w:rPr>
        <w:t xml:space="preserve"> og kan variere i sværhedsgrad fra mild til livstruende. Denne diagnose skal overvejes hos patienter med diarré under eller efter indgivelsen af </w:t>
      </w:r>
      <w:proofErr w:type="spellStart"/>
      <w:r>
        <w:rPr>
          <w:sz w:val="24"/>
          <w:szCs w:val="24"/>
        </w:rPr>
        <w:t>ceftobiprol</w:t>
      </w:r>
      <w:proofErr w:type="spellEnd"/>
      <w:r>
        <w:rPr>
          <w:sz w:val="24"/>
          <w:szCs w:val="24"/>
        </w:rPr>
        <w:t xml:space="preserve"> (se pkt. 4.8). </w:t>
      </w:r>
      <w:proofErr w:type="spellStart"/>
      <w:r>
        <w:rPr>
          <w:sz w:val="24"/>
          <w:szCs w:val="24"/>
        </w:rPr>
        <w:t>Seponering</w:t>
      </w:r>
      <w:proofErr w:type="spellEnd"/>
      <w:r>
        <w:rPr>
          <w:sz w:val="24"/>
          <w:szCs w:val="24"/>
        </w:rPr>
        <w:t xml:space="preserve"> af behandling med </w:t>
      </w:r>
      <w:proofErr w:type="spellStart"/>
      <w:r>
        <w:rPr>
          <w:sz w:val="24"/>
          <w:szCs w:val="24"/>
        </w:rPr>
        <w:t>ceftobiprol</w:t>
      </w:r>
      <w:proofErr w:type="spellEnd"/>
      <w:r>
        <w:rPr>
          <w:sz w:val="24"/>
          <w:szCs w:val="24"/>
        </w:rPr>
        <w:t xml:space="preserve"> samt administration af specifik behandling for </w:t>
      </w:r>
      <w:proofErr w:type="spellStart"/>
      <w:r>
        <w:rPr>
          <w:i/>
          <w:sz w:val="24"/>
          <w:szCs w:val="24"/>
        </w:rPr>
        <w:t>Clostridioides</w:t>
      </w:r>
      <w:proofErr w:type="spellEnd"/>
      <w:r>
        <w:rPr>
          <w:i/>
          <w:sz w:val="24"/>
          <w:szCs w:val="24"/>
        </w:rPr>
        <w:t xml:space="preserve"> difficile </w:t>
      </w:r>
      <w:r>
        <w:rPr>
          <w:sz w:val="24"/>
          <w:szCs w:val="24"/>
        </w:rPr>
        <w:t>bør overvejes. Der må ikke indgives lægemidler, som hæmmer tarmbevægelse.</w:t>
      </w:r>
    </w:p>
    <w:p w:rsidR="00747193" w:rsidRPr="00553FC4" w:rsidRDefault="00747193" w:rsidP="00E92CCD">
      <w:pPr>
        <w:ind w:left="851"/>
        <w:rPr>
          <w:sz w:val="24"/>
          <w:szCs w:val="24"/>
        </w:rPr>
      </w:pPr>
    </w:p>
    <w:p w:rsidR="00E92CCD" w:rsidRPr="00553FC4" w:rsidRDefault="00E92CCD" w:rsidP="00E92CCD">
      <w:pPr>
        <w:ind w:left="851"/>
        <w:rPr>
          <w:sz w:val="24"/>
          <w:szCs w:val="24"/>
          <w:u w:val="single"/>
        </w:rPr>
      </w:pPr>
      <w:r w:rsidRPr="00553FC4">
        <w:rPr>
          <w:sz w:val="24"/>
          <w:szCs w:val="24"/>
          <w:u w:val="single"/>
        </w:rPr>
        <w:t>Superinfektion med ikke-påvirkelige organismer</w:t>
      </w:r>
    </w:p>
    <w:p w:rsidR="00747193" w:rsidRPr="00747193" w:rsidRDefault="00747193" w:rsidP="00747193">
      <w:pPr>
        <w:ind w:left="851"/>
        <w:rPr>
          <w:sz w:val="24"/>
          <w:szCs w:val="24"/>
        </w:rPr>
      </w:pPr>
      <w:r w:rsidRPr="00747193">
        <w:rPr>
          <w:sz w:val="24"/>
          <w:szCs w:val="24"/>
        </w:rPr>
        <w:t xml:space="preserve">Brugen af </w:t>
      </w:r>
      <w:proofErr w:type="spellStart"/>
      <w:r w:rsidRPr="00747193">
        <w:rPr>
          <w:sz w:val="24"/>
          <w:szCs w:val="24"/>
        </w:rPr>
        <w:t>ceftobiprol</w:t>
      </w:r>
      <w:proofErr w:type="spellEnd"/>
      <w:r w:rsidRPr="00747193">
        <w:rPr>
          <w:sz w:val="24"/>
          <w:szCs w:val="24"/>
        </w:rPr>
        <w:t xml:space="preserve"> kan resultere i en overvækst af ikke-påvirkelige organismer, herunder svamp. Der skal tages passende foranstaltninger, hvis der ses tegn på superinfektion under behandling. </w:t>
      </w:r>
    </w:p>
    <w:p w:rsidR="00E92CCD" w:rsidRPr="00553FC4" w:rsidRDefault="00E92CCD" w:rsidP="00E92CCD">
      <w:pPr>
        <w:ind w:left="851"/>
        <w:rPr>
          <w:sz w:val="24"/>
          <w:szCs w:val="24"/>
        </w:rPr>
      </w:pPr>
      <w:r w:rsidRPr="00553FC4">
        <w:rPr>
          <w:sz w:val="24"/>
          <w:szCs w:val="24"/>
        </w:rPr>
        <w:lastRenderedPageBreak/>
        <w:t xml:space="preserve"> </w:t>
      </w:r>
    </w:p>
    <w:p w:rsidR="00E92CCD" w:rsidRPr="00553FC4" w:rsidRDefault="00E92CCD" w:rsidP="00E92CCD">
      <w:pPr>
        <w:ind w:left="851"/>
        <w:rPr>
          <w:sz w:val="24"/>
          <w:szCs w:val="24"/>
        </w:rPr>
      </w:pPr>
    </w:p>
    <w:p w:rsidR="00747193" w:rsidRDefault="00747193" w:rsidP="00747193">
      <w:pPr>
        <w:ind w:left="851"/>
        <w:rPr>
          <w:sz w:val="24"/>
          <w:szCs w:val="24"/>
          <w:u w:val="single"/>
        </w:rPr>
      </w:pPr>
      <w:r>
        <w:rPr>
          <w:sz w:val="24"/>
          <w:szCs w:val="24"/>
          <w:u w:val="single"/>
        </w:rPr>
        <w:t>Nyretoksicitet</w:t>
      </w:r>
    </w:p>
    <w:p w:rsidR="00747193" w:rsidRDefault="00747193" w:rsidP="00747193">
      <w:pPr>
        <w:ind w:left="851"/>
        <w:rPr>
          <w:sz w:val="24"/>
          <w:szCs w:val="24"/>
        </w:rPr>
      </w:pPr>
      <w:r>
        <w:rPr>
          <w:sz w:val="24"/>
          <w:szCs w:val="24"/>
        </w:rPr>
        <w:t xml:space="preserve">Der blev hos dyr set reversibel nyretoksicitet ved høje doser af </w:t>
      </w:r>
      <w:proofErr w:type="spellStart"/>
      <w:r>
        <w:rPr>
          <w:sz w:val="24"/>
          <w:szCs w:val="24"/>
        </w:rPr>
        <w:t>ceftobiprol</w:t>
      </w:r>
      <w:proofErr w:type="spellEnd"/>
      <w:r>
        <w:rPr>
          <w:sz w:val="24"/>
          <w:szCs w:val="24"/>
        </w:rPr>
        <w:t xml:space="preserve">, som var forbundet med bundfældning af lægemiddellignende materiale i de </w:t>
      </w:r>
      <w:proofErr w:type="spellStart"/>
      <w:r>
        <w:rPr>
          <w:sz w:val="24"/>
          <w:szCs w:val="24"/>
        </w:rPr>
        <w:t>distale</w:t>
      </w:r>
      <w:proofErr w:type="spellEnd"/>
      <w:r>
        <w:rPr>
          <w:sz w:val="24"/>
          <w:szCs w:val="24"/>
        </w:rPr>
        <w:t xml:space="preserve"> </w:t>
      </w:r>
      <w:proofErr w:type="spellStart"/>
      <w:r>
        <w:rPr>
          <w:sz w:val="24"/>
          <w:szCs w:val="24"/>
        </w:rPr>
        <w:t>tubuli</w:t>
      </w:r>
      <w:proofErr w:type="spellEnd"/>
      <w:r>
        <w:rPr>
          <w:sz w:val="24"/>
          <w:szCs w:val="24"/>
        </w:rPr>
        <w:t xml:space="preserve"> (se pkt. 5.3). Selvom den kliniske signifikans af denne observation ikke kendes, tilrådes det at korrigere </w:t>
      </w:r>
      <w:proofErr w:type="spellStart"/>
      <w:r>
        <w:rPr>
          <w:sz w:val="24"/>
          <w:szCs w:val="24"/>
        </w:rPr>
        <w:t>hypovolæmi</w:t>
      </w:r>
      <w:proofErr w:type="spellEnd"/>
      <w:r>
        <w:rPr>
          <w:sz w:val="24"/>
          <w:szCs w:val="24"/>
        </w:rPr>
        <w:t xml:space="preserve"> for at opretholde normal urinproduktion hos patienter, der behandles med </w:t>
      </w:r>
      <w:proofErr w:type="spellStart"/>
      <w:r>
        <w:rPr>
          <w:sz w:val="24"/>
          <w:szCs w:val="24"/>
        </w:rPr>
        <w:t>ceftobiprol</w:t>
      </w:r>
      <w:proofErr w:type="spellEnd"/>
      <w:r>
        <w:rPr>
          <w:sz w:val="24"/>
          <w:szCs w:val="24"/>
        </w:rPr>
        <w:t>.</w:t>
      </w:r>
    </w:p>
    <w:p w:rsidR="00E92CCD" w:rsidRPr="00553FC4" w:rsidRDefault="00E92CCD" w:rsidP="00E92CCD">
      <w:pPr>
        <w:ind w:left="851"/>
        <w:rPr>
          <w:sz w:val="24"/>
          <w:szCs w:val="24"/>
        </w:rPr>
      </w:pPr>
    </w:p>
    <w:p w:rsidR="00E92CCD" w:rsidRPr="00553FC4" w:rsidRDefault="00E92CCD" w:rsidP="00E92CCD">
      <w:pPr>
        <w:ind w:left="851"/>
        <w:rPr>
          <w:sz w:val="24"/>
          <w:szCs w:val="24"/>
          <w:u w:val="single"/>
        </w:rPr>
      </w:pPr>
      <w:r w:rsidRPr="00553FC4">
        <w:rPr>
          <w:sz w:val="24"/>
          <w:szCs w:val="24"/>
          <w:u w:val="single"/>
        </w:rPr>
        <w:t>Bundfældning med opløsninger indeholdende calcium</w:t>
      </w:r>
    </w:p>
    <w:p w:rsidR="00E92CCD" w:rsidRPr="00553FC4" w:rsidRDefault="00E92CCD" w:rsidP="00E92CCD">
      <w:pPr>
        <w:ind w:left="851"/>
        <w:rPr>
          <w:sz w:val="24"/>
          <w:szCs w:val="24"/>
        </w:rPr>
      </w:pPr>
      <w:r w:rsidRPr="00553FC4">
        <w:rPr>
          <w:sz w:val="24"/>
          <w:szCs w:val="24"/>
        </w:rPr>
        <w:t xml:space="preserve">Der kan forekomme bundfældning, når </w:t>
      </w:r>
      <w:proofErr w:type="spellStart"/>
      <w:r w:rsidRPr="00553FC4">
        <w:rPr>
          <w:sz w:val="24"/>
          <w:szCs w:val="24"/>
        </w:rPr>
        <w:t>Zevtera</w:t>
      </w:r>
      <w:proofErr w:type="spellEnd"/>
      <w:r w:rsidRPr="00553FC4">
        <w:rPr>
          <w:sz w:val="24"/>
          <w:szCs w:val="24"/>
        </w:rPr>
        <w:t xml:space="preserve"> blandes med opløsninger indeholdende calcium i samme intravenøse dropslange. </w:t>
      </w:r>
      <w:proofErr w:type="spellStart"/>
      <w:r w:rsidRPr="00553FC4">
        <w:rPr>
          <w:sz w:val="24"/>
          <w:szCs w:val="24"/>
        </w:rPr>
        <w:t>Zevtera</w:t>
      </w:r>
      <w:proofErr w:type="spellEnd"/>
      <w:r w:rsidRPr="00553FC4">
        <w:rPr>
          <w:sz w:val="24"/>
          <w:szCs w:val="24"/>
        </w:rPr>
        <w:t xml:space="preserve"> og opløsninger indeholdende calcium, </w:t>
      </w:r>
      <w:r w:rsidRPr="00553FC4">
        <w:rPr>
          <w:bCs/>
          <w:sz w:val="24"/>
          <w:szCs w:val="24"/>
        </w:rPr>
        <w:t>med undtagelse af Ringers laktat-injektionsvæske,</w:t>
      </w:r>
      <w:r w:rsidRPr="00553FC4">
        <w:rPr>
          <w:sz w:val="24"/>
          <w:szCs w:val="24"/>
        </w:rPr>
        <w:t xml:space="preserve"> må derfor ikke blandes eller indgives samtidigt i samme intravenøse dropslange (se pkt. 6.2).</w:t>
      </w:r>
    </w:p>
    <w:p w:rsidR="00E92CCD" w:rsidRPr="00553FC4" w:rsidRDefault="00E92CCD" w:rsidP="00E92CCD">
      <w:pPr>
        <w:ind w:left="851"/>
        <w:rPr>
          <w:sz w:val="24"/>
          <w:szCs w:val="24"/>
        </w:rPr>
      </w:pPr>
    </w:p>
    <w:p w:rsidR="00E92CCD" w:rsidRDefault="00E92CCD" w:rsidP="00E92CCD">
      <w:pPr>
        <w:ind w:left="851"/>
        <w:rPr>
          <w:sz w:val="24"/>
          <w:szCs w:val="24"/>
          <w:u w:val="single"/>
        </w:rPr>
      </w:pPr>
      <w:r w:rsidRPr="00553FC4">
        <w:rPr>
          <w:sz w:val="24"/>
          <w:szCs w:val="24"/>
          <w:u w:val="single"/>
        </w:rPr>
        <w:t>Begrænsning af kliniske data</w:t>
      </w:r>
    </w:p>
    <w:p w:rsidR="00747193" w:rsidRPr="00553FC4" w:rsidRDefault="00747193" w:rsidP="00E92CCD">
      <w:pPr>
        <w:ind w:left="851"/>
        <w:rPr>
          <w:sz w:val="24"/>
          <w:szCs w:val="24"/>
          <w:u w:val="single"/>
        </w:rPr>
      </w:pPr>
    </w:p>
    <w:p w:rsidR="00747193" w:rsidRDefault="00747193" w:rsidP="00747193">
      <w:pPr>
        <w:autoSpaceDE w:val="0"/>
        <w:autoSpaceDN w:val="0"/>
        <w:adjustRightInd w:val="0"/>
        <w:ind w:left="851"/>
        <w:rPr>
          <w:i/>
          <w:iCs/>
          <w:sz w:val="24"/>
          <w:szCs w:val="24"/>
        </w:rPr>
      </w:pPr>
      <w:r>
        <w:rPr>
          <w:i/>
          <w:iCs/>
          <w:sz w:val="24"/>
          <w:szCs w:val="24"/>
        </w:rPr>
        <w:t>Standardindikationer</w:t>
      </w:r>
    </w:p>
    <w:p w:rsidR="00747193" w:rsidRDefault="00747193" w:rsidP="00747193">
      <w:pPr>
        <w:autoSpaceDE w:val="0"/>
        <w:autoSpaceDN w:val="0"/>
        <w:adjustRightInd w:val="0"/>
        <w:ind w:left="851"/>
        <w:rPr>
          <w:sz w:val="24"/>
          <w:szCs w:val="24"/>
          <w:lang w:eastAsia="ja-JP"/>
        </w:rPr>
      </w:pPr>
      <w:r>
        <w:rPr>
          <w:sz w:val="24"/>
          <w:szCs w:val="24"/>
        </w:rPr>
        <w:t xml:space="preserve">Der er begrænset erfaring med </w:t>
      </w:r>
      <w:proofErr w:type="spellStart"/>
      <w:r>
        <w:rPr>
          <w:sz w:val="24"/>
          <w:szCs w:val="24"/>
        </w:rPr>
        <w:t>ceftobiprol</w:t>
      </w:r>
      <w:proofErr w:type="spellEnd"/>
      <w:r>
        <w:rPr>
          <w:sz w:val="24"/>
          <w:szCs w:val="24"/>
        </w:rPr>
        <w:t xml:space="preserve"> til behandling af HAP (med undtagelse af VAP) og CAP hos </w:t>
      </w:r>
      <w:proofErr w:type="spellStart"/>
      <w:r>
        <w:rPr>
          <w:sz w:val="24"/>
          <w:szCs w:val="24"/>
        </w:rPr>
        <w:t>HIV-positive</w:t>
      </w:r>
      <w:proofErr w:type="spellEnd"/>
      <w:r>
        <w:rPr>
          <w:sz w:val="24"/>
          <w:szCs w:val="24"/>
        </w:rPr>
        <w:t xml:space="preserve"> patienter, patienter med </w:t>
      </w:r>
      <w:proofErr w:type="spellStart"/>
      <w:r>
        <w:rPr>
          <w:sz w:val="24"/>
          <w:szCs w:val="24"/>
        </w:rPr>
        <w:t>neutropeni</w:t>
      </w:r>
      <w:proofErr w:type="spellEnd"/>
      <w:r>
        <w:rPr>
          <w:sz w:val="24"/>
          <w:szCs w:val="24"/>
        </w:rPr>
        <w:t xml:space="preserve">, </w:t>
      </w:r>
      <w:proofErr w:type="spellStart"/>
      <w:r>
        <w:rPr>
          <w:sz w:val="24"/>
          <w:szCs w:val="24"/>
        </w:rPr>
        <w:t>immunokompromitterede</w:t>
      </w:r>
      <w:proofErr w:type="spellEnd"/>
      <w:r>
        <w:rPr>
          <w:sz w:val="24"/>
          <w:szCs w:val="24"/>
        </w:rPr>
        <w:t xml:space="preserve"> patienter, og patienter med </w:t>
      </w:r>
      <w:proofErr w:type="spellStart"/>
      <w:r>
        <w:rPr>
          <w:sz w:val="24"/>
          <w:szCs w:val="24"/>
        </w:rPr>
        <w:t>myelosuppression</w:t>
      </w:r>
      <w:proofErr w:type="spellEnd"/>
      <w:r>
        <w:rPr>
          <w:sz w:val="24"/>
          <w:szCs w:val="24"/>
        </w:rPr>
        <w:t>. Forsigtighed anbefales ved behandling af sådanne patienter.</w:t>
      </w:r>
    </w:p>
    <w:p w:rsidR="00E92CCD" w:rsidRPr="00AD2F5B" w:rsidRDefault="00E92CCD" w:rsidP="00E92CCD">
      <w:pPr>
        <w:ind w:left="851"/>
        <w:rPr>
          <w:sz w:val="24"/>
          <w:szCs w:val="24"/>
          <w:u w:val="single"/>
        </w:rPr>
      </w:pPr>
    </w:p>
    <w:p w:rsidR="00E92CCD" w:rsidRPr="00553FC4" w:rsidRDefault="00E92CCD" w:rsidP="00E92CCD">
      <w:pPr>
        <w:ind w:left="851"/>
        <w:rPr>
          <w:i/>
          <w:sz w:val="24"/>
          <w:szCs w:val="24"/>
          <w:u w:val="single"/>
        </w:rPr>
      </w:pPr>
      <w:r w:rsidRPr="00553FC4">
        <w:rPr>
          <w:i/>
          <w:sz w:val="24"/>
          <w:szCs w:val="24"/>
          <w:u w:val="single"/>
        </w:rPr>
        <w:t>Patienter med ventilatorassocieret pneumoni (VAP)</w:t>
      </w:r>
    </w:p>
    <w:p w:rsidR="00747193" w:rsidRDefault="00747193" w:rsidP="00747193">
      <w:pPr>
        <w:ind w:left="851"/>
        <w:rPr>
          <w:sz w:val="24"/>
          <w:szCs w:val="24"/>
        </w:rPr>
      </w:pPr>
      <w:proofErr w:type="spellStart"/>
      <w:r>
        <w:rPr>
          <w:sz w:val="24"/>
          <w:szCs w:val="24"/>
        </w:rPr>
        <w:t>Ceftobiprol</w:t>
      </w:r>
      <w:proofErr w:type="spellEnd"/>
      <w:r>
        <w:rPr>
          <w:sz w:val="24"/>
          <w:szCs w:val="24"/>
        </w:rPr>
        <w:t xml:space="preserve"> er ikke blevet påvist at være virkningsfuldt til behandling af patienter med VAP. </w:t>
      </w:r>
      <w:proofErr w:type="spellStart"/>
      <w:r>
        <w:rPr>
          <w:sz w:val="24"/>
          <w:szCs w:val="24"/>
        </w:rPr>
        <w:t>Ceftobiprol</w:t>
      </w:r>
      <w:proofErr w:type="spellEnd"/>
      <w:r>
        <w:rPr>
          <w:sz w:val="24"/>
          <w:szCs w:val="24"/>
        </w:rPr>
        <w:t xml:space="preserve"> bør ikke startes hos patienter med VAP (se pkt. 5.1). Baseret på en ad-hoc analyse, som viser en tendens til </w:t>
      </w:r>
      <w:proofErr w:type="spellStart"/>
      <w:r>
        <w:rPr>
          <w:sz w:val="24"/>
          <w:szCs w:val="24"/>
        </w:rPr>
        <w:t>ceftobiprols</w:t>
      </w:r>
      <w:proofErr w:type="spellEnd"/>
      <w:r>
        <w:rPr>
          <w:sz w:val="24"/>
          <w:szCs w:val="24"/>
        </w:rPr>
        <w:t xml:space="preserve"> fordel, anbefales det desuden, at </w:t>
      </w:r>
      <w:proofErr w:type="spellStart"/>
      <w:r>
        <w:rPr>
          <w:sz w:val="24"/>
          <w:szCs w:val="24"/>
        </w:rPr>
        <w:t>ceftobiprol</w:t>
      </w:r>
      <w:proofErr w:type="spellEnd"/>
      <w:r>
        <w:rPr>
          <w:sz w:val="24"/>
          <w:szCs w:val="24"/>
        </w:rPr>
        <w:t xml:space="preserve"> anvendes med forsigtighed til patienter med hospitalserhvervet pneumoni (HAP), som efterfølgende kræver ventilation.</w:t>
      </w:r>
    </w:p>
    <w:p w:rsidR="00E92CCD" w:rsidRPr="00553FC4" w:rsidRDefault="00E92CCD" w:rsidP="00747193">
      <w:pPr>
        <w:rPr>
          <w:sz w:val="24"/>
          <w:szCs w:val="24"/>
        </w:rPr>
      </w:pPr>
    </w:p>
    <w:p w:rsidR="00E92CCD" w:rsidRPr="00553FC4" w:rsidRDefault="00E92CCD" w:rsidP="00E92CCD">
      <w:pPr>
        <w:ind w:left="851"/>
        <w:rPr>
          <w:sz w:val="24"/>
          <w:szCs w:val="24"/>
          <w:u w:val="single"/>
        </w:rPr>
      </w:pPr>
      <w:r w:rsidRPr="00553FC4">
        <w:rPr>
          <w:sz w:val="24"/>
          <w:szCs w:val="24"/>
          <w:u w:val="single"/>
        </w:rPr>
        <w:t xml:space="preserve">Påvirkning af serologiske test </w:t>
      </w:r>
    </w:p>
    <w:p w:rsidR="00E92CCD" w:rsidRPr="001763E4" w:rsidRDefault="00E92CCD" w:rsidP="001763E4">
      <w:pPr>
        <w:ind w:left="851"/>
        <w:rPr>
          <w:i/>
          <w:sz w:val="24"/>
          <w:szCs w:val="24"/>
        </w:rPr>
      </w:pPr>
      <w:r w:rsidRPr="00553FC4">
        <w:rPr>
          <w:i/>
          <w:iCs/>
          <w:sz w:val="24"/>
          <w:szCs w:val="24"/>
        </w:rPr>
        <w:t xml:space="preserve">Direkte </w:t>
      </w:r>
      <w:proofErr w:type="spellStart"/>
      <w:r w:rsidRPr="00553FC4">
        <w:rPr>
          <w:i/>
          <w:iCs/>
          <w:sz w:val="24"/>
          <w:szCs w:val="24"/>
        </w:rPr>
        <w:t>antiglobulintest</w:t>
      </w:r>
      <w:proofErr w:type="spellEnd"/>
      <w:r w:rsidRPr="00553FC4">
        <w:rPr>
          <w:i/>
          <w:iCs/>
          <w:sz w:val="24"/>
          <w:szCs w:val="24"/>
        </w:rPr>
        <w:t xml:space="preserve"> (</w:t>
      </w:r>
      <w:proofErr w:type="spellStart"/>
      <w:r w:rsidRPr="00553FC4">
        <w:rPr>
          <w:i/>
          <w:iCs/>
          <w:sz w:val="24"/>
          <w:szCs w:val="24"/>
        </w:rPr>
        <w:t>Coombs</w:t>
      </w:r>
      <w:proofErr w:type="spellEnd"/>
      <w:r w:rsidRPr="00553FC4">
        <w:rPr>
          <w:i/>
          <w:iCs/>
          <w:sz w:val="24"/>
          <w:szCs w:val="24"/>
        </w:rPr>
        <w:t xml:space="preserve"> test) </w:t>
      </w:r>
      <w:proofErr w:type="spellStart"/>
      <w:r w:rsidRPr="00553FC4">
        <w:rPr>
          <w:i/>
          <w:iCs/>
          <w:sz w:val="24"/>
          <w:szCs w:val="24"/>
        </w:rPr>
        <w:t>serokonversion</w:t>
      </w:r>
      <w:proofErr w:type="spellEnd"/>
      <w:r w:rsidRPr="00553FC4">
        <w:rPr>
          <w:i/>
          <w:iCs/>
          <w:sz w:val="24"/>
          <w:szCs w:val="24"/>
        </w:rPr>
        <w:t xml:space="preserve"> og potentiel risiko for </w:t>
      </w:r>
      <w:proofErr w:type="spellStart"/>
      <w:r w:rsidRPr="00553FC4">
        <w:rPr>
          <w:i/>
          <w:iCs/>
          <w:sz w:val="24"/>
          <w:szCs w:val="24"/>
        </w:rPr>
        <w:t>hæmolytisk</w:t>
      </w:r>
      <w:proofErr w:type="spellEnd"/>
      <w:r w:rsidRPr="00553FC4">
        <w:rPr>
          <w:i/>
          <w:iCs/>
          <w:sz w:val="24"/>
          <w:szCs w:val="24"/>
        </w:rPr>
        <w:t xml:space="preserve"> anæmi</w:t>
      </w:r>
    </w:p>
    <w:p w:rsidR="00747193" w:rsidRDefault="00E92CCD" w:rsidP="00747193">
      <w:pPr>
        <w:ind w:left="851"/>
        <w:rPr>
          <w:sz w:val="24"/>
          <w:szCs w:val="24"/>
        </w:rPr>
      </w:pPr>
      <w:r w:rsidRPr="00553FC4">
        <w:rPr>
          <w:sz w:val="24"/>
          <w:szCs w:val="24"/>
        </w:rPr>
        <w:t xml:space="preserve">Der kan udvikles en positiv direkte </w:t>
      </w:r>
      <w:proofErr w:type="spellStart"/>
      <w:r w:rsidRPr="00553FC4">
        <w:rPr>
          <w:sz w:val="24"/>
          <w:szCs w:val="24"/>
        </w:rPr>
        <w:t>antiglobulintest</w:t>
      </w:r>
      <w:proofErr w:type="spellEnd"/>
      <w:r w:rsidRPr="00553FC4">
        <w:rPr>
          <w:sz w:val="24"/>
          <w:szCs w:val="24"/>
        </w:rPr>
        <w:t xml:space="preserve"> under behandling med en </w:t>
      </w:r>
      <w:proofErr w:type="spellStart"/>
      <w:r w:rsidRPr="00553FC4">
        <w:rPr>
          <w:sz w:val="24"/>
          <w:szCs w:val="24"/>
        </w:rPr>
        <w:t>cefalosporin</w:t>
      </w:r>
      <w:proofErr w:type="spellEnd"/>
      <w:r w:rsidRPr="00553FC4">
        <w:rPr>
          <w:sz w:val="24"/>
          <w:szCs w:val="24"/>
        </w:rPr>
        <w:t xml:space="preserve">. Der var ingen tegn på </w:t>
      </w:r>
      <w:proofErr w:type="spellStart"/>
      <w:r w:rsidRPr="00553FC4">
        <w:rPr>
          <w:sz w:val="24"/>
          <w:szCs w:val="24"/>
        </w:rPr>
        <w:t>hæmolytisk</w:t>
      </w:r>
      <w:proofErr w:type="spellEnd"/>
      <w:r w:rsidRPr="00553FC4">
        <w:rPr>
          <w:sz w:val="24"/>
          <w:szCs w:val="24"/>
        </w:rPr>
        <w:t xml:space="preserve"> anæmi i kliniske forsøg. </w:t>
      </w:r>
      <w:r w:rsidR="00747193">
        <w:rPr>
          <w:sz w:val="24"/>
          <w:szCs w:val="24"/>
        </w:rPr>
        <w:t xml:space="preserve">Det kan dog ikke udelukkes, at </w:t>
      </w:r>
      <w:proofErr w:type="spellStart"/>
      <w:r w:rsidR="00747193">
        <w:rPr>
          <w:sz w:val="24"/>
          <w:szCs w:val="24"/>
        </w:rPr>
        <w:t>hæmolytisk</w:t>
      </w:r>
      <w:proofErr w:type="spellEnd"/>
      <w:r w:rsidR="00747193">
        <w:rPr>
          <w:sz w:val="24"/>
          <w:szCs w:val="24"/>
        </w:rPr>
        <w:t xml:space="preserve"> anæmi kan forekomme i forbindelse med behandling med </w:t>
      </w:r>
      <w:proofErr w:type="spellStart"/>
      <w:r w:rsidR="00747193">
        <w:rPr>
          <w:sz w:val="24"/>
          <w:szCs w:val="24"/>
        </w:rPr>
        <w:t>ceftobiprol</w:t>
      </w:r>
      <w:proofErr w:type="spellEnd"/>
      <w:r w:rsidR="00747193">
        <w:rPr>
          <w:sz w:val="24"/>
          <w:szCs w:val="24"/>
        </w:rPr>
        <w:t xml:space="preserve">. Patienter, der oplever anæmi under eller efter behandling med </w:t>
      </w:r>
      <w:proofErr w:type="spellStart"/>
      <w:r w:rsidR="00747193">
        <w:rPr>
          <w:sz w:val="24"/>
          <w:szCs w:val="24"/>
        </w:rPr>
        <w:t>ceftobiprol</w:t>
      </w:r>
      <w:proofErr w:type="spellEnd"/>
      <w:r w:rsidR="00747193">
        <w:rPr>
          <w:sz w:val="24"/>
          <w:szCs w:val="24"/>
        </w:rPr>
        <w:t xml:space="preserve">, skal undersøges derfor. </w:t>
      </w:r>
    </w:p>
    <w:p w:rsidR="00E92CCD" w:rsidRPr="00553FC4" w:rsidRDefault="00E92CCD" w:rsidP="00E92CCD">
      <w:pPr>
        <w:ind w:left="851"/>
        <w:rPr>
          <w:sz w:val="24"/>
          <w:szCs w:val="24"/>
        </w:rPr>
      </w:pPr>
    </w:p>
    <w:p w:rsidR="00747193" w:rsidRDefault="00747193" w:rsidP="00747193">
      <w:pPr>
        <w:ind w:left="851"/>
        <w:rPr>
          <w:sz w:val="24"/>
          <w:szCs w:val="24"/>
          <w:u w:val="single"/>
        </w:rPr>
      </w:pPr>
      <w:r>
        <w:rPr>
          <w:sz w:val="24"/>
          <w:szCs w:val="24"/>
          <w:u w:val="single"/>
        </w:rPr>
        <w:t xml:space="preserve">Potentiel påvirkning af </w:t>
      </w:r>
      <w:proofErr w:type="spellStart"/>
      <w:r>
        <w:rPr>
          <w:sz w:val="24"/>
          <w:szCs w:val="24"/>
          <w:u w:val="single"/>
        </w:rPr>
        <w:t>serumkreatinin</w:t>
      </w:r>
      <w:proofErr w:type="spellEnd"/>
      <w:r>
        <w:rPr>
          <w:sz w:val="24"/>
          <w:szCs w:val="24"/>
          <w:u w:val="single"/>
        </w:rPr>
        <w:t xml:space="preserve"> test </w:t>
      </w:r>
    </w:p>
    <w:p w:rsidR="00747193" w:rsidRDefault="00747193" w:rsidP="00747193">
      <w:pPr>
        <w:ind w:left="851"/>
        <w:rPr>
          <w:sz w:val="24"/>
          <w:szCs w:val="24"/>
        </w:rPr>
      </w:pPr>
      <w:r>
        <w:rPr>
          <w:sz w:val="24"/>
          <w:szCs w:val="24"/>
        </w:rPr>
        <w:t xml:space="preserve">Det vides ikke, hvorvidt </w:t>
      </w:r>
      <w:proofErr w:type="spellStart"/>
      <w:r>
        <w:rPr>
          <w:sz w:val="24"/>
          <w:szCs w:val="24"/>
        </w:rPr>
        <w:t>ceftobiprol</w:t>
      </w:r>
      <w:proofErr w:type="spellEnd"/>
      <w:r>
        <w:rPr>
          <w:sz w:val="24"/>
          <w:szCs w:val="24"/>
        </w:rPr>
        <w:t xml:space="preserve">, ligesom andre </w:t>
      </w:r>
      <w:proofErr w:type="spellStart"/>
      <w:r>
        <w:rPr>
          <w:sz w:val="24"/>
          <w:szCs w:val="24"/>
        </w:rPr>
        <w:t>cefalosporiner</w:t>
      </w:r>
      <w:proofErr w:type="spellEnd"/>
      <w:r>
        <w:rPr>
          <w:sz w:val="24"/>
          <w:szCs w:val="24"/>
        </w:rPr>
        <w:t xml:space="preserve">, påvirker den alkaliske </w:t>
      </w:r>
      <w:proofErr w:type="spellStart"/>
      <w:r>
        <w:rPr>
          <w:sz w:val="24"/>
          <w:szCs w:val="24"/>
        </w:rPr>
        <w:t>pikrat</w:t>
      </w:r>
      <w:proofErr w:type="spellEnd"/>
      <w:r>
        <w:rPr>
          <w:sz w:val="24"/>
          <w:szCs w:val="24"/>
        </w:rPr>
        <w:t xml:space="preserve"> analyse til måling af </w:t>
      </w:r>
      <w:proofErr w:type="spellStart"/>
      <w:r>
        <w:rPr>
          <w:sz w:val="24"/>
          <w:szCs w:val="24"/>
        </w:rPr>
        <w:t>serumkreatinin</w:t>
      </w:r>
      <w:proofErr w:type="spellEnd"/>
      <w:r>
        <w:rPr>
          <w:sz w:val="24"/>
          <w:szCs w:val="24"/>
        </w:rPr>
        <w:t xml:space="preserve"> (</w:t>
      </w:r>
      <w:proofErr w:type="spellStart"/>
      <w:r>
        <w:rPr>
          <w:sz w:val="24"/>
          <w:szCs w:val="24"/>
        </w:rPr>
        <w:t>Jaffé</w:t>
      </w:r>
      <w:proofErr w:type="spellEnd"/>
      <w:r>
        <w:rPr>
          <w:sz w:val="24"/>
          <w:szCs w:val="24"/>
        </w:rPr>
        <w:t xml:space="preserve">-reaktion), hvilket kan føre til fejlagtigt høje </w:t>
      </w:r>
      <w:proofErr w:type="spellStart"/>
      <w:r>
        <w:rPr>
          <w:sz w:val="24"/>
          <w:szCs w:val="24"/>
        </w:rPr>
        <w:t>kreatinin</w:t>
      </w:r>
      <w:proofErr w:type="spellEnd"/>
      <w:r>
        <w:rPr>
          <w:sz w:val="24"/>
          <w:szCs w:val="24"/>
        </w:rPr>
        <w:t xml:space="preserve">-målinger. Det anbefales at anvende en enzymatisk metode til måling af </w:t>
      </w:r>
      <w:proofErr w:type="spellStart"/>
      <w:r>
        <w:rPr>
          <w:sz w:val="24"/>
          <w:szCs w:val="24"/>
        </w:rPr>
        <w:t>serumkreatinin</w:t>
      </w:r>
      <w:proofErr w:type="spellEnd"/>
      <w:r>
        <w:rPr>
          <w:sz w:val="24"/>
          <w:szCs w:val="24"/>
        </w:rPr>
        <w:t xml:space="preserve"> under behandling med </w:t>
      </w:r>
      <w:proofErr w:type="spellStart"/>
      <w:r>
        <w:rPr>
          <w:sz w:val="24"/>
          <w:szCs w:val="24"/>
        </w:rPr>
        <w:t>ceftobiprol</w:t>
      </w:r>
      <w:proofErr w:type="spellEnd"/>
      <w:r>
        <w:rPr>
          <w:sz w:val="24"/>
          <w:szCs w:val="24"/>
        </w:rPr>
        <w:t>.</w:t>
      </w:r>
    </w:p>
    <w:p w:rsidR="00E92CCD" w:rsidRPr="00553FC4" w:rsidRDefault="00E92CCD" w:rsidP="00E92CCD">
      <w:pPr>
        <w:ind w:left="851"/>
        <w:rPr>
          <w:sz w:val="24"/>
          <w:szCs w:val="24"/>
        </w:rPr>
      </w:pPr>
    </w:p>
    <w:p w:rsidR="00E92CCD" w:rsidRPr="00553FC4" w:rsidRDefault="00E92CCD" w:rsidP="00E92CCD">
      <w:pPr>
        <w:ind w:left="851"/>
        <w:rPr>
          <w:sz w:val="24"/>
          <w:szCs w:val="24"/>
          <w:u w:val="single"/>
        </w:rPr>
      </w:pPr>
      <w:r w:rsidRPr="00553FC4">
        <w:rPr>
          <w:sz w:val="24"/>
          <w:szCs w:val="24"/>
          <w:u w:val="single"/>
        </w:rPr>
        <w:t xml:space="preserve">Potentiel påvirkning af test af </w:t>
      </w:r>
      <w:proofErr w:type="spellStart"/>
      <w:r w:rsidRPr="00553FC4">
        <w:rPr>
          <w:sz w:val="24"/>
          <w:szCs w:val="24"/>
          <w:u w:val="single"/>
        </w:rPr>
        <w:t>glu</w:t>
      </w:r>
      <w:r>
        <w:rPr>
          <w:sz w:val="24"/>
          <w:szCs w:val="24"/>
          <w:u w:val="single"/>
        </w:rPr>
        <w:t>c</w:t>
      </w:r>
      <w:r w:rsidRPr="00553FC4">
        <w:rPr>
          <w:sz w:val="24"/>
          <w:szCs w:val="24"/>
          <w:u w:val="single"/>
        </w:rPr>
        <w:t>ose</w:t>
      </w:r>
      <w:proofErr w:type="spellEnd"/>
      <w:r w:rsidRPr="00553FC4">
        <w:rPr>
          <w:sz w:val="24"/>
          <w:szCs w:val="24"/>
          <w:u w:val="single"/>
        </w:rPr>
        <w:t xml:space="preserve"> i urinen</w:t>
      </w:r>
    </w:p>
    <w:p w:rsidR="00747193" w:rsidRDefault="00747193" w:rsidP="00747193">
      <w:pPr>
        <w:ind w:left="851"/>
        <w:rPr>
          <w:sz w:val="24"/>
          <w:szCs w:val="24"/>
        </w:rPr>
      </w:pPr>
      <w:r>
        <w:rPr>
          <w:sz w:val="24"/>
          <w:szCs w:val="24"/>
        </w:rPr>
        <w:t xml:space="preserve">Det anbefales at anvende en enzymatisk metode til at detektere </w:t>
      </w:r>
      <w:proofErr w:type="spellStart"/>
      <w:r>
        <w:rPr>
          <w:sz w:val="24"/>
          <w:szCs w:val="24"/>
        </w:rPr>
        <w:t>glukosuri</w:t>
      </w:r>
      <w:proofErr w:type="spellEnd"/>
      <w:r>
        <w:rPr>
          <w:sz w:val="24"/>
          <w:szCs w:val="24"/>
        </w:rPr>
        <w:t xml:space="preserve"> under behandling med </w:t>
      </w:r>
      <w:proofErr w:type="spellStart"/>
      <w:r>
        <w:rPr>
          <w:sz w:val="24"/>
          <w:szCs w:val="24"/>
        </w:rPr>
        <w:t>ceftobiprol</w:t>
      </w:r>
      <w:proofErr w:type="spellEnd"/>
      <w:r>
        <w:rPr>
          <w:sz w:val="24"/>
          <w:szCs w:val="24"/>
        </w:rPr>
        <w:t xml:space="preserve"> pga. den mulige påvirkning af test, som anvender kobberreduktionsmetoden.</w:t>
      </w:r>
    </w:p>
    <w:p w:rsidR="00E92CCD" w:rsidRPr="00553FC4" w:rsidRDefault="00E92CCD" w:rsidP="00E92CCD">
      <w:pPr>
        <w:ind w:left="851"/>
        <w:rPr>
          <w:sz w:val="24"/>
          <w:szCs w:val="24"/>
        </w:rPr>
      </w:pPr>
    </w:p>
    <w:p w:rsidR="00747193" w:rsidRDefault="00747193" w:rsidP="00747193">
      <w:pPr>
        <w:ind w:left="851"/>
        <w:rPr>
          <w:sz w:val="24"/>
          <w:szCs w:val="24"/>
          <w:u w:val="single"/>
        </w:rPr>
      </w:pPr>
      <w:r>
        <w:rPr>
          <w:sz w:val="24"/>
          <w:szCs w:val="24"/>
          <w:u w:val="single"/>
        </w:rPr>
        <w:t>Indeholder natrium</w:t>
      </w:r>
    </w:p>
    <w:p w:rsidR="00747193" w:rsidRDefault="00747193" w:rsidP="00747193">
      <w:pPr>
        <w:ind w:left="851"/>
        <w:rPr>
          <w:sz w:val="24"/>
          <w:szCs w:val="24"/>
        </w:rPr>
      </w:pPr>
      <w:r>
        <w:rPr>
          <w:sz w:val="24"/>
          <w:szCs w:val="24"/>
        </w:rPr>
        <w:lastRenderedPageBreak/>
        <w:t>Dette lægemiddel indeholder cirka 0,95 mmol (22 mg) natrium per hætteglas, svarende til 1,1 % af den WHO anbefalede maksimale daglige indtagelse af 2 g natrium for en voksen.</w:t>
      </w:r>
    </w:p>
    <w:p w:rsidR="00E92CCD" w:rsidRPr="00553FC4" w:rsidRDefault="00E92CCD" w:rsidP="00E92CCD">
      <w:pPr>
        <w:ind w:left="851" w:hanging="851"/>
        <w:rPr>
          <w:sz w:val="24"/>
          <w:szCs w:val="24"/>
        </w:rPr>
      </w:pPr>
    </w:p>
    <w:p w:rsidR="00E92CCD" w:rsidRPr="00553FC4" w:rsidRDefault="00E92CCD" w:rsidP="00E92CCD">
      <w:pPr>
        <w:keepNext/>
        <w:ind w:left="851" w:hanging="851"/>
        <w:rPr>
          <w:b/>
          <w:sz w:val="24"/>
          <w:szCs w:val="24"/>
        </w:rPr>
      </w:pPr>
      <w:r w:rsidRPr="00553FC4">
        <w:rPr>
          <w:b/>
          <w:sz w:val="24"/>
          <w:szCs w:val="24"/>
        </w:rPr>
        <w:t>4.5</w:t>
      </w:r>
      <w:r w:rsidRPr="00553FC4">
        <w:rPr>
          <w:b/>
          <w:sz w:val="24"/>
          <w:szCs w:val="24"/>
        </w:rPr>
        <w:tab/>
        <w:t>Interaktion med andre lægemidler og andre former for interaktion</w:t>
      </w:r>
    </w:p>
    <w:p w:rsidR="00E92CCD" w:rsidRPr="00553FC4" w:rsidRDefault="00E92CCD" w:rsidP="00E92CCD">
      <w:pPr>
        <w:ind w:left="851" w:hanging="851"/>
        <w:rPr>
          <w:sz w:val="24"/>
          <w:szCs w:val="24"/>
        </w:rPr>
      </w:pPr>
      <w:r w:rsidRPr="00553FC4">
        <w:rPr>
          <w:sz w:val="24"/>
          <w:szCs w:val="24"/>
        </w:rPr>
        <w:tab/>
      </w:r>
      <w:r w:rsidRPr="00553FC4">
        <w:rPr>
          <w:i/>
          <w:iCs/>
          <w:sz w:val="24"/>
          <w:szCs w:val="24"/>
        </w:rPr>
        <w:t xml:space="preserve">In </w:t>
      </w:r>
      <w:proofErr w:type="spellStart"/>
      <w:r w:rsidRPr="00553FC4">
        <w:rPr>
          <w:i/>
          <w:iCs/>
          <w:sz w:val="24"/>
          <w:szCs w:val="24"/>
        </w:rPr>
        <w:t>vitro</w:t>
      </w:r>
      <w:proofErr w:type="spellEnd"/>
      <w:r w:rsidRPr="00553FC4">
        <w:rPr>
          <w:sz w:val="24"/>
          <w:szCs w:val="24"/>
        </w:rPr>
        <w:t xml:space="preserve"> undersøgelser er blevet udført for at undersøge mulige interaktioner på niveauet af CYP-enzymer og transportører. Da koncentrationen af </w:t>
      </w:r>
      <w:proofErr w:type="spellStart"/>
      <w:r w:rsidRPr="00553FC4">
        <w:rPr>
          <w:sz w:val="24"/>
          <w:szCs w:val="24"/>
        </w:rPr>
        <w:t>ceftobiprol</w:t>
      </w:r>
      <w:proofErr w:type="spellEnd"/>
      <w:r w:rsidRPr="00553FC4">
        <w:rPr>
          <w:sz w:val="24"/>
          <w:szCs w:val="24"/>
        </w:rPr>
        <w:t xml:space="preserve"> anvendt i disse undersøgelser var begrænset af opløselighed, kan muligheden for lægemiddelinteraktioner med CYP ikke udelukkes. </w:t>
      </w:r>
    </w:p>
    <w:p w:rsidR="00E92CCD" w:rsidRPr="00553FC4" w:rsidRDefault="00E92CCD" w:rsidP="00E92CCD">
      <w:pPr>
        <w:ind w:left="851" w:hanging="851"/>
        <w:rPr>
          <w:sz w:val="24"/>
          <w:szCs w:val="24"/>
        </w:rPr>
      </w:pPr>
    </w:p>
    <w:p w:rsidR="00747193" w:rsidRDefault="00E92CCD" w:rsidP="00747193">
      <w:pPr>
        <w:ind w:left="851" w:hanging="851"/>
        <w:rPr>
          <w:sz w:val="24"/>
          <w:szCs w:val="24"/>
        </w:rPr>
      </w:pPr>
      <w:r>
        <w:rPr>
          <w:i/>
          <w:sz w:val="24"/>
          <w:szCs w:val="24"/>
        </w:rPr>
        <w:tab/>
      </w:r>
      <w:r w:rsidR="00747193">
        <w:rPr>
          <w:i/>
          <w:sz w:val="24"/>
          <w:szCs w:val="24"/>
        </w:rPr>
        <w:t xml:space="preserve">In </w:t>
      </w:r>
      <w:proofErr w:type="spellStart"/>
      <w:r w:rsidR="00747193">
        <w:rPr>
          <w:i/>
          <w:sz w:val="24"/>
          <w:szCs w:val="24"/>
        </w:rPr>
        <w:t>vitro</w:t>
      </w:r>
      <w:proofErr w:type="spellEnd"/>
      <w:r w:rsidR="00747193">
        <w:rPr>
          <w:sz w:val="24"/>
          <w:szCs w:val="24"/>
        </w:rPr>
        <w:t xml:space="preserve"> undersøgelser viste, at </w:t>
      </w:r>
      <w:proofErr w:type="spellStart"/>
      <w:r w:rsidR="00747193">
        <w:rPr>
          <w:sz w:val="24"/>
          <w:szCs w:val="24"/>
        </w:rPr>
        <w:t>ceftobiprol</w:t>
      </w:r>
      <w:proofErr w:type="spellEnd"/>
      <w:r w:rsidR="00747193">
        <w:rPr>
          <w:sz w:val="24"/>
          <w:szCs w:val="24"/>
        </w:rPr>
        <w:t xml:space="preserve"> hæmmer OATP1B1 og OATP1B3 med IC</w:t>
      </w:r>
      <w:r w:rsidR="00747193">
        <w:rPr>
          <w:sz w:val="24"/>
          <w:szCs w:val="24"/>
          <w:vertAlign w:val="subscript"/>
        </w:rPr>
        <w:t>50</w:t>
      </w:r>
      <w:r w:rsidR="00747193">
        <w:rPr>
          <w:sz w:val="24"/>
          <w:szCs w:val="24"/>
        </w:rPr>
        <w:t xml:space="preserve">’er på hhv. 67,6 µM og 44,1 µM. </w:t>
      </w:r>
      <w:proofErr w:type="spellStart"/>
      <w:r w:rsidR="00747193">
        <w:rPr>
          <w:sz w:val="24"/>
          <w:szCs w:val="24"/>
        </w:rPr>
        <w:t>Ceftobiprol</w:t>
      </w:r>
      <w:proofErr w:type="spellEnd"/>
      <w:r w:rsidR="00747193">
        <w:rPr>
          <w:sz w:val="24"/>
          <w:szCs w:val="24"/>
        </w:rPr>
        <w:t xml:space="preserve"> øger muligvis koncentrationerne af lægemidler elimineret af OATP1B1 og OATP1B3, såsom </w:t>
      </w:r>
      <w:proofErr w:type="spellStart"/>
      <w:r w:rsidR="00747193">
        <w:rPr>
          <w:sz w:val="24"/>
          <w:szCs w:val="24"/>
        </w:rPr>
        <w:t>statiner</w:t>
      </w:r>
      <w:proofErr w:type="spellEnd"/>
      <w:r w:rsidR="00747193">
        <w:rPr>
          <w:sz w:val="24"/>
          <w:szCs w:val="24"/>
        </w:rPr>
        <w:t xml:space="preserve"> (</w:t>
      </w:r>
      <w:proofErr w:type="spellStart"/>
      <w:r w:rsidR="00747193">
        <w:rPr>
          <w:sz w:val="24"/>
          <w:szCs w:val="24"/>
        </w:rPr>
        <w:t>pitavastin</w:t>
      </w:r>
      <w:proofErr w:type="spellEnd"/>
      <w:r w:rsidR="00747193">
        <w:rPr>
          <w:sz w:val="24"/>
          <w:szCs w:val="24"/>
        </w:rPr>
        <w:t xml:space="preserve">, </w:t>
      </w:r>
      <w:proofErr w:type="spellStart"/>
      <w:r w:rsidR="00747193">
        <w:rPr>
          <w:sz w:val="24"/>
          <w:szCs w:val="24"/>
        </w:rPr>
        <w:t>pravastatin</w:t>
      </w:r>
      <w:proofErr w:type="spellEnd"/>
      <w:r w:rsidR="00747193">
        <w:rPr>
          <w:sz w:val="24"/>
          <w:szCs w:val="24"/>
        </w:rPr>
        <w:t xml:space="preserve">, </w:t>
      </w:r>
      <w:proofErr w:type="spellStart"/>
      <w:r w:rsidR="00747193">
        <w:rPr>
          <w:sz w:val="24"/>
          <w:szCs w:val="24"/>
        </w:rPr>
        <w:t>rosuvastatin</w:t>
      </w:r>
      <w:proofErr w:type="spellEnd"/>
      <w:r w:rsidR="00747193">
        <w:rPr>
          <w:sz w:val="24"/>
          <w:szCs w:val="24"/>
        </w:rPr>
        <w:t xml:space="preserve">), </w:t>
      </w:r>
      <w:proofErr w:type="spellStart"/>
      <w:r w:rsidR="00747193">
        <w:rPr>
          <w:sz w:val="24"/>
          <w:szCs w:val="24"/>
        </w:rPr>
        <w:t>glyburid</w:t>
      </w:r>
      <w:proofErr w:type="spellEnd"/>
      <w:r w:rsidR="00747193">
        <w:rPr>
          <w:sz w:val="24"/>
          <w:szCs w:val="24"/>
        </w:rPr>
        <w:t xml:space="preserve"> og </w:t>
      </w:r>
      <w:proofErr w:type="spellStart"/>
      <w:r w:rsidR="00747193">
        <w:rPr>
          <w:sz w:val="24"/>
          <w:szCs w:val="24"/>
        </w:rPr>
        <w:t>bosentan</w:t>
      </w:r>
      <w:proofErr w:type="spellEnd"/>
      <w:r w:rsidR="00747193">
        <w:rPr>
          <w:sz w:val="24"/>
          <w:szCs w:val="24"/>
        </w:rPr>
        <w:t xml:space="preserve">.  </w:t>
      </w:r>
    </w:p>
    <w:p w:rsidR="00747193" w:rsidRDefault="00747193" w:rsidP="00747193">
      <w:pPr>
        <w:ind w:left="851" w:hanging="851"/>
        <w:rPr>
          <w:sz w:val="24"/>
          <w:szCs w:val="24"/>
        </w:rPr>
      </w:pPr>
    </w:p>
    <w:p w:rsidR="00747193" w:rsidRDefault="00747193" w:rsidP="00747193">
      <w:pPr>
        <w:ind w:left="851" w:hanging="851"/>
        <w:rPr>
          <w:sz w:val="24"/>
          <w:szCs w:val="24"/>
        </w:rPr>
      </w:pPr>
      <w:r>
        <w:rPr>
          <w:sz w:val="24"/>
          <w:szCs w:val="24"/>
        </w:rPr>
        <w:tab/>
        <w:t xml:space="preserve">Der er ikke udført kliniske interaktionsstudier. Det anbefales at udvise forsigtighed, når </w:t>
      </w:r>
      <w:proofErr w:type="spellStart"/>
      <w:r>
        <w:rPr>
          <w:sz w:val="24"/>
          <w:szCs w:val="24"/>
        </w:rPr>
        <w:t>ceftobiprol</w:t>
      </w:r>
      <w:proofErr w:type="spellEnd"/>
      <w:r>
        <w:rPr>
          <w:sz w:val="24"/>
          <w:szCs w:val="24"/>
        </w:rPr>
        <w:t xml:space="preserve"> indgives sammen med lægemidler med et snævert terapeutisk indeks. </w:t>
      </w:r>
    </w:p>
    <w:p w:rsidR="00E92CCD" w:rsidRPr="00553FC4" w:rsidRDefault="00E92CCD" w:rsidP="00747193">
      <w:pPr>
        <w:ind w:left="851" w:hanging="851"/>
        <w:rPr>
          <w:sz w:val="24"/>
          <w:szCs w:val="24"/>
        </w:rPr>
      </w:pPr>
    </w:p>
    <w:p w:rsidR="00E92CCD" w:rsidRPr="00553FC4" w:rsidRDefault="00E92CCD" w:rsidP="00E92CCD">
      <w:pPr>
        <w:ind w:left="851" w:hanging="851"/>
        <w:rPr>
          <w:b/>
          <w:sz w:val="24"/>
          <w:szCs w:val="24"/>
        </w:rPr>
      </w:pPr>
      <w:r w:rsidRPr="00553FC4">
        <w:rPr>
          <w:b/>
          <w:sz w:val="24"/>
          <w:szCs w:val="24"/>
        </w:rPr>
        <w:t>4.6</w:t>
      </w:r>
      <w:r w:rsidRPr="00553FC4">
        <w:rPr>
          <w:b/>
          <w:sz w:val="24"/>
          <w:szCs w:val="24"/>
        </w:rPr>
        <w:tab/>
        <w:t>Graviditet og amning</w:t>
      </w:r>
    </w:p>
    <w:p w:rsidR="001763E4" w:rsidRDefault="001763E4" w:rsidP="00E92CCD">
      <w:pPr>
        <w:ind w:left="851"/>
        <w:rPr>
          <w:sz w:val="24"/>
          <w:szCs w:val="24"/>
          <w:u w:val="single"/>
        </w:rPr>
      </w:pPr>
    </w:p>
    <w:p w:rsidR="00E92CCD" w:rsidRPr="00553FC4" w:rsidRDefault="00E92CCD" w:rsidP="00E92CCD">
      <w:pPr>
        <w:ind w:left="851"/>
        <w:rPr>
          <w:sz w:val="24"/>
          <w:szCs w:val="24"/>
          <w:u w:val="single"/>
        </w:rPr>
      </w:pPr>
      <w:r w:rsidRPr="00553FC4">
        <w:rPr>
          <w:sz w:val="24"/>
          <w:szCs w:val="24"/>
          <w:u w:val="single"/>
        </w:rPr>
        <w:t>Fertilitet</w:t>
      </w:r>
    </w:p>
    <w:p w:rsidR="00E92CCD" w:rsidRPr="00553FC4" w:rsidRDefault="00E92CCD" w:rsidP="00E92CCD">
      <w:pPr>
        <w:ind w:left="851"/>
        <w:rPr>
          <w:sz w:val="24"/>
          <w:szCs w:val="24"/>
        </w:rPr>
      </w:pPr>
      <w:r w:rsidRPr="00553FC4">
        <w:rPr>
          <w:sz w:val="24"/>
          <w:szCs w:val="24"/>
        </w:rPr>
        <w:t xml:space="preserve">Virkningen af </w:t>
      </w:r>
      <w:proofErr w:type="spellStart"/>
      <w:r w:rsidRPr="00553FC4">
        <w:rPr>
          <w:sz w:val="24"/>
          <w:szCs w:val="24"/>
        </w:rPr>
        <w:t>ceftobiprol</w:t>
      </w:r>
      <w:proofErr w:type="spellEnd"/>
      <w:r w:rsidRPr="00553FC4">
        <w:rPr>
          <w:sz w:val="24"/>
          <w:szCs w:val="24"/>
        </w:rPr>
        <w:t xml:space="preserve"> </w:t>
      </w:r>
      <w:proofErr w:type="spellStart"/>
      <w:r w:rsidRPr="00553FC4">
        <w:rPr>
          <w:sz w:val="24"/>
          <w:szCs w:val="24"/>
        </w:rPr>
        <w:t>medocaril</w:t>
      </w:r>
      <w:proofErr w:type="spellEnd"/>
      <w:r w:rsidRPr="00553FC4">
        <w:rPr>
          <w:sz w:val="24"/>
          <w:szCs w:val="24"/>
        </w:rPr>
        <w:t xml:space="preserve"> på fertilitet hos mennesker er ikke blevet undersøgt. Dyreforsøg med </w:t>
      </w:r>
      <w:proofErr w:type="spellStart"/>
      <w:r w:rsidRPr="00553FC4">
        <w:rPr>
          <w:sz w:val="24"/>
          <w:szCs w:val="24"/>
        </w:rPr>
        <w:t>ceftobiprol</w:t>
      </w:r>
      <w:proofErr w:type="spellEnd"/>
      <w:r w:rsidRPr="00553FC4">
        <w:rPr>
          <w:sz w:val="24"/>
          <w:szCs w:val="24"/>
        </w:rPr>
        <w:t xml:space="preserve"> </w:t>
      </w:r>
      <w:proofErr w:type="spellStart"/>
      <w:r w:rsidRPr="00553FC4">
        <w:rPr>
          <w:sz w:val="24"/>
          <w:szCs w:val="24"/>
        </w:rPr>
        <w:t>medocaril</w:t>
      </w:r>
      <w:proofErr w:type="spellEnd"/>
      <w:r w:rsidRPr="00553FC4">
        <w:rPr>
          <w:sz w:val="24"/>
          <w:szCs w:val="24"/>
        </w:rPr>
        <w:t xml:space="preserve"> antyder ikke nogen skadelige virkninger med hensyn til fertilitet.</w:t>
      </w:r>
    </w:p>
    <w:p w:rsidR="00E92CCD" w:rsidRDefault="00E92CCD" w:rsidP="00E92CCD">
      <w:pPr>
        <w:ind w:left="851" w:hanging="851"/>
        <w:rPr>
          <w:sz w:val="24"/>
          <w:szCs w:val="24"/>
        </w:rPr>
      </w:pPr>
    </w:p>
    <w:p w:rsidR="00747193" w:rsidRDefault="00E92CCD" w:rsidP="00747193">
      <w:pPr>
        <w:ind w:left="851" w:hanging="851"/>
        <w:rPr>
          <w:sz w:val="24"/>
          <w:szCs w:val="24"/>
        </w:rPr>
      </w:pPr>
      <w:r w:rsidRPr="00553FC4">
        <w:rPr>
          <w:sz w:val="24"/>
          <w:szCs w:val="24"/>
        </w:rPr>
        <w:tab/>
      </w:r>
      <w:r w:rsidR="00747193">
        <w:rPr>
          <w:sz w:val="24"/>
          <w:szCs w:val="24"/>
        </w:rPr>
        <w:t xml:space="preserve">Der er ingen tilstrækkelige og velkontrollerede forsøg med </w:t>
      </w:r>
      <w:proofErr w:type="spellStart"/>
      <w:r w:rsidR="00747193">
        <w:rPr>
          <w:sz w:val="24"/>
          <w:szCs w:val="24"/>
        </w:rPr>
        <w:t>ceftobiprol</w:t>
      </w:r>
      <w:proofErr w:type="spellEnd"/>
      <w:r w:rsidR="00747193">
        <w:rPr>
          <w:sz w:val="24"/>
          <w:szCs w:val="24"/>
        </w:rPr>
        <w:t xml:space="preserve"> hos gravide kvinder. Dyreforsøg angiver hverken direkte eller indirekte skadelige virkninger angående graviditet, fosterudvikling, fødsel eller </w:t>
      </w:r>
      <w:proofErr w:type="spellStart"/>
      <w:r w:rsidR="00747193">
        <w:rPr>
          <w:sz w:val="24"/>
          <w:szCs w:val="24"/>
        </w:rPr>
        <w:t>postnatal</w:t>
      </w:r>
      <w:proofErr w:type="spellEnd"/>
      <w:r w:rsidR="00747193">
        <w:rPr>
          <w:sz w:val="24"/>
          <w:szCs w:val="24"/>
        </w:rPr>
        <w:t xml:space="preserve"> udvikling (se pkt. 5.3). </w:t>
      </w:r>
    </w:p>
    <w:p w:rsidR="00747193" w:rsidRDefault="00747193" w:rsidP="00747193">
      <w:pPr>
        <w:ind w:left="851" w:hanging="851"/>
        <w:rPr>
          <w:sz w:val="24"/>
          <w:szCs w:val="24"/>
        </w:rPr>
      </w:pPr>
    </w:p>
    <w:p w:rsidR="00747193" w:rsidRDefault="00747193" w:rsidP="00747193">
      <w:pPr>
        <w:ind w:left="851" w:hanging="851"/>
        <w:rPr>
          <w:sz w:val="24"/>
          <w:szCs w:val="24"/>
        </w:rPr>
      </w:pPr>
      <w:r>
        <w:rPr>
          <w:sz w:val="24"/>
          <w:szCs w:val="24"/>
        </w:rPr>
        <w:tab/>
        <w:t xml:space="preserve">Da ingen data er tilgængelige fra human eksponering under graviditet, bør </w:t>
      </w:r>
      <w:proofErr w:type="spellStart"/>
      <w:r>
        <w:rPr>
          <w:sz w:val="24"/>
          <w:szCs w:val="24"/>
        </w:rPr>
        <w:t>ceftobiprol</w:t>
      </w:r>
      <w:proofErr w:type="spellEnd"/>
      <w:r>
        <w:rPr>
          <w:sz w:val="24"/>
          <w:szCs w:val="24"/>
        </w:rPr>
        <w:t xml:space="preserve"> ikke anvendes under graviditet, medmindre det er absolut nødvendigt. </w:t>
      </w:r>
    </w:p>
    <w:p w:rsidR="00747193" w:rsidRDefault="00747193" w:rsidP="00747193">
      <w:pPr>
        <w:ind w:left="851" w:hanging="851"/>
        <w:rPr>
          <w:sz w:val="24"/>
          <w:szCs w:val="24"/>
        </w:rPr>
      </w:pPr>
    </w:p>
    <w:p w:rsidR="00E92CCD" w:rsidRPr="00553FC4" w:rsidRDefault="00E92CCD" w:rsidP="00747193">
      <w:pPr>
        <w:ind w:left="851"/>
        <w:rPr>
          <w:sz w:val="24"/>
          <w:szCs w:val="24"/>
          <w:u w:val="single"/>
        </w:rPr>
      </w:pPr>
      <w:r w:rsidRPr="00553FC4">
        <w:rPr>
          <w:sz w:val="24"/>
          <w:szCs w:val="24"/>
          <w:u w:val="single"/>
        </w:rPr>
        <w:t>Amning</w:t>
      </w:r>
    </w:p>
    <w:p w:rsidR="00747193" w:rsidRDefault="00747193" w:rsidP="00747193">
      <w:pPr>
        <w:ind w:left="851"/>
        <w:rPr>
          <w:sz w:val="24"/>
          <w:szCs w:val="24"/>
        </w:rPr>
      </w:pPr>
      <w:r>
        <w:rPr>
          <w:sz w:val="24"/>
          <w:szCs w:val="24"/>
        </w:rPr>
        <w:t xml:space="preserve">Dyreforsøg har påvist udskillelsen af </w:t>
      </w:r>
      <w:proofErr w:type="spellStart"/>
      <w:r>
        <w:rPr>
          <w:sz w:val="24"/>
          <w:szCs w:val="24"/>
        </w:rPr>
        <w:t>ceftobiprol</w:t>
      </w:r>
      <w:proofErr w:type="spellEnd"/>
      <w:r>
        <w:rPr>
          <w:sz w:val="24"/>
          <w:szCs w:val="24"/>
        </w:rPr>
        <w:t xml:space="preserve">/metabolitter i mælk i lave koncentrationer. Det vides ikke, hvorvidt </w:t>
      </w:r>
      <w:proofErr w:type="spellStart"/>
      <w:r>
        <w:rPr>
          <w:sz w:val="24"/>
          <w:szCs w:val="24"/>
        </w:rPr>
        <w:t>ceftobiprol</w:t>
      </w:r>
      <w:proofErr w:type="spellEnd"/>
      <w:r>
        <w:rPr>
          <w:sz w:val="24"/>
          <w:szCs w:val="24"/>
        </w:rPr>
        <w:t xml:space="preserve"> udskilles i human mælk, og risikoen for diarré og svampeinfektion i slimhinderne hos det ammede spædbarn kan ikke udelukkes. Muligheden for sensibilisering bør overvejes. Det skal besluttes, om amning skal ophøre eller behandling med </w:t>
      </w:r>
      <w:proofErr w:type="spellStart"/>
      <w:r>
        <w:rPr>
          <w:sz w:val="24"/>
          <w:szCs w:val="24"/>
        </w:rPr>
        <w:t>ceftobiprol</w:t>
      </w:r>
      <w:proofErr w:type="spellEnd"/>
      <w:r>
        <w:rPr>
          <w:sz w:val="24"/>
          <w:szCs w:val="24"/>
        </w:rPr>
        <w:t xml:space="preserve"> seponeres, idet der tages højde for fordelene ved amning for barnet i forhold til de terapeutiske fordele for moderen.</w:t>
      </w: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4.7</w:t>
      </w:r>
      <w:r w:rsidRPr="00553FC4">
        <w:rPr>
          <w:b/>
          <w:sz w:val="24"/>
          <w:szCs w:val="24"/>
        </w:rPr>
        <w:tab/>
        <w:t>Virkninger på evnen til at føre motorkøretøj eller betjene maskiner</w:t>
      </w:r>
    </w:p>
    <w:p w:rsidR="00747193" w:rsidRDefault="00E92CCD" w:rsidP="00747193">
      <w:pPr>
        <w:ind w:left="851" w:hanging="851"/>
        <w:rPr>
          <w:sz w:val="24"/>
          <w:szCs w:val="24"/>
        </w:rPr>
      </w:pPr>
      <w:r w:rsidRPr="00553FC4">
        <w:rPr>
          <w:sz w:val="24"/>
          <w:szCs w:val="24"/>
        </w:rPr>
        <w:tab/>
      </w:r>
      <w:proofErr w:type="spellStart"/>
      <w:r w:rsidR="00747193">
        <w:rPr>
          <w:sz w:val="24"/>
          <w:szCs w:val="24"/>
        </w:rPr>
        <w:t>Ceftobiprol</w:t>
      </w:r>
      <w:proofErr w:type="spellEnd"/>
      <w:r w:rsidR="00747193">
        <w:rPr>
          <w:sz w:val="24"/>
          <w:szCs w:val="24"/>
        </w:rPr>
        <w:t xml:space="preserve"> kan påvirke evnen til at føre motorkøretøj og betjene maskiner, idet svimmelhed er en almindelig bivirkning.</w:t>
      </w:r>
    </w:p>
    <w:p w:rsidR="00747193" w:rsidRDefault="00747193" w:rsidP="00747193">
      <w:pPr>
        <w:rPr>
          <w:sz w:val="24"/>
          <w:szCs w:val="24"/>
        </w:rPr>
      </w:pPr>
    </w:p>
    <w:p w:rsidR="00E92CCD" w:rsidRPr="00553FC4" w:rsidRDefault="00E92CCD" w:rsidP="00747193">
      <w:pPr>
        <w:ind w:left="851" w:hanging="851"/>
        <w:rPr>
          <w:sz w:val="24"/>
          <w:szCs w:val="24"/>
        </w:rPr>
      </w:pPr>
    </w:p>
    <w:p w:rsidR="001763E4" w:rsidRPr="00AD311F" w:rsidRDefault="00E92CCD" w:rsidP="001763E4">
      <w:pPr>
        <w:ind w:left="851" w:hanging="851"/>
        <w:rPr>
          <w:b/>
          <w:sz w:val="24"/>
          <w:szCs w:val="24"/>
        </w:rPr>
      </w:pPr>
      <w:r w:rsidRPr="00553FC4">
        <w:rPr>
          <w:b/>
          <w:sz w:val="24"/>
          <w:szCs w:val="24"/>
        </w:rPr>
        <w:t>4.8</w:t>
      </w:r>
      <w:r w:rsidRPr="00553FC4">
        <w:rPr>
          <w:b/>
          <w:sz w:val="24"/>
          <w:szCs w:val="24"/>
        </w:rPr>
        <w:tab/>
      </w:r>
      <w:r w:rsidR="001763E4" w:rsidRPr="00AD311F">
        <w:rPr>
          <w:b/>
          <w:sz w:val="24"/>
          <w:szCs w:val="24"/>
        </w:rPr>
        <w:t>Bivirkninger</w:t>
      </w:r>
    </w:p>
    <w:p w:rsidR="001763E4" w:rsidRPr="00AD311F" w:rsidRDefault="001763E4" w:rsidP="001763E4">
      <w:pPr>
        <w:ind w:left="851" w:hanging="851"/>
        <w:rPr>
          <w:sz w:val="24"/>
          <w:szCs w:val="24"/>
          <w:u w:val="single"/>
        </w:rPr>
      </w:pPr>
      <w:r w:rsidRPr="00AD311F">
        <w:rPr>
          <w:sz w:val="24"/>
          <w:szCs w:val="24"/>
        </w:rPr>
        <w:tab/>
      </w:r>
      <w:r w:rsidRPr="00AD311F">
        <w:rPr>
          <w:sz w:val="24"/>
          <w:szCs w:val="24"/>
          <w:u w:val="single"/>
        </w:rPr>
        <w:t>Resumé af sikkerhedsprofilen</w:t>
      </w:r>
    </w:p>
    <w:p w:rsidR="00747193" w:rsidRDefault="00747193" w:rsidP="00747193">
      <w:pPr>
        <w:ind w:left="851"/>
        <w:rPr>
          <w:sz w:val="24"/>
          <w:szCs w:val="24"/>
        </w:rPr>
      </w:pPr>
      <w:r>
        <w:rPr>
          <w:sz w:val="24"/>
          <w:szCs w:val="24"/>
        </w:rPr>
        <w:t xml:space="preserve">1.668 forsøgspersoner blev behandlet med </w:t>
      </w:r>
      <w:proofErr w:type="spellStart"/>
      <w:r>
        <w:rPr>
          <w:sz w:val="24"/>
          <w:szCs w:val="24"/>
        </w:rPr>
        <w:t>ceftobiprol</w:t>
      </w:r>
      <w:proofErr w:type="spellEnd"/>
      <w:r>
        <w:rPr>
          <w:sz w:val="24"/>
          <w:szCs w:val="24"/>
        </w:rPr>
        <w:t xml:space="preserve"> i terapeutiske kliniske forsøg hos voksne. I disse forsøg var der i alt 1.239 forsøgspersoner (696 forsøgspersoner med samfundserhvervet pneumoni og </w:t>
      </w:r>
      <w:proofErr w:type="spellStart"/>
      <w:r>
        <w:rPr>
          <w:sz w:val="24"/>
          <w:szCs w:val="24"/>
        </w:rPr>
        <w:t>nosokomiel</w:t>
      </w:r>
      <w:proofErr w:type="spellEnd"/>
      <w:r>
        <w:rPr>
          <w:sz w:val="24"/>
          <w:szCs w:val="24"/>
        </w:rPr>
        <w:t xml:space="preserve"> pneumoni, og 543 forsøgspersoner med komplicerede hud- og bløddelsinfektioner, </w:t>
      </w:r>
      <w:proofErr w:type="spellStart"/>
      <w:r>
        <w:rPr>
          <w:sz w:val="24"/>
          <w:szCs w:val="24"/>
        </w:rPr>
        <w:t>cSSTI’er</w:t>
      </w:r>
      <w:proofErr w:type="spellEnd"/>
      <w:r>
        <w:rPr>
          <w:sz w:val="24"/>
          <w:szCs w:val="24"/>
        </w:rPr>
        <w:t xml:space="preserve">), som fik 500 mg tre gange dagligt, </w:t>
      </w:r>
      <w:r>
        <w:rPr>
          <w:sz w:val="24"/>
          <w:szCs w:val="24"/>
        </w:rPr>
        <w:lastRenderedPageBreak/>
        <w:t>389 forsøgspersoner (</w:t>
      </w:r>
      <w:proofErr w:type="spellStart"/>
      <w:r>
        <w:rPr>
          <w:sz w:val="24"/>
          <w:szCs w:val="24"/>
        </w:rPr>
        <w:t>cSSTI’er</w:t>
      </w:r>
      <w:proofErr w:type="spellEnd"/>
      <w:r>
        <w:rPr>
          <w:sz w:val="24"/>
          <w:szCs w:val="24"/>
        </w:rPr>
        <w:t>), som fik 500 mg to gange dagligt, og 40 forsøgspersoner (</w:t>
      </w:r>
      <w:proofErr w:type="spellStart"/>
      <w:r>
        <w:rPr>
          <w:sz w:val="24"/>
          <w:szCs w:val="24"/>
        </w:rPr>
        <w:t>cSSTI’er</w:t>
      </w:r>
      <w:proofErr w:type="spellEnd"/>
      <w:r>
        <w:rPr>
          <w:sz w:val="24"/>
          <w:szCs w:val="24"/>
        </w:rPr>
        <w:t xml:space="preserve">), som fik 1 g to gange dagligt. </w:t>
      </w:r>
    </w:p>
    <w:p w:rsidR="00747193" w:rsidRDefault="00747193" w:rsidP="00747193">
      <w:pPr>
        <w:ind w:left="851"/>
        <w:rPr>
          <w:sz w:val="24"/>
          <w:szCs w:val="24"/>
        </w:rPr>
      </w:pPr>
    </w:p>
    <w:p w:rsidR="00747193" w:rsidRDefault="00747193" w:rsidP="00747193">
      <w:pPr>
        <w:ind w:left="851"/>
        <w:rPr>
          <w:sz w:val="24"/>
          <w:szCs w:val="24"/>
        </w:rPr>
      </w:pPr>
      <w:r>
        <w:rPr>
          <w:sz w:val="24"/>
          <w:szCs w:val="24"/>
        </w:rPr>
        <w:t xml:space="preserve">De mest almindelige bivirkninger, som forekom hos ≥ 3 % af patienter behandlet med </w:t>
      </w:r>
      <w:proofErr w:type="spellStart"/>
      <w:r>
        <w:rPr>
          <w:sz w:val="24"/>
          <w:szCs w:val="24"/>
        </w:rPr>
        <w:t>ceftobiprol</w:t>
      </w:r>
      <w:proofErr w:type="spellEnd"/>
      <w:r>
        <w:rPr>
          <w:sz w:val="24"/>
          <w:szCs w:val="24"/>
        </w:rPr>
        <w:t xml:space="preserve">, var kvalme, opkastning, diarré, reaktioner på infusionsstedet, overfølsomhed (herunder nældefeber, kløende udslæt og medicinoverfølsomhed) og </w:t>
      </w:r>
      <w:proofErr w:type="spellStart"/>
      <w:r>
        <w:rPr>
          <w:sz w:val="24"/>
          <w:szCs w:val="24"/>
        </w:rPr>
        <w:t>dysgeusi</w:t>
      </w:r>
      <w:proofErr w:type="spellEnd"/>
      <w:r>
        <w:rPr>
          <w:sz w:val="24"/>
          <w:szCs w:val="24"/>
        </w:rPr>
        <w:t xml:space="preserve">. </w:t>
      </w:r>
    </w:p>
    <w:p w:rsidR="001763E4" w:rsidRPr="00AD311F" w:rsidRDefault="001763E4" w:rsidP="001763E4">
      <w:pPr>
        <w:ind w:left="851"/>
        <w:rPr>
          <w:sz w:val="24"/>
          <w:szCs w:val="24"/>
        </w:rPr>
      </w:pPr>
    </w:p>
    <w:p w:rsidR="001763E4" w:rsidRPr="00AD311F" w:rsidRDefault="001763E4" w:rsidP="001763E4">
      <w:pPr>
        <w:ind w:left="851"/>
        <w:rPr>
          <w:sz w:val="24"/>
          <w:szCs w:val="24"/>
        </w:rPr>
      </w:pPr>
      <w:r w:rsidRPr="00AD311F">
        <w:rPr>
          <w:sz w:val="24"/>
          <w:szCs w:val="24"/>
        </w:rPr>
        <w:t xml:space="preserve">Mindre hyppigt rapporteret, men mere alvorlige bivirkninger inkluderer </w:t>
      </w:r>
      <w:proofErr w:type="spellStart"/>
      <w:r w:rsidRPr="00AD311F">
        <w:rPr>
          <w:sz w:val="24"/>
          <w:szCs w:val="24"/>
        </w:rPr>
        <w:t>trombocytopeni</w:t>
      </w:r>
      <w:proofErr w:type="spellEnd"/>
      <w:r w:rsidRPr="00AD311F">
        <w:rPr>
          <w:sz w:val="24"/>
          <w:szCs w:val="24"/>
        </w:rPr>
        <w:t xml:space="preserve">, </w:t>
      </w:r>
      <w:proofErr w:type="spellStart"/>
      <w:r w:rsidRPr="00AD311F">
        <w:rPr>
          <w:sz w:val="24"/>
          <w:szCs w:val="24"/>
        </w:rPr>
        <w:t>agranulocytose</w:t>
      </w:r>
      <w:proofErr w:type="spellEnd"/>
      <w:r w:rsidRPr="00AD311F">
        <w:rPr>
          <w:sz w:val="24"/>
          <w:szCs w:val="24"/>
        </w:rPr>
        <w:t xml:space="preserve">, anafylaksi, </w:t>
      </w:r>
      <w:proofErr w:type="spellStart"/>
      <w:r w:rsidRPr="00AD311F">
        <w:rPr>
          <w:i/>
          <w:iCs/>
          <w:sz w:val="24"/>
          <w:szCs w:val="24"/>
        </w:rPr>
        <w:t>Clostridioides</w:t>
      </w:r>
      <w:proofErr w:type="spellEnd"/>
      <w:r w:rsidRPr="00AD311F">
        <w:rPr>
          <w:i/>
          <w:iCs/>
          <w:sz w:val="24"/>
          <w:szCs w:val="24"/>
        </w:rPr>
        <w:t xml:space="preserve"> difficile</w:t>
      </w:r>
      <w:r w:rsidRPr="00AD311F">
        <w:rPr>
          <w:sz w:val="24"/>
          <w:szCs w:val="24"/>
        </w:rPr>
        <w:t xml:space="preserve">, </w:t>
      </w:r>
      <w:proofErr w:type="spellStart"/>
      <w:r w:rsidRPr="00AD311F">
        <w:rPr>
          <w:sz w:val="24"/>
          <w:szCs w:val="24"/>
        </w:rPr>
        <w:t>kolit</w:t>
      </w:r>
      <w:proofErr w:type="spellEnd"/>
      <w:r w:rsidRPr="00AD311F">
        <w:rPr>
          <w:sz w:val="24"/>
          <w:szCs w:val="24"/>
        </w:rPr>
        <w:t xml:space="preserve">, muskelsammentrækninger, agitation (herunder angst, panikanfald og mareridt) samt nyresvigt. </w:t>
      </w:r>
    </w:p>
    <w:p w:rsidR="001763E4" w:rsidRPr="00AD311F" w:rsidRDefault="001763E4" w:rsidP="001763E4">
      <w:pPr>
        <w:ind w:left="851"/>
        <w:rPr>
          <w:sz w:val="24"/>
          <w:szCs w:val="24"/>
        </w:rPr>
      </w:pPr>
    </w:p>
    <w:p w:rsidR="00747193" w:rsidRDefault="00747193" w:rsidP="00747193">
      <w:pPr>
        <w:ind w:left="851"/>
        <w:rPr>
          <w:sz w:val="24"/>
          <w:szCs w:val="24"/>
          <w:u w:val="single"/>
        </w:rPr>
      </w:pPr>
      <w:r>
        <w:rPr>
          <w:sz w:val="24"/>
          <w:szCs w:val="24"/>
          <w:u w:val="single"/>
        </w:rPr>
        <w:t>Tabelfortegnelse over bivirkninger</w:t>
      </w:r>
    </w:p>
    <w:p w:rsidR="00747193" w:rsidRDefault="00747193" w:rsidP="00747193">
      <w:pPr>
        <w:ind w:left="851"/>
        <w:rPr>
          <w:sz w:val="24"/>
          <w:szCs w:val="24"/>
        </w:rPr>
      </w:pPr>
      <w:r>
        <w:rPr>
          <w:sz w:val="24"/>
          <w:szCs w:val="24"/>
        </w:rPr>
        <w:t>Følgende bivirkninger blev rapporteret under behandling og under opfølgning med hyppigheder svarende til meget almindelig (</w:t>
      </w:r>
      <w:r>
        <w:rPr>
          <w:rFonts w:ascii="Symbol" w:eastAsia="Symbol" w:hAnsi="Symbol" w:cs="Symbol"/>
          <w:sz w:val="22"/>
          <w:szCs w:val="22"/>
        </w:rPr>
        <w:sym w:font="Symbol" w:char="F0B3"/>
      </w:r>
      <w:r>
        <w:rPr>
          <w:sz w:val="22"/>
          <w:szCs w:val="22"/>
        </w:rPr>
        <w:t> </w:t>
      </w:r>
      <w:r>
        <w:rPr>
          <w:sz w:val="24"/>
          <w:szCs w:val="24"/>
        </w:rPr>
        <w:t>1/10); almindelig (</w:t>
      </w:r>
      <w:r>
        <w:rPr>
          <w:rFonts w:ascii="Symbol" w:eastAsia="Symbol" w:hAnsi="Symbol" w:cs="Symbol"/>
          <w:sz w:val="22"/>
          <w:szCs w:val="22"/>
        </w:rPr>
        <w:sym w:font="Symbol" w:char="F0B3"/>
      </w:r>
      <w:r>
        <w:rPr>
          <w:sz w:val="22"/>
          <w:szCs w:val="22"/>
        </w:rPr>
        <w:t> </w:t>
      </w:r>
      <w:r>
        <w:rPr>
          <w:sz w:val="24"/>
          <w:szCs w:val="24"/>
        </w:rPr>
        <w:t>1/100 til &lt; 1/10); ikke almindelig (</w:t>
      </w:r>
      <w:r>
        <w:rPr>
          <w:rFonts w:ascii="Symbol" w:eastAsia="Symbol" w:hAnsi="Symbol" w:cs="Symbol"/>
          <w:sz w:val="22"/>
          <w:szCs w:val="22"/>
        </w:rPr>
        <w:sym w:font="Symbol" w:char="F0B3"/>
      </w:r>
      <w:r>
        <w:rPr>
          <w:sz w:val="22"/>
          <w:szCs w:val="22"/>
        </w:rPr>
        <w:t> </w:t>
      </w:r>
      <w:r>
        <w:rPr>
          <w:sz w:val="24"/>
          <w:szCs w:val="24"/>
        </w:rPr>
        <w:t>1/1.000 til &lt; 1/100); sjælden (</w:t>
      </w:r>
      <w:r>
        <w:rPr>
          <w:rFonts w:ascii="Symbol" w:eastAsia="Symbol" w:hAnsi="Symbol" w:cs="Symbol"/>
          <w:sz w:val="22"/>
          <w:szCs w:val="22"/>
        </w:rPr>
        <w:sym w:font="Symbol" w:char="F0B3"/>
      </w:r>
      <w:r>
        <w:rPr>
          <w:sz w:val="22"/>
          <w:szCs w:val="22"/>
        </w:rPr>
        <w:t> </w:t>
      </w:r>
      <w:r>
        <w:rPr>
          <w:sz w:val="24"/>
          <w:szCs w:val="24"/>
        </w:rPr>
        <w:t>1/10.000 til &lt; 1/1.000); meget sjælden (&lt; 1/10.000); ikke kendt (kan ikke estimeres ud fra forhåndenværende data).</w:t>
      </w:r>
    </w:p>
    <w:p w:rsidR="00E92CCD" w:rsidRPr="00553FC4" w:rsidRDefault="00E92CCD" w:rsidP="00E92CCD">
      <w:pPr>
        <w:ind w:left="851"/>
        <w:rPr>
          <w:sz w:val="24"/>
          <w:szCs w:val="24"/>
        </w:rPr>
      </w:pPr>
    </w:p>
    <w:p w:rsidR="00747193" w:rsidRDefault="00747193" w:rsidP="00747193">
      <w:pPr>
        <w:ind w:left="851"/>
        <w:rPr>
          <w:b/>
          <w:sz w:val="24"/>
          <w:szCs w:val="24"/>
        </w:rPr>
      </w:pPr>
      <w:r>
        <w:rPr>
          <w:b/>
          <w:bCs/>
          <w:sz w:val="24"/>
          <w:szCs w:val="24"/>
        </w:rPr>
        <w:t>Tabel 3</w:t>
      </w:r>
      <w:r>
        <w:rPr>
          <w:b/>
          <w:bCs/>
          <w:sz w:val="24"/>
          <w:szCs w:val="24"/>
        </w:rPr>
        <w:t xml:space="preserve"> </w:t>
      </w:r>
      <w:r>
        <w:rPr>
          <w:b/>
          <w:bCs/>
          <w:sz w:val="24"/>
          <w:szCs w:val="24"/>
        </w:rPr>
        <w:t>Bivirkninger fra kliniske forsøg og rapporter efter markedsføring</w:t>
      </w:r>
    </w:p>
    <w:p w:rsidR="005F0637" w:rsidRDefault="005F0637" w:rsidP="005F0637">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98"/>
        <w:gridCol w:w="7430"/>
      </w:tblGrid>
      <w:tr w:rsidR="005F0637" w:rsidTr="005F0637">
        <w:trPr>
          <w:cantSplit/>
          <w:tblHeader/>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b/>
                <w:bCs/>
                <w:sz w:val="24"/>
                <w:szCs w:val="24"/>
              </w:rPr>
            </w:pPr>
            <w:r>
              <w:rPr>
                <w:b/>
                <w:bCs/>
                <w:sz w:val="24"/>
                <w:szCs w:val="24"/>
              </w:rPr>
              <w:t>Systemorganklasse</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b/>
                <w:bCs/>
                <w:sz w:val="24"/>
                <w:szCs w:val="24"/>
              </w:rPr>
            </w:pPr>
            <w:r>
              <w:rPr>
                <w:b/>
                <w:bCs/>
                <w:sz w:val="24"/>
                <w:szCs w:val="24"/>
              </w:rPr>
              <w:t>Hyppighed: bivirkninger</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 xml:space="preserve">Infektioner og parasitære sygdomme </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t xml:space="preserve">Svampeinfektion (herunder </w:t>
            </w:r>
            <w:proofErr w:type="spellStart"/>
            <w:r>
              <w:rPr>
                <w:sz w:val="24"/>
                <w:szCs w:val="24"/>
              </w:rPr>
              <w:t>vulvovaginale</w:t>
            </w:r>
            <w:proofErr w:type="spellEnd"/>
            <w:r>
              <w:rPr>
                <w:sz w:val="24"/>
                <w:szCs w:val="24"/>
              </w:rPr>
              <w:t xml:space="preserve">, </w:t>
            </w:r>
            <w:r>
              <w:rPr>
                <w:sz w:val="24"/>
                <w:szCs w:val="24"/>
              </w:rPr>
              <w:tab/>
            </w:r>
            <w:r>
              <w:rPr>
                <w:sz w:val="24"/>
                <w:szCs w:val="24"/>
              </w:rPr>
              <w:tab/>
              <w:t xml:space="preserve">orale og </w:t>
            </w:r>
            <w:proofErr w:type="spellStart"/>
            <w:r>
              <w:rPr>
                <w:sz w:val="24"/>
                <w:szCs w:val="24"/>
              </w:rPr>
              <w:t>kutane</w:t>
            </w:r>
            <w:proofErr w:type="spellEnd"/>
            <w:r>
              <w:rPr>
                <w:sz w:val="24"/>
                <w:szCs w:val="24"/>
              </w:rPr>
              <w:t xml:space="preserve"> svampeinfektioner)</w:t>
            </w:r>
          </w:p>
          <w:p w:rsidR="005F0637" w:rsidRDefault="005F0637">
            <w:pPr>
              <w:rPr>
                <w:sz w:val="24"/>
                <w:szCs w:val="24"/>
              </w:rPr>
            </w:pPr>
            <w:r>
              <w:rPr>
                <w:sz w:val="24"/>
                <w:szCs w:val="24"/>
              </w:rPr>
              <w:t>Ikke almindelig:</w:t>
            </w:r>
            <w:r>
              <w:rPr>
                <w:sz w:val="24"/>
                <w:szCs w:val="24"/>
              </w:rPr>
              <w:tab/>
            </w:r>
            <w:proofErr w:type="spellStart"/>
            <w:r>
              <w:rPr>
                <w:i/>
                <w:iCs/>
                <w:sz w:val="24"/>
                <w:szCs w:val="24"/>
              </w:rPr>
              <w:t>Clostridioides</w:t>
            </w:r>
            <w:proofErr w:type="spellEnd"/>
            <w:r>
              <w:rPr>
                <w:i/>
                <w:iCs/>
                <w:sz w:val="24"/>
                <w:szCs w:val="24"/>
              </w:rPr>
              <w:t xml:space="preserve"> difficile</w:t>
            </w:r>
            <w:r>
              <w:rPr>
                <w:sz w:val="24"/>
                <w:szCs w:val="24"/>
              </w:rPr>
              <w:t xml:space="preserve"> </w:t>
            </w:r>
            <w:proofErr w:type="spellStart"/>
            <w:r>
              <w:rPr>
                <w:sz w:val="24"/>
                <w:szCs w:val="24"/>
              </w:rPr>
              <w:t>kolit</w:t>
            </w:r>
            <w:proofErr w:type="spellEnd"/>
            <w:r>
              <w:rPr>
                <w:sz w:val="24"/>
                <w:szCs w:val="24"/>
              </w:rPr>
              <w:t xml:space="preserve"> (inklusive </w:t>
            </w:r>
            <w:r>
              <w:rPr>
                <w:sz w:val="24"/>
                <w:szCs w:val="24"/>
              </w:rPr>
              <w:tab/>
            </w:r>
            <w:r>
              <w:rPr>
                <w:sz w:val="24"/>
                <w:szCs w:val="24"/>
              </w:rPr>
              <w:tab/>
            </w:r>
            <w:r>
              <w:rPr>
                <w:sz w:val="24"/>
                <w:szCs w:val="24"/>
              </w:rPr>
              <w:tab/>
            </w:r>
            <w:proofErr w:type="spellStart"/>
            <w:r>
              <w:rPr>
                <w:sz w:val="24"/>
                <w:szCs w:val="24"/>
              </w:rPr>
              <w:t>pseudomembranøs</w:t>
            </w:r>
            <w:proofErr w:type="spellEnd"/>
            <w:r>
              <w:rPr>
                <w:sz w:val="24"/>
                <w:szCs w:val="24"/>
              </w:rPr>
              <w:t xml:space="preserve"> </w:t>
            </w:r>
            <w:proofErr w:type="spellStart"/>
            <w:r>
              <w:rPr>
                <w:sz w:val="24"/>
                <w:szCs w:val="24"/>
              </w:rPr>
              <w:t>kolit</w:t>
            </w:r>
            <w:proofErr w:type="spellEnd"/>
            <w:r>
              <w:rPr>
                <w:sz w:val="24"/>
                <w:szCs w:val="24"/>
              </w:rPr>
              <w:t>)</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Blod og lymfesystem</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Ikke almindelig:</w:t>
            </w:r>
            <w:r>
              <w:rPr>
                <w:sz w:val="24"/>
                <w:szCs w:val="24"/>
              </w:rPr>
              <w:tab/>
            </w:r>
            <w:proofErr w:type="spellStart"/>
            <w:r>
              <w:rPr>
                <w:sz w:val="24"/>
                <w:szCs w:val="24"/>
              </w:rPr>
              <w:t>Eosinofili</w:t>
            </w:r>
            <w:proofErr w:type="spellEnd"/>
            <w:r>
              <w:rPr>
                <w:sz w:val="24"/>
                <w:szCs w:val="24"/>
              </w:rPr>
              <w:t xml:space="preserve">, </w:t>
            </w:r>
            <w:proofErr w:type="spellStart"/>
            <w:r>
              <w:rPr>
                <w:sz w:val="24"/>
                <w:szCs w:val="24"/>
              </w:rPr>
              <w:t>leukopeni</w:t>
            </w:r>
            <w:proofErr w:type="spellEnd"/>
            <w:r>
              <w:rPr>
                <w:sz w:val="24"/>
                <w:szCs w:val="24"/>
              </w:rPr>
              <w:t xml:space="preserve">, anæmi, </w:t>
            </w:r>
            <w:r>
              <w:rPr>
                <w:sz w:val="24"/>
                <w:szCs w:val="24"/>
              </w:rPr>
              <w:tab/>
            </w:r>
            <w:r>
              <w:rPr>
                <w:sz w:val="24"/>
                <w:szCs w:val="24"/>
              </w:rPr>
              <w:tab/>
            </w:r>
            <w:r>
              <w:rPr>
                <w:sz w:val="24"/>
                <w:szCs w:val="24"/>
              </w:rPr>
              <w:tab/>
            </w:r>
            <w:proofErr w:type="spellStart"/>
            <w:r>
              <w:rPr>
                <w:sz w:val="24"/>
                <w:szCs w:val="24"/>
              </w:rPr>
              <w:t>trombocytose</w:t>
            </w:r>
            <w:proofErr w:type="spellEnd"/>
            <w:r>
              <w:rPr>
                <w:sz w:val="24"/>
                <w:szCs w:val="24"/>
              </w:rPr>
              <w:t xml:space="preserve">, </w:t>
            </w:r>
            <w:proofErr w:type="spellStart"/>
            <w:r>
              <w:rPr>
                <w:sz w:val="24"/>
                <w:szCs w:val="24"/>
              </w:rPr>
              <w:t>trombocytopeni</w:t>
            </w:r>
            <w:proofErr w:type="spellEnd"/>
          </w:p>
          <w:p w:rsidR="005F0637" w:rsidRDefault="005F0637">
            <w:pPr>
              <w:rPr>
                <w:sz w:val="24"/>
                <w:szCs w:val="24"/>
              </w:rPr>
            </w:pPr>
            <w:r>
              <w:rPr>
                <w:sz w:val="24"/>
                <w:szCs w:val="24"/>
              </w:rPr>
              <w:t>Ikke kendt:</w:t>
            </w:r>
            <w:r>
              <w:rPr>
                <w:sz w:val="24"/>
                <w:szCs w:val="24"/>
              </w:rPr>
              <w:tab/>
            </w:r>
            <w:r>
              <w:rPr>
                <w:sz w:val="24"/>
                <w:szCs w:val="24"/>
              </w:rPr>
              <w:tab/>
            </w:r>
            <w:proofErr w:type="spellStart"/>
            <w:r>
              <w:rPr>
                <w:sz w:val="24"/>
                <w:szCs w:val="24"/>
              </w:rPr>
              <w:t>Agranulocytose</w:t>
            </w:r>
            <w:proofErr w:type="spellEnd"/>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Immunsystemet</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t xml:space="preserve">Overfølsomhedsreaktioner (herunder </w:t>
            </w:r>
            <w:r>
              <w:rPr>
                <w:sz w:val="24"/>
                <w:szCs w:val="24"/>
              </w:rPr>
              <w:tab/>
            </w:r>
            <w:r>
              <w:rPr>
                <w:sz w:val="24"/>
                <w:szCs w:val="24"/>
              </w:rPr>
              <w:tab/>
            </w:r>
            <w:r>
              <w:rPr>
                <w:sz w:val="24"/>
                <w:szCs w:val="24"/>
              </w:rPr>
              <w:tab/>
              <w:t xml:space="preserve">nældefeber, kløende udslæt og </w:t>
            </w:r>
            <w:r>
              <w:rPr>
                <w:sz w:val="24"/>
                <w:szCs w:val="24"/>
              </w:rPr>
              <w:tab/>
            </w:r>
            <w:r>
              <w:rPr>
                <w:sz w:val="24"/>
                <w:szCs w:val="24"/>
              </w:rPr>
              <w:tab/>
            </w:r>
            <w:r>
              <w:rPr>
                <w:sz w:val="24"/>
                <w:szCs w:val="24"/>
              </w:rPr>
              <w:tab/>
              <w:t>medicinoverfølsomhed)</w:t>
            </w:r>
          </w:p>
          <w:p w:rsidR="005F0637" w:rsidRDefault="005F0637">
            <w:pPr>
              <w:rPr>
                <w:sz w:val="24"/>
                <w:szCs w:val="24"/>
              </w:rPr>
            </w:pPr>
            <w:r>
              <w:rPr>
                <w:sz w:val="24"/>
                <w:szCs w:val="24"/>
              </w:rPr>
              <w:t>Ikke almindelig:</w:t>
            </w:r>
            <w:r>
              <w:rPr>
                <w:sz w:val="24"/>
                <w:szCs w:val="24"/>
              </w:rPr>
              <w:tab/>
            </w:r>
            <w:proofErr w:type="spellStart"/>
            <w:r>
              <w:rPr>
                <w:sz w:val="24"/>
                <w:szCs w:val="24"/>
              </w:rPr>
              <w:t>Anafylaktiske</w:t>
            </w:r>
            <w:proofErr w:type="spellEnd"/>
            <w:r>
              <w:rPr>
                <w:sz w:val="24"/>
                <w:szCs w:val="24"/>
                <w:vertAlign w:val="superscript"/>
              </w:rPr>
              <w:t xml:space="preserve"> </w:t>
            </w:r>
            <w:r>
              <w:rPr>
                <w:sz w:val="24"/>
                <w:szCs w:val="24"/>
              </w:rPr>
              <w:t>reaktioner</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 xml:space="preserve">Metabolisme og ernæring </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r>
            <w:proofErr w:type="spellStart"/>
            <w:r>
              <w:rPr>
                <w:sz w:val="24"/>
                <w:szCs w:val="24"/>
              </w:rPr>
              <w:t>Hyponatriæmi</w:t>
            </w:r>
            <w:proofErr w:type="spellEnd"/>
          </w:p>
          <w:p w:rsidR="005F0637" w:rsidRDefault="005F0637">
            <w:pPr>
              <w:rPr>
                <w:sz w:val="24"/>
                <w:szCs w:val="24"/>
              </w:rPr>
            </w:pPr>
            <w:r>
              <w:rPr>
                <w:sz w:val="24"/>
                <w:szCs w:val="24"/>
              </w:rPr>
              <w:t>Ikke almindelig:</w:t>
            </w:r>
            <w:r>
              <w:rPr>
                <w:sz w:val="24"/>
                <w:szCs w:val="24"/>
              </w:rPr>
              <w:tab/>
            </w:r>
            <w:proofErr w:type="spellStart"/>
            <w:r>
              <w:rPr>
                <w:sz w:val="24"/>
                <w:szCs w:val="24"/>
              </w:rPr>
              <w:t>Hypokaliæmi</w:t>
            </w:r>
            <w:proofErr w:type="spellEnd"/>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 xml:space="preserve">Psykiske forstyrrelser </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Ikke almindelig:</w:t>
            </w:r>
            <w:r>
              <w:rPr>
                <w:sz w:val="24"/>
                <w:szCs w:val="24"/>
              </w:rPr>
              <w:tab/>
              <w:t xml:space="preserve">Søvnløshed, agitation (herunder angst, </w:t>
            </w:r>
            <w:r>
              <w:rPr>
                <w:sz w:val="24"/>
                <w:szCs w:val="24"/>
              </w:rPr>
              <w:tab/>
            </w:r>
            <w:r>
              <w:rPr>
                <w:sz w:val="24"/>
                <w:szCs w:val="24"/>
              </w:rPr>
              <w:tab/>
            </w:r>
            <w:r>
              <w:rPr>
                <w:sz w:val="24"/>
                <w:szCs w:val="24"/>
              </w:rPr>
              <w:tab/>
              <w:t>panikanfald og mareridt)</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Nervesystemet</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r>
            <w:proofErr w:type="spellStart"/>
            <w:r>
              <w:rPr>
                <w:sz w:val="24"/>
                <w:szCs w:val="24"/>
              </w:rPr>
              <w:t>Dysgeusi</w:t>
            </w:r>
            <w:proofErr w:type="spellEnd"/>
            <w:r>
              <w:rPr>
                <w:sz w:val="24"/>
                <w:szCs w:val="24"/>
              </w:rPr>
              <w:t xml:space="preserve">, hovedpine, svimmelhed, </w:t>
            </w:r>
            <w:r>
              <w:rPr>
                <w:sz w:val="24"/>
                <w:szCs w:val="24"/>
              </w:rPr>
              <w:tab/>
            </w:r>
            <w:r>
              <w:rPr>
                <w:sz w:val="24"/>
                <w:szCs w:val="24"/>
              </w:rPr>
              <w:tab/>
            </w:r>
            <w:r>
              <w:rPr>
                <w:sz w:val="24"/>
                <w:szCs w:val="24"/>
              </w:rPr>
              <w:tab/>
            </w:r>
            <w:proofErr w:type="spellStart"/>
            <w:r>
              <w:rPr>
                <w:sz w:val="24"/>
                <w:szCs w:val="24"/>
              </w:rPr>
              <w:t>somnolens</w:t>
            </w:r>
            <w:proofErr w:type="spellEnd"/>
          </w:p>
          <w:p w:rsidR="005F0637" w:rsidRDefault="005F0637">
            <w:pPr>
              <w:ind w:left="2631" w:hanging="2610"/>
              <w:rPr>
                <w:sz w:val="24"/>
                <w:szCs w:val="24"/>
              </w:rPr>
            </w:pPr>
            <w:r>
              <w:rPr>
                <w:sz w:val="24"/>
                <w:szCs w:val="24"/>
              </w:rPr>
              <w:t>Ikke almindelig:</w:t>
            </w:r>
            <w:r>
              <w:rPr>
                <w:sz w:val="24"/>
                <w:szCs w:val="24"/>
              </w:rPr>
              <w:tab/>
              <w:t xml:space="preserve">Muskelsammentrækninger (inklusive krampeanfald, epilepsi, generaliseret tonisk-klonisk anfald, </w:t>
            </w:r>
            <w:proofErr w:type="spellStart"/>
            <w:r>
              <w:rPr>
                <w:sz w:val="24"/>
                <w:szCs w:val="24"/>
              </w:rPr>
              <w:t>myoklon</w:t>
            </w:r>
            <w:proofErr w:type="spellEnd"/>
            <w:r>
              <w:rPr>
                <w:sz w:val="24"/>
                <w:szCs w:val="24"/>
              </w:rPr>
              <w:t xml:space="preserve"> epilepsi, </w:t>
            </w:r>
            <w:proofErr w:type="spellStart"/>
            <w:r>
              <w:rPr>
                <w:sz w:val="24"/>
                <w:szCs w:val="24"/>
              </w:rPr>
              <w:t>myoklonus</w:t>
            </w:r>
            <w:proofErr w:type="spellEnd"/>
            <w:r>
              <w:rPr>
                <w:sz w:val="24"/>
                <w:szCs w:val="24"/>
              </w:rPr>
              <w:t xml:space="preserve">, </w:t>
            </w:r>
            <w:proofErr w:type="spellStart"/>
            <w:r>
              <w:rPr>
                <w:sz w:val="24"/>
                <w:szCs w:val="24"/>
              </w:rPr>
              <w:t>anfaldslignende</w:t>
            </w:r>
            <w:proofErr w:type="spellEnd"/>
            <w:r>
              <w:rPr>
                <w:sz w:val="24"/>
                <w:szCs w:val="24"/>
              </w:rPr>
              <w:t xml:space="preserve"> fænomener og status </w:t>
            </w:r>
            <w:proofErr w:type="spellStart"/>
            <w:r>
              <w:rPr>
                <w:sz w:val="24"/>
                <w:szCs w:val="24"/>
              </w:rPr>
              <w:t>epilepticus</w:t>
            </w:r>
            <w:proofErr w:type="spellEnd"/>
            <w:r>
              <w:rPr>
                <w:sz w:val="24"/>
                <w:szCs w:val="24"/>
              </w:rPr>
              <w:t>)</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 xml:space="preserve">Luftveje, thorax og </w:t>
            </w:r>
            <w:proofErr w:type="spellStart"/>
            <w:r>
              <w:rPr>
                <w:i/>
                <w:iCs/>
                <w:sz w:val="24"/>
                <w:szCs w:val="24"/>
              </w:rPr>
              <w:t>mediastinum</w:t>
            </w:r>
            <w:proofErr w:type="spellEnd"/>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Ikke almindelig:</w:t>
            </w:r>
            <w:r>
              <w:rPr>
                <w:sz w:val="24"/>
                <w:szCs w:val="24"/>
              </w:rPr>
              <w:tab/>
              <w:t xml:space="preserve">Dyspnø, </w:t>
            </w:r>
            <w:proofErr w:type="spellStart"/>
            <w:r>
              <w:rPr>
                <w:sz w:val="24"/>
                <w:szCs w:val="24"/>
              </w:rPr>
              <w:t>faryngolaryngeale</w:t>
            </w:r>
            <w:proofErr w:type="spellEnd"/>
            <w:r>
              <w:rPr>
                <w:sz w:val="24"/>
                <w:szCs w:val="24"/>
              </w:rPr>
              <w:t xml:space="preserve"> smerter, astma</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Mave-tarm-kanalen</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t>Kvalme, opkastning, dia</w:t>
            </w:r>
            <w:r w:rsidR="00AB41BE">
              <w:rPr>
                <w:sz w:val="24"/>
                <w:szCs w:val="24"/>
              </w:rPr>
              <w:t>r</w:t>
            </w:r>
            <w:r>
              <w:rPr>
                <w:sz w:val="24"/>
                <w:szCs w:val="24"/>
              </w:rPr>
              <w:t xml:space="preserve">ré, mavesmerter, </w:t>
            </w:r>
            <w:r>
              <w:rPr>
                <w:sz w:val="24"/>
                <w:szCs w:val="24"/>
              </w:rPr>
              <w:tab/>
            </w:r>
            <w:r>
              <w:rPr>
                <w:sz w:val="24"/>
                <w:szCs w:val="24"/>
              </w:rPr>
              <w:tab/>
              <w:t>dyspepsi</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 xml:space="preserve">Lever og galdeveje </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t xml:space="preserve">Forhøjede leverenzymer (herunder ASAT, </w:t>
            </w:r>
            <w:r>
              <w:rPr>
                <w:sz w:val="24"/>
                <w:szCs w:val="24"/>
              </w:rPr>
              <w:tab/>
            </w:r>
            <w:r>
              <w:rPr>
                <w:sz w:val="24"/>
                <w:szCs w:val="24"/>
              </w:rPr>
              <w:tab/>
              <w:t>ALAT, LDH og alkalisk fosfatase)</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 xml:space="preserve">Hud og subkutane væv </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t xml:space="preserve">Udslæt (herunder </w:t>
            </w:r>
            <w:proofErr w:type="spellStart"/>
            <w:r>
              <w:rPr>
                <w:sz w:val="24"/>
                <w:szCs w:val="24"/>
              </w:rPr>
              <w:t>makulært</w:t>
            </w:r>
            <w:proofErr w:type="spellEnd"/>
            <w:r>
              <w:rPr>
                <w:sz w:val="24"/>
                <w:szCs w:val="24"/>
              </w:rPr>
              <w:t xml:space="preserve">, papuløst, </w:t>
            </w:r>
            <w:r>
              <w:rPr>
                <w:sz w:val="24"/>
                <w:szCs w:val="24"/>
              </w:rPr>
              <w:tab/>
            </w:r>
            <w:r>
              <w:rPr>
                <w:sz w:val="24"/>
                <w:szCs w:val="24"/>
              </w:rPr>
              <w:tab/>
            </w:r>
            <w:r>
              <w:rPr>
                <w:sz w:val="24"/>
                <w:szCs w:val="24"/>
              </w:rPr>
              <w:tab/>
            </w:r>
            <w:proofErr w:type="spellStart"/>
            <w:r>
              <w:rPr>
                <w:sz w:val="24"/>
                <w:szCs w:val="24"/>
              </w:rPr>
              <w:t>makulopapuløst</w:t>
            </w:r>
            <w:proofErr w:type="spellEnd"/>
            <w:r>
              <w:rPr>
                <w:sz w:val="24"/>
                <w:szCs w:val="24"/>
              </w:rPr>
              <w:t xml:space="preserve"> og generaliseret udslæt), </w:t>
            </w:r>
            <w:r>
              <w:rPr>
                <w:sz w:val="24"/>
                <w:szCs w:val="24"/>
              </w:rPr>
              <w:tab/>
            </w:r>
            <w:r>
              <w:rPr>
                <w:sz w:val="24"/>
                <w:szCs w:val="24"/>
              </w:rPr>
              <w:tab/>
              <w:t>kløe</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lastRenderedPageBreak/>
              <w:t xml:space="preserve">Knogler, led, muskler og bindevæv </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Ikke almindelig:</w:t>
            </w:r>
            <w:r>
              <w:rPr>
                <w:sz w:val="24"/>
                <w:szCs w:val="24"/>
              </w:rPr>
              <w:tab/>
              <w:t>Muskelspasmer</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Nyrer og urinveje</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Ikke almindelig:</w:t>
            </w:r>
            <w:r>
              <w:rPr>
                <w:sz w:val="24"/>
                <w:szCs w:val="24"/>
              </w:rPr>
              <w:tab/>
              <w:t xml:space="preserve">Nyresvigt (inklusive potentielle interaktioner </w:t>
            </w:r>
            <w:r>
              <w:rPr>
                <w:sz w:val="24"/>
                <w:szCs w:val="24"/>
              </w:rPr>
              <w:tab/>
            </w:r>
            <w:r>
              <w:rPr>
                <w:sz w:val="24"/>
                <w:szCs w:val="24"/>
              </w:rPr>
              <w:tab/>
              <w:t xml:space="preserve">med </w:t>
            </w:r>
            <w:proofErr w:type="spellStart"/>
            <w:r>
              <w:rPr>
                <w:sz w:val="24"/>
                <w:szCs w:val="24"/>
              </w:rPr>
              <w:t>nefrotoksiske</w:t>
            </w:r>
            <w:proofErr w:type="spellEnd"/>
            <w:r>
              <w:rPr>
                <w:sz w:val="24"/>
                <w:szCs w:val="24"/>
              </w:rPr>
              <w:t xml:space="preserve"> lægemidler)</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Almene symptomer og reaktioner på administrationsstedet</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Almindelig:</w:t>
            </w:r>
            <w:r>
              <w:rPr>
                <w:sz w:val="24"/>
                <w:szCs w:val="24"/>
              </w:rPr>
              <w:tab/>
            </w:r>
            <w:r>
              <w:rPr>
                <w:sz w:val="24"/>
                <w:szCs w:val="24"/>
              </w:rPr>
              <w:tab/>
              <w:t>Reaktioner på infusionsstedet</w:t>
            </w:r>
          </w:p>
          <w:p w:rsidR="005F0637" w:rsidRDefault="005F0637">
            <w:pPr>
              <w:rPr>
                <w:sz w:val="24"/>
                <w:szCs w:val="24"/>
              </w:rPr>
            </w:pPr>
            <w:r>
              <w:rPr>
                <w:sz w:val="24"/>
                <w:szCs w:val="24"/>
              </w:rPr>
              <w:t>Ikke almindelig:</w:t>
            </w:r>
            <w:r>
              <w:rPr>
                <w:sz w:val="24"/>
                <w:szCs w:val="24"/>
              </w:rPr>
              <w:tab/>
              <w:t>Perifert ødem</w:t>
            </w:r>
          </w:p>
        </w:tc>
      </w:tr>
      <w:tr w:rsidR="005F0637" w:rsidTr="005F0637">
        <w:trPr>
          <w:cantSplit/>
        </w:trPr>
        <w:tc>
          <w:tcPr>
            <w:tcW w:w="1108" w:type="pct"/>
            <w:tcBorders>
              <w:top w:val="single" w:sz="4" w:space="0" w:color="auto"/>
              <w:left w:val="single" w:sz="4" w:space="0" w:color="auto"/>
              <w:bottom w:val="single" w:sz="4" w:space="0" w:color="auto"/>
              <w:right w:val="single" w:sz="4" w:space="0" w:color="auto"/>
            </w:tcBorders>
            <w:noWrap/>
            <w:hideMark/>
          </w:tcPr>
          <w:p w:rsidR="005F0637" w:rsidRDefault="005F0637">
            <w:pPr>
              <w:rPr>
                <w:i/>
                <w:iCs/>
                <w:sz w:val="24"/>
                <w:szCs w:val="24"/>
              </w:rPr>
            </w:pPr>
            <w:r>
              <w:rPr>
                <w:i/>
                <w:iCs/>
                <w:sz w:val="24"/>
                <w:szCs w:val="24"/>
              </w:rPr>
              <w:t xml:space="preserve">Undersøgelser </w:t>
            </w:r>
          </w:p>
        </w:tc>
        <w:tc>
          <w:tcPr>
            <w:tcW w:w="3892" w:type="pct"/>
            <w:tcBorders>
              <w:top w:val="single" w:sz="4" w:space="0" w:color="auto"/>
              <w:left w:val="single" w:sz="4" w:space="0" w:color="auto"/>
              <w:bottom w:val="single" w:sz="4" w:space="0" w:color="auto"/>
              <w:right w:val="single" w:sz="4" w:space="0" w:color="auto"/>
            </w:tcBorders>
            <w:noWrap/>
            <w:hideMark/>
          </w:tcPr>
          <w:p w:rsidR="005F0637" w:rsidRDefault="005F0637">
            <w:pPr>
              <w:rPr>
                <w:sz w:val="24"/>
                <w:szCs w:val="24"/>
              </w:rPr>
            </w:pPr>
            <w:r>
              <w:rPr>
                <w:sz w:val="24"/>
                <w:szCs w:val="24"/>
              </w:rPr>
              <w:t>Ikke almindelig:</w:t>
            </w:r>
            <w:r>
              <w:rPr>
                <w:sz w:val="24"/>
                <w:szCs w:val="24"/>
              </w:rPr>
              <w:tab/>
              <w:t xml:space="preserve">Forhøjede triglycerider i blodet, forhøjet </w:t>
            </w:r>
            <w:r>
              <w:rPr>
                <w:sz w:val="24"/>
                <w:szCs w:val="24"/>
              </w:rPr>
              <w:tab/>
            </w:r>
            <w:r>
              <w:rPr>
                <w:sz w:val="24"/>
                <w:szCs w:val="24"/>
              </w:rPr>
              <w:tab/>
            </w:r>
            <w:proofErr w:type="spellStart"/>
            <w:r>
              <w:rPr>
                <w:sz w:val="24"/>
                <w:szCs w:val="24"/>
              </w:rPr>
              <w:t>kreatinin</w:t>
            </w:r>
            <w:proofErr w:type="spellEnd"/>
            <w:r>
              <w:rPr>
                <w:sz w:val="24"/>
                <w:szCs w:val="24"/>
              </w:rPr>
              <w:t xml:space="preserve"> i blodet, forhøjet blodsukker</w:t>
            </w:r>
          </w:p>
          <w:p w:rsidR="005F0637" w:rsidRDefault="005F0637">
            <w:pPr>
              <w:rPr>
                <w:sz w:val="24"/>
                <w:szCs w:val="24"/>
              </w:rPr>
            </w:pPr>
            <w:r>
              <w:rPr>
                <w:sz w:val="24"/>
                <w:szCs w:val="24"/>
              </w:rPr>
              <w:t>Ikke kendt:</w:t>
            </w:r>
            <w:r>
              <w:rPr>
                <w:sz w:val="24"/>
                <w:szCs w:val="24"/>
              </w:rPr>
              <w:tab/>
            </w:r>
            <w:r>
              <w:rPr>
                <w:sz w:val="24"/>
                <w:szCs w:val="24"/>
              </w:rPr>
              <w:tab/>
            </w:r>
            <w:proofErr w:type="spellStart"/>
            <w:r>
              <w:rPr>
                <w:sz w:val="24"/>
                <w:szCs w:val="24"/>
              </w:rPr>
              <w:t>Coombs</w:t>
            </w:r>
            <w:proofErr w:type="spellEnd"/>
            <w:r>
              <w:rPr>
                <w:sz w:val="24"/>
                <w:szCs w:val="24"/>
              </w:rPr>
              <w:t xml:space="preserve"> direkte test positiv</w:t>
            </w:r>
          </w:p>
        </w:tc>
      </w:tr>
    </w:tbl>
    <w:p w:rsidR="005F0637" w:rsidRDefault="005F0637" w:rsidP="005F0637">
      <w:pPr>
        <w:ind w:left="851" w:hanging="851"/>
        <w:rPr>
          <w:sz w:val="24"/>
          <w:szCs w:val="24"/>
        </w:rPr>
      </w:pPr>
    </w:p>
    <w:p w:rsidR="00AB41BE" w:rsidRDefault="00AB41BE" w:rsidP="00AB41BE">
      <w:pPr>
        <w:rPr>
          <w:sz w:val="24"/>
          <w:szCs w:val="24"/>
          <w:u w:val="single"/>
        </w:rPr>
      </w:pPr>
      <w:r>
        <w:rPr>
          <w:sz w:val="24"/>
          <w:szCs w:val="24"/>
          <w:u w:val="single"/>
        </w:rPr>
        <w:t>Pædiatrisk population</w:t>
      </w:r>
    </w:p>
    <w:p w:rsidR="00AB41BE" w:rsidRDefault="00AB41BE" w:rsidP="00AB41BE">
      <w:pPr>
        <w:rPr>
          <w:sz w:val="24"/>
          <w:szCs w:val="24"/>
        </w:rPr>
      </w:pPr>
      <w:r>
        <w:rPr>
          <w:sz w:val="24"/>
          <w:szCs w:val="24"/>
        </w:rPr>
        <w:t xml:space="preserve">I ét terapeutisk klinisk forsøg hos pædiatriske patienter med samfundserhvervet eller </w:t>
      </w:r>
      <w:proofErr w:type="spellStart"/>
      <w:r>
        <w:rPr>
          <w:sz w:val="24"/>
          <w:szCs w:val="24"/>
        </w:rPr>
        <w:t>nosokomiel</w:t>
      </w:r>
      <w:proofErr w:type="spellEnd"/>
      <w:r>
        <w:rPr>
          <w:sz w:val="24"/>
          <w:szCs w:val="24"/>
        </w:rPr>
        <w:t xml:space="preserve"> pneumoni fik 94 forsøgspersoner i alderen 3 måneder til 17 år </w:t>
      </w:r>
      <w:proofErr w:type="spellStart"/>
      <w:r>
        <w:rPr>
          <w:sz w:val="24"/>
          <w:szCs w:val="24"/>
        </w:rPr>
        <w:t>ceftobiprol</w:t>
      </w:r>
      <w:proofErr w:type="spellEnd"/>
      <w:r>
        <w:rPr>
          <w:sz w:val="24"/>
          <w:szCs w:val="24"/>
        </w:rPr>
        <w:t xml:space="preserve">. I to andre kliniske forsøg fik 64 forsøgspersoner i alderen 3 måneder til 17 år og 15 forsøgspersoner i alderen 0 (nyfødte) til &lt; 3 måneder en enkelt dosis </w:t>
      </w:r>
      <w:proofErr w:type="spellStart"/>
      <w:r>
        <w:rPr>
          <w:sz w:val="24"/>
          <w:szCs w:val="24"/>
        </w:rPr>
        <w:t>ceftobiprol</w:t>
      </w:r>
      <w:proofErr w:type="spellEnd"/>
      <w:r>
        <w:rPr>
          <w:sz w:val="24"/>
          <w:szCs w:val="24"/>
        </w:rPr>
        <w:t>. Generelt svarede sikkerhedsprofilen hos pædiatriske patienter til den, der sås hos den voksne population.</w:t>
      </w:r>
    </w:p>
    <w:p w:rsidR="00AB41BE" w:rsidRDefault="00AB41BE" w:rsidP="005F0637">
      <w:pPr>
        <w:ind w:left="851" w:hanging="851"/>
        <w:rPr>
          <w:sz w:val="24"/>
          <w:szCs w:val="24"/>
        </w:rPr>
      </w:pPr>
    </w:p>
    <w:p w:rsidR="005F0637" w:rsidRDefault="005F0637" w:rsidP="005F0637">
      <w:pPr>
        <w:tabs>
          <w:tab w:val="left" w:pos="567"/>
        </w:tabs>
        <w:autoSpaceDE w:val="0"/>
        <w:autoSpaceDN w:val="0"/>
        <w:adjustRightInd w:val="0"/>
        <w:spacing w:line="260" w:lineRule="exact"/>
        <w:ind w:left="851"/>
        <w:rPr>
          <w:sz w:val="24"/>
          <w:szCs w:val="24"/>
          <w:u w:val="single"/>
        </w:rPr>
      </w:pPr>
      <w:r>
        <w:rPr>
          <w:sz w:val="24"/>
          <w:szCs w:val="24"/>
          <w:u w:val="single"/>
        </w:rPr>
        <w:t>Indberetning af formodede bivirkninger</w:t>
      </w:r>
    </w:p>
    <w:p w:rsidR="005F0637" w:rsidRDefault="005F0637" w:rsidP="005F0637">
      <w:pPr>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E92CCD" w:rsidRPr="00CE17CD" w:rsidRDefault="00E92CCD" w:rsidP="00E92CCD">
      <w:pPr>
        <w:autoSpaceDE w:val="0"/>
        <w:autoSpaceDN w:val="0"/>
        <w:adjustRightInd w:val="0"/>
        <w:ind w:left="851"/>
        <w:rPr>
          <w:sz w:val="24"/>
          <w:szCs w:val="24"/>
        </w:rPr>
      </w:pPr>
    </w:p>
    <w:p w:rsidR="00AB41BE" w:rsidRDefault="00AB41BE" w:rsidP="00AB41BE">
      <w:pPr>
        <w:autoSpaceDE w:val="0"/>
        <w:autoSpaceDN w:val="0"/>
        <w:adjustRightInd w:val="0"/>
        <w:ind w:left="851"/>
        <w:rPr>
          <w:sz w:val="24"/>
          <w:szCs w:val="24"/>
        </w:rPr>
      </w:pPr>
      <w:r>
        <w:rPr>
          <w:sz w:val="24"/>
          <w:szCs w:val="24"/>
        </w:rPr>
        <w:t>Lægemiddelstyrelsen</w:t>
      </w:r>
    </w:p>
    <w:p w:rsidR="00AB41BE" w:rsidRDefault="00AB41BE" w:rsidP="00AB41BE">
      <w:pPr>
        <w:autoSpaceDE w:val="0"/>
        <w:autoSpaceDN w:val="0"/>
        <w:adjustRightInd w:val="0"/>
        <w:ind w:left="851"/>
        <w:rPr>
          <w:sz w:val="24"/>
          <w:szCs w:val="24"/>
        </w:rPr>
      </w:pPr>
      <w:r>
        <w:rPr>
          <w:sz w:val="24"/>
          <w:szCs w:val="24"/>
        </w:rPr>
        <w:t>Axel Heides Gade 1</w:t>
      </w:r>
    </w:p>
    <w:p w:rsidR="00AB41BE" w:rsidRDefault="00AB41BE" w:rsidP="00AB41BE">
      <w:pPr>
        <w:autoSpaceDE w:val="0"/>
        <w:autoSpaceDN w:val="0"/>
        <w:adjustRightInd w:val="0"/>
        <w:ind w:left="851"/>
        <w:rPr>
          <w:sz w:val="24"/>
          <w:szCs w:val="24"/>
        </w:rPr>
      </w:pPr>
      <w:r>
        <w:rPr>
          <w:sz w:val="24"/>
          <w:szCs w:val="24"/>
        </w:rPr>
        <w:t>DK-2300 København S</w:t>
      </w:r>
    </w:p>
    <w:p w:rsidR="00AB41BE" w:rsidRDefault="00AB41BE" w:rsidP="00AB41BE">
      <w:pPr>
        <w:autoSpaceDE w:val="0"/>
        <w:autoSpaceDN w:val="0"/>
        <w:adjustRightInd w:val="0"/>
        <w:ind w:left="851"/>
        <w:rPr>
          <w:sz w:val="24"/>
          <w:szCs w:val="24"/>
        </w:rPr>
      </w:pPr>
      <w:r>
        <w:rPr>
          <w:sz w:val="24"/>
          <w:szCs w:val="24"/>
        </w:rPr>
        <w:t xml:space="preserve">Websted: </w:t>
      </w:r>
      <w:hyperlink r:id="rId8" w:history="1">
        <w:r>
          <w:rPr>
            <w:rStyle w:val="Hyperlink"/>
            <w:szCs w:val="24"/>
          </w:rPr>
          <w:t>www.meldenbivirkning.dk</w:t>
        </w:r>
      </w:hyperlink>
      <w:r>
        <w:rPr>
          <w:sz w:val="24"/>
          <w:szCs w:val="24"/>
        </w:rPr>
        <w:t>.</w:t>
      </w:r>
    </w:p>
    <w:p w:rsidR="00E92CCD" w:rsidRPr="00E75B9F" w:rsidRDefault="00E92CCD" w:rsidP="00AB41BE">
      <w:pPr>
        <w:autoSpaceDE w:val="0"/>
        <w:autoSpaceDN w:val="0"/>
        <w:adjustRightInd w:val="0"/>
        <w:rPr>
          <w:sz w:val="24"/>
          <w:szCs w:val="24"/>
        </w:rPr>
      </w:pPr>
    </w:p>
    <w:p w:rsidR="00E92CCD" w:rsidRPr="00E75B9F" w:rsidRDefault="00E92CCD" w:rsidP="00E92CCD">
      <w:pPr>
        <w:pStyle w:val="Sidehoved"/>
        <w:tabs>
          <w:tab w:val="clear" w:pos="4819"/>
          <w:tab w:val="clear" w:pos="9638"/>
        </w:tabs>
        <w:ind w:left="851" w:hanging="851"/>
        <w:rPr>
          <w:szCs w:val="24"/>
        </w:rPr>
      </w:pPr>
    </w:p>
    <w:p w:rsidR="00AB41BE" w:rsidRDefault="00E92CCD" w:rsidP="00AB41BE">
      <w:pPr>
        <w:ind w:left="851" w:hanging="851"/>
        <w:rPr>
          <w:b/>
          <w:sz w:val="24"/>
          <w:szCs w:val="24"/>
        </w:rPr>
      </w:pPr>
      <w:r w:rsidRPr="00553FC4">
        <w:rPr>
          <w:b/>
          <w:sz w:val="24"/>
          <w:szCs w:val="24"/>
        </w:rPr>
        <w:t>4.9</w:t>
      </w:r>
      <w:r w:rsidRPr="00553FC4">
        <w:rPr>
          <w:b/>
          <w:sz w:val="24"/>
          <w:szCs w:val="24"/>
        </w:rPr>
        <w:tab/>
        <w:t>Overdosering</w:t>
      </w:r>
    </w:p>
    <w:p w:rsidR="00AB41BE" w:rsidRDefault="00AB41BE" w:rsidP="00AB41BE">
      <w:pPr>
        <w:ind w:left="851" w:hanging="851"/>
        <w:rPr>
          <w:sz w:val="24"/>
          <w:szCs w:val="24"/>
        </w:rPr>
      </w:pPr>
      <w:r>
        <w:rPr>
          <w:sz w:val="24"/>
          <w:szCs w:val="24"/>
        </w:rPr>
        <w:tab/>
        <w:t xml:space="preserve">Information om overdosering med </w:t>
      </w:r>
      <w:proofErr w:type="spellStart"/>
      <w:r>
        <w:rPr>
          <w:sz w:val="24"/>
          <w:szCs w:val="24"/>
        </w:rPr>
        <w:t>ceftobiprol</w:t>
      </w:r>
      <w:proofErr w:type="spellEnd"/>
      <w:r>
        <w:rPr>
          <w:sz w:val="24"/>
          <w:szCs w:val="24"/>
        </w:rPr>
        <w:t xml:space="preserve"> hos mennesker er ikke tilgængelig. Den højeste daglige dosis indgivet i fase 1 forsøg var 3 g (1 g hver 8 time). Hvis overdosering forekommer, skal patienten behandles symptomatisk. Koncentrationer af </w:t>
      </w:r>
      <w:proofErr w:type="spellStart"/>
      <w:r>
        <w:rPr>
          <w:sz w:val="24"/>
          <w:szCs w:val="24"/>
        </w:rPr>
        <w:t>ceftobiprol</w:t>
      </w:r>
      <w:proofErr w:type="spellEnd"/>
      <w:r>
        <w:rPr>
          <w:sz w:val="24"/>
          <w:szCs w:val="24"/>
        </w:rPr>
        <w:t xml:space="preserve"> i plasma kan reduceres ved hæmodialyse. </w:t>
      </w:r>
    </w:p>
    <w:p w:rsidR="00E92CCD" w:rsidRPr="00553FC4" w:rsidRDefault="00E92CCD" w:rsidP="00AB41BE">
      <w:pPr>
        <w:rPr>
          <w:sz w:val="24"/>
          <w:szCs w:val="24"/>
        </w:rPr>
      </w:pPr>
      <w:r w:rsidRPr="00553FC4">
        <w:rPr>
          <w:sz w:val="24"/>
          <w:szCs w:val="24"/>
        </w:rPr>
        <w:t xml:space="preserve"> </w:t>
      </w: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4.10</w:t>
      </w:r>
      <w:r w:rsidRPr="00553FC4">
        <w:rPr>
          <w:b/>
          <w:sz w:val="24"/>
          <w:szCs w:val="24"/>
        </w:rPr>
        <w:tab/>
        <w:t>Udlevering</w:t>
      </w:r>
    </w:p>
    <w:p w:rsidR="00E92CCD" w:rsidRPr="00553FC4" w:rsidRDefault="00E92CCD" w:rsidP="00E92CCD">
      <w:pPr>
        <w:ind w:left="851" w:hanging="851"/>
        <w:rPr>
          <w:sz w:val="24"/>
          <w:szCs w:val="24"/>
        </w:rPr>
      </w:pPr>
      <w:r w:rsidRPr="00553FC4">
        <w:rPr>
          <w:sz w:val="24"/>
          <w:szCs w:val="24"/>
        </w:rPr>
        <w:tab/>
      </w:r>
      <w:r>
        <w:rPr>
          <w:sz w:val="24"/>
          <w:szCs w:val="24"/>
        </w:rPr>
        <w:t>B</w:t>
      </w:r>
    </w:p>
    <w:p w:rsidR="00E92CCD" w:rsidRPr="00553FC4" w:rsidRDefault="00E92CCD" w:rsidP="00E92CCD">
      <w:pPr>
        <w:ind w:left="851" w:hanging="851"/>
        <w:rPr>
          <w:sz w:val="24"/>
          <w:szCs w:val="24"/>
        </w:rPr>
      </w:pP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5.</w:t>
      </w:r>
      <w:r w:rsidRPr="00553FC4">
        <w:rPr>
          <w:b/>
          <w:sz w:val="24"/>
          <w:szCs w:val="24"/>
        </w:rPr>
        <w:tab/>
        <w:t>FARMAKOLOGISKE EGENSKABER</w:t>
      </w:r>
    </w:p>
    <w:p w:rsidR="00E92CCD" w:rsidRPr="00553FC4" w:rsidRDefault="00E92CCD" w:rsidP="00E92CCD">
      <w:pPr>
        <w:ind w:left="851" w:hanging="851"/>
        <w:rPr>
          <w:sz w:val="24"/>
          <w:szCs w:val="24"/>
        </w:rPr>
      </w:pPr>
    </w:p>
    <w:p w:rsidR="00E92CCD" w:rsidRPr="00553FC4" w:rsidRDefault="00E92CCD" w:rsidP="00AB41BE">
      <w:pPr>
        <w:rPr>
          <w:sz w:val="24"/>
          <w:szCs w:val="24"/>
        </w:rPr>
      </w:pPr>
    </w:p>
    <w:p w:rsidR="00E92CCD" w:rsidRPr="00553FC4" w:rsidRDefault="00E92CCD" w:rsidP="00E92CCD">
      <w:pPr>
        <w:ind w:left="851" w:hanging="851"/>
        <w:rPr>
          <w:b/>
          <w:sz w:val="24"/>
          <w:szCs w:val="24"/>
        </w:rPr>
      </w:pPr>
      <w:r w:rsidRPr="00553FC4">
        <w:rPr>
          <w:b/>
          <w:sz w:val="24"/>
          <w:szCs w:val="24"/>
        </w:rPr>
        <w:t>5.1</w:t>
      </w:r>
      <w:r w:rsidRPr="00553FC4">
        <w:rPr>
          <w:b/>
          <w:sz w:val="24"/>
          <w:szCs w:val="24"/>
        </w:rPr>
        <w:tab/>
      </w:r>
      <w:proofErr w:type="spellStart"/>
      <w:r w:rsidRPr="00553FC4">
        <w:rPr>
          <w:b/>
          <w:sz w:val="24"/>
          <w:szCs w:val="24"/>
        </w:rPr>
        <w:t>Farmakodynamiske</w:t>
      </w:r>
      <w:proofErr w:type="spellEnd"/>
      <w:r w:rsidRPr="00553FC4">
        <w:rPr>
          <w:b/>
          <w:sz w:val="24"/>
          <w:szCs w:val="24"/>
        </w:rPr>
        <w:t xml:space="preserve"> egenskaber</w:t>
      </w:r>
    </w:p>
    <w:p w:rsidR="00E92CCD" w:rsidRDefault="00E92CCD" w:rsidP="00E92CCD">
      <w:pPr>
        <w:ind w:left="851" w:hanging="851"/>
        <w:rPr>
          <w:sz w:val="24"/>
          <w:szCs w:val="24"/>
        </w:rPr>
      </w:pPr>
      <w:r w:rsidRPr="00553FC4">
        <w:rPr>
          <w:sz w:val="24"/>
          <w:szCs w:val="24"/>
        </w:rPr>
        <w:tab/>
      </w:r>
    </w:p>
    <w:p w:rsidR="00AB41BE" w:rsidRDefault="00AB41BE" w:rsidP="00AB41BE">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A</w:t>
      </w:r>
      <w:r w:rsidRPr="00553FC4">
        <w:rPr>
          <w:sz w:val="24"/>
          <w:szCs w:val="24"/>
        </w:rPr>
        <w:t xml:space="preserve">ndre </w:t>
      </w:r>
      <w:proofErr w:type="spellStart"/>
      <w:r w:rsidRPr="00553FC4">
        <w:rPr>
          <w:sz w:val="24"/>
          <w:szCs w:val="24"/>
        </w:rPr>
        <w:t>cefalosporiner</w:t>
      </w:r>
      <w:proofErr w:type="spellEnd"/>
      <w:r>
        <w:rPr>
          <w:sz w:val="24"/>
          <w:szCs w:val="24"/>
        </w:rPr>
        <w:t xml:space="preserve">. </w:t>
      </w:r>
      <w:r w:rsidRPr="00553FC4">
        <w:rPr>
          <w:sz w:val="24"/>
          <w:szCs w:val="24"/>
        </w:rPr>
        <w:t>ATC-kode: J01DI01</w:t>
      </w:r>
    </w:p>
    <w:p w:rsidR="00E92CCD" w:rsidRPr="00553FC4" w:rsidRDefault="00E92CCD" w:rsidP="00E92CCD">
      <w:pPr>
        <w:ind w:left="851"/>
        <w:rPr>
          <w:sz w:val="24"/>
          <w:szCs w:val="24"/>
          <w:u w:val="single"/>
        </w:rPr>
      </w:pPr>
      <w:r w:rsidRPr="00553FC4">
        <w:rPr>
          <w:sz w:val="24"/>
          <w:szCs w:val="24"/>
          <w:u w:val="single"/>
        </w:rPr>
        <w:t>Virkningsmekanisme</w:t>
      </w:r>
    </w:p>
    <w:p w:rsidR="00E92CCD" w:rsidRPr="00553FC4" w:rsidRDefault="00E92CCD" w:rsidP="00E92CCD">
      <w:pPr>
        <w:ind w:left="851"/>
        <w:rPr>
          <w:sz w:val="24"/>
          <w:szCs w:val="24"/>
        </w:rPr>
      </w:pPr>
      <w:proofErr w:type="spellStart"/>
      <w:r w:rsidRPr="00553FC4">
        <w:rPr>
          <w:sz w:val="24"/>
          <w:szCs w:val="24"/>
        </w:rPr>
        <w:t>Ceftobiprol</w:t>
      </w:r>
      <w:proofErr w:type="spellEnd"/>
      <w:r w:rsidRPr="00553FC4">
        <w:rPr>
          <w:sz w:val="24"/>
          <w:szCs w:val="24"/>
        </w:rPr>
        <w:t xml:space="preserve"> udøver sin bakteriedræbende aktivitet gennem binding til vigtige penicillin-bindende proteiner (</w:t>
      </w:r>
      <w:proofErr w:type="spellStart"/>
      <w:r w:rsidRPr="00553FC4">
        <w:rPr>
          <w:sz w:val="24"/>
          <w:szCs w:val="24"/>
        </w:rPr>
        <w:t>PBP’er</w:t>
      </w:r>
      <w:proofErr w:type="spellEnd"/>
      <w:r w:rsidRPr="00553FC4">
        <w:rPr>
          <w:sz w:val="24"/>
          <w:szCs w:val="24"/>
        </w:rPr>
        <w:t xml:space="preserve">) hos følsomme arter. Hos </w:t>
      </w:r>
      <w:proofErr w:type="spellStart"/>
      <w:r w:rsidRPr="00553FC4">
        <w:rPr>
          <w:sz w:val="24"/>
          <w:szCs w:val="24"/>
        </w:rPr>
        <w:t>Gram-positive</w:t>
      </w:r>
      <w:proofErr w:type="spellEnd"/>
      <w:r w:rsidRPr="00553FC4">
        <w:rPr>
          <w:sz w:val="24"/>
          <w:szCs w:val="24"/>
        </w:rPr>
        <w:t xml:space="preserve"> bakterier, herunder </w:t>
      </w:r>
      <w:proofErr w:type="spellStart"/>
      <w:r w:rsidRPr="00553FC4">
        <w:rPr>
          <w:sz w:val="24"/>
          <w:szCs w:val="24"/>
        </w:rPr>
        <w:t>meticillinresistent</w:t>
      </w:r>
      <w:proofErr w:type="spellEnd"/>
      <w:r w:rsidRPr="00553FC4">
        <w:rPr>
          <w:sz w:val="24"/>
          <w:szCs w:val="24"/>
        </w:rPr>
        <w:t xml:space="preserve"> </w:t>
      </w:r>
      <w:proofErr w:type="spellStart"/>
      <w:r w:rsidRPr="00553FC4">
        <w:rPr>
          <w:i/>
          <w:iCs/>
          <w:sz w:val="24"/>
          <w:szCs w:val="24"/>
        </w:rPr>
        <w:t>Staphylococcus</w:t>
      </w:r>
      <w:proofErr w:type="spellEnd"/>
      <w:r w:rsidRPr="00553FC4">
        <w:rPr>
          <w:i/>
          <w:iCs/>
          <w:sz w:val="24"/>
          <w:szCs w:val="24"/>
        </w:rPr>
        <w:t xml:space="preserve"> aureus</w:t>
      </w:r>
      <w:r w:rsidRPr="00553FC4">
        <w:rPr>
          <w:sz w:val="24"/>
          <w:szCs w:val="24"/>
        </w:rPr>
        <w:t xml:space="preserve"> (MRSA) binder </w:t>
      </w:r>
      <w:proofErr w:type="spellStart"/>
      <w:r w:rsidRPr="00553FC4">
        <w:rPr>
          <w:sz w:val="24"/>
          <w:szCs w:val="24"/>
        </w:rPr>
        <w:t>Ceftobiprol</w:t>
      </w:r>
      <w:proofErr w:type="spellEnd"/>
      <w:r w:rsidRPr="00553FC4">
        <w:rPr>
          <w:sz w:val="24"/>
          <w:szCs w:val="24"/>
        </w:rPr>
        <w:t xml:space="preserve"> til PBP2a. </w:t>
      </w:r>
      <w:proofErr w:type="spellStart"/>
      <w:r w:rsidRPr="00553FC4">
        <w:rPr>
          <w:sz w:val="24"/>
          <w:szCs w:val="24"/>
        </w:rPr>
        <w:lastRenderedPageBreak/>
        <w:t>Ceftobiprol</w:t>
      </w:r>
      <w:proofErr w:type="spellEnd"/>
      <w:r w:rsidRPr="00553FC4">
        <w:rPr>
          <w:sz w:val="24"/>
          <w:szCs w:val="24"/>
        </w:rPr>
        <w:t xml:space="preserve"> har udvist </w:t>
      </w:r>
      <w:r w:rsidRPr="00553FC4">
        <w:rPr>
          <w:i/>
          <w:iCs/>
          <w:sz w:val="24"/>
          <w:szCs w:val="24"/>
        </w:rPr>
        <w:t xml:space="preserve">in </w:t>
      </w:r>
      <w:proofErr w:type="spellStart"/>
      <w:r w:rsidRPr="00553FC4">
        <w:rPr>
          <w:i/>
          <w:iCs/>
          <w:sz w:val="24"/>
          <w:szCs w:val="24"/>
        </w:rPr>
        <w:t>vitro</w:t>
      </w:r>
      <w:proofErr w:type="spellEnd"/>
      <w:r w:rsidRPr="00553FC4">
        <w:rPr>
          <w:i/>
          <w:iCs/>
          <w:sz w:val="24"/>
          <w:szCs w:val="24"/>
        </w:rPr>
        <w:t xml:space="preserve"> </w:t>
      </w:r>
      <w:r w:rsidRPr="00553FC4">
        <w:rPr>
          <w:sz w:val="24"/>
          <w:szCs w:val="24"/>
        </w:rPr>
        <w:t xml:space="preserve">aktivitet mod stammer med divergerende </w:t>
      </w:r>
      <w:proofErr w:type="spellStart"/>
      <w:r w:rsidRPr="00553FC4">
        <w:rPr>
          <w:i/>
          <w:iCs/>
          <w:sz w:val="24"/>
          <w:szCs w:val="24"/>
        </w:rPr>
        <w:t>mecA</w:t>
      </w:r>
      <w:proofErr w:type="spellEnd"/>
      <w:r w:rsidRPr="00553FC4">
        <w:rPr>
          <w:sz w:val="24"/>
          <w:szCs w:val="24"/>
        </w:rPr>
        <w:t xml:space="preserve"> homolog (</w:t>
      </w:r>
      <w:proofErr w:type="spellStart"/>
      <w:r w:rsidRPr="00553FC4">
        <w:rPr>
          <w:i/>
          <w:iCs/>
          <w:sz w:val="24"/>
          <w:szCs w:val="24"/>
        </w:rPr>
        <w:t>mecC</w:t>
      </w:r>
      <w:proofErr w:type="spellEnd"/>
      <w:r w:rsidRPr="00553FC4">
        <w:rPr>
          <w:i/>
          <w:iCs/>
          <w:sz w:val="24"/>
          <w:szCs w:val="24"/>
        </w:rPr>
        <w:t xml:space="preserve"> </w:t>
      </w:r>
      <w:r w:rsidRPr="00553FC4">
        <w:rPr>
          <w:sz w:val="24"/>
          <w:szCs w:val="24"/>
        </w:rPr>
        <w:t xml:space="preserve">eller </w:t>
      </w:r>
      <w:r w:rsidRPr="00553FC4">
        <w:rPr>
          <w:i/>
          <w:iCs/>
          <w:sz w:val="24"/>
          <w:szCs w:val="24"/>
        </w:rPr>
        <w:t>mecA</w:t>
      </w:r>
      <w:r w:rsidRPr="00553FC4">
        <w:rPr>
          <w:sz w:val="24"/>
          <w:szCs w:val="24"/>
        </w:rPr>
        <w:t xml:space="preserve">LGA251). </w:t>
      </w:r>
      <w:proofErr w:type="spellStart"/>
      <w:r w:rsidRPr="00553FC4">
        <w:rPr>
          <w:sz w:val="24"/>
          <w:szCs w:val="24"/>
        </w:rPr>
        <w:t>Ceftobiprol</w:t>
      </w:r>
      <w:proofErr w:type="spellEnd"/>
      <w:r w:rsidRPr="00553FC4">
        <w:rPr>
          <w:sz w:val="24"/>
          <w:szCs w:val="24"/>
        </w:rPr>
        <w:t xml:space="preserve"> binder desuden til PBP2b i </w:t>
      </w:r>
      <w:proofErr w:type="spellStart"/>
      <w:r w:rsidRPr="00553FC4">
        <w:rPr>
          <w:i/>
          <w:iCs/>
          <w:sz w:val="24"/>
          <w:szCs w:val="24"/>
        </w:rPr>
        <w:t>Streptococcus</w:t>
      </w:r>
      <w:proofErr w:type="spellEnd"/>
      <w:r w:rsidRPr="00553FC4">
        <w:rPr>
          <w:i/>
          <w:iCs/>
          <w:sz w:val="24"/>
          <w:szCs w:val="24"/>
        </w:rPr>
        <w:t xml:space="preserve"> </w:t>
      </w:r>
      <w:proofErr w:type="spellStart"/>
      <w:r w:rsidRPr="00553FC4">
        <w:rPr>
          <w:i/>
          <w:iCs/>
          <w:sz w:val="24"/>
          <w:szCs w:val="24"/>
        </w:rPr>
        <w:t>pneumoniae</w:t>
      </w:r>
      <w:proofErr w:type="spellEnd"/>
      <w:r w:rsidRPr="00553FC4">
        <w:rPr>
          <w:sz w:val="24"/>
          <w:szCs w:val="24"/>
        </w:rPr>
        <w:t xml:space="preserve"> (penicillin-</w:t>
      </w:r>
      <w:proofErr w:type="spellStart"/>
      <w:r w:rsidRPr="00553FC4">
        <w:rPr>
          <w:sz w:val="24"/>
          <w:szCs w:val="24"/>
        </w:rPr>
        <w:t>intermediær</w:t>
      </w:r>
      <w:proofErr w:type="spellEnd"/>
      <w:r w:rsidRPr="00553FC4">
        <w:rPr>
          <w:sz w:val="24"/>
          <w:szCs w:val="24"/>
        </w:rPr>
        <w:t xml:space="preserve">), PBP2x i </w:t>
      </w:r>
      <w:r w:rsidRPr="00553FC4">
        <w:rPr>
          <w:i/>
          <w:iCs/>
          <w:sz w:val="24"/>
          <w:szCs w:val="24"/>
        </w:rPr>
        <w:t xml:space="preserve">S. </w:t>
      </w:r>
      <w:proofErr w:type="spellStart"/>
      <w:r w:rsidRPr="00553FC4">
        <w:rPr>
          <w:i/>
          <w:iCs/>
          <w:sz w:val="24"/>
          <w:szCs w:val="24"/>
        </w:rPr>
        <w:t>pneumoniae</w:t>
      </w:r>
      <w:proofErr w:type="spellEnd"/>
      <w:r w:rsidRPr="00553FC4">
        <w:rPr>
          <w:sz w:val="24"/>
          <w:szCs w:val="24"/>
        </w:rPr>
        <w:t xml:space="preserve"> (penicillin-resistent), og PBP5 i </w:t>
      </w:r>
      <w:proofErr w:type="spellStart"/>
      <w:r w:rsidRPr="00553FC4">
        <w:rPr>
          <w:i/>
          <w:iCs/>
          <w:sz w:val="24"/>
          <w:szCs w:val="24"/>
        </w:rPr>
        <w:t>Enterococcus</w:t>
      </w:r>
      <w:proofErr w:type="spellEnd"/>
      <w:r w:rsidRPr="00553FC4">
        <w:rPr>
          <w:i/>
          <w:iCs/>
          <w:sz w:val="24"/>
          <w:szCs w:val="24"/>
        </w:rPr>
        <w:t xml:space="preserve"> </w:t>
      </w:r>
      <w:proofErr w:type="spellStart"/>
      <w:r w:rsidRPr="00553FC4">
        <w:rPr>
          <w:i/>
          <w:iCs/>
          <w:sz w:val="24"/>
          <w:szCs w:val="24"/>
        </w:rPr>
        <w:t>faecalis</w:t>
      </w:r>
      <w:proofErr w:type="spellEnd"/>
      <w:r w:rsidRPr="00553FC4">
        <w:rPr>
          <w:sz w:val="24"/>
          <w:szCs w:val="24"/>
        </w:rPr>
        <w:t>,</w:t>
      </w:r>
    </w:p>
    <w:p w:rsidR="00E92CCD" w:rsidRPr="00553FC4" w:rsidRDefault="00E92CCD" w:rsidP="00E92CCD">
      <w:pPr>
        <w:ind w:left="851"/>
        <w:rPr>
          <w:sz w:val="24"/>
          <w:szCs w:val="24"/>
        </w:rPr>
      </w:pPr>
    </w:p>
    <w:p w:rsidR="00E92CCD" w:rsidRPr="00553FC4" w:rsidRDefault="00E92CCD" w:rsidP="00E92CCD">
      <w:pPr>
        <w:ind w:left="851"/>
        <w:rPr>
          <w:sz w:val="24"/>
          <w:szCs w:val="24"/>
          <w:u w:val="single"/>
        </w:rPr>
      </w:pPr>
      <w:r w:rsidRPr="00553FC4">
        <w:rPr>
          <w:sz w:val="24"/>
          <w:szCs w:val="24"/>
          <w:u w:val="single"/>
        </w:rPr>
        <w:t>Resistens</w:t>
      </w:r>
    </w:p>
    <w:p w:rsidR="00E92CCD" w:rsidRPr="00553FC4" w:rsidRDefault="00E92CCD" w:rsidP="00E92CCD">
      <w:pPr>
        <w:ind w:left="851"/>
        <w:rPr>
          <w:sz w:val="24"/>
          <w:szCs w:val="24"/>
        </w:rPr>
      </w:pPr>
      <w:proofErr w:type="spellStart"/>
      <w:r w:rsidRPr="00553FC4">
        <w:rPr>
          <w:sz w:val="24"/>
          <w:szCs w:val="24"/>
        </w:rPr>
        <w:t>Ceftobiprol</w:t>
      </w:r>
      <w:proofErr w:type="spellEnd"/>
      <w:r w:rsidRPr="00553FC4">
        <w:rPr>
          <w:sz w:val="24"/>
          <w:szCs w:val="24"/>
        </w:rPr>
        <w:t xml:space="preserve"> er inaktivt over for stammer af </w:t>
      </w:r>
      <w:proofErr w:type="spellStart"/>
      <w:r w:rsidRPr="00553FC4">
        <w:rPr>
          <w:sz w:val="24"/>
          <w:szCs w:val="24"/>
        </w:rPr>
        <w:t>Enterobacteriaceae</w:t>
      </w:r>
      <w:proofErr w:type="spellEnd"/>
      <w:r w:rsidRPr="00553FC4">
        <w:rPr>
          <w:sz w:val="24"/>
          <w:szCs w:val="24"/>
        </w:rPr>
        <w:t xml:space="preserve">, som udtrykker </w:t>
      </w:r>
      <w:proofErr w:type="spellStart"/>
      <w:r w:rsidRPr="00553FC4">
        <w:rPr>
          <w:sz w:val="24"/>
          <w:szCs w:val="24"/>
        </w:rPr>
        <w:t>Ambler</w:t>
      </w:r>
      <w:proofErr w:type="spellEnd"/>
      <w:r w:rsidRPr="00553FC4">
        <w:rPr>
          <w:sz w:val="24"/>
          <w:szCs w:val="24"/>
        </w:rPr>
        <w:t xml:space="preserve"> klasse A </w:t>
      </w:r>
      <w:proofErr w:type="spellStart"/>
      <w:r w:rsidRPr="00553FC4">
        <w:rPr>
          <w:sz w:val="24"/>
          <w:szCs w:val="24"/>
        </w:rPr>
        <w:t>betalaktamser</w:t>
      </w:r>
      <w:proofErr w:type="spellEnd"/>
      <w:r w:rsidRPr="00553FC4">
        <w:rPr>
          <w:sz w:val="24"/>
          <w:szCs w:val="24"/>
        </w:rPr>
        <w:t xml:space="preserve">, især TEM, SHV og CTX-M type udvidet spektrum </w:t>
      </w:r>
      <w:proofErr w:type="spellStart"/>
      <w:r w:rsidRPr="00553FC4">
        <w:rPr>
          <w:sz w:val="24"/>
          <w:szCs w:val="24"/>
        </w:rPr>
        <w:t>betalaktamse</w:t>
      </w:r>
      <w:proofErr w:type="spellEnd"/>
      <w:r w:rsidRPr="00553FC4">
        <w:rPr>
          <w:sz w:val="24"/>
          <w:szCs w:val="24"/>
        </w:rPr>
        <w:t xml:space="preserve"> (ESBL) og KPC-type </w:t>
      </w:r>
      <w:proofErr w:type="spellStart"/>
      <w:r w:rsidRPr="00553FC4">
        <w:rPr>
          <w:sz w:val="24"/>
          <w:szCs w:val="24"/>
        </w:rPr>
        <w:t>carbapenemaser</w:t>
      </w:r>
      <w:proofErr w:type="spellEnd"/>
      <w:r w:rsidRPr="00553FC4">
        <w:rPr>
          <w:sz w:val="24"/>
          <w:szCs w:val="24"/>
        </w:rPr>
        <w:t xml:space="preserve">, </w:t>
      </w:r>
      <w:proofErr w:type="spellStart"/>
      <w:r w:rsidRPr="00553FC4">
        <w:rPr>
          <w:sz w:val="24"/>
          <w:szCs w:val="24"/>
        </w:rPr>
        <w:t>Ambler</w:t>
      </w:r>
      <w:proofErr w:type="spellEnd"/>
      <w:r w:rsidRPr="00553FC4">
        <w:rPr>
          <w:sz w:val="24"/>
          <w:szCs w:val="24"/>
        </w:rPr>
        <w:t xml:space="preserve"> klasse B </w:t>
      </w:r>
      <w:proofErr w:type="spellStart"/>
      <w:r w:rsidRPr="00553FC4">
        <w:rPr>
          <w:sz w:val="24"/>
          <w:szCs w:val="24"/>
        </w:rPr>
        <w:t>betalaktamaser</w:t>
      </w:r>
      <w:proofErr w:type="spellEnd"/>
      <w:r w:rsidRPr="00553FC4">
        <w:rPr>
          <w:sz w:val="24"/>
          <w:szCs w:val="24"/>
        </w:rPr>
        <w:t xml:space="preserve"> og </w:t>
      </w:r>
      <w:proofErr w:type="spellStart"/>
      <w:r w:rsidRPr="00553FC4">
        <w:rPr>
          <w:sz w:val="24"/>
          <w:szCs w:val="24"/>
        </w:rPr>
        <w:t>Ambler</w:t>
      </w:r>
      <w:proofErr w:type="spellEnd"/>
      <w:r w:rsidRPr="00553FC4">
        <w:rPr>
          <w:sz w:val="24"/>
          <w:szCs w:val="24"/>
        </w:rPr>
        <w:t xml:space="preserve"> klasse D </w:t>
      </w:r>
      <w:proofErr w:type="spellStart"/>
      <w:r w:rsidRPr="00553FC4">
        <w:rPr>
          <w:sz w:val="24"/>
          <w:szCs w:val="24"/>
        </w:rPr>
        <w:t>betalaktamaser</w:t>
      </w:r>
      <w:proofErr w:type="spellEnd"/>
      <w:r w:rsidRPr="00553FC4">
        <w:rPr>
          <w:sz w:val="24"/>
          <w:szCs w:val="24"/>
        </w:rPr>
        <w:t xml:space="preserve">, især </w:t>
      </w:r>
      <w:proofErr w:type="gramStart"/>
      <w:r w:rsidRPr="00553FC4">
        <w:rPr>
          <w:sz w:val="24"/>
          <w:szCs w:val="24"/>
        </w:rPr>
        <w:t>ESBL varianter</w:t>
      </w:r>
      <w:proofErr w:type="gramEnd"/>
      <w:r w:rsidRPr="00553FC4">
        <w:rPr>
          <w:sz w:val="24"/>
          <w:szCs w:val="24"/>
        </w:rPr>
        <w:t xml:space="preserve"> og </w:t>
      </w:r>
      <w:proofErr w:type="spellStart"/>
      <w:r w:rsidRPr="00553FC4">
        <w:rPr>
          <w:sz w:val="24"/>
          <w:szCs w:val="24"/>
        </w:rPr>
        <w:t>carbapenemaser</w:t>
      </w:r>
      <w:proofErr w:type="spellEnd"/>
      <w:r w:rsidRPr="00553FC4">
        <w:rPr>
          <w:sz w:val="24"/>
          <w:szCs w:val="24"/>
        </w:rPr>
        <w:t xml:space="preserve"> (OXA-48). </w:t>
      </w:r>
      <w:proofErr w:type="spellStart"/>
      <w:r w:rsidRPr="00553FC4">
        <w:rPr>
          <w:sz w:val="24"/>
          <w:szCs w:val="24"/>
        </w:rPr>
        <w:t>Ceftobiprol</w:t>
      </w:r>
      <w:proofErr w:type="spellEnd"/>
      <w:r w:rsidRPr="00553FC4">
        <w:rPr>
          <w:sz w:val="24"/>
          <w:szCs w:val="24"/>
        </w:rPr>
        <w:t xml:space="preserve"> er også inaktivt over for stammer, som har høje </w:t>
      </w:r>
      <w:proofErr w:type="spellStart"/>
      <w:r w:rsidRPr="00553FC4">
        <w:rPr>
          <w:sz w:val="24"/>
          <w:szCs w:val="24"/>
        </w:rPr>
        <w:t>ekspressionsniveauer</w:t>
      </w:r>
      <w:proofErr w:type="spellEnd"/>
      <w:r w:rsidRPr="00553FC4">
        <w:rPr>
          <w:sz w:val="24"/>
          <w:szCs w:val="24"/>
        </w:rPr>
        <w:t xml:space="preserve"> af </w:t>
      </w:r>
      <w:proofErr w:type="spellStart"/>
      <w:r w:rsidRPr="00553FC4">
        <w:rPr>
          <w:sz w:val="24"/>
          <w:szCs w:val="24"/>
        </w:rPr>
        <w:t>Ambler</w:t>
      </w:r>
      <w:proofErr w:type="spellEnd"/>
      <w:r w:rsidRPr="00553FC4">
        <w:rPr>
          <w:sz w:val="24"/>
          <w:szCs w:val="24"/>
        </w:rPr>
        <w:t xml:space="preserve"> klasse C </w:t>
      </w:r>
      <w:proofErr w:type="spellStart"/>
      <w:r w:rsidRPr="00553FC4">
        <w:rPr>
          <w:sz w:val="24"/>
          <w:szCs w:val="24"/>
        </w:rPr>
        <w:t>betalaktamaser</w:t>
      </w:r>
      <w:proofErr w:type="spellEnd"/>
      <w:r w:rsidRPr="00553FC4">
        <w:rPr>
          <w:sz w:val="24"/>
          <w:szCs w:val="24"/>
        </w:rPr>
        <w:t>.</w:t>
      </w:r>
    </w:p>
    <w:p w:rsidR="00E92CCD" w:rsidRPr="00553FC4" w:rsidRDefault="00E92CCD" w:rsidP="00E92CCD">
      <w:pPr>
        <w:ind w:left="851"/>
        <w:rPr>
          <w:sz w:val="24"/>
          <w:szCs w:val="24"/>
        </w:rPr>
      </w:pPr>
    </w:p>
    <w:p w:rsidR="00E92CCD" w:rsidRPr="00553FC4" w:rsidRDefault="00E92CCD" w:rsidP="00E92CCD">
      <w:pPr>
        <w:ind w:left="851"/>
        <w:rPr>
          <w:sz w:val="24"/>
          <w:szCs w:val="24"/>
        </w:rPr>
      </w:pPr>
      <w:proofErr w:type="spellStart"/>
      <w:r w:rsidRPr="00553FC4">
        <w:rPr>
          <w:sz w:val="24"/>
          <w:szCs w:val="24"/>
        </w:rPr>
        <w:t>Ceftobiprol</w:t>
      </w:r>
      <w:proofErr w:type="spellEnd"/>
      <w:r w:rsidRPr="00553FC4">
        <w:rPr>
          <w:sz w:val="24"/>
          <w:szCs w:val="24"/>
        </w:rPr>
        <w:t xml:space="preserve"> er inaktivt over for stammer af </w:t>
      </w:r>
      <w:r w:rsidRPr="00553FC4">
        <w:rPr>
          <w:i/>
          <w:sz w:val="24"/>
          <w:szCs w:val="24"/>
        </w:rPr>
        <w:t xml:space="preserve">P. </w:t>
      </w:r>
      <w:proofErr w:type="spellStart"/>
      <w:r w:rsidRPr="00553FC4">
        <w:rPr>
          <w:i/>
          <w:sz w:val="24"/>
          <w:szCs w:val="24"/>
        </w:rPr>
        <w:t>aeruginosa</w:t>
      </w:r>
      <w:proofErr w:type="spellEnd"/>
      <w:r w:rsidRPr="00553FC4">
        <w:rPr>
          <w:sz w:val="24"/>
          <w:szCs w:val="24"/>
        </w:rPr>
        <w:t xml:space="preserve">, som udtrykker enzymer tilhørende </w:t>
      </w:r>
      <w:proofErr w:type="spellStart"/>
      <w:r w:rsidRPr="00553FC4">
        <w:rPr>
          <w:sz w:val="24"/>
          <w:szCs w:val="24"/>
        </w:rPr>
        <w:t>Ambler</w:t>
      </w:r>
      <w:proofErr w:type="spellEnd"/>
      <w:r w:rsidRPr="00553FC4">
        <w:rPr>
          <w:sz w:val="24"/>
          <w:szCs w:val="24"/>
        </w:rPr>
        <w:t xml:space="preserve"> klasse A (f.eks. PSE-1), </w:t>
      </w:r>
      <w:proofErr w:type="spellStart"/>
      <w:r w:rsidRPr="00553FC4">
        <w:rPr>
          <w:sz w:val="24"/>
          <w:szCs w:val="24"/>
        </w:rPr>
        <w:t>Ambler</w:t>
      </w:r>
      <w:proofErr w:type="spellEnd"/>
      <w:r w:rsidRPr="00553FC4">
        <w:rPr>
          <w:sz w:val="24"/>
          <w:szCs w:val="24"/>
        </w:rPr>
        <w:t xml:space="preserve"> klasse B (f.eks. IMP-1, VIM-1, VIM-2) og </w:t>
      </w:r>
      <w:proofErr w:type="spellStart"/>
      <w:r w:rsidRPr="00553FC4">
        <w:rPr>
          <w:sz w:val="24"/>
          <w:szCs w:val="24"/>
        </w:rPr>
        <w:t>Ambler</w:t>
      </w:r>
      <w:proofErr w:type="spellEnd"/>
      <w:r w:rsidRPr="00553FC4">
        <w:rPr>
          <w:sz w:val="24"/>
          <w:szCs w:val="24"/>
        </w:rPr>
        <w:t xml:space="preserve"> klasse D (f.eks. OXA-10). Det er også inaktivt over for </w:t>
      </w:r>
      <w:proofErr w:type="spellStart"/>
      <w:r w:rsidRPr="00553FC4">
        <w:rPr>
          <w:sz w:val="24"/>
          <w:szCs w:val="24"/>
        </w:rPr>
        <w:t>isolater</w:t>
      </w:r>
      <w:proofErr w:type="spellEnd"/>
      <w:r w:rsidRPr="00553FC4">
        <w:rPr>
          <w:sz w:val="24"/>
          <w:szCs w:val="24"/>
        </w:rPr>
        <w:t xml:space="preserve">, som har erhvervet mutationer i regulerende gener, som fører til u-undertrykte </w:t>
      </w:r>
      <w:proofErr w:type="spellStart"/>
      <w:r w:rsidRPr="00553FC4">
        <w:rPr>
          <w:sz w:val="24"/>
          <w:szCs w:val="24"/>
        </w:rPr>
        <w:t>ekspressionsniveauer</w:t>
      </w:r>
      <w:proofErr w:type="spellEnd"/>
      <w:r w:rsidRPr="00553FC4">
        <w:rPr>
          <w:sz w:val="24"/>
          <w:szCs w:val="24"/>
        </w:rPr>
        <w:t xml:space="preserve"> af den kromosomale </w:t>
      </w:r>
      <w:proofErr w:type="spellStart"/>
      <w:r w:rsidRPr="00553FC4">
        <w:rPr>
          <w:sz w:val="24"/>
          <w:szCs w:val="24"/>
        </w:rPr>
        <w:t>Ambler</w:t>
      </w:r>
      <w:proofErr w:type="spellEnd"/>
      <w:r w:rsidRPr="00553FC4">
        <w:rPr>
          <w:sz w:val="24"/>
          <w:szCs w:val="24"/>
        </w:rPr>
        <w:t xml:space="preserve"> klasse C </w:t>
      </w:r>
      <w:proofErr w:type="spellStart"/>
      <w:r w:rsidRPr="00553FC4">
        <w:rPr>
          <w:sz w:val="24"/>
          <w:szCs w:val="24"/>
        </w:rPr>
        <w:t>betalaktamase</w:t>
      </w:r>
      <w:proofErr w:type="spellEnd"/>
      <w:r w:rsidRPr="00553FC4">
        <w:rPr>
          <w:sz w:val="24"/>
          <w:szCs w:val="24"/>
        </w:rPr>
        <w:t xml:space="preserve"> eller </w:t>
      </w:r>
      <w:proofErr w:type="spellStart"/>
      <w:r w:rsidRPr="00553FC4">
        <w:rPr>
          <w:sz w:val="24"/>
          <w:szCs w:val="24"/>
        </w:rPr>
        <w:t>overekspression</w:t>
      </w:r>
      <w:proofErr w:type="spellEnd"/>
      <w:r w:rsidRPr="00553FC4">
        <w:rPr>
          <w:sz w:val="24"/>
          <w:szCs w:val="24"/>
        </w:rPr>
        <w:t xml:space="preserve"> af </w:t>
      </w:r>
      <w:proofErr w:type="spellStart"/>
      <w:r w:rsidRPr="00553FC4">
        <w:rPr>
          <w:sz w:val="24"/>
          <w:szCs w:val="24"/>
        </w:rPr>
        <w:t>Mex</w:t>
      </w:r>
      <w:proofErr w:type="spellEnd"/>
      <w:r w:rsidRPr="00553FC4">
        <w:rPr>
          <w:sz w:val="24"/>
          <w:szCs w:val="24"/>
        </w:rPr>
        <w:t xml:space="preserve"> XY </w:t>
      </w:r>
      <w:proofErr w:type="spellStart"/>
      <w:r w:rsidRPr="00553FC4">
        <w:rPr>
          <w:sz w:val="24"/>
          <w:szCs w:val="24"/>
        </w:rPr>
        <w:t>efflukspumpen</w:t>
      </w:r>
      <w:proofErr w:type="spellEnd"/>
      <w:r w:rsidRPr="00553FC4">
        <w:rPr>
          <w:sz w:val="24"/>
          <w:szCs w:val="24"/>
        </w:rPr>
        <w:t>.</w:t>
      </w:r>
    </w:p>
    <w:p w:rsidR="00E92CCD" w:rsidRPr="00553FC4" w:rsidRDefault="00E92CCD" w:rsidP="00E92CCD">
      <w:pPr>
        <w:ind w:left="851"/>
        <w:rPr>
          <w:sz w:val="24"/>
          <w:szCs w:val="24"/>
        </w:rPr>
      </w:pPr>
    </w:p>
    <w:p w:rsidR="00E92CCD" w:rsidRPr="00553FC4" w:rsidRDefault="00E92CCD" w:rsidP="00E92CCD">
      <w:pPr>
        <w:ind w:left="851"/>
        <w:rPr>
          <w:sz w:val="24"/>
          <w:szCs w:val="24"/>
        </w:rPr>
      </w:pPr>
      <w:proofErr w:type="spellStart"/>
      <w:r w:rsidRPr="00553FC4">
        <w:rPr>
          <w:sz w:val="24"/>
          <w:szCs w:val="24"/>
        </w:rPr>
        <w:t>Ceftobiprol</w:t>
      </w:r>
      <w:proofErr w:type="spellEnd"/>
      <w:r w:rsidRPr="00553FC4">
        <w:rPr>
          <w:sz w:val="24"/>
          <w:szCs w:val="24"/>
        </w:rPr>
        <w:t xml:space="preserve"> er inaktivt over for stammer af </w:t>
      </w:r>
      <w:proofErr w:type="spellStart"/>
      <w:r w:rsidRPr="00553FC4">
        <w:rPr>
          <w:i/>
          <w:sz w:val="24"/>
          <w:szCs w:val="24"/>
        </w:rPr>
        <w:t>Acinetobacter</w:t>
      </w:r>
      <w:proofErr w:type="spellEnd"/>
      <w:r w:rsidRPr="00553FC4">
        <w:rPr>
          <w:sz w:val="24"/>
          <w:szCs w:val="24"/>
        </w:rPr>
        <w:t xml:space="preserve"> </w:t>
      </w:r>
      <w:proofErr w:type="spellStart"/>
      <w:r w:rsidRPr="00553FC4">
        <w:rPr>
          <w:sz w:val="24"/>
          <w:szCs w:val="24"/>
        </w:rPr>
        <w:t>spp</w:t>
      </w:r>
      <w:proofErr w:type="spellEnd"/>
      <w:r w:rsidRPr="00553FC4">
        <w:rPr>
          <w:sz w:val="24"/>
          <w:szCs w:val="24"/>
        </w:rPr>
        <w:t xml:space="preserve">., som udtrykker enzymer tilhørende </w:t>
      </w:r>
      <w:proofErr w:type="spellStart"/>
      <w:r w:rsidRPr="00553FC4">
        <w:rPr>
          <w:sz w:val="24"/>
          <w:szCs w:val="24"/>
        </w:rPr>
        <w:t>Ambler</w:t>
      </w:r>
      <w:proofErr w:type="spellEnd"/>
      <w:r w:rsidRPr="00553FC4">
        <w:rPr>
          <w:sz w:val="24"/>
          <w:szCs w:val="24"/>
        </w:rPr>
        <w:t xml:space="preserve"> klasse A (f.eks. VEB-1), </w:t>
      </w:r>
      <w:proofErr w:type="spellStart"/>
      <w:r w:rsidRPr="00553FC4">
        <w:rPr>
          <w:sz w:val="24"/>
          <w:szCs w:val="24"/>
        </w:rPr>
        <w:t>Ambler</w:t>
      </w:r>
      <w:proofErr w:type="spellEnd"/>
      <w:r w:rsidRPr="00553FC4">
        <w:rPr>
          <w:sz w:val="24"/>
          <w:szCs w:val="24"/>
        </w:rPr>
        <w:t xml:space="preserve"> klasse B (f.eks. IMP-1, IMP-4) </w:t>
      </w:r>
      <w:proofErr w:type="spellStart"/>
      <w:r w:rsidRPr="00553FC4">
        <w:rPr>
          <w:sz w:val="24"/>
          <w:szCs w:val="24"/>
        </w:rPr>
        <w:t>Ambler</w:t>
      </w:r>
      <w:proofErr w:type="spellEnd"/>
      <w:r w:rsidRPr="00553FC4">
        <w:rPr>
          <w:sz w:val="24"/>
          <w:szCs w:val="24"/>
        </w:rPr>
        <w:t xml:space="preserve"> klasse D (f.eks. OXA-25, OXA-26) eller som har u-undertrykte </w:t>
      </w:r>
      <w:proofErr w:type="spellStart"/>
      <w:r w:rsidRPr="00553FC4">
        <w:rPr>
          <w:sz w:val="24"/>
          <w:szCs w:val="24"/>
        </w:rPr>
        <w:t>ekspressionsniveauer</w:t>
      </w:r>
      <w:proofErr w:type="spellEnd"/>
      <w:r w:rsidRPr="00553FC4">
        <w:rPr>
          <w:sz w:val="24"/>
          <w:szCs w:val="24"/>
        </w:rPr>
        <w:t xml:space="preserve"> af den kromosomale </w:t>
      </w:r>
      <w:proofErr w:type="spellStart"/>
      <w:r w:rsidRPr="00553FC4">
        <w:rPr>
          <w:sz w:val="24"/>
          <w:szCs w:val="24"/>
        </w:rPr>
        <w:t>Ambler</w:t>
      </w:r>
      <w:proofErr w:type="spellEnd"/>
      <w:r w:rsidRPr="00553FC4">
        <w:rPr>
          <w:sz w:val="24"/>
          <w:szCs w:val="24"/>
        </w:rPr>
        <w:t xml:space="preserve"> klasse C </w:t>
      </w:r>
      <w:proofErr w:type="spellStart"/>
      <w:r w:rsidRPr="00553FC4">
        <w:rPr>
          <w:sz w:val="24"/>
          <w:szCs w:val="24"/>
        </w:rPr>
        <w:t>betalaktamase</w:t>
      </w:r>
      <w:proofErr w:type="spellEnd"/>
      <w:r w:rsidRPr="00553FC4">
        <w:rPr>
          <w:sz w:val="24"/>
          <w:szCs w:val="24"/>
        </w:rPr>
        <w:t>.</w:t>
      </w:r>
    </w:p>
    <w:p w:rsidR="00E92CCD" w:rsidRPr="00553FC4" w:rsidRDefault="00E92CCD" w:rsidP="00E92CCD">
      <w:pPr>
        <w:ind w:left="851"/>
        <w:rPr>
          <w:bCs/>
          <w:i/>
          <w:sz w:val="24"/>
          <w:szCs w:val="24"/>
        </w:rPr>
      </w:pPr>
    </w:p>
    <w:p w:rsidR="00E92CCD" w:rsidRPr="00553FC4" w:rsidRDefault="00E92CCD" w:rsidP="00E92CCD">
      <w:pPr>
        <w:ind w:left="851"/>
        <w:rPr>
          <w:sz w:val="24"/>
          <w:szCs w:val="24"/>
          <w:u w:val="single"/>
        </w:rPr>
      </w:pPr>
      <w:r w:rsidRPr="00553FC4">
        <w:rPr>
          <w:sz w:val="24"/>
          <w:szCs w:val="24"/>
          <w:u w:val="single"/>
        </w:rPr>
        <w:t>Brudpunkter for følsomhedstestning</w:t>
      </w:r>
    </w:p>
    <w:p w:rsidR="00AB41BE" w:rsidRDefault="00AB41BE" w:rsidP="00AB41BE">
      <w:pPr>
        <w:ind w:left="851"/>
        <w:rPr>
          <w:sz w:val="24"/>
          <w:szCs w:val="24"/>
        </w:rPr>
      </w:pPr>
      <w:r>
        <w:rPr>
          <w:sz w:val="24"/>
          <w:szCs w:val="24"/>
        </w:rPr>
        <w:t xml:space="preserve">MIC (mindste inhiberende </w:t>
      </w:r>
      <w:proofErr w:type="gramStart"/>
      <w:r>
        <w:rPr>
          <w:sz w:val="24"/>
          <w:szCs w:val="24"/>
        </w:rPr>
        <w:t>koncentration)-</w:t>
      </w:r>
      <w:proofErr w:type="gramEnd"/>
      <w:r>
        <w:rPr>
          <w:sz w:val="24"/>
          <w:szCs w:val="24"/>
        </w:rPr>
        <w:t xml:space="preserve">fortolkningskriterierne for følsomhedstestning er fastlagt af European </w:t>
      </w:r>
      <w:proofErr w:type="spellStart"/>
      <w:r>
        <w:rPr>
          <w:sz w:val="24"/>
          <w:szCs w:val="24"/>
        </w:rPr>
        <w:t>Committee</w:t>
      </w:r>
      <w:proofErr w:type="spellEnd"/>
      <w:r>
        <w:rPr>
          <w:sz w:val="24"/>
          <w:szCs w:val="24"/>
        </w:rPr>
        <w:t xml:space="preserve"> on </w:t>
      </w:r>
      <w:proofErr w:type="spellStart"/>
      <w:r>
        <w:rPr>
          <w:sz w:val="24"/>
          <w:szCs w:val="24"/>
        </w:rPr>
        <w:t>Antimicrobial</w:t>
      </w:r>
      <w:proofErr w:type="spellEnd"/>
      <w:r>
        <w:rPr>
          <w:sz w:val="24"/>
          <w:szCs w:val="24"/>
        </w:rPr>
        <w:t xml:space="preserve"> </w:t>
      </w:r>
      <w:proofErr w:type="spellStart"/>
      <w:r>
        <w:rPr>
          <w:sz w:val="24"/>
          <w:szCs w:val="24"/>
        </w:rPr>
        <w:t>Susceptibility</w:t>
      </w:r>
      <w:proofErr w:type="spellEnd"/>
      <w:r>
        <w:rPr>
          <w:sz w:val="24"/>
          <w:szCs w:val="24"/>
        </w:rPr>
        <w:t xml:space="preserve"> </w:t>
      </w:r>
      <w:proofErr w:type="spellStart"/>
      <w:r>
        <w:rPr>
          <w:sz w:val="24"/>
          <w:szCs w:val="24"/>
        </w:rPr>
        <w:t>Testing</w:t>
      </w:r>
      <w:proofErr w:type="spellEnd"/>
      <w:r>
        <w:rPr>
          <w:sz w:val="24"/>
          <w:szCs w:val="24"/>
        </w:rPr>
        <w:t xml:space="preserve"> (EUCAST) for </w:t>
      </w:r>
      <w:proofErr w:type="spellStart"/>
      <w:r>
        <w:rPr>
          <w:sz w:val="24"/>
          <w:szCs w:val="24"/>
        </w:rPr>
        <w:t>ceftobiprol</w:t>
      </w:r>
      <w:proofErr w:type="spellEnd"/>
      <w:r>
        <w:rPr>
          <w:sz w:val="24"/>
          <w:szCs w:val="24"/>
        </w:rPr>
        <w:t xml:space="preserve"> og er anført her: https://www.ema.europa.eu/documents/other/minimum-inhibitory-concentration-mic-breakpoints_en.xlsx.</w:t>
      </w:r>
    </w:p>
    <w:p w:rsidR="00E92CCD" w:rsidRPr="00553FC4" w:rsidRDefault="00E92CCD" w:rsidP="00E92CCD">
      <w:pPr>
        <w:ind w:left="851" w:hanging="851"/>
        <w:rPr>
          <w:sz w:val="24"/>
          <w:szCs w:val="24"/>
        </w:rPr>
      </w:pPr>
    </w:p>
    <w:p w:rsidR="00E92CCD" w:rsidRPr="00553FC4" w:rsidRDefault="00E92CCD" w:rsidP="00E92CCD">
      <w:pPr>
        <w:ind w:left="851"/>
        <w:rPr>
          <w:sz w:val="24"/>
          <w:szCs w:val="24"/>
          <w:u w:val="single"/>
        </w:rPr>
      </w:pPr>
      <w:r w:rsidRPr="00553FC4">
        <w:rPr>
          <w:sz w:val="24"/>
          <w:szCs w:val="24"/>
          <w:u w:val="single"/>
        </w:rPr>
        <w:t>PK/</w:t>
      </w:r>
      <w:proofErr w:type="gramStart"/>
      <w:r w:rsidRPr="00553FC4">
        <w:rPr>
          <w:sz w:val="24"/>
          <w:szCs w:val="24"/>
          <w:u w:val="single"/>
        </w:rPr>
        <w:t>PD forhold</w:t>
      </w:r>
      <w:proofErr w:type="gramEnd"/>
    </w:p>
    <w:p w:rsidR="00E92CCD" w:rsidRPr="00553FC4" w:rsidRDefault="00E92CCD" w:rsidP="00E92CCD">
      <w:pPr>
        <w:ind w:left="851"/>
        <w:rPr>
          <w:sz w:val="24"/>
          <w:szCs w:val="24"/>
          <w:u w:val="single"/>
        </w:rPr>
      </w:pPr>
    </w:p>
    <w:p w:rsidR="00E92CCD" w:rsidRPr="00553FC4" w:rsidRDefault="00E92CCD" w:rsidP="00E92CCD">
      <w:pPr>
        <w:ind w:left="851"/>
        <w:rPr>
          <w:sz w:val="24"/>
          <w:szCs w:val="24"/>
        </w:rPr>
      </w:pPr>
      <w:r w:rsidRPr="00553FC4">
        <w:rPr>
          <w:sz w:val="24"/>
          <w:szCs w:val="24"/>
        </w:rPr>
        <w:t xml:space="preserve">Som med andre </w:t>
      </w:r>
      <w:proofErr w:type="spellStart"/>
      <w:r w:rsidRPr="00553FC4">
        <w:rPr>
          <w:sz w:val="24"/>
          <w:szCs w:val="24"/>
        </w:rPr>
        <w:t>betalaktam</w:t>
      </w:r>
      <w:proofErr w:type="spellEnd"/>
      <w:r w:rsidRPr="00553FC4">
        <w:rPr>
          <w:sz w:val="24"/>
          <w:szCs w:val="24"/>
        </w:rPr>
        <w:t xml:space="preserve"> antibakterielle midler er procenttiden over minimal hæmmende koncentration (MIC) for den inficerende organisme over dosisinterval (%T </w:t>
      </w:r>
      <w:r>
        <w:rPr>
          <w:sz w:val="24"/>
          <w:szCs w:val="24"/>
        </w:rPr>
        <w:t>&gt;</w:t>
      </w:r>
      <w:r w:rsidRPr="00553FC4">
        <w:rPr>
          <w:sz w:val="24"/>
          <w:szCs w:val="24"/>
        </w:rPr>
        <w:t xml:space="preserve"> MIC) påvist at være det parameter, som bedst korrelerer med effekten af </w:t>
      </w:r>
      <w:proofErr w:type="spellStart"/>
      <w:r w:rsidRPr="00553FC4">
        <w:rPr>
          <w:sz w:val="24"/>
          <w:szCs w:val="24"/>
        </w:rPr>
        <w:t>ceftobiprol</w:t>
      </w:r>
      <w:proofErr w:type="spellEnd"/>
      <w:r w:rsidRPr="00553FC4">
        <w:rPr>
          <w:sz w:val="24"/>
          <w:szCs w:val="24"/>
        </w:rPr>
        <w:t>.</w:t>
      </w:r>
    </w:p>
    <w:p w:rsidR="00E92CCD" w:rsidRPr="00553FC4" w:rsidRDefault="00E92CCD" w:rsidP="00E92CCD">
      <w:pPr>
        <w:ind w:left="851"/>
        <w:rPr>
          <w:sz w:val="24"/>
          <w:szCs w:val="24"/>
        </w:rPr>
      </w:pPr>
    </w:p>
    <w:p w:rsidR="00E92CCD" w:rsidRPr="00553FC4" w:rsidRDefault="00E92CCD" w:rsidP="00E92CCD">
      <w:pPr>
        <w:ind w:left="851"/>
        <w:rPr>
          <w:sz w:val="24"/>
          <w:szCs w:val="24"/>
          <w:u w:val="single"/>
        </w:rPr>
      </w:pPr>
      <w:r w:rsidRPr="00553FC4">
        <w:rPr>
          <w:sz w:val="24"/>
          <w:szCs w:val="24"/>
          <w:u w:val="single"/>
        </w:rPr>
        <w:t xml:space="preserve">Klinisk virkning mod specifikke </w:t>
      </w:r>
      <w:proofErr w:type="spellStart"/>
      <w:r w:rsidRPr="00553FC4">
        <w:rPr>
          <w:sz w:val="24"/>
          <w:szCs w:val="24"/>
          <w:u w:val="single"/>
        </w:rPr>
        <w:t>patogener</w:t>
      </w:r>
      <w:proofErr w:type="spellEnd"/>
      <w:r w:rsidRPr="00553FC4">
        <w:rPr>
          <w:sz w:val="24"/>
          <w:szCs w:val="24"/>
          <w:u w:val="single"/>
        </w:rPr>
        <w:t xml:space="preserve"> </w:t>
      </w:r>
    </w:p>
    <w:p w:rsidR="00E92CCD" w:rsidRPr="00553FC4" w:rsidRDefault="00E92CCD" w:rsidP="00E92CCD">
      <w:pPr>
        <w:ind w:left="851"/>
        <w:rPr>
          <w:bCs/>
          <w:sz w:val="24"/>
          <w:szCs w:val="24"/>
        </w:rPr>
      </w:pPr>
      <w:r w:rsidRPr="00553FC4">
        <w:rPr>
          <w:bCs/>
          <w:sz w:val="24"/>
          <w:szCs w:val="24"/>
        </w:rPr>
        <w:t xml:space="preserve">Effekt er blevet påvist i kliniske forsøg mod følgende </w:t>
      </w:r>
      <w:proofErr w:type="spellStart"/>
      <w:r w:rsidRPr="00553FC4">
        <w:rPr>
          <w:bCs/>
          <w:sz w:val="24"/>
          <w:szCs w:val="24"/>
        </w:rPr>
        <w:t>patogener</w:t>
      </w:r>
      <w:proofErr w:type="spellEnd"/>
      <w:r w:rsidRPr="00553FC4">
        <w:rPr>
          <w:bCs/>
          <w:sz w:val="24"/>
          <w:szCs w:val="24"/>
        </w:rPr>
        <w:t xml:space="preserve"> hos patienter med HAP (eksklusive VAP) og CAP, der var følsomme over for </w:t>
      </w:r>
      <w:proofErr w:type="spellStart"/>
      <w:r w:rsidRPr="00553FC4">
        <w:rPr>
          <w:bCs/>
          <w:sz w:val="24"/>
          <w:szCs w:val="24"/>
        </w:rPr>
        <w:t>ceftobiprol</w:t>
      </w:r>
      <w:proofErr w:type="spellEnd"/>
      <w:r w:rsidRPr="00553FC4">
        <w:rPr>
          <w:bCs/>
          <w:sz w:val="24"/>
          <w:szCs w:val="24"/>
        </w:rPr>
        <w:t xml:space="preserve"> </w:t>
      </w:r>
      <w:r w:rsidRPr="00553FC4">
        <w:rPr>
          <w:bCs/>
          <w:i/>
          <w:iCs/>
          <w:sz w:val="24"/>
          <w:szCs w:val="24"/>
        </w:rPr>
        <w:t xml:space="preserve">in </w:t>
      </w:r>
      <w:proofErr w:type="spellStart"/>
      <w:r w:rsidRPr="00553FC4">
        <w:rPr>
          <w:bCs/>
          <w:i/>
          <w:iCs/>
          <w:sz w:val="24"/>
          <w:szCs w:val="24"/>
        </w:rPr>
        <w:t>vitro</w:t>
      </w:r>
      <w:proofErr w:type="spellEnd"/>
      <w:r w:rsidRPr="00553FC4">
        <w:rPr>
          <w:bCs/>
          <w:i/>
          <w:iCs/>
          <w:sz w:val="24"/>
          <w:szCs w:val="24"/>
        </w:rPr>
        <w:t>:</w:t>
      </w:r>
      <w:r w:rsidRPr="00553FC4">
        <w:rPr>
          <w:bCs/>
          <w:sz w:val="24"/>
          <w:szCs w:val="24"/>
        </w:rPr>
        <w:t xml:space="preserve"> </w:t>
      </w:r>
    </w:p>
    <w:p w:rsidR="00E92CCD" w:rsidRPr="00553FC4" w:rsidRDefault="00E92CCD" w:rsidP="00E92CCD">
      <w:pPr>
        <w:ind w:left="851"/>
        <w:rPr>
          <w:bCs/>
          <w:sz w:val="24"/>
          <w:szCs w:val="24"/>
        </w:rPr>
      </w:pPr>
    </w:p>
    <w:p w:rsidR="00AB41BE" w:rsidRDefault="00AB41BE" w:rsidP="00AB41BE">
      <w:pPr>
        <w:ind w:left="851"/>
        <w:rPr>
          <w:bCs/>
          <w:i/>
          <w:sz w:val="24"/>
          <w:szCs w:val="24"/>
          <w:lang w:val="en-US"/>
        </w:rPr>
      </w:pPr>
      <w:r>
        <w:rPr>
          <w:bCs/>
          <w:i/>
          <w:iCs/>
          <w:sz w:val="24"/>
          <w:szCs w:val="24"/>
          <w:lang w:val="en-US"/>
        </w:rPr>
        <w:t>Staphylococcus aureus (</w:t>
      </w:r>
      <w:proofErr w:type="spellStart"/>
      <w:r>
        <w:rPr>
          <w:bCs/>
          <w:sz w:val="24"/>
          <w:szCs w:val="24"/>
          <w:lang w:val="en-US"/>
        </w:rPr>
        <w:t>herunder</w:t>
      </w:r>
      <w:proofErr w:type="spellEnd"/>
      <w:r>
        <w:rPr>
          <w:bCs/>
          <w:sz w:val="24"/>
          <w:szCs w:val="24"/>
          <w:lang w:val="en-US"/>
        </w:rPr>
        <w:t xml:space="preserve"> MSSA)</w:t>
      </w:r>
    </w:p>
    <w:p w:rsidR="00AB41BE" w:rsidRDefault="00AB41BE" w:rsidP="00AB41BE">
      <w:pPr>
        <w:ind w:left="851"/>
        <w:rPr>
          <w:bCs/>
          <w:i/>
          <w:sz w:val="24"/>
          <w:szCs w:val="24"/>
          <w:lang w:val="en-US"/>
        </w:rPr>
      </w:pPr>
      <w:r>
        <w:rPr>
          <w:bCs/>
          <w:i/>
          <w:iCs/>
          <w:sz w:val="24"/>
          <w:szCs w:val="24"/>
          <w:lang w:val="en-US"/>
        </w:rPr>
        <w:t xml:space="preserve">Streptococcus pneumoniae </w:t>
      </w:r>
      <w:r>
        <w:rPr>
          <w:bCs/>
          <w:sz w:val="24"/>
          <w:szCs w:val="24"/>
          <w:lang w:val="en-US"/>
        </w:rPr>
        <w:t>(</w:t>
      </w:r>
      <w:proofErr w:type="spellStart"/>
      <w:r>
        <w:rPr>
          <w:bCs/>
          <w:sz w:val="24"/>
          <w:szCs w:val="24"/>
          <w:lang w:val="en-US"/>
        </w:rPr>
        <w:t>herunder</w:t>
      </w:r>
      <w:proofErr w:type="spellEnd"/>
      <w:r>
        <w:rPr>
          <w:bCs/>
          <w:sz w:val="24"/>
          <w:szCs w:val="24"/>
          <w:lang w:val="en-US"/>
        </w:rPr>
        <w:t xml:space="preserve"> MDRSP)</w:t>
      </w:r>
    </w:p>
    <w:p w:rsidR="00AB41BE" w:rsidRDefault="00AB41BE" w:rsidP="00AB41BE">
      <w:pPr>
        <w:ind w:left="851"/>
        <w:rPr>
          <w:bCs/>
          <w:i/>
          <w:sz w:val="24"/>
          <w:szCs w:val="24"/>
          <w:lang w:val="en-US"/>
        </w:rPr>
      </w:pPr>
      <w:r>
        <w:rPr>
          <w:bCs/>
          <w:i/>
          <w:iCs/>
          <w:sz w:val="24"/>
          <w:szCs w:val="24"/>
          <w:lang w:val="en-US"/>
        </w:rPr>
        <w:t>Escherichia coli</w:t>
      </w:r>
    </w:p>
    <w:p w:rsidR="00AB41BE" w:rsidRDefault="00AB41BE" w:rsidP="00AB41BE">
      <w:pPr>
        <w:ind w:left="851"/>
        <w:rPr>
          <w:bCs/>
          <w:i/>
          <w:sz w:val="24"/>
          <w:szCs w:val="24"/>
        </w:rPr>
      </w:pPr>
      <w:proofErr w:type="spellStart"/>
      <w:r>
        <w:rPr>
          <w:bCs/>
          <w:i/>
          <w:iCs/>
          <w:sz w:val="24"/>
          <w:szCs w:val="24"/>
        </w:rPr>
        <w:t>Klebsiella</w:t>
      </w:r>
      <w:proofErr w:type="spellEnd"/>
      <w:r>
        <w:rPr>
          <w:bCs/>
          <w:i/>
          <w:iCs/>
          <w:sz w:val="24"/>
          <w:szCs w:val="24"/>
        </w:rPr>
        <w:t xml:space="preserve"> </w:t>
      </w:r>
      <w:proofErr w:type="spellStart"/>
      <w:r>
        <w:rPr>
          <w:bCs/>
          <w:i/>
          <w:iCs/>
          <w:sz w:val="24"/>
          <w:szCs w:val="24"/>
        </w:rPr>
        <w:t>pneumoniae</w:t>
      </w:r>
      <w:proofErr w:type="spellEnd"/>
    </w:p>
    <w:p w:rsidR="00E92CCD" w:rsidRPr="00553FC4" w:rsidRDefault="00E92CCD" w:rsidP="00E92CCD">
      <w:pPr>
        <w:ind w:left="851"/>
        <w:rPr>
          <w:bCs/>
          <w:i/>
          <w:sz w:val="24"/>
          <w:szCs w:val="24"/>
        </w:rPr>
      </w:pPr>
    </w:p>
    <w:p w:rsidR="00E92CCD" w:rsidRPr="00553FC4" w:rsidRDefault="00E92CCD" w:rsidP="00E92CCD">
      <w:pPr>
        <w:ind w:left="851"/>
        <w:rPr>
          <w:sz w:val="24"/>
          <w:szCs w:val="24"/>
          <w:u w:val="single"/>
        </w:rPr>
      </w:pPr>
      <w:r w:rsidRPr="00553FC4">
        <w:rPr>
          <w:sz w:val="24"/>
          <w:szCs w:val="24"/>
          <w:u w:val="single"/>
        </w:rPr>
        <w:t xml:space="preserve">Antibakteriel aktivitet mod andre relevante </w:t>
      </w:r>
      <w:proofErr w:type="spellStart"/>
      <w:r w:rsidRPr="00553FC4">
        <w:rPr>
          <w:sz w:val="24"/>
          <w:szCs w:val="24"/>
          <w:u w:val="single"/>
        </w:rPr>
        <w:t>patogener</w:t>
      </w:r>
      <w:proofErr w:type="spellEnd"/>
    </w:p>
    <w:p w:rsidR="00E92CCD" w:rsidRPr="00553FC4" w:rsidRDefault="00E92CCD" w:rsidP="00E92CCD">
      <w:pPr>
        <w:ind w:left="851"/>
        <w:rPr>
          <w:bCs/>
          <w:sz w:val="24"/>
          <w:szCs w:val="24"/>
        </w:rPr>
      </w:pPr>
      <w:r w:rsidRPr="00553FC4">
        <w:rPr>
          <w:bCs/>
          <w:sz w:val="24"/>
          <w:szCs w:val="24"/>
        </w:rPr>
        <w:t xml:space="preserve">Klinisk effekt er ikke blevet etableret mod følgende </w:t>
      </w:r>
      <w:proofErr w:type="spellStart"/>
      <w:r w:rsidRPr="00553FC4">
        <w:rPr>
          <w:bCs/>
          <w:sz w:val="24"/>
          <w:szCs w:val="24"/>
        </w:rPr>
        <w:t>patogener</w:t>
      </w:r>
      <w:proofErr w:type="spellEnd"/>
      <w:r w:rsidRPr="00553FC4">
        <w:rPr>
          <w:bCs/>
          <w:sz w:val="24"/>
          <w:szCs w:val="24"/>
        </w:rPr>
        <w:t xml:space="preserve">, omend </w:t>
      </w:r>
      <w:r w:rsidRPr="00553FC4">
        <w:rPr>
          <w:bCs/>
          <w:i/>
          <w:iCs/>
          <w:sz w:val="24"/>
          <w:szCs w:val="24"/>
        </w:rPr>
        <w:t xml:space="preserve">in </w:t>
      </w:r>
      <w:proofErr w:type="spellStart"/>
      <w:r w:rsidRPr="00553FC4">
        <w:rPr>
          <w:bCs/>
          <w:i/>
          <w:iCs/>
          <w:sz w:val="24"/>
          <w:szCs w:val="24"/>
        </w:rPr>
        <w:t>vitro</w:t>
      </w:r>
      <w:proofErr w:type="spellEnd"/>
      <w:r w:rsidRPr="00553FC4">
        <w:rPr>
          <w:bCs/>
          <w:sz w:val="24"/>
          <w:szCs w:val="24"/>
        </w:rPr>
        <w:t xml:space="preserve"> undersøgelser angiver, at de ofte ville være følsomme over for </w:t>
      </w:r>
      <w:proofErr w:type="spellStart"/>
      <w:r w:rsidRPr="00553FC4">
        <w:rPr>
          <w:bCs/>
          <w:sz w:val="24"/>
          <w:szCs w:val="24"/>
        </w:rPr>
        <w:t>ceftobiprol</w:t>
      </w:r>
      <w:proofErr w:type="spellEnd"/>
      <w:r w:rsidRPr="00553FC4">
        <w:rPr>
          <w:bCs/>
          <w:sz w:val="24"/>
          <w:szCs w:val="24"/>
        </w:rPr>
        <w:t xml:space="preserve"> ved fravær af en erhvervet modstandsmekanisme:</w:t>
      </w:r>
    </w:p>
    <w:p w:rsidR="00E92CCD" w:rsidRPr="00553FC4" w:rsidRDefault="00E92CCD" w:rsidP="00E92CCD">
      <w:pPr>
        <w:ind w:left="851"/>
        <w:rPr>
          <w:bCs/>
          <w:sz w:val="24"/>
          <w:szCs w:val="24"/>
        </w:rPr>
      </w:pPr>
    </w:p>
    <w:p w:rsidR="00AB41BE" w:rsidRDefault="00AB41BE" w:rsidP="00AB41BE">
      <w:pPr>
        <w:keepNext/>
        <w:ind w:left="851"/>
        <w:rPr>
          <w:bCs/>
          <w:iCs/>
          <w:sz w:val="24"/>
          <w:szCs w:val="24"/>
          <w:lang w:val="en-GB"/>
        </w:rPr>
      </w:pPr>
      <w:r>
        <w:rPr>
          <w:bCs/>
          <w:i/>
          <w:iCs/>
          <w:sz w:val="24"/>
          <w:szCs w:val="24"/>
          <w:lang w:val="en-GB"/>
        </w:rPr>
        <w:lastRenderedPageBreak/>
        <w:t>Acinetobacter</w:t>
      </w:r>
      <w:r>
        <w:rPr>
          <w:bCs/>
          <w:sz w:val="24"/>
          <w:szCs w:val="24"/>
          <w:lang w:val="en-GB"/>
        </w:rPr>
        <w:t xml:space="preserve"> spp. </w:t>
      </w:r>
    </w:p>
    <w:p w:rsidR="00AB41BE" w:rsidRDefault="00AB41BE" w:rsidP="00AB41BE">
      <w:pPr>
        <w:ind w:left="851"/>
        <w:rPr>
          <w:bCs/>
          <w:sz w:val="24"/>
          <w:szCs w:val="24"/>
          <w:lang w:val="en-GB"/>
        </w:rPr>
      </w:pPr>
      <w:r>
        <w:rPr>
          <w:bCs/>
          <w:i/>
          <w:iCs/>
          <w:sz w:val="24"/>
          <w:szCs w:val="24"/>
          <w:lang w:val="en-GB"/>
        </w:rPr>
        <w:t>Citrobacter</w:t>
      </w:r>
      <w:r>
        <w:rPr>
          <w:bCs/>
          <w:sz w:val="24"/>
          <w:szCs w:val="24"/>
          <w:lang w:val="en-GB"/>
        </w:rPr>
        <w:t xml:space="preserve"> spp. </w:t>
      </w:r>
    </w:p>
    <w:p w:rsidR="00AB41BE" w:rsidRDefault="00AB41BE" w:rsidP="00AB41BE">
      <w:pPr>
        <w:ind w:left="851"/>
        <w:rPr>
          <w:bCs/>
          <w:sz w:val="24"/>
          <w:szCs w:val="24"/>
          <w:lang w:val="en-GB"/>
        </w:rPr>
      </w:pPr>
      <w:r>
        <w:rPr>
          <w:bCs/>
          <w:i/>
          <w:iCs/>
          <w:sz w:val="24"/>
          <w:szCs w:val="24"/>
          <w:lang w:val="en-GB"/>
        </w:rPr>
        <w:t xml:space="preserve">Enterobacter </w:t>
      </w:r>
      <w:r>
        <w:rPr>
          <w:bCs/>
          <w:sz w:val="24"/>
          <w:szCs w:val="24"/>
          <w:lang w:val="en-GB"/>
        </w:rPr>
        <w:t xml:space="preserve">spp. </w:t>
      </w:r>
    </w:p>
    <w:p w:rsidR="00AB41BE" w:rsidRDefault="00AB41BE" w:rsidP="00AB41BE">
      <w:pPr>
        <w:ind w:left="851"/>
        <w:rPr>
          <w:bCs/>
          <w:i/>
          <w:sz w:val="24"/>
          <w:szCs w:val="24"/>
          <w:lang w:val="en-GB"/>
        </w:rPr>
      </w:pPr>
      <w:proofErr w:type="spellStart"/>
      <w:r>
        <w:rPr>
          <w:bCs/>
          <w:i/>
          <w:iCs/>
          <w:sz w:val="24"/>
          <w:szCs w:val="24"/>
          <w:lang w:val="en-GB"/>
        </w:rPr>
        <w:t>Hæmophilus</w:t>
      </w:r>
      <w:proofErr w:type="spellEnd"/>
      <w:r>
        <w:rPr>
          <w:bCs/>
          <w:i/>
          <w:iCs/>
          <w:sz w:val="24"/>
          <w:szCs w:val="24"/>
          <w:lang w:val="en-GB"/>
        </w:rPr>
        <w:t xml:space="preserve"> influenzae</w:t>
      </w:r>
    </w:p>
    <w:p w:rsidR="00AB41BE" w:rsidRDefault="00AB41BE" w:rsidP="00AB41BE">
      <w:pPr>
        <w:ind w:left="851"/>
        <w:rPr>
          <w:bCs/>
          <w:i/>
          <w:iCs/>
          <w:sz w:val="24"/>
          <w:szCs w:val="24"/>
          <w:lang w:val="en-GB"/>
        </w:rPr>
      </w:pPr>
      <w:r>
        <w:rPr>
          <w:bCs/>
          <w:i/>
          <w:iCs/>
          <w:sz w:val="24"/>
          <w:szCs w:val="24"/>
          <w:lang w:val="en-GB"/>
        </w:rPr>
        <w:t xml:space="preserve">Klebsiella </w:t>
      </w:r>
      <w:proofErr w:type="spellStart"/>
      <w:r>
        <w:rPr>
          <w:bCs/>
          <w:i/>
          <w:iCs/>
          <w:sz w:val="24"/>
          <w:szCs w:val="24"/>
          <w:lang w:val="en-GB"/>
        </w:rPr>
        <w:t>oxytoca</w:t>
      </w:r>
      <w:proofErr w:type="spellEnd"/>
      <w:r>
        <w:rPr>
          <w:bCs/>
          <w:i/>
          <w:iCs/>
          <w:sz w:val="24"/>
          <w:szCs w:val="24"/>
          <w:lang w:val="en-GB"/>
        </w:rPr>
        <w:t xml:space="preserve"> </w:t>
      </w:r>
    </w:p>
    <w:p w:rsidR="00AB41BE" w:rsidRDefault="00AB41BE" w:rsidP="00AB41BE">
      <w:pPr>
        <w:ind w:left="851"/>
        <w:rPr>
          <w:bCs/>
          <w:i/>
          <w:iCs/>
          <w:sz w:val="24"/>
          <w:szCs w:val="24"/>
          <w:lang w:val="en-GB"/>
        </w:rPr>
      </w:pPr>
      <w:r>
        <w:rPr>
          <w:bCs/>
          <w:i/>
          <w:iCs/>
          <w:sz w:val="24"/>
          <w:szCs w:val="24"/>
          <w:lang w:val="en-GB"/>
        </w:rPr>
        <w:t>Moraxella catarrhalis</w:t>
      </w:r>
    </w:p>
    <w:p w:rsidR="00AB41BE" w:rsidRDefault="00AB41BE" w:rsidP="00AB41BE">
      <w:pPr>
        <w:ind w:left="851"/>
        <w:rPr>
          <w:bCs/>
          <w:i/>
          <w:iCs/>
          <w:sz w:val="24"/>
          <w:szCs w:val="24"/>
          <w:lang w:val="sv-SE"/>
        </w:rPr>
      </w:pPr>
      <w:proofErr w:type="spellStart"/>
      <w:r>
        <w:rPr>
          <w:bCs/>
          <w:i/>
          <w:iCs/>
          <w:sz w:val="24"/>
          <w:szCs w:val="24"/>
          <w:lang w:val="sv-SE"/>
        </w:rPr>
        <w:t>Morganella</w:t>
      </w:r>
      <w:proofErr w:type="spellEnd"/>
      <w:r>
        <w:rPr>
          <w:bCs/>
          <w:i/>
          <w:iCs/>
          <w:sz w:val="24"/>
          <w:szCs w:val="24"/>
          <w:lang w:val="sv-SE"/>
        </w:rPr>
        <w:t xml:space="preserve"> </w:t>
      </w:r>
      <w:proofErr w:type="spellStart"/>
      <w:r>
        <w:rPr>
          <w:bCs/>
          <w:i/>
          <w:iCs/>
          <w:sz w:val="24"/>
          <w:szCs w:val="24"/>
          <w:lang w:val="sv-SE"/>
        </w:rPr>
        <w:t>morganii</w:t>
      </w:r>
      <w:proofErr w:type="spellEnd"/>
    </w:p>
    <w:p w:rsidR="00AB41BE" w:rsidRDefault="00AB41BE" w:rsidP="00AB41BE">
      <w:pPr>
        <w:ind w:left="851"/>
        <w:rPr>
          <w:bCs/>
          <w:i/>
          <w:iCs/>
          <w:sz w:val="24"/>
          <w:szCs w:val="24"/>
          <w:lang w:val="sv-SE"/>
        </w:rPr>
      </w:pPr>
      <w:proofErr w:type="spellStart"/>
      <w:r>
        <w:rPr>
          <w:bCs/>
          <w:i/>
          <w:iCs/>
          <w:sz w:val="24"/>
          <w:szCs w:val="24"/>
          <w:lang w:val="sv-SE"/>
        </w:rPr>
        <w:t>Proteus</w:t>
      </w:r>
      <w:proofErr w:type="spellEnd"/>
      <w:r>
        <w:rPr>
          <w:bCs/>
          <w:i/>
          <w:iCs/>
          <w:sz w:val="24"/>
          <w:szCs w:val="24"/>
          <w:lang w:val="sv-SE"/>
        </w:rPr>
        <w:t xml:space="preserve"> </w:t>
      </w:r>
      <w:proofErr w:type="spellStart"/>
      <w:r>
        <w:rPr>
          <w:bCs/>
          <w:i/>
          <w:iCs/>
          <w:sz w:val="24"/>
          <w:szCs w:val="24"/>
          <w:lang w:val="sv-SE"/>
        </w:rPr>
        <w:t>mirabilis</w:t>
      </w:r>
      <w:proofErr w:type="spellEnd"/>
      <w:r>
        <w:rPr>
          <w:bCs/>
          <w:i/>
          <w:iCs/>
          <w:sz w:val="24"/>
          <w:szCs w:val="24"/>
          <w:lang w:val="sv-SE"/>
        </w:rPr>
        <w:t xml:space="preserve"> </w:t>
      </w:r>
    </w:p>
    <w:p w:rsidR="00AB41BE" w:rsidRDefault="00AB41BE" w:rsidP="00AB41BE">
      <w:pPr>
        <w:ind w:left="851"/>
        <w:rPr>
          <w:bCs/>
          <w:i/>
          <w:iCs/>
          <w:sz w:val="24"/>
          <w:szCs w:val="24"/>
          <w:lang w:val="sv-SE"/>
        </w:rPr>
      </w:pPr>
      <w:r>
        <w:rPr>
          <w:bCs/>
          <w:i/>
          <w:iCs/>
          <w:sz w:val="24"/>
          <w:szCs w:val="24"/>
          <w:lang w:val="sv-SE"/>
        </w:rPr>
        <w:t xml:space="preserve">Providencia </w:t>
      </w:r>
      <w:proofErr w:type="spellStart"/>
      <w:r>
        <w:rPr>
          <w:bCs/>
          <w:sz w:val="24"/>
          <w:szCs w:val="24"/>
          <w:lang w:val="sv-SE"/>
        </w:rPr>
        <w:t>spp</w:t>
      </w:r>
      <w:proofErr w:type="spellEnd"/>
      <w:r>
        <w:rPr>
          <w:bCs/>
          <w:sz w:val="24"/>
          <w:szCs w:val="24"/>
          <w:lang w:val="sv-SE"/>
        </w:rPr>
        <w:t>.</w:t>
      </w:r>
      <w:r>
        <w:rPr>
          <w:bCs/>
          <w:i/>
          <w:iCs/>
          <w:sz w:val="24"/>
          <w:szCs w:val="24"/>
          <w:lang w:val="sv-SE"/>
        </w:rPr>
        <w:t xml:space="preserve"> </w:t>
      </w:r>
    </w:p>
    <w:p w:rsidR="00AB41BE" w:rsidRDefault="00AB41BE" w:rsidP="00AB41BE">
      <w:pPr>
        <w:ind w:left="851"/>
        <w:rPr>
          <w:bCs/>
          <w:iCs/>
          <w:sz w:val="24"/>
          <w:szCs w:val="24"/>
          <w:lang w:val="sv-SE"/>
        </w:rPr>
      </w:pPr>
      <w:proofErr w:type="spellStart"/>
      <w:r>
        <w:rPr>
          <w:bCs/>
          <w:i/>
          <w:iCs/>
          <w:sz w:val="24"/>
          <w:szCs w:val="24"/>
          <w:lang w:val="sv-SE"/>
        </w:rPr>
        <w:t>Pseudomonas</w:t>
      </w:r>
      <w:proofErr w:type="spellEnd"/>
      <w:r>
        <w:rPr>
          <w:bCs/>
          <w:i/>
          <w:iCs/>
          <w:sz w:val="24"/>
          <w:szCs w:val="24"/>
          <w:lang w:val="sv-SE"/>
        </w:rPr>
        <w:t xml:space="preserve"> </w:t>
      </w:r>
      <w:proofErr w:type="spellStart"/>
      <w:r>
        <w:rPr>
          <w:bCs/>
          <w:sz w:val="24"/>
          <w:szCs w:val="24"/>
          <w:lang w:val="sv-SE"/>
        </w:rPr>
        <w:t>spp</w:t>
      </w:r>
      <w:proofErr w:type="spellEnd"/>
      <w:r>
        <w:rPr>
          <w:bCs/>
          <w:sz w:val="24"/>
          <w:szCs w:val="24"/>
          <w:lang w:val="sv-SE"/>
        </w:rPr>
        <w:t>.</w:t>
      </w:r>
    </w:p>
    <w:p w:rsidR="00AB41BE" w:rsidRDefault="00AB41BE" w:rsidP="00AB41BE">
      <w:pPr>
        <w:ind w:left="851"/>
        <w:rPr>
          <w:bCs/>
          <w:i/>
          <w:iCs/>
          <w:sz w:val="24"/>
          <w:szCs w:val="24"/>
          <w:lang w:val="sv-SE"/>
        </w:rPr>
      </w:pPr>
      <w:proofErr w:type="spellStart"/>
      <w:r>
        <w:rPr>
          <w:bCs/>
          <w:i/>
          <w:iCs/>
          <w:sz w:val="24"/>
          <w:szCs w:val="24"/>
          <w:lang w:val="sv-SE"/>
        </w:rPr>
        <w:t>Serratia</w:t>
      </w:r>
      <w:proofErr w:type="spellEnd"/>
      <w:r>
        <w:rPr>
          <w:bCs/>
          <w:i/>
          <w:iCs/>
          <w:sz w:val="24"/>
          <w:szCs w:val="24"/>
          <w:lang w:val="sv-SE"/>
        </w:rPr>
        <w:t xml:space="preserve"> </w:t>
      </w:r>
      <w:proofErr w:type="spellStart"/>
      <w:r>
        <w:rPr>
          <w:bCs/>
          <w:sz w:val="24"/>
          <w:szCs w:val="24"/>
          <w:lang w:val="sv-SE"/>
        </w:rPr>
        <w:t>spp</w:t>
      </w:r>
      <w:proofErr w:type="spellEnd"/>
      <w:r>
        <w:rPr>
          <w:bCs/>
          <w:i/>
          <w:iCs/>
          <w:sz w:val="24"/>
          <w:szCs w:val="24"/>
          <w:lang w:val="sv-SE"/>
        </w:rPr>
        <w:t xml:space="preserve">. </w:t>
      </w:r>
    </w:p>
    <w:p w:rsidR="00AB41BE" w:rsidRDefault="00AB41BE" w:rsidP="00AB41BE">
      <w:pPr>
        <w:ind w:left="851"/>
        <w:rPr>
          <w:bCs/>
          <w:sz w:val="24"/>
          <w:szCs w:val="24"/>
          <w:lang w:val="sv-SE"/>
        </w:rPr>
      </w:pPr>
    </w:p>
    <w:p w:rsidR="00AB41BE" w:rsidRDefault="00AB41BE" w:rsidP="00AB41BE">
      <w:pPr>
        <w:ind w:left="851"/>
        <w:rPr>
          <w:bCs/>
          <w:sz w:val="24"/>
          <w:szCs w:val="24"/>
          <w:lang w:val="sv-SE"/>
        </w:rPr>
      </w:pPr>
      <w:r>
        <w:rPr>
          <w:bCs/>
          <w:i/>
          <w:iCs/>
          <w:sz w:val="24"/>
          <w:szCs w:val="24"/>
          <w:lang w:val="sv-SE"/>
        </w:rPr>
        <w:t>In vitro</w:t>
      </w:r>
      <w:r>
        <w:rPr>
          <w:bCs/>
          <w:sz w:val="24"/>
          <w:szCs w:val="24"/>
          <w:lang w:val="sv-SE"/>
        </w:rPr>
        <w:t xml:space="preserve"> data angiver, at </w:t>
      </w:r>
      <w:proofErr w:type="spellStart"/>
      <w:r>
        <w:rPr>
          <w:bCs/>
          <w:sz w:val="24"/>
          <w:szCs w:val="24"/>
          <w:lang w:val="sv-SE"/>
        </w:rPr>
        <w:t>følgende</w:t>
      </w:r>
      <w:proofErr w:type="spellEnd"/>
      <w:r>
        <w:rPr>
          <w:bCs/>
          <w:sz w:val="24"/>
          <w:szCs w:val="24"/>
          <w:lang w:val="sv-SE"/>
        </w:rPr>
        <w:t xml:space="preserve"> arter </w:t>
      </w:r>
      <w:proofErr w:type="spellStart"/>
      <w:r>
        <w:rPr>
          <w:bCs/>
          <w:sz w:val="24"/>
          <w:szCs w:val="24"/>
          <w:lang w:val="sv-SE"/>
        </w:rPr>
        <w:t>ikke</w:t>
      </w:r>
      <w:proofErr w:type="spellEnd"/>
      <w:r>
        <w:rPr>
          <w:bCs/>
          <w:sz w:val="24"/>
          <w:szCs w:val="24"/>
          <w:lang w:val="sv-SE"/>
        </w:rPr>
        <w:t xml:space="preserve"> er </w:t>
      </w:r>
      <w:proofErr w:type="spellStart"/>
      <w:r>
        <w:rPr>
          <w:bCs/>
          <w:sz w:val="24"/>
          <w:szCs w:val="24"/>
          <w:lang w:val="sv-SE"/>
        </w:rPr>
        <w:t>følsomme</w:t>
      </w:r>
      <w:proofErr w:type="spellEnd"/>
      <w:r>
        <w:rPr>
          <w:bCs/>
          <w:sz w:val="24"/>
          <w:szCs w:val="24"/>
          <w:lang w:val="sv-SE"/>
        </w:rPr>
        <w:t xml:space="preserve"> over for </w:t>
      </w:r>
      <w:proofErr w:type="spellStart"/>
      <w:r>
        <w:rPr>
          <w:bCs/>
          <w:sz w:val="24"/>
          <w:szCs w:val="24"/>
          <w:lang w:val="sv-SE"/>
        </w:rPr>
        <w:t>ceftobiprol</w:t>
      </w:r>
      <w:proofErr w:type="spellEnd"/>
      <w:r>
        <w:rPr>
          <w:bCs/>
          <w:sz w:val="24"/>
          <w:szCs w:val="24"/>
          <w:lang w:val="sv-SE"/>
        </w:rPr>
        <w:t>:</w:t>
      </w:r>
    </w:p>
    <w:p w:rsidR="00AB41BE" w:rsidRDefault="00AB41BE" w:rsidP="00AB41BE">
      <w:pPr>
        <w:ind w:left="851"/>
        <w:rPr>
          <w:bCs/>
          <w:sz w:val="24"/>
          <w:szCs w:val="24"/>
          <w:lang w:val="sv-SE"/>
        </w:rPr>
      </w:pPr>
    </w:p>
    <w:p w:rsidR="00AB41BE" w:rsidRDefault="00AB41BE" w:rsidP="00AB41BE">
      <w:pPr>
        <w:ind w:left="851"/>
        <w:rPr>
          <w:bCs/>
          <w:i/>
          <w:iCs/>
          <w:sz w:val="24"/>
          <w:szCs w:val="24"/>
          <w:lang w:val="sv-SE"/>
        </w:rPr>
      </w:pPr>
      <w:proofErr w:type="spellStart"/>
      <w:r>
        <w:rPr>
          <w:bCs/>
          <w:i/>
          <w:iCs/>
          <w:sz w:val="24"/>
          <w:szCs w:val="24"/>
          <w:lang w:val="sv-SE"/>
        </w:rPr>
        <w:t>Chlamydophila</w:t>
      </w:r>
      <w:proofErr w:type="spellEnd"/>
      <w:r>
        <w:rPr>
          <w:bCs/>
          <w:i/>
          <w:iCs/>
          <w:sz w:val="24"/>
          <w:szCs w:val="24"/>
          <w:lang w:val="sv-SE"/>
        </w:rPr>
        <w:t xml:space="preserve"> (</w:t>
      </w:r>
      <w:proofErr w:type="spellStart"/>
      <w:r>
        <w:rPr>
          <w:bCs/>
          <w:i/>
          <w:iCs/>
          <w:sz w:val="24"/>
          <w:szCs w:val="24"/>
          <w:lang w:val="sv-SE"/>
        </w:rPr>
        <w:t>Chlamydia</w:t>
      </w:r>
      <w:proofErr w:type="spellEnd"/>
      <w:r>
        <w:rPr>
          <w:bCs/>
          <w:i/>
          <w:iCs/>
          <w:sz w:val="24"/>
          <w:szCs w:val="24"/>
          <w:lang w:val="sv-SE"/>
        </w:rPr>
        <w:t xml:space="preserve">) </w:t>
      </w:r>
      <w:proofErr w:type="spellStart"/>
      <w:r>
        <w:rPr>
          <w:bCs/>
          <w:i/>
          <w:iCs/>
          <w:sz w:val="24"/>
          <w:szCs w:val="24"/>
          <w:lang w:val="sv-SE"/>
        </w:rPr>
        <w:t>pneumoniae</w:t>
      </w:r>
      <w:proofErr w:type="spellEnd"/>
    </w:p>
    <w:p w:rsidR="00AB41BE" w:rsidRDefault="00AB41BE" w:rsidP="00AB41BE">
      <w:pPr>
        <w:ind w:left="851"/>
        <w:rPr>
          <w:bCs/>
          <w:i/>
          <w:iCs/>
          <w:sz w:val="24"/>
          <w:szCs w:val="24"/>
          <w:lang w:val="sv-SE"/>
        </w:rPr>
      </w:pPr>
      <w:proofErr w:type="spellStart"/>
      <w:r>
        <w:rPr>
          <w:bCs/>
          <w:i/>
          <w:iCs/>
          <w:sz w:val="24"/>
          <w:szCs w:val="24"/>
          <w:lang w:val="sv-SE"/>
        </w:rPr>
        <w:t>Burkholderia</w:t>
      </w:r>
      <w:proofErr w:type="spellEnd"/>
      <w:r>
        <w:rPr>
          <w:bCs/>
          <w:i/>
          <w:iCs/>
          <w:sz w:val="24"/>
          <w:szCs w:val="24"/>
          <w:lang w:val="sv-SE"/>
        </w:rPr>
        <w:t xml:space="preserve"> </w:t>
      </w:r>
      <w:proofErr w:type="spellStart"/>
      <w:r>
        <w:rPr>
          <w:bCs/>
          <w:i/>
          <w:iCs/>
          <w:sz w:val="24"/>
          <w:szCs w:val="24"/>
          <w:lang w:val="sv-SE"/>
        </w:rPr>
        <w:t>cepacia</w:t>
      </w:r>
      <w:proofErr w:type="spellEnd"/>
      <w:r>
        <w:rPr>
          <w:bCs/>
          <w:i/>
          <w:iCs/>
          <w:sz w:val="24"/>
          <w:szCs w:val="24"/>
          <w:lang w:val="sv-SE"/>
        </w:rPr>
        <w:t xml:space="preserve"> </w:t>
      </w:r>
      <w:proofErr w:type="spellStart"/>
      <w:r>
        <w:rPr>
          <w:bCs/>
          <w:i/>
          <w:iCs/>
          <w:sz w:val="24"/>
          <w:szCs w:val="24"/>
          <w:lang w:val="sv-SE"/>
        </w:rPr>
        <w:t>complex</w:t>
      </w:r>
      <w:proofErr w:type="spellEnd"/>
    </w:p>
    <w:p w:rsidR="00AB41BE" w:rsidRDefault="00AB41BE" w:rsidP="00AB41BE">
      <w:pPr>
        <w:ind w:left="851"/>
        <w:rPr>
          <w:bCs/>
          <w:i/>
          <w:iCs/>
          <w:sz w:val="24"/>
          <w:szCs w:val="24"/>
          <w:lang w:val="sv-SE"/>
        </w:rPr>
      </w:pPr>
      <w:r>
        <w:rPr>
          <w:bCs/>
          <w:i/>
          <w:iCs/>
          <w:sz w:val="24"/>
          <w:szCs w:val="24"/>
          <w:lang w:val="sv-SE"/>
        </w:rPr>
        <w:t xml:space="preserve">Mycoplasma </w:t>
      </w:r>
      <w:proofErr w:type="spellStart"/>
      <w:r>
        <w:rPr>
          <w:bCs/>
          <w:i/>
          <w:iCs/>
          <w:sz w:val="24"/>
          <w:szCs w:val="24"/>
          <w:lang w:val="sv-SE"/>
        </w:rPr>
        <w:t>pneumoniae</w:t>
      </w:r>
      <w:proofErr w:type="spellEnd"/>
    </w:p>
    <w:p w:rsidR="00AB41BE" w:rsidRDefault="00AB41BE" w:rsidP="00AB41BE">
      <w:pPr>
        <w:ind w:left="851"/>
        <w:rPr>
          <w:bCs/>
          <w:iCs/>
          <w:sz w:val="24"/>
          <w:szCs w:val="24"/>
          <w:lang w:val="sv-SE"/>
        </w:rPr>
      </w:pPr>
      <w:proofErr w:type="spellStart"/>
      <w:r>
        <w:rPr>
          <w:bCs/>
          <w:iCs/>
          <w:sz w:val="24"/>
          <w:szCs w:val="24"/>
          <w:lang w:val="sv-SE"/>
        </w:rPr>
        <w:t>Mykobakterier</w:t>
      </w:r>
      <w:proofErr w:type="spellEnd"/>
      <w:r>
        <w:rPr>
          <w:bCs/>
          <w:iCs/>
          <w:sz w:val="24"/>
          <w:szCs w:val="24"/>
          <w:lang w:val="sv-SE"/>
        </w:rPr>
        <w:t xml:space="preserve"> </w:t>
      </w:r>
    </w:p>
    <w:p w:rsidR="00AB41BE" w:rsidRDefault="00AB41BE" w:rsidP="00AB41BE">
      <w:pPr>
        <w:ind w:left="851"/>
        <w:rPr>
          <w:bCs/>
          <w:i/>
          <w:iCs/>
          <w:sz w:val="24"/>
          <w:szCs w:val="24"/>
          <w:lang w:val="sv-SE"/>
        </w:rPr>
      </w:pPr>
      <w:proofErr w:type="spellStart"/>
      <w:r>
        <w:rPr>
          <w:bCs/>
          <w:i/>
          <w:iCs/>
          <w:sz w:val="24"/>
          <w:szCs w:val="24"/>
          <w:lang w:val="sv-SE"/>
        </w:rPr>
        <w:t>Nocardia</w:t>
      </w:r>
      <w:proofErr w:type="spellEnd"/>
      <w:r>
        <w:rPr>
          <w:bCs/>
          <w:i/>
          <w:iCs/>
          <w:sz w:val="24"/>
          <w:szCs w:val="24"/>
          <w:lang w:val="sv-SE"/>
        </w:rPr>
        <w:t xml:space="preserve"> </w:t>
      </w:r>
      <w:proofErr w:type="spellStart"/>
      <w:r>
        <w:rPr>
          <w:bCs/>
          <w:iCs/>
          <w:sz w:val="24"/>
          <w:szCs w:val="24"/>
          <w:lang w:val="sv-SE"/>
        </w:rPr>
        <w:t>spp</w:t>
      </w:r>
      <w:proofErr w:type="spellEnd"/>
      <w:r>
        <w:rPr>
          <w:bCs/>
          <w:i/>
          <w:iCs/>
          <w:sz w:val="24"/>
          <w:szCs w:val="24"/>
          <w:lang w:val="sv-SE"/>
        </w:rPr>
        <w:t>.</w:t>
      </w:r>
    </w:p>
    <w:p w:rsidR="00AB41BE" w:rsidRDefault="00AB41BE" w:rsidP="00AB41BE">
      <w:pPr>
        <w:ind w:left="851"/>
        <w:rPr>
          <w:bCs/>
          <w:i/>
          <w:iCs/>
          <w:sz w:val="24"/>
          <w:szCs w:val="24"/>
        </w:rPr>
      </w:pPr>
      <w:proofErr w:type="spellStart"/>
      <w:r>
        <w:rPr>
          <w:bCs/>
          <w:i/>
          <w:iCs/>
          <w:sz w:val="24"/>
          <w:szCs w:val="24"/>
        </w:rPr>
        <w:t>Stenotrophomonas</w:t>
      </w:r>
      <w:proofErr w:type="spellEnd"/>
      <w:r>
        <w:rPr>
          <w:bCs/>
          <w:i/>
          <w:iCs/>
          <w:sz w:val="24"/>
          <w:szCs w:val="24"/>
        </w:rPr>
        <w:t xml:space="preserve"> </w:t>
      </w:r>
      <w:proofErr w:type="spellStart"/>
      <w:r>
        <w:rPr>
          <w:bCs/>
          <w:i/>
          <w:iCs/>
          <w:sz w:val="24"/>
          <w:szCs w:val="24"/>
        </w:rPr>
        <w:t>maltophilia</w:t>
      </w:r>
      <w:proofErr w:type="spellEnd"/>
    </w:p>
    <w:p w:rsidR="00E92CCD" w:rsidRPr="00DC15F6" w:rsidRDefault="00E92CCD" w:rsidP="00E92CCD">
      <w:pPr>
        <w:ind w:left="851"/>
        <w:rPr>
          <w:bCs/>
          <w:i/>
          <w:iCs/>
          <w:sz w:val="24"/>
          <w:szCs w:val="24"/>
        </w:rPr>
      </w:pPr>
    </w:p>
    <w:p w:rsidR="00E92CCD" w:rsidRDefault="00E92CCD" w:rsidP="00E92CCD">
      <w:pPr>
        <w:ind w:left="851"/>
        <w:rPr>
          <w:sz w:val="24"/>
          <w:szCs w:val="24"/>
          <w:u w:val="single"/>
        </w:rPr>
      </w:pPr>
      <w:r w:rsidRPr="00553FC4">
        <w:rPr>
          <w:sz w:val="24"/>
          <w:szCs w:val="24"/>
          <w:u w:val="single"/>
        </w:rPr>
        <w:t>Data fra kliniske forsøg</w:t>
      </w:r>
    </w:p>
    <w:p w:rsidR="00AB41BE" w:rsidRPr="00553FC4" w:rsidRDefault="00AB41BE" w:rsidP="00E92CCD">
      <w:pPr>
        <w:ind w:left="851"/>
        <w:rPr>
          <w:sz w:val="24"/>
          <w:szCs w:val="24"/>
          <w:u w:val="single"/>
        </w:rPr>
      </w:pPr>
    </w:p>
    <w:p w:rsidR="00AB41BE" w:rsidRDefault="00AB41BE" w:rsidP="00AB41BE">
      <w:pPr>
        <w:ind w:left="851"/>
        <w:rPr>
          <w:i/>
          <w:sz w:val="24"/>
          <w:szCs w:val="24"/>
        </w:rPr>
      </w:pPr>
      <w:proofErr w:type="spellStart"/>
      <w:r>
        <w:rPr>
          <w:i/>
          <w:iCs/>
          <w:sz w:val="24"/>
          <w:szCs w:val="24"/>
        </w:rPr>
        <w:t>Nosokomiel</w:t>
      </w:r>
      <w:proofErr w:type="spellEnd"/>
      <w:r>
        <w:rPr>
          <w:i/>
          <w:iCs/>
          <w:sz w:val="24"/>
          <w:szCs w:val="24"/>
        </w:rPr>
        <w:t xml:space="preserve"> pneumoni</w:t>
      </w:r>
    </w:p>
    <w:p w:rsidR="00AB41BE" w:rsidRDefault="00AB41BE" w:rsidP="00AB41BE">
      <w:pPr>
        <w:autoSpaceDE w:val="0"/>
        <w:autoSpaceDN w:val="0"/>
        <w:adjustRightInd w:val="0"/>
        <w:ind w:left="851"/>
        <w:rPr>
          <w:sz w:val="24"/>
          <w:szCs w:val="24"/>
          <w:lang w:eastAsia="ja-JP"/>
        </w:rPr>
      </w:pPr>
      <w:proofErr w:type="spellStart"/>
      <w:r>
        <w:rPr>
          <w:sz w:val="24"/>
          <w:szCs w:val="24"/>
        </w:rPr>
        <w:t>Ceftobiprols</w:t>
      </w:r>
      <w:proofErr w:type="spellEnd"/>
      <w:r>
        <w:rPr>
          <w:sz w:val="24"/>
          <w:szCs w:val="24"/>
        </w:rPr>
        <w:t xml:space="preserve"> effekt blev påvist i et velkontrolleret, randomiseret fase 3 forsøg hos patienter med HAP. Non-inferioritet mellem </w:t>
      </w:r>
      <w:proofErr w:type="spellStart"/>
      <w:r>
        <w:rPr>
          <w:sz w:val="24"/>
          <w:szCs w:val="24"/>
        </w:rPr>
        <w:t>ceftobiprol</w:t>
      </w:r>
      <w:proofErr w:type="spellEnd"/>
      <w:r>
        <w:rPr>
          <w:sz w:val="24"/>
          <w:szCs w:val="24"/>
        </w:rPr>
        <w:t xml:space="preserve">- og </w:t>
      </w:r>
      <w:proofErr w:type="spellStart"/>
      <w:r>
        <w:rPr>
          <w:sz w:val="24"/>
          <w:szCs w:val="24"/>
        </w:rPr>
        <w:t>komparatorgruppen</w:t>
      </w:r>
      <w:proofErr w:type="spellEnd"/>
      <w:r>
        <w:rPr>
          <w:sz w:val="24"/>
          <w:szCs w:val="24"/>
        </w:rPr>
        <w:t xml:space="preserve"> kunne ikke påvises hos patienter med VAP (dvs. patienter som udviklede pneumoni &gt; 48 timer efter start af ventilation). For VAP var kliniske helbredelsesfrekvenser for patienter behandlet med </w:t>
      </w:r>
      <w:proofErr w:type="spellStart"/>
      <w:r>
        <w:rPr>
          <w:sz w:val="24"/>
          <w:szCs w:val="24"/>
        </w:rPr>
        <w:t>ceftobiprol</w:t>
      </w:r>
      <w:proofErr w:type="spellEnd"/>
      <w:r>
        <w:rPr>
          <w:sz w:val="24"/>
          <w:szCs w:val="24"/>
        </w:rPr>
        <w:t xml:space="preserve"> 37,7 % hos </w:t>
      </w:r>
      <w:proofErr w:type="spellStart"/>
      <w:r>
        <w:rPr>
          <w:sz w:val="24"/>
          <w:szCs w:val="24"/>
        </w:rPr>
        <w:t>ceftobiprol</w:t>
      </w:r>
      <w:proofErr w:type="spellEnd"/>
      <w:r>
        <w:rPr>
          <w:sz w:val="24"/>
          <w:szCs w:val="24"/>
        </w:rPr>
        <w:t xml:space="preserve">-gruppen (20 ud af 53 patienter) sammenlignet med 55,9 % hos </w:t>
      </w:r>
      <w:proofErr w:type="spellStart"/>
      <w:r>
        <w:rPr>
          <w:sz w:val="24"/>
          <w:szCs w:val="24"/>
        </w:rPr>
        <w:t>ceftazidim</w:t>
      </w:r>
      <w:proofErr w:type="spellEnd"/>
      <w:r>
        <w:rPr>
          <w:sz w:val="24"/>
          <w:szCs w:val="24"/>
        </w:rPr>
        <w:t xml:space="preserve"> plus </w:t>
      </w:r>
      <w:proofErr w:type="spellStart"/>
      <w:r>
        <w:rPr>
          <w:sz w:val="24"/>
          <w:szCs w:val="24"/>
        </w:rPr>
        <w:t>linezolid</w:t>
      </w:r>
      <w:proofErr w:type="spellEnd"/>
      <w:r>
        <w:rPr>
          <w:sz w:val="24"/>
          <w:szCs w:val="24"/>
        </w:rPr>
        <w:t xml:space="preserve">-gruppen (33 ud af 59 patienter). Se også pkt. 4.1 og 4.4. </w:t>
      </w:r>
    </w:p>
    <w:p w:rsidR="00AB41BE" w:rsidRDefault="00AB41BE" w:rsidP="00AB41BE">
      <w:pPr>
        <w:ind w:left="851"/>
        <w:rPr>
          <w:sz w:val="24"/>
          <w:szCs w:val="24"/>
        </w:rPr>
      </w:pPr>
    </w:p>
    <w:p w:rsidR="00AB41BE" w:rsidRDefault="00AB41BE" w:rsidP="00AB41BE">
      <w:pPr>
        <w:ind w:left="851"/>
        <w:rPr>
          <w:sz w:val="24"/>
          <w:szCs w:val="24"/>
          <w:u w:val="single"/>
        </w:rPr>
      </w:pPr>
      <w:r>
        <w:rPr>
          <w:sz w:val="24"/>
          <w:szCs w:val="24"/>
          <w:u w:val="single"/>
        </w:rPr>
        <w:t>Pædiatrisk population</w:t>
      </w:r>
    </w:p>
    <w:p w:rsidR="00AB41BE" w:rsidRDefault="00AB41BE" w:rsidP="00AB41BE">
      <w:pPr>
        <w:ind w:left="851"/>
        <w:rPr>
          <w:sz w:val="24"/>
          <w:szCs w:val="24"/>
        </w:rPr>
      </w:pPr>
      <w:proofErr w:type="spellStart"/>
      <w:r>
        <w:rPr>
          <w:sz w:val="24"/>
          <w:szCs w:val="24"/>
        </w:rPr>
        <w:t>Ceftobiprols</w:t>
      </w:r>
      <w:proofErr w:type="spellEnd"/>
      <w:r>
        <w:rPr>
          <w:sz w:val="24"/>
          <w:szCs w:val="24"/>
        </w:rPr>
        <w:t xml:space="preserve"> sikkerhed og virkning ved behandling af CAP er blevet fastlagt hos pædiatriske patienter i alderen fra 3 måneder til under 18 år. Brugen af </w:t>
      </w:r>
      <w:bookmarkStart w:id="11" w:name="_Hlk180685649"/>
      <w:proofErr w:type="spellStart"/>
      <w:r>
        <w:rPr>
          <w:sz w:val="24"/>
          <w:szCs w:val="24"/>
        </w:rPr>
        <w:t>ceftobiprol</w:t>
      </w:r>
      <w:bookmarkEnd w:id="11"/>
      <w:proofErr w:type="spellEnd"/>
      <w:r>
        <w:rPr>
          <w:sz w:val="24"/>
          <w:szCs w:val="24"/>
        </w:rPr>
        <w:t xml:space="preserve"> i disse aldersgrupper understøttes af evidens fra egnede og velkontrollerede forsøg med </w:t>
      </w:r>
      <w:proofErr w:type="spellStart"/>
      <w:r>
        <w:rPr>
          <w:sz w:val="24"/>
          <w:szCs w:val="24"/>
        </w:rPr>
        <w:t>ceftobiprol</w:t>
      </w:r>
      <w:proofErr w:type="spellEnd"/>
      <w:r>
        <w:rPr>
          <w:sz w:val="24"/>
          <w:szCs w:val="24"/>
        </w:rPr>
        <w:t xml:space="preserve"> hos voksne med yderligere </w:t>
      </w:r>
      <w:proofErr w:type="spellStart"/>
      <w:r>
        <w:rPr>
          <w:sz w:val="24"/>
          <w:szCs w:val="24"/>
        </w:rPr>
        <w:t>farmakokinetiske</w:t>
      </w:r>
      <w:proofErr w:type="spellEnd"/>
      <w:r>
        <w:rPr>
          <w:sz w:val="24"/>
          <w:szCs w:val="24"/>
        </w:rPr>
        <w:t>, sikkerheds- og virkningsdata fra pædiatriske forsøg.</w:t>
      </w:r>
    </w:p>
    <w:p w:rsidR="00AB41BE" w:rsidRDefault="00AB41BE" w:rsidP="00AB41BE">
      <w:pPr>
        <w:ind w:left="851"/>
        <w:rPr>
          <w:sz w:val="24"/>
          <w:szCs w:val="24"/>
        </w:rPr>
      </w:pPr>
    </w:p>
    <w:p w:rsidR="00E92CCD" w:rsidRPr="00553FC4" w:rsidRDefault="00E92CCD" w:rsidP="00E92CCD">
      <w:pPr>
        <w:ind w:left="851" w:hanging="851"/>
        <w:rPr>
          <w:b/>
          <w:sz w:val="24"/>
          <w:szCs w:val="24"/>
        </w:rPr>
      </w:pPr>
      <w:r w:rsidRPr="00553FC4">
        <w:rPr>
          <w:b/>
          <w:sz w:val="24"/>
          <w:szCs w:val="24"/>
        </w:rPr>
        <w:t>5.2</w:t>
      </w:r>
      <w:r w:rsidRPr="00553FC4">
        <w:rPr>
          <w:b/>
          <w:sz w:val="24"/>
          <w:szCs w:val="24"/>
        </w:rPr>
        <w:tab/>
      </w:r>
      <w:proofErr w:type="spellStart"/>
      <w:r w:rsidRPr="00553FC4">
        <w:rPr>
          <w:b/>
          <w:sz w:val="24"/>
          <w:szCs w:val="24"/>
        </w:rPr>
        <w:t>Farmakokinetiske</w:t>
      </w:r>
      <w:proofErr w:type="spellEnd"/>
      <w:r w:rsidRPr="00553FC4">
        <w:rPr>
          <w:b/>
          <w:sz w:val="24"/>
          <w:szCs w:val="24"/>
        </w:rPr>
        <w:t xml:space="preserve"> egenskaber</w:t>
      </w:r>
    </w:p>
    <w:p w:rsidR="00AB41BE" w:rsidRDefault="00E92CCD" w:rsidP="00AB41BE">
      <w:pPr>
        <w:ind w:left="851" w:hanging="851"/>
        <w:rPr>
          <w:sz w:val="24"/>
          <w:szCs w:val="24"/>
          <w:u w:val="single"/>
        </w:rPr>
      </w:pPr>
      <w:r w:rsidRPr="00553FC4">
        <w:rPr>
          <w:sz w:val="24"/>
          <w:szCs w:val="24"/>
        </w:rPr>
        <w:tab/>
      </w:r>
      <w:r w:rsidR="00AB41BE">
        <w:rPr>
          <w:sz w:val="24"/>
          <w:szCs w:val="24"/>
          <w:u w:val="single"/>
        </w:rPr>
        <w:t>Plasmakoncentrationer</w:t>
      </w:r>
    </w:p>
    <w:p w:rsidR="00AB41BE" w:rsidRDefault="00AB41BE" w:rsidP="00AB41BE">
      <w:pPr>
        <w:ind w:left="851" w:hanging="851"/>
        <w:rPr>
          <w:sz w:val="24"/>
          <w:szCs w:val="24"/>
        </w:rPr>
      </w:pPr>
      <w:r>
        <w:rPr>
          <w:sz w:val="24"/>
          <w:szCs w:val="24"/>
        </w:rPr>
        <w:tab/>
        <w:t xml:space="preserve">De gennemsnitlige </w:t>
      </w:r>
      <w:proofErr w:type="spellStart"/>
      <w:r>
        <w:rPr>
          <w:sz w:val="24"/>
          <w:szCs w:val="24"/>
        </w:rPr>
        <w:t>farmakokinetiske</w:t>
      </w:r>
      <w:proofErr w:type="spellEnd"/>
      <w:r>
        <w:rPr>
          <w:sz w:val="24"/>
          <w:szCs w:val="24"/>
        </w:rPr>
        <w:t xml:space="preserve"> parametre for </w:t>
      </w:r>
      <w:proofErr w:type="spellStart"/>
      <w:r>
        <w:rPr>
          <w:sz w:val="24"/>
          <w:szCs w:val="24"/>
        </w:rPr>
        <w:t>ceftobiprol</w:t>
      </w:r>
      <w:proofErr w:type="spellEnd"/>
      <w:r>
        <w:rPr>
          <w:sz w:val="24"/>
          <w:szCs w:val="24"/>
        </w:rPr>
        <w:t xml:space="preserve"> hos raske voksne for en enkelt dosis af </w:t>
      </w:r>
      <w:proofErr w:type="spellStart"/>
      <w:r>
        <w:rPr>
          <w:sz w:val="24"/>
          <w:szCs w:val="24"/>
        </w:rPr>
        <w:t>ceftobiprolmedocarilnatrium</w:t>
      </w:r>
      <w:proofErr w:type="spellEnd"/>
      <w:r>
        <w:rPr>
          <w:sz w:val="24"/>
          <w:szCs w:val="24"/>
        </w:rPr>
        <w:t xml:space="preserve"> på 500 mg indgivet som en infusion over 2 timer og flere doser på 500 mg indgivet hver 8. time som infusioner over 2 timer (se pkt. 4.2) sammenfattes i tabel 4. </w:t>
      </w:r>
      <w:proofErr w:type="spellStart"/>
      <w:r>
        <w:rPr>
          <w:sz w:val="24"/>
          <w:szCs w:val="24"/>
        </w:rPr>
        <w:t>Farmakokinetiske</w:t>
      </w:r>
      <w:proofErr w:type="spellEnd"/>
      <w:r>
        <w:rPr>
          <w:sz w:val="24"/>
          <w:szCs w:val="24"/>
        </w:rPr>
        <w:t xml:space="preserve"> egenskaber var tilsvarende ved indgivelse af enkelte og flere doser. </w:t>
      </w:r>
    </w:p>
    <w:p w:rsidR="00AB41BE" w:rsidRDefault="00AB41BE" w:rsidP="00AB41BE">
      <w:pPr>
        <w:ind w:left="851" w:hanging="851"/>
        <w:rPr>
          <w:sz w:val="24"/>
          <w:szCs w:val="24"/>
        </w:rPr>
      </w:pPr>
    </w:p>
    <w:p w:rsidR="00AB41BE" w:rsidRDefault="00AB41BE" w:rsidP="00AB41BE">
      <w:pPr>
        <w:rPr>
          <w:b/>
          <w:sz w:val="24"/>
          <w:szCs w:val="24"/>
        </w:rPr>
      </w:pPr>
      <w:r>
        <w:rPr>
          <w:b/>
          <w:bCs/>
          <w:sz w:val="24"/>
          <w:szCs w:val="24"/>
        </w:rPr>
        <w:t>Tabel 4</w:t>
      </w:r>
      <w:r>
        <w:rPr>
          <w:b/>
          <w:bCs/>
          <w:sz w:val="24"/>
          <w:szCs w:val="24"/>
        </w:rPr>
        <w:t xml:space="preserve"> </w:t>
      </w:r>
      <w:r>
        <w:rPr>
          <w:b/>
          <w:bCs/>
          <w:sz w:val="24"/>
          <w:szCs w:val="24"/>
        </w:rPr>
        <w:t xml:space="preserve">Gennemsnitlige (standard afvigelse) </w:t>
      </w:r>
      <w:proofErr w:type="spellStart"/>
      <w:r>
        <w:rPr>
          <w:b/>
          <w:bCs/>
          <w:sz w:val="24"/>
          <w:szCs w:val="24"/>
        </w:rPr>
        <w:t>farmakokinetiske</w:t>
      </w:r>
      <w:proofErr w:type="spellEnd"/>
      <w:r>
        <w:rPr>
          <w:b/>
          <w:bCs/>
          <w:sz w:val="24"/>
          <w:szCs w:val="24"/>
        </w:rPr>
        <w:t xml:space="preserve"> parametre </w:t>
      </w:r>
      <w:proofErr w:type="gramStart"/>
      <w:r>
        <w:rPr>
          <w:b/>
          <w:bCs/>
          <w:sz w:val="24"/>
          <w:szCs w:val="24"/>
        </w:rPr>
        <w:t xml:space="preserve">for </w:t>
      </w:r>
      <w:r>
        <w:rPr>
          <w:sz w:val="24"/>
          <w:szCs w:val="24"/>
        </w:rPr>
        <w:t xml:space="preserve"> </w:t>
      </w:r>
      <w:proofErr w:type="spellStart"/>
      <w:r>
        <w:rPr>
          <w:b/>
          <w:bCs/>
          <w:sz w:val="24"/>
          <w:szCs w:val="24"/>
        </w:rPr>
        <w:t>ceftobiprol</w:t>
      </w:r>
      <w:proofErr w:type="spellEnd"/>
      <w:proofErr w:type="gramEnd"/>
      <w:r>
        <w:rPr>
          <w:b/>
          <w:bCs/>
          <w:sz w:val="24"/>
          <w:szCs w:val="24"/>
        </w:rPr>
        <w:t xml:space="preserve"> hos raske voksne </w:t>
      </w:r>
    </w:p>
    <w:p w:rsidR="00AB41BE" w:rsidRDefault="00AB41BE" w:rsidP="00AB41BE">
      <w:pPr>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668"/>
        <w:gridCol w:w="3426"/>
      </w:tblGrid>
      <w:tr w:rsidR="00AB41BE" w:rsidTr="00AB41BE">
        <w:tc>
          <w:tcPr>
            <w:tcW w:w="1316" w:type="pct"/>
            <w:tcBorders>
              <w:top w:val="single" w:sz="4" w:space="0" w:color="auto"/>
              <w:left w:val="single" w:sz="4" w:space="0" w:color="auto"/>
              <w:bottom w:val="single" w:sz="4" w:space="0" w:color="auto"/>
              <w:right w:val="single" w:sz="4" w:space="0" w:color="auto"/>
            </w:tcBorders>
            <w:hideMark/>
          </w:tcPr>
          <w:p w:rsidR="00AB41BE" w:rsidRDefault="00AB41BE">
            <w:pPr>
              <w:rPr>
                <w:b/>
                <w:bCs/>
                <w:sz w:val="24"/>
                <w:szCs w:val="24"/>
              </w:rPr>
            </w:pPr>
            <w:r>
              <w:rPr>
                <w:b/>
                <w:bCs/>
                <w:sz w:val="24"/>
                <w:szCs w:val="24"/>
              </w:rPr>
              <w:lastRenderedPageBreak/>
              <w:t>Parameter</w:t>
            </w:r>
          </w:p>
        </w:tc>
        <w:tc>
          <w:tcPr>
            <w:tcW w:w="1905" w:type="pct"/>
            <w:tcBorders>
              <w:top w:val="single" w:sz="4" w:space="0" w:color="auto"/>
              <w:left w:val="single" w:sz="4" w:space="0" w:color="auto"/>
              <w:bottom w:val="single" w:sz="4" w:space="0" w:color="auto"/>
              <w:right w:val="single" w:sz="4" w:space="0" w:color="auto"/>
            </w:tcBorders>
            <w:hideMark/>
          </w:tcPr>
          <w:p w:rsidR="00AB41BE" w:rsidRDefault="00AB41BE">
            <w:pPr>
              <w:rPr>
                <w:b/>
                <w:bCs/>
                <w:sz w:val="24"/>
                <w:szCs w:val="24"/>
              </w:rPr>
            </w:pPr>
            <w:r>
              <w:rPr>
                <w:b/>
                <w:bCs/>
                <w:sz w:val="24"/>
                <w:szCs w:val="24"/>
              </w:rPr>
              <w:t xml:space="preserve">Enkelt dosis på 500 mg </w:t>
            </w:r>
            <w:r>
              <w:rPr>
                <w:b/>
                <w:bCs/>
                <w:sz w:val="24"/>
                <w:szCs w:val="24"/>
              </w:rPr>
              <w:br/>
              <w:t>indgivet som en 120-minutters infusion</w:t>
            </w:r>
          </w:p>
        </w:tc>
        <w:tc>
          <w:tcPr>
            <w:tcW w:w="1779" w:type="pct"/>
            <w:tcBorders>
              <w:top w:val="single" w:sz="4" w:space="0" w:color="auto"/>
              <w:left w:val="single" w:sz="4" w:space="0" w:color="auto"/>
              <w:bottom w:val="single" w:sz="4" w:space="0" w:color="auto"/>
              <w:right w:val="single" w:sz="4" w:space="0" w:color="auto"/>
            </w:tcBorders>
            <w:hideMark/>
          </w:tcPr>
          <w:p w:rsidR="00AB41BE" w:rsidRDefault="00AB41BE">
            <w:pPr>
              <w:rPr>
                <w:b/>
                <w:bCs/>
                <w:sz w:val="24"/>
                <w:szCs w:val="24"/>
              </w:rPr>
            </w:pPr>
            <w:r>
              <w:rPr>
                <w:b/>
                <w:bCs/>
                <w:sz w:val="24"/>
                <w:szCs w:val="24"/>
              </w:rPr>
              <w:t>Flere doser på 500 mg indgivet hver 8. time som 120-minutters infusioner</w:t>
            </w:r>
          </w:p>
        </w:tc>
      </w:tr>
      <w:tr w:rsidR="00AB41BE" w:rsidTr="00AB41BE">
        <w:tc>
          <w:tcPr>
            <w:tcW w:w="1316"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proofErr w:type="spellStart"/>
            <w:r>
              <w:rPr>
                <w:sz w:val="24"/>
                <w:szCs w:val="24"/>
              </w:rPr>
              <w:t>C</w:t>
            </w:r>
            <w:r>
              <w:rPr>
                <w:sz w:val="24"/>
                <w:szCs w:val="24"/>
                <w:vertAlign w:val="subscript"/>
              </w:rPr>
              <w:t>max</w:t>
            </w:r>
            <w:proofErr w:type="spellEnd"/>
            <w:r>
              <w:rPr>
                <w:sz w:val="24"/>
                <w:szCs w:val="24"/>
              </w:rPr>
              <w:t xml:space="preserve"> (</w:t>
            </w:r>
            <w:r>
              <w:rPr>
                <w:sz w:val="24"/>
                <w:szCs w:val="24"/>
              </w:rPr>
              <w:sym w:font="Symbol" w:char="F06D"/>
            </w:r>
            <w:r>
              <w:rPr>
                <w:sz w:val="24"/>
                <w:szCs w:val="24"/>
              </w:rPr>
              <w:t>g/</w:t>
            </w:r>
            <w:proofErr w:type="spellStart"/>
            <w:r>
              <w:rPr>
                <w:sz w:val="24"/>
                <w:szCs w:val="24"/>
              </w:rPr>
              <w:t>mL</w:t>
            </w:r>
            <w:proofErr w:type="spellEnd"/>
            <w:r>
              <w:rPr>
                <w:sz w:val="24"/>
                <w:szCs w:val="24"/>
              </w:rPr>
              <w:t>)</w:t>
            </w:r>
          </w:p>
        </w:tc>
        <w:tc>
          <w:tcPr>
            <w:tcW w:w="1905"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29,2 (5,52)</w:t>
            </w:r>
          </w:p>
        </w:tc>
        <w:tc>
          <w:tcPr>
            <w:tcW w:w="1779"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33,0 (4,83)</w:t>
            </w:r>
          </w:p>
        </w:tc>
      </w:tr>
      <w:tr w:rsidR="00AB41BE" w:rsidTr="00AB41BE">
        <w:tc>
          <w:tcPr>
            <w:tcW w:w="1316"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proofErr w:type="spellStart"/>
            <w:r>
              <w:rPr>
                <w:sz w:val="24"/>
                <w:szCs w:val="24"/>
              </w:rPr>
              <w:t>AUC</w:t>
            </w:r>
            <w:r>
              <w:rPr>
                <w:sz w:val="24"/>
                <w:szCs w:val="24"/>
                <w:vertAlign w:val="superscript"/>
              </w:rPr>
              <w:t>a</w:t>
            </w:r>
            <w:proofErr w:type="spellEnd"/>
            <w:r>
              <w:rPr>
                <w:sz w:val="24"/>
                <w:szCs w:val="24"/>
              </w:rPr>
              <w:t xml:space="preserve"> (</w:t>
            </w:r>
            <w:r>
              <w:rPr>
                <w:sz w:val="24"/>
                <w:szCs w:val="24"/>
              </w:rPr>
              <w:sym w:font="Symbol" w:char="F06D"/>
            </w:r>
            <w:r>
              <w:rPr>
                <w:sz w:val="24"/>
                <w:szCs w:val="24"/>
              </w:rPr>
              <w:t>g</w:t>
            </w:r>
            <w:r>
              <w:rPr>
                <w:sz w:val="24"/>
                <w:szCs w:val="24"/>
              </w:rPr>
              <w:sym w:font="Symbol" w:char="F0B7"/>
            </w:r>
            <w:r>
              <w:rPr>
                <w:sz w:val="24"/>
                <w:szCs w:val="24"/>
              </w:rPr>
              <w:t xml:space="preserve"> h/</w:t>
            </w:r>
            <w:proofErr w:type="spellStart"/>
            <w:r>
              <w:rPr>
                <w:sz w:val="24"/>
                <w:szCs w:val="24"/>
              </w:rPr>
              <w:t>mL</w:t>
            </w:r>
            <w:proofErr w:type="spellEnd"/>
            <w:r>
              <w:rPr>
                <w:sz w:val="24"/>
                <w:szCs w:val="24"/>
              </w:rPr>
              <w:t xml:space="preserve">) </w:t>
            </w:r>
          </w:p>
        </w:tc>
        <w:tc>
          <w:tcPr>
            <w:tcW w:w="1905"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90,0 (12,4)</w:t>
            </w:r>
          </w:p>
        </w:tc>
        <w:tc>
          <w:tcPr>
            <w:tcW w:w="1779"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102 (11,9)</w:t>
            </w:r>
          </w:p>
        </w:tc>
      </w:tr>
      <w:tr w:rsidR="00AB41BE" w:rsidTr="00AB41BE">
        <w:tc>
          <w:tcPr>
            <w:tcW w:w="1316"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 xml:space="preserve">t </w:t>
            </w:r>
            <w:r>
              <w:rPr>
                <w:sz w:val="24"/>
                <w:szCs w:val="24"/>
                <w:vertAlign w:val="subscript"/>
              </w:rPr>
              <w:t>1/2</w:t>
            </w:r>
            <w:r>
              <w:rPr>
                <w:sz w:val="24"/>
                <w:szCs w:val="24"/>
              </w:rPr>
              <w:t xml:space="preserve"> (timer)</w:t>
            </w:r>
          </w:p>
        </w:tc>
        <w:tc>
          <w:tcPr>
            <w:tcW w:w="1905"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 xml:space="preserve"> 3,1 (0,3)</w:t>
            </w:r>
          </w:p>
        </w:tc>
        <w:tc>
          <w:tcPr>
            <w:tcW w:w="1779"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3,3 (0,3)</w:t>
            </w:r>
          </w:p>
        </w:tc>
      </w:tr>
      <w:tr w:rsidR="00AB41BE" w:rsidTr="00AB41BE">
        <w:tc>
          <w:tcPr>
            <w:tcW w:w="1316"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CL (L/h)</w:t>
            </w:r>
          </w:p>
        </w:tc>
        <w:tc>
          <w:tcPr>
            <w:tcW w:w="1905"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 xml:space="preserve"> 4,89 (0,69)</w:t>
            </w:r>
          </w:p>
        </w:tc>
        <w:tc>
          <w:tcPr>
            <w:tcW w:w="1779" w:type="pct"/>
            <w:tcBorders>
              <w:top w:val="single" w:sz="4" w:space="0" w:color="auto"/>
              <w:left w:val="single" w:sz="4" w:space="0" w:color="auto"/>
              <w:bottom w:val="single" w:sz="4" w:space="0" w:color="auto"/>
              <w:right w:val="single" w:sz="4" w:space="0" w:color="auto"/>
            </w:tcBorders>
            <w:hideMark/>
          </w:tcPr>
          <w:p w:rsidR="00AB41BE" w:rsidRDefault="00AB41BE">
            <w:pPr>
              <w:rPr>
                <w:sz w:val="24"/>
                <w:szCs w:val="24"/>
              </w:rPr>
            </w:pPr>
            <w:r>
              <w:rPr>
                <w:sz w:val="24"/>
                <w:szCs w:val="24"/>
              </w:rPr>
              <w:t>4,98 (0,58)</w:t>
            </w:r>
          </w:p>
        </w:tc>
      </w:tr>
    </w:tbl>
    <w:p w:rsidR="00AB41BE" w:rsidRDefault="00AB41BE" w:rsidP="00AB41BE">
      <w:pPr>
        <w:rPr>
          <w:sz w:val="22"/>
          <w:szCs w:val="22"/>
        </w:rPr>
      </w:pPr>
      <w:r>
        <w:rPr>
          <w:sz w:val="22"/>
          <w:szCs w:val="22"/>
          <w:vertAlign w:val="superscript"/>
        </w:rPr>
        <w:t xml:space="preserve">a </w:t>
      </w:r>
      <w:r>
        <w:rPr>
          <w:sz w:val="22"/>
          <w:szCs w:val="22"/>
        </w:rPr>
        <w:t xml:space="preserve">AUC er angivet som </w:t>
      </w:r>
      <w:proofErr w:type="spellStart"/>
      <w:r>
        <w:rPr>
          <w:sz w:val="22"/>
          <w:szCs w:val="22"/>
        </w:rPr>
        <w:t>AUC</w:t>
      </w:r>
      <w:r>
        <w:rPr>
          <w:sz w:val="22"/>
          <w:szCs w:val="22"/>
          <w:vertAlign w:val="subscript"/>
        </w:rPr>
        <w:t>last</w:t>
      </w:r>
      <w:proofErr w:type="spellEnd"/>
      <w:r>
        <w:rPr>
          <w:sz w:val="22"/>
          <w:szCs w:val="22"/>
        </w:rPr>
        <w:t xml:space="preserve"> og AUC</w:t>
      </w:r>
      <w:r>
        <w:rPr>
          <w:sz w:val="22"/>
          <w:szCs w:val="22"/>
          <w:vertAlign w:val="subscript"/>
        </w:rPr>
        <w:t>0-8h</w:t>
      </w:r>
      <w:r>
        <w:rPr>
          <w:sz w:val="22"/>
          <w:szCs w:val="22"/>
        </w:rPr>
        <w:t xml:space="preserve"> for henholdsvis enkeltdosis og flere doser.</w:t>
      </w:r>
    </w:p>
    <w:p w:rsidR="00AB41BE" w:rsidRDefault="00AB41BE" w:rsidP="00AB41BE">
      <w:pPr>
        <w:ind w:left="851" w:hanging="851"/>
        <w:rPr>
          <w:sz w:val="24"/>
          <w:szCs w:val="24"/>
        </w:rPr>
      </w:pPr>
    </w:p>
    <w:p w:rsidR="00AB41BE" w:rsidRDefault="00AB41BE" w:rsidP="00AB41BE">
      <w:pPr>
        <w:ind w:left="851"/>
        <w:rPr>
          <w:sz w:val="24"/>
          <w:szCs w:val="24"/>
        </w:rPr>
      </w:pPr>
      <w:r>
        <w:rPr>
          <w:sz w:val="24"/>
          <w:szCs w:val="24"/>
        </w:rPr>
        <w:t xml:space="preserve">Der blev indsamlet plasmaprøver med højt og/eller lavt indhold i alle fase 3-forsøg. Baseret på koncentrations-tidsprofilerne for plasma med højt indhold hos patienter med HAP og CAP svarede </w:t>
      </w:r>
      <w:proofErr w:type="spellStart"/>
      <w:r>
        <w:rPr>
          <w:sz w:val="24"/>
          <w:szCs w:val="24"/>
        </w:rPr>
        <w:t>ceftobiprols</w:t>
      </w:r>
      <w:proofErr w:type="spellEnd"/>
      <w:r>
        <w:rPr>
          <w:sz w:val="24"/>
          <w:szCs w:val="24"/>
        </w:rPr>
        <w:t xml:space="preserve"> </w:t>
      </w:r>
      <w:proofErr w:type="spellStart"/>
      <w:r>
        <w:rPr>
          <w:sz w:val="24"/>
          <w:szCs w:val="24"/>
        </w:rPr>
        <w:t>farmakokinetiske</w:t>
      </w:r>
      <w:proofErr w:type="spellEnd"/>
      <w:r>
        <w:rPr>
          <w:sz w:val="24"/>
          <w:szCs w:val="24"/>
        </w:rPr>
        <w:t xml:space="preserve"> egenskaber i disse populationer til dem, der ses hos raske forsøgspersoner.</w:t>
      </w:r>
    </w:p>
    <w:p w:rsidR="00AB41BE" w:rsidRDefault="00AB41BE" w:rsidP="00AB41BE">
      <w:pPr>
        <w:ind w:left="851" w:hanging="851"/>
        <w:rPr>
          <w:sz w:val="24"/>
          <w:szCs w:val="24"/>
        </w:rPr>
      </w:pPr>
    </w:p>
    <w:p w:rsidR="00AB41BE" w:rsidRDefault="00AB41BE" w:rsidP="00AB41BE">
      <w:pPr>
        <w:ind w:left="851"/>
        <w:rPr>
          <w:sz w:val="24"/>
          <w:szCs w:val="24"/>
        </w:rPr>
      </w:pP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forsøg i infektionsmodellen med lårene på </w:t>
      </w:r>
      <w:proofErr w:type="spellStart"/>
      <w:r>
        <w:rPr>
          <w:sz w:val="24"/>
          <w:szCs w:val="24"/>
        </w:rPr>
        <w:t>neutropene</w:t>
      </w:r>
      <w:proofErr w:type="spellEnd"/>
      <w:r>
        <w:rPr>
          <w:sz w:val="24"/>
          <w:szCs w:val="24"/>
        </w:rPr>
        <w:t xml:space="preserve"> mus indikerede, at ubundet var %fT&gt;MIC det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indeks, og et mål på cirka 30 % og 60 % ville tilvejebringe effektiv dosering af </w:t>
      </w:r>
      <w:proofErr w:type="spellStart"/>
      <w:r>
        <w:rPr>
          <w:sz w:val="24"/>
          <w:szCs w:val="24"/>
        </w:rPr>
        <w:t>ceftobiprol</w:t>
      </w:r>
      <w:proofErr w:type="spellEnd"/>
      <w:r>
        <w:rPr>
          <w:sz w:val="24"/>
          <w:szCs w:val="24"/>
        </w:rPr>
        <w:t xml:space="preserve"> til behandling af infektioner forårsaget af henholdsvis </w:t>
      </w:r>
      <w:proofErr w:type="spellStart"/>
      <w:r>
        <w:rPr>
          <w:sz w:val="24"/>
          <w:szCs w:val="24"/>
        </w:rPr>
        <w:t>Gram-positive</w:t>
      </w:r>
      <w:proofErr w:type="spellEnd"/>
      <w:r>
        <w:rPr>
          <w:sz w:val="24"/>
          <w:szCs w:val="24"/>
        </w:rPr>
        <w:t xml:space="preserve"> og </w:t>
      </w:r>
      <w:proofErr w:type="spellStart"/>
      <w:r>
        <w:rPr>
          <w:sz w:val="24"/>
          <w:szCs w:val="24"/>
        </w:rPr>
        <w:t>Gram-negative</w:t>
      </w:r>
      <w:proofErr w:type="spellEnd"/>
      <w:r>
        <w:rPr>
          <w:sz w:val="24"/>
          <w:szCs w:val="24"/>
        </w:rPr>
        <w:t xml:space="preserve"> </w:t>
      </w:r>
      <w:proofErr w:type="spellStart"/>
      <w:r>
        <w:rPr>
          <w:sz w:val="24"/>
          <w:szCs w:val="24"/>
        </w:rPr>
        <w:t>patogener</w:t>
      </w:r>
      <w:proofErr w:type="spellEnd"/>
      <w:r>
        <w:rPr>
          <w:sz w:val="24"/>
          <w:szCs w:val="24"/>
        </w:rPr>
        <w:t xml:space="preserve">. </w:t>
      </w:r>
      <w:proofErr w:type="spellStart"/>
      <w:r>
        <w:rPr>
          <w:sz w:val="24"/>
          <w:szCs w:val="24"/>
        </w:rPr>
        <w:t>Farmakokinetisk</w:t>
      </w:r>
      <w:proofErr w:type="spellEnd"/>
      <w:r>
        <w:rPr>
          <w:sz w:val="24"/>
          <w:szCs w:val="24"/>
        </w:rPr>
        <w:t xml:space="preserve"> populationsanalyse og </w:t>
      </w:r>
      <w:proofErr w:type="spellStart"/>
      <w:r>
        <w:rPr>
          <w:sz w:val="24"/>
          <w:szCs w:val="24"/>
        </w:rPr>
        <w:t>farmakokinetisk</w:t>
      </w:r>
      <w:proofErr w:type="spellEnd"/>
      <w:r>
        <w:rPr>
          <w:sz w:val="24"/>
          <w:szCs w:val="24"/>
        </w:rPr>
        <w:t>/</w:t>
      </w:r>
      <w:proofErr w:type="spellStart"/>
      <w:r>
        <w:rPr>
          <w:sz w:val="24"/>
          <w:szCs w:val="24"/>
        </w:rPr>
        <w:t>farmakodynamisk</w:t>
      </w:r>
      <w:proofErr w:type="spellEnd"/>
      <w:r>
        <w:rPr>
          <w:sz w:val="24"/>
          <w:szCs w:val="24"/>
        </w:rPr>
        <w:t xml:space="preserve"> målopnåelsesanalyse blev anvendt til at understøtte doseringsregimet for </w:t>
      </w:r>
      <w:proofErr w:type="spellStart"/>
      <w:r>
        <w:rPr>
          <w:sz w:val="24"/>
          <w:szCs w:val="24"/>
        </w:rPr>
        <w:t>ceftobiprol</w:t>
      </w:r>
      <w:proofErr w:type="spellEnd"/>
      <w:r>
        <w:rPr>
          <w:sz w:val="24"/>
          <w:szCs w:val="24"/>
        </w:rPr>
        <w:t xml:space="preserve"> hos voksne og pædiatriske forsøgspersoner.</w:t>
      </w:r>
    </w:p>
    <w:p w:rsidR="00E92CCD" w:rsidRPr="00553FC4" w:rsidRDefault="00E92CCD" w:rsidP="00AB41BE">
      <w:pPr>
        <w:ind w:left="851" w:hanging="851"/>
        <w:rPr>
          <w:sz w:val="24"/>
          <w:szCs w:val="24"/>
        </w:rPr>
      </w:pPr>
    </w:p>
    <w:p w:rsidR="00E92CCD" w:rsidRPr="00553FC4" w:rsidRDefault="00E92CCD" w:rsidP="00E92CCD">
      <w:pPr>
        <w:ind w:left="851"/>
        <w:rPr>
          <w:sz w:val="24"/>
          <w:szCs w:val="24"/>
          <w:u w:val="single"/>
        </w:rPr>
      </w:pPr>
      <w:r w:rsidRPr="00553FC4">
        <w:rPr>
          <w:sz w:val="24"/>
          <w:szCs w:val="24"/>
          <w:u w:val="single"/>
        </w:rPr>
        <w:t>Fordeling</w:t>
      </w:r>
    </w:p>
    <w:p w:rsidR="00E92CCD" w:rsidRPr="00553FC4" w:rsidRDefault="00E92CCD" w:rsidP="00E92CCD">
      <w:pPr>
        <w:ind w:left="851"/>
        <w:rPr>
          <w:sz w:val="24"/>
          <w:szCs w:val="24"/>
        </w:rPr>
      </w:pPr>
      <w:proofErr w:type="spellStart"/>
      <w:r w:rsidRPr="00553FC4">
        <w:rPr>
          <w:sz w:val="24"/>
          <w:szCs w:val="24"/>
        </w:rPr>
        <w:t>Ceftobiprol</w:t>
      </w:r>
      <w:proofErr w:type="spellEnd"/>
      <w:r w:rsidRPr="00553FC4">
        <w:rPr>
          <w:sz w:val="24"/>
          <w:szCs w:val="24"/>
        </w:rPr>
        <w:t xml:space="preserve"> binder minimalt (16 %) til plasmaproteiner, og binding er uafhængig af koncentration. </w:t>
      </w:r>
      <w:proofErr w:type="spellStart"/>
      <w:r w:rsidRPr="00553FC4">
        <w:rPr>
          <w:sz w:val="24"/>
          <w:szCs w:val="24"/>
        </w:rPr>
        <w:t>Ceftobiprol</w:t>
      </w:r>
      <w:proofErr w:type="spellEnd"/>
      <w:r w:rsidRPr="00553FC4">
        <w:rPr>
          <w:sz w:val="24"/>
          <w:szCs w:val="24"/>
        </w:rPr>
        <w:t xml:space="preserve"> fordelingsvolumen i </w:t>
      </w:r>
      <w:proofErr w:type="spellStart"/>
      <w:r w:rsidRPr="00553FC4">
        <w:rPr>
          <w:sz w:val="24"/>
          <w:szCs w:val="24"/>
        </w:rPr>
        <w:t>steady-state</w:t>
      </w:r>
      <w:proofErr w:type="spellEnd"/>
      <w:r w:rsidRPr="00553FC4">
        <w:rPr>
          <w:sz w:val="24"/>
          <w:szCs w:val="24"/>
        </w:rPr>
        <w:t xml:space="preserve"> (18 liter) nærmer sig volumen af ekstracellulærvæske hos</w:t>
      </w:r>
      <w:r w:rsidR="00B62FF6">
        <w:rPr>
          <w:sz w:val="24"/>
          <w:szCs w:val="24"/>
        </w:rPr>
        <w:t xml:space="preserve"> raske voksne</w:t>
      </w:r>
      <w:r w:rsidRPr="00553FC4">
        <w:rPr>
          <w:sz w:val="24"/>
          <w:szCs w:val="24"/>
        </w:rPr>
        <w:t xml:space="preserve">. </w:t>
      </w:r>
    </w:p>
    <w:p w:rsidR="00E92CCD" w:rsidRPr="00553FC4" w:rsidRDefault="00E92CCD" w:rsidP="00E92CCD">
      <w:pPr>
        <w:ind w:left="851"/>
        <w:rPr>
          <w:sz w:val="24"/>
          <w:szCs w:val="24"/>
        </w:rPr>
      </w:pPr>
    </w:p>
    <w:p w:rsidR="00AB41BE" w:rsidRDefault="00AB41BE" w:rsidP="00AB41BE">
      <w:pPr>
        <w:ind w:left="851"/>
        <w:rPr>
          <w:sz w:val="24"/>
          <w:szCs w:val="24"/>
          <w:u w:val="single"/>
        </w:rPr>
      </w:pPr>
      <w:r>
        <w:rPr>
          <w:sz w:val="24"/>
          <w:szCs w:val="24"/>
          <w:u w:val="single"/>
        </w:rPr>
        <w:t>Biofordeling</w:t>
      </w:r>
    </w:p>
    <w:p w:rsidR="00E92CCD" w:rsidRPr="00553FC4" w:rsidRDefault="00E92CCD" w:rsidP="00E92CCD">
      <w:pPr>
        <w:ind w:left="851"/>
        <w:rPr>
          <w:sz w:val="24"/>
          <w:szCs w:val="24"/>
        </w:rPr>
      </w:pPr>
      <w:proofErr w:type="spellStart"/>
      <w:r w:rsidRPr="00553FC4">
        <w:rPr>
          <w:sz w:val="24"/>
          <w:szCs w:val="24"/>
        </w:rPr>
        <w:t>Zevteras</w:t>
      </w:r>
      <w:proofErr w:type="spellEnd"/>
      <w:r w:rsidRPr="00553FC4">
        <w:rPr>
          <w:sz w:val="24"/>
          <w:szCs w:val="24"/>
        </w:rPr>
        <w:t xml:space="preserve"> aktive substans er </w:t>
      </w:r>
      <w:proofErr w:type="spellStart"/>
      <w:r w:rsidRPr="00553FC4">
        <w:rPr>
          <w:sz w:val="24"/>
          <w:szCs w:val="24"/>
        </w:rPr>
        <w:t>ceftobiprolmedocarilnatrium</w:t>
      </w:r>
      <w:proofErr w:type="spellEnd"/>
      <w:r w:rsidRPr="00553FC4">
        <w:rPr>
          <w:sz w:val="24"/>
          <w:szCs w:val="24"/>
        </w:rPr>
        <w:t>, som er pro</w:t>
      </w:r>
      <w:r>
        <w:rPr>
          <w:sz w:val="24"/>
          <w:szCs w:val="24"/>
        </w:rPr>
        <w:t>drug</w:t>
      </w:r>
      <w:r w:rsidRPr="00553FC4">
        <w:rPr>
          <w:sz w:val="24"/>
          <w:szCs w:val="24"/>
        </w:rPr>
        <w:t xml:space="preserve"> af den aktive del </w:t>
      </w:r>
      <w:proofErr w:type="spellStart"/>
      <w:r w:rsidRPr="00553FC4">
        <w:rPr>
          <w:sz w:val="24"/>
          <w:szCs w:val="24"/>
        </w:rPr>
        <w:t>ceftobiprol</w:t>
      </w:r>
      <w:proofErr w:type="spellEnd"/>
      <w:r w:rsidRPr="00553FC4">
        <w:rPr>
          <w:sz w:val="24"/>
          <w:szCs w:val="24"/>
        </w:rPr>
        <w:t xml:space="preserve">. Konvertering fra </w:t>
      </w:r>
      <w:proofErr w:type="spellStart"/>
      <w:r w:rsidRPr="00553FC4">
        <w:rPr>
          <w:sz w:val="24"/>
          <w:szCs w:val="24"/>
        </w:rPr>
        <w:t>pro</w:t>
      </w:r>
      <w:r>
        <w:rPr>
          <w:sz w:val="24"/>
          <w:szCs w:val="24"/>
        </w:rPr>
        <w:t>druget</w:t>
      </w:r>
      <w:proofErr w:type="spellEnd"/>
      <w:r w:rsidRPr="00553FC4">
        <w:rPr>
          <w:sz w:val="24"/>
          <w:szCs w:val="24"/>
        </w:rPr>
        <w:t xml:space="preserve"> </w:t>
      </w:r>
      <w:proofErr w:type="spellStart"/>
      <w:r w:rsidRPr="00553FC4">
        <w:rPr>
          <w:sz w:val="24"/>
          <w:szCs w:val="24"/>
        </w:rPr>
        <w:t>ceftobiprolmedocarilnatrium</w:t>
      </w:r>
      <w:proofErr w:type="spellEnd"/>
      <w:r w:rsidRPr="00553FC4">
        <w:rPr>
          <w:sz w:val="24"/>
          <w:szCs w:val="24"/>
        </w:rPr>
        <w:t xml:space="preserve">, til den aktive del </w:t>
      </w:r>
      <w:proofErr w:type="spellStart"/>
      <w:r w:rsidRPr="00553FC4">
        <w:rPr>
          <w:sz w:val="24"/>
          <w:szCs w:val="24"/>
        </w:rPr>
        <w:t>ceftobiprol</w:t>
      </w:r>
      <w:proofErr w:type="spellEnd"/>
      <w:r w:rsidRPr="00553FC4">
        <w:rPr>
          <w:sz w:val="24"/>
          <w:szCs w:val="24"/>
        </w:rPr>
        <w:t xml:space="preserve">, sker hurtigt og medieres af ikke-specifikke </w:t>
      </w:r>
      <w:proofErr w:type="spellStart"/>
      <w:r w:rsidRPr="00553FC4">
        <w:rPr>
          <w:sz w:val="24"/>
          <w:szCs w:val="24"/>
        </w:rPr>
        <w:t>plasmaesteraser</w:t>
      </w:r>
      <w:proofErr w:type="spellEnd"/>
      <w:r w:rsidRPr="00553FC4">
        <w:rPr>
          <w:sz w:val="24"/>
          <w:szCs w:val="24"/>
        </w:rPr>
        <w:t xml:space="preserve">. Koncentrationer af prolægemidlet er ubetydelige og kan kun måles i plasma og urin under infusion. Den metabolit, som opstår ved deling af </w:t>
      </w:r>
      <w:proofErr w:type="spellStart"/>
      <w:r w:rsidRPr="00553FC4">
        <w:rPr>
          <w:sz w:val="24"/>
          <w:szCs w:val="24"/>
        </w:rPr>
        <w:t>pro</w:t>
      </w:r>
      <w:r>
        <w:rPr>
          <w:sz w:val="24"/>
          <w:szCs w:val="24"/>
        </w:rPr>
        <w:t>druget</w:t>
      </w:r>
      <w:proofErr w:type="spellEnd"/>
      <w:r w:rsidRPr="00553FC4">
        <w:rPr>
          <w:sz w:val="24"/>
          <w:szCs w:val="24"/>
        </w:rPr>
        <w:t xml:space="preserve"> er </w:t>
      </w:r>
      <w:proofErr w:type="spellStart"/>
      <w:r w:rsidRPr="00553FC4">
        <w:rPr>
          <w:sz w:val="24"/>
          <w:szCs w:val="24"/>
        </w:rPr>
        <w:t>diacetyl</w:t>
      </w:r>
      <w:proofErr w:type="spellEnd"/>
      <w:r w:rsidRPr="00553FC4">
        <w:rPr>
          <w:sz w:val="24"/>
          <w:szCs w:val="24"/>
        </w:rPr>
        <w:t>, som er en endogen human sammensætning.</w:t>
      </w:r>
    </w:p>
    <w:p w:rsidR="00E92CCD" w:rsidRPr="00553FC4" w:rsidRDefault="00E92CCD" w:rsidP="00E92CCD">
      <w:pPr>
        <w:ind w:left="851"/>
        <w:rPr>
          <w:sz w:val="24"/>
          <w:szCs w:val="24"/>
        </w:rPr>
      </w:pPr>
    </w:p>
    <w:p w:rsidR="00E92CCD" w:rsidRPr="00553FC4" w:rsidRDefault="00E92CCD" w:rsidP="00E92CCD">
      <w:pPr>
        <w:ind w:left="851"/>
        <w:rPr>
          <w:sz w:val="24"/>
          <w:szCs w:val="24"/>
        </w:rPr>
      </w:pPr>
      <w:proofErr w:type="spellStart"/>
      <w:r w:rsidRPr="00553FC4">
        <w:rPr>
          <w:sz w:val="24"/>
          <w:szCs w:val="24"/>
        </w:rPr>
        <w:t>Ceftobiprol</w:t>
      </w:r>
      <w:proofErr w:type="spellEnd"/>
      <w:r w:rsidRPr="00553FC4">
        <w:rPr>
          <w:sz w:val="24"/>
          <w:szCs w:val="24"/>
        </w:rPr>
        <w:t xml:space="preserve"> gennemgår minimal metabolisme til ”åben-ring” metabolitten, som er mikrobiologisk inaktiv. Systemisk eksponering over for ”åben-ring” metabolitten var betydeligt lavere end for </w:t>
      </w:r>
      <w:proofErr w:type="spellStart"/>
      <w:r w:rsidRPr="00553FC4">
        <w:rPr>
          <w:sz w:val="24"/>
          <w:szCs w:val="24"/>
        </w:rPr>
        <w:t>ceftobiprol</w:t>
      </w:r>
      <w:proofErr w:type="spellEnd"/>
      <w:r w:rsidRPr="00553FC4">
        <w:rPr>
          <w:sz w:val="24"/>
          <w:szCs w:val="24"/>
        </w:rPr>
        <w:t xml:space="preserve">, og udgjorde cirka 4 % af eksponering for moderstammen hos forsøgspersoner med normal nyrefunktion. </w:t>
      </w:r>
    </w:p>
    <w:p w:rsidR="00E92CCD" w:rsidRPr="00553FC4" w:rsidRDefault="00E92CCD" w:rsidP="00E92CCD">
      <w:pPr>
        <w:ind w:left="851"/>
        <w:rPr>
          <w:sz w:val="24"/>
          <w:szCs w:val="24"/>
        </w:rPr>
      </w:pPr>
    </w:p>
    <w:p w:rsidR="00E92CCD" w:rsidRPr="00553FC4" w:rsidRDefault="00E92CCD" w:rsidP="00E92CCD">
      <w:pPr>
        <w:ind w:left="851"/>
        <w:rPr>
          <w:sz w:val="24"/>
          <w:szCs w:val="24"/>
        </w:rPr>
      </w:pPr>
      <w:r w:rsidRPr="00553FC4">
        <w:rPr>
          <w:i/>
          <w:sz w:val="24"/>
          <w:szCs w:val="24"/>
        </w:rPr>
        <w:t xml:space="preserve">In </w:t>
      </w:r>
      <w:proofErr w:type="spellStart"/>
      <w:r w:rsidRPr="00553FC4">
        <w:rPr>
          <w:i/>
          <w:sz w:val="24"/>
          <w:szCs w:val="24"/>
        </w:rPr>
        <w:t>vitro</w:t>
      </w:r>
      <w:proofErr w:type="spellEnd"/>
      <w:r w:rsidRPr="00553FC4">
        <w:rPr>
          <w:sz w:val="24"/>
          <w:szCs w:val="24"/>
        </w:rPr>
        <w:t xml:space="preserve"> undersøgelser har påvist, at </w:t>
      </w:r>
      <w:proofErr w:type="spellStart"/>
      <w:r w:rsidRPr="00553FC4">
        <w:rPr>
          <w:sz w:val="24"/>
          <w:szCs w:val="24"/>
        </w:rPr>
        <w:t>ceftobiprol</w:t>
      </w:r>
      <w:proofErr w:type="spellEnd"/>
      <w:r w:rsidRPr="00553FC4">
        <w:rPr>
          <w:sz w:val="24"/>
          <w:szCs w:val="24"/>
        </w:rPr>
        <w:t xml:space="preserve"> er en hæmmer af </w:t>
      </w:r>
      <w:proofErr w:type="spellStart"/>
      <w:r w:rsidRPr="00553FC4">
        <w:rPr>
          <w:sz w:val="24"/>
          <w:szCs w:val="24"/>
        </w:rPr>
        <w:t>hepatocyt-uptake</w:t>
      </w:r>
      <w:proofErr w:type="spellEnd"/>
      <w:r w:rsidRPr="00553FC4">
        <w:rPr>
          <w:sz w:val="24"/>
          <w:szCs w:val="24"/>
        </w:rPr>
        <w:t xml:space="preserve"> transporterne OATP1B1 og OATP1B3, men ikke en hæmmer af </w:t>
      </w:r>
      <w:proofErr w:type="spellStart"/>
      <w:r w:rsidRPr="00553FC4">
        <w:rPr>
          <w:sz w:val="24"/>
          <w:szCs w:val="24"/>
        </w:rPr>
        <w:t>PgP</w:t>
      </w:r>
      <w:proofErr w:type="spellEnd"/>
      <w:r w:rsidRPr="00553FC4">
        <w:rPr>
          <w:sz w:val="24"/>
          <w:szCs w:val="24"/>
        </w:rPr>
        <w:t xml:space="preserve">, BCRP, MDR1, MRP2, OAT1, OAT3, OCT1 eller OCT2. </w:t>
      </w:r>
      <w:proofErr w:type="spellStart"/>
      <w:r w:rsidRPr="00553FC4">
        <w:rPr>
          <w:sz w:val="24"/>
          <w:szCs w:val="24"/>
        </w:rPr>
        <w:t>Ceftobiprol</w:t>
      </w:r>
      <w:proofErr w:type="spellEnd"/>
      <w:r w:rsidRPr="00553FC4">
        <w:rPr>
          <w:sz w:val="24"/>
          <w:szCs w:val="24"/>
        </w:rPr>
        <w:t xml:space="preserve"> er muligvis et svagt substrat af </w:t>
      </w:r>
      <w:proofErr w:type="spellStart"/>
      <w:r w:rsidRPr="00553FC4">
        <w:rPr>
          <w:sz w:val="24"/>
          <w:szCs w:val="24"/>
        </w:rPr>
        <w:t>uptake</w:t>
      </w:r>
      <w:proofErr w:type="spellEnd"/>
      <w:r w:rsidRPr="00553FC4">
        <w:rPr>
          <w:sz w:val="24"/>
          <w:szCs w:val="24"/>
        </w:rPr>
        <w:t xml:space="preserve">-transporterne OAT1 og OCT2 af nyrernes </w:t>
      </w:r>
      <w:proofErr w:type="spellStart"/>
      <w:r w:rsidRPr="00553FC4">
        <w:rPr>
          <w:sz w:val="24"/>
          <w:szCs w:val="24"/>
        </w:rPr>
        <w:t>tubulære</w:t>
      </w:r>
      <w:proofErr w:type="spellEnd"/>
      <w:r w:rsidRPr="00553FC4">
        <w:rPr>
          <w:sz w:val="24"/>
          <w:szCs w:val="24"/>
        </w:rPr>
        <w:t xml:space="preserve"> celler.</w:t>
      </w:r>
    </w:p>
    <w:p w:rsidR="00E92CCD" w:rsidRPr="00553FC4" w:rsidRDefault="00E92CCD" w:rsidP="00E92CCD">
      <w:pPr>
        <w:ind w:left="851"/>
        <w:rPr>
          <w:sz w:val="24"/>
          <w:szCs w:val="24"/>
        </w:rPr>
      </w:pPr>
    </w:p>
    <w:p w:rsidR="00E92CCD" w:rsidRPr="00553FC4" w:rsidRDefault="00E92CCD" w:rsidP="00E92CCD">
      <w:pPr>
        <w:ind w:left="851"/>
        <w:rPr>
          <w:sz w:val="24"/>
          <w:szCs w:val="24"/>
        </w:rPr>
      </w:pPr>
      <w:proofErr w:type="spellStart"/>
      <w:r w:rsidRPr="00553FC4">
        <w:rPr>
          <w:sz w:val="24"/>
          <w:szCs w:val="24"/>
        </w:rPr>
        <w:t>Ceftobiprols</w:t>
      </w:r>
      <w:proofErr w:type="spellEnd"/>
      <w:r w:rsidRPr="00553FC4">
        <w:rPr>
          <w:sz w:val="24"/>
          <w:szCs w:val="24"/>
        </w:rPr>
        <w:t xml:space="preserve"> proteinbinding er lav (16 %) og er ikke en </w:t>
      </w:r>
      <w:proofErr w:type="spellStart"/>
      <w:r w:rsidRPr="00553FC4">
        <w:rPr>
          <w:sz w:val="24"/>
          <w:szCs w:val="24"/>
        </w:rPr>
        <w:t>PgP</w:t>
      </w:r>
      <w:proofErr w:type="spellEnd"/>
      <w:r w:rsidRPr="00553FC4">
        <w:rPr>
          <w:sz w:val="24"/>
          <w:szCs w:val="24"/>
        </w:rPr>
        <w:t xml:space="preserve">-hæmmer eller et </w:t>
      </w:r>
      <w:proofErr w:type="spellStart"/>
      <w:r w:rsidRPr="00553FC4">
        <w:rPr>
          <w:sz w:val="24"/>
          <w:szCs w:val="24"/>
        </w:rPr>
        <w:t>PgP</w:t>
      </w:r>
      <w:proofErr w:type="spellEnd"/>
      <w:r w:rsidRPr="00553FC4">
        <w:rPr>
          <w:sz w:val="24"/>
          <w:szCs w:val="24"/>
        </w:rPr>
        <w:t xml:space="preserve">-substrat. </w:t>
      </w:r>
      <w:proofErr w:type="spellStart"/>
      <w:r w:rsidRPr="00553FC4">
        <w:rPr>
          <w:sz w:val="24"/>
          <w:szCs w:val="24"/>
        </w:rPr>
        <w:t>Ceftobiprols</w:t>
      </w:r>
      <w:proofErr w:type="spellEnd"/>
      <w:r w:rsidRPr="00553FC4">
        <w:rPr>
          <w:sz w:val="24"/>
          <w:szCs w:val="24"/>
        </w:rPr>
        <w:t xml:space="preserve"> potentiale for interaktion med andre lægemidler er minimal, da kun en lille fraktion af </w:t>
      </w:r>
      <w:proofErr w:type="spellStart"/>
      <w:r w:rsidRPr="00553FC4">
        <w:rPr>
          <w:sz w:val="24"/>
          <w:szCs w:val="24"/>
        </w:rPr>
        <w:t>ceftobiprol</w:t>
      </w:r>
      <w:proofErr w:type="spellEnd"/>
      <w:r w:rsidRPr="00553FC4">
        <w:rPr>
          <w:sz w:val="24"/>
          <w:szCs w:val="24"/>
        </w:rPr>
        <w:t xml:space="preserve"> </w:t>
      </w:r>
      <w:proofErr w:type="spellStart"/>
      <w:r w:rsidRPr="00553FC4">
        <w:rPr>
          <w:sz w:val="24"/>
          <w:szCs w:val="24"/>
        </w:rPr>
        <w:t>metaboliseres</w:t>
      </w:r>
      <w:proofErr w:type="spellEnd"/>
      <w:r w:rsidRPr="00553FC4">
        <w:rPr>
          <w:sz w:val="24"/>
          <w:szCs w:val="24"/>
        </w:rPr>
        <w:t xml:space="preserve">. Der forventes derfor ingen relevante lægemiddelinteraktioner (se pkt. 4.5). </w:t>
      </w:r>
    </w:p>
    <w:p w:rsidR="00E92CCD" w:rsidRPr="00553FC4" w:rsidRDefault="00E92CCD" w:rsidP="00E92CCD">
      <w:pPr>
        <w:ind w:left="851"/>
        <w:rPr>
          <w:sz w:val="24"/>
          <w:szCs w:val="24"/>
        </w:rPr>
      </w:pPr>
    </w:p>
    <w:p w:rsidR="00E92CCD" w:rsidRPr="00553FC4" w:rsidRDefault="00E92CCD" w:rsidP="00E92CCD">
      <w:pPr>
        <w:ind w:left="851"/>
        <w:rPr>
          <w:sz w:val="24"/>
          <w:szCs w:val="24"/>
        </w:rPr>
      </w:pPr>
      <w:r w:rsidRPr="00553FC4">
        <w:rPr>
          <w:sz w:val="24"/>
          <w:szCs w:val="24"/>
        </w:rPr>
        <w:lastRenderedPageBreak/>
        <w:t xml:space="preserve">Da </w:t>
      </w:r>
      <w:proofErr w:type="spellStart"/>
      <w:r w:rsidRPr="00553FC4">
        <w:rPr>
          <w:sz w:val="24"/>
          <w:szCs w:val="24"/>
        </w:rPr>
        <w:t>ceftobiprol</w:t>
      </w:r>
      <w:proofErr w:type="spellEnd"/>
      <w:r w:rsidRPr="00553FC4">
        <w:rPr>
          <w:sz w:val="24"/>
          <w:szCs w:val="24"/>
        </w:rPr>
        <w:t xml:space="preserve"> ikke gennemgår </w:t>
      </w:r>
      <w:proofErr w:type="spellStart"/>
      <w:r w:rsidRPr="00553FC4">
        <w:rPr>
          <w:sz w:val="24"/>
          <w:szCs w:val="24"/>
        </w:rPr>
        <w:t>tubulær</w:t>
      </w:r>
      <w:proofErr w:type="spellEnd"/>
      <w:r w:rsidRPr="00553FC4">
        <w:rPr>
          <w:sz w:val="24"/>
          <w:szCs w:val="24"/>
        </w:rPr>
        <w:t xml:space="preserve"> sekretion, og da kun en fraktion genabsorberes, forventes lægemiddelinteraktioner i nyre</w:t>
      </w:r>
      <w:r>
        <w:rPr>
          <w:sz w:val="24"/>
          <w:szCs w:val="24"/>
        </w:rPr>
        <w:t>rne</w:t>
      </w:r>
      <w:r w:rsidRPr="00553FC4">
        <w:rPr>
          <w:sz w:val="24"/>
          <w:szCs w:val="24"/>
        </w:rPr>
        <w:t xml:space="preserve"> ikke. </w:t>
      </w:r>
    </w:p>
    <w:p w:rsidR="00E92CCD" w:rsidRPr="00553FC4" w:rsidRDefault="00E92CCD" w:rsidP="00E92CCD">
      <w:pPr>
        <w:ind w:left="851"/>
        <w:rPr>
          <w:i/>
          <w:iCs/>
          <w:sz w:val="24"/>
          <w:szCs w:val="24"/>
        </w:rPr>
      </w:pPr>
    </w:p>
    <w:p w:rsidR="00E92CCD" w:rsidRPr="00553FC4" w:rsidRDefault="00E92CCD" w:rsidP="00E92CCD">
      <w:pPr>
        <w:ind w:left="851"/>
        <w:rPr>
          <w:sz w:val="24"/>
          <w:szCs w:val="24"/>
          <w:u w:val="single"/>
        </w:rPr>
      </w:pPr>
      <w:r w:rsidRPr="00553FC4">
        <w:rPr>
          <w:sz w:val="24"/>
          <w:szCs w:val="24"/>
          <w:u w:val="single"/>
        </w:rPr>
        <w:t>Elimination</w:t>
      </w:r>
    </w:p>
    <w:p w:rsidR="00E92CCD" w:rsidRPr="00553FC4" w:rsidRDefault="00E92CCD" w:rsidP="00E92CCD">
      <w:pPr>
        <w:ind w:left="851"/>
        <w:rPr>
          <w:sz w:val="24"/>
          <w:szCs w:val="24"/>
        </w:rPr>
      </w:pPr>
      <w:proofErr w:type="spellStart"/>
      <w:r w:rsidRPr="00553FC4">
        <w:rPr>
          <w:sz w:val="24"/>
          <w:szCs w:val="24"/>
        </w:rPr>
        <w:t>Ceftobiprol</w:t>
      </w:r>
      <w:proofErr w:type="spellEnd"/>
      <w:r w:rsidRPr="00553FC4">
        <w:rPr>
          <w:sz w:val="24"/>
          <w:szCs w:val="24"/>
        </w:rPr>
        <w:t xml:space="preserve"> elimineres primært uændret gennem </w:t>
      </w:r>
      <w:proofErr w:type="spellStart"/>
      <w:r w:rsidRPr="00553FC4">
        <w:rPr>
          <w:sz w:val="24"/>
          <w:szCs w:val="24"/>
        </w:rPr>
        <w:t>renal</w:t>
      </w:r>
      <w:proofErr w:type="spellEnd"/>
      <w:r w:rsidRPr="00553FC4">
        <w:rPr>
          <w:sz w:val="24"/>
          <w:szCs w:val="24"/>
        </w:rPr>
        <w:t xml:space="preserve"> udskillelse med en halveringstid på cirka 3 timer. Den fremherskende mekanisme ansvarlig for eliminering er </w:t>
      </w:r>
      <w:proofErr w:type="spellStart"/>
      <w:r w:rsidRPr="00553FC4">
        <w:rPr>
          <w:sz w:val="24"/>
          <w:szCs w:val="24"/>
        </w:rPr>
        <w:t>glumerulær</w:t>
      </w:r>
      <w:proofErr w:type="spellEnd"/>
      <w:r w:rsidRPr="00553FC4">
        <w:rPr>
          <w:sz w:val="24"/>
          <w:szCs w:val="24"/>
        </w:rPr>
        <w:t xml:space="preserve"> filtration med nogen aktiv </w:t>
      </w:r>
      <w:proofErr w:type="spellStart"/>
      <w:r w:rsidRPr="00553FC4">
        <w:rPr>
          <w:sz w:val="24"/>
          <w:szCs w:val="24"/>
        </w:rPr>
        <w:t>reabsorption</w:t>
      </w:r>
      <w:proofErr w:type="spellEnd"/>
      <w:r w:rsidRPr="00553FC4">
        <w:rPr>
          <w:sz w:val="24"/>
          <w:szCs w:val="24"/>
        </w:rPr>
        <w:t xml:space="preserve">. Efter indgivelse af en enkelt dosis hos </w:t>
      </w:r>
      <w:r w:rsidR="00B62FF6">
        <w:rPr>
          <w:sz w:val="24"/>
          <w:szCs w:val="24"/>
        </w:rPr>
        <w:t>raske voksne</w:t>
      </w:r>
      <w:r w:rsidRPr="00553FC4">
        <w:rPr>
          <w:sz w:val="24"/>
          <w:szCs w:val="24"/>
        </w:rPr>
        <w:t xml:space="preserve"> genvindes cirka 89 % af den indgivne dosis i urinen som aktiv </w:t>
      </w:r>
      <w:proofErr w:type="spellStart"/>
      <w:r w:rsidRPr="00553FC4">
        <w:rPr>
          <w:sz w:val="24"/>
          <w:szCs w:val="24"/>
        </w:rPr>
        <w:t>ceftobiprol</w:t>
      </w:r>
      <w:proofErr w:type="spellEnd"/>
      <w:r w:rsidRPr="00553FC4">
        <w:rPr>
          <w:sz w:val="24"/>
          <w:szCs w:val="24"/>
        </w:rPr>
        <w:t xml:space="preserve"> (83 %), ”åben-ring” metabolit (5 %) og </w:t>
      </w:r>
      <w:proofErr w:type="spellStart"/>
      <w:r w:rsidRPr="00553FC4">
        <w:rPr>
          <w:sz w:val="24"/>
          <w:szCs w:val="24"/>
        </w:rPr>
        <w:t>ceftobiprol</w:t>
      </w:r>
      <w:proofErr w:type="spellEnd"/>
      <w:r w:rsidRPr="00553FC4">
        <w:rPr>
          <w:sz w:val="24"/>
          <w:szCs w:val="24"/>
        </w:rPr>
        <w:t xml:space="preserve"> </w:t>
      </w:r>
      <w:proofErr w:type="spellStart"/>
      <w:r w:rsidRPr="00553FC4">
        <w:rPr>
          <w:sz w:val="24"/>
          <w:szCs w:val="24"/>
        </w:rPr>
        <w:t>medocaril</w:t>
      </w:r>
      <w:proofErr w:type="spellEnd"/>
      <w:r w:rsidRPr="00553FC4">
        <w:rPr>
          <w:sz w:val="24"/>
          <w:szCs w:val="24"/>
        </w:rPr>
        <w:t xml:space="preserve"> (&lt; 1 %).</w:t>
      </w:r>
    </w:p>
    <w:p w:rsidR="00E92CCD" w:rsidRPr="00553FC4" w:rsidRDefault="00E92CCD" w:rsidP="00E92CCD">
      <w:pPr>
        <w:ind w:left="851"/>
        <w:rPr>
          <w:sz w:val="24"/>
          <w:szCs w:val="24"/>
        </w:rPr>
      </w:pPr>
    </w:p>
    <w:p w:rsidR="00AB41BE" w:rsidRDefault="00AB41BE" w:rsidP="00AB41BE">
      <w:pPr>
        <w:ind w:left="851"/>
        <w:rPr>
          <w:bCs/>
          <w:sz w:val="24"/>
          <w:szCs w:val="24"/>
          <w:u w:val="single"/>
        </w:rPr>
      </w:pPr>
      <w:r>
        <w:rPr>
          <w:bCs/>
          <w:sz w:val="24"/>
          <w:szCs w:val="24"/>
          <w:u w:val="single"/>
        </w:rPr>
        <w:t>Linearitet/non-linearitet</w:t>
      </w:r>
    </w:p>
    <w:p w:rsidR="00AB41BE" w:rsidRDefault="00AB41BE" w:rsidP="00AB41BE">
      <w:pPr>
        <w:ind w:left="851"/>
        <w:rPr>
          <w:sz w:val="24"/>
          <w:szCs w:val="24"/>
        </w:rPr>
      </w:pPr>
      <w:proofErr w:type="spellStart"/>
      <w:r>
        <w:rPr>
          <w:bCs/>
          <w:sz w:val="24"/>
          <w:szCs w:val="24"/>
        </w:rPr>
        <w:t>Ceftobiprols</w:t>
      </w:r>
      <w:proofErr w:type="spellEnd"/>
      <w:r>
        <w:rPr>
          <w:bCs/>
          <w:sz w:val="24"/>
          <w:szCs w:val="24"/>
        </w:rPr>
        <w:t xml:space="preserve"> farmakokinetik er lineær og tidsafhængig. </w:t>
      </w:r>
      <w:proofErr w:type="spellStart"/>
      <w:r>
        <w:rPr>
          <w:bCs/>
          <w:sz w:val="24"/>
          <w:szCs w:val="24"/>
        </w:rPr>
        <w:t>C</w:t>
      </w:r>
      <w:r>
        <w:rPr>
          <w:bCs/>
          <w:sz w:val="24"/>
          <w:szCs w:val="24"/>
          <w:vertAlign w:val="subscript"/>
        </w:rPr>
        <w:t>max</w:t>
      </w:r>
      <w:proofErr w:type="spellEnd"/>
      <w:r>
        <w:rPr>
          <w:bCs/>
          <w:sz w:val="24"/>
          <w:szCs w:val="24"/>
        </w:rPr>
        <w:t xml:space="preserve"> og AUC af </w:t>
      </w:r>
      <w:proofErr w:type="spellStart"/>
      <w:r>
        <w:rPr>
          <w:bCs/>
          <w:sz w:val="24"/>
          <w:szCs w:val="24"/>
        </w:rPr>
        <w:t>ceftobiprol</w:t>
      </w:r>
      <w:proofErr w:type="spellEnd"/>
      <w:r>
        <w:rPr>
          <w:bCs/>
          <w:sz w:val="24"/>
          <w:szCs w:val="24"/>
        </w:rPr>
        <w:t xml:space="preserve"> stiger proportionalt med dosen i værdiområdet 125 mg til 1 g. Koncentrationer af det aktive stof i </w:t>
      </w:r>
      <w:proofErr w:type="spellStart"/>
      <w:r>
        <w:rPr>
          <w:bCs/>
          <w:sz w:val="24"/>
          <w:szCs w:val="24"/>
        </w:rPr>
        <w:t>steady-state</w:t>
      </w:r>
      <w:proofErr w:type="spellEnd"/>
      <w:r>
        <w:rPr>
          <w:bCs/>
          <w:sz w:val="24"/>
          <w:szCs w:val="24"/>
        </w:rPr>
        <w:t xml:space="preserve"> opnås på den første doseringsdag; ingen mærkbar akkumulation forekommer med hver 8-timers dosering hos forsøgspersoner med normal nyrefunktion.</w:t>
      </w:r>
    </w:p>
    <w:p w:rsidR="00AB41BE" w:rsidRDefault="00AB41BE" w:rsidP="00AB41BE">
      <w:pPr>
        <w:ind w:left="851"/>
        <w:rPr>
          <w:iCs/>
          <w:sz w:val="24"/>
          <w:szCs w:val="24"/>
        </w:rPr>
      </w:pPr>
    </w:p>
    <w:p w:rsidR="00E92CCD" w:rsidRPr="00553FC4" w:rsidRDefault="00E92CCD" w:rsidP="00E92CCD">
      <w:pPr>
        <w:ind w:left="851"/>
        <w:rPr>
          <w:iCs/>
          <w:sz w:val="24"/>
          <w:szCs w:val="24"/>
        </w:rPr>
      </w:pPr>
    </w:p>
    <w:p w:rsidR="00E92CCD" w:rsidRPr="00553FC4" w:rsidRDefault="00E92CCD" w:rsidP="00E92CCD">
      <w:pPr>
        <w:ind w:left="851"/>
        <w:rPr>
          <w:sz w:val="24"/>
          <w:szCs w:val="24"/>
          <w:u w:val="single"/>
        </w:rPr>
      </w:pPr>
      <w:r w:rsidRPr="00553FC4">
        <w:rPr>
          <w:sz w:val="24"/>
          <w:szCs w:val="24"/>
          <w:u w:val="single"/>
        </w:rPr>
        <w:t>Særlige populationer</w:t>
      </w:r>
    </w:p>
    <w:p w:rsidR="00E92CCD" w:rsidRPr="00553FC4" w:rsidRDefault="00E92CCD" w:rsidP="00E92CCD">
      <w:pPr>
        <w:ind w:left="851"/>
        <w:rPr>
          <w:sz w:val="24"/>
          <w:szCs w:val="24"/>
          <w:u w:val="single"/>
        </w:rPr>
      </w:pPr>
    </w:p>
    <w:p w:rsidR="00B62FF6" w:rsidRPr="00AD311F" w:rsidRDefault="00B62FF6" w:rsidP="00B62FF6">
      <w:pPr>
        <w:ind w:left="851"/>
        <w:rPr>
          <w:i/>
          <w:iCs/>
          <w:sz w:val="24"/>
          <w:szCs w:val="24"/>
        </w:rPr>
      </w:pPr>
      <w:r w:rsidRPr="00AD311F">
        <w:rPr>
          <w:i/>
          <w:iCs/>
          <w:sz w:val="24"/>
          <w:szCs w:val="24"/>
        </w:rPr>
        <w:t>Nedsat nyrefunktion</w:t>
      </w:r>
    </w:p>
    <w:p w:rsidR="00B62FF6" w:rsidRPr="00AD311F" w:rsidRDefault="00B62FF6" w:rsidP="00B62FF6">
      <w:pPr>
        <w:ind w:left="851"/>
        <w:rPr>
          <w:sz w:val="24"/>
          <w:szCs w:val="24"/>
        </w:rPr>
      </w:pPr>
      <w:r w:rsidRPr="00AD311F">
        <w:rPr>
          <w:sz w:val="24"/>
          <w:szCs w:val="24"/>
        </w:rPr>
        <w:t xml:space="preserve">Bedømmelsen af </w:t>
      </w:r>
      <w:proofErr w:type="spellStart"/>
      <w:r w:rsidRPr="00AD311F">
        <w:rPr>
          <w:sz w:val="24"/>
          <w:szCs w:val="24"/>
        </w:rPr>
        <w:t>kreatininclearance</w:t>
      </w:r>
      <w:proofErr w:type="spellEnd"/>
      <w:r w:rsidRPr="00AD311F">
        <w:rPr>
          <w:sz w:val="24"/>
          <w:szCs w:val="24"/>
        </w:rPr>
        <w:t xml:space="preserve"> skal være baseret på </w:t>
      </w:r>
      <w:proofErr w:type="spellStart"/>
      <w:r w:rsidRPr="00AD311F">
        <w:rPr>
          <w:sz w:val="24"/>
          <w:szCs w:val="24"/>
        </w:rPr>
        <w:t>Cockcroft-Gault</w:t>
      </w:r>
      <w:proofErr w:type="spellEnd"/>
      <w:r w:rsidRPr="00AD311F">
        <w:rPr>
          <w:sz w:val="24"/>
          <w:szCs w:val="24"/>
        </w:rPr>
        <w:t xml:space="preserve"> formlen ved brug af reel legemsvægt hos voksne patienter og Schwartz’ formel hos pædiatriske patienter. Det anbefales under behandling med </w:t>
      </w:r>
      <w:proofErr w:type="spellStart"/>
      <w:r w:rsidRPr="00AD311F">
        <w:rPr>
          <w:sz w:val="24"/>
          <w:szCs w:val="24"/>
        </w:rPr>
        <w:t>ceftobiprol</w:t>
      </w:r>
      <w:proofErr w:type="spellEnd"/>
      <w:r w:rsidRPr="00AD311F">
        <w:rPr>
          <w:sz w:val="24"/>
          <w:szCs w:val="24"/>
        </w:rPr>
        <w:t xml:space="preserve">, at der anvendes en enzymatisk metode til måling af </w:t>
      </w:r>
      <w:proofErr w:type="spellStart"/>
      <w:r w:rsidRPr="00AD311F">
        <w:rPr>
          <w:sz w:val="24"/>
          <w:szCs w:val="24"/>
        </w:rPr>
        <w:t>serumkreatinin</w:t>
      </w:r>
      <w:proofErr w:type="spellEnd"/>
      <w:r w:rsidRPr="00AD311F">
        <w:rPr>
          <w:sz w:val="24"/>
          <w:szCs w:val="24"/>
        </w:rPr>
        <w:t xml:space="preserve"> (se pkt. 4.4).</w:t>
      </w:r>
    </w:p>
    <w:p w:rsidR="00B62FF6" w:rsidRPr="00AD311F" w:rsidRDefault="00B62FF6" w:rsidP="00B62FF6">
      <w:pPr>
        <w:ind w:left="851"/>
        <w:rPr>
          <w:sz w:val="24"/>
          <w:szCs w:val="24"/>
        </w:rPr>
      </w:pPr>
    </w:p>
    <w:p w:rsidR="00B62FF6" w:rsidRPr="00AD311F" w:rsidRDefault="00B62FF6" w:rsidP="00B62FF6">
      <w:pPr>
        <w:ind w:left="851"/>
        <w:rPr>
          <w:sz w:val="24"/>
          <w:szCs w:val="24"/>
        </w:rPr>
      </w:pPr>
      <w:r w:rsidRPr="00AD311F">
        <w:rPr>
          <w:sz w:val="24"/>
          <w:szCs w:val="24"/>
        </w:rPr>
        <w:t xml:space="preserve">Farmakokinetikken for </w:t>
      </w:r>
      <w:proofErr w:type="spellStart"/>
      <w:r w:rsidRPr="00AD311F">
        <w:rPr>
          <w:sz w:val="24"/>
          <w:szCs w:val="24"/>
        </w:rPr>
        <w:t>ceftobiprol</w:t>
      </w:r>
      <w:proofErr w:type="spellEnd"/>
      <w:r w:rsidRPr="00AD311F">
        <w:rPr>
          <w:sz w:val="24"/>
          <w:szCs w:val="24"/>
        </w:rPr>
        <w:t xml:space="preserve"> er tilsvarende hos raske voksne og forsøgspersoner med mildt nedsat nyrefunktion (CL</w:t>
      </w:r>
      <w:r w:rsidRPr="00AD311F">
        <w:rPr>
          <w:sz w:val="24"/>
          <w:szCs w:val="24"/>
          <w:vertAlign w:val="subscript"/>
        </w:rPr>
        <w:t>CR</w:t>
      </w:r>
      <w:r w:rsidRPr="00AD311F">
        <w:rPr>
          <w:sz w:val="24"/>
          <w:szCs w:val="24"/>
        </w:rPr>
        <w:t xml:space="preserve"> 50 til 80 ml/min). </w:t>
      </w:r>
      <w:proofErr w:type="spellStart"/>
      <w:r w:rsidRPr="00AD311F">
        <w:rPr>
          <w:sz w:val="24"/>
          <w:szCs w:val="24"/>
        </w:rPr>
        <w:t>Ceftobiprol</w:t>
      </w:r>
      <w:proofErr w:type="spellEnd"/>
      <w:r w:rsidRPr="00AD311F">
        <w:rPr>
          <w:sz w:val="24"/>
          <w:szCs w:val="24"/>
        </w:rPr>
        <w:t xml:space="preserve"> AUC var 2,5- og 3,3-gange højere hos forsøgspersoner med hhv. moderat (CL</w:t>
      </w:r>
      <w:r w:rsidRPr="00AD311F">
        <w:rPr>
          <w:sz w:val="24"/>
          <w:szCs w:val="24"/>
          <w:vertAlign w:val="subscript"/>
        </w:rPr>
        <w:t>CR</w:t>
      </w:r>
      <w:r w:rsidRPr="00AD311F">
        <w:rPr>
          <w:sz w:val="24"/>
          <w:szCs w:val="24"/>
        </w:rPr>
        <w:t xml:space="preserve"> 30 til &lt; 50 ml/min) og svært (CL</w:t>
      </w:r>
      <w:r w:rsidRPr="00AD311F">
        <w:rPr>
          <w:sz w:val="24"/>
          <w:szCs w:val="24"/>
          <w:vertAlign w:val="subscript"/>
        </w:rPr>
        <w:t>CR</w:t>
      </w:r>
      <w:r w:rsidRPr="00AD311F">
        <w:rPr>
          <w:sz w:val="24"/>
          <w:szCs w:val="24"/>
        </w:rPr>
        <w:t xml:space="preserve"> &lt; 30 ml/min) nedsat nyrefunktion end hos raske voksne med normal nyrefunktion. </w:t>
      </w:r>
    </w:p>
    <w:p w:rsidR="00B62FF6" w:rsidRPr="00AD311F" w:rsidRDefault="00B62FF6" w:rsidP="00B62FF6">
      <w:pPr>
        <w:ind w:left="851"/>
        <w:rPr>
          <w:sz w:val="24"/>
          <w:szCs w:val="24"/>
        </w:rPr>
      </w:pPr>
    </w:p>
    <w:p w:rsidR="00AB41BE" w:rsidRDefault="00AB41BE" w:rsidP="00AB41BE">
      <w:pPr>
        <w:ind w:left="851"/>
        <w:rPr>
          <w:sz w:val="24"/>
          <w:szCs w:val="24"/>
        </w:rPr>
      </w:pPr>
      <w:r>
        <w:rPr>
          <w:sz w:val="24"/>
          <w:szCs w:val="24"/>
        </w:rPr>
        <w:t xml:space="preserve">Justering af dosis anbefales hos patienter med moderat til svært nedsat nyrefunktion (se pkt. 4.2). Dosisanbefalinger for pædiatriske patienter er baseret på </w:t>
      </w:r>
      <w:proofErr w:type="spellStart"/>
      <w:r>
        <w:rPr>
          <w:sz w:val="24"/>
          <w:szCs w:val="24"/>
        </w:rPr>
        <w:t>farmakokinetisk</w:t>
      </w:r>
      <w:proofErr w:type="spellEnd"/>
      <w:r>
        <w:rPr>
          <w:sz w:val="24"/>
          <w:szCs w:val="24"/>
        </w:rPr>
        <w:t xml:space="preserve"> modellering.</w:t>
      </w:r>
    </w:p>
    <w:p w:rsidR="00AB41BE" w:rsidRDefault="00AB41BE" w:rsidP="00AB41BE">
      <w:pPr>
        <w:ind w:left="851"/>
        <w:rPr>
          <w:bCs/>
          <w:i/>
          <w:iCs/>
          <w:sz w:val="24"/>
          <w:szCs w:val="24"/>
        </w:rPr>
      </w:pPr>
    </w:p>
    <w:p w:rsidR="00AB41BE" w:rsidRDefault="00AB41BE" w:rsidP="00AB41BE">
      <w:pPr>
        <w:ind w:left="851"/>
        <w:rPr>
          <w:sz w:val="24"/>
          <w:szCs w:val="24"/>
        </w:rPr>
      </w:pPr>
      <w:proofErr w:type="spellStart"/>
      <w:r>
        <w:rPr>
          <w:sz w:val="24"/>
          <w:szCs w:val="24"/>
        </w:rPr>
        <w:t>AUC’erne</w:t>
      </w:r>
      <w:proofErr w:type="spellEnd"/>
      <w:r>
        <w:rPr>
          <w:sz w:val="24"/>
          <w:szCs w:val="24"/>
        </w:rPr>
        <w:t xml:space="preserve"> for </w:t>
      </w:r>
      <w:proofErr w:type="spellStart"/>
      <w:r>
        <w:rPr>
          <w:sz w:val="24"/>
          <w:szCs w:val="24"/>
        </w:rPr>
        <w:t>ceftobiprol</w:t>
      </w:r>
      <w:proofErr w:type="spellEnd"/>
      <w:r>
        <w:rPr>
          <w:sz w:val="24"/>
          <w:szCs w:val="24"/>
        </w:rPr>
        <w:t xml:space="preserve"> og den mikrobiologisk inaktive metabolit med åben ring er forhøjet betydeligt hos voksne patienter med nyresygdom i slutstadiet, som kræver dialyse, sammenlignet med raske voksne. I et forsøg, hvor seks voksne forsøgspersoner med nyresygdom i slutstadiet fik en enkelt dosis af </w:t>
      </w:r>
      <w:bookmarkStart w:id="12" w:name="_Hlk113475815"/>
      <w:proofErr w:type="spellStart"/>
      <w:r>
        <w:rPr>
          <w:sz w:val="24"/>
          <w:szCs w:val="24"/>
        </w:rPr>
        <w:t>ceftobiprol</w:t>
      </w:r>
      <w:proofErr w:type="spellEnd"/>
      <w:r>
        <w:rPr>
          <w:sz w:val="24"/>
          <w:szCs w:val="24"/>
        </w:rPr>
        <w:t xml:space="preserve"> </w:t>
      </w:r>
      <w:bookmarkEnd w:id="12"/>
      <w:r>
        <w:rPr>
          <w:sz w:val="24"/>
          <w:szCs w:val="24"/>
        </w:rPr>
        <w:t xml:space="preserve">på 250 mg via intravenøs infusion, blev det påvist at </w:t>
      </w:r>
      <w:proofErr w:type="spellStart"/>
      <w:r>
        <w:rPr>
          <w:sz w:val="24"/>
          <w:szCs w:val="24"/>
        </w:rPr>
        <w:t>ceftobiprol</w:t>
      </w:r>
      <w:proofErr w:type="spellEnd"/>
      <w:r>
        <w:rPr>
          <w:sz w:val="24"/>
          <w:szCs w:val="24"/>
        </w:rPr>
        <w:t xml:space="preserve"> kunne </w:t>
      </w:r>
      <w:proofErr w:type="spellStart"/>
      <w:r>
        <w:rPr>
          <w:sz w:val="24"/>
          <w:szCs w:val="24"/>
        </w:rPr>
        <w:t>hæmodialyseres</w:t>
      </w:r>
      <w:proofErr w:type="spellEnd"/>
      <w:r>
        <w:rPr>
          <w:sz w:val="24"/>
          <w:szCs w:val="24"/>
        </w:rPr>
        <w:t xml:space="preserve"> med en ekstraktionsgrad på 0,7 (se pkt. 4.2). </w:t>
      </w:r>
    </w:p>
    <w:p w:rsidR="00AB41BE" w:rsidRDefault="00AB41BE" w:rsidP="00AB41BE">
      <w:pPr>
        <w:ind w:left="851"/>
        <w:rPr>
          <w:sz w:val="24"/>
          <w:szCs w:val="24"/>
        </w:rPr>
      </w:pPr>
      <w:r>
        <w:rPr>
          <w:sz w:val="24"/>
          <w:szCs w:val="24"/>
        </w:rPr>
        <w:t>Der er ikke tilstrækkelige oplysninger til at anbefale dosisjusteringer hos pædiatriske patienter med CL</w:t>
      </w:r>
      <w:r>
        <w:rPr>
          <w:sz w:val="24"/>
          <w:szCs w:val="24"/>
          <w:vertAlign w:val="subscript"/>
        </w:rPr>
        <w:t>CR</w:t>
      </w:r>
      <w:r>
        <w:rPr>
          <w:sz w:val="24"/>
          <w:szCs w:val="24"/>
        </w:rPr>
        <w:t xml:space="preserve"> &lt; 10 ml/min/1,73 m</w:t>
      </w:r>
      <w:r>
        <w:rPr>
          <w:sz w:val="24"/>
          <w:szCs w:val="24"/>
          <w:vertAlign w:val="superscript"/>
        </w:rPr>
        <w:t>2</w:t>
      </w:r>
      <w:r>
        <w:rPr>
          <w:sz w:val="24"/>
          <w:szCs w:val="24"/>
        </w:rPr>
        <w:t xml:space="preserve"> eller dialysekrævende nyresygdom i slutstadiet.</w:t>
      </w:r>
    </w:p>
    <w:p w:rsidR="00AB41BE" w:rsidRDefault="00AB41BE" w:rsidP="00AB41BE">
      <w:pPr>
        <w:ind w:left="851"/>
        <w:rPr>
          <w:sz w:val="24"/>
          <w:szCs w:val="24"/>
        </w:rPr>
      </w:pPr>
    </w:p>
    <w:p w:rsidR="00AB41BE" w:rsidRDefault="00AB41BE" w:rsidP="00AB41BE">
      <w:pPr>
        <w:ind w:left="851"/>
        <w:rPr>
          <w:i/>
          <w:iCs/>
          <w:sz w:val="24"/>
          <w:szCs w:val="24"/>
        </w:rPr>
      </w:pPr>
      <w:r>
        <w:rPr>
          <w:i/>
          <w:iCs/>
          <w:sz w:val="24"/>
          <w:szCs w:val="24"/>
        </w:rPr>
        <w:t xml:space="preserve">Patienter med </w:t>
      </w:r>
      <w:proofErr w:type="spellStart"/>
      <w:r>
        <w:rPr>
          <w:i/>
          <w:iCs/>
          <w:sz w:val="24"/>
          <w:szCs w:val="24"/>
        </w:rPr>
        <w:t>kreatininclearance</w:t>
      </w:r>
      <w:proofErr w:type="spellEnd"/>
      <w:r>
        <w:rPr>
          <w:i/>
          <w:iCs/>
          <w:sz w:val="24"/>
          <w:szCs w:val="24"/>
        </w:rPr>
        <w:t xml:space="preserve"> &gt; 150 ml/min</w:t>
      </w:r>
    </w:p>
    <w:p w:rsidR="00AB41BE" w:rsidRDefault="00AB41BE" w:rsidP="00AB41BE">
      <w:pPr>
        <w:ind w:left="851"/>
        <w:rPr>
          <w:sz w:val="24"/>
          <w:szCs w:val="24"/>
        </w:rPr>
      </w:pPr>
      <w:proofErr w:type="spellStart"/>
      <w:r>
        <w:rPr>
          <w:sz w:val="24"/>
          <w:szCs w:val="24"/>
        </w:rPr>
        <w:t>Ceftobiprols</w:t>
      </w:r>
      <w:proofErr w:type="spellEnd"/>
      <w:r>
        <w:rPr>
          <w:sz w:val="24"/>
          <w:szCs w:val="24"/>
        </w:rPr>
        <w:t xml:space="preserve"> systemiske </w:t>
      </w:r>
      <w:proofErr w:type="spellStart"/>
      <w:r>
        <w:rPr>
          <w:sz w:val="24"/>
          <w:szCs w:val="24"/>
        </w:rPr>
        <w:t>clearance</w:t>
      </w:r>
      <w:proofErr w:type="spellEnd"/>
      <w:r>
        <w:rPr>
          <w:sz w:val="24"/>
          <w:szCs w:val="24"/>
        </w:rPr>
        <w:t xml:space="preserve"> (CL</w:t>
      </w:r>
      <w:r>
        <w:rPr>
          <w:sz w:val="24"/>
          <w:szCs w:val="24"/>
          <w:vertAlign w:val="subscript"/>
        </w:rPr>
        <w:t>SS</w:t>
      </w:r>
      <w:r>
        <w:rPr>
          <w:sz w:val="24"/>
          <w:szCs w:val="24"/>
        </w:rPr>
        <w:t>) var 40 % større hos voksne forsøgspersoner med en CL</w:t>
      </w:r>
      <w:r>
        <w:rPr>
          <w:sz w:val="24"/>
          <w:szCs w:val="24"/>
          <w:vertAlign w:val="subscript"/>
        </w:rPr>
        <w:t>CR</w:t>
      </w:r>
      <w:r>
        <w:rPr>
          <w:sz w:val="24"/>
          <w:szCs w:val="24"/>
        </w:rPr>
        <w:t xml:space="preserve"> &gt; 150 ml/min sammenlignet med forsøgspersoner med en normal nyrefunktion (CL</w:t>
      </w:r>
      <w:r>
        <w:rPr>
          <w:sz w:val="24"/>
          <w:szCs w:val="24"/>
          <w:vertAlign w:val="subscript"/>
        </w:rPr>
        <w:t>CR</w:t>
      </w:r>
      <w:r>
        <w:rPr>
          <w:sz w:val="24"/>
          <w:szCs w:val="24"/>
        </w:rPr>
        <w:t xml:space="preserve"> = 80-150 ml/min). Fordelingsvolumen var 30 % højere. Forlængelse af infusionsvarigheden anbefales for denne population baseret på </w:t>
      </w:r>
      <w:proofErr w:type="spellStart"/>
      <w:r>
        <w:rPr>
          <w:sz w:val="24"/>
          <w:szCs w:val="24"/>
        </w:rPr>
        <w:t>farmakokinetiske</w:t>
      </w:r>
      <w:proofErr w:type="spellEnd"/>
      <w:r>
        <w:rPr>
          <w:sz w:val="24"/>
          <w:szCs w:val="24"/>
        </w:rPr>
        <w:t>/</w:t>
      </w:r>
      <w:proofErr w:type="spellStart"/>
      <w:r>
        <w:rPr>
          <w:sz w:val="24"/>
          <w:szCs w:val="24"/>
        </w:rPr>
        <w:t>farmako</w:t>
      </w:r>
      <w:r>
        <w:rPr>
          <w:sz w:val="24"/>
          <w:szCs w:val="24"/>
        </w:rPr>
        <w:softHyphen/>
        <w:t>dynamiske</w:t>
      </w:r>
      <w:proofErr w:type="spellEnd"/>
      <w:r>
        <w:rPr>
          <w:sz w:val="24"/>
          <w:szCs w:val="24"/>
        </w:rPr>
        <w:t xml:space="preserve"> overvejelser (se pkt. 4.2). </w:t>
      </w:r>
    </w:p>
    <w:p w:rsidR="00AB41BE" w:rsidRDefault="00AB41BE" w:rsidP="00AB41BE">
      <w:pPr>
        <w:ind w:left="851"/>
        <w:rPr>
          <w:sz w:val="24"/>
          <w:szCs w:val="24"/>
        </w:rPr>
      </w:pPr>
    </w:p>
    <w:p w:rsidR="00AB41BE" w:rsidRDefault="00AB41BE" w:rsidP="00AB41BE">
      <w:pPr>
        <w:ind w:left="851"/>
        <w:rPr>
          <w:i/>
          <w:iCs/>
          <w:sz w:val="24"/>
          <w:szCs w:val="24"/>
        </w:rPr>
      </w:pPr>
      <w:r>
        <w:rPr>
          <w:i/>
          <w:iCs/>
          <w:sz w:val="24"/>
          <w:szCs w:val="24"/>
        </w:rPr>
        <w:t>Nedsat leverfunktion</w:t>
      </w:r>
    </w:p>
    <w:p w:rsidR="00AB41BE" w:rsidRDefault="00AB41BE" w:rsidP="00AB41BE">
      <w:pPr>
        <w:ind w:left="851"/>
        <w:rPr>
          <w:sz w:val="24"/>
          <w:szCs w:val="24"/>
        </w:rPr>
      </w:pPr>
      <w:r>
        <w:rPr>
          <w:sz w:val="24"/>
          <w:szCs w:val="24"/>
        </w:rPr>
        <w:lastRenderedPageBreak/>
        <w:t xml:space="preserve">Farmakokinetikken af </w:t>
      </w:r>
      <w:proofErr w:type="spellStart"/>
      <w:r>
        <w:rPr>
          <w:sz w:val="24"/>
          <w:szCs w:val="24"/>
        </w:rPr>
        <w:t>ceftobiprol</w:t>
      </w:r>
      <w:proofErr w:type="spellEnd"/>
      <w:r>
        <w:rPr>
          <w:sz w:val="24"/>
          <w:szCs w:val="24"/>
        </w:rPr>
        <w:t xml:space="preserve"> hos patienter med nedsat leverfunktion er ikke blevet klarlagt. Da </w:t>
      </w:r>
      <w:proofErr w:type="spellStart"/>
      <w:r>
        <w:rPr>
          <w:sz w:val="24"/>
          <w:szCs w:val="24"/>
        </w:rPr>
        <w:t>ceftobiprol</w:t>
      </w:r>
      <w:proofErr w:type="spellEnd"/>
      <w:r>
        <w:rPr>
          <w:sz w:val="24"/>
          <w:szCs w:val="24"/>
        </w:rPr>
        <w:t xml:space="preserve"> omsættes minimalt af leveren og stort set udskilles uændret i urinen, forventes clearingen af </w:t>
      </w:r>
      <w:proofErr w:type="spellStart"/>
      <w:r>
        <w:rPr>
          <w:sz w:val="24"/>
          <w:szCs w:val="24"/>
        </w:rPr>
        <w:t>ceftobiprol</w:t>
      </w:r>
      <w:proofErr w:type="spellEnd"/>
      <w:r>
        <w:rPr>
          <w:sz w:val="24"/>
          <w:szCs w:val="24"/>
        </w:rPr>
        <w:t xml:space="preserve"> ikke at være påvirket af nedsat leverfunktion (se pkt. 4.2).</w:t>
      </w:r>
    </w:p>
    <w:p w:rsidR="00B62FF6" w:rsidRPr="00AD311F" w:rsidRDefault="00B62FF6" w:rsidP="00B62FF6">
      <w:pPr>
        <w:ind w:left="851"/>
        <w:rPr>
          <w:sz w:val="24"/>
          <w:szCs w:val="24"/>
        </w:rPr>
      </w:pPr>
    </w:p>
    <w:p w:rsidR="00B62FF6" w:rsidRPr="00AD311F" w:rsidRDefault="00B62FF6" w:rsidP="00B62FF6">
      <w:pPr>
        <w:ind w:left="851"/>
        <w:rPr>
          <w:i/>
          <w:iCs/>
          <w:sz w:val="24"/>
          <w:szCs w:val="24"/>
        </w:rPr>
      </w:pPr>
      <w:r w:rsidRPr="00AD311F">
        <w:rPr>
          <w:i/>
          <w:iCs/>
          <w:sz w:val="24"/>
          <w:szCs w:val="24"/>
        </w:rPr>
        <w:t>Ældre patienter</w:t>
      </w:r>
    </w:p>
    <w:p w:rsidR="00B62FF6" w:rsidRPr="00AD311F" w:rsidRDefault="00B62FF6" w:rsidP="00B62FF6">
      <w:pPr>
        <w:ind w:left="851"/>
        <w:rPr>
          <w:sz w:val="24"/>
          <w:szCs w:val="24"/>
        </w:rPr>
      </w:pPr>
      <w:proofErr w:type="spellStart"/>
      <w:r w:rsidRPr="00AD311F">
        <w:rPr>
          <w:sz w:val="24"/>
          <w:szCs w:val="24"/>
        </w:rPr>
        <w:t>Farmakokinetiske</w:t>
      </w:r>
      <w:proofErr w:type="spellEnd"/>
      <w:r w:rsidRPr="00AD311F">
        <w:rPr>
          <w:sz w:val="24"/>
          <w:szCs w:val="24"/>
        </w:rPr>
        <w:t xml:space="preserve"> populationsdata viste, at alder som et uafhængigt parameter ikke har nogen indvirkning på </w:t>
      </w:r>
      <w:proofErr w:type="spellStart"/>
      <w:r w:rsidRPr="00AD311F">
        <w:rPr>
          <w:sz w:val="24"/>
          <w:szCs w:val="24"/>
        </w:rPr>
        <w:t>ceftobiprols</w:t>
      </w:r>
      <w:proofErr w:type="spellEnd"/>
      <w:r w:rsidRPr="00AD311F">
        <w:rPr>
          <w:sz w:val="24"/>
          <w:szCs w:val="24"/>
        </w:rPr>
        <w:t xml:space="preserve"> farmakokinetik. Det anses ikke for nødvendigt at justere dosen for ældre patienter med normal nyrefunktion (se pkt. 4.2).</w:t>
      </w:r>
    </w:p>
    <w:p w:rsidR="00B62FF6" w:rsidRPr="00AD311F" w:rsidRDefault="00B62FF6" w:rsidP="00B62FF6">
      <w:pPr>
        <w:ind w:left="851"/>
        <w:rPr>
          <w:i/>
          <w:sz w:val="24"/>
          <w:szCs w:val="24"/>
        </w:rPr>
      </w:pPr>
    </w:p>
    <w:p w:rsidR="00AB41BE" w:rsidRDefault="00AB41BE" w:rsidP="00AB41BE">
      <w:pPr>
        <w:ind w:left="851"/>
        <w:rPr>
          <w:i/>
          <w:iCs/>
          <w:sz w:val="24"/>
          <w:szCs w:val="24"/>
        </w:rPr>
      </w:pPr>
      <w:r>
        <w:rPr>
          <w:i/>
          <w:iCs/>
          <w:sz w:val="24"/>
          <w:szCs w:val="24"/>
        </w:rPr>
        <w:t>Pædiatrisk population</w:t>
      </w:r>
    </w:p>
    <w:p w:rsidR="00AB41BE" w:rsidRDefault="00AB41BE" w:rsidP="00AB41BE">
      <w:pPr>
        <w:ind w:left="851"/>
        <w:rPr>
          <w:sz w:val="24"/>
          <w:szCs w:val="24"/>
        </w:rPr>
      </w:pPr>
      <w:proofErr w:type="spellStart"/>
      <w:r>
        <w:rPr>
          <w:sz w:val="24"/>
          <w:szCs w:val="24"/>
        </w:rPr>
        <w:t>Farmakokinetiske</w:t>
      </w:r>
      <w:proofErr w:type="spellEnd"/>
      <w:r>
        <w:rPr>
          <w:sz w:val="24"/>
          <w:szCs w:val="24"/>
        </w:rPr>
        <w:t xml:space="preserve"> populationsdata viste, at modningen af den </w:t>
      </w:r>
      <w:proofErr w:type="spellStart"/>
      <w:r>
        <w:rPr>
          <w:sz w:val="24"/>
          <w:szCs w:val="24"/>
        </w:rPr>
        <w:t>glomerulære</w:t>
      </w:r>
      <w:proofErr w:type="spellEnd"/>
      <w:r>
        <w:rPr>
          <w:sz w:val="24"/>
          <w:szCs w:val="24"/>
        </w:rPr>
        <w:t xml:space="preserve"> filtrationshastighed har en indvirkning på </w:t>
      </w:r>
      <w:proofErr w:type="spellStart"/>
      <w:r>
        <w:rPr>
          <w:sz w:val="24"/>
          <w:szCs w:val="24"/>
        </w:rPr>
        <w:t>ceftobiprols</w:t>
      </w:r>
      <w:proofErr w:type="spellEnd"/>
      <w:r>
        <w:rPr>
          <w:sz w:val="24"/>
          <w:szCs w:val="24"/>
        </w:rPr>
        <w:t xml:space="preserve"> farmakokinetik hos pædiatriske patienter i alderen 1 år og yngre. Vægtbaseret dosisjustering er påkrævet hos pædiatriske patienter, der vejer mindre end 50 kg (se pkt. 4.2).</w:t>
      </w:r>
    </w:p>
    <w:p w:rsidR="00AB41BE" w:rsidRDefault="00AB41BE" w:rsidP="00AB41BE">
      <w:pPr>
        <w:ind w:left="851"/>
        <w:rPr>
          <w:sz w:val="24"/>
          <w:szCs w:val="24"/>
        </w:rPr>
      </w:pPr>
    </w:p>
    <w:p w:rsidR="00AB41BE" w:rsidRDefault="00AB41BE" w:rsidP="00AB41BE">
      <w:pPr>
        <w:ind w:left="851"/>
        <w:rPr>
          <w:sz w:val="24"/>
          <w:szCs w:val="24"/>
        </w:rPr>
      </w:pPr>
      <w:r>
        <w:rPr>
          <w:sz w:val="24"/>
          <w:szCs w:val="24"/>
        </w:rPr>
        <w:t>Middeleksponeringen for</w:t>
      </w:r>
      <w:r>
        <w:rPr>
          <w:rFonts w:eastAsia="MS Mincho"/>
          <w:sz w:val="24"/>
          <w:szCs w:val="24"/>
        </w:rPr>
        <w:t xml:space="preserve"> </w:t>
      </w:r>
      <w:proofErr w:type="spellStart"/>
      <w:r>
        <w:rPr>
          <w:sz w:val="24"/>
          <w:szCs w:val="24"/>
        </w:rPr>
        <w:t>ceftobiprol</w:t>
      </w:r>
      <w:proofErr w:type="spellEnd"/>
      <w:r>
        <w:rPr>
          <w:rFonts w:eastAsia="MS Mincho"/>
          <w:sz w:val="24"/>
          <w:szCs w:val="24"/>
        </w:rPr>
        <w:t xml:space="preserve"> </w:t>
      </w:r>
      <w:r>
        <w:rPr>
          <w:sz w:val="24"/>
          <w:szCs w:val="24"/>
        </w:rPr>
        <w:t xml:space="preserve">hos pædiatriske forsøgspersoner med normal nyrefunktion baseret på </w:t>
      </w:r>
      <w:proofErr w:type="spellStart"/>
      <w:r>
        <w:rPr>
          <w:sz w:val="24"/>
          <w:szCs w:val="24"/>
        </w:rPr>
        <w:t>farmakokinetisk</w:t>
      </w:r>
      <w:proofErr w:type="spellEnd"/>
      <w:r>
        <w:rPr>
          <w:sz w:val="24"/>
          <w:szCs w:val="24"/>
        </w:rPr>
        <w:t xml:space="preserve"> populationsmodellering er sammenfattet i tabel 5 for de foreslåede pædiatriske doser (se pkt. 4.2) og svarer til de middeleksponeringer, der ses hos voksne.</w:t>
      </w:r>
    </w:p>
    <w:p w:rsidR="00AB41BE" w:rsidRDefault="00AB41BE" w:rsidP="00AB41BE">
      <w:pPr>
        <w:ind w:left="851"/>
        <w:rPr>
          <w:sz w:val="24"/>
          <w:szCs w:val="24"/>
        </w:rPr>
      </w:pPr>
    </w:p>
    <w:p w:rsidR="00AB41BE" w:rsidRDefault="00AB41BE" w:rsidP="00AB41BE">
      <w:pPr>
        <w:ind w:left="851"/>
        <w:rPr>
          <w:b/>
          <w:bCs/>
          <w:sz w:val="24"/>
          <w:szCs w:val="24"/>
        </w:rPr>
      </w:pPr>
      <w:r>
        <w:rPr>
          <w:b/>
          <w:bCs/>
          <w:sz w:val="24"/>
          <w:szCs w:val="24"/>
        </w:rPr>
        <w:t>Tabel 5</w:t>
      </w:r>
      <w:r>
        <w:rPr>
          <w:b/>
          <w:bCs/>
          <w:sz w:val="24"/>
          <w:szCs w:val="24"/>
        </w:rPr>
        <w:t xml:space="preserve"> </w:t>
      </w:r>
      <w:r>
        <w:rPr>
          <w:b/>
          <w:bCs/>
          <w:sz w:val="24"/>
          <w:szCs w:val="24"/>
        </w:rPr>
        <w:t xml:space="preserve">Middel (standardafvigelse) </w:t>
      </w:r>
      <w:proofErr w:type="spellStart"/>
      <w:r>
        <w:rPr>
          <w:b/>
          <w:bCs/>
          <w:sz w:val="24"/>
          <w:szCs w:val="24"/>
        </w:rPr>
        <w:t>farmakokinetiske</w:t>
      </w:r>
      <w:proofErr w:type="spellEnd"/>
      <w:r>
        <w:rPr>
          <w:b/>
          <w:bCs/>
          <w:sz w:val="24"/>
          <w:szCs w:val="24"/>
        </w:rPr>
        <w:t xml:space="preserve"> parametre for </w:t>
      </w:r>
      <w:proofErr w:type="spellStart"/>
      <w:r>
        <w:rPr>
          <w:b/>
          <w:bCs/>
          <w:sz w:val="24"/>
          <w:szCs w:val="24"/>
        </w:rPr>
        <w:t>ceftobiprol</w:t>
      </w:r>
      <w:proofErr w:type="spellEnd"/>
      <w:r>
        <w:rPr>
          <w:b/>
          <w:bCs/>
          <w:sz w:val="24"/>
          <w:szCs w:val="24"/>
        </w:rPr>
        <w:t xml:space="preserve"> hos pædiatriske forsøgspersoner udledt fra </w:t>
      </w:r>
      <w:proofErr w:type="spellStart"/>
      <w:r>
        <w:rPr>
          <w:b/>
          <w:bCs/>
          <w:sz w:val="24"/>
          <w:szCs w:val="24"/>
        </w:rPr>
        <w:t>farmakokinetisk</w:t>
      </w:r>
      <w:proofErr w:type="spellEnd"/>
      <w:r>
        <w:rPr>
          <w:b/>
          <w:bCs/>
          <w:sz w:val="24"/>
          <w:szCs w:val="24"/>
        </w:rPr>
        <w:t xml:space="preserve"> populationsmodellering</w:t>
      </w:r>
    </w:p>
    <w:p w:rsidR="00AB41BE" w:rsidRDefault="00AB41BE" w:rsidP="00AB41BE">
      <w:pPr>
        <w:ind w:left="851"/>
        <w:rPr>
          <w:b/>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7"/>
        <w:gridCol w:w="1836"/>
      </w:tblGrid>
      <w:tr w:rsidR="00AB41BE" w:rsidTr="00AB41BE">
        <w:tc>
          <w:tcPr>
            <w:tcW w:w="2126" w:type="dxa"/>
            <w:tcBorders>
              <w:top w:val="single" w:sz="4" w:space="0" w:color="auto"/>
              <w:left w:val="single" w:sz="4" w:space="0" w:color="auto"/>
              <w:bottom w:val="single" w:sz="4" w:space="0" w:color="auto"/>
              <w:right w:val="single" w:sz="4" w:space="0" w:color="auto"/>
            </w:tcBorders>
            <w:hideMark/>
          </w:tcPr>
          <w:p w:rsidR="00AB41BE" w:rsidRDefault="00AB41BE">
            <w:pPr>
              <w:tabs>
                <w:tab w:val="left" w:pos="567"/>
              </w:tabs>
              <w:spacing w:line="260" w:lineRule="exact"/>
              <w:jc w:val="center"/>
              <w:rPr>
                <w:rFonts w:eastAsia="PMingLiU"/>
                <w:b/>
                <w:bCs/>
                <w:sz w:val="22"/>
                <w:szCs w:val="22"/>
              </w:rPr>
            </w:pPr>
            <w:r>
              <w:rPr>
                <w:rFonts w:eastAsia="PMingLiU"/>
                <w:b/>
                <w:bCs/>
                <w:sz w:val="22"/>
                <w:szCs w:val="22"/>
              </w:rPr>
              <w:t>Aldersgruppe</w:t>
            </w:r>
          </w:p>
        </w:tc>
        <w:tc>
          <w:tcPr>
            <w:tcW w:w="2126" w:type="dxa"/>
            <w:tcBorders>
              <w:top w:val="single" w:sz="4" w:space="0" w:color="auto"/>
              <w:left w:val="single" w:sz="4" w:space="0" w:color="auto"/>
              <w:bottom w:val="single" w:sz="4" w:space="0" w:color="auto"/>
              <w:right w:val="single" w:sz="4" w:space="0" w:color="auto"/>
            </w:tcBorders>
            <w:hideMark/>
          </w:tcPr>
          <w:p w:rsidR="00AB41BE" w:rsidRDefault="00AB41BE">
            <w:pPr>
              <w:tabs>
                <w:tab w:val="left" w:pos="567"/>
              </w:tabs>
              <w:spacing w:line="260" w:lineRule="exact"/>
              <w:jc w:val="center"/>
              <w:rPr>
                <w:rFonts w:eastAsia="PMingLiU"/>
                <w:b/>
                <w:bCs/>
                <w:sz w:val="22"/>
                <w:szCs w:val="22"/>
              </w:rPr>
            </w:pPr>
            <w:r>
              <w:rPr>
                <w:rFonts w:eastAsia="PMingLiU"/>
                <w:b/>
                <w:bCs/>
                <w:sz w:val="22"/>
                <w:szCs w:val="22"/>
              </w:rPr>
              <w:t>Doseringsregime</w:t>
            </w:r>
          </w:p>
        </w:tc>
        <w:tc>
          <w:tcPr>
            <w:tcW w:w="2127" w:type="dxa"/>
            <w:tcBorders>
              <w:top w:val="single" w:sz="4" w:space="0" w:color="auto"/>
              <w:left w:val="single" w:sz="4" w:space="0" w:color="auto"/>
              <w:bottom w:val="single" w:sz="4" w:space="0" w:color="auto"/>
              <w:right w:val="single" w:sz="4" w:space="0" w:color="auto"/>
            </w:tcBorders>
            <w:hideMark/>
          </w:tcPr>
          <w:p w:rsidR="00AB41BE" w:rsidRDefault="00AB41BE">
            <w:pPr>
              <w:tabs>
                <w:tab w:val="left" w:pos="567"/>
              </w:tabs>
              <w:spacing w:line="260" w:lineRule="exact"/>
              <w:ind w:left="-40"/>
              <w:jc w:val="center"/>
              <w:rPr>
                <w:rFonts w:eastAsia="PMingLiU"/>
                <w:b/>
                <w:bCs/>
                <w:sz w:val="22"/>
                <w:szCs w:val="22"/>
              </w:rPr>
            </w:pPr>
            <w:proofErr w:type="spellStart"/>
            <w:r>
              <w:rPr>
                <w:rFonts w:eastAsia="PMingLiU"/>
                <w:b/>
                <w:bCs/>
                <w:sz w:val="22"/>
                <w:szCs w:val="22"/>
              </w:rPr>
              <w:t>C</w:t>
            </w:r>
            <w:r>
              <w:rPr>
                <w:rFonts w:eastAsia="PMingLiU"/>
                <w:b/>
                <w:bCs/>
                <w:sz w:val="22"/>
                <w:szCs w:val="22"/>
                <w:vertAlign w:val="subscript"/>
              </w:rPr>
              <w:t>max</w:t>
            </w:r>
            <w:proofErr w:type="spellEnd"/>
            <w:r>
              <w:rPr>
                <w:rFonts w:eastAsia="PMingLiU"/>
                <w:b/>
                <w:bCs/>
                <w:sz w:val="22"/>
                <w:szCs w:val="22"/>
              </w:rPr>
              <w:t xml:space="preserve"> (µg/ml)</w:t>
            </w:r>
          </w:p>
        </w:tc>
        <w:tc>
          <w:tcPr>
            <w:tcW w:w="1836" w:type="dxa"/>
            <w:tcBorders>
              <w:top w:val="single" w:sz="4" w:space="0" w:color="auto"/>
              <w:left w:val="single" w:sz="4" w:space="0" w:color="auto"/>
              <w:bottom w:val="single" w:sz="4" w:space="0" w:color="auto"/>
              <w:right w:val="single" w:sz="4" w:space="0" w:color="auto"/>
            </w:tcBorders>
            <w:hideMark/>
          </w:tcPr>
          <w:p w:rsidR="00AB41BE" w:rsidRDefault="00AB41BE">
            <w:pPr>
              <w:tabs>
                <w:tab w:val="left" w:pos="567"/>
              </w:tabs>
              <w:spacing w:line="260" w:lineRule="exact"/>
              <w:jc w:val="center"/>
              <w:rPr>
                <w:rFonts w:eastAsia="PMingLiU"/>
                <w:b/>
                <w:bCs/>
                <w:sz w:val="22"/>
                <w:szCs w:val="22"/>
              </w:rPr>
            </w:pPr>
            <w:r>
              <w:rPr>
                <w:rFonts w:eastAsia="PMingLiU"/>
                <w:b/>
                <w:bCs/>
                <w:sz w:val="22"/>
                <w:szCs w:val="22"/>
              </w:rPr>
              <w:t>AUC</w:t>
            </w:r>
            <w:r>
              <w:rPr>
                <w:rFonts w:eastAsia="PMingLiU"/>
                <w:b/>
                <w:bCs/>
                <w:sz w:val="22"/>
                <w:szCs w:val="22"/>
                <w:vertAlign w:val="subscript"/>
              </w:rPr>
              <w:t>0-24h</w:t>
            </w:r>
            <w:r>
              <w:rPr>
                <w:rFonts w:eastAsia="PMingLiU"/>
                <w:b/>
                <w:bCs/>
                <w:sz w:val="22"/>
                <w:szCs w:val="22"/>
              </w:rPr>
              <w:t xml:space="preserve"> (</w:t>
            </w:r>
            <w:proofErr w:type="spellStart"/>
            <w:r>
              <w:rPr>
                <w:rFonts w:eastAsia="PMingLiU"/>
                <w:b/>
                <w:bCs/>
                <w:sz w:val="22"/>
                <w:szCs w:val="22"/>
              </w:rPr>
              <w:t>h.µg</w:t>
            </w:r>
            <w:proofErr w:type="spellEnd"/>
            <w:r>
              <w:rPr>
                <w:rFonts w:eastAsia="PMingLiU"/>
                <w:b/>
                <w:bCs/>
                <w:sz w:val="22"/>
                <w:szCs w:val="22"/>
              </w:rPr>
              <w:t>/ml)</w:t>
            </w:r>
          </w:p>
        </w:tc>
      </w:tr>
      <w:tr w:rsidR="00AB41BE" w:rsidTr="00AB41BE">
        <w:tc>
          <w:tcPr>
            <w:tcW w:w="2126" w:type="dxa"/>
            <w:tcBorders>
              <w:top w:val="single" w:sz="4" w:space="0" w:color="auto"/>
              <w:left w:val="single" w:sz="4" w:space="0" w:color="auto"/>
              <w:bottom w:val="single" w:sz="4" w:space="0" w:color="auto"/>
              <w:right w:val="single" w:sz="4" w:space="0" w:color="auto"/>
            </w:tcBorders>
            <w:vAlign w:val="center"/>
            <w:hideMark/>
          </w:tcPr>
          <w:p w:rsidR="00AB41BE" w:rsidRDefault="00AB41BE">
            <w:pPr>
              <w:widowControl w:val="0"/>
              <w:tabs>
                <w:tab w:val="left" w:pos="567"/>
              </w:tabs>
              <w:spacing w:line="260" w:lineRule="exact"/>
              <w:rPr>
                <w:rFonts w:eastAsia="PMingLiU"/>
                <w:sz w:val="22"/>
                <w:szCs w:val="22"/>
              </w:rPr>
            </w:pPr>
            <w:r>
              <w:rPr>
                <w:rFonts w:eastAsia="MS Mincho"/>
                <w:sz w:val="20"/>
                <w:lang w:eastAsia="ja-JP"/>
              </w:rPr>
              <w:t>Fødsel til &lt; 3 måneder</w:t>
            </w:r>
          </w:p>
        </w:tc>
        <w:tc>
          <w:tcPr>
            <w:tcW w:w="212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PMingLiU"/>
                <w:sz w:val="22"/>
                <w:szCs w:val="22"/>
              </w:rPr>
            </w:pPr>
            <w:r>
              <w:rPr>
                <w:rFonts w:eastAsia="MS Mincho"/>
                <w:sz w:val="20"/>
                <w:lang w:eastAsia="ja-JP"/>
              </w:rPr>
              <w:t>15 mg/kg hver 12 h</w:t>
            </w:r>
            <w:r>
              <w:rPr>
                <w:rFonts w:eastAsia="MS Mincho"/>
                <w:sz w:val="20"/>
                <w:vertAlign w:val="superscript"/>
                <w:lang w:eastAsia="ja-JP"/>
              </w:rPr>
              <w:t>a</w:t>
            </w:r>
          </w:p>
        </w:tc>
        <w:tc>
          <w:tcPr>
            <w:tcW w:w="2127"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ind w:left="-40"/>
              <w:jc w:val="center"/>
              <w:rPr>
                <w:rFonts w:eastAsia="PMingLiU"/>
                <w:sz w:val="22"/>
                <w:szCs w:val="22"/>
              </w:rPr>
            </w:pPr>
            <w:r>
              <w:rPr>
                <w:rFonts w:eastAsia="MS Mincho"/>
                <w:sz w:val="20"/>
                <w:lang w:eastAsia="ja-JP"/>
              </w:rPr>
              <w:t>31,1 (7,05)</w:t>
            </w:r>
          </w:p>
        </w:tc>
        <w:tc>
          <w:tcPr>
            <w:tcW w:w="183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PMingLiU"/>
                <w:sz w:val="22"/>
                <w:szCs w:val="22"/>
              </w:rPr>
            </w:pPr>
            <w:r>
              <w:rPr>
                <w:rFonts w:eastAsia="MS Mincho"/>
                <w:sz w:val="20"/>
                <w:lang w:eastAsia="ja-JP"/>
              </w:rPr>
              <w:t>298 (66,4)</w:t>
            </w:r>
          </w:p>
        </w:tc>
      </w:tr>
      <w:tr w:rsidR="00AB41BE" w:rsidTr="00AB41BE">
        <w:tc>
          <w:tcPr>
            <w:tcW w:w="2126" w:type="dxa"/>
            <w:tcBorders>
              <w:top w:val="single" w:sz="4" w:space="0" w:color="auto"/>
              <w:left w:val="single" w:sz="4" w:space="0" w:color="auto"/>
              <w:bottom w:val="single" w:sz="4" w:space="0" w:color="auto"/>
              <w:right w:val="single" w:sz="4" w:space="0" w:color="auto"/>
            </w:tcBorders>
            <w:vAlign w:val="center"/>
            <w:hideMark/>
          </w:tcPr>
          <w:p w:rsidR="00AB41BE" w:rsidRDefault="00AB41BE">
            <w:pPr>
              <w:widowControl w:val="0"/>
              <w:tabs>
                <w:tab w:val="left" w:pos="567"/>
              </w:tabs>
              <w:spacing w:line="260" w:lineRule="exact"/>
              <w:rPr>
                <w:rFonts w:eastAsia="PMingLiU"/>
                <w:sz w:val="22"/>
                <w:szCs w:val="22"/>
              </w:rPr>
            </w:pPr>
            <w:r>
              <w:rPr>
                <w:rFonts w:eastAsia="MS Mincho"/>
                <w:sz w:val="20"/>
                <w:lang w:eastAsia="ja-JP"/>
              </w:rPr>
              <w:t>3 måneder til &lt; 2 år</w:t>
            </w:r>
          </w:p>
        </w:tc>
        <w:tc>
          <w:tcPr>
            <w:tcW w:w="212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PMingLiU"/>
                <w:sz w:val="22"/>
                <w:szCs w:val="22"/>
              </w:rPr>
            </w:pPr>
            <w:r>
              <w:rPr>
                <w:rFonts w:eastAsia="MS Mincho"/>
                <w:sz w:val="20"/>
                <w:lang w:eastAsia="ja-JP"/>
              </w:rPr>
              <w:t>15 mg/kg hver8 h</w:t>
            </w:r>
          </w:p>
        </w:tc>
        <w:tc>
          <w:tcPr>
            <w:tcW w:w="2127"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ind w:left="-40"/>
              <w:jc w:val="center"/>
              <w:rPr>
                <w:rFonts w:eastAsia="PMingLiU"/>
                <w:sz w:val="22"/>
                <w:szCs w:val="22"/>
              </w:rPr>
            </w:pPr>
            <w:r>
              <w:rPr>
                <w:rFonts w:eastAsia="MS Mincho"/>
                <w:sz w:val="20"/>
                <w:lang w:eastAsia="ja-JP"/>
              </w:rPr>
              <w:t>30,3 (5,32)</w:t>
            </w:r>
          </w:p>
        </w:tc>
        <w:tc>
          <w:tcPr>
            <w:tcW w:w="183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PMingLiU"/>
                <w:sz w:val="22"/>
                <w:szCs w:val="22"/>
              </w:rPr>
            </w:pPr>
            <w:r>
              <w:rPr>
                <w:rFonts w:eastAsia="MS Mincho"/>
                <w:sz w:val="20"/>
                <w:lang w:eastAsia="ja-JP"/>
              </w:rPr>
              <w:t>278 (69,9)</w:t>
            </w:r>
          </w:p>
        </w:tc>
      </w:tr>
      <w:tr w:rsidR="00AB41BE" w:rsidTr="00AB41BE">
        <w:tc>
          <w:tcPr>
            <w:tcW w:w="2126" w:type="dxa"/>
            <w:tcBorders>
              <w:top w:val="single" w:sz="4" w:space="0" w:color="auto"/>
              <w:left w:val="single" w:sz="4" w:space="0" w:color="auto"/>
              <w:bottom w:val="single" w:sz="4" w:space="0" w:color="auto"/>
              <w:right w:val="single" w:sz="4" w:space="0" w:color="auto"/>
            </w:tcBorders>
            <w:vAlign w:val="center"/>
            <w:hideMark/>
          </w:tcPr>
          <w:p w:rsidR="00AB41BE" w:rsidRDefault="00AB41BE">
            <w:pPr>
              <w:widowControl w:val="0"/>
              <w:tabs>
                <w:tab w:val="left" w:pos="567"/>
              </w:tabs>
              <w:spacing w:line="260" w:lineRule="exact"/>
              <w:rPr>
                <w:rFonts w:eastAsia="MS Mincho"/>
                <w:sz w:val="20"/>
                <w:lang w:eastAsia="ja-JP"/>
              </w:rPr>
            </w:pPr>
            <w:r>
              <w:rPr>
                <w:rFonts w:eastAsia="MS Mincho"/>
                <w:sz w:val="20"/>
                <w:lang w:eastAsia="ja-JP"/>
              </w:rPr>
              <w:t>2 til &lt; 6 år</w:t>
            </w:r>
          </w:p>
        </w:tc>
        <w:tc>
          <w:tcPr>
            <w:tcW w:w="212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MS Mincho"/>
                <w:sz w:val="20"/>
                <w:lang w:eastAsia="ja-JP"/>
              </w:rPr>
            </w:pPr>
            <w:r>
              <w:rPr>
                <w:rFonts w:eastAsia="MS Mincho"/>
                <w:sz w:val="20"/>
                <w:lang w:eastAsia="ja-JP"/>
              </w:rPr>
              <w:t>15 mg/kg hver 8 h</w:t>
            </w:r>
          </w:p>
        </w:tc>
        <w:tc>
          <w:tcPr>
            <w:tcW w:w="2127"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ind w:left="-40"/>
              <w:jc w:val="center"/>
              <w:rPr>
                <w:rFonts w:eastAsia="PMingLiU"/>
                <w:sz w:val="22"/>
                <w:szCs w:val="22"/>
              </w:rPr>
            </w:pPr>
            <w:r>
              <w:rPr>
                <w:rFonts w:eastAsia="MS Mincho"/>
                <w:sz w:val="20"/>
                <w:lang w:eastAsia="ja-JP"/>
              </w:rPr>
              <w:t>30,8 (4,98)</w:t>
            </w:r>
          </w:p>
        </w:tc>
        <w:tc>
          <w:tcPr>
            <w:tcW w:w="183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PMingLiU"/>
                <w:sz w:val="22"/>
                <w:szCs w:val="22"/>
              </w:rPr>
            </w:pPr>
            <w:r>
              <w:rPr>
                <w:rFonts w:eastAsia="MS Mincho"/>
                <w:sz w:val="20"/>
                <w:lang w:eastAsia="ja-JP"/>
              </w:rPr>
              <w:t>266 (55,3)</w:t>
            </w:r>
          </w:p>
        </w:tc>
      </w:tr>
      <w:tr w:rsidR="00AB41BE" w:rsidTr="00AB41BE">
        <w:tc>
          <w:tcPr>
            <w:tcW w:w="2126" w:type="dxa"/>
            <w:tcBorders>
              <w:top w:val="single" w:sz="4" w:space="0" w:color="auto"/>
              <w:left w:val="single" w:sz="4" w:space="0" w:color="auto"/>
              <w:bottom w:val="single" w:sz="4" w:space="0" w:color="auto"/>
              <w:right w:val="single" w:sz="4" w:space="0" w:color="auto"/>
            </w:tcBorders>
            <w:vAlign w:val="center"/>
            <w:hideMark/>
          </w:tcPr>
          <w:p w:rsidR="00AB41BE" w:rsidRDefault="00AB41BE">
            <w:pPr>
              <w:widowControl w:val="0"/>
              <w:tabs>
                <w:tab w:val="left" w:pos="567"/>
              </w:tabs>
              <w:spacing w:line="260" w:lineRule="exact"/>
              <w:rPr>
                <w:rFonts w:eastAsia="MS Mincho"/>
                <w:sz w:val="20"/>
                <w:lang w:eastAsia="ja-JP"/>
              </w:rPr>
            </w:pPr>
            <w:r>
              <w:rPr>
                <w:rFonts w:eastAsia="MS Mincho"/>
                <w:sz w:val="20"/>
                <w:lang w:eastAsia="ja-JP"/>
              </w:rPr>
              <w:t>6 til &lt; 12 år</w:t>
            </w:r>
          </w:p>
        </w:tc>
        <w:tc>
          <w:tcPr>
            <w:tcW w:w="212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MS Mincho"/>
                <w:sz w:val="20"/>
                <w:lang w:eastAsia="ja-JP"/>
              </w:rPr>
            </w:pPr>
            <w:r>
              <w:rPr>
                <w:rFonts w:eastAsia="MS Mincho"/>
                <w:sz w:val="20"/>
                <w:lang w:eastAsia="ja-JP"/>
              </w:rPr>
              <w:t>15 mg/kg hver 8 h</w:t>
            </w:r>
          </w:p>
        </w:tc>
        <w:tc>
          <w:tcPr>
            <w:tcW w:w="2127"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ind w:left="-40"/>
              <w:jc w:val="center"/>
              <w:rPr>
                <w:rFonts w:eastAsia="PMingLiU"/>
                <w:sz w:val="22"/>
                <w:szCs w:val="22"/>
              </w:rPr>
            </w:pPr>
            <w:r>
              <w:rPr>
                <w:rFonts w:eastAsia="MS Mincho"/>
                <w:sz w:val="20"/>
                <w:lang w:eastAsia="ja-JP"/>
              </w:rPr>
              <w:t>35,2 (5,94)</w:t>
            </w:r>
          </w:p>
        </w:tc>
        <w:tc>
          <w:tcPr>
            <w:tcW w:w="183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PMingLiU"/>
                <w:sz w:val="22"/>
                <w:szCs w:val="22"/>
              </w:rPr>
            </w:pPr>
            <w:r>
              <w:rPr>
                <w:rFonts w:eastAsia="MS Mincho"/>
                <w:sz w:val="20"/>
                <w:lang w:eastAsia="ja-JP"/>
              </w:rPr>
              <w:t>312 (68,7)</w:t>
            </w:r>
          </w:p>
        </w:tc>
      </w:tr>
      <w:tr w:rsidR="00AB41BE" w:rsidTr="00AB41BE">
        <w:tc>
          <w:tcPr>
            <w:tcW w:w="2126" w:type="dxa"/>
            <w:tcBorders>
              <w:top w:val="single" w:sz="4" w:space="0" w:color="auto"/>
              <w:left w:val="single" w:sz="4" w:space="0" w:color="auto"/>
              <w:bottom w:val="single" w:sz="4" w:space="0" w:color="auto"/>
              <w:right w:val="single" w:sz="4" w:space="0" w:color="auto"/>
            </w:tcBorders>
            <w:vAlign w:val="center"/>
            <w:hideMark/>
          </w:tcPr>
          <w:p w:rsidR="00AB41BE" w:rsidRDefault="00AB41BE">
            <w:pPr>
              <w:widowControl w:val="0"/>
              <w:tabs>
                <w:tab w:val="left" w:pos="567"/>
              </w:tabs>
              <w:spacing w:line="260" w:lineRule="exact"/>
              <w:rPr>
                <w:rFonts w:eastAsia="MS Mincho"/>
                <w:sz w:val="20"/>
                <w:lang w:eastAsia="ja-JP"/>
              </w:rPr>
            </w:pPr>
            <w:r>
              <w:rPr>
                <w:rFonts w:eastAsia="MS Mincho"/>
                <w:sz w:val="20"/>
                <w:lang w:eastAsia="ja-JP"/>
              </w:rPr>
              <w:t>12 til &lt; 18 år</w:t>
            </w:r>
          </w:p>
        </w:tc>
        <w:tc>
          <w:tcPr>
            <w:tcW w:w="212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MS Mincho"/>
                <w:sz w:val="20"/>
                <w:lang w:eastAsia="ja-JP"/>
              </w:rPr>
            </w:pPr>
            <w:r>
              <w:rPr>
                <w:rFonts w:eastAsia="MS Mincho"/>
                <w:sz w:val="20"/>
                <w:lang w:eastAsia="ja-JP"/>
              </w:rPr>
              <w:t>10 mg/kg hver 8 h</w:t>
            </w:r>
          </w:p>
        </w:tc>
        <w:tc>
          <w:tcPr>
            <w:tcW w:w="2127"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ind w:left="-40"/>
              <w:jc w:val="center"/>
              <w:rPr>
                <w:rFonts w:eastAsia="PMingLiU"/>
                <w:sz w:val="22"/>
                <w:szCs w:val="22"/>
              </w:rPr>
            </w:pPr>
            <w:r>
              <w:rPr>
                <w:rFonts w:eastAsia="MS Mincho"/>
                <w:sz w:val="20"/>
                <w:lang w:eastAsia="ja-JP"/>
              </w:rPr>
              <w:t>26,6 (4,92)</w:t>
            </w:r>
          </w:p>
        </w:tc>
        <w:tc>
          <w:tcPr>
            <w:tcW w:w="183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PMingLiU"/>
                <w:sz w:val="22"/>
                <w:szCs w:val="22"/>
              </w:rPr>
            </w:pPr>
            <w:r>
              <w:rPr>
                <w:rFonts w:eastAsia="MS Mincho"/>
                <w:sz w:val="20"/>
                <w:lang w:eastAsia="ja-JP"/>
              </w:rPr>
              <w:t>245 (56,9)</w:t>
            </w:r>
          </w:p>
        </w:tc>
      </w:tr>
      <w:tr w:rsidR="00AB41BE" w:rsidTr="00AB41BE">
        <w:tc>
          <w:tcPr>
            <w:tcW w:w="2126" w:type="dxa"/>
            <w:tcBorders>
              <w:top w:val="single" w:sz="4" w:space="0" w:color="auto"/>
              <w:left w:val="single" w:sz="4" w:space="0" w:color="auto"/>
              <w:bottom w:val="single" w:sz="4" w:space="0" w:color="auto"/>
              <w:right w:val="single" w:sz="4" w:space="0" w:color="auto"/>
            </w:tcBorders>
            <w:vAlign w:val="center"/>
            <w:hideMark/>
          </w:tcPr>
          <w:p w:rsidR="00AB41BE" w:rsidRDefault="00AB41BE">
            <w:pPr>
              <w:widowControl w:val="0"/>
              <w:tabs>
                <w:tab w:val="left" w:pos="567"/>
              </w:tabs>
              <w:spacing w:line="260" w:lineRule="exact"/>
              <w:rPr>
                <w:rFonts w:eastAsia="MS Mincho"/>
                <w:sz w:val="20"/>
                <w:lang w:eastAsia="ja-JP"/>
              </w:rPr>
            </w:pPr>
            <w:r>
              <w:rPr>
                <w:rFonts w:eastAsia="MS Mincho"/>
                <w:sz w:val="20"/>
                <w:lang w:eastAsia="ja-JP"/>
              </w:rPr>
              <w:t>Voksne</w:t>
            </w:r>
          </w:p>
        </w:tc>
        <w:tc>
          <w:tcPr>
            <w:tcW w:w="212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MS Mincho"/>
                <w:sz w:val="20"/>
                <w:lang w:eastAsia="ja-JP"/>
              </w:rPr>
            </w:pPr>
            <w:r>
              <w:rPr>
                <w:rFonts w:eastAsia="MS Mincho"/>
                <w:sz w:val="20"/>
                <w:lang w:eastAsia="ja-JP"/>
              </w:rPr>
              <w:t>500 mg hver 8 h</w:t>
            </w:r>
          </w:p>
        </w:tc>
        <w:tc>
          <w:tcPr>
            <w:tcW w:w="2127"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ind w:left="-40"/>
              <w:jc w:val="center"/>
              <w:rPr>
                <w:rFonts w:eastAsia="MS Mincho"/>
                <w:sz w:val="20"/>
                <w:lang w:eastAsia="ja-JP"/>
              </w:rPr>
            </w:pPr>
            <w:r>
              <w:rPr>
                <w:rFonts w:eastAsia="MS Mincho"/>
                <w:sz w:val="20"/>
                <w:lang w:eastAsia="ja-JP"/>
              </w:rPr>
              <w:t>33,0 (4,83)</w:t>
            </w:r>
          </w:p>
        </w:tc>
        <w:tc>
          <w:tcPr>
            <w:tcW w:w="1836" w:type="dxa"/>
            <w:tcBorders>
              <w:top w:val="single" w:sz="4" w:space="0" w:color="auto"/>
              <w:left w:val="single" w:sz="4" w:space="0" w:color="auto"/>
              <w:bottom w:val="single" w:sz="4" w:space="0" w:color="auto"/>
              <w:right w:val="single" w:sz="4" w:space="0" w:color="auto"/>
            </w:tcBorders>
            <w:vAlign w:val="bottom"/>
            <w:hideMark/>
          </w:tcPr>
          <w:p w:rsidR="00AB41BE" w:rsidRDefault="00AB41BE">
            <w:pPr>
              <w:widowControl w:val="0"/>
              <w:tabs>
                <w:tab w:val="left" w:pos="567"/>
              </w:tabs>
              <w:spacing w:line="260" w:lineRule="exact"/>
              <w:jc w:val="center"/>
              <w:rPr>
                <w:rFonts w:eastAsia="MS Mincho"/>
                <w:sz w:val="20"/>
                <w:lang w:eastAsia="ja-JP"/>
              </w:rPr>
            </w:pPr>
            <w:r>
              <w:rPr>
                <w:rFonts w:eastAsia="MS Mincho"/>
                <w:sz w:val="20"/>
                <w:lang w:eastAsia="ja-JP"/>
              </w:rPr>
              <w:t>306 (35,7)</w:t>
            </w:r>
          </w:p>
        </w:tc>
      </w:tr>
    </w:tbl>
    <w:p w:rsidR="00AB41BE" w:rsidRDefault="00AB41BE" w:rsidP="00AB41BE">
      <w:pPr>
        <w:keepNext/>
        <w:keepLines/>
        <w:ind w:left="851"/>
        <w:jc w:val="both"/>
        <w:rPr>
          <w:sz w:val="20"/>
        </w:rPr>
      </w:pPr>
      <w:r>
        <w:rPr>
          <w:sz w:val="20"/>
        </w:rPr>
        <w:t>a - Patienter med en legemsvægt &lt; 4 kg, der får 10 mg/kg hver 12 h som en infusion over 2 timer.</w:t>
      </w:r>
    </w:p>
    <w:p w:rsidR="00B62FF6" w:rsidRPr="00AD311F" w:rsidRDefault="00B62FF6" w:rsidP="00B62FF6">
      <w:pPr>
        <w:ind w:left="851"/>
        <w:rPr>
          <w:sz w:val="24"/>
          <w:szCs w:val="24"/>
        </w:rPr>
      </w:pPr>
    </w:p>
    <w:p w:rsidR="00B62FF6" w:rsidRPr="00AD311F" w:rsidRDefault="00B62FF6" w:rsidP="00B62FF6">
      <w:pPr>
        <w:ind w:left="851"/>
        <w:rPr>
          <w:i/>
          <w:iCs/>
          <w:sz w:val="24"/>
          <w:szCs w:val="24"/>
        </w:rPr>
      </w:pPr>
      <w:r w:rsidRPr="00AD311F">
        <w:rPr>
          <w:i/>
          <w:iCs/>
          <w:sz w:val="24"/>
          <w:szCs w:val="24"/>
        </w:rPr>
        <w:t>Køn</w:t>
      </w:r>
    </w:p>
    <w:p w:rsidR="00B62FF6" w:rsidRPr="00AD311F" w:rsidRDefault="00B62FF6" w:rsidP="00B62FF6">
      <w:pPr>
        <w:ind w:left="851"/>
        <w:rPr>
          <w:sz w:val="24"/>
          <w:szCs w:val="24"/>
        </w:rPr>
      </w:pPr>
      <w:r w:rsidRPr="00AD311F">
        <w:rPr>
          <w:sz w:val="24"/>
          <w:szCs w:val="24"/>
        </w:rPr>
        <w:t xml:space="preserve">Systemisk eksponering for </w:t>
      </w:r>
      <w:proofErr w:type="spellStart"/>
      <w:r w:rsidRPr="00AD311F">
        <w:rPr>
          <w:sz w:val="24"/>
          <w:szCs w:val="24"/>
        </w:rPr>
        <w:t>ceftobiprol</w:t>
      </w:r>
      <w:proofErr w:type="spellEnd"/>
      <w:r w:rsidRPr="00AD311F">
        <w:rPr>
          <w:sz w:val="24"/>
          <w:szCs w:val="24"/>
        </w:rPr>
        <w:t xml:space="preserve"> var højere hos voksne kvinder end hos voksne mænd (21 % for </w:t>
      </w:r>
      <w:proofErr w:type="spellStart"/>
      <w:r w:rsidRPr="00AD311F">
        <w:rPr>
          <w:sz w:val="24"/>
          <w:szCs w:val="24"/>
        </w:rPr>
        <w:t>C</w:t>
      </w:r>
      <w:r w:rsidRPr="00AD311F">
        <w:rPr>
          <w:sz w:val="24"/>
          <w:szCs w:val="24"/>
          <w:vertAlign w:val="subscript"/>
        </w:rPr>
        <w:t>max</w:t>
      </w:r>
      <w:proofErr w:type="spellEnd"/>
      <w:r w:rsidRPr="00AD311F">
        <w:rPr>
          <w:sz w:val="24"/>
          <w:szCs w:val="24"/>
        </w:rPr>
        <w:t xml:space="preserve"> og 15 % for AUC), men % T&gt;MIC var tilsvarende hos både mænd og kvinder. Justeringer af dosis baseret på køn betragtes derfor ikke som nødvendigt. </w:t>
      </w:r>
    </w:p>
    <w:p w:rsidR="00B62FF6" w:rsidRPr="00AD311F" w:rsidRDefault="00B62FF6" w:rsidP="00B62FF6">
      <w:pPr>
        <w:ind w:left="851"/>
        <w:rPr>
          <w:i/>
          <w:iCs/>
          <w:sz w:val="24"/>
          <w:szCs w:val="24"/>
        </w:rPr>
      </w:pPr>
    </w:p>
    <w:p w:rsidR="00B62FF6" w:rsidRPr="00AD311F" w:rsidRDefault="00B62FF6" w:rsidP="00B62FF6">
      <w:pPr>
        <w:ind w:left="851"/>
        <w:rPr>
          <w:i/>
          <w:iCs/>
          <w:sz w:val="24"/>
          <w:szCs w:val="24"/>
        </w:rPr>
      </w:pPr>
      <w:r w:rsidRPr="00AD311F">
        <w:rPr>
          <w:i/>
          <w:iCs/>
          <w:sz w:val="24"/>
          <w:szCs w:val="24"/>
        </w:rPr>
        <w:t>Race</w:t>
      </w:r>
    </w:p>
    <w:p w:rsidR="00B62FF6" w:rsidRDefault="00B62FF6" w:rsidP="00B62FF6">
      <w:pPr>
        <w:ind w:left="851"/>
        <w:rPr>
          <w:sz w:val="24"/>
          <w:szCs w:val="24"/>
        </w:rPr>
      </w:pPr>
      <w:proofErr w:type="spellStart"/>
      <w:r w:rsidRPr="00AD311F">
        <w:rPr>
          <w:sz w:val="24"/>
          <w:szCs w:val="24"/>
        </w:rPr>
        <w:t>Farmakokinetiske</w:t>
      </w:r>
      <w:proofErr w:type="spellEnd"/>
      <w:r w:rsidRPr="00AD311F">
        <w:rPr>
          <w:sz w:val="24"/>
          <w:szCs w:val="24"/>
        </w:rPr>
        <w:t xml:space="preserve"> populationsanalyser (herunder Hvide, Sorte og Andre grupper) og en dedikeret </w:t>
      </w:r>
      <w:proofErr w:type="spellStart"/>
      <w:r w:rsidRPr="00AD311F">
        <w:rPr>
          <w:sz w:val="24"/>
          <w:szCs w:val="24"/>
        </w:rPr>
        <w:t>farmakokinetisk</w:t>
      </w:r>
      <w:proofErr w:type="spellEnd"/>
      <w:r w:rsidRPr="00AD311F">
        <w:rPr>
          <w:sz w:val="24"/>
          <w:szCs w:val="24"/>
        </w:rPr>
        <w:t xml:space="preserve"> undersøgelse med raske japanske voksne viste ingen effekt af race på </w:t>
      </w:r>
      <w:proofErr w:type="spellStart"/>
      <w:r w:rsidRPr="00AD311F">
        <w:rPr>
          <w:sz w:val="24"/>
          <w:szCs w:val="24"/>
        </w:rPr>
        <w:t>ceftobiprols</w:t>
      </w:r>
      <w:proofErr w:type="spellEnd"/>
      <w:r w:rsidRPr="00AD311F">
        <w:rPr>
          <w:sz w:val="24"/>
          <w:szCs w:val="24"/>
        </w:rPr>
        <w:t xml:space="preserve"> farmakokinetik. Justeringer af dosis baseret på race betragtes derfor ikke som nødvendige. </w:t>
      </w:r>
    </w:p>
    <w:p w:rsidR="00AB41BE" w:rsidRDefault="00AB41BE" w:rsidP="00B62FF6">
      <w:pPr>
        <w:ind w:left="851"/>
        <w:rPr>
          <w:iCs/>
          <w:sz w:val="24"/>
          <w:szCs w:val="24"/>
        </w:rPr>
      </w:pPr>
    </w:p>
    <w:p w:rsidR="00AB41BE" w:rsidRDefault="00AB41BE" w:rsidP="00AB41BE">
      <w:pPr>
        <w:ind w:left="851"/>
        <w:rPr>
          <w:i/>
          <w:iCs/>
          <w:sz w:val="24"/>
          <w:szCs w:val="24"/>
        </w:rPr>
      </w:pPr>
      <w:r>
        <w:rPr>
          <w:i/>
          <w:iCs/>
          <w:sz w:val="24"/>
          <w:szCs w:val="24"/>
        </w:rPr>
        <w:t>Legemsvægt</w:t>
      </w:r>
    </w:p>
    <w:p w:rsidR="00AB41BE" w:rsidRPr="00AB41BE" w:rsidRDefault="00AB41BE" w:rsidP="00AB41BE">
      <w:pPr>
        <w:ind w:left="851"/>
        <w:rPr>
          <w:sz w:val="24"/>
          <w:szCs w:val="24"/>
        </w:rPr>
      </w:pPr>
      <w:r>
        <w:rPr>
          <w:sz w:val="24"/>
          <w:szCs w:val="24"/>
        </w:rPr>
        <w:t xml:space="preserve">Et forsøg blev udført med morbidt overvægtige forsøgspersoner. Ingen justeringer af dosis baseret på legemsvægt er nødvendige hos voksne populationer, men dosis skal justeres efter legemsvægten hos pædiatriske forsøgspersoner, der vejer mindre end 50 kg. </w:t>
      </w:r>
    </w:p>
    <w:p w:rsidR="00B62FF6" w:rsidRPr="00AD311F" w:rsidRDefault="00B62FF6" w:rsidP="00B62FF6">
      <w:pPr>
        <w:ind w:left="851"/>
        <w:rPr>
          <w:i/>
          <w:iCs/>
          <w:sz w:val="24"/>
          <w:szCs w:val="24"/>
        </w:rPr>
      </w:pPr>
    </w:p>
    <w:p w:rsidR="00E92CCD" w:rsidRPr="00553FC4" w:rsidRDefault="00E92CCD" w:rsidP="00E92CCD">
      <w:pPr>
        <w:ind w:left="851" w:hanging="851"/>
        <w:rPr>
          <w:b/>
          <w:sz w:val="24"/>
          <w:szCs w:val="24"/>
        </w:rPr>
      </w:pPr>
      <w:r w:rsidRPr="00553FC4">
        <w:rPr>
          <w:b/>
          <w:sz w:val="24"/>
          <w:szCs w:val="24"/>
        </w:rPr>
        <w:t>5.3</w:t>
      </w:r>
      <w:r w:rsidRPr="00553FC4">
        <w:rPr>
          <w:b/>
          <w:sz w:val="24"/>
          <w:szCs w:val="24"/>
        </w:rPr>
        <w:tab/>
        <w:t>Prækliniske sikkerhedsdata</w:t>
      </w:r>
    </w:p>
    <w:p w:rsidR="00E92CCD" w:rsidRPr="00553FC4" w:rsidRDefault="00E92CCD" w:rsidP="00E92CCD">
      <w:pPr>
        <w:ind w:left="851" w:hanging="851"/>
        <w:rPr>
          <w:sz w:val="24"/>
          <w:szCs w:val="24"/>
        </w:rPr>
      </w:pPr>
      <w:r>
        <w:rPr>
          <w:sz w:val="24"/>
          <w:szCs w:val="24"/>
        </w:rPr>
        <w:lastRenderedPageBreak/>
        <w:tab/>
      </w:r>
      <w:r w:rsidRPr="00553FC4">
        <w:rPr>
          <w:sz w:val="24"/>
          <w:szCs w:val="24"/>
        </w:rPr>
        <w:t xml:space="preserve">Reversibel nyretoksicitet i de </w:t>
      </w:r>
      <w:proofErr w:type="spellStart"/>
      <w:r w:rsidRPr="00553FC4">
        <w:rPr>
          <w:sz w:val="24"/>
          <w:szCs w:val="24"/>
        </w:rPr>
        <w:t>distale</w:t>
      </w:r>
      <w:proofErr w:type="spellEnd"/>
      <w:r w:rsidRPr="00553FC4">
        <w:rPr>
          <w:sz w:val="24"/>
          <w:szCs w:val="24"/>
        </w:rPr>
        <w:t xml:space="preserve"> </w:t>
      </w:r>
      <w:proofErr w:type="spellStart"/>
      <w:r w:rsidRPr="00553FC4">
        <w:rPr>
          <w:sz w:val="24"/>
          <w:szCs w:val="24"/>
        </w:rPr>
        <w:t>tubuli</w:t>
      </w:r>
      <w:proofErr w:type="spellEnd"/>
      <w:r w:rsidRPr="00553FC4">
        <w:rPr>
          <w:sz w:val="24"/>
          <w:szCs w:val="24"/>
        </w:rPr>
        <w:t xml:space="preserve"> pga. bundfældning af lægemiddellignende materiale blev kun set ved høje doser hos små dyr, såsom rotter og egernaber og efter indgivelse af </w:t>
      </w:r>
      <w:proofErr w:type="spellStart"/>
      <w:r w:rsidRPr="00553FC4">
        <w:rPr>
          <w:sz w:val="24"/>
          <w:szCs w:val="24"/>
        </w:rPr>
        <w:t>bolus</w:t>
      </w:r>
      <w:proofErr w:type="spellEnd"/>
      <w:r w:rsidRPr="00553FC4">
        <w:rPr>
          <w:sz w:val="24"/>
          <w:szCs w:val="24"/>
        </w:rPr>
        <w:t xml:space="preserve">. Fravær af nyretoksicitet blev set hos dyr ved urinkoncentrationer på op til 12 gange højere end dem, som blev set hos mennesker ved den terapeutiske dosis. Der blev set muskelsammentrækninger efter både enkelte og flere doser ved eksponeringer på seks gange den humane eksponering og derover, baseret på </w:t>
      </w:r>
      <w:proofErr w:type="spellStart"/>
      <w:r w:rsidRPr="00553FC4">
        <w:rPr>
          <w:sz w:val="24"/>
          <w:szCs w:val="24"/>
        </w:rPr>
        <w:t>C</w:t>
      </w:r>
      <w:r w:rsidRPr="00553FC4">
        <w:rPr>
          <w:sz w:val="24"/>
          <w:szCs w:val="24"/>
          <w:vertAlign w:val="subscript"/>
        </w:rPr>
        <w:t>max</w:t>
      </w:r>
      <w:proofErr w:type="spellEnd"/>
      <w:r w:rsidRPr="00553FC4">
        <w:rPr>
          <w:sz w:val="24"/>
          <w:szCs w:val="24"/>
        </w:rPr>
        <w:t>.</w:t>
      </w:r>
    </w:p>
    <w:p w:rsidR="00E92CCD" w:rsidRPr="00553FC4" w:rsidRDefault="00E92CCD" w:rsidP="00E92CCD">
      <w:pPr>
        <w:ind w:left="851" w:hanging="851"/>
        <w:rPr>
          <w:sz w:val="24"/>
          <w:szCs w:val="24"/>
        </w:rPr>
      </w:pPr>
    </w:p>
    <w:p w:rsidR="00E92CCD" w:rsidRPr="00553FC4" w:rsidRDefault="00E92CCD" w:rsidP="00E92CCD">
      <w:pPr>
        <w:ind w:left="851" w:hanging="851"/>
        <w:rPr>
          <w:sz w:val="24"/>
          <w:szCs w:val="24"/>
        </w:rPr>
      </w:pPr>
      <w:r>
        <w:rPr>
          <w:sz w:val="24"/>
          <w:szCs w:val="24"/>
        </w:rPr>
        <w:tab/>
      </w:r>
      <w:r w:rsidRPr="00553FC4">
        <w:rPr>
          <w:sz w:val="24"/>
          <w:szCs w:val="24"/>
        </w:rPr>
        <w:t xml:space="preserve">Irritation på infusionsstedet, der resulterer i </w:t>
      </w:r>
      <w:proofErr w:type="spellStart"/>
      <w:r w:rsidRPr="00553FC4">
        <w:rPr>
          <w:sz w:val="24"/>
          <w:szCs w:val="24"/>
        </w:rPr>
        <w:t>trombedannelse</w:t>
      </w:r>
      <w:proofErr w:type="spellEnd"/>
      <w:r w:rsidRPr="00553FC4">
        <w:rPr>
          <w:sz w:val="24"/>
          <w:szCs w:val="24"/>
        </w:rPr>
        <w:t xml:space="preserve">, blev set hos små dyr (rotter og egernaber), men ikke hos hunde. I et præ- og </w:t>
      </w:r>
      <w:proofErr w:type="spellStart"/>
      <w:r w:rsidRPr="00553FC4">
        <w:rPr>
          <w:sz w:val="24"/>
          <w:szCs w:val="24"/>
        </w:rPr>
        <w:t>postnatalt</w:t>
      </w:r>
      <w:proofErr w:type="spellEnd"/>
      <w:r w:rsidRPr="00553FC4">
        <w:rPr>
          <w:sz w:val="24"/>
          <w:szCs w:val="24"/>
        </w:rPr>
        <w:t xml:space="preserve"> udviklingsforsøg med rotter, var kuldstørrelsen og overlevelsen op til 4 dage efter fødslen reduceret ved doser, som var toksiske for moderen. Relevansen af alle disse fund for mennesker kendes ikke. </w:t>
      </w:r>
    </w:p>
    <w:p w:rsidR="00E92CCD" w:rsidRDefault="00E92CCD" w:rsidP="00E92CCD">
      <w:pPr>
        <w:ind w:left="851" w:hanging="851"/>
        <w:rPr>
          <w:sz w:val="24"/>
          <w:szCs w:val="24"/>
        </w:rPr>
      </w:pP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6.</w:t>
      </w:r>
      <w:r w:rsidRPr="00553FC4">
        <w:rPr>
          <w:b/>
          <w:sz w:val="24"/>
          <w:szCs w:val="24"/>
        </w:rPr>
        <w:tab/>
        <w:t>FARMACEUTISKE OPLYSNINGER</w:t>
      </w:r>
    </w:p>
    <w:p w:rsidR="00E92CCD" w:rsidRPr="00553FC4" w:rsidRDefault="00E92CCD" w:rsidP="00E92CCD">
      <w:pPr>
        <w:ind w:left="851" w:hanging="851"/>
        <w:rPr>
          <w:b/>
          <w:sz w:val="24"/>
          <w:szCs w:val="24"/>
        </w:rPr>
      </w:pPr>
    </w:p>
    <w:p w:rsidR="00E92CCD" w:rsidRPr="00553FC4" w:rsidRDefault="00E92CCD" w:rsidP="00E92CCD">
      <w:pPr>
        <w:ind w:left="851" w:hanging="851"/>
        <w:rPr>
          <w:b/>
          <w:sz w:val="24"/>
          <w:szCs w:val="24"/>
        </w:rPr>
      </w:pPr>
      <w:r w:rsidRPr="00553FC4">
        <w:rPr>
          <w:b/>
          <w:sz w:val="24"/>
          <w:szCs w:val="24"/>
        </w:rPr>
        <w:t>6.1</w:t>
      </w:r>
      <w:r w:rsidRPr="00553FC4">
        <w:rPr>
          <w:b/>
          <w:sz w:val="24"/>
          <w:szCs w:val="24"/>
        </w:rPr>
        <w:tab/>
        <w:t>Hjælpestoffer</w:t>
      </w:r>
    </w:p>
    <w:p w:rsidR="00E92CCD" w:rsidRPr="00553FC4" w:rsidRDefault="00E92CCD" w:rsidP="00E92CCD">
      <w:pPr>
        <w:ind w:left="851" w:hanging="851"/>
        <w:rPr>
          <w:sz w:val="24"/>
          <w:szCs w:val="24"/>
        </w:rPr>
      </w:pPr>
      <w:r w:rsidRPr="00553FC4">
        <w:rPr>
          <w:sz w:val="24"/>
          <w:szCs w:val="24"/>
        </w:rPr>
        <w:tab/>
        <w:t>Citronsyremonohydrat</w:t>
      </w:r>
    </w:p>
    <w:p w:rsidR="00E92CCD" w:rsidRPr="00553FC4" w:rsidRDefault="00E92CCD" w:rsidP="00E92CCD">
      <w:pPr>
        <w:ind w:left="851" w:hanging="851"/>
        <w:rPr>
          <w:sz w:val="24"/>
          <w:szCs w:val="24"/>
        </w:rPr>
      </w:pPr>
      <w:r>
        <w:rPr>
          <w:sz w:val="24"/>
          <w:szCs w:val="24"/>
        </w:rPr>
        <w:tab/>
      </w:r>
      <w:r w:rsidRPr="00553FC4">
        <w:rPr>
          <w:sz w:val="24"/>
          <w:szCs w:val="24"/>
        </w:rPr>
        <w:t>Natriumhydroxid</w:t>
      </w: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6.2</w:t>
      </w:r>
      <w:r w:rsidRPr="00553FC4">
        <w:rPr>
          <w:b/>
          <w:sz w:val="24"/>
          <w:szCs w:val="24"/>
        </w:rPr>
        <w:tab/>
        <w:t>Uforligeligheder</w:t>
      </w:r>
    </w:p>
    <w:p w:rsidR="00E92CCD" w:rsidRPr="00553FC4" w:rsidRDefault="00E92CCD" w:rsidP="00E92CCD">
      <w:pPr>
        <w:ind w:left="851" w:hanging="851"/>
        <w:rPr>
          <w:sz w:val="24"/>
          <w:szCs w:val="24"/>
        </w:rPr>
      </w:pPr>
      <w:r w:rsidRPr="00553FC4">
        <w:rPr>
          <w:sz w:val="24"/>
          <w:szCs w:val="24"/>
        </w:rPr>
        <w:tab/>
        <w:t xml:space="preserve">Dette lægemiddel må ikke blandes med andre medicinske produkter end dem, der er anført under pkt. 6.6. </w:t>
      </w:r>
    </w:p>
    <w:p w:rsidR="00E92CCD" w:rsidRPr="00553FC4" w:rsidRDefault="00E92CCD" w:rsidP="00E92CCD">
      <w:pPr>
        <w:ind w:left="851" w:hanging="851"/>
        <w:rPr>
          <w:sz w:val="24"/>
          <w:szCs w:val="24"/>
        </w:rPr>
      </w:pPr>
    </w:p>
    <w:p w:rsidR="00E92CCD" w:rsidRPr="00553FC4" w:rsidRDefault="00E92CCD" w:rsidP="00E92CCD">
      <w:pPr>
        <w:ind w:left="851" w:hanging="851"/>
        <w:rPr>
          <w:sz w:val="24"/>
          <w:szCs w:val="24"/>
        </w:rPr>
      </w:pPr>
      <w:r>
        <w:rPr>
          <w:sz w:val="24"/>
          <w:szCs w:val="24"/>
        </w:rPr>
        <w:tab/>
      </w:r>
      <w:r w:rsidRPr="00553FC4">
        <w:rPr>
          <w:sz w:val="24"/>
          <w:szCs w:val="24"/>
        </w:rPr>
        <w:t>Lægemidlet må ikke blandes eller indgives samtidig med opløsninger indeholdende calcium (</w:t>
      </w:r>
      <w:r w:rsidRPr="00553FC4">
        <w:rPr>
          <w:bCs/>
          <w:sz w:val="24"/>
          <w:szCs w:val="24"/>
        </w:rPr>
        <w:t>med undtagelse af Ringers laktat-injektionsvæske</w:t>
      </w:r>
      <w:r w:rsidRPr="00553FC4">
        <w:rPr>
          <w:sz w:val="24"/>
          <w:szCs w:val="24"/>
        </w:rPr>
        <w:t>). Se pkt. 4.2, 4.4, 6.6.</w:t>
      </w:r>
    </w:p>
    <w:p w:rsidR="00E92CCD" w:rsidRPr="00553FC4" w:rsidRDefault="00E92CCD" w:rsidP="00E92CCD">
      <w:pPr>
        <w:ind w:left="851" w:hanging="851"/>
        <w:rPr>
          <w:sz w:val="24"/>
          <w:szCs w:val="24"/>
        </w:rPr>
      </w:pPr>
    </w:p>
    <w:p w:rsidR="00AB41BE" w:rsidRDefault="00E92CCD" w:rsidP="00AB41BE">
      <w:pPr>
        <w:ind w:left="851" w:hanging="851"/>
        <w:rPr>
          <w:sz w:val="24"/>
          <w:szCs w:val="24"/>
        </w:rPr>
      </w:pPr>
      <w:r>
        <w:rPr>
          <w:sz w:val="24"/>
          <w:szCs w:val="24"/>
        </w:rPr>
        <w:tab/>
      </w:r>
      <w:r w:rsidR="00AB41BE">
        <w:rPr>
          <w:sz w:val="24"/>
          <w:szCs w:val="24"/>
        </w:rPr>
        <w:t xml:space="preserve">Lægemidlet må ikke indgives samtidig via et sidedrop med trevejshane med: </w:t>
      </w:r>
    </w:p>
    <w:p w:rsidR="00AB41BE" w:rsidRDefault="00AB41BE" w:rsidP="00AB41BE">
      <w:pPr>
        <w:ind w:left="851" w:hanging="851"/>
        <w:rPr>
          <w:sz w:val="24"/>
          <w:szCs w:val="24"/>
          <w:lang w:val="en-US"/>
        </w:rPr>
      </w:pPr>
      <w:r>
        <w:rPr>
          <w:sz w:val="24"/>
          <w:szCs w:val="24"/>
        </w:rPr>
        <w:tab/>
      </w:r>
      <w:proofErr w:type="spellStart"/>
      <w:r>
        <w:rPr>
          <w:sz w:val="24"/>
          <w:szCs w:val="24"/>
          <w:lang w:val="en-US"/>
        </w:rPr>
        <w:t>acyclovirnatrium</w:t>
      </w:r>
      <w:proofErr w:type="spellEnd"/>
      <w:r>
        <w:rPr>
          <w:sz w:val="24"/>
          <w:szCs w:val="24"/>
          <w:lang w:val="en-US"/>
        </w:rPr>
        <w:t xml:space="preserve">, </w:t>
      </w:r>
      <w:proofErr w:type="spellStart"/>
      <w:r>
        <w:rPr>
          <w:sz w:val="24"/>
          <w:szCs w:val="24"/>
          <w:lang w:val="en-US"/>
        </w:rPr>
        <w:t>amikacinsulfat</w:t>
      </w:r>
      <w:proofErr w:type="spellEnd"/>
      <w:r>
        <w:rPr>
          <w:sz w:val="24"/>
          <w:szCs w:val="24"/>
          <w:lang w:val="en-US"/>
        </w:rPr>
        <w:t xml:space="preserve">, </w:t>
      </w:r>
      <w:proofErr w:type="spellStart"/>
      <w:r>
        <w:rPr>
          <w:sz w:val="24"/>
          <w:szCs w:val="24"/>
          <w:lang w:val="en-US"/>
        </w:rPr>
        <w:t>amiodaronhydrochlorid</w:t>
      </w:r>
      <w:proofErr w:type="spellEnd"/>
      <w:r>
        <w:rPr>
          <w:sz w:val="24"/>
          <w:szCs w:val="24"/>
          <w:lang w:val="en-US"/>
        </w:rPr>
        <w:t>, amphotericin B (</w:t>
      </w:r>
      <w:proofErr w:type="spellStart"/>
      <w:r>
        <w:rPr>
          <w:sz w:val="24"/>
          <w:szCs w:val="24"/>
          <w:lang w:val="en-US"/>
        </w:rPr>
        <w:t>kolloid</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calciumgluconat</w:t>
      </w:r>
      <w:proofErr w:type="spellEnd"/>
      <w:r>
        <w:rPr>
          <w:sz w:val="24"/>
          <w:szCs w:val="24"/>
          <w:lang w:val="en-US"/>
        </w:rPr>
        <w:t xml:space="preserve">, </w:t>
      </w:r>
      <w:proofErr w:type="spellStart"/>
      <w:r>
        <w:rPr>
          <w:sz w:val="24"/>
          <w:szCs w:val="24"/>
          <w:lang w:val="en-US"/>
        </w:rPr>
        <w:t>caspofunginacetat</w:t>
      </w:r>
      <w:proofErr w:type="spellEnd"/>
      <w:r>
        <w:rPr>
          <w:sz w:val="24"/>
          <w:szCs w:val="24"/>
          <w:lang w:val="en-US"/>
        </w:rPr>
        <w:t xml:space="preserve">, ciprofloxacin, </w:t>
      </w:r>
      <w:proofErr w:type="spellStart"/>
      <w:r>
        <w:rPr>
          <w:sz w:val="24"/>
          <w:szCs w:val="24"/>
          <w:lang w:val="en-US"/>
        </w:rPr>
        <w:t>cisatracuriumbesylat</w:t>
      </w:r>
      <w:proofErr w:type="spellEnd"/>
      <w:r>
        <w:rPr>
          <w:sz w:val="24"/>
          <w:szCs w:val="24"/>
          <w:lang w:val="en-US"/>
        </w:rPr>
        <w:t xml:space="preserve">, </w:t>
      </w:r>
    </w:p>
    <w:p w:rsidR="00AB41BE" w:rsidRDefault="00AB41BE" w:rsidP="00AB41BE">
      <w:pPr>
        <w:ind w:left="851"/>
        <w:rPr>
          <w:sz w:val="24"/>
          <w:szCs w:val="24"/>
          <w:lang w:val="en-US"/>
        </w:rPr>
      </w:pPr>
      <w:r>
        <w:rPr>
          <w:sz w:val="24"/>
          <w:szCs w:val="24"/>
          <w:lang w:val="en-US"/>
        </w:rPr>
        <w:t xml:space="preserve">diazepam, </w:t>
      </w:r>
      <w:proofErr w:type="spellStart"/>
      <w:r>
        <w:rPr>
          <w:sz w:val="24"/>
          <w:szCs w:val="24"/>
          <w:lang w:val="en-US"/>
        </w:rPr>
        <w:t>diltiazemhydrochlorid</w:t>
      </w:r>
      <w:proofErr w:type="spellEnd"/>
      <w:r>
        <w:rPr>
          <w:sz w:val="24"/>
          <w:szCs w:val="24"/>
          <w:lang w:val="en-US"/>
        </w:rPr>
        <w:t xml:space="preserve">, </w:t>
      </w:r>
      <w:proofErr w:type="spellStart"/>
      <w:r>
        <w:rPr>
          <w:sz w:val="24"/>
          <w:szCs w:val="24"/>
          <w:lang w:val="en-US"/>
        </w:rPr>
        <w:t>diphenhydraminhydrochlorid</w:t>
      </w:r>
      <w:proofErr w:type="spellEnd"/>
      <w:r>
        <w:rPr>
          <w:sz w:val="24"/>
          <w:szCs w:val="24"/>
          <w:lang w:val="en-US"/>
        </w:rPr>
        <w:t xml:space="preserve">, </w:t>
      </w:r>
      <w:proofErr w:type="spellStart"/>
      <w:r>
        <w:rPr>
          <w:sz w:val="24"/>
          <w:szCs w:val="24"/>
          <w:lang w:val="en-US"/>
        </w:rPr>
        <w:t>dobutaminhydrochlorid</w:t>
      </w:r>
      <w:proofErr w:type="spellEnd"/>
      <w:r>
        <w:rPr>
          <w:sz w:val="24"/>
          <w:szCs w:val="24"/>
          <w:lang w:val="en-US"/>
        </w:rPr>
        <w:t xml:space="preserve">, </w:t>
      </w:r>
      <w:proofErr w:type="spellStart"/>
      <w:r>
        <w:rPr>
          <w:sz w:val="24"/>
          <w:szCs w:val="24"/>
          <w:lang w:val="en-US"/>
        </w:rPr>
        <w:t>dopaminhydrochlorid</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esomeprazolnatrium</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famotidin</w:t>
      </w:r>
      <w:proofErr w:type="spellEnd"/>
      <w:r>
        <w:rPr>
          <w:sz w:val="24"/>
          <w:szCs w:val="24"/>
          <w:lang w:val="en-US"/>
        </w:rPr>
        <w:t xml:space="preserve">, filgrastim, </w:t>
      </w:r>
    </w:p>
    <w:p w:rsidR="00AB41BE" w:rsidRDefault="00AB41BE" w:rsidP="00AB41BE">
      <w:pPr>
        <w:ind w:left="851"/>
        <w:rPr>
          <w:sz w:val="24"/>
          <w:szCs w:val="24"/>
          <w:lang w:val="en-US"/>
        </w:rPr>
      </w:pPr>
      <w:proofErr w:type="spellStart"/>
      <w:r>
        <w:rPr>
          <w:sz w:val="24"/>
          <w:szCs w:val="24"/>
          <w:lang w:val="en-US"/>
        </w:rPr>
        <w:t>gentamicinsulfat</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haloperidollaktat</w:t>
      </w:r>
      <w:proofErr w:type="spellEnd"/>
      <w:r>
        <w:rPr>
          <w:sz w:val="24"/>
          <w:szCs w:val="24"/>
          <w:lang w:val="en-US"/>
        </w:rPr>
        <w:t xml:space="preserve">, </w:t>
      </w:r>
      <w:proofErr w:type="spellStart"/>
      <w:r>
        <w:rPr>
          <w:sz w:val="24"/>
          <w:szCs w:val="24"/>
          <w:lang w:val="en-US"/>
        </w:rPr>
        <w:t>hydromorfonhydrochlorid</w:t>
      </w:r>
      <w:proofErr w:type="spellEnd"/>
      <w:r>
        <w:rPr>
          <w:sz w:val="24"/>
          <w:szCs w:val="24"/>
          <w:lang w:val="en-US"/>
        </w:rPr>
        <w:t xml:space="preserve">, </w:t>
      </w:r>
      <w:proofErr w:type="spellStart"/>
      <w:r>
        <w:rPr>
          <w:sz w:val="24"/>
          <w:szCs w:val="24"/>
          <w:lang w:val="en-US"/>
        </w:rPr>
        <w:t>hydroxyzinhydrochlorid</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almindelig</w:t>
      </w:r>
      <w:proofErr w:type="spellEnd"/>
      <w:r>
        <w:rPr>
          <w:sz w:val="24"/>
          <w:szCs w:val="24"/>
          <w:lang w:val="en-US"/>
        </w:rPr>
        <w:t xml:space="preserve"> human insulin, lispro insulin, </w:t>
      </w:r>
    </w:p>
    <w:p w:rsidR="00AB41BE" w:rsidRDefault="00AB41BE" w:rsidP="00AB41BE">
      <w:pPr>
        <w:ind w:left="851"/>
        <w:rPr>
          <w:sz w:val="24"/>
          <w:szCs w:val="24"/>
          <w:lang w:val="en-US"/>
        </w:rPr>
      </w:pPr>
      <w:proofErr w:type="spellStart"/>
      <w:r>
        <w:rPr>
          <w:sz w:val="24"/>
          <w:szCs w:val="24"/>
          <w:lang w:val="en-US"/>
        </w:rPr>
        <w:t>labetalolhydrochlorid</w:t>
      </w:r>
      <w:proofErr w:type="spellEnd"/>
      <w:r>
        <w:rPr>
          <w:sz w:val="24"/>
          <w:szCs w:val="24"/>
          <w:lang w:val="en-US"/>
        </w:rPr>
        <w:t xml:space="preserve">, levofloxacin, </w:t>
      </w:r>
      <w:proofErr w:type="spellStart"/>
      <w:r>
        <w:rPr>
          <w:sz w:val="24"/>
          <w:szCs w:val="24"/>
          <w:lang w:val="en-US"/>
        </w:rPr>
        <w:t>lidocainhydrochlorid</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magnesiumsulfat</w:t>
      </w:r>
      <w:proofErr w:type="spellEnd"/>
      <w:r>
        <w:rPr>
          <w:sz w:val="24"/>
          <w:szCs w:val="24"/>
          <w:lang w:val="en-US"/>
        </w:rPr>
        <w:t xml:space="preserve">, </w:t>
      </w:r>
      <w:proofErr w:type="spellStart"/>
      <w:r>
        <w:rPr>
          <w:sz w:val="24"/>
          <w:szCs w:val="24"/>
          <w:lang w:val="en-US"/>
        </w:rPr>
        <w:t>meperidinhydrochlorid</w:t>
      </w:r>
      <w:proofErr w:type="spellEnd"/>
      <w:r>
        <w:rPr>
          <w:sz w:val="24"/>
          <w:szCs w:val="24"/>
          <w:lang w:val="en-US"/>
        </w:rPr>
        <w:t xml:space="preserve">, </w:t>
      </w:r>
      <w:proofErr w:type="spellStart"/>
      <w:r>
        <w:rPr>
          <w:sz w:val="24"/>
          <w:szCs w:val="24"/>
          <w:lang w:val="en-US"/>
        </w:rPr>
        <w:t>metoklopramidhydrochlorid</w:t>
      </w:r>
      <w:proofErr w:type="spellEnd"/>
      <w:r>
        <w:rPr>
          <w:sz w:val="24"/>
          <w:szCs w:val="24"/>
          <w:lang w:val="en-US"/>
        </w:rPr>
        <w:t xml:space="preserve">, </w:t>
      </w:r>
      <w:proofErr w:type="spellStart"/>
      <w:r>
        <w:rPr>
          <w:sz w:val="24"/>
          <w:szCs w:val="24"/>
          <w:lang w:val="en-US"/>
        </w:rPr>
        <w:t>midazolamhydrochlorid</w:t>
      </w:r>
      <w:proofErr w:type="spellEnd"/>
      <w:r>
        <w:rPr>
          <w:sz w:val="24"/>
          <w:szCs w:val="24"/>
          <w:lang w:val="en-US"/>
        </w:rPr>
        <w:t xml:space="preserve">, </w:t>
      </w:r>
      <w:proofErr w:type="spellStart"/>
      <w:r>
        <w:rPr>
          <w:sz w:val="24"/>
          <w:szCs w:val="24"/>
          <w:lang w:val="en-US"/>
        </w:rPr>
        <w:t>milrinonlaktat</w:t>
      </w:r>
      <w:proofErr w:type="spellEnd"/>
      <w:r>
        <w:rPr>
          <w:sz w:val="24"/>
          <w:szCs w:val="24"/>
          <w:lang w:val="en-US"/>
        </w:rPr>
        <w:t xml:space="preserve">, </w:t>
      </w:r>
      <w:proofErr w:type="spellStart"/>
      <w:r>
        <w:rPr>
          <w:sz w:val="24"/>
          <w:szCs w:val="24"/>
          <w:lang w:val="en-US"/>
        </w:rPr>
        <w:t>morfinsulfat</w:t>
      </w:r>
      <w:proofErr w:type="spellEnd"/>
      <w:r>
        <w:rPr>
          <w:sz w:val="24"/>
          <w:szCs w:val="24"/>
          <w:lang w:val="en-US"/>
        </w:rPr>
        <w:t xml:space="preserve">, </w:t>
      </w:r>
      <w:proofErr w:type="spellStart"/>
      <w:r>
        <w:rPr>
          <w:sz w:val="24"/>
          <w:szCs w:val="24"/>
          <w:lang w:val="en-US"/>
        </w:rPr>
        <w:t>moxifloxacinhydrochlorid</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ondansetronhydrochlorid</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pantoprazolnatrium</w:t>
      </w:r>
      <w:proofErr w:type="spellEnd"/>
      <w:r>
        <w:rPr>
          <w:sz w:val="24"/>
          <w:szCs w:val="24"/>
          <w:lang w:val="en-US"/>
        </w:rPr>
        <w:t xml:space="preserve">, </w:t>
      </w:r>
      <w:proofErr w:type="spellStart"/>
      <w:r>
        <w:rPr>
          <w:sz w:val="24"/>
          <w:szCs w:val="24"/>
          <w:lang w:val="en-US"/>
        </w:rPr>
        <w:t>kaliumfosfater</w:t>
      </w:r>
      <w:proofErr w:type="spellEnd"/>
      <w:r>
        <w:rPr>
          <w:sz w:val="24"/>
          <w:szCs w:val="24"/>
          <w:lang w:val="en-US"/>
        </w:rPr>
        <w:t xml:space="preserve">, </w:t>
      </w:r>
      <w:proofErr w:type="spellStart"/>
      <w:r>
        <w:rPr>
          <w:sz w:val="24"/>
          <w:szCs w:val="24"/>
          <w:lang w:val="en-US"/>
        </w:rPr>
        <w:t>promethazinhydrochlorid</w:t>
      </w:r>
      <w:proofErr w:type="spellEnd"/>
      <w:r>
        <w:rPr>
          <w:sz w:val="24"/>
          <w:szCs w:val="24"/>
          <w:lang w:val="en-US"/>
        </w:rPr>
        <w:t xml:space="preserve">, </w:t>
      </w:r>
    </w:p>
    <w:p w:rsidR="00AB41BE" w:rsidRDefault="00AB41BE" w:rsidP="00AB41BE">
      <w:pPr>
        <w:ind w:left="851"/>
        <w:rPr>
          <w:sz w:val="24"/>
          <w:szCs w:val="24"/>
          <w:lang w:val="en-US"/>
        </w:rPr>
      </w:pPr>
      <w:proofErr w:type="spellStart"/>
      <w:r>
        <w:rPr>
          <w:sz w:val="24"/>
          <w:szCs w:val="24"/>
          <w:lang w:val="en-US"/>
        </w:rPr>
        <w:t>remifentanilhydrochlorid</w:t>
      </w:r>
      <w:proofErr w:type="spellEnd"/>
      <w:r>
        <w:rPr>
          <w:sz w:val="24"/>
          <w:szCs w:val="24"/>
          <w:lang w:val="en-US"/>
        </w:rPr>
        <w:t xml:space="preserve">, </w:t>
      </w:r>
    </w:p>
    <w:p w:rsidR="00AB41BE" w:rsidRDefault="00AB41BE" w:rsidP="00AB41BE">
      <w:pPr>
        <w:ind w:left="851"/>
        <w:rPr>
          <w:sz w:val="24"/>
          <w:szCs w:val="24"/>
        </w:rPr>
      </w:pPr>
      <w:r>
        <w:rPr>
          <w:sz w:val="24"/>
          <w:szCs w:val="24"/>
        </w:rPr>
        <w:t xml:space="preserve">natriumfosfater, </w:t>
      </w:r>
    </w:p>
    <w:p w:rsidR="00AB41BE" w:rsidRDefault="00AB41BE" w:rsidP="00AB41BE">
      <w:pPr>
        <w:ind w:left="851"/>
        <w:rPr>
          <w:sz w:val="24"/>
          <w:szCs w:val="24"/>
        </w:rPr>
      </w:pPr>
      <w:proofErr w:type="spellStart"/>
      <w:r>
        <w:rPr>
          <w:sz w:val="24"/>
          <w:szCs w:val="24"/>
        </w:rPr>
        <w:t>tobramycinsulfat</w:t>
      </w:r>
      <w:proofErr w:type="spellEnd"/>
      <w:r>
        <w:rPr>
          <w:sz w:val="24"/>
          <w:szCs w:val="24"/>
        </w:rPr>
        <w:t>.</w:t>
      </w:r>
    </w:p>
    <w:p w:rsidR="00E92CCD" w:rsidRPr="00553FC4" w:rsidRDefault="00E92CCD" w:rsidP="00AB41BE">
      <w:pPr>
        <w:ind w:left="851" w:hanging="851"/>
        <w:rPr>
          <w:sz w:val="24"/>
          <w:szCs w:val="24"/>
        </w:rPr>
      </w:pPr>
    </w:p>
    <w:p w:rsidR="00E92CCD" w:rsidRPr="00553FC4" w:rsidRDefault="00E92CCD" w:rsidP="00E92CCD">
      <w:pPr>
        <w:ind w:left="851" w:hanging="851"/>
        <w:rPr>
          <w:b/>
          <w:sz w:val="24"/>
          <w:szCs w:val="24"/>
        </w:rPr>
      </w:pPr>
      <w:r w:rsidRPr="00553FC4">
        <w:rPr>
          <w:b/>
          <w:sz w:val="24"/>
          <w:szCs w:val="24"/>
        </w:rPr>
        <w:t>6.3</w:t>
      </w:r>
      <w:r w:rsidRPr="00553FC4">
        <w:rPr>
          <w:b/>
          <w:sz w:val="24"/>
          <w:szCs w:val="24"/>
        </w:rPr>
        <w:tab/>
        <w:t>Opbevaringstid</w:t>
      </w:r>
    </w:p>
    <w:p w:rsidR="00E92CCD" w:rsidRPr="00553FC4" w:rsidRDefault="00E92CCD" w:rsidP="00E92CCD">
      <w:pPr>
        <w:ind w:left="851" w:hanging="851"/>
        <w:rPr>
          <w:sz w:val="24"/>
          <w:szCs w:val="24"/>
          <w:u w:val="single"/>
        </w:rPr>
      </w:pPr>
      <w:r w:rsidRPr="00553FC4">
        <w:rPr>
          <w:sz w:val="24"/>
          <w:szCs w:val="24"/>
        </w:rPr>
        <w:tab/>
      </w:r>
      <w:r w:rsidRPr="00553FC4">
        <w:rPr>
          <w:sz w:val="24"/>
          <w:szCs w:val="24"/>
          <w:u w:val="single"/>
        </w:rPr>
        <w:t>Hætteglas med pulver</w:t>
      </w:r>
    </w:p>
    <w:p w:rsidR="00E92CCD" w:rsidRPr="00553FC4" w:rsidRDefault="00E92CCD" w:rsidP="00E92CCD">
      <w:pPr>
        <w:ind w:left="851" w:hanging="851"/>
        <w:rPr>
          <w:sz w:val="24"/>
          <w:szCs w:val="24"/>
        </w:rPr>
      </w:pPr>
      <w:r>
        <w:rPr>
          <w:sz w:val="24"/>
          <w:szCs w:val="24"/>
        </w:rPr>
        <w:tab/>
        <w:t>4</w:t>
      </w:r>
      <w:r w:rsidRPr="00553FC4">
        <w:rPr>
          <w:sz w:val="24"/>
          <w:szCs w:val="24"/>
        </w:rPr>
        <w:t xml:space="preserve"> år</w:t>
      </w:r>
    </w:p>
    <w:p w:rsidR="00E92CCD" w:rsidRPr="00553FC4" w:rsidRDefault="00E92CCD" w:rsidP="00E92CCD">
      <w:pPr>
        <w:ind w:left="851" w:hanging="851"/>
        <w:rPr>
          <w:sz w:val="24"/>
          <w:szCs w:val="24"/>
        </w:rPr>
      </w:pPr>
    </w:p>
    <w:p w:rsidR="00E92CCD" w:rsidRPr="00553FC4" w:rsidRDefault="00E92CCD" w:rsidP="00E92CCD">
      <w:pPr>
        <w:ind w:left="851"/>
        <w:rPr>
          <w:sz w:val="24"/>
          <w:szCs w:val="24"/>
          <w:u w:val="single"/>
        </w:rPr>
      </w:pPr>
      <w:r w:rsidRPr="00553FC4">
        <w:rPr>
          <w:sz w:val="24"/>
          <w:szCs w:val="24"/>
          <w:u w:val="single"/>
        </w:rPr>
        <w:t xml:space="preserve">Efter </w:t>
      </w:r>
      <w:proofErr w:type="spellStart"/>
      <w:r w:rsidRPr="00553FC4">
        <w:rPr>
          <w:sz w:val="24"/>
          <w:szCs w:val="24"/>
          <w:u w:val="single"/>
        </w:rPr>
        <w:t>rekonstitution</w:t>
      </w:r>
      <w:proofErr w:type="spellEnd"/>
    </w:p>
    <w:p w:rsidR="00E92CCD" w:rsidRPr="00553FC4" w:rsidRDefault="00E92CCD" w:rsidP="00E92CCD">
      <w:pPr>
        <w:ind w:left="851"/>
        <w:rPr>
          <w:sz w:val="24"/>
          <w:szCs w:val="24"/>
        </w:rPr>
      </w:pPr>
      <w:bookmarkStart w:id="13" w:name="OLE_LINK10"/>
      <w:r w:rsidRPr="00553FC4">
        <w:rPr>
          <w:sz w:val="24"/>
          <w:szCs w:val="24"/>
        </w:rPr>
        <w:lastRenderedPageBreak/>
        <w:t xml:space="preserve">Kemisk og fysisk stabilitet under brug af den </w:t>
      </w:r>
      <w:proofErr w:type="spellStart"/>
      <w:r w:rsidRPr="00553FC4">
        <w:rPr>
          <w:b/>
          <w:bCs/>
          <w:sz w:val="24"/>
          <w:szCs w:val="24"/>
        </w:rPr>
        <w:t>rekonstituerede</w:t>
      </w:r>
      <w:proofErr w:type="spellEnd"/>
      <w:r w:rsidRPr="00553FC4">
        <w:rPr>
          <w:b/>
          <w:bCs/>
          <w:sz w:val="24"/>
          <w:szCs w:val="24"/>
        </w:rPr>
        <w:t xml:space="preserve"> opløsning</w:t>
      </w:r>
      <w:r w:rsidRPr="00553FC4">
        <w:rPr>
          <w:sz w:val="24"/>
          <w:szCs w:val="24"/>
        </w:rPr>
        <w:t xml:space="preserve"> (</w:t>
      </w:r>
      <w:r>
        <w:rPr>
          <w:sz w:val="24"/>
          <w:szCs w:val="24"/>
        </w:rPr>
        <w:t>50</w:t>
      </w:r>
      <w:r w:rsidRPr="00553FC4">
        <w:rPr>
          <w:sz w:val="24"/>
          <w:szCs w:val="24"/>
        </w:rPr>
        <w:t xml:space="preserve"> mg/ml) er blevet påvist i 1 time ved 25 °C og i op til 24 timer ved 2 </w:t>
      </w:r>
      <w:r w:rsidRPr="00553FC4">
        <w:rPr>
          <w:sz w:val="24"/>
          <w:szCs w:val="24"/>
        </w:rPr>
        <w:sym w:font="Symbol" w:char="00B0"/>
      </w:r>
      <w:r w:rsidRPr="00553FC4">
        <w:rPr>
          <w:sz w:val="24"/>
          <w:szCs w:val="24"/>
        </w:rPr>
        <w:t xml:space="preserve">C–8 </w:t>
      </w:r>
      <w:r w:rsidRPr="00553FC4">
        <w:rPr>
          <w:sz w:val="24"/>
          <w:szCs w:val="24"/>
        </w:rPr>
        <w:sym w:font="Symbol" w:char="00B0"/>
      </w:r>
      <w:r w:rsidRPr="00553FC4">
        <w:rPr>
          <w:sz w:val="24"/>
          <w:szCs w:val="24"/>
        </w:rPr>
        <w:t>C.</w:t>
      </w:r>
    </w:p>
    <w:bookmarkEnd w:id="13"/>
    <w:p w:rsidR="00E92CCD" w:rsidRPr="00553FC4" w:rsidRDefault="00E92CCD" w:rsidP="00E92CCD">
      <w:pPr>
        <w:ind w:left="851"/>
        <w:rPr>
          <w:sz w:val="24"/>
          <w:szCs w:val="24"/>
        </w:rPr>
      </w:pPr>
    </w:p>
    <w:p w:rsidR="00B62FF6" w:rsidRPr="00AD311F" w:rsidRDefault="00B62FF6" w:rsidP="00B62FF6">
      <w:pPr>
        <w:ind w:left="851"/>
        <w:rPr>
          <w:sz w:val="24"/>
          <w:szCs w:val="24"/>
          <w:u w:val="single"/>
        </w:rPr>
      </w:pPr>
      <w:r w:rsidRPr="00AD311F">
        <w:rPr>
          <w:sz w:val="24"/>
          <w:szCs w:val="24"/>
          <w:u w:val="single"/>
        </w:rPr>
        <w:t>Efter fortynding</w:t>
      </w:r>
    </w:p>
    <w:p w:rsidR="00B62FF6" w:rsidRPr="00AD311F" w:rsidRDefault="00B62FF6" w:rsidP="00B62FF6">
      <w:pPr>
        <w:ind w:left="851"/>
        <w:rPr>
          <w:sz w:val="24"/>
          <w:szCs w:val="24"/>
        </w:rPr>
      </w:pPr>
      <w:r w:rsidRPr="00AD311F">
        <w:rPr>
          <w:sz w:val="24"/>
          <w:szCs w:val="24"/>
        </w:rPr>
        <w:t xml:space="preserve">Kemiske og fysiske stabilitetsdata under brug understøtter den totale tid til </w:t>
      </w:r>
      <w:proofErr w:type="spellStart"/>
      <w:r w:rsidRPr="00AD311F">
        <w:rPr>
          <w:sz w:val="24"/>
          <w:szCs w:val="24"/>
        </w:rPr>
        <w:t>rekonstitution</w:t>
      </w:r>
      <w:proofErr w:type="spellEnd"/>
      <w:r w:rsidRPr="00AD311F">
        <w:rPr>
          <w:sz w:val="24"/>
          <w:szCs w:val="24"/>
        </w:rPr>
        <w:t xml:space="preserve"> og infusion</w:t>
      </w:r>
      <w:r w:rsidRPr="00AD311F">
        <w:rPr>
          <w:b/>
          <w:bCs/>
          <w:sz w:val="24"/>
          <w:szCs w:val="24"/>
        </w:rPr>
        <w:t xml:space="preserve"> </w:t>
      </w:r>
      <w:r w:rsidRPr="00AD311F">
        <w:rPr>
          <w:sz w:val="24"/>
          <w:szCs w:val="24"/>
        </w:rPr>
        <w:t xml:space="preserve">af 2 mg/ml eller 4 mg/ml fortyndet </w:t>
      </w:r>
      <w:proofErr w:type="spellStart"/>
      <w:r w:rsidRPr="00AD311F">
        <w:rPr>
          <w:sz w:val="24"/>
          <w:szCs w:val="24"/>
        </w:rPr>
        <w:t>ceftobiprolopløsning</w:t>
      </w:r>
      <w:proofErr w:type="spellEnd"/>
      <w:r w:rsidRPr="00AD311F">
        <w:rPr>
          <w:sz w:val="24"/>
          <w:szCs w:val="24"/>
        </w:rPr>
        <w:t xml:space="preserve"> og er beskrevet i nedenstående tabeller:</w:t>
      </w:r>
    </w:p>
    <w:p w:rsidR="00B62FF6" w:rsidRPr="00AD311F" w:rsidRDefault="00B62FF6" w:rsidP="00B62FF6">
      <w:pPr>
        <w:ind w:left="851"/>
        <w:rPr>
          <w:sz w:val="24"/>
          <w:szCs w:val="24"/>
        </w:rPr>
      </w:pPr>
    </w:p>
    <w:p w:rsidR="00B62FF6" w:rsidRPr="00AD311F" w:rsidRDefault="00B62FF6" w:rsidP="00B62FF6">
      <w:pPr>
        <w:ind w:left="851"/>
        <w:rPr>
          <w:b/>
          <w:bCs/>
          <w:sz w:val="24"/>
          <w:szCs w:val="24"/>
        </w:rPr>
      </w:pPr>
      <w:r w:rsidRPr="00AD311F">
        <w:rPr>
          <w:b/>
          <w:bCs/>
          <w:sz w:val="24"/>
          <w:szCs w:val="24"/>
        </w:rPr>
        <w:t xml:space="preserve">Brug hos voksne og unge </w:t>
      </w:r>
      <w:r w:rsidRPr="00AD311F">
        <w:rPr>
          <w:b/>
          <w:bCs/>
        </w:rPr>
        <w:t>≥</w:t>
      </w:r>
      <w:r w:rsidRPr="00AD311F">
        <w:rPr>
          <w:b/>
          <w:bCs/>
          <w:sz w:val="24"/>
          <w:szCs w:val="24"/>
        </w:rPr>
        <w:t xml:space="preserve"> 12 år (2 mg/ml </w:t>
      </w:r>
      <w:proofErr w:type="spellStart"/>
      <w:r w:rsidRPr="00AD311F">
        <w:rPr>
          <w:b/>
          <w:bCs/>
          <w:sz w:val="24"/>
          <w:szCs w:val="24"/>
        </w:rPr>
        <w:t>ceftobiprol</w:t>
      </w:r>
      <w:proofErr w:type="spellEnd"/>
      <w:r w:rsidRPr="00AD311F">
        <w:rPr>
          <w:b/>
          <w:bCs/>
          <w:sz w:val="24"/>
          <w:szCs w:val="24"/>
        </w:rPr>
        <w:t xml:space="preserve">): Samlet tid, inden for hvilken </w:t>
      </w:r>
      <w:proofErr w:type="spellStart"/>
      <w:r w:rsidRPr="00AD311F">
        <w:rPr>
          <w:b/>
          <w:bCs/>
          <w:sz w:val="24"/>
          <w:szCs w:val="24"/>
        </w:rPr>
        <w:t>rekonstitution</w:t>
      </w:r>
      <w:proofErr w:type="spellEnd"/>
      <w:r w:rsidRPr="00AD311F">
        <w:rPr>
          <w:b/>
          <w:bCs/>
          <w:sz w:val="24"/>
          <w:szCs w:val="24"/>
        </w:rPr>
        <w:t xml:space="preserve"> og infusion (inklusive infusionsperioden, se pkt. 4.2) skal fuldføres</w:t>
      </w:r>
    </w:p>
    <w:p w:rsidR="00B62FF6" w:rsidRPr="00AD311F" w:rsidRDefault="00B62FF6" w:rsidP="00B62FF6">
      <w:pPr>
        <w:ind w:left="851" w:hanging="851"/>
        <w:rPr>
          <w:sz w:val="24"/>
          <w:szCs w:val="24"/>
        </w:rPr>
      </w:pPr>
    </w:p>
    <w:tbl>
      <w:tblPr>
        <w:tblW w:w="5000"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48"/>
        <w:gridCol w:w="1165"/>
        <w:gridCol w:w="1463"/>
        <w:gridCol w:w="1902"/>
      </w:tblGrid>
      <w:tr w:rsidR="00B62FF6" w:rsidRPr="00AD311F" w:rsidTr="002F06C0">
        <w:trPr>
          <w:cantSplit/>
        </w:trPr>
        <w:tc>
          <w:tcPr>
            <w:tcW w:w="1324" w:type="pct"/>
            <w:tcBorders>
              <w:top w:val="single" w:sz="4" w:space="0" w:color="auto"/>
              <w:left w:val="single" w:sz="4" w:space="0" w:color="auto"/>
              <w:bottom w:val="nil"/>
              <w:right w:val="single" w:sz="4" w:space="0" w:color="auto"/>
            </w:tcBorders>
          </w:tcPr>
          <w:p w:rsidR="00B62FF6" w:rsidRPr="00AD311F" w:rsidRDefault="00B62FF6" w:rsidP="002F06C0">
            <w:pPr>
              <w:jc w:val="center"/>
              <w:rPr>
                <w:b/>
                <w:bCs/>
                <w:sz w:val="22"/>
                <w:szCs w:val="22"/>
              </w:rPr>
            </w:pPr>
            <w:bookmarkStart w:id="14" w:name="_Hlk112848204"/>
            <w:r w:rsidRPr="00AD311F">
              <w:rPr>
                <w:b/>
                <w:bCs/>
                <w:sz w:val="22"/>
                <w:szCs w:val="22"/>
              </w:rPr>
              <w:t xml:space="preserve">Fortyndingsmiddel til </w:t>
            </w:r>
            <w:proofErr w:type="spellStart"/>
            <w:r w:rsidRPr="00AD311F">
              <w:rPr>
                <w:b/>
                <w:bCs/>
                <w:sz w:val="22"/>
                <w:szCs w:val="22"/>
              </w:rPr>
              <w:t>rekonstitutionsvæske</w:t>
            </w:r>
            <w:proofErr w:type="spellEnd"/>
            <w:r w:rsidRPr="00AD311F">
              <w:rPr>
                <w:b/>
                <w:bCs/>
                <w:sz w:val="22"/>
                <w:szCs w:val="22"/>
              </w:rPr>
              <w:t>, opløsning</w:t>
            </w:r>
          </w:p>
        </w:tc>
        <w:tc>
          <w:tcPr>
            <w:tcW w:w="1323" w:type="pct"/>
            <w:tcBorders>
              <w:top w:val="single" w:sz="4" w:space="0" w:color="auto"/>
              <w:left w:val="single" w:sz="4" w:space="0" w:color="auto"/>
              <w:bottom w:val="nil"/>
              <w:right w:val="single" w:sz="4" w:space="0" w:color="auto"/>
            </w:tcBorders>
            <w:hideMark/>
          </w:tcPr>
          <w:p w:rsidR="00B62FF6" w:rsidRPr="00AD311F" w:rsidRDefault="00B62FF6" w:rsidP="002F06C0">
            <w:pPr>
              <w:jc w:val="center"/>
              <w:rPr>
                <w:b/>
                <w:bCs/>
                <w:sz w:val="22"/>
                <w:szCs w:val="22"/>
              </w:rPr>
            </w:pPr>
            <w:r w:rsidRPr="00AD311F">
              <w:rPr>
                <w:b/>
                <w:bCs/>
                <w:sz w:val="22"/>
                <w:szCs w:val="22"/>
              </w:rPr>
              <w:t>Fortyndingsmiddel til infusionsvæske, opløsning</w:t>
            </w:r>
          </w:p>
        </w:tc>
        <w:tc>
          <w:tcPr>
            <w:tcW w:w="1365" w:type="pct"/>
            <w:gridSpan w:val="2"/>
            <w:tcBorders>
              <w:top w:val="single" w:sz="4" w:space="0" w:color="auto"/>
              <w:left w:val="single" w:sz="4" w:space="0" w:color="auto"/>
              <w:bottom w:val="nil"/>
              <w:right w:val="single" w:sz="4" w:space="0" w:color="auto"/>
            </w:tcBorders>
          </w:tcPr>
          <w:p w:rsidR="00B62FF6" w:rsidRPr="00AD311F" w:rsidRDefault="00B62FF6" w:rsidP="002F06C0">
            <w:pPr>
              <w:jc w:val="center"/>
              <w:rPr>
                <w:b/>
                <w:bCs/>
                <w:sz w:val="22"/>
                <w:szCs w:val="22"/>
              </w:rPr>
            </w:pPr>
            <w:r w:rsidRPr="00AD311F">
              <w:rPr>
                <w:b/>
                <w:bCs/>
                <w:sz w:val="22"/>
                <w:szCs w:val="22"/>
              </w:rPr>
              <w:t xml:space="preserve">Infusionsvæske, opløsning opbevaret ved 25 °C </w:t>
            </w:r>
          </w:p>
        </w:tc>
        <w:tc>
          <w:tcPr>
            <w:tcW w:w="988" w:type="pct"/>
            <w:tcBorders>
              <w:top w:val="single" w:sz="4" w:space="0" w:color="auto"/>
              <w:left w:val="single" w:sz="4" w:space="0" w:color="auto"/>
              <w:bottom w:val="nil"/>
              <w:right w:val="single" w:sz="4" w:space="0" w:color="auto"/>
            </w:tcBorders>
            <w:hideMark/>
          </w:tcPr>
          <w:p w:rsidR="00B62FF6" w:rsidRPr="00AD311F" w:rsidRDefault="00B62FF6" w:rsidP="002F06C0">
            <w:pPr>
              <w:jc w:val="center"/>
              <w:rPr>
                <w:b/>
                <w:bCs/>
                <w:sz w:val="22"/>
                <w:szCs w:val="22"/>
              </w:rPr>
            </w:pPr>
            <w:r w:rsidRPr="00AD311F">
              <w:rPr>
                <w:b/>
                <w:bCs/>
                <w:sz w:val="22"/>
                <w:szCs w:val="22"/>
              </w:rPr>
              <w:t>Infusionsvæske, opløsning opbevaret ved 2°C til 8°C</w:t>
            </w:r>
          </w:p>
          <w:p w:rsidR="00B62FF6" w:rsidRPr="00AD311F" w:rsidRDefault="00B62FF6" w:rsidP="002F06C0">
            <w:pPr>
              <w:jc w:val="center"/>
              <w:rPr>
                <w:b/>
                <w:bCs/>
                <w:sz w:val="22"/>
                <w:szCs w:val="22"/>
              </w:rPr>
            </w:pPr>
          </w:p>
        </w:tc>
      </w:tr>
      <w:tr w:rsidR="00B62FF6" w:rsidRPr="00AD311F" w:rsidTr="002F06C0">
        <w:trPr>
          <w:cantSplit/>
        </w:trPr>
        <w:tc>
          <w:tcPr>
            <w:tcW w:w="1324" w:type="pct"/>
            <w:tcBorders>
              <w:top w:val="nil"/>
              <w:left w:val="single" w:sz="4" w:space="0" w:color="auto"/>
              <w:bottom w:val="single" w:sz="4" w:space="0" w:color="auto"/>
              <w:right w:val="single" w:sz="4" w:space="0" w:color="auto"/>
            </w:tcBorders>
          </w:tcPr>
          <w:p w:rsidR="00B62FF6" w:rsidRPr="00AD311F" w:rsidRDefault="00B62FF6" w:rsidP="002F06C0">
            <w:pPr>
              <w:rPr>
                <w:sz w:val="22"/>
                <w:szCs w:val="22"/>
              </w:rPr>
            </w:pPr>
          </w:p>
        </w:tc>
        <w:tc>
          <w:tcPr>
            <w:tcW w:w="1323" w:type="pct"/>
            <w:tcBorders>
              <w:top w:val="nil"/>
              <w:left w:val="single" w:sz="4" w:space="0" w:color="auto"/>
              <w:bottom w:val="single" w:sz="4" w:space="0" w:color="auto"/>
              <w:right w:val="single" w:sz="4" w:space="0" w:color="auto"/>
            </w:tcBorders>
            <w:vAlign w:val="center"/>
          </w:tcPr>
          <w:p w:rsidR="00B62FF6" w:rsidRPr="00AD311F" w:rsidRDefault="00B62FF6" w:rsidP="002F06C0">
            <w:pPr>
              <w:rPr>
                <w:sz w:val="22"/>
                <w:szCs w:val="22"/>
              </w:rPr>
            </w:pPr>
          </w:p>
        </w:tc>
        <w:tc>
          <w:tcPr>
            <w:tcW w:w="605" w:type="pct"/>
            <w:tcBorders>
              <w:top w:val="nil"/>
              <w:left w:val="single" w:sz="4" w:space="0" w:color="auto"/>
              <w:bottom w:val="single" w:sz="4" w:space="0" w:color="auto"/>
              <w:right w:val="nil"/>
            </w:tcBorders>
            <w:hideMark/>
          </w:tcPr>
          <w:p w:rsidR="00B62FF6" w:rsidRPr="00AD311F" w:rsidRDefault="00B62FF6" w:rsidP="002F06C0">
            <w:pPr>
              <w:jc w:val="center"/>
              <w:rPr>
                <w:sz w:val="22"/>
                <w:szCs w:val="22"/>
              </w:rPr>
            </w:pPr>
            <w:r w:rsidRPr="00AD311F">
              <w:rPr>
                <w:sz w:val="22"/>
                <w:szCs w:val="22"/>
              </w:rPr>
              <w:t>Beskyttet mod lys</w:t>
            </w:r>
          </w:p>
        </w:tc>
        <w:tc>
          <w:tcPr>
            <w:tcW w:w="760" w:type="pct"/>
            <w:tcBorders>
              <w:top w:val="nil"/>
              <w:left w:val="nil"/>
              <w:bottom w:val="single" w:sz="4" w:space="0" w:color="auto"/>
              <w:right w:val="single" w:sz="4" w:space="0" w:color="auto"/>
            </w:tcBorders>
            <w:hideMark/>
          </w:tcPr>
          <w:p w:rsidR="00B62FF6" w:rsidRPr="00AD311F" w:rsidRDefault="00B62FF6" w:rsidP="002F06C0">
            <w:pPr>
              <w:jc w:val="center"/>
              <w:rPr>
                <w:sz w:val="22"/>
                <w:szCs w:val="22"/>
              </w:rPr>
            </w:pPr>
            <w:r w:rsidRPr="00AD311F">
              <w:rPr>
                <w:sz w:val="22"/>
                <w:szCs w:val="22"/>
              </w:rPr>
              <w:t>IKKE beskyttet mod lys</w:t>
            </w:r>
          </w:p>
        </w:tc>
        <w:tc>
          <w:tcPr>
            <w:tcW w:w="988" w:type="pct"/>
            <w:tcBorders>
              <w:top w:val="nil"/>
              <w:left w:val="single" w:sz="4" w:space="0" w:color="auto"/>
              <w:bottom w:val="single" w:sz="4" w:space="0" w:color="auto"/>
              <w:right w:val="single" w:sz="4" w:space="0" w:color="auto"/>
            </w:tcBorders>
            <w:hideMark/>
          </w:tcPr>
          <w:p w:rsidR="00B62FF6" w:rsidRPr="00AD311F" w:rsidRDefault="00B62FF6" w:rsidP="002F06C0">
            <w:pPr>
              <w:jc w:val="center"/>
              <w:rPr>
                <w:sz w:val="22"/>
                <w:szCs w:val="22"/>
              </w:rPr>
            </w:pPr>
            <w:r w:rsidRPr="00AD311F">
              <w:rPr>
                <w:bCs/>
                <w:sz w:val="22"/>
                <w:szCs w:val="22"/>
              </w:rPr>
              <w:t>Beskyttet mod lys</w:t>
            </w:r>
          </w:p>
        </w:tc>
      </w:tr>
      <w:tr w:rsidR="00B62FF6" w:rsidRPr="00AD311F" w:rsidTr="002F06C0">
        <w:trPr>
          <w:cantSplit/>
        </w:trPr>
        <w:tc>
          <w:tcPr>
            <w:tcW w:w="1324" w:type="pct"/>
            <w:vMerge w:val="restart"/>
            <w:tcBorders>
              <w:top w:val="single" w:sz="4" w:space="0" w:color="auto"/>
              <w:left w:val="single" w:sz="4" w:space="0" w:color="auto"/>
              <w:right w:val="single" w:sz="4" w:space="0" w:color="auto"/>
            </w:tcBorders>
            <w:vAlign w:val="center"/>
          </w:tcPr>
          <w:p w:rsidR="00B62FF6" w:rsidRPr="00AD311F" w:rsidRDefault="00B62FF6" w:rsidP="002F06C0">
            <w:pPr>
              <w:keepNext/>
              <w:keepLines/>
              <w:tabs>
                <w:tab w:val="left" w:pos="567"/>
              </w:tabs>
              <w:spacing w:line="260" w:lineRule="exact"/>
              <w:rPr>
                <w:sz w:val="22"/>
                <w:szCs w:val="22"/>
              </w:rPr>
            </w:pPr>
            <w:proofErr w:type="spellStart"/>
            <w:r w:rsidRPr="00AD311F">
              <w:rPr>
                <w:sz w:val="22"/>
                <w:szCs w:val="22"/>
              </w:rPr>
              <w:t>Glucose</w:t>
            </w:r>
            <w:proofErr w:type="spellEnd"/>
            <w:r w:rsidRPr="00AD311F">
              <w:rPr>
                <w:sz w:val="22"/>
                <w:szCs w:val="22"/>
              </w:rPr>
              <w:t xml:space="preserve"> 50 mg/ml (5 %) injektionsvæske, opløsning eller</w:t>
            </w:r>
            <w:r w:rsidRPr="00AD311F">
              <w:rPr>
                <w:sz w:val="22"/>
                <w:szCs w:val="22"/>
              </w:rPr>
              <w:br/>
              <w:t>Vand til injektionsvæsker</w:t>
            </w:r>
          </w:p>
          <w:p w:rsidR="00B62FF6" w:rsidRPr="00AD311F" w:rsidRDefault="00B62FF6" w:rsidP="002F06C0">
            <w:pPr>
              <w:rPr>
                <w:sz w:val="22"/>
                <w:szCs w:val="22"/>
              </w:rPr>
            </w:pPr>
          </w:p>
        </w:tc>
        <w:tc>
          <w:tcPr>
            <w:tcW w:w="1323"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proofErr w:type="spellStart"/>
            <w:r w:rsidRPr="00AD311F">
              <w:rPr>
                <w:sz w:val="22"/>
                <w:szCs w:val="22"/>
              </w:rPr>
              <w:t>Natriumchlorid</w:t>
            </w:r>
            <w:proofErr w:type="spellEnd"/>
            <w:r w:rsidRPr="00AD311F">
              <w:rPr>
                <w:sz w:val="22"/>
                <w:szCs w:val="22"/>
              </w:rPr>
              <w:t xml:space="preserve"> 9 mg/ml (0,9 %) injektionsvæske, opløsning</w:t>
            </w:r>
          </w:p>
        </w:tc>
        <w:tc>
          <w:tcPr>
            <w:tcW w:w="605"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24 timer</w:t>
            </w:r>
          </w:p>
        </w:tc>
        <w:tc>
          <w:tcPr>
            <w:tcW w:w="760"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8 timer</w:t>
            </w:r>
          </w:p>
        </w:tc>
        <w:tc>
          <w:tcPr>
            <w:tcW w:w="988"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96 timer</w:t>
            </w:r>
          </w:p>
        </w:tc>
      </w:tr>
      <w:tr w:rsidR="00B62FF6" w:rsidRPr="00AD311F" w:rsidTr="002F06C0">
        <w:trPr>
          <w:cantSplit/>
        </w:trPr>
        <w:tc>
          <w:tcPr>
            <w:tcW w:w="1324" w:type="pct"/>
            <w:vMerge/>
            <w:tcBorders>
              <w:left w:val="single" w:sz="4" w:space="0" w:color="auto"/>
              <w:right w:val="single" w:sz="4" w:space="0" w:color="auto"/>
            </w:tcBorders>
          </w:tcPr>
          <w:p w:rsidR="00B62FF6" w:rsidRPr="00AD311F" w:rsidRDefault="00B62FF6" w:rsidP="002F06C0">
            <w:pPr>
              <w:rPr>
                <w:sz w:val="22"/>
                <w:szCs w:val="22"/>
              </w:rPr>
            </w:pPr>
          </w:p>
        </w:tc>
        <w:tc>
          <w:tcPr>
            <w:tcW w:w="1323"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proofErr w:type="spellStart"/>
            <w:r w:rsidRPr="00AD311F">
              <w:rPr>
                <w:sz w:val="22"/>
                <w:szCs w:val="22"/>
              </w:rPr>
              <w:t>Glucose</w:t>
            </w:r>
            <w:proofErr w:type="spellEnd"/>
            <w:r w:rsidRPr="00AD311F">
              <w:rPr>
                <w:sz w:val="22"/>
                <w:szCs w:val="22"/>
              </w:rPr>
              <w:t xml:space="preserve"> 50 mg/ml (5 %) injektionsvæske, opløsning</w:t>
            </w:r>
          </w:p>
        </w:tc>
        <w:tc>
          <w:tcPr>
            <w:tcW w:w="605"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12 timer</w:t>
            </w:r>
          </w:p>
        </w:tc>
        <w:tc>
          <w:tcPr>
            <w:tcW w:w="760"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8 timer</w:t>
            </w:r>
          </w:p>
        </w:tc>
        <w:tc>
          <w:tcPr>
            <w:tcW w:w="988"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96 timer</w:t>
            </w:r>
          </w:p>
        </w:tc>
      </w:tr>
      <w:tr w:rsidR="00B62FF6" w:rsidRPr="00AD311F" w:rsidTr="002F06C0">
        <w:trPr>
          <w:cantSplit/>
        </w:trPr>
        <w:tc>
          <w:tcPr>
            <w:tcW w:w="1324" w:type="pct"/>
            <w:vMerge/>
            <w:tcBorders>
              <w:left w:val="single" w:sz="4" w:space="0" w:color="auto"/>
              <w:bottom w:val="single" w:sz="4" w:space="0" w:color="auto"/>
              <w:right w:val="single" w:sz="4" w:space="0" w:color="auto"/>
            </w:tcBorders>
          </w:tcPr>
          <w:p w:rsidR="00B62FF6" w:rsidRPr="00AD311F" w:rsidRDefault="00B62FF6" w:rsidP="002F06C0">
            <w:pPr>
              <w:rPr>
                <w:sz w:val="22"/>
                <w:szCs w:val="22"/>
              </w:rPr>
            </w:pPr>
          </w:p>
        </w:tc>
        <w:tc>
          <w:tcPr>
            <w:tcW w:w="1323"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 xml:space="preserve">Ringers laktat-injektionsvæske </w:t>
            </w:r>
          </w:p>
        </w:tc>
        <w:tc>
          <w:tcPr>
            <w:tcW w:w="605"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24 timer</w:t>
            </w:r>
          </w:p>
        </w:tc>
        <w:tc>
          <w:tcPr>
            <w:tcW w:w="760"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8 timer</w:t>
            </w:r>
          </w:p>
        </w:tc>
        <w:tc>
          <w:tcPr>
            <w:tcW w:w="988"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r w:rsidRPr="00AD311F">
              <w:rPr>
                <w:sz w:val="22"/>
                <w:szCs w:val="22"/>
              </w:rPr>
              <w:t>Må ikke nedkøles</w:t>
            </w:r>
          </w:p>
        </w:tc>
      </w:tr>
      <w:bookmarkEnd w:id="14"/>
    </w:tbl>
    <w:p w:rsidR="00B62FF6" w:rsidRPr="00AD311F" w:rsidRDefault="00B62FF6" w:rsidP="00B62FF6">
      <w:pPr>
        <w:ind w:left="851" w:hanging="851"/>
        <w:rPr>
          <w:bCs/>
          <w:iCs/>
          <w:sz w:val="24"/>
          <w:szCs w:val="24"/>
        </w:rPr>
      </w:pPr>
    </w:p>
    <w:p w:rsidR="00B62FF6" w:rsidRPr="00AD311F" w:rsidRDefault="00B62FF6" w:rsidP="00B62FF6">
      <w:pPr>
        <w:spacing w:after="120"/>
        <w:ind w:left="851"/>
        <w:rPr>
          <w:b/>
          <w:bCs/>
          <w:iCs/>
          <w:sz w:val="24"/>
          <w:szCs w:val="24"/>
        </w:rPr>
      </w:pPr>
      <w:r w:rsidRPr="00AD311F">
        <w:rPr>
          <w:b/>
          <w:iCs/>
          <w:sz w:val="24"/>
          <w:szCs w:val="24"/>
        </w:rPr>
        <w:t xml:space="preserve">Brug hos børn, spædbørn og nyfødte (&lt; 12 år) (4 mg/ml </w:t>
      </w:r>
      <w:proofErr w:type="spellStart"/>
      <w:r w:rsidRPr="00AD311F">
        <w:rPr>
          <w:b/>
          <w:iCs/>
          <w:sz w:val="24"/>
          <w:szCs w:val="24"/>
        </w:rPr>
        <w:t>ceftobiprol</w:t>
      </w:r>
      <w:proofErr w:type="spellEnd"/>
      <w:r w:rsidRPr="00AD311F">
        <w:rPr>
          <w:b/>
          <w:iCs/>
          <w:sz w:val="24"/>
          <w:szCs w:val="24"/>
        </w:rPr>
        <w:t xml:space="preserve">): </w:t>
      </w:r>
      <w:r w:rsidRPr="00AD311F">
        <w:rPr>
          <w:b/>
          <w:bCs/>
          <w:iCs/>
          <w:sz w:val="24"/>
          <w:szCs w:val="24"/>
        </w:rPr>
        <w:t xml:space="preserve">Samlet tid, inden for hvilken </w:t>
      </w:r>
      <w:proofErr w:type="spellStart"/>
      <w:r w:rsidRPr="00AD311F">
        <w:rPr>
          <w:b/>
          <w:bCs/>
          <w:iCs/>
          <w:sz w:val="24"/>
          <w:szCs w:val="24"/>
        </w:rPr>
        <w:t>rekonstitution</w:t>
      </w:r>
      <w:proofErr w:type="spellEnd"/>
      <w:r w:rsidRPr="00AD311F">
        <w:rPr>
          <w:b/>
          <w:bCs/>
          <w:iCs/>
          <w:sz w:val="24"/>
          <w:szCs w:val="24"/>
        </w:rPr>
        <w:t xml:space="preserve"> og infusion (inklusive infusionsperioden, se pkt. 4.2) skal fuldføres</w:t>
      </w:r>
    </w:p>
    <w:tbl>
      <w:tblPr>
        <w:tblW w:w="5000"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48"/>
        <w:gridCol w:w="2628"/>
        <w:gridCol w:w="1902"/>
      </w:tblGrid>
      <w:tr w:rsidR="00B62FF6" w:rsidRPr="00AD311F" w:rsidTr="002F06C0">
        <w:trPr>
          <w:cantSplit/>
        </w:trPr>
        <w:tc>
          <w:tcPr>
            <w:tcW w:w="1324" w:type="pct"/>
            <w:tcBorders>
              <w:top w:val="single" w:sz="4" w:space="0" w:color="auto"/>
              <w:left w:val="single" w:sz="4" w:space="0" w:color="auto"/>
              <w:bottom w:val="nil"/>
              <w:right w:val="single" w:sz="4" w:space="0" w:color="auto"/>
            </w:tcBorders>
          </w:tcPr>
          <w:p w:rsidR="00B62FF6" w:rsidRPr="00AD311F" w:rsidRDefault="00B62FF6" w:rsidP="002F06C0">
            <w:pPr>
              <w:jc w:val="center"/>
              <w:rPr>
                <w:b/>
                <w:bCs/>
                <w:sz w:val="22"/>
                <w:szCs w:val="22"/>
              </w:rPr>
            </w:pPr>
            <w:r w:rsidRPr="00AD311F">
              <w:rPr>
                <w:b/>
                <w:bCs/>
                <w:sz w:val="22"/>
                <w:szCs w:val="22"/>
              </w:rPr>
              <w:t xml:space="preserve">Fortyndingsmiddel til </w:t>
            </w:r>
            <w:proofErr w:type="spellStart"/>
            <w:r w:rsidRPr="00AD311F">
              <w:rPr>
                <w:b/>
                <w:bCs/>
                <w:sz w:val="22"/>
                <w:szCs w:val="22"/>
              </w:rPr>
              <w:t>rekonstitutionsvæske</w:t>
            </w:r>
            <w:proofErr w:type="spellEnd"/>
            <w:r w:rsidRPr="00AD311F">
              <w:rPr>
                <w:b/>
                <w:bCs/>
                <w:sz w:val="22"/>
                <w:szCs w:val="22"/>
              </w:rPr>
              <w:t>, opløsning</w:t>
            </w:r>
          </w:p>
        </w:tc>
        <w:tc>
          <w:tcPr>
            <w:tcW w:w="1323" w:type="pct"/>
            <w:tcBorders>
              <w:top w:val="single" w:sz="4" w:space="0" w:color="auto"/>
              <w:left w:val="single" w:sz="4" w:space="0" w:color="auto"/>
              <w:bottom w:val="nil"/>
              <w:right w:val="single" w:sz="4" w:space="0" w:color="auto"/>
            </w:tcBorders>
            <w:hideMark/>
          </w:tcPr>
          <w:p w:rsidR="00B62FF6" w:rsidRPr="00AD311F" w:rsidRDefault="00B62FF6" w:rsidP="002F06C0">
            <w:pPr>
              <w:jc w:val="center"/>
              <w:rPr>
                <w:b/>
                <w:bCs/>
                <w:sz w:val="22"/>
                <w:szCs w:val="22"/>
              </w:rPr>
            </w:pPr>
            <w:r w:rsidRPr="00AD311F">
              <w:rPr>
                <w:b/>
                <w:bCs/>
                <w:sz w:val="22"/>
                <w:szCs w:val="22"/>
              </w:rPr>
              <w:t>Fortyndingsmiddel til infusionsvæske, opløsning</w:t>
            </w:r>
          </w:p>
        </w:tc>
        <w:tc>
          <w:tcPr>
            <w:tcW w:w="1365" w:type="pct"/>
            <w:tcBorders>
              <w:top w:val="single" w:sz="4" w:space="0" w:color="auto"/>
              <w:left w:val="single" w:sz="4" w:space="0" w:color="auto"/>
              <w:bottom w:val="nil"/>
              <w:right w:val="single" w:sz="4" w:space="0" w:color="auto"/>
            </w:tcBorders>
          </w:tcPr>
          <w:p w:rsidR="00B62FF6" w:rsidRPr="00AD311F" w:rsidRDefault="00B62FF6" w:rsidP="002F06C0">
            <w:pPr>
              <w:jc w:val="center"/>
              <w:rPr>
                <w:b/>
                <w:bCs/>
                <w:sz w:val="22"/>
                <w:szCs w:val="22"/>
              </w:rPr>
            </w:pPr>
            <w:r w:rsidRPr="00AD311F">
              <w:rPr>
                <w:b/>
                <w:bCs/>
                <w:sz w:val="22"/>
                <w:szCs w:val="22"/>
              </w:rPr>
              <w:t>Infusionsvæske, opløsning opbevaret ved 25 °C</w:t>
            </w:r>
          </w:p>
        </w:tc>
        <w:tc>
          <w:tcPr>
            <w:tcW w:w="988" w:type="pct"/>
            <w:tcBorders>
              <w:top w:val="single" w:sz="4" w:space="0" w:color="auto"/>
              <w:left w:val="single" w:sz="4" w:space="0" w:color="auto"/>
              <w:bottom w:val="nil"/>
              <w:right w:val="single" w:sz="4" w:space="0" w:color="auto"/>
            </w:tcBorders>
            <w:hideMark/>
          </w:tcPr>
          <w:p w:rsidR="00B62FF6" w:rsidRPr="00AD311F" w:rsidRDefault="00B62FF6" w:rsidP="002F06C0">
            <w:pPr>
              <w:jc w:val="center"/>
              <w:rPr>
                <w:b/>
                <w:bCs/>
                <w:sz w:val="22"/>
                <w:szCs w:val="22"/>
              </w:rPr>
            </w:pPr>
            <w:r w:rsidRPr="00AD311F">
              <w:rPr>
                <w:b/>
                <w:bCs/>
                <w:sz w:val="22"/>
                <w:szCs w:val="22"/>
              </w:rPr>
              <w:t>Infusionsvæske, opløsning opbevaret ved 2 °C til 8 °C</w:t>
            </w:r>
          </w:p>
        </w:tc>
      </w:tr>
      <w:tr w:rsidR="00B62FF6" w:rsidRPr="00AD311F" w:rsidTr="002F06C0">
        <w:trPr>
          <w:cantSplit/>
        </w:trPr>
        <w:tc>
          <w:tcPr>
            <w:tcW w:w="1324" w:type="pct"/>
            <w:tcBorders>
              <w:top w:val="nil"/>
              <w:left w:val="single" w:sz="4" w:space="0" w:color="auto"/>
              <w:bottom w:val="single" w:sz="4" w:space="0" w:color="auto"/>
              <w:right w:val="single" w:sz="4" w:space="0" w:color="auto"/>
            </w:tcBorders>
          </w:tcPr>
          <w:p w:rsidR="00B62FF6" w:rsidRPr="00AD311F" w:rsidRDefault="00B62FF6" w:rsidP="002F06C0">
            <w:pPr>
              <w:rPr>
                <w:sz w:val="22"/>
                <w:szCs w:val="22"/>
              </w:rPr>
            </w:pPr>
          </w:p>
        </w:tc>
        <w:tc>
          <w:tcPr>
            <w:tcW w:w="1323" w:type="pct"/>
            <w:tcBorders>
              <w:top w:val="nil"/>
              <w:left w:val="single" w:sz="4" w:space="0" w:color="auto"/>
              <w:bottom w:val="single" w:sz="4" w:space="0" w:color="auto"/>
              <w:right w:val="single" w:sz="4" w:space="0" w:color="auto"/>
            </w:tcBorders>
            <w:vAlign w:val="center"/>
          </w:tcPr>
          <w:p w:rsidR="00B62FF6" w:rsidRPr="00AD311F" w:rsidRDefault="00B62FF6" w:rsidP="002F06C0">
            <w:pPr>
              <w:rPr>
                <w:sz w:val="22"/>
                <w:szCs w:val="22"/>
              </w:rPr>
            </w:pPr>
          </w:p>
        </w:tc>
        <w:tc>
          <w:tcPr>
            <w:tcW w:w="1365" w:type="pct"/>
            <w:tcBorders>
              <w:top w:val="nil"/>
              <w:left w:val="single" w:sz="4" w:space="0" w:color="auto"/>
              <w:bottom w:val="single" w:sz="4" w:space="0" w:color="auto"/>
              <w:right w:val="single" w:sz="4" w:space="0" w:color="auto"/>
            </w:tcBorders>
            <w:hideMark/>
          </w:tcPr>
          <w:p w:rsidR="00B62FF6" w:rsidRPr="00AD311F" w:rsidRDefault="00B62FF6" w:rsidP="002F06C0">
            <w:pPr>
              <w:jc w:val="center"/>
              <w:rPr>
                <w:sz w:val="22"/>
                <w:szCs w:val="22"/>
              </w:rPr>
            </w:pPr>
            <w:r w:rsidRPr="00AD311F">
              <w:rPr>
                <w:sz w:val="22"/>
                <w:szCs w:val="22"/>
              </w:rPr>
              <w:t>IKKE beskyttet mod lys</w:t>
            </w:r>
          </w:p>
        </w:tc>
        <w:tc>
          <w:tcPr>
            <w:tcW w:w="988" w:type="pct"/>
            <w:tcBorders>
              <w:top w:val="nil"/>
              <w:left w:val="single" w:sz="4" w:space="0" w:color="auto"/>
              <w:bottom w:val="single" w:sz="4" w:space="0" w:color="auto"/>
              <w:right w:val="single" w:sz="4" w:space="0" w:color="auto"/>
            </w:tcBorders>
            <w:hideMark/>
          </w:tcPr>
          <w:p w:rsidR="00B62FF6" w:rsidRPr="00AD311F" w:rsidRDefault="00B62FF6" w:rsidP="002F06C0">
            <w:pPr>
              <w:jc w:val="center"/>
              <w:rPr>
                <w:sz w:val="22"/>
                <w:szCs w:val="22"/>
              </w:rPr>
            </w:pPr>
            <w:r w:rsidRPr="00AD311F">
              <w:rPr>
                <w:bCs/>
                <w:sz w:val="22"/>
                <w:szCs w:val="22"/>
              </w:rPr>
              <w:t>Beskyttet mod lys</w:t>
            </w:r>
          </w:p>
        </w:tc>
      </w:tr>
      <w:tr w:rsidR="00B62FF6" w:rsidRPr="00AD311F" w:rsidTr="002F06C0">
        <w:trPr>
          <w:cantSplit/>
        </w:trPr>
        <w:tc>
          <w:tcPr>
            <w:tcW w:w="1324" w:type="pct"/>
            <w:tcBorders>
              <w:top w:val="single" w:sz="4" w:space="0" w:color="auto"/>
              <w:left w:val="single" w:sz="4" w:space="0" w:color="auto"/>
              <w:bottom w:val="single" w:sz="4" w:space="0" w:color="auto"/>
              <w:right w:val="single" w:sz="4" w:space="0" w:color="auto"/>
            </w:tcBorders>
          </w:tcPr>
          <w:p w:rsidR="00B62FF6" w:rsidRPr="00AD311F" w:rsidRDefault="00B62FF6" w:rsidP="002F06C0">
            <w:pPr>
              <w:keepNext/>
              <w:keepLines/>
              <w:tabs>
                <w:tab w:val="left" w:pos="567"/>
              </w:tabs>
              <w:spacing w:line="260" w:lineRule="exact"/>
              <w:rPr>
                <w:sz w:val="22"/>
                <w:szCs w:val="22"/>
              </w:rPr>
            </w:pPr>
            <w:proofErr w:type="spellStart"/>
            <w:r w:rsidRPr="00AD311F">
              <w:rPr>
                <w:sz w:val="22"/>
                <w:szCs w:val="22"/>
              </w:rPr>
              <w:t>Glucose</w:t>
            </w:r>
            <w:proofErr w:type="spellEnd"/>
            <w:r w:rsidRPr="00AD311F">
              <w:rPr>
                <w:sz w:val="22"/>
                <w:szCs w:val="22"/>
              </w:rPr>
              <w:t xml:space="preserve"> 50 mg/ml (5 %) injektionsvæske, opløsning</w:t>
            </w:r>
          </w:p>
        </w:tc>
        <w:tc>
          <w:tcPr>
            <w:tcW w:w="1323"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proofErr w:type="spellStart"/>
            <w:r w:rsidRPr="00AD311F">
              <w:rPr>
                <w:sz w:val="22"/>
                <w:szCs w:val="22"/>
              </w:rPr>
              <w:t>Glucose</w:t>
            </w:r>
            <w:proofErr w:type="spellEnd"/>
            <w:r w:rsidRPr="00AD311F">
              <w:rPr>
                <w:sz w:val="22"/>
                <w:szCs w:val="22"/>
              </w:rPr>
              <w:t xml:space="preserve"> 50 mg/ml (5 %) injektionsvæske, opløsning</w:t>
            </w:r>
          </w:p>
        </w:tc>
        <w:tc>
          <w:tcPr>
            <w:tcW w:w="1365"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jc w:val="center"/>
              <w:rPr>
                <w:sz w:val="22"/>
                <w:szCs w:val="22"/>
              </w:rPr>
            </w:pPr>
            <w:r w:rsidRPr="00AD311F">
              <w:rPr>
                <w:sz w:val="22"/>
                <w:szCs w:val="22"/>
              </w:rPr>
              <w:t>12 timer</w:t>
            </w:r>
          </w:p>
        </w:tc>
        <w:tc>
          <w:tcPr>
            <w:tcW w:w="988"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jc w:val="center"/>
              <w:rPr>
                <w:sz w:val="22"/>
                <w:szCs w:val="22"/>
              </w:rPr>
            </w:pPr>
            <w:r w:rsidRPr="00AD311F">
              <w:rPr>
                <w:sz w:val="22"/>
                <w:szCs w:val="22"/>
              </w:rPr>
              <w:t>24 timer</w:t>
            </w:r>
          </w:p>
        </w:tc>
      </w:tr>
      <w:tr w:rsidR="00B62FF6" w:rsidRPr="00AD311F" w:rsidTr="002F06C0">
        <w:trPr>
          <w:cantSplit/>
        </w:trPr>
        <w:tc>
          <w:tcPr>
            <w:tcW w:w="1324" w:type="pct"/>
            <w:tcBorders>
              <w:top w:val="single" w:sz="4" w:space="0" w:color="auto"/>
              <w:left w:val="single" w:sz="4" w:space="0" w:color="auto"/>
              <w:bottom w:val="single" w:sz="4" w:space="0" w:color="auto"/>
              <w:right w:val="single" w:sz="4" w:space="0" w:color="auto"/>
            </w:tcBorders>
          </w:tcPr>
          <w:p w:rsidR="00B62FF6" w:rsidRPr="00AD311F" w:rsidRDefault="00B62FF6" w:rsidP="002F06C0">
            <w:pPr>
              <w:rPr>
                <w:sz w:val="22"/>
                <w:szCs w:val="22"/>
              </w:rPr>
            </w:pPr>
            <w:r w:rsidRPr="00AD311F">
              <w:rPr>
                <w:sz w:val="22"/>
                <w:szCs w:val="22"/>
              </w:rPr>
              <w:t>Vand til injektionsvæsker</w:t>
            </w:r>
          </w:p>
        </w:tc>
        <w:tc>
          <w:tcPr>
            <w:tcW w:w="1323"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rPr>
                <w:sz w:val="22"/>
                <w:szCs w:val="22"/>
              </w:rPr>
            </w:pPr>
            <w:proofErr w:type="spellStart"/>
            <w:r w:rsidRPr="00AD311F">
              <w:rPr>
                <w:sz w:val="22"/>
                <w:szCs w:val="22"/>
              </w:rPr>
              <w:t>Natriumchlorid</w:t>
            </w:r>
            <w:proofErr w:type="spellEnd"/>
            <w:r w:rsidRPr="00AD311F">
              <w:rPr>
                <w:sz w:val="22"/>
                <w:szCs w:val="22"/>
              </w:rPr>
              <w:t xml:space="preserve"> 9 mg/ml (0,9 %) injektionsvæske, opløsning</w:t>
            </w:r>
          </w:p>
        </w:tc>
        <w:tc>
          <w:tcPr>
            <w:tcW w:w="1365"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jc w:val="center"/>
              <w:rPr>
                <w:sz w:val="22"/>
                <w:szCs w:val="22"/>
              </w:rPr>
            </w:pPr>
            <w:r w:rsidRPr="00AD311F">
              <w:rPr>
                <w:sz w:val="22"/>
                <w:szCs w:val="22"/>
              </w:rPr>
              <w:t>8 timer</w:t>
            </w:r>
          </w:p>
        </w:tc>
        <w:tc>
          <w:tcPr>
            <w:tcW w:w="988" w:type="pct"/>
            <w:tcBorders>
              <w:top w:val="single" w:sz="4" w:space="0" w:color="auto"/>
              <w:left w:val="single" w:sz="4" w:space="0" w:color="auto"/>
              <w:bottom w:val="single" w:sz="4" w:space="0" w:color="auto"/>
              <w:right w:val="single" w:sz="4" w:space="0" w:color="auto"/>
            </w:tcBorders>
            <w:hideMark/>
          </w:tcPr>
          <w:p w:rsidR="00B62FF6" w:rsidRPr="00AD311F" w:rsidRDefault="00B62FF6" w:rsidP="002F06C0">
            <w:pPr>
              <w:jc w:val="center"/>
              <w:rPr>
                <w:sz w:val="22"/>
                <w:szCs w:val="22"/>
              </w:rPr>
            </w:pPr>
            <w:r w:rsidRPr="00AD311F">
              <w:rPr>
                <w:sz w:val="22"/>
                <w:szCs w:val="22"/>
              </w:rPr>
              <w:t>8 timer</w:t>
            </w:r>
          </w:p>
        </w:tc>
      </w:tr>
    </w:tbl>
    <w:p w:rsidR="00B62FF6" w:rsidRPr="00AD311F" w:rsidRDefault="00B62FF6" w:rsidP="00B62FF6">
      <w:pPr>
        <w:ind w:left="851"/>
        <w:rPr>
          <w:b/>
          <w:iCs/>
          <w:sz w:val="24"/>
          <w:szCs w:val="24"/>
        </w:rPr>
      </w:pPr>
    </w:p>
    <w:p w:rsidR="00B62FF6" w:rsidRPr="00AD311F" w:rsidRDefault="00B62FF6" w:rsidP="00B62FF6">
      <w:pPr>
        <w:ind w:left="851" w:hanging="851"/>
        <w:rPr>
          <w:bCs/>
          <w:iCs/>
          <w:sz w:val="24"/>
          <w:szCs w:val="24"/>
        </w:rPr>
      </w:pPr>
      <w:r w:rsidRPr="00AD311F">
        <w:rPr>
          <w:bCs/>
          <w:iCs/>
          <w:sz w:val="24"/>
          <w:szCs w:val="24"/>
        </w:rPr>
        <w:tab/>
        <w:t>Af hensyn til den mikrobiologiske sikkerhed skal produktet anvendes med det samme,</w:t>
      </w:r>
      <w:r w:rsidRPr="00AD311F">
        <w:rPr>
          <w:sz w:val="24"/>
          <w:szCs w:val="24"/>
        </w:rPr>
        <w:t xml:space="preserve"> medmindre </w:t>
      </w:r>
      <w:proofErr w:type="spellStart"/>
      <w:r w:rsidRPr="00AD311F">
        <w:rPr>
          <w:sz w:val="24"/>
          <w:szCs w:val="24"/>
        </w:rPr>
        <w:t>r</w:t>
      </w:r>
      <w:r w:rsidRPr="00AD311F">
        <w:rPr>
          <w:bCs/>
          <w:sz w:val="24"/>
          <w:szCs w:val="24"/>
        </w:rPr>
        <w:t>ekonstitution</w:t>
      </w:r>
      <w:r w:rsidRPr="00AD311F">
        <w:rPr>
          <w:sz w:val="24"/>
          <w:szCs w:val="24"/>
        </w:rPr>
        <w:t>s</w:t>
      </w:r>
      <w:proofErr w:type="spellEnd"/>
      <w:r w:rsidRPr="00AD311F">
        <w:rPr>
          <w:sz w:val="24"/>
          <w:szCs w:val="24"/>
        </w:rPr>
        <w:t>-/fortyndingsmetoden udelukker risikoen for mikrobiologisk kontaminering</w:t>
      </w:r>
      <w:r w:rsidRPr="00AD311F">
        <w:rPr>
          <w:bCs/>
          <w:iCs/>
          <w:sz w:val="24"/>
          <w:szCs w:val="24"/>
        </w:rPr>
        <w:t xml:space="preserve">. Hvis det ikke anvendes med det samme, er opbevaringstiden og </w:t>
      </w:r>
    </w:p>
    <w:p w:rsidR="00B62FF6" w:rsidRPr="00AD311F" w:rsidRDefault="00B62FF6" w:rsidP="00B62FF6">
      <w:pPr>
        <w:ind w:left="851" w:hanging="851"/>
        <w:rPr>
          <w:sz w:val="24"/>
          <w:szCs w:val="24"/>
        </w:rPr>
      </w:pPr>
      <w:r w:rsidRPr="00AD311F">
        <w:rPr>
          <w:bCs/>
          <w:iCs/>
          <w:sz w:val="24"/>
          <w:szCs w:val="24"/>
        </w:rPr>
        <w:tab/>
        <w:t xml:space="preserve">-forholdene under brug brugerens ansvar. </w:t>
      </w:r>
    </w:p>
    <w:p w:rsidR="00B62FF6" w:rsidRPr="00AD311F" w:rsidRDefault="00B62FF6" w:rsidP="00B62FF6">
      <w:pPr>
        <w:ind w:left="851" w:hanging="851"/>
        <w:rPr>
          <w:sz w:val="24"/>
          <w:szCs w:val="24"/>
        </w:rPr>
      </w:pPr>
    </w:p>
    <w:p w:rsidR="00B62FF6" w:rsidRPr="00AD311F" w:rsidRDefault="00B62FF6" w:rsidP="00B62FF6">
      <w:pPr>
        <w:ind w:left="851" w:hanging="851"/>
        <w:rPr>
          <w:sz w:val="24"/>
          <w:szCs w:val="24"/>
        </w:rPr>
      </w:pPr>
      <w:r w:rsidRPr="00AD311F">
        <w:rPr>
          <w:sz w:val="24"/>
          <w:szCs w:val="24"/>
        </w:rPr>
        <w:tab/>
        <w:t xml:space="preserve">De </w:t>
      </w:r>
      <w:proofErr w:type="spellStart"/>
      <w:r w:rsidRPr="00AD311F">
        <w:rPr>
          <w:sz w:val="24"/>
          <w:szCs w:val="24"/>
        </w:rPr>
        <w:t>rekonstituerede</w:t>
      </w:r>
      <w:proofErr w:type="spellEnd"/>
      <w:r w:rsidRPr="00AD311F">
        <w:rPr>
          <w:sz w:val="24"/>
          <w:szCs w:val="24"/>
        </w:rPr>
        <w:t xml:space="preserve"> opløsninger og infusionsvæsker, opløsninger må ikke nedfryses eller udsættes for </w:t>
      </w:r>
      <w:bookmarkStart w:id="15" w:name="OLE_LINK8"/>
      <w:r w:rsidRPr="00AD311F">
        <w:rPr>
          <w:sz w:val="24"/>
          <w:szCs w:val="24"/>
        </w:rPr>
        <w:t>direkte sollys.</w:t>
      </w:r>
      <w:bookmarkEnd w:id="15"/>
      <w:r w:rsidRPr="00AD311F">
        <w:rPr>
          <w:sz w:val="24"/>
          <w:szCs w:val="24"/>
        </w:rPr>
        <w:t xml:space="preserve"> </w:t>
      </w:r>
    </w:p>
    <w:p w:rsidR="00B62FF6" w:rsidRPr="00AD311F" w:rsidRDefault="00B62FF6" w:rsidP="00B62FF6">
      <w:pPr>
        <w:ind w:left="851" w:hanging="851"/>
        <w:rPr>
          <w:sz w:val="24"/>
          <w:szCs w:val="24"/>
        </w:rPr>
      </w:pPr>
    </w:p>
    <w:p w:rsidR="00B62FF6" w:rsidRPr="00AD311F" w:rsidRDefault="00B62FF6" w:rsidP="00B62FF6">
      <w:pPr>
        <w:ind w:left="851" w:hanging="851"/>
        <w:rPr>
          <w:sz w:val="24"/>
          <w:szCs w:val="24"/>
        </w:rPr>
      </w:pPr>
      <w:r w:rsidRPr="00AD311F">
        <w:rPr>
          <w:sz w:val="24"/>
          <w:szCs w:val="24"/>
        </w:rPr>
        <w:tab/>
        <w:t xml:space="preserve">Hvis infusionsvæsken, opløsningen opbevares i køleskab, skal den bringes til stuetemperatur inden indgivelse. Det er ikke nødvendigt at beskytte infusionsvæsken, opløsningen mod lys under indgivelse. </w:t>
      </w:r>
    </w:p>
    <w:p w:rsidR="00B62FF6" w:rsidRPr="00AD311F" w:rsidRDefault="00B62FF6" w:rsidP="00B62FF6">
      <w:pPr>
        <w:ind w:left="851" w:hanging="851"/>
        <w:rPr>
          <w:sz w:val="24"/>
          <w:szCs w:val="24"/>
        </w:rPr>
      </w:pPr>
    </w:p>
    <w:p w:rsidR="00E92CCD" w:rsidRPr="00553FC4" w:rsidRDefault="00B62FF6" w:rsidP="00B62FF6">
      <w:pPr>
        <w:ind w:left="851" w:hanging="851"/>
        <w:rPr>
          <w:sz w:val="24"/>
          <w:szCs w:val="24"/>
        </w:rPr>
      </w:pPr>
      <w:r w:rsidRPr="00AD311F">
        <w:rPr>
          <w:sz w:val="24"/>
          <w:szCs w:val="24"/>
        </w:rPr>
        <w:tab/>
        <w:t>Infusionsvæsken, opløsningen skal klargøres og anvendes som defineret i pkt. 6.6.</w:t>
      </w: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6.4</w:t>
      </w:r>
      <w:r w:rsidRPr="00553FC4">
        <w:rPr>
          <w:b/>
          <w:sz w:val="24"/>
          <w:szCs w:val="24"/>
        </w:rPr>
        <w:tab/>
        <w:t>Særlige opbevaringsforhold</w:t>
      </w:r>
    </w:p>
    <w:p w:rsidR="00E92CCD" w:rsidRPr="00553FC4" w:rsidRDefault="00E92CCD" w:rsidP="00E92CCD">
      <w:pPr>
        <w:ind w:left="851" w:hanging="851"/>
        <w:rPr>
          <w:sz w:val="24"/>
          <w:szCs w:val="24"/>
        </w:rPr>
      </w:pPr>
      <w:r w:rsidRPr="00553FC4">
        <w:rPr>
          <w:sz w:val="24"/>
          <w:szCs w:val="24"/>
        </w:rPr>
        <w:tab/>
        <w:t xml:space="preserve">Opbevares i køleskab (2 </w:t>
      </w:r>
      <w:r w:rsidRPr="00553FC4">
        <w:rPr>
          <w:sz w:val="24"/>
          <w:szCs w:val="24"/>
        </w:rPr>
        <w:sym w:font="Symbol" w:char="00B0"/>
      </w:r>
      <w:r w:rsidRPr="00553FC4">
        <w:rPr>
          <w:sz w:val="24"/>
          <w:szCs w:val="24"/>
        </w:rPr>
        <w:t xml:space="preserve">C – 8 </w:t>
      </w:r>
      <w:r w:rsidRPr="00553FC4">
        <w:rPr>
          <w:sz w:val="24"/>
          <w:szCs w:val="24"/>
        </w:rPr>
        <w:sym w:font="Symbol" w:char="00B0"/>
      </w:r>
      <w:r w:rsidRPr="00553FC4">
        <w:rPr>
          <w:sz w:val="24"/>
          <w:szCs w:val="24"/>
        </w:rPr>
        <w:t xml:space="preserve">C). Opbevar hætteglasset i den ydre emballage for at beskytte mod lys. </w:t>
      </w:r>
    </w:p>
    <w:p w:rsidR="00E92CCD" w:rsidRPr="00553FC4" w:rsidRDefault="00E92CCD" w:rsidP="00E92CCD">
      <w:pPr>
        <w:ind w:left="851" w:hanging="851"/>
        <w:rPr>
          <w:sz w:val="24"/>
          <w:szCs w:val="24"/>
        </w:rPr>
      </w:pPr>
      <w:r>
        <w:rPr>
          <w:sz w:val="24"/>
          <w:szCs w:val="24"/>
        </w:rPr>
        <w:tab/>
      </w:r>
      <w:r w:rsidRPr="00553FC4">
        <w:rPr>
          <w:sz w:val="24"/>
          <w:szCs w:val="24"/>
        </w:rPr>
        <w:t xml:space="preserve">Opbevaringsforhold efter </w:t>
      </w:r>
      <w:proofErr w:type="spellStart"/>
      <w:r w:rsidRPr="00553FC4">
        <w:rPr>
          <w:sz w:val="24"/>
          <w:szCs w:val="24"/>
        </w:rPr>
        <w:t>rekonstitution</w:t>
      </w:r>
      <w:proofErr w:type="spellEnd"/>
      <w:r w:rsidRPr="00553FC4">
        <w:rPr>
          <w:sz w:val="24"/>
          <w:szCs w:val="24"/>
        </w:rPr>
        <w:t xml:space="preserve"> og fortynding af lægemidlet, se pkt. 6.3. </w:t>
      </w:r>
    </w:p>
    <w:p w:rsidR="00E92CCD" w:rsidRPr="00553FC4" w:rsidRDefault="00E92CCD" w:rsidP="00E92CCD">
      <w:pPr>
        <w:ind w:left="851" w:hanging="851"/>
        <w:rPr>
          <w:sz w:val="24"/>
          <w:szCs w:val="24"/>
        </w:rPr>
      </w:pPr>
    </w:p>
    <w:p w:rsidR="00B62FF6" w:rsidRPr="00AD311F" w:rsidRDefault="00E92CCD" w:rsidP="00B62FF6">
      <w:pPr>
        <w:ind w:left="851" w:hanging="851"/>
        <w:rPr>
          <w:b/>
          <w:sz w:val="24"/>
          <w:szCs w:val="24"/>
        </w:rPr>
      </w:pPr>
      <w:r w:rsidRPr="00553FC4">
        <w:rPr>
          <w:b/>
          <w:sz w:val="24"/>
          <w:szCs w:val="24"/>
        </w:rPr>
        <w:t>6.5</w:t>
      </w:r>
      <w:r w:rsidRPr="00553FC4">
        <w:rPr>
          <w:b/>
          <w:sz w:val="24"/>
          <w:szCs w:val="24"/>
        </w:rPr>
        <w:tab/>
      </w:r>
      <w:bookmarkStart w:id="16" w:name="OLE_LINK11"/>
      <w:r w:rsidR="00B62FF6" w:rsidRPr="00AD311F">
        <w:rPr>
          <w:b/>
          <w:sz w:val="24"/>
          <w:szCs w:val="24"/>
        </w:rPr>
        <w:t>Emballagetyper og pakningsstørrelser</w:t>
      </w:r>
    </w:p>
    <w:p w:rsidR="00B62FF6" w:rsidRPr="00AD311F" w:rsidRDefault="00B62FF6" w:rsidP="00B62FF6">
      <w:pPr>
        <w:ind w:left="851" w:hanging="851"/>
        <w:rPr>
          <w:sz w:val="24"/>
          <w:szCs w:val="24"/>
        </w:rPr>
      </w:pPr>
      <w:r w:rsidRPr="00AD311F">
        <w:rPr>
          <w:sz w:val="24"/>
          <w:szCs w:val="24"/>
        </w:rPr>
        <w:tab/>
        <w:t>Gennemsigtige, 20 ml type 1 hætteglas med en grå butylelastomerlukning og et aluminiumssegl med en flip-</w:t>
      </w:r>
      <w:proofErr w:type="spellStart"/>
      <w:r w:rsidRPr="00AD311F">
        <w:rPr>
          <w:sz w:val="24"/>
          <w:szCs w:val="24"/>
        </w:rPr>
        <w:t>off</w:t>
      </w:r>
      <w:proofErr w:type="spellEnd"/>
      <w:r w:rsidRPr="00AD311F">
        <w:rPr>
          <w:sz w:val="24"/>
          <w:szCs w:val="24"/>
        </w:rPr>
        <w:t xml:space="preserve"> hætte af blå plastik.</w:t>
      </w:r>
    </w:p>
    <w:p w:rsidR="00E92CCD" w:rsidRPr="00553FC4" w:rsidRDefault="00E92CCD" w:rsidP="00B62FF6">
      <w:pPr>
        <w:ind w:left="851" w:hanging="851"/>
        <w:rPr>
          <w:sz w:val="24"/>
          <w:szCs w:val="24"/>
        </w:rPr>
      </w:pPr>
    </w:p>
    <w:p w:rsidR="00E92CCD" w:rsidRPr="00553FC4" w:rsidRDefault="00E92CCD" w:rsidP="00E92CCD">
      <w:pPr>
        <w:ind w:left="851" w:hanging="851"/>
        <w:rPr>
          <w:sz w:val="24"/>
          <w:szCs w:val="24"/>
        </w:rPr>
      </w:pPr>
      <w:r>
        <w:rPr>
          <w:sz w:val="24"/>
          <w:szCs w:val="24"/>
        </w:rPr>
        <w:tab/>
      </w:r>
      <w:r w:rsidRPr="00553FC4">
        <w:rPr>
          <w:sz w:val="24"/>
          <w:szCs w:val="24"/>
        </w:rPr>
        <w:t>Pakningsstørrelse: 10 hætteglas.</w:t>
      </w:r>
      <w:bookmarkEnd w:id="16"/>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6.6</w:t>
      </w:r>
      <w:r w:rsidRPr="00553FC4">
        <w:rPr>
          <w:b/>
          <w:sz w:val="24"/>
          <w:szCs w:val="24"/>
        </w:rPr>
        <w:tab/>
        <w:t>Regler for destruktion og anden håndtering</w:t>
      </w:r>
    </w:p>
    <w:p w:rsidR="00E92CCD" w:rsidRPr="00553FC4" w:rsidRDefault="00E92CCD" w:rsidP="00E92CCD">
      <w:pPr>
        <w:ind w:left="851" w:hanging="851"/>
        <w:rPr>
          <w:sz w:val="24"/>
          <w:szCs w:val="24"/>
        </w:rPr>
      </w:pPr>
      <w:r w:rsidRPr="00553FC4">
        <w:rPr>
          <w:sz w:val="24"/>
          <w:szCs w:val="24"/>
        </w:rPr>
        <w:tab/>
        <w:t xml:space="preserve">Hvert hætteglas er kun til engangsbrug. </w:t>
      </w:r>
    </w:p>
    <w:p w:rsidR="00E92CCD" w:rsidRPr="00553FC4" w:rsidRDefault="00E92CCD" w:rsidP="00E92CCD">
      <w:pPr>
        <w:ind w:left="851" w:hanging="851"/>
        <w:rPr>
          <w:sz w:val="24"/>
          <w:szCs w:val="24"/>
        </w:rPr>
      </w:pPr>
    </w:p>
    <w:p w:rsidR="00E92CCD" w:rsidRPr="00553FC4" w:rsidRDefault="00E92CCD" w:rsidP="00E92CCD">
      <w:pPr>
        <w:ind w:left="851" w:hanging="851"/>
        <w:rPr>
          <w:bCs/>
          <w:sz w:val="24"/>
          <w:szCs w:val="24"/>
        </w:rPr>
      </w:pPr>
      <w:r>
        <w:rPr>
          <w:sz w:val="24"/>
          <w:szCs w:val="24"/>
        </w:rPr>
        <w:tab/>
      </w:r>
      <w:proofErr w:type="spellStart"/>
      <w:r w:rsidRPr="00553FC4">
        <w:rPr>
          <w:sz w:val="24"/>
          <w:szCs w:val="24"/>
        </w:rPr>
        <w:t>Zevtera</w:t>
      </w:r>
      <w:proofErr w:type="spellEnd"/>
      <w:r w:rsidRPr="00553FC4">
        <w:rPr>
          <w:sz w:val="24"/>
          <w:szCs w:val="24"/>
        </w:rPr>
        <w:t xml:space="preserve"> skal </w:t>
      </w:r>
      <w:proofErr w:type="spellStart"/>
      <w:r w:rsidRPr="00553FC4">
        <w:rPr>
          <w:sz w:val="24"/>
          <w:szCs w:val="24"/>
        </w:rPr>
        <w:t>rekonstitueres</w:t>
      </w:r>
      <w:proofErr w:type="spellEnd"/>
      <w:r w:rsidRPr="00553FC4">
        <w:rPr>
          <w:sz w:val="24"/>
          <w:szCs w:val="24"/>
        </w:rPr>
        <w:t xml:space="preserve"> og derefter yderligere fortyndes inden infusion. </w:t>
      </w:r>
    </w:p>
    <w:p w:rsidR="00E92CCD" w:rsidRPr="00553FC4" w:rsidRDefault="00E92CCD" w:rsidP="00E92CCD">
      <w:pPr>
        <w:ind w:left="851" w:hanging="851"/>
        <w:rPr>
          <w:sz w:val="24"/>
          <w:szCs w:val="24"/>
        </w:rPr>
      </w:pPr>
    </w:p>
    <w:p w:rsidR="00B62FF6" w:rsidRPr="00AD311F" w:rsidRDefault="00E92CCD" w:rsidP="00B62FF6">
      <w:pPr>
        <w:keepNext/>
        <w:ind w:left="851" w:hanging="851"/>
        <w:rPr>
          <w:b/>
          <w:bCs/>
          <w:sz w:val="24"/>
          <w:szCs w:val="24"/>
        </w:rPr>
      </w:pPr>
      <w:r>
        <w:rPr>
          <w:b/>
          <w:bCs/>
          <w:sz w:val="24"/>
          <w:szCs w:val="24"/>
        </w:rPr>
        <w:tab/>
      </w:r>
      <w:r w:rsidR="00B62FF6" w:rsidRPr="00AD311F">
        <w:rPr>
          <w:b/>
          <w:bCs/>
          <w:sz w:val="24"/>
          <w:szCs w:val="24"/>
        </w:rPr>
        <w:t xml:space="preserve">Trin 1. </w:t>
      </w:r>
      <w:proofErr w:type="spellStart"/>
      <w:r w:rsidR="00B62FF6" w:rsidRPr="00AD311F">
        <w:rPr>
          <w:b/>
          <w:bCs/>
          <w:sz w:val="24"/>
          <w:szCs w:val="24"/>
        </w:rPr>
        <w:t>Rekonstitution</w:t>
      </w:r>
      <w:proofErr w:type="spellEnd"/>
      <w:r w:rsidR="00B62FF6" w:rsidRPr="00AD311F">
        <w:rPr>
          <w:b/>
          <w:bCs/>
          <w:sz w:val="24"/>
          <w:szCs w:val="24"/>
        </w:rPr>
        <w:t xml:space="preserve"> </w:t>
      </w:r>
    </w:p>
    <w:p w:rsidR="00B62FF6" w:rsidRPr="00AD311F" w:rsidRDefault="00B62FF6" w:rsidP="00B62FF6">
      <w:pPr>
        <w:ind w:left="851" w:hanging="851"/>
        <w:rPr>
          <w:b/>
          <w:bCs/>
          <w:sz w:val="24"/>
          <w:szCs w:val="24"/>
          <w:u w:val="single"/>
        </w:rPr>
      </w:pPr>
    </w:p>
    <w:p w:rsidR="00B62FF6" w:rsidRPr="00AD311F" w:rsidRDefault="00B62FF6" w:rsidP="00B62FF6">
      <w:pPr>
        <w:ind w:left="851" w:hanging="851"/>
        <w:rPr>
          <w:sz w:val="24"/>
          <w:szCs w:val="24"/>
        </w:rPr>
      </w:pPr>
      <w:r w:rsidRPr="00AD311F">
        <w:rPr>
          <w:sz w:val="24"/>
          <w:szCs w:val="24"/>
        </w:rPr>
        <w:tab/>
        <w:t xml:space="preserve">Til voksne og pædiatriske patienter </w:t>
      </w:r>
      <w:r w:rsidRPr="00AD311F">
        <w:t>≥</w:t>
      </w:r>
      <w:r w:rsidRPr="00AD311F">
        <w:rPr>
          <w:sz w:val="24"/>
          <w:szCs w:val="24"/>
        </w:rPr>
        <w:t xml:space="preserve"> 12 år, som kræver en infusionsopløsning med en </w:t>
      </w:r>
      <w:proofErr w:type="spellStart"/>
      <w:r w:rsidRPr="00AD311F">
        <w:rPr>
          <w:sz w:val="24"/>
          <w:szCs w:val="24"/>
        </w:rPr>
        <w:t>ceftobiprolkoncentration</w:t>
      </w:r>
      <w:proofErr w:type="spellEnd"/>
      <w:r w:rsidRPr="00AD311F">
        <w:rPr>
          <w:sz w:val="24"/>
          <w:szCs w:val="24"/>
        </w:rPr>
        <w:t xml:space="preserve"> på 2 mg/ml, skal det frysetørrede pulver </w:t>
      </w:r>
      <w:proofErr w:type="spellStart"/>
      <w:r w:rsidRPr="00AD311F">
        <w:rPr>
          <w:sz w:val="24"/>
          <w:szCs w:val="24"/>
        </w:rPr>
        <w:t>rekonstitueres</w:t>
      </w:r>
      <w:proofErr w:type="spellEnd"/>
      <w:r w:rsidRPr="00AD311F">
        <w:rPr>
          <w:sz w:val="24"/>
          <w:szCs w:val="24"/>
        </w:rPr>
        <w:t xml:space="preserve"> med 10 ml sterilt vand til injektionsvæsker eller </w:t>
      </w:r>
      <w:proofErr w:type="spellStart"/>
      <w:r w:rsidRPr="00AD311F">
        <w:rPr>
          <w:sz w:val="24"/>
          <w:szCs w:val="24"/>
        </w:rPr>
        <w:t>glucose</w:t>
      </w:r>
      <w:proofErr w:type="spellEnd"/>
      <w:r w:rsidRPr="00AD311F">
        <w:rPr>
          <w:sz w:val="24"/>
          <w:szCs w:val="24"/>
        </w:rPr>
        <w:t xml:space="preserve"> 50 mg/ml (5 %) injektionsvæske, opløsning.</w:t>
      </w:r>
    </w:p>
    <w:p w:rsidR="00B62FF6" w:rsidRPr="00AD311F" w:rsidRDefault="00B62FF6" w:rsidP="00B62FF6">
      <w:pPr>
        <w:ind w:left="851"/>
        <w:rPr>
          <w:sz w:val="24"/>
          <w:szCs w:val="24"/>
        </w:rPr>
      </w:pPr>
    </w:p>
    <w:p w:rsidR="00B62FF6" w:rsidRPr="00AD311F" w:rsidRDefault="00B62FF6" w:rsidP="00B62FF6">
      <w:pPr>
        <w:ind w:left="851"/>
        <w:rPr>
          <w:sz w:val="24"/>
          <w:szCs w:val="24"/>
        </w:rPr>
      </w:pPr>
      <w:r w:rsidRPr="00AD311F">
        <w:rPr>
          <w:sz w:val="24"/>
          <w:szCs w:val="24"/>
        </w:rPr>
        <w:t xml:space="preserve">Til pædiatriske patienter &lt; 12 år, som kræver en infusionsopløsning med en </w:t>
      </w:r>
      <w:proofErr w:type="spellStart"/>
      <w:r w:rsidRPr="00AD311F">
        <w:rPr>
          <w:sz w:val="24"/>
          <w:szCs w:val="24"/>
        </w:rPr>
        <w:t>ceftobiprolkoncentration</w:t>
      </w:r>
      <w:proofErr w:type="spellEnd"/>
      <w:r w:rsidRPr="00AD311F">
        <w:rPr>
          <w:sz w:val="24"/>
          <w:szCs w:val="24"/>
        </w:rPr>
        <w:t xml:space="preserve"> på 4 mg/ml, skal det frysetørrede pulver </w:t>
      </w:r>
      <w:proofErr w:type="spellStart"/>
      <w:r w:rsidRPr="00AD311F">
        <w:rPr>
          <w:sz w:val="24"/>
          <w:szCs w:val="24"/>
        </w:rPr>
        <w:t>rekonstitueres</w:t>
      </w:r>
      <w:proofErr w:type="spellEnd"/>
      <w:r w:rsidRPr="00AD311F">
        <w:rPr>
          <w:sz w:val="24"/>
          <w:szCs w:val="24"/>
        </w:rPr>
        <w:t xml:space="preserve"> enten med 10 ml </w:t>
      </w:r>
      <w:proofErr w:type="spellStart"/>
      <w:r w:rsidRPr="00AD311F">
        <w:rPr>
          <w:sz w:val="24"/>
          <w:szCs w:val="24"/>
        </w:rPr>
        <w:t>glucose</w:t>
      </w:r>
      <w:proofErr w:type="spellEnd"/>
      <w:r w:rsidRPr="00AD311F">
        <w:rPr>
          <w:sz w:val="24"/>
          <w:szCs w:val="24"/>
        </w:rPr>
        <w:t xml:space="preserve"> 50 mg/ml (5 %) injektionsvæske, opløsning, hvis yderligere fortynding udføres med det samme fortyndingsmiddel (dvs. </w:t>
      </w:r>
      <w:proofErr w:type="spellStart"/>
      <w:r w:rsidRPr="00AD311F">
        <w:rPr>
          <w:sz w:val="24"/>
          <w:szCs w:val="24"/>
        </w:rPr>
        <w:t>glucose</w:t>
      </w:r>
      <w:proofErr w:type="spellEnd"/>
      <w:r w:rsidRPr="00AD311F">
        <w:rPr>
          <w:sz w:val="24"/>
          <w:szCs w:val="24"/>
        </w:rPr>
        <w:t xml:space="preserve"> 50 mg/ml (5 %) injektionsvæske, opløsning) eller med 10 ml vand til injektionsvæsker, hvis yderligere fortynding udføres med </w:t>
      </w:r>
      <w:proofErr w:type="spellStart"/>
      <w:r w:rsidRPr="00AD311F">
        <w:rPr>
          <w:sz w:val="24"/>
          <w:szCs w:val="24"/>
        </w:rPr>
        <w:t>natriumchlorid</w:t>
      </w:r>
      <w:proofErr w:type="spellEnd"/>
      <w:r w:rsidRPr="00AD311F">
        <w:rPr>
          <w:sz w:val="24"/>
          <w:szCs w:val="24"/>
        </w:rPr>
        <w:t xml:space="preserve"> 9 mg/ml (0,9 %) injektionsvæske, opløsning (se tabellerne i pkt. 6.3).</w:t>
      </w:r>
    </w:p>
    <w:p w:rsidR="00B62FF6" w:rsidRPr="00AD311F" w:rsidRDefault="00B62FF6" w:rsidP="00B62FF6">
      <w:pPr>
        <w:ind w:left="851"/>
        <w:rPr>
          <w:sz w:val="24"/>
          <w:szCs w:val="24"/>
        </w:rPr>
      </w:pPr>
    </w:p>
    <w:p w:rsidR="00B62FF6" w:rsidRPr="00AD311F" w:rsidRDefault="00B62FF6" w:rsidP="00B62FF6">
      <w:pPr>
        <w:ind w:left="851"/>
        <w:rPr>
          <w:sz w:val="24"/>
          <w:szCs w:val="24"/>
        </w:rPr>
      </w:pPr>
      <w:r w:rsidRPr="00AD311F">
        <w:rPr>
          <w:sz w:val="24"/>
          <w:szCs w:val="24"/>
        </w:rPr>
        <w:t xml:space="preserve">Hætteglasset skal rystes kraftigt, indtil pulveret opløses fuldstændigt, hvilket i visse tilfælde kan tage op til 10 minutter. Volumen af det resulterende koncentrat er cirka 10,6 ml. Eventuelt skum skal have lov til at opløses, og den </w:t>
      </w:r>
      <w:proofErr w:type="spellStart"/>
      <w:r w:rsidRPr="00AD311F">
        <w:rPr>
          <w:sz w:val="24"/>
          <w:szCs w:val="24"/>
        </w:rPr>
        <w:t>rekonstituerede</w:t>
      </w:r>
      <w:proofErr w:type="spellEnd"/>
      <w:r w:rsidRPr="00AD311F">
        <w:rPr>
          <w:sz w:val="24"/>
          <w:szCs w:val="24"/>
        </w:rPr>
        <w:t xml:space="preserve"> opløsning skal efterses visuelt for at sikre, at produktet er opløst og uden partikler. Det </w:t>
      </w:r>
      <w:proofErr w:type="spellStart"/>
      <w:r w:rsidRPr="00AD311F">
        <w:rPr>
          <w:sz w:val="24"/>
          <w:szCs w:val="24"/>
        </w:rPr>
        <w:t>rekonstituerede</w:t>
      </w:r>
      <w:proofErr w:type="spellEnd"/>
      <w:r w:rsidRPr="00AD311F">
        <w:rPr>
          <w:sz w:val="24"/>
          <w:szCs w:val="24"/>
        </w:rPr>
        <w:t xml:space="preserve"> koncentrat indeholder 50 mg/ml </w:t>
      </w:r>
      <w:proofErr w:type="spellStart"/>
      <w:r w:rsidRPr="00AD311F">
        <w:rPr>
          <w:sz w:val="24"/>
          <w:szCs w:val="24"/>
        </w:rPr>
        <w:t>ceftobiprol</w:t>
      </w:r>
      <w:proofErr w:type="spellEnd"/>
      <w:r w:rsidRPr="00AD311F">
        <w:rPr>
          <w:sz w:val="24"/>
          <w:szCs w:val="24"/>
        </w:rPr>
        <w:t xml:space="preserve"> (som 66,7 mg/ml </w:t>
      </w:r>
      <w:proofErr w:type="spellStart"/>
      <w:r w:rsidRPr="00AD311F">
        <w:rPr>
          <w:sz w:val="24"/>
          <w:szCs w:val="24"/>
        </w:rPr>
        <w:t>ceftobiprolmedocarilnatrium</w:t>
      </w:r>
      <w:proofErr w:type="spellEnd"/>
      <w:r w:rsidRPr="00AD311F">
        <w:rPr>
          <w:sz w:val="24"/>
          <w:szCs w:val="24"/>
        </w:rPr>
        <w:t xml:space="preserve">) og skal fortyndes yderligere inden indgivelse. Det anbefales, at den </w:t>
      </w:r>
      <w:proofErr w:type="spellStart"/>
      <w:r w:rsidRPr="00AD311F">
        <w:rPr>
          <w:sz w:val="24"/>
          <w:szCs w:val="24"/>
        </w:rPr>
        <w:t>rekonstituerede</w:t>
      </w:r>
      <w:proofErr w:type="spellEnd"/>
      <w:r w:rsidRPr="00AD311F">
        <w:rPr>
          <w:sz w:val="24"/>
          <w:szCs w:val="24"/>
        </w:rPr>
        <w:t xml:space="preserve"> opløsning straks fortyndes yderligere. Hvis dette ikke er muligt, kan den </w:t>
      </w:r>
      <w:proofErr w:type="spellStart"/>
      <w:r w:rsidRPr="00AD311F">
        <w:rPr>
          <w:sz w:val="24"/>
          <w:szCs w:val="24"/>
        </w:rPr>
        <w:t>rekonstituerede</w:t>
      </w:r>
      <w:proofErr w:type="spellEnd"/>
      <w:r w:rsidRPr="00AD311F">
        <w:rPr>
          <w:sz w:val="24"/>
          <w:szCs w:val="24"/>
        </w:rPr>
        <w:t xml:space="preserve"> opløsning opbevares ved stuetemperatur i op til en time eller i køleskab i op til 24 timer. </w:t>
      </w:r>
    </w:p>
    <w:p w:rsidR="00B62FF6" w:rsidRPr="00AD311F" w:rsidRDefault="00B62FF6" w:rsidP="00B62FF6">
      <w:pPr>
        <w:ind w:left="851" w:hanging="851"/>
        <w:rPr>
          <w:sz w:val="24"/>
          <w:szCs w:val="24"/>
        </w:rPr>
      </w:pPr>
    </w:p>
    <w:p w:rsidR="00B62FF6" w:rsidRPr="00AD311F" w:rsidRDefault="00B62FF6" w:rsidP="00B62FF6">
      <w:pPr>
        <w:ind w:left="851" w:hanging="851"/>
        <w:rPr>
          <w:b/>
          <w:bCs/>
          <w:sz w:val="24"/>
          <w:szCs w:val="24"/>
        </w:rPr>
      </w:pPr>
      <w:r w:rsidRPr="00AD311F">
        <w:rPr>
          <w:b/>
          <w:bCs/>
          <w:sz w:val="24"/>
          <w:szCs w:val="24"/>
        </w:rPr>
        <w:tab/>
        <w:t>Trin 2. Fortynding (infusionsopløsning)</w:t>
      </w:r>
    </w:p>
    <w:p w:rsidR="00B62FF6" w:rsidRPr="00AD311F" w:rsidRDefault="00B62FF6" w:rsidP="00B62FF6">
      <w:pPr>
        <w:ind w:left="851" w:hanging="851"/>
        <w:rPr>
          <w:sz w:val="24"/>
          <w:szCs w:val="24"/>
        </w:rPr>
      </w:pPr>
    </w:p>
    <w:p w:rsidR="00B62FF6" w:rsidRDefault="00B62FF6" w:rsidP="00B62FF6">
      <w:pPr>
        <w:autoSpaceDE w:val="0"/>
        <w:autoSpaceDN w:val="0"/>
        <w:adjustRightInd w:val="0"/>
        <w:ind w:left="851"/>
        <w:rPr>
          <w:b/>
          <w:i/>
          <w:sz w:val="24"/>
          <w:szCs w:val="24"/>
        </w:rPr>
      </w:pPr>
      <w:r w:rsidRPr="00AD311F">
        <w:rPr>
          <w:b/>
          <w:i/>
          <w:sz w:val="24"/>
          <w:szCs w:val="24"/>
        </w:rPr>
        <w:t>Brug hos voksne og pædiatriske patienter ≥ 12 år</w:t>
      </w:r>
    </w:p>
    <w:p w:rsidR="00AB41BE" w:rsidRPr="00AD311F" w:rsidRDefault="00AB41BE" w:rsidP="00B62FF6">
      <w:pPr>
        <w:autoSpaceDE w:val="0"/>
        <w:autoSpaceDN w:val="0"/>
        <w:adjustRightInd w:val="0"/>
        <w:ind w:left="851"/>
        <w:rPr>
          <w:b/>
          <w:i/>
          <w:sz w:val="24"/>
          <w:szCs w:val="24"/>
        </w:rPr>
      </w:pPr>
    </w:p>
    <w:p w:rsidR="00B62FF6" w:rsidRPr="00AD311F" w:rsidRDefault="00B62FF6" w:rsidP="00B62FF6">
      <w:pPr>
        <w:ind w:left="851"/>
        <w:rPr>
          <w:sz w:val="24"/>
          <w:szCs w:val="24"/>
          <w:u w:val="single"/>
        </w:rPr>
      </w:pPr>
      <w:r w:rsidRPr="00AD311F">
        <w:rPr>
          <w:sz w:val="24"/>
          <w:szCs w:val="24"/>
          <w:u w:val="single"/>
        </w:rPr>
        <w:t xml:space="preserve">Forberedelse af 500 mg dosen af </w:t>
      </w:r>
      <w:proofErr w:type="spellStart"/>
      <w:r w:rsidRPr="00AD311F">
        <w:rPr>
          <w:sz w:val="24"/>
          <w:szCs w:val="24"/>
          <w:u w:val="single"/>
        </w:rPr>
        <w:t>Zevtera</w:t>
      </w:r>
      <w:proofErr w:type="spellEnd"/>
      <w:r w:rsidRPr="00AD311F">
        <w:rPr>
          <w:sz w:val="24"/>
          <w:szCs w:val="24"/>
          <w:u w:val="single"/>
        </w:rPr>
        <w:t xml:space="preserve"> infusionsvæske, opløsning (2 mg/ml </w:t>
      </w:r>
      <w:proofErr w:type="spellStart"/>
      <w:r w:rsidRPr="00AD311F">
        <w:rPr>
          <w:sz w:val="24"/>
          <w:szCs w:val="24"/>
          <w:u w:val="single"/>
        </w:rPr>
        <w:t>ceftobiprol</w:t>
      </w:r>
      <w:proofErr w:type="spellEnd"/>
      <w:r w:rsidRPr="00AD311F">
        <w:rPr>
          <w:sz w:val="24"/>
          <w:szCs w:val="24"/>
          <w:u w:val="single"/>
        </w:rPr>
        <w:t>)</w:t>
      </w:r>
    </w:p>
    <w:p w:rsidR="00B62FF6" w:rsidRPr="00AD311F" w:rsidRDefault="00B62FF6" w:rsidP="00B62FF6">
      <w:pPr>
        <w:ind w:left="851"/>
        <w:rPr>
          <w:sz w:val="24"/>
          <w:szCs w:val="24"/>
        </w:rPr>
      </w:pPr>
      <w:r w:rsidRPr="00AD311F">
        <w:rPr>
          <w:sz w:val="24"/>
          <w:szCs w:val="24"/>
        </w:rPr>
        <w:t xml:space="preserve">10 ml af den </w:t>
      </w:r>
      <w:proofErr w:type="spellStart"/>
      <w:r w:rsidRPr="00AD311F">
        <w:rPr>
          <w:sz w:val="24"/>
          <w:szCs w:val="24"/>
        </w:rPr>
        <w:t>rekonstituerede</w:t>
      </w:r>
      <w:proofErr w:type="spellEnd"/>
      <w:r w:rsidRPr="00AD311F">
        <w:rPr>
          <w:sz w:val="24"/>
          <w:szCs w:val="24"/>
        </w:rPr>
        <w:t xml:space="preserve"> opløsning skal trækkes op af hætteglasset og injiceres i en egnet beholder (f.eks. </w:t>
      </w:r>
      <w:proofErr w:type="spellStart"/>
      <w:r w:rsidRPr="00AD311F">
        <w:rPr>
          <w:sz w:val="24"/>
          <w:szCs w:val="24"/>
        </w:rPr>
        <w:t>polyvinylchlorid</w:t>
      </w:r>
      <w:proofErr w:type="spellEnd"/>
      <w:r w:rsidRPr="00AD311F">
        <w:rPr>
          <w:sz w:val="24"/>
          <w:szCs w:val="24"/>
        </w:rPr>
        <w:t xml:space="preserve"> eller </w:t>
      </w:r>
      <w:proofErr w:type="spellStart"/>
      <w:r w:rsidRPr="00AD311F">
        <w:rPr>
          <w:sz w:val="24"/>
          <w:szCs w:val="24"/>
        </w:rPr>
        <w:t>polyethylen</w:t>
      </w:r>
      <w:proofErr w:type="spellEnd"/>
      <w:r w:rsidRPr="00AD311F">
        <w:rPr>
          <w:sz w:val="24"/>
          <w:szCs w:val="24"/>
        </w:rPr>
        <w:t xml:space="preserve"> infusionsposer, glasflasker), der indeholder 250 ml </w:t>
      </w:r>
      <w:proofErr w:type="spellStart"/>
      <w:r w:rsidRPr="00AD311F">
        <w:rPr>
          <w:sz w:val="24"/>
          <w:szCs w:val="24"/>
        </w:rPr>
        <w:t>natriumchlorid</w:t>
      </w:r>
      <w:proofErr w:type="spellEnd"/>
      <w:r w:rsidRPr="00AD311F">
        <w:rPr>
          <w:sz w:val="24"/>
          <w:szCs w:val="24"/>
        </w:rPr>
        <w:t xml:space="preserve"> 9 mg/ml (0,9 %) injektionsvæske, opløsning, </w:t>
      </w:r>
      <w:proofErr w:type="spellStart"/>
      <w:r w:rsidRPr="00AD311F">
        <w:rPr>
          <w:sz w:val="24"/>
          <w:szCs w:val="24"/>
        </w:rPr>
        <w:t>glucose</w:t>
      </w:r>
      <w:proofErr w:type="spellEnd"/>
      <w:r w:rsidRPr="00AD311F">
        <w:rPr>
          <w:sz w:val="24"/>
          <w:szCs w:val="24"/>
        </w:rPr>
        <w:t xml:space="preserve"> 50 mg/ml (5 %) injektionsvæske, opløsning, eller Ringers laktat-injektionsvæske. Vend </w:t>
      </w:r>
      <w:r w:rsidRPr="00AD311F">
        <w:rPr>
          <w:sz w:val="24"/>
          <w:szCs w:val="24"/>
        </w:rPr>
        <w:lastRenderedPageBreak/>
        <w:t>forsigtigt infusionsvæsken, opløsningen på hovedet 5-10 gange for at danne en homogen opløsning. Kraftig omrystning skal undgås for at forebygge skumdannelse.</w:t>
      </w:r>
    </w:p>
    <w:p w:rsidR="00B62FF6" w:rsidRPr="00AD311F" w:rsidRDefault="00B62FF6" w:rsidP="00B62FF6">
      <w:pPr>
        <w:ind w:left="851"/>
        <w:rPr>
          <w:sz w:val="24"/>
          <w:szCs w:val="24"/>
        </w:rPr>
      </w:pPr>
    </w:p>
    <w:p w:rsidR="00B62FF6" w:rsidRPr="00AD311F" w:rsidRDefault="00B62FF6" w:rsidP="00B62FF6">
      <w:pPr>
        <w:ind w:left="851"/>
        <w:rPr>
          <w:sz w:val="24"/>
          <w:szCs w:val="24"/>
        </w:rPr>
      </w:pPr>
      <w:r w:rsidRPr="00AD311F">
        <w:rPr>
          <w:sz w:val="24"/>
          <w:szCs w:val="24"/>
        </w:rPr>
        <w:t xml:space="preserve">Hos voksne skal hele indholdet af infusionsposen indgives for at indgive en dosis på 500 mg </w:t>
      </w:r>
      <w:proofErr w:type="spellStart"/>
      <w:r w:rsidRPr="00AD311F">
        <w:rPr>
          <w:sz w:val="24"/>
          <w:szCs w:val="24"/>
        </w:rPr>
        <w:t>Zevtera</w:t>
      </w:r>
      <w:proofErr w:type="spellEnd"/>
      <w:r w:rsidRPr="00AD311F">
        <w:rPr>
          <w:sz w:val="24"/>
          <w:szCs w:val="24"/>
        </w:rPr>
        <w:t>.</w:t>
      </w:r>
    </w:p>
    <w:p w:rsidR="00B62FF6" w:rsidRPr="00AD311F" w:rsidRDefault="00B62FF6" w:rsidP="00B62FF6">
      <w:pPr>
        <w:ind w:left="851"/>
        <w:rPr>
          <w:sz w:val="24"/>
          <w:szCs w:val="24"/>
        </w:rPr>
      </w:pPr>
    </w:p>
    <w:p w:rsidR="00AB41BE" w:rsidRDefault="00AB41BE" w:rsidP="00AB41BE">
      <w:pPr>
        <w:ind w:left="851"/>
        <w:rPr>
          <w:sz w:val="24"/>
          <w:szCs w:val="24"/>
        </w:rPr>
      </w:pPr>
      <w:r>
        <w:rPr>
          <w:sz w:val="24"/>
          <w:szCs w:val="24"/>
        </w:rPr>
        <w:t xml:space="preserve">Hos pædiatriske patienter </w:t>
      </w:r>
      <w:r>
        <w:t>≥</w:t>
      </w:r>
      <w:r>
        <w:rPr>
          <w:sz w:val="24"/>
          <w:szCs w:val="24"/>
        </w:rPr>
        <w:t> 12 år skal den mængde, der skal administreres, beregnes baseret på patientens legemsvægt (se pkt. 4.2) og må ikke overstige et maksimum på 250 ml (dosis på 500 mg).</w:t>
      </w:r>
    </w:p>
    <w:p w:rsidR="00B62FF6" w:rsidRPr="00AD311F" w:rsidRDefault="00B62FF6" w:rsidP="00B62FF6">
      <w:pPr>
        <w:ind w:left="851"/>
        <w:rPr>
          <w:sz w:val="24"/>
          <w:szCs w:val="24"/>
        </w:rPr>
      </w:pPr>
    </w:p>
    <w:p w:rsidR="00B62FF6" w:rsidRPr="00AD311F" w:rsidRDefault="00B62FF6" w:rsidP="00B62FF6">
      <w:pPr>
        <w:ind w:left="851"/>
        <w:rPr>
          <w:sz w:val="24"/>
          <w:szCs w:val="24"/>
          <w:u w:val="single"/>
        </w:rPr>
      </w:pPr>
      <w:r w:rsidRPr="00AD311F">
        <w:rPr>
          <w:sz w:val="24"/>
          <w:szCs w:val="24"/>
          <w:u w:val="single"/>
        </w:rPr>
        <w:t xml:space="preserve">Forberedelse af dosen på 250 mg </w:t>
      </w:r>
      <w:proofErr w:type="spellStart"/>
      <w:r w:rsidRPr="00AD311F">
        <w:rPr>
          <w:sz w:val="24"/>
          <w:szCs w:val="24"/>
          <w:u w:val="single"/>
        </w:rPr>
        <w:t>Zevtera</w:t>
      </w:r>
      <w:proofErr w:type="spellEnd"/>
      <w:r w:rsidRPr="00AD311F">
        <w:rPr>
          <w:sz w:val="24"/>
          <w:szCs w:val="24"/>
          <w:u w:val="single"/>
        </w:rPr>
        <w:t xml:space="preserve"> infusionsvæske, opløsning til</w:t>
      </w:r>
      <w:r w:rsidR="00AB41BE">
        <w:rPr>
          <w:sz w:val="24"/>
          <w:szCs w:val="24"/>
          <w:u w:val="single"/>
        </w:rPr>
        <w:t xml:space="preserve"> voksne</w:t>
      </w:r>
      <w:r w:rsidRPr="00AD311F">
        <w:rPr>
          <w:sz w:val="24"/>
          <w:szCs w:val="24"/>
          <w:u w:val="single"/>
        </w:rPr>
        <w:t xml:space="preserve"> patienter med svært nedsat nyrefunktion</w:t>
      </w:r>
    </w:p>
    <w:p w:rsidR="00B62FF6" w:rsidRPr="00AD311F" w:rsidRDefault="00B62FF6" w:rsidP="00B62FF6">
      <w:pPr>
        <w:ind w:left="851"/>
        <w:rPr>
          <w:sz w:val="24"/>
          <w:szCs w:val="24"/>
        </w:rPr>
      </w:pPr>
      <w:r w:rsidRPr="00AD311F">
        <w:rPr>
          <w:sz w:val="24"/>
          <w:szCs w:val="24"/>
        </w:rPr>
        <w:t xml:space="preserve">5 ml af den </w:t>
      </w:r>
      <w:proofErr w:type="spellStart"/>
      <w:r w:rsidRPr="00AD311F">
        <w:rPr>
          <w:sz w:val="24"/>
          <w:szCs w:val="24"/>
        </w:rPr>
        <w:t>rekonstituerede</w:t>
      </w:r>
      <w:proofErr w:type="spellEnd"/>
      <w:r w:rsidRPr="00AD311F">
        <w:rPr>
          <w:sz w:val="24"/>
          <w:szCs w:val="24"/>
        </w:rPr>
        <w:t xml:space="preserve"> opløsning skal trækkes op af hætteglasset og injiceres i en egnet beholder (f.eks. </w:t>
      </w:r>
      <w:proofErr w:type="spellStart"/>
      <w:r w:rsidRPr="00AD311F">
        <w:rPr>
          <w:sz w:val="24"/>
          <w:szCs w:val="24"/>
        </w:rPr>
        <w:t>polyvinylchlorid</w:t>
      </w:r>
      <w:proofErr w:type="spellEnd"/>
      <w:r w:rsidRPr="00AD311F">
        <w:rPr>
          <w:sz w:val="24"/>
          <w:szCs w:val="24"/>
        </w:rPr>
        <w:t xml:space="preserve"> eller </w:t>
      </w:r>
      <w:proofErr w:type="spellStart"/>
      <w:r w:rsidRPr="00AD311F">
        <w:rPr>
          <w:sz w:val="24"/>
          <w:szCs w:val="24"/>
        </w:rPr>
        <w:t>polyethylen</w:t>
      </w:r>
      <w:proofErr w:type="spellEnd"/>
      <w:r w:rsidRPr="00AD311F">
        <w:rPr>
          <w:sz w:val="24"/>
          <w:szCs w:val="24"/>
        </w:rPr>
        <w:t xml:space="preserve"> infusionsposer, glasflasker), der indeholder 125 ml </w:t>
      </w:r>
      <w:proofErr w:type="spellStart"/>
      <w:r w:rsidRPr="00AD311F">
        <w:rPr>
          <w:sz w:val="24"/>
          <w:szCs w:val="24"/>
        </w:rPr>
        <w:t>natriumchlorid</w:t>
      </w:r>
      <w:proofErr w:type="spellEnd"/>
      <w:r w:rsidRPr="00AD311F">
        <w:rPr>
          <w:sz w:val="24"/>
          <w:szCs w:val="24"/>
        </w:rPr>
        <w:t xml:space="preserve"> 9 mg/ml (0,9 %) injektionsvæske, opløsning, </w:t>
      </w:r>
      <w:proofErr w:type="spellStart"/>
      <w:r w:rsidRPr="00AD311F">
        <w:rPr>
          <w:sz w:val="24"/>
          <w:szCs w:val="24"/>
        </w:rPr>
        <w:t>glucose</w:t>
      </w:r>
      <w:proofErr w:type="spellEnd"/>
      <w:r w:rsidRPr="00AD311F">
        <w:rPr>
          <w:sz w:val="24"/>
          <w:szCs w:val="24"/>
        </w:rPr>
        <w:t xml:space="preserve"> 50 mg/ml (5 %) injektionsvæske, opløsning, eller Ringers laktat-injektionsvæske. Vend forsigtigt infusionsvæsken, opløsningen på hovedet 5-10 gange for at danne en homogen opløsning. Kraftig omrystning skal undgås for at forebygge skumdannelse. Hele indholdet af infusionsposen skal indgives for at indgive en dosis på 250 mg </w:t>
      </w:r>
      <w:proofErr w:type="spellStart"/>
      <w:r w:rsidRPr="00AD311F">
        <w:rPr>
          <w:sz w:val="24"/>
          <w:szCs w:val="24"/>
        </w:rPr>
        <w:t>Zevtera</w:t>
      </w:r>
      <w:proofErr w:type="spellEnd"/>
      <w:r w:rsidRPr="00AD311F">
        <w:rPr>
          <w:sz w:val="24"/>
          <w:szCs w:val="24"/>
        </w:rPr>
        <w:t>.</w:t>
      </w:r>
    </w:p>
    <w:p w:rsidR="00B62FF6" w:rsidRPr="00AD311F" w:rsidRDefault="00B62FF6" w:rsidP="00B62FF6">
      <w:pPr>
        <w:ind w:left="851"/>
        <w:rPr>
          <w:sz w:val="24"/>
          <w:szCs w:val="24"/>
        </w:rPr>
      </w:pPr>
    </w:p>
    <w:p w:rsidR="00B62FF6" w:rsidRPr="00AD311F" w:rsidRDefault="00B62FF6" w:rsidP="00B62FF6">
      <w:pPr>
        <w:ind w:left="851"/>
        <w:rPr>
          <w:sz w:val="24"/>
          <w:szCs w:val="24"/>
        </w:rPr>
      </w:pPr>
    </w:p>
    <w:p w:rsidR="00B62FF6" w:rsidRDefault="00B62FF6" w:rsidP="00B62FF6">
      <w:pPr>
        <w:ind w:left="851"/>
        <w:rPr>
          <w:b/>
          <w:i/>
          <w:sz w:val="24"/>
          <w:szCs w:val="24"/>
        </w:rPr>
      </w:pPr>
      <w:r w:rsidRPr="00AD311F">
        <w:rPr>
          <w:b/>
          <w:i/>
          <w:iCs/>
          <w:sz w:val="24"/>
          <w:szCs w:val="24"/>
        </w:rPr>
        <w:t xml:space="preserve">Brug hos </w:t>
      </w:r>
      <w:r w:rsidRPr="00AD311F">
        <w:rPr>
          <w:b/>
          <w:i/>
          <w:sz w:val="24"/>
          <w:szCs w:val="24"/>
        </w:rPr>
        <w:t>pædiatriske patienter &lt; 12 år</w:t>
      </w:r>
    </w:p>
    <w:p w:rsidR="00AB41BE" w:rsidRPr="00AD311F" w:rsidRDefault="00AB41BE" w:rsidP="00B62FF6">
      <w:pPr>
        <w:ind w:left="851"/>
        <w:rPr>
          <w:sz w:val="24"/>
          <w:szCs w:val="24"/>
          <w:u w:val="single"/>
        </w:rPr>
      </w:pPr>
    </w:p>
    <w:p w:rsidR="00B62FF6" w:rsidRDefault="00B62FF6" w:rsidP="00B62FF6">
      <w:pPr>
        <w:ind w:left="851"/>
        <w:rPr>
          <w:sz w:val="24"/>
          <w:szCs w:val="24"/>
          <w:u w:val="single"/>
        </w:rPr>
      </w:pPr>
      <w:r w:rsidRPr="00AD311F">
        <w:rPr>
          <w:sz w:val="24"/>
          <w:szCs w:val="24"/>
          <w:u w:val="single"/>
        </w:rPr>
        <w:t xml:space="preserve">Forberedelse af </w:t>
      </w:r>
      <w:proofErr w:type="spellStart"/>
      <w:r w:rsidRPr="00AD311F">
        <w:rPr>
          <w:sz w:val="24"/>
          <w:szCs w:val="24"/>
          <w:u w:val="single"/>
        </w:rPr>
        <w:t>Zevtera</w:t>
      </w:r>
      <w:proofErr w:type="spellEnd"/>
      <w:r w:rsidRPr="00AD311F">
        <w:rPr>
          <w:sz w:val="24"/>
          <w:szCs w:val="24"/>
          <w:u w:val="single"/>
        </w:rPr>
        <w:t xml:space="preserve"> infusionsvæske, opløsning med en koncentration på 4 mg/ml </w:t>
      </w:r>
      <w:proofErr w:type="spellStart"/>
      <w:r w:rsidRPr="00AD311F">
        <w:rPr>
          <w:sz w:val="24"/>
          <w:szCs w:val="24"/>
          <w:u w:val="single"/>
        </w:rPr>
        <w:t>ceftobiprol</w:t>
      </w:r>
      <w:proofErr w:type="spellEnd"/>
    </w:p>
    <w:p w:rsidR="00AB41BE" w:rsidRPr="00AD311F" w:rsidRDefault="00AB41BE" w:rsidP="00B62FF6">
      <w:pPr>
        <w:ind w:left="851"/>
        <w:rPr>
          <w:sz w:val="24"/>
          <w:szCs w:val="24"/>
          <w:u w:val="single"/>
        </w:rPr>
      </w:pPr>
    </w:p>
    <w:p w:rsidR="00B62FF6" w:rsidRPr="00AD311F" w:rsidRDefault="00B62FF6" w:rsidP="00B62FF6">
      <w:pPr>
        <w:ind w:left="851"/>
        <w:rPr>
          <w:i/>
          <w:sz w:val="24"/>
          <w:szCs w:val="24"/>
        </w:rPr>
      </w:pPr>
      <w:r w:rsidRPr="00AD311F">
        <w:rPr>
          <w:i/>
          <w:sz w:val="24"/>
          <w:szCs w:val="24"/>
        </w:rPr>
        <w:t>Administration ved hjælp af infusionsposer, flasker eller sprøjter:</w:t>
      </w:r>
    </w:p>
    <w:p w:rsidR="00B62FF6" w:rsidRPr="00AD311F" w:rsidRDefault="00B62FF6" w:rsidP="00B62FF6">
      <w:pPr>
        <w:ind w:left="851"/>
        <w:rPr>
          <w:sz w:val="24"/>
          <w:szCs w:val="24"/>
        </w:rPr>
      </w:pPr>
      <w:r w:rsidRPr="00AD311F">
        <w:rPr>
          <w:sz w:val="24"/>
          <w:szCs w:val="24"/>
        </w:rPr>
        <w:t xml:space="preserve">Den </w:t>
      </w:r>
      <w:proofErr w:type="spellStart"/>
      <w:r w:rsidRPr="00AD311F">
        <w:rPr>
          <w:sz w:val="24"/>
          <w:szCs w:val="24"/>
        </w:rPr>
        <w:t>rekonstituerede</w:t>
      </w:r>
      <w:proofErr w:type="spellEnd"/>
      <w:r w:rsidRPr="00AD311F">
        <w:rPr>
          <w:sz w:val="24"/>
          <w:szCs w:val="24"/>
        </w:rPr>
        <w:t xml:space="preserve"> opløsning, der er klargjort med 10 ml </w:t>
      </w:r>
      <w:proofErr w:type="spellStart"/>
      <w:r w:rsidRPr="00AD311F">
        <w:rPr>
          <w:sz w:val="24"/>
          <w:szCs w:val="24"/>
        </w:rPr>
        <w:t>glucose</w:t>
      </w:r>
      <w:proofErr w:type="spellEnd"/>
      <w:r w:rsidRPr="00AD311F">
        <w:rPr>
          <w:sz w:val="24"/>
          <w:szCs w:val="24"/>
        </w:rPr>
        <w:t xml:space="preserve"> 50 mg/ml (5 %) injektionsvæske, opløsning, skal fortyndes med den samme fortyndingsmiddelopløsning (dvs</w:t>
      </w:r>
      <w:r w:rsidRPr="00AD311F">
        <w:rPr>
          <w:i/>
          <w:sz w:val="24"/>
          <w:szCs w:val="24"/>
        </w:rPr>
        <w:t xml:space="preserve">. </w:t>
      </w:r>
      <w:proofErr w:type="spellStart"/>
      <w:r w:rsidRPr="00AD311F">
        <w:rPr>
          <w:sz w:val="24"/>
          <w:szCs w:val="24"/>
        </w:rPr>
        <w:t>glucose</w:t>
      </w:r>
      <w:proofErr w:type="spellEnd"/>
      <w:r w:rsidRPr="00AD311F">
        <w:rPr>
          <w:sz w:val="24"/>
          <w:szCs w:val="24"/>
        </w:rPr>
        <w:t xml:space="preserve"> 50 mg/ml (5 %) injektionsvæske, opløsning). Den </w:t>
      </w:r>
      <w:proofErr w:type="spellStart"/>
      <w:r w:rsidRPr="00AD311F">
        <w:rPr>
          <w:sz w:val="24"/>
          <w:szCs w:val="24"/>
        </w:rPr>
        <w:t>rekonstituerede</w:t>
      </w:r>
      <w:proofErr w:type="spellEnd"/>
      <w:r w:rsidRPr="00AD311F">
        <w:rPr>
          <w:sz w:val="24"/>
          <w:szCs w:val="24"/>
        </w:rPr>
        <w:t xml:space="preserve"> opløsning, der er klargjort med 10 ml vand til injektionsvæsker, skal fortyndes med </w:t>
      </w:r>
      <w:proofErr w:type="spellStart"/>
      <w:r w:rsidRPr="00AD311F">
        <w:rPr>
          <w:sz w:val="24"/>
          <w:szCs w:val="24"/>
        </w:rPr>
        <w:t>natriumchlorid</w:t>
      </w:r>
      <w:proofErr w:type="spellEnd"/>
      <w:r w:rsidRPr="00AD311F">
        <w:rPr>
          <w:sz w:val="24"/>
          <w:szCs w:val="24"/>
        </w:rPr>
        <w:t xml:space="preserve"> 9 mg/ml (0,9 %) injektionsvæske, opløsning.</w:t>
      </w:r>
    </w:p>
    <w:p w:rsidR="00B62FF6" w:rsidRPr="00AD311F" w:rsidRDefault="00B62FF6" w:rsidP="00B62FF6">
      <w:pPr>
        <w:ind w:left="851"/>
        <w:rPr>
          <w:sz w:val="24"/>
          <w:szCs w:val="24"/>
        </w:rPr>
      </w:pPr>
    </w:p>
    <w:p w:rsidR="00AB41BE" w:rsidRDefault="00AB41BE" w:rsidP="00AB41BE">
      <w:pPr>
        <w:ind w:left="851"/>
        <w:rPr>
          <w:sz w:val="24"/>
          <w:szCs w:val="24"/>
        </w:rPr>
      </w:pPr>
      <w:r>
        <w:rPr>
          <w:sz w:val="24"/>
          <w:szCs w:val="24"/>
        </w:rPr>
        <w:t xml:space="preserve">10 ml skal trækkes op fra en infusionsbeholder (f.eks. PVC- eller PE-infusionsposer, glasflasker), der indeholder 125 ml fortyndingsmiddelopløsning, og erstattes med 10 ml af den </w:t>
      </w:r>
      <w:proofErr w:type="spellStart"/>
      <w:r>
        <w:rPr>
          <w:sz w:val="24"/>
          <w:szCs w:val="24"/>
        </w:rPr>
        <w:t>rekonstituerede</w:t>
      </w:r>
      <w:proofErr w:type="spellEnd"/>
      <w:r>
        <w:rPr>
          <w:sz w:val="24"/>
          <w:szCs w:val="24"/>
        </w:rPr>
        <w:t xml:space="preserve"> opløsning, trukket op fra hætteglasset. Vend forsigtigt infusionsopløsningen på hovedet 5-10 gange for at danne en homogen opløsning. Kraftig omrystning skal undgås for at forebygge skumdannelse. Den mængde, der skal administreres, skal beregnes baseret på patientens legemsvægt (se pkt. 4.2) og må ikke overstige et maksimum på 125 ml (dosis på 500 mg).</w:t>
      </w:r>
    </w:p>
    <w:p w:rsidR="00AB41BE" w:rsidRDefault="00AB41BE" w:rsidP="00AB41BE">
      <w:pPr>
        <w:ind w:left="851"/>
        <w:rPr>
          <w:sz w:val="24"/>
          <w:szCs w:val="24"/>
        </w:rPr>
      </w:pPr>
    </w:p>
    <w:p w:rsidR="00AB41BE" w:rsidRDefault="00AB41BE" w:rsidP="00AB41BE">
      <w:pPr>
        <w:ind w:left="851"/>
        <w:rPr>
          <w:sz w:val="24"/>
          <w:szCs w:val="24"/>
        </w:rPr>
      </w:pPr>
      <w:r>
        <w:rPr>
          <w:sz w:val="24"/>
          <w:szCs w:val="24"/>
        </w:rPr>
        <w:t xml:space="preserve">Ved administration ved hjælp af en 50 ml sprøjte, hvis den beregnede dosis ikke overstiger 200 mg, skal 4 ml af den </w:t>
      </w:r>
      <w:proofErr w:type="spellStart"/>
      <w:r>
        <w:rPr>
          <w:sz w:val="24"/>
          <w:szCs w:val="24"/>
        </w:rPr>
        <w:t>rekonstituerede</w:t>
      </w:r>
      <w:proofErr w:type="spellEnd"/>
      <w:r>
        <w:rPr>
          <w:sz w:val="24"/>
          <w:szCs w:val="24"/>
        </w:rPr>
        <w:t xml:space="preserve"> opløsning (svarende til 200 mg </w:t>
      </w:r>
      <w:proofErr w:type="spellStart"/>
      <w:r>
        <w:rPr>
          <w:sz w:val="24"/>
          <w:szCs w:val="24"/>
        </w:rPr>
        <w:t>ceftobiprol</w:t>
      </w:r>
      <w:proofErr w:type="spellEnd"/>
      <w:r>
        <w:rPr>
          <w:sz w:val="24"/>
          <w:szCs w:val="24"/>
        </w:rPr>
        <w:t xml:space="preserve">), der er klargjort med </w:t>
      </w:r>
      <w:proofErr w:type="spellStart"/>
      <w:r>
        <w:rPr>
          <w:sz w:val="24"/>
          <w:szCs w:val="24"/>
        </w:rPr>
        <w:t>glucose</w:t>
      </w:r>
      <w:proofErr w:type="spellEnd"/>
      <w:r>
        <w:rPr>
          <w:sz w:val="24"/>
          <w:szCs w:val="24"/>
        </w:rPr>
        <w:t xml:space="preserve"> 50 mg/ml (5 %) injektionsvæske, opløsning eller vand til injektionsvæsker, trækkes op fra hætteglasset og fortyndes med 46 ml af det relevante fortyndingsmiddel til infusionsopløsningen (se pkt. 6.3). Vend forsigtigt infusionsopløsningen på hovedet 5-10 gange for at danne en homogen opløsning. Kraftig omrystning skal undgås for at forebygge skumdannelse. Den mængde, der skal administreres, skal beregnes baseret på patientens legemsvægt (se pkt. 4.2) og må ikke overstige et maksimum på 50 ml (dosis på 200 mg).</w:t>
      </w:r>
    </w:p>
    <w:p w:rsidR="00B62FF6" w:rsidRPr="00AD311F" w:rsidRDefault="00B62FF6" w:rsidP="00B62FF6">
      <w:pPr>
        <w:ind w:left="851"/>
        <w:rPr>
          <w:sz w:val="24"/>
          <w:szCs w:val="24"/>
          <w:u w:val="single"/>
        </w:rPr>
      </w:pPr>
      <w:r w:rsidRPr="00AD311F">
        <w:rPr>
          <w:sz w:val="24"/>
          <w:szCs w:val="24"/>
          <w:u w:val="single"/>
        </w:rPr>
        <w:t>Den fortyndede opløsnings udseende</w:t>
      </w:r>
    </w:p>
    <w:p w:rsidR="00B62FF6" w:rsidRPr="00AD311F" w:rsidRDefault="00B62FF6" w:rsidP="00B62FF6">
      <w:pPr>
        <w:ind w:left="851"/>
        <w:rPr>
          <w:sz w:val="24"/>
          <w:szCs w:val="24"/>
        </w:rPr>
      </w:pPr>
      <w:r w:rsidRPr="00AD311F">
        <w:rPr>
          <w:sz w:val="24"/>
          <w:szCs w:val="24"/>
        </w:rPr>
        <w:lastRenderedPageBreak/>
        <w:t xml:space="preserve">Infusionsvæsken, opløsningen skal være gennemsigtig til let opaliserende og gullig i farven. Infusionsvæsken, opløsningen skal efterses visuelt for partikler inden indgivelse og kasseres, hvis der ses partikler. </w:t>
      </w:r>
    </w:p>
    <w:p w:rsidR="00B62FF6" w:rsidRPr="00AD311F" w:rsidRDefault="00B62FF6" w:rsidP="00B62FF6">
      <w:pPr>
        <w:ind w:left="851"/>
        <w:rPr>
          <w:sz w:val="24"/>
          <w:szCs w:val="24"/>
        </w:rPr>
      </w:pPr>
    </w:p>
    <w:p w:rsidR="00B62FF6" w:rsidRPr="00AD311F" w:rsidRDefault="00B62FF6" w:rsidP="00B62FF6">
      <w:pPr>
        <w:ind w:left="851"/>
        <w:rPr>
          <w:sz w:val="24"/>
          <w:szCs w:val="24"/>
        </w:rPr>
      </w:pPr>
      <w:r w:rsidRPr="00AD311F">
        <w:rPr>
          <w:sz w:val="24"/>
          <w:szCs w:val="24"/>
        </w:rPr>
        <w:t xml:space="preserve">Detaljerede oplysninger om tidsrammen for fuldførelse af </w:t>
      </w:r>
      <w:proofErr w:type="spellStart"/>
      <w:r w:rsidRPr="00AD311F">
        <w:rPr>
          <w:sz w:val="24"/>
          <w:szCs w:val="24"/>
        </w:rPr>
        <w:t>rekonstitution</w:t>
      </w:r>
      <w:proofErr w:type="spellEnd"/>
      <w:r w:rsidRPr="00AD311F">
        <w:rPr>
          <w:sz w:val="24"/>
          <w:szCs w:val="24"/>
        </w:rPr>
        <w:t xml:space="preserve">, fortynding og infusion angives i pkt. 6.3. </w:t>
      </w:r>
    </w:p>
    <w:p w:rsidR="00B62FF6" w:rsidRPr="00AD311F" w:rsidRDefault="00B62FF6" w:rsidP="00B62FF6">
      <w:pPr>
        <w:ind w:left="851"/>
        <w:rPr>
          <w:sz w:val="24"/>
          <w:szCs w:val="24"/>
        </w:rPr>
      </w:pPr>
    </w:p>
    <w:p w:rsidR="00B62FF6" w:rsidRPr="00AD311F" w:rsidRDefault="00B62FF6" w:rsidP="00B62FF6">
      <w:pPr>
        <w:ind w:left="851"/>
        <w:rPr>
          <w:sz w:val="24"/>
          <w:szCs w:val="24"/>
          <w:u w:val="single"/>
        </w:rPr>
      </w:pPr>
      <w:r w:rsidRPr="00AD311F">
        <w:rPr>
          <w:sz w:val="24"/>
          <w:szCs w:val="24"/>
          <w:u w:val="single"/>
        </w:rPr>
        <w:t>Bortskaffelse</w:t>
      </w:r>
    </w:p>
    <w:p w:rsidR="00B62FF6" w:rsidRPr="00AD311F" w:rsidRDefault="00B62FF6" w:rsidP="00B62FF6">
      <w:pPr>
        <w:ind w:left="851"/>
        <w:rPr>
          <w:sz w:val="24"/>
          <w:szCs w:val="24"/>
        </w:rPr>
      </w:pPr>
      <w:r w:rsidRPr="00AD311F">
        <w:rPr>
          <w:sz w:val="24"/>
          <w:szCs w:val="24"/>
        </w:rPr>
        <w:t>Ikke anvendt lægemiddel samt affald heraf skal bortskaffes i henhold til lokale retningslinjer.</w:t>
      </w:r>
    </w:p>
    <w:p w:rsidR="00E92CCD" w:rsidRPr="00553FC4" w:rsidRDefault="00E92CCD" w:rsidP="00B62FF6">
      <w:pPr>
        <w:keepNext/>
        <w:ind w:left="851" w:hanging="851"/>
        <w:rPr>
          <w:sz w:val="24"/>
          <w:szCs w:val="24"/>
        </w:rPr>
      </w:pPr>
    </w:p>
    <w:p w:rsidR="0047301C" w:rsidRDefault="00E92CCD" w:rsidP="0047301C">
      <w:pPr>
        <w:keepNext/>
        <w:ind w:left="851" w:hanging="851"/>
        <w:rPr>
          <w:b/>
          <w:sz w:val="24"/>
          <w:szCs w:val="24"/>
        </w:rPr>
      </w:pPr>
      <w:r w:rsidRPr="00553FC4">
        <w:rPr>
          <w:b/>
          <w:sz w:val="24"/>
          <w:szCs w:val="24"/>
        </w:rPr>
        <w:t>7.</w:t>
      </w:r>
      <w:r w:rsidRPr="00553FC4">
        <w:rPr>
          <w:b/>
          <w:sz w:val="24"/>
          <w:szCs w:val="24"/>
        </w:rPr>
        <w:tab/>
      </w:r>
      <w:r w:rsidR="0047301C">
        <w:rPr>
          <w:b/>
          <w:sz w:val="24"/>
          <w:szCs w:val="24"/>
        </w:rPr>
        <w:t>INDEHAVER AF MARKEDSFØRINGSTILLADELSEN</w:t>
      </w:r>
    </w:p>
    <w:p w:rsidR="0047301C" w:rsidRDefault="0047301C" w:rsidP="0047301C">
      <w:pPr>
        <w:keepNext/>
        <w:ind w:left="851" w:hanging="851"/>
        <w:rPr>
          <w:sz w:val="24"/>
          <w:szCs w:val="24"/>
        </w:rPr>
      </w:pPr>
      <w:r>
        <w:rPr>
          <w:sz w:val="24"/>
          <w:szCs w:val="24"/>
        </w:rPr>
        <w:tab/>
      </w:r>
      <w:proofErr w:type="spellStart"/>
      <w:r>
        <w:rPr>
          <w:sz w:val="24"/>
          <w:szCs w:val="24"/>
        </w:rPr>
        <w:t>Basilea</w:t>
      </w:r>
      <w:proofErr w:type="spellEnd"/>
      <w:r>
        <w:rPr>
          <w:sz w:val="24"/>
          <w:szCs w:val="24"/>
        </w:rPr>
        <w:t xml:space="preserve"> </w:t>
      </w:r>
      <w:proofErr w:type="spellStart"/>
      <w:r>
        <w:rPr>
          <w:sz w:val="24"/>
          <w:szCs w:val="24"/>
        </w:rPr>
        <w:t>Pharmaceutica</w:t>
      </w:r>
      <w:proofErr w:type="spellEnd"/>
      <w:r>
        <w:rPr>
          <w:sz w:val="24"/>
          <w:szCs w:val="24"/>
        </w:rPr>
        <w:t xml:space="preserve"> Deutschland GmbH</w:t>
      </w:r>
    </w:p>
    <w:p w:rsidR="0047301C" w:rsidRDefault="0047301C" w:rsidP="0047301C">
      <w:pPr>
        <w:keepNext/>
        <w:ind w:left="851" w:hanging="851"/>
        <w:rPr>
          <w:sz w:val="24"/>
          <w:szCs w:val="24"/>
        </w:rPr>
      </w:pPr>
      <w:r>
        <w:rPr>
          <w:sz w:val="24"/>
          <w:szCs w:val="24"/>
        </w:rPr>
        <w:tab/>
        <w:t>Marie-Curie-</w:t>
      </w:r>
      <w:proofErr w:type="spellStart"/>
      <w:r>
        <w:rPr>
          <w:sz w:val="24"/>
          <w:szCs w:val="24"/>
        </w:rPr>
        <w:t>Strasse</w:t>
      </w:r>
      <w:proofErr w:type="spellEnd"/>
      <w:r>
        <w:rPr>
          <w:sz w:val="24"/>
          <w:szCs w:val="24"/>
        </w:rPr>
        <w:t xml:space="preserve"> 8</w:t>
      </w:r>
    </w:p>
    <w:p w:rsidR="0047301C" w:rsidRDefault="0047301C" w:rsidP="0047301C">
      <w:pPr>
        <w:keepNext/>
        <w:ind w:left="851" w:hanging="851"/>
        <w:rPr>
          <w:sz w:val="24"/>
          <w:szCs w:val="24"/>
        </w:rPr>
      </w:pPr>
      <w:r>
        <w:rPr>
          <w:sz w:val="24"/>
          <w:szCs w:val="24"/>
        </w:rPr>
        <w:tab/>
        <w:t xml:space="preserve">79539 </w:t>
      </w:r>
      <w:proofErr w:type="spellStart"/>
      <w:r>
        <w:rPr>
          <w:sz w:val="24"/>
          <w:szCs w:val="24"/>
        </w:rPr>
        <w:t>Lörrach</w:t>
      </w:r>
      <w:proofErr w:type="spellEnd"/>
    </w:p>
    <w:p w:rsidR="0047301C" w:rsidRDefault="0047301C" w:rsidP="0047301C">
      <w:pPr>
        <w:keepNext/>
        <w:ind w:left="851" w:hanging="851"/>
        <w:rPr>
          <w:sz w:val="24"/>
          <w:szCs w:val="24"/>
        </w:rPr>
      </w:pPr>
      <w:r>
        <w:rPr>
          <w:sz w:val="24"/>
          <w:szCs w:val="24"/>
        </w:rPr>
        <w:t xml:space="preserve"> </w:t>
      </w:r>
      <w:r>
        <w:rPr>
          <w:sz w:val="24"/>
          <w:szCs w:val="24"/>
        </w:rPr>
        <w:tab/>
        <w:t>Tyskland</w:t>
      </w:r>
    </w:p>
    <w:p w:rsidR="0047301C" w:rsidRDefault="0047301C" w:rsidP="0047301C">
      <w:pPr>
        <w:ind w:left="851" w:hanging="851"/>
        <w:rPr>
          <w:sz w:val="24"/>
          <w:szCs w:val="24"/>
        </w:rPr>
      </w:pPr>
    </w:p>
    <w:p w:rsidR="0047301C" w:rsidRDefault="0047301C" w:rsidP="0047301C">
      <w:pPr>
        <w:ind w:left="851" w:hanging="851"/>
        <w:rPr>
          <w:sz w:val="24"/>
          <w:szCs w:val="24"/>
        </w:rPr>
      </w:pPr>
    </w:p>
    <w:p w:rsidR="0047301C" w:rsidRDefault="0047301C" w:rsidP="0047301C">
      <w:pPr>
        <w:ind w:left="851" w:hanging="851"/>
        <w:rPr>
          <w:sz w:val="24"/>
          <w:szCs w:val="24"/>
        </w:rPr>
      </w:pPr>
    </w:p>
    <w:p w:rsidR="0047301C" w:rsidRDefault="0047301C" w:rsidP="0047301C">
      <w:pPr>
        <w:ind w:left="851" w:hanging="851"/>
        <w:rPr>
          <w:sz w:val="24"/>
          <w:szCs w:val="24"/>
        </w:rPr>
      </w:pPr>
    </w:p>
    <w:p w:rsidR="0047301C" w:rsidRDefault="0047301C" w:rsidP="0047301C">
      <w:pPr>
        <w:ind w:left="851" w:hanging="851"/>
        <w:rPr>
          <w:b/>
          <w:sz w:val="24"/>
          <w:szCs w:val="24"/>
        </w:rPr>
      </w:pPr>
      <w:r>
        <w:rPr>
          <w:sz w:val="24"/>
          <w:szCs w:val="24"/>
        </w:rPr>
        <w:tab/>
      </w:r>
      <w:r>
        <w:rPr>
          <w:b/>
          <w:sz w:val="24"/>
          <w:szCs w:val="24"/>
        </w:rPr>
        <w:t>Repræsentant</w:t>
      </w:r>
    </w:p>
    <w:p w:rsidR="0047301C" w:rsidRDefault="0047301C" w:rsidP="0047301C">
      <w:pPr>
        <w:ind w:left="851" w:hanging="851"/>
        <w:rPr>
          <w:sz w:val="24"/>
          <w:szCs w:val="24"/>
          <w:lang w:val="en-US"/>
        </w:rPr>
      </w:pPr>
      <w:r>
        <w:rPr>
          <w:b/>
          <w:sz w:val="24"/>
          <w:szCs w:val="24"/>
        </w:rPr>
        <w:tab/>
      </w:r>
      <w:proofErr w:type="spellStart"/>
      <w:r>
        <w:rPr>
          <w:sz w:val="24"/>
          <w:szCs w:val="24"/>
          <w:lang w:val="en-US"/>
        </w:rPr>
        <w:t>Unimedic</w:t>
      </w:r>
      <w:proofErr w:type="spellEnd"/>
      <w:r>
        <w:rPr>
          <w:sz w:val="24"/>
          <w:szCs w:val="24"/>
          <w:lang w:val="en-US"/>
        </w:rPr>
        <w:t xml:space="preserve"> Pharma AB</w:t>
      </w:r>
    </w:p>
    <w:p w:rsidR="0047301C" w:rsidRDefault="0047301C" w:rsidP="0047301C">
      <w:pPr>
        <w:ind w:left="851" w:hanging="851"/>
        <w:rPr>
          <w:sz w:val="24"/>
          <w:szCs w:val="24"/>
          <w:lang w:val="en-US"/>
        </w:rPr>
      </w:pPr>
      <w:r>
        <w:rPr>
          <w:sz w:val="24"/>
          <w:szCs w:val="24"/>
          <w:lang w:val="en-US"/>
        </w:rPr>
        <w:tab/>
        <w:t>Box 6216</w:t>
      </w:r>
      <w:bookmarkStart w:id="17" w:name="_GoBack"/>
      <w:bookmarkEnd w:id="17"/>
    </w:p>
    <w:p w:rsidR="0047301C" w:rsidRDefault="0047301C" w:rsidP="0047301C">
      <w:pPr>
        <w:ind w:left="851" w:hanging="851"/>
        <w:rPr>
          <w:sz w:val="24"/>
          <w:szCs w:val="24"/>
          <w:lang w:val="en-US"/>
        </w:rPr>
      </w:pPr>
      <w:r>
        <w:rPr>
          <w:sz w:val="24"/>
          <w:szCs w:val="24"/>
          <w:lang w:val="en-US"/>
        </w:rPr>
        <w:tab/>
        <w:t>102 34 Stockholm</w:t>
      </w:r>
    </w:p>
    <w:p w:rsidR="0047301C" w:rsidRDefault="0047301C" w:rsidP="0047301C">
      <w:pPr>
        <w:ind w:left="851" w:hanging="851"/>
        <w:rPr>
          <w:sz w:val="24"/>
          <w:szCs w:val="24"/>
          <w:lang w:val="en-US"/>
        </w:rPr>
      </w:pPr>
      <w:r>
        <w:rPr>
          <w:sz w:val="24"/>
          <w:szCs w:val="24"/>
          <w:lang w:val="en-US"/>
        </w:rPr>
        <w:tab/>
        <w:t>Sverige</w:t>
      </w:r>
    </w:p>
    <w:p w:rsidR="00E92CCD" w:rsidRPr="00DC15F6" w:rsidRDefault="00E92CCD" w:rsidP="0047301C">
      <w:pPr>
        <w:keepNext/>
        <w:ind w:left="851" w:hanging="851"/>
        <w:rPr>
          <w:sz w:val="24"/>
          <w:szCs w:val="24"/>
          <w:lang w:val="en-US"/>
        </w:rPr>
      </w:pPr>
    </w:p>
    <w:p w:rsidR="00E92CCD" w:rsidRPr="00553FC4" w:rsidRDefault="00E92CCD" w:rsidP="00E92CCD">
      <w:pPr>
        <w:ind w:left="851" w:hanging="851"/>
        <w:rPr>
          <w:b/>
          <w:sz w:val="24"/>
          <w:szCs w:val="24"/>
        </w:rPr>
      </w:pPr>
      <w:r w:rsidRPr="00553FC4">
        <w:rPr>
          <w:b/>
          <w:sz w:val="24"/>
          <w:szCs w:val="24"/>
        </w:rPr>
        <w:t>8.</w:t>
      </w:r>
      <w:r w:rsidRPr="00553FC4">
        <w:rPr>
          <w:b/>
          <w:sz w:val="24"/>
          <w:szCs w:val="24"/>
        </w:rPr>
        <w:tab/>
        <w:t>MARKEDSFØRINGSTILLADELSESNUMMER (NUMRE)</w:t>
      </w:r>
    </w:p>
    <w:p w:rsidR="00E92CCD" w:rsidRPr="00553FC4" w:rsidRDefault="00E92CCD" w:rsidP="00E92CCD">
      <w:pPr>
        <w:ind w:left="851" w:hanging="851"/>
        <w:rPr>
          <w:sz w:val="24"/>
          <w:szCs w:val="24"/>
        </w:rPr>
      </w:pPr>
      <w:r w:rsidRPr="00553FC4">
        <w:rPr>
          <w:sz w:val="24"/>
          <w:szCs w:val="24"/>
        </w:rPr>
        <w:tab/>
        <w:t>51412</w:t>
      </w:r>
    </w:p>
    <w:p w:rsidR="00E92CCD" w:rsidRPr="00553FC4" w:rsidRDefault="00E92CCD" w:rsidP="00E92CCD">
      <w:pPr>
        <w:ind w:left="851" w:hanging="851"/>
        <w:jc w:val="both"/>
        <w:rPr>
          <w:sz w:val="24"/>
          <w:szCs w:val="24"/>
        </w:rPr>
      </w:pPr>
    </w:p>
    <w:p w:rsidR="00E92CCD" w:rsidRPr="00553FC4" w:rsidRDefault="00E92CCD" w:rsidP="00E92CCD">
      <w:pPr>
        <w:ind w:left="851" w:hanging="851"/>
        <w:rPr>
          <w:b/>
          <w:sz w:val="24"/>
          <w:szCs w:val="24"/>
        </w:rPr>
      </w:pPr>
      <w:r w:rsidRPr="00553FC4">
        <w:rPr>
          <w:b/>
          <w:sz w:val="24"/>
          <w:szCs w:val="24"/>
        </w:rPr>
        <w:t>9.</w:t>
      </w:r>
      <w:r w:rsidRPr="00553FC4">
        <w:rPr>
          <w:b/>
          <w:sz w:val="24"/>
          <w:szCs w:val="24"/>
        </w:rPr>
        <w:tab/>
        <w:t>DATO FOR FØRSTE MARKEDSFØRINGSTILLADELSE</w:t>
      </w:r>
    </w:p>
    <w:p w:rsidR="00E92CCD" w:rsidRPr="00553FC4" w:rsidRDefault="00E92CCD" w:rsidP="00E92CCD">
      <w:pPr>
        <w:ind w:left="851" w:hanging="851"/>
        <w:rPr>
          <w:sz w:val="24"/>
          <w:szCs w:val="24"/>
        </w:rPr>
      </w:pPr>
      <w:r w:rsidRPr="00553FC4">
        <w:rPr>
          <w:sz w:val="24"/>
          <w:szCs w:val="24"/>
        </w:rPr>
        <w:tab/>
        <w:t>20. november 2013</w:t>
      </w:r>
    </w:p>
    <w:p w:rsidR="00E92CCD" w:rsidRPr="00553FC4" w:rsidRDefault="00E92CCD" w:rsidP="00E92CCD">
      <w:pPr>
        <w:ind w:left="851" w:hanging="851"/>
        <w:rPr>
          <w:sz w:val="24"/>
          <w:szCs w:val="24"/>
        </w:rPr>
      </w:pPr>
    </w:p>
    <w:p w:rsidR="00E92CCD" w:rsidRPr="00553FC4" w:rsidRDefault="00E92CCD" w:rsidP="00E92CCD">
      <w:pPr>
        <w:ind w:left="851" w:hanging="851"/>
        <w:rPr>
          <w:b/>
          <w:sz w:val="24"/>
          <w:szCs w:val="24"/>
        </w:rPr>
      </w:pPr>
      <w:r w:rsidRPr="00553FC4">
        <w:rPr>
          <w:b/>
          <w:sz w:val="24"/>
          <w:szCs w:val="24"/>
        </w:rPr>
        <w:t>10.</w:t>
      </w:r>
      <w:r w:rsidRPr="00553FC4">
        <w:rPr>
          <w:b/>
          <w:sz w:val="24"/>
          <w:szCs w:val="24"/>
        </w:rPr>
        <w:tab/>
        <w:t>DATO FOR ÆNDRING AF TEKSTEN</w:t>
      </w:r>
    </w:p>
    <w:p w:rsidR="00E92CCD" w:rsidRPr="00AD2F5B" w:rsidRDefault="00E92CCD" w:rsidP="00E92CCD">
      <w:pPr>
        <w:ind w:left="851" w:hanging="851"/>
        <w:rPr>
          <w:sz w:val="24"/>
          <w:szCs w:val="24"/>
        </w:rPr>
      </w:pPr>
      <w:r w:rsidRPr="00AD2F5B">
        <w:rPr>
          <w:sz w:val="24"/>
          <w:szCs w:val="24"/>
        </w:rPr>
        <w:tab/>
      </w:r>
      <w:r w:rsidR="00C444E6">
        <w:rPr>
          <w:sz w:val="24"/>
          <w:szCs w:val="24"/>
        </w:rPr>
        <w:t>12. februar 2025</w:t>
      </w:r>
    </w:p>
    <w:p w:rsidR="00E92CCD" w:rsidRPr="0006102D" w:rsidRDefault="00E92CCD" w:rsidP="00E92CCD"/>
    <w:p w:rsidR="00E92CCD" w:rsidRPr="000D04DC" w:rsidRDefault="00E92CCD" w:rsidP="00E92CCD"/>
    <w:p w:rsidR="009260DE" w:rsidRPr="00E92CCD" w:rsidRDefault="009260DE" w:rsidP="00E92CCD"/>
    <w:sectPr w:rsidR="009260DE" w:rsidRPr="00E92C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6C0" w:rsidRDefault="002F06C0">
      <w:r>
        <w:separator/>
      </w:r>
    </w:p>
  </w:endnote>
  <w:endnote w:type="continuationSeparator" w:id="0">
    <w:p w:rsidR="002F06C0" w:rsidRDefault="002F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C0" w:rsidRDefault="002F06C0">
    <w:pPr>
      <w:pStyle w:val="Sidefod"/>
      <w:pBdr>
        <w:bottom w:val="single" w:sz="6" w:space="1" w:color="auto"/>
      </w:pBdr>
    </w:pPr>
  </w:p>
  <w:p w:rsidR="002F06C0" w:rsidRDefault="002F06C0" w:rsidP="00C42586">
    <w:pPr>
      <w:pStyle w:val="Sidefod"/>
      <w:tabs>
        <w:tab w:val="clear" w:pos="4819"/>
        <w:tab w:val="left" w:pos="8505"/>
      </w:tabs>
      <w:rPr>
        <w:i/>
        <w:sz w:val="18"/>
        <w:szCs w:val="18"/>
      </w:rPr>
    </w:pPr>
  </w:p>
  <w:p w:rsidR="002F06C0" w:rsidRPr="00B373D7" w:rsidRDefault="002F06C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Zevtera, pulver til koncentrat til infusionsvæske, opløsning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6C0" w:rsidRDefault="002F06C0">
      <w:r>
        <w:separator/>
      </w:r>
    </w:p>
  </w:footnote>
  <w:footnote w:type="continuationSeparator" w:id="0">
    <w:p w:rsidR="002F06C0" w:rsidRDefault="002F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4F66AB"/>
    <w:multiLevelType w:val="hybridMultilevel"/>
    <w:tmpl w:val="D842F92C"/>
    <w:lvl w:ilvl="0" w:tplc="4FF289CE">
      <w:start w:val="1"/>
      <w:numFmt w:val="bullet"/>
      <w:lvlText w:val="-"/>
      <w:lvlJc w:val="left"/>
      <w:pPr>
        <w:ind w:left="720" w:hanging="360"/>
      </w:pPr>
    </w:lvl>
    <w:lvl w:ilvl="1" w:tplc="03949052">
      <w:start w:val="1"/>
      <w:numFmt w:val="decimal"/>
      <w:lvlText w:val="%2."/>
      <w:lvlJc w:val="left"/>
      <w:pPr>
        <w:tabs>
          <w:tab w:val="num" w:pos="1440"/>
        </w:tabs>
        <w:ind w:left="1440" w:hanging="360"/>
      </w:pPr>
    </w:lvl>
    <w:lvl w:ilvl="2" w:tplc="3F24A69C">
      <w:start w:val="1"/>
      <w:numFmt w:val="decimal"/>
      <w:lvlText w:val="%3."/>
      <w:lvlJc w:val="left"/>
      <w:pPr>
        <w:tabs>
          <w:tab w:val="num" w:pos="2160"/>
        </w:tabs>
        <w:ind w:left="2160" w:hanging="360"/>
      </w:pPr>
    </w:lvl>
    <w:lvl w:ilvl="3" w:tplc="4446A5F4">
      <w:start w:val="1"/>
      <w:numFmt w:val="decimal"/>
      <w:lvlText w:val="%4."/>
      <w:lvlJc w:val="left"/>
      <w:pPr>
        <w:tabs>
          <w:tab w:val="num" w:pos="2880"/>
        </w:tabs>
        <w:ind w:left="2880" w:hanging="360"/>
      </w:pPr>
    </w:lvl>
    <w:lvl w:ilvl="4" w:tplc="0F58DE06">
      <w:start w:val="1"/>
      <w:numFmt w:val="decimal"/>
      <w:lvlText w:val="%5."/>
      <w:lvlJc w:val="left"/>
      <w:pPr>
        <w:tabs>
          <w:tab w:val="num" w:pos="3600"/>
        </w:tabs>
        <w:ind w:left="3600" w:hanging="360"/>
      </w:pPr>
    </w:lvl>
    <w:lvl w:ilvl="5" w:tplc="1BBAF39A">
      <w:start w:val="1"/>
      <w:numFmt w:val="decimal"/>
      <w:lvlText w:val="%6."/>
      <w:lvlJc w:val="left"/>
      <w:pPr>
        <w:tabs>
          <w:tab w:val="num" w:pos="4320"/>
        </w:tabs>
        <w:ind w:left="4320" w:hanging="360"/>
      </w:pPr>
    </w:lvl>
    <w:lvl w:ilvl="6" w:tplc="F9222E6A">
      <w:start w:val="1"/>
      <w:numFmt w:val="decimal"/>
      <w:lvlText w:val="%7."/>
      <w:lvlJc w:val="left"/>
      <w:pPr>
        <w:tabs>
          <w:tab w:val="num" w:pos="5040"/>
        </w:tabs>
        <w:ind w:left="5040" w:hanging="360"/>
      </w:pPr>
    </w:lvl>
    <w:lvl w:ilvl="7" w:tplc="136689BC">
      <w:start w:val="1"/>
      <w:numFmt w:val="decimal"/>
      <w:lvlText w:val="%8."/>
      <w:lvlJc w:val="left"/>
      <w:pPr>
        <w:tabs>
          <w:tab w:val="num" w:pos="5760"/>
        </w:tabs>
        <w:ind w:left="5760" w:hanging="360"/>
      </w:pPr>
    </w:lvl>
    <w:lvl w:ilvl="8" w:tplc="6E4259D0">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CD"/>
    <w:rsid w:val="000259B9"/>
    <w:rsid w:val="00041491"/>
    <w:rsid w:val="00050D16"/>
    <w:rsid w:val="00074F2A"/>
    <w:rsid w:val="000A1CA8"/>
    <w:rsid w:val="000A466B"/>
    <w:rsid w:val="000B058C"/>
    <w:rsid w:val="000E4EE6"/>
    <w:rsid w:val="001454E2"/>
    <w:rsid w:val="001763E4"/>
    <w:rsid w:val="00206CE8"/>
    <w:rsid w:val="00210C7A"/>
    <w:rsid w:val="0021526C"/>
    <w:rsid w:val="00283A2B"/>
    <w:rsid w:val="002B30AD"/>
    <w:rsid w:val="002C2C01"/>
    <w:rsid w:val="002F06C0"/>
    <w:rsid w:val="003A29AE"/>
    <w:rsid w:val="003A32D7"/>
    <w:rsid w:val="003A5E31"/>
    <w:rsid w:val="003B4074"/>
    <w:rsid w:val="003C769A"/>
    <w:rsid w:val="003F1838"/>
    <w:rsid w:val="0040737C"/>
    <w:rsid w:val="0045746C"/>
    <w:rsid w:val="0047301C"/>
    <w:rsid w:val="0049104B"/>
    <w:rsid w:val="004E3B12"/>
    <w:rsid w:val="00532310"/>
    <w:rsid w:val="00560ECC"/>
    <w:rsid w:val="00565F0F"/>
    <w:rsid w:val="00594A86"/>
    <w:rsid w:val="00596D86"/>
    <w:rsid w:val="005D0861"/>
    <w:rsid w:val="005F0637"/>
    <w:rsid w:val="00637F5A"/>
    <w:rsid w:val="006560B1"/>
    <w:rsid w:val="006756DD"/>
    <w:rsid w:val="00697B52"/>
    <w:rsid w:val="00737275"/>
    <w:rsid w:val="00740EEC"/>
    <w:rsid w:val="00747193"/>
    <w:rsid w:val="0078011A"/>
    <w:rsid w:val="00782AF4"/>
    <w:rsid w:val="00790EE7"/>
    <w:rsid w:val="007B6649"/>
    <w:rsid w:val="0081546F"/>
    <w:rsid w:val="0082576E"/>
    <w:rsid w:val="00907F75"/>
    <w:rsid w:val="009260DE"/>
    <w:rsid w:val="0093258A"/>
    <w:rsid w:val="009C7BA3"/>
    <w:rsid w:val="009D1F5A"/>
    <w:rsid w:val="00AB41BE"/>
    <w:rsid w:val="00B003BF"/>
    <w:rsid w:val="00B373D7"/>
    <w:rsid w:val="00B62FF6"/>
    <w:rsid w:val="00C36276"/>
    <w:rsid w:val="00C42586"/>
    <w:rsid w:val="00C444E6"/>
    <w:rsid w:val="00C60CCD"/>
    <w:rsid w:val="00C84483"/>
    <w:rsid w:val="00C95551"/>
    <w:rsid w:val="00CB20D7"/>
    <w:rsid w:val="00D020B0"/>
    <w:rsid w:val="00D11748"/>
    <w:rsid w:val="00D366CF"/>
    <w:rsid w:val="00D61956"/>
    <w:rsid w:val="00DC15F6"/>
    <w:rsid w:val="00DD3AC7"/>
    <w:rsid w:val="00E108AA"/>
    <w:rsid w:val="00E31812"/>
    <w:rsid w:val="00E3749A"/>
    <w:rsid w:val="00E67CB8"/>
    <w:rsid w:val="00E7429E"/>
    <w:rsid w:val="00E7437F"/>
    <w:rsid w:val="00E865B8"/>
    <w:rsid w:val="00E92CCD"/>
    <w:rsid w:val="00EC0B9B"/>
    <w:rsid w:val="00ED5E9F"/>
    <w:rsid w:val="00ED70F4"/>
    <w:rsid w:val="00F104B8"/>
    <w:rsid w:val="00F66D4F"/>
    <w:rsid w:val="00FA32C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1789"/>
  <w15:chartTrackingRefBased/>
  <w15:docId w15:val="{D206EA6D-C4FE-4817-8D40-45A30EE6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92CCD"/>
    <w:rPr>
      <w:color w:val="0563C1" w:themeColor="hyperlink"/>
      <w:u w:val="single"/>
    </w:rPr>
  </w:style>
  <w:style w:type="table" w:customStyle="1" w:styleId="TableGrid1">
    <w:name w:val="Table Grid1"/>
    <w:basedOn w:val="Tabel-Normal"/>
    <w:next w:val="Tabel-Gitter"/>
    <w:rsid w:val="001763E4"/>
    <w:pPr>
      <w:spacing w:before="120"/>
      <w:jc w:val="both"/>
    </w:pPr>
    <w:rPr>
      <w:rFonts w:ascii="Arial" w:hAnsi="Arial"/>
      <w:sz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99"/>
    <w:rsid w:val="0017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953">
      <w:bodyDiv w:val="1"/>
      <w:marLeft w:val="0"/>
      <w:marRight w:val="0"/>
      <w:marTop w:val="0"/>
      <w:marBottom w:val="0"/>
      <w:divBdr>
        <w:top w:val="none" w:sz="0" w:space="0" w:color="auto"/>
        <w:left w:val="none" w:sz="0" w:space="0" w:color="auto"/>
        <w:bottom w:val="none" w:sz="0" w:space="0" w:color="auto"/>
        <w:right w:val="none" w:sz="0" w:space="0" w:color="auto"/>
      </w:divBdr>
    </w:div>
    <w:div w:id="52117629">
      <w:bodyDiv w:val="1"/>
      <w:marLeft w:val="0"/>
      <w:marRight w:val="0"/>
      <w:marTop w:val="0"/>
      <w:marBottom w:val="0"/>
      <w:divBdr>
        <w:top w:val="none" w:sz="0" w:space="0" w:color="auto"/>
        <w:left w:val="none" w:sz="0" w:space="0" w:color="auto"/>
        <w:bottom w:val="none" w:sz="0" w:space="0" w:color="auto"/>
        <w:right w:val="none" w:sz="0" w:space="0" w:color="auto"/>
      </w:divBdr>
    </w:div>
    <w:div w:id="90637049">
      <w:bodyDiv w:val="1"/>
      <w:marLeft w:val="0"/>
      <w:marRight w:val="0"/>
      <w:marTop w:val="0"/>
      <w:marBottom w:val="0"/>
      <w:divBdr>
        <w:top w:val="none" w:sz="0" w:space="0" w:color="auto"/>
        <w:left w:val="none" w:sz="0" w:space="0" w:color="auto"/>
        <w:bottom w:val="none" w:sz="0" w:space="0" w:color="auto"/>
        <w:right w:val="none" w:sz="0" w:space="0" w:color="auto"/>
      </w:divBdr>
    </w:div>
    <w:div w:id="1452463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523926">
      <w:bodyDiv w:val="1"/>
      <w:marLeft w:val="0"/>
      <w:marRight w:val="0"/>
      <w:marTop w:val="0"/>
      <w:marBottom w:val="0"/>
      <w:divBdr>
        <w:top w:val="none" w:sz="0" w:space="0" w:color="auto"/>
        <w:left w:val="none" w:sz="0" w:space="0" w:color="auto"/>
        <w:bottom w:val="none" w:sz="0" w:space="0" w:color="auto"/>
        <w:right w:val="none" w:sz="0" w:space="0" w:color="auto"/>
      </w:divBdr>
    </w:div>
    <w:div w:id="193814131">
      <w:bodyDiv w:val="1"/>
      <w:marLeft w:val="0"/>
      <w:marRight w:val="0"/>
      <w:marTop w:val="0"/>
      <w:marBottom w:val="0"/>
      <w:divBdr>
        <w:top w:val="none" w:sz="0" w:space="0" w:color="auto"/>
        <w:left w:val="none" w:sz="0" w:space="0" w:color="auto"/>
        <w:bottom w:val="none" w:sz="0" w:space="0" w:color="auto"/>
        <w:right w:val="none" w:sz="0" w:space="0" w:color="auto"/>
      </w:divBdr>
    </w:div>
    <w:div w:id="246500611">
      <w:bodyDiv w:val="1"/>
      <w:marLeft w:val="0"/>
      <w:marRight w:val="0"/>
      <w:marTop w:val="0"/>
      <w:marBottom w:val="0"/>
      <w:divBdr>
        <w:top w:val="none" w:sz="0" w:space="0" w:color="auto"/>
        <w:left w:val="none" w:sz="0" w:space="0" w:color="auto"/>
        <w:bottom w:val="none" w:sz="0" w:space="0" w:color="auto"/>
        <w:right w:val="none" w:sz="0" w:space="0" w:color="auto"/>
      </w:divBdr>
    </w:div>
    <w:div w:id="283930672">
      <w:bodyDiv w:val="1"/>
      <w:marLeft w:val="0"/>
      <w:marRight w:val="0"/>
      <w:marTop w:val="0"/>
      <w:marBottom w:val="0"/>
      <w:divBdr>
        <w:top w:val="none" w:sz="0" w:space="0" w:color="auto"/>
        <w:left w:val="none" w:sz="0" w:space="0" w:color="auto"/>
        <w:bottom w:val="none" w:sz="0" w:space="0" w:color="auto"/>
        <w:right w:val="none" w:sz="0" w:space="0" w:color="auto"/>
      </w:divBdr>
    </w:div>
    <w:div w:id="322395141">
      <w:bodyDiv w:val="1"/>
      <w:marLeft w:val="0"/>
      <w:marRight w:val="0"/>
      <w:marTop w:val="0"/>
      <w:marBottom w:val="0"/>
      <w:divBdr>
        <w:top w:val="none" w:sz="0" w:space="0" w:color="auto"/>
        <w:left w:val="none" w:sz="0" w:space="0" w:color="auto"/>
        <w:bottom w:val="none" w:sz="0" w:space="0" w:color="auto"/>
        <w:right w:val="none" w:sz="0" w:space="0" w:color="auto"/>
      </w:divBdr>
    </w:div>
    <w:div w:id="379400282">
      <w:bodyDiv w:val="1"/>
      <w:marLeft w:val="0"/>
      <w:marRight w:val="0"/>
      <w:marTop w:val="0"/>
      <w:marBottom w:val="0"/>
      <w:divBdr>
        <w:top w:val="none" w:sz="0" w:space="0" w:color="auto"/>
        <w:left w:val="none" w:sz="0" w:space="0" w:color="auto"/>
        <w:bottom w:val="none" w:sz="0" w:space="0" w:color="auto"/>
        <w:right w:val="none" w:sz="0" w:space="0" w:color="auto"/>
      </w:divBdr>
    </w:div>
    <w:div w:id="470708853">
      <w:bodyDiv w:val="1"/>
      <w:marLeft w:val="0"/>
      <w:marRight w:val="0"/>
      <w:marTop w:val="0"/>
      <w:marBottom w:val="0"/>
      <w:divBdr>
        <w:top w:val="none" w:sz="0" w:space="0" w:color="auto"/>
        <w:left w:val="none" w:sz="0" w:space="0" w:color="auto"/>
        <w:bottom w:val="none" w:sz="0" w:space="0" w:color="auto"/>
        <w:right w:val="none" w:sz="0" w:space="0" w:color="auto"/>
      </w:divBdr>
    </w:div>
    <w:div w:id="477647790">
      <w:bodyDiv w:val="1"/>
      <w:marLeft w:val="0"/>
      <w:marRight w:val="0"/>
      <w:marTop w:val="0"/>
      <w:marBottom w:val="0"/>
      <w:divBdr>
        <w:top w:val="none" w:sz="0" w:space="0" w:color="auto"/>
        <w:left w:val="none" w:sz="0" w:space="0" w:color="auto"/>
        <w:bottom w:val="none" w:sz="0" w:space="0" w:color="auto"/>
        <w:right w:val="none" w:sz="0" w:space="0" w:color="auto"/>
      </w:divBdr>
    </w:div>
    <w:div w:id="521017233">
      <w:bodyDiv w:val="1"/>
      <w:marLeft w:val="0"/>
      <w:marRight w:val="0"/>
      <w:marTop w:val="0"/>
      <w:marBottom w:val="0"/>
      <w:divBdr>
        <w:top w:val="none" w:sz="0" w:space="0" w:color="auto"/>
        <w:left w:val="none" w:sz="0" w:space="0" w:color="auto"/>
        <w:bottom w:val="none" w:sz="0" w:space="0" w:color="auto"/>
        <w:right w:val="none" w:sz="0" w:space="0" w:color="auto"/>
      </w:divBdr>
    </w:div>
    <w:div w:id="555631449">
      <w:bodyDiv w:val="1"/>
      <w:marLeft w:val="0"/>
      <w:marRight w:val="0"/>
      <w:marTop w:val="0"/>
      <w:marBottom w:val="0"/>
      <w:divBdr>
        <w:top w:val="none" w:sz="0" w:space="0" w:color="auto"/>
        <w:left w:val="none" w:sz="0" w:space="0" w:color="auto"/>
        <w:bottom w:val="none" w:sz="0" w:space="0" w:color="auto"/>
        <w:right w:val="none" w:sz="0" w:space="0" w:color="auto"/>
      </w:divBdr>
    </w:div>
    <w:div w:id="588269492">
      <w:bodyDiv w:val="1"/>
      <w:marLeft w:val="0"/>
      <w:marRight w:val="0"/>
      <w:marTop w:val="0"/>
      <w:marBottom w:val="0"/>
      <w:divBdr>
        <w:top w:val="none" w:sz="0" w:space="0" w:color="auto"/>
        <w:left w:val="none" w:sz="0" w:space="0" w:color="auto"/>
        <w:bottom w:val="none" w:sz="0" w:space="0" w:color="auto"/>
        <w:right w:val="none" w:sz="0" w:space="0" w:color="auto"/>
      </w:divBdr>
    </w:div>
    <w:div w:id="589314284">
      <w:bodyDiv w:val="1"/>
      <w:marLeft w:val="0"/>
      <w:marRight w:val="0"/>
      <w:marTop w:val="0"/>
      <w:marBottom w:val="0"/>
      <w:divBdr>
        <w:top w:val="none" w:sz="0" w:space="0" w:color="auto"/>
        <w:left w:val="none" w:sz="0" w:space="0" w:color="auto"/>
        <w:bottom w:val="none" w:sz="0" w:space="0" w:color="auto"/>
        <w:right w:val="none" w:sz="0" w:space="0" w:color="auto"/>
      </w:divBdr>
    </w:div>
    <w:div w:id="654606229">
      <w:bodyDiv w:val="1"/>
      <w:marLeft w:val="0"/>
      <w:marRight w:val="0"/>
      <w:marTop w:val="0"/>
      <w:marBottom w:val="0"/>
      <w:divBdr>
        <w:top w:val="none" w:sz="0" w:space="0" w:color="auto"/>
        <w:left w:val="none" w:sz="0" w:space="0" w:color="auto"/>
        <w:bottom w:val="none" w:sz="0" w:space="0" w:color="auto"/>
        <w:right w:val="none" w:sz="0" w:space="0" w:color="auto"/>
      </w:divBdr>
    </w:div>
    <w:div w:id="663321491">
      <w:bodyDiv w:val="1"/>
      <w:marLeft w:val="0"/>
      <w:marRight w:val="0"/>
      <w:marTop w:val="0"/>
      <w:marBottom w:val="0"/>
      <w:divBdr>
        <w:top w:val="none" w:sz="0" w:space="0" w:color="auto"/>
        <w:left w:val="none" w:sz="0" w:space="0" w:color="auto"/>
        <w:bottom w:val="none" w:sz="0" w:space="0" w:color="auto"/>
        <w:right w:val="none" w:sz="0" w:space="0" w:color="auto"/>
      </w:divBdr>
    </w:div>
    <w:div w:id="688946708">
      <w:bodyDiv w:val="1"/>
      <w:marLeft w:val="0"/>
      <w:marRight w:val="0"/>
      <w:marTop w:val="0"/>
      <w:marBottom w:val="0"/>
      <w:divBdr>
        <w:top w:val="none" w:sz="0" w:space="0" w:color="auto"/>
        <w:left w:val="none" w:sz="0" w:space="0" w:color="auto"/>
        <w:bottom w:val="none" w:sz="0" w:space="0" w:color="auto"/>
        <w:right w:val="none" w:sz="0" w:space="0" w:color="auto"/>
      </w:divBdr>
    </w:div>
    <w:div w:id="771827155">
      <w:bodyDiv w:val="1"/>
      <w:marLeft w:val="0"/>
      <w:marRight w:val="0"/>
      <w:marTop w:val="0"/>
      <w:marBottom w:val="0"/>
      <w:divBdr>
        <w:top w:val="none" w:sz="0" w:space="0" w:color="auto"/>
        <w:left w:val="none" w:sz="0" w:space="0" w:color="auto"/>
        <w:bottom w:val="none" w:sz="0" w:space="0" w:color="auto"/>
        <w:right w:val="none" w:sz="0" w:space="0" w:color="auto"/>
      </w:divBdr>
    </w:div>
    <w:div w:id="773130844">
      <w:bodyDiv w:val="1"/>
      <w:marLeft w:val="0"/>
      <w:marRight w:val="0"/>
      <w:marTop w:val="0"/>
      <w:marBottom w:val="0"/>
      <w:divBdr>
        <w:top w:val="none" w:sz="0" w:space="0" w:color="auto"/>
        <w:left w:val="none" w:sz="0" w:space="0" w:color="auto"/>
        <w:bottom w:val="none" w:sz="0" w:space="0" w:color="auto"/>
        <w:right w:val="none" w:sz="0" w:space="0" w:color="auto"/>
      </w:divBdr>
    </w:div>
    <w:div w:id="774903538">
      <w:bodyDiv w:val="1"/>
      <w:marLeft w:val="0"/>
      <w:marRight w:val="0"/>
      <w:marTop w:val="0"/>
      <w:marBottom w:val="0"/>
      <w:divBdr>
        <w:top w:val="none" w:sz="0" w:space="0" w:color="auto"/>
        <w:left w:val="none" w:sz="0" w:space="0" w:color="auto"/>
        <w:bottom w:val="none" w:sz="0" w:space="0" w:color="auto"/>
        <w:right w:val="none" w:sz="0" w:space="0" w:color="auto"/>
      </w:divBdr>
    </w:div>
    <w:div w:id="823471919">
      <w:bodyDiv w:val="1"/>
      <w:marLeft w:val="0"/>
      <w:marRight w:val="0"/>
      <w:marTop w:val="0"/>
      <w:marBottom w:val="0"/>
      <w:divBdr>
        <w:top w:val="none" w:sz="0" w:space="0" w:color="auto"/>
        <w:left w:val="none" w:sz="0" w:space="0" w:color="auto"/>
        <w:bottom w:val="none" w:sz="0" w:space="0" w:color="auto"/>
        <w:right w:val="none" w:sz="0" w:space="0" w:color="auto"/>
      </w:divBdr>
    </w:div>
    <w:div w:id="885601186">
      <w:bodyDiv w:val="1"/>
      <w:marLeft w:val="0"/>
      <w:marRight w:val="0"/>
      <w:marTop w:val="0"/>
      <w:marBottom w:val="0"/>
      <w:divBdr>
        <w:top w:val="none" w:sz="0" w:space="0" w:color="auto"/>
        <w:left w:val="none" w:sz="0" w:space="0" w:color="auto"/>
        <w:bottom w:val="none" w:sz="0" w:space="0" w:color="auto"/>
        <w:right w:val="none" w:sz="0" w:space="0" w:color="auto"/>
      </w:divBdr>
    </w:div>
    <w:div w:id="898398202">
      <w:bodyDiv w:val="1"/>
      <w:marLeft w:val="0"/>
      <w:marRight w:val="0"/>
      <w:marTop w:val="0"/>
      <w:marBottom w:val="0"/>
      <w:divBdr>
        <w:top w:val="none" w:sz="0" w:space="0" w:color="auto"/>
        <w:left w:val="none" w:sz="0" w:space="0" w:color="auto"/>
        <w:bottom w:val="none" w:sz="0" w:space="0" w:color="auto"/>
        <w:right w:val="none" w:sz="0" w:space="0" w:color="auto"/>
      </w:divBdr>
    </w:div>
    <w:div w:id="950089135">
      <w:bodyDiv w:val="1"/>
      <w:marLeft w:val="0"/>
      <w:marRight w:val="0"/>
      <w:marTop w:val="0"/>
      <w:marBottom w:val="0"/>
      <w:divBdr>
        <w:top w:val="none" w:sz="0" w:space="0" w:color="auto"/>
        <w:left w:val="none" w:sz="0" w:space="0" w:color="auto"/>
        <w:bottom w:val="none" w:sz="0" w:space="0" w:color="auto"/>
        <w:right w:val="none" w:sz="0" w:space="0" w:color="auto"/>
      </w:divBdr>
    </w:div>
    <w:div w:id="995301191">
      <w:bodyDiv w:val="1"/>
      <w:marLeft w:val="0"/>
      <w:marRight w:val="0"/>
      <w:marTop w:val="0"/>
      <w:marBottom w:val="0"/>
      <w:divBdr>
        <w:top w:val="none" w:sz="0" w:space="0" w:color="auto"/>
        <w:left w:val="none" w:sz="0" w:space="0" w:color="auto"/>
        <w:bottom w:val="none" w:sz="0" w:space="0" w:color="auto"/>
        <w:right w:val="none" w:sz="0" w:space="0" w:color="auto"/>
      </w:divBdr>
    </w:div>
    <w:div w:id="1015612838">
      <w:bodyDiv w:val="1"/>
      <w:marLeft w:val="0"/>
      <w:marRight w:val="0"/>
      <w:marTop w:val="0"/>
      <w:marBottom w:val="0"/>
      <w:divBdr>
        <w:top w:val="none" w:sz="0" w:space="0" w:color="auto"/>
        <w:left w:val="none" w:sz="0" w:space="0" w:color="auto"/>
        <w:bottom w:val="none" w:sz="0" w:space="0" w:color="auto"/>
        <w:right w:val="none" w:sz="0" w:space="0" w:color="auto"/>
      </w:divBdr>
    </w:div>
    <w:div w:id="1050148894">
      <w:bodyDiv w:val="1"/>
      <w:marLeft w:val="0"/>
      <w:marRight w:val="0"/>
      <w:marTop w:val="0"/>
      <w:marBottom w:val="0"/>
      <w:divBdr>
        <w:top w:val="none" w:sz="0" w:space="0" w:color="auto"/>
        <w:left w:val="none" w:sz="0" w:space="0" w:color="auto"/>
        <w:bottom w:val="none" w:sz="0" w:space="0" w:color="auto"/>
        <w:right w:val="none" w:sz="0" w:space="0" w:color="auto"/>
      </w:divBdr>
    </w:div>
    <w:div w:id="1089695991">
      <w:bodyDiv w:val="1"/>
      <w:marLeft w:val="0"/>
      <w:marRight w:val="0"/>
      <w:marTop w:val="0"/>
      <w:marBottom w:val="0"/>
      <w:divBdr>
        <w:top w:val="none" w:sz="0" w:space="0" w:color="auto"/>
        <w:left w:val="none" w:sz="0" w:space="0" w:color="auto"/>
        <w:bottom w:val="none" w:sz="0" w:space="0" w:color="auto"/>
        <w:right w:val="none" w:sz="0" w:space="0" w:color="auto"/>
      </w:divBdr>
    </w:div>
    <w:div w:id="1267807116">
      <w:bodyDiv w:val="1"/>
      <w:marLeft w:val="0"/>
      <w:marRight w:val="0"/>
      <w:marTop w:val="0"/>
      <w:marBottom w:val="0"/>
      <w:divBdr>
        <w:top w:val="none" w:sz="0" w:space="0" w:color="auto"/>
        <w:left w:val="none" w:sz="0" w:space="0" w:color="auto"/>
        <w:bottom w:val="none" w:sz="0" w:space="0" w:color="auto"/>
        <w:right w:val="none" w:sz="0" w:space="0" w:color="auto"/>
      </w:divBdr>
    </w:div>
    <w:div w:id="1305619024">
      <w:bodyDiv w:val="1"/>
      <w:marLeft w:val="0"/>
      <w:marRight w:val="0"/>
      <w:marTop w:val="0"/>
      <w:marBottom w:val="0"/>
      <w:divBdr>
        <w:top w:val="none" w:sz="0" w:space="0" w:color="auto"/>
        <w:left w:val="none" w:sz="0" w:space="0" w:color="auto"/>
        <w:bottom w:val="none" w:sz="0" w:space="0" w:color="auto"/>
        <w:right w:val="none" w:sz="0" w:space="0" w:color="auto"/>
      </w:divBdr>
    </w:div>
    <w:div w:id="1324316055">
      <w:bodyDiv w:val="1"/>
      <w:marLeft w:val="0"/>
      <w:marRight w:val="0"/>
      <w:marTop w:val="0"/>
      <w:marBottom w:val="0"/>
      <w:divBdr>
        <w:top w:val="none" w:sz="0" w:space="0" w:color="auto"/>
        <w:left w:val="none" w:sz="0" w:space="0" w:color="auto"/>
        <w:bottom w:val="none" w:sz="0" w:space="0" w:color="auto"/>
        <w:right w:val="none" w:sz="0" w:space="0" w:color="auto"/>
      </w:divBdr>
    </w:div>
    <w:div w:id="1343513927">
      <w:bodyDiv w:val="1"/>
      <w:marLeft w:val="0"/>
      <w:marRight w:val="0"/>
      <w:marTop w:val="0"/>
      <w:marBottom w:val="0"/>
      <w:divBdr>
        <w:top w:val="none" w:sz="0" w:space="0" w:color="auto"/>
        <w:left w:val="none" w:sz="0" w:space="0" w:color="auto"/>
        <w:bottom w:val="none" w:sz="0" w:space="0" w:color="auto"/>
        <w:right w:val="none" w:sz="0" w:space="0" w:color="auto"/>
      </w:divBdr>
    </w:div>
    <w:div w:id="1365790370">
      <w:bodyDiv w:val="1"/>
      <w:marLeft w:val="0"/>
      <w:marRight w:val="0"/>
      <w:marTop w:val="0"/>
      <w:marBottom w:val="0"/>
      <w:divBdr>
        <w:top w:val="none" w:sz="0" w:space="0" w:color="auto"/>
        <w:left w:val="none" w:sz="0" w:space="0" w:color="auto"/>
        <w:bottom w:val="none" w:sz="0" w:space="0" w:color="auto"/>
        <w:right w:val="none" w:sz="0" w:space="0" w:color="auto"/>
      </w:divBdr>
    </w:div>
    <w:div w:id="1429040113">
      <w:bodyDiv w:val="1"/>
      <w:marLeft w:val="0"/>
      <w:marRight w:val="0"/>
      <w:marTop w:val="0"/>
      <w:marBottom w:val="0"/>
      <w:divBdr>
        <w:top w:val="none" w:sz="0" w:space="0" w:color="auto"/>
        <w:left w:val="none" w:sz="0" w:space="0" w:color="auto"/>
        <w:bottom w:val="none" w:sz="0" w:space="0" w:color="auto"/>
        <w:right w:val="none" w:sz="0" w:space="0" w:color="auto"/>
      </w:divBdr>
    </w:div>
    <w:div w:id="1432236548">
      <w:bodyDiv w:val="1"/>
      <w:marLeft w:val="0"/>
      <w:marRight w:val="0"/>
      <w:marTop w:val="0"/>
      <w:marBottom w:val="0"/>
      <w:divBdr>
        <w:top w:val="none" w:sz="0" w:space="0" w:color="auto"/>
        <w:left w:val="none" w:sz="0" w:space="0" w:color="auto"/>
        <w:bottom w:val="none" w:sz="0" w:space="0" w:color="auto"/>
        <w:right w:val="none" w:sz="0" w:space="0" w:color="auto"/>
      </w:divBdr>
    </w:div>
    <w:div w:id="1450514908">
      <w:bodyDiv w:val="1"/>
      <w:marLeft w:val="0"/>
      <w:marRight w:val="0"/>
      <w:marTop w:val="0"/>
      <w:marBottom w:val="0"/>
      <w:divBdr>
        <w:top w:val="none" w:sz="0" w:space="0" w:color="auto"/>
        <w:left w:val="none" w:sz="0" w:space="0" w:color="auto"/>
        <w:bottom w:val="none" w:sz="0" w:space="0" w:color="auto"/>
        <w:right w:val="none" w:sz="0" w:space="0" w:color="auto"/>
      </w:divBdr>
    </w:div>
    <w:div w:id="1452631702">
      <w:bodyDiv w:val="1"/>
      <w:marLeft w:val="0"/>
      <w:marRight w:val="0"/>
      <w:marTop w:val="0"/>
      <w:marBottom w:val="0"/>
      <w:divBdr>
        <w:top w:val="none" w:sz="0" w:space="0" w:color="auto"/>
        <w:left w:val="none" w:sz="0" w:space="0" w:color="auto"/>
        <w:bottom w:val="none" w:sz="0" w:space="0" w:color="auto"/>
        <w:right w:val="none" w:sz="0" w:space="0" w:color="auto"/>
      </w:divBdr>
    </w:div>
    <w:div w:id="1677920380">
      <w:bodyDiv w:val="1"/>
      <w:marLeft w:val="0"/>
      <w:marRight w:val="0"/>
      <w:marTop w:val="0"/>
      <w:marBottom w:val="0"/>
      <w:divBdr>
        <w:top w:val="none" w:sz="0" w:space="0" w:color="auto"/>
        <w:left w:val="none" w:sz="0" w:space="0" w:color="auto"/>
        <w:bottom w:val="none" w:sz="0" w:space="0" w:color="auto"/>
        <w:right w:val="none" w:sz="0" w:space="0" w:color="auto"/>
      </w:divBdr>
    </w:div>
    <w:div w:id="1749814328">
      <w:bodyDiv w:val="1"/>
      <w:marLeft w:val="0"/>
      <w:marRight w:val="0"/>
      <w:marTop w:val="0"/>
      <w:marBottom w:val="0"/>
      <w:divBdr>
        <w:top w:val="none" w:sz="0" w:space="0" w:color="auto"/>
        <w:left w:val="none" w:sz="0" w:space="0" w:color="auto"/>
        <w:bottom w:val="none" w:sz="0" w:space="0" w:color="auto"/>
        <w:right w:val="none" w:sz="0" w:space="0" w:color="auto"/>
      </w:divBdr>
    </w:div>
    <w:div w:id="1815685152">
      <w:bodyDiv w:val="1"/>
      <w:marLeft w:val="0"/>
      <w:marRight w:val="0"/>
      <w:marTop w:val="0"/>
      <w:marBottom w:val="0"/>
      <w:divBdr>
        <w:top w:val="none" w:sz="0" w:space="0" w:color="auto"/>
        <w:left w:val="none" w:sz="0" w:space="0" w:color="auto"/>
        <w:bottom w:val="none" w:sz="0" w:space="0" w:color="auto"/>
        <w:right w:val="none" w:sz="0" w:space="0" w:color="auto"/>
      </w:divBdr>
    </w:div>
    <w:div w:id="1918519356">
      <w:bodyDiv w:val="1"/>
      <w:marLeft w:val="0"/>
      <w:marRight w:val="0"/>
      <w:marTop w:val="0"/>
      <w:marBottom w:val="0"/>
      <w:divBdr>
        <w:top w:val="none" w:sz="0" w:space="0" w:color="auto"/>
        <w:left w:val="none" w:sz="0" w:space="0" w:color="auto"/>
        <w:bottom w:val="none" w:sz="0" w:space="0" w:color="auto"/>
        <w:right w:val="none" w:sz="0" w:space="0" w:color="auto"/>
      </w:divBdr>
    </w:div>
    <w:div w:id="1945182983">
      <w:bodyDiv w:val="1"/>
      <w:marLeft w:val="0"/>
      <w:marRight w:val="0"/>
      <w:marTop w:val="0"/>
      <w:marBottom w:val="0"/>
      <w:divBdr>
        <w:top w:val="none" w:sz="0" w:space="0" w:color="auto"/>
        <w:left w:val="none" w:sz="0" w:space="0" w:color="auto"/>
        <w:bottom w:val="none" w:sz="0" w:space="0" w:color="auto"/>
        <w:right w:val="none" w:sz="0" w:space="0" w:color="auto"/>
      </w:divBdr>
    </w:div>
    <w:div w:id="2019695124">
      <w:bodyDiv w:val="1"/>
      <w:marLeft w:val="0"/>
      <w:marRight w:val="0"/>
      <w:marTop w:val="0"/>
      <w:marBottom w:val="0"/>
      <w:divBdr>
        <w:top w:val="none" w:sz="0" w:space="0" w:color="auto"/>
        <w:left w:val="none" w:sz="0" w:space="0" w:color="auto"/>
        <w:bottom w:val="none" w:sz="0" w:space="0" w:color="auto"/>
        <w:right w:val="none" w:sz="0" w:space="0" w:color="auto"/>
      </w:divBdr>
    </w:div>
    <w:div w:id="2059429836">
      <w:bodyDiv w:val="1"/>
      <w:marLeft w:val="0"/>
      <w:marRight w:val="0"/>
      <w:marTop w:val="0"/>
      <w:marBottom w:val="0"/>
      <w:divBdr>
        <w:top w:val="none" w:sz="0" w:space="0" w:color="auto"/>
        <w:left w:val="none" w:sz="0" w:space="0" w:color="auto"/>
        <w:bottom w:val="none" w:sz="0" w:space="0" w:color="auto"/>
        <w:right w:val="none" w:sz="0" w:space="0" w:color="auto"/>
      </w:divBdr>
    </w:div>
    <w:div w:id="2071072307">
      <w:bodyDiv w:val="1"/>
      <w:marLeft w:val="0"/>
      <w:marRight w:val="0"/>
      <w:marTop w:val="0"/>
      <w:marBottom w:val="0"/>
      <w:divBdr>
        <w:top w:val="none" w:sz="0" w:space="0" w:color="auto"/>
        <w:left w:val="none" w:sz="0" w:space="0" w:color="auto"/>
        <w:bottom w:val="none" w:sz="0" w:space="0" w:color="auto"/>
        <w:right w:val="none" w:sz="0" w:space="0" w:color="auto"/>
      </w:divBdr>
    </w:div>
    <w:div w:id="21116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5789</Words>
  <Characters>37249</Characters>
  <Application>Microsoft Office Word</Application>
  <DocSecurity>0</DocSecurity>
  <Lines>310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2024051294, pkt. 2, 4.2, 4.3, 4.4, 4.5, 4.6, 4.7, 4.8, 5.0, 5.1, 6.2, 6.6, 7.</dc:description>
  <cp:lastModifiedBy>Anastacia Madsen</cp:lastModifiedBy>
  <cp:revision>3</cp:revision>
  <cp:lastPrinted>2012-08-22T08:53:00Z</cp:lastPrinted>
  <dcterms:created xsi:type="dcterms:W3CDTF">2025-02-10T10:05:00Z</dcterms:created>
  <dcterms:modified xsi:type="dcterms:W3CDTF">2025-02-10T10:41:00Z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