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DC2" w:rsidRPr="00624299" w:rsidRDefault="00336DC2" w:rsidP="00336DC2">
      <w:r w:rsidRPr="00624299">
        <w:rPr>
          <w:noProof/>
        </w:rPr>
        <w:drawing>
          <wp:inline distT="0" distB="0" distL="0" distR="0" wp14:anchorId="38AB29FF" wp14:editId="1976F9F9">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336DC2" w:rsidRDefault="00336DC2" w:rsidP="00336DC2">
      <w:pPr>
        <w:pStyle w:val="Titel"/>
        <w:tabs>
          <w:tab w:val="left" w:pos="540"/>
        </w:tabs>
        <w:jc w:val="left"/>
      </w:pPr>
    </w:p>
    <w:p w:rsidR="0095653C" w:rsidRDefault="0095653C" w:rsidP="00336DC2">
      <w:pPr>
        <w:pStyle w:val="Titel"/>
        <w:tabs>
          <w:tab w:val="left" w:pos="540"/>
        </w:tabs>
        <w:jc w:val="left"/>
      </w:pPr>
    </w:p>
    <w:p w:rsidR="00C73355" w:rsidRPr="00624299" w:rsidRDefault="00C73355" w:rsidP="00336DC2">
      <w:pPr>
        <w:pStyle w:val="Titel"/>
        <w:tabs>
          <w:tab w:val="left" w:pos="540"/>
        </w:tabs>
        <w:jc w:val="left"/>
      </w:pPr>
    </w:p>
    <w:p w:rsidR="00336DC2" w:rsidRPr="00624299" w:rsidRDefault="000511B8" w:rsidP="00336DC2">
      <w:pPr>
        <w:pStyle w:val="Titel"/>
        <w:tabs>
          <w:tab w:val="left" w:pos="540"/>
        </w:tabs>
        <w:jc w:val="right"/>
      </w:pPr>
      <w:r>
        <w:t>6</w:t>
      </w:r>
      <w:r w:rsidR="00D70A42">
        <w:t>. marts 202</w:t>
      </w:r>
      <w:r w:rsidR="00C73355">
        <w:t>4</w:t>
      </w:r>
    </w:p>
    <w:p w:rsidR="00336DC2" w:rsidRPr="00624299" w:rsidRDefault="00336DC2" w:rsidP="00336DC2">
      <w:pPr>
        <w:pStyle w:val="Titel"/>
        <w:tabs>
          <w:tab w:val="left" w:pos="540"/>
        </w:tabs>
        <w:jc w:val="left"/>
        <w:rPr>
          <w:b w:val="0"/>
        </w:rPr>
      </w:pPr>
    </w:p>
    <w:p w:rsidR="00336DC2" w:rsidRPr="00624299" w:rsidRDefault="00336DC2" w:rsidP="00336DC2">
      <w:pPr>
        <w:pStyle w:val="Titel"/>
        <w:tabs>
          <w:tab w:val="left" w:pos="540"/>
        </w:tabs>
        <w:jc w:val="left"/>
        <w:rPr>
          <w:b w:val="0"/>
        </w:rPr>
      </w:pPr>
    </w:p>
    <w:p w:rsidR="00336DC2" w:rsidRPr="00624299" w:rsidRDefault="00336DC2" w:rsidP="00336DC2">
      <w:pPr>
        <w:pStyle w:val="Titel"/>
        <w:tabs>
          <w:tab w:val="left" w:pos="540"/>
        </w:tabs>
        <w:jc w:val="left"/>
        <w:rPr>
          <w:b w:val="0"/>
        </w:rPr>
      </w:pPr>
    </w:p>
    <w:p w:rsidR="00336DC2" w:rsidRPr="00624299" w:rsidRDefault="00336DC2" w:rsidP="00336DC2">
      <w:pPr>
        <w:jc w:val="center"/>
        <w:rPr>
          <w:b/>
        </w:rPr>
      </w:pPr>
      <w:r w:rsidRPr="00624299">
        <w:rPr>
          <w:b/>
        </w:rPr>
        <w:t>PRODUKTRESUMÉ</w:t>
      </w:r>
    </w:p>
    <w:p w:rsidR="00336DC2" w:rsidRPr="00624299" w:rsidRDefault="00336DC2" w:rsidP="00336DC2">
      <w:pPr>
        <w:jc w:val="center"/>
        <w:rPr>
          <w:b/>
        </w:rPr>
      </w:pPr>
    </w:p>
    <w:p w:rsidR="00336DC2" w:rsidRPr="00624299" w:rsidRDefault="00336DC2" w:rsidP="00336DC2">
      <w:pPr>
        <w:jc w:val="center"/>
        <w:rPr>
          <w:b/>
        </w:rPr>
      </w:pPr>
      <w:r w:rsidRPr="00624299">
        <w:rPr>
          <w:b/>
        </w:rPr>
        <w:t>for</w:t>
      </w:r>
    </w:p>
    <w:p w:rsidR="00336DC2" w:rsidRPr="00624299" w:rsidRDefault="00336DC2" w:rsidP="00336DC2">
      <w:pPr>
        <w:jc w:val="center"/>
        <w:rPr>
          <w:b/>
        </w:rPr>
      </w:pPr>
    </w:p>
    <w:p w:rsidR="00336DC2" w:rsidRPr="00624299" w:rsidRDefault="00336DC2" w:rsidP="00336DC2">
      <w:pPr>
        <w:jc w:val="center"/>
        <w:rPr>
          <w:b/>
        </w:rPr>
      </w:pPr>
      <w:proofErr w:type="spellStart"/>
      <w:r w:rsidRPr="00624299">
        <w:rPr>
          <w:b/>
        </w:rPr>
        <w:t>Zoladex</w:t>
      </w:r>
      <w:proofErr w:type="spellEnd"/>
      <w:r w:rsidRPr="00624299">
        <w:rPr>
          <w:b/>
        </w:rPr>
        <w:t>, implantat, fyldt injektionssprøjte</w:t>
      </w:r>
      <w:r w:rsidR="00D70A42">
        <w:rPr>
          <w:b/>
        </w:rPr>
        <w:t xml:space="preserve"> (Medartuum)</w:t>
      </w:r>
    </w:p>
    <w:p w:rsidR="00336DC2" w:rsidRPr="00624299" w:rsidRDefault="00336DC2" w:rsidP="00336DC2"/>
    <w:p w:rsidR="00336DC2" w:rsidRPr="00624299" w:rsidRDefault="00336DC2" w:rsidP="00336DC2"/>
    <w:p w:rsidR="00336DC2" w:rsidRPr="00624299" w:rsidRDefault="00336DC2" w:rsidP="00336DC2">
      <w:pPr>
        <w:tabs>
          <w:tab w:val="left" w:pos="0"/>
          <w:tab w:val="left" w:pos="851"/>
        </w:tabs>
        <w:suppressAutoHyphens/>
        <w:ind w:left="850" w:hanging="850"/>
        <w:jc w:val="both"/>
        <w:rPr>
          <w:b/>
          <w:spacing w:val="-3"/>
        </w:rPr>
      </w:pPr>
      <w:r w:rsidRPr="00624299">
        <w:rPr>
          <w:b/>
          <w:spacing w:val="-3"/>
        </w:rPr>
        <w:t xml:space="preserve">0.  </w:t>
      </w:r>
      <w:r w:rsidRPr="00624299">
        <w:rPr>
          <w:b/>
          <w:spacing w:val="-3"/>
        </w:rPr>
        <w:tab/>
        <w:t>D.SP.NR.</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6483</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 xml:space="preserve">1. </w:t>
      </w:r>
      <w:r w:rsidRPr="00624299">
        <w:rPr>
          <w:b/>
          <w:spacing w:val="-3"/>
        </w:rPr>
        <w:tab/>
        <w:t>LÆGEMIDLETS NAVN</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r>
      <w:proofErr w:type="spellStart"/>
      <w:r w:rsidRPr="00624299">
        <w:rPr>
          <w:spacing w:val="-3"/>
        </w:rPr>
        <w:t>Zoladex</w:t>
      </w:r>
      <w:proofErr w:type="spellEnd"/>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 xml:space="preserve">2. </w:t>
      </w:r>
      <w:r w:rsidRPr="00624299">
        <w:rPr>
          <w:b/>
          <w:spacing w:val="-3"/>
        </w:rPr>
        <w:tab/>
        <w:t>KVALITATIV OG KVANTITATIV SAMMENSÆTNING</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r>
      <w:proofErr w:type="spellStart"/>
      <w:r w:rsidRPr="00624299">
        <w:rPr>
          <w:spacing w:val="-3"/>
        </w:rPr>
        <w:t>Goserelin</w:t>
      </w:r>
      <w:proofErr w:type="spellEnd"/>
      <w:r w:rsidRPr="00624299">
        <w:rPr>
          <w:spacing w:val="-3"/>
        </w:rPr>
        <w:t xml:space="preserve"> 10,8 mg som </w:t>
      </w:r>
      <w:proofErr w:type="spellStart"/>
      <w:r w:rsidRPr="00624299">
        <w:rPr>
          <w:spacing w:val="-3"/>
        </w:rPr>
        <w:t>goserelinacetat</w:t>
      </w:r>
      <w:proofErr w:type="spellEnd"/>
      <w:r w:rsidRPr="00624299">
        <w:rPr>
          <w:spacing w:val="-3"/>
        </w:rPr>
        <w:t>.</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jc w:val="both"/>
        <w:rPr>
          <w:spacing w:val="-3"/>
        </w:rPr>
      </w:pPr>
      <w:r w:rsidRPr="00624299">
        <w:rPr>
          <w:spacing w:val="-3"/>
        </w:rPr>
        <w:tab/>
        <w:t>Alle hjælpestoffer er anført under pkt. 6.1.</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 xml:space="preserve">3. </w:t>
      </w:r>
      <w:r w:rsidRPr="00624299">
        <w:rPr>
          <w:b/>
          <w:spacing w:val="-3"/>
        </w:rPr>
        <w:tab/>
        <w:t>LÆGEMIDDELFORM</w:t>
      </w:r>
    </w:p>
    <w:p w:rsidR="00336DC2" w:rsidRPr="00624299" w:rsidRDefault="00336DC2" w:rsidP="00D70A42">
      <w:pPr>
        <w:ind w:firstLine="850"/>
        <w:rPr>
          <w:spacing w:val="-3"/>
        </w:rPr>
      </w:pPr>
      <w:r w:rsidRPr="00624299">
        <w:rPr>
          <w:spacing w:val="-3"/>
        </w:rPr>
        <w:t>Implantat, fyldt injektionssprøjte.</w:t>
      </w:r>
      <w:r w:rsidR="00D70A42">
        <w:rPr>
          <w:spacing w:val="-3"/>
        </w:rPr>
        <w:t xml:space="preserve"> </w:t>
      </w:r>
      <w:r w:rsidR="00D70A42" w:rsidRPr="00D70A42">
        <w:rPr>
          <w:spacing w:val="-3"/>
        </w:rPr>
        <w:t>(Medartuum)</w:t>
      </w:r>
    </w:p>
    <w:p w:rsidR="00336DC2" w:rsidRPr="00624299" w:rsidRDefault="00336DC2" w:rsidP="00336DC2">
      <w:pPr>
        <w:tabs>
          <w:tab w:val="left" w:pos="0"/>
          <w:tab w:val="left" w:pos="851"/>
        </w:tabs>
        <w:suppressAutoHyphens/>
        <w:ind w:left="850" w:hanging="850"/>
        <w:jc w:val="both"/>
        <w:rPr>
          <w:b/>
          <w:spacing w:val="-3"/>
        </w:rPr>
      </w:pPr>
    </w:p>
    <w:p w:rsidR="00336DC2" w:rsidRPr="00624299" w:rsidRDefault="00336DC2" w:rsidP="00336DC2">
      <w:pPr>
        <w:tabs>
          <w:tab w:val="left" w:pos="0"/>
          <w:tab w:val="left" w:pos="851"/>
        </w:tabs>
        <w:suppressAutoHyphens/>
        <w:ind w:left="850" w:hanging="850"/>
        <w:jc w:val="both"/>
        <w:rPr>
          <w:b/>
          <w:spacing w:val="-3"/>
        </w:rPr>
      </w:pPr>
    </w:p>
    <w:p w:rsidR="00336DC2" w:rsidRPr="00624299" w:rsidRDefault="00336DC2" w:rsidP="00336DC2">
      <w:pPr>
        <w:tabs>
          <w:tab w:val="left" w:pos="0"/>
          <w:tab w:val="left" w:pos="851"/>
        </w:tabs>
        <w:suppressAutoHyphens/>
        <w:ind w:left="850" w:hanging="850"/>
        <w:jc w:val="both"/>
        <w:rPr>
          <w:spacing w:val="-3"/>
        </w:rPr>
      </w:pPr>
      <w:r w:rsidRPr="00624299">
        <w:rPr>
          <w:b/>
          <w:spacing w:val="-3"/>
        </w:rPr>
        <w:t xml:space="preserve">4. </w:t>
      </w:r>
      <w:r w:rsidRPr="00624299">
        <w:rPr>
          <w:b/>
          <w:spacing w:val="-3"/>
        </w:rPr>
        <w:tab/>
        <w:t>KLINISKE OPLYSNINGER</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4.1</w:t>
      </w:r>
      <w:r w:rsidRPr="00624299">
        <w:rPr>
          <w:b/>
          <w:spacing w:val="-3"/>
        </w:rPr>
        <w:tab/>
        <w:t>Terapeutiske indikationer</w:t>
      </w:r>
    </w:p>
    <w:p w:rsidR="000511B8" w:rsidRPr="006230A3" w:rsidRDefault="00336DC2" w:rsidP="000511B8">
      <w:pPr>
        <w:tabs>
          <w:tab w:val="left" w:pos="0"/>
          <w:tab w:val="left" w:pos="71"/>
          <w:tab w:val="left" w:pos="851"/>
        </w:tabs>
        <w:suppressAutoHyphens/>
        <w:ind w:left="71"/>
        <w:rPr>
          <w:spacing w:val="-3"/>
        </w:rPr>
      </w:pPr>
      <w:r w:rsidRPr="00624299">
        <w:rPr>
          <w:i/>
          <w:iCs/>
          <w:spacing w:val="-3"/>
        </w:rPr>
        <w:tab/>
      </w:r>
      <w:r w:rsidR="000511B8" w:rsidRPr="006230A3">
        <w:rPr>
          <w:i/>
          <w:iCs/>
          <w:spacing w:val="-3"/>
        </w:rPr>
        <w:t>Implantat 3,6 mg:</w:t>
      </w:r>
    </w:p>
    <w:p w:rsidR="000511B8" w:rsidRPr="006230A3" w:rsidRDefault="000511B8" w:rsidP="000511B8">
      <w:pPr>
        <w:tabs>
          <w:tab w:val="left" w:pos="0"/>
          <w:tab w:val="left" w:pos="71"/>
        </w:tabs>
        <w:suppressAutoHyphens/>
        <w:rPr>
          <w:spacing w:val="-3"/>
        </w:rPr>
      </w:pPr>
    </w:p>
    <w:p w:rsidR="000511B8" w:rsidRPr="006230A3" w:rsidRDefault="000511B8" w:rsidP="000511B8">
      <w:pPr>
        <w:suppressAutoHyphens/>
        <w:ind w:left="851"/>
      </w:pPr>
      <w:r w:rsidRPr="006230A3">
        <w:t>Behandling af prostatacancer ved følgende omstændigheder (se også pkt. 5.1):</w:t>
      </w:r>
    </w:p>
    <w:p w:rsidR="000511B8" w:rsidRPr="006230A3" w:rsidRDefault="000511B8" w:rsidP="000511B8">
      <w:pPr>
        <w:tabs>
          <w:tab w:val="left" w:pos="0"/>
          <w:tab w:val="left" w:pos="71"/>
        </w:tabs>
        <w:suppressAutoHyphens/>
      </w:pPr>
    </w:p>
    <w:p w:rsidR="000511B8" w:rsidRPr="006230A3" w:rsidRDefault="000511B8" w:rsidP="000511B8">
      <w:pPr>
        <w:pStyle w:val="A-ListBullet"/>
        <w:numPr>
          <w:ilvl w:val="0"/>
          <w:numId w:val="8"/>
        </w:numPr>
        <w:spacing w:after="0" w:line="240" w:lineRule="auto"/>
        <w:ind w:left="1276" w:hanging="425"/>
        <w:rPr>
          <w:lang w:val="da-DK"/>
        </w:rPr>
      </w:pPr>
      <w:r w:rsidRPr="006230A3">
        <w:rPr>
          <w:lang w:val="da-DK"/>
        </w:rPr>
        <w:t xml:space="preserve">Til behandling af metastatisk prostatacancer, hvor </w:t>
      </w:r>
      <w:proofErr w:type="spellStart"/>
      <w:r w:rsidRPr="006230A3">
        <w:rPr>
          <w:lang w:val="da-DK"/>
        </w:rPr>
        <w:t>Zoladex</w:t>
      </w:r>
      <w:proofErr w:type="spellEnd"/>
      <w:r w:rsidRPr="006230A3">
        <w:rPr>
          <w:lang w:val="da-DK"/>
        </w:rPr>
        <w:t xml:space="preserve"> har vist sammenlignelig overlevelse med kirurgisk kastrering (se pkt. 5.1)</w:t>
      </w:r>
    </w:p>
    <w:p w:rsidR="000511B8" w:rsidRPr="006230A3" w:rsidRDefault="000511B8" w:rsidP="000511B8">
      <w:pPr>
        <w:pStyle w:val="A-ListBullet"/>
        <w:numPr>
          <w:ilvl w:val="0"/>
          <w:numId w:val="7"/>
        </w:numPr>
        <w:tabs>
          <w:tab w:val="clear" w:pos="994"/>
        </w:tabs>
        <w:spacing w:after="0" w:line="240" w:lineRule="auto"/>
        <w:ind w:left="1276" w:hanging="425"/>
        <w:rPr>
          <w:lang w:val="da-DK"/>
        </w:rPr>
      </w:pPr>
      <w:r w:rsidRPr="006230A3">
        <w:rPr>
          <w:lang w:val="da-DK"/>
        </w:rPr>
        <w:t xml:space="preserve">Til behandling af lokalt fremskreden prostatacancer som alternativ til kirurgisk kastrering, hvor </w:t>
      </w:r>
      <w:proofErr w:type="spellStart"/>
      <w:r w:rsidRPr="006230A3">
        <w:rPr>
          <w:lang w:val="da-DK"/>
        </w:rPr>
        <w:t>Zoladex</w:t>
      </w:r>
      <w:proofErr w:type="spellEnd"/>
      <w:r w:rsidRPr="006230A3">
        <w:rPr>
          <w:lang w:val="da-DK"/>
        </w:rPr>
        <w:t xml:space="preserve"> har vist sammenlignelig overlevelse med et </w:t>
      </w:r>
      <w:proofErr w:type="spellStart"/>
      <w:r w:rsidRPr="006230A3">
        <w:rPr>
          <w:lang w:val="da-DK"/>
        </w:rPr>
        <w:t>anti-androgent</w:t>
      </w:r>
      <w:proofErr w:type="spellEnd"/>
      <w:r w:rsidRPr="006230A3">
        <w:rPr>
          <w:lang w:val="da-DK"/>
        </w:rPr>
        <w:t xml:space="preserve"> stof (se pkt. 5.1)</w:t>
      </w:r>
    </w:p>
    <w:p w:rsidR="000511B8" w:rsidRPr="006230A3" w:rsidRDefault="000511B8" w:rsidP="000511B8">
      <w:pPr>
        <w:pStyle w:val="A-ListBullet"/>
        <w:numPr>
          <w:ilvl w:val="0"/>
          <w:numId w:val="7"/>
        </w:numPr>
        <w:tabs>
          <w:tab w:val="clear" w:pos="994"/>
        </w:tabs>
        <w:spacing w:after="0" w:line="240" w:lineRule="auto"/>
        <w:ind w:left="1276" w:hanging="425"/>
        <w:rPr>
          <w:lang w:val="da-DK"/>
        </w:rPr>
      </w:pPr>
      <w:r w:rsidRPr="006230A3">
        <w:rPr>
          <w:lang w:val="da-DK"/>
        </w:rPr>
        <w:t xml:space="preserve">Som </w:t>
      </w:r>
      <w:proofErr w:type="spellStart"/>
      <w:r w:rsidRPr="006230A3">
        <w:rPr>
          <w:lang w:val="da-DK"/>
        </w:rPr>
        <w:t>adjuverende</w:t>
      </w:r>
      <w:proofErr w:type="spellEnd"/>
      <w:r w:rsidRPr="006230A3">
        <w:rPr>
          <w:lang w:val="da-DK"/>
        </w:rPr>
        <w:t xml:space="preserve"> behandling til strålebehandling hos patienter med højrisiko lokaliseret prostatacancer eller lokalt fremskreden prostatacancer, hvor </w:t>
      </w:r>
      <w:proofErr w:type="spellStart"/>
      <w:r w:rsidRPr="006230A3">
        <w:rPr>
          <w:lang w:val="da-DK"/>
        </w:rPr>
        <w:t>Zoladex</w:t>
      </w:r>
      <w:proofErr w:type="spellEnd"/>
      <w:r w:rsidRPr="006230A3">
        <w:rPr>
          <w:lang w:val="da-DK"/>
        </w:rPr>
        <w:t xml:space="preserve"> har vist forbedret sygdomsfri overlevelse og forbedret samlet overlevelse (se pkt. 5.1)</w:t>
      </w:r>
    </w:p>
    <w:p w:rsidR="000511B8" w:rsidRPr="006230A3" w:rsidRDefault="000511B8" w:rsidP="000511B8">
      <w:pPr>
        <w:pStyle w:val="A-ListBullet"/>
        <w:numPr>
          <w:ilvl w:val="0"/>
          <w:numId w:val="7"/>
        </w:numPr>
        <w:tabs>
          <w:tab w:val="clear" w:pos="994"/>
        </w:tabs>
        <w:spacing w:after="0" w:line="240" w:lineRule="auto"/>
        <w:ind w:left="1276" w:hanging="425"/>
        <w:rPr>
          <w:lang w:val="da-DK"/>
        </w:rPr>
      </w:pPr>
      <w:r w:rsidRPr="006230A3">
        <w:rPr>
          <w:lang w:val="da-DK"/>
        </w:rPr>
        <w:t xml:space="preserve">Til </w:t>
      </w:r>
      <w:proofErr w:type="spellStart"/>
      <w:r w:rsidRPr="006230A3">
        <w:rPr>
          <w:lang w:val="da-DK"/>
        </w:rPr>
        <w:t>neoadjuverende</w:t>
      </w:r>
      <w:proofErr w:type="spellEnd"/>
      <w:r w:rsidRPr="006230A3">
        <w:rPr>
          <w:lang w:val="da-DK"/>
        </w:rPr>
        <w:t xml:space="preserve"> behandling inden strålebehandling til patienter med højrisiko lokaliseret prostatacancer eller lokalt fremskreden prostatacancer, hvor </w:t>
      </w:r>
      <w:proofErr w:type="spellStart"/>
      <w:r w:rsidRPr="006230A3">
        <w:rPr>
          <w:lang w:val="da-DK"/>
        </w:rPr>
        <w:t>Zoladex</w:t>
      </w:r>
      <w:proofErr w:type="spellEnd"/>
      <w:r w:rsidRPr="006230A3">
        <w:rPr>
          <w:lang w:val="da-DK"/>
        </w:rPr>
        <w:t xml:space="preserve"> har vist forbedret sygdomsfri overlevelse (se pkt. 5.1)</w:t>
      </w:r>
    </w:p>
    <w:p w:rsidR="000511B8" w:rsidRPr="006230A3" w:rsidRDefault="000511B8" w:rsidP="000511B8">
      <w:pPr>
        <w:pStyle w:val="A-ListBullet"/>
        <w:numPr>
          <w:ilvl w:val="0"/>
          <w:numId w:val="7"/>
        </w:numPr>
        <w:tabs>
          <w:tab w:val="clear" w:pos="994"/>
        </w:tabs>
        <w:spacing w:after="0" w:line="240" w:lineRule="auto"/>
        <w:ind w:left="1276" w:hanging="425"/>
        <w:rPr>
          <w:lang w:val="da-DK"/>
        </w:rPr>
      </w:pPr>
      <w:r w:rsidRPr="006230A3">
        <w:rPr>
          <w:lang w:val="da-DK"/>
        </w:rPr>
        <w:lastRenderedPageBreak/>
        <w:t xml:space="preserve">Som </w:t>
      </w:r>
      <w:proofErr w:type="spellStart"/>
      <w:r w:rsidRPr="006230A3">
        <w:rPr>
          <w:lang w:val="da-DK"/>
        </w:rPr>
        <w:t>adjuverende</w:t>
      </w:r>
      <w:proofErr w:type="spellEnd"/>
      <w:r w:rsidRPr="006230A3">
        <w:rPr>
          <w:lang w:val="da-DK"/>
        </w:rPr>
        <w:t xml:space="preserve"> behandling af radikal </w:t>
      </w:r>
      <w:proofErr w:type="spellStart"/>
      <w:r w:rsidRPr="006230A3">
        <w:rPr>
          <w:lang w:val="da-DK"/>
        </w:rPr>
        <w:t>prostatektomi</w:t>
      </w:r>
      <w:proofErr w:type="spellEnd"/>
      <w:r w:rsidRPr="006230A3">
        <w:rPr>
          <w:lang w:val="da-DK"/>
        </w:rPr>
        <w:t xml:space="preserve"> til patienter med lokalt fremskreden prostatacancer med høj risiko for sygdomsprogression, hvor </w:t>
      </w:r>
      <w:proofErr w:type="spellStart"/>
      <w:r w:rsidRPr="006230A3">
        <w:rPr>
          <w:lang w:val="da-DK"/>
        </w:rPr>
        <w:t>Zoladex</w:t>
      </w:r>
      <w:proofErr w:type="spellEnd"/>
      <w:r w:rsidRPr="006230A3">
        <w:rPr>
          <w:lang w:val="da-DK"/>
        </w:rPr>
        <w:t xml:space="preserve"> har vist forbedret sygdomsfri overlevelse (se pkt. 5.1)</w:t>
      </w:r>
    </w:p>
    <w:p w:rsidR="000511B8" w:rsidRPr="006230A3" w:rsidRDefault="000511B8" w:rsidP="000511B8">
      <w:pPr>
        <w:tabs>
          <w:tab w:val="left" w:pos="0"/>
          <w:tab w:val="left" w:pos="71"/>
        </w:tabs>
        <w:suppressAutoHyphens/>
        <w:rPr>
          <w:spacing w:val="-3"/>
        </w:rPr>
      </w:pPr>
    </w:p>
    <w:p w:rsidR="000511B8" w:rsidRPr="006230A3" w:rsidRDefault="000511B8" w:rsidP="000511B8">
      <w:pPr>
        <w:suppressAutoHyphens/>
        <w:ind w:left="1276"/>
        <w:rPr>
          <w:spacing w:val="-3"/>
        </w:rPr>
      </w:pPr>
      <w:r w:rsidRPr="006230A3">
        <w:rPr>
          <w:spacing w:val="-3"/>
        </w:rPr>
        <w:t xml:space="preserve">Brystcancer hos præ- og </w:t>
      </w:r>
      <w:proofErr w:type="spellStart"/>
      <w:r w:rsidRPr="006230A3">
        <w:rPr>
          <w:spacing w:val="-3"/>
        </w:rPr>
        <w:t>peri-menopausale</w:t>
      </w:r>
      <w:proofErr w:type="spellEnd"/>
      <w:r w:rsidRPr="006230A3">
        <w:rPr>
          <w:spacing w:val="-3"/>
        </w:rPr>
        <w:t xml:space="preserve"> kvinder, der findes egnet til hormonel behandling. </w:t>
      </w:r>
    </w:p>
    <w:p w:rsidR="000511B8" w:rsidRPr="006230A3" w:rsidRDefault="000511B8" w:rsidP="000511B8">
      <w:pPr>
        <w:suppressAutoHyphens/>
        <w:ind w:left="1276"/>
        <w:rPr>
          <w:spacing w:val="-3"/>
        </w:rPr>
      </w:pPr>
    </w:p>
    <w:p w:rsidR="000511B8" w:rsidRPr="006230A3" w:rsidRDefault="000511B8" w:rsidP="000511B8">
      <w:pPr>
        <w:suppressAutoHyphens/>
        <w:ind w:left="1276" w:firstLine="1"/>
        <w:rPr>
          <w:spacing w:val="-3"/>
        </w:rPr>
      </w:pPr>
      <w:proofErr w:type="spellStart"/>
      <w:r w:rsidRPr="006230A3">
        <w:rPr>
          <w:spacing w:val="-3"/>
        </w:rPr>
        <w:t>Endometriose</w:t>
      </w:r>
      <w:proofErr w:type="spellEnd"/>
      <w:r w:rsidRPr="006230A3">
        <w:rPr>
          <w:spacing w:val="-3"/>
        </w:rPr>
        <w:t xml:space="preserve">: Præoperativt til behandling af svær </w:t>
      </w:r>
      <w:proofErr w:type="spellStart"/>
      <w:r w:rsidRPr="006230A3">
        <w:rPr>
          <w:spacing w:val="-3"/>
        </w:rPr>
        <w:t>endometriose</w:t>
      </w:r>
      <w:proofErr w:type="spellEnd"/>
      <w:r w:rsidRPr="006230A3">
        <w:rPr>
          <w:spacing w:val="-3"/>
        </w:rPr>
        <w:t xml:space="preserve"> kontinuerlig i op til 6 måneder og til at reducere størrelsen af fibromer i op til 3 måneder. </w:t>
      </w:r>
    </w:p>
    <w:p w:rsidR="000511B8" w:rsidRPr="006230A3" w:rsidRDefault="000511B8" w:rsidP="000511B8">
      <w:pPr>
        <w:suppressAutoHyphens/>
        <w:ind w:left="1276" w:firstLine="1"/>
        <w:rPr>
          <w:spacing w:val="-3"/>
        </w:rPr>
      </w:pPr>
      <w:r w:rsidRPr="006230A3">
        <w:rPr>
          <w:spacing w:val="-3"/>
        </w:rPr>
        <w:t xml:space="preserve"> </w:t>
      </w:r>
    </w:p>
    <w:p w:rsidR="000511B8" w:rsidRPr="006230A3" w:rsidRDefault="000511B8" w:rsidP="000511B8">
      <w:pPr>
        <w:ind w:left="1276"/>
        <w:rPr>
          <w:spacing w:val="-3"/>
        </w:rPr>
      </w:pPr>
      <w:r w:rsidRPr="006230A3">
        <w:rPr>
          <w:spacing w:val="-3"/>
        </w:rPr>
        <w:t xml:space="preserve">Reduktion af </w:t>
      </w:r>
      <w:proofErr w:type="spellStart"/>
      <w:r w:rsidRPr="006230A3">
        <w:t>endometrietykkelsen</w:t>
      </w:r>
      <w:proofErr w:type="spellEnd"/>
      <w:r w:rsidRPr="006230A3">
        <w:rPr>
          <w:spacing w:val="-3"/>
        </w:rPr>
        <w:t xml:space="preserve">: Reduktion af </w:t>
      </w:r>
      <w:proofErr w:type="spellStart"/>
      <w:r w:rsidRPr="006230A3">
        <w:t>endometrietykkelsen</w:t>
      </w:r>
      <w:proofErr w:type="spellEnd"/>
      <w:r w:rsidRPr="006230A3">
        <w:rPr>
          <w:spacing w:val="-3"/>
        </w:rPr>
        <w:t xml:space="preserve"> før fjernelse af </w:t>
      </w:r>
      <w:proofErr w:type="spellStart"/>
      <w:r w:rsidRPr="006230A3">
        <w:rPr>
          <w:spacing w:val="-3"/>
        </w:rPr>
        <w:t>endometriet</w:t>
      </w:r>
      <w:proofErr w:type="spellEnd"/>
      <w:r w:rsidRPr="006230A3">
        <w:rPr>
          <w:spacing w:val="-3"/>
        </w:rPr>
        <w:t xml:space="preserve">. To </w:t>
      </w:r>
      <w:proofErr w:type="spellStart"/>
      <w:r w:rsidRPr="006230A3">
        <w:rPr>
          <w:spacing w:val="-3"/>
        </w:rPr>
        <w:t>Zoladex</w:t>
      </w:r>
      <w:proofErr w:type="spellEnd"/>
      <w:r w:rsidRPr="006230A3">
        <w:rPr>
          <w:spacing w:val="-3"/>
        </w:rPr>
        <w:t xml:space="preserve"> 3,6 mg implantater administreres med fire ugers mellemrum, hvor operation er planlagt mellem nul og to uger efter injektion af andet implantat. </w:t>
      </w:r>
    </w:p>
    <w:p w:rsidR="000511B8" w:rsidRPr="006230A3" w:rsidRDefault="000511B8" w:rsidP="000511B8">
      <w:pPr>
        <w:suppressAutoHyphens/>
        <w:ind w:left="1276" w:firstLine="1"/>
        <w:rPr>
          <w:spacing w:val="-3"/>
        </w:rPr>
      </w:pPr>
    </w:p>
    <w:p w:rsidR="000511B8" w:rsidRPr="006230A3" w:rsidRDefault="000511B8" w:rsidP="000511B8">
      <w:pPr>
        <w:suppressAutoHyphens/>
        <w:ind w:left="1276"/>
        <w:rPr>
          <w:spacing w:val="-3"/>
        </w:rPr>
      </w:pPr>
      <w:r w:rsidRPr="006230A3">
        <w:rPr>
          <w:spacing w:val="-3"/>
        </w:rPr>
        <w:tab/>
        <w:t xml:space="preserve">Fertilitetsbehandling, f.eks. </w:t>
      </w:r>
      <w:r w:rsidRPr="006230A3">
        <w:rPr>
          <w:i/>
          <w:iCs/>
          <w:spacing w:val="-3"/>
        </w:rPr>
        <w:t xml:space="preserve">in </w:t>
      </w:r>
      <w:proofErr w:type="spellStart"/>
      <w:r w:rsidRPr="006230A3">
        <w:rPr>
          <w:i/>
          <w:iCs/>
          <w:spacing w:val="-3"/>
        </w:rPr>
        <w:t>vitro</w:t>
      </w:r>
      <w:proofErr w:type="spellEnd"/>
      <w:r w:rsidRPr="006230A3">
        <w:rPr>
          <w:spacing w:val="-3"/>
        </w:rPr>
        <w:t xml:space="preserve"> fertilisering: Nedregulering af hypofysen som forberedelse til behandling med </w:t>
      </w:r>
      <w:proofErr w:type="spellStart"/>
      <w:r w:rsidRPr="006230A3">
        <w:rPr>
          <w:spacing w:val="-3"/>
        </w:rPr>
        <w:t>gonadotropin</w:t>
      </w:r>
      <w:proofErr w:type="spellEnd"/>
      <w:r w:rsidRPr="006230A3">
        <w:rPr>
          <w:spacing w:val="-3"/>
        </w:rPr>
        <w:t xml:space="preserve"> (eller ovulations induktion).</w:t>
      </w:r>
    </w:p>
    <w:p w:rsidR="000511B8" w:rsidRPr="006230A3" w:rsidRDefault="000511B8" w:rsidP="000511B8">
      <w:pPr>
        <w:tabs>
          <w:tab w:val="left" w:pos="851"/>
        </w:tabs>
        <w:suppressAutoHyphens/>
        <w:ind w:left="1276" w:hanging="850"/>
        <w:rPr>
          <w:spacing w:val="-3"/>
        </w:rPr>
      </w:pPr>
    </w:p>
    <w:p w:rsidR="000511B8" w:rsidRPr="006230A3" w:rsidRDefault="000511B8" w:rsidP="000511B8">
      <w:pPr>
        <w:suppressAutoHyphens/>
        <w:ind w:left="1276" w:firstLine="1"/>
        <w:rPr>
          <w:spacing w:val="-3"/>
        </w:rPr>
      </w:pPr>
      <w:r w:rsidRPr="006230A3">
        <w:rPr>
          <w:spacing w:val="-3"/>
        </w:rPr>
        <w:t xml:space="preserve">Anbefaling: Anvend kun under opsyn af urolog, onkolog eller gynækolog. </w:t>
      </w:r>
    </w:p>
    <w:p w:rsidR="00336DC2" w:rsidRPr="00624299" w:rsidRDefault="00336DC2" w:rsidP="00282697">
      <w:pPr>
        <w:tabs>
          <w:tab w:val="left" w:pos="0"/>
          <w:tab w:val="left" w:pos="71"/>
          <w:tab w:val="left" w:pos="851"/>
        </w:tabs>
        <w:suppressAutoHyphens/>
        <w:ind w:left="71"/>
        <w:rPr>
          <w:spacing w:val="-3"/>
        </w:rPr>
      </w:pPr>
    </w:p>
    <w:p w:rsidR="00336DC2" w:rsidRPr="00624299" w:rsidRDefault="00336DC2" w:rsidP="00D70A42">
      <w:pPr>
        <w:tabs>
          <w:tab w:val="left" w:pos="851"/>
        </w:tabs>
        <w:suppressAutoHyphens/>
        <w:rPr>
          <w:i/>
          <w:iCs/>
          <w:spacing w:val="-3"/>
        </w:rPr>
      </w:pPr>
      <w:r w:rsidRPr="00624299">
        <w:rPr>
          <w:i/>
          <w:iCs/>
          <w:spacing w:val="-3"/>
        </w:rPr>
        <w:tab/>
        <w:t>Implantat 10,8 mg:</w:t>
      </w:r>
    </w:p>
    <w:p w:rsidR="00336DC2" w:rsidRPr="00624299" w:rsidRDefault="00336DC2" w:rsidP="00D70A42">
      <w:pPr>
        <w:tabs>
          <w:tab w:val="left" w:pos="71"/>
          <w:tab w:val="left" w:pos="851"/>
        </w:tabs>
        <w:suppressAutoHyphens/>
        <w:rPr>
          <w:spacing w:val="-3"/>
        </w:rPr>
      </w:pPr>
      <w:r w:rsidRPr="00624299">
        <w:rPr>
          <w:spacing w:val="-3"/>
        </w:rPr>
        <w:tab/>
      </w:r>
    </w:p>
    <w:p w:rsidR="00336DC2" w:rsidRPr="00624299" w:rsidRDefault="00D70A42" w:rsidP="00D70A42">
      <w:pPr>
        <w:tabs>
          <w:tab w:val="left" w:pos="71"/>
          <w:tab w:val="left" w:pos="851"/>
        </w:tabs>
        <w:suppressAutoHyphens/>
      </w:pPr>
      <w:r>
        <w:tab/>
      </w:r>
      <w:r>
        <w:tab/>
      </w:r>
      <w:r w:rsidR="00336DC2" w:rsidRPr="00624299">
        <w:t>Behandling af prostatacancer ved følgende omstændigheder (se også pkt. 5.1):</w:t>
      </w:r>
    </w:p>
    <w:p w:rsidR="00336DC2" w:rsidRPr="00624299" w:rsidRDefault="00336DC2" w:rsidP="00D70A42">
      <w:pPr>
        <w:tabs>
          <w:tab w:val="left" w:pos="71"/>
          <w:tab w:val="left" w:pos="851"/>
        </w:tabs>
        <w:suppressAutoHyphens/>
      </w:pPr>
    </w:p>
    <w:p w:rsidR="00336DC2" w:rsidRPr="00624299" w:rsidRDefault="00336DC2" w:rsidP="00D70A42">
      <w:pPr>
        <w:pStyle w:val="A-ListBullet"/>
        <w:numPr>
          <w:ilvl w:val="0"/>
          <w:numId w:val="8"/>
        </w:numPr>
        <w:tabs>
          <w:tab w:val="left" w:pos="851"/>
        </w:tabs>
        <w:spacing w:after="0" w:line="240" w:lineRule="auto"/>
        <w:ind w:left="1276" w:hanging="425"/>
        <w:rPr>
          <w:lang w:val="da-DK"/>
        </w:rPr>
      </w:pPr>
      <w:r w:rsidRPr="00624299">
        <w:rPr>
          <w:lang w:val="da-DK"/>
        </w:rPr>
        <w:t xml:space="preserve">Til behandling af metastatisk prostatacancer, hvor </w:t>
      </w:r>
      <w:proofErr w:type="spellStart"/>
      <w:r w:rsidRPr="00624299">
        <w:rPr>
          <w:lang w:val="da-DK"/>
        </w:rPr>
        <w:t>Zoladex</w:t>
      </w:r>
      <w:proofErr w:type="spellEnd"/>
      <w:r w:rsidRPr="00624299">
        <w:rPr>
          <w:lang w:val="da-DK"/>
        </w:rPr>
        <w:t xml:space="preserve"> har vist sammenlignelig overlevelse med kirurgisk kastrering (se pkt. 5.1)</w:t>
      </w:r>
    </w:p>
    <w:p w:rsidR="00336DC2" w:rsidRPr="00624299" w:rsidRDefault="00336DC2" w:rsidP="00D70A42">
      <w:pPr>
        <w:pStyle w:val="A-ListBullet"/>
        <w:numPr>
          <w:ilvl w:val="0"/>
          <w:numId w:val="7"/>
        </w:numPr>
        <w:tabs>
          <w:tab w:val="clear" w:pos="994"/>
          <w:tab w:val="left" w:pos="851"/>
        </w:tabs>
        <w:spacing w:after="0" w:line="240" w:lineRule="auto"/>
        <w:ind w:left="1276" w:hanging="425"/>
        <w:rPr>
          <w:lang w:val="da-DK"/>
        </w:rPr>
      </w:pPr>
      <w:r w:rsidRPr="00624299">
        <w:rPr>
          <w:lang w:val="da-DK"/>
        </w:rPr>
        <w:t xml:space="preserve">Til behandling af lokalt fremskreden prostatacancer som alternativ til kirurgisk kastrering, hvor </w:t>
      </w:r>
      <w:proofErr w:type="spellStart"/>
      <w:r w:rsidRPr="00624299">
        <w:rPr>
          <w:lang w:val="da-DK"/>
        </w:rPr>
        <w:t>Zoladex</w:t>
      </w:r>
      <w:proofErr w:type="spellEnd"/>
      <w:r w:rsidRPr="00624299">
        <w:rPr>
          <w:lang w:val="da-DK"/>
        </w:rPr>
        <w:t xml:space="preserve"> har vist sammenlignelig overlevelse med et </w:t>
      </w:r>
      <w:proofErr w:type="spellStart"/>
      <w:r w:rsidRPr="00624299">
        <w:rPr>
          <w:lang w:val="da-DK"/>
        </w:rPr>
        <w:t>anti-androgent</w:t>
      </w:r>
      <w:proofErr w:type="spellEnd"/>
      <w:r w:rsidRPr="00624299">
        <w:rPr>
          <w:lang w:val="da-DK"/>
        </w:rPr>
        <w:t xml:space="preserve"> stof (se pkt. 5.1)</w:t>
      </w:r>
    </w:p>
    <w:p w:rsidR="00336DC2" w:rsidRPr="00624299" w:rsidRDefault="00336DC2" w:rsidP="00D70A42">
      <w:pPr>
        <w:pStyle w:val="A-ListBullet"/>
        <w:numPr>
          <w:ilvl w:val="0"/>
          <w:numId w:val="7"/>
        </w:numPr>
        <w:tabs>
          <w:tab w:val="clear" w:pos="994"/>
          <w:tab w:val="left" w:pos="851"/>
        </w:tabs>
        <w:spacing w:after="0" w:line="240" w:lineRule="auto"/>
        <w:ind w:left="1276" w:hanging="425"/>
        <w:rPr>
          <w:lang w:val="da-DK"/>
        </w:rPr>
      </w:pPr>
      <w:r w:rsidRPr="00624299">
        <w:rPr>
          <w:lang w:val="da-DK"/>
        </w:rPr>
        <w:t xml:space="preserve">Som </w:t>
      </w:r>
      <w:proofErr w:type="spellStart"/>
      <w:r w:rsidRPr="00624299">
        <w:rPr>
          <w:lang w:val="da-DK"/>
        </w:rPr>
        <w:t>adjuverende</w:t>
      </w:r>
      <w:proofErr w:type="spellEnd"/>
      <w:r w:rsidRPr="00624299">
        <w:rPr>
          <w:lang w:val="da-DK"/>
        </w:rPr>
        <w:t xml:space="preserve"> behandling til strålebehandling hos patienter med højrisiko lokaliseret prostatacancer eller lokalt fremskreden prostatacancer, hvor </w:t>
      </w:r>
      <w:proofErr w:type="spellStart"/>
      <w:r w:rsidRPr="00624299">
        <w:rPr>
          <w:lang w:val="da-DK"/>
        </w:rPr>
        <w:t>Zoladex</w:t>
      </w:r>
      <w:proofErr w:type="spellEnd"/>
      <w:r w:rsidRPr="00624299">
        <w:rPr>
          <w:lang w:val="da-DK"/>
        </w:rPr>
        <w:t xml:space="preserve"> har vist forbedret sygdomsfri overlevelse og forbedret samlet overlevelse (se pkt. 5.1)</w:t>
      </w:r>
    </w:p>
    <w:p w:rsidR="00336DC2" w:rsidRPr="00624299" w:rsidRDefault="00336DC2" w:rsidP="00D70A42">
      <w:pPr>
        <w:pStyle w:val="A-ListBullet"/>
        <w:numPr>
          <w:ilvl w:val="0"/>
          <w:numId w:val="7"/>
        </w:numPr>
        <w:tabs>
          <w:tab w:val="clear" w:pos="994"/>
          <w:tab w:val="left" w:pos="851"/>
        </w:tabs>
        <w:spacing w:after="0" w:line="240" w:lineRule="auto"/>
        <w:ind w:left="1276" w:hanging="425"/>
        <w:rPr>
          <w:lang w:val="da-DK"/>
        </w:rPr>
      </w:pPr>
      <w:r w:rsidRPr="00624299">
        <w:rPr>
          <w:lang w:val="da-DK"/>
        </w:rPr>
        <w:t xml:space="preserve">Til </w:t>
      </w:r>
      <w:proofErr w:type="spellStart"/>
      <w:r w:rsidRPr="00624299">
        <w:rPr>
          <w:lang w:val="da-DK"/>
        </w:rPr>
        <w:t>neoadjuverende</w:t>
      </w:r>
      <w:proofErr w:type="spellEnd"/>
      <w:r w:rsidRPr="00624299">
        <w:rPr>
          <w:lang w:val="da-DK"/>
        </w:rPr>
        <w:t xml:space="preserve"> behandling inden strålebehandling til patienter med højrisiko lokaliseret prostatacancer eller lokalt fremskreden prostatacancer, hvor </w:t>
      </w:r>
      <w:proofErr w:type="spellStart"/>
      <w:r w:rsidRPr="00624299">
        <w:rPr>
          <w:lang w:val="da-DK"/>
        </w:rPr>
        <w:t>Zoladex</w:t>
      </w:r>
      <w:proofErr w:type="spellEnd"/>
      <w:r w:rsidRPr="00624299">
        <w:rPr>
          <w:lang w:val="da-DK"/>
        </w:rPr>
        <w:t xml:space="preserve"> har vist forbedret sygdomsfri overlevelse (se pkt. 5.1)</w:t>
      </w:r>
    </w:p>
    <w:p w:rsidR="00336DC2" w:rsidRPr="00624299" w:rsidRDefault="00336DC2" w:rsidP="00D70A42">
      <w:pPr>
        <w:pStyle w:val="A-ListBullet"/>
        <w:numPr>
          <w:ilvl w:val="0"/>
          <w:numId w:val="7"/>
        </w:numPr>
        <w:tabs>
          <w:tab w:val="clear" w:pos="994"/>
          <w:tab w:val="left" w:pos="851"/>
        </w:tabs>
        <w:spacing w:after="0" w:line="240" w:lineRule="auto"/>
        <w:ind w:left="1276" w:hanging="425"/>
        <w:rPr>
          <w:spacing w:val="-3"/>
          <w:lang w:val="da-DK"/>
        </w:rPr>
      </w:pPr>
      <w:r w:rsidRPr="00624299">
        <w:rPr>
          <w:lang w:val="da-DK"/>
        </w:rPr>
        <w:t xml:space="preserve">Som </w:t>
      </w:r>
      <w:proofErr w:type="spellStart"/>
      <w:r w:rsidRPr="00624299">
        <w:rPr>
          <w:lang w:val="da-DK"/>
        </w:rPr>
        <w:t>adjuverende</w:t>
      </w:r>
      <w:proofErr w:type="spellEnd"/>
      <w:r w:rsidRPr="00624299">
        <w:rPr>
          <w:lang w:val="da-DK"/>
        </w:rPr>
        <w:t xml:space="preserve"> behandling af radikal </w:t>
      </w:r>
      <w:proofErr w:type="spellStart"/>
      <w:r w:rsidRPr="00624299">
        <w:rPr>
          <w:lang w:val="da-DK"/>
        </w:rPr>
        <w:t>prostatektomi</w:t>
      </w:r>
      <w:proofErr w:type="spellEnd"/>
      <w:r w:rsidRPr="00624299">
        <w:rPr>
          <w:lang w:val="da-DK"/>
        </w:rPr>
        <w:t xml:space="preserve"> til patienter med lokalt fremskreden prostatacancer med høj risiko for sygdomsprogression, hvor </w:t>
      </w:r>
      <w:proofErr w:type="spellStart"/>
      <w:r w:rsidRPr="00624299">
        <w:rPr>
          <w:lang w:val="da-DK"/>
        </w:rPr>
        <w:t>Zoladex</w:t>
      </w:r>
      <w:proofErr w:type="spellEnd"/>
      <w:r w:rsidRPr="00624299">
        <w:rPr>
          <w:lang w:val="da-DK"/>
        </w:rPr>
        <w:t xml:space="preserve"> har vist forbedret sygdomsfri overlevelse (se pkt. 5.1).</w:t>
      </w:r>
      <w:r w:rsidRPr="00624299">
        <w:rPr>
          <w:spacing w:val="-3"/>
          <w:lang w:val="da-DK"/>
        </w:rPr>
        <w:t xml:space="preserve"> </w:t>
      </w:r>
    </w:p>
    <w:p w:rsidR="00336DC2" w:rsidRPr="00624299" w:rsidRDefault="00336DC2" w:rsidP="00D70A42">
      <w:pPr>
        <w:tabs>
          <w:tab w:val="left" w:pos="851"/>
        </w:tabs>
        <w:suppressAutoHyphens/>
        <w:ind w:left="850" w:hanging="850"/>
        <w:rPr>
          <w:spacing w:val="-3"/>
        </w:rPr>
      </w:pPr>
    </w:p>
    <w:p w:rsidR="00336DC2" w:rsidRPr="00624299" w:rsidRDefault="00D70A42" w:rsidP="00D70A42">
      <w:pPr>
        <w:tabs>
          <w:tab w:val="left" w:pos="851"/>
        </w:tabs>
        <w:suppressAutoHyphens/>
        <w:ind w:left="1276"/>
        <w:rPr>
          <w:spacing w:val="-3"/>
        </w:rPr>
      </w:pPr>
      <w:r>
        <w:rPr>
          <w:spacing w:val="-3"/>
        </w:rPr>
        <w:tab/>
      </w:r>
      <w:proofErr w:type="spellStart"/>
      <w:r w:rsidR="00336DC2" w:rsidRPr="00624299">
        <w:rPr>
          <w:spacing w:val="-3"/>
        </w:rPr>
        <w:t>Endometriose</w:t>
      </w:r>
      <w:proofErr w:type="spellEnd"/>
      <w:r w:rsidR="00336DC2" w:rsidRPr="00624299">
        <w:rPr>
          <w:spacing w:val="-3"/>
        </w:rPr>
        <w:t xml:space="preserve">: Lindring af symptomer af </w:t>
      </w:r>
      <w:proofErr w:type="spellStart"/>
      <w:r w:rsidR="00336DC2" w:rsidRPr="00624299">
        <w:rPr>
          <w:spacing w:val="-3"/>
        </w:rPr>
        <w:t>endometriose</w:t>
      </w:r>
      <w:proofErr w:type="spellEnd"/>
      <w:r w:rsidR="00336DC2" w:rsidRPr="00624299">
        <w:rPr>
          <w:spacing w:val="-3"/>
        </w:rPr>
        <w:t xml:space="preserve"> såsom smerte. Den maksimale kontinuerlige behandlingsperiode er 6 måneder. </w:t>
      </w:r>
    </w:p>
    <w:p w:rsidR="00336DC2" w:rsidRPr="00624299" w:rsidRDefault="00336DC2" w:rsidP="00D70A42">
      <w:pPr>
        <w:tabs>
          <w:tab w:val="left" w:pos="851"/>
        </w:tabs>
        <w:suppressAutoHyphens/>
        <w:ind w:left="850" w:hanging="850"/>
        <w:rPr>
          <w:spacing w:val="-3"/>
        </w:rPr>
      </w:pPr>
    </w:p>
    <w:p w:rsidR="00336DC2" w:rsidRDefault="00336DC2" w:rsidP="00D70A42">
      <w:pPr>
        <w:tabs>
          <w:tab w:val="left" w:pos="851"/>
        </w:tabs>
        <w:ind w:firstLine="1276"/>
        <w:rPr>
          <w:spacing w:val="-3"/>
        </w:rPr>
      </w:pPr>
      <w:r w:rsidRPr="00624299">
        <w:rPr>
          <w:spacing w:val="-3"/>
        </w:rPr>
        <w:t>Anbefaling: Anvend kun under opsyn af urolog, onkolog eller gynækolog.</w:t>
      </w:r>
    </w:p>
    <w:p w:rsidR="00D70A42" w:rsidRPr="00624299" w:rsidRDefault="00D70A42" w:rsidP="00D70A42">
      <w:pPr>
        <w:ind w:firstLine="1276"/>
        <w:rPr>
          <w:spacing w:val="-3"/>
        </w:rPr>
      </w:pPr>
    </w:p>
    <w:p w:rsidR="00336DC2" w:rsidRPr="00624299" w:rsidRDefault="00336DC2" w:rsidP="00336DC2">
      <w:pPr>
        <w:tabs>
          <w:tab w:val="left" w:pos="0"/>
          <w:tab w:val="left" w:pos="851"/>
        </w:tabs>
        <w:suppressAutoHyphens/>
        <w:ind w:left="850" w:hanging="850"/>
        <w:jc w:val="both"/>
        <w:rPr>
          <w:spacing w:val="-3"/>
        </w:rPr>
      </w:pPr>
      <w:r w:rsidRPr="00624299">
        <w:rPr>
          <w:b/>
          <w:spacing w:val="-3"/>
        </w:rPr>
        <w:t>4.2</w:t>
      </w:r>
      <w:r w:rsidRPr="00624299">
        <w:rPr>
          <w:spacing w:val="-3"/>
        </w:rPr>
        <w:tab/>
      </w:r>
      <w:r w:rsidRPr="00624299">
        <w:rPr>
          <w:b/>
          <w:spacing w:val="-3"/>
        </w:rPr>
        <w:t>Dosering og indgivelsesmåde</w:t>
      </w:r>
    </w:p>
    <w:p w:rsidR="00D70A42" w:rsidRPr="00927033" w:rsidRDefault="00D70A42"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336DC2" w:rsidRPr="00624299" w:rsidRDefault="00336DC2" w:rsidP="00336DC2">
      <w:pPr>
        <w:tabs>
          <w:tab w:val="left" w:pos="0"/>
          <w:tab w:val="left" w:pos="851"/>
        </w:tabs>
        <w:suppressAutoHyphens/>
        <w:rPr>
          <w:i/>
          <w:iCs/>
          <w:spacing w:val="-3"/>
        </w:rPr>
      </w:pPr>
    </w:p>
    <w:p w:rsidR="00336DC2" w:rsidRPr="00624299" w:rsidRDefault="00E240B9" w:rsidP="00336DC2">
      <w:pPr>
        <w:tabs>
          <w:tab w:val="left" w:pos="0"/>
          <w:tab w:val="left" w:pos="851"/>
        </w:tabs>
        <w:suppressAutoHyphens/>
        <w:rPr>
          <w:i/>
          <w:iCs/>
          <w:spacing w:val="-3"/>
        </w:rPr>
      </w:pPr>
      <w:r>
        <w:rPr>
          <w:b/>
          <w:spacing w:val="-3"/>
        </w:rPr>
        <w:tab/>
      </w:r>
      <w:r w:rsidR="00336DC2" w:rsidRPr="00624299">
        <w:rPr>
          <w:b/>
          <w:spacing w:val="-3"/>
        </w:rPr>
        <w:t>Dosering</w:t>
      </w:r>
    </w:p>
    <w:p w:rsidR="00336DC2" w:rsidRPr="00624299" w:rsidRDefault="00E240B9" w:rsidP="00336DC2">
      <w:pPr>
        <w:tabs>
          <w:tab w:val="left" w:pos="0"/>
          <w:tab w:val="left" w:pos="851"/>
        </w:tabs>
        <w:suppressAutoHyphens/>
        <w:rPr>
          <w:spacing w:val="-3"/>
        </w:rPr>
      </w:pPr>
      <w:r>
        <w:rPr>
          <w:i/>
          <w:iCs/>
          <w:spacing w:val="-3"/>
        </w:rPr>
        <w:tab/>
      </w:r>
      <w:r w:rsidR="00336DC2" w:rsidRPr="00624299">
        <w:rPr>
          <w:i/>
          <w:iCs/>
          <w:spacing w:val="-3"/>
        </w:rPr>
        <w:t>Implantat 3,6 mg:</w:t>
      </w:r>
    </w:p>
    <w:p w:rsidR="00336DC2" w:rsidRPr="00624299" w:rsidRDefault="00336DC2" w:rsidP="00336DC2">
      <w:pPr>
        <w:tabs>
          <w:tab w:val="left" w:pos="0"/>
          <w:tab w:val="left" w:pos="851"/>
        </w:tabs>
        <w:suppressAutoHyphens/>
        <w:rPr>
          <w:spacing w:val="-3"/>
        </w:rPr>
      </w:pPr>
      <w:r w:rsidRPr="00624299">
        <w:rPr>
          <w:spacing w:val="-3"/>
        </w:rPr>
        <w:tab/>
      </w:r>
    </w:p>
    <w:p w:rsidR="00336DC2" w:rsidRPr="00624299" w:rsidRDefault="00336DC2" w:rsidP="00336DC2">
      <w:pPr>
        <w:tabs>
          <w:tab w:val="left" w:pos="0"/>
          <w:tab w:val="left" w:pos="851"/>
        </w:tabs>
        <w:suppressAutoHyphens/>
        <w:ind w:left="850" w:hanging="850"/>
        <w:jc w:val="both"/>
        <w:rPr>
          <w:b/>
          <w:bCs/>
          <w:spacing w:val="-3"/>
        </w:rPr>
      </w:pPr>
      <w:r w:rsidRPr="00624299">
        <w:rPr>
          <w:b/>
          <w:bCs/>
          <w:spacing w:val="-3"/>
        </w:rPr>
        <w:tab/>
        <w:t>Voksne</w:t>
      </w:r>
    </w:p>
    <w:p w:rsidR="00336DC2" w:rsidRPr="00624299" w:rsidRDefault="00336DC2" w:rsidP="00336DC2">
      <w:pPr>
        <w:tabs>
          <w:tab w:val="left" w:pos="0"/>
          <w:tab w:val="left" w:pos="851"/>
        </w:tabs>
        <w:suppressAutoHyphens/>
        <w:jc w:val="both"/>
        <w:rPr>
          <w:spacing w:val="-3"/>
        </w:rPr>
      </w:pPr>
      <w:r w:rsidRPr="00624299">
        <w:rPr>
          <w:spacing w:val="-3"/>
        </w:rPr>
        <w:tab/>
        <w:t xml:space="preserve">Et 3,6 mg </w:t>
      </w:r>
      <w:proofErr w:type="spellStart"/>
      <w:r w:rsidRPr="00624299">
        <w:rPr>
          <w:spacing w:val="-3"/>
        </w:rPr>
        <w:t>Zoladex</w:t>
      </w:r>
      <w:proofErr w:type="spellEnd"/>
      <w:r w:rsidRPr="00624299">
        <w:rPr>
          <w:spacing w:val="-3"/>
        </w:rPr>
        <w:t xml:space="preserve"> implantat injiceres subkutant i den </w:t>
      </w:r>
      <w:proofErr w:type="spellStart"/>
      <w:r w:rsidRPr="00624299">
        <w:rPr>
          <w:spacing w:val="-3"/>
        </w:rPr>
        <w:t>anteriore</w:t>
      </w:r>
      <w:proofErr w:type="spellEnd"/>
      <w:r w:rsidRPr="00624299">
        <w:rPr>
          <w:spacing w:val="-3"/>
        </w:rPr>
        <w:t xml:space="preserve"> </w:t>
      </w:r>
      <w:proofErr w:type="spellStart"/>
      <w:r w:rsidRPr="00624299">
        <w:rPr>
          <w:spacing w:val="-3"/>
        </w:rPr>
        <w:t>abdominalvæg</w:t>
      </w:r>
      <w:proofErr w:type="spellEnd"/>
      <w:r w:rsidRPr="00624299">
        <w:rPr>
          <w:spacing w:val="-3"/>
        </w:rPr>
        <w:t xml:space="preserve"> hver 28. dag.</w:t>
      </w:r>
    </w:p>
    <w:p w:rsidR="00336DC2" w:rsidRPr="00624299" w:rsidRDefault="00336DC2" w:rsidP="00336DC2">
      <w:pPr>
        <w:tabs>
          <w:tab w:val="left" w:pos="0"/>
          <w:tab w:val="left" w:pos="851"/>
        </w:tabs>
        <w:suppressAutoHyphens/>
        <w:ind w:left="850" w:hanging="850"/>
        <w:jc w:val="both"/>
        <w:rPr>
          <w:spacing w:val="-3"/>
        </w:rPr>
      </w:pPr>
    </w:p>
    <w:p w:rsidR="00336DC2" w:rsidRPr="00624299" w:rsidRDefault="00336DC2" w:rsidP="00336DC2">
      <w:pPr>
        <w:tabs>
          <w:tab w:val="left" w:pos="0"/>
          <w:tab w:val="left" w:pos="851"/>
        </w:tabs>
        <w:suppressAutoHyphens/>
        <w:ind w:hanging="850"/>
        <w:jc w:val="both"/>
        <w:rPr>
          <w:b/>
          <w:bCs/>
          <w:spacing w:val="-3"/>
        </w:rPr>
      </w:pPr>
      <w:r w:rsidRPr="00624299">
        <w:rPr>
          <w:b/>
          <w:bCs/>
          <w:spacing w:val="-3"/>
        </w:rPr>
        <w:tab/>
      </w:r>
      <w:r w:rsidR="00E240B9">
        <w:rPr>
          <w:b/>
          <w:bCs/>
          <w:spacing w:val="-3"/>
        </w:rPr>
        <w:tab/>
      </w:r>
      <w:proofErr w:type="spellStart"/>
      <w:r w:rsidRPr="00624299">
        <w:rPr>
          <w:b/>
          <w:bCs/>
          <w:spacing w:val="-3"/>
        </w:rPr>
        <w:t>Endometriose</w:t>
      </w:r>
      <w:proofErr w:type="spellEnd"/>
      <w:r w:rsidRPr="00624299">
        <w:rPr>
          <w:b/>
          <w:bCs/>
          <w:spacing w:val="-3"/>
        </w:rPr>
        <w:t>:</w:t>
      </w:r>
    </w:p>
    <w:p w:rsidR="00336DC2" w:rsidRPr="00624299" w:rsidRDefault="00336DC2" w:rsidP="00336DC2">
      <w:pPr>
        <w:pStyle w:val="Brdtekstindrykning3"/>
        <w:spacing w:after="0"/>
        <w:ind w:left="851"/>
        <w:rPr>
          <w:sz w:val="24"/>
          <w:szCs w:val="24"/>
        </w:rPr>
      </w:pPr>
      <w:proofErr w:type="spellStart"/>
      <w:r w:rsidRPr="00624299">
        <w:rPr>
          <w:sz w:val="24"/>
          <w:szCs w:val="24"/>
        </w:rPr>
        <w:t>Endometriose</w:t>
      </w:r>
      <w:proofErr w:type="spellEnd"/>
      <w:r w:rsidRPr="00624299">
        <w:rPr>
          <w:sz w:val="24"/>
          <w:szCs w:val="24"/>
        </w:rPr>
        <w:t xml:space="preserve"> bør kun behandles i en periode på seks måneder, idet der på nuværende tidspunkt ikke findes data for behandling i længere tid. På grund af formodet nedsat knoglemineraltæthed bør der ikke gives gentagne behandlinger. Til patienter, der får </w:t>
      </w:r>
      <w:proofErr w:type="spellStart"/>
      <w:r w:rsidRPr="00624299">
        <w:rPr>
          <w:sz w:val="24"/>
          <w:szCs w:val="24"/>
        </w:rPr>
        <w:t>goserelin</w:t>
      </w:r>
      <w:proofErr w:type="spellEnd"/>
      <w:r w:rsidRPr="00624299">
        <w:rPr>
          <w:sz w:val="24"/>
          <w:szCs w:val="24"/>
        </w:rPr>
        <w:t xml:space="preserve"> som behandling af </w:t>
      </w:r>
      <w:proofErr w:type="spellStart"/>
      <w:r w:rsidRPr="00624299">
        <w:rPr>
          <w:sz w:val="24"/>
          <w:szCs w:val="24"/>
        </w:rPr>
        <w:t>endometriose</w:t>
      </w:r>
      <w:proofErr w:type="spellEnd"/>
      <w:r w:rsidRPr="00624299">
        <w:rPr>
          <w:sz w:val="24"/>
          <w:szCs w:val="24"/>
        </w:rPr>
        <w:t xml:space="preserve">, har det vist sig, at tillægsbehandling med hormonsubstitution (et østrogen og et </w:t>
      </w:r>
      <w:proofErr w:type="spellStart"/>
      <w:r w:rsidRPr="00624299">
        <w:rPr>
          <w:sz w:val="24"/>
          <w:szCs w:val="24"/>
        </w:rPr>
        <w:t>progestogen</w:t>
      </w:r>
      <w:proofErr w:type="spellEnd"/>
      <w:r w:rsidRPr="00624299">
        <w:rPr>
          <w:sz w:val="24"/>
          <w:szCs w:val="24"/>
        </w:rPr>
        <w:t xml:space="preserve">-middel dagligt) reducerer tabet af knoglemineraltætheden og vasomotoriske symptomer. </w:t>
      </w:r>
    </w:p>
    <w:p w:rsidR="00336DC2" w:rsidRPr="00624299" w:rsidRDefault="00336DC2" w:rsidP="00336DC2">
      <w:pPr>
        <w:pStyle w:val="Brdtekstindrykning3"/>
        <w:spacing w:after="0"/>
        <w:ind w:left="851"/>
        <w:rPr>
          <w:b/>
          <w:bCs/>
          <w:sz w:val="24"/>
          <w:szCs w:val="24"/>
        </w:rPr>
      </w:pPr>
      <w:r w:rsidRPr="00624299">
        <w:rPr>
          <w:b/>
          <w:bCs/>
          <w:sz w:val="24"/>
          <w:szCs w:val="24"/>
        </w:rPr>
        <w:br/>
        <w:t xml:space="preserve">Reduktion af </w:t>
      </w:r>
      <w:proofErr w:type="spellStart"/>
      <w:r w:rsidRPr="00624299">
        <w:rPr>
          <w:b/>
          <w:bCs/>
          <w:sz w:val="24"/>
          <w:szCs w:val="24"/>
        </w:rPr>
        <w:t>endometrietykkelsen</w:t>
      </w:r>
      <w:proofErr w:type="spellEnd"/>
      <w:r w:rsidRPr="00624299">
        <w:rPr>
          <w:b/>
          <w:bCs/>
          <w:sz w:val="24"/>
          <w:szCs w:val="24"/>
        </w:rPr>
        <w:t>:</w:t>
      </w:r>
      <w:r w:rsidRPr="00624299">
        <w:rPr>
          <w:b/>
          <w:bCs/>
          <w:sz w:val="24"/>
          <w:szCs w:val="24"/>
        </w:rPr>
        <w:br/>
      </w:r>
      <w:r w:rsidRPr="00624299">
        <w:rPr>
          <w:sz w:val="24"/>
          <w:szCs w:val="24"/>
        </w:rPr>
        <w:t xml:space="preserve">Til brug ved reduktion af </w:t>
      </w:r>
      <w:proofErr w:type="spellStart"/>
      <w:r w:rsidRPr="00624299">
        <w:rPr>
          <w:sz w:val="24"/>
          <w:szCs w:val="24"/>
        </w:rPr>
        <w:t>endometrietykkelsen</w:t>
      </w:r>
      <w:proofErr w:type="spellEnd"/>
      <w:r w:rsidRPr="00624299">
        <w:rPr>
          <w:sz w:val="24"/>
          <w:szCs w:val="24"/>
        </w:rPr>
        <w:t xml:space="preserve">: Fire eller otte ugers behandling. Nummer to depot kan være nødvendigt til patienter med en stor livmoder for at tillade fleksibel planlægning af operation. </w:t>
      </w:r>
      <w:r w:rsidRPr="00624299">
        <w:rPr>
          <w:b/>
          <w:bCs/>
          <w:sz w:val="24"/>
          <w:szCs w:val="24"/>
        </w:rPr>
        <w:br/>
      </w:r>
    </w:p>
    <w:p w:rsidR="00336DC2" w:rsidRPr="00624299" w:rsidRDefault="00336DC2" w:rsidP="00336DC2">
      <w:pPr>
        <w:pStyle w:val="Brdtekstindrykning3"/>
        <w:spacing w:after="0"/>
        <w:ind w:left="850"/>
        <w:rPr>
          <w:b/>
          <w:bCs/>
          <w:sz w:val="24"/>
          <w:szCs w:val="24"/>
        </w:rPr>
      </w:pPr>
      <w:proofErr w:type="spellStart"/>
      <w:r w:rsidRPr="00624299">
        <w:rPr>
          <w:b/>
          <w:bCs/>
          <w:sz w:val="24"/>
          <w:szCs w:val="24"/>
        </w:rPr>
        <w:t>Uterine</w:t>
      </w:r>
      <w:proofErr w:type="spellEnd"/>
      <w:r w:rsidRPr="00624299">
        <w:rPr>
          <w:b/>
          <w:bCs/>
          <w:sz w:val="24"/>
          <w:szCs w:val="24"/>
        </w:rPr>
        <w:t xml:space="preserve"> fibromer:</w:t>
      </w:r>
      <w:r w:rsidRPr="00624299">
        <w:rPr>
          <w:b/>
          <w:bCs/>
          <w:sz w:val="24"/>
          <w:szCs w:val="24"/>
        </w:rPr>
        <w:br/>
      </w:r>
      <w:r w:rsidRPr="00624299">
        <w:rPr>
          <w:sz w:val="24"/>
          <w:szCs w:val="24"/>
        </w:rPr>
        <w:t xml:space="preserve">Til kvinder der er anæmiske som følge af </w:t>
      </w:r>
      <w:proofErr w:type="spellStart"/>
      <w:r w:rsidRPr="00624299">
        <w:rPr>
          <w:sz w:val="24"/>
          <w:szCs w:val="24"/>
        </w:rPr>
        <w:t>uterine</w:t>
      </w:r>
      <w:proofErr w:type="spellEnd"/>
      <w:r w:rsidRPr="00624299">
        <w:rPr>
          <w:sz w:val="24"/>
          <w:szCs w:val="24"/>
        </w:rPr>
        <w:t xml:space="preserve"> fibromer: Der kan administreres </w:t>
      </w:r>
      <w:proofErr w:type="spellStart"/>
      <w:r w:rsidRPr="00624299">
        <w:rPr>
          <w:sz w:val="24"/>
          <w:szCs w:val="24"/>
        </w:rPr>
        <w:t>Zoladex</w:t>
      </w:r>
      <w:proofErr w:type="spellEnd"/>
      <w:r w:rsidRPr="00624299">
        <w:rPr>
          <w:sz w:val="24"/>
          <w:szCs w:val="24"/>
        </w:rPr>
        <w:t xml:space="preserve"> 3,6 mg depot samt supplerende jern i op til tre måneder før operation.</w:t>
      </w:r>
    </w:p>
    <w:p w:rsidR="00336DC2" w:rsidRPr="00624299" w:rsidRDefault="00336DC2" w:rsidP="00336DC2">
      <w:pPr>
        <w:tabs>
          <w:tab w:val="left" w:pos="0"/>
        </w:tabs>
        <w:suppressAutoHyphens/>
        <w:ind w:firstLine="1"/>
        <w:rPr>
          <w:spacing w:val="-3"/>
          <w:szCs w:val="24"/>
        </w:rPr>
      </w:pPr>
    </w:p>
    <w:p w:rsidR="00336DC2" w:rsidRPr="00624299" w:rsidRDefault="00E240B9" w:rsidP="00E240B9">
      <w:pPr>
        <w:tabs>
          <w:tab w:val="left" w:pos="0"/>
          <w:tab w:val="left" w:pos="851"/>
        </w:tabs>
        <w:suppressAutoHyphens/>
        <w:ind w:firstLine="1"/>
        <w:rPr>
          <w:b/>
          <w:bCs/>
          <w:spacing w:val="-3"/>
          <w:szCs w:val="24"/>
        </w:rPr>
      </w:pPr>
      <w:r>
        <w:rPr>
          <w:b/>
          <w:bCs/>
          <w:spacing w:val="-3"/>
          <w:szCs w:val="24"/>
        </w:rPr>
        <w:tab/>
      </w:r>
      <w:r w:rsidR="00336DC2" w:rsidRPr="00624299">
        <w:rPr>
          <w:b/>
          <w:bCs/>
          <w:spacing w:val="-3"/>
          <w:szCs w:val="24"/>
        </w:rPr>
        <w:t>Fertilitetsbehandling:</w:t>
      </w:r>
    </w:p>
    <w:p w:rsidR="00336DC2" w:rsidRPr="00624299" w:rsidRDefault="00336DC2" w:rsidP="00E240B9">
      <w:pPr>
        <w:tabs>
          <w:tab w:val="left" w:pos="0"/>
          <w:tab w:val="left" w:pos="851"/>
        </w:tabs>
        <w:suppressAutoHyphens/>
        <w:ind w:left="851"/>
        <w:rPr>
          <w:spacing w:val="-3"/>
          <w:szCs w:val="24"/>
        </w:rPr>
      </w:pPr>
      <w:proofErr w:type="spellStart"/>
      <w:r w:rsidRPr="00624299">
        <w:rPr>
          <w:spacing w:val="-3"/>
          <w:szCs w:val="24"/>
        </w:rPr>
        <w:t>Zoladex</w:t>
      </w:r>
      <w:proofErr w:type="spellEnd"/>
      <w:r w:rsidRPr="00624299">
        <w:rPr>
          <w:spacing w:val="-3"/>
          <w:szCs w:val="24"/>
        </w:rPr>
        <w:t xml:space="preserve"> 3,6 mg administreres for at nedregulere hypofysen, defineret som </w:t>
      </w:r>
      <w:proofErr w:type="spellStart"/>
      <w:r w:rsidRPr="00624299">
        <w:rPr>
          <w:spacing w:val="-3"/>
          <w:szCs w:val="24"/>
        </w:rPr>
        <w:t>serumestradiolniveau</w:t>
      </w:r>
      <w:proofErr w:type="spellEnd"/>
      <w:r w:rsidRPr="00624299">
        <w:rPr>
          <w:spacing w:val="-3"/>
          <w:szCs w:val="24"/>
        </w:rPr>
        <w:t xml:space="preserve"> ligesom dem, der observeres i den tidlige </w:t>
      </w:r>
      <w:proofErr w:type="spellStart"/>
      <w:r w:rsidRPr="00624299">
        <w:rPr>
          <w:spacing w:val="-3"/>
          <w:szCs w:val="24"/>
        </w:rPr>
        <w:t>follikulære</w:t>
      </w:r>
      <w:proofErr w:type="spellEnd"/>
      <w:r w:rsidRPr="00624299">
        <w:rPr>
          <w:spacing w:val="-3"/>
          <w:szCs w:val="24"/>
        </w:rPr>
        <w:t xml:space="preserve"> fase (cirka 150 pmol/l). Dette vil normalt tage 7 til 21 dage. Når nedreguleringen er opnået, påbegyndes superovulation (kontrolleret ovariestimulering) med </w:t>
      </w:r>
      <w:proofErr w:type="spellStart"/>
      <w:r w:rsidRPr="00624299">
        <w:rPr>
          <w:spacing w:val="-3"/>
          <w:szCs w:val="24"/>
        </w:rPr>
        <w:t>gonadotropin</w:t>
      </w:r>
      <w:proofErr w:type="spellEnd"/>
      <w:r w:rsidRPr="00624299">
        <w:rPr>
          <w:spacing w:val="-3"/>
          <w:szCs w:val="24"/>
        </w:rPr>
        <w:t xml:space="preserve">. Nedregulering, der er opnået med en depotagonist, er mere pålidelig, fordi der i nogle tilfælde kræves forøget </w:t>
      </w:r>
      <w:proofErr w:type="spellStart"/>
      <w:r w:rsidRPr="00624299">
        <w:rPr>
          <w:spacing w:val="-3"/>
          <w:szCs w:val="24"/>
        </w:rPr>
        <w:t>gonadotropin</w:t>
      </w:r>
      <w:proofErr w:type="spellEnd"/>
      <w:r w:rsidRPr="00624299">
        <w:rPr>
          <w:spacing w:val="-3"/>
          <w:szCs w:val="24"/>
        </w:rPr>
        <w:t xml:space="preserve">. Ved det passende stadie af </w:t>
      </w:r>
      <w:proofErr w:type="spellStart"/>
      <w:r w:rsidRPr="00624299">
        <w:rPr>
          <w:spacing w:val="-3"/>
          <w:szCs w:val="24"/>
        </w:rPr>
        <w:t>follikulær</w:t>
      </w:r>
      <w:proofErr w:type="spellEnd"/>
      <w:r w:rsidRPr="00624299">
        <w:rPr>
          <w:spacing w:val="-3"/>
          <w:szCs w:val="24"/>
        </w:rPr>
        <w:t xml:space="preserve"> udvikling ophøres </w:t>
      </w:r>
      <w:proofErr w:type="spellStart"/>
      <w:r w:rsidRPr="00624299">
        <w:rPr>
          <w:spacing w:val="-3"/>
          <w:szCs w:val="24"/>
        </w:rPr>
        <w:t>gonadotropin</w:t>
      </w:r>
      <w:proofErr w:type="spellEnd"/>
      <w:r w:rsidRPr="00624299">
        <w:rPr>
          <w:spacing w:val="-3"/>
          <w:szCs w:val="24"/>
        </w:rPr>
        <w:t xml:space="preserve">, og der administreres humant </w:t>
      </w:r>
      <w:proofErr w:type="spellStart"/>
      <w:r w:rsidRPr="00624299">
        <w:rPr>
          <w:spacing w:val="-3"/>
          <w:szCs w:val="24"/>
        </w:rPr>
        <w:t>choriongonadotropin</w:t>
      </w:r>
      <w:proofErr w:type="spellEnd"/>
      <w:r w:rsidRPr="00624299">
        <w:rPr>
          <w:spacing w:val="-3"/>
          <w:szCs w:val="24"/>
        </w:rPr>
        <w:t xml:space="preserve"> (</w:t>
      </w:r>
      <w:proofErr w:type="spellStart"/>
      <w:r w:rsidRPr="00624299">
        <w:rPr>
          <w:spacing w:val="-3"/>
          <w:szCs w:val="24"/>
        </w:rPr>
        <w:t>hCG</w:t>
      </w:r>
      <w:proofErr w:type="spellEnd"/>
      <w:r w:rsidRPr="00624299">
        <w:rPr>
          <w:spacing w:val="-3"/>
          <w:szCs w:val="24"/>
        </w:rPr>
        <w:t xml:space="preserve">) for at inducere ovulation. Behandlingskontrol, </w:t>
      </w:r>
      <w:proofErr w:type="spellStart"/>
      <w:r w:rsidRPr="00624299">
        <w:rPr>
          <w:spacing w:val="-3"/>
          <w:szCs w:val="24"/>
        </w:rPr>
        <w:t>ægudtagning</w:t>
      </w:r>
      <w:proofErr w:type="spellEnd"/>
      <w:r w:rsidRPr="00624299">
        <w:rPr>
          <w:spacing w:val="-3"/>
          <w:szCs w:val="24"/>
        </w:rPr>
        <w:t xml:space="preserve"> og fertiliseringsteknik udføres i henhold til normal praksis af den individuelle læge. </w:t>
      </w:r>
    </w:p>
    <w:p w:rsidR="00336DC2" w:rsidRPr="00624299" w:rsidRDefault="00336DC2" w:rsidP="00336DC2">
      <w:pPr>
        <w:tabs>
          <w:tab w:val="left" w:pos="0"/>
        </w:tabs>
        <w:suppressAutoHyphens/>
        <w:ind w:firstLine="1"/>
        <w:rPr>
          <w:spacing w:val="-3"/>
          <w:szCs w:val="24"/>
        </w:rPr>
      </w:pPr>
    </w:p>
    <w:p w:rsidR="00336DC2" w:rsidRPr="00624299" w:rsidRDefault="00336DC2" w:rsidP="00E240B9">
      <w:pPr>
        <w:tabs>
          <w:tab w:val="left" w:pos="0"/>
        </w:tabs>
        <w:suppressAutoHyphens/>
        <w:ind w:left="851"/>
        <w:rPr>
          <w:spacing w:val="-3"/>
          <w:szCs w:val="24"/>
        </w:rPr>
      </w:pPr>
      <w:r w:rsidRPr="00624299">
        <w:rPr>
          <w:i/>
          <w:iCs/>
          <w:spacing w:val="-3"/>
          <w:szCs w:val="24"/>
        </w:rPr>
        <w:t>Nedsat nyre- og leverfunktion:</w:t>
      </w:r>
      <w:r w:rsidRPr="00624299">
        <w:rPr>
          <w:spacing w:val="-3"/>
          <w:szCs w:val="24"/>
        </w:rPr>
        <w:t xml:space="preserve"> Dosisjustering er ikke nødvendig til patienter med nedsat nyre- eller leverfunktion. </w:t>
      </w:r>
    </w:p>
    <w:p w:rsidR="00336DC2" w:rsidRPr="00624299" w:rsidRDefault="00336DC2" w:rsidP="00336DC2">
      <w:pPr>
        <w:tabs>
          <w:tab w:val="left" w:pos="0"/>
        </w:tabs>
        <w:suppressAutoHyphens/>
        <w:ind w:firstLine="1"/>
        <w:rPr>
          <w:spacing w:val="-3"/>
          <w:szCs w:val="24"/>
        </w:rPr>
      </w:pPr>
    </w:p>
    <w:p w:rsidR="00336DC2" w:rsidRPr="00624299" w:rsidRDefault="00E240B9" w:rsidP="00E240B9">
      <w:pPr>
        <w:tabs>
          <w:tab w:val="left" w:pos="0"/>
          <w:tab w:val="left" w:pos="851"/>
        </w:tabs>
        <w:suppressAutoHyphens/>
        <w:ind w:firstLine="1"/>
        <w:rPr>
          <w:spacing w:val="-3"/>
          <w:szCs w:val="24"/>
        </w:rPr>
      </w:pPr>
      <w:r>
        <w:rPr>
          <w:spacing w:val="-3"/>
          <w:szCs w:val="24"/>
        </w:rPr>
        <w:tab/>
      </w:r>
      <w:r w:rsidR="00336DC2" w:rsidRPr="00624299">
        <w:rPr>
          <w:spacing w:val="-3"/>
          <w:szCs w:val="24"/>
        </w:rPr>
        <w:t xml:space="preserve">Ældre: Dosisjustering er ikke nødvendig til ældre patienter.  </w:t>
      </w:r>
    </w:p>
    <w:p w:rsidR="00336DC2" w:rsidRPr="00624299" w:rsidRDefault="00336DC2" w:rsidP="00336DC2">
      <w:pPr>
        <w:tabs>
          <w:tab w:val="left" w:pos="0"/>
        </w:tabs>
        <w:suppressAutoHyphens/>
        <w:rPr>
          <w:spacing w:val="-3"/>
          <w:szCs w:val="24"/>
        </w:rPr>
      </w:pPr>
    </w:p>
    <w:p w:rsidR="00336DC2" w:rsidRPr="00624299" w:rsidRDefault="00336DC2" w:rsidP="00336DC2">
      <w:pPr>
        <w:tabs>
          <w:tab w:val="left" w:pos="0"/>
          <w:tab w:val="left" w:pos="851"/>
        </w:tabs>
        <w:suppressAutoHyphens/>
        <w:ind w:left="850" w:hanging="850"/>
        <w:rPr>
          <w:spacing w:val="-3"/>
          <w:szCs w:val="24"/>
        </w:rPr>
      </w:pPr>
      <w:r w:rsidRPr="00624299">
        <w:rPr>
          <w:b/>
          <w:bCs/>
          <w:i/>
          <w:iCs/>
          <w:spacing w:val="-3"/>
          <w:szCs w:val="24"/>
        </w:rPr>
        <w:tab/>
        <w:t>Implantat 10,8 mg:</w:t>
      </w:r>
    </w:p>
    <w:p w:rsidR="00336DC2" w:rsidRPr="00624299" w:rsidRDefault="00336DC2" w:rsidP="00336DC2">
      <w:pPr>
        <w:tabs>
          <w:tab w:val="left" w:pos="0"/>
          <w:tab w:val="left" w:pos="851"/>
        </w:tabs>
        <w:suppressAutoHyphens/>
        <w:ind w:left="850" w:hanging="850"/>
        <w:rPr>
          <w:spacing w:val="-3"/>
          <w:szCs w:val="24"/>
        </w:rPr>
      </w:pPr>
      <w:r w:rsidRPr="00624299">
        <w:rPr>
          <w:spacing w:val="-3"/>
          <w:szCs w:val="24"/>
        </w:rPr>
        <w:tab/>
      </w:r>
      <w:r w:rsidRPr="00624299">
        <w:rPr>
          <w:i/>
          <w:iCs/>
          <w:spacing w:val="-3"/>
          <w:szCs w:val="24"/>
        </w:rPr>
        <w:t xml:space="preserve">Mænd: </w:t>
      </w:r>
      <w:r w:rsidRPr="00624299">
        <w:rPr>
          <w:spacing w:val="-3"/>
          <w:szCs w:val="24"/>
        </w:rPr>
        <w:t xml:space="preserve">Et 10,8 mg </w:t>
      </w:r>
      <w:proofErr w:type="spellStart"/>
      <w:r w:rsidRPr="00624299">
        <w:rPr>
          <w:spacing w:val="-3"/>
          <w:szCs w:val="24"/>
        </w:rPr>
        <w:t>Zoladex</w:t>
      </w:r>
      <w:proofErr w:type="spellEnd"/>
      <w:r w:rsidRPr="00624299">
        <w:rPr>
          <w:spacing w:val="-3"/>
          <w:szCs w:val="24"/>
        </w:rPr>
        <w:t xml:space="preserve"> implantat injiceres subkutant i den </w:t>
      </w:r>
      <w:proofErr w:type="spellStart"/>
      <w:r w:rsidRPr="00624299">
        <w:rPr>
          <w:spacing w:val="-3"/>
          <w:szCs w:val="24"/>
        </w:rPr>
        <w:t>anteriore</w:t>
      </w:r>
      <w:proofErr w:type="spellEnd"/>
      <w:r w:rsidRPr="00624299">
        <w:rPr>
          <w:spacing w:val="-3"/>
          <w:szCs w:val="24"/>
        </w:rPr>
        <w:t xml:space="preserve"> </w:t>
      </w:r>
      <w:proofErr w:type="spellStart"/>
      <w:r w:rsidRPr="00624299">
        <w:rPr>
          <w:spacing w:val="-3"/>
          <w:szCs w:val="24"/>
        </w:rPr>
        <w:t>abdominalvæg</w:t>
      </w:r>
      <w:proofErr w:type="spellEnd"/>
      <w:r w:rsidRPr="00624299">
        <w:rPr>
          <w:spacing w:val="-3"/>
          <w:szCs w:val="24"/>
        </w:rPr>
        <w:t xml:space="preserve"> hver 3. måned.</w:t>
      </w:r>
    </w:p>
    <w:p w:rsidR="00336DC2" w:rsidRPr="00624299" w:rsidRDefault="00336DC2" w:rsidP="00336DC2">
      <w:pPr>
        <w:tabs>
          <w:tab w:val="left" w:pos="0"/>
          <w:tab w:val="left" w:pos="851"/>
        </w:tabs>
        <w:suppressAutoHyphens/>
        <w:ind w:left="850" w:hanging="850"/>
        <w:rPr>
          <w:spacing w:val="-3"/>
          <w:szCs w:val="24"/>
        </w:rPr>
      </w:pPr>
    </w:p>
    <w:p w:rsidR="00336DC2" w:rsidRPr="00624299" w:rsidRDefault="00336DC2" w:rsidP="00E240B9">
      <w:pPr>
        <w:tabs>
          <w:tab w:val="left" w:pos="0"/>
        </w:tabs>
        <w:suppressAutoHyphens/>
        <w:ind w:left="850"/>
        <w:rPr>
          <w:spacing w:val="-3"/>
          <w:szCs w:val="24"/>
        </w:rPr>
      </w:pPr>
      <w:r w:rsidRPr="00624299">
        <w:rPr>
          <w:i/>
          <w:iCs/>
          <w:spacing w:val="-3"/>
          <w:szCs w:val="24"/>
        </w:rPr>
        <w:t>Kvinder:</w:t>
      </w:r>
      <w:r w:rsidRPr="00624299">
        <w:rPr>
          <w:spacing w:val="-3"/>
          <w:szCs w:val="24"/>
        </w:rPr>
        <w:t xml:space="preserve"> Et 10,8 mg </w:t>
      </w:r>
      <w:proofErr w:type="spellStart"/>
      <w:r w:rsidRPr="00624299">
        <w:rPr>
          <w:spacing w:val="-3"/>
          <w:szCs w:val="24"/>
        </w:rPr>
        <w:t>Zoladex</w:t>
      </w:r>
      <w:proofErr w:type="spellEnd"/>
      <w:r w:rsidRPr="00624299">
        <w:rPr>
          <w:spacing w:val="-3"/>
          <w:szCs w:val="24"/>
        </w:rPr>
        <w:t xml:space="preserve"> implantat injiceres subkutant i den </w:t>
      </w:r>
      <w:proofErr w:type="spellStart"/>
      <w:r w:rsidRPr="00624299">
        <w:rPr>
          <w:spacing w:val="-3"/>
          <w:szCs w:val="24"/>
        </w:rPr>
        <w:t>anteriore</w:t>
      </w:r>
      <w:proofErr w:type="spellEnd"/>
      <w:r w:rsidRPr="00624299">
        <w:rPr>
          <w:spacing w:val="-3"/>
          <w:szCs w:val="24"/>
        </w:rPr>
        <w:t xml:space="preserve"> </w:t>
      </w:r>
      <w:proofErr w:type="spellStart"/>
      <w:r w:rsidRPr="00624299">
        <w:rPr>
          <w:spacing w:val="-3"/>
          <w:szCs w:val="24"/>
        </w:rPr>
        <w:t>abdominalvæg</w:t>
      </w:r>
      <w:proofErr w:type="spellEnd"/>
      <w:r w:rsidRPr="00624299">
        <w:rPr>
          <w:spacing w:val="-3"/>
          <w:szCs w:val="24"/>
        </w:rPr>
        <w:t xml:space="preserve"> hver 12. uge.</w:t>
      </w:r>
    </w:p>
    <w:p w:rsidR="00336DC2" w:rsidRPr="00624299" w:rsidRDefault="00336DC2" w:rsidP="00336DC2">
      <w:pPr>
        <w:tabs>
          <w:tab w:val="left" w:pos="0"/>
          <w:tab w:val="left" w:pos="851"/>
        </w:tabs>
        <w:suppressAutoHyphens/>
        <w:rPr>
          <w:spacing w:val="-3"/>
          <w:szCs w:val="24"/>
        </w:rPr>
      </w:pPr>
    </w:p>
    <w:p w:rsidR="00336DC2" w:rsidRPr="00624299" w:rsidRDefault="00336DC2" w:rsidP="00336DC2">
      <w:pPr>
        <w:tabs>
          <w:tab w:val="left" w:pos="0"/>
          <w:tab w:val="left" w:pos="851"/>
        </w:tabs>
        <w:suppressAutoHyphens/>
        <w:ind w:left="850" w:hanging="850"/>
        <w:rPr>
          <w:spacing w:val="-3"/>
          <w:szCs w:val="24"/>
        </w:rPr>
      </w:pPr>
      <w:r w:rsidRPr="00624299">
        <w:rPr>
          <w:i/>
          <w:iCs/>
          <w:spacing w:val="-3"/>
          <w:szCs w:val="24"/>
        </w:rPr>
        <w:tab/>
        <w:t>Nedsat nyre- og leverfunktion:</w:t>
      </w:r>
      <w:r w:rsidRPr="00624299">
        <w:rPr>
          <w:spacing w:val="-3"/>
          <w:szCs w:val="24"/>
        </w:rPr>
        <w:t xml:space="preserve"> Dosisjustering er ikke nødvendig til patienter med nedsat nyre- eller leverfunktion.</w:t>
      </w:r>
    </w:p>
    <w:p w:rsidR="00336DC2" w:rsidRPr="00624299" w:rsidRDefault="00336DC2" w:rsidP="00336DC2">
      <w:pPr>
        <w:tabs>
          <w:tab w:val="left" w:pos="0"/>
          <w:tab w:val="left" w:pos="851"/>
        </w:tabs>
        <w:suppressAutoHyphens/>
        <w:ind w:left="850" w:hanging="850"/>
        <w:rPr>
          <w:spacing w:val="-3"/>
          <w:szCs w:val="24"/>
        </w:rPr>
      </w:pPr>
      <w:r w:rsidRPr="00624299">
        <w:rPr>
          <w:spacing w:val="-3"/>
          <w:szCs w:val="24"/>
        </w:rPr>
        <w:tab/>
      </w:r>
    </w:p>
    <w:p w:rsidR="00336DC2" w:rsidRPr="00624299" w:rsidRDefault="00E240B9" w:rsidP="00E240B9">
      <w:pPr>
        <w:tabs>
          <w:tab w:val="left" w:pos="0"/>
          <w:tab w:val="left" w:pos="851"/>
        </w:tabs>
        <w:suppressAutoHyphens/>
        <w:ind w:firstLine="1"/>
        <w:rPr>
          <w:b/>
          <w:bCs/>
          <w:spacing w:val="-3"/>
          <w:szCs w:val="24"/>
        </w:rPr>
      </w:pPr>
      <w:r>
        <w:rPr>
          <w:b/>
          <w:bCs/>
          <w:spacing w:val="-3"/>
          <w:szCs w:val="24"/>
        </w:rPr>
        <w:tab/>
      </w:r>
      <w:r w:rsidR="00336DC2" w:rsidRPr="00624299">
        <w:rPr>
          <w:b/>
          <w:bCs/>
          <w:spacing w:val="-3"/>
          <w:szCs w:val="24"/>
        </w:rPr>
        <w:t>Børn</w:t>
      </w:r>
    </w:p>
    <w:p w:rsidR="00336DC2" w:rsidRPr="00624299" w:rsidRDefault="00336DC2" w:rsidP="00336DC2">
      <w:pPr>
        <w:pStyle w:val="Brdtekstindrykning3"/>
        <w:spacing w:after="0"/>
        <w:ind w:firstLine="567"/>
        <w:rPr>
          <w:sz w:val="24"/>
          <w:szCs w:val="24"/>
        </w:rPr>
      </w:pPr>
      <w:proofErr w:type="spellStart"/>
      <w:r w:rsidRPr="00624299">
        <w:rPr>
          <w:sz w:val="24"/>
          <w:szCs w:val="24"/>
        </w:rPr>
        <w:t>Zoladex</w:t>
      </w:r>
      <w:proofErr w:type="spellEnd"/>
      <w:r w:rsidRPr="00624299">
        <w:rPr>
          <w:sz w:val="24"/>
          <w:szCs w:val="24"/>
        </w:rPr>
        <w:t xml:space="preserve"> er ikke indiceret til børn.</w:t>
      </w:r>
    </w:p>
    <w:p w:rsidR="00336DC2" w:rsidRPr="00624299" w:rsidRDefault="00336DC2" w:rsidP="00336DC2">
      <w:pPr>
        <w:tabs>
          <w:tab w:val="left" w:pos="0"/>
        </w:tabs>
        <w:suppressAutoHyphens/>
        <w:ind w:firstLine="1"/>
        <w:rPr>
          <w:spacing w:val="-3"/>
          <w:szCs w:val="24"/>
        </w:rPr>
      </w:pPr>
    </w:p>
    <w:p w:rsidR="00336DC2" w:rsidRPr="00624299" w:rsidRDefault="00336DC2" w:rsidP="00336DC2">
      <w:pPr>
        <w:pStyle w:val="Brdtekstindrykning3"/>
        <w:spacing w:after="0"/>
        <w:ind w:firstLine="567"/>
        <w:rPr>
          <w:b/>
          <w:sz w:val="24"/>
          <w:szCs w:val="24"/>
        </w:rPr>
      </w:pPr>
      <w:r w:rsidRPr="00624299">
        <w:rPr>
          <w:b/>
          <w:sz w:val="24"/>
          <w:szCs w:val="24"/>
        </w:rPr>
        <w:t>Indgivelsesmåde</w:t>
      </w:r>
    </w:p>
    <w:p w:rsidR="00336DC2" w:rsidRPr="00624299" w:rsidRDefault="00336DC2" w:rsidP="00336DC2">
      <w:pPr>
        <w:tabs>
          <w:tab w:val="left" w:pos="0"/>
          <w:tab w:val="left" w:pos="851"/>
        </w:tabs>
        <w:suppressAutoHyphens/>
        <w:ind w:left="850" w:hanging="850"/>
        <w:rPr>
          <w:spacing w:val="-3"/>
          <w:szCs w:val="24"/>
        </w:rPr>
      </w:pPr>
      <w:r w:rsidRPr="00624299">
        <w:rPr>
          <w:spacing w:val="-3"/>
          <w:szCs w:val="24"/>
        </w:rPr>
        <w:tab/>
      </w:r>
      <w:r w:rsidRPr="00624299">
        <w:rPr>
          <w:spacing w:val="-3"/>
        </w:rPr>
        <w:t xml:space="preserve">Se vejledning om korrekt administration af </w:t>
      </w:r>
      <w:proofErr w:type="spellStart"/>
      <w:r w:rsidRPr="00624299">
        <w:rPr>
          <w:spacing w:val="-3"/>
        </w:rPr>
        <w:t>goserelin</w:t>
      </w:r>
      <w:proofErr w:type="spellEnd"/>
      <w:r w:rsidRPr="00624299">
        <w:rPr>
          <w:spacing w:val="-3"/>
        </w:rPr>
        <w:t xml:space="preserve"> på instruktionskort.</w:t>
      </w:r>
    </w:p>
    <w:p w:rsidR="00336DC2" w:rsidRPr="00624299" w:rsidRDefault="00336DC2" w:rsidP="00336DC2">
      <w:pPr>
        <w:tabs>
          <w:tab w:val="left" w:pos="0"/>
          <w:tab w:val="left" w:pos="851"/>
        </w:tabs>
        <w:suppressAutoHyphens/>
        <w:ind w:left="850" w:hanging="850"/>
        <w:jc w:val="both"/>
        <w:rPr>
          <w:spacing w:val="-3"/>
          <w:szCs w:val="24"/>
        </w:rPr>
      </w:pPr>
    </w:p>
    <w:p w:rsidR="00336DC2" w:rsidRPr="00624299" w:rsidRDefault="00336DC2" w:rsidP="00336DC2">
      <w:pPr>
        <w:tabs>
          <w:tab w:val="left" w:pos="0"/>
          <w:tab w:val="left" w:pos="851"/>
        </w:tabs>
        <w:suppressAutoHyphens/>
        <w:ind w:left="850" w:hanging="850"/>
        <w:rPr>
          <w:spacing w:val="-3"/>
          <w:szCs w:val="24"/>
        </w:rPr>
      </w:pPr>
      <w:r w:rsidRPr="00624299">
        <w:rPr>
          <w:spacing w:val="-3"/>
          <w:szCs w:val="24"/>
        </w:rPr>
        <w:tab/>
        <w:t xml:space="preserve">Der skal udvises forsigtighed, når </w:t>
      </w:r>
      <w:proofErr w:type="spellStart"/>
      <w:r w:rsidRPr="00624299">
        <w:rPr>
          <w:spacing w:val="-3"/>
          <w:szCs w:val="24"/>
        </w:rPr>
        <w:t>Zoladex</w:t>
      </w:r>
      <w:proofErr w:type="spellEnd"/>
      <w:r w:rsidRPr="00624299">
        <w:rPr>
          <w:spacing w:val="-3"/>
          <w:szCs w:val="24"/>
        </w:rPr>
        <w:t xml:space="preserve"> injiceres i maveskindet på grund af, at det er tæt på den underliggende nedre </w:t>
      </w:r>
      <w:proofErr w:type="spellStart"/>
      <w:r w:rsidRPr="00624299">
        <w:rPr>
          <w:spacing w:val="-3"/>
          <w:szCs w:val="24"/>
        </w:rPr>
        <w:t>epigastriske</w:t>
      </w:r>
      <w:proofErr w:type="spellEnd"/>
      <w:r w:rsidRPr="00624299">
        <w:rPr>
          <w:spacing w:val="-3"/>
          <w:szCs w:val="24"/>
        </w:rPr>
        <w:t xml:space="preserve"> arterie og dens forgreninger. Vær ekstra forsigtig, når </w:t>
      </w:r>
      <w:proofErr w:type="spellStart"/>
      <w:r w:rsidRPr="00624299">
        <w:rPr>
          <w:spacing w:val="-3"/>
          <w:szCs w:val="24"/>
        </w:rPr>
        <w:t>Zoladex</w:t>
      </w:r>
      <w:proofErr w:type="spellEnd"/>
      <w:r w:rsidRPr="00624299">
        <w:rPr>
          <w:spacing w:val="-3"/>
          <w:szCs w:val="24"/>
        </w:rPr>
        <w:t xml:space="preserve"> gives til patienter med lavt BMI og/eller til patienter, som får fuld </w:t>
      </w:r>
      <w:proofErr w:type="spellStart"/>
      <w:r w:rsidRPr="00624299">
        <w:rPr>
          <w:spacing w:val="-3"/>
          <w:szCs w:val="24"/>
        </w:rPr>
        <w:t>antikoagulations</w:t>
      </w:r>
      <w:r w:rsidRPr="00624299">
        <w:rPr>
          <w:spacing w:val="-3"/>
          <w:szCs w:val="24"/>
        </w:rPr>
        <w:softHyphen/>
        <w:t>behandling</w:t>
      </w:r>
      <w:proofErr w:type="spellEnd"/>
      <w:r w:rsidRPr="00624299">
        <w:rPr>
          <w:spacing w:val="-3"/>
          <w:szCs w:val="24"/>
        </w:rPr>
        <w:t xml:space="preserve"> (se pkt. 4.4).</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4.3</w:t>
      </w:r>
      <w:r w:rsidRPr="00624299">
        <w:rPr>
          <w:b/>
          <w:spacing w:val="-3"/>
        </w:rPr>
        <w:tab/>
        <w:t>Kontraindikationer</w:t>
      </w:r>
    </w:p>
    <w:p w:rsidR="00336DC2" w:rsidRPr="00624299" w:rsidRDefault="00336DC2" w:rsidP="00E240B9">
      <w:pPr>
        <w:ind w:left="850"/>
      </w:pPr>
      <w:r w:rsidRPr="00624299">
        <w:t>Kendt alvorlig overfølsomhed over for det aktive stof eller over for et eller flere af hjælpestofferne anført i pkt. 6.1.</w:t>
      </w:r>
    </w:p>
    <w:p w:rsidR="00336DC2" w:rsidRPr="00624299" w:rsidRDefault="00336DC2" w:rsidP="00E240B9">
      <w:pPr>
        <w:ind w:firstLine="850"/>
        <w:rPr>
          <w:spacing w:val="-3"/>
        </w:rPr>
      </w:pPr>
      <w:r w:rsidRPr="00624299">
        <w:rPr>
          <w:spacing w:val="-3"/>
        </w:rPr>
        <w:t>Graviditet og amning (se pkt. 4.6).</w:t>
      </w:r>
    </w:p>
    <w:p w:rsidR="00336DC2" w:rsidRPr="00624299" w:rsidRDefault="00336DC2" w:rsidP="00336DC2">
      <w:pPr>
        <w:ind w:hanging="1"/>
        <w:rPr>
          <w:b/>
          <w:bCs/>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4.4</w:t>
      </w:r>
      <w:r w:rsidRPr="00624299">
        <w:rPr>
          <w:b/>
          <w:spacing w:val="-3"/>
        </w:rPr>
        <w:tab/>
        <w:t>Særlige advarsler og forsigtighedsregler vedrørende brugen</w:t>
      </w:r>
    </w:p>
    <w:p w:rsidR="00336DC2" w:rsidRPr="00624299" w:rsidRDefault="00336DC2" w:rsidP="00336DC2">
      <w:pPr>
        <w:pStyle w:val="Overskrift5"/>
        <w:spacing w:after="0" w:line="280" w:lineRule="atLeast"/>
        <w:ind w:left="850"/>
        <w:rPr>
          <w:b w:val="0"/>
          <w:bCs/>
          <w:lang w:val="da-DK"/>
        </w:rPr>
      </w:pPr>
      <w:proofErr w:type="spellStart"/>
      <w:r w:rsidRPr="00624299">
        <w:rPr>
          <w:b w:val="0"/>
          <w:bCs/>
          <w:lang w:val="da-DK"/>
        </w:rPr>
        <w:t>Zoladex</w:t>
      </w:r>
      <w:proofErr w:type="spellEnd"/>
      <w:r w:rsidRPr="00624299">
        <w:rPr>
          <w:b w:val="0"/>
          <w:bCs/>
          <w:lang w:val="da-DK"/>
        </w:rPr>
        <w:t xml:space="preserve"> 3,6 mg og 10,8 mg er ikke indiceret til børn, da hverken sikkerhed eller effekt kendes hos denne patientgruppe.</w:t>
      </w:r>
    </w:p>
    <w:p w:rsidR="00336DC2" w:rsidRPr="00624299" w:rsidRDefault="00336DC2" w:rsidP="00336DC2"/>
    <w:p w:rsidR="00336DC2" w:rsidRPr="00624299" w:rsidRDefault="00336DC2" w:rsidP="00E240B9">
      <w:pPr>
        <w:ind w:left="850"/>
      </w:pPr>
      <w:r w:rsidRPr="00624299">
        <w:t xml:space="preserve">Der er rapporteret om skader på injektionsstedet med </w:t>
      </w:r>
      <w:proofErr w:type="spellStart"/>
      <w:r w:rsidRPr="00624299">
        <w:t>Zoladex</w:t>
      </w:r>
      <w:proofErr w:type="spellEnd"/>
      <w:r w:rsidRPr="00624299">
        <w:t xml:space="preserve">, herunder hændelser med smerte, </w:t>
      </w:r>
      <w:proofErr w:type="spellStart"/>
      <w:r w:rsidRPr="00624299">
        <w:t>hæmatomer</w:t>
      </w:r>
      <w:proofErr w:type="spellEnd"/>
      <w:r w:rsidRPr="00624299">
        <w:t xml:space="preserve">, blødning og </w:t>
      </w:r>
      <w:proofErr w:type="spellStart"/>
      <w:r w:rsidRPr="00624299">
        <w:t>vaskulær</w:t>
      </w:r>
      <w:proofErr w:type="spellEnd"/>
      <w:r w:rsidRPr="00624299">
        <w:t xml:space="preserve"> skade. Patienter, der påvirkes, skal monitoreres for tegn eller symptomer på </w:t>
      </w:r>
      <w:proofErr w:type="spellStart"/>
      <w:r w:rsidRPr="00624299">
        <w:t>abdominal</w:t>
      </w:r>
      <w:proofErr w:type="spellEnd"/>
      <w:r w:rsidRPr="00624299">
        <w:t xml:space="preserve"> blødning. I meget sjældne tilfælde har administrationsfejl resulteret i </w:t>
      </w:r>
      <w:proofErr w:type="spellStart"/>
      <w:r w:rsidRPr="00624299">
        <w:t>vaskulær</w:t>
      </w:r>
      <w:proofErr w:type="spellEnd"/>
      <w:r w:rsidRPr="00624299">
        <w:t xml:space="preserve"> skade og </w:t>
      </w:r>
      <w:proofErr w:type="spellStart"/>
      <w:r w:rsidRPr="00624299">
        <w:t>hæmoragisk</w:t>
      </w:r>
      <w:proofErr w:type="spellEnd"/>
      <w:r w:rsidRPr="00624299">
        <w:t xml:space="preserve"> </w:t>
      </w:r>
      <w:proofErr w:type="spellStart"/>
      <w:r w:rsidRPr="00624299">
        <w:t>shock</w:t>
      </w:r>
      <w:proofErr w:type="spellEnd"/>
      <w:r w:rsidRPr="00624299">
        <w:t xml:space="preserve">, der kræver blodtransfusion og kirurgiske indgreb. Der bør udvises ekstra forsigtighed, når </w:t>
      </w:r>
      <w:proofErr w:type="spellStart"/>
      <w:r w:rsidRPr="00624299">
        <w:t>Zoladex</w:t>
      </w:r>
      <w:proofErr w:type="spellEnd"/>
      <w:r w:rsidRPr="00624299">
        <w:t xml:space="preserve"> administreres til patienter med lavt BMI og/eller patienter, som får fuld </w:t>
      </w:r>
      <w:proofErr w:type="spellStart"/>
      <w:r w:rsidRPr="00624299">
        <w:t>antikoagulationsbehandling</w:t>
      </w:r>
      <w:proofErr w:type="spellEnd"/>
      <w:r w:rsidRPr="00624299">
        <w:t xml:space="preserve"> (se pkt. 4.2).</w:t>
      </w:r>
    </w:p>
    <w:p w:rsidR="00336DC2" w:rsidRPr="00624299" w:rsidRDefault="00336DC2" w:rsidP="00336DC2"/>
    <w:p w:rsidR="00336DC2" w:rsidRPr="00624299" w:rsidRDefault="00336DC2" w:rsidP="00E240B9">
      <w:pPr>
        <w:ind w:firstLine="850"/>
      </w:pPr>
      <w:r w:rsidRPr="00624299">
        <w:t xml:space="preserve">Der forefindes ikke data for fjernelse eller opløsning af implantatet. </w:t>
      </w:r>
    </w:p>
    <w:p w:rsidR="00336DC2" w:rsidRPr="00624299" w:rsidRDefault="00336DC2" w:rsidP="00336DC2"/>
    <w:p w:rsidR="00336DC2" w:rsidRPr="00624299" w:rsidRDefault="00336DC2" w:rsidP="00336DC2">
      <w:pPr>
        <w:pStyle w:val="Overskrift5"/>
        <w:spacing w:after="0" w:line="280" w:lineRule="atLeast"/>
        <w:ind w:firstLine="850"/>
        <w:rPr>
          <w:bCs/>
          <w:lang w:val="da-DK"/>
        </w:rPr>
      </w:pPr>
      <w:r w:rsidRPr="00624299">
        <w:rPr>
          <w:bCs/>
          <w:lang w:val="da-DK"/>
        </w:rPr>
        <w:t>Mænd:</w:t>
      </w:r>
    </w:p>
    <w:p w:rsidR="00336DC2" w:rsidRPr="00624299" w:rsidRDefault="00336DC2" w:rsidP="00E240B9">
      <w:pPr>
        <w:ind w:left="850"/>
      </w:pPr>
      <w:r w:rsidRPr="00624299">
        <w:t xml:space="preserve">Brug af </w:t>
      </w:r>
      <w:proofErr w:type="spellStart"/>
      <w:r w:rsidRPr="00624299">
        <w:t>Zoladex</w:t>
      </w:r>
      <w:proofErr w:type="spellEnd"/>
      <w:r w:rsidRPr="00624299">
        <w:t xml:space="preserve"> 3,6 mg og 10,8 mg til mænd, som er i særlig risiko for at udvikle </w:t>
      </w:r>
      <w:proofErr w:type="spellStart"/>
      <w:r w:rsidRPr="00624299">
        <w:t>okklution</w:t>
      </w:r>
      <w:proofErr w:type="spellEnd"/>
      <w:r w:rsidRPr="00624299">
        <w:t xml:space="preserve"> af </w:t>
      </w:r>
      <w:proofErr w:type="spellStart"/>
      <w:r w:rsidRPr="00624299">
        <w:t>ureter</w:t>
      </w:r>
      <w:proofErr w:type="spellEnd"/>
      <w:r w:rsidRPr="00624299">
        <w:t xml:space="preserve"> eller rygmarvskompression, bør nøje overvejes, og patienterne bør monitoreres tæt under den første måneds behandling. Det bør overvejes at anvende et initialt </w:t>
      </w:r>
      <w:proofErr w:type="spellStart"/>
      <w:r w:rsidRPr="00624299">
        <w:t>anti-androgen</w:t>
      </w:r>
      <w:proofErr w:type="spellEnd"/>
      <w:r w:rsidRPr="00624299">
        <w:t xml:space="preserve"> (ex </w:t>
      </w:r>
      <w:proofErr w:type="spellStart"/>
      <w:r w:rsidRPr="00624299">
        <w:t>cyproteronacetat</w:t>
      </w:r>
      <w:proofErr w:type="spellEnd"/>
      <w:r w:rsidRPr="00624299">
        <w:t xml:space="preserve"> 300 mg daglig i tre dage før påbegyndelse og tre uger efter afslutning af </w:t>
      </w:r>
      <w:proofErr w:type="spellStart"/>
      <w:r w:rsidRPr="00624299">
        <w:t>Zoladex</w:t>
      </w:r>
      <w:proofErr w:type="spellEnd"/>
      <w:r w:rsidRPr="00624299">
        <w:t xml:space="preserve">) i begyndelsen af LHRH-analog-behandling, idet der har været rapporter om, at dette forhindrer følgesygdomme til initial stigning i serumtestosteron. Hvis der opstår rygmarvskompression eller nedsat nyrefunktion på grund af </w:t>
      </w:r>
      <w:proofErr w:type="spellStart"/>
      <w:r w:rsidRPr="00624299">
        <w:t>okklution</w:t>
      </w:r>
      <w:proofErr w:type="spellEnd"/>
      <w:r w:rsidRPr="00624299">
        <w:t xml:space="preserve"> af </w:t>
      </w:r>
      <w:proofErr w:type="spellStart"/>
      <w:r w:rsidRPr="00624299">
        <w:t>ureter</w:t>
      </w:r>
      <w:proofErr w:type="spellEnd"/>
      <w:r w:rsidRPr="00624299">
        <w:t xml:space="preserve">, skal der initieres specifik standardbehandling af disse komplikationer. </w:t>
      </w:r>
    </w:p>
    <w:p w:rsidR="00336DC2" w:rsidRPr="00624299" w:rsidRDefault="00336DC2" w:rsidP="00336DC2"/>
    <w:p w:rsidR="00336DC2" w:rsidRPr="00624299" w:rsidRDefault="00336DC2" w:rsidP="00E240B9">
      <w:pPr>
        <w:ind w:left="850"/>
      </w:pPr>
      <w:r w:rsidRPr="00624299">
        <w:t xml:space="preserve">Brug af LHRH-agonister kan forårsage reduktion i knoglemineraltæthed. Hos mænd, tyder præliminære data på, at brug af </w:t>
      </w:r>
      <w:proofErr w:type="spellStart"/>
      <w:r w:rsidRPr="00624299">
        <w:t>bisphosphonat</w:t>
      </w:r>
      <w:proofErr w:type="spellEnd"/>
      <w:r w:rsidRPr="00624299">
        <w:t xml:space="preserve"> i kombination med en LHRH-agonist, kan reducere tab af knoglemineraltæthed.</w:t>
      </w:r>
    </w:p>
    <w:p w:rsidR="00336DC2" w:rsidRPr="00624299" w:rsidRDefault="00336DC2" w:rsidP="00336DC2">
      <w:pPr>
        <w:pStyle w:val="Brdtekst2"/>
        <w:spacing w:after="0" w:line="240" w:lineRule="auto"/>
        <w:ind w:firstLine="0"/>
      </w:pPr>
      <w:r w:rsidRPr="00624299">
        <w:t xml:space="preserve">Der kræves særlig forsigtighed hos patienter med ekstra høj risiko for </w:t>
      </w:r>
      <w:proofErr w:type="spellStart"/>
      <w:r w:rsidRPr="00624299">
        <w:t>osteporose</w:t>
      </w:r>
      <w:proofErr w:type="spellEnd"/>
      <w:r w:rsidRPr="00624299">
        <w:t xml:space="preserve"> (f.eks. kroniske alkoholikere, rygere, langtidsbehandling med </w:t>
      </w:r>
      <w:proofErr w:type="spellStart"/>
      <w:r w:rsidRPr="00624299">
        <w:t>antikonvulsivum</w:t>
      </w:r>
      <w:proofErr w:type="spellEnd"/>
      <w:r w:rsidRPr="00624299">
        <w:t xml:space="preserve"> eller </w:t>
      </w:r>
      <w:proofErr w:type="spellStart"/>
      <w:r w:rsidRPr="00624299">
        <w:t>kortikosteroider</w:t>
      </w:r>
      <w:proofErr w:type="spellEnd"/>
      <w:r w:rsidRPr="00624299">
        <w:t xml:space="preserve">, familieanamnese med osteoporose). </w:t>
      </w:r>
    </w:p>
    <w:p w:rsidR="00336DC2" w:rsidRPr="00624299" w:rsidRDefault="00336DC2" w:rsidP="00336DC2">
      <w:pPr>
        <w:ind w:hanging="1"/>
      </w:pPr>
    </w:p>
    <w:p w:rsidR="00336DC2" w:rsidRPr="00624299" w:rsidRDefault="00336DC2" w:rsidP="00336DC2">
      <w:pPr>
        <w:pStyle w:val="A-Heading4"/>
        <w:keepNext w:val="0"/>
        <w:spacing w:after="0" w:line="280" w:lineRule="atLeast"/>
        <w:ind w:firstLine="850"/>
        <w:outlineLvl w:val="9"/>
        <w:rPr>
          <w:b w:val="0"/>
          <w:i w:val="0"/>
          <w:lang w:val="da-DK"/>
        </w:rPr>
      </w:pPr>
      <w:r w:rsidRPr="00624299">
        <w:rPr>
          <w:b w:val="0"/>
          <w:i w:val="0"/>
          <w:lang w:val="da-DK"/>
        </w:rPr>
        <w:t>Patienter med kendt depression og patienter med hypertension skal monitoreres tæt.</w:t>
      </w:r>
    </w:p>
    <w:p w:rsidR="00336DC2" w:rsidRPr="00624299" w:rsidRDefault="00336DC2" w:rsidP="00336DC2">
      <w:pPr>
        <w:pStyle w:val="A-Heading4"/>
        <w:keepNext w:val="0"/>
        <w:spacing w:after="0" w:line="280" w:lineRule="atLeast"/>
        <w:ind w:left="850"/>
        <w:outlineLvl w:val="9"/>
        <w:rPr>
          <w:b w:val="0"/>
          <w:i w:val="0"/>
          <w:lang w:val="da-DK"/>
        </w:rPr>
      </w:pPr>
      <w:r w:rsidRPr="00624299">
        <w:rPr>
          <w:b w:val="0"/>
          <w:i w:val="0"/>
          <w:lang w:val="da-DK"/>
        </w:rPr>
        <w:t>Der er en for</w:t>
      </w:r>
      <w:r w:rsidRPr="00624299">
        <w:rPr>
          <w:b w:val="0"/>
          <w:bCs/>
          <w:i w:val="0"/>
          <w:iCs/>
          <w:lang w:val="da-DK"/>
        </w:rPr>
        <w:t xml:space="preserve">øget risikofor incident depression (som kan være alvorlig) hos patienter i behandling med </w:t>
      </w:r>
      <w:proofErr w:type="spellStart"/>
      <w:r w:rsidRPr="00624299">
        <w:rPr>
          <w:b w:val="0"/>
          <w:bCs/>
          <w:i w:val="0"/>
          <w:iCs/>
          <w:lang w:val="da-DK"/>
        </w:rPr>
        <w:t>GnRH</w:t>
      </w:r>
      <w:proofErr w:type="spellEnd"/>
      <w:r w:rsidRPr="00624299">
        <w:rPr>
          <w:b w:val="0"/>
          <w:bCs/>
          <w:i w:val="0"/>
          <w:iCs/>
          <w:lang w:val="da-DK"/>
        </w:rPr>
        <w:t xml:space="preserve"> agonister som </w:t>
      </w:r>
      <w:proofErr w:type="spellStart"/>
      <w:r w:rsidRPr="00624299">
        <w:rPr>
          <w:b w:val="0"/>
          <w:bCs/>
          <w:i w:val="0"/>
          <w:iCs/>
          <w:lang w:val="da-DK"/>
        </w:rPr>
        <w:t>goserelin</w:t>
      </w:r>
      <w:proofErr w:type="spellEnd"/>
      <w:r w:rsidRPr="00624299">
        <w:rPr>
          <w:b w:val="0"/>
          <w:bCs/>
          <w:i w:val="0"/>
          <w:iCs/>
          <w:lang w:val="da-DK"/>
        </w:rPr>
        <w:t>. Som følge heraf skal patienter informeres og hvis symptomer forekommer skal passende behandling foretages.</w:t>
      </w:r>
    </w:p>
    <w:p w:rsidR="00336DC2" w:rsidRPr="00624299" w:rsidRDefault="00336DC2" w:rsidP="00336DC2">
      <w:pPr>
        <w:rPr>
          <w:i/>
          <w:iCs/>
        </w:rPr>
      </w:pPr>
    </w:p>
    <w:p w:rsidR="00336DC2" w:rsidRPr="00624299" w:rsidRDefault="00336DC2" w:rsidP="00E240B9">
      <w:pPr>
        <w:ind w:left="850"/>
      </w:pPr>
      <w:r w:rsidRPr="00624299">
        <w:t xml:space="preserve">Der har været observeret reduktion i </w:t>
      </w:r>
      <w:proofErr w:type="spellStart"/>
      <w:r w:rsidRPr="00624299">
        <w:t>glucosetolerancen</w:t>
      </w:r>
      <w:proofErr w:type="spellEnd"/>
      <w:r w:rsidRPr="00624299">
        <w:t xml:space="preserve"> hos mænd, der får LHRH-agonister. Dette kan give sig til udtryk som diabetes eller tab af </w:t>
      </w:r>
      <w:proofErr w:type="spellStart"/>
      <w:r w:rsidRPr="00624299">
        <w:t>glykæmisk</w:t>
      </w:r>
      <w:proofErr w:type="spellEnd"/>
      <w:r w:rsidRPr="00624299">
        <w:t xml:space="preserve"> kontrol hos patienter, der i forvejen har diabetes mellitus. Derfor bør det overvejes at monitorere </w:t>
      </w:r>
      <w:proofErr w:type="spellStart"/>
      <w:r w:rsidRPr="00624299">
        <w:t>blodglucoseniveauet</w:t>
      </w:r>
      <w:proofErr w:type="spellEnd"/>
      <w:r w:rsidRPr="00624299">
        <w:t>.</w:t>
      </w:r>
    </w:p>
    <w:p w:rsidR="00336DC2" w:rsidRPr="00624299" w:rsidRDefault="00336DC2" w:rsidP="00336DC2">
      <w:pPr>
        <w:ind w:hanging="1"/>
      </w:pPr>
    </w:p>
    <w:p w:rsidR="00336DC2" w:rsidRPr="00624299" w:rsidRDefault="00336DC2" w:rsidP="00E240B9">
      <w:pPr>
        <w:ind w:left="850"/>
      </w:pPr>
      <w:r w:rsidRPr="00624299">
        <w:t>Myokardieinfarkt og hjertesvigt er o</w:t>
      </w:r>
      <w:r w:rsidRPr="00624299">
        <w:rPr>
          <w:spacing w:val="-2"/>
        </w:rPr>
        <w:t xml:space="preserve">bserveret i et </w:t>
      </w:r>
      <w:proofErr w:type="spellStart"/>
      <w:r w:rsidRPr="00624299">
        <w:rPr>
          <w:spacing w:val="-2"/>
        </w:rPr>
        <w:t>farmako</w:t>
      </w:r>
      <w:proofErr w:type="spellEnd"/>
      <w:r w:rsidRPr="00624299">
        <w:rPr>
          <w:spacing w:val="-2"/>
        </w:rPr>
        <w:t>-epidemiologisk studie</w:t>
      </w:r>
      <w:r w:rsidRPr="00624299">
        <w:rPr>
          <w:spacing w:val="-3"/>
        </w:rPr>
        <w:t xml:space="preserve"> af LHRH-agonister anvendt i behandling af prostatacancer. Denne risiko øges, når det anvendes i kombination med </w:t>
      </w:r>
      <w:proofErr w:type="spellStart"/>
      <w:r w:rsidRPr="00624299">
        <w:rPr>
          <w:spacing w:val="-3"/>
        </w:rPr>
        <w:t>antiandrogener</w:t>
      </w:r>
      <w:proofErr w:type="spellEnd"/>
      <w:r w:rsidRPr="00624299">
        <w:rPr>
          <w:spacing w:val="-3"/>
        </w:rPr>
        <w:t>.</w:t>
      </w:r>
    </w:p>
    <w:p w:rsidR="00336DC2" w:rsidRPr="00624299" w:rsidRDefault="00336DC2" w:rsidP="00336DC2"/>
    <w:p w:rsidR="00336DC2" w:rsidRPr="00624299" w:rsidRDefault="00336DC2" w:rsidP="00E240B9">
      <w:pPr>
        <w:ind w:firstLine="850"/>
      </w:pPr>
      <w:proofErr w:type="spellStart"/>
      <w:r w:rsidRPr="00624299">
        <w:t>Androgen</w:t>
      </w:r>
      <w:proofErr w:type="spellEnd"/>
      <w:r w:rsidRPr="00624299">
        <w:t xml:space="preserve"> deprivationsbehandling kan forlænge QT</w:t>
      </w:r>
      <w:r w:rsidRPr="00624299">
        <w:noBreakHyphen/>
        <w:t>intervallet.</w:t>
      </w:r>
    </w:p>
    <w:p w:rsidR="00336DC2" w:rsidRPr="00624299" w:rsidRDefault="00336DC2" w:rsidP="00E240B9">
      <w:pPr>
        <w:ind w:left="850"/>
      </w:pPr>
      <w:r w:rsidRPr="00624299">
        <w:t>Hos patienter med tidligere QT</w:t>
      </w:r>
      <w:r w:rsidRPr="00624299">
        <w:noBreakHyphen/>
        <w:t>forlængelse eller risikofaktorer for QT</w:t>
      </w:r>
      <w:r w:rsidRPr="00624299">
        <w:noBreakHyphen/>
        <w:t>forlængelse og hos patienter, der samtidig får lægemidler, der kan forlænge QT</w:t>
      </w:r>
      <w:r w:rsidRPr="00624299">
        <w:noBreakHyphen/>
        <w:t xml:space="preserve">intervallet (se pkt. 4.5), bør lægen </w:t>
      </w:r>
      <w:r w:rsidRPr="00624299">
        <w:lastRenderedPageBreak/>
        <w:t>vurdere benefit</w:t>
      </w:r>
      <w:r w:rsidRPr="00624299">
        <w:noBreakHyphen/>
      </w:r>
      <w:proofErr w:type="spellStart"/>
      <w:r w:rsidRPr="00624299">
        <w:t>risk</w:t>
      </w:r>
      <w:proofErr w:type="spellEnd"/>
      <w:r w:rsidRPr="00624299">
        <w:t xml:space="preserve"> forholdet, herunder risikoen for </w:t>
      </w:r>
      <w:proofErr w:type="spellStart"/>
      <w:r w:rsidRPr="00624299">
        <w:t>Torsades</w:t>
      </w:r>
      <w:proofErr w:type="spellEnd"/>
      <w:r w:rsidRPr="00624299">
        <w:t xml:space="preserve"> de pointes, inden behandling med </w:t>
      </w:r>
      <w:proofErr w:type="spellStart"/>
      <w:r w:rsidRPr="00624299">
        <w:t>Zoladex</w:t>
      </w:r>
      <w:proofErr w:type="spellEnd"/>
      <w:r w:rsidRPr="00624299">
        <w:t xml:space="preserve"> indledes.</w:t>
      </w:r>
    </w:p>
    <w:p w:rsidR="00336DC2" w:rsidRPr="00624299" w:rsidRDefault="00336DC2" w:rsidP="00336DC2"/>
    <w:p w:rsidR="00336DC2" w:rsidRPr="00624299" w:rsidRDefault="00336DC2" w:rsidP="00E240B9">
      <w:pPr>
        <w:ind w:firstLine="850"/>
        <w:rPr>
          <w:b/>
          <w:bCs/>
          <w:spacing w:val="-3"/>
        </w:rPr>
      </w:pPr>
      <w:r w:rsidRPr="00624299">
        <w:rPr>
          <w:b/>
          <w:bCs/>
          <w:spacing w:val="-3"/>
        </w:rPr>
        <w:t>Kvinder:</w:t>
      </w:r>
    </w:p>
    <w:p w:rsidR="00336DC2" w:rsidRPr="00624299" w:rsidRDefault="00336DC2" w:rsidP="00336DC2">
      <w:pPr>
        <w:pStyle w:val="A-Heading4"/>
        <w:keepNext w:val="0"/>
        <w:spacing w:after="0" w:line="280" w:lineRule="atLeast"/>
        <w:ind w:firstLine="850"/>
        <w:outlineLvl w:val="9"/>
        <w:rPr>
          <w:bCs/>
          <w:iCs/>
          <w:spacing w:val="-3"/>
          <w:lang w:val="da-DK"/>
        </w:rPr>
      </w:pPr>
      <w:r w:rsidRPr="00624299">
        <w:rPr>
          <w:bCs/>
          <w:iCs/>
          <w:spacing w:val="-3"/>
          <w:lang w:val="da-DK"/>
        </w:rPr>
        <w:t>Implantat 3,6 mg og 10,8 mg:</w:t>
      </w:r>
    </w:p>
    <w:p w:rsidR="00336DC2" w:rsidRPr="00624299" w:rsidRDefault="00336DC2" w:rsidP="00336DC2">
      <w:pPr>
        <w:ind w:firstLine="850"/>
        <w:rPr>
          <w:u w:val="single"/>
        </w:rPr>
      </w:pPr>
      <w:proofErr w:type="spellStart"/>
      <w:r w:rsidRPr="00624299">
        <w:t>Endometriose</w:t>
      </w:r>
      <w:proofErr w:type="spellEnd"/>
      <w:r w:rsidRPr="00624299">
        <w:t xml:space="preserve"> er den eneste indikation for </w:t>
      </w:r>
      <w:proofErr w:type="spellStart"/>
      <w:r w:rsidRPr="00624299">
        <w:t>Zoladex</w:t>
      </w:r>
      <w:proofErr w:type="spellEnd"/>
      <w:r w:rsidRPr="00624299">
        <w:t xml:space="preserve"> 10,8 mg hos kvinder. </w:t>
      </w:r>
    </w:p>
    <w:p w:rsidR="00336DC2" w:rsidRPr="00624299" w:rsidRDefault="00336DC2" w:rsidP="00336DC2">
      <w:pPr>
        <w:rPr>
          <w:u w:val="single"/>
        </w:rPr>
      </w:pPr>
    </w:p>
    <w:p w:rsidR="00336DC2" w:rsidRPr="00624299" w:rsidRDefault="00336DC2" w:rsidP="00E240B9">
      <w:pPr>
        <w:ind w:firstLine="850"/>
        <w:rPr>
          <w:u w:val="single"/>
        </w:rPr>
      </w:pPr>
      <w:r w:rsidRPr="00624299">
        <w:rPr>
          <w:u w:val="single"/>
        </w:rPr>
        <w:t>Brystcancer indikation:</w:t>
      </w:r>
    </w:p>
    <w:p w:rsidR="00336DC2" w:rsidRPr="00624299" w:rsidRDefault="00336DC2" w:rsidP="00336DC2">
      <w:pPr>
        <w:pStyle w:val="A-Single"/>
        <w:spacing w:line="280" w:lineRule="atLeast"/>
        <w:ind w:firstLine="850"/>
        <w:rPr>
          <w:lang w:val="da-DK"/>
        </w:rPr>
      </w:pPr>
      <w:r w:rsidRPr="00624299">
        <w:rPr>
          <w:lang w:val="da-DK"/>
        </w:rPr>
        <w:t>Reduceret knoglemineraltæthed</w:t>
      </w:r>
    </w:p>
    <w:p w:rsidR="00336DC2" w:rsidRPr="00624299" w:rsidRDefault="00336DC2" w:rsidP="00E240B9">
      <w:pPr>
        <w:ind w:left="850"/>
      </w:pPr>
      <w:r w:rsidRPr="00624299">
        <w:t xml:space="preserve">Brug af LHRH-agonister kan forårsage reduktion i knoglemineraltætheden. Efter to års behandling af tidlig brystcancer, var det gennemsnitlige tab af knoglemineraltæthed henholdsvis 6,2 % og 11,5 % for </w:t>
      </w:r>
      <w:proofErr w:type="spellStart"/>
      <w:r w:rsidRPr="00624299">
        <w:t>collum</w:t>
      </w:r>
      <w:proofErr w:type="spellEnd"/>
      <w:r w:rsidRPr="00624299">
        <w:t xml:space="preserve"> </w:t>
      </w:r>
      <w:proofErr w:type="spellStart"/>
      <w:r w:rsidRPr="00624299">
        <w:t>femoris</w:t>
      </w:r>
      <w:proofErr w:type="spellEnd"/>
      <w:r w:rsidRPr="00624299">
        <w:t xml:space="preserve"> og </w:t>
      </w:r>
      <w:proofErr w:type="spellStart"/>
      <w:r w:rsidRPr="00624299">
        <w:t>columna</w:t>
      </w:r>
      <w:proofErr w:type="spellEnd"/>
      <w:r w:rsidRPr="00624299">
        <w:t xml:space="preserve"> </w:t>
      </w:r>
      <w:proofErr w:type="spellStart"/>
      <w:r w:rsidRPr="00624299">
        <w:t>lumbalis</w:t>
      </w:r>
      <w:proofErr w:type="spellEnd"/>
      <w:r w:rsidRPr="00624299">
        <w:t xml:space="preserve">. Tabet har vist sig at være delvist reversibelt ved opfølgning et år efter behandling med generhvervelse på henholdsvis 3,4 % og 6,4 % relativt i forhold til </w:t>
      </w:r>
      <w:r w:rsidRPr="00624299">
        <w:rPr>
          <w:i/>
          <w:iCs/>
        </w:rPr>
        <w:t>baseline</w:t>
      </w:r>
      <w:r w:rsidRPr="00624299">
        <w:t xml:space="preserve"> for </w:t>
      </w:r>
      <w:proofErr w:type="spellStart"/>
      <w:r w:rsidRPr="00624299">
        <w:t>collum</w:t>
      </w:r>
      <w:proofErr w:type="spellEnd"/>
      <w:r w:rsidRPr="00624299">
        <w:t xml:space="preserve"> </w:t>
      </w:r>
      <w:proofErr w:type="spellStart"/>
      <w:r w:rsidRPr="00624299">
        <w:t>femoris</w:t>
      </w:r>
      <w:proofErr w:type="spellEnd"/>
      <w:r w:rsidRPr="00624299">
        <w:t xml:space="preserve"> og </w:t>
      </w:r>
      <w:proofErr w:type="spellStart"/>
      <w:r w:rsidRPr="00624299">
        <w:t>columna</w:t>
      </w:r>
      <w:proofErr w:type="spellEnd"/>
      <w:r w:rsidRPr="00624299">
        <w:t xml:space="preserve"> </w:t>
      </w:r>
      <w:proofErr w:type="spellStart"/>
      <w:r w:rsidRPr="00624299">
        <w:t>lumbalis</w:t>
      </w:r>
      <w:proofErr w:type="spellEnd"/>
      <w:r w:rsidRPr="00624299">
        <w:t xml:space="preserve">, selvom generhvervelsen er baseret på meget begrænsede data. </w:t>
      </w:r>
    </w:p>
    <w:p w:rsidR="00336DC2" w:rsidRPr="00624299" w:rsidRDefault="00336DC2" w:rsidP="00336DC2">
      <w:pPr>
        <w:pStyle w:val="A-Single"/>
        <w:spacing w:line="280" w:lineRule="atLeast"/>
        <w:ind w:left="850"/>
        <w:rPr>
          <w:lang w:val="da-DK"/>
        </w:rPr>
      </w:pPr>
      <w:r w:rsidRPr="00624299">
        <w:rPr>
          <w:lang w:val="da-DK"/>
        </w:rPr>
        <w:t>Nuværende tilgængelige data tyder på, at størstedelen af kvinder, generhverver knoglemineraltætheden efter behandlingsophør.</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r w:rsidRPr="00624299">
        <w:rPr>
          <w:lang w:val="da-DK"/>
        </w:rPr>
        <w:t xml:space="preserve">Præliminære data tyder på, at brug af </w:t>
      </w:r>
      <w:proofErr w:type="spellStart"/>
      <w:r w:rsidRPr="00624299">
        <w:rPr>
          <w:lang w:val="da-DK"/>
        </w:rPr>
        <w:t>Zoladex</w:t>
      </w:r>
      <w:proofErr w:type="spellEnd"/>
      <w:r w:rsidRPr="00624299">
        <w:rPr>
          <w:lang w:val="da-DK"/>
        </w:rPr>
        <w:t xml:space="preserve"> i kombination med </w:t>
      </w:r>
      <w:proofErr w:type="spellStart"/>
      <w:r w:rsidRPr="00624299">
        <w:rPr>
          <w:lang w:val="da-DK"/>
        </w:rPr>
        <w:t>tamoxifen</w:t>
      </w:r>
      <w:proofErr w:type="spellEnd"/>
      <w:r w:rsidRPr="00624299">
        <w:rPr>
          <w:lang w:val="da-DK"/>
        </w:rPr>
        <w:t xml:space="preserve"> hos patienter med brystcancer, kan reducere tab af knoglemineraltætheden.     </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firstLine="850"/>
        <w:rPr>
          <w:u w:val="single"/>
          <w:lang w:val="da-DK"/>
        </w:rPr>
      </w:pPr>
      <w:r w:rsidRPr="00624299">
        <w:rPr>
          <w:u w:val="single"/>
          <w:lang w:val="da-DK"/>
        </w:rPr>
        <w:t>Godartede indikationer:</w:t>
      </w:r>
    </w:p>
    <w:p w:rsidR="00336DC2" w:rsidRPr="00624299" w:rsidRDefault="00336DC2" w:rsidP="00336DC2">
      <w:pPr>
        <w:pStyle w:val="A-Single"/>
        <w:spacing w:line="280" w:lineRule="atLeast"/>
        <w:ind w:firstLine="850"/>
        <w:rPr>
          <w:lang w:val="da-DK"/>
        </w:rPr>
      </w:pPr>
      <w:r w:rsidRPr="00624299">
        <w:rPr>
          <w:lang w:val="da-DK"/>
        </w:rPr>
        <w:t>Tab af knoglemineraltæthed</w:t>
      </w:r>
    </w:p>
    <w:p w:rsidR="00336DC2" w:rsidRPr="00624299" w:rsidRDefault="00336DC2" w:rsidP="00336DC2">
      <w:pPr>
        <w:pStyle w:val="A-Single"/>
        <w:spacing w:line="280" w:lineRule="atLeast"/>
        <w:ind w:left="850"/>
        <w:rPr>
          <w:lang w:val="da-DK"/>
        </w:rPr>
      </w:pPr>
      <w:r w:rsidRPr="00624299">
        <w:rPr>
          <w:lang w:val="da-DK"/>
        </w:rPr>
        <w:t xml:space="preserve">Brug af LHRH-agonister forårsager sandsynligvis reduktion af knoglemineraltætheden med gennemsnitlig 1 % per måned i løbet af en seks måneders behandlingsperiode. For hver reduktion af knoglemineraltæthed på 10 % forøges risikoen for fraktur med to til tre gange.   </w:t>
      </w:r>
    </w:p>
    <w:p w:rsidR="00336DC2" w:rsidRPr="00624299" w:rsidRDefault="00336DC2" w:rsidP="00336DC2">
      <w:pPr>
        <w:pStyle w:val="A-Single"/>
        <w:spacing w:line="280" w:lineRule="atLeast"/>
        <w:ind w:left="850"/>
        <w:rPr>
          <w:lang w:val="da-DK"/>
        </w:rPr>
      </w:pPr>
      <w:r w:rsidRPr="00624299">
        <w:rPr>
          <w:lang w:val="da-DK"/>
        </w:rPr>
        <w:t>Nuværende tilgængelige data tyder på, at størstedelen af kvinder, generhverver knoglemineraltætheden efter behandlingsophør.</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r w:rsidRPr="00624299">
        <w:rPr>
          <w:lang w:val="da-DK"/>
        </w:rPr>
        <w:t xml:space="preserve">Et tillæg af hormonsubstitutionsbehandling har vist sig at reducere tab af knoglemineraltæthed og </w:t>
      </w:r>
      <w:proofErr w:type="spellStart"/>
      <w:r w:rsidRPr="00624299">
        <w:rPr>
          <w:lang w:val="da-DK"/>
        </w:rPr>
        <w:t>vasomotor</w:t>
      </w:r>
      <w:proofErr w:type="spellEnd"/>
      <w:r w:rsidRPr="00624299">
        <w:rPr>
          <w:lang w:val="da-DK"/>
        </w:rPr>
        <w:t xml:space="preserve"> symptomer, hos patienter der får </w:t>
      </w:r>
      <w:proofErr w:type="spellStart"/>
      <w:r w:rsidRPr="00624299">
        <w:rPr>
          <w:lang w:val="da-DK"/>
        </w:rPr>
        <w:t>Zoladex</w:t>
      </w:r>
      <w:proofErr w:type="spellEnd"/>
      <w:r w:rsidRPr="00624299">
        <w:rPr>
          <w:lang w:val="da-DK"/>
        </w:rPr>
        <w:t xml:space="preserve"> for behandling af </w:t>
      </w:r>
      <w:proofErr w:type="spellStart"/>
      <w:r w:rsidRPr="00624299">
        <w:rPr>
          <w:lang w:val="da-DK"/>
        </w:rPr>
        <w:t>endometriose</w:t>
      </w:r>
      <w:proofErr w:type="spellEnd"/>
      <w:r w:rsidRPr="00624299">
        <w:rPr>
          <w:lang w:val="da-DK"/>
        </w:rPr>
        <w:t xml:space="preserve">. Der er ingen erfaringer med hormonsubstitutionsbehandling hos kvinder, der får </w:t>
      </w:r>
      <w:proofErr w:type="spellStart"/>
      <w:r w:rsidRPr="00624299">
        <w:rPr>
          <w:lang w:val="da-DK"/>
        </w:rPr>
        <w:t>Zoladex</w:t>
      </w:r>
      <w:proofErr w:type="spellEnd"/>
      <w:r w:rsidRPr="00624299">
        <w:rPr>
          <w:lang w:val="da-DK"/>
        </w:rPr>
        <w:t xml:space="preserve"> 10,8 mg.</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r w:rsidRPr="00624299">
        <w:rPr>
          <w:lang w:val="da-DK"/>
        </w:rPr>
        <w:t xml:space="preserve">Der forefindes ikke specifikke data for patienter med fastslået osteoporose eller med risikofaktorer for osteoporose (f.eks. kronisk alkoholmisbrug, rygere, langtidsbehandling med lægemidler der reducerer knoglemineraltætheden, f.eks. </w:t>
      </w:r>
      <w:proofErr w:type="spellStart"/>
      <w:r w:rsidRPr="00624299">
        <w:rPr>
          <w:lang w:val="da-DK"/>
        </w:rPr>
        <w:t>antikonvulsivum</w:t>
      </w:r>
      <w:proofErr w:type="spellEnd"/>
      <w:r w:rsidRPr="00624299">
        <w:rPr>
          <w:lang w:val="da-DK"/>
        </w:rPr>
        <w:t xml:space="preserve"> eller </w:t>
      </w:r>
      <w:proofErr w:type="spellStart"/>
      <w:r w:rsidRPr="00624299">
        <w:rPr>
          <w:lang w:val="da-DK"/>
        </w:rPr>
        <w:t>kortikosteroider</w:t>
      </w:r>
      <w:proofErr w:type="spellEnd"/>
      <w:r w:rsidRPr="00624299">
        <w:rPr>
          <w:lang w:val="da-DK"/>
        </w:rPr>
        <w:t xml:space="preserve">, familieanamnese med osteoporose, fejlernæring, f.eks. anoreksi). Da reduktion i knoglemineraltæthed sandsynligvis er mere skadeligt hos disse patienter, bør behandling med </w:t>
      </w:r>
      <w:proofErr w:type="spellStart"/>
      <w:r w:rsidRPr="00624299">
        <w:rPr>
          <w:lang w:val="da-DK"/>
        </w:rPr>
        <w:t>goserelin</w:t>
      </w:r>
      <w:proofErr w:type="spellEnd"/>
      <w:r w:rsidRPr="00624299">
        <w:rPr>
          <w:lang w:val="da-DK"/>
        </w:rPr>
        <w:t xml:space="preserve"> betragtes på et individuelt niveau og kun </w:t>
      </w:r>
      <w:proofErr w:type="spellStart"/>
      <w:r w:rsidRPr="00624299">
        <w:rPr>
          <w:lang w:val="da-DK"/>
        </w:rPr>
        <w:t>initeres</w:t>
      </w:r>
      <w:proofErr w:type="spellEnd"/>
      <w:r w:rsidRPr="00624299">
        <w:rPr>
          <w:lang w:val="da-DK"/>
        </w:rPr>
        <w:t xml:space="preserve">, hvis fordelene ved behandlingen overstiger </w:t>
      </w:r>
      <w:proofErr w:type="spellStart"/>
      <w:r w:rsidRPr="00624299">
        <w:rPr>
          <w:lang w:val="da-DK"/>
        </w:rPr>
        <w:t>risicierne</w:t>
      </w:r>
      <w:proofErr w:type="spellEnd"/>
      <w:r w:rsidRPr="00624299">
        <w:rPr>
          <w:lang w:val="da-DK"/>
        </w:rPr>
        <w:t xml:space="preserve">, efter en meget grundig vurdering. Det bør overvejes at iværksætte yderligere justeringer for at modvirke tab af knoglemineraltæthed. </w:t>
      </w:r>
    </w:p>
    <w:p w:rsidR="00336DC2" w:rsidRDefault="00336DC2" w:rsidP="00336DC2">
      <w:pPr>
        <w:pStyle w:val="A-Single"/>
        <w:spacing w:line="280" w:lineRule="atLeast"/>
        <w:rPr>
          <w:lang w:val="da-DK"/>
        </w:rPr>
      </w:pPr>
    </w:p>
    <w:p w:rsidR="00E240B9" w:rsidRPr="00624299" w:rsidRDefault="00E240B9" w:rsidP="00336DC2">
      <w:pPr>
        <w:pStyle w:val="A-Single"/>
        <w:spacing w:line="280" w:lineRule="atLeast"/>
        <w:rPr>
          <w:lang w:val="da-DK"/>
        </w:rPr>
      </w:pPr>
    </w:p>
    <w:p w:rsidR="00336DC2" w:rsidRPr="00624299" w:rsidRDefault="00336DC2" w:rsidP="00336DC2">
      <w:pPr>
        <w:pStyle w:val="A-Single"/>
        <w:spacing w:line="280" w:lineRule="atLeast"/>
        <w:ind w:firstLine="850"/>
        <w:rPr>
          <w:u w:val="single"/>
          <w:lang w:val="da-DK"/>
        </w:rPr>
      </w:pPr>
      <w:r w:rsidRPr="00624299">
        <w:rPr>
          <w:u w:val="single"/>
          <w:lang w:val="da-DK"/>
        </w:rPr>
        <w:t>Frafald på grund af blødning</w:t>
      </w:r>
    </w:p>
    <w:p w:rsidR="00336DC2" w:rsidRPr="00624299" w:rsidRDefault="00336DC2" w:rsidP="00336DC2">
      <w:pPr>
        <w:pStyle w:val="A-Single"/>
        <w:spacing w:line="280" w:lineRule="atLeast"/>
        <w:ind w:left="850"/>
        <w:rPr>
          <w:lang w:val="da-DK"/>
        </w:rPr>
      </w:pPr>
      <w:r w:rsidRPr="00624299">
        <w:rPr>
          <w:lang w:val="da-DK"/>
        </w:rPr>
        <w:t xml:space="preserve">Under behandling med </w:t>
      </w:r>
      <w:proofErr w:type="spellStart"/>
      <w:r w:rsidRPr="00624299">
        <w:rPr>
          <w:lang w:val="da-DK"/>
        </w:rPr>
        <w:t>Zoladex</w:t>
      </w:r>
      <w:proofErr w:type="spellEnd"/>
      <w:r w:rsidRPr="00624299">
        <w:rPr>
          <w:lang w:val="da-DK"/>
        </w:rPr>
        <w:t xml:space="preserve"> oplever nogle kvinder vaginal blødning af varierende varighed og intensitet. Hvis der opstår vaginal blødning sker det oftest i den første måned af behandlingen. Sådanne blødninger er sandsynligvis tegn på østrogen frafaldsblødning og forventes at stoppe spontant. Hvis blødningen fortsætter skal årsagen undersøges.   </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r w:rsidRPr="00624299">
        <w:rPr>
          <w:lang w:val="da-DK"/>
        </w:rPr>
        <w:lastRenderedPageBreak/>
        <w:t xml:space="preserve">Tiden der går før menstruationen vender tilbage, efter behandlingsophør med </w:t>
      </w:r>
      <w:proofErr w:type="spellStart"/>
      <w:r w:rsidRPr="00624299">
        <w:rPr>
          <w:lang w:val="da-DK"/>
        </w:rPr>
        <w:t>Zoladex</w:t>
      </w:r>
      <w:proofErr w:type="spellEnd"/>
      <w:r w:rsidRPr="00624299">
        <w:rPr>
          <w:lang w:val="da-DK"/>
        </w:rPr>
        <w:t xml:space="preserve"> 10,8 mg, kan være forlænget hos nogle patienter (den gennemsnitlige tid for sekundært </w:t>
      </w:r>
      <w:proofErr w:type="spellStart"/>
      <w:r w:rsidRPr="00624299">
        <w:rPr>
          <w:lang w:val="da-DK"/>
        </w:rPr>
        <w:t>amenorré</w:t>
      </w:r>
      <w:proofErr w:type="spellEnd"/>
      <w:r w:rsidRPr="00624299">
        <w:rPr>
          <w:lang w:val="da-DK"/>
        </w:rPr>
        <w:t xml:space="preserve"> efter ophør med </w:t>
      </w:r>
      <w:proofErr w:type="spellStart"/>
      <w:r w:rsidRPr="00624299">
        <w:rPr>
          <w:lang w:val="da-DK"/>
        </w:rPr>
        <w:t>goserelin</w:t>
      </w:r>
      <w:proofErr w:type="spellEnd"/>
      <w:r w:rsidRPr="00624299">
        <w:rPr>
          <w:lang w:val="da-DK"/>
        </w:rPr>
        <w:t xml:space="preserve"> 10,8 mg implantat er 7-8 måneder). Hvis det er vigtigt, at menstruationen vender hurtigt tilbage, anbefales </w:t>
      </w:r>
      <w:proofErr w:type="spellStart"/>
      <w:r w:rsidRPr="00624299">
        <w:rPr>
          <w:lang w:val="da-DK"/>
        </w:rPr>
        <w:t>Zoladex</w:t>
      </w:r>
      <w:proofErr w:type="spellEnd"/>
      <w:r w:rsidRPr="00624299">
        <w:rPr>
          <w:lang w:val="da-DK"/>
        </w:rPr>
        <w:t xml:space="preserve"> 3,6 mg.</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r w:rsidRPr="00624299">
        <w:rPr>
          <w:lang w:val="da-DK"/>
        </w:rPr>
        <w:t xml:space="preserve">Der er ingen kliniske data for effekten af behandling af godartede gynækologiske lidelser med </w:t>
      </w:r>
      <w:proofErr w:type="spellStart"/>
      <w:r w:rsidRPr="00624299">
        <w:rPr>
          <w:lang w:val="da-DK"/>
        </w:rPr>
        <w:t>Zoladex</w:t>
      </w:r>
      <w:proofErr w:type="spellEnd"/>
      <w:r w:rsidRPr="00624299">
        <w:rPr>
          <w:lang w:val="da-DK"/>
        </w:rPr>
        <w:t xml:space="preserve"> i perioder på mere end seks måneder.</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r w:rsidRPr="00624299">
        <w:rPr>
          <w:lang w:val="da-DK"/>
        </w:rPr>
        <w:t xml:space="preserve">Brug af </w:t>
      </w:r>
      <w:proofErr w:type="spellStart"/>
      <w:r w:rsidRPr="00624299">
        <w:rPr>
          <w:lang w:val="da-DK"/>
        </w:rPr>
        <w:t>Zoladex</w:t>
      </w:r>
      <w:proofErr w:type="spellEnd"/>
      <w:r w:rsidRPr="00624299">
        <w:rPr>
          <w:lang w:val="da-DK"/>
        </w:rPr>
        <w:t xml:space="preserve"> kan forårsage forøget </w:t>
      </w:r>
      <w:proofErr w:type="spellStart"/>
      <w:r w:rsidRPr="00624299">
        <w:rPr>
          <w:lang w:val="da-DK"/>
        </w:rPr>
        <w:t>cervikal</w:t>
      </w:r>
      <w:proofErr w:type="spellEnd"/>
      <w:r w:rsidRPr="00624299">
        <w:rPr>
          <w:lang w:val="da-DK"/>
        </w:rPr>
        <w:t xml:space="preserve"> resistens, og der bør udvises forsigtighed når livmoderhalsen </w:t>
      </w:r>
      <w:proofErr w:type="spellStart"/>
      <w:r w:rsidRPr="00624299">
        <w:rPr>
          <w:lang w:val="da-DK"/>
        </w:rPr>
        <w:t>dilateres</w:t>
      </w:r>
      <w:proofErr w:type="spellEnd"/>
      <w:r w:rsidRPr="00624299">
        <w:rPr>
          <w:lang w:val="da-DK"/>
        </w:rPr>
        <w:t xml:space="preserve">. </w:t>
      </w:r>
    </w:p>
    <w:p w:rsidR="00336DC2" w:rsidRPr="00624299" w:rsidRDefault="00336DC2" w:rsidP="00336DC2">
      <w:pPr>
        <w:pStyle w:val="A-Single"/>
        <w:spacing w:line="280" w:lineRule="atLeast"/>
        <w:rPr>
          <w:lang w:val="da-DK"/>
        </w:rPr>
      </w:pPr>
    </w:p>
    <w:p w:rsidR="00336DC2" w:rsidRPr="00624299" w:rsidRDefault="00336DC2" w:rsidP="00336DC2">
      <w:pPr>
        <w:pStyle w:val="A-Single"/>
        <w:spacing w:line="280" w:lineRule="atLeast"/>
        <w:ind w:left="850"/>
        <w:rPr>
          <w:lang w:val="da-DK"/>
        </w:rPr>
      </w:pPr>
      <w:proofErr w:type="spellStart"/>
      <w:r w:rsidRPr="00624299">
        <w:rPr>
          <w:lang w:val="da-DK"/>
        </w:rPr>
        <w:t>Zoladex</w:t>
      </w:r>
      <w:proofErr w:type="spellEnd"/>
      <w:r w:rsidRPr="00624299">
        <w:rPr>
          <w:lang w:val="da-DK"/>
        </w:rPr>
        <w:t xml:space="preserve"> 3,6 mg implantat bør kun administreres som en del af et behandlingsforløb for fertilitetsbehandling under kontrol af en specialist, der har erfaring inden for området.</w:t>
      </w:r>
    </w:p>
    <w:p w:rsidR="00336DC2" w:rsidRPr="00624299" w:rsidRDefault="00336DC2" w:rsidP="00336DC2">
      <w:pPr>
        <w:pStyle w:val="A-Single"/>
        <w:spacing w:line="280" w:lineRule="atLeast"/>
        <w:rPr>
          <w:lang w:val="da-DK"/>
        </w:rPr>
      </w:pPr>
    </w:p>
    <w:p w:rsidR="00336DC2" w:rsidRPr="00624299" w:rsidRDefault="00336DC2" w:rsidP="00E240B9">
      <w:pPr>
        <w:ind w:left="850"/>
        <w:rPr>
          <w:spacing w:val="-3"/>
        </w:rPr>
      </w:pPr>
      <w:r w:rsidRPr="00624299">
        <w:t xml:space="preserve">Som med andre LHRH-agonister har der været rapporteret </w:t>
      </w:r>
      <w:proofErr w:type="spellStart"/>
      <w:r w:rsidRPr="00624299">
        <w:t>ovariehyperstimulations</w:t>
      </w:r>
      <w:r w:rsidRPr="00624299">
        <w:softHyphen/>
        <w:t>syndrom</w:t>
      </w:r>
      <w:proofErr w:type="spellEnd"/>
      <w:r w:rsidRPr="00624299">
        <w:t xml:space="preserve"> (OHSS) i forbindelse med brug af </w:t>
      </w:r>
      <w:proofErr w:type="spellStart"/>
      <w:r w:rsidRPr="00624299">
        <w:t>Zoladex</w:t>
      </w:r>
      <w:proofErr w:type="spellEnd"/>
      <w:r w:rsidRPr="00624299">
        <w:t xml:space="preserve"> 3,6 mg implantat i kombination med </w:t>
      </w:r>
      <w:proofErr w:type="spellStart"/>
      <w:r w:rsidRPr="00624299">
        <w:t>gonadotropin</w:t>
      </w:r>
      <w:proofErr w:type="spellEnd"/>
      <w:r w:rsidRPr="00624299">
        <w:t xml:space="preserve">. Stimuleringscyklus bør monitoreres grundigt for at identificere patienter, der har risiko for at udvikle OHSS. Hvis der er risiko for OHSS, bør </w:t>
      </w:r>
      <w:r w:rsidRPr="00624299">
        <w:rPr>
          <w:spacing w:val="-3"/>
        </w:rPr>
        <w:t xml:space="preserve">humant </w:t>
      </w:r>
      <w:proofErr w:type="spellStart"/>
      <w:r w:rsidRPr="00624299">
        <w:rPr>
          <w:spacing w:val="-3"/>
        </w:rPr>
        <w:t>choriongonadotropin</w:t>
      </w:r>
      <w:proofErr w:type="spellEnd"/>
      <w:r w:rsidRPr="00624299">
        <w:rPr>
          <w:spacing w:val="-3"/>
        </w:rPr>
        <w:t xml:space="preserve"> (</w:t>
      </w:r>
      <w:proofErr w:type="spellStart"/>
      <w:r w:rsidRPr="00624299">
        <w:rPr>
          <w:spacing w:val="-3"/>
        </w:rPr>
        <w:t>hCG</w:t>
      </w:r>
      <w:proofErr w:type="spellEnd"/>
      <w:r w:rsidRPr="00624299">
        <w:rPr>
          <w:spacing w:val="-3"/>
        </w:rPr>
        <w:t xml:space="preserve">) tilbageholdes, hvis muligt. </w:t>
      </w:r>
    </w:p>
    <w:p w:rsidR="00336DC2" w:rsidRPr="00624299" w:rsidRDefault="00336DC2" w:rsidP="00336DC2">
      <w:pPr>
        <w:pStyle w:val="A-Single"/>
        <w:spacing w:line="280" w:lineRule="atLeast"/>
        <w:rPr>
          <w:spacing w:val="-3"/>
          <w:lang w:val="da-DK"/>
        </w:rPr>
      </w:pPr>
    </w:p>
    <w:p w:rsidR="00336DC2" w:rsidRPr="00624299" w:rsidRDefault="00336DC2" w:rsidP="00336DC2">
      <w:pPr>
        <w:pStyle w:val="A-Single"/>
        <w:spacing w:line="280" w:lineRule="atLeast"/>
        <w:ind w:left="850"/>
        <w:rPr>
          <w:lang w:val="da-DK"/>
        </w:rPr>
      </w:pPr>
      <w:r w:rsidRPr="00624299">
        <w:rPr>
          <w:spacing w:val="-3"/>
          <w:lang w:val="da-DK"/>
        </w:rPr>
        <w:t xml:space="preserve">Det anbefales, at </w:t>
      </w:r>
      <w:proofErr w:type="spellStart"/>
      <w:r w:rsidRPr="00624299">
        <w:rPr>
          <w:spacing w:val="-3"/>
          <w:lang w:val="da-DK"/>
        </w:rPr>
        <w:t>Zoladex</w:t>
      </w:r>
      <w:proofErr w:type="spellEnd"/>
      <w:r w:rsidRPr="00624299">
        <w:rPr>
          <w:spacing w:val="-3"/>
          <w:lang w:val="da-DK"/>
        </w:rPr>
        <w:t xml:space="preserve"> 3,6 mg implantat anvendes med forsigtighed til fertilitetsbehandling hos patienter med polycystisk ovariesyndrom da </w:t>
      </w:r>
      <w:proofErr w:type="gramStart"/>
      <w:r w:rsidRPr="00624299">
        <w:rPr>
          <w:spacing w:val="-3"/>
          <w:lang w:val="da-DK"/>
        </w:rPr>
        <w:t>follikel rekrutteringen</w:t>
      </w:r>
      <w:proofErr w:type="gramEnd"/>
      <w:r w:rsidRPr="00624299">
        <w:rPr>
          <w:spacing w:val="-3"/>
          <w:lang w:val="da-DK"/>
        </w:rPr>
        <w:t xml:space="preserve"> måske forøges. </w:t>
      </w:r>
      <w:r w:rsidRPr="00624299">
        <w:rPr>
          <w:lang w:val="da-DK"/>
        </w:rPr>
        <w:t xml:space="preserve"> </w:t>
      </w:r>
    </w:p>
    <w:p w:rsidR="00336DC2" w:rsidRPr="00624299" w:rsidRDefault="00336DC2" w:rsidP="00336DC2"/>
    <w:p w:rsidR="00336DC2" w:rsidRPr="00624299" w:rsidRDefault="00336DC2" w:rsidP="00E240B9">
      <w:pPr>
        <w:ind w:left="850"/>
      </w:pPr>
      <w:r w:rsidRPr="00624299">
        <w:t xml:space="preserve">Fertile kvinder bør anvende ikke-hormonel </w:t>
      </w:r>
      <w:proofErr w:type="spellStart"/>
      <w:r w:rsidRPr="00624299">
        <w:t>antikonceptiva</w:t>
      </w:r>
      <w:proofErr w:type="spellEnd"/>
      <w:r w:rsidRPr="00624299">
        <w:t xml:space="preserve"> under behandling med </w:t>
      </w:r>
      <w:proofErr w:type="spellStart"/>
      <w:r w:rsidRPr="00624299">
        <w:t>Zoladex</w:t>
      </w:r>
      <w:proofErr w:type="spellEnd"/>
      <w:r w:rsidRPr="00624299">
        <w:t xml:space="preserve"> og efterfølgende, indtil menstruationen vender tilbage efter behandlingsophør med </w:t>
      </w:r>
      <w:proofErr w:type="spellStart"/>
      <w:r w:rsidRPr="00624299">
        <w:t>Zoladex</w:t>
      </w:r>
      <w:proofErr w:type="spellEnd"/>
      <w:r w:rsidRPr="00624299">
        <w:t>.</w:t>
      </w:r>
    </w:p>
    <w:p w:rsidR="00336DC2" w:rsidRPr="00624299" w:rsidRDefault="00336DC2" w:rsidP="00336DC2"/>
    <w:p w:rsidR="00336DC2" w:rsidRPr="00624299" w:rsidRDefault="00336DC2" w:rsidP="00336DC2">
      <w:pPr>
        <w:pStyle w:val="A-Heading4"/>
        <w:keepNext w:val="0"/>
        <w:spacing w:after="0" w:line="280" w:lineRule="atLeast"/>
        <w:ind w:firstLine="850"/>
        <w:outlineLvl w:val="9"/>
        <w:rPr>
          <w:b w:val="0"/>
          <w:bCs/>
          <w:i w:val="0"/>
          <w:iCs/>
          <w:lang w:val="da-DK"/>
        </w:rPr>
      </w:pPr>
      <w:r w:rsidRPr="00624299">
        <w:rPr>
          <w:b w:val="0"/>
          <w:bCs/>
          <w:i w:val="0"/>
          <w:iCs/>
          <w:lang w:val="da-DK"/>
        </w:rPr>
        <w:t>Patienter med kendt depression og patienter med hypertension skal monitoreres tæt.</w:t>
      </w:r>
    </w:p>
    <w:p w:rsidR="00336DC2" w:rsidRPr="00624299" w:rsidRDefault="00336DC2" w:rsidP="00336DC2">
      <w:pPr>
        <w:pStyle w:val="A-Heading4"/>
        <w:keepNext w:val="0"/>
        <w:spacing w:after="0" w:line="280" w:lineRule="atLeast"/>
        <w:ind w:left="851" w:hanging="1"/>
        <w:outlineLvl w:val="9"/>
        <w:rPr>
          <w:b w:val="0"/>
          <w:bCs/>
          <w:i w:val="0"/>
          <w:iCs/>
          <w:lang w:val="da-DK"/>
        </w:rPr>
      </w:pPr>
      <w:r w:rsidRPr="00624299">
        <w:rPr>
          <w:b w:val="0"/>
          <w:i w:val="0"/>
          <w:lang w:val="da-DK"/>
        </w:rPr>
        <w:t>Der er en for</w:t>
      </w:r>
      <w:r w:rsidRPr="00624299">
        <w:rPr>
          <w:b w:val="0"/>
          <w:bCs/>
          <w:i w:val="0"/>
          <w:iCs/>
          <w:lang w:val="da-DK"/>
        </w:rPr>
        <w:t xml:space="preserve">øget risikofor incident depression (som kan være alvorlig) hos patienter i behandling med </w:t>
      </w:r>
      <w:proofErr w:type="spellStart"/>
      <w:r w:rsidRPr="00624299">
        <w:rPr>
          <w:b w:val="0"/>
          <w:bCs/>
          <w:i w:val="0"/>
          <w:iCs/>
          <w:lang w:val="da-DK"/>
        </w:rPr>
        <w:t>GnRH</w:t>
      </w:r>
      <w:proofErr w:type="spellEnd"/>
      <w:r w:rsidRPr="00624299">
        <w:rPr>
          <w:b w:val="0"/>
          <w:bCs/>
          <w:i w:val="0"/>
          <w:iCs/>
          <w:lang w:val="da-DK"/>
        </w:rPr>
        <w:t xml:space="preserve"> agonister som </w:t>
      </w:r>
      <w:proofErr w:type="spellStart"/>
      <w:r w:rsidRPr="00624299">
        <w:rPr>
          <w:b w:val="0"/>
          <w:bCs/>
          <w:i w:val="0"/>
          <w:iCs/>
          <w:lang w:val="da-DK"/>
        </w:rPr>
        <w:t>goserelin</w:t>
      </w:r>
      <w:proofErr w:type="spellEnd"/>
      <w:r w:rsidRPr="00624299">
        <w:rPr>
          <w:b w:val="0"/>
          <w:bCs/>
          <w:i w:val="0"/>
          <w:iCs/>
          <w:lang w:val="da-DK"/>
        </w:rPr>
        <w:t>. Som følge heraf skal patienter informeres og hvis symptomer forekommer skal passende behandling foretages.</w:t>
      </w:r>
    </w:p>
    <w:p w:rsidR="00336DC2" w:rsidRPr="00624299" w:rsidRDefault="00336DC2" w:rsidP="00336DC2"/>
    <w:p w:rsidR="00336DC2" w:rsidRPr="00624299" w:rsidRDefault="00336DC2" w:rsidP="00E240B9">
      <w:pPr>
        <w:ind w:firstLine="850"/>
      </w:pPr>
      <w:r w:rsidRPr="00624299">
        <w:t xml:space="preserve">Behandling med </w:t>
      </w:r>
      <w:proofErr w:type="spellStart"/>
      <w:r w:rsidRPr="00624299">
        <w:t>Zoladex</w:t>
      </w:r>
      <w:proofErr w:type="spellEnd"/>
      <w:r w:rsidRPr="00624299">
        <w:t xml:space="preserve"> kan give et positivt udfald af en anti-</w:t>
      </w:r>
      <w:proofErr w:type="gramStart"/>
      <w:r w:rsidRPr="00624299">
        <w:t>doping test</w:t>
      </w:r>
      <w:proofErr w:type="gramEnd"/>
      <w:r w:rsidRPr="00624299">
        <w:t xml:space="preserve">. </w:t>
      </w:r>
    </w:p>
    <w:p w:rsidR="00336DC2" w:rsidRPr="00624299" w:rsidRDefault="00336DC2" w:rsidP="00336DC2">
      <w:pPr>
        <w:ind w:hanging="1"/>
      </w:pPr>
    </w:p>
    <w:p w:rsidR="00336DC2" w:rsidRPr="00624299" w:rsidRDefault="00336DC2" w:rsidP="00E240B9">
      <w:pPr>
        <w:ind w:firstLine="850"/>
      </w:pPr>
      <w:proofErr w:type="spellStart"/>
      <w:r w:rsidRPr="00624299">
        <w:t>Androgen</w:t>
      </w:r>
      <w:proofErr w:type="spellEnd"/>
      <w:r w:rsidRPr="00624299">
        <w:t xml:space="preserve"> deprivationsbehandling kan forlænge QT</w:t>
      </w:r>
      <w:r w:rsidRPr="00624299">
        <w:noBreakHyphen/>
        <w:t>intervallet</w:t>
      </w:r>
    </w:p>
    <w:p w:rsidR="00336DC2" w:rsidRPr="00624299" w:rsidRDefault="00336DC2" w:rsidP="00E240B9">
      <w:pPr>
        <w:ind w:left="850"/>
      </w:pPr>
      <w:r w:rsidRPr="00624299">
        <w:t>Hos patienter med tidligere QT</w:t>
      </w:r>
      <w:r w:rsidRPr="00624299">
        <w:noBreakHyphen/>
        <w:t>forlængelse eller risikofaktorer for QT</w:t>
      </w:r>
      <w:r w:rsidRPr="00624299">
        <w:noBreakHyphen/>
        <w:t>forlængelse og hos patienter, der samtidig får lægemidler, der kan forlænge QT</w:t>
      </w:r>
      <w:r w:rsidRPr="00624299">
        <w:noBreakHyphen/>
        <w:t>intervallet (se pkt. 4.5), bør lægen vurdere benefit/</w:t>
      </w:r>
      <w:proofErr w:type="spellStart"/>
      <w:r w:rsidRPr="00624299">
        <w:t>risk</w:t>
      </w:r>
      <w:proofErr w:type="spellEnd"/>
      <w:r w:rsidRPr="00624299">
        <w:t xml:space="preserve"> forholdet, herunder risikoen for </w:t>
      </w:r>
      <w:proofErr w:type="spellStart"/>
      <w:r w:rsidRPr="00624299">
        <w:t>Torsades</w:t>
      </w:r>
      <w:proofErr w:type="spellEnd"/>
      <w:r w:rsidRPr="00624299">
        <w:t xml:space="preserve"> de pointes, inden behandling med </w:t>
      </w:r>
      <w:proofErr w:type="spellStart"/>
      <w:r w:rsidRPr="00624299">
        <w:t>Zoladex</w:t>
      </w:r>
      <w:proofErr w:type="spellEnd"/>
      <w:r w:rsidRPr="00624299">
        <w:t xml:space="preserve"> indledes.</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4.5</w:t>
      </w:r>
      <w:r w:rsidRPr="00624299">
        <w:rPr>
          <w:b/>
          <w:spacing w:val="-3"/>
        </w:rPr>
        <w:tab/>
        <w:t xml:space="preserve">Interaktion med andre lægemidler og andre former for interaktion  </w:t>
      </w:r>
    </w:p>
    <w:p w:rsidR="00336DC2" w:rsidRPr="00624299" w:rsidRDefault="00336DC2" w:rsidP="00E240B9">
      <w:pPr>
        <w:tabs>
          <w:tab w:val="left" w:pos="0"/>
          <w:tab w:val="left" w:pos="851"/>
        </w:tabs>
        <w:suppressAutoHyphens/>
        <w:ind w:left="850"/>
        <w:rPr>
          <w:spacing w:val="-3"/>
        </w:rPr>
      </w:pPr>
      <w:r w:rsidRPr="00624299">
        <w:rPr>
          <w:spacing w:val="-3"/>
        </w:rPr>
        <w:t xml:space="preserve"> Da </w:t>
      </w:r>
      <w:proofErr w:type="spellStart"/>
      <w:r w:rsidRPr="00624299">
        <w:rPr>
          <w:spacing w:val="-3"/>
        </w:rPr>
        <w:t>androgen</w:t>
      </w:r>
      <w:proofErr w:type="spellEnd"/>
      <w:r w:rsidRPr="00624299">
        <w:rPr>
          <w:spacing w:val="-3"/>
        </w:rPr>
        <w:t xml:space="preserve"> deprivationsbehandling kan forlænge QT</w:t>
      </w:r>
      <w:r w:rsidRPr="00624299">
        <w:rPr>
          <w:spacing w:val="-3"/>
        </w:rPr>
        <w:noBreakHyphen/>
        <w:t xml:space="preserve">intervallet bør samtidig anvendelse af </w:t>
      </w:r>
      <w:proofErr w:type="spellStart"/>
      <w:r w:rsidRPr="00624299">
        <w:rPr>
          <w:spacing w:val="-3"/>
        </w:rPr>
        <w:t>Zoladex</w:t>
      </w:r>
      <w:proofErr w:type="spellEnd"/>
      <w:r w:rsidRPr="00624299">
        <w:rPr>
          <w:spacing w:val="-3"/>
        </w:rPr>
        <w:t xml:space="preserve"> og lægemidler, der vides at forlænge QT</w:t>
      </w:r>
      <w:r w:rsidRPr="00624299">
        <w:rPr>
          <w:spacing w:val="-3"/>
        </w:rPr>
        <w:noBreakHyphen/>
        <w:t xml:space="preserve">intervallet, eller lægemidler, der kan fremkalde </w:t>
      </w:r>
      <w:proofErr w:type="spellStart"/>
      <w:r w:rsidRPr="00624299">
        <w:rPr>
          <w:spacing w:val="-3"/>
        </w:rPr>
        <w:t>Torsades</w:t>
      </w:r>
      <w:proofErr w:type="spellEnd"/>
      <w:r w:rsidRPr="00624299">
        <w:rPr>
          <w:spacing w:val="-3"/>
        </w:rPr>
        <w:t xml:space="preserve"> de pointes, såsom </w:t>
      </w:r>
      <w:proofErr w:type="spellStart"/>
      <w:r w:rsidRPr="00624299">
        <w:rPr>
          <w:spacing w:val="-3"/>
        </w:rPr>
        <w:t>antiarytmika</w:t>
      </w:r>
      <w:proofErr w:type="spellEnd"/>
      <w:r w:rsidRPr="00624299">
        <w:rPr>
          <w:spacing w:val="-3"/>
        </w:rPr>
        <w:t xml:space="preserve"> af klasse IA (f.eks. </w:t>
      </w:r>
      <w:proofErr w:type="spellStart"/>
      <w:r w:rsidRPr="00624299">
        <w:rPr>
          <w:spacing w:val="-3"/>
        </w:rPr>
        <w:t>quinidin</w:t>
      </w:r>
      <w:proofErr w:type="spellEnd"/>
      <w:r w:rsidRPr="00624299">
        <w:rPr>
          <w:spacing w:val="-3"/>
        </w:rPr>
        <w:t xml:space="preserve">, </w:t>
      </w:r>
      <w:proofErr w:type="spellStart"/>
      <w:r w:rsidRPr="00624299">
        <w:rPr>
          <w:spacing w:val="-3"/>
        </w:rPr>
        <w:t>disopyramid</w:t>
      </w:r>
      <w:proofErr w:type="spellEnd"/>
      <w:r w:rsidRPr="00624299">
        <w:rPr>
          <w:spacing w:val="-3"/>
        </w:rPr>
        <w:t xml:space="preserve">) eller klasse III (f.eks. </w:t>
      </w:r>
      <w:proofErr w:type="spellStart"/>
      <w:r w:rsidRPr="00624299">
        <w:rPr>
          <w:spacing w:val="-3"/>
        </w:rPr>
        <w:t>amiodaron</w:t>
      </w:r>
      <w:proofErr w:type="spellEnd"/>
      <w:r w:rsidRPr="00624299">
        <w:rPr>
          <w:spacing w:val="-3"/>
        </w:rPr>
        <w:t xml:space="preserve">, </w:t>
      </w:r>
      <w:proofErr w:type="spellStart"/>
      <w:r w:rsidRPr="00624299">
        <w:rPr>
          <w:spacing w:val="-3"/>
        </w:rPr>
        <w:t>sotalol</w:t>
      </w:r>
      <w:proofErr w:type="spellEnd"/>
      <w:r w:rsidRPr="00624299">
        <w:rPr>
          <w:spacing w:val="-3"/>
        </w:rPr>
        <w:t xml:space="preserve">, </w:t>
      </w:r>
      <w:proofErr w:type="spellStart"/>
      <w:r w:rsidRPr="00624299">
        <w:rPr>
          <w:spacing w:val="-3"/>
        </w:rPr>
        <w:t>dofetilid</w:t>
      </w:r>
      <w:proofErr w:type="spellEnd"/>
      <w:r w:rsidRPr="00624299">
        <w:rPr>
          <w:spacing w:val="-3"/>
        </w:rPr>
        <w:t xml:space="preserve">, </w:t>
      </w:r>
      <w:proofErr w:type="spellStart"/>
      <w:r w:rsidRPr="00624299">
        <w:rPr>
          <w:spacing w:val="-3"/>
        </w:rPr>
        <w:t>ibutilid</w:t>
      </w:r>
      <w:proofErr w:type="spellEnd"/>
      <w:r w:rsidRPr="00624299">
        <w:rPr>
          <w:spacing w:val="-3"/>
        </w:rPr>
        <w:t xml:space="preserve">), metadon, </w:t>
      </w:r>
      <w:proofErr w:type="spellStart"/>
      <w:r w:rsidRPr="00624299">
        <w:rPr>
          <w:spacing w:val="-3"/>
        </w:rPr>
        <w:t>moxifloxacin</w:t>
      </w:r>
      <w:proofErr w:type="spellEnd"/>
      <w:r w:rsidRPr="00624299">
        <w:rPr>
          <w:spacing w:val="-3"/>
        </w:rPr>
        <w:t>, antipsykotika osv. overvejes nøje (se pkt. 4.4).</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numPr>
          <w:ilvl w:val="1"/>
          <w:numId w:val="6"/>
        </w:numPr>
        <w:tabs>
          <w:tab w:val="left" w:pos="0"/>
        </w:tabs>
        <w:suppressAutoHyphens/>
        <w:jc w:val="both"/>
        <w:rPr>
          <w:b/>
          <w:spacing w:val="-3"/>
        </w:rPr>
      </w:pPr>
      <w:r w:rsidRPr="00624299">
        <w:rPr>
          <w:b/>
          <w:spacing w:val="-3"/>
        </w:rPr>
        <w:t>Graviditet og amning</w:t>
      </w:r>
    </w:p>
    <w:p w:rsidR="00336DC2" w:rsidRPr="00624299" w:rsidRDefault="00336DC2" w:rsidP="00336DC2">
      <w:pPr>
        <w:tabs>
          <w:tab w:val="left" w:pos="0"/>
          <w:tab w:val="left" w:pos="851"/>
        </w:tabs>
        <w:suppressAutoHyphens/>
        <w:ind w:left="850" w:hanging="850"/>
        <w:jc w:val="both"/>
        <w:rPr>
          <w:i/>
          <w:iCs/>
          <w:spacing w:val="-3"/>
        </w:rPr>
      </w:pPr>
      <w:r w:rsidRPr="00624299">
        <w:rPr>
          <w:i/>
          <w:iCs/>
          <w:spacing w:val="-3"/>
        </w:rPr>
        <w:tab/>
        <w:t>Graviditet:</w:t>
      </w:r>
    </w:p>
    <w:p w:rsidR="00336DC2" w:rsidRPr="00624299" w:rsidRDefault="00336DC2" w:rsidP="00336DC2">
      <w:pPr>
        <w:pStyle w:val="Brdtekst"/>
        <w:spacing w:after="0"/>
        <w:ind w:hanging="1"/>
      </w:pPr>
      <w:proofErr w:type="spellStart"/>
      <w:r w:rsidRPr="00624299">
        <w:t>Zoladex</w:t>
      </w:r>
      <w:proofErr w:type="spellEnd"/>
      <w:r w:rsidRPr="00624299">
        <w:t xml:space="preserve"> 3,6 mg og 10,8 mg må ikke anvendes under graviditeten, da samtidig brug af LHRH-agonister er associeret med en teoretisk risiko for abort eller </w:t>
      </w:r>
      <w:proofErr w:type="spellStart"/>
      <w:r w:rsidRPr="00624299">
        <w:t>føtale</w:t>
      </w:r>
      <w:proofErr w:type="spellEnd"/>
      <w:r w:rsidRPr="00624299">
        <w:t xml:space="preserve"> </w:t>
      </w:r>
      <w:proofErr w:type="spellStart"/>
      <w:r w:rsidRPr="00624299">
        <w:t>abnormaliteter</w:t>
      </w:r>
      <w:proofErr w:type="spellEnd"/>
      <w:r w:rsidRPr="00624299">
        <w:t xml:space="preserve"> (se pkt. 4.3). Potentielt fertile kvinder skal undersøges nøje før behandling, så graviditet kan udelukkes. Under behandling med </w:t>
      </w:r>
      <w:proofErr w:type="spellStart"/>
      <w:r w:rsidRPr="00624299">
        <w:t>Zoladex</w:t>
      </w:r>
      <w:proofErr w:type="spellEnd"/>
      <w:r w:rsidRPr="00624299">
        <w:t xml:space="preserve">, og ind til menstruationen vender tilbage, </w:t>
      </w:r>
      <w:r w:rsidRPr="00624299">
        <w:lastRenderedPageBreak/>
        <w:t>bør der benyttes ikke-hormonel prævention (se også advarsel angående tiden for tilbagevenden af menstruation under pkt. 4.4).</w:t>
      </w:r>
    </w:p>
    <w:p w:rsidR="00336DC2" w:rsidRPr="00624299" w:rsidRDefault="00336DC2" w:rsidP="00336DC2">
      <w:pPr>
        <w:tabs>
          <w:tab w:val="left" w:pos="0"/>
          <w:tab w:val="left" w:pos="851"/>
        </w:tabs>
        <w:suppressAutoHyphens/>
        <w:jc w:val="both"/>
        <w:rPr>
          <w:i/>
          <w:iCs/>
          <w:spacing w:val="-3"/>
        </w:rPr>
      </w:pPr>
      <w:r w:rsidRPr="00624299">
        <w:rPr>
          <w:i/>
          <w:iCs/>
          <w:spacing w:val="-3"/>
        </w:rPr>
        <w:br/>
      </w:r>
      <w:r w:rsidRPr="00624299">
        <w:rPr>
          <w:i/>
          <w:iCs/>
          <w:spacing w:val="-3"/>
        </w:rPr>
        <w:tab/>
      </w:r>
      <w:proofErr w:type="spellStart"/>
      <w:r w:rsidRPr="00624299">
        <w:rPr>
          <w:i/>
          <w:iCs/>
          <w:spacing w:val="-3"/>
        </w:rPr>
        <w:t>Goserelin</w:t>
      </w:r>
      <w:proofErr w:type="spellEnd"/>
      <w:r w:rsidRPr="00624299">
        <w:rPr>
          <w:i/>
          <w:iCs/>
          <w:spacing w:val="-3"/>
        </w:rPr>
        <w:t xml:space="preserve"> 3,6 mg:</w:t>
      </w:r>
    </w:p>
    <w:p w:rsidR="00336DC2" w:rsidRPr="00624299" w:rsidRDefault="00336DC2" w:rsidP="00336DC2">
      <w:pPr>
        <w:pStyle w:val="Brdtekst"/>
        <w:spacing w:after="0"/>
        <w:ind w:hanging="1"/>
      </w:pPr>
      <w:r w:rsidRPr="00624299">
        <w:t xml:space="preserve">Graviditet skal udelukkes før </w:t>
      </w:r>
      <w:proofErr w:type="spellStart"/>
      <w:r w:rsidRPr="00624299">
        <w:t>Zoladex</w:t>
      </w:r>
      <w:proofErr w:type="spellEnd"/>
      <w:r w:rsidRPr="00624299">
        <w:t xml:space="preserve"> 3,6 mg anvendes til fertilitetsbehandling. Når </w:t>
      </w:r>
      <w:proofErr w:type="spellStart"/>
      <w:r w:rsidRPr="00624299">
        <w:t>Zoladex</w:t>
      </w:r>
      <w:proofErr w:type="spellEnd"/>
      <w:r w:rsidRPr="00624299">
        <w:t xml:space="preserve"> anvendes i denne sammenhæng, er der ikke noget klinisk bevis der tyder på en kausal sammenhæng mellem </w:t>
      </w:r>
      <w:proofErr w:type="spellStart"/>
      <w:r w:rsidRPr="00624299">
        <w:t>Zola</w:t>
      </w:r>
      <w:r w:rsidRPr="00624299">
        <w:softHyphen/>
        <w:t>dex</w:t>
      </w:r>
      <w:proofErr w:type="spellEnd"/>
      <w:r w:rsidRPr="00624299">
        <w:t xml:space="preserve"> og en efterfølgende unormal udvikling af ægget, graviditeten eller barnet.</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pStyle w:val="Brdtekst"/>
        <w:spacing w:after="0"/>
        <w:ind w:hanging="1"/>
        <w:rPr>
          <w:i/>
          <w:iCs/>
        </w:rPr>
      </w:pPr>
      <w:r w:rsidRPr="00624299">
        <w:rPr>
          <w:i/>
          <w:iCs/>
        </w:rPr>
        <w:t xml:space="preserve">Amning: </w:t>
      </w:r>
      <w:r w:rsidRPr="00624299">
        <w:rPr>
          <w:i/>
          <w:iCs/>
        </w:rPr>
        <w:br/>
      </w:r>
      <w:r w:rsidRPr="00624299">
        <w:rPr>
          <w:spacing w:val="-3"/>
        </w:rPr>
        <w:t xml:space="preserve">Der må ikke anvendes </w:t>
      </w:r>
      <w:proofErr w:type="spellStart"/>
      <w:r w:rsidRPr="00624299">
        <w:rPr>
          <w:spacing w:val="-3"/>
        </w:rPr>
        <w:t>Zoladex</w:t>
      </w:r>
      <w:proofErr w:type="spellEnd"/>
      <w:r w:rsidRPr="00624299">
        <w:rPr>
          <w:spacing w:val="-3"/>
        </w:rPr>
        <w:t xml:space="preserve"> 3,6 mg og 10,8 mg i </w:t>
      </w:r>
      <w:proofErr w:type="spellStart"/>
      <w:r w:rsidRPr="00624299">
        <w:rPr>
          <w:spacing w:val="-3"/>
        </w:rPr>
        <w:t>ammeperioden</w:t>
      </w:r>
      <w:proofErr w:type="spellEnd"/>
      <w:r w:rsidRPr="00624299">
        <w:rPr>
          <w:spacing w:val="-3"/>
        </w:rPr>
        <w:t xml:space="preserve"> (se pkt. 4.3).</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4.7</w:t>
      </w:r>
      <w:r w:rsidRPr="00624299">
        <w:rPr>
          <w:b/>
          <w:spacing w:val="-3"/>
        </w:rPr>
        <w:tab/>
        <w:t>Virkning på evnen til at føre motorkøretøj og betjene maskiner</w:t>
      </w:r>
    </w:p>
    <w:p w:rsidR="00336DC2" w:rsidRPr="00624299" w:rsidRDefault="00336DC2" w:rsidP="00E240B9">
      <w:pPr>
        <w:ind w:firstLine="850"/>
        <w:rPr>
          <w:spacing w:val="-3"/>
        </w:rPr>
      </w:pPr>
      <w:r w:rsidRPr="00624299">
        <w:rPr>
          <w:spacing w:val="-3"/>
        </w:rPr>
        <w:t>Ikke mærkning.</w:t>
      </w:r>
    </w:p>
    <w:p w:rsidR="00336DC2" w:rsidRPr="00624299" w:rsidRDefault="00336DC2" w:rsidP="00E240B9">
      <w:pPr>
        <w:ind w:firstLine="850"/>
      </w:pPr>
      <w:r w:rsidRPr="00624299">
        <w:rPr>
          <w:spacing w:val="-3"/>
        </w:rPr>
        <w:t xml:space="preserve">Der er ingen tegn på, at </w:t>
      </w:r>
      <w:proofErr w:type="spellStart"/>
      <w:r w:rsidRPr="00624299">
        <w:rPr>
          <w:spacing w:val="-3"/>
        </w:rPr>
        <w:t>Zoladex</w:t>
      </w:r>
      <w:proofErr w:type="spellEnd"/>
      <w:r w:rsidRPr="00624299">
        <w:rPr>
          <w:spacing w:val="-3"/>
        </w:rPr>
        <w:t xml:space="preserve"> påvirker evnen til at føre motorkøretøj eller betjene maskiner.</w:t>
      </w:r>
    </w:p>
    <w:p w:rsidR="00336DC2" w:rsidRPr="00624299" w:rsidRDefault="00336DC2" w:rsidP="00336DC2">
      <w:pPr>
        <w:tabs>
          <w:tab w:val="left" w:pos="0"/>
          <w:tab w:val="left" w:pos="851"/>
        </w:tabs>
        <w:suppressAutoHyphens/>
        <w:ind w:left="850" w:hanging="850"/>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4.8</w:t>
      </w:r>
      <w:r w:rsidRPr="00624299">
        <w:rPr>
          <w:b/>
          <w:spacing w:val="-3"/>
        </w:rPr>
        <w:tab/>
        <w:t>Bivirkninger</w:t>
      </w:r>
      <w:r w:rsidRPr="00624299">
        <w:rPr>
          <w:b/>
          <w:spacing w:val="-3"/>
        </w:rPr>
        <w:tab/>
      </w:r>
    </w:p>
    <w:p w:rsidR="00336DC2" w:rsidRPr="00624299" w:rsidRDefault="00336DC2" w:rsidP="00336DC2">
      <w:pPr>
        <w:pStyle w:val="Brdtekst"/>
        <w:tabs>
          <w:tab w:val="left" w:pos="-720"/>
          <w:tab w:val="left" w:pos="851"/>
        </w:tabs>
      </w:pPr>
      <w:r w:rsidRPr="00624299">
        <w:tab/>
        <w:t>De fleste bivirkninger skyldes farmakologiske reaktioner på det reducerede niveau af kønshormoner.</w:t>
      </w:r>
    </w:p>
    <w:p w:rsidR="00336DC2" w:rsidRPr="00624299" w:rsidRDefault="00336DC2" w:rsidP="00336DC2">
      <w:pPr>
        <w:tabs>
          <w:tab w:val="left" w:pos="-720"/>
          <w:tab w:val="left" w:pos="851"/>
        </w:tabs>
        <w:suppressAutoHyphens/>
        <w:jc w:val="both"/>
      </w:pPr>
      <w:r w:rsidRPr="00624299">
        <w:tab/>
        <w:t>De mest almindelige bivirkninger er:</w:t>
      </w:r>
    </w:p>
    <w:p w:rsidR="00336DC2" w:rsidRPr="00624299" w:rsidRDefault="00336DC2" w:rsidP="00336DC2">
      <w:pPr>
        <w:tabs>
          <w:tab w:val="left" w:pos="-720"/>
          <w:tab w:val="left" w:pos="851"/>
        </w:tabs>
        <w:suppressAutoHyphens/>
        <w:jc w:val="both"/>
      </w:pPr>
      <w:r w:rsidRPr="00624299">
        <w:tab/>
        <w:t>Hos kvinder: Rødmen, som forekommer hos mere end 90 %.</w:t>
      </w:r>
    </w:p>
    <w:p w:rsidR="00336DC2" w:rsidRPr="00624299" w:rsidRDefault="00336DC2" w:rsidP="00336DC2">
      <w:pPr>
        <w:tabs>
          <w:tab w:val="left" w:pos="-720"/>
          <w:tab w:val="left" w:pos="-142"/>
          <w:tab w:val="left" w:pos="851"/>
        </w:tabs>
        <w:suppressAutoHyphens/>
        <w:jc w:val="both"/>
      </w:pPr>
      <w:r w:rsidRPr="00624299">
        <w:tab/>
        <w:t>Hos mænd: Rødmen, impotens, ømhed i og forstørrelse af brysterne.</w:t>
      </w:r>
    </w:p>
    <w:p w:rsidR="00336DC2" w:rsidRPr="00624299" w:rsidRDefault="00336DC2" w:rsidP="00336DC2">
      <w:pPr>
        <w:tabs>
          <w:tab w:val="left" w:pos="-720"/>
          <w:tab w:val="left" w:pos="-142"/>
          <w:tab w:val="left" w:pos="851"/>
        </w:tabs>
        <w:suppressAutoHyphens/>
        <w:jc w:val="both"/>
      </w:pPr>
    </w:p>
    <w:p w:rsidR="00336DC2" w:rsidRPr="00624299" w:rsidRDefault="00336DC2" w:rsidP="00E240B9">
      <w:pPr>
        <w:ind w:left="851"/>
      </w:pPr>
      <w:r w:rsidRPr="00624299">
        <w:t xml:space="preserve">De følgende hyppigheder er baseret på alle bivirkninger fra kliniske forsøg, post-marketing studier og spontane rapporter. De mest almindeligt observerede bivirkninger var hedeture, svedeture og reaktioner på injektionsstedet. </w:t>
      </w:r>
    </w:p>
    <w:p w:rsidR="00336DC2" w:rsidRPr="00624299" w:rsidRDefault="00336DC2" w:rsidP="00E240B9">
      <w:pPr>
        <w:ind w:left="851"/>
      </w:pPr>
      <w:r w:rsidRPr="00624299">
        <w:rPr>
          <w:spacing w:val="-3"/>
        </w:rPr>
        <w:t>I tabellen nedenfor</w:t>
      </w:r>
      <w:r w:rsidRPr="00624299">
        <w:t xml:space="preserve"> er alle bivirkninger anført efter organ klasse og hyppighed: meget almindelige (≥1/10); almindelige (≥ 1/100 til &lt;1/10); ikke almindelige (≥ 1/1.000 til &lt;1/100); sjældne (≥ 1/10.000 til &lt; 1/1.000); meget sjældne (&lt; 1/10.000) og ikke kendte (kan ikke estimeres ud fra forhåndenværende data). Inden for hver enkelt hyppighedsgruppe er bivirkningerne opstillet efter, hvor alvorlige de er. De alvorligste bivirkninger er anført først. </w:t>
      </w:r>
    </w:p>
    <w:p w:rsidR="00336DC2" w:rsidRPr="00624299" w:rsidRDefault="00336DC2" w:rsidP="00336DC2">
      <w:r w:rsidRPr="00624299">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2407"/>
        <w:gridCol w:w="2407"/>
        <w:gridCol w:w="2407"/>
      </w:tblGrid>
      <w:tr w:rsidR="00336DC2" w:rsidRPr="00624299" w:rsidTr="003B4BCE">
        <w:trPr>
          <w:trHeight w:val="533"/>
        </w:trPr>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b/>
                <w:bCs/>
              </w:rPr>
            </w:pPr>
            <w:r w:rsidRPr="00624299">
              <w:rPr>
                <w:b/>
                <w:bCs/>
              </w:rPr>
              <w:lastRenderedPageBreak/>
              <w:t>Systemorganklasse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pStyle w:val="Overskrift5"/>
              <w:spacing w:after="0" w:line="280" w:lineRule="atLeast"/>
              <w:rPr>
                <w:bCs/>
                <w:lang w:val="da-DK"/>
              </w:rPr>
            </w:pPr>
            <w:r w:rsidRPr="00624299">
              <w:rPr>
                <w:bCs/>
                <w:lang w:val="da-DK"/>
              </w:rPr>
              <w:t>Hyppighed</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pStyle w:val="Overskrift5"/>
              <w:spacing w:after="0" w:line="280" w:lineRule="atLeast"/>
              <w:rPr>
                <w:bCs/>
                <w:lang w:val="da-DK"/>
              </w:rPr>
            </w:pPr>
            <w:r w:rsidRPr="00624299">
              <w:rPr>
                <w:bCs/>
                <w:lang w:val="da-DK"/>
              </w:rPr>
              <w:t>Mænd</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pStyle w:val="Overskrift5"/>
              <w:spacing w:after="0" w:line="280" w:lineRule="atLeast"/>
              <w:rPr>
                <w:bCs/>
                <w:lang w:val="da-DK"/>
              </w:rPr>
            </w:pPr>
            <w:r w:rsidRPr="00624299">
              <w:rPr>
                <w:bCs/>
                <w:lang w:val="da-DK"/>
              </w:rPr>
              <w:t>Kvinder</w:t>
            </w:r>
          </w:p>
        </w:tc>
      </w:tr>
      <w:tr w:rsidR="00336DC2" w:rsidRPr="00624299" w:rsidTr="003B4BCE">
        <w:trPr>
          <w:cantSplit/>
          <w:trHeight w:val="599"/>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Benigne, maligne og uspecificerede tumorer (inkl. cyster og polypper)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Meget sjælden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Hypofysetumor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Hypofysetumor</w:t>
            </w:r>
          </w:p>
        </w:tc>
      </w:tr>
      <w:tr w:rsidR="00336DC2" w:rsidRPr="00624299" w:rsidTr="003B4BCE">
        <w:trPr>
          <w:cantSplit/>
          <w:trHeight w:val="1306"/>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Ikke kendt</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Degeneration af </w:t>
            </w:r>
            <w:proofErr w:type="spellStart"/>
            <w:r w:rsidRPr="00624299">
              <w:t>uterine</w:t>
            </w:r>
            <w:proofErr w:type="spellEnd"/>
            <w:r w:rsidRPr="00624299">
              <w:t xml:space="preserve"> fibromer hos kvinder med </w:t>
            </w:r>
            <w:proofErr w:type="spellStart"/>
            <w:r w:rsidRPr="00624299">
              <w:t>uterine</w:t>
            </w:r>
            <w:proofErr w:type="spellEnd"/>
            <w:r w:rsidRPr="00624299">
              <w:t xml:space="preserve"> fibromer.</w:t>
            </w:r>
          </w:p>
        </w:tc>
      </w:tr>
      <w:tr w:rsidR="00336DC2" w:rsidRPr="00624299" w:rsidTr="003B4BCE">
        <w:trPr>
          <w:cantSplit/>
          <w:trHeight w:val="686"/>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Immunsystemet</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Ikke 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Overfølsomheds-reaktioner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Overfølsomheds-reaktioner</w:t>
            </w:r>
          </w:p>
        </w:tc>
      </w:tr>
      <w:tr w:rsidR="00336DC2" w:rsidRPr="00624299" w:rsidTr="003B4BCE">
        <w:trPr>
          <w:cantSplit/>
          <w:trHeight w:val="569"/>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Sjælden</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Anafylaktiske</w:t>
            </w:r>
            <w:proofErr w:type="spellEnd"/>
            <w:r w:rsidRPr="00624299">
              <w:t xml:space="preserve"> reaktioner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Anafylaktiske</w:t>
            </w:r>
            <w:proofErr w:type="spellEnd"/>
            <w:r w:rsidRPr="00624299">
              <w:t xml:space="preserve"> reaktioner</w:t>
            </w:r>
          </w:p>
        </w:tc>
      </w:tr>
      <w:tr w:rsidR="00336DC2" w:rsidRPr="00624299" w:rsidTr="003B4BCE">
        <w:trPr>
          <w:trHeight w:val="533"/>
        </w:trPr>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b/>
                <w:bCs/>
              </w:rPr>
            </w:pPr>
            <w:r w:rsidRPr="00624299">
              <w:rPr>
                <w:b/>
                <w:bCs/>
              </w:rPr>
              <w:t>Det endokrine system</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Meget sjælden</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Hypofysenekrose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Hypofysenekrose</w:t>
            </w:r>
          </w:p>
        </w:tc>
      </w:tr>
      <w:tr w:rsidR="00336DC2" w:rsidRPr="00624299" w:rsidTr="003B4BCE">
        <w:trPr>
          <w:cantSplit/>
          <w:trHeight w:val="703"/>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Metabolisme og ernæring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Reduceret </w:t>
            </w:r>
            <w:proofErr w:type="spellStart"/>
            <w:r w:rsidRPr="00624299">
              <w:t>glucosetolerance</w:t>
            </w:r>
            <w:r w:rsidRPr="00624299">
              <w:rPr>
                <w:vertAlign w:val="superscript"/>
              </w:rPr>
              <w:t>a</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557"/>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Ikke 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Zoladex</w:t>
            </w:r>
            <w:proofErr w:type="spellEnd"/>
            <w:r w:rsidRPr="00624299">
              <w:t xml:space="preserve"> 3,6 mg: </w:t>
            </w:r>
            <w:proofErr w:type="spellStart"/>
            <w:r w:rsidRPr="00624299">
              <w:t>Hyperkalcæmi</w:t>
            </w:r>
            <w:proofErr w:type="spellEnd"/>
            <w:r w:rsidRPr="00624299">
              <w:t>.</w:t>
            </w:r>
          </w:p>
        </w:tc>
      </w:tr>
      <w:tr w:rsidR="00336DC2" w:rsidRPr="00624299" w:rsidTr="003B4BCE">
        <w:trPr>
          <w:cantSplit/>
          <w:trHeight w:val="551"/>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Psykiske forstyrrelser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Meget 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vertAlign w:val="superscript"/>
              </w:rPr>
            </w:pPr>
            <w:r w:rsidRPr="00624299">
              <w:t xml:space="preserve">Nedsat </w:t>
            </w:r>
            <w:proofErr w:type="spellStart"/>
            <w:r w:rsidRPr="00624299">
              <w:t>libido</w:t>
            </w:r>
            <w:r w:rsidRPr="00624299">
              <w:rPr>
                <w:vertAlign w:val="superscript"/>
              </w:rPr>
              <w:t>b</w:t>
            </w:r>
            <w:proofErr w:type="spellEnd"/>
          </w:p>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Nedsat </w:t>
            </w:r>
            <w:proofErr w:type="spellStart"/>
            <w:r w:rsidRPr="00624299">
              <w:t>libido</w:t>
            </w:r>
            <w:r w:rsidRPr="00624299">
              <w:rPr>
                <w:vertAlign w:val="superscript"/>
              </w:rPr>
              <w:t>b</w:t>
            </w:r>
            <w:proofErr w:type="spellEnd"/>
          </w:p>
        </w:tc>
      </w:tr>
      <w:tr w:rsidR="00336DC2" w:rsidRPr="00624299" w:rsidTr="003B4BCE">
        <w:trPr>
          <w:cantSplit/>
          <w:trHeight w:val="694"/>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Humør ændringer, depression</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Humør ændringer, depression</w:t>
            </w:r>
          </w:p>
        </w:tc>
      </w:tr>
      <w:tr w:rsidR="00336DC2" w:rsidRPr="00624299" w:rsidTr="003B4BCE">
        <w:trPr>
          <w:cantSplit/>
          <w:trHeight w:val="584"/>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Meget sjælden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Psykotiske lidelser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Psykotiske lidelser</w:t>
            </w:r>
          </w:p>
        </w:tc>
      </w:tr>
      <w:tr w:rsidR="00336DC2" w:rsidRPr="00624299" w:rsidTr="003B4BCE">
        <w:trPr>
          <w:cantSplit/>
          <w:trHeight w:val="855"/>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Nervesystemet</w:t>
            </w:r>
          </w:p>
        </w:tc>
        <w:tc>
          <w:tcPr>
            <w:tcW w:w="1250" w:type="pct"/>
            <w:vMerge w:val="restart"/>
            <w:tcBorders>
              <w:top w:val="single" w:sz="4" w:space="0" w:color="auto"/>
              <w:left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Paræstesi</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Paræstesi</w:t>
            </w:r>
            <w:proofErr w:type="spellEnd"/>
          </w:p>
        </w:tc>
      </w:tr>
      <w:tr w:rsidR="00336DC2" w:rsidRPr="00624299" w:rsidTr="003B4BCE">
        <w:trPr>
          <w:cantSplit/>
          <w:trHeight w:val="855"/>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vMerge/>
            <w:tcBorders>
              <w:left w:val="single" w:sz="4" w:space="0" w:color="auto"/>
              <w:right w:val="single" w:sz="4" w:space="0" w:color="auto"/>
            </w:tcBorders>
          </w:tcPr>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Rygmarvskompres-</w:t>
            </w:r>
            <w:proofErr w:type="spellStart"/>
            <w:r w:rsidRPr="00624299">
              <w:t>sion</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528"/>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vMerge/>
            <w:tcBorders>
              <w:left w:val="single" w:sz="4" w:space="0" w:color="auto"/>
              <w:bottom w:val="single" w:sz="4" w:space="0" w:color="auto"/>
              <w:right w:val="single" w:sz="4" w:space="0" w:color="auto"/>
            </w:tcBorders>
          </w:tcPr>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Hovedpine</w:t>
            </w:r>
          </w:p>
        </w:tc>
      </w:tr>
      <w:tr w:rsidR="00336DC2" w:rsidRPr="00624299" w:rsidTr="003B4BCE">
        <w:trPr>
          <w:cantSplit/>
          <w:trHeight w:val="561"/>
        </w:trPr>
        <w:tc>
          <w:tcPr>
            <w:tcW w:w="1250" w:type="pc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Hjerte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Hjertesvigt</w:t>
            </w:r>
            <w:r w:rsidRPr="00624299">
              <w:rPr>
                <w:vertAlign w:val="superscript"/>
              </w:rPr>
              <w:t>f</w:t>
            </w:r>
            <w:proofErr w:type="spellEnd"/>
            <w:r w:rsidRPr="00624299">
              <w:t xml:space="preserve">, blodprop i </w:t>
            </w:r>
            <w:proofErr w:type="spellStart"/>
            <w:r w:rsidRPr="00624299">
              <w:t>hjertet</w:t>
            </w:r>
            <w:r w:rsidRPr="00624299">
              <w:rPr>
                <w:vertAlign w:val="superscript"/>
              </w:rPr>
              <w:t>f</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561"/>
        </w:trPr>
        <w:tc>
          <w:tcPr>
            <w:tcW w:w="1250" w:type="pct"/>
            <w:tcBorders>
              <w:top w:val="single" w:sz="4" w:space="0" w:color="auto"/>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Ikke kendt</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QT</w:t>
            </w:r>
            <w:r w:rsidRPr="00624299">
              <w:noBreakHyphen/>
              <w:t>forlængelse (se pkt. 4.4 og 4.5)</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QT</w:t>
            </w:r>
            <w:r w:rsidRPr="00624299">
              <w:noBreakHyphen/>
              <w:t>forlængelse (se pkt. 4.4 og 4.5)</w:t>
            </w:r>
          </w:p>
        </w:tc>
      </w:tr>
      <w:tr w:rsidR="00336DC2" w:rsidRPr="00624299" w:rsidTr="003B4BCE">
        <w:trPr>
          <w:cantSplit/>
          <w:trHeight w:val="561"/>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proofErr w:type="spellStart"/>
            <w:r w:rsidRPr="00624299">
              <w:rPr>
                <w:b/>
                <w:bCs/>
              </w:rPr>
              <w:t>Vaskulære</w:t>
            </w:r>
            <w:proofErr w:type="spellEnd"/>
            <w:r w:rsidRPr="00624299">
              <w:rPr>
                <w:b/>
                <w:bCs/>
              </w:rPr>
              <w:t xml:space="preserve"> sygdomme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Meget 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Hedeture</w:t>
            </w:r>
            <w:r w:rsidRPr="00624299">
              <w:rPr>
                <w:vertAlign w:val="superscript"/>
              </w:rPr>
              <w:t>b</w:t>
            </w:r>
            <w:proofErr w:type="spellEnd"/>
            <w:r w:rsidRPr="00624299">
              <w:t xml:space="preserve">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Hedeture</w:t>
            </w:r>
            <w:r w:rsidRPr="00624299">
              <w:rPr>
                <w:vertAlign w:val="superscript"/>
              </w:rPr>
              <w:t>b</w:t>
            </w:r>
            <w:proofErr w:type="spellEnd"/>
          </w:p>
        </w:tc>
      </w:tr>
      <w:tr w:rsidR="00336DC2" w:rsidRPr="00624299" w:rsidTr="003B4BCE">
        <w:trPr>
          <w:cantSplit/>
          <w:trHeight w:val="414"/>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Unormalt </w:t>
            </w:r>
            <w:proofErr w:type="spellStart"/>
            <w:r w:rsidRPr="00624299">
              <w:t>blodtryk</w:t>
            </w:r>
            <w:r w:rsidRPr="00624299">
              <w:rPr>
                <w:vertAlign w:val="superscript"/>
              </w:rPr>
              <w:t>c</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Unormalt </w:t>
            </w:r>
            <w:proofErr w:type="spellStart"/>
            <w:r w:rsidRPr="00624299">
              <w:t>blodtryk</w:t>
            </w:r>
            <w:r w:rsidRPr="00624299">
              <w:rPr>
                <w:vertAlign w:val="superscript"/>
              </w:rPr>
              <w:t>c</w:t>
            </w:r>
            <w:proofErr w:type="spellEnd"/>
          </w:p>
        </w:tc>
      </w:tr>
      <w:tr w:rsidR="00336DC2" w:rsidRPr="00624299" w:rsidTr="003B4BCE">
        <w:trPr>
          <w:cantSplit/>
          <w:trHeight w:val="414"/>
        </w:trPr>
        <w:tc>
          <w:tcPr>
            <w:tcW w:w="1250" w:type="pct"/>
            <w:vMerge w:val="restart"/>
            <w:tcBorders>
              <w:left w:val="single" w:sz="4" w:space="0" w:color="auto"/>
              <w:right w:val="single" w:sz="4" w:space="0" w:color="auto"/>
            </w:tcBorders>
          </w:tcPr>
          <w:p w:rsidR="00336DC2" w:rsidRPr="00624299" w:rsidRDefault="00336DC2" w:rsidP="003B4BCE">
            <w:pPr>
              <w:rPr>
                <w:b/>
                <w:bCs/>
              </w:rPr>
            </w:pPr>
            <w:r w:rsidRPr="00624299">
              <w:rPr>
                <w:b/>
                <w:bCs/>
              </w:rPr>
              <w:t>Hud og subkutane væv</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Meget 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vertAlign w:val="superscript"/>
              </w:rPr>
            </w:pPr>
            <w:r w:rsidRPr="00624299">
              <w:t xml:space="preserve">Øget </w:t>
            </w:r>
            <w:proofErr w:type="spellStart"/>
            <w:r w:rsidRPr="00624299">
              <w:t>svedsekretion</w:t>
            </w:r>
            <w:r w:rsidRPr="00624299">
              <w:rPr>
                <w:vertAlign w:val="superscript"/>
              </w:rPr>
              <w:t>b</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Øget </w:t>
            </w:r>
            <w:proofErr w:type="spellStart"/>
            <w:r w:rsidRPr="00624299">
              <w:t>svedsekretion</w:t>
            </w:r>
            <w:r w:rsidRPr="00624299">
              <w:rPr>
                <w:vertAlign w:val="superscript"/>
              </w:rPr>
              <w:t>b</w:t>
            </w:r>
            <w:proofErr w:type="spellEnd"/>
            <w:r w:rsidRPr="00624299">
              <w:t xml:space="preserve">, </w:t>
            </w:r>
          </w:p>
          <w:p w:rsidR="00336DC2" w:rsidRPr="00624299" w:rsidRDefault="00336DC2" w:rsidP="003B4BCE">
            <w:proofErr w:type="spellStart"/>
            <w:r w:rsidRPr="00624299">
              <w:t>acne</w:t>
            </w:r>
            <w:r w:rsidRPr="00624299">
              <w:rPr>
                <w:vertAlign w:val="superscript"/>
              </w:rPr>
              <w:t>i</w:t>
            </w:r>
            <w:proofErr w:type="spellEnd"/>
          </w:p>
        </w:tc>
      </w:tr>
      <w:tr w:rsidR="00336DC2" w:rsidRPr="00624299" w:rsidTr="003B4BCE">
        <w:trPr>
          <w:cantSplit/>
          <w:trHeight w:val="563"/>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Hududslæt</w:t>
            </w:r>
            <w:r w:rsidRPr="00624299">
              <w:rPr>
                <w:vertAlign w:val="superscript"/>
              </w:rPr>
              <w:t>d</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vertAlign w:val="superscript"/>
              </w:rPr>
            </w:pPr>
            <w:proofErr w:type="spellStart"/>
            <w:r w:rsidRPr="00624299">
              <w:t>Hududslæt</w:t>
            </w:r>
            <w:r w:rsidRPr="00624299">
              <w:rPr>
                <w:vertAlign w:val="superscript"/>
              </w:rPr>
              <w:t>d</w:t>
            </w:r>
            <w:proofErr w:type="spellEnd"/>
            <w:r w:rsidRPr="00624299">
              <w:t xml:space="preserve">, </w:t>
            </w:r>
            <w:proofErr w:type="spellStart"/>
            <w:r w:rsidRPr="00624299">
              <w:t>alopecia</w:t>
            </w:r>
            <w:r w:rsidRPr="00624299">
              <w:rPr>
                <w:vertAlign w:val="superscript"/>
              </w:rPr>
              <w:t>g</w:t>
            </w:r>
            <w:proofErr w:type="spellEnd"/>
          </w:p>
        </w:tc>
      </w:tr>
      <w:tr w:rsidR="00336DC2" w:rsidRPr="00624299" w:rsidTr="003B4BCE">
        <w:trPr>
          <w:cantSplit/>
          <w:trHeight w:val="562"/>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Ikke kendt</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Alopecia</w:t>
            </w:r>
            <w:r w:rsidRPr="00624299">
              <w:rPr>
                <w:vertAlign w:val="superscript"/>
              </w:rPr>
              <w:t>h</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vertAlign w:val="superscript"/>
              </w:rPr>
            </w:pPr>
            <w:r w:rsidRPr="00624299">
              <w:t>(se almindelig)</w:t>
            </w:r>
          </w:p>
        </w:tc>
      </w:tr>
      <w:tr w:rsidR="00336DC2" w:rsidRPr="00624299" w:rsidTr="003B4BCE">
        <w:trPr>
          <w:cantSplit/>
          <w:trHeight w:val="562"/>
        </w:trPr>
        <w:tc>
          <w:tcPr>
            <w:tcW w:w="1250" w:type="pct"/>
            <w:vMerge w:val="restart"/>
            <w:tcBorders>
              <w:left w:val="single" w:sz="4" w:space="0" w:color="auto"/>
              <w:right w:val="single" w:sz="4" w:space="0" w:color="auto"/>
            </w:tcBorders>
          </w:tcPr>
          <w:p w:rsidR="00336DC2" w:rsidRPr="00624299" w:rsidRDefault="00336DC2" w:rsidP="003B4BCE">
            <w:pPr>
              <w:rPr>
                <w:b/>
                <w:bCs/>
              </w:rPr>
            </w:pPr>
            <w:r w:rsidRPr="00624299">
              <w:rPr>
                <w:b/>
                <w:bCs/>
              </w:rPr>
              <w:t>Knogler, led, muskler og bindevæv</w:t>
            </w:r>
          </w:p>
        </w:tc>
        <w:tc>
          <w:tcPr>
            <w:tcW w:w="1250" w:type="pct"/>
            <w:vMerge w:val="restart"/>
            <w:tcBorders>
              <w:top w:val="single" w:sz="4" w:space="0" w:color="auto"/>
              <w:left w:val="single" w:sz="4" w:space="0" w:color="auto"/>
              <w:right w:val="single" w:sz="4" w:space="0" w:color="auto"/>
            </w:tcBorders>
          </w:tcPr>
          <w:p w:rsidR="00336DC2" w:rsidRPr="00624299" w:rsidRDefault="00336DC2" w:rsidP="003B4BCE">
            <w:r w:rsidRPr="00624299">
              <w:t xml:space="preserve">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vertAlign w:val="superscript"/>
              </w:rPr>
            </w:pPr>
            <w:r w:rsidRPr="00624299">
              <w:t xml:space="preserve">Knoglesmerter </w:t>
            </w:r>
            <w:r w:rsidRPr="00624299">
              <w:rPr>
                <w:vertAlign w:val="superscript"/>
              </w:rPr>
              <w:t>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410"/>
        </w:trPr>
        <w:tc>
          <w:tcPr>
            <w:tcW w:w="1250" w:type="pct"/>
            <w:vMerge/>
            <w:tcBorders>
              <w:left w:val="single" w:sz="4" w:space="0" w:color="auto"/>
              <w:right w:val="single" w:sz="4" w:space="0" w:color="auto"/>
            </w:tcBorders>
          </w:tcPr>
          <w:p w:rsidR="00336DC2" w:rsidRPr="00624299" w:rsidRDefault="00336DC2" w:rsidP="003B4BCE"/>
        </w:tc>
        <w:tc>
          <w:tcPr>
            <w:tcW w:w="1250" w:type="pct"/>
            <w:vMerge/>
            <w:tcBorders>
              <w:left w:val="single" w:sz="4" w:space="0" w:color="auto"/>
              <w:right w:val="single" w:sz="4" w:space="0" w:color="auto"/>
            </w:tcBorders>
          </w:tcPr>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(se ikke 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Arthralgi</w:t>
            </w:r>
            <w:proofErr w:type="spellEnd"/>
          </w:p>
        </w:tc>
      </w:tr>
      <w:tr w:rsidR="00336DC2" w:rsidRPr="00624299" w:rsidTr="003B4BCE">
        <w:trPr>
          <w:cantSplit/>
          <w:trHeight w:val="563"/>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tcBorders>
              <w:left w:val="single" w:sz="4" w:space="0" w:color="auto"/>
              <w:bottom w:val="single" w:sz="4" w:space="0" w:color="auto"/>
              <w:right w:val="single" w:sz="4" w:space="0" w:color="auto"/>
            </w:tcBorders>
          </w:tcPr>
          <w:p w:rsidR="00336DC2" w:rsidRPr="00624299" w:rsidRDefault="00336DC2" w:rsidP="003B4BCE">
            <w:r w:rsidRPr="00624299">
              <w:t>Ikke 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Arthralgi</w:t>
            </w:r>
            <w:proofErr w:type="spellEnd"/>
            <w:r w:rsidRPr="00624299">
              <w:t xml:space="preserve">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(se almindelig)</w:t>
            </w:r>
          </w:p>
        </w:tc>
      </w:tr>
      <w:tr w:rsidR="00336DC2" w:rsidRPr="00624299" w:rsidTr="003B4BCE">
        <w:trPr>
          <w:cantSplit/>
          <w:trHeight w:val="319"/>
        </w:trPr>
        <w:tc>
          <w:tcPr>
            <w:tcW w:w="1250" w:type="pct"/>
            <w:tcBorders>
              <w:left w:val="single" w:sz="4" w:space="0" w:color="auto"/>
              <w:bottom w:val="single" w:sz="4" w:space="0" w:color="auto"/>
              <w:right w:val="single" w:sz="4" w:space="0" w:color="auto"/>
            </w:tcBorders>
          </w:tcPr>
          <w:p w:rsidR="00336DC2" w:rsidRPr="00624299" w:rsidRDefault="00336DC2" w:rsidP="003B4BCE">
            <w:pPr>
              <w:rPr>
                <w:b/>
                <w:bCs/>
              </w:rPr>
            </w:pPr>
            <w:r w:rsidRPr="00624299">
              <w:rPr>
                <w:b/>
                <w:bCs/>
              </w:rPr>
              <w:t>Nyrer og urinveje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Ikke 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Ureterstenose</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573"/>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r w:rsidRPr="00624299">
              <w:rPr>
                <w:b/>
                <w:bCs/>
              </w:rPr>
              <w:t>Det reproduktive system og mammae</w:t>
            </w:r>
          </w:p>
        </w:tc>
        <w:tc>
          <w:tcPr>
            <w:tcW w:w="1250" w:type="pct"/>
            <w:vMerge w:val="restart"/>
            <w:tcBorders>
              <w:top w:val="single" w:sz="4" w:space="0" w:color="auto"/>
              <w:left w:val="single" w:sz="4" w:space="0" w:color="auto"/>
              <w:right w:val="single" w:sz="4" w:space="0" w:color="auto"/>
            </w:tcBorders>
          </w:tcPr>
          <w:p w:rsidR="00336DC2" w:rsidRPr="00624299" w:rsidRDefault="00336DC2" w:rsidP="003B4BCE">
            <w:r w:rsidRPr="00624299">
              <w:t>Meget 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Erektil</w:t>
            </w:r>
            <w:proofErr w:type="spellEnd"/>
            <w:r w:rsidRPr="00624299">
              <w:t xml:space="preserve"> dysfunktion</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IR </w:t>
            </w:r>
          </w:p>
        </w:tc>
      </w:tr>
      <w:tr w:rsidR="00336DC2" w:rsidRPr="00624299" w:rsidTr="003B4BCE">
        <w:trPr>
          <w:cantSplit/>
          <w:trHeight w:val="411"/>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vMerge/>
            <w:tcBorders>
              <w:left w:val="single" w:sz="4" w:space="0" w:color="auto"/>
              <w:right w:val="single" w:sz="4" w:space="0" w:color="auto"/>
            </w:tcBorders>
          </w:tcPr>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Tørhed i skeden</w:t>
            </w:r>
          </w:p>
        </w:tc>
      </w:tr>
      <w:tr w:rsidR="00336DC2" w:rsidRPr="00624299" w:rsidTr="003B4BCE">
        <w:trPr>
          <w:cantSplit/>
          <w:trHeight w:val="307"/>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vMerge/>
            <w:tcBorders>
              <w:left w:val="single" w:sz="4" w:space="0" w:color="auto"/>
              <w:bottom w:val="single" w:sz="4" w:space="0" w:color="auto"/>
              <w:right w:val="single" w:sz="4" w:space="0" w:color="auto"/>
            </w:tcBorders>
          </w:tcPr>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Øget bryststørrelse</w:t>
            </w:r>
          </w:p>
        </w:tc>
      </w:tr>
      <w:tr w:rsidR="00336DC2" w:rsidRPr="00624299" w:rsidTr="003B4BCE">
        <w:trPr>
          <w:cantSplit/>
          <w:trHeight w:val="382"/>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Gynækomasti</w:t>
            </w:r>
            <w:proofErr w:type="spellEnd"/>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390"/>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Ikke 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Brystømhed</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r>
      <w:tr w:rsidR="00336DC2" w:rsidRPr="00624299" w:rsidTr="003B4BCE">
        <w:trPr>
          <w:cantSplit/>
          <w:trHeight w:val="409"/>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Sjælden</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pStyle w:val="A-Single"/>
              <w:rPr>
                <w:lang w:val="da-DK" w:eastAsia="da-DK"/>
              </w:rPr>
            </w:pPr>
            <w:r w:rsidRPr="00624299">
              <w:rPr>
                <w:lang w:val="da-DK" w:eastAsia="da-DK"/>
              </w:rPr>
              <w:t>Ovariecyster,</w:t>
            </w:r>
          </w:p>
          <w:p w:rsidR="00336DC2" w:rsidRPr="00624299" w:rsidRDefault="00336DC2" w:rsidP="003B4BCE">
            <w:r w:rsidRPr="00624299">
              <w:t>3,6 mg: Ovariehyper-stimulationssyndrom</w:t>
            </w:r>
          </w:p>
        </w:tc>
      </w:tr>
      <w:tr w:rsidR="00336DC2" w:rsidRPr="00624299" w:rsidTr="003B4BCE">
        <w:trPr>
          <w:cantSplit/>
          <w:trHeight w:val="455"/>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Ikke kendt</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Frafald pga. blødning (se pkt. 4.4)</w:t>
            </w:r>
          </w:p>
        </w:tc>
      </w:tr>
      <w:tr w:rsidR="00336DC2" w:rsidRPr="00624299" w:rsidTr="003B4BCE">
        <w:trPr>
          <w:cantSplit/>
          <w:trHeight w:val="1522"/>
        </w:trPr>
        <w:tc>
          <w:tcPr>
            <w:tcW w:w="1250" w:type="pct"/>
            <w:vMerge w:val="restart"/>
            <w:tcBorders>
              <w:top w:val="single" w:sz="4" w:space="0" w:color="auto"/>
              <w:left w:val="single" w:sz="4" w:space="0" w:color="auto"/>
              <w:right w:val="single" w:sz="4" w:space="0" w:color="auto"/>
            </w:tcBorders>
          </w:tcPr>
          <w:p w:rsidR="00336DC2" w:rsidRPr="00624299" w:rsidRDefault="00336DC2" w:rsidP="003B4BCE">
            <w:pPr>
              <w:rPr>
                <w:b/>
                <w:bCs/>
              </w:rPr>
            </w:pPr>
            <w:r w:rsidRPr="00624299">
              <w:rPr>
                <w:b/>
                <w:bCs/>
              </w:rPr>
              <w:t>Almene symptomer og reaktioner på administrations-stedet</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Meget 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(se 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Lokalreaktioner</w:t>
            </w:r>
            <w:proofErr w:type="spellEnd"/>
            <w:r w:rsidRPr="00624299">
              <w:t xml:space="preserve"> på injektionsstedet (eks. rødme, smerte, </w:t>
            </w:r>
            <w:proofErr w:type="spellStart"/>
            <w:r w:rsidRPr="00624299">
              <w:t>ophævning</w:t>
            </w:r>
            <w:proofErr w:type="spellEnd"/>
            <w:r w:rsidRPr="00624299">
              <w:t>, blå mærker) (se pkt. 4.4)</w:t>
            </w:r>
          </w:p>
        </w:tc>
      </w:tr>
      <w:tr w:rsidR="00336DC2" w:rsidRPr="00624299" w:rsidTr="003B4BCE">
        <w:trPr>
          <w:cantSplit/>
          <w:trHeight w:val="1580"/>
        </w:trPr>
        <w:tc>
          <w:tcPr>
            <w:tcW w:w="1250" w:type="pct"/>
            <w:vMerge/>
            <w:tcBorders>
              <w:left w:val="single" w:sz="4" w:space="0" w:color="auto"/>
              <w:right w:val="single" w:sz="4" w:space="0" w:color="auto"/>
            </w:tcBorders>
          </w:tcPr>
          <w:p w:rsidR="00336DC2" w:rsidRPr="00624299" w:rsidRDefault="00336DC2" w:rsidP="003B4BCE">
            <w:pPr>
              <w:rPr>
                <w:b/>
                <w:bCs/>
              </w:rPr>
            </w:pPr>
          </w:p>
        </w:tc>
        <w:tc>
          <w:tcPr>
            <w:tcW w:w="1250" w:type="pct"/>
            <w:vMerge w:val="restart"/>
            <w:tcBorders>
              <w:top w:val="single" w:sz="4" w:space="0" w:color="auto"/>
              <w:left w:val="single" w:sz="4" w:space="0" w:color="auto"/>
              <w:right w:val="single" w:sz="4" w:space="0" w:color="auto"/>
            </w:tcBorders>
          </w:tcPr>
          <w:p w:rsidR="00336DC2" w:rsidRPr="00624299" w:rsidRDefault="00336DC2" w:rsidP="003B4BCE">
            <w:r w:rsidRPr="00624299">
              <w:t>Almindelig</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roofErr w:type="spellStart"/>
            <w:r w:rsidRPr="00624299">
              <w:t>Lokalreaktioner</w:t>
            </w:r>
            <w:proofErr w:type="spellEnd"/>
            <w:r w:rsidRPr="00624299">
              <w:t xml:space="preserve"> på injektionsstedet (eks. rødme, smerte, </w:t>
            </w:r>
            <w:proofErr w:type="spellStart"/>
            <w:r w:rsidRPr="00624299">
              <w:t>ophævning</w:t>
            </w:r>
            <w:proofErr w:type="spellEnd"/>
            <w:r w:rsidRPr="00624299">
              <w:t>, blå mærker) (se pkt. 4.4)</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(se meget almindelig)</w:t>
            </w:r>
          </w:p>
        </w:tc>
      </w:tr>
      <w:tr w:rsidR="00336DC2" w:rsidRPr="00624299" w:rsidTr="003B4BCE">
        <w:trPr>
          <w:cantSplit/>
          <w:trHeight w:val="146"/>
        </w:trPr>
        <w:tc>
          <w:tcPr>
            <w:tcW w:w="1250" w:type="pct"/>
            <w:vMerge/>
            <w:tcBorders>
              <w:left w:val="single" w:sz="4" w:space="0" w:color="auto"/>
              <w:bottom w:val="single" w:sz="4" w:space="0" w:color="auto"/>
              <w:right w:val="single" w:sz="4" w:space="0" w:color="auto"/>
            </w:tcBorders>
          </w:tcPr>
          <w:p w:rsidR="00336DC2" w:rsidRPr="00624299" w:rsidRDefault="00336DC2" w:rsidP="003B4BCE">
            <w:pPr>
              <w:rPr>
                <w:b/>
                <w:bCs/>
              </w:rPr>
            </w:pPr>
          </w:p>
        </w:tc>
        <w:tc>
          <w:tcPr>
            <w:tcW w:w="1250" w:type="pct"/>
            <w:vMerge/>
            <w:tcBorders>
              <w:left w:val="single" w:sz="4" w:space="0" w:color="auto"/>
              <w:bottom w:val="single" w:sz="4" w:space="0" w:color="auto"/>
              <w:right w:val="single" w:sz="4" w:space="0" w:color="auto"/>
            </w:tcBorders>
          </w:tcPr>
          <w:p w:rsidR="00336DC2" w:rsidRPr="00624299" w:rsidRDefault="00336DC2" w:rsidP="003B4BCE"/>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IR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tabs>
                <w:tab w:val="left" w:pos="0"/>
              </w:tabs>
            </w:pPr>
            <w:r w:rsidRPr="00624299">
              <w:t>10.8 mg: Tumorsmerte</w:t>
            </w:r>
          </w:p>
        </w:tc>
      </w:tr>
      <w:tr w:rsidR="00336DC2" w:rsidRPr="00624299" w:rsidTr="003B4BCE">
        <w:trPr>
          <w:trHeight w:val="146"/>
        </w:trPr>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rPr>
                <w:b/>
                <w:bCs/>
              </w:rPr>
            </w:pPr>
            <w:r w:rsidRPr="00624299">
              <w:rPr>
                <w:b/>
                <w:bCs/>
              </w:rPr>
              <w:t>Undersøgelser</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 xml:space="preserve">Almindelig </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r w:rsidRPr="00624299">
              <w:t>Tab af knoglemineraltæthed (se pkt. 4.4), vægtforøgelse</w:t>
            </w:r>
          </w:p>
        </w:tc>
        <w:tc>
          <w:tcPr>
            <w:tcW w:w="1250" w:type="pct"/>
            <w:tcBorders>
              <w:top w:val="single" w:sz="4" w:space="0" w:color="auto"/>
              <w:left w:val="single" w:sz="4" w:space="0" w:color="auto"/>
              <w:bottom w:val="single" w:sz="4" w:space="0" w:color="auto"/>
              <w:right w:val="single" w:sz="4" w:space="0" w:color="auto"/>
            </w:tcBorders>
          </w:tcPr>
          <w:p w:rsidR="00336DC2" w:rsidRPr="00624299" w:rsidRDefault="00336DC2" w:rsidP="003B4BCE">
            <w:pPr>
              <w:tabs>
                <w:tab w:val="left" w:pos="0"/>
              </w:tabs>
              <w:rPr>
                <w:spacing w:val="-2"/>
              </w:rPr>
            </w:pPr>
            <w:r w:rsidRPr="00624299">
              <w:t>Tab af knoglemineraltæthed (se pkt. 4.4), vægtforøgelse</w:t>
            </w:r>
          </w:p>
        </w:tc>
      </w:tr>
    </w:tbl>
    <w:p w:rsidR="00336DC2" w:rsidRPr="00624299" w:rsidRDefault="00336DC2" w:rsidP="00336DC2">
      <w:pPr>
        <w:tabs>
          <w:tab w:val="left" w:pos="-720"/>
          <w:tab w:val="left" w:pos="142"/>
          <w:tab w:val="left" w:pos="851"/>
        </w:tabs>
        <w:suppressAutoHyphens/>
        <w:ind w:left="720" w:hanging="720"/>
        <w:jc w:val="both"/>
        <w:rPr>
          <w:spacing w:val="-2"/>
          <w:sz w:val="20"/>
        </w:rPr>
      </w:pPr>
      <w:r w:rsidRPr="00624299">
        <w:rPr>
          <w:spacing w:val="-2"/>
          <w:sz w:val="20"/>
        </w:rPr>
        <w:t>IR</w:t>
      </w:r>
      <w:r w:rsidRPr="00624299">
        <w:rPr>
          <w:spacing w:val="-2"/>
          <w:sz w:val="20"/>
        </w:rPr>
        <w:tab/>
        <w:t>Ikke relevant</w:t>
      </w:r>
    </w:p>
    <w:p w:rsidR="00336DC2" w:rsidRPr="00624299" w:rsidRDefault="00336DC2" w:rsidP="00336DC2">
      <w:pPr>
        <w:tabs>
          <w:tab w:val="left" w:pos="-720"/>
          <w:tab w:val="left" w:pos="142"/>
          <w:tab w:val="left" w:pos="851"/>
        </w:tabs>
        <w:suppressAutoHyphens/>
        <w:ind w:left="720" w:hanging="720"/>
        <w:rPr>
          <w:spacing w:val="-2"/>
          <w:sz w:val="20"/>
        </w:rPr>
      </w:pPr>
      <w:r w:rsidRPr="00624299">
        <w:rPr>
          <w:spacing w:val="-2"/>
          <w:sz w:val="20"/>
          <w:vertAlign w:val="superscript"/>
        </w:rPr>
        <w:t xml:space="preserve">a </w:t>
      </w:r>
      <w:r w:rsidRPr="00624299">
        <w:rPr>
          <w:spacing w:val="-2"/>
          <w:sz w:val="20"/>
          <w:vertAlign w:val="superscript"/>
        </w:rPr>
        <w:tab/>
      </w:r>
      <w:r w:rsidRPr="00624299">
        <w:rPr>
          <w:spacing w:val="-2"/>
          <w:sz w:val="20"/>
          <w:vertAlign w:val="superscript"/>
        </w:rPr>
        <w:tab/>
      </w:r>
      <w:r w:rsidRPr="00624299">
        <w:rPr>
          <w:spacing w:val="-2"/>
          <w:sz w:val="20"/>
        </w:rPr>
        <w:t xml:space="preserve">Der er observeret reduktion af </w:t>
      </w:r>
      <w:proofErr w:type="spellStart"/>
      <w:r w:rsidRPr="00624299">
        <w:rPr>
          <w:spacing w:val="-2"/>
          <w:sz w:val="20"/>
        </w:rPr>
        <w:t>glucosetolerance</w:t>
      </w:r>
      <w:proofErr w:type="spellEnd"/>
      <w:r w:rsidRPr="00624299">
        <w:rPr>
          <w:spacing w:val="-2"/>
          <w:sz w:val="20"/>
        </w:rPr>
        <w:t xml:space="preserve"> hos mænd, der får LHRH-agonister. </w:t>
      </w:r>
      <w:r w:rsidRPr="00624299">
        <w:rPr>
          <w:spacing w:val="-3"/>
          <w:sz w:val="20"/>
        </w:rPr>
        <w:t xml:space="preserve">Manifesterer sig som diabetes eller tab af </w:t>
      </w:r>
      <w:proofErr w:type="spellStart"/>
      <w:r w:rsidRPr="00624299">
        <w:rPr>
          <w:spacing w:val="-3"/>
          <w:sz w:val="20"/>
        </w:rPr>
        <w:t>glucosetolerance</w:t>
      </w:r>
      <w:proofErr w:type="spellEnd"/>
      <w:r w:rsidRPr="00624299">
        <w:rPr>
          <w:spacing w:val="-3"/>
          <w:sz w:val="20"/>
        </w:rPr>
        <w:t xml:space="preserve"> hos patienter med allerede forekommende diabetes.</w:t>
      </w:r>
      <w:r w:rsidRPr="00624299">
        <w:rPr>
          <w:spacing w:val="-2"/>
          <w:sz w:val="20"/>
        </w:rPr>
        <w:t xml:space="preserve"> </w:t>
      </w:r>
    </w:p>
    <w:p w:rsidR="00336DC2" w:rsidRPr="00624299" w:rsidRDefault="00336DC2" w:rsidP="00336DC2">
      <w:pPr>
        <w:tabs>
          <w:tab w:val="left" w:pos="-720"/>
          <w:tab w:val="left" w:pos="142"/>
          <w:tab w:val="left" w:pos="709"/>
        </w:tabs>
        <w:suppressAutoHyphens/>
        <w:ind w:left="709" w:hanging="709"/>
        <w:rPr>
          <w:sz w:val="20"/>
        </w:rPr>
      </w:pPr>
      <w:r w:rsidRPr="00624299">
        <w:rPr>
          <w:sz w:val="20"/>
          <w:vertAlign w:val="superscript"/>
        </w:rPr>
        <w:t>b</w:t>
      </w:r>
      <w:r w:rsidRPr="00624299">
        <w:rPr>
          <w:sz w:val="20"/>
        </w:rPr>
        <w:t xml:space="preserve"> </w:t>
      </w:r>
      <w:r w:rsidRPr="00624299">
        <w:rPr>
          <w:sz w:val="20"/>
        </w:rPr>
        <w:tab/>
      </w:r>
      <w:r w:rsidRPr="00624299">
        <w:rPr>
          <w:sz w:val="20"/>
        </w:rPr>
        <w:tab/>
        <w:t xml:space="preserve">Disse er farmakologiske effekter, som sjældent kræver behandlingsophør. </w:t>
      </w:r>
      <w:proofErr w:type="spellStart"/>
      <w:r w:rsidRPr="00624299">
        <w:rPr>
          <w:sz w:val="20"/>
        </w:rPr>
        <w:t>Hyperhidrosis</w:t>
      </w:r>
      <w:proofErr w:type="spellEnd"/>
      <w:r w:rsidRPr="00624299">
        <w:rPr>
          <w:sz w:val="20"/>
        </w:rPr>
        <w:t xml:space="preserve"> (øget svedsekretion) og hedeture kan fortsætte efter ophør af </w:t>
      </w:r>
      <w:proofErr w:type="spellStart"/>
      <w:r w:rsidRPr="00624299">
        <w:rPr>
          <w:sz w:val="20"/>
        </w:rPr>
        <w:t>Zoladex</w:t>
      </w:r>
      <w:proofErr w:type="spellEnd"/>
      <w:r w:rsidRPr="00624299">
        <w:rPr>
          <w:sz w:val="20"/>
        </w:rPr>
        <w:t>-behandling</w:t>
      </w:r>
    </w:p>
    <w:p w:rsidR="00336DC2" w:rsidRPr="00624299" w:rsidRDefault="00336DC2" w:rsidP="00336DC2">
      <w:pPr>
        <w:tabs>
          <w:tab w:val="left" w:pos="-720"/>
          <w:tab w:val="left" w:pos="709"/>
        </w:tabs>
        <w:suppressAutoHyphens/>
        <w:ind w:left="705" w:hanging="705"/>
        <w:rPr>
          <w:sz w:val="20"/>
        </w:rPr>
      </w:pPr>
      <w:r w:rsidRPr="00624299">
        <w:rPr>
          <w:spacing w:val="-2"/>
          <w:sz w:val="20"/>
          <w:vertAlign w:val="superscript"/>
        </w:rPr>
        <w:t>c</w:t>
      </w:r>
      <w:r w:rsidRPr="00624299">
        <w:rPr>
          <w:spacing w:val="-3"/>
          <w:sz w:val="20"/>
        </w:rPr>
        <w:t xml:space="preserve"> </w:t>
      </w:r>
      <w:r w:rsidRPr="00624299">
        <w:rPr>
          <w:spacing w:val="-3"/>
          <w:sz w:val="20"/>
        </w:rPr>
        <w:tab/>
        <w:t xml:space="preserve">Kan give sig til udtryk ved hypotension eller hypertension. Har til tider været observeret hos patienter, der får </w:t>
      </w:r>
      <w:proofErr w:type="spellStart"/>
      <w:r w:rsidRPr="00624299">
        <w:rPr>
          <w:spacing w:val="-3"/>
          <w:sz w:val="20"/>
        </w:rPr>
        <w:t>Zoladex</w:t>
      </w:r>
      <w:proofErr w:type="spellEnd"/>
      <w:r w:rsidRPr="00624299">
        <w:rPr>
          <w:spacing w:val="-3"/>
          <w:sz w:val="20"/>
        </w:rPr>
        <w:t xml:space="preserve">. Ændringerne er oftest forbigående, forsvinder enten under behandlingen eller efter ophør af </w:t>
      </w:r>
      <w:proofErr w:type="spellStart"/>
      <w:r w:rsidRPr="00624299">
        <w:rPr>
          <w:spacing w:val="-3"/>
          <w:sz w:val="20"/>
        </w:rPr>
        <w:t>Zoladex</w:t>
      </w:r>
      <w:proofErr w:type="spellEnd"/>
      <w:r w:rsidRPr="00624299">
        <w:rPr>
          <w:spacing w:val="-3"/>
          <w:sz w:val="20"/>
        </w:rPr>
        <w:t xml:space="preserve">-behandling. Forandringerne har sjældent været behandlingskrævende og forårsaget behandlingsophør med </w:t>
      </w:r>
      <w:proofErr w:type="spellStart"/>
      <w:r w:rsidRPr="00624299">
        <w:rPr>
          <w:spacing w:val="-3"/>
          <w:sz w:val="20"/>
        </w:rPr>
        <w:t>Zoladex</w:t>
      </w:r>
      <w:proofErr w:type="spellEnd"/>
      <w:r w:rsidRPr="00624299">
        <w:rPr>
          <w:spacing w:val="-3"/>
          <w:sz w:val="20"/>
        </w:rPr>
        <w:t xml:space="preserve">. </w:t>
      </w:r>
    </w:p>
    <w:p w:rsidR="00336DC2" w:rsidRPr="00624299" w:rsidRDefault="00336DC2" w:rsidP="00336DC2">
      <w:pPr>
        <w:pStyle w:val="Brdtekstindrykning"/>
        <w:tabs>
          <w:tab w:val="clear" w:pos="851"/>
          <w:tab w:val="left" w:pos="-142"/>
          <w:tab w:val="left" w:pos="426"/>
          <w:tab w:val="left" w:pos="709"/>
        </w:tabs>
        <w:ind w:left="0" w:firstLine="0"/>
        <w:jc w:val="left"/>
        <w:rPr>
          <w:sz w:val="20"/>
        </w:rPr>
      </w:pPr>
      <w:r w:rsidRPr="00624299">
        <w:rPr>
          <w:spacing w:val="-2"/>
          <w:sz w:val="20"/>
          <w:vertAlign w:val="superscript"/>
        </w:rPr>
        <w:t>d</w:t>
      </w:r>
      <w:r w:rsidRPr="00624299">
        <w:rPr>
          <w:sz w:val="20"/>
        </w:rPr>
        <w:t xml:space="preserve"> </w:t>
      </w:r>
      <w:r w:rsidRPr="00624299">
        <w:rPr>
          <w:sz w:val="20"/>
        </w:rPr>
        <w:tab/>
      </w:r>
      <w:r w:rsidRPr="00624299">
        <w:rPr>
          <w:sz w:val="20"/>
        </w:rPr>
        <w:tab/>
        <w:t xml:space="preserve">Er oftest mild, ofte i tilbagegang uden, at behandlingen ophører. </w:t>
      </w:r>
    </w:p>
    <w:p w:rsidR="00336DC2" w:rsidRPr="00624299" w:rsidRDefault="00336DC2" w:rsidP="00336DC2">
      <w:pPr>
        <w:tabs>
          <w:tab w:val="left" w:pos="-720"/>
          <w:tab w:val="left" w:pos="-142"/>
          <w:tab w:val="left" w:pos="709"/>
          <w:tab w:val="left" w:pos="851"/>
        </w:tabs>
        <w:suppressAutoHyphens/>
        <w:ind w:left="705" w:hanging="705"/>
        <w:rPr>
          <w:spacing w:val="-2"/>
          <w:sz w:val="20"/>
        </w:rPr>
      </w:pPr>
      <w:r w:rsidRPr="00624299">
        <w:rPr>
          <w:spacing w:val="-2"/>
          <w:sz w:val="20"/>
          <w:vertAlign w:val="superscript"/>
        </w:rPr>
        <w:t xml:space="preserve">e </w:t>
      </w:r>
      <w:r w:rsidRPr="00624299">
        <w:rPr>
          <w:spacing w:val="-2"/>
          <w:sz w:val="20"/>
          <w:vertAlign w:val="superscript"/>
        </w:rPr>
        <w:tab/>
      </w:r>
      <w:r w:rsidRPr="00624299">
        <w:rPr>
          <w:spacing w:val="-2"/>
          <w:sz w:val="20"/>
          <w:vertAlign w:val="superscript"/>
        </w:rPr>
        <w:tab/>
      </w:r>
      <w:r w:rsidRPr="00624299">
        <w:rPr>
          <w:spacing w:val="-2"/>
          <w:sz w:val="20"/>
        </w:rPr>
        <w:t xml:space="preserve">Initialt kan prostatacancerpatienter opleve et midlertidigt tiltag i knoglesmerter, som kan håndteres symptomatisk. </w:t>
      </w:r>
    </w:p>
    <w:p w:rsidR="00336DC2" w:rsidRPr="00624299" w:rsidRDefault="00336DC2" w:rsidP="00336DC2">
      <w:pPr>
        <w:tabs>
          <w:tab w:val="left" w:pos="-720"/>
          <w:tab w:val="left" w:pos="-142"/>
          <w:tab w:val="left" w:pos="709"/>
          <w:tab w:val="left" w:pos="851"/>
        </w:tabs>
        <w:suppressAutoHyphens/>
        <w:ind w:left="705" w:hanging="705"/>
        <w:rPr>
          <w:spacing w:val="-2"/>
          <w:sz w:val="20"/>
        </w:rPr>
      </w:pPr>
      <w:r w:rsidRPr="00624299">
        <w:rPr>
          <w:spacing w:val="-2"/>
          <w:sz w:val="20"/>
          <w:vertAlign w:val="superscript"/>
        </w:rPr>
        <w:t>f</w:t>
      </w:r>
      <w:r w:rsidRPr="00624299">
        <w:rPr>
          <w:spacing w:val="-2"/>
          <w:sz w:val="20"/>
          <w:vertAlign w:val="superscript"/>
        </w:rPr>
        <w:tab/>
      </w:r>
      <w:r w:rsidRPr="00624299">
        <w:rPr>
          <w:spacing w:val="-2"/>
          <w:sz w:val="20"/>
        </w:rPr>
        <w:t xml:space="preserve">Observeret i et </w:t>
      </w:r>
      <w:proofErr w:type="spellStart"/>
      <w:r w:rsidRPr="00624299">
        <w:rPr>
          <w:spacing w:val="-2"/>
          <w:sz w:val="20"/>
        </w:rPr>
        <w:t>farmako</w:t>
      </w:r>
      <w:proofErr w:type="spellEnd"/>
      <w:r w:rsidRPr="00624299">
        <w:rPr>
          <w:spacing w:val="-2"/>
          <w:sz w:val="20"/>
        </w:rPr>
        <w:t>-epidemiologisk studie</w:t>
      </w:r>
      <w:r w:rsidRPr="00624299">
        <w:rPr>
          <w:spacing w:val="-3"/>
          <w:sz w:val="20"/>
        </w:rPr>
        <w:t xml:space="preserve"> af LHRH-agonister anvendt i behandling af prostatacancer. Denne risiko øges, når det anvendes i kombination med </w:t>
      </w:r>
      <w:proofErr w:type="spellStart"/>
      <w:r w:rsidRPr="00624299">
        <w:rPr>
          <w:spacing w:val="-3"/>
          <w:sz w:val="20"/>
        </w:rPr>
        <w:t>antiandrogener</w:t>
      </w:r>
      <w:proofErr w:type="spellEnd"/>
      <w:r w:rsidRPr="00624299">
        <w:rPr>
          <w:spacing w:val="-3"/>
          <w:sz w:val="20"/>
        </w:rPr>
        <w:t>.</w:t>
      </w:r>
    </w:p>
    <w:p w:rsidR="00336DC2" w:rsidRPr="00624299" w:rsidRDefault="00336DC2" w:rsidP="00336DC2">
      <w:pPr>
        <w:tabs>
          <w:tab w:val="left" w:pos="-720"/>
          <w:tab w:val="left" w:pos="-142"/>
          <w:tab w:val="left" w:pos="709"/>
          <w:tab w:val="left" w:pos="851"/>
        </w:tabs>
        <w:suppressAutoHyphens/>
        <w:ind w:left="705" w:hanging="705"/>
        <w:rPr>
          <w:spacing w:val="-2"/>
          <w:sz w:val="20"/>
        </w:rPr>
      </w:pPr>
      <w:r w:rsidRPr="00624299">
        <w:rPr>
          <w:spacing w:val="-2"/>
          <w:sz w:val="20"/>
          <w:vertAlign w:val="superscript"/>
        </w:rPr>
        <w:t>g</w:t>
      </w:r>
      <w:r w:rsidRPr="00624299">
        <w:rPr>
          <w:spacing w:val="-2"/>
          <w:sz w:val="20"/>
          <w:vertAlign w:val="superscript"/>
        </w:rPr>
        <w:tab/>
      </w:r>
      <w:r w:rsidRPr="00624299">
        <w:rPr>
          <w:spacing w:val="-2"/>
          <w:sz w:val="20"/>
        </w:rPr>
        <w:t>Tab af hår er blevet rapporteret hos kvinder, herunder yngre patienter behandlet for benigne tilstande. Dette er normalt mildt, men kan til tider blive alvorligt.</w:t>
      </w:r>
    </w:p>
    <w:p w:rsidR="00336DC2" w:rsidRPr="00624299" w:rsidRDefault="00336DC2" w:rsidP="00336DC2">
      <w:pPr>
        <w:tabs>
          <w:tab w:val="left" w:pos="-720"/>
          <w:tab w:val="left" w:pos="-142"/>
          <w:tab w:val="left" w:pos="709"/>
          <w:tab w:val="left" w:pos="851"/>
        </w:tabs>
        <w:suppressAutoHyphens/>
        <w:ind w:left="705" w:hanging="705"/>
        <w:rPr>
          <w:spacing w:val="-2"/>
          <w:sz w:val="20"/>
        </w:rPr>
      </w:pPr>
      <w:r w:rsidRPr="00624299">
        <w:rPr>
          <w:spacing w:val="-2"/>
          <w:sz w:val="20"/>
          <w:vertAlign w:val="superscript"/>
        </w:rPr>
        <w:t>h</w:t>
      </w:r>
      <w:r w:rsidRPr="00624299">
        <w:rPr>
          <w:spacing w:val="-2"/>
          <w:sz w:val="20"/>
          <w:vertAlign w:val="superscript"/>
        </w:rPr>
        <w:tab/>
      </w:r>
      <w:r w:rsidRPr="00624299">
        <w:rPr>
          <w:spacing w:val="-2"/>
          <w:sz w:val="20"/>
        </w:rPr>
        <w:t xml:space="preserve">Tab af kropsbehåring, er forventet effekt pga. lavt niveau af </w:t>
      </w:r>
      <w:proofErr w:type="spellStart"/>
      <w:r w:rsidRPr="00624299">
        <w:rPr>
          <w:spacing w:val="-2"/>
          <w:sz w:val="20"/>
        </w:rPr>
        <w:t>androgen</w:t>
      </w:r>
      <w:proofErr w:type="spellEnd"/>
      <w:r w:rsidRPr="00624299">
        <w:rPr>
          <w:spacing w:val="-2"/>
          <w:sz w:val="20"/>
        </w:rPr>
        <w:t>.</w:t>
      </w:r>
    </w:p>
    <w:p w:rsidR="00336DC2" w:rsidRPr="00624299" w:rsidRDefault="00336DC2" w:rsidP="00336DC2">
      <w:pPr>
        <w:tabs>
          <w:tab w:val="left" w:pos="-720"/>
          <w:tab w:val="left" w:pos="-142"/>
          <w:tab w:val="left" w:pos="709"/>
          <w:tab w:val="left" w:pos="851"/>
        </w:tabs>
        <w:suppressAutoHyphens/>
        <w:ind w:left="705" w:hanging="705"/>
        <w:rPr>
          <w:spacing w:val="-2"/>
          <w:sz w:val="20"/>
        </w:rPr>
      </w:pPr>
      <w:r w:rsidRPr="00624299">
        <w:rPr>
          <w:spacing w:val="-2"/>
          <w:sz w:val="20"/>
          <w:vertAlign w:val="superscript"/>
        </w:rPr>
        <w:t>i</w:t>
      </w:r>
      <w:r w:rsidRPr="00624299">
        <w:rPr>
          <w:spacing w:val="-2"/>
          <w:sz w:val="20"/>
        </w:rPr>
        <w:tab/>
      </w:r>
      <w:proofErr w:type="spellStart"/>
      <w:r w:rsidRPr="00624299">
        <w:rPr>
          <w:sz w:val="20"/>
        </w:rPr>
        <w:t>I</w:t>
      </w:r>
      <w:proofErr w:type="spellEnd"/>
      <w:r w:rsidRPr="00624299">
        <w:rPr>
          <w:sz w:val="20"/>
        </w:rPr>
        <w:t xml:space="preserve"> de fleste tilfælde bliver ACNE rapporteret indenfor en måned efter start med </w:t>
      </w:r>
      <w:proofErr w:type="spellStart"/>
      <w:r w:rsidRPr="00624299">
        <w:rPr>
          <w:sz w:val="20"/>
        </w:rPr>
        <w:t>Zoladex</w:t>
      </w:r>
      <w:proofErr w:type="spellEnd"/>
      <w:r w:rsidRPr="00624299">
        <w:rPr>
          <w:sz w:val="20"/>
        </w:rPr>
        <w:t>.</w:t>
      </w:r>
    </w:p>
    <w:p w:rsidR="00336DC2" w:rsidRDefault="00336DC2" w:rsidP="00336DC2">
      <w:pPr>
        <w:tabs>
          <w:tab w:val="left" w:pos="-720"/>
          <w:tab w:val="left" w:pos="-142"/>
          <w:tab w:val="left" w:pos="709"/>
          <w:tab w:val="left" w:pos="851"/>
        </w:tabs>
        <w:suppressAutoHyphens/>
        <w:ind w:left="705" w:hanging="705"/>
        <w:rPr>
          <w:b/>
          <w:bCs/>
          <w:spacing w:val="-2"/>
        </w:rPr>
      </w:pPr>
    </w:p>
    <w:p w:rsidR="00E240B9" w:rsidRDefault="00E240B9" w:rsidP="00336DC2">
      <w:pPr>
        <w:tabs>
          <w:tab w:val="left" w:pos="-720"/>
          <w:tab w:val="left" w:pos="-142"/>
          <w:tab w:val="left" w:pos="709"/>
          <w:tab w:val="left" w:pos="851"/>
        </w:tabs>
        <w:suppressAutoHyphens/>
        <w:ind w:left="705" w:hanging="705"/>
        <w:rPr>
          <w:b/>
          <w:bCs/>
          <w:spacing w:val="-2"/>
        </w:rPr>
      </w:pPr>
    </w:p>
    <w:p w:rsidR="00E240B9" w:rsidRDefault="00E240B9" w:rsidP="00336DC2">
      <w:pPr>
        <w:tabs>
          <w:tab w:val="left" w:pos="-720"/>
          <w:tab w:val="left" w:pos="-142"/>
          <w:tab w:val="left" w:pos="709"/>
          <w:tab w:val="left" w:pos="851"/>
        </w:tabs>
        <w:suppressAutoHyphens/>
        <w:ind w:left="705" w:hanging="705"/>
        <w:rPr>
          <w:b/>
          <w:bCs/>
          <w:spacing w:val="-2"/>
        </w:rPr>
      </w:pPr>
    </w:p>
    <w:p w:rsidR="00E240B9" w:rsidRPr="00624299" w:rsidRDefault="00E240B9" w:rsidP="00336DC2">
      <w:pPr>
        <w:tabs>
          <w:tab w:val="left" w:pos="-720"/>
          <w:tab w:val="left" w:pos="-142"/>
          <w:tab w:val="left" w:pos="709"/>
          <w:tab w:val="left" w:pos="851"/>
        </w:tabs>
        <w:suppressAutoHyphens/>
        <w:ind w:left="705" w:hanging="705"/>
        <w:rPr>
          <w:b/>
          <w:bCs/>
          <w:spacing w:val="-2"/>
        </w:rPr>
      </w:pPr>
    </w:p>
    <w:p w:rsidR="00336DC2" w:rsidRPr="00624299" w:rsidRDefault="00336DC2" w:rsidP="00336DC2">
      <w:pPr>
        <w:tabs>
          <w:tab w:val="left" w:pos="-720"/>
          <w:tab w:val="left" w:pos="-142"/>
          <w:tab w:val="left" w:pos="851"/>
        </w:tabs>
        <w:suppressAutoHyphens/>
        <w:rPr>
          <w:b/>
          <w:bCs/>
          <w:spacing w:val="-2"/>
        </w:rPr>
      </w:pPr>
      <w:r w:rsidRPr="00624299">
        <w:rPr>
          <w:b/>
          <w:bCs/>
          <w:spacing w:val="-2"/>
        </w:rPr>
        <w:lastRenderedPageBreak/>
        <w:tab/>
        <w:t xml:space="preserve">Post-marketing erfaring </w:t>
      </w:r>
    </w:p>
    <w:p w:rsidR="00336DC2" w:rsidRPr="00624299" w:rsidRDefault="00336DC2" w:rsidP="00E240B9">
      <w:pPr>
        <w:tabs>
          <w:tab w:val="left" w:pos="-720"/>
          <w:tab w:val="left" w:pos="-142"/>
          <w:tab w:val="left" w:pos="142"/>
          <w:tab w:val="left" w:pos="851"/>
        </w:tabs>
        <w:suppressAutoHyphens/>
        <w:ind w:left="851"/>
        <w:rPr>
          <w:spacing w:val="-2"/>
        </w:rPr>
      </w:pPr>
      <w:r w:rsidRPr="00624299">
        <w:rPr>
          <w:spacing w:val="-2"/>
        </w:rPr>
        <w:t xml:space="preserve">I forbindelse med </w:t>
      </w:r>
      <w:proofErr w:type="spellStart"/>
      <w:r w:rsidRPr="00624299">
        <w:rPr>
          <w:spacing w:val="-2"/>
        </w:rPr>
        <w:t>Zoladex</w:t>
      </w:r>
      <w:proofErr w:type="spellEnd"/>
      <w:r w:rsidRPr="00624299">
        <w:rPr>
          <w:spacing w:val="-2"/>
        </w:rPr>
        <w:t xml:space="preserve"> har der været rapporteret et mindre antal af ændringer i antal blodlegemer, </w:t>
      </w:r>
      <w:proofErr w:type="spellStart"/>
      <w:r w:rsidRPr="00624299">
        <w:rPr>
          <w:spacing w:val="-2"/>
        </w:rPr>
        <w:t>hepatisk</w:t>
      </w:r>
      <w:proofErr w:type="spellEnd"/>
      <w:r w:rsidRPr="00624299">
        <w:rPr>
          <w:spacing w:val="-2"/>
        </w:rPr>
        <w:t xml:space="preserve"> dysfunktion, </w:t>
      </w:r>
      <w:proofErr w:type="spellStart"/>
      <w:r w:rsidRPr="00624299">
        <w:rPr>
          <w:spacing w:val="-2"/>
        </w:rPr>
        <w:t>pulmonal</w:t>
      </w:r>
      <w:proofErr w:type="spellEnd"/>
      <w:r w:rsidRPr="00624299">
        <w:rPr>
          <w:spacing w:val="-2"/>
        </w:rPr>
        <w:t xml:space="preserve"> </w:t>
      </w:r>
      <w:proofErr w:type="spellStart"/>
      <w:r w:rsidRPr="00624299">
        <w:rPr>
          <w:spacing w:val="-2"/>
        </w:rPr>
        <w:t>embolisme</w:t>
      </w:r>
      <w:proofErr w:type="spellEnd"/>
      <w:r w:rsidRPr="00624299">
        <w:rPr>
          <w:spacing w:val="-2"/>
        </w:rPr>
        <w:t xml:space="preserve"> og </w:t>
      </w:r>
      <w:proofErr w:type="spellStart"/>
      <w:r w:rsidRPr="00624299">
        <w:rPr>
          <w:spacing w:val="-2"/>
        </w:rPr>
        <w:t>interstitial</w:t>
      </w:r>
      <w:proofErr w:type="spellEnd"/>
      <w:r w:rsidRPr="00624299">
        <w:rPr>
          <w:spacing w:val="-2"/>
        </w:rPr>
        <w:t xml:space="preserve"> pneumoni.</w:t>
      </w:r>
    </w:p>
    <w:p w:rsidR="00336DC2" w:rsidRPr="00624299" w:rsidRDefault="00336DC2" w:rsidP="00336DC2">
      <w:pPr>
        <w:tabs>
          <w:tab w:val="left" w:pos="-720"/>
          <w:tab w:val="left" w:pos="-142"/>
          <w:tab w:val="left" w:pos="709"/>
          <w:tab w:val="left" w:pos="851"/>
        </w:tabs>
        <w:suppressAutoHyphens/>
        <w:ind w:left="705" w:hanging="705"/>
      </w:pPr>
    </w:p>
    <w:p w:rsidR="00336DC2" w:rsidRPr="00624299" w:rsidRDefault="00336DC2" w:rsidP="00336DC2">
      <w:pPr>
        <w:pStyle w:val="Brdtekst"/>
        <w:tabs>
          <w:tab w:val="left" w:pos="-720"/>
          <w:tab w:val="left" w:pos="-142"/>
          <w:tab w:val="left" w:pos="851"/>
        </w:tabs>
        <w:spacing w:after="0"/>
      </w:pPr>
      <w:r w:rsidRPr="00624299">
        <w:tab/>
        <w:t>Sjældent, oplever nogle kvinder, at menopausen begynder under behandling med LHRH-</w:t>
      </w:r>
      <w:proofErr w:type="spellStart"/>
      <w:r w:rsidRPr="00624299">
        <w:t>analoger</w:t>
      </w:r>
      <w:proofErr w:type="spellEnd"/>
      <w:r w:rsidRPr="00624299">
        <w:t xml:space="preserve">, og at de derfor ikke får menstruation efter behandlingsophør. Det er uvist om dette er en effekt af </w:t>
      </w:r>
      <w:proofErr w:type="spellStart"/>
      <w:r w:rsidRPr="00624299">
        <w:t>Zoladex</w:t>
      </w:r>
      <w:proofErr w:type="spellEnd"/>
      <w:r w:rsidRPr="00624299">
        <w:t xml:space="preserve">-behandling eller af deres gynækologiske tilstand.  </w:t>
      </w:r>
      <w:r w:rsidRPr="00624299">
        <w:br/>
      </w:r>
      <w:r w:rsidRPr="00624299">
        <w:br/>
      </w:r>
      <w:r w:rsidRPr="00624299">
        <w:rPr>
          <w:spacing w:val="-2"/>
        </w:rPr>
        <w:t>Implantat 3,6 mg: Yderligere er følgende bivirkninger rapporteret hos kvinder, der behandles for godartede gynækologiske indikationer:</w:t>
      </w:r>
    </w:p>
    <w:p w:rsidR="00336DC2" w:rsidRPr="00624299" w:rsidRDefault="00336DC2" w:rsidP="00E240B9">
      <w:pPr>
        <w:tabs>
          <w:tab w:val="left" w:pos="-720"/>
          <w:tab w:val="left" w:pos="-142"/>
          <w:tab w:val="left" w:pos="142"/>
          <w:tab w:val="left" w:pos="851"/>
        </w:tabs>
        <w:suppressAutoHyphens/>
        <w:ind w:left="851"/>
        <w:rPr>
          <w:spacing w:val="-2"/>
        </w:rPr>
      </w:pPr>
      <w:proofErr w:type="spellStart"/>
      <w:r w:rsidRPr="00624299">
        <w:rPr>
          <w:spacing w:val="-2"/>
        </w:rPr>
        <w:t>Acne</w:t>
      </w:r>
      <w:proofErr w:type="spellEnd"/>
      <w:r w:rsidRPr="00624299">
        <w:rPr>
          <w:spacing w:val="-2"/>
        </w:rPr>
        <w:t xml:space="preserve">, forandret kropsbehåring, tør hud, vægtforøgelse, forøget blodkolesterol, ovarie </w:t>
      </w:r>
      <w:proofErr w:type="spellStart"/>
      <w:r w:rsidRPr="00624299">
        <w:rPr>
          <w:spacing w:val="-2"/>
        </w:rPr>
        <w:t>hyperstimulation</w:t>
      </w:r>
      <w:proofErr w:type="spellEnd"/>
      <w:r w:rsidRPr="00624299">
        <w:rPr>
          <w:spacing w:val="-2"/>
        </w:rPr>
        <w:t xml:space="preserve"> syndrom (i tilfælde af samtidig behandling med </w:t>
      </w:r>
      <w:proofErr w:type="spellStart"/>
      <w:r w:rsidRPr="00624299">
        <w:rPr>
          <w:spacing w:val="-2"/>
        </w:rPr>
        <w:t>gonadotropiner</w:t>
      </w:r>
      <w:proofErr w:type="spellEnd"/>
      <w:r w:rsidRPr="00624299">
        <w:rPr>
          <w:spacing w:val="-2"/>
        </w:rPr>
        <w:t xml:space="preserve">), </w:t>
      </w:r>
      <w:proofErr w:type="spellStart"/>
      <w:r w:rsidRPr="00624299">
        <w:rPr>
          <w:spacing w:val="-2"/>
        </w:rPr>
        <w:t>vaginitis</w:t>
      </w:r>
      <w:proofErr w:type="spellEnd"/>
      <w:r w:rsidRPr="00624299">
        <w:rPr>
          <w:spacing w:val="-2"/>
        </w:rPr>
        <w:t xml:space="preserve">, </w:t>
      </w:r>
      <w:proofErr w:type="gramStart"/>
      <w:r w:rsidRPr="00624299">
        <w:rPr>
          <w:spacing w:val="-2"/>
        </w:rPr>
        <w:t>vaginal udflåd</w:t>
      </w:r>
      <w:proofErr w:type="gramEnd"/>
      <w:r w:rsidRPr="00624299">
        <w:rPr>
          <w:spacing w:val="-2"/>
        </w:rPr>
        <w:t xml:space="preserve">, nervøsitet, søvnforstyrrelser, træthed, perifere ødemer, myalgi, kramper i læggene, kvalme, opkastning, </w:t>
      </w:r>
      <w:proofErr w:type="spellStart"/>
      <w:r w:rsidRPr="00624299">
        <w:rPr>
          <w:spacing w:val="-2"/>
        </w:rPr>
        <w:t>diaré</w:t>
      </w:r>
      <w:proofErr w:type="spellEnd"/>
      <w:r w:rsidRPr="00624299">
        <w:rPr>
          <w:spacing w:val="-2"/>
        </w:rPr>
        <w:t>, forstoppelse, maveproblemer, forandret stemme.</w:t>
      </w:r>
    </w:p>
    <w:p w:rsidR="00336DC2" w:rsidRPr="00624299" w:rsidRDefault="00336DC2" w:rsidP="00336DC2">
      <w:pPr>
        <w:pStyle w:val="Brdtekst"/>
        <w:tabs>
          <w:tab w:val="left" w:pos="-720"/>
          <w:tab w:val="left" w:pos="851"/>
        </w:tabs>
        <w:spacing w:after="0"/>
      </w:pPr>
    </w:p>
    <w:p w:rsidR="00336DC2" w:rsidRPr="00624299" w:rsidRDefault="00336DC2" w:rsidP="00E240B9">
      <w:pPr>
        <w:ind w:left="851"/>
      </w:pPr>
      <w:r w:rsidRPr="00624299">
        <w:t>Initialt kan brystcancerpatienter opleve midlertidig forværring af symptomer, som kan håndteres symptomatisk.</w:t>
      </w:r>
    </w:p>
    <w:p w:rsidR="00336DC2" w:rsidRPr="00624299" w:rsidRDefault="00336DC2" w:rsidP="00E240B9">
      <w:pPr>
        <w:ind w:left="851"/>
      </w:pPr>
      <w:proofErr w:type="spellStart"/>
      <w:r w:rsidRPr="00624299">
        <w:t>Menopausale</w:t>
      </w:r>
      <w:proofErr w:type="spellEnd"/>
      <w:r w:rsidRPr="00624299">
        <w:t xml:space="preserve"> kvinder med metastaser har sjældent udviklet </w:t>
      </w:r>
      <w:proofErr w:type="spellStart"/>
      <w:r w:rsidRPr="00624299">
        <w:t>hyperkalciæmi</w:t>
      </w:r>
      <w:proofErr w:type="spellEnd"/>
      <w:r w:rsidRPr="00624299">
        <w:t xml:space="preserve"> i begyndelsen af behandlingen.</w:t>
      </w:r>
    </w:p>
    <w:p w:rsidR="00336DC2" w:rsidRPr="00624299" w:rsidRDefault="00336DC2" w:rsidP="00336DC2"/>
    <w:p w:rsidR="00336DC2" w:rsidRPr="00624299" w:rsidRDefault="00336DC2" w:rsidP="00E240B9">
      <w:pPr>
        <w:ind w:left="851"/>
      </w:pPr>
      <w:r w:rsidRPr="00624299">
        <w:t xml:space="preserve">Implantat 10,8 mg: Der er rapporteret et mindre antal tilfælde af </w:t>
      </w:r>
      <w:proofErr w:type="spellStart"/>
      <w:r w:rsidRPr="00624299">
        <w:t>hyperkalciæmi</w:t>
      </w:r>
      <w:proofErr w:type="spellEnd"/>
      <w:r w:rsidRPr="00624299">
        <w:t xml:space="preserve"> hos kvinder der behandles for </w:t>
      </w:r>
      <w:proofErr w:type="spellStart"/>
      <w:r w:rsidRPr="00624299">
        <w:t>endometriose</w:t>
      </w:r>
      <w:proofErr w:type="spellEnd"/>
      <w:r w:rsidRPr="00624299">
        <w:t xml:space="preserve"> og/eller fibromer. I tilfælde af symptomer på </w:t>
      </w:r>
      <w:proofErr w:type="spellStart"/>
      <w:r w:rsidRPr="00624299">
        <w:t>hyperkalciæmi</w:t>
      </w:r>
      <w:proofErr w:type="spellEnd"/>
      <w:r w:rsidRPr="00624299">
        <w:t xml:space="preserve"> bør </w:t>
      </w:r>
      <w:proofErr w:type="spellStart"/>
      <w:r w:rsidRPr="00624299">
        <w:t>hyperkalciæmi</w:t>
      </w:r>
      <w:proofErr w:type="spellEnd"/>
      <w:r w:rsidRPr="00624299">
        <w:t xml:space="preserve"> udelukkes.</w:t>
      </w:r>
    </w:p>
    <w:p w:rsidR="00336DC2" w:rsidRPr="00624299" w:rsidRDefault="00336DC2" w:rsidP="00336DC2">
      <w:pPr>
        <w:ind w:hanging="1"/>
      </w:pPr>
    </w:p>
    <w:p w:rsidR="00D70A42" w:rsidRPr="008F49E1" w:rsidRDefault="00D70A42"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70A42" w:rsidRPr="008F49E1" w:rsidRDefault="00D70A42"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D70A42" w:rsidRPr="008F49E1" w:rsidRDefault="00D70A42" w:rsidP="002A1420">
      <w:pPr>
        <w:ind w:left="851"/>
        <w:rPr>
          <w:sz w:val="24"/>
          <w:szCs w:val="24"/>
          <w:lang w:eastAsia="da-DK"/>
        </w:rPr>
      </w:pPr>
    </w:p>
    <w:p w:rsidR="00D70A42" w:rsidRPr="007A276A" w:rsidRDefault="00D70A42" w:rsidP="002A1420">
      <w:pPr>
        <w:ind w:left="851"/>
        <w:rPr>
          <w:sz w:val="24"/>
          <w:szCs w:val="24"/>
          <w:lang w:eastAsia="da-DK"/>
        </w:rPr>
      </w:pPr>
      <w:r w:rsidRPr="007A276A">
        <w:rPr>
          <w:sz w:val="24"/>
          <w:szCs w:val="24"/>
          <w:lang w:eastAsia="da-DK"/>
        </w:rPr>
        <w:t>Lægemiddelstyrelsen</w:t>
      </w:r>
    </w:p>
    <w:p w:rsidR="00D70A42" w:rsidRPr="007A276A" w:rsidRDefault="00D70A42" w:rsidP="002A1420">
      <w:pPr>
        <w:ind w:left="851"/>
        <w:rPr>
          <w:sz w:val="24"/>
          <w:szCs w:val="24"/>
          <w:lang w:eastAsia="da-DK"/>
        </w:rPr>
      </w:pPr>
      <w:r w:rsidRPr="007A276A">
        <w:rPr>
          <w:sz w:val="24"/>
          <w:szCs w:val="24"/>
          <w:lang w:eastAsia="da-DK"/>
        </w:rPr>
        <w:t>Axel Heides Gade 1</w:t>
      </w:r>
    </w:p>
    <w:p w:rsidR="00D70A42" w:rsidRPr="007A276A" w:rsidRDefault="00D70A42" w:rsidP="002A1420">
      <w:pPr>
        <w:ind w:left="851"/>
        <w:rPr>
          <w:sz w:val="24"/>
          <w:szCs w:val="24"/>
          <w:lang w:eastAsia="da-DK"/>
        </w:rPr>
      </w:pPr>
      <w:r w:rsidRPr="007A276A">
        <w:rPr>
          <w:sz w:val="24"/>
          <w:szCs w:val="24"/>
          <w:lang w:eastAsia="da-DK"/>
        </w:rPr>
        <w:t>DK-2300 København S</w:t>
      </w:r>
    </w:p>
    <w:p w:rsidR="00D70A42" w:rsidRPr="00D70A42" w:rsidRDefault="00D70A42" w:rsidP="002A1420">
      <w:pPr>
        <w:ind w:left="851"/>
        <w:rPr>
          <w:sz w:val="24"/>
          <w:szCs w:val="24"/>
          <w:lang w:eastAsia="da-DK"/>
        </w:rPr>
      </w:pPr>
      <w:r w:rsidRPr="00D70A42">
        <w:rPr>
          <w:sz w:val="24"/>
          <w:szCs w:val="24"/>
          <w:lang w:eastAsia="da-DK"/>
        </w:rPr>
        <w:t xml:space="preserve">Websted: </w:t>
      </w:r>
      <w:hyperlink r:id="rId8" w:history="1">
        <w:r w:rsidRPr="0024703B">
          <w:rPr>
            <w:rStyle w:val="Hyperlink"/>
            <w:sz w:val="24"/>
            <w:lang w:eastAsia="da-DK"/>
          </w:rPr>
          <w:t>www.meldenbivirkning.dk</w:t>
        </w:r>
      </w:hyperlink>
      <w:r>
        <w:rPr>
          <w:sz w:val="24"/>
          <w:lang w:eastAsia="da-DK"/>
        </w:rPr>
        <w:t xml:space="preserve"> </w:t>
      </w:r>
    </w:p>
    <w:p w:rsidR="00336DC2" w:rsidRPr="00D70A42" w:rsidRDefault="00336DC2" w:rsidP="00336DC2">
      <w:pPr>
        <w:ind w:hanging="1"/>
      </w:pPr>
    </w:p>
    <w:p w:rsidR="00336DC2" w:rsidRPr="000511B8" w:rsidRDefault="00336DC2" w:rsidP="00336DC2">
      <w:pPr>
        <w:tabs>
          <w:tab w:val="left" w:pos="0"/>
          <w:tab w:val="left" w:pos="851"/>
        </w:tabs>
        <w:suppressAutoHyphens/>
        <w:ind w:left="850" w:hanging="850"/>
        <w:jc w:val="both"/>
        <w:rPr>
          <w:b/>
          <w:spacing w:val="-3"/>
          <w:u w:val="single"/>
        </w:rPr>
      </w:pPr>
      <w:r w:rsidRPr="000511B8">
        <w:rPr>
          <w:b/>
          <w:spacing w:val="-3"/>
        </w:rPr>
        <w:t>4.9</w:t>
      </w:r>
      <w:r w:rsidRPr="000511B8">
        <w:rPr>
          <w:b/>
          <w:spacing w:val="-3"/>
        </w:rPr>
        <w:tab/>
        <w:t>Overdosering</w:t>
      </w:r>
    </w:p>
    <w:p w:rsidR="00336DC2" w:rsidRPr="000511B8" w:rsidRDefault="00336DC2" w:rsidP="00336DC2">
      <w:pPr>
        <w:pStyle w:val="Brdtekstindrykning2"/>
        <w:spacing w:line="240" w:lineRule="auto"/>
        <w:ind w:left="0" w:firstLine="850"/>
      </w:pPr>
      <w:r w:rsidRPr="000511B8">
        <w:t>Symptomer:</w:t>
      </w:r>
    </w:p>
    <w:p w:rsidR="00336DC2" w:rsidRPr="00624299" w:rsidRDefault="00336DC2" w:rsidP="00336DC2">
      <w:pPr>
        <w:pStyle w:val="Brdtekstindrykning2"/>
        <w:spacing w:line="240" w:lineRule="auto"/>
        <w:ind w:left="850" w:firstLine="0"/>
      </w:pPr>
      <w:r w:rsidRPr="00624299">
        <w:t xml:space="preserve">Der er begrænset erfaring med overdosering hos mennesker. I til fælde hvor </w:t>
      </w:r>
      <w:proofErr w:type="spellStart"/>
      <w:r w:rsidRPr="00624299">
        <w:t>Zoladex</w:t>
      </w:r>
      <w:proofErr w:type="spellEnd"/>
      <w:r w:rsidRPr="00624299">
        <w:t xml:space="preserve"> har været givet før det planlagte administrationstidspunkt, eller hvor der har været givet større doser </w:t>
      </w:r>
      <w:proofErr w:type="spellStart"/>
      <w:r w:rsidRPr="00624299">
        <w:t>Zoladex</w:t>
      </w:r>
      <w:proofErr w:type="spellEnd"/>
      <w:r w:rsidRPr="00624299">
        <w:t xml:space="preserve"> end planlagt, er der ikke observeret nogen klinisk signifikante uønskede virkninger. Forsøg med dyr tyder på, at der ikke er anden effekt end den ønskede terapeutiske på kønshormonkoncentrationerne og på forplantningsorganerne ved højere doser af </w:t>
      </w:r>
      <w:proofErr w:type="spellStart"/>
      <w:r w:rsidRPr="00624299">
        <w:t>Zoladex</w:t>
      </w:r>
      <w:proofErr w:type="spellEnd"/>
      <w:r w:rsidRPr="00624299">
        <w:t xml:space="preserve">. I tilfælde af overdosering håndteres disse symptomatisk. </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4.10</w:t>
      </w:r>
      <w:r w:rsidRPr="00624299">
        <w:rPr>
          <w:b/>
          <w:spacing w:val="-3"/>
        </w:rPr>
        <w:tab/>
        <w:t>Udlevering</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A</w:t>
      </w:r>
    </w:p>
    <w:p w:rsidR="00336DC2" w:rsidRDefault="00336DC2" w:rsidP="00336DC2">
      <w:pPr>
        <w:tabs>
          <w:tab w:val="left" w:pos="0"/>
          <w:tab w:val="left" w:pos="851"/>
        </w:tabs>
        <w:suppressAutoHyphens/>
        <w:jc w:val="both"/>
        <w:rPr>
          <w:b/>
          <w:spacing w:val="-3"/>
        </w:rPr>
      </w:pPr>
    </w:p>
    <w:p w:rsidR="00336DC2" w:rsidRPr="00624299" w:rsidRDefault="00336DC2" w:rsidP="00336DC2">
      <w:pPr>
        <w:tabs>
          <w:tab w:val="left" w:pos="0"/>
          <w:tab w:val="left" w:pos="851"/>
        </w:tabs>
        <w:suppressAutoHyphens/>
        <w:jc w:val="both"/>
        <w:rPr>
          <w:b/>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 xml:space="preserve">5. </w:t>
      </w:r>
      <w:r w:rsidRPr="00624299">
        <w:rPr>
          <w:b/>
          <w:spacing w:val="-3"/>
        </w:rPr>
        <w:tab/>
        <w:t>FARMAKOLOGISKE EGENSKABER</w:t>
      </w:r>
    </w:p>
    <w:p w:rsidR="00336DC2" w:rsidRPr="00624299" w:rsidRDefault="00336DC2" w:rsidP="00336DC2">
      <w:pPr>
        <w:tabs>
          <w:tab w:val="left" w:pos="0"/>
          <w:tab w:val="left" w:pos="851"/>
        </w:tabs>
        <w:suppressAutoHyphens/>
        <w:jc w:val="both"/>
        <w:rPr>
          <w:b/>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5.0</w:t>
      </w:r>
      <w:r w:rsidRPr="00624299">
        <w:rPr>
          <w:b/>
          <w:spacing w:val="-3"/>
        </w:rPr>
        <w:tab/>
        <w:t>Terapeutisk klassifikation</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 xml:space="preserve">ATC-kode: L 02 AE 03 – </w:t>
      </w:r>
      <w:proofErr w:type="spellStart"/>
      <w:r w:rsidRPr="00624299">
        <w:rPr>
          <w:spacing w:val="-3"/>
        </w:rPr>
        <w:t>Gonadotropin-releasing</w:t>
      </w:r>
      <w:proofErr w:type="spellEnd"/>
      <w:r w:rsidRPr="00624299">
        <w:rPr>
          <w:spacing w:val="-3"/>
        </w:rPr>
        <w:t xml:space="preserve"> hormon </w:t>
      </w:r>
      <w:proofErr w:type="spellStart"/>
      <w:r w:rsidRPr="00624299">
        <w:rPr>
          <w:spacing w:val="-3"/>
        </w:rPr>
        <w:t>analoger</w:t>
      </w:r>
      <w:proofErr w:type="spellEnd"/>
    </w:p>
    <w:p w:rsidR="00336DC2" w:rsidRPr="00624299" w:rsidRDefault="00336DC2" w:rsidP="00336DC2">
      <w:pPr>
        <w:tabs>
          <w:tab w:val="left" w:pos="0"/>
          <w:tab w:val="left" w:pos="851"/>
        </w:tabs>
        <w:suppressAutoHyphens/>
        <w:jc w:val="both"/>
        <w:rPr>
          <w:spacing w:val="-3"/>
        </w:rPr>
      </w:pPr>
      <w:r>
        <w:rPr>
          <w:spacing w:val="-3"/>
        </w:rPr>
        <w:br w:type="page"/>
      </w:r>
    </w:p>
    <w:p w:rsidR="00336DC2" w:rsidRPr="00624299" w:rsidRDefault="00336DC2" w:rsidP="00336DC2">
      <w:pPr>
        <w:tabs>
          <w:tab w:val="left" w:pos="0"/>
          <w:tab w:val="left" w:pos="851"/>
        </w:tabs>
        <w:suppressAutoHyphens/>
        <w:ind w:left="850" w:hanging="850"/>
        <w:jc w:val="both"/>
        <w:rPr>
          <w:b/>
          <w:spacing w:val="-3"/>
        </w:rPr>
      </w:pPr>
      <w:r w:rsidRPr="00624299">
        <w:rPr>
          <w:b/>
          <w:spacing w:val="-3"/>
        </w:rPr>
        <w:lastRenderedPageBreak/>
        <w:t>5.1</w:t>
      </w:r>
      <w:r w:rsidRPr="00624299">
        <w:rPr>
          <w:b/>
          <w:spacing w:val="-3"/>
        </w:rPr>
        <w:tab/>
      </w:r>
      <w:proofErr w:type="spellStart"/>
      <w:r w:rsidRPr="00624299">
        <w:rPr>
          <w:b/>
          <w:spacing w:val="-3"/>
        </w:rPr>
        <w:t>Farmakodynamiske</w:t>
      </w:r>
      <w:proofErr w:type="spellEnd"/>
      <w:r w:rsidRPr="00624299">
        <w:rPr>
          <w:b/>
          <w:spacing w:val="-3"/>
        </w:rPr>
        <w:t xml:space="preserve"> egenskaber</w:t>
      </w:r>
    </w:p>
    <w:p w:rsidR="00336DC2" w:rsidRPr="00624299" w:rsidRDefault="00336DC2" w:rsidP="00336DC2">
      <w:pPr>
        <w:tabs>
          <w:tab w:val="left" w:pos="0"/>
          <w:tab w:val="left" w:pos="851"/>
        </w:tabs>
        <w:suppressAutoHyphens/>
        <w:ind w:left="850" w:hanging="850"/>
        <w:rPr>
          <w:spacing w:val="-3"/>
        </w:rPr>
      </w:pPr>
      <w:r w:rsidRPr="00624299">
        <w:rPr>
          <w:spacing w:val="-3"/>
        </w:rPr>
        <w:tab/>
      </w:r>
      <w:proofErr w:type="spellStart"/>
      <w:r w:rsidRPr="00624299">
        <w:rPr>
          <w:spacing w:val="-3"/>
        </w:rPr>
        <w:t>Goserelin</w:t>
      </w:r>
      <w:proofErr w:type="spellEnd"/>
      <w:r w:rsidRPr="00624299">
        <w:rPr>
          <w:spacing w:val="-3"/>
        </w:rPr>
        <w:t xml:space="preserve"> er en syntetisk analog til det naturligt forekommende LHRH. Ved kronisk admini</w:t>
      </w:r>
      <w:r w:rsidRPr="00624299">
        <w:rPr>
          <w:spacing w:val="-3"/>
        </w:rPr>
        <w:softHyphen/>
        <w:t xml:space="preserve">stration af præparatet hæmmes hypofysens sekretion af </w:t>
      </w:r>
      <w:proofErr w:type="spellStart"/>
      <w:r w:rsidRPr="00624299">
        <w:rPr>
          <w:spacing w:val="-3"/>
        </w:rPr>
        <w:t>luteiniserende</w:t>
      </w:r>
      <w:proofErr w:type="spellEnd"/>
      <w:r w:rsidRPr="00624299">
        <w:rPr>
          <w:spacing w:val="-3"/>
        </w:rPr>
        <w:t xml:space="preserve"> hormon (LH). Dette medfører et fald i serumkoncentrationen af </w:t>
      </w:r>
      <w:proofErr w:type="spellStart"/>
      <w:r w:rsidRPr="00624299">
        <w:rPr>
          <w:spacing w:val="-3"/>
        </w:rPr>
        <w:t>estradiol</w:t>
      </w:r>
      <w:proofErr w:type="spellEnd"/>
      <w:r w:rsidRPr="00624299">
        <w:rPr>
          <w:spacing w:val="-3"/>
        </w:rPr>
        <w:t xml:space="preserve"> hos kvinder og af testosteron hos mænd. Initialt bevirker præparaterne (som andre LHRH-agonister) en midlertidig stigning i serum</w:t>
      </w:r>
      <w:r w:rsidRPr="00624299">
        <w:rPr>
          <w:spacing w:val="-3"/>
        </w:rPr>
        <w:softHyphen/>
        <w:t>koncentrationen.</w:t>
      </w:r>
    </w:p>
    <w:p w:rsidR="00336DC2" w:rsidRPr="00624299" w:rsidRDefault="00336DC2" w:rsidP="00336DC2">
      <w:pPr>
        <w:tabs>
          <w:tab w:val="left" w:pos="0"/>
          <w:tab w:val="left" w:pos="851"/>
        </w:tabs>
        <w:suppressAutoHyphens/>
        <w:rPr>
          <w:spacing w:val="-3"/>
        </w:rPr>
      </w:pPr>
    </w:p>
    <w:p w:rsidR="00336DC2" w:rsidRPr="00624299" w:rsidRDefault="00336DC2" w:rsidP="00336DC2">
      <w:pPr>
        <w:tabs>
          <w:tab w:val="left" w:pos="0"/>
          <w:tab w:val="left" w:pos="851"/>
        </w:tabs>
        <w:suppressAutoHyphens/>
        <w:ind w:left="850" w:hanging="850"/>
        <w:rPr>
          <w:spacing w:val="-3"/>
        </w:rPr>
      </w:pPr>
      <w:r w:rsidRPr="00624299">
        <w:rPr>
          <w:spacing w:val="-3"/>
        </w:rPr>
        <w:tab/>
        <w:t>21 dage efter injektionen er serum-testosteron hos mænd faldet til under kastrations</w:t>
      </w:r>
      <w:r w:rsidRPr="00624299">
        <w:rPr>
          <w:spacing w:val="-3"/>
        </w:rPr>
        <w:softHyphen/>
        <w:t>niveau. Suppressionen opretholdes ved injektion af enten 3,6 mg hver 4. uge eller 10,8 mg hver 3. måned. Hvis den gentagne dosering undtagelsesvis ikke sker efter 3 måneder, indikerer data, at kastrationsniveauet af testosteron er bibeholdt i op til 16 uger hos størstedelen af patienterne.</w:t>
      </w:r>
    </w:p>
    <w:p w:rsidR="00336DC2" w:rsidRPr="00624299" w:rsidRDefault="00336DC2" w:rsidP="00336DC2">
      <w:pPr>
        <w:tabs>
          <w:tab w:val="left" w:pos="0"/>
          <w:tab w:val="left" w:pos="851"/>
        </w:tabs>
        <w:suppressAutoHyphens/>
        <w:ind w:left="850" w:hanging="850"/>
        <w:rPr>
          <w:spacing w:val="-3"/>
        </w:rPr>
      </w:pPr>
    </w:p>
    <w:p w:rsidR="00336DC2" w:rsidRPr="00624299" w:rsidRDefault="00336DC2" w:rsidP="00E240B9">
      <w:pPr>
        <w:ind w:left="850"/>
        <w:rPr>
          <w:szCs w:val="24"/>
        </w:rPr>
      </w:pPr>
      <w:r w:rsidRPr="00624299">
        <w:rPr>
          <w:szCs w:val="24"/>
        </w:rPr>
        <w:t xml:space="preserve">Til behandling af patienter med metastatisk prostatacancer, har </w:t>
      </w:r>
      <w:proofErr w:type="spellStart"/>
      <w:r w:rsidRPr="00624299">
        <w:rPr>
          <w:szCs w:val="24"/>
        </w:rPr>
        <w:t>Zoladex</w:t>
      </w:r>
      <w:proofErr w:type="spellEnd"/>
      <w:r w:rsidRPr="00624299">
        <w:rPr>
          <w:szCs w:val="24"/>
        </w:rPr>
        <w:t xml:space="preserve"> i sammenlignende kliniske studier påvist samme overlevelsesresultat som opnås med kirurgisk kastrering.</w:t>
      </w:r>
    </w:p>
    <w:p w:rsidR="00336DC2" w:rsidRPr="00624299" w:rsidRDefault="00336DC2" w:rsidP="00336DC2">
      <w:pPr>
        <w:rPr>
          <w:szCs w:val="24"/>
        </w:rPr>
      </w:pPr>
    </w:p>
    <w:p w:rsidR="00336DC2" w:rsidRPr="00624299" w:rsidRDefault="00336DC2" w:rsidP="00E240B9">
      <w:pPr>
        <w:ind w:left="850"/>
        <w:rPr>
          <w:szCs w:val="24"/>
        </w:rPr>
      </w:pPr>
      <w:r w:rsidRPr="00624299">
        <w:rPr>
          <w:szCs w:val="24"/>
        </w:rPr>
        <w:t xml:space="preserve">I en kombineret analyse af 2 randomiserede kontrollerede forsøg, hvor </w:t>
      </w:r>
      <w:proofErr w:type="spellStart"/>
      <w:r w:rsidRPr="00624299">
        <w:rPr>
          <w:szCs w:val="24"/>
        </w:rPr>
        <w:t>bicalutamid</w:t>
      </w:r>
      <w:proofErr w:type="spellEnd"/>
      <w:r w:rsidRPr="00624299">
        <w:rPr>
          <w:szCs w:val="24"/>
        </w:rPr>
        <w:t xml:space="preserve"> 150 mg som monoterapi blev sammenlignet med kastrering (overvejende i form af </w:t>
      </w:r>
      <w:proofErr w:type="spellStart"/>
      <w:r w:rsidRPr="00624299">
        <w:rPr>
          <w:szCs w:val="24"/>
        </w:rPr>
        <w:t>Zoladex</w:t>
      </w:r>
      <w:proofErr w:type="spellEnd"/>
      <w:r w:rsidRPr="00624299">
        <w:rPr>
          <w:szCs w:val="24"/>
        </w:rPr>
        <w:t xml:space="preserve">), fandtes ingen signifikant forskel i samlet overlevelse mellem </w:t>
      </w:r>
      <w:proofErr w:type="spellStart"/>
      <w:r w:rsidRPr="00624299">
        <w:rPr>
          <w:szCs w:val="24"/>
        </w:rPr>
        <w:t>bicalutamidbehandlede</w:t>
      </w:r>
      <w:proofErr w:type="spellEnd"/>
      <w:r w:rsidRPr="00624299">
        <w:rPr>
          <w:szCs w:val="24"/>
        </w:rPr>
        <w:t xml:space="preserve"> patienter og kastrerede patienter (</w:t>
      </w:r>
      <w:proofErr w:type="spellStart"/>
      <w:r w:rsidRPr="00624299">
        <w:rPr>
          <w:szCs w:val="24"/>
        </w:rPr>
        <w:t>hazard</w:t>
      </w:r>
      <w:proofErr w:type="spellEnd"/>
      <w:r w:rsidRPr="00624299">
        <w:rPr>
          <w:szCs w:val="24"/>
        </w:rPr>
        <w:t xml:space="preserve"> ratio = 1,05 [CI 0,81 til 1,36]) med lokalt fremskreden prostatacancer. Statistisk kunne der imidlertid ikke konkluderes nogen ækvivalens mellem de to behandlingsformer.</w:t>
      </w:r>
    </w:p>
    <w:p w:rsidR="00336DC2" w:rsidRPr="00624299" w:rsidRDefault="00336DC2" w:rsidP="00336DC2">
      <w:pPr>
        <w:rPr>
          <w:szCs w:val="24"/>
        </w:rPr>
      </w:pPr>
    </w:p>
    <w:p w:rsidR="00336DC2" w:rsidRPr="00624299" w:rsidRDefault="00336DC2" w:rsidP="00E240B9">
      <w:pPr>
        <w:ind w:left="850"/>
        <w:rPr>
          <w:szCs w:val="24"/>
        </w:rPr>
      </w:pPr>
      <w:r w:rsidRPr="00624299">
        <w:rPr>
          <w:szCs w:val="24"/>
        </w:rPr>
        <w:t xml:space="preserve">I sammenlignende forsøg har </w:t>
      </w:r>
      <w:proofErr w:type="spellStart"/>
      <w:r w:rsidRPr="00624299">
        <w:rPr>
          <w:szCs w:val="24"/>
        </w:rPr>
        <w:t>Zoladex</w:t>
      </w:r>
      <w:proofErr w:type="spellEnd"/>
      <w:r w:rsidRPr="00624299">
        <w:rPr>
          <w:szCs w:val="24"/>
        </w:rPr>
        <w:t xml:space="preserve"> vist sig at forbedre sygdomsfri overlevelse og samlet overlevelse, når det blev anvendt som </w:t>
      </w:r>
      <w:proofErr w:type="spellStart"/>
      <w:r w:rsidRPr="00624299">
        <w:rPr>
          <w:szCs w:val="24"/>
        </w:rPr>
        <w:t>adjuverende</w:t>
      </w:r>
      <w:proofErr w:type="spellEnd"/>
      <w:r w:rsidRPr="00624299">
        <w:rPr>
          <w:szCs w:val="24"/>
        </w:rPr>
        <w:t xml:space="preserve"> behandling til strålebehandling hos patienter med </w:t>
      </w:r>
      <w:r w:rsidRPr="00624299">
        <w:t>højrisiko</w:t>
      </w:r>
      <w:r w:rsidRPr="00624299">
        <w:rPr>
          <w:szCs w:val="24"/>
        </w:rPr>
        <w:t xml:space="preserve"> lokaliseret prostatacancer (T1-T2 og PSA på mindst 10 </w:t>
      </w:r>
      <w:proofErr w:type="spellStart"/>
      <w:r w:rsidRPr="00624299">
        <w:rPr>
          <w:szCs w:val="24"/>
        </w:rPr>
        <w:t>ng</w:t>
      </w:r>
      <w:proofErr w:type="spellEnd"/>
      <w:r w:rsidRPr="00624299">
        <w:rPr>
          <w:szCs w:val="24"/>
        </w:rPr>
        <w:t xml:space="preserve">/ml eller en </w:t>
      </w:r>
      <w:proofErr w:type="spellStart"/>
      <w:r w:rsidRPr="00624299">
        <w:rPr>
          <w:szCs w:val="24"/>
        </w:rPr>
        <w:t>Gleason</w:t>
      </w:r>
      <w:proofErr w:type="spellEnd"/>
      <w:r w:rsidRPr="00624299">
        <w:rPr>
          <w:szCs w:val="24"/>
        </w:rPr>
        <w:t xml:space="preserve">-score på mindst 7) eller lokalt fremskreden (T3-T4) prostatacancer. Den optimale varighed af </w:t>
      </w:r>
      <w:proofErr w:type="spellStart"/>
      <w:r w:rsidRPr="00624299">
        <w:rPr>
          <w:szCs w:val="24"/>
        </w:rPr>
        <w:t>adjuverende</w:t>
      </w:r>
      <w:proofErr w:type="spellEnd"/>
      <w:r w:rsidRPr="00624299">
        <w:rPr>
          <w:szCs w:val="24"/>
        </w:rPr>
        <w:t xml:space="preserve"> behandling er ikke fastslået; et sammenlignende forsøg har vist, at 3 års </w:t>
      </w:r>
      <w:proofErr w:type="spellStart"/>
      <w:r w:rsidRPr="00624299">
        <w:rPr>
          <w:szCs w:val="24"/>
        </w:rPr>
        <w:t>adjuverende</w:t>
      </w:r>
      <w:proofErr w:type="spellEnd"/>
      <w:r w:rsidRPr="00624299">
        <w:rPr>
          <w:szCs w:val="24"/>
        </w:rPr>
        <w:t xml:space="preserve"> </w:t>
      </w:r>
      <w:proofErr w:type="spellStart"/>
      <w:r w:rsidRPr="00624299">
        <w:rPr>
          <w:szCs w:val="24"/>
        </w:rPr>
        <w:t>Zoladex</w:t>
      </w:r>
      <w:proofErr w:type="spellEnd"/>
      <w:r w:rsidRPr="00624299">
        <w:rPr>
          <w:szCs w:val="24"/>
        </w:rPr>
        <w:t xml:space="preserve">-behandling giver en betydelig forbedring af overlevelse sammenlignet med strålebehandling alene. </w:t>
      </w:r>
      <w:proofErr w:type="spellStart"/>
      <w:r w:rsidRPr="00624299">
        <w:rPr>
          <w:szCs w:val="24"/>
        </w:rPr>
        <w:t>Neoadjuverende</w:t>
      </w:r>
      <w:proofErr w:type="spellEnd"/>
      <w:r w:rsidRPr="00624299">
        <w:rPr>
          <w:szCs w:val="24"/>
        </w:rPr>
        <w:t xml:space="preserve"> </w:t>
      </w:r>
      <w:proofErr w:type="spellStart"/>
      <w:r w:rsidRPr="00624299">
        <w:rPr>
          <w:szCs w:val="24"/>
        </w:rPr>
        <w:t>Zoladex</w:t>
      </w:r>
      <w:proofErr w:type="spellEnd"/>
      <w:r w:rsidRPr="00624299">
        <w:rPr>
          <w:szCs w:val="24"/>
        </w:rPr>
        <w:t xml:space="preserve">-behandling inden strålebehandling har vist sig at forbedre sygdomsfri overlevelse hos patienter med </w:t>
      </w:r>
      <w:r w:rsidRPr="00624299">
        <w:t>højrisiko</w:t>
      </w:r>
      <w:r w:rsidRPr="00624299">
        <w:rPr>
          <w:szCs w:val="24"/>
        </w:rPr>
        <w:t xml:space="preserve"> lokaliseret prostatacancer eller lokalt fremskreden prostatacancer.</w:t>
      </w:r>
    </w:p>
    <w:p w:rsidR="00336DC2" w:rsidRPr="00624299" w:rsidRDefault="00336DC2" w:rsidP="00336DC2">
      <w:pPr>
        <w:rPr>
          <w:szCs w:val="24"/>
        </w:rPr>
      </w:pPr>
    </w:p>
    <w:p w:rsidR="00336DC2" w:rsidRPr="00624299" w:rsidRDefault="00E240B9" w:rsidP="00E240B9">
      <w:pPr>
        <w:tabs>
          <w:tab w:val="left" w:pos="0"/>
          <w:tab w:val="left" w:pos="851"/>
        </w:tabs>
        <w:suppressAutoHyphens/>
        <w:ind w:left="850"/>
        <w:rPr>
          <w:spacing w:val="-3"/>
        </w:rPr>
      </w:pPr>
      <w:r>
        <w:rPr>
          <w:szCs w:val="24"/>
        </w:rPr>
        <w:tab/>
      </w:r>
      <w:r w:rsidR="00336DC2" w:rsidRPr="00624299">
        <w:rPr>
          <w:szCs w:val="24"/>
        </w:rPr>
        <w:t xml:space="preserve">Hos patienter, der har vist sig at have </w:t>
      </w:r>
      <w:proofErr w:type="spellStart"/>
      <w:r w:rsidR="00336DC2" w:rsidRPr="00624299">
        <w:rPr>
          <w:szCs w:val="24"/>
        </w:rPr>
        <w:t>ekstraprostatisk</w:t>
      </w:r>
      <w:proofErr w:type="spellEnd"/>
      <w:r w:rsidR="00336DC2" w:rsidRPr="00624299">
        <w:rPr>
          <w:szCs w:val="24"/>
        </w:rPr>
        <w:t xml:space="preserve"> tumorspredning, kan </w:t>
      </w:r>
      <w:proofErr w:type="spellStart"/>
      <w:r w:rsidR="00336DC2" w:rsidRPr="00624299">
        <w:rPr>
          <w:szCs w:val="24"/>
        </w:rPr>
        <w:t>adjuverende</w:t>
      </w:r>
      <w:proofErr w:type="spellEnd"/>
      <w:r w:rsidR="00336DC2" w:rsidRPr="00624299">
        <w:rPr>
          <w:szCs w:val="24"/>
        </w:rPr>
        <w:t xml:space="preserve"> behandling med </w:t>
      </w:r>
      <w:proofErr w:type="spellStart"/>
      <w:r w:rsidR="00336DC2" w:rsidRPr="00624299">
        <w:rPr>
          <w:szCs w:val="24"/>
        </w:rPr>
        <w:t>Zoladex</w:t>
      </w:r>
      <w:proofErr w:type="spellEnd"/>
      <w:r w:rsidR="00336DC2" w:rsidRPr="00624299">
        <w:rPr>
          <w:szCs w:val="24"/>
        </w:rPr>
        <w:t xml:space="preserve"> forbedre den sygdomsfri overlevelsesperiode efter </w:t>
      </w:r>
      <w:proofErr w:type="spellStart"/>
      <w:r w:rsidR="00336DC2" w:rsidRPr="00624299">
        <w:rPr>
          <w:szCs w:val="24"/>
        </w:rPr>
        <w:t>prostatektomi</w:t>
      </w:r>
      <w:proofErr w:type="spellEnd"/>
      <w:r w:rsidR="00336DC2" w:rsidRPr="00624299">
        <w:rPr>
          <w:szCs w:val="24"/>
        </w:rPr>
        <w:t xml:space="preserve">, men der er ingen signifikant forbedring i overlevelse, medmindre patienterne har vist tegn på </w:t>
      </w:r>
      <w:proofErr w:type="spellStart"/>
      <w:r w:rsidR="00336DC2" w:rsidRPr="00624299">
        <w:rPr>
          <w:szCs w:val="24"/>
        </w:rPr>
        <w:t>nodal</w:t>
      </w:r>
      <w:proofErr w:type="spellEnd"/>
      <w:r w:rsidR="00336DC2" w:rsidRPr="00624299">
        <w:rPr>
          <w:szCs w:val="24"/>
        </w:rPr>
        <w:t xml:space="preserve"> påvirkning på operationstidspunktet. Patienter med patologisk lokalt fremskreden sygdom bør have yderligere risikofaktorer såsom PSA på mindst 10 </w:t>
      </w:r>
      <w:proofErr w:type="spellStart"/>
      <w:r w:rsidR="00336DC2" w:rsidRPr="00624299">
        <w:rPr>
          <w:szCs w:val="24"/>
        </w:rPr>
        <w:t>ng</w:t>
      </w:r>
      <w:proofErr w:type="spellEnd"/>
      <w:r w:rsidR="00336DC2" w:rsidRPr="00624299">
        <w:rPr>
          <w:szCs w:val="24"/>
        </w:rPr>
        <w:t xml:space="preserve">/ml eller en </w:t>
      </w:r>
      <w:proofErr w:type="spellStart"/>
      <w:r w:rsidR="00336DC2" w:rsidRPr="00624299">
        <w:rPr>
          <w:szCs w:val="24"/>
        </w:rPr>
        <w:t>Gleason</w:t>
      </w:r>
      <w:proofErr w:type="spellEnd"/>
      <w:r w:rsidR="00336DC2" w:rsidRPr="00624299">
        <w:rPr>
          <w:szCs w:val="24"/>
        </w:rPr>
        <w:t xml:space="preserve">-score på mindst 7, inden </w:t>
      </w:r>
      <w:proofErr w:type="spellStart"/>
      <w:r w:rsidR="00336DC2" w:rsidRPr="00624299">
        <w:rPr>
          <w:szCs w:val="24"/>
        </w:rPr>
        <w:t>adjuverende</w:t>
      </w:r>
      <w:proofErr w:type="spellEnd"/>
      <w:r w:rsidR="00336DC2" w:rsidRPr="00624299">
        <w:rPr>
          <w:szCs w:val="24"/>
        </w:rPr>
        <w:t xml:space="preserve"> </w:t>
      </w:r>
      <w:proofErr w:type="spellStart"/>
      <w:r w:rsidR="00336DC2" w:rsidRPr="00624299">
        <w:rPr>
          <w:szCs w:val="24"/>
        </w:rPr>
        <w:t>Zoladex</w:t>
      </w:r>
      <w:proofErr w:type="spellEnd"/>
      <w:r w:rsidR="00336DC2" w:rsidRPr="00624299">
        <w:rPr>
          <w:szCs w:val="24"/>
        </w:rPr>
        <w:t xml:space="preserve">-behandling </w:t>
      </w:r>
      <w:bookmarkStart w:id="0" w:name="OLE_LINK1"/>
      <w:bookmarkStart w:id="1" w:name="OLE_LINK2"/>
      <w:r w:rsidR="00336DC2" w:rsidRPr="00624299">
        <w:rPr>
          <w:szCs w:val="24"/>
        </w:rPr>
        <w:t>bør</w:t>
      </w:r>
      <w:bookmarkEnd w:id="0"/>
      <w:bookmarkEnd w:id="1"/>
      <w:r w:rsidR="00336DC2" w:rsidRPr="00624299">
        <w:rPr>
          <w:szCs w:val="24"/>
        </w:rPr>
        <w:t xml:space="preserve"> overvejes. Der er intet bevis for, at der opnås et forbedret klinisk resultat ved anvendelse af </w:t>
      </w:r>
      <w:proofErr w:type="spellStart"/>
      <w:r w:rsidR="00336DC2" w:rsidRPr="00624299">
        <w:rPr>
          <w:szCs w:val="24"/>
        </w:rPr>
        <w:t>neoadjuverende</w:t>
      </w:r>
      <w:proofErr w:type="spellEnd"/>
      <w:r w:rsidR="00336DC2" w:rsidRPr="00624299">
        <w:rPr>
          <w:szCs w:val="24"/>
        </w:rPr>
        <w:t xml:space="preserve"> </w:t>
      </w:r>
      <w:proofErr w:type="spellStart"/>
      <w:r w:rsidR="00336DC2" w:rsidRPr="00624299">
        <w:rPr>
          <w:szCs w:val="24"/>
        </w:rPr>
        <w:t>Zoladex</w:t>
      </w:r>
      <w:proofErr w:type="spellEnd"/>
      <w:r w:rsidR="00336DC2" w:rsidRPr="00624299">
        <w:rPr>
          <w:szCs w:val="24"/>
        </w:rPr>
        <w:t xml:space="preserve">-behandling inden radikal </w:t>
      </w:r>
      <w:proofErr w:type="spellStart"/>
      <w:r w:rsidR="00336DC2" w:rsidRPr="00624299">
        <w:rPr>
          <w:szCs w:val="24"/>
        </w:rPr>
        <w:t>prostatektomi</w:t>
      </w:r>
      <w:proofErr w:type="spellEnd"/>
      <w:r w:rsidR="00336DC2" w:rsidRPr="00624299">
        <w:rPr>
          <w:szCs w:val="24"/>
        </w:rPr>
        <w:t>.</w:t>
      </w:r>
    </w:p>
    <w:p w:rsidR="00336DC2" w:rsidRPr="00624299" w:rsidRDefault="00336DC2" w:rsidP="00336DC2">
      <w:pPr>
        <w:tabs>
          <w:tab w:val="left" w:pos="0"/>
          <w:tab w:val="left" w:pos="851"/>
        </w:tabs>
        <w:suppressAutoHyphens/>
        <w:rPr>
          <w:spacing w:val="-3"/>
        </w:rPr>
      </w:pPr>
    </w:p>
    <w:p w:rsidR="00336DC2" w:rsidRPr="00624299" w:rsidRDefault="00336DC2" w:rsidP="00336DC2">
      <w:pPr>
        <w:tabs>
          <w:tab w:val="left" w:pos="0"/>
          <w:tab w:val="left" w:pos="851"/>
        </w:tabs>
        <w:suppressAutoHyphens/>
        <w:ind w:left="850" w:hanging="850"/>
        <w:rPr>
          <w:spacing w:val="-3"/>
        </w:rPr>
      </w:pPr>
      <w:r w:rsidRPr="00624299">
        <w:rPr>
          <w:spacing w:val="-3"/>
        </w:rPr>
        <w:tab/>
      </w:r>
      <w:proofErr w:type="spellStart"/>
      <w:r w:rsidRPr="00624299">
        <w:rPr>
          <w:i/>
          <w:spacing w:val="-3"/>
        </w:rPr>
        <w:t>Zoladex</w:t>
      </w:r>
      <w:proofErr w:type="spellEnd"/>
      <w:r w:rsidRPr="00624299">
        <w:rPr>
          <w:i/>
          <w:spacing w:val="-3"/>
        </w:rPr>
        <w:t xml:space="preserve"> 3,6 mg: </w:t>
      </w:r>
      <w:r w:rsidRPr="00624299">
        <w:rPr>
          <w:spacing w:val="-3"/>
        </w:rPr>
        <w:t>21 dage efter injektionen er serum-</w:t>
      </w:r>
      <w:proofErr w:type="spellStart"/>
      <w:r w:rsidRPr="00624299">
        <w:rPr>
          <w:spacing w:val="-3"/>
        </w:rPr>
        <w:t>estradiol</w:t>
      </w:r>
      <w:proofErr w:type="spellEnd"/>
      <w:r w:rsidRPr="00624299">
        <w:rPr>
          <w:spacing w:val="-3"/>
        </w:rPr>
        <w:t xml:space="preserve"> hos kvinder supprimeret til et niveau svarende til det, der findes hos </w:t>
      </w:r>
      <w:proofErr w:type="spellStart"/>
      <w:r w:rsidRPr="00624299">
        <w:rPr>
          <w:spacing w:val="-3"/>
        </w:rPr>
        <w:t>postmenopausale</w:t>
      </w:r>
      <w:proofErr w:type="spellEnd"/>
      <w:r w:rsidRPr="00624299">
        <w:rPr>
          <w:spacing w:val="-3"/>
        </w:rPr>
        <w:t xml:space="preserve"> kvinder. Suppressionen opretholdes ved injektion af 3,6 mg hver 4. uge. Denne suppression fører til tyndere </w:t>
      </w:r>
      <w:proofErr w:type="spellStart"/>
      <w:r w:rsidRPr="00624299">
        <w:rPr>
          <w:spacing w:val="-3"/>
        </w:rPr>
        <w:t>endometrium</w:t>
      </w:r>
      <w:proofErr w:type="spellEnd"/>
      <w:r w:rsidRPr="00624299">
        <w:rPr>
          <w:spacing w:val="-3"/>
        </w:rPr>
        <w:t xml:space="preserve">, </w:t>
      </w:r>
      <w:proofErr w:type="spellStart"/>
      <w:r w:rsidRPr="00624299">
        <w:rPr>
          <w:spacing w:val="-3"/>
        </w:rPr>
        <w:t>suppresion</w:t>
      </w:r>
      <w:proofErr w:type="spellEnd"/>
      <w:r w:rsidRPr="00624299">
        <w:rPr>
          <w:spacing w:val="-3"/>
        </w:rPr>
        <w:t xml:space="preserve"> af follikeludviklingen i ovarierne samt til respons ved hormonrelateret brystcancer (tumorer som er ER-positive og/eller </w:t>
      </w:r>
      <w:proofErr w:type="spellStart"/>
      <w:r w:rsidRPr="00624299">
        <w:rPr>
          <w:spacing w:val="-3"/>
        </w:rPr>
        <w:t>PgR</w:t>
      </w:r>
      <w:proofErr w:type="spellEnd"/>
      <w:r w:rsidRPr="00624299">
        <w:rPr>
          <w:spacing w:val="-3"/>
        </w:rPr>
        <w:t xml:space="preserve">-positive), </w:t>
      </w:r>
      <w:proofErr w:type="spellStart"/>
      <w:r w:rsidRPr="00624299">
        <w:rPr>
          <w:spacing w:val="-3"/>
        </w:rPr>
        <w:t>endometriosis</w:t>
      </w:r>
      <w:proofErr w:type="spellEnd"/>
      <w:r w:rsidRPr="00624299">
        <w:rPr>
          <w:spacing w:val="-3"/>
        </w:rPr>
        <w:t xml:space="preserve"> og </w:t>
      </w:r>
      <w:proofErr w:type="spellStart"/>
      <w:r w:rsidRPr="00624299">
        <w:rPr>
          <w:spacing w:val="-3"/>
        </w:rPr>
        <w:t>uterine</w:t>
      </w:r>
      <w:proofErr w:type="spellEnd"/>
      <w:r w:rsidRPr="00624299">
        <w:rPr>
          <w:spacing w:val="-3"/>
        </w:rPr>
        <w:t xml:space="preserve"> fibromer. Dette vil føre til </w:t>
      </w:r>
      <w:proofErr w:type="spellStart"/>
      <w:r w:rsidRPr="00624299">
        <w:rPr>
          <w:spacing w:val="-3"/>
        </w:rPr>
        <w:t>amenoré</w:t>
      </w:r>
      <w:proofErr w:type="spellEnd"/>
      <w:r w:rsidRPr="00624299">
        <w:rPr>
          <w:spacing w:val="-3"/>
        </w:rPr>
        <w:t xml:space="preserve"> hos størstedelen af de be</w:t>
      </w:r>
      <w:r w:rsidRPr="00624299">
        <w:rPr>
          <w:spacing w:val="-3"/>
        </w:rPr>
        <w:softHyphen/>
        <w:t>hand</w:t>
      </w:r>
      <w:r w:rsidRPr="00624299">
        <w:rPr>
          <w:spacing w:val="-3"/>
        </w:rPr>
        <w:softHyphen/>
        <w:t>lede.</w:t>
      </w:r>
    </w:p>
    <w:p w:rsidR="00336DC2" w:rsidRPr="00624299" w:rsidRDefault="00336DC2" w:rsidP="00336DC2">
      <w:pPr>
        <w:tabs>
          <w:tab w:val="left" w:pos="0"/>
          <w:tab w:val="left" w:pos="851"/>
        </w:tabs>
        <w:suppressAutoHyphens/>
        <w:rPr>
          <w:spacing w:val="-3"/>
        </w:rPr>
      </w:pPr>
    </w:p>
    <w:p w:rsidR="00336DC2" w:rsidRPr="00624299" w:rsidRDefault="00336DC2" w:rsidP="00336DC2">
      <w:pPr>
        <w:tabs>
          <w:tab w:val="left" w:pos="0"/>
          <w:tab w:val="left" w:pos="851"/>
        </w:tabs>
        <w:suppressAutoHyphens/>
        <w:ind w:left="850" w:hanging="850"/>
        <w:rPr>
          <w:spacing w:val="-3"/>
        </w:rPr>
      </w:pPr>
      <w:r w:rsidRPr="00624299">
        <w:rPr>
          <w:spacing w:val="-3"/>
        </w:rPr>
        <w:tab/>
      </w:r>
      <w:proofErr w:type="spellStart"/>
      <w:r w:rsidRPr="00624299">
        <w:rPr>
          <w:i/>
        </w:rPr>
        <w:t>Zoladex</w:t>
      </w:r>
      <w:proofErr w:type="spellEnd"/>
      <w:r w:rsidRPr="00624299">
        <w:rPr>
          <w:i/>
        </w:rPr>
        <w:t xml:space="preserve"> 10,8 mg:</w:t>
      </w:r>
      <w:r w:rsidRPr="00624299">
        <w:t xml:space="preserve"> Omkring 4 uger efter injektion er serum-</w:t>
      </w:r>
      <w:proofErr w:type="spellStart"/>
      <w:r w:rsidRPr="00624299">
        <w:t>estradiol</w:t>
      </w:r>
      <w:proofErr w:type="spellEnd"/>
      <w:r w:rsidRPr="00624299">
        <w:t xml:space="preserve"> hos kvinder sup</w:t>
      </w:r>
      <w:r w:rsidRPr="00624299">
        <w:softHyphen/>
        <w:t>pri</w:t>
      </w:r>
      <w:r w:rsidRPr="00624299">
        <w:softHyphen/>
        <w:t>me</w:t>
      </w:r>
      <w:r w:rsidRPr="00624299">
        <w:softHyphen/>
        <w:t xml:space="preserve">ret og forbliver supprimeret til behandlingsperiodens afslutning. Hos patienter hvor </w:t>
      </w:r>
      <w:proofErr w:type="spellStart"/>
      <w:r w:rsidRPr="00624299">
        <w:t>estra</w:t>
      </w:r>
      <w:r w:rsidRPr="00624299">
        <w:softHyphen/>
        <w:t>diol</w:t>
      </w:r>
      <w:proofErr w:type="spellEnd"/>
      <w:r w:rsidRPr="00624299">
        <w:t xml:space="preserve"> allerede er supprimeret med en LHRH-analog, vedvares denne </w:t>
      </w:r>
      <w:proofErr w:type="spellStart"/>
      <w:r w:rsidRPr="00624299">
        <w:t>supprimering</w:t>
      </w:r>
      <w:proofErr w:type="spellEnd"/>
      <w:r w:rsidRPr="00624299">
        <w:t xml:space="preserve"> ved skift til behandling med </w:t>
      </w:r>
      <w:proofErr w:type="spellStart"/>
      <w:r w:rsidRPr="00624299">
        <w:t>Zoladex</w:t>
      </w:r>
      <w:proofErr w:type="spellEnd"/>
      <w:r w:rsidRPr="00624299">
        <w:t xml:space="preserve"> 10,8 mg. Suppression af </w:t>
      </w:r>
      <w:proofErr w:type="spellStart"/>
      <w:r w:rsidRPr="00624299">
        <w:t>estradiol</w:t>
      </w:r>
      <w:proofErr w:type="spellEnd"/>
      <w:r w:rsidRPr="00624299">
        <w:t xml:space="preserve"> medfører respons ved </w:t>
      </w:r>
      <w:proofErr w:type="spellStart"/>
      <w:r w:rsidRPr="00624299">
        <w:t>en</w:t>
      </w:r>
      <w:r w:rsidRPr="00624299">
        <w:softHyphen/>
        <w:t>domertiose</w:t>
      </w:r>
      <w:proofErr w:type="spellEnd"/>
      <w:r w:rsidRPr="00624299">
        <w:t xml:space="preserve">. Dette vil føre til </w:t>
      </w:r>
      <w:proofErr w:type="spellStart"/>
      <w:r w:rsidRPr="00624299">
        <w:t>amenoré</w:t>
      </w:r>
      <w:proofErr w:type="spellEnd"/>
      <w:r w:rsidRPr="00624299">
        <w:t xml:space="preserve"> hos størstedelen af de behandlede.</w:t>
      </w:r>
    </w:p>
    <w:p w:rsidR="00336DC2" w:rsidRPr="00624299" w:rsidRDefault="00336DC2" w:rsidP="00336DC2">
      <w:pPr>
        <w:tabs>
          <w:tab w:val="left" w:pos="0"/>
          <w:tab w:val="left" w:pos="851"/>
        </w:tabs>
        <w:suppressAutoHyphens/>
        <w:ind w:left="850" w:hanging="850"/>
        <w:rPr>
          <w:spacing w:val="-3"/>
        </w:rPr>
      </w:pPr>
    </w:p>
    <w:p w:rsidR="00336DC2" w:rsidRPr="00624299" w:rsidRDefault="00336DC2" w:rsidP="00336DC2">
      <w:pPr>
        <w:tabs>
          <w:tab w:val="left" w:pos="0"/>
          <w:tab w:val="left" w:pos="851"/>
        </w:tabs>
        <w:suppressAutoHyphens/>
        <w:ind w:left="850" w:hanging="850"/>
        <w:rPr>
          <w:spacing w:val="-3"/>
        </w:rPr>
      </w:pPr>
      <w:r w:rsidRPr="00624299">
        <w:rPr>
          <w:spacing w:val="-3"/>
        </w:rPr>
        <w:lastRenderedPageBreak/>
        <w:tab/>
        <w:t xml:space="preserve">Vaginal blødning kan forekomme hos kvinder i begyndelsen af behandlingen med </w:t>
      </w:r>
      <w:proofErr w:type="spellStart"/>
      <w:r w:rsidRPr="00624299">
        <w:rPr>
          <w:spacing w:val="-3"/>
        </w:rPr>
        <w:t>Zoladex</w:t>
      </w:r>
      <w:proofErr w:type="spellEnd"/>
      <w:r w:rsidRPr="00624299">
        <w:rPr>
          <w:spacing w:val="-3"/>
        </w:rPr>
        <w:t xml:space="preserve"> 3,6 mg og 10,8 mg. Varigheden og intensiteten er variabel, men blødningen ophører sædvan</w:t>
      </w:r>
      <w:r w:rsidRPr="00624299">
        <w:rPr>
          <w:spacing w:val="-3"/>
        </w:rPr>
        <w:softHyphen/>
        <w:t>ligvis spontant.</w:t>
      </w:r>
    </w:p>
    <w:p w:rsidR="00336DC2" w:rsidRPr="00624299" w:rsidRDefault="00336DC2" w:rsidP="00336DC2">
      <w:pPr>
        <w:tabs>
          <w:tab w:val="left" w:pos="0"/>
          <w:tab w:val="left" w:pos="851"/>
        </w:tabs>
        <w:suppressAutoHyphens/>
        <w:ind w:left="850" w:hanging="850"/>
        <w:rPr>
          <w:spacing w:val="-3"/>
        </w:rPr>
      </w:pPr>
    </w:p>
    <w:p w:rsidR="00336DC2" w:rsidRPr="00624299" w:rsidRDefault="00336DC2" w:rsidP="00E240B9">
      <w:pPr>
        <w:tabs>
          <w:tab w:val="left" w:pos="0"/>
          <w:tab w:val="left" w:pos="851"/>
        </w:tabs>
        <w:suppressAutoHyphens/>
        <w:ind w:left="850"/>
        <w:rPr>
          <w:spacing w:val="-3"/>
        </w:rPr>
      </w:pPr>
      <w:r w:rsidRPr="00624299">
        <w:rPr>
          <w:spacing w:val="-3"/>
        </w:rPr>
        <w:tab/>
        <w:t xml:space="preserve">Sjældent indtræder kvinder i menopausen i forbindelse med behandlingen med </w:t>
      </w:r>
      <w:proofErr w:type="spellStart"/>
      <w:r w:rsidRPr="00624299">
        <w:rPr>
          <w:spacing w:val="-3"/>
        </w:rPr>
        <w:t>LHRH-ana</w:t>
      </w:r>
      <w:r w:rsidRPr="00624299">
        <w:rPr>
          <w:spacing w:val="-3"/>
        </w:rPr>
        <w:softHyphen/>
        <w:t>log</w:t>
      </w:r>
      <w:r w:rsidRPr="00624299">
        <w:rPr>
          <w:spacing w:val="-3"/>
        </w:rPr>
        <w:softHyphen/>
        <w:t>er</w:t>
      </w:r>
      <w:proofErr w:type="spellEnd"/>
      <w:r w:rsidRPr="00624299">
        <w:rPr>
          <w:spacing w:val="-3"/>
        </w:rPr>
        <w:t xml:space="preserve"> og får ikke menstruation ved behandlingens ophør.</w:t>
      </w:r>
    </w:p>
    <w:p w:rsidR="00336DC2" w:rsidRPr="00624299" w:rsidRDefault="00336DC2" w:rsidP="00336DC2">
      <w:pPr>
        <w:tabs>
          <w:tab w:val="left" w:pos="0"/>
          <w:tab w:val="left" w:pos="851"/>
        </w:tabs>
        <w:suppressAutoHyphens/>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5.2</w:t>
      </w:r>
      <w:r w:rsidRPr="00624299">
        <w:rPr>
          <w:b/>
          <w:spacing w:val="-3"/>
        </w:rPr>
        <w:tab/>
      </w:r>
      <w:proofErr w:type="spellStart"/>
      <w:r w:rsidRPr="00624299">
        <w:rPr>
          <w:b/>
          <w:spacing w:val="-3"/>
        </w:rPr>
        <w:t>Farmakokinetiske</w:t>
      </w:r>
      <w:proofErr w:type="spellEnd"/>
      <w:r w:rsidRPr="00624299">
        <w:rPr>
          <w:b/>
          <w:spacing w:val="-3"/>
        </w:rPr>
        <w:t xml:space="preserve"> egenskaber</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r>
      <w:proofErr w:type="spellStart"/>
      <w:r w:rsidRPr="00624299">
        <w:rPr>
          <w:spacing w:val="-3"/>
        </w:rPr>
        <w:t>Goserelin</w:t>
      </w:r>
      <w:proofErr w:type="spellEnd"/>
      <w:r w:rsidRPr="00624299">
        <w:rPr>
          <w:spacing w:val="-3"/>
        </w:rPr>
        <w:t xml:space="preserve"> har lav proteinbinding og en halveringstid på 2-4 timer hos patienter med normal nyrefunktion. </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i/>
          <w:spacing w:val="-3"/>
        </w:rPr>
      </w:pPr>
      <w:r w:rsidRPr="00624299">
        <w:rPr>
          <w:spacing w:val="-3"/>
        </w:rPr>
        <w:tab/>
      </w:r>
      <w:r w:rsidRPr="00624299">
        <w:rPr>
          <w:i/>
          <w:spacing w:val="-3"/>
        </w:rPr>
        <w:t>Implantat 3,6 mg:</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 xml:space="preserve">Administration af 3,6 mg hver 4. uge sikrer effektiv suppression af serumkoncentrationer af testosteron hos mænd og </w:t>
      </w:r>
      <w:proofErr w:type="spellStart"/>
      <w:r w:rsidRPr="00624299">
        <w:rPr>
          <w:spacing w:val="-3"/>
        </w:rPr>
        <w:t>estradiol</w:t>
      </w:r>
      <w:proofErr w:type="spellEnd"/>
      <w:r w:rsidRPr="00624299">
        <w:rPr>
          <w:spacing w:val="-3"/>
        </w:rPr>
        <w:t xml:space="preserve"> hos kvinder.</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i/>
          <w:spacing w:val="-3"/>
        </w:rPr>
      </w:pPr>
      <w:r w:rsidRPr="00624299">
        <w:rPr>
          <w:spacing w:val="-3"/>
        </w:rPr>
        <w:tab/>
      </w:r>
      <w:r w:rsidRPr="00624299">
        <w:rPr>
          <w:i/>
          <w:spacing w:val="-3"/>
        </w:rPr>
        <w:t>Implantat 10,8 mg:</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Administration af 10,8 mg hver 12. uge sikrer effektiv suppression af serumkoncentrationer af testosteron.</w:t>
      </w:r>
    </w:p>
    <w:p w:rsidR="00336DC2" w:rsidRPr="00624299" w:rsidRDefault="00336DC2" w:rsidP="00336DC2">
      <w:pPr>
        <w:tabs>
          <w:tab w:val="left" w:pos="0"/>
          <w:tab w:val="left" w:pos="851"/>
        </w:tabs>
        <w:suppressAutoHyphens/>
        <w:ind w:left="850" w:hanging="850"/>
        <w:jc w:val="both"/>
        <w:rPr>
          <w:spacing w:val="-3"/>
        </w:rPr>
      </w:pPr>
    </w:p>
    <w:p w:rsidR="00336DC2" w:rsidRPr="00624299" w:rsidRDefault="00336DC2" w:rsidP="00336DC2">
      <w:pPr>
        <w:tabs>
          <w:tab w:val="left" w:pos="0"/>
          <w:tab w:val="left" w:pos="851"/>
        </w:tabs>
        <w:suppressAutoHyphens/>
        <w:ind w:left="850" w:hanging="850"/>
        <w:jc w:val="both"/>
        <w:rPr>
          <w:spacing w:val="-3"/>
        </w:rPr>
      </w:pPr>
      <w:r w:rsidRPr="00624299">
        <w:rPr>
          <w:spacing w:val="-3"/>
        </w:rPr>
        <w:tab/>
        <w:t>Halveringstiden er længere hos patienter med nedsat nyrefunktion, men der sker ingen ak</w:t>
      </w:r>
      <w:r w:rsidRPr="00624299">
        <w:rPr>
          <w:spacing w:val="-3"/>
        </w:rPr>
        <w:softHyphen/>
        <w:t>kumulation, hvorfor dosisreduktion ikke er nødvendig. Der er ingen klinisk betydende æn</w:t>
      </w:r>
      <w:r w:rsidRPr="00624299">
        <w:rPr>
          <w:spacing w:val="-3"/>
        </w:rPr>
        <w:softHyphen/>
        <w:t>dring af farmakokinetikken hos patienter med påvirket leverfunktion.</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5.3</w:t>
      </w:r>
      <w:r w:rsidRPr="00624299">
        <w:rPr>
          <w:b/>
          <w:spacing w:val="-3"/>
        </w:rPr>
        <w:tab/>
        <w:t>Prækliniske sikkerhedsdata</w:t>
      </w:r>
    </w:p>
    <w:p w:rsidR="00336DC2" w:rsidRPr="00624299" w:rsidRDefault="00336DC2" w:rsidP="00336DC2">
      <w:pPr>
        <w:tabs>
          <w:tab w:val="left" w:pos="0"/>
          <w:tab w:val="left" w:pos="851"/>
        </w:tabs>
        <w:suppressAutoHyphens/>
        <w:ind w:left="850" w:hanging="850"/>
        <w:rPr>
          <w:spacing w:val="-3"/>
        </w:rPr>
      </w:pPr>
      <w:r w:rsidRPr="00624299">
        <w:rPr>
          <w:spacing w:val="-3"/>
        </w:rPr>
        <w:tab/>
        <w:t>Efter gentagen indgift af præparatet over længere perioder er en forøget forekomst af benigne hypofysetumorer observeret hos hanrotter. Dette fund er i overens</w:t>
      </w:r>
      <w:r w:rsidRPr="00624299">
        <w:rPr>
          <w:spacing w:val="-3"/>
        </w:rPr>
        <w:softHyphen/>
        <w:t>stemmelse med observa</w:t>
      </w:r>
      <w:r w:rsidRPr="00624299">
        <w:rPr>
          <w:spacing w:val="-3"/>
        </w:rPr>
        <w:softHyphen/>
        <w:t>tion</w:t>
      </w:r>
      <w:r w:rsidRPr="00624299">
        <w:rPr>
          <w:spacing w:val="-3"/>
        </w:rPr>
        <w:softHyphen/>
        <w:t xml:space="preserve">er hos hanrotter, som er blevet kastreret kirurgisk, og relevansen af dette hos mennesker er ikke fastlagt. </w:t>
      </w:r>
    </w:p>
    <w:p w:rsidR="00336DC2" w:rsidRPr="00624299" w:rsidRDefault="00336DC2" w:rsidP="00336DC2">
      <w:pPr>
        <w:tabs>
          <w:tab w:val="left" w:pos="0"/>
          <w:tab w:val="left" w:pos="851"/>
        </w:tabs>
        <w:suppressAutoHyphens/>
        <w:rPr>
          <w:spacing w:val="-3"/>
        </w:rPr>
      </w:pPr>
    </w:p>
    <w:p w:rsidR="00336DC2" w:rsidRPr="00624299" w:rsidRDefault="00336DC2" w:rsidP="00336DC2">
      <w:pPr>
        <w:tabs>
          <w:tab w:val="left" w:pos="0"/>
          <w:tab w:val="left" w:pos="851"/>
        </w:tabs>
        <w:suppressAutoHyphens/>
        <w:ind w:left="850" w:hanging="850"/>
        <w:rPr>
          <w:spacing w:val="-3"/>
        </w:rPr>
      </w:pPr>
      <w:r w:rsidRPr="00624299">
        <w:rPr>
          <w:spacing w:val="-3"/>
        </w:rPr>
        <w:tab/>
        <w:t>Efter gentagen indgift til mus af flere gange den humane dosis udvikles histologiske foran</w:t>
      </w:r>
      <w:r w:rsidRPr="00624299">
        <w:rPr>
          <w:spacing w:val="-3"/>
        </w:rPr>
        <w:softHyphen/>
        <w:t xml:space="preserve">dringer i visse dele af fordøjelsessystemet. Dette manifesterer sig ved </w:t>
      </w:r>
      <w:proofErr w:type="spellStart"/>
      <w:r w:rsidRPr="00624299">
        <w:rPr>
          <w:spacing w:val="-3"/>
        </w:rPr>
        <w:t>hyperplasi</w:t>
      </w:r>
      <w:proofErr w:type="spellEnd"/>
      <w:r w:rsidRPr="00624299">
        <w:rPr>
          <w:spacing w:val="-3"/>
        </w:rPr>
        <w:t xml:space="preserve"> i bugspyt</w:t>
      </w:r>
      <w:r w:rsidRPr="00624299">
        <w:rPr>
          <w:spacing w:val="-3"/>
        </w:rPr>
        <w:softHyphen/>
        <w:t xml:space="preserve">kirtlens ø-celler og en benign </w:t>
      </w:r>
      <w:proofErr w:type="spellStart"/>
      <w:r w:rsidRPr="00624299">
        <w:rPr>
          <w:spacing w:val="-3"/>
        </w:rPr>
        <w:t>proliferativ</w:t>
      </w:r>
      <w:proofErr w:type="spellEnd"/>
      <w:r w:rsidRPr="00624299">
        <w:rPr>
          <w:spacing w:val="-3"/>
        </w:rPr>
        <w:t xml:space="preserve"> tilstand i ventriklens </w:t>
      </w:r>
      <w:proofErr w:type="spellStart"/>
      <w:r w:rsidRPr="00624299">
        <w:rPr>
          <w:spacing w:val="-3"/>
        </w:rPr>
        <w:t>pylorus</w:t>
      </w:r>
      <w:proofErr w:type="spellEnd"/>
      <w:r w:rsidRPr="00624299">
        <w:rPr>
          <w:spacing w:val="-3"/>
        </w:rPr>
        <w:t>-region samt som spon</w:t>
      </w:r>
      <w:r w:rsidRPr="00624299">
        <w:rPr>
          <w:spacing w:val="-3"/>
        </w:rPr>
        <w:softHyphen/>
        <w:t xml:space="preserve">tane læsioner. Den kliniske relevans af disse fund er ukendt. </w:t>
      </w:r>
    </w:p>
    <w:p w:rsidR="00336DC2" w:rsidRPr="00624299" w:rsidRDefault="00336DC2" w:rsidP="00336DC2">
      <w:pPr>
        <w:tabs>
          <w:tab w:val="left" w:pos="0"/>
          <w:tab w:val="left" w:pos="851"/>
        </w:tabs>
        <w:suppressAutoHyphens/>
        <w:ind w:left="850" w:hanging="850"/>
        <w:jc w:val="both"/>
        <w:rPr>
          <w:b/>
          <w:spacing w:val="-3"/>
        </w:rPr>
      </w:pPr>
    </w:p>
    <w:p w:rsidR="00336DC2" w:rsidRPr="00624299" w:rsidRDefault="00336DC2" w:rsidP="00336DC2">
      <w:pPr>
        <w:tabs>
          <w:tab w:val="left" w:pos="0"/>
          <w:tab w:val="left" w:pos="851"/>
        </w:tabs>
        <w:suppressAutoHyphens/>
        <w:ind w:left="850" w:hanging="850"/>
        <w:jc w:val="both"/>
        <w:rPr>
          <w:b/>
          <w:spacing w:val="-3"/>
        </w:rPr>
      </w:pPr>
    </w:p>
    <w:p w:rsidR="00336DC2" w:rsidRPr="00624299" w:rsidRDefault="00336DC2" w:rsidP="00336DC2">
      <w:pPr>
        <w:tabs>
          <w:tab w:val="left" w:pos="0"/>
          <w:tab w:val="left" w:pos="851"/>
        </w:tabs>
        <w:suppressAutoHyphens/>
        <w:ind w:left="850" w:hanging="850"/>
        <w:jc w:val="both"/>
        <w:rPr>
          <w:spacing w:val="-3"/>
        </w:rPr>
      </w:pPr>
      <w:r w:rsidRPr="00624299">
        <w:rPr>
          <w:b/>
          <w:spacing w:val="-3"/>
        </w:rPr>
        <w:t>6.</w:t>
      </w:r>
      <w:r w:rsidRPr="00624299">
        <w:rPr>
          <w:b/>
          <w:spacing w:val="-3"/>
        </w:rPr>
        <w:tab/>
        <w:t>FARMACEUTISKE OPLYSNINGER</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6.1</w:t>
      </w:r>
      <w:r w:rsidRPr="00624299">
        <w:rPr>
          <w:b/>
          <w:spacing w:val="-3"/>
        </w:rPr>
        <w:tab/>
        <w:t>Hjælpestoffer</w:t>
      </w:r>
    </w:p>
    <w:p w:rsidR="00336DC2" w:rsidRPr="00624299" w:rsidRDefault="00336DC2" w:rsidP="00336DC2">
      <w:pPr>
        <w:tabs>
          <w:tab w:val="left" w:pos="0"/>
          <w:tab w:val="left" w:pos="851"/>
        </w:tabs>
        <w:suppressAutoHyphens/>
        <w:jc w:val="both"/>
        <w:rPr>
          <w:spacing w:val="-3"/>
        </w:rPr>
      </w:pPr>
      <w:r w:rsidRPr="00624299">
        <w:rPr>
          <w:spacing w:val="-3"/>
        </w:rPr>
        <w:tab/>
      </w:r>
      <w:proofErr w:type="spellStart"/>
      <w:r w:rsidRPr="00624299">
        <w:rPr>
          <w:spacing w:val="-3"/>
        </w:rPr>
        <w:t>Laktid</w:t>
      </w:r>
      <w:proofErr w:type="spellEnd"/>
      <w:r w:rsidRPr="00624299">
        <w:rPr>
          <w:spacing w:val="-3"/>
        </w:rPr>
        <w:t>/</w:t>
      </w:r>
      <w:proofErr w:type="spellStart"/>
      <w:r w:rsidRPr="00624299">
        <w:rPr>
          <w:spacing w:val="-3"/>
        </w:rPr>
        <w:t>glycolid</w:t>
      </w:r>
      <w:proofErr w:type="spellEnd"/>
      <w:r w:rsidRPr="00624299">
        <w:rPr>
          <w:spacing w:val="-3"/>
        </w:rPr>
        <w:t xml:space="preserve"> </w:t>
      </w:r>
      <w:proofErr w:type="spellStart"/>
      <w:r w:rsidRPr="00624299">
        <w:rPr>
          <w:spacing w:val="-3"/>
        </w:rPr>
        <w:t>copolymer</w:t>
      </w:r>
      <w:proofErr w:type="spellEnd"/>
      <w:r w:rsidRPr="00624299">
        <w:rPr>
          <w:spacing w:val="-3"/>
        </w:rPr>
        <w:t>.</w:t>
      </w:r>
    </w:p>
    <w:p w:rsidR="00336DC2" w:rsidRPr="00624299" w:rsidRDefault="00336DC2" w:rsidP="00336DC2">
      <w:pPr>
        <w:tabs>
          <w:tab w:val="left" w:pos="0"/>
          <w:tab w:val="left" w:pos="851"/>
        </w:tabs>
        <w:suppressAutoHyphens/>
        <w:ind w:left="850" w:hanging="850"/>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6.2</w:t>
      </w:r>
      <w:r w:rsidRPr="00624299">
        <w:rPr>
          <w:b/>
          <w:spacing w:val="-3"/>
        </w:rPr>
        <w:tab/>
        <w:t>Uforligeligheder</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Ikke relevant.</w:t>
      </w:r>
    </w:p>
    <w:p w:rsidR="00336DC2" w:rsidRPr="00624299" w:rsidRDefault="00336DC2" w:rsidP="00336DC2">
      <w:pPr>
        <w:tabs>
          <w:tab w:val="left" w:pos="0"/>
          <w:tab w:val="left" w:pos="851"/>
        </w:tabs>
        <w:suppressAutoHyphens/>
        <w:jc w:val="both"/>
        <w:rPr>
          <w:b/>
          <w:spacing w:val="-3"/>
        </w:rPr>
      </w:pPr>
    </w:p>
    <w:p w:rsidR="00336DC2" w:rsidRPr="00624299" w:rsidRDefault="00336DC2" w:rsidP="00336DC2">
      <w:pPr>
        <w:tabs>
          <w:tab w:val="left" w:pos="0"/>
          <w:tab w:val="left" w:pos="851"/>
        </w:tabs>
        <w:suppressAutoHyphens/>
        <w:ind w:left="850" w:hanging="850"/>
        <w:jc w:val="both"/>
        <w:rPr>
          <w:spacing w:val="-3"/>
        </w:rPr>
      </w:pPr>
      <w:r w:rsidRPr="00624299">
        <w:rPr>
          <w:b/>
          <w:spacing w:val="-3"/>
        </w:rPr>
        <w:t>6.3</w:t>
      </w:r>
      <w:r w:rsidRPr="00624299">
        <w:rPr>
          <w:b/>
          <w:spacing w:val="-3"/>
        </w:rPr>
        <w:tab/>
        <w:t>Opbevaringstid</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 xml:space="preserve">3 år. </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6.4</w:t>
      </w:r>
      <w:r w:rsidRPr="00624299">
        <w:rPr>
          <w:b/>
          <w:spacing w:val="-3"/>
        </w:rPr>
        <w:tab/>
        <w:t>Særlige opbevaringsforhold</w:t>
      </w:r>
    </w:p>
    <w:p w:rsidR="00336DC2" w:rsidRDefault="00336DC2" w:rsidP="00336DC2">
      <w:pPr>
        <w:tabs>
          <w:tab w:val="left" w:pos="0"/>
          <w:tab w:val="left" w:pos="851"/>
        </w:tabs>
        <w:suppressAutoHyphens/>
        <w:ind w:left="850" w:hanging="850"/>
        <w:jc w:val="both"/>
        <w:rPr>
          <w:spacing w:val="-3"/>
        </w:rPr>
      </w:pPr>
      <w:r>
        <w:rPr>
          <w:spacing w:val="-3"/>
        </w:rPr>
        <w:tab/>
        <w:t>Må ikke opbevares over 25°C</w:t>
      </w:r>
      <w:r w:rsidRPr="00B534D2">
        <w:rPr>
          <w:spacing w:val="-3"/>
        </w:rPr>
        <w:t>.</w:t>
      </w:r>
    </w:p>
    <w:p w:rsidR="00336DC2" w:rsidRDefault="00336DC2" w:rsidP="00336DC2">
      <w:pPr>
        <w:tabs>
          <w:tab w:val="left" w:pos="0"/>
          <w:tab w:val="left" w:pos="851"/>
        </w:tabs>
        <w:suppressAutoHyphens/>
        <w:ind w:left="850" w:hanging="850"/>
        <w:jc w:val="both"/>
        <w:rPr>
          <w:spacing w:val="-3"/>
        </w:rPr>
      </w:pPr>
    </w:p>
    <w:p w:rsidR="00336DC2" w:rsidRPr="00624299" w:rsidRDefault="00336DC2" w:rsidP="00336DC2">
      <w:pPr>
        <w:tabs>
          <w:tab w:val="left" w:pos="0"/>
          <w:tab w:val="left" w:pos="851"/>
        </w:tabs>
        <w:suppressAutoHyphens/>
        <w:ind w:left="850" w:hanging="850"/>
        <w:jc w:val="both"/>
        <w:rPr>
          <w:spacing w:val="-3"/>
        </w:rPr>
      </w:pPr>
      <w:r>
        <w:rPr>
          <w:spacing w:val="-3"/>
        </w:rPr>
        <w:tab/>
        <w:t>Opbevares i den originale foliepakning for at beskytte mod fugt.</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6.5</w:t>
      </w:r>
      <w:r w:rsidRPr="00624299">
        <w:rPr>
          <w:b/>
          <w:spacing w:val="-3"/>
        </w:rPr>
        <w:tab/>
        <w:t>Emballagetyper og pakningsstørrelser</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Éngangssprøjte monteret med et beskyttelseshylster i foliepakning forsynet med tørrekapsel.</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lastRenderedPageBreak/>
        <w:t>6.6</w:t>
      </w:r>
      <w:r w:rsidRPr="00624299">
        <w:rPr>
          <w:b/>
          <w:spacing w:val="-3"/>
        </w:rPr>
        <w:tab/>
        <w:t>Regler for destruktion og anden håndtering</w:t>
      </w:r>
    </w:p>
    <w:p w:rsidR="00336DC2" w:rsidRPr="00624299" w:rsidRDefault="00336DC2" w:rsidP="00336DC2">
      <w:pPr>
        <w:tabs>
          <w:tab w:val="left" w:pos="0"/>
          <w:tab w:val="left" w:pos="851"/>
        </w:tabs>
        <w:suppressAutoHyphens/>
        <w:ind w:left="850" w:hanging="850"/>
        <w:jc w:val="both"/>
        <w:rPr>
          <w:spacing w:val="-3"/>
        </w:rPr>
      </w:pPr>
      <w:r w:rsidRPr="00624299">
        <w:rPr>
          <w:spacing w:val="-3"/>
        </w:rPr>
        <w:tab/>
        <w:t xml:space="preserve">Anvendes straks efter åbning af foliepakningen. </w:t>
      </w:r>
    </w:p>
    <w:p w:rsidR="00336DC2" w:rsidRPr="00624299" w:rsidRDefault="00336DC2" w:rsidP="00336DC2">
      <w:pPr>
        <w:tabs>
          <w:tab w:val="left" w:pos="0"/>
          <w:tab w:val="left" w:pos="851"/>
        </w:tabs>
        <w:suppressAutoHyphens/>
        <w:ind w:left="850" w:hanging="850"/>
        <w:rPr>
          <w:spacing w:val="-3"/>
        </w:rPr>
      </w:pPr>
      <w:r w:rsidRPr="00624299">
        <w:rPr>
          <w:spacing w:val="-3"/>
        </w:rPr>
        <w:tab/>
        <w:t>Anvendes kun, hvis foliepakningen er intakt.</w:t>
      </w:r>
    </w:p>
    <w:p w:rsidR="00336DC2" w:rsidRPr="00624299" w:rsidRDefault="00336DC2" w:rsidP="00336DC2">
      <w:pPr>
        <w:tabs>
          <w:tab w:val="left" w:pos="0"/>
          <w:tab w:val="left" w:pos="851"/>
        </w:tabs>
        <w:suppressAutoHyphens/>
        <w:rPr>
          <w:spacing w:val="-3"/>
        </w:rPr>
      </w:pPr>
      <w:r w:rsidRPr="00624299">
        <w:rPr>
          <w:spacing w:val="-3"/>
        </w:rPr>
        <w:tab/>
        <w:t>Anvendes i henhold til brugsanvisningen på pakningen.</w:t>
      </w:r>
      <w:r w:rsidRPr="00624299">
        <w:rPr>
          <w:spacing w:val="-3"/>
        </w:rPr>
        <w:tab/>
      </w:r>
    </w:p>
    <w:p w:rsidR="00336DC2" w:rsidRPr="00624299" w:rsidRDefault="00336DC2" w:rsidP="00336DC2">
      <w:pPr>
        <w:tabs>
          <w:tab w:val="left" w:pos="0"/>
          <w:tab w:val="left" w:pos="851"/>
        </w:tabs>
        <w:suppressAutoHyphens/>
        <w:rPr>
          <w:spacing w:val="-3"/>
        </w:rPr>
      </w:pPr>
      <w:r w:rsidRPr="00624299">
        <w:rPr>
          <w:spacing w:val="-3"/>
        </w:rPr>
        <w:tab/>
      </w:r>
    </w:p>
    <w:p w:rsidR="00336DC2" w:rsidRPr="00624299" w:rsidRDefault="00336DC2" w:rsidP="00E240B9">
      <w:pPr>
        <w:tabs>
          <w:tab w:val="left" w:pos="0"/>
          <w:tab w:val="left" w:pos="851"/>
        </w:tabs>
        <w:suppressAutoHyphens/>
        <w:ind w:left="851"/>
        <w:rPr>
          <w:spacing w:val="-3"/>
        </w:rPr>
      </w:pPr>
      <w:r w:rsidRPr="00624299">
        <w:rPr>
          <w:spacing w:val="-3"/>
        </w:rPr>
        <w:t xml:space="preserve">Der skal udvises forsigtighed, når </w:t>
      </w:r>
      <w:proofErr w:type="spellStart"/>
      <w:r w:rsidRPr="00624299">
        <w:rPr>
          <w:spacing w:val="-3"/>
        </w:rPr>
        <w:t>Zoladex</w:t>
      </w:r>
      <w:proofErr w:type="spellEnd"/>
      <w:r w:rsidRPr="00624299">
        <w:rPr>
          <w:spacing w:val="-3"/>
        </w:rPr>
        <w:t xml:space="preserve"> administreres til patienter med lavt BMI og/eller til patienter, som får fuld </w:t>
      </w:r>
      <w:proofErr w:type="spellStart"/>
      <w:r w:rsidRPr="00624299">
        <w:rPr>
          <w:spacing w:val="-3"/>
        </w:rPr>
        <w:t>antikoagulationsbehandling</w:t>
      </w:r>
      <w:proofErr w:type="spellEnd"/>
      <w:r w:rsidRPr="00624299">
        <w:rPr>
          <w:spacing w:val="-3"/>
        </w:rPr>
        <w:t xml:space="preserve"> (se pkt. 4.4).</w:t>
      </w:r>
    </w:p>
    <w:p w:rsidR="00336DC2" w:rsidRPr="00624299" w:rsidRDefault="00336DC2" w:rsidP="00336DC2">
      <w:pPr>
        <w:tabs>
          <w:tab w:val="left" w:pos="0"/>
          <w:tab w:val="left" w:pos="851"/>
        </w:tabs>
        <w:suppressAutoHyphens/>
        <w:rPr>
          <w:spacing w:val="-3"/>
        </w:rPr>
      </w:pPr>
    </w:p>
    <w:p w:rsidR="00336DC2" w:rsidRPr="00624299" w:rsidRDefault="00336DC2" w:rsidP="00E240B9">
      <w:pPr>
        <w:tabs>
          <w:tab w:val="left" w:pos="0"/>
          <w:tab w:val="left" w:pos="851"/>
        </w:tabs>
        <w:suppressAutoHyphens/>
        <w:ind w:left="851"/>
        <w:rPr>
          <w:spacing w:val="-3"/>
        </w:rPr>
      </w:pPr>
      <w:proofErr w:type="spellStart"/>
      <w:r w:rsidRPr="00624299">
        <w:rPr>
          <w:spacing w:val="-3"/>
        </w:rPr>
        <w:t>Zoladex</w:t>
      </w:r>
      <w:proofErr w:type="spellEnd"/>
      <w:r w:rsidRPr="00624299">
        <w:rPr>
          <w:spacing w:val="-3"/>
        </w:rPr>
        <w:t xml:space="preserve">-sprøjten kan ikke anvendes til aspiration. Hvis den </w:t>
      </w:r>
      <w:proofErr w:type="spellStart"/>
      <w:r w:rsidRPr="00624299">
        <w:rPr>
          <w:spacing w:val="-3"/>
        </w:rPr>
        <w:t>hypodermiske</w:t>
      </w:r>
      <w:proofErr w:type="spellEnd"/>
      <w:r w:rsidRPr="00624299">
        <w:rPr>
          <w:spacing w:val="-3"/>
        </w:rPr>
        <w:t xml:space="preserve"> kanyle perforerer et stort kar, vil der straks kunne ses blod i kanylekammeret. Perforeres et kar, skal kanylen trækkes ud og resulterende blødning straks kontrolleres, mens patienten monitoreres for tegn eller symptomer på </w:t>
      </w:r>
      <w:proofErr w:type="spellStart"/>
      <w:r w:rsidRPr="00624299">
        <w:rPr>
          <w:spacing w:val="-3"/>
        </w:rPr>
        <w:t>abdominal</w:t>
      </w:r>
      <w:proofErr w:type="spellEnd"/>
      <w:r w:rsidRPr="00624299">
        <w:rPr>
          <w:spacing w:val="-3"/>
        </w:rPr>
        <w:t xml:space="preserve"> blødning. Når det er sikret, at patienten er </w:t>
      </w:r>
      <w:proofErr w:type="spellStart"/>
      <w:r w:rsidRPr="00624299">
        <w:rPr>
          <w:spacing w:val="-3"/>
        </w:rPr>
        <w:t>hæmodynamisk</w:t>
      </w:r>
      <w:proofErr w:type="spellEnd"/>
      <w:r w:rsidRPr="00624299">
        <w:rPr>
          <w:spacing w:val="-3"/>
        </w:rPr>
        <w:t xml:space="preserve"> stabil, kan et nyt </w:t>
      </w:r>
      <w:proofErr w:type="spellStart"/>
      <w:r w:rsidRPr="00624299">
        <w:rPr>
          <w:spacing w:val="-3"/>
        </w:rPr>
        <w:t>Zoladex</w:t>
      </w:r>
      <w:proofErr w:type="spellEnd"/>
      <w:r w:rsidRPr="00624299">
        <w:rPr>
          <w:spacing w:val="-3"/>
        </w:rPr>
        <w:t>-implantat injiceres et andet sted med en ny kanyle.</w:t>
      </w:r>
    </w:p>
    <w:p w:rsidR="00336DC2" w:rsidRPr="00624299" w:rsidRDefault="00336DC2" w:rsidP="00336DC2">
      <w:pPr>
        <w:rPr>
          <w:spacing w:val="-3"/>
        </w:rPr>
      </w:pPr>
    </w:p>
    <w:p w:rsidR="00336DC2" w:rsidRPr="00624299" w:rsidRDefault="00336DC2" w:rsidP="00E240B9">
      <w:pPr>
        <w:ind w:firstLine="850"/>
        <w:rPr>
          <w:spacing w:val="-3"/>
        </w:rPr>
      </w:pPr>
      <w:r w:rsidRPr="00624299">
        <w:rPr>
          <w:spacing w:val="-3"/>
        </w:rPr>
        <w:t>Ikke anvendt lægemiddel samt affald heraf bør destrueres i henhold til lokale retningslinjer.</w:t>
      </w:r>
    </w:p>
    <w:p w:rsidR="00336DC2" w:rsidRPr="00624299" w:rsidRDefault="00336DC2" w:rsidP="00336DC2">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rPr>
      </w:pPr>
      <w:r w:rsidRPr="00624299">
        <w:rPr>
          <w:b/>
          <w:spacing w:val="-3"/>
        </w:rPr>
        <w:t>7.</w:t>
      </w:r>
      <w:r w:rsidRPr="00624299">
        <w:rPr>
          <w:b/>
          <w:spacing w:val="-3"/>
        </w:rPr>
        <w:tab/>
        <w:t>INDEHAVER AF MARKEDSFØRINGSTILLADELSEN</w:t>
      </w:r>
    </w:p>
    <w:p w:rsidR="00C73355" w:rsidRDefault="00C73355" w:rsidP="00C73355">
      <w:pPr>
        <w:ind w:left="851"/>
        <w:rPr>
          <w:sz w:val="24"/>
          <w:szCs w:val="24"/>
        </w:rPr>
      </w:pPr>
      <w:r>
        <w:rPr>
          <w:sz w:val="24"/>
          <w:szCs w:val="24"/>
        </w:rPr>
        <w:t>Medartuum AB</w:t>
      </w:r>
    </w:p>
    <w:p w:rsidR="00C73355" w:rsidRDefault="00C73355" w:rsidP="00C73355">
      <w:pPr>
        <w:ind w:left="851"/>
        <w:rPr>
          <w:sz w:val="24"/>
          <w:szCs w:val="24"/>
        </w:rPr>
      </w:pPr>
      <w:proofErr w:type="spellStart"/>
      <w:r>
        <w:rPr>
          <w:sz w:val="24"/>
          <w:szCs w:val="24"/>
        </w:rPr>
        <w:t>Ostra</w:t>
      </w:r>
      <w:proofErr w:type="spellEnd"/>
      <w:r>
        <w:rPr>
          <w:sz w:val="24"/>
          <w:szCs w:val="24"/>
        </w:rPr>
        <w:t xml:space="preserve"> </w:t>
      </w:r>
      <w:proofErr w:type="spellStart"/>
      <w:r>
        <w:rPr>
          <w:sz w:val="24"/>
          <w:szCs w:val="24"/>
        </w:rPr>
        <w:t>Hamngatan</w:t>
      </w:r>
      <w:proofErr w:type="spellEnd"/>
      <w:r>
        <w:rPr>
          <w:sz w:val="24"/>
          <w:szCs w:val="24"/>
        </w:rPr>
        <w:t xml:space="preserve"> 26</w:t>
      </w:r>
    </w:p>
    <w:p w:rsidR="00D70A42" w:rsidRPr="004F0DB5" w:rsidRDefault="00C73355" w:rsidP="00C73355">
      <w:pPr>
        <w:ind w:left="851"/>
        <w:rPr>
          <w:sz w:val="24"/>
          <w:szCs w:val="24"/>
        </w:rPr>
      </w:pPr>
      <w:r>
        <w:rPr>
          <w:sz w:val="24"/>
          <w:szCs w:val="24"/>
        </w:rPr>
        <w:t xml:space="preserve">411 09, </w:t>
      </w:r>
      <w:proofErr w:type="spellStart"/>
      <w:r>
        <w:rPr>
          <w:sz w:val="24"/>
          <w:szCs w:val="24"/>
        </w:rPr>
        <w:t>Goteborg</w:t>
      </w:r>
      <w:proofErr w:type="spellEnd"/>
      <w:r>
        <w:rPr>
          <w:sz w:val="24"/>
          <w:szCs w:val="24"/>
        </w:rPr>
        <w:br/>
        <w:t>Sverige</w:t>
      </w:r>
    </w:p>
    <w:p w:rsidR="00E240B9" w:rsidRPr="00624299" w:rsidRDefault="00E240B9" w:rsidP="00E240B9">
      <w:pPr>
        <w:tabs>
          <w:tab w:val="left" w:pos="0"/>
          <w:tab w:val="left" w:pos="851"/>
        </w:tabs>
        <w:suppressAutoHyphens/>
        <w:jc w:val="both"/>
        <w:rPr>
          <w:spacing w:val="-3"/>
        </w:rPr>
      </w:pPr>
    </w:p>
    <w:p w:rsidR="00336DC2" w:rsidRPr="00624299" w:rsidRDefault="00336DC2" w:rsidP="00336DC2">
      <w:pPr>
        <w:tabs>
          <w:tab w:val="left" w:pos="0"/>
          <w:tab w:val="left" w:pos="851"/>
        </w:tabs>
        <w:suppressAutoHyphens/>
        <w:ind w:left="850" w:hanging="850"/>
        <w:jc w:val="both"/>
        <w:rPr>
          <w:b/>
          <w:spacing w:val="-3"/>
          <w:u w:val="single"/>
        </w:rPr>
      </w:pPr>
      <w:r w:rsidRPr="00624299">
        <w:rPr>
          <w:b/>
          <w:spacing w:val="-3"/>
        </w:rPr>
        <w:t>8.</w:t>
      </w:r>
      <w:r w:rsidRPr="00624299">
        <w:rPr>
          <w:b/>
          <w:spacing w:val="-3"/>
        </w:rPr>
        <w:tab/>
        <w:t>MARKEDSFØRINGSTILLADELSENUMMER (NUMRE)</w:t>
      </w:r>
    </w:p>
    <w:p w:rsidR="00336DC2" w:rsidRPr="00624299" w:rsidRDefault="00336DC2" w:rsidP="00D70A42">
      <w:pPr>
        <w:tabs>
          <w:tab w:val="left" w:pos="0"/>
          <w:tab w:val="left" w:pos="851"/>
          <w:tab w:val="left" w:pos="1843"/>
        </w:tabs>
        <w:suppressAutoHyphens/>
        <w:jc w:val="both"/>
        <w:rPr>
          <w:spacing w:val="-3"/>
        </w:rPr>
      </w:pPr>
      <w:r w:rsidRPr="00624299">
        <w:rPr>
          <w:spacing w:val="-3"/>
        </w:rPr>
        <w:tab/>
      </w:r>
      <w:r w:rsidR="00D70A42">
        <w:rPr>
          <w:spacing w:val="-3"/>
        </w:rPr>
        <w:t>68654</w:t>
      </w:r>
    </w:p>
    <w:p w:rsidR="00336DC2" w:rsidRPr="00624299" w:rsidRDefault="00336DC2" w:rsidP="00336DC2"/>
    <w:p w:rsidR="00336DC2" w:rsidRPr="00624299" w:rsidRDefault="00336DC2" w:rsidP="00336DC2">
      <w:pPr>
        <w:tabs>
          <w:tab w:val="left" w:pos="851"/>
        </w:tabs>
        <w:rPr>
          <w:b/>
          <w:szCs w:val="24"/>
        </w:rPr>
      </w:pPr>
      <w:r w:rsidRPr="00624299">
        <w:rPr>
          <w:b/>
          <w:szCs w:val="24"/>
        </w:rPr>
        <w:t>9.</w:t>
      </w:r>
      <w:r w:rsidRPr="00624299">
        <w:rPr>
          <w:b/>
          <w:szCs w:val="24"/>
        </w:rPr>
        <w:tab/>
        <w:t>DATO FOR FØRSTE MARKEDSFØRINGSTILLADELSE</w:t>
      </w:r>
    </w:p>
    <w:p w:rsidR="00336DC2" w:rsidRPr="00624299" w:rsidRDefault="00E240B9" w:rsidP="00E240B9">
      <w:pPr>
        <w:tabs>
          <w:tab w:val="left" w:pos="851"/>
        </w:tabs>
      </w:pPr>
      <w:r>
        <w:tab/>
      </w:r>
      <w:r w:rsidR="000511B8">
        <w:t>6</w:t>
      </w:r>
      <w:r w:rsidR="00D70A42">
        <w:t>. marts 2023</w:t>
      </w:r>
    </w:p>
    <w:p w:rsidR="00336DC2" w:rsidRPr="00624299" w:rsidRDefault="00336DC2" w:rsidP="00336DC2"/>
    <w:p w:rsidR="00336DC2" w:rsidRPr="00624299" w:rsidRDefault="00336DC2" w:rsidP="00E240B9">
      <w:pPr>
        <w:tabs>
          <w:tab w:val="left" w:pos="851"/>
        </w:tabs>
      </w:pPr>
      <w:r w:rsidRPr="00624299">
        <w:rPr>
          <w:b/>
        </w:rPr>
        <w:t>10.</w:t>
      </w:r>
      <w:r w:rsidRPr="00624299">
        <w:rPr>
          <w:b/>
        </w:rPr>
        <w:tab/>
        <w:t>DATO FOR ÆNDRING AF TEKSTEN</w:t>
      </w:r>
    </w:p>
    <w:p w:rsidR="00336DC2" w:rsidRPr="00624299" w:rsidRDefault="00E240B9" w:rsidP="00E240B9">
      <w:pPr>
        <w:tabs>
          <w:tab w:val="left" w:pos="851"/>
        </w:tabs>
      </w:pPr>
      <w:r>
        <w:tab/>
      </w:r>
      <w:r w:rsidR="00C73355">
        <w:t>6. marts 2024</w:t>
      </w:r>
      <w:bookmarkStart w:id="2" w:name="_GoBack"/>
      <w:bookmarkEnd w:id="2"/>
    </w:p>
    <w:p w:rsidR="00336DC2" w:rsidRPr="00C03BDC" w:rsidRDefault="00336DC2" w:rsidP="00336DC2"/>
    <w:p w:rsidR="00336DC2" w:rsidRPr="008B1EC1" w:rsidRDefault="00336DC2" w:rsidP="00336DC2"/>
    <w:p w:rsidR="009260DE" w:rsidRPr="00336DC2" w:rsidRDefault="009260DE" w:rsidP="00336DC2"/>
    <w:sectPr w:rsidR="009260DE" w:rsidRPr="00336DC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DC2" w:rsidRDefault="00336DC2">
      <w:r>
        <w:separator/>
      </w:r>
    </w:p>
  </w:endnote>
  <w:endnote w:type="continuationSeparator" w:id="0">
    <w:p w:rsidR="00336DC2" w:rsidRDefault="0033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70A42">
      <w:rPr>
        <w:i/>
        <w:noProof/>
        <w:sz w:val="18"/>
        <w:szCs w:val="18"/>
      </w:rPr>
      <w:t>Zoladex (Medartuum), implantat, fyldt injektionssprøjte 10,8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DC2" w:rsidRDefault="00336DC2">
      <w:r>
        <w:separator/>
      </w:r>
    </w:p>
  </w:footnote>
  <w:footnote w:type="continuationSeparator" w:id="0">
    <w:p w:rsidR="00336DC2" w:rsidRDefault="0033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10B9C"/>
    <w:multiLevelType w:val="hybridMultilevel"/>
    <w:tmpl w:val="05760234"/>
    <w:lvl w:ilvl="0" w:tplc="04060001">
      <w:start w:val="1"/>
      <w:numFmt w:val="bullet"/>
      <w:lvlText w:val=""/>
      <w:lvlJc w:val="left"/>
      <w:pPr>
        <w:ind w:left="-414" w:hanging="360"/>
      </w:pPr>
      <w:rPr>
        <w:rFonts w:ascii="Symbol" w:hAnsi="Symbol" w:hint="default"/>
      </w:rPr>
    </w:lvl>
    <w:lvl w:ilvl="1" w:tplc="04060003" w:tentative="1">
      <w:start w:val="1"/>
      <w:numFmt w:val="bullet"/>
      <w:lvlText w:val="o"/>
      <w:lvlJc w:val="left"/>
      <w:pPr>
        <w:ind w:left="306" w:hanging="360"/>
      </w:pPr>
      <w:rPr>
        <w:rFonts w:ascii="Courier New" w:hAnsi="Courier New" w:cs="Courier New" w:hint="default"/>
      </w:rPr>
    </w:lvl>
    <w:lvl w:ilvl="2" w:tplc="04060005" w:tentative="1">
      <w:start w:val="1"/>
      <w:numFmt w:val="bullet"/>
      <w:lvlText w:val=""/>
      <w:lvlJc w:val="left"/>
      <w:pPr>
        <w:ind w:left="1026" w:hanging="360"/>
      </w:pPr>
      <w:rPr>
        <w:rFonts w:ascii="Wingdings" w:hAnsi="Wingdings" w:hint="default"/>
      </w:rPr>
    </w:lvl>
    <w:lvl w:ilvl="3" w:tplc="04060001" w:tentative="1">
      <w:start w:val="1"/>
      <w:numFmt w:val="bullet"/>
      <w:lvlText w:val=""/>
      <w:lvlJc w:val="left"/>
      <w:pPr>
        <w:ind w:left="1746" w:hanging="360"/>
      </w:pPr>
      <w:rPr>
        <w:rFonts w:ascii="Symbol" w:hAnsi="Symbol" w:hint="default"/>
      </w:rPr>
    </w:lvl>
    <w:lvl w:ilvl="4" w:tplc="04060003" w:tentative="1">
      <w:start w:val="1"/>
      <w:numFmt w:val="bullet"/>
      <w:lvlText w:val="o"/>
      <w:lvlJc w:val="left"/>
      <w:pPr>
        <w:ind w:left="2466" w:hanging="360"/>
      </w:pPr>
      <w:rPr>
        <w:rFonts w:ascii="Courier New" w:hAnsi="Courier New" w:cs="Courier New" w:hint="default"/>
      </w:rPr>
    </w:lvl>
    <w:lvl w:ilvl="5" w:tplc="04060005" w:tentative="1">
      <w:start w:val="1"/>
      <w:numFmt w:val="bullet"/>
      <w:lvlText w:val=""/>
      <w:lvlJc w:val="left"/>
      <w:pPr>
        <w:ind w:left="3186" w:hanging="360"/>
      </w:pPr>
      <w:rPr>
        <w:rFonts w:ascii="Wingdings" w:hAnsi="Wingdings" w:hint="default"/>
      </w:rPr>
    </w:lvl>
    <w:lvl w:ilvl="6" w:tplc="04060001" w:tentative="1">
      <w:start w:val="1"/>
      <w:numFmt w:val="bullet"/>
      <w:lvlText w:val=""/>
      <w:lvlJc w:val="left"/>
      <w:pPr>
        <w:ind w:left="3906" w:hanging="360"/>
      </w:pPr>
      <w:rPr>
        <w:rFonts w:ascii="Symbol" w:hAnsi="Symbol" w:hint="default"/>
      </w:rPr>
    </w:lvl>
    <w:lvl w:ilvl="7" w:tplc="04060003" w:tentative="1">
      <w:start w:val="1"/>
      <w:numFmt w:val="bullet"/>
      <w:lvlText w:val="o"/>
      <w:lvlJc w:val="left"/>
      <w:pPr>
        <w:ind w:left="4626" w:hanging="360"/>
      </w:pPr>
      <w:rPr>
        <w:rFonts w:ascii="Courier New" w:hAnsi="Courier New" w:cs="Courier New" w:hint="default"/>
      </w:rPr>
    </w:lvl>
    <w:lvl w:ilvl="8" w:tplc="04060005" w:tentative="1">
      <w:start w:val="1"/>
      <w:numFmt w:val="bullet"/>
      <w:lvlText w:val=""/>
      <w:lvlJc w:val="left"/>
      <w:pPr>
        <w:ind w:left="5346" w:hanging="360"/>
      </w:pPr>
      <w:rPr>
        <w:rFonts w:ascii="Wingdings" w:hAnsi="Wingdings" w:hint="default"/>
      </w:rPr>
    </w:lvl>
  </w:abstractNum>
  <w:abstractNum w:abstractNumId="2" w15:restartNumberingAfterBreak="0">
    <w:nsid w:val="1C5A70B7"/>
    <w:multiLevelType w:val="multilevel"/>
    <w:tmpl w:val="C31E03FA"/>
    <w:lvl w:ilvl="0">
      <w:start w:val="4"/>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C2"/>
    <w:rsid w:val="000259B9"/>
    <w:rsid w:val="00041491"/>
    <w:rsid w:val="00050D16"/>
    <w:rsid w:val="000511B8"/>
    <w:rsid w:val="00074F2A"/>
    <w:rsid w:val="000A1CA8"/>
    <w:rsid w:val="000A466B"/>
    <w:rsid w:val="000B058C"/>
    <w:rsid w:val="000E4EE6"/>
    <w:rsid w:val="001454E2"/>
    <w:rsid w:val="00206CE8"/>
    <w:rsid w:val="0021526C"/>
    <w:rsid w:val="00282697"/>
    <w:rsid w:val="00283A2B"/>
    <w:rsid w:val="002B30AD"/>
    <w:rsid w:val="002C2C01"/>
    <w:rsid w:val="00336DC2"/>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7109E"/>
    <w:rsid w:val="0078011A"/>
    <w:rsid w:val="00782AF4"/>
    <w:rsid w:val="00790EE7"/>
    <w:rsid w:val="007B6649"/>
    <w:rsid w:val="0081546F"/>
    <w:rsid w:val="0082576E"/>
    <w:rsid w:val="00907F75"/>
    <w:rsid w:val="009260DE"/>
    <w:rsid w:val="0093258A"/>
    <w:rsid w:val="0095653C"/>
    <w:rsid w:val="009C7BA3"/>
    <w:rsid w:val="009D1F5A"/>
    <w:rsid w:val="00A37ED5"/>
    <w:rsid w:val="00A66CC2"/>
    <w:rsid w:val="00A96040"/>
    <w:rsid w:val="00B003BF"/>
    <w:rsid w:val="00B373D7"/>
    <w:rsid w:val="00BE0371"/>
    <w:rsid w:val="00C36276"/>
    <w:rsid w:val="00C42586"/>
    <w:rsid w:val="00C60CCD"/>
    <w:rsid w:val="00C73355"/>
    <w:rsid w:val="00C84483"/>
    <w:rsid w:val="00C95551"/>
    <w:rsid w:val="00CB20D7"/>
    <w:rsid w:val="00D020B0"/>
    <w:rsid w:val="00D11748"/>
    <w:rsid w:val="00D366CF"/>
    <w:rsid w:val="00D70A42"/>
    <w:rsid w:val="00E108AA"/>
    <w:rsid w:val="00E240B9"/>
    <w:rsid w:val="00E31812"/>
    <w:rsid w:val="00E3749A"/>
    <w:rsid w:val="00E7437F"/>
    <w:rsid w:val="00E865B8"/>
    <w:rsid w:val="00EC0B9B"/>
    <w:rsid w:val="00ED5E9F"/>
    <w:rsid w:val="00F05D0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8FA95"/>
  <w15:chartTrackingRefBased/>
  <w15:docId w15:val="{6288BEE7-8E9A-4608-A7CB-46DCCAD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next w:val="Normal"/>
    <w:link w:val="Overskrift5Tegn"/>
    <w:qFormat/>
    <w:rsid w:val="00336DC2"/>
    <w:pPr>
      <w:keepNext/>
      <w:spacing w:after="120"/>
      <w:outlineLvl w:val="4"/>
    </w:pPr>
    <w:rPr>
      <w:b/>
      <w:sz w:val="24"/>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rsid w:val="00336DC2"/>
    <w:rPr>
      <w:b/>
      <w:sz w:val="24"/>
      <w:lang w:val="en-GB" w:eastAsia="en-US"/>
    </w:rPr>
  </w:style>
  <w:style w:type="paragraph" w:styleId="Brdtekstindrykning">
    <w:name w:val="Body Text Indent"/>
    <w:basedOn w:val="Normal"/>
    <w:link w:val="BrdtekstindrykningTegn"/>
    <w:rsid w:val="00336DC2"/>
    <w:pPr>
      <w:tabs>
        <w:tab w:val="left" w:pos="-720"/>
        <w:tab w:val="left" w:pos="851"/>
      </w:tabs>
      <w:suppressAutoHyphens/>
      <w:ind w:left="851" w:hanging="851"/>
      <w:jc w:val="both"/>
    </w:pPr>
    <w:rPr>
      <w:sz w:val="24"/>
      <w:lang w:eastAsia="da-DK"/>
    </w:rPr>
  </w:style>
  <w:style w:type="character" w:customStyle="1" w:styleId="BrdtekstindrykningTegn">
    <w:name w:val="Brødtekstindrykning Tegn"/>
    <w:basedOn w:val="Standardskrifttypeiafsnit"/>
    <w:link w:val="Brdtekstindrykning"/>
    <w:rsid w:val="00336DC2"/>
    <w:rPr>
      <w:sz w:val="24"/>
    </w:rPr>
  </w:style>
  <w:style w:type="paragraph" w:styleId="Brdtekstindrykning3">
    <w:name w:val="Body Text Indent 3"/>
    <w:basedOn w:val="Normal"/>
    <w:link w:val="Brdtekstindrykning3Tegn"/>
    <w:rsid w:val="00336DC2"/>
    <w:pPr>
      <w:spacing w:after="120"/>
      <w:ind w:left="283"/>
    </w:pPr>
    <w:rPr>
      <w:sz w:val="16"/>
      <w:szCs w:val="16"/>
      <w:lang w:eastAsia="da-DK"/>
    </w:rPr>
  </w:style>
  <w:style w:type="character" w:customStyle="1" w:styleId="Brdtekstindrykning3Tegn">
    <w:name w:val="Brødtekstindrykning 3 Tegn"/>
    <w:basedOn w:val="Standardskrifttypeiafsnit"/>
    <w:link w:val="Brdtekstindrykning3"/>
    <w:rsid w:val="00336DC2"/>
    <w:rPr>
      <w:sz w:val="16"/>
      <w:szCs w:val="16"/>
    </w:rPr>
  </w:style>
  <w:style w:type="paragraph" w:styleId="Brdtekst2">
    <w:name w:val="Body Text 2"/>
    <w:basedOn w:val="Normal"/>
    <w:link w:val="Brdtekst2Tegn"/>
    <w:rsid w:val="00336DC2"/>
    <w:pPr>
      <w:spacing w:after="120" w:line="480" w:lineRule="auto"/>
      <w:ind w:left="851" w:hanging="851"/>
    </w:pPr>
    <w:rPr>
      <w:sz w:val="24"/>
      <w:lang w:eastAsia="da-DK"/>
    </w:rPr>
  </w:style>
  <w:style w:type="character" w:customStyle="1" w:styleId="Brdtekst2Tegn">
    <w:name w:val="Brødtekst 2 Tegn"/>
    <w:basedOn w:val="Standardskrifttypeiafsnit"/>
    <w:link w:val="Brdtekst2"/>
    <w:rsid w:val="00336DC2"/>
    <w:rPr>
      <w:sz w:val="24"/>
    </w:rPr>
  </w:style>
  <w:style w:type="paragraph" w:customStyle="1" w:styleId="A-Single">
    <w:name w:val="A-Single"/>
    <w:rsid w:val="00336DC2"/>
    <w:rPr>
      <w:sz w:val="24"/>
      <w:lang w:val="en-GB" w:eastAsia="en-US"/>
    </w:rPr>
  </w:style>
  <w:style w:type="paragraph" w:customStyle="1" w:styleId="A-Heading4">
    <w:name w:val="A-Heading 4"/>
    <w:next w:val="Normal"/>
    <w:rsid w:val="00336DC2"/>
    <w:pPr>
      <w:keepNext/>
      <w:spacing w:after="120"/>
      <w:outlineLvl w:val="3"/>
    </w:pPr>
    <w:rPr>
      <w:b/>
      <w:i/>
      <w:sz w:val="24"/>
      <w:lang w:val="en-GB" w:eastAsia="en-US"/>
    </w:rPr>
  </w:style>
  <w:style w:type="paragraph" w:styleId="Brdtekst">
    <w:name w:val="Body Text"/>
    <w:basedOn w:val="Normal"/>
    <w:link w:val="BrdtekstTegn"/>
    <w:rsid w:val="00336DC2"/>
    <w:pPr>
      <w:spacing w:after="120"/>
      <w:ind w:left="851" w:hanging="851"/>
    </w:pPr>
    <w:rPr>
      <w:sz w:val="24"/>
      <w:lang w:eastAsia="da-DK"/>
    </w:rPr>
  </w:style>
  <w:style w:type="character" w:customStyle="1" w:styleId="BrdtekstTegn">
    <w:name w:val="Brødtekst Tegn"/>
    <w:basedOn w:val="Standardskrifttypeiafsnit"/>
    <w:link w:val="Brdtekst"/>
    <w:rsid w:val="00336DC2"/>
    <w:rPr>
      <w:sz w:val="24"/>
    </w:rPr>
  </w:style>
  <w:style w:type="paragraph" w:styleId="Brdtekstindrykning2">
    <w:name w:val="Body Text Indent 2"/>
    <w:basedOn w:val="Normal"/>
    <w:link w:val="Brdtekstindrykning2Tegn"/>
    <w:rsid w:val="00336DC2"/>
    <w:pPr>
      <w:spacing w:after="120" w:line="480" w:lineRule="auto"/>
      <w:ind w:left="283" w:hanging="851"/>
    </w:pPr>
    <w:rPr>
      <w:sz w:val="24"/>
      <w:lang w:eastAsia="da-DK"/>
    </w:rPr>
  </w:style>
  <w:style w:type="character" w:customStyle="1" w:styleId="Brdtekstindrykning2Tegn">
    <w:name w:val="Brødtekstindrykning 2 Tegn"/>
    <w:basedOn w:val="Standardskrifttypeiafsnit"/>
    <w:link w:val="Brdtekstindrykning2"/>
    <w:rsid w:val="00336DC2"/>
    <w:rPr>
      <w:sz w:val="24"/>
    </w:rPr>
  </w:style>
  <w:style w:type="paragraph" w:customStyle="1" w:styleId="A-ListBullet">
    <w:name w:val="A-List Bullet"/>
    <w:rsid w:val="00336DC2"/>
    <w:pPr>
      <w:tabs>
        <w:tab w:val="num" w:pos="360"/>
      </w:tabs>
      <w:spacing w:after="240" w:line="280" w:lineRule="atLeast"/>
    </w:pPr>
    <w:rPr>
      <w:sz w:val="24"/>
      <w:lang w:val="en-GB" w:eastAsia="en-US"/>
    </w:rPr>
  </w:style>
  <w:style w:type="paragraph" w:customStyle="1" w:styleId="A-FigureTitle">
    <w:name w:val="A-Figure Title"/>
    <w:next w:val="Normal"/>
    <w:rsid w:val="00336DC2"/>
    <w:pPr>
      <w:keepNext/>
      <w:numPr>
        <w:numId w:val="7"/>
      </w:numPr>
      <w:tabs>
        <w:tab w:val="clear" w:pos="994"/>
        <w:tab w:val="left" w:pos="1800"/>
      </w:tabs>
      <w:spacing w:after="120" w:line="280" w:lineRule="atLeast"/>
      <w:ind w:left="1800" w:hanging="1800"/>
    </w:pPr>
    <w:rPr>
      <w:b/>
      <w:sz w:val="24"/>
      <w:lang w:val="en-GB" w:eastAsia="en-US"/>
    </w:rPr>
  </w:style>
  <w:style w:type="character" w:styleId="Hyperlink">
    <w:name w:val="Hyperlink"/>
    <w:uiPriority w:val="99"/>
    <w:unhideWhenUsed/>
    <w:rsid w:val="00336DC2"/>
    <w:rPr>
      <w:color w:val="0563C1"/>
      <w:u w:val="single"/>
    </w:rPr>
  </w:style>
  <w:style w:type="character" w:styleId="Ulstomtale">
    <w:name w:val="Unresolved Mention"/>
    <w:basedOn w:val="Standardskrifttypeiafsnit"/>
    <w:uiPriority w:val="99"/>
    <w:semiHidden/>
    <w:unhideWhenUsed/>
    <w:rsid w:val="00D70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6468110">
      <w:bodyDiv w:val="1"/>
      <w:marLeft w:val="0"/>
      <w:marRight w:val="0"/>
      <w:marTop w:val="0"/>
      <w:marBottom w:val="0"/>
      <w:divBdr>
        <w:top w:val="none" w:sz="0" w:space="0" w:color="auto"/>
        <w:left w:val="none" w:sz="0" w:space="0" w:color="auto"/>
        <w:bottom w:val="none" w:sz="0" w:space="0" w:color="auto"/>
        <w:right w:val="none" w:sz="0" w:space="0" w:color="auto"/>
      </w:divBdr>
    </w:div>
    <w:div w:id="105049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3989</Words>
  <Characters>26581</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2023053673 - pkt. 7</dc:description>
  <cp:lastModifiedBy>Annette Malmros</cp:lastModifiedBy>
  <cp:revision>3</cp:revision>
  <cp:lastPrinted>2012-08-22T08:53:00Z</cp:lastPrinted>
  <dcterms:created xsi:type="dcterms:W3CDTF">2024-03-05T21:01:00Z</dcterms:created>
  <dcterms:modified xsi:type="dcterms:W3CDTF">2024-03-05T21:03:00Z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