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A907F" w14:textId="77777777" w:rsidR="009260DE" w:rsidRPr="008F49E1" w:rsidRDefault="0021526C" w:rsidP="00A26C52">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8E36889" wp14:editId="272E28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7E61977" w14:textId="77777777" w:rsidR="009260DE" w:rsidRPr="00C84483" w:rsidRDefault="009260DE" w:rsidP="00A26C52">
      <w:pPr>
        <w:pStyle w:val="Titel"/>
        <w:tabs>
          <w:tab w:val="right" w:pos="9356"/>
        </w:tabs>
        <w:jc w:val="left"/>
        <w:rPr>
          <w:b w:val="0"/>
          <w:szCs w:val="24"/>
          <w:lang w:eastAsia="en-US"/>
        </w:rPr>
      </w:pPr>
    </w:p>
    <w:p w14:paraId="316BC3CF" w14:textId="6628110B" w:rsidR="009260DE" w:rsidRPr="00C84483" w:rsidRDefault="009260DE" w:rsidP="00A26C52">
      <w:pPr>
        <w:pStyle w:val="Titel"/>
        <w:tabs>
          <w:tab w:val="right" w:pos="9356"/>
        </w:tabs>
        <w:ind w:right="451"/>
        <w:jc w:val="left"/>
        <w:rPr>
          <w:b w:val="0"/>
          <w:szCs w:val="24"/>
          <w:lang w:eastAsia="en-US"/>
        </w:rPr>
      </w:pPr>
      <w:r w:rsidRPr="00C84483">
        <w:rPr>
          <w:b w:val="0"/>
          <w:szCs w:val="24"/>
          <w:lang w:eastAsia="en-US"/>
        </w:rPr>
        <w:tab/>
      </w:r>
      <w:r w:rsidR="007D73B8">
        <w:rPr>
          <w:szCs w:val="24"/>
        </w:rPr>
        <w:t>30. oktober 2024</w:t>
      </w:r>
    </w:p>
    <w:p w14:paraId="0E43A8A1" w14:textId="77777777" w:rsidR="009260DE" w:rsidRPr="00C84483" w:rsidRDefault="009260DE" w:rsidP="00A26C52">
      <w:pPr>
        <w:pStyle w:val="Titel"/>
        <w:tabs>
          <w:tab w:val="left" w:pos="8222"/>
        </w:tabs>
        <w:jc w:val="left"/>
        <w:rPr>
          <w:b w:val="0"/>
          <w:szCs w:val="24"/>
        </w:rPr>
      </w:pPr>
    </w:p>
    <w:p w14:paraId="6E9DD24B" w14:textId="77777777" w:rsidR="009260DE" w:rsidRPr="00C84483" w:rsidRDefault="009260DE" w:rsidP="00A26C52">
      <w:pPr>
        <w:pStyle w:val="Titel"/>
        <w:jc w:val="left"/>
        <w:rPr>
          <w:b w:val="0"/>
          <w:szCs w:val="24"/>
        </w:rPr>
      </w:pPr>
    </w:p>
    <w:p w14:paraId="37998580" w14:textId="77777777" w:rsidR="009260DE" w:rsidRPr="00C84483" w:rsidRDefault="009260DE" w:rsidP="00A26C52">
      <w:pPr>
        <w:jc w:val="center"/>
        <w:rPr>
          <w:b/>
          <w:sz w:val="24"/>
          <w:szCs w:val="24"/>
        </w:rPr>
      </w:pPr>
      <w:r w:rsidRPr="00C84483">
        <w:rPr>
          <w:b/>
          <w:sz w:val="24"/>
          <w:szCs w:val="24"/>
        </w:rPr>
        <w:t>PRODUKTRESUMÉ</w:t>
      </w:r>
    </w:p>
    <w:p w14:paraId="17A35BE4" w14:textId="77777777" w:rsidR="009260DE" w:rsidRPr="00C84483" w:rsidRDefault="009260DE" w:rsidP="00A26C52">
      <w:pPr>
        <w:jc w:val="center"/>
        <w:rPr>
          <w:b/>
          <w:sz w:val="24"/>
          <w:szCs w:val="24"/>
        </w:rPr>
      </w:pPr>
    </w:p>
    <w:p w14:paraId="7108EBE1" w14:textId="77777777" w:rsidR="009260DE" w:rsidRDefault="009260DE" w:rsidP="00A26C52">
      <w:pPr>
        <w:jc w:val="center"/>
        <w:rPr>
          <w:b/>
          <w:sz w:val="24"/>
          <w:szCs w:val="24"/>
        </w:rPr>
      </w:pPr>
      <w:r w:rsidRPr="00C84483">
        <w:rPr>
          <w:b/>
          <w:sz w:val="24"/>
          <w:szCs w:val="24"/>
        </w:rPr>
        <w:t>for</w:t>
      </w:r>
    </w:p>
    <w:p w14:paraId="7E4DFD76" w14:textId="77777777" w:rsidR="000B058C" w:rsidRPr="00C84483" w:rsidRDefault="000B058C" w:rsidP="00A26C52">
      <w:pPr>
        <w:jc w:val="center"/>
        <w:rPr>
          <w:b/>
          <w:sz w:val="24"/>
          <w:szCs w:val="24"/>
        </w:rPr>
      </w:pPr>
    </w:p>
    <w:p w14:paraId="11019946" w14:textId="77777777" w:rsidR="009260DE" w:rsidRPr="00C84483" w:rsidRDefault="00C31CAD" w:rsidP="00A26C52">
      <w:pPr>
        <w:jc w:val="center"/>
        <w:rPr>
          <w:b/>
          <w:sz w:val="24"/>
          <w:szCs w:val="24"/>
        </w:rPr>
      </w:pPr>
      <w:r>
        <w:rPr>
          <w:b/>
          <w:sz w:val="24"/>
          <w:szCs w:val="24"/>
        </w:rPr>
        <w:t>Zoledronsyre "Sun Pharma", infusionsvæske, opløsning</w:t>
      </w:r>
    </w:p>
    <w:p w14:paraId="0561BA38" w14:textId="77777777" w:rsidR="009260DE" w:rsidRPr="00C84483" w:rsidRDefault="009260DE" w:rsidP="00A26C52">
      <w:pPr>
        <w:jc w:val="both"/>
        <w:rPr>
          <w:sz w:val="24"/>
          <w:szCs w:val="24"/>
        </w:rPr>
      </w:pPr>
    </w:p>
    <w:p w14:paraId="1131BB22" w14:textId="77777777" w:rsidR="009260DE" w:rsidRPr="00C84483" w:rsidRDefault="009260DE" w:rsidP="00A26C52">
      <w:pPr>
        <w:jc w:val="both"/>
        <w:rPr>
          <w:sz w:val="24"/>
          <w:szCs w:val="24"/>
        </w:rPr>
      </w:pPr>
    </w:p>
    <w:p w14:paraId="3BE4B116" w14:textId="77777777" w:rsidR="009260DE" w:rsidRPr="00C84483" w:rsidRDefault="009260DE" w:rsidP="00A26C52">
      <w:pPr>
        <w:tabs>
          <w:tab w:val="left" w:pos="851"/>
        </w:tabs>
        <w:ind w:left="851" w:hanging="851"/>
        <w:rPr>
          <w:b/>
          <w:sz w:val="24"/>
          <w:szCs w:val="24"/>
        </w:rPr>
      </w:pPr>
      <w:r w:rsidRPr="00C84483">
        <w:rPr>
          <w:b/>
          <w:sz w:val="24"/>
          <w:szCs w:val="24"/>
        </w:rPr>
        <w:t>0.</w:t>
      </w:r>
      <w:r w:rsidRPr="00C84483">
        <w:rPr>
          <w:b/>
          <w:sz w:val="24"/>
          <w:szCs w:val="24"/>
        </w:rPr>
        <w:tab/>
        <w:t>D.SP.NR.</w:t>
      </w:r>
    </w:p>
    <w:p w14:paraId="4F6A7980" w14:textId="2796BA05" w:rsidR="009260DE" w:rsidRPr="00C84483" w:rsidRDefault="00A13A4E" w:rsidP="00A26C52">
      <w:pPr>
        <w:tabs>
          <w:tab w:val="left" w:pos="851"/>
        </w:tabs>
        <w:ind w:left="851"/>
        <w:rPr>
          <w:sz w:val="24"/>
          <w:szCs w:val="24"/>
        </w:rPr>
      </w:pPr>
      <w:r>
        <w:rPr>
          <w:sz w:val="24"/>
          <w:szCs w:val="24"/>
        </w:rPr>
        <w:t>33321</w:t>
      </w:r>
    </w:p>
    <w:p w14:paraId="42C3FB8A" w14:textId="77777777" w:rsidR="009260DE" w:rsidRPr="00C84483" w:rsidRDefault="009260DE" w:rsidP="00A26C52">
      <w:pPr>
        <w:tabs>
          <w:tab w:val="left" w:pos="851"/>
        </w:tabs>
        <w:ind w:left="851"/>
        <w:rPr>
          <w:sz w:val="24"/>
          <w:szCs w:val="24"/>
        </w:rPr>
      </w:pPr>
    </w:p>
    <w:p w14:paraId="7395C761" w14:textId="77777777" w:rsidR="009260DE" w:rsidRPr="00C84483" w:rsidRDefault="009260DE" w:rsidP="00A26C52">
      <w:pPr>
        <w:tabs>
          <w:tab w:val="left" w:pos="851"/>
        </w:tabs>
        <w:ind w:left="851" w:hanging="851"/>
        <w:rPr>
          <w:b/>
          <w:sz w:val="24"/>
          <w:szCs w:val="24"/>
        </w:rPr>
      </w:pPr>
      <w:r w:rsidRPr="00C84483">
        <w:rPr>
          <w:b/>
          <w:sz w:val="24"/>
          <w:szCs w:val="24"/>
        </w:rPr>
        <w:t>1.</w:t>
      </w:r>
      <w:r w:rsidRPr="00C84483">
        <w:rPr>
          <w:b/>
          <w:sz w:val="24"/>
          <w:szCs w:val="24"/>
        </w:rPr>
        <w:tab/>
        <w:t>LÆGEMIDLETS NAVN</w:t>
      </w:r>
    </w:p>
    <w:p w14:paraId="540EC3CE" w14:textId="09E8F4DD" w:rsidR="009260DE" w:rsidRPr="00C84483" w:rsidRDefault="00A13A4E" w:rsidP="00A26C52">
      <w:pPr>
        <w:tabs>
          <w:tab w:val="left" w:pos="851"/>
        </w:tabs>
        <w:ind w:left="851"/>
        <w:rPr>
          <w:sz w:val="24"/>
          <w:szCs w:val="24"/>
        </w:rPr>
      </w:pPr>
      <w:r>
        <w:rPr>
          <w:sz w:val="24"/>
          <w:szCs w:val="24"/>
        </w:rPr>
        <w:t>Zoledronsyre "Sun Pharma"</w:t>
      </w:r>
    </w:p>
    <w:p w14:paraId="557AA182" w14:textId="77777777" w:rsidR="009260DE" w:rsidRPr="00C84483" w:rsidRDefault="009260DE" w:rsidP="00A26C52">
      <w:pPr>
        <w:tabs>
          <w:tab w:val="left" w:pos="851"/>
        </w:tabs>
        <w:ind w:left="851"/>
        <w:rPr>
          <w:sz w:val="24"/>
          <w:szCs w:val="24"/>
        </w:rPr>
      </w:pPr>
    </w:p>
    <w:p w14:paraId="5C92D2BD" w14:textId="77777777" w:rsidR="009260DE" w:rsidRPr="00C84483" w:rsidRDefault="009260DE" w:rsidP="00A26C5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FE396CE" w14:textId="77777777" w:rsidR="00A13A4E" w:rsidRPr="00A13A4E" w:rsidRDefault="00A13A4E" w:rsidP="00A26C52">
      <w:pPr>
        <w:tabs>
          <w:tab w:val="left" w:pos="851"/>
        </w:tabs>
        <w:ind w:left="851"/>
        <w:rPr>
          <w:sz w:val="24"/>
          <w:szCs w:val="24"/>
        </w:rPr>
      </w:pPr>
      <w:r w:rsidRPr="00A13A4E">
        <w:rPr>
          <w:sz w:val="24"/>
          <w:szCs w:val="24"/>
        </w:rPr>
        <w:t>Hvert hætteglas med 100 ml opløsning indeholder 5,33 mg zoledronsyremonohydrat svarende til 5 mg vandfri zoledronsyre.</w:t>
      </w:r>
    </w:p>
    <w:p w14:paraId="391D3840" w14:textId="77777777" w:rsidR="00A13A4E" w:rsidRPr="00A13A4E" w:rsidRDefault="00A13A4E" w:rsidP="00A26C52">
      <w:pPr>
        <w:tabs>
          <w:tab w:val="left" w:pos="851"/>
        </w:tabs>
        <w:ind w:left="851"/>
        <w:rPr>
          <w:sz w:val="24"/>
          <w:szCs w:val="24"/>
        </w:rPr>
      </w:pPr>
    </w:p>
    <w:p w14:paraId="3103B9CE" w14:textId="77777777" w:rsidR="00A13A4E" w:rsidRPr="00A13A4E" w:rsidRDefault="00A13A4E" w:rsidP="00A26C52">
      <w:pPr>
        <w:tabs>
          <w:tab w:val="left" w:pos="851"/>
        </w:tabs>
        <w:ind w:left="851"/>
        <w:rPr>
          <w:sz w:val="24"/>
          <w:szCs w:val="24"/>
        </w:rPr>
      </w:pPr>
      <w:r w:rsidRPr="00A13A4E">
        <w:rPr>
          <w:sz w:val="24"/>
          <w:szCs w:val="24"/>
        </w:rPr>
        <w:t>Hvert ml af opløsningen indeholder 0,0533 zoledronsyremonohydrat svarende til 0,05 mg vandfri zoledronsyre.</w:t>
      </w:r>
    </w:p>
    <w:p w14:paraId="76FBE368" w14:textId="77777777" w:rsidR="00A13A4E" w:rsidRPr="00A13A4E" w:rsidRDefault="00A13A4E" w:rsidP="00A26C52">
      <w:pPr>
        <w:tabs>
          <w:tab w:val="left" w:pos="851"/>
        </w:tabs>
        <w:ind w:left="851"/>
        <w:rPr>
          <w:sz w:val="24"/>
          <w:szCs w:val="24"/>
        </w:rPr>
      </w:pPr>
    </w:p>
    <w:p w14:paraId="3850093D" w14:textId="77777777" w:rsidR="00A13A4E" w:rsidRPr="00A13A4E" w:rsidRDefault="00A13A4E" w:rsidP="00A26C52">
      <w:pPr>
        <w:tabs>
          <w:tab w:val="left" w:pos="851"/>
        </w:tabs>
        <w:ind w:left="851"/>
        <w:rPr>
          <w:sz w:val="24"/>
          <w:szCs w:val="24"/>
        </w:rPr>
      </w:pPr>
      <w:r w:rsidRPr="00A13A4E">
        <w:rPr>
          <w:sz w:val="24"/>
          <w:szCs w:val="24"/>
        </w:rPr>
        <w:t>Alle hjælpestoffer er anført under pkt. 6.1.</w:t>
      </w:r>
    </w:p>
    <w:p w14:paraId="5A5AC23C" w14:textId="77777777" w:rsidR="009260DE" w:rsidRPr="00C84483" w:rsidRDefault="009260DE" w:rsidP="00A26C52">
      <w:pPr>
        <w:tabs>
          <w:tab w:val="left" w:pos="851"/>
        </w:tabs>
        <w:ind w:left="851"/>
        <w:rPr>
          <w:sz w:val="24"/>
          <w:szCs w:val="24"/>
        </w:rPr>
      </w:pPr>
    </w:p>
    <w:p w14:paraId="66DA6FC1" w14:textId="77777777" w:rsidR="009260DE" w:rsidRPr="00C84483" w:rsidRDefault="009260DE" w:rsidP="00A26C52">
      <w:pPr>
        <w:tabs>
          <w:tab w:val="left" w:pos="851"/>
        </w:tabs>
        <w:ind w:left="851" w:hanging="851"/>
        <w:rPr>
          <w:b/>
          <w:sz w:val="24"/>
          <w:szCs w:val="24"/>
        </w:rPr>
      </w:pPr>
      <w:r w:rsidRPr="00C84483">
        <w:rPr>
          <w:b/>
          <w:sz w:val="24"/>
          <w:szCs w:val="24"/>
        </w:rPr>
        <w:t>3.</w:t>
      </w:r>
      <w:r w:rsidRPr="00C84483">
        <w:rPr>
          <w:b/>
          <w:sz w:val="24"/>
          <w:szCs w:val="24"/>
        </w:rPr>
        <w:tab/>
        <w:t>LÆGEMIDDELFORM</w:t>
      </w:r>
    </w:p>
    <w:p w14:paraId="109B893A" w14:textId="17BB44B7" w:rsidR="00A13A4E" w:rsidRDefault="00A13A4E" w:rsidP="00A26C52">
      <w:pPr>
        <w:tabs>
          <w:tab w:val="left" w:pos="851"/>
        </w:tabs>
        <w:ind w:left="851"/>
        <w:rPr>
          <w:sz w:val="24"/>
          <w:szCs w:val="24"/>
        </w:rPr>
      </w:pPr>
      <w:r w:rsidRPr="00A13A4E">
        <w:rPr>
          <w:sz w:val="24"/>
          <w:szCs w:val="24"/>
        </w:rPr>
        <w:t>Infusionsvæske, opløsning</w:t>
      </w:r>
    </w:p>
    <w:p w14:paraId="0647D2FC" w14:textId="77777777" w:rsidR="00A13A4E" w:rsidRPr="00A13A4E" w:rsidRDefault="00A13A4E" w:rsidP="00A26C52">
      <w:pPr>
        <w:tabs>
          <w:tab w:val="left" w:pos="851"/>
        </w:tabs>
        <w:ind w:left="851"/>
        <w:rPr>
          <w:sz w:val="24"/>
          <w:szCs w:val="24"/>
        </w:rPr>
      </w:pPr>
    </w:p>
    <w:p w14:paraId="39EC26D9" w14:textId="77777777" w:rsidR="00A13A4E" w:rsidRPr="00A13A4E" w:rsidRDefault="00A13A4E" w:rsidP="00A26C52">
      <w:pPr>
        <w:tabs>
          <w:tab w:val="left" w:pos="851"/>
        </w:tabs>
        <w:ind w:left="851"/>
        <w:rPr>
          <w:sz w:val="24"/>
          <w:szCs w:val="24"/>
        </w:rPr>
      </w:pPr>
      <w:r w:rsidRPr="00A13A4E">
        <w:rPr>
          <w:sz w:val="24"/>
          <w:szCs w:val="24"/>
        </w:rPr>
        <w:t>Klar og farveløs opløsning, med pH på 5,5 til 7,0 og osmolaritet på 260-320 mOsm/Kg</w:t>
      </w:r>
    </w:p>
    <w:p w14:paraId="07B344E8" w14:textId="77777777" w:rsidR="009260DE" w:rsidRPr="00C84483" w:rsidRDefault="009260DE" w:rsidP="00A26C52">
      <w:pPr>
        <w:tabs>
          <w:tab w:val="left" w:pos="851"/>
        </w:tabs>
        <w:ind w:left="851"/>
        <w:rPr>
          <w:sz w:val="24"/>
          <w:szCs w:val="24"/>
        </w:rPr>
      </w:pPr>
    </w:p>
    <w:p w14:paraId="03671D4D" w14:textId="77777777" w:rsidR="009260DE" w:rsidRPr="00C84483" w:rsidRDefault="009260DE" w:rsidP="00A26C52">
      <w:pPr>
        <w:tabs>
          <w:tab w:val="left" w:pos="851"/>
        </w:tabs>
        <w:ind w:left="851"/>
        <w:rPr>
          <w:sz w:val="24"/>
          <w:szCs w:val="24"/>
        </w:rPr>
      </w:pPr>
    </w:p>
    <w:p w14:paraId="25DBBC1C" w14:textId="77777777" w:rsidR="009260DE" w:rsidRPr="00C84483" w:rsidRDefault="009260DE" w:rsidP="00A26C52">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9CC4D4B" w14:textId="77777777" w:rsidR="009260DE" w:rsidRPr="00C84483" w:rsidRDefault="009260DE" w:rsidP="00A26C52">
      <w:pPr>
        <w:tabs>
          <w:tab w:val="left" w:pos="851"/>
        </w:tabs>
        <w:ind w:left="851"/>
        <w:rPr>
          <w:b/>
          <w:sz w:val="24"/>
          <w:szCs w:val="24"/>
        </w:rPr>
      </w:pPr>
    </w:p>
    <w:p w14:paraId="2DBE2F42" w14:textId="77777777" w:rsidR="009260DE" w:rsidRPr="00C84483" w:rsidRDefault="009260DE" w:rsidP="00A26C5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60E9ACE" w14:textId="77777777" w:rsidR="00A13A4E" w:rsidRPr="00D531A9" w:rsidRDefault="00A13A4E" w:rsidP="00A26C52">
      <w:pPr>
        <w:tabs>
          <w:tab w:val="left" w:pos="851"/>
        </w:tabs>
        <w:ind w:left="851"/>
        <w:rPr>
          <w:sz w:val="24"/>
          <w:szCs w:val="24"/>
        </w:rPr>
      </w:pPr>
      <w:r w:rsidRPr="00D531A9">
        <w:rPr>
          <w:sz w:val="24"/>
          <w:szCs w:val="24"/>
        </w:rPr>
        <w:t>Behandling af osteoporose</w:t>
      </w:r>
    </w:p>
    <w:p w14:paraId="0955AB34" w14:textId="77777777" w:rsidR="00A13A4E" w:rsidRPr="00A13A4E" w:rsidRDefault="00A13A4E" w:rsidP="00A26C52">
      <w:pPr>
        <w:numPr>
          <w:ilvl w:val="2"/>
          <w:numId w:val="6"/>
        </w:numPr>
        <w:tabs>
          <w:tab w:val="left" w:pos="851"/>
        </w:tabs>
        <w:ind w:left="1134" w:hanging="283"/>
        <w:rPr>
          <w:sz w:val="24"/>
          <w:szCs w:val="24"/>
          <w:lang w:val="en-US"/>
        </w:rPr>
      </w:pPr>
      <w:r w:rsidRPr="00A13A4E">
        <w:rPr>
          <w:sz w:val="24"/>
          <w:szCs w:val="24"/>
          <w:lang w:val="en-US"/>
        </w:rPr>
        <w:t>hos postmenopausale kvinder</w:t>
      </w:r>
    </w:p>
    <w:p w14:paraId="36959F9D" w14:textId="77777777" w:rsidR="00A13A4E" w:rsidRPr="00A13A4E" w:rsidRDefault="00A13A4E" w:rsidP="00A26C52">
      <w:pPr>
        <w:numPr>
          <w:ilvl w:val="2"/>
          <w:numId w:val="6"/>
        </w:numPr>
        <w:tabs>
          <w:tab w:val="left" w:pos="851"/>
        </w:tabs>
        <w:ind w:left="1134" w:hanging="283"/>
        <w:rPr>
          <w:sz w:val="24"/>
          <w:szCs w:val="24"/>
          <w:lang w:val="en-US"/>
        </w:rPr>
      </w:pPr>
      <w:r w:rsidRPr="00A13A4E">
        <w:rPr>
          <w:sz w:val="24"/>
          <w:szCs w:val="24"/>
          <w:lang w:val="en-US"/>
        </w:rPr>
        <w:t>hos voksne mænd</w:t>
      </w:r>
    </w:p>
    <w:p w14:paraId="25192CF1" w14:textId="77777777" w:rsidR="00A13A4E" w:rsidRPr="00A13A4E" w:rsidRDefault="00A13A4E" w:rsidP="00A26C52">
      <w:pPr>
        <w:tabs>
          <w:tab w:val="left" w:pos="851"/>
        </w:tabs>
        <w:ind w:left="851"/>
        <w:rPr>
          <w:sz w:val="24"/>
          <w:szCs w:val="24"/>
        </w:rPr>
      </w:pPr>
      <w:r w:rsidRPr="00A13A4E">
        <w:rPr>
          <w:sz w:val="24"/>
          <w:szCs w:val="24"/>
        </w:rPr>
        <w:t>med øget risiko for knoglebrud, inklusive personer med en nylig lavenergi-hoftefraktur.</w:t>
      </w:r>
    </w:p>
    <w:p w14:paraId="51DDEA66" w14:textId="77777777" w:rsidR="00A13A4E" w:rsidRPr="00A13A4E" w:rsidRDefault="00A13A4E" w:rsidP="00A26C52">
      <w:pPr>
        <w:tabs>
          <w:tab w:val="left" w:pos="851"/>
        </w:tabs>
        <w:ind w:left="851"/>
        <w:rPr>
          <w:sz w:val="24"/>
          <w:szCs w:val="24"/>
        </w:rPr>
      </w:pPr>
    </w:p>
    <w:p w14:paraId="49762485" w14:textId="77777777" w:rsidR="00A13A4E" w:rsidRPr="00A13A4E" w:rsidRDefault="00A13A4E" w:rsidP="00A26C52">
      <w:pPr>
        <w:tabs>
          <w:tab w:val="left" w:pos="851"/>
        </w:tabs>
        <w:ind w:left="851"/>
        <w:rPr>
          <w:sz w:val="24"/>
          <w:szCs w:val="24"/>
        </w:rPr>
      </w:pPr>
      <w:r w:rsidRPr="00A13A4E">
        <w:rPr>
          <w:sz w:val="24"/>
          <w:szCs w:val="24"/>
        </w:rPr>
        <w:t>Behandling af osteoporose i forbindelse med længerevarende systemisk glukokortikoidbehandling</w:t>
      </w:r>
    </w:p>
    <w:p w14:paraId="5463D782" w14:textId="77777777" w:rsidR="00A13A4E" w:rsidRPr="00A13A4E" w:rsidRDefault="00A13A4E" w:rsidP="00A26C52">
      <w:pPr>
        <w:numPr>
          <w:ilvl w:val="2"/>
          <w:numId w:val="6"/>
        </w:numPr>
        <w:tabs>
          <w:tab w:val="left" w:pos="851"/>
        </w:tabs>
        <w:ind w:left="1134" w:hanging="283"/>
        <w:rPr>
          <w:sz w:val="24"/>
          <w:szCs w:val="24"/>
          <w:lang w:val="en-US"/>
        </w:rPr>
      </w:pPr>
      <w:r w:rsidRPr="00A13A4E">
        <w:rPr>
          <w:sz w:val="24"/>
          <w:szCs w:val="24"/>
          <w:lang w:val="en-US"/>
        </w:rPr>
        <w:t>hos postmenopausale kvinder</w:t>
      </w:r>
    </w:p>
    <w:p w14:paraId="154F8439" w14:textId="28493673" w:rsidR="00A13A4E" w:rsidRDefault="00A13A4E" w:rsidP="00A26C52">
      <w:pPr>
        <w:numPr>
          <w:ilvl w:val="2"/>
          <w:numId w:val="6"/>
        </w:numPr>
        <w:tabs>
          <w:tab w:val="left" w:pos="851"/>
        </w:tabs>
        <w:ind w:left="1134" w:hanging="283"/>
        <w:rPr>
          <w:sz w:val="24"/>
          <w:szCs w:val="24"/>
        </w:rPr>
      </w:pPr>
      <w:r w:rsidRPr="00A13A4E">
        <w:rPr>
          <w:sz w:val="24"/>
          <w:szCs w:val="24"/>
        </w:rPr>
        <w:t>hos voksne mænd med øget risiko for fraktur.</w:t>
      </w:r>
    </w:p>
    <w:p w14:paraId="1BBA9A71" w14:textId="77777777" w:rsidR="00270DF5" w:rsidRPr="00A13A4E" w:rsidRDefault="00270DF5" w:rsidP="00A26C52">
      <w:pPr>
        <w:tabs>
          <w:tab w:val="left" w:pos="851"/>
        </w:tabs>
        <w:ind w:left="1134"/>
        <w:rPr>
          <w:sz w:val="24"/>
          <w:szCs w:val="24"/>
        </w:rPr>
      </w:pPr>
    </w:p>
    <w:p w14:paraId="26904B10" w14:textId="77777777" w:rsidR="00A13A4E" w:rsidRPr="00A13A4E" w:rsidRDefault="00A13A4E" w:rsidP="00A26C52">
      <w:pPr>
        <w:tabs>
          <w:tab w:val="left" w:pos="851"/>
        </w:tabs>
        <w:ind w:left="851"/>
        <w:rPr>
          <w:sz w:val="24"/>
          <w:szCs w:val="24"/>
        </w:rPr>
      </w:pPr>
      <w:r w:rsidRPr="00A13A4E">
        <w:rPr>
          <w:sz w:val="24"/>
          <w:szCs w:val="24"/>
        </w:rPr>
        <w:t>Behandling af Pagets sygdom af knoglerne hos voksne.</w:t>
      </w:r>
    </w:p>
    <w:p w14:paraId="32C85E89" w14:textId="77777777" w:rsidR="009260DE" w:rsidRPr="00C84483" w:rsidRDefault="009260DE" w:rsidP="00A26C52">
      <w:pPr>
        <w:tabs>
          <w:tab w:val="left" w:pos="851"/>
        </w:tabs>
        <w:ind w:left="851"/>
        <w:rPr>
          <w:sz w:val="24"/>
          <w:szCs w:val="24"/>
        </w:rPr>
      </w:pPr>
    </w:p>
    <w:p w14:paraId="4BDF7A6C" w14:textId="77777777" w:rsidR="009260DE" w:rsidRPr="00C84483" w:rsidRDefault="009260DE" w:rsidP="00A26C5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B20E9CC" w14:textId="77777777" w:rsidR="003641AA" w:rsidRDefault="003641AA" w:rsidP="00A26C52">
      <w:pPr>
        <w:tabs>
          <w:tab w:val="left" w:pos="851"/>
        </w:tabs>
        <w:ind w:left="851"/>
        <w:rPr>
          <w:sz w:val="24"/>
          <w:szCs w:val="24"/>
          <w:u w:val="single"/>
        </w:rPr>
      </w:pPr>
    </w:p>
    <w:p w14:paraId="6E23886C" w14:textId="3511E8E8" w:rsidR="003641AA" w:rsidRPr="003641AA" w:rsidRDefault="003641AA" w:rsidP="00A26C52">
      <w:pPr>
        <w:tabs>
          <w:tab w:val="left" w:pos="851"/>
        </w:tabs>
        <w:ind w:left="851"/>
        <w:rPr>
          <w:b/>
          <w:sz w:val="24"/>
          <w:szCs w:val="24"/>
        </w:rPr>
      </w:pPr>
      <w:r w:rsidRPr="003641AA">
        <w:rPr>
          <w:b/>
          <w:sz w:val="24"/>
          <w:szCs w:val="24"/>
        </w:rPr>
        <w:t>Dosering</w:t>
      </w:r>
    </w:p>
    <w:p w14:paraId="72900871" w14:textId="77777777" w:rsidR="003641AA" w:rsidRPr="003641AA" w:rsidRDefault="003641AA" w:rsidP="00A26C52">
      <w:pPr>
        <w:tabs>
          <w:tab w:val="left" w:pos="851"/>
        </w:tabs>
        <w:ind w:left="851"/>
        <w:rPr>
          <w:sz w:val="24"/>
          <w:szCs w:val="24"/>
        </w:rPr>
      </w:pPr>
      <w:r w:rsidRPr="003641AA">
        <w:rPr>
          <w:sz w:val="24"/>
          <w:szCs w:val="24"/>
        </w:rPr>
        <w:t>Patienter skal være passende hydreret før administration af Zoledronsyre "Sun Pharma". Dette gælder specielt for ældre patienter (≥65 år) og for patienter, som er i behandling med diuretika.</w:t>
      </w:r>
    </w:p>
    <w:p w14:paraId="1AA0C101" w14:textId="77777777" w:rsidR="003641AA" w:rsidRPr="003641AA" w:rsidRDefault="003641AA" w:rsidP="00A26C52">
      <w:pPr>
        <w:tabs>
          <w:tab w:val="left" w:pos="851"/>
        </w:tabs>
        <w:ind w:left="851"/>
        <w:rPr>
          <w:sz w:val="24"/>
          <w:szCs w:val="24"/>
        </w:rPr>
      </w:pPr>
      <w:r w:rsidRPr="003641AA">
        <w:rPr>
          <w:sz w:val="24"/>
          <w:szCs w:val="24"/>
        </w:rPr>
        <w:t>Det anbefales at indtage tilstrækkeligt med calcium og D-vitamin i forbindelse med administration af zoledronsyre.</w:t>
      </w:r>
    </w:p>
    <w:p w14:paraId="2418F0D9" w14:textId="77777777" w:rsidR="003641AA" w:rsidRPr="003641AA" w:rsidRDefault="003641AA" w:rsidP="00A26C52">
      <w:pPr>
        <w:tabs>
          <w:tab w:val="left" w:pos="851"/>
        </w:tabs>
        <w:ind w:left="851"/>
        <w:rPr>
          <w:sz w:val="24"/>
          <w:szCs w:val="24"/>
        </w:rPr>
      </w:pPr>
    </w:p>
    <w:p w14:paraId="6BDC721F" w14:textId="77777777" w:rsidR="003641AA" w:rsidRPr="003641AA" w:rsidRDefault="003641AA" w:rsidP="00A26C52">
      <w:pPr>
        <w:tabs>
          <w:tab w:val="left" w:pos="851"/>
        </w:tabs>
        <w:ind w:left="851"/>
        <w:rPr>
          <w:sz w:val="24"/>
          <w:szCs w:val="24"/>
          <w:u w:val="single"/>
        </w:rPr>
      </w:pPr>
      <w:r w:rsidRPr="003641AA">
        <w:rPr>
          <w:sz w:val="24"/>
          <w:szCs w:val="24"/>
          <w:u w:val="single"/>
        </w:rPr>
        <w:t>Osteoporose</w:t>
      </w:r>
    </w:p>
    <w:p w14:paraId="0312FF6F" w14:textId="77777777" w:rsidR="003641AA" w:rsidRPr="003641AA" w:rsidRDefault="003641AA" w:rsidP="00A26C52">
      <w:pPr>
        <w:tabs>
          <w:tab w:val="left" w:pos="851"/>
        </w:tabs>
        <w:ind w:left="851"/>
        <w:rPr>
          <w:sz w:val="24"/>
          <w:szCs w:val="24"/>
        </w:rPr>
      </w:pPr>
      <w:r w:rsidRPr="003641AA">
        <w:rPr>
          <w:sz w:val="24"/>
          <w:szCs w:val="24"/>
        </w:rPr>
        <w:t>Til behandling af postmenopausal osteoporose, osteoporose hos mænd og behandling af osteoporose i forbindelse med længerevarende systemisk glukokortikoidbehandling er den anbefalede dosis en enkelt intravenøs infusion af 5 mg zoledronsyre administreret en gang om året.</w:t>
      </w:r>
    </w:p>
    <w:p w14:paraId="0ADDF5A8" w14:textId="77777777" w:rsidR="003641AA" w:rsidRPr="003641AA" w:rsidRDefault="003641AA" w:rsidP="00A26C52">
      <w:pPr>
        <w:tabs>
          <w:tab w:val="left" w:pos="851"/>
        </w:tabs>
        <w:ind w:left="851"/>
        <w:rPr>
          <w:sz w:val="24"/>
          <w:szCs w:val="24"/>
        </w:rPr>
      </w:pPr>
      <w:r w:rsidRPr="003641AA">
        <w:rPr>
          <w:sz w:val="24"/>
          <w:szCs w:val="24"/>
        </w:rPr>
        <w:t>Den optimale varighed af bisfosfonatbehandling af osteoporose er ikke fastlagt. Behovet for fortsat behandling skal revurderes regelmæssigt, baseret på fordele og mulige risici af zoledronsyre for den enkelte patient, især efter anvendelse i 5 år eller mere.</w:t>
      </w:r>
    </w:p>
    <w:p w14:paraId="4931F66B" w14:textId="72EFE016" w:rsidR="003641AA" w:rsidRPr="003641AA" w:rsidRDefault="003641AA" w:rsidP="00A26C52">
      <w:pPr>
        <w:tabs>
          <w:tab w:val="left" w:pos="851"/>
        </w:tabs>
        <w:ind w:left="851"/>
        <w:rPr>
          <w:sz w:val="24"/>
          <w:szCs w:val="24"/>
        </w:rPr>
      </w:pPr>
      <w:r w:rsidRPr="003641AA">
        <w:rPr>
          <w:sz w:val="24"/>
          <w:szCs w:val="24"/>
        </w:rPr>
        <w:t>Hos patienter med en nylig lavenergi-hoftefraktur anbefales det at administrere zoledronsyre -infusion mindst to uger efter hoftefrakturhelingen (se pkt. 5.1). Det anbefales at give en støddosis D-vitamin på</w:t>
      </w:r>
      <w:r>
        <w:rPr>
          <w:sz w:val="24"/>
          <w:szCs w:val="24"/>
        </w:rPr>
        <w:t xml:space="preserve"> </w:t>
      </w:r>
      <w:r w:rsidRPr="003641AA">
        <w:rPr>
          <w:sz w:val="24"/>
          <w:szCs w:val="24"/>
        </w:rPr>
        <w:t>50.000 til 125.000 IE oralt eller intramuskulært før den første zoledronsyre -infusion hos patienter med en nylig lavenergi-hoftefraktur.</w:t>
      </w:r>
    </w:p>
    <w:p w14:paraId="442962DB" w14:textId="77777777" w:rsidR="003641AA" w:rsidRDefault="003641AA" w:rsidP="00A26C52">
      <w:pPr>
        <w:tabs>
          <w:tab w:val="left" w:pos="851"/>
        </w:tabs>
        <w:ind w:left="851"/>
        <w:rPr>
          <w:i/>
          <w:sz w:val="24"/>
          <w:szCs w:val="24"/>
          <w:u w:val="single"/>
        </w:rPr>
      </w:pPr>
    </w:p>
    <w:p w14:paraId="1CC73368" w14:textId="08B5DE9A" w:rsidR="003641AA" w:rsidRPr="003641AA" w:rsidRDefault="003641AA" w:rsidP="00A26C52">
      <w:pPr>
        <w:tabs>
          <w:tab w:val="left" w:pos="851"/>
        </w:tabs>
        <w:ind w:left="851"/>
        <w:rPr>
          <w:sz w:val="24"/>
          <w:szCs w:val="24"/>
        </w:rPr>
      </w:pPr>
      <w:r w:rsidRPr="003641AA">
        <w:rPr>
          <w:sz w:val="24"/>
          <w:szCs w:val="24"/>
          <w:u w:val="single"/>
        </w:rPr>
        <w:t>Pagets sygdom</w:t>
      </w:r>
    </w:p>
    <w:p w14:paraId="210BD129" w14:textId="77777777" w:rsidR="003641AA" w:rsidRPr="003641AA" w:rsidRDefault="003641AA" w:rsidP="00A26C52">
      <w:pPr>
        <w:tabs>
          <w:tab w:val="left" w:pos="851"/>
        </w:tabs>
        <w:ind w:left="851"/>
        <w:rPr>
          <w:sz w:val="24"/>
          <w:szCs w:val="24"/>
        </w:rPr>
      </w:pPr>
      <w:r w:rsidRPr="003641AA">
        <w:rPr>
          <w:sz w:val="24"/>
          <w:szCs w:val="24"/>
        </w:rPr>
        <w:t>Til behandling af Pagets sygdom bør zoledronsyre kun ordineres af læger med erfaring i behandlingen af Pagets sygdom af knoglerne. Den anbefalede dosis er en enkelt intravenøs infusion af 5 mg zoledronsyre. Det tilrådes kraftigt hos patienter med Pagets sygdom at sikre et tilstrækkeligt calciumtilskud svarende til mindst 500 mg calcium to gange daglig, i mindst 10 dage efter administration af zoledronsyre (se pkt. 4.4).</w:t>
      </w:r>
    </w:p>
    <w:p w14:paraId="5D63C418" w14:textId="77777777" w:rsidR="003641AA" w:rsidRPr="003641AA" w:rsidRDefault="003641AA" w:rsidP="00A26C52">
      <w:pPr>
        <w:tabs>
          <w:tab w:val="left" w:pos="851"/>
        </w:tabs>
        <w:ind w:left="851"/>
        <w:rPr>
          <w:sz w:val="24"/>
          <w:szCs w:val="24"/>
        </w:rPr>
      </w:pPr>
    </w:p>
    <w:p w14:paraId="5766C162" w14:textId="77777777" w:rsidR="003641AA" w:rsidRPr="003641AA" w:rsidRDefault="003641AA" w:rsidP="00A26C52">
      <w:pPr>
        <w:tabs>
          <w:tab w:val="left" w:pos="851"/>
        </w:tabs>
        <w:ind w:left="851"/>
        <w:rPr>
          <w:sz w:val="24"/>
          <w:szCs w:val="24"/>
        </w:rPr>
      </w:pPr>
      <w:r w:rsidRPr="003641AA">
        <w:rPr>
          <w:sz w:val="24"/>
          <w:szCs w:val="24"/>
        </w:rPr>
        <w:t>Efterbehandling af Pagets sygdom: Efter den første behandling med zoledronsyre ved Pagets sygdom er der observeret en længerevarende periode med remission hos responderende patienter. Efterbehandling gives som en ekstra intravenøs infusion af 5 mg zoledronsyre efter et interval på 1 år eller længere fra den første behandling til patienter, som har tilbagefald. Der er begrænsede tilgængelige data om efterbehandling af Pagets sygdom (se pkt. 5.1).</w:t>
      </w:r>
    </w:p>
    <w:p w14:paraId="1C159F53" w14:textId="77777777" w:rsidR="003641AA" w:rsidRPr="003641AA" w:rsidRDefault="003641AA" w:rsidP="00A26C52">
      <w:pPr>
        <w:tabs>
          <w:tab w:val="left" w:pos="851"/>
        </w:tabs>
        <w:ind w:left="851"/>
        <w:rPr>
          <w:sz w:val="24"/>
          <w:szCs w:val="24"/>
        </w:rPr>
      </w:pPr>
    </w:p>
    <w:p w14:paraId="048DFB03" w14:textId="7774921E" w:rsidR="003641AA" w:rsidRPr="003641AA" w:rsidRDefault="003641AA" w:rsidP="00A26C52">
      <w:pPr>
        <w:tabs>
          <w:tab w:val="left" w:pos="851"/>
        </w:tabs>
        <w:ind w:left="851"/>
        <w:rPr>
          <w:sz w:val="24"/>
          <w:szCs w:val="24"/>
        </w:rPr>
      </w:pPr>
      <w:r w:rsidRPr="003641AA">
        <w:rPr>
          <w:sz w:val="24"/>
          <w:szCs w:val="24"/>
          <w:u w:val="single"/>
        </w:rPr>
        <w:t>Særlige populationer</w:t>
      </w:r>
    </w:p>
    <w:p w14:paraId="5299308D" w14:textId="77777777" w:rsidR="003641AA" w:rsidRDefault="003641AA" w:rsidP="00A26C52">
      <w:pPr>
        <w:tabs>
          <w:tab w:val="left" w:pos="851"/>
        </w:tabs>
        <w:ind w:left="851"/>
        <w:rPr>
          <w:i/>
          <w:sz w:val="24"/>
          <w:szCs w:val="24"/>
        </w:rPr>
      </w:pPr>
    </w:p>
    <w:p w14:paraId="55E35CFC" w14:textId="4E168FD8" w:rsidR="003641AA" w:rsidRPr="003641AA" w:rsidRDefault="003641AA" w:rsidP="00A26C52">
      <w:pPr>
        <w:tabs>
          <w:tab w:val="left" w:pos="851"/>
        </w:tabs>
        <w:ind w:left="851"/>
        <w:rPr>
          <w:i/>
          <w:sz w:val="24"/>
          <w:szCs w:val="24"/>
        </w:rPr>
      </w:pPr>
      <w:r w:rsidRPr="003641AA">
        <w:rPr>
          <w:i/>
          <w:sz w:val="24"/>
          <w:szCs w:val="24"/>
        </w:rPr>
        <w:t>Patienter med nedsat nyrefunktion</w:t>
      </w:r>
    </w:p>
    <w:p w14:paraId="0E73008C" w14:textId="77777777" w:rsidR="003641AA" w:rsidRPr="003641AA" w:rsidRDefault="003641AA" w:rsidP="00A26C52">
      <w:pPr>
        <w:tabs>
          <w:tab w:val="left" w:pos="851"/>
        </w:tabs>
        <w:ind w:left="851"/>
        <w:rPr>
          <w:sz w:val="24"/>
          <w:szCs w:val="24"/>
        </w:rPr>
      </w:pPr>
      <w:r w:rsidRPr="003641AA">
        <w:rPr>
          <w:sz w:val="24"/>
          <w:szCs w:val="24"/>
        </w:rPr>
        <w:t>Zoledronsyre er kontraindiceret til patienter med kreatininclearance &lt; 35 ml/min (se pkt. 4.3 og 4.4). Dosisjustering er ikke nødvendig til patienter med kreatininclearance ≥ 35 ml/min.</w:t>
      </w:r>
    </w:p>
    <w:p w14:paraId="4742D53F" w14:textId="77777777" w:rsidR="003641AA" w:rsidRDefault="003641AA" w:rsidP="00A26C52">
      <w:pPr>
        <w:tabs>
          <w:tab w:val="left" w:pos="851"/>
        </w:tabs>
        <w:ind w:left="851"/>
        <w:rPr>
          <w:i/>
          <w:sz w:val="24"/>
          <w:szCs w:val="24"/>
          <w:u w:val="single"/>
        </w:rPr>
      </w:pPr>
    </w:p>
    <w:p w14:paraId="6CE8BBE5" w14:textId="59E87E51" w:rsidR="003641AA" w:rsidRPr="003641AA" w:rsidRDefault="003641AA" w:rsidP="00A26C52">
      <w:pPr>
        <w:tabs>
          <w:tab w:val="left" w:pos="851"/>
        </w:tabs>
        <w:ind w:left="851"/>
        <w:rPr>
          <w:i/>
          <w:sz w:val="24"/>
          <w:szCs w:val="24"/>
        </w:rPr>
      </w:pPr>
      <w:r w:rsidRPr="003641AA">
        <w:rPr>
          <w:i/>
          <w:sz w:val="24"/>
          <w:szCs w:val="24"/>
        </w:rPr>
        <w:t>Patienter med nedsat leverfunktion</w:t>
      </w:r>
    </w:p>
    <w:p w14:paraId="377D3382" w14:textId="77777777" w:rsidR="003641AA" w:rsidRPr="003641AA" w:rsidRDefault="003641AA" w:rsidP="00A26C52">
      <w:pPr>
        <w:tabs>
          <w:tab w:val="left" w:pos="851"/>
        </w:tabs>
        <w:ind w:left="851"/>
        <w:rPr>
          <w:sz w:val="24"/>
          <w:szCs w:val="24"/>
        </w:rPr>
      </w:pPr>
      <w:r w:rsidRPr="003641AA">
        <w:rPr>
          <w:sz w:val="24"/>
          <w:szCs w:val="24"/>
        </w:rPr>
        <w:t>Dosisjustering er ikke nødvendig (se pkt. 5.2)</w:t>
      </w:r>
    </w:p>
    <w:p w14:paraId="592DCAAE" w14:textId="77777777" w:rsidR="003641AA" w:rsidRPr="003641AA" w:rsidRDefault="003641AA" w:rsidP="00A26C52">
      <w:pPr>
        <w:tabs>
          <w:tab w:val="left" w:pos="851"/>
        </w:tabs>
        <w:ind w:left="851"/>
        <w:rPr>
          <w:sz w:val="24"/>
          <w:szCs w:val="24"/>
        </w:rPr>
      </w:pPr>
    </w:p>
    <w:p w14:paraId="4CC567DA" w14:textId="77777777" w:rsidR="003641AA" w:rsidRPr="003641AA" w:rsidRDefault="003641AA" w:rsidP="00A26C52">
      <w:pPr>
        <w:tabs>
          <w:tab w:val="left" w:pos="851"/>
        </w:tabs>
        <w:ind w:left="851"/>
        <w:rPr>
          <w:i/>
          <w:sz w:val="24"/>
          <w:szCs w:val="24"/>
        </w:rPr>
      </w:pPr>
      <w:r w:rsidRPr="003641AA">
        <w:rPr>
          <w:i/>
          <w:sz w:val="24"/>
          <w:szCs w:val="24"/>
        </w:rPr>
        <w:t>Ældre (≥ 65 år)</w:t>
      </w:r>
    </w:p>
    <w:p w14:paraId="4C2DEC96" w14:textId="77777777" w:rsidR="003641AA" w:rsidRPr="003641AA" w:rsidRDefault="003641AA" w:rsidP="00A26C52">
      <w:pPr>
        <w:tabs>
          <w:tab w:val="left" w:pos="851"/>
        </w:tabs>
        <w:ind w:left="851"/>
        <w:rPr>
          <w:sz w:val="24"/>
          <w:szCs w:val="24"/>
        </w:rPr>
      </w:pPr>
      <w:r w:rsidRPr="003641AA">
        <w:rPr>
          <w:sz w:val="24"/>
          <w:szCs w:val="24"/>
        </w:rPr>
        <w:t>Dosisjustering er ikke nødvendig, da biotilgængelighed, fordeling og elimination var ens hos ældre patienter og yngre forsøgspersoner.</w:t>
      </w:r>
    </w:p>
    <w:p w14:paraId="79285705" w14:textId="77777777" w:rsidR="003641AA" w:rsidRDefault="003641AA" w:rsidP="00A26C52">
      <w:pPr>
        <w:tabs>
          <w:tab w:val="left" w:pos="851"/>
        </w:tabs>
        <w:ind w:left="851"/>
        <w:rPr>
          <w:i/>
          <w:sz w:val="24"/>
          <w:szCs w:val="24"/>
        </w:rPr>
      </w:pPr>
    </w:p>
    <w:p w14:paraId="18DA20E5" w14:textId="69FBBA56" w:rsidR="003641AA" w:rsidRPr="003641AA" w:rsidRDefault="003641AA" w:rsidP="00A26C52">
      <w:pPr>
        <w:tabs>
          <w:tab w:val="left" w:pos="851"/>
        </w:tabs>
        <w:ind w:left="851"/>
        <w:rPr>
          <w:i/>
          <w:sz w:val="24"/>
          <w:szCs w:val="24"/>
        </w:rPr>
      </w:pPr>
      <w:r w:rsidRPr="003641AA">
        <w:rPr>
          <w:i/>
          <w:sz w:val="24"/>
          <w:szCs w:val="24"/>
        </w:rPr>
        <w:lastRenderedPageBreak/>
        <w:t>Pædiatrisk population</w:t>
      </w:r>
    </w:p>
    <w:p w14:paraId="032CA1F9" w14:textId="77777777" w:rsidR="003641AA" w:rsidRPr="003641AA" w:rsidRDefault="003641AA" w:rsidP="00A26C52">
      <w:pPr>
        <w:tabs>
          <w:tab w:val="left" w:pos="851"/>
        </w:tabs>
        <w:ind w:left="851"/>
        <w:rPr>
          <w:sz w:val="24"/>
          <w:szCs w:val="24"/>
        </w:rPr>
      </w:pPr>
      <w:r w:rsidRPr="003641AA">
        <w:rPr>
          <w:sz w:val="24"/>
          <w:szCs w:val="24"/>
        </w:rPr>
        <w:t>Zoledronsyre bør ikke anvendes til børn og unge under 18 år. Der foreligger ingen data for børn under 5 år. De foreliggende data for børn i alderen 5-17 år er beskrevet i pkt. 5.1.</w:t>
      </w:r>
    </w:p>
    <w:p w14:paraId="624E8A72" w14:textId="77777777" w:rsidR="003641AA" w:rsidRPr="003641AA" w:rsidRDefault="003641AA" w:rsidP="00A26C52">
      <w:pPr>
        <w:tabs>
          <w:tab w:val="left" w:pos="851"/>
        </w:tabs>
        <w:ind w:left="851"/>
        <w:rPr>
          <w:sz w:val="24"/>
          <w:szCs w:val="24"/>
        </w:rPr>
      </w:pPr>
    </w:p>
    <w:p w14:paraId="7A223212" w14:textId="77777777" w:rsidR="003641AA" w:rsidRPr="003641AA" w:rsidRDefault="003641AA" w:rsidP="00A26C52">
      <w:pPr>
        <w:tabs>
          <w:tab w:val="left" w:pos="851"/>
        </w:tabs>
        <w:ind w:left="851"/>
        <w:rPr>
          <w:b/>
          <w:sz w:val="24"/>
          <w:szCs w:val="24"/>
        </w:rPr>
      </w:pPr>
      <w:r w:rsidRPr="003641AA">
        <w:rPr>
          <w:b/>
          <w:sz w:val="24"/>
          <w:szCs w:val="24"/>
        </w:rPr>
        <w:t>Administration</w:t>
      </w:r>
    </w:p>
    <w:p w14:paraId="0CE7DAA6" w14:textId="77777777" w:rsidR="003641AA" w:rsidRPr="003641AA" w:rsidRDefault="003641AA" w:rsidP="00A26C52">
      <w:pPr>
        <w:tabs>
          <w:tab w:val="left" w:pos="851"/>
        </w:tabs>
        <w:ind w:left="851"/>
        <w:rPr>
          <w:sz w:val="24"/>
          <w:szCs w:val="24"/>
        </w:rPr>
      </w:pPr>
      <w:r w:rsidRPr="003641AA">
        <w:rPr>
          <w:sz w:val="24"/>
          <w:szCs w:val="24"/>
        </w:rPr>
        <w:t>Intravenøs anvendelse.</w:t>
      </w:r>
    </w:p>
    <w:p w14:paraId="35BBBA64" w14:textId="77777777" w:rsidR="003641AA" w:rsidRPr="003641AA" w:rsidRDefault="003641AA" w:rsidP="00A26C52">
      <w:pPr>
        <w:tabs>
          <w:tab w:val="left" w:pos="851"/>
        </w:tabs>
        <w:ind w:left="851"/>
        <w:rPr>
          <w:sz w:val="24"/>
          <w:szCs w:val="24"/>
        </w:rPr>
      </w:pPr>
      <w:r w:rsidRPr="003641AA">
        <w:rPr>
          <w:sz w:val="24"/>
          <w:szCs w:val="24"/>
        </w:rPr>
        <w:t>Zoledronsyre "Sun Pharma" administreres via en separat infusionsslange og ved en langsom konstant infusionshastighed. Infusionstiden må ikke være mindre end 15 minutter. For information angående infusion af Zoledronsyre "Sun Pharma" se pkt. 6.6.</w:t>
      </w:r>
    </w:p>
    <w:p w14:paraId="7DEA6EFB" w14:textId="77777777" w:rsidR="003641AA" w:rsidRPr="003641AA" w:rsidRDefault="003641AA" w:rsidP="00A26C52">
      <w:pPr>
        <w:tabs>
          <w:tab w:val="left" w:pos="851"/>
        </w:tabs>
        <w:ind w:left="851"/>
        <w:rPr>
          <w:sz w:val="24"/>
          <w:szCs w:val="24"/>
        </w:rPr>
      </w:pPr>
      <w:r w:rsidRPr="003641AA">
        <w:rPr>
          <w:sz w:val="24"/>
          <w:szCs w:val="24"/>
        </w:rPr>
        <w:t xml:space="preserve">Patienter i behandling med Zoledronsyre "Sun Pharma" bør få udleveret indlægssedlen og </w:t>
      </w:r>
      <w:bookmarkStart w:id="1" w:name="_Hlk180136802"/>
      <w:r w:rsidRPr="003641AA">
        <w:rPr>
          <w:sz w:val="24"/>
          <w:szCs w:val="24"/>
        </w:rPr>
        <w:t>patienthuskekortet</w:t>
      </w:r>
      <w:bookmarkEnd w:id="1"/>
      <w:r w:rsidRPr="003641AA">
        <w:rPr>
          <w:sz w:val="24"/>
          <w:szCs w:val="24"/>
        </w:rPr>
        <w:t>.</w:t>
      </w:r>
    </w:p>
    <w:p w14:paraId="586F659A" w14:textId="77777777" w:rsidR="009260DE" w:rsidRPr="00C84483" w:rsidRDefault="009260DE" w:rsidP="00A26C52">
      <w:pPr>
        <w:tabs>
          <w:tab w:val="left" w:pos="851"/>
        </w:tabs>
        <w:ind w:left="851"/>
        <w:rPr>
          <w:sz w:val="24"/>
          <w:szCs w:val="24"/>
        </w:rPr>
      </w:pPr>
    </w:p>
    <w:p w14:paraId="44999DF6" w14:textId="77777777" w:rsidR="009260DE" w:rsidRPr="00C84483" w:rsidRDefault="009260DE" w:rsidP="00A26C52">
      <w:pPr>
        <w:tabs>
          <w:tab w:val="left" w:pos="851"/>
        </w:tabs>
        <w:ind w:left="851" w:hanging="851"/>
        <w:rPr>
          <w:b/>
          <w:sz w:val="24"/>
          <w:szCs w:val="24"/>
        </w:rPr>
      </w:pPr>
      <w:r w:rsidRPr="00C84483">
        <w:rPr>
          <w:b/>
          <w:sz w:val="24"/>
          <w:szCs w:val="24"/>
        </w:rPr>
        <w:t>4.3</w:t>
      </w:r>
      <w:r w:rsidRPr="00C84483">
        <w:rPr>
          <w:b/>
          <w:sz w:val="24"/>
          <w:szCs w:val="24"/>
        </w:rPr>
        <w:tab/>
        <w:t>Kontraindikationer</w:t>
      </w:r>
    </w:p>
    <w:p w14:paraId="4AF6CC96" w14:textId="77777777" w:rsidR="00A665C6" w:rsidRPr="00A665C6" w:rsidRDefault="00A665C6" w:rsidP="00A26C52">
      <w:pPr>
        <w:numPr>
          <w:ilvl w:val="0"/>
          <w:numId w:val="7"/>
        </w:numPr>
        <w:tabs>
          <w:tab w:val="left" w:pos="851"/>
        </w:tabs>
        <w:ind w:left="1134" w:hanging="283"/>
        <w:rPr>
          <w:sz w:val="24"/>
          <w:szCs w:val="24"/>
        </w:rPr>
      </w:pPr>
      <w:r w:rsidRPr="00A665C6">
        <w:rPr>
          <w:sz w:val="24"/>
          <w:szCs w:val="24"/>
        </w:rPr>
        <w:t>Overfølsomhed over for det aktive stof, over for andre bisfosfonater eller over for et eller flere af hjælpestofferne anført i pkt. 6.1.</w:t>
      </w:r>
    </w:p>
    <w:p w14:paraId="79B7FF53" w14:textId="77777777" w:rsidR="00A665C6" w:rsidRPr="00A665C6" w:rsidRDefault="00A665C6" w:rsidP="00A26C52">
      <w:pPr>
        <w:numPr>
          <w:ilvl w:val="0"/>
          <w:numId w:val="7"/>
        </w:numPr>
        <w:tabs>
          <w:tab w:val="left" w:pos="851"/>
        </w:tabs>
        <w:ind w:left="1134" w:hanging="283"/>
        <w:rPr>
          <w:sz w:val="24"/>
          <w:szCs w:val="24"/>
          <w:lang w:val="en-US"/>
        </w:rPr>
      </w:pPr>
      <w:r w:rsidRPr="00A665C6">
        <w:rPr>
          <w:sz w:val="24"/>
          <w:szCs w:val="24"/>
          <w:lang w:val="en-US"/>
        </w:rPr>
        <w:t>Hypokalcæmi (se pkt. 4.4).</w:t>
      </w:r>
    </w:p>
    <w:p w14:paraId="6195F41E" w14:textId="77777777" w:rsidR="00A665C6" w:rsidRPr="00A665C6" w:rsidRDefault="00A665C6" w:rsidP="00A26C52">
      <w:pPr>
        <w:numPr>
          <w:ilvl w:val="0"/>
          <w:numId w:val="7"/>
        </w:numPr>
        <w:tabs>
          <w:tab w:val="left" w:pos="851"/>
        </w:tabs>
        <w:ind w:left="1134" w:hanging="283"/>
        <w:rPr>
          <w:sz w:val="24"/>
          <w:szCs w:val="24"/>
        </w:rPr>
      </w:pPr>
      <w:r w:rsidRPr="00A665C6">
        <w:rPr>
          <w:sz w:val="24"/>
          <w:szCs w:val="24"/>
        </w:rPr>
        <w:t>Svært nedsat nyrefunktion med kreatininclearance &lt; 35 ml/min (se pkt. 4.4).</w:t>
      </w:r>
    </w:p>
    <w:p w14:paraId="50C30AC0" w14:textId="77777777" w:rsidR="00A665C6" w:rsidRPr="00A665C6" w:rsidRDefault="00A665C6" w:rsidP="00A26C52">
      <w:pPr>
        <w:numPr>
          <w:ilvl w:val="0"/>
          <w:numId w:val="7"/>
        </w:numPr>
        <w:tabs>
          <w:tab w:val="left" w:pos="851"/>
        </w:tabs>
        <w:ind w:left="1134" w:hanging="283"/>
        <w:rPr>
          <w:sz w:val="24"/>
          <w:szCs w:val="24"/>
        </w:rPr>
      </w:pPr>
      <w:r w:rsidRPr="00A665C6">
        <w:rPr>
          <w:sz w:val="24"/>
          <w:szCs w:val="24"/>
        </w:rPr>
        <w:t>Graviditet og amning (se pkt. 4.6).</w:t>
      </w:r>
    </w:p>
    <w:p w14:paraId="449D10E5" w14:textId="77777777" w:rsidR="009260DE" w:rsidRPr="00C84483" w:rsidRDefault="009260DE" w:rsidP="00A26C52">
      <w:pPr>
        <w:tabs>
          <w:tab w:val="left" w:pos="851"/>
        </w:tabs>
        <w:ind w:left="851"/>
        <w:rPr>
          <w:sz w:val="24"/>
          <w:szCs w:val="24"/>
        </w:rPr>
      </w:pPr>
    </w:p>
    <w:p w14:paraId="589DEB4B" w14:textId="77777777" w:rsidR="009260DE" w:rsidRPr="00C84483" w:rsidRDefault="009260DE" w:rsidP="00A26C5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57407FB" w14:textId="77777777" w:rsidR="00A751A6" w:rsidRDefault="00A751A6" w:rsidP="00A26C52">
      <w:pPr>
        <w:tabs>
          <w:tab w:val="left" w:pos="851"/>
        </w:tabs>
        <w:ind w:left="851"/>
        <w:rPr>
          <w:sz w:val="24"/>
          <w:szCs w:val="24"/>
          <w:u w:val="single"/>
        </w:rPr>
      </w:pPr>
    </w:p>
    <w:p w14:paraId="56D65944" w14:textId="7F3A2A41" w:rsidR="00A751A6" w:rsidRPr="00A751A6" w:rsidRDefault="00A751A6" w:rsidP="00A26C52">
      <w:pPr>
        <w:tabs>
          <w:tab w:val="left" w:pos="851"/>
        </w:tabs>
        <w:ind w:left="851"/>
        <w:rPr>
          <w:sz w:val="24"/>
          <w:szCs w:val="24"/>
        </w:rPr>
      </w:pPr>
      <w:r w:rsidRPr="00A751A6">
        <w:rPr>
          <w:sz w:val="24"/>
          <w:szCs w:val="24"/>
          <w:u w:val="single"/>
        </w:rPr>
        <w:t>Nyrefunktion</w:t>
      </w:r>
    </w:p>
    <w:p w14:paraId="6BF69C43" w14:textId="4E1088BB" w:rsidR="00A751A6" w:rsidRPr="00A751A6" w:rsidRDefault="00A751A6" w:rsidP="00A26C52">
      <w:pPr>
        <w:tabs>
          <w:tab w:val="left" w:pos="851"/>
        </w:tabs>
        <w:ind w:left="851"/>
        <w:rPr>
          <w:sz w:val="24"/>
          <w:szCs w:val="24"/>
        </w:rPr>
      </w:pPr>
      <w:r w:rsidRPr="00A751A6">
        <w:rPr>
          <w:sz w:val="24"/>
          <w:szCs w:val="24"/>
        </w:rPr>
        <w:t>Anvendelse af zoledronsyre til patienter med svært nedsat nyrefunktion (kreatininclearance &lt; 35 ml/min) er kontraindiceret grundet en øget risiko for nyresvigt hos denne population.</w:t>
      </w:r>
    </w:p>
    <w:p w14:paraId="6ED5A23C" w14:textId="77777777" w:rsidR="00A751A6" w:rsidRPr="00A751A6" w:rsidRDefault="00A751A6" w:rsidP="00A26C52">
      <w:pPr>
        <w:tabs>
          <w:tab w:val="left" w:pos="851"/>
        </w:tabs>
        <w:ind w:left="851"/>
        <w:rPr>
          <w:sz w:val="24"/>
          <w:szCs w:val="24"/>
        </w:rPr>
      </w:pPr>
    </w:p>
    <w:p w14:paraId="14BDC738" w14:textId="6B5A3C4E" w:rsidR="00A751A6" w:rsidRDefault="00A751A6" w:rsidP="00A26C52">
      <w:pPr>
        <w:tabs>
          <w:tab w:val="left" w:pos="851"/>
        </w:tabs>
        <w:ind w:left="851"/>
        <w:rPr>
          <w:sz w:val="24"/>
          <w:szCs w:val="24"/>
        </w:rPr>
      </w:pPr>
      <w:r w:rsidRPr="00A751A6">
        <w:rPr>
          <w:sz w:val="24"/>
          <w:szCs w:val="24"/>
        </w:rPr>
        <w:t>Nedsat nyrefunktion er observeret efter administration af zoledronsyre (se pkt. 4.8), specielt hos patienter med eksisterende nedsat nyrefunktion eller andre risici såsom fremskreden alder, samtidig anvendelse af nefrotoksiske lægemidler, samtidig dialysebehandling (se pkt. 4.5) eller dehydrering som følge af behandling med zoledronsyre. Nedsat nyrefunktion er blevet observeret hos patienter efter en enkelt administration. Dialysekrævende nyresvigt eller letale tilfælde er i sjældne tilfælde opstået hos patienter med underliggende nyresygdom eller med en af risikofaktorerne beskrevet ovenfor.</w:t>
      </w:r>
    </w:p>
    <w:p w14:paraId="7FC87C63" w14:textId="77777777" w:rsidR="00A751A6" w:rsidRPr="00A751A6" w:rsidRDefault="00A751A6" w:rsidP="00A26C52">
      <w:pPr>
        <w:tabs>
          <w:tab w:val="left" w:pos="851"/>
        </w:tabs>
        <w:ind w:left="851"/>
        <w:rPr>
          <w:sz w:val="24"/>
          <w:szCs w:val="24"/>
        </w:rPr>
      </w:pPr>
    </w:p>
    <w:p w14:paraId="4F9066B7" w14:textId="77777777" w:rsidR="00A751A6" w:rsidRPr="00A751A6" w:rsidRDefault="00A751A6" w:rsidP="00A26C52">
      <w:pPr>
        <w:tabs>
          <w:tab w:val="left" w:pos="851"/>
        </w:tabs>
        <w:ind w:left="851"/>
        <w:rPr>
          <w:sz w:val="24"/>
          <w:szCs w:val="24"/>
        </w:rPr>
      </w:pPr>
      <w:r w:rsidRPr="00A751A6">
        <w:rPr>
          <w:sz w:val="24"/>
          <w:szCs w:val="24"/>
        </w:rPr>
        <w:t>Følgende forholdsregler bør tages for at minimere risikoen for nyrerelaterede bivirkninger:</w:t>
      </w:r>
    </w:p>
    <w:p w14:paraId="71C15D3C" w14:textId="77777777" w:rsidR="00A751A6" w:rsidRPr="00A751A6" w:rsidRDefault="00A751A6" w:rsidP="00A26C52">
      <w:pPr>
        <w:numPr>
          <w:ilvl w:val="2"/>
          <w:numId w:val="6"/>
        </w:numPr>
        <w:tabs>
          <w:tab w:val="left" w:pos="851"/>
        </w:tabs>
        <w:ind w:left="1134" w:hanging="283"/>
        <w:rPr>
          <w:sz w:val="24"/>
          <w:szCs w:val="24"/>
        </w:rPr>
      </w:pPr>
      <w:r w:rsidRPr="00A751A6">
        <w:rPr>
          <w:sz w:val="24"/>
          <w:szCs w:val="24"/>
        </w:rPr>
        <w:t>Før hver zoledronsyre dosis bør kreatininclearance beregnes på basis af den faktiske legemsvægt ved at bruge Cockcroft-Gault formlen.</w:t>
      </w:r>
    </w:p>
    <w:p w14:paraId="2222B013" w14:textId="77777777" w:rsidR="00A751A6" w:rsidRPr="00A751A6" w:rsidRDefault="00A751A6" w:rsidP="00A26C52">
      <w:pPr>
        <w:numPr>
          <w:ilvl w:val="2"/>
          <w:numId w:val="6"/>
        </w:numPr>
        <w:tabs>
          <w:tab w:val="left" w:pos="851"/>
        </w:tabs>
        <w:ind w:left="1134" w:hanging="283"/>
        <w:rPr>
          <w:sz w:val="24"/>
          <w:szCs w:val="24"/>
        </w:rPr>
      </w:pPr>
      <w:r w:rsidRPr="00A751A6">
        <w:rPr>
          <w:sz w:val="24"/>
          <w:szCs w:val="24"/>
        </w:rPr>
        <w:t>Forbigående øgning i serumkreatinin kan være højere hos patienter med underliggende nyresygdom.</w:t>
      </w:r>
    </w:p>
    <w:p w14:paraId="27C98453" w14:textId="77777777" w:rsidR="00A751A6" w:rsidRPr="00A751A6" w:rsidRDefault="00A751A6" w:rsidP="00A26C52">
      <w:pPr>
        <w:numPr>
          <w:ilvl w:val="2"/>
          <w:numId w:val="6"/>
        </w:numPr>
        <w:tabs>
          <w:tab w:val="left" w:pos="851"/>
        </w:tabs>
        <w:ind w:left="1134" w:hanging="283"/>
        <w:rPr>
          <w:sz w:val="24"/>
          <w:szCs w:val="24"/>
        </w:rPr>
      </w:pPr>
      <w:r w:rsidRPr="00A751A6">
        <w:rPr>
          <w:sz w:val="24"/>
          <w:szCs w:val="24"/>
        </w:rPr>
        <w:t>Monitoring af serumkreatinin bør overvejes hos risikopatienter.</w:t>
      </w:r>
    </w:p>
    <w:p w14:paraId="78E61933" w14:textId="77777777" w:rsidR="00A751A6" w:rsidRPr="00A751A6" w:rsidRDefault="00A751A6" w:rsidP="00A26C52">
      <w:pPr>
        <w:numPr>
          <w:ilvl w:val="2"/>
          <w:numId w:val="6"/>
        </w:numPr>
        <w:tabs>
          <w:tab w:val="left" w:pos="851"/>
        </w:tabs>
        <w:ind w:left="1134" w:hanging="283"/>
        <w:rPr>
          <w:sz w:val="24"/>
          <w:szCs w:val="24"/>
        </w:rPr>
      </w:pPr>
      <w:r w:rsidRPr="00A751A6">
        <w:rPr>
          <w:sz w:val="24"/>
          <w:szCs w:val="24"/>
        </w:rPr>
        <w:t>Zoledronsyre bør anvendes med forsigtighed, når det anvendes samtidigt med andre lægemidler, som kan påvirke nyrefunktionen (se pkt. 4.5).</w:t>
      </w:r>
    </w:p>
    <w:p w14:paraId="2E61AA72" w14:textId="77777777" w:rsidR="00A751A6" w:rsidRPr="00A751A6" w:rsidRDefault="00A751A6" w:rsidP="00A26C52">
      <w:pPr>
        <w:numPr>
          <w:ilvl w:val="2"/>
          <w:numId w:val="6"/>
        </w:numPr>
        <w:tabs>
          <w:tab w:val="left" w:pos="851"/>
        </w:tabs>
        <w:ind w:left="1134" w:hanging="283"/>
        <w:rPr>
          <w:sz w:val="24"/>
          <w:szCs w:val="24"/>
        </w:rPr>
      </w:pPr>
      <w:r w:rsidRPr="00A751A6">
        <w:rPr>
          <w:sz w:val="24"/>
          <w:szCs w:val="24"/>
        </w:rPr>
        <w:t>Patienter, specielt ældre patienter og patienter i behandling med diuretika, bør være passende hydreret forud for behandling med zoledronsyre.</w:t>
      </w:r>
    </w:p>
    <w:p w14:paraId="73D4A70F" w14:textId="3672F9AF" w:rsidR="00A751A6" w:rsidRDefault="00A751A6" w:rsidP="00A26C52">
      <w:pPr>
        <w:numPr>
          <w:ilvl w:val="2"/>
          <w:numId w:val="6"/>
        </w:numPr>
        <w:tabs>
          <w:tab w:val="left" w:pos="851"/>
        </w:tabs>
        <w:ind w:left="1134" w:hanging="283"/>
        <w:rPr>
          <w:sz w:val="24"/>
          <w:szCs w:val="24"/>
        </w:rPr>
      </w:pPr>
      <w:r w:rsidRPr="00A751A6">
        <w:rPr>
          <w:sz w:val="24"/>
          <w:szCs w:val="24"/>
        </w:rPr>
        <w:t>En enkelt dosis zoledronsyre bør ikke overstige 5 mg, og infusionsvarigheden bør være mindst 15 minutter (se pkt. 4.2).</w:t>
      </w:r>
    </w:p>
    <w:p w14:paraId="73E18903" w14:textId="77777777" w:rsidR="00A751A6" w:rsidRPr="00A751A6" w:rsidRDefault="00A751A6" w:rsidP="00A26C52">
      <w:pPr>
        <w:tabs>
          <w:tab w:val="left" w:pos="851"/>
        </w:tabs>
        <w:ind w:left="1134"/>
        <w:rPr>
          <w:sz w:val="24"/>
          <w:szCs w:val="24"/>
        </w:rPr>
      </w:pPr>
    </w:p>
    <w:p w14:paraId="4019EDE0" w14:textId="77777777" w:rsidR="00A751A6" w:rsidRPr="00A751A6" w:rsidRDefault="00A751A6" w:rsidP="00A26C52">
      <w:pPr>
        <w:tabs>
          <w:tab w:val="left" w:pos="851"/>
        </w:tabs>
        <w:ind w:left="851"/>
        <w:rPr>
          <w:sz w:val="24"/>
          <w:szCs w:val="24"/>
        </w:rPr>
      </w:pPr>
      <w:r w:rsidRPr="00A751A6">
        <w:rPr>
          <w:sz w:val="24"/>
          <w:szCs w:val="24"/>
          <w:u w:val="single"/>
        </w:rPr>
        <w:t>Hypokalcæmi</w:t>
      </w:r>
    </w:p>
    <w:p w14:paraId="3DC774EE" w14:textId="2E521B25" w:rsidR="00A751A6" w:rsidRDefault="00A751A6" w:rsidP="00A26C52">
      <w:pPr>
        <w:tabs>
          <w:tab w:val="left" w:pos="851"/>
        </w:tabs>
        <w:ind w:left="851"/>
        <w:rPr>
          <w:sz w:val="24"/>
          <w:szCs w:val="24"/>
        </w:rPr>
      </w:pPr>
      <w:r w:rsidRPr="00A751A6">
        <w:rPr>
          <w:sz w:val="24"/>
          <w:szCs w:val="24"/>
        </w:rPr>
        <w:t xml:space="preserve">Eksisterende hypokalcæmi skal behandles med tilstrækkelig indgivelse af calcium og D-vitamin, før behandling med zoledronsyre initieres (se pkt. 4.3). Andre forstyrrelser af </w:t>
      </w:r>
      <w:r w:rsidRPr="00A751A6">
        <w:rPr>
          <w:sz w:val="24"/>
          <w:szCs w:val="24"/>
        </w:rPr>
        <w:lastRenderedPageBreak/>
        <w:t>mineralmetabolismen skal ligeledes behandles effektivt (fx hypoparathyroidisme, intestinal calciummalabsorption). Lægen bør overveje klinisk monitorering for disse patienter.</w:t>
      </w:r>
    </w:p>
    <w:p w14:paraId="1EE83961" w14:textId="77777777" w:rsidR="00A751A6" w:rsidRPr="00A751A6" w:rsidRDefault="00A751A6" w:rsidP="00A26C52">
      <w:pPr>
        <w:tabs>
          <w:tab w:val="left" w:pos="851"/>
        </w:tabs>
        <w:ind w:left="851"/>
        <w:rPr>
          <w:sz w:val="24"/>
          <w:szCs w:val="24"/>
        </w:rPr>
      </w:pPr>
    </w:p>
    <w:p w14:paraId="27DD9E09" w14:textId="77777777" w:rsidR="00A751A6" w:rsidRPr="00A751A6" w:rsidRDefault="00A751A6" w:rsidP="00A26C52">
      <w:pPr>
        <w:tabs>
          <w:tab w:val="left" w:pos="851"/>
        </w:tabs>
        <w:ind w:left="851"/>
        <w:rPr>
          <w:sz w:val="24"/>
          <w:szCs w:val="24"/>
        </w:rPr>
      </w:pPr>
      <w:r w:rsidRPr="00A751A6">
        <w:rPr>
          <w:sz w:val="24"/>
          <w:szCs w:val="24"/>
        </w:rPr>
        <w:t>Forhøjet knogleomsætning er karakteristisk for Pagets sygdom af knoglerne. På grund af zoledronsyres hurtige effekt på kongleomsætningen kan der udvikles forbigående hypokalcæmi, til tider symptomatisk og almindeligvis maksimal inden for de første 10 dage efter infusion af zoledronsyre (se pkt. 4.8).</w:t>
      </w:r>
    </w:p>
    <w:p w14:paraId="7C04955C" w14:textId="77777777" w:rsidR="00A751A6" w:rsidRPr="00A751A6" w:rsidRDefault="00A751A6" w:rsidP="00A26C52">
      <w:pPr>
        <w:tabs>
          <w:tab w:val="left" w:pos="851"/>
        </w:tabs>
        <w:ind w:left="851"/>
        <w:rPr>
          <w:sz w:val="24"/>
          <w:szCs w:val="24"/>
        </w:rPr>
      </w:pPr>
    </w:p>
    <w:p w14:paraId="56E2DF4F" w14:textId="4DEDF709" w:rsidR="00A751A6" w:rsidRDefault="00A751A6" w:rsidP="00A26C52">
      <w:pPr>
        <w:tabs>
          <w:tab w:val="left" w:pos="851"/>
        </w:tabs>
        <w:ind w:left="851"/>
        <w:rPr>
          <w:sz w:val="24"/>
          <w:szCs w:val="24"/>
        </w:rPr>
      </w:pPr>
      <w:r w:rsidRPr="00A751A6">
        <w:rPr>
          <w:sz w:val="24"/>
          <w:szCs w:val="24"/>
        </w:rPr>
        <w:t>Det anbefales at indtage tilstrækkeligt med calcium og D-vitamin i forbindelse med administration af zoledronsyre. Yderligere tilrådes det kraftigt hos patienter med Pagets sygdom, at sikre et tilstrækkeligt calciumtilskud svarende til mindst 500 mg calcium to gange daglig i mindst 10 dage efter administration af zoledronsyre (se pkt. 4.2).</w:t>
      </w:r>
    </w:p>
    <w:p w14:paraId="3D2AE1F8" w14:textId="77777777" w:rsidR="00A751A6" w:rsidRPr="00A751A6" w:rsidRDefault="00A751A6" w:rsidP="00A26C52">
      <w:pPr>
        <w:tabs>
          <w:tab w:val="left" w:pos="851"/>
        </w:tabs>
        <w:ind w:left="851"/>
        <w:rPr>
          <w:sz w:val="24"/>
          <w:szCs w:val="24"/>
        </w:rPr>
      </w:pPr>
    </w:p>
    <w:p w14:paraId="589DC153" w14:textId="312BCECC" w:rsidR="00A751A6" w:rsidRDefault="00A751A6" w:rsidP="00A26C52">
      <w:pPr>
        <w:tabs>
          <w:tab w:val="left" w:pos="851"/>
        </w:tabs>
        <w:ind w:left="851"/>
        <w:rPr>
          <w:sz w:val="24"/>
          <w:szCs w:val="24"/>
        </w:rPr>
      </w:pPr>
      <w:r w:rsidRPr="00A751A6">
        <w:rPr>
          <w:sz w:val="24"/>
          <w:szCs w:val="24"/>
        </w:rPr>
        <w:t>Patienterne bør informeres om symptomer på hypokalcæmi og få passende klinisk monitorering i risikoperioden. Måling af serum calcium inden infusion med zoledronsyre er anbefalet hos patienter med Pagets sygdom.</w:t>
      </w:r>
    </w:p>
    <w:p w14:paraId="78A92A91" w14:textId="77777777" w:rsidR="00A751A6" w:rsidRPr="00A751A6" w:rsidRDefault="00A751A6" w:rsidP="00A26C52">
      <w:pPr>
        <w:tabs>
          <w:tab w:val="left" w:pos="851"/>
        </w:tabs>
        <w:ind w:left="851"/>
        <w:rPr>
          <w:sz w:val="24"/>
          <w:szCs w:val="24"/>
        </w:rPr>
      </w:pPr>
    </w:p>
    <w:p w14:paraId="370E6F02" w14:textId="0CD3014D" w:rsidR="00A751A6" w:rsidRDefault="00A751A6" w:rsidP="00A26C52">
      <w:pPr>
        <w:tabs>
          <w:tab w:val="left" w:pos="851"/>
        </w:tabs>
        <w:ind w:left="851"/>
        <w:rPr>
          <w:sz w:val="24"/>
          <w:szCs w:val="24"/>
        </w:rPr>
      </w:pPr>
      <w:r w:rsidRPr="00A751A6">
        <w:rPr>
          <w:sz w:val="24"/>
          <w:szCs w:val="24"/>
        </w:rPr>
        <w:t>Alvorlig og til tider inhabiliterende knogle-, led- og/eller muskelsmerter er sjældent blevet rapporteret hos patienter behandlet med bisfosfonater, herunder zoledronsyre (se pkt. 4.8).</w:t>
      </w:r>
    </w:p>
    <w:p w14:paraId="15E5ADEF" w14:textId="77777777" w:rsidR="00A751A6" w:rsidRPr="00A751A6" w:rsidRDefault="00A751A6" w:rsidP="00A26C52">
      <w:pPr>
        <w:tabs>
          <w:tab w:val="left" w:pos="851"/>
        </w:tabs>
        <w:ind w:left="851"/>
        <w:rPr>
          <w:sz w:val="24"/>
          <w:szCs w:val="24"/>
        </w:rPr>
      </w:pPr>
    </w:p>
    <w:p w14:paraId="3FC5821C" w14:textId="77777777" w:rsidR="00A751A6" w:rsidRPr="00A751A6" w:rsidRDefault="00A751A6" w:rsidP="00A26C52">
      <w:pPr>
        <w:tabs>
          <w:tab w:val="left" w:pos="851"/>
        </w:tabs>
        <w:ind w:left="851"/>
        <w:rPr>
          <w:sz w:val="24"/>
          <w:szCs w:val="24"/>
        </w:rPr>
      </w:pPr>
      <w:r w:rsidRPr="00A751A6">
        <w:rPr>
          <w:sz w:val="24"/>
          <w:szCs w:val="24"/>
          <w:u w:val="single"/>
        </w:rPr>
        <w:t>Osteonekrose af kæberne</w:t>
      </w:r>
    </w:p>
    <w:p w14:paraId="562B3442" w14:textId="77777777" w:rsidR="00A751A6" w:rsidRPr="00A751A6" w:rsidRDefault="00A751A6" w:rsidP="00A26C52">
      <w:pPr>
        <w:tabs>
          <w:tab w:val="left" w:pos="851"/>
        </w:tabs>
        <w:ind w:left="851"/>
        <w:rPr>
          <w:sz w:val="24"/>
          <w:szCs w:val="24"/>
        </w:rPr>
      </w:pPr>
      <w:r w:rsidRPr="00A751A6">
        <w:rPr>
          <w:sz w:val="24"/>
          <w:szCs w:val="24"/>
        </w:rPr>
        <w:t>Osteonekrose af kæberne er blevet rapporteret efter markedsføring hos patienter behandlet med zoledronsyre (zoledronsyre) for osteoporose (se pkt. 4.8).</w:t>
      </w:r>
    </w:p>
    <w:p w14:paraId="1B8BC794" w14:textId="6D266785" w:rsidR="00A751A6" w:rsidRDefault="00A751A6" w:rsidP="00A26C52">
      <w:pPr>
        <w:tabs>
          <w:tab w:val="left" w:pos="851"/>
        </w:tabs>
        <w:ind w:left="851"/>
        <w:rPr>
          <w:sz w:val="24"/>
          <w:szCs w:val="24"/>
        </w:rPr>
      </w:pPr>
      <w:r w:rsidRPr="00A751A6">
        <w:rPr>
          <w:sz w:val="24"/>
          <w:szCs w:val="24"/>
        </w:rPr>
        <w:t>Behandlingens start eller en ny behandling bør udskydes hos patienter med uhelede sår i det bløde væv</w:t>
      </w:r>
      <w:r>
        <w:rPr>
          <w:sz w:val="24"/>
          <w:szCs w:val="24"/>
        </w:rPr>
        <w:t xml:space="preserve"> </w:t>
      </w:r>
      <w:r w:rsidRPr="00A751A6">
        <w:rPr>
          <w:sz w:val="24"/>
          <w:szCs w:val="24"/>
        </w:rPr>
        <w:t>i munden. Et tandeftersyn med forebyggende tandbehandling og en individuel benefit/risk-vurdering anbefales inden behandling med zoledronsyre hos patienter med samtidige risikofaktorer.</w:t>
      </w:r>
    </w:p>
    <w:p w14:paraId="755E5924" w14:textId="77777777" w:rsidR="00A751A6" w:rsidRPr="00A751A6" w:rsidRDefault="00A751A6" w:rsidP="00A26C52">
      <w:pPr>
        <w:tabs>
          <w:tab w:val="left" w:pos="851"/>
        </w:tabs>
        <w:ind w:left="851"/>
        <w:rPr>
          <w:sz w:val="24"/>
          <w:szCs w:val="24"/>
        </w:rPr>
      </w:pPr>
    </w:p>
    <w:p w14:paraId="5C744903" w14:textId="3F8EB5C9" w:rsidR="00A751A6" w:rsidRPr="00A751A6" w:rsidRDefault="00A751A6" w:rsidP="00A26C52">
      <w:pPr>
        <w:tabs>
          <w:tab w:val="left" w:pos="851"/>
        </w:tabs>
        <w:ind w:left="851"/>
        <w:rPr>
          <w:sz w:val="24"/>
          <w:szCs w:val="24"/>
        </w:rPr>
      </w:pPr>
      <w:r w:rsidRPr="00A751A6">
        <w:rPr>
          <w:sz w:val="24"/>
          <w:szCs w:val="24"/>
        </w:rPr>
        <w:t>Følgende bør overvejes</w:t>
      </w:r>
      <w:r>
        <w:rPr>
          <w:sz w:val="24"/>
          <w:szCs w:val="24"/>
        </w:rPr>
        <w:t>,</w:t>
      </w:r>
      <w:r w:rsidRPr="00A751A6">
        <w:rPr>
          <w:sz w:val="24"/>
          <w:szCs w:val="24"/>
        </w:rPr>
        <w:t xml:space="preserve"> når risikoen for at udvikle osteonekrose af kæberne skal vurderes hos den enkelte patient:</w:t>
      </w:r>
    </w:p>
    <w:p w14:paraId="7421E688" w14:textId="77777777" w:rsidR="00A751A6" w:rsidRPr="00A751A6" w:rsidRDefault="00A751A6" w:rsidP="00A26C52">
      <w:pPr>
        <w:numPr>
          <w:ilvl w:val="0"/>
          <w:numId w:val="8"/>
        </w:numPr>
        <w:tabs>
          <w:tab w:val="left" w:pos="851"/>
        </w:tabs>
        <w:ind w:left="1134" w:hanging="283"/>
        <w:rPr>
          <w:sz w:val="24"/>
          <w:szCs w:val="24"/>
        </w:rPr>
      </w:pPr>
      <w:r w:rsidRPr="00A751A6">
        <w:rPr>
          <w:sz w:val="24"/>
          <w:szCs w:val="24"/>
        </w:rPr>
        <w:t>Styrken af det lægemiddel, der hæmmer knogleresorption (øget risiko ved højpotente stoffer), administrationsvej (øget risiko ved parenteral administration) og kumuleret dosis af knogleresorptionsbehandling.</w:t>
      </w:r>
    </w:p>
    <w:p w14:paraId="5395E591" w14:textId="77777777" w:rsidR="00A751A6" w:rsidRPr="00A751A6" w:rsidRDefault="00A751A6" w:rsidP="00A26C52">
      <w:pPr>
        <w:numPr>
          <w:ilvl w:val="0"/>
          <w:numId w:val="8"/>
        </w:numPr>
        <w:tabs>
          <w:tab w:val="left" w:pos="851"/>
        </w:tabs>
        <w:ind w:left="1134" w:hanging="283"/>
        <w:rPr>
          <w:sz w:val="24"/>
          <w:szCs w:val="24"/>
        </w:rPr>
      </w:pPr>
      <w:r w:rsidRPr="00A751A6">
        <w:rPr>
          <w:sz w:val="24"/>
          <w:szCs w:val="24"/>
        </w:rPr>
        <w:t>Cancer, følgesygdomme (fx anæmi, koagulationslidelse, infektion), rygning.</w:t>
      </w:r>
    </w:p>
    <w:p w14:paraId="3894D6C0" w14:textId="77777777" w:rsidR="00A751A6" w:rsidRPr="00A751A6" w:rsidRDefault="00A751A6" w:rsidP="00A26C52">
      <w:pPr>
        <w:numPr>
          <w:ilvl w:val="0"/>
          <w:numId w:val="8"/>
        </w:numPr>
        <w:tabs>
          <w:tab w:val="left" w:pos="851"/>
        </w:tabs>
        <w:ind w:left="1134" w:hanging="283"/>
        <w:rPr>
          <w:sz w:val="24"/>
          <w:szCs w:val="24"/>
        </w:rPr>
      </w:pPr>
      <w:r w:rsidRPr="00A751A6">
        <w:rPr>
          <w:sz w:val="24"/>
          <w:szCs w:val="24"/>
        </w:rPr>
        <w:t>Samtidig behandling: kortikosteroider, kemoterapi, angiogenesehæmmere, stråleterapi af hoved og nakke.</w:t>
      </w:r>
    </w:p>
    <w:p w14:paraId="40FF4CE1" w14:textId="7957C146" w:rsidR="00A751A6" w:rsidRDefault="00A751A6" w:rsidP="00A26C52">
      <w:pPr>
        <w:numPr>
          <w:ilvl w:val="0"/>
          <w:numId w:val="8"/>
        </w:numPr>
        <w:tabs>
          <w:tab w:val="left" w:pos="851"/>
        </w:tabs>
        <w:ind w:left="1134" w:hanging="283"/>
        <w:rPr>
          <w:sz w:val="24"/>
          <w:szCs w:val="24"/>
        </w:rPr>
      </w:pPr>
      <w:r w:rsidRPr="00A751A6">
        <w:rPr>
          <w:sz w:val="24"/>
          <w:szCs w:val="24"/>
        </w:rPr>
        <w:t>Dårlig mundhygiejne, parodontal sygdom, dårligt tilpassede tandproteser, tandsygdom i anamnesen, invasiv tandbehandling fx udtrækning af en tand.</w:t>
      </w:r>
    </w:p>
    <w:p w14:paraId="369E91A4" w14:textId="77777777" w:rsidR="00A751A6" w:rsidRPr="00A751A6" w:rsidRDefault="00A751A6" w:rsidP="00A26C52">
      <w:pPr>
        <w:tabs>
          <w:tab w:val="left" w:pos="851"/>
        </w:tabs>
        <w:ind w:left="1134"/>
        <w:rPr>
          <w:sz w:val="24"/>
          <w:szCs w:val="24"/>
        </w:rPr>
      </w:pPr>
    </w:p>
    <w:p w14:paraId="1D35385F" w14:textId="77777777" w:rsidR="00A751A6" w:rsidRPr="00A751A6" w:rsidRDefault="00A751A6" w:rsidP="00A26C52">
      <w:pPr>
        <w:tabs>
          <w:tab w:val="left" w:pos="851"/>
        </w:tabs>
        <w:ind w:left="851"/>
        <w:rPr>
          <w:sz w:val="24"/>
          <w:szCs w:val="24"/>
        </w:rPr>
      </w:pPr>
      <w:r w:rsidRPr="00A751A6">
        <w:rPr>
          <w:sz w:val="24"/>
          <w:szCs w:val="24"/>
        </w:rPr>
        <w:t>Alle patienter bør opfordres til at opretholde en god mundhygiejne, gennemgå rutinemæssige tandeftersyn og straks rapportere eventuelle orale symptomer såsom tandmobilitet, smerter eller hævelse, vedvarende sår eller sekretion under behandling med zoledronsyre. Under behandling bør invasiv tandbehandling udføres med forsigtighed og undgås tæt på zoledronsyrebehandling.</w:t>
      </w:r>
    </w:p>
    <w:p w14:paraId="1DC045D1" w14:textId="77777777" w:rsidR="00A751A6" w:rsidRPr="00A751A6" w:rsidRDefault="00A751A6" w:rsidP="00A26C52">
      <w:pPr>
        <w:tabs>
          <w:tab w:val="left" w:pos="851"/>
        </w:tabs>
        <w:ind w:left="851"/>
        <w:rPr>
          <w:sz w:val="24"/>
          <w:szCs w:val="24"/>
        </w:rPr>
      </w:pPr>
    </w:p>
    <w:p w14:paraId="74432A54" w14:textId="7C461A1D" w:rsidR="00A751A6" w:rsidRDefault="00A751A6" w:rsidP="00A26C52">
      <w:pPr>
        <w:tabs>
          <w:tab w:val="left" w:pos="851"/>
        </w:tabs>
        <w:ind w:left="851"/>
        <w:rPr>
          <w:sz w:val="24"/>
          <w:szCs w:val="24"/>
        </w:rPr>
      </w:pPr>
      <w:r w:rsidRPr="00A751A6">
        <w:rPr>
          <w:sz w:val="24"/>
          <w:szCs w:val="24"/>
        </w:rPr>
        <w:t>Planen for patienter, der udvikler osteonekrose, bør laves i tæt samarbejde mellem den behandlende læge og en tandlæge eller oral kirurg med ekspertise i osteonekrose. Midlertidig afbrydelse af zoledronsyrebehandling bør overvejes, indtil tilstanden er afhjulpet og bidragende risikofaktorer er mindsket så vidt muligt.</w:t>
      </w:r>
    </w:p>
    <w:p w14:paraId="0EC41DE9" w14:textId="4765B5EC" w:rsidR="000B4B51" w:rsidRDefault="000B4B51" w:rsidP="00A26C52">
      <w:pPr>
        <w:rPr>
          <w:sz w:val="24"/>
          <w:szCs w:val="24"/>
        </w:rPr>
      </w:pPr>
      <w:r>
        <w:rPr>
          <w:sz w:val="24"/>
          <w:szCs w:val="24"/>
        </w:rPr>
        <w:br w:type="page"/>
      </w:r>
    </w:p>
    <w:p w14:paraId="240100BE" w14:textId="77777777" w:rsidR="00A751A6" w:rsidRPr="00A751A6" w:rsidRDefault="00A751A6" w:rsidP="00A26C52">
      <w:pPr>
        <w:tabs>
          <w:tab w:val="left" w:pos="851"/>
        </w:tabs>
        <w:ind w:left="851"/>
        <w:rPr>
          <w:sz w:val="24"/>
          <w:szCs w:val="24"/>
        </w:rPr>
      </w:pPr>
    </w:p>
    <w:p w14:paraId="4FBBDCB0" w14:textId="77777777" w:rsidR="00A751A6" w:rsidRPr="00A751A6" w:rsidRDefault="00A751A6" w:rsidP="00A26C52">
      <w:pPr>
        <w:tabs>
          <w:tab w:val="left" w:pos="851"/>
        </w:tabs>
        <w:ind w:left="851"/>
        <w:rPr>
          <w:sz w:val="24"/>
          <w:szCs w:val="24"/>
        </w:rPr>
      </w:pPr>
      <w:r w:rsidRPr="00A751A6">
        <w:rPr>
          <w:sz w:val="24"/>
          <w:szCs w:val="24"/>
          <w:u w:val="single"/>
        </w:rPr>
        <w:t>Osteonekrose af øregangen</w:t>
      </w:r>
    </w:p>
    <w:p w14:paraId="3D2D798C" w14:textId="77777777" w:rsidR="00A751A6" w:rsidRPr="00A751A6" w:rsidRDefault="00A751A6" w:rsidP="00A26C52">
      <w:pPr>
        <w:tabs>
          <w:tab w:val="left" w:pos="851"/>
        </w:tabs>
        <w:ind w:left="851"/>
        <w:rPr>
          <w:sz w:val="24"/>
          <w:szCs w:val="24"/>
        </w:rPr>
      </w:pPr>
      <w:r w:rsidRPr="00A751A6">
        <w:rPr>
          <w:sz w:val="24"/>
          <w:szCs w:val="24"/>
        </w:rPr>
        <w:t>Der er rapporteret osteonekrose af øregangen med bisfosfonater, hovedsageligt i forbindelse med langtidsbehandling. Mulige risikofaktorer for osteonekrose af øregangen inkluderer steroider og kemoterapi og/eller lokale risikofaktorer som infektioner eller traumer. Muligheden for osteonekrose af øregangen skal overvejes hos patienter, der får behandling med bisfosfonater, og som udviser øresymptomer, herunder kroniske øreinfektioner.</w:t>
      </w:r>
    </w:p>
    <w:p w14:paraId="33D44D54" w14:textId="77777777" w:rsidR="00A751A6" w:rsidRPr="00A751A6" w:rsidRDefault="00A751A6" w:rsidP="00A26C52">
      <w:pPr>
        <w:tabs>
          <w:tab w:val="left" w:pos="851"/>
        </w:tabs>
        <w:ind w:left="851"/>
        <w:rPr>
          <w:sz w:val="24"/>
          <w:szCs w:val="24"/>
        </w:rPr>
      </w:pPr>
    </w:p>
    <w:p w14:paraId="5F349B37" w14:textId="77777777" w:rsidR="00A751A6" w:rsidRPr="00A751A6" w:rsidRDefault="00A751A6" w:rsidP="00A26C52">
      <w:pPr>
        <w:tabs>
          <w:tab w:val="left" w:pos="851"/>
        </w:tabs>
        <w:ind w:left="851"/>
        <w:rPr>
          <w:sz w:val="24"/>
          <w:szCs w:val="24"/>
        </w:rPr>
      </w:pPr>
      <w:r w:rsidRPr="00A751A6">
        <w:rPr>
          <w:sz w:val="24"/>
          <w:szCs w:val="24"/>
          <w:u w:val="single"/>
        </w:rPr>
        <w:t>Atypiske frakturer på femur</w:t>
      </w:r>
    </w:p>
    <w:p w14:paraId="4EBD1ACE" w14:textId="77777777" w:rsidR="00A751A6" w:rsidRPr="00A751A6" w:rsidRDefault="00A751A6" w:rsidP="00A26C52">
      <w:pPr>
        <w:tabs>
          <w:tab w:val="left" w:pos="851"/>
        </w:tabs>
        <w:ind w:left="851"/>
        <w:rPr>
          <w:sz w:val="24"/>
          <w:szCs w:val="24"/>
        </w:rPr>
      </w:pPr>
      <w:r w:rsidRPr="00A751A6">
        <w:rPr>
          <w:sz w:val="24"/>
          <w:szCs w:val="24"/>
        </w:rPr>
        <w:t>Der er rapporteret om atypiske subtrokantære og diafyseale femurfrakturer ved bisfosfonatbehandling,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bisfosfonater, og som har pådraget sig en fraktur af lårbensskaftet. Dårlig heling af disse frakturer er også blevet rapporteret. Det bør overvejes at seponere bisfosfonat hos patienter med mistanke om atypisk femurfraktur, indtil der foreligger en evaluering af patienten, baseret på en individuel benefit/risk-vurdering.</w:t>
      </w:r>
    </w:p>
    <w:p w14:paraId="47BA382A" w14:textId="77777777" w:rsidR="00A751A6" w:rsidRPr="00A751A6" w:rsidRDefault="00A751A6" w:rsidP="00A26C52">
      <w:pPr>
        <w:tabs>
          <w:tab w:val="left" w:pos="851"/>
        </w:tabs>
        <w:ind w:left="851"/>
        <w:rPr>
          <w:sz w:val="24"/>
          <w:szCs w:val="24"/>
        </w:rPr>
      </w:pPr>
    </w:p>
    <w:p w14:paraId="4E0977A0" w14:textId="72A75891" w:rsidR="00A751A6" w:rsidRDefault="00A751A6" w:rsidP="00A26C52">
      <w:pPr>
        <w:tabs>
          <w:tab w:val="left" w:pos="851"/>
        </w:tabs>
        <w:ind w:left="851"/>
        <w:rPr>
          <w:sz w:val="24"/>
          <w:szCs w:val="24"/>
        </w:rPr>
      </w:pPr>
      <w:r w:rsidRPr="00A751A6">
        <w:rPr>
          <w:sz w:val="24"/>
          <w:szCs w:val="24"/>
        </w:rPr>
        <w:t>Patienten skal informeres om at rapportere enhver lår-, hofte- eller lyskesmerte under bisfosfonatbehandlingen, og alle patienter, som fremviser disse symptomer, skal evalueres for en ufuldstændig femurfraktur.</w:t>
      </w:r>
    </w:p>
    <w:p w14:paraId="18FDB6B4" w14:textId="77777777" w:rsidR="0075765C" w:rsidRPr="00A751A6" w:rsidRDefault="0075765C" w:rsidP="00A26C52">
      <w:pPr>
        <w:tabs>
          <w:tab w:val="left" w:pos="851"/>
        </w:tabs>
        <w:ind w:left="851"/>
        <w:rPr>
          <w:sz w:val="24"/>
          <w:szCs w:val="24"/>
        </w:rPr>
      </w:pPr>
    </w:p>
    <w:p w14:paraId="5C3F2331" w14:textId="77777777" w:rsidR="00A751A6" w:rsidRPr="00A751A6" w:rsidRDefault="00A751A6" w:rsidP="00A26C52">
      <w:pPr>
        <w:tabs>
          <w:tab w:val="left" w:pos="851"/>
        </w:tabs>
        <w:ind w:left="851"/>
        <w:rPr>
          <w:sz w:val="24"/>
          <w:szCs w:val="24"/>
        </w:rPr>
      </w:pPr>
      <w:r w:rsidRPr="00A751A6">
        <w:rPr>
          <w:sz w:val="24"/>
          <w:szCs w:val="24"/>
          <w:u w:val="single"/>
        </w:rPr>
        <w:t>Akutfase reaktioner</w:t>
      </w:r>
    </w:p>
    <w:p w14:paraId="7D36087B" w14:textId="77777777" w:rsidR="00A751A6" w:rsidRPr="00A751A6" w:rsidRDefault="00A751A6" w:rsidP="00A26C52">
      <w:pPr>
        <w:tabs>
          <w:tab w:val="left" w:pos="851"/>
        </w:tabs>
        <w:ind w:left="851"/>
        <w:rPr>
          <w:sz w:val="24"/>
          <w:szCs w:val="24"/>
        </w:rPr>
      </w:pPr>
      <w:r w:rsidRPr="00A751A6">
        <w:rPr>
          <w:sz w:val="24"/>
          <w:szCs w:val="24"/>
        </w:rPr>
        <w:t>Akutfase reaktioner (APRer) eller post-dosis-symptomer, som fx feber, myalgi, influenza-lignende symptomer, artralgi og hovedpine er observeret, hvoraf størstedelen er opstået inden for tre dage efter administration af zoledronsyre.</w:t>
      </w:r>
    </w:p>
    <w:p w14:paraId="1CF0564A" w14:textId="77777777" w:rsidR="00A751A6" w:rsidRPr="00A751A6" w:rsidRDefault="00A751A6" w:rsidP="00A26C52">
      <w:pPr>
        <w:tabs>
          <w:tab w:val="left" w:pos="851"/>
        </w:tabs>
        <w:ind w:left="851"/>
        <w:rPr>
          <w:sz w:val="24"/>
          <w:szCs w:val="24"/>
        </w:rPr>
      </w:pPr>
    </w:p>
    <w:p w14:paraId="3FBD2E4D" w14:textId="0715501F" w:rsidR="00A751A6" w:rsidRDefault="00A751A6" w:rsidP="00A26C52">
      <w:pPr>
        <w:tabs>
          <w:tab w:val="left" w:pos="851"/>
        </w:tabs>
        <w:ind w:left="851"/>
        <w:rPr>
          <w:sz w:val="24"/>
          <w:szCs w:val="24"/>
        </w:rPr>
      </w:pPr>
      <w:r w:rsidRPr="00A751A6">
        <w:rPr>
          <w:sz w:val="24"/>
          <w:szCs w:val="24"/>
        </w:rPr>
        <w:t>APRer kan sommetider være alvorlige eller være af længere varighed. Incidensen af post-dosis- symptomer kan reduceres, hvis der gives paracetamol eller ibuprofen kort efter administration af</w:t>
      </w:r>
      <w:r w:rsidR="0075765C">
        <w:rPr>
          <w:sz w:val="24"/>
          <w:szCs w:val="24"/>
        </w:rPr>
        <w:t xml:space="preserve"> </w:t>
      </w:r>
      <w:r w:rsidRPr="00A751A6">
        <w:rPr>
          <w:sz w:val="24"/>
          <w:szCs w:val="24"/>
        </w:rPr>
        <w:t>zoledronsyre. Det tilrådes også at udsætte behandlingen, hvis patienten er klinisk ustabil pga. en akut sygdom og en APR kan være problematisk (se punkt 4.8).</w:t>
      </w:r>
    </w:p>
    <w:p w14:paraId="57AF679D" w14:textId="77777777" w:rsidR="0075765C" w:rsidRPr="00A751A6" w:rsidRDefault="0075765C" w:rsidP="00A26C52">
      <w:pPr>
        <w:tabs>
          <w:tab w:val="left" w:pos="851"/>
        </w:tabs>
        <w:ind w:left="851"/>
        <w:rPr>
          <w:sz w:val="24"/>
          <w:szCs w:val="24"/>
        </w:rPr>
      </w:pPr>
    </w:p>
    <w:p w14:paraId="57A62846" w14:textId="77777777" w:rsidR="00A751A6" w:rsidRPr="00A751A6" w:rsidRDefault="00A751A6" w:rsidP="00A26C52">
      <w:pPr>
        <w:tabs>
          <w:tab w:val="left" w:pos="851"/>
        </w:tabs>
        <w:ind w:left="851"/>
        <w:rPr>
          <w:sz w:val="24"/>
          <w:szCs w:val="24"/>
        </w:rPr>
      </w:pPr>
      <w:r w:rsidRPr="00A751A6">
        <w:rPr>
          <w:sz w:val="24"/>
          <w:szCs w:val="24"/>
          <w:u w:val="single"/>
        </w:rPr>
        <w:t>Generelt</w:t>
      </w:r>
    </w:p>
    <w:p w14:paraId="3D933616" w14:textId="03CB2A23" w:rsidR="00A751A6" w:rsidRDefault="00A751A6" w:rsidP="00A26C52">
      <w:pPr>
        <w:tabs>
          <w:tab w:val="left" w:pos="851"/>
        </w:tabs>
        <w:ind w:left="851"/>
        <w:rPr>
          <w:sz w:val="24"/>
          <w:szCs w:val="24"/>
        </w:rPr>
      </w:pPr>
      <w:r w:rsidRPr="00A751A6">
        <w:rPr>
          <w:sz w:val="24"/>
          <w:szCs w:val="24"/>
        </w:rPr>
        <w:t>Der er andre produkter tilgængelige, der indeholder zoledronsyre som aktivt indholdsstof, til onkologiske indikationer. Patienter, der behandles med zoledronsyre, må ikke behandles samtidig med sådanne lægemidler eller andre bisfosfonater, da den samlede effekt af disse lægemidler er ukendt.</w:t>
      </w:r>
    </w:p>
    <w:p w14:paraId="241C364A" w14:textId="77777777" w:rsidR="00A0777B" w:rsidRPr="00A751A6" w:rsidRDefault="00A0777B" w:rsidP="00A26C52">
      <w:pPr>
        <w:tabs>
          <w:tab w:val="left" w:pos="851"/>
        </w:tabs>
        <w:ind w:left="851"/>
        <w:rPr>
          <w:sz w:val="24"/>
          <w:szCs w:val="24"/>
        </w:rPr>
      </w:pPr>
    </w:p>
    <w:p w14:paraId="538EB3CC" w14:textId="77777777" w:rsidR="00A751A6" w:rsidRPr="00A751A6" w:rsidRDefault="00A751A6" w:rsidP="00A26C52">
      <w:pPr>
        <w:tabs>
          <w:tab w:val="left" w:pos="851"/>
        </w:tabs>
        <w:ind w:left="851"/>
        <w:rPr>
          <w:sz w:val="24"/>
          <w:szCs w:val="24"/>
        </w:rPr>
      </w:pPr>
      <w:r w:rsidRPr="00A751A6">
        <w:rPr>
          <w:sz w:val="24"/>
          <w:szCs w:val="24"/>
        </w:rPr>
        <w:t>Dette lægemiddel indeholder mindre end 1 mmol natrium (23 mg) per 100 ml ml Zoledronsyre "Sun Pharma" (1 hætteglas), dvs. det er i det væsentlige natriumfrit.</w:t>
      </w:r>
    </w:p>
    <w:p w14:paraId="0968B11F" w14:textId="77777777" w:rsidR="009260DE" w:rsidRPr="00C84483" w:rsidRDefault="009260DE" w:rsidP="00A26C52">
      <w:pPr>
        <w:tabs>
          <w:tab w:val="left" w:pos="851"/>
        </w:tabs>
        <w:ind w:left="851"/>
        <w:rPr>
          <w:sz w:val="24"/>
          <w:szCs w:val="24"/>
        </w:rPr>
      </w:pPr>
    </w:p>
    <w:p w14:paraId="105F982E" w14:textId="77777777" w:rsidR="009260DE" w:rsidRPr="00C84483" w:rsidRDefault="009260DE" w:rsidP="00A26C5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E84AAB7" w14:textId="73E4EF0D" w:rsidR="003B6491" w:rsidRDefault="003B6491" w:rsidP="00A26C52">
      <w:pPr>
        <w:tabs>
          <w:tab w:val="left" w:pos="851"/>
        </w:tabs>
        <w:ind w:left="851"/>
        <w:rPr>
          <w:sz w:val="24"/>
          <w:szCs w:val="24"/>
        </w:rPr>
      </w:pPr>
      <w:r w:rsidRPr="003B6491">
        <w:rPr>
          <w:sz w:val="24"/>
          <w:szCs w:val="24"/>
        </w:rPr>
        <w:t xml:space="preserve">Der er ikke udført interaktionsstudier med andre lægemidler. Zoledronsyre metaboliseres ikke systemisk og påvirker ikke de humane cytokrom P450 enzymer </w:t>
      </w:r>
      <w:r w:rsidRPr="003B6491">
        <w:rPr>
          <w:i/>
          <w:sz w:val="24"/>
          <w:szCs w:val="24"/>
        </w:rPr>
        <w:t xml:space="preserve">in vitro </w:t>
      </w:r>
      <w:r w:rsidRPr="003B6491">
        <w:rPr>
          <w:sz w:val="24"/>
          <w:szCs w:val="24"/>
        </w:rPr>
        <w:t xml:space="preserve">(se pkt. 5.2). Zoledronsyre bindes ikke mærkbart til plasmaproteiner (cirka 43-55 % bundet), og </w:t>
      </w:r>
      <w:r w:rsidRPr="003B6491">
        <w:rPr>
          <w:sz w:val="24"/>
          <w:szCs w:val="24"/>
        </w:rPr>
        <w:lastRenderedPageBreak/>
        <w:t>interaktioner med stærkt proteinbundende lægemidler på grund af fortrængning, er derfor usandsynlig.</w:t>
      </w:r>
    </w:p>
    <w:p w14:paraId="30B3BCEF" w14:textId="77777777" w:rsidR="003B6491" w:rsidRPr="003B6491" w:rsidRDefault="003B6491" w:rsidP="00A26C52">
      <w:pPr>
        <w:tabs>
          <w:tab w:val="left" w:pos="851"/>
        </w:tabs>
        <w:ind w:left="851"/>
        <w:rPr>
          <w:sz w:val="24"/>
          <w:szCs w:val="24"/>
        </w:rPr>
      </w:pPr>
    </w:p>
    <w:p w14:paraId="52960386" w14:textId="77777777" w:rsidR="003B6491" w:rsidRPr="003B6491" w:rsidRDefault="003B6491" w:rsidP="00A26C52">
      <w:pPr>
        <w:tabs>
          <w:tab w:val="left" w:pos="851"/>
        </w:tabs>
        <w:ind w:left="851"/>
        <w:rPr>
          <w:sz w:val="24"/>
          <w:szCs w:val="24"/>
        </w:rPr>
      </w:pPr>
      <w:r w:rsidRPr="003B6491">
        <w:rPr>
          <w:sz w:val="24"/>
          <w:szCs w:val="24"/>
        </w:rPr>
        <w:t>Zoledronsyre elimineres via nyrerne. Forsigtighed tilrådes når zoledronsyre administreres samtidig med lægemidler, der har en signifikant indvirkning på nyrefunktionen (fx aminoglykosider eller diuretika, som kan forårsage dehydrering) (se pkt. 4.4).</w:t>
      </w:r>
    </w:p>
    <w:p w14:paraId="60120BBC" w14:textId="77777777" w:rsidR="003B6491" w:rsidRPr="003B6491" w:rsidRDefault="003B6491" w:rsidP="00A26C52">
      <w:pPr>
        <w:tabs>
          <w:tab w:val="left" w:pos="851"/>
        </w:tabs>
        <w:ind w:left="851"/>
        <w:rPr>
          <w:sz w:val="24"/>
          <w:szCs w:val="24"/>
        </w:rPr>
      </w:pPr>
    </w:p>
    <w:p w14:paraId="2F592641" w14:textId="77777777" w:rsidR="003B6491" w:rsidRPr="003B6491" w:rsidRDefault="003B6491" w:rsidP="00A26C52">
      <w:pPr>
        <w:tabs>
          <w:tab w:val="left" w:pos="851"/>
        </w:tabs>
        <w:ind w:left="851"/>
        <w:rPr>
          <w:sz w:val="24"/>
          <w:szCs w:val="24"/>
        </w:rPr>
      </w:pPr>
      <w:r w:rsidRPr="003B6491">
        <w:rPr>
          <w:sz w:val="24"/>
          <w:szCs w:val="24"/>
        </w:rPr>
        <w:t>Hos patienter med nedsat nyrefunktion kan den systemiske virkning af samtidigt indgivne lægemidler, der primært udskilles via nyrerne, øges.</w:t>
      </w:r>
    </w:p>
    <w:p w14:paraId="2F84590F" w14:textId="77777777" w:rsidR="009260DE" w:rsidRPr="00C84483" w:rsidRDefault="009260DE" w:rsidP="00A26C52">
      <w:pPr>
        <w:tabs>
          <w:tab w:val="left" w:pos="851"/>
        </w:tabs>
        <w:ind w:left="851"/>
        <w:rPr>
          <w:sz w:val="24"/>
          <w:szCs w:val="24"/>
        </w:rPr>
      </w:pPr>
    </w:p>
    <w:p w14:paraId="03596B98" w14:textId="77777777" w:rsidR="009260DE" w:rsidRPr="00C84483" w:rsidRDefault="009260DE" w:rsidP="00A26C52">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FCCD8CD" w14:textId="77777777" w:rsidR="003B6491" w:rsidRDefault="003B6491" w:rsidP="00A26C52">
      <w:pPr>
        <w:tabs>
          <w:tab w:val="left" w:pos="851"/>
        </w:tabs>
        <w:ind w:left="851"/>
        <w:rPr>
          <w:sz w:val="24"/>
          <w:szCs w:val="24"/>
          <w:u w:val="single"/>
        </w:rPr>
      </w:pPr>
    </w:p>
    <w:p w14:paraId="1E1979AB" w14:textId="572133CB" w:rsidR="003B6491" w:rsidRPr="003B6491" w:rsidRDefault="003B6491" w:rsidP="00A26C52">
      <w:pPr>
        <w:tabs>
          <w:tab w:val="left" w:pos="851"/>
        </w:tabs>
        <w:ind w:left="851"/>
        <w:rPr>
          <w:sz w:val="24"/>
          <w:szCs w:val="24"/>
        </w:rPr>
      </w:pPr>
      <w:r w:rsidRPr="003B6491">
        <w:rPr>
          <w:sz w:val="24"/>
          <w:szCs w:val="24"/>
          <w:u w:val="single"/>
        </w:rPr>
        <w:t>Kvinder i den fertile alder</w:t>
      </w:r>
    </w:p>
    <w:p w14:paraId="596B58D3" w14:textId="77777777" w:rsidR="003B6491" w:rsidRDefault="003B6491" w:rsidP="00A26C52">
      <w:pPr>
        <w:tabs>
          <w:tab w:val="left" w:pos="851"/>
        </w:tabs>
        <w:ind w:left="851"/>
        <w:rPr>
          <w:sz w:val="24"/>
          <w:szCs w:val="24"/>
        </w:rPr>
      </w:pPr>
      <w:r w:rsidRPr="003B6491">
        <w:rPr>
          <w:sz w:val="24"/>
          <w:szCs w:val="24"/>
        </w:rPr>
        <w:t>Zoledronsyre anbefales ikke til kvinder i den fertile alder.</w:t>
      </w:r>
    </w:p>
    <w:p w14:paraId="3300D04E" w14:textId="77777777" w:rsidR="003B6491" w:rsidRDefault="003B6491" w:rsidP="00A26C52">
      <w:pPr>
        <w:tabs>
          <w:tab w:val="left" w:pos="851"/>
        </w:tabs>
        <w:ind w:left="851"/>
        <w:rPr>
          <w:sz w:val="24"/>
          <w:szCs w:val="24"/>
        </w:rPr>
      </w:pPr>
    </w:p>
    <w:p w14:paraId="525D5EC6" w14:textId="41441D9F" w:rsidR="003B6491" w:rsidRPr="003B6491" w:rsidRDefault="003B6491" w:rsidP="00A26C52">
      <w:pPr>
        <w:tabs>
          <w:tab w:val="left" w:pos="851"/>
        </w:tabs>
        <w:ind w:left="851"/>
        <w:rPr>
          <w:sz w:val="24"/>
          <w:szCs w:val="24"/>
        </w:rPr>
      </w:pPr>
      <w:r w:rsidRPr="003B6491">
        <w:rPr>
          <w:sz w:val="24"/>
          <w:szCs w:val="24"/>
          <w:u w:val="single"/>
        </w:rPr>
        <w:t>Graviditet</w:t>
      </w:r>
    </w:p>
    <w:p w14:paraId="6309C0F9" w14:textId="77777777" w:rsidR="003B6491" w:rsidRPr="003B6491" w:rsidRDefault="003B6491" w:rsidP="00A26C52">
      <w:pPr>
        <w:tabs>
          <w:tab w:val="left" w:pos="851"/>
        </w:tabs>
        <w:ind w:left="851"/>
        <w:rPr>
          <w:sz w:val="24"/>
          <w:szCs w:val="24"/>
        </w:rPr>
      </w:pPr>
      <w:r w:rsidRPr="003B6491">
        <w:rPr>
          <w:sz w:val="24"/>
          <w:szCs w:val="24"/>
        </w:rPr>
        <w:t>Zoledronsyre er kontraindiceret under graviditet (se pkt. 4.3). Der foreligger ikke tilstrækkelige data om brugen af zoledronsyre hos gravide kvinder. Dyreforsøg har påvist reproduktionstoksicitet inklusive malformationer (se pkt. 5.3). Den potentielle risiko for mennesker er ukendt.</w:t>
      </w:r>
    </w:p>
    <w:p w14:paraId="083CF1A5" w14:textId="77777777" w:rsidR="003B6491" w:rsidRPr="003B6491" w:rsidRDefault="003B6491" w:rsidP="00A26C52">
      <w:pPr>
        <w:tabs>
          <w:tab w:val="left" w:pos="851"/>
        </w:tabs>
        <w:ind w:left="851"/>
        <w:rPr>
          <w:sz w:val="24"/>
          <w:szCs w:val="24"/>
        </w:rPr>
      </w:pPr>
    </w:p>
    <w:p w14:paraId="250EEA9C" w14:textId="77777777" w:rsidR="003B6491" w:rsidRPr="003B6491" w:rsidRDefault="003B6491" w:rsidP="00A26C52">
      <w:pPr>
        <w:tabs>
          <w:tab w:val="left" w:pos="851"/>
        </w:tabs>
        <w:ind w:left="851"/>
        <w:rPr>
          <w:sz w:val="24"/>
          <w:szCs w:val="24"/>
        </w:rPr>
      </w:pPr>
      <w:r w:rsidRPr="003B6491">
        <w:rPr>
          <w:sz w:val="24"/>
          <w:szCs w:val="24"/>
          <w:u w:val="single"/>
        </w:rPr>
        <w:t>Amning</w:t>
      </w:r>
    </w:p>
    <w:p w14:paraId="484B27D5" w14:textId="77777777" w:rsidR="003B6491" w:rsidRPr="003B6491" w:rsidRDefault="003B6491" w:rsidP="00A26C52">
      <w:pPr>
        <w:tabs>
          <w:tab w:val="left" w:pos="851"/>
        </w:tabs>
        <w:ind w:left="851"/>
        <w:rPr>
          <w:sz w:val="24"/>
          <w:szCs w:val="24"/>
        </w:rPr>
      </w:pPr>
      <w:r w:rsidRPr="003B6491">
        <w:rPr>
          <w:sz w:val="24"/>
          <w:szCs w:val="24"/>
        </w:rPr>
        <w:t>Zoledronsyre er kontraindiceret til ammende kvinder (se pkt. 4.3). Det vides ikke, om zoledronsyre udskilles i human mælk.</w:t>
      </w:r>
    </w:p>
    <w:p w14:paraId="0643E2F6" w14:textId="77777777" w:rsidR="003B6491" w:rsidRPr="003B6491" w:rsidRDefault="003B6491" w:rsidP="00A26C52">
      <w:pPr>
        <w:tabs>
          <w:tab w:val="left" w:pos="851"/>
        </w:tabs>
        <w:ind w:left="851"/>
        <w:rPr>
          <w:sz w:val="24"/>
          <w:szCs w:val="24"/>
        </w:rPr>
      </w:pPr>
    </w:p>
    <w:p w14:paraId="75669CE7" w14:textId="77777777" w:rsidR="003B6491" w:rsidRPr="003B6491" w:rsidRDefault="003B6491" w:rsidP="00A26C52">
      <w:pPr>
        <w:tabs>
          <w:tab w:val="left" w:pos="851"/>
        </w:tabs>
        <w:ind w:left="851"/>
        <w:rPr>
          <w:sz w:val="24"/>
          <w:szCs w:val="24"/>
        </w:rPr>
      </w:pPr>
      <w:r w:rsidRPr="003B6491">
        <w:rPr>
          <w:sz w:val="24"/>
          <w:szCs w:val="24"/>
          <w:u w:val="single"/>
        </w:rPr>
        <w:t>Fertilitet</w:t>
      </w:r>
    </w:p>
    <w:p w14:paraId="5F9138CD" w14:textId="77777777" w:rsidR="003B6491" w:rsidRPr="003B6491" w:rsidRDefault="003B6491" w:rsidP="00A26C52">
      <w:pPr>
        <w:tabs>
          <w:tab w:val="left" w:pos="851"/>
        </w:tabs>
        <w:ind w:left="851"/>
        <w:rPr>
          <w:sz w:val="24"/>
          <w:szCs w:val="24"/>
        </w:rPr>
      </w:pPr>
      <w:r w:rsidRPr="003B6491">
        <w:rPr>
          <w:sz w:val="24"/>
          <w:szCs w:val="24"/>
        </w:rPr>
        <w:t>Det blev vurderet, om zoledronsyre havde potentielle bivirkninger i rotter, der påvirkede fertiliteten hos den parenterale generation og F1-generationen. Dette resulterede i unormalt store farmakologiske effekter, som blev vurderet til at være relateret til lægemidlets hæmning af mobiliseringen af calcium i knoglerne, hvilket resulterede i periparturient hypokalcæmi, en klasseeffekt for bisfosfonater, dystocia og afslutning af studiet før tid. Derfor forhindrede disse resultater bestemmelse af zoledronsyre definitive effekt på fertilitet i mennesker.</w:t>
      </w:r>
    </w:p>
    <w:p w14:paraId="36C7E2EA" w14:textId="77777777" w:rsidR="009260DE" w:rsidRPr="00C84483" w:rsidRDefault="009260DE" w:rsidP="00A26C52">
      <w:pPr>
        <w:tabs>
          <w:tab w:val="left" w:pos="851"/>
        </w:tabs>
        <w:ind w:left="851"/>
        <w:rPr>
          <w:sz w:val="24"/>
          <w:szCs w:val="24"/>
        </w:rPr>
      </w:pPr>
    </w:p>
    <w:p w14:paraId="2D58EBBF" w14:textId="77777777" w:rsidR="009260DE" w:rsidRPr="00C84483" w:rsidRDefault="009260DE" w:rsidP="00A26C5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8C2E858" w14:textId="77777777" w:rsidR="003B6491" w:rsidRPr="003B6491" w:rsidRDefault="003B6491" w:rsidP="00A26C52">
      <w:pPr>
        <w:tabs>
          <w:tab w:val="left" w:pos="851"/>
        </w:tabs>
        <w:ind w:left="851"/>
        <w:rPr>
          <w:sz w:val="24"/>
          <w:szCs w:val="24"/>
        </w:rPr>
      </w:pPr>
      <w:r w:rsidRPr="003B6491">
        <w:rPr>
          <w:sz w:val="24"/>
          <w:szCs w:val="24"/>
        </w:rPr>
        <w:t>Ikke mærkning.</w:t>
      </w:r>
    </w:p>
    <w:p w14:paraId="68587DF0" w14:textId="77777777" w:rsidR="003B6491" w:rsidRPr="003B6491" w:rsidRDefault="003B6491" w:rsidP="00A26C52">
      <w:pPr>
        <w:tabs>
          <w:tab w:val="left" w:pos="851"/>
        </w:tabs>
        <w:ind w:left="851"/>
        <w:rPr>
          <w:sz w:val="24"/>
          <w:szCs w:val="24"/>
        </w:rPr>
      </w:pPr>
      <w:r w:rsidRPr="003B6491">
        <w:rPr>
          <w:sz w:val="24"/>
          <w:szCs w:val="24"/>
        </w:rPr>
        <w:t>Bivirkninger, såsom svimmelhed, kan påvirke evnen til at føre motorkøretøj eller betjene maskiner.</w:t>
      </w:r>
    </w:p>
    <w:p w14:paraId="360FFEE2" w14:textId="77777777" w:rsidR="009260DE" w:rsidRPr="00C84483" w:rsidRDefault="009260DE" w:rsidP="00A26C52">
      <w:pPr>
        <w:tabs>
          <w:tab w:val="left" w:pos="851"/>
        </w:tabs>
        <w:ind w:left="851"/>
        <w:rPr>
          <w:sz w:val="24"/>
          <w:szCs w:val="24"/>
        </w:rPr>
      </w:pPr>
    </w:p>
    <w:p w14:paraId="1EB1E7EA" w14:textId="77777777" w:rsidR="009260DE" w:rsidRPr="00C84483" w:rsidRDefault="009260DE" w:rsidP="00A26C52">
      <w:pPr>
        <w:tabs>
          <w:tab w:val="left" w:pos="851"/>
        </w:tabs>
        <w:ind w:left="851" w:hanging="851"/>
        <w:rPr>
          <w:b/>
          <w:sz w:val="24"/>
          <w:szCs w:val="24"/>
        </w:rPr>
      </w:pPr>
      <w:r w:rsidRPr="00C84483">
        <w:rPr>
          <w:b/>
          <w:sz w:val="24"/>
          <w:szCs w:val="24"/>
        </w:rPr>
        <w:t>4.8</w:t>
      </w:r>
      <w:r w:rsidRPr="00C84483">
        <w:rPr>
          <w:b/>
          <w:sz w:val="24"/>
          <w:szCs w:val="24"/>
        </w:rPr>
        <w:tab/>
        <w:t>Bivirkninger</w:t>
      </w:r>
    </w:p>
    <w:p w14:paraId="2C31EC6C" w14:textId="77777777" w:rsidR="000B5F7D" w:rsidRDefault="000B5F7D" w:rsidP="00A26C52">
      <w:pPr>
        <w:tabs>
          <w:tab w:val="left" w:pos="851"/>
        </w:tabs>
        <w:ind w:left="851"/>
        <w:rPr>
          <w:sz w:val="24"/>
          <w:szCs w:val="24"/>
          <w:u w:val="single"/>
        </w:rPr>
      </w:pPr>
    </w:p>
    <w:p w14:paraId="72AED703" w14:textId="5951A4F3" w:rsidR="000B5F7D" w:rsidRPr="000B5F7D" w:rsidRDefault="000B5F7D" w:rsidP="00A26C52">
      <w:pPr>
        <w:tabs>
          <w:tab w:val="left" w:pos="851"/>
        </w:tabs>
        <w:ind w:left="851"/>
        <w:rPr>
          <w:sz w:val="24"/>
          <w:szCs w:val="24"/>
        </w:rPr>
      </w:pPr>
      <w:r w:rsidRPr="000B5F7D">
        <w:rPr>
          <w:sz w:val="24"/>
          <w:szCs w:val="24"/>
          <w:u w:val="single"/>
        </w:rPr>
        <w:t>Resumé af sikkerhedsprofilen</w:t>
      </w:r>
    </w:p>
    <w:p w14:paraId="754B595E" w14:textId="77777777" w:rsidR="000B5F7D" w:rsidRPr="000B5F7D" w:rsidRDefault="000B5F7D" w:rsidP="00A26C52">
      <w:pPr>
        <w:tabs>
          <w:tab w:val="left" w:pos="851"/>
        </w:tabs>
        <w:ind w:left="851"/>
        <w:rPr>
          <w:sz w:val="24"/>
          <w:szCs w:val="24"/>
        </w:rPr>
      </w:pPr>
      <w:r w:rsidRPr="000B5F7D">
        <w:rPr>
          <w:sz w:val="24"/>
          <w:szCs w:val="24"/>
        </w:rPr>
        <w:t>Den overordnede procentdel af patienter, som oplevede bivirkninger, var henholdsvis 44,7 %, 16,7 % og 10,2 % efter første, anden og tredje infusion. Incidensen af individuelle bivirkninger efter første infusion var: pyreksi (17,1 %), muskelsmerter (7,8 %), influenzalignende sygdom (6,7 %), ledsmerter (4,8 %) og hovedpine (5,1 %), se ”akutfase reaktioner” nedenfor.</w:t>
      </w:r>
    </w:p>
    <w:p w14:paraId="66717ACC" w14:textId="77777777" w:rsidR="000B5F7D" w:rsidRDefault="000B5F7D" w:rsidP="00A26C52">
      <w:pPr>
        <w:tabs>
          <w:tab w:val="left" w:pos="851"/>
        </w:tabs>
        <w:ind w:left="851"/>
        <w:rPr>
          <w:sz w:val="24"/>
          <w:szCs w:val="24"/>
          <w:u w:val="single"/>
        </w:rPr>
      </w:pPr>
    </w:p>
    <w:p w14:paraId="66B073AA" w14:textId="1247C587" w:rsidR="000B5F7D" w:rsidRPr="000B5F7D" w:rsidRDefault="000B5F7D" w:rsidP="00A26C52">
      <w:pPr>
        <w:tabs>
          <w:tab w:val="left" w:pos="851"/>
        </w:tabs>
        <w:ind w:left="851"/>
        <w:rPr>
          <w:sz w:val="24"/>
          <w:szCs w:val="24"/>
        </w:rPr>
      </w:pPr>
      <w:r w:rsidRPr="000B5F7D">
        <w:rPr>
          <w:sz w:val="24"/>
          <w:szCs w:val="24"/>
          <w:u w:val="single"/>
        </w:rPr>
        <w:t>Tabel over bivirkninger</w:t>
      </w:r>
    </w:p>
    <w:p w14:paraId="604DF224" w14:textId="77777777" w:rsidR="000B5F7D" w:rsidRPr="000B5F7D" w:rsidRDefault="000B5F7D" w:rsidP="00A26C52">
      <w:pPr>
        <w:tabs>
          <w:tab w:val="left" w:pos="851"/>
        </w:tabs>
        <w:ind w:left="851"/>
        <w:rPr>
          <w:sz w:val="24"/>
          <w:szCs w:val="24"/>
        </w:rPr>
      </w:pPr>
      <w:r w:rsidRPr="000B5F7D">
        <w:rPr>
          <w:sz w:val="24"/>
          <w:szCs w:val="24"/>
        </w:rPr>
        <w:t>Bivirkningerne i tabel 1 er anført i henhold til MedDRA organklassificering og frekvens.</w:t>
      </w:r>
    </w:p>
    <w:p w14:paraId="60232B89" w14:textId="2E503807" w:rsidR="000B5F7D" w:rsidRDefault="000B5F7D" w:rsidP="00A26C52">
      <w:pPr>
        <w:tabs>
          <w:tab w:val="left" w:pos="851"/>
        </w:tabs>
        <w:ind w:left="851"/>
        <w:rPr>
          <w:sz w:val="24"/>
          <w:szCs w:val="24"/>
          <w:lang w:val="en-US"/>
        </w:rPr>
      </w:pPr>
      <w:r w:rsidRPr="000B5F7D">
        <w:rPr>
          <w:sz w:val="24"/>
          <w:szCs w:val="24"/>
        </w:rPr>
        <w:lastRenderedPageBreak/>
        <w:t xml:space="preserve">Frekvenserne er defineret ved brug af følgende konvention: </w:t>
      </w:r>
      <w:r>
        <w:rPr>
          <w:sz w:val="24"/>
          <w:szCs w:val="24"/>
        </w:rPr>
        <w:t>M</w:t>
      </w:r>
      <w:r w:rsidRPr="000B5F7D">
        <w:rPr>
          <w:sz w:val="24"/>
          <w:szCs w:val="24"/>
        </w:rPr>
        <w:t>eget almindelig (≥ 1/10), almindelig</w:t>
      </w:r>
      <w:r>
        <w:rPr>
          <w:sz w:val="24"/>
          <w:szCs w:val="24"/>
        </w:rPr>
        <w:t xml:space="preserve"> </w:t>
      </w:r>
      <w:r w:rsidRPr="000B5F7D">
        <w:rPr>
          <w:sz w:val="24"/>
          <w:szCs w:val="24"/>
        </w:rPr>
        <w:t xml:space="preserve">(≥ 1/100 til &lt; 1/10), ikke almindelig (≥ 1/1.000 til &lt; 1/100), sjælden (≥ 1/10.000 til &lt; 1/1.000), meget sjælden (&lt; 1/10.000), ikke kendt (kan ikke estimeres ud fra forhåndenværende data). Inden for hver enkelt frekvensgruppe er bivirkningerne opstillet efter, hvor alvorlige de er. </w:t>
      </w:r>
      <w:r w:rsidRPr="000B5F7D">
        <w:rPr>
          <w:sz w:val="24"/>
          <w:szCs w:val="24"/>
          <w:lang w:val="en-US"/>
        </w:rPr>
        <w:t>De alvorligste bivirkninger er anført først.</w:t>
      </w:r>
    </w:p>
    <w:p w14:paraId="49814652" w14:textId="77777777" w:rsidR="000B5F7D" w:rsidRDefault="000B5F7D" w:rsidP="00A26C52">
      <w:pPr>
        <w:tabs>
          <w:tab w:val="left" w:pos="851"/>
        </w:tabs>
        <w:ind w:left="851"/>
        <w:rPr>
          <w:sz w:val="24"/>
          <w:szCs w:val="24"/>
          <w:lang w:val="en-US"/>
        </w:rPr>
      </w:pPr>
    </w:p>
    <w:p w14:paraId="3EC5AC62" w14:textId="77777777" w:rsidR="000B5F7D" w:rsidRPr="000B5F7D" w:rsidRDefault="000B5F7D" w:rsidP="00A26C52">
      <w:pPr>
        <w:ind w:right="451"/>
        <w:rPr>
          <w:rFonts w:eastAsia="Calibri"/>
          <w:b/>
          <w:bCs/>
          <w:sz w:val="24"/>
          <w:szCs w:val="24"/>
          <w:lang w:val="en-US"/>
        </w:rPr>
      </w:pPr>
      <w:r w:rsidRPr="000B5F7D">
        <w:rPr>
          <w:rFonts w:eastAsia="Calibri"/>
          <w:b/>
          <w:bCs/>
          <w:sz w:val="24"/>
          <w:szCs w:val="24"/>
          <w:lang w:val="en-US"/>
        </w:rPr>
        <w:t>Tabel 1</w:t>
      </w:r>
    </w:p>
    <w:p w14:paraId="4072F448" w14:textId="2E02FB8C" w:rsidR="000B5F7D" w:rsidRDefault="000B5F7D" w:rsidP="00A26C52">
      <w:pPr>
        <w:rPr>
          <w:rFonts w:eastAsia="Calibri"/>
          <w:b/>
          <w:sz w:val="24"/>
          <w:szCs w:val="24"/>
          <w:lang w:val="en-US"/>
        </w:rPr>
      </w:pPr>
    </w:p>
    <w:tbl>
      <w:tblPr>
        <w:tblStyle w:val="Tabel-Gitter"/>
        <w:tblW w:w="0" w:type="auto"/>
        <w:tblLook w:val="04A0" w:firstRow="1" w:lastRow="0" w:firstColumn="1" w:lastColumn="0" w:noHBand="0" w:noVBand="1"/>
      </w:tblPr>
      <w:tblGrid>
        <w:gridCol w:w="3209"/>
        <w:gridCol w:w="3209"/>
        <w:gridCol w:w="3210"/>
      </w:tblGrid>
      <w:tr w:rsidR="00684A48" w:rsidRPr="005652E3" w14:paraId="14448D3A" w14:textId="77777777" w:rsidTr="00684A48">
        <w:tc>
          <w:tcPr>
            <w:tcW w:w="3209" w:type="dxa"/>
          </w:tcPr>
          <w:p w14:paraId="2F62F83C" w14:textId="61674261" w:rsidR="00684A48" w:rsidRPr="005652E3" w:rsidRDefault="00684A48" w:rsidP="00A26C52">
            <w:pPr>
              <w:rPr>
                <w:rFonts w:eastAsia="Calibri"/>
                <w:b/>
                <w:sz w:val="22"/>
                <w:szCs w:val="22"/>
                <w:lang w:val="en-US"/>
              </w:rPr>
            </w:pPr>
            <w:r w:rsidRPr="005652E3">
              <w:rPr>
                <w:b/>
                <w:sz w:val="22"/>
                <w:szCs w:val="22"/>
              </w:rPr>
              <w:t>Infektioner</w:t>
            </w:r>
            <w:r w:rsidRPr="005652E3">
              <w:rPr>
                <w:b/>
                <w:spacing w:val="-11"/>
                <w:sz w:val="22"/>
                <w:szCs w:val="22"/>
              </w:rPr>
              <w:t xml:space="preserve"> </w:t>
            </w:r>
            <w:r w:rsidRPr="005652E3">
              <w:rPr>
                <w:b/>
                <w:sz w:val="22"/>
                <w:szCs w:val="22"/>
              </w:rPr>
              <w:t>og</w:t>
            </w:r>
            <w:r w:rsidRPr="005652E3">
              <w:rPr>
                <w:b/>
                <w:spacing w:val="-10"/>
                <w:sz w:val="22"/>
                <w:szCs w:val="22"/>
              </w:rPr>
              <w:t xml:space="preserve"> </w:t>
            </w:r>
            <w:r w:rsidRPr="005652E3">
              <w:rPr>
                <w:b/>
                <w:sz w:val="22"/>
                <w:szCs w:val="22"/>
              </w:rPr>
              <w:t>parasitære</w:t>
            </w:r>
            <w:r w:rsidRPr="005652E3">
              <w:rPr>
                <w:b/>
                <w:spacing w:val="-11"/>
                <w:sz w:val="22"/>
                <w:szCs w:val="22"/>
              </w:rPr>
              <w:t xml:space="preserve"> </w:t>
            </w:r>
            <w:r w:rsidRPr="005652E3">
              <w:rPr>
                <w:b/>
                <w:spacing w:val="-2"/>
                <w:sz w:val="22"/>
                <w:szCs w:val="22"/>
              </w:rPr>
              <w:t>sygdomme</w:t>
            </w:r>
          </w:p>
        </w:tc>
        <w:tc>
          <w:tcPr>
            <w:tcW w:w="3209" w:type="dxa"/>
          </w:tcPr>
          <w:p w14:paraId="02D9E30D" w14:textId="41D30043" w:rsidR="00684A48" w:rsidRPr="005652E3" w:rsidRDefault="00684A48" w:rsidP="00A26C52">
            <w:pPr>
              <w:rPr>
                <w:rFonts w:eastAsia="Calibri"/>
                <w:sz w:val="22"/>
                <w:szCs w:val="22"/>
                <w:lang w:val="en-US"/>
              </w:rPr>
            </w:pPr>
            <w:r w:rsidRPr="005652E3">
              <w:rPr>
                <w:sz w:val="22"/>
                <w:szCs w:val="22"/>
              </w:rPr>
              <w:t>Ikke</w:t>
            </w:r>
            <w:r w:rsidRPr="005652E3">
              <w:rPr>
                <w:spacing w:val="-7"/>
                <w:sz w:val="22"/>
                <w:szCs w:val="22"/>
              </w:rPr>
              <w:t xml:space="preserve"> </w:t>
            </w:r>
            <w:r w:rsidRPr="005652E3">
              <w:rPr>
                <w:spacing w:val="-2"/>
                <w:sz w:val="22"/>
                <w:szCs w:val="22"/>
              </w:rPr>
              <w:t>almindelig</w:t>
            </w:r>
          </w:p>
        </w:tc>
        <w:tc>
          <w:tcPr>
            <w:tcW w:w="3210" w:type="dxa"/>
          </w:tcPr>
          <w:p w14:paraId="7BE8279C" w14:textId="09CD3B4E" w:rsidR="00684A48" w:rsidRPr="005652E3" w:rsidRDefault="00684A48" w:rsidP="00A26C52">
            <w:pPr>
              <w:rPr>
                <w:rFonts w:eastAsia="Calibri"/>
                <w:sz w:val="22"/>
                <w:szCs w:val="22"/>
                <w:lang w:val="en-US"/>
              </w:rPr>
            </w:pPr>
            <w:r w:rsidRPr="005652E3">
              <w:rPr>
                <w:sz w:val="22"/>
                <w:szCs w:val="22"/>
              </w:rPr>
              <w:t>Influenza,</w:t>
            </w:r>
            <w:r w:rsidRPr="005652E3">
              <w:rPr>
                <w:spacing w:val="-12"/>
                <w:sz w:val="22"/>
                <w:szCs w:val="22"/>
              </w:rPr>
              <w:t xml:space="preserve"> </w:t>
            </w:r>
            <w:r w:rsidRPr="005652E3">
              <w:rPr>
                <w:spacing w:val="-2"/>
                <w:sz w:val="22"/>
                <w:szCs w:val="22"/>
              </w:rPr>
              <w:t>nasofaryngit</w:t>
            </w:r>
          </w:p>
        </w:tc>
      </w:tr>
      <w:tr w:rsidR="00684A48" w:rsidRPr="005652E3" w14:paraId="1864F377" w14:textId="77777777" w:rsidTr="00684A48">
        <w:tc>
          <w:tcPr>
            <w:tcW w:w="3209" w:type="dxa"/>
          </w:tcPr>
          <w:p w14:paraId="24EAB6B9" w14:textId="518B5B01" w:rsidR="00684A48" w:rsidRPr="005652E3" w:rsidRDefault="00684A48" w:rsidP="00A26C52">
            <w:pPr>
              <w:rPr>
                <w:rFonts w:eastAsia="Calibri"/>
                <w:b/>
                <w:sz w:val="22"/>
                <w:szCs w:val="22"/>
                <w:lang w:val="en-US"/>
              </w:rPr>
            </w:pPr>
            <w:r w:rsidRPr="005652E3">
              <w:rPr>
                <w:b/>
                <w:sz w:val="22"/>
                <w:szCs w:val="22"/>
              </w:rPr>
              <w:t>Blod</w:t>
            </w:r>
            <w:r w:rsidRPr="005652E3">
              <w:rPr>
                <w:b/>
                <w:spacing w:val="-4"/>
                <w:sz w:val="22"/>
                <w:szCs w:val="22"/>
              </w:rPr>
              <w:t xml:space="preserve"> </w:t>
            </w:r>
            <w:r w:rsidRPr="005652E3">
              <w:rPr>
                <w:b/>
                <w:sz w:val="22"/>
                <w:szCs w:val="22"/>
              </w:rPr>
              <w:t>og</w:t>
            </w:r>
            <w:r w:rsidRPr="005652E3">
              <w:rPr>
                <w:b/>
                <w:spacing w:val="-5"/>
                <w:sz w:val="22"/>
                <w:szCs w:val="22"/>
              </w:rPr>
              <w:t xml:space="preserve"> </w:t>
            </w:r>
            <w:r w:rsidRPr="005652E3">
              <w:rPr>
                <w:b/>
                <w:spacing w:val="-2"/>
                <w:sz w:val="22"/>
                <w:szCs w:val="22"/>
              </w:rPr>
              <w:t>lymfesystem</w:t>
            </w:r>
          </w:p>
        </w:tc>
        <w:tc>
          <w:tcPr>
            <w:tcW w:w="3209" w:type="dxa"/>
          </w:tcPr>
          <w:p w14:paraId="5B70AA14" w14:textId="66A03301" w:rsidR="00684A48" w:rsidRPr="005652E3" w:rsidRDefault="00684A48" w:rsidP="00A26C52">
            <w:pPr>
              <w:rPr>
                <w:rFonts w:eastAsia="Calibri"/>
                <w:sz w:val="22"/>
                <w:szCs w:val="22"/>
                <w:lang w:val="en-US"/>
              </w:rPr>
            </w:pPr>
            <w:r w:rsidRPr="005652E3">
              <w:rPr>
                <w:sz w:val="22"/>
                <w:szCs w:val="22"/>
              </w:rPr>
              <w:t>Ikke</w:t>
            </w:r>
            <w:r w:rsidRPr="005652E3">
              <w:rPr>
                <w:spacing w:val="-7"/>
                <w:sz w:val="22"/>
                <w:szCs w:val="22"/>
              </w:rPr>
              <w:t xml:space="preserve"> </w:t>
            </w:r>
            <w:r w:rsidRPr="005652E3">
              <w:rPr>
                <w:spacing w:val="-2"/>
                <w:sz w:val="22"/>
                <w:szCs w:val="22"/>
              </w:rPr>
              <w:t>almindelig</w:t>
            </w:r>
          </w:p>
        </w:tc>
        <w:tc>
          <w:tcPr>
            <w:tcW w:w="3210" w:type="dxa"/>
          </w:tcPr>
          <w:p w14:paraId="0C399710" w14:textId="4930A69F" w:rsidR="00684A48" w:rsidRPr="005652E3" w:rsidRDefault="00684A48" w:rsidP="00A26C52">
            <w:pPr>
              <w:rPr>
                <w:rFonts w:eastAsia="Calibri"/>
                <w:sz w:val="22"/>
                <w:szCs w:val="22"/>
                <w:lang w:val="en-US"/>
              </w:rPr>
            </w:pPr>
            <w:r w:rsidRPr="005652E3">
              <w:rPr>
                <w:spacing w:val="-2"/>
                <w:sz w:val="22"/>
                <w:szCs w:val="22"/>
              </w:rPr>
              <w:t>Anæmi</w:t>
            </w:r>
          </w:p>
        </w:tc>
      </w:tr>
      <w:tr w:rsidR="00684A48" w:rsidRPr="005652E3" w14:paraId="7E6603DE" w14:textId="77777777" w:rsidTr="00684A48">
        <w:tc>
          <w:tcPr>
            <w:tcW w:w="3209" w:type="dxa"/>
          </w:tcPr>
          <w:p w14:paraId="73DCEDF9" w14:textId="0354CACB" w:rsidR="00684A48" w:rsidRPr="005652E3" w:rsidRDefault="00684A48" w:rsidP="00A26C52">
            <w:pPr>
              <w:rPr>
                <w:rFonts w:eastAsia="Calibri"/>
                <w:b/>
                <w:sz w:val="22"/>
                <w:szCs w:val="22"/>
                <w:lang w:val="en-US"/>
              </w:rPr>
            </w:pPr>
            <w:r w:rsidRPr="005652E3">
              <w:rPr>
                <w:b/>
                <w:spacing w:val="-2"/>
                <w:sz w:val="22"/>
                <w:szCs w:val="22"/>
              </w:rPr>
              <w:t>Immunsystemet</w:t>
            </w:r>
          </w:p>
        </w:tc>
        <w:tc>
          <w:tcPr>
            <w:tcW w:w="3209" w:type="dxa"/>
          </w:tcPr>
          <w:p w14:paraId="7DA2702D" w14:textId="711A1193" w:rsidR="00684A48" w:rsidRPr="005652E3" w:rsidRDefault="00684A48" w:rsidP="00A26C52">
            <w:pPr>
              <w:rPr>
                <w:rFonts w:eastAsia="Calibri"/>
                <w:sz w:val="22"/>
                <w:szCs w:val="22"/>
                <w:lang w:val="en-US"/>
              </w:rPr>
            </w:pPr>
            <w:r w:rsidRPr="005652E3">
              <w:rPr>
                <w:sz w:val="22"/>
                <w:szCs w:val="22"/>
              </w:rPr>
              <w:t>Ikke</w:t>
            </w:r>
            <w:r w:rsidRPr="005652E3">
              <w:rPr>
                <w:spacing w:val="-7"/>
                <w:sz w:val="22"/>
                <w:szCs w:val="22"/>
              </w:rPr>
              <w:t xml:space="preserve"> </w:t>
            </w:r>
            <w:r w:rsidRPr="005652E3">
              <w:rPr>
                <w:spacing w:val="-2"/>
                <w:sz w:val="22"/>
                <w:szCs w:val="22"/>
              </w:rPr>
              <w:t>kendt**</w:t>
            </w:r>
          </w:p>
        </w:tc>
        <w:tc>
          <w:tcPr>
            <w:tcW w:w="3210" w:type="dxa"/>
          </w:tcPr>
          <w:p w14:paraId="5BB65EF7" w14:textId="007E92E5" w:rsidR="00684A48" w:rsidRPr="005652E3" w:rsidRDefault="00684A48" w:rsidP="00A26C52">
            <w:pPr>
              <w:rPr>
                <w:rFonts w:eastAsia="Calibri"/>
                <w:sz w:val="22"/>
                <w:szCs w:val="22"/>
              </w:rPr>
            </w:pPr>
            <w:r w:rsidRPr="005652E3">
              <w:rPr>
                <w:rFonts w:eastAsia="Calibri"/>
                <w:sz w:val="22"/>
                <w:szCs w:val="22"/>
              </w:rPr>
              <w:t>Hypersensitivitetsreaktioner inklusive sjældne tilfælde af bronkospasme, urticaria og angioødem og meget sjældne tilfælde af anafylaktisk reaktion/shock</w:t>
            </w:r>
          </w:p>
        </w:tc>
      </w:tr>
      <w:tr w:rsidR="00684A48" w:rsidRPr="005652E3" w14:paraId="3F5D2827" w14:textId="77777777" w:rsidTr="00684A48">
        <w:tc>
          <w:tcPr>
            <w:tcW w:w="3209" w:type="dxa"/>
          </w:tcPr>
          <w:p w14:paraId="2AAF4932" w14:textId="64949B53" w:rsidR="00684A48" w:rsidRPr="005652E3" w:rsidRDefault="0099245C" w:rsidP="00A26C52">
            <w:pPr>
              <w:rPr>
                <w:rFonts w:eastAsia="Calibri"/>
                <w:b/>
                <w:sz w:val="22"/>
                <w:szCs w:val="22"/>
              </w:rPr>
            </w:pPr>
            <w:r w:rsidRPr="005652E3">
              <w:rPr>
                <w:b/>
                <w:sz w:val="22"/>
                <w:szCs w:val="22"/>
              </w:rPr>
              <w:t>Metabolisme</w:t>
            </w:r>
            <w:r w:rsidRPr="005652E3">
              <w:rPr>
                <w:b/>
                <w:spacing w:val="-10"/>
                <w:sz w:val="22"/>
                <w:szCs w:val="22"/>
              </w:rPr>
              <w:t xml:space="preserve"> </w:t>
            </w:r>
            <w:r w:rsidRPr="005652E3">
              <w:rPr>
                <w:b/>
                <w:sz w:val="22"/>
                <w:szCs w:val="22"/>
              </w:rPr>
              <w:t>og</w:t>
            </w:r>
            <w:r w:rsidRPr="005652E3">
              <w:rPr>
                <w:b/>
                <w:spacing w:val="-8"/>
                <w:sz w:val="22"/>
                <w:szCs w:val="22"/>
              </w:rPr>
              <w:t xml:space="preserve"> </w:t>
            </w:r>
            <w:r w:rsidRPr="005652E3">
              <w:rPr>
                <w:b/>
                <w:spacing w:val="-2"/>
                <w:sz w:val="22"/>
                <w:szCs w:val="22"/>
              </w:rPr>
              <w:t>ernæring</w:t>
            </w:r>
          </w:p>
        </w:tc>
        <w:tc>
          <w:tcPr>
            <w:tcW w:w="3209" w:type="dxa"/>
          </w:tcPr>
          <w:p w14:paraId="747F6315" w14:textId="77777777" w:rsidR="0099245C" w:rsidRPr="005652E3" w:rsidRDefault="0099245C" w:rsidP="00A26C52">
            <w:pPr>
              <w:rPr>
                <w:rFonts w:eastAsia="Calibri"/>
                <w:sz w:val="22"/>
                <w:szCs w:val="22"/>
                <w:lang w:val="en-US"/>
              </w:rPr>
            </w:pPr>
            <w:r w:rsidRPr="005652E3">
              <w:rPr>
                <w:rFonts w:eastAsia="Calibri"/>
                <w:sz w:val="22"/>
                <w:szCs w:val="22"/>
                <w:lang w:val="en-US"/>
              </w:rPr>
              <w:t>Almindelig</w:t>
            </w:r>
          </w:p>
          <w:p w14:paraId="248EB99A" w14:textId="5609090D" w:rsidR="0099245C" w:rsidRPr="005652E3" w:rsidRDefault="0099245C" w:rsidP="00A26C52">
            <w:pPr>
              <w:rPr>
                <w:rFonts w:eastAsia="Calibri"/>
                <w:sz w:val="22"/>
                <w:szCs w:val="22"/>
                <w:lang w:val="en-US"/>
              </w:rPr>
            </w:pPr>
            <w:r w:rsidRPr="005652E3">
              <w:rPr>
                <w:rFonts w:eastAsia="Calibri"/>
                <w:sz w:val="22"/>
                <w:szCs w:val="22"/>
                <w:lang w:val="en-US"/>
              </w:rPr>
              <w:t>Ikke almindelig</w:t>
            </w:r>
          </w:p>
          <w:p w14:paraId="2197CC39" w14:textId="12730929" w:rsidR="00684A48" w:rsidRPr="005652E3" w:rsidRDefault="0099245C" w:rsidP="00A26C52">
            <w:pPr>
              <w:rPr>
                <w:rFonts w:eastAsia="Calibri"/>
                <w:sz w:val="22"/>
                <w:szCs w:val="22"/>
              </w:rPr>
            </w:pPr>
            <w:r w:rsidRPr="005652E3">
              <w:rPr>
                <w:rFonts w:eastAsia="Calibri"/>
                <w:sz w:val="22"/>
                <w:szCs w:val="22"/>
              </w:rPr>
              <w:t>Sjælden</w:t>
            </w:r>
          </w:p>
        </w:tc>
        <w:tc>
          <w:tcPr>
            <w:tcW w:w="3210" w:type="dxa"/>
          </w:tcPr>
          <w:p w14:paraId="753A4B00" w14:textId="77777777" w:rsidR="00AB72E6" w:rsidRPr="005652E3" w:rsidRDefault="0099245C" w:rsidP="00A26C52">
            <w:pPr>
              <w:rPr>
                <w:rFonts w:eastAsia="Calibri"/>
                <w:sz w:val="22"/>
                <w:szCs w:val="22"/>
                <w:lang w:val="en-US"/>
              </w:rPr>
            </w:pPr>
            <w:r w:rsidRPr="005652E3">
              <w:rPr>
                <w:rFonts w:eastAsia="Calibri"/>
                <w:sz w:val="22"/>
                <w:szCs w:val="22"/>
                <w:lang w:val="en-US"/>
              </w:rPr>
              <w:t>Hypokalcæmi*</w:t>
            </w:r>
          </w:p>
          <w:p w14:paraId="5E461770" w14:textId="36F1CC60" w:rsidR="0099245C" w:rsidRPr="005652E3" w:rsidRDefault="0099245C" w:rsidP="00A26C52">
            <w:pPr>
              <w:rPr>
                <w:rFonts w:eastAsia="Calibri"/>
                <w:sz w:val="22"/>
                <w:szCs w:val="22"/>
                <w:lang w:val="en-US"/>
              </w:rPr>
            </w:pPr>
            <w:r w:rsidRPr="005652E3">
              <w:rPr>
                <w:rFonts w:eastAsia="Calibri"/>
                <w:sz w:val="22"/>
                <w:szCs w:val="22"/>
                <w:lang w:val="en-US"/>
              </w:rPr>
              <w:t>Nedsat appetit</w:t>
            </w:r>
          </w:p>
          <w:p w14:paraId="57825E01" w14:textId="41FE06AB" w:rsidR="00684A48" w:rsidRPr="005652E3" w:rsidRDefault="0099245C" w:rsidP="00A26C52">
            <w:pPr>
              <w:rPr>
                <w:rFonts w:eastAsia="Calibri"/>
                <w:sz w:val="22"/>
                <w:szCs w:val="22"/>
              </w:rPr>
            </w:pPr>
            <w:r w:rsidRPr="005652E3">
              <w:rPr>
                <w:rFonts w:eastAsia="Calibri"/>
                <w:sz w:val="22"/>
                <w:szCs w:val="22"/>
              </w:rPr>
              <w:t>Hypofosfatæmi</w:t>
            </w:r>
          </w:p>
        </w:tc>
      </w:tr>
      <w:tr w:rsidR="00684A48" w:rsidRPr="005652E3" w14:paraId="42982A9E" w14:textId="77777777" w:rsidTr="00684A48">
        <w:tc>
          <w:tcPr>
            <w:tcW w:w="3209" w:type="dxa"/>
          </w:tcPr>
          <w:p w14:paraId="73DA2732" w14:textId="431AF6BF" w:rsidR="00684A48" w:rsidRPr="005652E3" w:rsidRDefault="00AB72E6" w:rsidP="00A26C52">
            <w:pPr>
              <w:rPr>
                <w:rFonts w:eastAsia="Calibri"/>
                <w:b/>
                <w:sz w:val="22"/>
                <w:szCs w:val="22"/>
              </w:rPr>
            </w:pPr>
            <w:r w:rsidRPr="005652E3">
              <w:rPr>
                <w:b/>
                <w:sz w:val="22"/>
                <w:szCs w:val="22"/>
              </w:rPr>
              <w:t>Psykiske</w:t>
            </w:r>
            <w:r w:rsidRPr="005652E3">
              <w:rPr>
                <w:b/>
                <w:spacing w:val="-12"/>
                <w:sz w:val="22"/>
                <w:szCs w:val="22"/>
              </w:rPr>
              <w:t xml:space="preserve"> </w:t>
            </w:r>
            <w:r w:rsidRPr="005652E3">
              <w:rPr>
                <w:b/>
                <w:spacing w:val="-2"/>
                <w:sz w:val="22"/>
                <w:szCs w:val="22"/>
              </w:rPr>
              <w:t>forstyrrelser</w:t>
            </w:r>
          </w:p>
        </w:tc>
        <w:tc>
          <w:tcPr>
            <w:tcW w:w="3209" w:type="dxa"/>
          </w:tcPr>
          <w:p w14:paraId="131EB0DD" w14:textId="73E272D0" w:rsidR="00684A48" w:rsidRPr="005652E3" w:rsidRDefault="00AB72E6" w:rsidP="00A26C52">
            <w:pPr>
              <w:rPr>
                <w:rFonts w:eastAsia="Calibri"/>
                <w:sz w:val="22"/>
                <w:szCs w:val="22"/>
              </w:rPr>
            </w:pPr>
            <w:r w:rsidRPr="005652E3">
              <w:rPr>
                <w:sz w:val="22"/>
                <w:szCs w:val="22"/>
              </w:rPr>
              <w:t>Ikke</w:t>
            </w:r>
            <w:r w:rsidRPr="005652E3">
              <w:rPr>
                <w:spacing w:val="-7"/>
                <w:sz w:val="22"/>
                <w:szCs w:val="22"/>
              </w:rPr>
              <w:t xml:space="preserve"> </w:t>
            </w:r>
            <w:r w:rsidRPr="005652E3">
              <w:rPr>
                <w:spacing w:val="-2"/>
                <w:sz w:val="22"/>
                <w:szCs w:val="22"/>
              </w:rPr>
              <w:t>almindelig</w:t>
            </w:r>
          </w:p>
        </w:tc>
        <w:tc>
          <w:tcPr>
            <w:tcW w:w="3210" w:type="dxa"/>
          </w:tcPr>
          <w:p w14:paraId="1B73BFF7" w14:textId="0149165E" w:rsidR="00684A48" w:rsidRPr="005652E3" w:rsidRDefault="00AB72E6" w:rsidP="00A26C52">
            <w:pPr>
              <w:rPr>
                <w:rFonts w:eastAsia="Calibri"/>
                <w:sz w:val="22"/>
                <w:szCs w:val="22"/>
              </w:rPr>
            </w:pPr>
            <w:r w:rsidRPr="005652E3">
              <w:rPr>
                <w:spacing w:val="-2"/>
                <w:sz w:val="22"/>
                <w:szCs w:val="22"/>
              </w:rPr>
              <w:t>Søvnløshed</w:t>
            </w:r>
          </w:p>
        </w:tc>
      </w:tr>
      <w:tr w:rsidR="00684A48" w:rsidRPr="005652E3" w14:paraId="35C544C7" w14:textId="77777777" w:rsidTr="00684A48">
        <w:tc>
          <w:tcPr>
            <w:tcW w:w="3209" w:type="dxa"/>
          </w:tcPr>
          <w:p w14:paraId="62A7B89A" w14:textId="25401A51" w:rsidR="00684A48" w:rsidRPr="005652E3" w:rsidRDefault="00AB72E6" w:rsidP="00A26C52">
            <w:pPr>
              <w:rPr>
                <w:rFonts w:eastAsia="Calibri"/>
                <w:b/>
                <w:sz w:val="22"/>
                <w:szCs w:val="22"/>
              </w:rPr>
            </w:pPr>
            <w:r w:rsidRPr="005652E3">
              <w:rPr>
                <w:b/>
                <w:spacing w:val="-2"/>
                <w:sz w:val="22"/>
                <w:szCs w:val="22"/>
              </w:rPr>
              <w:t>Nervesystemet</w:t>
            </w:r>
          </w:p>
        </w:tc>
        <w:tc>
          <w:tcPr>
            <w:tcW w:w="3209" w:type="dxa"/>
          </w:tcPr>
          <w:p w14:paraId="058813C8" w14:textId="77777777" w:rsidR="00AB72E6" w:rsidRPr="005652E3" w:rsidRDefault="00AB72E6" w:rsidP="00A26C52">
            <w:pPr>
              <w:rPr>
                <w:spacing w:val="-2"/>
                <w:sz w:val="22"/>
                <w:szCs w:val="22"/>
              </w:rPr>
            </w:pPr>
            <w:r w:rsidRPr="005652E3">
              <w:rPr>
                <w:spacing w:val="-2"/>
                <w:sz w:val="22"/>
                <w:szCs w:val="22"/>
              </w:rPr>
              <w:t>Almindelig</w:t>
            </w:r>
          </w:p>
          <w:p w14:paraId="5761D78B" w14:textId="20B97346" w:rsidR="00684A48" w:rsidRPr="005652E3" w:rsidRDefault="00AB72E6" w:rsidP="00A26C52">
            <w:pPr>
              <w:rPr>
                <w:rFonts w:eastAsia="Calibri"/>
                <w:sz w:val="22"/>
                <w:szCs w:val="22"/>
              </w:rPr>
            </w:pPr>
            <w:r w:rsidRPr="005652E3">
              <w:rPr>
                <w:sz w:val="22"/>
                <w:szCs w:val="22"/>
              </w:rPr>
              <w:t>Ikke</w:t>
            </w:r>
            <w:r w:rsidRPr="005652E3">
              <w:rPr>
                <w:spacing w:val="-14"/>
                <w:sz w:val="22"/>
                <w:szCs w:val="22"/>
              </w:rPr>
              <w:t xml:space="preserve"> </w:t>
            </w:r>
            <w:r w:rsidRPr="005652E3">
              <w:rPr>
                <w:sz w:val="22"/>
                <w:szCs w:val="22"/>
              </w:rPr>
              <w:t>almindelig</w:t>
            </w:r>
          </w:p>
        </w:tc>
        <w:tc>
          <w:tcPr>
            <w:tcW w:w="3210" w:type="dxa"/>
          </w:tcPr>
          <w:p w14:paraId="2C6B4EC2" w14:textId="77777777" w:rsidR="00AB72E6" w:rsidRPr="005652E3" w:rsidRDefault="00AB72E6" w:rsidP="00A26C52">
            <w:pPr>
              <w:rPr>
                <w:rFonts w:eastAsia="Calibri"/>
                <w:sz w:val="22"/>
                <w:szCs w:val="22"/>
              </w:rPr>
            </w:pPr>
            <w:r w:rsidRPr="005652E3">
              <w:rPr>
                <w:rFonts w:eastAsia="Calibri"/>
                <w:sz w:val="22"/>
                <w:szCs w:val="22"/>
              </w:rPr>
              <w:t>Hovedpine, svimmelhed</w:t>
            </w:r>
          </w:p>
          <w:p w14:paraId="03FEEF7C" w14:textId="565F9887" w:rsidR="00AB72E6" w:rsidRPr="005652E3" w:rsidRDefault="00AB72E6" w:rsidP="00A26C52">
            <w:pPr>
              <w:rPr>
                <w:rFonts w:eastAsia="Calibri"/>
                <w:sz w:val="22"/>
                <w:szCs w:val="22"/>
              </w:rPr>
            </w:pPr>
            <w:r w:rsidRPr="005652E3">
              <w:rPr>
                <w:rFonts w:eastAsia="Calibri"/>
                <w:sz w:val="22"/>
                <w:szCs w:val="22"/>
              </w:rPr>
              <w:t>Letargi, paræstesi, somnolens</w:t>
            </w:r>
          </w:p>
          <w:p w14:paraId="5F96C30A" w14:textId="2BB9288B" w:rsidR="00684A48" w:rsidRPr="005652E3" w:rsidRDefault="00AB72E6" w:rsidP="00A26C52">
            <w:pPr>
              <w:rPr>
                <w:rFonts w:eastAsia="Calibri"/>
                <w:sz w:val="22"/>
                <w:szCs w:val="22"/>
              </w:rPr>
            </w:pPr>
            <w:r w:rsidRPr="005652E3">
              <w:rPr>
                <w:rFonts w:eastAsia="Calibri"/>
                <w:sz w:val="22"/>
                <w:szCs w:val="22"/>
              </w:rPr>
              <w:t>(søvnlignende bevidstheds</w:t>
            </w:r>
            <w:r w:rsidRPr="005652E3">
              <w:rPr>
                <w:rFonts w:eastAsia="Calibri"/>
                <w:sz w:val="22"/>
                <w:szCs w:val="22"/>
              </w:rPr>
              <w:softHyphen/>
              <w:t>svækkelse), tremor, synkope, dysgeusi</w:t>
            </w:r>
          </w:p>
        </w:tc>
      </w:tr>
      <w:tr w:rsidR="00684A48" w:rsidRPr="005652E3" w14:paraId="04B58D7C" w14:textId="77777777" w:rsidTr="00684A48">
        <w:tc>
          <w:tcPr>
            <w:tcW w:w="3209" w:type="dxa"/>
          </w:tcPr>
          <w:p w14:paraId="6BEC6094" w14:textId="75351B0A" w:rsidR="00684A48" w:rsidRPr="005652E3" w:rsidRDefault="00C22D7B" w:rsidP="00A26C52">
            <w:pPr>
              <w:rPr>
                <w:rFonts w:eastAsia="Calibri"/>
                <w:b/>
                <w:sz w:val="22"/>
                <w:szCs w:val="22"/>
              </w:rPr>
            </w:pPr>
            <w:r w:rsidRPr="005652E3">
              <w:rPr>
                <w:rFonts w:eastAsia="Calibri"/>
                <w:b/>
                <w:sz w:val="22"/>
                <w:szCs w:val="22"/>
              </w:rPr>
              <w:t>Øjne</w:t>
            </w:r>
          </w:p>
        </w:tc>
        <w:tc>
          <w:tcPr>
            <w:tcW w:w="3209" w:type="dxa"/>
          </w:tcPr>
          <w:p w14:paraId="5CF124D2" w14:textId="77777777" w:rsidR="00C22D7B" w:rsidRPr="005652E3" w:rsidRDefault="00C22D7B" w:rsidP="00A26C52">
            <w:pPr>
              <w:rPr>
                <w:rFonts w:eastAsia="Calibri"/>
                <w:sz w:val="22"/>
                <w:szCs w:val="22"/>
              </w:rPr>
            </w:pPr>
            <w:r w:rsidRPr="005652E3">
              <w:rPr>
                <w:rFonts w:eastAsia="Calibri"/>
                <w:sz w:val="22"/>
                <w:szCs w:val="22"/>
              </w:rPr>
              <w:t>Almindelig</w:t>
            </w:r>
          </w:p>
          <w:p w14:paraId="2A1E7CFC" w14:textId="77777777" w:rsidR="00C22D7B" w:rsidRPr="005652E3" w:rsidRDefault="00C22D7B" w:rsidP="00A26C52">
            <w:pPr>
              <w:rPr>
                <w:rFonts w:eastAsia="Calibri"/>
                <w:sz w:val="22"/>
                <w:szCs w:val="22"/>
              </w:rPr>
            </w:pPr>
            <w:r w:rsidRPr="005652E3">
              <w:rPr>
                <w:rFonts w:eastAsia="Calibri"/>
                <w:sz w:val="22"/>
                <w:szCs w:val="22"/>
              </w:rPr>
              <w:t>Ikke almindelig</w:t>
            </w:r>
          </w:p>
          <w:p w14:paraId="6EAD8A37" w14:textId="77777777" w:rsidR="00C22D7B" w:rsidRPr="005652E3" w:rsidRDefault="00C22D7B" w:rsidP="00A26C52">
            <w:pPr>
              <w:rPr>
                <w:rFonts w:eastAsia="Calibri"/>
                <w:sz w:val="22"/>
                <w:szCs w:val="22"/>
              </w:rPr>
            </w:pPr>
            <w:r w:rsidRPr="005652E3">
              <w:rPr>
                <w:rFonts w:eastAsia="Calibri"/>
                <w:sz w:val="22"/>
                <w:szCs w:val="22"/>
              </w:rPr>
              <w:t>Sjælden</w:t>
            </w:r>
          </w:p>
          <w:p w14:paraId="6642093F" w14:textId="129C4270" w:rsidR="00684A48" w:rsidRPr="005652E3" w:rsidRDefault="00C22D7B" w:rsidP="00A26C52">
            <w:pPr>
              <w:rPr>
                <w:rFonts w:eastAsia="Calibri"/>
                <w:sz w:val="22"/>
                <w:szCs w:val="22"/>
              </w:rPr>
            </w:pPr>
            <w:r w:rsidRPr="005652E3">
              <w:rPr>
                <w:rFonts w:eastAsia="Calibri"/>
                <w:sz w:val="22"/>
                <w:szCs w:val="22"/>
              </w:rPr>
              <w:t>Ikke kendt**</w:t>
            </w:r>
          </w:p>
        </w:tc>
        <w:tc>
          <w:tcPr>
            <w:tcW w:w="3210" w:type="dxa"/>
          </w:tcPr>
          <w:p w14:paraId="21E3CB6A" w14:textId="77777777" w:rsidR="00C22D7B" w:rsidRPr="005652E3" w:rsidRDefault="00C22D7B" w:rsidP="00A26C52">
            <w:pPr>
              <w:rPr>
                <w:rFonts w:eastAsia="Calibri"/>
                <w:sz w:val="22"/>
                <w:szCs w:val="22"/>
              </w:rPr>
            </w:pPr>
            <w:r w:rsidRPr="005652E3">
              <w:rPr>
                <w:rFonts w:eastAsia="Calibri"/>
                <w:sz w:val="22"/>
                <w:szCs w:val="22"/>
              </w:rPr>
              <w:t>Okulær hyperæmi</w:t>
            </w:r>
          </w:p>
          <w:p w14:paraId="3AFF5B0E" w14:textId="77777777" w:rsidR="00C22D7B" w:rsidRPr="005652E3" w:rsidRDefault="00C22D7B" w:rsidP="00A26C52">
            <w:pPr>
              <w:rPr>
                <w:rFonts w:eastAsia="Calibri"/>
                <w:sz w:val="22"/>
                <w:szCs w:val="22"/>
              </w:rPr>
            </w:pPr>
            <w:r w:rsidRPr="005652E3">
              <w:rPr>
                <w:rFonts w:eastAsia="Calibri"/>
                <w:sz w:val="22"/>
                <w:szCs w:val="22"/>
              </w:rPr>
              <w:t>Konjunktivit, øjensmerter</w:t>
            </w:r>
          </w:p>
          <w:p w14:paraId="7154EEBE" w14:textId="77777777" w:rsidR="00C22D7B" w:rsidRPr="005652E3" w:rsidRDefault="00C22D7B" w:rsidP="00A26C52">
            <w:pPr>
              <w:rPr>
                <w:rFonts w:eastAsia="Calibri"/>
                <w:sz w:val="22"/>
                <w:szCs w:val="22"/>
              </w:rPr>
            </w:pPr>
            <w:r w:rsidRPr="005652E3">
              <w:rPr>
                <w:rFonts w:eastAsia="Calibri"/>
                <w:sz w:val="22"/>
                <w:szCs w:val="22"/>
              </w:rPr>
              <w:t>Uveit, episklerit, irit</w:t>
            </w:r>
          </w:p>
          <w:p w14:paraId="0E699CEB" w14:textId="6257D3E0" w:rsidR="00684A48" w:rsidRPr="005652E3" w:rsidRDefault="00C22D7B" w:rsidP="00A26C52">
            <w:pPr>
              <w:rPr>
                <w:rFonts w:eastAsia="Calibri"/>
                <w:sz w:val="22"/>
                <w:szCs w:val="22"/>
              </w:rPr>
            </w:pPr>
            <w:r w:rsidRPr="005652E3">
              <w:rPr>
                <w:rFonts w:eastAsia="Calibri"/>
                <w:sz w:val="22"/>
                <w:szCs w:val="22"/>
              </w:rPr>
              <w:t>Sklerit og paroftalmi</w:t>
            </w:r>
          </w:p>
        </w:tc>
      </w:tr>
      <w:tr w:rsidR="005652E3" w:rsidRPr="005652E3" w14:paraId="6B5C9BBB" w14:textId="77777777" w:rsidTr="00684A48">
        <w:tc>
          <w:tcPr>
            <w:tcW w:w="3209" w:type="dxa"/>
          </w:tcPr>
          <w:p w14:paraId="440184AB" w14:textId="5935B8EE" w:rsidR="005652E3" w:rsidRPr="005652E3" w:rsidRDefault="005652E3" w:rsidP="00A26C52">
            <w:pPr>
              <w:rPr>
                <w:rFonts w:eastAsia="Calibri"/>
                <w:b/>
                <w:sz w:val="22"/>
                <w:szCs w:val="22"/>
              </w:rPr>
            </w:pPr>
            <w:r w:rsidRPr="005652E3">
              <w:rPr>
                <w:b/>
                <w:sz w:val="22"/>
                <w:szCs w:val="22"/>
              </w:rPr>
              <w:t>Øre</w:t>
            </w:r>
            <w:r w:rsidRPr="005652E3">
              <w:rPr>
                <w:b/>
                <w:spacing w:val="-5"/>
                <w:sz w:val="22"/>
                <w:szCs w:val="22"/>
              </w:rPr>
              <w:t xml:space="preserve"> </w:t>
            </w:r>
            <w:r w:rsidRPr="005652E3">
              <w:rPr>
                <w:b/>
                <w:sz w:val="22"/>
                <w:szCs w:val="22"/>
              </w:rPr>
              <w:t>og</w:t>
            </w:r>
            <w:r w:rsidRPr="005652E3">
              <w:rPr>
                <w:b/>
                <w:spacing w:val="-4"/>
                <w:sz w:val="22"/>
                <w:szCs w:val="22"/>
              </w:rPr>
              <w:t xml:space="preserve"> </w:t>
            </w:r>
            <w:r w:rsidRPr="005652E3">
              <w:rPr>
                <w:b/>
                <w:spacing w:val="-2"/>
                <w:sz w:val="22"/>
                <w:szCs w:val="22"/>
              </w:rPr>
              <w:t>labyrint</w:t>
            </w:r>
          </w:p>
        </w:tc>
        <w:tc>
          <w:tcPr>
            <w:tcW w:w="3209" w:type="dxa"/>
          </w:tcPr>
          <w:p w14:paraId="094B7DEC" w14:textId="045F7B40" w:rsidR="005652E3" w:rsidRPr="005652E3" w:rsidRDefault="005652E3" w:rsidP="00A26C52">
            <w:pPr>
              <w:rPr>
                <w:rFonts w:eastAsia="Calibri"/>
                <w:sz w:val="22"/>
                <w:szCs w:val="22"/>
              </w:rPr>
            </w:pPr>
            <w:r w:rsidRPr="005652E3">
              <w:rPr>
                <w:sz w:val="22"/>
                <w:szCs w:val="22"/>
              </w:rPr>
              <w:t>Ikke</w:t>
            </w:r>
            <w:r w:rsidRPr="005652E3">
              <w:rPr>
                <w:spacing w:val="-7"/>
                <w:sz w:val="22"/>
                <w:szCs w:val="22"/>
              </w:rPr>
              <w:t xml:space="preserve"> </w:t>
            </w:r>
            <w:r w:rsidRPr="005652E3">
              <w:rPr>
                <w:spacing w:val="-2"/>
                <w:sz w:val="22"/>
                <w:szCs w:val="22"/>
              </w:rPr>
              <w:t>almindelig</w:t>
            </w:r>
          </w:p>
        </w:tc>
        <w:tc>
          <w:tcPr>
            <w:tcW w:w="3210" w:type="dxa"/>
          </w:tcPr>
          <w:p w14:paraId="302A8C7E" w14:textId="60D20289" w:rsidR="005652E3" w:rsidRPr="005652E3" w:rsidRDefault="005652E3" w:rsidP="00A26C52">
            <w:pPr>
              <w:rPr>
                <w:rFonts w:eastAsia="Calibri"/>
                <w:sz w:val="22"/>
                <w:szCs w:val="22"/>
              </w:rPr>
            </w:pPr>
            <w:r w:rsidRPr="005652E3">
              <w:rPr>
                <w:rFonts w:eastAsia="Calibri"/>
                <w:sz w:val="22"/>
                <w:szCs w:val="22"/>
                <w:lang w:val="en-US"/>
              </w:rPr>
              <w:t>Vertigo</w:t>
            </w:r>
          </w:p>
        </w:tc>
      </w:tr>
      <w:tr w:rsidR="005652E3" w:rsidRPr="005652E3" w14:paraId="05826D46" w14:textId="77777777" w:rsidTr="00684A48">
        <w:tc>
          <w:tcPr>
            <w:tcW w:w="3209" w:type="dxa"/>
          </w:tcPr>
          <w:p w14:paraId="6F8E565E" w14:textId="68DAD1CE" w:rsidR="005652E3" w:rsidRPr="005652E3" w:rsidRDefault="009767D9" w:rsidP="00A26C52">
            <w:pPr>
              <w:rPr>
                <w:rFonts w:eastAsia="Calibri"/>
                <w:b/>
                <w:sz w:val="22"/>
                <w:szCs w:val="22"/>
              </w:rPr>
            </w:pPr>
            <w:r>
              <w:rPr>
                <w:rFonts w:eastAsia="Calibri"/>
                <w:b/>
                <w:sz w:val="22"/>
                <w:szCs w:val="22"/>
              </w:rPr>
              <w:t>Hjerte</w:t>
            </w:r>
          </w:p>
        </w:tc>
        <w:tc>
          <w:tcPr>
            <w:tcW w:w="3209" w:type="dxa"/>
          </w:tcPr>
          <w:p w14:paraId="4EC20F47" w14:textId="77777777" w:rsidR="005652E3" w:rsidRDefault="009767D9" w:rsidP="00A26C52">
            <w:pPr>
              <w:rPr>
                <w:rFonts w:eastAsia="Calibri"/>
                <w:sz w:val="22"/>
                <w:szCs w:val="22"/>
              </w:rPr>
            </w:pPr>
            <w:r>
              <w:rPr>
                <w:rFonts w:eastAsia="Calibri"/>
                <w:sz w:val="22"/>
                <w:szCs w:val="22"/>
              </w:rPr>
              <w:t>Almindelig</w:t>
            </w:r>
          </w:p>
          <w:p w14:paraId="42943BC6" w14:textId="43C7370A" w:rsidR="009767D9" w:rsidRPr="005652E3" w:rsidRDefault="009767D9" w:rsidP="00A26C52">
            <w:pPr>
              <w:rPr>
                <w:rFonts w:eastAsia="Calibri"/>
                <w:sz w:val="22"/>
                <w:szCs w:val="22"/>
              </w:rPr>
            </w:pPr>
            <w:r>
              <w:rPr>
                <w:rFonts w:eastAsia="Calibri"/>
                <w:sz w:val="22"/>
                <w:szCs w:val="22"/>
              </w:rPr>
              <w:t>Ikke almindelig</w:t>
            </w:r>
          </w:p>
        </w:tc>
        <w:tc>
          <w:tcPr>
            <w:tcW w:w="3210" w:type="dxa"/>
          </w:tcPr>
          <w:p w14:paraId="6FFB4829" w14:textId="77777777" w:rsidR="009767D9" w:rsidRDefault="009767D9" w:rsidP="00A26C52">
            <w:pPr>
              <w:rPr>
                <w:spacing w:val="-2"/>
              </w:rPr>
            </w:pPr>
            <w:r>
              <w:rPr>
                <w:spacing w:val="-2"/>
              </w:rPr>
              <w:t>Atrieflimren</w:t>
            </w:r>
          </w:p>
          <w:p w14:paraId="4BC5FCDC" w14:textId="6DD3C361" w:rsidR="005652E3" w:rsidRPr="005652E3" w:rsidRDefault="009767D9" w:rsidP="00A26C52">
            <w:pPr>
              <w:rPr>
                <w:rFonts w:eastAsia="Calibri"/>
                <w:sz w:val="22"/>
                <w:szCs w:val="22"/>
              </w:rPr>
            </w:pPr>
            <w:r>
              <w:rPr>
                <w:spacing w:val="-2"/>
              </w:rPr>
              <w:t>Palpitationer</w:t>
            </w:r>
          </w:p>
        </w:tc>
      </w:tr>
      <w:tr w:rsidR="005652E3" w:rsidRPr="005652E3" w14:paraId="4143F516" w14:textId="77777777" w:rsidTr="00684A48">
        <w:tc>
          <w:tcPr>
            <w:tcW w:w="3209" w:type="dxa"/>
          </w:tcPr>
          <w:p w14:paraId="2BF873C0" w14:textId="088BB6B8" w:rsidR="005652E3" w:rsidRPr="00441CFD" w:rsidRDefault="00441CFD" w:rsidP="00A26C52">
            <w:pPr>
              <w:rPr>
                <w:rFonts w:eastAsia="Calibri"/>
                <w:b/>
                <w:sz w:val="22"/>
                <w:szCs w:val="22"/>
              </w:rPr>
            </w:pPr>
            <w:r w:rsidRPr="00441CFD">
              <w:rPr>
                <w:rFonts w:eastAsia="Calibri"/>
                <w:b/>
                <w:sz w:val="22"/>
                <w:szCs w:val="22"/>
                <w:lang w:val="en-US"/>
              </w:rPr>
              <w:t>Vaskulære sygdomme</w:t>
            </w:r>
          </w:p>
        </w:tc>
        <w:tc>
          <w:tcPr>
            <w:tcW w:w="3209" w:type="dxa"/>
          </w:tcPr>
          <w:p w14:paraId="5D72A271" w14:textId="77777777" w:rsidR="00441CFD" w:rsidRPr="00441CFD" w:rsidRDefault="00441CFD" w:rsidP="00A26C52">
            <w:pPr>
              <w:rPr>
                <w:rFonts w:eastAsia="Calibri"/>
                <w:sz w:val="22"/>
                <w:szCs w:val="22"/>
                <w:lang w:val="en-US"/>
              </w:rPr>
            </w:pPr>
            <w:r w:rsidRPr="00441CFD">
              <w:rPr>
                <w:rFonts w:eastAsia="Calibri"/>
                <w:sz w:val="22"/>
                <w:szCs w:val="22"/>
                <w:lang w:val="en-US"/>
              </w:rPr>
              <w:t>Ikke almindelig</w:t>
            </w:r>
          </w:p>
          <w:p w14:paraId="757D678F" w14:textId="11CEBE2B" w:rsidR="005652E3" w:rsidRPr="00441CFD" w:rsidRDefault="00441CFD" w:rsidP="00A26C52">
            <w:pPr>
              <w:rPr>
                <w:rFonts w:eastAsia="Calibri"/>
                <w:sz w:val="22"/>
                <w:szCs w:val="22"/>
              </w:rPr>
            </w:pPr>
            <w:r w:rsidRPr="00441CFD">
              <w:rPr>
                <w:rFonts w:eastAsia="Calibri"/>
                <w:sz w:val="22"/>
                <w:szCs w:val="22"/>
                <w:lang w:val="en-US"/>
              </w:rPr>
              <w:t>Ikke kendt**</w:t>
            </w:r>
          </w:p>
        </w:tc>
        <w:tc>
          <w:tcPr>
            <w:tcW w:w="3210" w:type="dxa"/>
          </w:tcPr>
          <w:p w14:paraId="3960BDF2" w14:textId="77777777" w:rsidR="00441CFD" w:rsidRPr="00441CFD" w:rsidRDefault="00441CFD" w:rsidP="00A26C52">
            <w:pPr>
              <w:rPr>
                <w:rFonts w:eastAsia="Calibri"/>
                <w:sz w:val="22"/>
                <w:szCs w:val="22"/>
              </w:rPr>
            </w:pPr>
            <w:r w:rsidRPr="00441CFD">
              <w:rPr>
                <w:rFonts w:eastAsia="Calibri"/>
                <w:sz w:val="22"/>
                <w:szCs w:val="22"/>
              </w:rPr>
              <w:t>Forhøjet blodtryk, rødmen</w:t>
            </w:r>
          </w:p>
          <w:p w14:paraId="66FADED8" w14:textId="4F63C93A" w:rsidR="005652E3" w:rsidRPr="005652E3" w:rsidRDefault="00441CFD" w:rsidP="00A26C52">
            <w:pPr>
              <w:rPr>
                <w:rFonts w:eastAsia="Calibri"/>
                <w:sz w:val="22"/>
                <w:szCs w:val="22"/>
              </w:rPr>
            </w:pPr>
            <w:r w:rsidRPr="00441CFD">
              <w:rPr>
                <w:rFonts w:eastAsia="Calibri"/>
                <w:sz w:val="22"/>
                <w:szCs w:val="22"/>
              </w:rPr>
              <w:t>Hypotension (nogle af patienterne havde underliggende risikofaktorer)</w:t>
            </w:r>
          </w:p>
        </w:tc>
      </w:tr>
      <w:tr w:rsidR="00FF1DFA" w:rsidRPr="00FF1DFA" w14:paraId="4E5DD593" w14:textId="77777777" w:rsidTr="00684A48">
        <w:tc>
          <w:tcPr>
            <w:tcW w:w="3209" w:type="dxa"/>
          </w:tcPr>
          <w:p w14:paraId="63B63E16" w14:textId="61D9CA58" w:rsidR="00FF1DFA" w:rsidRPr="00FF1DFA" w:rsidRDefault="00FF1DFA" w:rsidP="00A26C52">
            <w:pPr>
              <w:rPr>
                <w:rFonts w:eastAsia="Calibri"/>
                <w:b/>
                <w:sz w:val="22"/>
                <w:szCs w:val="22"/>
              </w:rPr>
            </w:pPr>
            <w:r w:rsidRPr="00FF1DFA">
              <w:rPr>
                <w:b/>
                <w:sz w:val="22"/>
                <w:szCs w:val="22"/>
              </w:rPr>
              <w:t>Luftveje,</w:t>
            </w:r>
            <w:r w:rsidRPr="00FF1DFA">
              <w:rPr>
                <w:b/>
                <w:spacing w:val="-7"/>
                <w:sz w:val="22"/>
                <w:szCs w:val="22"/>
              </w:rPr>
              <w:t xml:space="preserve"> </w:t>
            </w:r>
            <w:r w:rsidRPr="00FF1DFA">
              <w:rPr>
                <w:b/>
                <w:sz w:val="22"/>
                <w:szCs w:val="22"/>
              </w:rPr>
              <w:t>thorax</w:t>
            </w:r>
            <w:r w:rsidRPr="00FF1DFA">
              <w:rPr>
                <w:b/>
                <w:spacing w:val="-7"/>
                <w:sz w:val="22"/>
                <w:szCs w:val="22"/>
              </w:rPr>
              <w:t xml:space="preserve"> </w:t>
            </w:r>
            <w:r w:rsidRPr="00FF1DFA">
              <w:rPr>
                <w:b/>
                <w:sz w:val="22"/>
                <w:szCs w:val="22"/>
              </w:rPr>
              <w:t>og</w:t>
            </w:r>
            <w:r w:rsidRPr="00FF1DFA">
              <w:rPr>
                <w:b/>
                <w:spacing w:val="-7"/>
                <w:sz w:val="22"/>
                <w:szCs w:val="22"/>
              </w:rPr>
              <w:t xml:space="preserve"> </w:t>
            </w:r>
            <w:r w:rsidRPr="00FF1DFA">
              <w:rPr>
                <w:b/>
                <w:spacing w:val="-2"/>
                <w:sz w:val="22"/>
                <w:szCs w:val="22"/>
              </w:rPr>
              <w:t>mediastinum</w:t>
            </w:r>
          </w:p>
        </w:tc>
        <w:tc>
          <w:tcPr>
            <w:tcW w:w="3209" w:type="dxa"/>
          </w:tcPr>
          <w:p w14:paraId="6178C0F6" w14:textId="5377A1C3" w:rsidR="00FF1DFA" w:rsidRPr="00FF1DFA" w:rsidRDefault="00FF1DFA" w:rsidP="00A26C52">
            <w:pPr>
              <w:rPr>
                <w:rFonts w:eastAsia="Calibri"/>
                <w:sz w:val="22"/>
                <w:szCs w:val="22"/>
              </w:rPr>
            </w:pPr>
            <w:r w:rsidRPr="00FF1DFA">
              <w:rPr>
                <w:sz w:val="22"/>
                <w:szCs w:val="22"/>
              </w:rPr>
              <w:t>Ikke</w:t>
            </w:r>
            <w:r w:rsidRPr="00FF1DFA">
              <w:rPr>
                <w:spacing w:val="-7"/>
                <w:sz w:val="22"/>
                <w:szCs w:val="22"/>
              </w:rPr>
              <w:t xml:space="preserve"> </w:t>
            </w:r>
            <w:r w:rsidRPr="00FF1DFA">
              <w:rPr>
                <w:spacing w:val="-2"/>
                <w:sz w:val="22"/>
                <w:szCs w:val="22"/>
              </w:rPr>
              <w:t>almindelig</w:t>
            </w:r>
          </w:p>
        </w:tc>
        <w:tc>
          <w:tcPr>
            <w:tcW w:w="3210" w:type="dxa"/>
          </w:tcPr>
          <w:p w14:paraId="708F8E95" w14:textId="696A8489" w:rsidR="00FF1DFA" w:rsidRPr="00FF1DFA" w:rsidRDefault="00FF1DFA" w:rsidP="00A26C52">
            <w:pPr>
              <w:rPr>
                <w:rFonts w:eastAsia="Calibri"/>
                <w:sz w:val="22"/>
                <w:szCs w:val="22"/>
              </w:rPr>
            </w:pPr>
            <w:r w:rsidRPr="00FF1DFA">
              <w:rPr>
                <w:sz w:val="22"/>
                <w:szCs w:val="22"/>
              </w:rPr>
              <w:t>Hoste,</w:t>
            </w:r>
            <w:r w:rsidRPr="00FF1DFA">
              <w:rPr>
                <w:spacing w:val="-9"/>
                <w:sz w:val="22"/>
                <w:szCs w:val="22"/>
              </w:rPr>
              <w:t xml:space="preserve"> </w:t>
            </w:r>
            <w:r w:rsidRPr="00FF1DFA">
              <w:rPr>
                <w:spacing w:val="-2"/>
                <w:sz w:val="22"/>
                <w:szCs w:val="22"/>
              </w:rPr>
              <w:t>dyspnø</w:t>
            </w:r>
          </w:p>
        </w:tc>
      </w:tr>
      <w:tr w:rsidR="00FF1DFA" w:rsidRPr="00FF1DFA" w14:paraId="69AF1E0A" w14:textId="77777777" w:rsidTr="00684A48">
        <w:tc>
          <w:tcPr>
            <w:tcW w:w="3209" w:type="dxa"/>
          </w:tcPr>
          <w:p w14:paraId="35172AE6" w14:textId="3D6DB7C3" w:rsidR="00FF1DFA" w:rsidRPr="00FF1DFA" w:rsidRDefault="00FF1DFA" w:rsidP="00A26C52">
            <w:pPr>
              <w:rPr>
                <w:rFonts w:eastAsia="Calibri"/>
                <w:b/>
                <w:sz w:val="22"/>
                <w:szCs w:val="22"/>
              </w:rPr>
            </w:pPr>
            <w:r w:rsidRPr="00FF1DFA">
              <w:rPr>
                <w:b/>
                <w:spacing w:val="-2"/>
                <w:sz w:val="22"/>
                <w:szCs w:val="22"/>
              </w:rPr>
              <w:t>Mave-tarm-kanalen</w:t>
            </w:r>
          </w:p>
        </w:tc>
        <w:tc>
          <w:tcPr>
            <w:tcW w:w="3209" w:type="dxa"/>
          </w:tcPr>
          <w:p w14:paraId="55493143" w14:textId="77777777" w:rsidR="00FF1DFA" w:rsidRDefault="00FF1DFA" w:rsidP="00A26C52">
            <w:pPr>
              <w:rPr>
                <w:spacing w:val="-2"/>
                <w:sz w:val="22"/>
                <w:szCs w:val="22"/>
              </w:rPr>
            </w:pPr>
            <w:r w:rsidRPr="00FF1DFA">
              <w:rPr>
                <w:spacing w:val="-2"/>
                <w:sz w:val="22"/>
                <w:szCs w:val="22"/>
              </w:rPr>
              <w:t>Almindelig</w:t>
            </w:r>
          </w:p>
          <w:p w14:paraId="54D58468" w14:textId="099C893A" w:rsidR="00FF1DFA" w:rsidRPr="00FF1DFA" w:rsidRDefault="00FF1DFA" w:rsidP="00A26C52">
            <w:pPr>
              <w:rPr>
                <w:rFonts w:eastAsia="Calibri"/>
                <w:sz w:val="22"/>
                <w:szCs w:val="22"/>
              </w:rPr>
            </w:pPr>
            <w:r w:rsidRPr="00FF1DFA">
              <w:rPr>
                <w:sz w:val="22"/>
                <w:szCs w:val="22"/>
              </w:rPr>
              <w:t>Ikke</w:t>
            </w:r>
            <w:r w:rsidRPr="00FF1DFA">
              <w:rPr>
                <w:spacing w:val="-14"/>
                <w:sz w:val="22"/>
                <w:szCs w:val="22"/>
              </w:rPr>
              <w:t xml:space="preserve"> </w:t>
            </w:r>
            <w:r w:rsidRPr="00FF1DFA">
              <w:rPr>
                <w:sz w:val="22"/>
                <w:szCs w:val="22"/>
              </w:rPr>
              <w:t>almindelig</w:t>
            </w:r>
          </w:p>
        </w:tc>
        <w:tc>
          <w:tcPr>
            <w:tcW w:w="3210" w:type="dxa"/>
          </w:tcPr>
          <w:p w14:paraId="4AEE63DD" w14:textId="77777777" w:rsidR="00FF1DFA" w:rsidRPr="00FF1DFA" w:rsidRDefault="00FF1DFA" w:rsidP="00A26C52">
            <w:pPr>
              <w:rPr>
                <w:rFonts w:eastAsia="Calibri"/>
                <w:sz w:val="22"/>
                <w:szCs w:val="22"/>
              </w:rPr>
            </w:pPr>
            <w:r w:rsidRPr="00FF1DFA">
              <w:rPr>
                <w:rFonts w:eastAsia="Calibri"/>
                <w:sz w:val="22"/>
                <w:szCs w:val="22"/>
              </w:rPr>
              <w:t>Kvalme, opkastning, diarré Dyspepsi, øvre mavesmerter, mavesmerter, gastroøsofageal</w:t>
            </w:r>
          </w:p>
          <w:p w14:paraId="1E45753B" w14:textId="3679E097" w:rsidR="00FF1DFA" w:rsidRPr="00FF1DFA" w:rsidRDefault="00FF1DFA" w:rsidP="00A26C52">
            <w:pPr>
              <w:rPr>
                <w:rFonts w:eastAsia="Calibri"/>
                <w:sz w:val="22"/>
                <w:szCs w:val="22"/>
              </w:rPr>
            </w:pPr>
            <w:r w:rsidRPr="00FF1DFA">
              <w:rPr>
                <w:rFonts w:eastAsia="Calibri"/>
                <w:sz w:val="22"/>
                <w:szCs w:val="22"/>
              </w:rPr>
              <w:t>reflukssygdom, forstoppelse, mundtørhed, øsofagit, tandpine, gastrit</w:t>
            </w:r>
            <w:r w:rsidRPr="00FF1DFA">
              <w:rPr>
                <w:rFonts w:eastAsia="Calibri"/>
                <w:sz w:val="22"/>
                <w:szCs w:val="22"/>
                <w:vertAlign w:val="superscript"/>
              </w:rPr>
              <w:t>#</w:t>
            </w:r>
          </w:p>
        </w:tc>
      </w:tr>
      <w:tr w:rsidR="00FF1DFA" w:rsidRPr="00FF1DFA" w14:paraId="0D09AFE3" w14:textId="77777777" w:rsidTr="00684A48">
        <w:tc>
          <w:tcPr>
            <w:tcW w:w="3209" w:type="dxa"/>
          </w:tcPr>
          <w:p w14:paraId="3606A0B5" w14:textId="4B28B038" w:rsidR="00FF1DFA" w:rsidRPr="00FF1DFA" w:rsidRDefault="00FF1DFA" w:rsidP="00A26C52">
            <w:pPr>
              <w:rPr>
                <w:rFonts w:eastAsia="Calibri"/>
                <w:b/>
                <w:sz w:val="22"/>
                <w:szCs w:val="22"/>
              </w:rPr>
            </w:pPr>
            <w:r w:rsidRPr="00FF1DFA">
              <w:rPr>
                <w:b/>
                <w:sz w:val="22"/>
                <w:szCs w:val="22"/>
              </w:rPr>
              <w:t>Hud</w:t>
            </w:r>
            <w:r w:rsidRPr="00FF1DFA">
              <w:rPr>
                <w:b/>
                <w:spacing w:val="-7"/>
                <w:sz w:val="22"/>
                <w:szCs w:val="22"/>
              </w:rPr>
              <w:t xml:space="preserve"> </w:t>
            </w:r>
            <w:r w:rsidRPr="00FF1DFA">
              <w:rPr>
                <w:b/>
                <w:sz w:val="22"/>
                <w:szCs w:val="22"/>
              </w:rPr>
              <w:t>og</w:t>
            </w:r>
            <w:r w:rsidRPr="00FF1DFA">
              <w:rPr>
                <w:b/>
                <w:spacing w:val="-6"/>
                <w:sz w:val="22"/>
                <w:szCs w:val="22"/>
              </w:rPr>
              <w:t xml:space="preserve"> </w:t>
            </w:r>
            <w:r w:rsidRPr="00FF1DFA">
              <w:rPr>
                <w:b/>
                <w:sz w:val="22"/>
                <w:szCs w:val="22"/>
              </w:rPr>
              <w:t>subkutane</w:t>
            </w:r>
            <w:r w:rsidRPr="00FF1DFA">
              <w:rPr>
                <w:b/>
                <w:spacing w:val="-7"/>
                <w:sz w:val="22"/>
                <w:szCs w:val="22"/>
              </w:rPr>
              <w:t xml:space="preserve"> </w:t>
            </w:r>
            <w:r w:rsidRPr="00FF1DFA">
              <w:rPr>
                <w:b/>
                <w:spacing w:val="-5"/>
                <w:sz w:val="22"/>
                <w:szCs w:val="22"/>
              </w:rPr>
              <w:t>væv</w:t>
            </w:r>
          </w:p>
        </w:tc>
        <w:tc>
          <w:tcPr>
            <w:tcW w:w="3209" w:type="dxa"/>
          </w:tcPr>
          <w:p w14:paraId="37500B6F" w14:textId="305CF89F" w:rsidR="00FF1DFA" w:rsidRPr="00FF1DFA" w:rsidRDefault="00FF1DFA" w:rsidP="00A26C52">
            <w:pPr>
              <w:rPr>
                <w:rFonts w:eastAsia="Calibri"/>
                <w:sz w:val="22"/>
                <w:szCs w:val="22"/>
              </w:rPr>
            </w:pPr>
            <w:r w:rsidRPr="00FF1DFA">
              <w:rPr>
                <w:rFonts w:eastAsia="Calibri"/>
                <w:sz w:val="22"/>
                <w:szCs w:val="22"/>
              </w:rPr>
              <w:t>Ikke almindelig</w:t>
            </w:r>
          </w:p>
        </w:tc>
        <w:tc>
          <w:tcPr>
            <w:tcW w:w="3210" w:type="dxa"/>
          </w:tcPr>
          <w:p w14:paraId="14D36656" w14:textId="728E445F" w:rsidR="00FF1DFA" w:rsidRPr="00FF1DFA" w:rsidRDefault="00FF1DFA" w:rsidP="00A26C52">
            <w:pPr>
              <w:rPr>
                <w:rFonts w:eastAsia="Calibri"/>
                <w:sz w:val="22"/>
                <w:szCs w:val="22"/>
              </w:rPr>
            </w:pPr>
            <w:r w:rsidRPr="00FF1DFA">
              <w:rPr>
                <w:sz w:val="22"/>
                <w:szCs w:val="22"/>
              </w:rPr>
              <w:t>Udslæt,</w:t>
            </w:r>
            <w:r w:rsidRPr="00FF1DFA">
              <w:rPr>
                <w:spacing w:val="-12"/>
                <w:sz w:val="22"/>
                <w:szCs w:val="22"/>
              </w:rPr>
              <w:t xml:space="preserve"> </w:t>
            </w:r>
            <w:r w:rsidRPr="00FF1DFA">
              <w:rPr>
                <w:sz w:val="22"/>
                <w:szCs w:val="22"/>
              </w:rPr>
              <w:t>hyperhidrose,</w:t>
            </w:r>
            <w:r w:rsidRPr="00FF1DFA">
              <w:rPr>
                <w:spacing w:val="-12"/>
                <w:sz w:val="22"/>
                <w:szCs w:val="22"/>
              </w:rPr>
              <w:t xml:space="preserve"> </w:t>
            </w:r>
            <w:r w:rsidRPr="00FF1DFA">
              <w:rPr>
                <w:sz w:val="22"/>
                <w:szCs w:val="22"/>
              </w:rPr>
              <w:t>pruritus,</w:t>
            </w:r>
            <w:r w:rsidRPr="00FF1DFA">
              <w:rPr>
                <w:spacing w:val="-12"/>
                <w:sz w:val="22"/>
                <w:szCs w:val="22"/>
              </w:rPr>
              <w:t xml:space="preserve"> </w:t>
            </w:r>
            <w:r w:rsidRPr="00FF1DFA">
              <w:rPr>
                <w:spacing w:val="-2"/>
                <w:sz w:val="22"/>
                <w:szCs w:val="22"/>
              </w:rPr>
              <w:t>erytem</w:t>
            </w:r>
          </w:p>
        </w:tc>
      </w:tr>
      <w:tr w:rsidR="00FF1DFA" w:rsidRPr="00FF1DFA" w14:paraId="59184DBF" w14:textId="77777777" w:rsidTr="00684A48">
        <w:tc>
          <w:tcPr>
            <w:tcW w:w="3209" w:type="dxa"/>
          </w:tcPr>
          <w:p w14:paraId="33787F12" w14:textId="4E504F97" w:rsidR="00FF1DFA" w:rsidRPr="00FF1DFA" w:rsidRDefault="00FF1DFA" w:rsidP="00A26C52">
            <w:pPr>
              <w:rPr>
                <w:rFonts w:eastAsia="Calibri"/>
                <w:b/>
                <w:sz w:val="22"/>
                <w:szCs w:val="22"/>
              </w:rPr>
            </w:pPr>
            <w:r w:rsidRPr="00FF1DFA">
              <w:rPr>
                <w:rFonts w:eastAsia="Calibri"/>
                <w:b/>
                <w:sz w:val="22"/>
                <w:szCs w:val="22"/>
              </w:rPr>
              <w:t xml:space="preserve">Knogler, led, muskler og bindevæv </w:t>
            </w:r>
          </w:p>
          <w:p w14:paraId="05F398F6" w14:textId="7015D68D" w:rsidR="00FF1DFA" w:rsidRPr="00FF1DFA" w:rsidRDefault="00FF1DFA" w:rsidP="00A26C52">
            <w:pPr>
              <w:rPr>
                <w:rFonts w:eastAsia="Calibri"/>
                <w:sz w:val="22"/>
                <w:szCs w:val="22"/>
              </w:rPr>
            </w:pPr>
          </w:p>
        </w:tc>
        <w:tc>
          <w:tcPr>
            <w:tcW w:w="3209" w:type="dxa"/>
          </w:tcPr>
          <w:p w14:paraId="7A0A31D0" w14:textId="018978B3" w:rsidR="00FF1DFA" w:rsidRDefault="00FF1DFA" w:rsidP="00A26C52">
            <w:pPr>
              <w:rPr>
                <w:rFonts w:eastAsia="Calibri"/>
                <w:sz w:val="22"/>
                <w:szCs w:val="22"/>
              </w:rPr>
            </w:pPr>
            <w:r w:rsidRPr="00FF1DFA">
              <w:rPr>
                <w:rFonts w:eastAsia="Calibri"/>
                <w:sz w:val="22"/>
                <w:szCs w:val="22"/>
              </w:rPr>
              <w:t>Almindelig</w:t>
            </w:r>
          </w:p>
          <w:p w14:paraId="11E81763" w14:textId="0FD5F8D3" w:rsidR="00FF1DFA" w:rsidRDefault="00FF1DFA" w:rsidP="00A26C52">
            <w:pPr>
              <w:rPr>
                <w:rFonts w:eastAsia="Calibri"/>
                <w:sz w:val="22"/>
                <w:szCs w:val="22"/>
              </w:rPr>
            </w:pPr>
          </w:p>
          <w:p w14:paraId="1EB77D0D" w14:textId="77777777" w:rsidR="00FF1DFA" w:rsidRPr="00FF1DFA" w:rsidRDefault="00FF1DFA" w:rsidP="00A26C52">
            <w:pPr>
              <w:rPr>
                <w:rFonts w:eastAsia="Calibri"/>
                <w:sz w:val="22"/>
                <w:szCs w:val="22"/>
              </w:rPr>
            </w:pPr>
          </w:p>
          <w:p w14:paraId="7425F038" w14:textId="2F01F711" w:rsidR="00FF1DFA" w:rsidRDefault="00FF1DFA" w:rsidP="00A26C52">
            <w:pPr>
              <w:rPr>
                <w:rFonts w:eastAsia="Calibri"/>
                <w:sz w:val="22"/>
                <w:szCs w:val="22"/>
              </w:rPr>
            </w:pPr>
            <w:r w:rsidRPr="00FF1DFA">
              <w:rPr>
                <w:rFonts w:eastAsia="Calibri"/>
                <w:sz w:val="22"/>
                <w:szCs w:val="22"/>
              </w:rPr>
              <w:t>Ikke almindelig</w:t>
            </w:r>
          </w:p>
          <w:p w14:paraId="797004B0" w14:textId="5970D902" w:rsidR="00FF1DFA" w:rsidRDefault="00FF1DFA" w:rsidP="00A26C52">
            <w:pPr>
              <w:rPr>
                <w:rFonts w:eastAsia="Calibri"/>
                <w:sz w:val="22"/>
                <w:szCs w:val="22"/>
              </w:rPr>
            </w:pPr>
          </w:p>
          <w:p w14:paraId="59421258" w14:textId="3D09C740" w:rsidR="00FF1DFA" w:rsidRDefault="00FF1DFA" w:rsidP="00A26C52">
            <w:pPr>
              <w:rPr>
                <w:rFonts w:eastAsia="Calibri"/>
                <w:sz w:val="22"/>
                <w:szCs w:val="22"/>
              </w:rPr>
            </w:pPr>
          </w:p>
          <w:p w14:paraId="3B2DC9CD" w14:textId="66A3985C" w:rsidR="00FF1DFA" w:rsidRDefault="00FF1DFA" w:rsidP="00A26C52">
            <w:pPr>
              <w:rPr>
                <w:rFonts w:eastAsia="Calibri"/>
                <w:sz w:val="22"/>
                <w:szCs w:val="22"/>
              </w:rPr>
            </w:pPr>
          </w:p>
          <w:p w14:paraId="2D18E7ED" w14:textId="2F863528" w:rsidR="00FF1DFA" w:rsidRDefault="00FF1DFA" w:rsidP="00A26C52">
            <w:pPr>
              <w:rPr>
                <w:rFonts w:eastAsia="Calibri"/>
                <w:sz w:val="22"/>
                <w:szCs w:val="22"/>
              </w:rPr>
            </w:pPr>
          </w:p>
          <w:p w14:paraId="4AB21300" w14:textId="2C8FCE2E" w:rsidR="00FF1DFA" w:rsidRDefault="00FF1DFA" w:rsidP="00A26C52">
            <w:pPr>
              <w:rPr>
                <w:rFonts w:eastAsia="Calibri"/>
                <w:sz w:val="22"/>
                <w:szCs w:val="22"/>
              </w:rPr>
            </w:pPr>
          </w:p>
          <w:p w14:paraId="23E572C2" w14:textId="77777777" w:rsidR="00FF1DFA" w:rsidRPr="00FF1DFA" w:rsidRDefault="00FF1DFA" w:rsidP="00A26C52">
            <w:pPr>
              <w:rPr>
                <w:rFonts w:eastAsia="Calibri"/>
                <w:sz w:val="22"/>
                <w:szCs w:val="22"/>
              </w:rPr>
            </w:pPr>
          </w:p>
          <w:p w14:paraId="6E7D97B1" w14:textId="0ED223E4" w:rsidR="00FF1DFA" w:rsidRDefault="00FF1DFA" w:rsidP="00A26C52">
            <w:pPr>
              <w:rPr>
                <w:rFonts w:eastAsia="Calibri"/>
                <w:sz w:val="22"/>
                <w:szCs w:val="22"/>
              </w:rPr>
            </w:pPr>
            <w:r w:rsidRPr="00FF1DFA">
              <w:rPr>
                <w:rFonts w:eastAsia="Calibri"/>
                <w:sz w:val="22"/>
                <w:szCs w:val="22"/>
              </w:rPr>
              <w:t>Sjælden</w:t>
            </w:r>
          </w:p>
          <w:p w14:paraId="2EB7A27E" w14:textId="55E18C3F" w:rsidR="00FF1DFA" w:rsidRDefault="00FF1DFA" w:rsidP="00A26C52">
            <w:pPr>
              <w:rPr>
                <w:rFonts w:eastAsia="Calibri"/>
                <w:sz w:val="22"/>
                <w:szCs w:val="22"/>
              </w:rPr>
            </w:pPr>
          </w:p>
          <w:p w14:paraId="48CE29DF" w14:textId="77777777" w:rsidR="00FF1DFA" w:rsidRPr="00FF1DFA" w:rsidRDefault="00FF1DFA" w:rsidP="00A26C52">
            <w:pPr>
              <w:rPr>
                <w:rFonts w:eastAsia="Calibri"/>
                <w:sz w:val="22"/>
                <w:szCs w:val="22"/>
              </w:rPr>
            </w:pPr>
          </w:p>
          <w:p w14:paraId="63314B2C" w14:textId="77777777" w:rsidR="00FF1DFA" w:rsidRPr="00FF1DFA" w:rsidRDefault="00FF1DFA" w:rsidP="00A26C52">
            <w:pPr>
              <w:rPr>
                <w:rFonts w:eastAsia="Calibri"/>
                <w:sz w:val="22"/>
                <w:szCs w:val="22"/>
              </w:rPr>
            </w:pPr>
            <w:r w:rsidRPr="00FF1DFA">
              <w:rPr>
                <w:rFonts w:eastAsia="Calibri"/>
                <w:sz w:val="22"/>
                <w:szCs w:val="22"/>
              </w:rPr>
              <w:t>Meget sjælden</w:t>
            </w:r>
          </w:p>
          <w:p w14:paraId="509BA652" w14:textId="77777777" w:rsidR="00FF1DFA" w:rsidRDefault="00FF1DFA" w:rsidP="00A26C52">
            <w:pPr>
              <w:rPr>
                <w:rFonts w:eastAsia="Calibri"/>
                <w:sz w:val="22"/>
                <w:szCs w:val="22"/>
              </w:rPr>
            </w:pPr>
          </w:p>
          <w:p w14:paraId="3CDA180C" w14:textId="77777777" w:rsidR="00FF1DFA" w:rsidRDefault="00FF1DFA" w:rsidP="00A26C52">
            <w:pPr>
              <w:rPr>
                <w:rFonts w:eastAsia="Calibri"/>
                <w:sz w:val="22"/>
                <w:szCs w:val="22"/>
              </w:rPr>
            </w:pPr>
          </w:p>
          <w:p w14:paraId="6D3FC698" w14:textId="56A58953" w:rsidR="00FF1DFA" w:rsidRPr="00FF1DFA" w:rsidRDefault="00FF1DFA" w:rsidP="00A26C52">
            <w:pPr>
              <w:rPr>
                <w:rFonts w:eastAsia="Calibri"/>
                <w:sz w:val="22"/>
                <w:szCs w:val="22"/>
              </w:rPr>
            </w:pPr>
            <w:r w:rsidRPr="00FF1DFA">
              <w:rPr>
                <w:rFonts w:eastAsia="Calibri"/>
                <w:sz w:val="22"/>
                <w:szCs w:val="22"/>
              </w:rPr>
              <w:t>Ikke kendt</w:t>
            </w:r>
            <w:r>
              <w:rPr>
                <w:rFonts w:eastAsia="Calibri"/>
                <w:sz w:val="22"/>
                <w:szCs w:val="22"/>
              </w:rPr>
              <w:t>**</w:t>
            </w:r>
          </w:p>
        </w:tc>
        <w:tc>
          <w:tcPr>
            <w:tcW w:w="3210" w:type="dxa"/>
          </w:tcPr>
          <w:p w14:paraId="5345EBD4" w14:textId="77777777" w:rsidR="00FF1DFA" w:rsidRPr="00FF1DFA" w:rsidRDefault="00FF1DFA" w:rsidP="00A26C52">
            <w:pPr>
              <w:rPr>
                <w:rFonts w:eastAsia="Calibri"/>
                <w:sz w:val="22"/>
                <w:szCs w:val="22"/>
              </w:rPr>
            </w:pPr>
            <w:r w:rsidRPr="00FF1DFA">
              <w:rPr>
                <w:rFonts w:eastAsia="Calibri"/>
                <w:sz w:val="22"/>
                <w:szCs w:val="22"/>
              </w:rPr>
              <w:lastRenderedPageBreak/>
              <w:t>Muskelsmerter, ledsmerter, knoglesmerter, rygsmerter, ekstremitetssmerter</w:t>
            </w:r>
          </w:p>
          <w:p w14:paraId="6DC2FD2B" w14:textId="3022AB13" w:rsidR="00FF1DFA" w:rsidRPr="00FF1DFA" w:rsidRDefault="00FF1DFA" w:rsidP="00A26C52">
            <w:pPr>
              <w:rPr>
                <w:rFonts w:eastAsia="Calibri"/>
                <w:sz w:val="22"/>
                <w:szCs w:val="22"/>
              </w:rPr>
            </w:pPr>
            <w:r w:rsidRPr="00FF1DFA">
              <w:rPr>
                <w:rFonts w:eastAsia="Calibri"/>
                <w:sz w:val="22"/>
                <w:szCs w:val="22"/>
              </w:rPr>
              <w:t xml:space="preserve">Nakkesmerter, stivhed i bevægeapparatet,hævelse af led, muskelkramper, </w:t>
            </w:r>
            <w:r>
              <w:rPr>
                <w:rFonts w:eastAsia="Calibri"/>
                <w:sz w:val="22"/>
                <w:szCs w:val="22"/>
              </w:rPr>
              <w:t>m</w:t>
            </w:r>
            <w:r w:rsidRPr="00FF1DFA">
              <w:rPr>
                <w:rFonts w:eastAsia="Calibri"/>
                <w:sz w:val="22"/>
                <w:szCs w:val="22"/>
              </w:rPr>
              <w:t xml:space="preserve">uskuloskeletale smerter i brystregionen, muskuloskeletale </w:t>
            </w:r>
            <w:r w:rsidRPr="00FF1DFA">
              <w:rPr>
                <w:rFonts w:eastAsia="Calibri"/>
                <w:sz w:val="22"/>
                <w:szCs w:val="22"/>
              </w:rPr>
              <w:lastRenderedPageBreak/>
              <w:t>smerter, ledstivhed, artrit, muskelsvækkelse</w:t>
            </w:r>
          </w:p>
          <w:p w14:paraId="74A591AA" w14:textId="77777777" w:rsidR="00FF1DFA" w:rsidRDefault="00FF1DFA" w:rsidP="00A26C52">
            <w:pPr>
              <w:rPr>
                <w:rFonts w:eastAsia="Calibri"/>
                <w:sz w:val="22"/>
                <w:szCs w:val="22"/>
              </w:rPr>
            </w:pPr>
            <w:r w:rsidRPr="00FF1DFA">
              <w:rPr>
                <w:rFonts w:eastAsia="Calibri"/>
                <w:sz w:val="22"/>
                <w:szCs w:val="22"/>
              </w:rPr>
              <w:t>Atypiske subtrokantære og diafyseale femurfrakturer† (bisfosfonat klasseeffekt)</w:t>
            </w:r>
          </w:p>
          <w:p w14:paraId="5A9235F8" w14:textId="15D96159" w:rsidR="00FF1DFA" w:rsidRPr="00FF1DFA" w:rsidRDefault="00FF1DFA" w:rsidP="00A26C52">
            <w:pPr>
              <w:rPr>
                <w:rFonts w:eastAsia="Calibri"/>
                <w:sz w:val="22"/>
                <w:szCs w:val="22"/>
              </w:rPr>
            </w:pPr>
            <w:r w:rsidRPr="00FF1DFA">
              <w:rPr>
                <w:rFonts w:eastAsia="Calibri"/>
                <w:sz w:val="22"/>
                <w:szCs w:val="22"/>
              </w:rPr>
              <w:t>Osteonekrose af øregangen (klasse-bivirkning for bisfosfonater)</w:t>
            </w:r>
          </w:p>
          <w:p w14:paraId="42B29C05" w14:textId="7CBC8876" w:rsidR="00FF1DFA" w:rsidRPr="00FF1DFA" w:rsidRDefault="00FF1DFA" w:rsidP="00A26C52">
            <w:pPr>
              <w:rPr>
                <w:rFonts w:eastAsia="Calibri"/>
                <w:sz w:val="22"/>
                <w:szCs w:val="22"/>
              </w:rPr>
            </w:pPr>
            <w:r w:rsidRPr="00FF1DFA">
              <w:rPr>
                <w:rFonts w:eastAsia="Calibri"/>
                <w:sz w:val="22"/>
                <w:szCs w:val="22"/>
              </w:rPr>
              <w:t>Kæbeosteonekrose (se pkt. 4.4 og 4.8 Klasseeffekter)</w:t>
            </w:r>
          </w:p>
        </w:tc>
      </w:tr>
      <w:tr w:rsidR="00FF1DFA" w:rsidRPr="005652E3" w14:paraId="27FF2A36" w14:textId="77777777" w:rsidTr="00684A48">
        <w:tc>
          <w:tcPr>
            <w:tcW w:w="3209" w:type="dxa"/>
          </w:tcPr>
          <w:p w14:paraId="2A43AFF9" w14:textId="536C003D" w:rsidR="00FF1DFA" w:rsidRPr="005652E3" w:rsidRDefault="003A5640" w:rsidP="00A26C52">
            <w:pPr>
              <w:rPr>
                <w:rFonts w:eastAsia="Calibri"/>
                <w:b/>
                <w:sz w:val="22"/>
                <w:szCs w:val="22"/>
              </w:rPr>
            </w:pPr>
            <w:r>
              <w:rPr>
                <w:rFonts w:eastAsia="Calibri"/>
                <w:b/>
                <w:sz w:val="22"/>
                <w:szCs w:val="22"/>
              </w:rPr>
              <w:lastRenderedPageBreak/>
              <w:t>Nyrer og urinveje</w:t>
            </w:r>
          </w:p>
        </w:tc>
        <w:tc>
          <w:tcPr>
            <w:tcW w:w="3209" w:type="dxa"/>
          </w:tcPr>
          <w:p w14:paraId="08A23B9A" w14:textId="77777777" w:rsidR="00FF1DFA" w:rsidRDefault="003A5640" w:rsidP="00A26C52">
            <w:pPr>
              <w:rPr>
                <w:rFonts w:eastAsia="Calibri"/>
                <w:sz w:val="22"/>
                <w:szCs w:val="22"/>
              </w:rPr>
            </w:pPr>
            <w:r>
              <w:rPr>
                <w:rFonts w:eastAsia="Calibri"/>
                <w:sz w:val="22"/>
                <w:szCs w:val="22"/>
              </w:rPr>
              <w:t>Ikke almindelig</w:t>
            </w:r>
          </w:p>
          <w:p w14:paraId="5AC9058F" w14:textId="77777777" w:rsidR="003A5640" w:rsidRDefault="003A5640" w:rsidP="00A26C52">
            <w:pPr>
              <w:rPr>
                <w:rFonts w:eastAsia="Calibri"/>
                <w:sz w:val="22"/>
                <w:szCs w:val="22"/>
              </w:rPr>
            </w:pPr>
          </w:p>
          <w:p w14:paraId="01C2A58C" w14:textId="6CE7163D" w:rsidR="003A5640" w:rsidRPr="005652E3" w:rsidRDefault="003A5640" w:rsidP="00A26C52">
            <w:pPr>
              <w:rPr>
                <w:rFonts w:eastAsia="Calibri"/>
                <w:sz w:val="22"/>
                <w:szCs w:val="22"/>
              </w:rPr>
            </w:pPr>
            <w:r w:rsidRPr="003A5640">
              <w:rPr>
                <w:rFonts w:eastAsia="Calibri"/>
                <w:sz w:val="22"/>
                <w:szCs w:val="22"/>
              </w:rPr>
              <w:t>Ikke kendt**</w:t>
            </w:r>
            <w:r w:rsidRPr="003A5640">
              <w:rPr>
                <w:rFonts w:eastAsia="Calibri"/>
                <w:sz w:val="22"/>
                <w:szCs w:val="22"/>
              </w:rPr>
              <w:tab/>
            </w:r>
          </w:p>
        </w:tc>
        <w:tc>
          <w:tcPr>
            <w:tcW w:w="3210" w:type="dxa"/>
          </w:tcPr>
          <w:p w14:paraId="7A7749C4" w14:textId="77777777" w:rsidR="003A5640" w:rsidRPr="003A5640" w:rsidRDefault="003A5640" w:rsidP="00A26C52">
            <w:pPr>
              <w:rPr>
                <w:rFonts w:eastAsia="Calibri"/>
                <w:sz w:val="22"/>
                <w:szCs w:val="22"/>
              </w:rPr>
            </w:pPr>
            <w:r w:rsidRPr="003A5640">
              <w:rPr>
                <w:rFonts w:eastAsia="Calibri"/>
                <w:sz w:val="22"/>
                <w:szCs w:val="22"/>
              </w:rPr>
              <w:t>Serumkreatinin øget, pollakisuri, proteinuri</w:t>
            </w:r>
          </w:p>
          <w:p w14:paraId="7419B0A9" w14:textId="3FF01531" w:rsidR="003A5640" w:rsidRPr="003A5640" w:rsidRDefault="003A5640" w:rsidP="00A26C52">
            <w:pPr>
              <w:rPr>
                <w:rFonts w:eastAsia="Calibri"/>
                <w:sz w:val="22"/>
                <w:szCs w:val="22"/>
              </w:rPr>
            </w:pPr>
            <w:r w:rsidRPr="003A5640">
              <w:rPr>
                <w:rFonts w:eastAsia="Calibri"/>
                <w:sz w:val="22"/>
                <w:szCs w:val="22"/>
              </w:rPr>
              <w:t>Nedsat nyrefunktion. Sjældne tilfælde af</w:t>
            </w:r>
            <w:r>
              <w:rPr>
                <w:rFonts w:eastAsia="Calibri"/>
                <w:sz w:val="22"/>
                <w:szCs w:val="22"/>
              </w:rPr>
              <w:t xml:space="preserve"> </w:t>
            </w:r>
            <w:r w:rsidRPr="003A5640">
              <w:rPr>
                <w:rFonts w:eastAsia="Calibri"/>
                <w:sz w:val="22"/>
                <w:szCs w:val="22"/>
              </w:rPr>
              <w:t>dialysekrævende nyresvigt og sjældne tilfælde med letal udgang er rapporteret hos patienter med forudeksisterende nedsat nyrefunktion eller andre risikofaktorer som fremskreden alder, samtidig anvendelse af nefrotoksiske lægemidler, samtidig anvendelse af diuretika eller dehydrering efter</w:t>
            </w:r>
          </w:p>
          <w:p w14:paraId="2355A748" w14:textId="189B4938" w:rsidR="00FF1DFA" w:rsidRPr="005652E3" w:rsidRDefault="003A5640" w:rsidP="00A26C52">
            <w:pPr>
              <w:rPr>
                <w:rFonts w:eastAsia="Calibri"/>
                <w:sz w:val="22"/>
                <w:szCs w:val="22"/>
              </w:rPr>
            </w:pPr>
            <w:r w:rsidRPr="003A5640">
              <w:rPr>
                <w:rFonts w:eastAsia="Calibri"/>
                <w:sz w:val="22"/>
                <w:szCs w:val="22"/>
              </w:rPr>
              <w:t>behandlingen med zoledronsyre (se pkt. 4.4 og 4.8 Klasseeffekter)</w:t>
            </w:r>
          </w:p>
        </w:tc>
      </w:tr>
      <w:tr w:rsidR="00FF1DFA" w:rsidRPr="005652E3" w14:paraId="55454ABB" w14:textId="77777777" w:rsidTr="00684A48">
        <w:tc>
          <w:tcPr>
            <w:tcW w:w="3209" w:type="dxa"/>
          </w:tcPr>
          <w:p w14:paraId="1FF0831B" w14:textId="7900A609" w:rsidR="00FF1DFA" w:rsidRPr="007F160A" w:rsidRDefault="007F160A" w:rsidP="00A26C52">
            <w:pPr>
              <w:rPr>
                <w:rFonts w:eastAsia="Calibri"/>
                <w:b/>
                <w:sz w:val="22"/>
                <w:szCs w:val="22"/>
              </w:rPr>
            </w:pPr>
            <w:r w:rsidRPr="007F160A">
              <w:rPr>
                <w:b/>
              </w:rPr>
              <w:t>Almene</w:t>
            </w:r>
            <w:r w:rsidRPr="007F160A">
              <w:rPr>
                <w:b/>
                <w:spacing w:val="-10"/>
              </w:rPr>
              <w:t xml:space="preserve"> </w:t>
            </w:r>
            <w:r w:rsidRPr="007F160A">
              <w:rPr>
                <w:b/>
              </w:rPr>
              <w:t>symptomer</w:t>
            </w:r>
            <w:r w:rsidRPr="007F160A">
              <w:rPr>
                <w:b/>
                <w:spacing w:val="-10"/>
              </w:rPr>
              <w:t xml:space="preserve"> </w:t>
            </w:r>
            <w:r w:rsidRPr="007F160A">
              <w:rPr>
                <w:b/>
              </w:rPr>
              <w:t>og</w:t>
            </w:r>
            <w:r w:rsidRPr="007F160A">
              <w:rPr>
                <w:b/>
                <w:spacing w:val="-9"/>
              </w:rPr>
              <w:t xml:space="preserve"> </w:t>
            </w:r>
            <w:r w:rsidRPr="007F160A">
              <w:rPr>
                <w:b/>
              </w:rPr>
              <w:t>reaktioner</w:t>
            </w:r>
            <w:r w:rsidRPr="007F160A">
              <w:rPr>
                <w:b/>
                <w:spacing w:val="-10"/>
              </w:rPr>
              <w:t xml:space="preserve"> </w:t>
            </w:r>
            <w:r w:rsidRPr="007F160A">
              <w:rPr>
                <w:b/>
              </w:rPr>
              <w:t xml:space="preserve">på </w:t>
            </w:r>
            <w:r w:rsidRPr="007F160A">
              <w:rPr>
                <w:b/>
                <w:spacing w:val="-2"/>
              </w:rPr>
              <w:t>administrationsstedet</w:t>
            </w:r>
          </w:p>
        </w:tc>
        <w:tc>
          <w:tcPr>
            <w:tcW w:w="3209" w:type="dxa"/>
          </w:tcPr>
          <w:p w14:paraId="41F1350D" w14:textId="2DBC0B61" w:rsidR="007F160A" w:rsidRPr="007F160A" w:rsidRDefault="007F160A" w:rsidP="00A26C52">
            <w:pPr>
              <w:rPr>
                <w:rFonts w:eastAsia="Calibri"/>
                <w:sz w:val="22"/>
                <w:szCs w:val="22"/>
              </w:rPr>
            </w:pPr>
            <w:r w:rsidRPr="007F160A">
              <w:rPr>
                <w:rFonts w:eastAsia="Calibri"/>
                <w:sz w:val="22"/>
                <w:szCs w:val="22"/>
              </w:rPr>
              <w:t>Meget almindelig</w:t>
            </w:r>
          </w:p>
          <w:p w14:paraId="0434C2AF" w14:textId="312D3469" w:rsidR="007F160A" w:rsidRPr="007F160A" w:rsidRDefault="007F160A" w:rsidP="00A26C52">
            <w:pPr>
              <w:rPr>
                <w:rFonts w:eastAsia="Calibri"/>
                <w:sz w:val="22"/>
                <w:szCs w:val="22"/>
              </w:rPr>
            </w:pPr>
            <w:r w:rsidRPr="007F160A">
              <w:rPr>
                <w:rFonts w:eastAsia="Calibri"/>
                <w:sz w:val="22"/>
                <w:szCs w:val="22"/>
              </w:rPr>
              <w:t>Almindelig</w:t>
            </w:r>
          </w:p>
          <w:p w14:paraId="445617E8" w14:textId="77777777" w:rsidR="007F160A" w:rsidRPr="007F160A" w:rsidRDefault="007F160A" w:rsidP="00A26C52">
            <w:pPr>
              <w:rPr>
                <w:rFonts w:eastAsia="Calibri"/>
                <w:sz w:val="22"/>
                <w:szCs w:val="22"/>
              </w:rPr>
            </w:pPr>
          </w:p>
          <w:p w14:paraId="6A70C26F" w14:textId="77777777" w:rsidR="007F160A" w:rsidRPr="007F160A" w:rsidRDefault="007F160A" w:rsidP="00A26C52">
            <w:pPr>
              <w:rPr>
                <w:rFonts w:eastAsia="Calibri"/>
                <w:sz w:val="22"/>
                <w:szCs w:val="22"/>
              </w:rPr>
            </w:pPr>
          </w:p>
          <w:p w14:paraId="68DBCDEC" w14:textId="77777777" w:rsidR="007F160A" w:rsidRPr="007F160A" w:rsidRDefault="007F160A" w:rsidP="00A26C52">
            <w:pPr>
              <w:rPr>
                <w:rFonts w:eastAsia="Calibri"/>
                <w:sz w:val="22"/>
                <w:szCs w:val="22"/>
              </w:rPr>
            </w:pPr>
          </w:p>
          <w:p w14:paraId="3BF08773" w14:textId="4015D7B2" w:rsidR="007F160A" w:rsidRPr="007F160A" w:rsidRDefault="007F160A" w:rsidP="00A26C52">
            <w:pPr>
              <w:rPr>
                <w:rFonts w:eastAsia="Calibri"/>
                <w:sz w:val="22"/>
                <w:szCs w:val="22"/>
              </w:rPr>
            </w:pPr>
            <w:r w:rsidRPr="007F160A">
              <w:rPr>
                <w:rFonts w:eastAsia="Calibri"/>
                <w:sz w:val="22"/>
                <w:szCs w:val="22"/>
              </w:rPr>
              <w:t>Ikke almindelig</w:t>
            </w:r>
          </w:p>
          <w:p w14:paraId="21009E22" w14:textId="2FBF495B" w:rsidR="007F160A" w:rsidRPr="007F160A" w:rsidRDefault="007F160A" w:rsidP="00A26C52">
            <w:pPr>
              <w:rPr>
                <w:rFonts w:eastAsia="Calibri"/>
                <w:sz w:val="22"/>
                <w:szCs w:val="22"/>
              </w:rPr>
            </w:pPr>
          </w:p>
          <w:p w14:paraId="586DFB14" w14:textId="77777777" w:rsidR="007F160A" w:rsidRPr="007F160A" w:rsidRDefault="007F160A" w:rsidP="00A26C52">
            <w:pPr>
              <w:rPr>
                <w:rFonts w:eastAsia="Calibri"/>
                <w:sz w:val="22"/>
                <w:szCs w:val="22"/>
              </w:rPr>
            </w:pPr>
          </w:p>
          <w:p w14:paraId="797AD6E4" w14:textId="77777777" w:rsidR="007F160A" w:rsidRPr="007F160A" w:rsidRDefault="007F160A" w:rsidP="00A26C52">
            <w:pPr>
              <w:rPr>
                <w:rFonts w:eastAsia="Calibri"/>
                <w:sz w:val="22"/>
                <w:szCs w:val="22"/>
              </w:rPr>
            </w:pPr>
            <w:r w:rsidRPr="007F160A">
              <w:rPr>
                <w:rFonts w:eastAsia="Calibri"/>
                <w:sz w:val="22"/>
                <w:szCs w:val="22"/>
              </w:rPr>
              <w:t>Ikke kendt**</w:t>
            </w:r>
          </w:p>
          <w:p w14:paraId="3439C9BA" w14:textId="77777777" w:rsidR="007F160A" w:rsidRPr="007F160A" w:rsidRDefault="007F160A" w:rsidP="00A26C52">
            <w:pPr>
              <w:rPr>
                <w:rFonts w:eastAsia="Calibri"/>
                <w:sz w:val="22"/>
                <w:szCs w:val="22"/>
              </w:rPr>
            </w:pPr>
          </w:p>
          <w:p w14:paraId="15891F6C" w14:textId="015AE44C" w:rsidR="007F160A" w:rsidRPr="007F160A" w:rsidRDefault="007F160A" w:rsidP="00A26C52">
            <w:pPr>
              <w:rPr>
                <w:rFonts w:eastAsia="Calibri"/>
                <w:sz w:val="22"/>
                <w:szCs w:val="22"/>
              </w:rPr>
            </w:pPr>
            <w:r w:rsidRPr="007F160A">
              <w:rPr>
                <w:rFonts w:eastAsia="Calibri"/>
                <w:sz w:val="22"/>
                <w:szCs w:val="22"/>
              </w:rPr>
              <w:tab/>
            </w:r>
          </w:p>
          <w:p w14:paraId="68E2686A" w14:textId="628FA880" w:rsidR="00FF1DFA" w:rsidRPr="007F160A" w:rsidRDefault="00FF1DFA" w:rsidP="00A26C52">
            <w:pPr>
              <w:rPr>
                <w:rFonts w:eastAsia="Calibri"/>
                <w:sz w:val="22"/>
                <w:szCs w:val="22"/>
              </w:rPr>
            </w:pPr>
          </w:p>
        </w:tc>
        <w:tc>
          <w:tcPr>
            <w:tcW w:w="3210" w:type="dxa"/>
          </w:tcPr>
          <w:p w14:paraId="6CA5C93B" w14:textId="77777777" w:rsidR="007F160A" w:rsidRDefault="007F160A" w:rsidP="00A26C52">
            <w:pPr>
              <w:rPr>
                <w:rFonts w:eastAsia="Calibri"/>
                <w:sz w:val="22"/>
                <w:szCs w:val="22"/>
              </w:rPr>
            </w:pPr>
            <w:r w:rsidRPr="007F160A">
              <w:rPr>
                <w:rFonts w:eastAsia="Calibri"/>
                <w:sz w:val="22"/>
                <w:szCs w:val="22"/>
              </w:rPr>
              <w:t>Pyreksi</w:t>
            </w:r>
          </w:p>
          <w:p w14:paraId="2A701C93" w14:textId="2ED29702" w:rsidR="007F160A" w:rsidRPr="007F160A" w:rsidRDefault="007F160A" w:rsidP="00A26C52">
            <w:pPr>
              <w:rPr>
                <w:rFonts w:eastAsia="Calibri"/>
                <w:sz w:val="22"/>
                <w:szCs w:val="22"/>
              </w:rPr>
            </w:pPr>
            <w:r>
              <w:rPr>
                <w:rFonts w:eastAsia="Calibri"/>
                <w:sz w:val="22"/>
                <w:szCs w:val="22"/>
              </w:rPr>
              <w:t>I</w:t>
            </w:r>
            <w:r w:rsidRPr="007F160A">
              <w:rPr>
                <w:rFonts w:eastAsia="Calibri"/>
                <w:sz w:val="22"/>
                <w:szCs w:val="22"/>
              </w:rPr>
              <w:t>nfluenzalignende sygdom, kulderystelser,</w:t>
            </w:r>
            <w:r>
              <w:rPr>
                <w:rFonts w:eastAsia="Calibri"/>
                <w:sz w:val="22"/>
                <w:szCs w:val="22"/>
              </w:rPr>
              <w:t xml:space="preserve"> </w:t>
            </w:r>
            <w:r w:rsidRPr="007F160A">
              <w:rPr>
                <w:rFonts w:eastAsia="Calibri"/>
                <w:sz w:val="22"/>
                <w:szCs w:val="22"/>
              </w:rPr>
              <w:t>træthed, asteni, smerter, utilpashed, reaktioner på infusionsstedet</w:t>
            </w:r>
          </w:p>
          <w:p w14:paraId="7E77AC5F" w14:textId="759CDC31" w:rsidR="007F160A" w:rsidRPr="007F160A" w:rsidRDefault="007F160A" w:rsidP="00A26C52">
            <w:pPr>
              <w:rPr>
                <w:rFonts w:eastAsia="Calibri"/>
                <w:sz w:val="22"/>
                <w:szCs w:val="22"/>
              </w:rPr>
            </w:pPr>
            <w:r w:rsidRPr="007F160A">
              <w:rPr>
                <w:rFonts w:eastAsia="Calibri"/>
                <w:sz w:val="22"/>
                <w:szCs w:val="22"/>
              </w:rPr>
              <w:t>Perifert ødem, tørst, akut-fase reaktion,</w:t>
            </w:r>
            <w:r>
              <w:rPr>
                <w:rFonts w:eastAsia="Calibri"/>
                <w:sz w:val="22"/>
                <w:szCs w:val="22"/>
              </w:rPr>
              <w:t xml:space="preserve"> </w:t>
            </w:r>
            <w:r w:rsidRPr="007F160A">
              <w:rPr>
                <w:rFonts w:eastAsia="Calibri"/>
                <w:sz w:val="22"/>
                <w:szCs w:val="22"/>
              </w:rPr>
              <w:t>ikke-kardielle brystsmerter</w:t>
            </w:r>
          </w:p>
          <w:p w14:paraId="50CCA0E5" w14:textId="2A1852AF" w:rsidR="00FF1DFA" w:rsidRPr="005652E3" w:rsidRDefault="007F160A" w:rsidP="00A26C52">
            <w:pPr>
              <w:rPr>
                <w:rFonts w:eastAsia="Calibri"/>
                <w:sz w:val="22"/>
                <w:szCs w:val="22"/>
              </w:rPr>
            </w:pPr>
            <w:r w:rsidRPr="007F160A">
              <w:rPr>
                <w:rFonts w:eastAsia="Calibri"/>
                <w:sz w:val="22"/>
                <w:szCs w:val="22"/>
              </w:rPr>
              <w:t>Dehydrering sekundært til akutfase</w:t>
            </w:r>
            <w:r>
              <w:rPr>
                <w:rFonts w:eastAsia="Calibri"/>
                <w:sz w:val="22"/>
                <w:szCs w:val="22"/>
              </w:rPr>
              <w:t xml:space="preserve"> </w:t>
            </w:r>
            <w:r w:rsidRPr="007F160A">
              <w:rPr>
                <w:rFonts w:eastAsia="Calibri"/>
                <w:sz w:val="22"/>
                <w:szCs w:val="22"/>
              </w:rPr>
              <w:t>reaktioner (symptomer som pyreksi, opkastning og diarré efter behandlingen).</w:t>
            </w:r>
          </w:p>
        </w:tc>
      </w:tr>
      <w:tr w:rsidR="00FF1DFA" w:rsidRPr="005652E3" w14:paraId="5807E2ED" w14:textId="77777777" w:rsidTr="00684A48">
        <w:tc>
          <w:tcPr>
            <w:tcW w:w="3209" w:type="dxa"/>
          </w:tcPr>
          <w:p w14:paraId="0DB4B4B6" w14:textId="71702375" w:rsidR="00FF1DFA" w:rsidRPr="00635AAA" w:rsidRDefault="007F160A" w:rsidP="00A26C52">
            <w:pPr>
              <w:rPr>
                <w:rFonts w:eastAsia="Calibri"/>
                <w:b/>
                <w:sz w:val="22"/>
                <w:szCs w:val="22"/>
              </w:rPr>
            </w:pPr>
            <w:r w:rsidRPr="00635AAA">
              <w:rPr>
                <w:b/>
                <w:spacing w:val="-2"/>
              </w:rPr>
              <w:t>Undersøgelser</w:t>
            </w:r>
          </w:p>
        </w:tc>
        <w:tc>
          <w:tcPr>
            <w:tcW w:w="3209" w:type="dxa"/>
          </w:tcPr>
          <w:p w14:paraId="27FD460D" w14:textId="422A44C3" w:rsidR="00635AAA" w:rsidRPr="00635AAA" w:rsidRDefault="00635AAA" w:rsidP="00A26C52">
            <w:pPr>
              <w:rPr>
                <w:rFonts w:eastAsia="Calibri"/>
                <w:sz w:val="22"/>
                <w:szCs w:val="22"/>
              </w:rPr>
            </w:pPr>
            <w:r w:rsidRPr="00635AAA">
              <w:rPr>
                <w:rFonts w:eastAsia="Calibri"/>
                <w:sz w:val="22"/>
                <w:szCs w:val="22"/>
              </w:rPr>
              <w:t>Almindelig</w:t>
            </w:r>
            <w:r w:rsidRPr="00635AAA">
              <w:rPr>
                <w:rFonts w:eastAsia="Calibri"/>
                <w:sz w:val="22"/>
                <w:szCs w:val="22"/>
              </w:rPr>
              <w:tab/>
            </w:r>
          </w:p>
          <w:p w14:paraId="688568C1" w14:textId="22F319FA" w:rsidR="00FF1DFA" w:rsidRPr="005652E3" w:rsidRDefault="00635AAA" w:rsidP="00A26C52">
            <w:pPr>
              <w:rPr>
                <w:rFonts w:eastAsia="Calibri"/>
                <w:sz w:val="22"/>
                <w:szCs w:val="22"/>
              </w:rPr>
            </w:pPr>
            <w:r w:rsidRPr="00635AAA">
              <w:rPr>
                <w:rFonts w:eastAsia="Calibri"/>
                <w:sz w:val="22"/>
                <w:szCs w:val="22"/>
              </w:rPr>
              <w:t>Ikke almindelig</w:t>
            </w:r>
            <w:r w:rsidRPr="00635AAA">
              <w:rPr>
                <w:rFonts w:eastAsia="Calibri"/>
                <w:sz w:val="22"/>
                <w:szCs w:val="22"/>
              </w:rPr>
              <w:tab/>
            </w:r>
          </w:p>
        </w:tc>
        <w:tc>
          <w:tcPr>
            <w:tcW w:w="3210" w:type="dxa"/>
          </w:tcPr>
          <w:p w14:paraId="043C661B" w14:textId="77777777" w:rsidR="00FF1DFA" w:rsidRDefault="00635AAA" w:rsidP="00A26C52">
            <w:pPr>
              <w:rPr>
                <w:rFonts w:eastAsia="Calibri"/>
                <w:sz w:val="22"/>
                <w:szCs w:val="22"/>
              </w:rPr>
            </w:pPr>
            <w:r w:rsidRPr="00635AAA">
              <w:rPr>
                <w:rFonts w:eastAsia="Calibri"/>
                <w:sz w:val="22"/>
                <w:szCs w:val="22"/>
              </w:rPr>
              <w:t>Stigning i C-reaktivt protein</w:t>
            </w:r>
          </w:p>
          <w:p w14:paraId="6110AE9F" w14:textId="1C25D920" w:rsidR="00635AAA" w:rsidRPr="005652E3" w:rsidRDefault="00635AAA" w:rsidP="00A26C52">
            <w:pPr>
              <w:rPr>
                <w:rFonts w:eastAsia="Calibri"/>
                <w:sz w:val="22"/>
                <w:szCs w:val="22"/>
              </w:rPr>
            </w:pPr>
            <w:r w:rsidRPr="00635AAA">
              <w:rPr>
                <w:rFonts w:eastAsia="Calibri"/>
                <w:sz w:val="22"/>
                <w:szCs w:val="22"/>
              </w:rPr>
              <w:t>Nedsat calcium i blodet</w:t>
            </w:r>
          </w:p>
        </w:tc>
      </w:tr>
    </w:tbl>
    <w:p w14:paraId="5D9DB6DF" w14:textId="77777777" w:rsidR="00635AAA" w:rsidRPr="00E6192E" w:rsidRDefault="00635AAA" w:rsidP="00A26C52">
      <w:pPr>
        <w:pStyle w:val="Brdtekst"/>
        <w:tabs>
          <w:tab w:val="left" w:pos="1040"/>
        </w:tabs>
        <w:ind w:left="439"/>
        <w:rPr>
          <w:lang w:val="da-DK"/>
        </w:rPr>
      </w:pPr>
      <w:r w:rsidRPr="00E6192E">
        <w:rPr>
          <w:spacing w:val="-10"/>
          <w:vertAlign w:val="superscript"/>
          <w:lang w:val="da-DK"/>
        </w:rPr>
        <w:t>#</w:t>
      </w:r>
      <w:r w:rsidRPr="00E6192E">
        <w:rPr>
          <w:lang w:val="da-DK"/>
        </w:rPr>
        <w:tab/>
        <w:t>Observeret</w:t>
      </w:r>
      <w:r w:rsidRPr="00E6192E">
        <w:rPr>
          <w:spacing w:val="-8"/>
          <w:lang w:val="da-DK"/>
        </w:rPr>
        <w:t xml:space="preserve"> </w:t>
      </w:r>
      <w:r w:rsidRPr="00E6192E">
        <w:rPr>
          <w:lang w:val="da-DK"/>
        </w:rPr>
        <w:t>i</w:t>
      </w:r>
      <w:r w:rsidRPr="00E6192E">
        <w:rPr>
          <w:spacing w:val="-8"/>
          <w:lang w:val="da-DK"/>
        </w:rPr>
        <w:t xml:space="preserve"> </w:t>
      </w:r>
      <w:r w:rsidRPr="00E6192E">
        <w:rPr>
          <w:lang w:val="da-DK"/>
        </w:rPr>
        <w:t>patienter,</w:t>
      </w:r>
      <w:r w:rsidRPr="00E6192E">
        <w:rPr>
          <w:spacing w:val="-8"/>
          <w:lang w:val="da-DK"/>
        </w:rPr>
        <w:t xml:space="preserve"> </w:t>
      </w:r>
      <w:r w:rsidRPr="00E6192E">
        <w:rPr>
          <w:lang w:val="da-DK"/>
        </w:rPr>
        <w:t>der</w:t>
      </w:r>
      <w:r w:rsidRPr="00E6192E">
        <w:rPr>
          <w:spacing w:val="-7"/>
          <w:lang w:val="da-DK"/>
        </w:rPr>
        <w:t xml:space="preserve"> </w:t>
      </w:r>
      <w:r w:rsidRPr="00E6192E">
        <w:rPr>
          <w:lang w:val="da-DK"/>
        </w:rPr>
        <w:t>samtidigt</w:t>
      </w:r>
      <w:r w:rsidRPr="00E6192E">
        <w:rPr>
          <w:spacing w:val="-8"/>
          <w:lang w:val="da-DK"/>
        </w:rPr>
        <w:t xml:space="preserve"> </w:t>
      </w:r>
      <w:r w:rsidRPr="00E6192E">
        <w:rPr>
          <w:lang w:val="da-DK"/>
        </w:rPr>
        <w:t>tager</w:t>
      </w:r>
      <w:r w:rsidRPr="00E6192E">
        <w:rPr>
          <w:spacing w:val="-8"/>
          <w:lang w:val="da-DK"/>
        </w:rPr>
        <w:t xml:space="preserve"> </w:t>
      </w:r>
      <w:r w:rsidRPr="00E6192E">
        <w:rPr>
          <w:spacing w:val="-2"/>
          <w:lang w:val="da-DK"/>
        </w:rPr>
        <w:t>glukokortikoider.</w:t>
      </w:r>
    </w:p>
    <w:p w14:paraId="067D6CD2" w14:textId="77777777" w:rsidR="00635AAA" w:rsidRPr="004F55B9" w:rsidRDefault="00635AAA" w:rsidP="00A26C52">
      <w:pPr>
        <w:pStyle w:val="Brdtekst"/>
        <w:tabs>
          <w:tab w:val="left" w:pos="1040"/>
        </w:tabs>
        <w:ind w:left="439"/>
        <w:rPr>
          <w:lang w:val="da-DK"/>
        </w:rPr>
      </w:pPr>
      <w:r w:rsidRPr="004F55B9">
        <w:rPr>
          <w:spacing w:val="-10"/>
          <w:lang w:val="da-DK"/>
        </w:rPr>
        <w:t>*</w:t>
      </w:r>
      <w:r w:rsidRPr="004F55B9">
        <w:rPr>
          <w:lang w:val="da-DK"/>
        </w:rPr>
        <w:tab/>
        <w:t>Kun</w:t>
      </w:r>
      <w:r w:rsidRPr="004F55B9">
        <w:rPr>
          <w:spacing w:val="-8"/>
          <w:lang w:val="da-DK"/>
        </w:rPr>
        <w:t xml:space="preserve"> </w:t>
      </w:r>
      <w:r w:rsidRPr="004F55B9">
        <w:rPr>
          <w:lang w:val="da-DK"/>
        </w:rPr>
        <w:t>almindelig</w:t>
      </w:r>
      <w:r w:rsidRPr="004F55B9">
        <w:rPr>
          <w:spacing w:val="-7"/>
          <w:lang w:val="da-DK"/>
        </w:rPr>
        <w:t xml:space="preserve"> </w:t>
      </w:r>
      <w:r w:rsidRPr="004F55B9">
        <w:rPr>
          <w:lang w:val="da-DK"/>
        </w:rPr>
        <w:t>ved</w:t>
      </w:r>
      <w:r w:rsidRPr="004F55B9">
        <w:rPr>
          <w:spacing w:val="-8"/>
          <w:lang w:val="da-DK"/>
        </w:rPr>
        <w:t xml:space="preserve"> </w:t>
      </w:r>
      <w:r w:rsidRPr="004F55B9">
        <w:rPr>
          <w:lang w:val="da-DK"/>
        </w:rPr>
        <w:t>Pagets</w:t>
      </w:r>
      <w:r w:rsidRPr="004F55B9">
        <w:rPr>
          <w:spacing w:val="-9"/>
          <w:lang w:val="da-DK"/>
        </w:rPr>
        <w:t xml:space="preserve"> </w:t>
      </w:r>
      <w:r w:rsidRPr="004F55B9">
        <w:rPr>
          <w:spacing w:val="-2"/>
          <w:lang w:val="da-DK"/>
        </w:rPr>
        <w:t>sygdom.</w:t>
      </w:r>
    </w:p>
    <w:p w14:paraId="14C465AB" w14:textId="77777777" w:rsidR="00635AAA" w:rsidRPr="004F55B9" w:rsidRDefault="00635AAA" w:rsidP="00A26C52">
      <w:pPr>
        <w:pStyle w:val="Brdtekst"/>
        <w:tabs>
          <w:tab w:val="left" w:pos="1040"/>
        </w:tabs>
        <w:ind w:left="439"/>
        <w:rPr>
          <w:lang w:val="da-DK"/>
        </w:rPr>
      </w:pPr>
      <w:r w:rsidRPr="004F55B9">
        <w:rPr>
          <w:spacing w:val="-5"/>
          <w:lang w:val="da-DK"/>
        </w:rPr>
        <w:t>**</w:t>
      </w:r>
      <w:r w:rsidRPr="004F55B9">
        <w:rPr>
          <w:lang w:val="da-DK"/>
        </w:rPr>
        <w:tab/>
        <w:t>Baseret</w:t>
      </w:r>
      <w:r w:rsidRPr="004F55B9">
        <w:rPr>
          <w:spacing w:val="-10"/>
          <w:lang w:val="da-DK"/>
        </w:rPr>
        <w:t xml:space="preserve"> </w:t>
      </w:r>
      <w:r w:rsidRPr="004F55B9">
        <w:rPr>
          <w:lang w:val="da-DK"/>
        </w:rPr>
        <w:t>på</w:t>
      </w:r>
      <w:r w:rsidRPr="004F55B9">
        <w:rPr>
          <w:spacing w:val="-9"/>
          <w:lang w:val="da-DK"/>
        </w:rPr>
        <w:t xml:space="preserve"> </w:t>
      </w:r>
      <w:r w:rsidRPr="004F55B9">
        <w:rPr>
          <w:lang w:val="da-DK"/>
        </w:rPr>
        <w:t>post-marketing</w:t>
      </w:r>
      <w:r w:rsidRPr="004F55B9">
        <w:rPr>
          <w:spacing w:val="-10"/>
          <w:lang w:val="da-DK"/>
        </w:rPr>
        <w:t xml:space="preserve"> </w:t>
      </w:r>
      <w:r w:rsidRPr="004F55B9">
        <w:rPr>
          <w:lang w:val="da-DK"/>
        </w:rPr>
        <w:t>rapporter.</w:t>
      </w:r>
      <w:r w:rsidRPr="004F55B9">
        <w:rPr>
          <w:spacing w:val="-9"/>
          <w:lang w:val="da-DK"/>
        </w:rPr>
        <w:t xml:space="preserve"> </w:t>
      </w:r>
      <w:r w:rsidRPr="004F55B9">
        <w:rPr>
          <w:lang w:val="da-DK"/>
        </w:rPr>
        <w:t>Frekvens</w:t>
      </w:r>
      <w:r w:rsidRPr="004F55B9">
        <w:rPr>
          <w:spacing w:val="-10"/>
          <w:lang w:val="da-DK"/>
        </w:rPr>
        <w:t xml:space="preserve"> </w:t>
      </w:r>
      <w:r w:rsidRPr="004F55B9">
        <w:rPr>
          <w:lang w:val="da-DK"/>
        </w:rPr>
        <w:t>kan</w:t>
      </w:r>
      <w:r w:rsidRPr="004F55B9">
        <w:rPr>
          <w:spacing w:val="-9"/>
          <w:lang w:val="da-DK"/>
        </w:rPr>
        <w:t xml:space="preserve"> </w:t>
      </w:r>
      <w:r w:rsidRPr="004F55B9">
        <w:rPr>
          <w:lang w:val="da-DK"/>
        </w:rPr>
        <w:t>ikke</w:t>
      </w:r>
      <w:r w:rsidRPr="004F55B9">
        <w:rPr>
          <w:spacing w:val="-10"/>
          <w:lang w:val="da-DK"/>
        </w:rPr>
        <w:t xml:space="preserve"> </w:t>
      </w:r>
      <w:r w:rsidRPr="004F55B9">
        <w:rPr>
          <w:lang w:val="da-DK"/>
        </w:rPr>
        <w:t>estimeres</w:t>
      </w:r>
      <w:r w:rsidRPr="004F55B9">
        <w:rPr>
          <w:spacing w:val="-10"/>
          <w:lang w:val="da-DK"/>
        </w:rPr>
        <w:t xml:space="preserve"> </w:t>
      </w:r>
      <w:r w:rsidRPr="004F55B9">
        <w:rPr>
          <w:lang w:val="da-DK"/>
        </w:rPr>
        <w:t>ud</w:t>
      </w:r>
      <w:r w:rsidRPr="004F55B9">
        <w:rPr>
          <w:spacing w:val="-9"/>
          <w:lang w:val="da-DK"/>
        </w:rPr>
        <w:t xml:space="preserve"> </w:t>
      </w:r>
      <w:r w:rsidRPr="004F55B9">
        <w:rPr>
          <w:lang w:val="da-DK"/>
        </w:rPr>
        <w:t>fra</w:t>
      </w:r>
      <w:r w:rsidRPr="004F55B9">
        <w:rPr>
          <w:spacing w:val="-10"/>
          <w:lang w:val="da-DK"/>
        </w:rPr>
        <w:t xml:space="preserve"> </w:t>
      </w:r>
      <w:r w:rsidRPr="004F55B9">
        <w:rPr>
          <w:lang w:val="da-DK"/>
        </w:rPr>
        <w:t>forhåndenværende</w:t>
      </w:r>
      <w:r w:rsidRPr="004F55B9">
        <w:rPr>
          <w:spacing w:val="-9"/>
          <w:lang w:val="da-DK"/>
        </w:rPr>
        <w:t xml:space="preserve"> </w:t>
      </w:r>
      <w:r w:rsidRPr="004F55B9">
        <w:rPr>
          <w:spacing w:val="-2"/>
          <w:lang w:val="da-DK"/>
        </w:rPr>
        <w:t>data.</w:t>
      </w:r>
    </w:p>
    <w:p w14:paraId="4D7D1F7F" w14:textId="77777777" w:rsidR="00635AAA" w:rsidRPr="00E6192E" w:rsidRDefault="00635AAA" w:rsidP="00A26C52">
      <w:pPr>
        <w:pStyle w:val="Brdtekst"/>
        <w:tabs>
          <w:tab w:val="left" w:pos="1040"/>
        </w:tabs>
        <w:ind w:left="439"/>
        <w:rPr>
          <w:lang w:val="da-DK"/>
        </w:rPr>
      </w:pPr>
      <w:r w:rsidRPr="00E6192E">
        <w:rPr>
          <w:spacing w:val="-10"/>
          <w:lang w:val="da-DK"/>
        </w:rPr>
        <w:t>†</w:t>
      </w:r>
      <w:r w:rsidRPr="00E6192E">
        <w:rPr>
          <w:lang w:val="da-DK"/>
        </w:rPr>
        <w:tab/>
        <w:t>Set</w:t>
      </w:r>
      <w:r w:rsidRPr="00E6192E">
        <w:rPr>
          <w:spacing w:val="-5"/>
          <w:lang w:val="da-DK"/>
        </w:rPr>
        <w:t xml:space="preserve"> </w:t>
      </w:r>
      <w:r w:rsidRPr="00E6192E">
        <w:rPr>
          <w:lang w:val="da-DK"/>
        </w:rPr>
        <w:t>efter</w:t>
      </w:r>
      <w:r w:rsidRPr="00E6192E">
        <w:rPr>
          <w:spacing w:val="-5"/>
          <w:lang w:val="da-DK"/>
        </w:rPr>
        <w:t xml:space="preserve"> </w:t>
      </w:r>
      <w:r w:rsidRPr="00E6192E">
        <w:rPr>
          <w:spacing w:val="-2"/>
          <w:lang w:val="da-DK"/>
        </w:rPr>
        <w:t>markedsføring.</w:t>
      </w:r>
    </w:p>
    <w:p w14:paraId="4378FEAE" w14:textId="48615B85" w:rsidR="00865237" w:rsidRPr="00635AAA" w:rsidRDefault="00865237" w:rsidP="00A26C52">
      <w:pPr>
        <w:ind w:left="851"/>
        <w:rPr>
          <w:rFonts w:eastAsia="Calibri"/>
          <w:sz w:val="24"/>
          <w:szCs w:val="24"/>
        </w:rPr>
      </w:pPr>
    </w:p>
    <w:p w14:paraId="2E55F74C" w14:textId="77777777" w:rsidR="00635AAA" w:rsidRPr="00635AAA" w:rsidRDefault="00635AAA" w:rsidP="00A26C52">
      <w:pPr>
        <w:ind w:left="851"/>
        <w:rPr>
          <w:rFonts w:eastAsia="Calibri"/>
          <w:sz w:val="24"/>
          <w:szCs w:val="24"/>
        </w:rPr>
      </w:pPr>
      <w:r w:rsidRPr="00635AAA">
        <w:rPr>
          <w:rFonts w:eastAsia="Calibri"/>
          <w:sz w:val="24"/>
          <w:szCs w:val="24"/>
          <w:u w:val="single"/>
        </w:rPr>
        <w:t>Beskrivelse af udvalgte bivirkninger</w:t>
      </w:r>
    </w:p>
    <w:p w14:paraId="4EAD02B3" w14:textId="77777777" w:rsidR="00635AAA" w:rsidRDefault="00635AAA" w:rsidP="00A26C52">
      <w:pPr>
        <w:ind w:left="851"/>
        <w:rPr>
          <w:rFonts w:eastAsia="Calibri"/>
          <w:i/>
          <w:sz w:val="24"/>
          <w:szCs w:val="24"/>
          <w:u w:val="single"/>
        </w:rPr>
      </w:pPr>
    </w:p>
    <w:p w14:paraId="32FCDA7A" w14:textId="00802235" w:rsidR="00635AAA" w:rsidRPr="00635AAA" w:rsidRDefault="00635AAA" w:rsidP="00A26C52">
      <w:pPr>
        <w:ind w:left="851"/>
        <w:rPr>
          <w:rFonts w:eastAsia="Calibri"/>
          <w:i/>
          <w:sz w:val="24"/>
          <w:szCs w:val="24"/>
        </w:rPr>
      </w:pPr>
      <w:r w:rsidRPr="00635AAA">
        <w:rPr>
          <w:rFonts w:eastAsia="Calibri"/>
          <w:i/>
          <w:sz w:val="24"/>
          <w:szCs w:val="24"/>
        </w:rPr>
        <w:t>Atrieflimren</w:t>
      </w:r>
    </w:p>
    <w:p w14:paraId="2956592E" w14:textId="77777777" w:rsidR="00635AAA" w:rsidRPr="00635AAA" w:rsidRDefault="00635AAA" w:rsidP="00A26C52">
      <w:pPr>
        <w:ind w:left="851"/>
        <w:rPr>
          <w:rFonts w:eastAsia="Calibri"/>
          <w:sz w:val="24"/>
          <w:szCs w:val="24"/>
        </w:rPr>
      </w:pPr>
      <w:r w:rsidRPr="00635AAA">
        <w:rPr>
          <w:rFonts w:eastAsia="Calibri"/>
          <w:sz w:val="24"/>
          <w:szCs w:val="24"/>
        </w:rPr>
        <w:t xml:space="preserve">I HORIZON – Betydningsfuld Fraktur Studie [PFT] (se pkt. 5.1) var den generelle forekomst af atrieflimren 2,5 % (96 ud af 3.862) og 1,9 % (75 ud af 3.852) hos patienter, som fik henholdsvis zoledronsyre og placebo. Frekvensen af atrieflimren som alvorlig utilsigtigt hændelse var øget hos patienter i behandling med zoledronsyre (1,3 %) (51 ud af 3.862) sammenlignet med patienter som modtog placebo (0,6 %) (22 ud af 3.852) Mekanismen bag den øgede forekomst af atrieflimren er ukendt. I osteoporoseforsøget (PFT, HORIZON – Tilbagevendende Fraktur Studie [RFT] var den samlede incidens for atrieflimren sammenlignelig for zoledronsyre (2,6 %) og placebo (2,1 %). For alvorlige </w:t>
      </w:r>
      <w:r w:rsidRPr="00635AAA">
        <w:rPr>
          <w:rFonts w:eastAsia="Calibri"/>
          <w:sz w:val="24"/>
          <w:szCs w:val="24"/>
        </w:rPr>
        <w:lastRenderedPageBreak/>
        <w:t>bivirkninger af atrieflimren var den samlede incidens 1,3 % for zoledronsyre og 0,8 % for placebo.</w:t>
      </w:r>
    </w:p>
    <w:p w14:paraId="5A00C8BB" w14:textId="77777777" w:rsidR="00635AAA" w:rsidRPr="00635AAA" w:rsidRDefault="00635AAA" w:rsidP="00A26C52">
      <w:pPr>
        <w:ind w:left="851"/>
        <w:rPr>
          <w:rFonts w:eastAsia="Calibri"/>
          <w:sz w:val="24"/>
          <w:szCs w:val="24"/>
        </w:rPr>
      </w:pPr>
    </w:p>
    <w:p w14:paraId="5DCE8505" w14:textId="5FD3228D" w:rsidR="00635AAA" w:rsidRPr="00635AAA" w:rsidRDefault="00635AAA" w:rsidP="00A26C52">
      <w:pPr>
        <w:ind w:left="851"/>
        <w:rPr>
          <w:rFonts w:eastAsia="Calibri"/>
          <w:i/>
          <w:sz w:val="24"/>
          <w:szCs w:val="24"/>
        </w:rPr>
      </w:pPr>
      <w:r w:rsidRPr="00635AAA">
        <w:rPr>
          <w:rFonts w:eastAsia="Calibri"/>
          <w:i/>
          <w:sz w:val="24"/>
          <w:szCs w:val="24"/>
          <w:u w:val="single"/>
        </w:rPr>
        <w:t>Klasseeffekter</w:t>
      </w:r>
    </w:p>
    <w:p w14:paraId="7E9440F2" w14:textId="77777777" w:rsidR="0083612A" w:rsidRDefault="0083612A" w:rsidP="00A26C52">
      <w:pPr>
        <w:ind w:left="851"/>
        <w:rPr>
          <w:rFonts w:eastAsia="Calibri"/>
          <w:i/>
          <w:sz w:val="24"/>
          <w:szCs w:val="24"/>
        </w:rPr>
      </w:pPr>
    </w:p>
    <w:p w14:paraId="56D1FD3D" w14:textId="41E162B3" w:rsidR="00635AAA" w:rsidRPr="00635AAA" w:rsidRDefault="00635AAA" w:rsidP="00A26C52">
      <w:pPr>
        <w:ind w:left="851"/>
        <w:rPr>
          <w:rFonts w:eastAsia="Calibri"/>
          <w:i/>
          <w:sz w:val="24"/>
          <w:szCs w:val="24"/>
        </w:rPr>
      </w:pPr>
      <w:r w:rsidRPr="00635AAA">
        <w:rPr>
          <w:rFonts w:eastAsia="Calibri"/>
          <w:i/>
          <w:sz w:val="24"/>
          <w:szCs w:val="24"/>
        </w:rPr>
        <w:t>Nedsat nyrefunktion</w:t>
      </w:r>
    </w:p>
    <w:p w14:paraId="50ECE0A1" w14:textId="77777777" w:rsidR="00635AAA" w:rsidRPr="00635AAA" w:rsidRDefault="00635AAA" w:rsidP="00A26C52">
      <w:pPr>
        <w:ind w:left="851"/>
        <w:rPr>
          <w:rFonts w:eastAsia="Calibri"/>
          <w:sz w:val="24"/>
          <w:szCs w:val="24"/>
        </w:rPr>
      </w:pPr>
      <w:r w:rsidRPr="00635AAA">
        <w:rPr>
          <w:rFonts w:eastAsia="Calibri"/>
          <w:sz w:val="24"/>
          <w:szCs w:val="24"/>
        </w:rPr>
        <w:t>Zoledronsyre er associeret med nedsat nyrefunktion manifesteret som en forringelse af nyrefunktionen (dvs. øget serumkreatinin) og i sjældne tilfælde akut nyresvigt. Nedsat nyrefunktion er set efter administration af zoledronsyre, specielt hos patienter med eksisterende nyreproblemer eller yderligere risikofaktorer (fx ældre patienter, cancerpatienter i kemoterapibehandling, samtidig behandling med nefrotoksiske lægemidler, samtidig behandling med diuretika, svær dehydrering), hvoraf de fleste modtog en dosis på 4 mg hver 3.-4. uge, men det er set hos patienter efter en enkelt administration.</w:t>
      </w:r>
    </w:p>
    <w:p w14:paraId="2A7267AB" w14:textId="77777777" w:rsidR="00635AAA" w:rsidRPr="00635AAA" w:rsidRDefault="00635AAA" w:rsidP="00A26C52">
      <w:pPr>
        <w:ind w:left="851"/>
        <w:rPr>
          <w:rFonts w:eastAsia="Calibri"/>
          <w:sz w:val="24"/>
          <w:szCs w:val="24"/>
        </w:rPr>
      </w:pPr>
    </w:p>
    <w:p w14:paraId="01FFC32C" w14:textId="77777777" w:rsidR="00635AAA" w:rsidRPr="00635AAA" w:rsidRDefault="00635AAA" w:rsidP="00A26C52">
      <w:pPr>
        <w:ind w:left="851"/>
        <w:rPr>
          <w:rFonts w:eastAsia="Calibri"/>
          <w:sz w:val="24"/>
          <w:szCs w:val="24"/>
        </w:rPr>
      </w:pPr>
      <w:r w:rsidRPr="00635AAA">
        <w:rPr>
          <w:rFonts w:eastAsia="Calibri"/>
          <w:sz w:val="24"/>
          <w:szCs w:val="24"/>
        </w:rPr>
        <w:t>I kliniske studier om osteoporose var ændringen i kreatininclearance (målt årligt før dosering) og incidensen af nyresvigt og nedsat nyrefunktion sammenlignelig for zoledronsyre - og placebobehandlings- gruppen over tre år. Der sås en forbigående stigning i serumkreatinin inden for 10 dage hos 1,8 % af patienterne behandlet med zoledronsyre mod 0,8 % hos patienterne behandlet med placebo.</w:t>
      </w:r>
    </w:p>
    <w:p w14:paraId="4BEF1D5D" w14:textId="77777777" w:rsidR="00635AAA" w:rsidRPr="00635AAA" w:rsidRDefault="00635AAA" w:rsidP="00A26C52">
      <w:pPr>
        <w:ind w:left="851"/>
        <w:rPr>
          <w:rFonts w:eastAsia="Calibri"/>
          <w:sz w:val="24"/>
          <w:szCs w:val="24"/>
        </w:rPr>
      </w:pPr>
    </w:p>
    <w:p w14:paraId="2F466356" w14:textId="77777777" w:rsidR="00635AAA" w:rsidRPr="00635AAA" w:rsidRDefault="00635AAA" w:rsidP="00A26C52">
      <w:pPr>
        <w:ind w:left="851"/>
        <w:rPr>
          <w:rFonts w:eastAsia="Calibri"/>
          <w:i/>
          <w:sz w:val="24"/>
          <w:szCs w:val="24"/>
        </w:rPr>
      </w:pPr>
      <w:r w:rsidRPr="00635AAA">
        <w:rPr>
          <w:rFonts w:eastAsia="Calibri"/>
          <w:i/>
          <w:sz w:val="24"/>
          <w:szCs w:val="24"/>
        </w:rPr>
        <w:t>Hypokalcæmi</w:t>
      </w:r>
    </w:p>
    <w:p w14:paraId="3A5DAFF6" w14:textId="77777777" w:rsidR="00635AAA" w:rsidRPr="00635AAA" w:rsidRDefault="00635AAA" w:rsidP="00A26C52">
      <w:pPr>
        <w:ind w:left="851"/>
        <w:rPr>
          <w:rFonts w:eastAsia="Calibri"/>
          <w:sz w:val="24"/>
          <w:szCs w:val="24"/>
        </w:rPr>
      </w:pPr>
      <w:r w:rsidRPr="00635AAA">
        <w:rPr>
          <w:rFonts w:eastAsia="Calibri"/>
          <w:sz w:val="24"/>
          <w:szCs w:val="24"/>
        </w:rPr>
        <w:t>I kliniske studier om osteoporose havde omkring 0,2 % af patienterne et betydeligt fald i serumcalciumniveauet (mindre end 1,87 mmol/l) efter administration af zoledronsyre. Der sås ingen symptomatiske tilfælde af hypokalcæmi.</w:t>
      </w:r>
    </w:p>
    <w:p w14:paraId="3734426A" w14:textId="77777777" w:rsidR="00635AAA" w:rsidRPr="00635AAA" w:rsidRDefault="00635AAA" w:rsidP="00A26C52">
      <w:pPr>
        <w:ind w:left="851"/>
        <w:rPr>
          <w:rFonts w:eastAsia="Calibri"/>
          <w:sz w:val="24"/>
          <w:szCs w:val="24"/>
        </w:rPr>
      </w:pPr>
    </w:p>
    <w:p w14:paraId="6AE4B260" w14:textId="77777777" w:rsidR="00635AAA" w:rsidRPr="00635AAA" w:rsidRDefault="00635AAA" w:rsidP="00A26C52">
      <w:pPr>
        <w:ind w:left="851"/>
        <w:rPr>
          <w:rFonts w:eastAsia="Calibri"/>
          <w:sz w:val="24"/>
          <w:szCs w:val="24"/>
        </w:rPr>
      </w:pPr>
      <w:r w:rsidRPr="00635AAA">
        <w:rPr>
          <w:rFonts w:eastAsia="Calibri"/>
          <w:sz w:val="24"/>
          <w:szCs w:val="24"/>
        </w:rPr>
        <w:t>I forsøgene med Pagets sygdom sås der hypokalcæmi hos ca. 1 % af patienterne, og det forsvandt hos alle.</w:t>
      </w:r>
    </w:p>
    <w:p w14:paraId="629BECDB" w14:textId="77777777" w:rsidR="00635AAA" w:rsidRPr="00635AAA" w:rsidRDefault="00635AAA" w:rsidP="00A26C52">
      <w:pPr>
        <w:ind w:left="851"/>
        <w:rPr>
          <w:rFonts w:eastAsia="Calibri"/>
          <w:sz w:val="24"/>
          <w:szCs w:val="24"/>
        </w:rPr>
      </w:pPr>
    </w:p>
    <w:p w14:paraId="12DA81A0" w14:textId="77777777" w:rsidR="00635AAA" w:rsidRPr="00635AAA" w:rsidRDefault="00635AAA" w:rsidP="00A26C52">
      <w:pPr>
        <w:ind w:left="851"/>
        <w:rPr>
          <w:rFonts w:eastAsia="Calibri"/>
          <w:sz w:val="24"/>
          <w:szCs w:val="24"/>
        </w:rPr>
      </w:pPr>
      <w:r w:rsidRPr="00635AAA">
        <w:rPr>
          <w:rFonts w:eastAsia="Calibri"/>
          <w:sz w:val="24"/>
          <w:szCs w:val="24"/>
        </w:rPr>
        <w:t>Laboratorieundersøgelser viste forbigående kalciumniveauer under den normale referenceværdi (mindre end 2,10 mmol/l) hos 2,3 % af de zoledronsyre -behandlede patienter i et større klinisk studie sammenlignet med 21 % af zoledronsyre -behandlede patienter i de kliniske forsøg med Pagets sygdom. Frekvensen af hypokalcæmi var meget lavere efter de efterfølgende infusioner.</w:t>
      </w:r>
    </w:p>
    <w:p w14:paraId="63AB9876" w14:textId="77777777" w:rsidR="00635AAA" w:rsidRPr="00635AAA" w:rsidRDefault="00635AAA" w:rsidP="00A26C52">
      <w:pPr>
        <w:ind w:left="851"/>
        <w:rPr>
          <w:rFonts w:eastAsia="Calibri"/>
          <w:sz w:val="24"/>
          <w:szCs w:val="24"/>
        </w:rPr>
      </w:pPr>
    </w:p>
    <w:p w14:paraId="4904CFB1" w14:textId="77777777" w:rsidR="00635AAA" w:rsidRPr="00635AAA" w:rsidRDefault="00635AAA" w:rsidP="00A26C52">
      <w:pPr>
        <w:ind w:left="851"/>
        <w:rPr>
          <w:rFonts w:eastAsia="Calibri"/>
          <w:sz w:val="24"/>
          <w:szCs w:val="24"/>
        </w:rPr>
      </w:pPr>
      <w:r w:rsidRPr="00635AAA">
        <w:rPr>
          <w:rFonts w:eastAsia="Calibri"/>
          <w:sz w:val="24"/>
          <w:szCs w:val="24"/>
        </w:rPr>
        <w:t>Alle patienter modtog tilstrækkeligt D-vitamin- og calciumtilskud i det postmenopausale osteoporosestudie, forebyggelsesstudiet af kliniske frakturer efter hoftefraktur, og studierne med Pagets sygdom (se også pkt. 4.2). I forebyggelsesstudiet for kliniske frakturer efter en nylig hoftefraktur blev D-vitamin niveauet ikke målt rutinemæssigt, men flertallet af patienter modtog en støddosis D-vitamin forud for administrationen af zoledronsyre (se pkt. 4.2).</w:t>
      </w:r>
    </w:p>
    <w:p w14:paraId="58A0978F" w14:textId="77777777" w:rsidR="00635AAA" w:rsidRPr="00635AAA" w:rsidRDefault="00635AAA" w:rsidP="00A26C52">
      <w:pPr>
        <w:ind w:left="851"/>
        <w:rPr>
          <w:rFonts w:eastAsia="Calibri"/>
          <w:sz w:val="24"/>
          <w:szCs w:val="24"/>
        </w:rPr>
      </w:pPr>
    </w:p>
    <w:p w14:paraId="23E3361F" w14:textId="77777777" w:rsidR="00635AAA" w:rsidRPr="00635AAA" w:rsidRDefault="00635AAA" w:rsidP="00A26C52">
      <w:pPr>
        <w:ind w:left="851"/>
        <w:rPr>
          <w:rFonts w:eastAsia="Calibri"/>
          <w:i/>
          <w:sz w:val="24"/>
          <w:szCs w:val="24"/>
        </w:rPr>
      </w:pPr>
      <w:r w:rsidRPr="00635AAA">
        <w:rPr>
          <w:rFonts w:eastAsia="Calibri"/>
          <w:i/>
          <w:sz w:val="24"/>
          <w:szCs w:val="24"/>
        </w:rPr>
        <w:t>Lokale reaktioner</w:t>
      </w:r>
    </w:p>
    <w:p w14:paraId="5EA00FB0" w14:textId="77777777" w:rsidR="00635AAA" w:rsidRPr="00635AAA" w:rsidRDefault="00635AAA" w:rsidP="00A26C52">
      <w:pPr>
        <w:ind w:left="851"/>
        <w:rPr>
          <w:rFonts w:eastAsia="Calibri"/>
          <w:sz w:val="24"/>
          <w:szCs w:val="24"/>
        </w:rPr>
      </w:pPr>
      <w:r w:rsidRPr="00635AAA">
        <w:rPr>
          <w:rFonts w:eastAsia="Calibri"/>
          <w:sz w:val="24"/>
          <w:szCs w:val="24"/>
        </w:rPr>
        <w:t>I et større klinisk studie blev der rapporteret lokale reaktioner som rødme, hævelse og/eller smerter på infusionsstedet (0,7 %) efter administration af zoledronsyre.</w:t>
      </w:r>
    </w:p>
    <w:p w14:paraId="3D86B744" w14:textId="77777777" w:rsidR="00635AAA" w:rsidRPr="00635AAA" w:rsidRDefault="00635AAA" w:rsidP="00A26C52">
      <w:pPr>
        <w:ind w:left="851"/>
        <w:rPr>
          <w:rFonts w:eastAsia="Calibri"/>
          <w:sz w:val="24"/>
          <w:szCs w:val="24"/>
        </w:rPr>
      </w:pPr>
    </w:p>
    <w:p w14:paraId="74318DDB" w14:textId="77777777" w:rsidR="00635AAA" w:rsidRPr="00635AAA" w:rsidRDefault="00635AAA" w:rsidP="00A26C52">
      <w:pPr>
        <w:ind w:left="851"/>
        <w:rPr>
          <w:rFonts w:eastAsia="Calibri"/>
          <w:i/>
          <w:sz w:val="24"/>
          <w:szCs w:val="24"/>
        </w:rPr>
      </w:pPr>
      <w:r w:rsidRPr="00635AAA">
        <w:rPr>
          <w:rFonts w:eastAsia="Calibri"/>
          <w:i/>
          <w:sz w:val="24"/>
          <w:szCs w:val="24"/>
        </w:rPr>
        <w:t>Osteonekrose af kæberne</w:t>
      </w:r>
    </w:p>
    <w:p w14:paraId="2C1C08D0" w14:textId="77777777" w:rsidR="00635AAA" w:rsidRPr="00635AAA" w:rsidRDefault="00635AAA" w:rsidP="00A26C52">
      <w:pPr>
        <w:ind w:left="851"/>
        <w:rPr>
          <w:rFonts w:eastAsia="Calibri"/>
          <w:sz w:val="24"/>
          <w:szCs w:val="24"/>
        </w:rPr>
      </w:pPr>
      <w:r w:rsidRPr="00635AAA">
        <w:rPr>
          <w:rFonts w:eastAsia="Calibri"/>
          <w:sz w:val="24"/>
          <w:szCs w:val="24"/>
        </w:rPr>
        <w:t xml:space="preserve">Tilfælde af osteonekrose af kæberne er blevet rapporteret overvejende hos cancerpatienter, der er i behandling med lægemidler, der hæmmer knogleresorption, herunder zoledronsyre (se pkt. 4.4). I et større klinisk studie med 7.736 patienter er der rapporteret om osteonekrose i kæberne hos en patient behandlet med zoledronsyre og en patient behandlet </w:t>
      </w:r>
      <w:r w:rsidRPr="00635AAA">
        <w:rPr>
          <w:rFonts w:eastAsia="Calibri"/>
          <w:sz w:val="24"/>
          <w:szCs w:val="24"/>
        </w:rPr>
        <w:lastRenderedPageBreak/>
        <w:t>med placebo. Tilfælde af osteonekrose af kæberne er blevet rapporteret efter markedsføring for zoledronsyre.</w:t>
      </w:r>
    </w:p>
    <w:p w14:paraId="4A8AEFF3" w14:textId="77777777" w:rsidR="00635AAA" w:rsidRPr="00635AAA" w:rsidRDefault="00635AAA" w:rsidP="00A26C52">
      <w:pPr>
        <w:ind w:left="851"/>
        <w:rPr>
          <w:rFonts w:eastAsia="Calibri"/>
          <w:sz w:val="24"/>
          <w:szCs w:val="24"/>
        </w:rPr>
      </w:pPr>
    </w:p>
    <w:p w14:paraId="4F2415B1" w14:textId="77777777" w:rsidR="00635AAA" w:rsidRPr="00635AAA" w:rsidRDefault="00635AAA" w:rsidP="00A26C52">
      <w:pPr>
        <w:ind w:left="851"/>
        <w:rPr>
          <w:rFonts w:eastAsia="Calibri"/>
          <w:i/>
          <w:sz w:val="24"/>
          <w:szCs w:val="24"/>
        </w:rPr>
      </w:pPr>
      <w:r w:rsidRPr="00635AAA">
        <w:rPr>
          <w:rFonts w:eastAsia="Calibri"/>
          <w:i/>
          <w:sz w:val="24"/>
          <w:szCs w:val="24"/>
        </w:rPr>
        <w:t>Akutfase reaktioner</w:t>
      </w:r>
    </w:p>
    <w:p w14:paraId="36610E07" w14:textId="77777777" w:rsidR="00635AAA" w:rsidRPr="00635AAA" w:rsidRDefault="00635AAA" w:rsidP="00A26C52">
      <w:pPr>
        <w:ind w:left="851"/>
        <w:rPr>
          <w:rFonts w:eastAsia="Calibri"/>
          <w:sz w:val="24"/>
          <w:szCs w:val="24"/>
        </w:rPr>
      </w:pPr>
      <w:r w:rsidRPr="00635AAA">
        <w:rPr>
          <w:rFonts w:eastAsia="Calibri"/>
          <w:sz w:val="24"/>
          <w:szCs w:val="24"/>
        </w:rPr>
        <w:t>Den samlede procentdel af patienter, som oplevede akutfase reaktioner eller post-dosis-symptomer (inkl. alvorlige tilfælde) efter administration af zoledronsyre, er følgende (frekvenserne stammer fra studiet med behandling af post-menopausal osteoporose): feber (18,1 %), myalgi (9,4 %), influenzalignende symptomer (7,8 %), artralgi (6,8 %) og hovedpine (6,5 %), hvoraf størstedelen var opstået inden for tre dage efter administration af zoledronsyre. Størstedelen af disse symptomer var lette til moderate og ophørte inden for 3 dage efter opståen. Incidensen af disse symptomer aftog ved de efterfølgende årlige doser af zoledronsyre. Procentdelen af patienter, der oplevede bivirkninger, var lavere i et mindre studie (19,5 %, 10,4 %, 10,7 % efter henholdsvis den første, anden og tredje infusion), hvor der var anvendt profylakse mod bivirkninger (se pkt. 4.4).</w:t>
      </w:r>
    </w:p>
    <w:p w14:paraId="40686C6E" w14:textId="77777777" w:rsidR="00635AAA" w:rsidRDefault="00635AAA" w:rsidP="00A26C52">
      <w:pPr>
        <w:ind w:left="851"/>
        <w:rPr>
          <w:rFonts w:eastAsia="Calibri"/>
          <w:sz w:val="24"/>
          <w:szCs w:val="24"/>
          <w:u w:val="single"/>
        </w:rPr>
      </w:pPr>
    </w:p>
    <w:p w14:paraId="4B012B55" w14:textId="3BB596D6" w:rsidR="00635AAA" w:rsidRPr="00635AAA" w:rsidRDefault="00635AAA" w:rsidP="00A26C52">
      <w:pPr>
        <w:ind w:left="851"/>
        <w:rPr>
          <w:rFonts w:eastAsia="Calibri"/>
          <w:sz w:val="24"/>
          <w:szCs w:val="24"/>
        </w:rPr>
      </w:pPr>
      <w:r w:rsidRPr="00635AAA">
        <w:rPr>
          <w:rFonts w:eastAsia="Calibri"/>
          <w:sz w:val="24"/>
          <w:szCs w:val="24"/>
          <w:u w:val="single"/>
        </w:rPr>
        <w:t>Indberetning af formodede bivirkninger</w:t>
      </w:r>
    </w:p>
    <w:p w14:paraId="06E8442F" w14:textId="77777777" w:rsidR="00635AAA" w:rsidRPr="00635AAA" w:rsidRDefault="00635AAA" w:rsidP="00A26C52">
      <w:pPr>
        <w:ind w:left="851"/>
        <w:rPr>
          <w:rFonts w:eastAsia="Calibri"/>
          <w:sz w:val="24"/>
          <w:szCs w:val="24"/>
        </w:rPr>
      </w:pPr>
      <w:r w:rsidRPr="00635AAA">
        <w:rPr>
          <w:rFonts w:eastAsia="Calibri"/>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78C6C8F" w14:textId="77777777" w:rsidR="00635AAA" w:rsidRPr="00635AAA" w:rsidRDefault="00635AAA" w:rsidP="00A26C52">
      <w:pPr>
        <w:ind w:left="851"/>
        <w:rPr>
          <w:rFonts w:eastAsia="Calibri"/>
          <w:sz w:val="24"/>
          <w:szCs w:val="24"/>
        </w:rPr>
      </w:pPr>
    </w:p>
    <w:p w14:paraId="012D673F" w14:textId="77777777" w:rsidR="00635AAA" w:rsidRPr="00635AAA" w:rsidRDefault="00635AAA" w:rsidP="00A26C52">
      <w:pPr>
        <w:ind w:left="851"/>
        <w:rPr>
          <w:rFonts w:eastAsia="Calibri"/>
          <w:sz w:val="24"/>
          <w:szCs w:val="24"/>
        </w:rPr>
      </w:pPr>
      <w:r w:rsidRPr="00635AAA">
        <w:rPr>
          <w:rFonts w:eastAsia="Calibri"/>
          <w:sz w:val="24"/>
          <w:szCs w:val="24"/>
        </w:rPr>
        <w:t>Lægemiddelstyrelsen</w:t>
      </w:r>
    </w:p>
    <w:p w14:paraId="45DE7F54" w14:textId="77777777" w:rsidR="00635AAA" w:rsidRPr="00635AAA" w:rsidRDefault="00635AAA" w:rsidP="00A26C52">
      <w:pPr>
        <w:ind w:left="851"/>
        <w:rPr>
          <w:rFonts w:eastAsia="Calibri"/>
          <w:sz w:val="24"/>
          <w:szCs w:val="24"/>
        </w:rPr>
      </w:pPr>
      <w:r w:rsidRPr="00635AAA">
        <w:rPr>
          <w:rFonts w:eastAsia="Calibri"/>
          <w:sz w:val="24"/>
          <w:szCs w:val="24"/>
        </w:rPr>
        <w:t>Axel Heides Gade 1</w:t>
      </w:r>
    </w:p>
    <w:p w14:paraId="03C79023" w14:textId="77777777" w:rsidR="00635AAA" w:rsidRPr="00635AAA" w:rsidRDefault="00635AAA" w:rsidP="00A26C52">
      <w:pPr>
        <w:ind w:left="851"/>
        <w:rPr>
          <w:rFonts w:eastAsia="Calibri"/>
          <w:sz w:val="24"/>
          <w:szCs w:val="24"/>
        </w:rPr>
      </w:pPr>
      <w:r w:rsidRPr="00635AAA">
        <w:rPr>
          <w:rFonts w:eastAsia="Calibri"/>
          <w:sz w:val="24"/>
          <w:szCs w:val="24"/>
        </w:rPr>
        <w:t>DK-2300 København S</w:t>
      </w:r>
    </w:p>
    <w:p w14:paraId="19F14CC2" w14:textId="0B612BB6" w:rsidR="00635AAA" w:rsidRPr="00635AAA" w:rsidRDefault="00635AAA" w:rsidP="00A26C52">
      <w:pPr>
        <w:ind w:left="851"/>
        <w:rPr>
          <w:rFonts w:eastAsia="Calibri"/>
          <w:sz w:val="24"/>
          <w:szCs w:val="24"/>
        </w:rPr>
      </w:pPr>
      <w:r w:rsidRPr="00635AAA">
        <w:rPr>
          <w:rFonts w:eastAsia="Calibri"/>
          <w:sz w:val="24"/>
          <w:szCs w:val="24"/>
        </w:rPr>
        <w:t>Websted: www.meldenbivirkning.dk</w:t>
      </w:r>
    </w:p>
    <w:p w14:paraId="5F01403D" w14:textId="77777777" w:rsidR="009260DE" w:rsidRPr="00A10294" w:rsidRDefault="009260DE" w:rsidP="00A26C52">
      <w:pPr>
        <w:tabs>
          <w:tab w:val="left" w:pos="851"/>
        </w:tabs>
        <w:ind w:left="851"/>
        <w:rPr>
          <w:sz w:val="24"/>
          <w:szCs w:val="24"/>
        </w:rPr>
      </w:pPr>
    </w:p>
    <w:p w14:paraId="4E0A5DB1" w14:textId="77777777" w:rsidR="009260DE" w:rsidRPr="00C84483" w:rsidRDefault="009260DE" w:rsidP="00A26C52">
      <w:pPr>
        <w:tabs>
          <w:tab w:val="left" w:pos="851"/>
        </w:tabs>
        <w:ind w:left="851" w:hanging="851"/>
        <w:rPr>
          <w:b/>
          <w:sz w:val="24"/>
          <w:szCs w:val="24"/>
        </w:rPr>
      </w:pPr>
      <w:r w:rsidRPr="00C84483">
        <w:rPr>
          <w:b/>
          <w:sz w:val="24"/>
          <w:szCs w:val="24"/>
        </w:rPr>
        <w:t>4.9</w:t>
      </w:r>
      <w:r w:rsidRPr="00C84483">
        <w:rPr>
          <w:b/>
          <w:sz w:val="24"/>
          <w:szCs w:val="24"/>
        </w:rPr>
        <w:tab/>
        <w:t>Overdosering</w:t>
      </w:r>
    </w:p>
    <w:p w14:paraId="570117F1" w14:textId="77777777" w:rsidR="0083612A" w:rsidRPr="0083612A" w:rsidRDefault="0083612A" w:rsidP="00A26C52">
      <w:pPr>
        <w:tabs>
          <w:tab w:val="left" w:pos="851"/>
        </w:tabs>
        <w:ind w:left="851"/>
        <w:rPr>
          <w:sz w:val="24"/>
          <w:szCs w:val="24"/>
        </w:rPr>
      </w:pPr>
      <w:r w:rsidRPr="0083612A">
        <w:rPr>
          <w:sz w:val="24"/>
          <w:szCs w:val="24"/>
        </w:rPr>
        <w:t>Der er begrænset klinisk erfaring med akut overdosering. Patienter, som har fået højere doser end de anbefalede, bør derfor overvåges nøje. I tilfælde af klinisk signifikant hypokalcæmi kan tilstanden reverseres ved supplerende oral calcium og/eller intravenøs infusion af calciumglukonat.</w:t>
      </w:r>
    </w:p>
    <w:p w14:paraId="23FE32A0" w14:textId="77777777" w:rsidR="009260DE" w:rsidRPr="00C84483" w:rsidRDefault="009260DE" w:rsidP="00A26C52">
      <w:pPr>
        <w:tabs>
          <w:tab w:val="left" w:pos="851"/>
        </w:tabs>
        <w:ind w:left="851"/>
        <w:rPr>
          <w:sz w:val="24"/>
          <w:szCs w:val="24"/>
        </w:rPr>
      </w:pPr>
    </w:p>
    <w:p w14:paraId="69E8F75E" w14:textId="77777777" w:rsidR="009260DE" w:rsidRPr="00C84483" w:rsidRDefault="009260DE" w:rsidP="00A26C52">
      <w:pPr>
        <w:tabs>
          <w:tab w:val="left" w:pos="851"/>
        </w:tabs>
        <w:ind w:left="851" w:hanging="851"/>
        <w:rPr>
          <w:b/>
          <w:sz w:val="24"/>
          <w:szCs w:val="24"/>
        </w:rPr>
      </w:pPr>
      <w:r w:rsidRPr="00C84483">
        <w:rPr>
          <w:b/>
          <w:sz w:val="24"/>
          <w:szCs w:val="24"/>
        </w:rPr>
        <w:t>4.10</w:t>
      </w:r>
      <w:r w:rsidRPr="00C84483">
        <w:rPr>
          <w:b/>
          <w:sz w:val="24"/>
          <w:szCs w:val="24"/>
        </w:rPr>
        <w:tab/>
        <w:t>Udlevering</w:t>
      </w:r>
    </w:p>
    <w:p w14:paraId="2966C9C9" w14:textId="08ACE9CE" w:rsidR="009260DE" w:rsidRPr="00C84483" w:rsidRDefault="0083612A" w:rsidP="00A26C52">
      <w:pPr>
        <w:tabs>
          <w:tab w:val="left" w:pos="851"/>
        </w:tabs>
        <w:ind w:left="851"/>
        <w:rPr>
          <w:sz w:val="24"/>
          <w:szCs w:val="24"/>
        </w:rPr>
      </w:pPr>
      <w:r>
        <w:rPr>
          <w:sz w:val="24"/>
          <w:szCs w:val="24"/>
        </w:rPr>
        <w:t>B</w:t>
      </w:r>
    </w:p>
    <w:p w14:paraId="6757E86D" w14:textId="77777777" w:rsidR="009260DE" w:rsidRPr="00C84483" w:rsidRDefault="009260DE" w:rsidP="00A26C52">
      <w:pPr>
        <w:tabs>
          <w:tab w:val="left" w:pos="851"/>
        </w:tabs>
        <w:ind w:left="851"/>
        <w:rPr>
          <w:sz w:val="24"/>
          <w:szCs w:val="24"/>
        </w:rPr>
      </w:pPr>
    </w:p>
    <w:p w14:paraId="327C9795" w14:textId="77777777" w:rsidR="009260DE" w:rsidRPr="00C84483" w:rsidRDefault="009260DE" w:rsidP="00A26C52">
      <w:pPr>
        <w:tabs>
          <w:tab w:val="left" w:pos="851"/>
        </w:tabs>
        <w:ind w:left="851"/>
        <w:rPr>
          <w:sz w:val="24"/>
          <w:szCs w:val="24"/>
        </w:rPr>
      </w:pPr>
    </w:p>
    <w:p w14:paraId="70CFFDE0" w14:textId="77777777" w:rsidR="009260DE" w:rsidRPr="00C84483" w:rsidRDefault="009260DE" w:rsidP="00A26C5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64B76E7" w14:textId="77777777" w:rsidR="009260DE" w:rsidRPr="00C84483" w:rsidRDefault="009260DE" w:rsidP="00A26C52">
      <w:pPr>
        <w:tabs>
          <w:tab w:val="left" w:pos="851"/>
        </w:tabs>
        <w:ind w:left="851"/>
        <w:rPr>
          <w:sz w:val="24"/>
          <w:szCs w:val="24"/>
        </w:rPr>
      </w:pPr>
    </w:p>
    <w:p w14:paraId="481D77ED" w14:textId="77777777" w:rsidR="009260DE" w:rsidRPr="00C84483" w:rsidRDefault="009260DE" w:rsidP="00A26C52">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FDEAA4F" w14:textId="152F8CF1" w:rsidR="0083612A" w:rsidRDefault="0083612A" w:rsidP="00A26C52">
      <w:pPr>
        <w:tabs>
          <w:tab w:val="left" w:pos="851"/>
        </w:tabs>
        <w:ind w:left="851"/>
        <w:rPr>
          <w:sz w:val="24"/>
          <w:szCs w:val="24"/>
        </w:rPr>
      </w:pPr>
      <w:r w:rsidRPr="0083612A">
        <w:rPr>
          <w:sz w:val="24"/>
          <w:szCs w:val="24"/>
        </w:rPr>
        <w:t>Farmakoterapeutisk klassifikation: Lægemidler til behandling af knoglesygdomme, bisfosfonater</w:t>
      </w:r>
      <w:r w:rsidR="00A26C52">
        <w:rPr>
          <w:sz w:val="24"/>
          <w:szCs w:val="24"/>
        </w:rPr>
        <w:t xml:space="preserve">, </w:t>
      </w:r>
      <w:r w:rsidRPr="0083612A">
        <w:rPr>
          <w:sz w:val="24"/>
          <w:szCs w:val="24"/>
        </w:rPr>
        <w:t>ATC-kode: M05BA08</w:t>
      </w:r>
      <w:r w:rsidR="00A26C52">
        <w:rPr>
          <w:sz w:val="24"/>
          <w:szCs w:val="24"/>
        </w:rPr>
        <w:t>.</w:t>
      </w:r>
    </w:p>
    <w:p w14:paraId="5C3EBA83" w14:textId="77777777" w:rsidR="00A26C52" w:rsidRPr="0083612A" w:rsidRDefault="00A26C52" w:rsidP="00A26C52">
      <w:pPr>
        <w:tabs>
          <w:tab w:val="left" w:pos="851"/>
        </w:tabs>
        <w:ind w:left="851"/>
        <w:rPr>
          <w:sz w:val="24"/>
          <w:szCs w:val="24"/>
        </w:rPr>
      </w:pPr>
    </w:p>
    <w:p w14:paraId="6C384BDF" w14:textId="77777777" w:rsidR="0083612A" w:rsidRPr="0083612A" w:rsidRDefault="0083612A" w:rsidP="00A26C52">
      <w:pPr>
        <w:tabs>
          <w:tab w:val="left" w:pos="851"/>
        </w:tabs>
        <w:ind w:left="851"/>
        <w:rPr>
          <w:sz w:val="24"/>
          <w:szCs w:val="24"/>
        </w:rPr>
      </w:pPr>
      <w:r w:rsidRPr="0083612A">
        <w:rPr>
          <w:sz w:val="24"/>
          <w:szCs w:val="24"/>
          <w:u w:val="single"/>
        </w:rPr>
        <w:t>Virkningsmekanisme</w:t>
      </w:r>
    </w:p>
    <w:p w14:paraId="5BBEEDCB" w14:textId="6D861FEF" w:rsidR="0083612A" w:rsidRDefault="0083612A" w:rsidP="00A26C52">
      <w:pPr>
        <w:tabs>
          <w:tab w:val="left" w:pos="851"/>
        </w:tabs>
        <w:ind w:left="851"/>
        <w:rPr>
          <w:sz w:val="24"/>
          <w:szCs w:val="24"/>
        </w:rPr>
      </w:pPr>
      <w:r w:rsidRPr="0083612A">
        <w:rPr>
          <w:sz w:val="24"/>
          <w:szCs w:val="24"/>
        </w:rPr>
        <w:t>Zoledronsyre tilhører gruppen af nitrogenholdige bisfosfonater og virker primært på knoglerne. Det er en inhibitor af osteoklastisk medieret knogleresorption.</w:t>
      </w:r>
    </w:p>
    <w:p w14:paraId="4D8406B0" w14:textId="77777777" w:rsidR="00A26C52" w:rsidRPr="0083612A" w:rsidRDefault="00A26C52" w:rsidP="00A26C52">
      <w:pPr>
        <w:tabs>
          <w:tab w:val="left" w:pos="851"/>
        </w:tabs>
        <w:ind w:left="851"/>
        <w:rPr>
          <w:sz w:val="24"/>
          <w:szCs w:val="24"/>
        </w:rPr>
      </w:pPr>
    </w:p>
    <w:p w14:paraId="46B55F69" w14:textId="77777777" w:rsidR="0083612A" w:rsidRPr="0083612A" w:rsidRDefault="0083612A" w:rsidP="00A26C52">
      <w:pPr>
        <w:tabs>
          <w:tab w:val="left" w:pos="851"/>
        </w:tabs>
        <w:ind w:left="851"/>
        <w:rPr>
          <w:sz w:val="24"/>
          <w:szCs w:val="24"/>
        </w:rPr>
      </w:pPr>
      <w:r w:rsidRPr="0083612A">
        <w:rPr>
          <w:sz w:val="24"/>
          <w:szCs w:val="24"/>
          <w:u w:val="single"/>
        </w:rPr>
        <w:t>Farmakodynamisk virkning</w:t>
      </w:r>
    </w:p>
    <w:p w14:paraId="7E011B71" w14:textId="77777777" w:rsidR="0083612A" w:rsidRPr="0083612A" w:rsidRDefault="0083612A" w:rsidP="00A26C52">
      <w:pPr>
        <w:tabs>
          <w:tab w:val="left" w:pos="851"/>
        </w:tabs>
        <w:ind w:left="851"/>
        <w:rPr>
          <w:sz w:val="24"/>
          <w:szCs w:val="24"/>
        </w:rPr>
      </w:pPr>
      <w:r w:rsidRPr="0083612A">
        <w:rPr>
          <w:sz w:val="24"/>
          <w:szCs w:val="24"/>
        </w:rPr>
        <w:t>De selektive virkninger af bisfosfonater på knogler er baseret på deres høje affinitet til mineraliseret knogle.</w:t>
      </w:r>
    </w:p>
    <w:p w14:paraId="0B86B6C4" w14:textId="77777777" w:rsidR="0083612A" w:rsidRPr="0083612A" w:rsidRDefault="0083612A" w:rsidP="00A26C52">
      <w:pPr>
        <w:tabs>
          <w:tab w:val="left" w:pos="851"/>
        </w:tabs>
        <w:ind w:left="851"/>
        <w:rPr>
          <w:sz w:val="24"/>
          <w:szCs w:val="24"/>
        </w:rPr>
      </w:pPr>
      <w:r w:rsidRPr="0083612A">
        <w:rPr>
          <w:sz w:val="24"/>
          <w:szCs w:val="24"/>
        </w:rPr>
        <w:t xml:space="preserve">Zoledronsyres primære molekylære mål i osteoklasterne er enzymet farnesylpyrofosfatsyntase. Den lange virkningsvarighed af zoledronsyre kan tilskrives høj </w:t>
      </w:r>
      <w:r w:rsidRPr="0083612A">
        <w:rPr>
          <w:sz w:val="24"/>
          <w:szCs w:val="24"/>
        </w:rPr>
        <w:lastRenderedPageBreak/>
        <w:t>bindingsaffinitet til det aktive site i farnesylpyrofosfatsyntase (FPP) og dets stærke bindingsaffinitet til knoglemineral.</w:t>
      </w:r>
    </w:p>
    <w:p w14:paraId="4A1E224B" w14:textId="77777777" w:rsidR="0083612A" w:rsidRPr="0083612A" w:rsidRDefault="0083612A" w:rsidP="00A26C52">
      <w:pPr>
        <w:tabs>
          <w:tab w:val="left" w:pos="851"/>
        </w:tabs>
        <w:ind w:left="851"/>
        <w:rPr>
          <w:sz w:val="24"/>
          <w:szCs w:val="24"/>
        </w:rPr>
      </w:pPr>
    </w:p>
    <w:p w14:paraId="01166DB8" w14:textId="77777777" w:rsidR="0083612A" w:rsidRPr="0083612A" w:rsidRDefault="0083612A" w:rsidP="00A26C52">
      <w:pPr>
        <w:tabs>
          <w:tab w:val="left" w:pos="851"/>
        </w:tabs>
        <w:ind w:left="851"/>
        <w:rPr>
          <w:sz w:val="24"/>
          <w:szCs w:val="24"/>
        </w:rPr>
      </w:pPr>
      <w:r w:rsidRPr="0083612A">
        <w:rPr>
          <w:sz w:val="24"/>
          <w:szCs w:val="24"/>
        </w:rPr>
        <w:t>Forhøjede postmenopausal knogleomsætning mindskedes hurtigt ved behandling med zoledronsyre. Laveste niveau blev nået for resorptionsmarkørene efter 7 dage og for formationsmarkørene efter 12 uger. Derefter stabiliseredes knoglemarkørerne inden for det præmenopausale interval. Der var ingen progressiv reduktion af knogleomsætningsmarkørerne ved gentagen årlig dosering.</w:t>
      </w:r>
    </w:p>
    <w:p w14:paraId="547BD07C" w14:textId="77777777" w:rsidR="0083612A" w:rsidRPr="0083612A" w:rsidRDefault="0083612A" w:rsidP="00A26C52">
      <w:pPr>
        <w:tabs>
          <w:tab w:val="left" w:pos="851"/>
        </w:tabs>
        <w:ind w:left="851"/>
        <w:rPr>
          <w:sz w:val="24"/>
          <w:szCs w:val="24"/>
        </w:rPr>
      </w:pPr>
    </w:p>
    <w:p w14:paraId="2CF9F812" w14:textId="77777777" w:rsidR="0083612A" w:rsidRPr="0083612A" w:rsidRDefault="0083612A" w:rsidP="00A26C52">
      <w:pPr>
        <w:tabs>
          <w:tab w:val="left" w:pos="851"/>
        </w:tabs>
        <w:ind w:left="851"/>
        <w:rPr>
          <w:sz w:val="24"/>
          <w:szCs w:val="24"/>
        </w:rPr>
      </w:pPr>
      <w:r w:rsidRPr="0083612A">
        <w:rPr>
          <w:sz w:val="24"/>
          <w:szCs w:val="24"/>
          <w:u w:val="single"/>
        </w:rPr>
        <w:t>Klinisk effekt ved behandling af postmenopausal osteoporose [PFT]</w:t>
      </w:r>
    </w:p>
    <w:p w14:paraId="20586C45" w14:textId="0262BD8A" w:rsidR="0083612A" w:rsidRDefault="0083612A" w:rsidP="00A26C52">
      <w:pPr>
        <w:tabs>
          <w:tab w:val="left" w:pos="851"/>
        </w:tabs>
        <w:ind w:left="851"/>
        <w:rPr>
          <w:sz w:val="24"/>
          <w:szCs w:val="24"/>
        </w:rPr>
      </w:pPr>
      <w:r w:rsidRPr="0083612A">
        <w:rPr>
          <w:sz w:val="24"/>
          <w:szCs w:val="24"/>
        </w:rPr>
        <w:t>Virkning og sikkerhed af zoledronsyre 5 mg en gang årligt i 3 konsekutive år er påvist hos post- menopausale kvinder (7.736 kvinder i alderen 65-89 år) med enten: en knogledensitet (BMD) med en t-score for lårbenshalsen ≤ -1,5, og mindst to milde eller en moderat eksisterende vertebral(e) fraktur(er); eller en BMD T-score for lårbenshalsen ≤ -2,5 med eller uden bevis for eksisterende vertebral (e) fraktur(er). 85 % af patienterne blev behandlet med bisfosfonat for første gang. Kvinder, som blev evalueret for incidens af vertebrale frakturer, modtog ikke samtidig osteoporosebehandling, hvilket var tilladt for kvinder, som bidrog til evalueringerne af hoftefrakturer og alle kliniske frakturer. Samtidig osteoporosebehandling omfattede: calcitonin, raloxifen, tamoxifen, hormonsubstitutionsbehandling, tibolon, men udelukkede andre bisfosfonater. Alle kvinder modtog</w:t>
      </w:r>
      <w:r w:rsidR="00A26C52">
        <w:rPr>
          <w:sz w:val="24"/>
          <w:szCs w:val="24"/>
        </w:rPr>
        <w:t xml:space="preserve"> </w:t>
      </w:r>
      <w:r w:rsidRPr="0083612A">
        <w:rPr>
          <w:sz w:val="24"/>
          <w:szCs w:val="24"/>
        </w:rPr>
        <w:t>1.000 til 1.500 mg usammensat calcium og 400 til 1.200 IU D-vitamintilskud dagligt.</w:t>
      </w:r>
    </w:p>
    <w:p w14:paraId="210E09F0" w14:textId="77777777" w:rsidR="00A26C52" w:rsidRPr="0083612A" w:rsidRDefault="00A26C52" w:rsidP="00A26C52">
      <w:pPr>
        <w:tabs>
          <w:tab w:val="left" w:pos="851"/>
        </w:tabs>
        <w:ind w:left="851"/>
        <w:rPr>
          <w:sz w:val="24"/>
          <w:szCs w:val="24"/>
        </w:rPr>
      </w:pPr>
    </w:p>
    <w:p w14:paraId="7B3E54DA" w14:textId="77777777" w:rsidR="0083612A" w:rsidRPr="0083612A" w:rsidRDefault="0083612A" w:rsidP="00A26C52">
      <w:pPr>
        <w:tabs>
          <w:tab w:val="left" w:pos="851"/>
        </w:tabs>
        <w:ind w:left="851"/>
        <w:rPr>
          <w:i/>
          <w:sz w:val="24"/>
          <w:szCs w:val="24"/>
        </w:rPr>
      </w:pPr>
      <w:r w:rsidRPr="0083612A">
        <w:rPr>
          <w:i/>
          <w:sz w:val="24"/>
          <w:szCs w:val="24"/>
          <w:u w:val="single"/>
        </w:rPr>
        <w:t>Effekt på morfometriske vertebrale frakturer</w:t>
      </w:r>
    </w:p>
    <w:p w14:paraId="505A9A35" w14:textId="78E31E09" w:rsidR="009260DE" w:rsidRDefault="0083612A" w:rsidP="00A26C52">
      <w:pPr>
        <w:tabs>
          <w:tab w:val="left" w:pos="851"/>
        </w:tabs>
        <w:ind w:left="851"/>
        <w:rPr>
          <w:sz w:val="24"/>
          <w:szCs w:val="24"/>
        </w:rPr>
      </w:pPr>
      <w:r w:rsidRPr="0083612A">
        <w:rPr>
          <w:sz w:val="24"/>
          <w:szCs w:val="24"/>
        </w:rPr>
        <w:t>Zoledronsyre reducerede incidensen af en eller flere nye vertebrale frakturer signifikant over 3 år og så tidligt som ved 1 år (se tabel 2).</w:t>
      </w:r>
    </w:p>
    <w:p w14:paraId="3C042E04" w14:textId="076614EA" w:rsidR="0083612A" w:rsidRDefault="0083612A" w:rsidP="00A26C52">
      <w:pPr>
        <w:tabs>
          <w:tab w:val="left" w:pos="851"/>
        </w:tabs>
        <w:ind w:left="851"/>
        <w:rPr>
          <w:sz w:val="24"/>
          <w:szCs w:val="24"/>
        </w:rPr>
      </w:pPr>
    </w:p>
    <w:p w14:paraId="7B608EE7" w14:textId="77777777" w:rsidR="0083612A" w:rsidRPr="004F55B9" w:rsidRDefault="0083612A" w:rsidP="00A26C52">
      <w:pPr>
        <w:pStyle w:val="Overskrift2"/>
        <w:tabs>
          <w:tab w:val="left" w:pos="1352"/>
        </w:tabs>
        <w:ind w:left="218"/>
        <w:rPr>
          <w:lang w:val="da-DK"/>
        </w:rPr>
      </w:pPr>
      <w:r w:rsidRPr="004F55B9">
        <w:rPr>
          <w:lang w:val="da-DK"/>
        </w:rPr>
        <w:t>Tabel</w:t>
      </w:r>
      <w:r w:rsidRPr="004F55B9">
        <w:rPr>
          <w:spacing w:val="-8"/>
          <w:lang w:val="da-DK"/>
        </w:rPr>
        <w:t xml:space="preserve"> </w:t>
      </w:r>
      <w:r w:rsidRPr="004F55B9">
        <w:rPr>
          <w:spacing w:val="-10"/>
          <w:lang w:val="da-DK"/>
        </w:rPr>
        <w:t>2</w:t>
      </w:r>
      <w:r w:rsidRPr="004F55B9">
        <w:rPr>
          <w:lang w:val="da-DK"/>
        </w:rPr>
        <w:tab/>
        <w:t>Resumé</w:t>
      </w:r>
      <w:r w:rsidRPr="004F55B9">
        <w:rPr>
          <w:spacing w:val="-7"/>
          <w:lang w:val="da-DK"/>
        </w:rPr>
        <w:t xml:space="preserve"> </w:t>
      </w:r>
      <w:r w:rsidRPr="004F55B9">
        <w:rPr>
          <w:lang w:val="da-DK"/>
        </w:rPr>
        <w:t>af</w:t>
      </w:r>
      <w:r w:rsidRPr="004F55B9">
        <w:rPr>
          <w:spacing w:val="-5"/>
          <w:lang w:val="da-DK"/>
        </w:rPr>
        <w:t xml:space="preserve"> </w:t>
      </w:r>
      <w:r w:rsidRPr="004F55B9">
        <w:rPr>
          <w:lang w:val="da-DK"/>
        </w:rPr>
        <w:t>effekt</w:t>
      </w:r>
      <w:r w:rsidRPr="004F55B9">
        <w:rPr>
          <w:spacing w:val="-6"/>
          <w:lang w:val="da-DK"/>
        </w:rPr>
        <w:t xml:space="preserve"> </w:t>
      </w:r>
      <w:r w:rsidRPr="004F55B9">
        <w:rPr>
          <w:lang w:val="da-DK"/>
        </w:rPr>
        <w:t>på</w:t>
      </w:r>
      <w:r w:rsidRPr="004F55B9">
        <w:rPr>
          <w:spacing w:val="-5"/>
          <w:lang w:val="da-DK"/>
        </w:rPr>
        <w:t xml:space="preserve"> </w:t>
      </w:r>
      <w:r w:rsidRPr="004F55B9">
        <w:rPr>
          <w:lang w:val="da-DK"/>
        </w:rPr>
        <w:t>vertebrale</w:t>
      </w:r>
      <w:r w:rsidRPr="004F55B9">
        <w:rPr>
          <w:spacing w:val="-7"/>
          <w:lang w:val="da-DK"/>
        </w:rPr>
        <w:t xml:space="preserve"> </w:t>
      </w:r>
      <w:r w:rsidRPr="004F55B9">
        <w:rPr>
          <w:lang w:val="da-DK"/>
        </w:rPr>
        <w:t>frakturer</w:t>
      </w:r>
      <w:r w:rsidRPr="004F55B9">
        <w:rPr>
          <w:spacing w:val="-6"/>
          <w:lang w:val="da-DK"/>
        </w:rPr>
        <w:t xml:space="preserve"> </w:t>
      </w:r>
      <w:r w:rsidRPr="004F55B9">
        <w:rPr>
          <w:lang w:val="da-DK"/>
        </w:rPr>
        <w:t>ved</w:t>
      </w:r>
      <w:r w:rsidRPr="004F55B9">
        <w:rPr>
          <w:spacing w:val="-6"/>
          <w:lang w:val="da-DK"/>
        </w:rPr>
        <w:t xml:space="preserve"> </w:t>
      </w:r>
      <w:r w:rsidRPr="004F55B9">
        <w:rPr>
          <w:lang w:val="da-DK"/>
        </w:rPr>
        <w:t>12,</w:t>
      </w:r>
      <w:r w:rsidRPr="004F55B9">
        <w:rPr>
          <w:spacing w:val="-5"/>
          <w:lang w:val="da-DK"/>
        </w:rPr>
        <w:t xml:space="preserve"> </w:t>
      </w:r>
      <w:r w:rsidRPr="004F55B9">
        <w:rPr>
          <w:lang w:val="da-DK"/>
        </w:rPr>
        <w:t>24</w:t>
      </w:r>
      <w:r w:rsidRPr="004F55B9">
        <w:rPr>
          <w:spacing w:val="-6"/>
          <w:lang w:val="da-DK"/>
        </w:rPr>
        <w:t xml:space="preserve"> </w:t>
      </w:r>
      <w:r w:rsidRPr="004F55B9">
        <w:rPr>
          <w:lang w:val="da-DK"/>
        </w:rPr>
        <w:t>og</w:t>
      </w:r>
      <w:r w:rsidRPr="004F55B9">
        <w:rPr>
          <w:spacing w:val="-6"/>
          <w:lang w:val="da-DK"/>
        </w:rPr>
        <w:t xml:space="preserve"> </w:t>
      </w:r>
      <w:r w:rsidRPr="004F55B9">
        <w:rPr>
          <w:lang w:val="da-DK"/>
        </w:rPr>
        <w:t>36</w:t>
      </w:r>
      <w:r w:rsidRPr="004F55B9">
        <w:rPr>
          <w:spacing w:val="-6"/>
          <w:lang w:val="da-DK"/>
        </w:rPr>
        <w:t xml:space="preserve"> </w:t>
      </w:r>
      <w:r w:rsidRPr="004F55B9">
        <w:rPr>
          <w:spacing w:val="-2"/>
          <w:lang w:val="da-DK"/>
        </w:rPr>
        <w:t>måneder</w:t>
      </w:r>
    </w:p>
    <w:p w14:paraId="723D1718" w14:textId="5B9126C2" w:rsidR="0083612A" w:rsidRDefault="0083612A" w:rsidP="00A26C52">
      <w:pPr>
        <w:tabs>
          <w:tab w:val="left" w:pos="851"/>
        </w:tabs>
        <w:ind w:left="851"/>
        <w:rPr>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502"/>
        <w:gridCol w:w="1133"/>
        <w:gridCol w:w="2381"/>
        <w:gridCol w:w="2410"/>
      </w:tblGrid>
      <w:tr w:rsidR="0083612A" w:rsidRPr="00C64C2E" w14:paraId="3466B2BD" w14:textId="77777777" w:rsidTr="00A26C52">
        <w:trPr>
          <w:trHeight w:val="506"/>
        </w:trPr>
        <w:tc>
          <w:tcPr>
            <w:tcW w:w="2319" w:type="dxa"/>
          </w:tcPr>
          <w:p w14:paraId="40477FE0" w14:textId="77777777" w:rsidR="0083612A" w:rsidRDefault="0083612A" w:rsidP="00A26C52">
            <w:pPr>
              <w:pStyle w:val="TableParagraph"/>
              <w:spacing w:line="240" w:lineRule="auto"/>
            </w:pPr>
            <w:r>
              <w:rPr>
                <w:spacing w:val="-2"/>
              </w:rPr>
              <w:t>Resultat</w:t>
            </w:r>
          </w:p>
        </w:tc>
        <w:tc>
          <w:tcPr>
            <w:tcW w:w="1502" w:type="dxa"/>
          </w:tcPr>
          <w:p w14:paraId="120184B4" w14:textId="77777777" w:rsidR="0083612A" w:rsidRDefault="0083612A" w:rsidP="00A26C52">
            <w:pPr>
              <w:pStyle w:val="TableParagraph"/>
              <w:spacing w:line="240" w:lineRule="auto"/>
              <w:ind w:left="414" w:right="236" w:hanging="165"/>
            </w:pPr>
            <w:r>
              <w:t>Zoledron-syre</w:t>
            </w:r>
            <w:r>
              <w:rPr>
                <w:spacing w:val="-5"/>
              </w:rPr>
              <w:t xml:space="preserve"> </w:t>
            </w:r>
            <w:r>
              <w:rPr>
                <w:spacing w:val="-4"/>
              </w:rPr>
              <w:t>(%)</w:t>
            </w:r>
          </w:p>
        </w:tc>
        <w:tc>
          <w:tcPr>
            <w:tcW w:w="1133" w:type="dxa"/>
          </w:tcPr>
          <w:p w14:paraId="5F4C9613" w14:textId="77777777" w:rsidR="0083612A" w:rsidRDefault="0083612A" w:rsidP="00A26C52">
            <w:pPr>
              <w:pStyle w:val="TableParagraph"/>
              <w:spacing w:line="240" w:lineRule="auto"/>
              <w:ind w:left="402" w:right="206" w:hanging="184"/>
            </w:pPr>
            <w:r>
              <w:rPr>
                <w:spacing w:val="-2"/>
              </w:rPr>
              <w:t xml:space="preserve">Placebo </w:t>
            </w:r>
            <w:r>
              <w:rPr>
                <w:spacing w:val="-4"/>
              </w:rPr>
              <w:t>(%)</w:t>
            </w:r>
          </w:p>
        </w:tc>
        <w:tc>
          <w:tcPr>
            <w:tcW w:w="2381" w:type="dxa"/>
          </w:tcPr>
          <w:p w14:paraId="182648F2" w14:textId="77777777" w:rsidR="0083612A" w:rsidRPr="00E6192E" w:rsidRDefault="0083612A" w:rsidP="00A26C52">
            <w:pPr>
              <w:pStyle w:val="TableParagraph"/>
              <w:spacing w:line="240" w:lineRule="auto"/>
              <w:ind w:left="196" w:firstLine="85"/>
              <w:rPr>
                <w:lang w:val="da-DK"/>
              </w:rPr>
            </w:pPr>
            <w:r w:rsidRPr="00E6192E">
              <w:rPr>
                <w:lang w:val="da-DK"/>
              </w:rPr>
              <w:t>Absolut reduktion af frakturincidens</w:t>
            </w:r>
            <w:r w:rsidRPr="00E6192E">
              <w:rPr>
                <w:spacing w:val="-11"/>
                <w:lang w:val="da-DK"/>
              </w:rPr>
              <w:t xml:space="preserve"> </w:t>
            </w:r>
            <w:r w:rsidRPr="00E6192E">
              <w:rPr>
                <w:lang w:val="da-DK"/>
              </w:rPr>
              <w:t>%</w:t>
            </w:r>
            <w:r w:rsidRPr="00E6192E">
              <w:rPr>
                <w:spacing w:val="-10"/>
                <w:lang w:val="da-DK"/>
              </w:rPr>
              <w:t xml:space="preserve"> </w:t>
            </w:r>
            <w:r w:rsidRPr="00E6192E">
              <w:rPr>
                <w:spacing w:val="-4"/>
                <w:lang w:val="da-DK"/>
              </w:rPr>
              <w:t>(CI)</w:t>
            </w:r>
          </w:p>
        </w:tc>
        <w:tc>
          <w:tcPr>
            <w:tcW w:w="2410" w:type="dxa"/>
          </w:tcPr>
          <w:p w14:paraId="0FC930ED" w14:textId="77777777" w:rsidR="0083612A" w:rsidRPr="00E6192E" w:rsidRDefault="0083612A" w:rsidP="00A26C52">
            <w:pPr>
              <w:pStyle w:val="TableParagraph"/>
              <w:spacing w:line="240" w:lineRule="auto"/>
              <w:ind w:left="211" w:firstLine="115"/>
              <w:rPr>
                <w:lang w:val="da-DK"/>
              </w:rPr>
            </w:pPr>
            <w:r w:rsidRPr="00E6192E">
              <w:rPr>
                <w:lang w:val="da-DK"/>
              </w:rPr>
              <w:t>Relativ reduktion af frakturincidens</w:t>
            </w:r>
            <w:r w:rsidRPr="00E6192E">
              <w:rPr>
                <w:spacing w:val="-11"/>
                <w:lang w:val="da-DK"/>
              </w:rPr>
              <w:t xml:space="preserve"> </w:t>
            </w:r>
            <w:r w:rsidRPr="00E6192E">
              <w:rPr>
                <w:lang w:val="da-DK"/>
              </w:rPr>
              <w:t>%</w:t>
            </w:r>
            <w:r w:rsidRPr="00E6192E">
              <w:rPr>
                <w:spacing w:val="-10"/>
                <w:lang w:val="da-DK"/>
              </w:rPr>
              <w:t xml:space="preserve"> </w:t>
            </w:r>
            <w:r w:rsidRPr="00E6192E">
              <w:rPr>
                <w:spacing w:val="-4"/>
                <w:lang w:val="da-DK"/>
              </w:rPr>
              <w:t>(CI)</w:t>
            </w:r>
          </w:p>
        </w:tc>
      </w:tr>
      <w:tr w:rsidR="0083612A" w14:paraId="0873AC9E" w14:textId="77777777" w:rsidTr="00A26C52">
        <w:trPr>
          <w:trHeight w:val="503"/>
        </w:trPr>
        <w:tc>
          <w:tcPr>
            <w:tcW w:w="2319" w:type="dxa"/>
          </w:tcPr>
          <w:p w14:paraId="62E3D0CE" w14:textId="77777777" w:rsidR="0083612A" w:rsidRPr="00E6192E" w:rsidRDefault="0083612A" w:rsidP="00A26C52">
            <w:pPr>
              <w:pStyle w:val="TableParagraph"/>
              <w:spacing w:line="240" w:lineRule="auto"/>
              <w:ind w:right="6"/>
              <w:rPr>
                <w:lang w:val="da-DK"/>
              </w:rPr>
            </w:pPr>
            <w:r w:rsidRPr="00E6192E">
              <w:rPr>
                <w:lang w:val="da-DK"/>
              </w:rPr>
              <w:t>Mindst</w:t>
            </w:r>
            <w:r w:rsidRPr="00E6192E">
              <w:rPr>
                <w:spacing w:val="-13"/>
                <w:lang w:val="da-DK"/>
              </w:rPr>
              <w:t xml:space="preserve"> </w:t>
            </w:r>
            <w:r w:rsidRPr="00E6192E">
              <w:rPr>
                <w:lang w:val="da-DK"/>
              </w:rPr>
              <w:t>en</w:t>
            </w:r>
            <w:r w:rsidRPr="00E6192E">
              <w:rPr>
                <w:spacing w:val="-13"/>
                <w:lang w:val="da-DK"/>
              </w:rPr>
              <w:t xml:space="preserve"> </w:t>
            </w:r>
            <w:r w:rsidRPr="00E6192E">
              <w:rPr>
                <w:lang w:val="da-DK"/>
              </w:rPr>
              <w:t>ny</w:t>
            </w:r>
            <w:r w:rsidRPr="00E6192E">
              <w:rPr>
                <w:spacing w:val="-14"/>
                <w:lang w:val="da-DK"/>
              </w:rPr>
              <w:t xml:space="preserve"> </w:t>
            </w:r>
            <w:r w:rsidRPr="00E6192E">
              <w:rPr>
                <w:lang w:val="da-DK"/>
              </w:rPr>
              <w:t>vertebral fraktur (0-1 år)</w:t>
            </w:r>
          </w:p>
        </w:tc>
        <w:tc>
          <w:tcPr>
            <w:tcW w:w="1502" w:type="dxa"/>
          </w:tcPr>
          <w:p w14:paraId="58CE4800" w14:textId="77777777" w:rsidR="0083612A" w:rsidRDefault="0083612A" w:rsidP="00A26C52">
            <w:pPr>
              <w:pStyle w:val="TableParagraph"/>
              <w:spacing w:line="240" w:lineRule="auto"/>
              <w:ind w:left="8"/>
              <w:jc w:val="center"/>
            </w:pPr>
            <w:r>
              <w:rPr>
                <w:spacing w:val="-5"/>
              </w:rPr>
              <w:t>1,5</w:t>
            </w:r>
          </w:p>
        </w:tc>
        <w:tc>
          <w:tcPr>
            <w:tcW w:w="1133" w:type="dxa"/>
          </w:tcPr>
          <w:p w14:paraId="7CAD07AE" w14:textId="77777777" w:rsidR="0083612A" w:rsidRDefault="0083612A" w:rsidP="00A26C52">
            <w:pPr>
              <w:pStyle w:val="TableParagraph"/>
              <w:spacing w:line="240" w:lineRule="auto"/>
              <w:ind w:left="13"/>
              <w:jc w:val="center"/>
            </w:pPr>
            <w:r>
              <w:rPr>
                <w:spacing w:val="-5"/>
              </w:rPr>
              <w:t>3,7</w:t>
            </w:r>
          </w:p>
        </w:tc>
        <w:tc>
          <w:tcPr>
            <w:tcW w:w="2381" w:type="dxa"/>
          </w:tcPr>
          <w:p w14:paraId="150C9CB1" w14:textId="77777777" w:rsidR="0083612A" w:rsidRDefault="0083612A" w:rsidP="00A26C52">
            <w:pPr>
              <w:pStyle w:val="TableParagraph"/>
              <w:spacing w:line="240" w:lineRule="auto"/>
              <w:ind w:left="16"/>
              <w:jc w:val="center"/>
            </w:pPr>
            <w:r>
              <w:t>2,2</w:t>
            </w:r>
            <w:r>
              <w:rPr>
                <w:spacing w:val="-4"/>
              </w:rPr>
              <w:t xml:space="preserve"> </w:t>
            </w:r>
            <w:r>
              <w:t>(1,4,</w:t>
            </w:r>
            <w:r>
              <w:rPr>
                <w:spacing w:val="-4"/>
              </w:rPr>
              <w:t xml:space="preserve"> 3,1)</w:t>
            </w:r>
          </w:p>
        </w:tc>
        <w:tc>
          <w:tcPr>
            <w:tcW w:w="2410" w:type="dxa"/>
          </w:tcPr>
          <w:p w14:paraId="1FE3FD28" w14:textId="77777777" w:rsidR="0083612A" w:rsidRDefault="0083612A" w:rsidP="00A26C52">
            <w:pPr>
              <w:pStyle w:val="TableParagraph"/>
              <w:spacing w:line="240" w:lineRule="auto"/>
              <w:ind w:left="15"/>
              <w:jc w:val="center"/>
            </w:pPr>
            <w:r>
              <w:t>60</w:t>
            </w:r>
            <w:r>
              <w:rPr>
                <w:spacing w:val="-4"/>
              </w:rPr>
              <w:t xml:space="preserve"> </w:t>
            </w:r>
            <w:r>
              <w:t>(43,</w:t>
            </w:r>
            <w:r>
              <w:rPr>
                <w:spacing w:val="-3"/>
              </w:rPr>
              <w:t xml:space="preserve"> </w:t>
            </w:r>
            <w:r>
              <w:rPr>
                <w:spacing w:val="-2"/>
              </w:rPr>
              <w:t>72)**</w:t>
            </w:r>
          </w:p>
        </w:tc>
      </w:tr>
      <w:tr w:rsidR="0083612A" w14:paraId="72A53F7F" w14:textId="77777777" w:rsidTr="00A26C52">
        <w:trPr>
          <w:trHeight w:val="502"/>
        </w:trPr>
        <w:tc>
          <w:tcPr>
            <w:tcW w:w="2319" w:type="dxa"/>
          </w:tcPr>
          <w:p w14:paraId="58B1EF01" w14:textId="77777777" w:rsidR="0083612A" w:rsidRPr="00E6192E" w:rsidRDefault="0083612A" w:rsidP="00A26C52">
            <w:pPr>
              <w:pStyle w:val="TableParagraph"/>
              <w:spacing w:line="240" w:lineRule="auto"/>
              <w:rPr>
                <w:lang w:val="da-DK"/>
              </w:rPr>
            </w:pPr>
            <w:r w:rsidRPr="00E6192E">
              <w:rPr>
                <w:lang w:val="da-DK"/>
              </w:rPr>
              <w:t>Mindst</w:t>
            </w:r>
            <w:r w:rsidRPr="00E6192E">
              <w:rPr>
                <w:spacing w:val="-5"/>
                <w:lang w:val="da-DK"/>
              </w:rPr>
              <w:t xml:space="preserve"> </w:t>
            </w:r>
            <w:r w:rsidRPr="00E6192E">
              <w:rPr>
                <w:lang w:val="da-DK"/>
              </w:rPr>
              <w:t>en</w:t>
            </w:r>
            <w:r w:rsidRPr="00E6192E">
              <w:rPr>
                <w:spacing w:val="-4"/>
                <w:lang w:val="da-DK"/>
              </w:rPr>
              <w:t xml:space="preserve"> </w:t>
            </w:r>
            <w:r w:rsidRPr="00E6192E">
              <w:rPr>
                <w:lang w:val="da-DK"/>
              </w:rPr>
              <w:t>ny</w:t>
            </w:r>
            <w:r w:rsidRPr="00E6192E">
              <w:rPr>
                <w:spacing w:val="-6"/>
                <w:lang w:val="da-DK"/>
              </w:rPr>
              <w:t xml:space="preserve"> </w:t>
            </w:r>
            <w:r w:rsidRPr="00E6192E">
              <w:rPr>
                <w:spacing w:val="-2"/>
                <w:lang w:val="da-DK"/>
              </w:rPr>
              <w:t>vertebral</w:t>
            </w:r>
          </w:p>
          <w:p w14:paraId="3D2AEFC0" w14:textId="77777777" w:rsidR="0083612A" w:rsidRPr="00E6192E" w:rsidRDefault="0083612A" w:rsidP="00A26C52">
            <w:pPr>
              <w:pStyle w:val="TableParagraph"/>
              <w:spacing w:line="240" w:lineRule="auto"/>
              <w:rPr>
                <w:lang w:val="da-DK"/>
              </w:rPr>
            </w:pPr>
            <w:r w:rsidRPr="00E6192E">
              <w:rPr>
                <w:lang w:val="da-DK"/>
              </w:rPr>
              <w:t>fraktur</w:t>
            </w:r>
            <w:r w:rsidRPr="00E6192E">
              <w:rPr>
                <w:spacing w:val="-6"/>
                <w:lang w:val="da-DK"/>
              </w:rPr>
              <w:t xml:space="preserve"> </w:t>
            </w:r>
            <w:r w:rsidRPr="00E6192E">
              <w:rPr>
                <w:lang w:val="da-DK"/>
              </w:rPr>
              <w:t>(0-2</w:t>
            </w:r>
            <w:r w:rsidRPr="00E6192E">
              <w:rPr>
                <w:spacing w:val="-5"/>
                <w:lang w:val="da-DK"/>
              </w:rPr>
              <w:t xml:space="preserve"> år)</w:t>
            </w:r>
          </w:p>
        </w:tc>
        <w:tc>
          <w:tcPr>
            <w:tcW w:w="1502" w:type="dxa"/>
          </w:tcPr>
          <w:p w14:paraId="333C724A" w14:textId="77777777" w:rsidR="0083612A" w:rsidRDefault="0083612A" w:rsidP="00A26C52">
            <w:pPr>
              <w:pStyle w:val="TableParagraph"/>
              <w:spacing w:line="240" w:lineRule="auto"/>
              <w:ind w:left="8"/>
              <w:jc w:val="center"/>
            </w:pPr>
            <w:r>
              <w:rPr>
                <w:spacing w:val="-5"/>
              </w:rPr>
              <w:t>2,2</w:t>
            </w:r>
          </w:p>
        </w:tc>
        <w:tc>
          <w:tcPr>
            <w:tcW w:w="1133" w:type="dxa"/>
          </w:tcPr>
          <w:p w14:paraId="30F95D0C" w14:textId="77777777" w:rsidR="0083612A" w:rsidRDefault="0083612A" w:rsidP="00A26C52">
            <w:pPr>
              <w:pStyle w:val="TableParagraph"/>
              <w:spacing w:line="240" w:lineRule="auto"/>
              <w:ind w:left="13"/>
              <w:jc w:val="center"/>
            </w:pPr>
            <w:r>
              <w:rPr>
                <w:spacing w:val="-5"/>
              </w:rPr>
              <w:t>7,7</w:t>
            </w:r>
          </w:p>
        </w:tc>
        <w:tc>
          <w:tcPr>
            <w:tcW w:w="2381" w:type="dxa"/>
          </w:tcPr>
          <w:p w14:paraId="697358DE" w14:textId="77777777" w:rsidR="0083612A" w:rsidRDefault="0083612A" w:rsidP="00A26C52">
            <w:pPr>
              <w:pStyle w:val="TableParagraph"/>
              <w:spacing w:line="240" w:lineRule="auto"/>
              <w:ind w:left="16" w:right="1"/>
              <w:jc w:val="center"/>
            </w:pPr>
            <w:r>
              <w:t>5,5</w:t>
            </w:r>
            <w:r>
              <w:rPr>
                <w:spacing w:val="-4"/>
              </w:rPr>
              <w:t xml:space="preserve"> </w:t>
            </w:r>
            <w:r>
              <w:t>(4,4,</w:t>
            </w:r>
            <w:r>
              <w:rPr>
                <w:spacing w:val="-4"/>
              </w:rPr>
              <w:t xml:space="preserve"> 6,6)</w:t>
            </w:r>
          </w:p>
        </w:tc>
        <w:tc>
          <w:tcPr>
            <w:tcW w:w="2410" w:type="dxa"/>
          </w:tcPr>
          <w:p w14:paraId="09252FBE" w14:textId="77777777" w:rsidR="0083612A" w:rsidRDefault="0083612A" w:rsidP="00A26C52">
            <w:pPr>
              <w:pStyle w:val="TableParagraph"/>
              <w:spacing w:line="240" w:lineRule="auto"/>
              <w:ind w:left="15"/>
              <w:jc w:val="center"/>
            </w:pPr>
            <w:r>
              <w:t>71</w:t>
            </w:r>
            <w:r>
              <w:rPr>
                <w:spacing w:val="-4"/>
              </w:rPr>
              <w:t xml:space="preserve"> </w:t>
            </w:r>
            <w:r>
              <w:t>(62,</w:t>
            </w:r>
            <w:r>
              <w:rPr>
                <w:spacing w:val="-3"/>
              </w:rPr>
              <w:t xml:space="preserve"> </w:t>
            </w:r>
            <w:r>
              <w:rPr>
                <w:spacing w:val="-2"/>
              </w:rPr>
              <w:t>78)**</w:t>
            </w:r>
          </w:p>
        </w:tc>
      </w:tr>
      <w:tr w:rsidR="0083612A" w14:paraId="2C4FEA7C" w14:textId="77777777" w:rsidTr="00A26C52">
        <w:trPr>
          <w:trHeight w:val="504"/>
        </w:trPr>
        <w:tc>
          <w:tcPr>
            <w:tcW w:w="2319" w:type="dxa"/>
          </w:tcPr>
          <w:p w14:paraId="4881E32C" w14:textId="77777777" w:rsidR="0083612A" w:rsidRPr="00E6192E" w:rsidRDefault="0083612A" w:rsidP="00A26C52">
            <w:pPr>
              <w:pStyle w:val="TableParagraph"/>
              <w:spacing w:line="240" w:lineRule="auto"/>
              <w:ind w:right="6"/>
              <w:rPr>
                <w:lang w:val="da-DK"/>
              </w:rPr>
            </w:pPr>
            <w:r w:rsidRPr="00E6192E">
              <w:rPr>
                <w:lang w:val="da-DK"/>
              </w:rPr>
              <w:t>Mindst</w:t>
            </w:r>
            <w:r w:rsidRPr="00E6192E">
              <w:rPr>
                <w:spacing w:val="-13"/>
                <w:lang w:val="da-DK"/>
              </w:rPr>
              <w:t xml:space="preserve"> </w:t>
            </w:r>
            <w:r w:rsidRPr="00E6192E">
              <w:rPr>
                <w:lang w:val="da-DK"/>
              </w:rPr>
              <w:t>en</w:t>
            </w:r>
            <w:r w:rsidRPr="00E6192E">
              <w:rPr>
                <w:spacing w:val="-13"/>
                <w:lang w:val="da-DK"/>
              </w:rPr>
              <w:t xml:space="preserve"> </w:t>
            </w:r>
            <w:r w:rsidRPr="00E6192E">
              <w:rPr>
                <w:lang w:val="da-DK"/>
              </w:rPr>
              <w:t>ny</w:t>
            </w:r>
            <w:r w:rsidRPr="00E6192E">
              <w:rPr>
                <w:spacing w:val="-14"/>
                <w:lang w:val="da-DK"/>
              </w:rPr>
              <w:t xml:space="preserve"> </w:t>
            </w:r>
            <w:r w:rsidRPr="00E6192E">
              <w:rPr>
                <w:lang w:val="da-DK"/>
              </w:rPr>
              <w:t>vertebral fraktur (0-3 år)</w:t>
            </w:r>
          </w:p>
        </w:tc>
        <w:tc>
          <w:tcPr>
            <w:tcW w:w="1502" w:type="dxa"/>
          </w:tcPr>
          <w:p w14:paraId="39F4E886" w14:textId="77777777" w:rsidR="0083612A" w:rsidRDefault="0083612A" w:rsidP="00A26C52">
            <w:pPr>
              <w:pStyle w:val="TableParagraph"/>
              <w:spacing w:line="240" w:lineRule="auto"/>
              <w:ind w:left="8"/>
              <w:jc w:val="center"/>
            </w:pPr>
            <w:r>
              <w:rPr>
                <w:spacing w:val="-5"/>
              </w:rPr>
              <w:t>3,3</w:t>
            </w:r>
          </w:p>
        </w:tc>
        <w:tc>
          <w:tcPr>
            <w:tcW w:w="1133" w:type="dxa"/>
          </w:tcPr>
          <w:p w14:paraId="038938D8" w14:textId="77777777" w:rsidR="0083612A" w:rsidRDefault="0083612A" w:rsidP="00A26C52">
            <w:pPr>
              <w:pStyle w:val="TableParagraph"/>
              <w:spacing w:line="240" w:lineRule="auto"/>
              <w:ind w:left="13"/>
              <w:jc w:val="center"/>
            </w:pPr>
            <w:r>
              <w:rPr>
                <w:spacing w:val="-4"/>
              </w:rPr>
              <w:t>10,9</w:t>
            </w:r>
          </w:p>
        </w:tc>
        <w:tc>
          <w:tcPr>
            <w:tcW w:w="2381" w:type="dxa"/>
          </w:tcPr>
          <w:p w14:paraId="425679FB" w14:textId="77777777" w:rsidR="0083612A" w:rsidRDefault="0083612A" w:rsidP="00A26C52">
            <w:pPr>
              <w:pStyle w:val="TableParagraph"/>
              <w:spacing w:line="240" w:lineRule="auto"/>
              <w:ind w:left="16" w:right="1"/>
              <w:jc w:val="center"/>
            </w:pPr>
            <w:r>
              <w:t>7,6</w:t>
            </w:r>
            <w:r>
              <w:rPr>
                <w:spacing w:val="-4"/>
              </w:rPr>
              <w:t xml:space="preserve"> </w:t>
            </w:r>
            <w:r>
              <w:t>(6,3,</w:t>
            </w:r>
            <w:r>
              <w:rPr>
                <w:spacing w:val="-4"/>
              </w:rPr>
              <w:t xml:space="preserve"> 9,0)</w:t>
            </w:r>
          </w:p>
        </w:tc>
        <w:tc>
          <w:tcPr>
            <w:tcW w:w="2410" w:type="dxa"/>
          </w:tcPr>
          <w:p w14:paraId="0A925EEA" w14:textId="77777777" w:rsidR="0083612A" w:rsidRDefault="0083612A" w:rsidP="00A26C52">
            <w:pPr>
              <w:pStyle w:val="TableParagraph"/>
              <w:spacing w:line="240" w:lineRule="auto"/>
              <w:ind w:left="15"/>
              <w:jc w:val="center"/>
            </w:pPr>
            <w:r>
              <w:t>70</w:t>
            </w:r>
            <w:r>
              <w:rPr>
                <w:spacing w:val="-4"/>
              </w:rPr>
              <w:t xml:space="preserve"> </w:t>
            </w:r>
            <w:r>
              <w:t>(62,</w:t>
            </w:r>
            <w:r>
              <w:rPr>
                <w:spacing w:val="-3"/>
              </w:rPr>
              <w:t xml:space="preserve"> </w:t>
            </w:r>
            <w:r>
              <w:rPr>
                <w:spacing w:val="-2"/>
              </w:rPr>
              <w:t>76)**</w:t>
            </w:r>
          </w:p>
        </w:tc>
      </w:tr>
      <w:tr w:rsidR="0083612A" w14:paraId="7F35343B" w14:textId="77777777" w:rsidTr="00A26C52">
        <w:trPr>
          <w:trHeight w:val="254"/>
        </w:trPr>
        <w:tc>
          <w:tcPr>
            <w:tcW w:w="9745" w:type="dxa"/>
            <w:gridSpan w:val="5"/>
          </w:tcPr>
          <w:p w14:paraId="10E368B9" w14:textId="77777777" w:rsidR="0083612A" w:rsidRDefault="0083612A" w:rsidP="00A26C52">
            <w:pPr>
              <w:pStyle w:val="TableParagraph"/>
              <w:spacing w:line="240" w:lineRule="auto"/>
            </w:pPr>
            <w:r>
              <w:t>**</w:t>
            </w:r>
            <w:r>
              <w:rPr>
                <w:spacing w:val="-2"/>
              </w:rPr>
              <w:t xml:space="preserve"> </w:t>
            </w:r>
            <w:r>
              <w:t>p</w:t>
            </w:r>
            <w:r>
              <w:rPr>
                <w:spacing w:val="-2"/>
              </w:rPr>
              <w:t xml:space="preserve"> &lt;0,0001</w:t>
            </w:r>
          </w:p>
        </w:tc>
      </w:tr>
    </w:tbl>
    <w:p w14:paraId="6A88D1D7" w14:textId="1DE71E7E" w:rsidR="0083612A" w:rsidRDefault="0083612A" w:rsidP="00A26C52">
      <w:pPr>
        <w:tabs>
          <w:tab w:val="left" w:pos="851"/>
        </w:tabs>
        <w:ind w:left="851"/>
        <w:rPr>
          <w:sz w:val="24"/>
          <w:szCs w:val="24"/>
        </w:rPr>
      </w:pPr>
    </w:p>
    <w:p w14:paraId="4FA002A4" w14:textId="3BD5DCEE" w:rsidR="0083612A" w:rsidRDefault="0083612A" w:rsidP="00A26C52">
      <w:pPr>
        <w:pStyle w:val="Brdtekst"/>
        <w:ind w:left="851" w:right="879"/>
        <w:rPr>
          <w:sz w:val="24"/>
          <w:szCs w:val="24"/>
          <w:lang w:val="da-DK"/>
        </w:rPr>
      </w:pPr>
      <w:r w:rsidRPr="00A26C52">
        <w:rPr>
          <w:sz w:val="24"/>
          <w:szCs w:val="24"/>
          <w:lang w:val="da-DK"/>
        </w:rPr>
        <w:t>Patienter</w:t>
      </w:r>
      <w:r w:rsidRPr="00A26C52">
        <w:rPr>
          <w:spacing w:val="-2"/>
          <w:sz w:val="24"/>
          <w:szCs w:val="24"/>
          <w:lang w:val="da-DK"/>
        </w:rPr>
        <w:t xml:space="preserve"> </w:t>
      </w:r>
      <w:r w:rsidRPr="00A26C52">
        <w:rPr>
          <w:sz w:val="24"/>
          <w:szCs w:val="24"/>
          <w:lang w:val="da-DK"/>
        </w:rPr>
        <w:t>på</w:t>
      </w:r>
      <w:r w:rsidRPr="00A26C52">
        <w:rPr>
          <w:spacing w:val="-3"/>
          <w:sz w:val="24"/>
          <w:szCs w:val="24"/>
          <w:lang w:val="da-DK"/>
        </w:rPr>
        <w:t xml:space="preserve"> </w:t>
      </w:r>
      <w:r w:rsidRPr="00A26C52">
        <w:rPr>
          <w:sz w:val="24"/>
          <w:szCs w:val="24"/>
          <w:lang w:val="da-DK"/>
        </w:rPr>
        <w:t>75</w:t>
      </w:r>
      <w:r w:rsidRPr="00A26C52">
        <w:rPr>
          <w:spacing w:val="-2"/>
          <w:sz w:val="24"/>
          <w:szCs w:val="24"/>
          <w:lang w:val="da-DK"/>
        </w:rPr>
        <w:t xml:space="preserve"> </w:t>
      </w:r>
      <w:r w:rsidRPr="00A26C52">
        <w:rPr>
          <w:sz w:val="24"/>
          <w:szCs w:val="24"/>
          <w:lang w:val="da-DK"/>
        </w:rPr>
        <w:t>år</w:t>
      </w:r>
      <w:r w:rsidRPr="00A26C52">
        <w:rPr>
          <w:spacing w:val="-2"/>
          <w:sz w:val="24"/>
          <w:szCs w:val="24"/>
          <w:lang w:val="da-DK"/>
        </w:rPr>
        <w:t xml:space="preserve"> </w:t>
      </w:r>
      <w:r w:rsidRPr="00A26C52">
        <w:rPr>
          <w:sz w:val="24"/>
          <w:szCs w:val="24"/>
          <w:lang w:val="da-DK"/>
        </w:rPr>
        <w:t>og</w:t>
      </w:r>
      <w:r w:rsidRPr="00A26C52">
        <w:rPr>
          <w:spacing w:val="-2"/>
          <w:sz w:val="24"/>
          <w:szCs w:val="24"/>
          <w:lang w:val="da-DK"/>
        </w:rPr>
        <w:t xml:space="preserve"> </w:t>
      </w:r>
      <w:r w:rsidRPr="00A26C52">
        <w:rPr>
          <w:sz w:val="24"/>
          <w:szCs w:val="24"/>
          <w:lang w:val="da-DK"/>
        </w:rPr>
        <w:t>derover,</w:t>
      </w:r>
      <w:r w:rsidRPr="00A26C52">
        <w:rPr>
          <w:spacing w:val="-2"/>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blev</w:t>
      </w:r>
      <w:r w:rsidRPr="00A26C52">
        <w:rPr>
          <w:spacing w:val="-2"/>
          <w:sz w:val="24"/>
          <w:szCs w:val="24"/>
          <w:lang w:val="da-DK"/>
        </w:rPr>
        <w:t xml:space="preserve"> </w:t>
      </w:r>
      <w:r w:rsidRPr="00A26C52">
        <w:rPr>
          <w:sz w:val="24"/>
          <w:szCs w:val="24"/>
          <w:lang w:val="da-DK"/>
        </w:rPr>
        <w:t>behandlet</w:t>
      </w:r>
      <w:r w:rsidRPr="00A26C52">
        <w:rPr>
          <w:spacing w:val="-2"/>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zoledronsyre,</w:t>
      </w:r>
      <w:r w:rsidRPr="00A26C52">
        <w:rPr>
          <w:spacing w:val="-2"/>
          <w:sz w:val="24"/>
          <w:szCs w:val="24"/>
          <w:lang w:val="da-DK"/>
        </w:rPr>
        <w:t xml:space="preserve"> </w:t>
      </w:r>
      <w:r w:rsidRPr="00A26C52">
        <w:rPr>
          <w:sz w:val="24"/>
          <w:szCs w:val="24"/>
          <w:lang w:val="da-DK"/>
        </w:rPr>
        <w:t>reducerede</w:t>
      </w:r>
      <w:r w:rsidRPr="00A26C52">
        <w:rPr>
          <w:spacing w:val="-3"/>
          <w:sz w:val="24"/>
          <w:szCs w:val="24"/>
          <w:lang w:val="da-DK"/>
        </w:rPr>
        <w:t xml:space="preserve"> </w:t>
      </w:r>
      <w:r w:rsidRPr="00A26C52">
        <w:rPr>
          <w:sz w:val="24"/>
          <w:szCs w:val="24"/>
          <w:lang w:val="da-DK"/>
        </w:rPr>
        <w:t>risikoen</w:t>
      </w:r>
      <w:r w:rsidRPr="00A26C52">
        <w:rPr>
          <w:spacing w:val="-2"/>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60</w:t>
      </w:r>
      <w:r w:rsidRPr="00A26C52">
        <w:rPr>
          <w:spacing w:val="-2"/>
          <w:sz w:val="24"/>
          <w:szCs w:val="24"/>
          <w:lang w:val="da-DK"/>
        </w:rPr>
        <w:t xml:space="preserve"> </w:t>
      </w:r>
      <w:r w:rsidRPr="00A26C52">
        <w:rPr>
          <w:sz w:val="24"/>
          <w:szCs w:val="24"/>
          <w:lang w:val="da-DK"/>
        </w:rPr>
        <w:t>%</w:t>
      </w:r>
      <w:r w:rsidRPr="00A26C52">
        <w:rPr>
          <w:spacing w:val="-3"/>
          <w:sz w:val="24"/>
          <w:szCs w:val="24"/>
          <w:lang w:val="da-DK"/>
        </w:rPr>
        <w:t xml:space="preserve"> </w:t>
      </w:r>
      <w:r w:rsidRPr="00A26C52">
        <w:rPr>
          <w:sz w:val="24"/>
          <w:szCs w:val="24"/>
          <w:lang w:val="da-DK"/>
        </w:rPr>
        <w:t>for vertebral fraktur sammenlignet med placebo patienter (p&lt;0,0001).</w:t>
      </w:r>
    </w:p>
    <w:p w14:paraId="1689654A" w14:textId="77777777" w:rsidR="00A26C52" w:rsidRPr="00A26C52" w:rsidRDefault="00A26C52" w:rsidP="00A26C52">
      <w:pPr>
        <w:pStyle w:val="Brdtekst"/>
        <w:ind w:left="851" w:right="879"/>
        <w:rPr>
          <w:sz w:val="24"/>
          <w:szCs w:val="24"/>
          <w:lang w:val="da-DK"/>
        </w:rPr>
      </w:pPr>
    </w:p>
    <w:p w14:paraId="4892307C" w14:textId="77777777" w:rsidR="0083612A" w:rsidRPr="00A26C52" w:rsidRDefault="0083612A" w:rsidP="00A26C52">
      <w:pPr>
        <w:ind w:left="851"/>
        <w:rPr>
          <w:i/>
          <w:sz w:val="24"/>
          <w:szCs w:val="24"/>
        </w:rPr>
      </w:pPr>
      <w:r w:rsidRPr="00A26C52">
        <w:rPr>
          <w:i/>
          <w:sz w:val="24"/>
          <w:szCs w:val="24"/>
          <w:u w:val="single"/>
        </w:rPr>
        <w:t>Effekt</w:t>
      </w:r>
      <w:r w:rsidRPr="00A26C52">
        <w:rPr>
          <w:i/>
          <w:spacing w:val="-5"/>
          <w:sz w:val="24"/>
          <w:szCs w:val="24"/>
          <w:u w:val="single"/>
        </w:rPr>
        <w:t xml:space="preserve"> </w:t>
      </w:r>
      <w:r w:rsidRPr="00A26C52">
        <w:rPr>
          <w:i/>
          <w:sz w:val="24"/>
          <w:szCs w:val="24"/>
          <w:u w:val="single"/>
        </w:rPr>
        <w:t>på</w:t>
      </w:r>
      <w:r w:rsidRPr="00A26C52">
        <w:rPr>
          <w:i/>
          <w:spacing w:val="-5"/>
          <w:sz w:val="24"/>
          <w:szCs w:val="24"/>
          <w:u w:val="single"/>
        </w:rPr>
        <w:t xml:space="preserve"> </w:t>
      </w:r>
      <w:r w:rsidRPr="00A26C52">
        <w:rPr>
          <w:i/>
          <w:spacing w:val="-2"/>
          <w:sz w:val="24"/>
          <w:szCs w:val="24"/>
          <w:u w:val="single"/>
        </w:rPr>
        <w:t>hoftefrakturer</w:t>
      </w:r>
    </w:p>
    <w:p w14:paraId="2B5AD5E5" w14:textId="77777777" w:rsidR="0083612A" w:rsidRPr="00A26C52" w:rsidRDefault="0083612A" w:rsidP="00A26C52">
      <w:pPr>
        <w:pStyle w:val="Brdtekst"/>
        <w:ind w:left="851" w:right="911"/>
        <w:rPr>
          <w:sz w:val="24"/>
          <w:szCs w:val="24"/>
          <w:lang w:val="da-DK"/>
        </w:rPr>
      </w:pPr>
      <w:r w:rsidRPr="00A26C52">
        <w:rPr>
          <w:sz w:val="24"/>
          <w:szCs w:val="24"/>
          <w:lang w:val="da-DK"/>
        </w:rPr>
        <w:t>Zoledronsyre</w:t>
      </w:r>
      <w:r w:rsidRPr="00A26C52">
        <w:rPr>
          <w:spacing w:val="-5"/>
          <w:sz w:val="24"/>
          <w:szCs w:val="24"/>
          <w:lang w:val="da-DK"/>
        </w:rPr>
        <w:t xml:space="preserve"> </w:t>
      </w:r>
      <w:r w:rsidRPr="00A26C52">
        <w:rPr>
          <w:sz w:val="24"/>
          <w:szCs w:val="24"/>
          <w:lang w:val="da-DK"/>
        </w:rPr>
        <w:t>viste</w:t>
      </w:r>
      <w:r w:rsidRPr="00A26C52">
        <w:rPr>
          <w:spacing w:val="-1"/>
          <w:sz w:val="24"/>
          <w:szCs w:val="24"/>
          <w:lang w:val="da-DK"/>
        </w:rPr>
        <w:t xml:space="preserve"> </w:t>
      </w:r>
      <w:r w:rsidRPr="00A26C52">
        <w:rPr>
          <w:sz w:val="24"/>
          <w:szCs w:val="24"/>
          <w:lang w:val="da-DK"/>
        </w:rPr>
        <w:t>en</w:t>
      </w:r>
      <w:r w:rsidRPr="00A26C52">
        <w:rPr>
          <w:spacing w:val="-2"/>
          <w:sz w:val="24"/>
          <w:szCs w:val="24"/>
          <w:lang w:val="da-DK"/>
        </w:rPr>
        <w:t xml:space="preserve"> </w:t>
      </w:r>
      <w:r w:rsidRPr="00A26C52">
        <w:rPr>
          <w:sz w:val="24"/>
          <w:szCs w:val="24"/>
          <w:lang w:val="da-DK"/>
        </w:rPr>
        <w:t>konsistent</w:t>
      </w:r>
      <w:r w:rsidRPr="00A26C52">
        <w:rPr>
          <w:spacing w:val="-4"/>
          <w:sz w:val="24"/>
          <w:szCs w:val="24"/>
          <w:lang w:val="da-DK"/>
        </w:rPr>
        <w:t xml:space="preserve"> </w:t>
      </w:r>
      <w:r w:rsidRPr="00A26C52">
        <w:rPr>
          <w:sz w:val="24"/>
          <w:szCs w:val="24"/>
          <w:lang w:val="da-DK"/>
        </w:rPr>
        <w:t>effekt</w:t>
      </w:r>
      <w:r w:rsidRPr="00A26C52">
        <w:rPr>
          <w:spacing w:val="-2"/>
          <w:sz w:val="24"/>
          <w:szCs w:val="24"/>
          <w:lang w:val="da-DK"/>
        </w:rPr>
        <w:t xml:space="preserve"> </w:t>
      </w:r>
      <w:r w:rsidRPr="00A26C52">
        <w:rPr>
          <w:sz w:val="24"/>
          <w:szCs w:val="24"/>
          <w:lang w:val="da-DK"/>
        </w:rPr>
        <w:t>over</w:t>
      </w:r>
      <w:r w:rsidRPr="00A26C52">
        <w:rPr>
          <w:spacing w:val="-2"/>
          <w:sz w:val="24"/>
          <w:szCs w:val="24"/>
          <w:lang w:val="da-DK"/>
        </w:rPr>
        <w:t xml:space="preserve"> </w:t>
      </w:r>
      <w:r w:rsidRPr="00A26C52">
        <w:rPr>
          <w:sz w:val="24"/>
          <w:szCs w:val="24"/>
          <w:lang w:val="da-DK"/>
        </w:rPr>
        <w:t>3</w:t>
      </w:r>
      <w:r w:rsidRPr="00A26C52">
        <w:rPr>
          <w:spacing w:val="-3"/>
          <w:sz w:val="24"/>
          <w:szCs w:val="24"/>
          <w:lang w:val="da-DK"/>
        </w:rPr>
        <w:t xml:space="preserve"> </w:t>
      </w:r>
      <w:r w:rsidRPr="00A26C52">
        <w:rPr>
          <w:sz w:val="24"/>
          <w:szCs w:val="24"/>
          <w:lang w:val="da-DK"/>
        </w:rPr>
        <w:t>år</w:t>
      </w:r>
      <w:r w:rsidRPr="00A26C52">
        <w:rPr>
          <w:spacing w:val="-2"/>
          <w:sz w:val="24"/>
          <w:szCs w:val="24"/>
          <w:lang w:val="da-DK"/>
        </w:rPr>
        <w:t xml:space="preserve"> </w:t>
      </w:r>
      <w:r w:rsidRPr="00A26C52">
        <w:rPr>
          <w:sz w:val="24"/>
          <w:szCs w:val="24"/>
          <w:lang w:val="da-DK"/>
        </w:rPr>
        <w:t>på</w:t>
      </w:r>
      <w:r w:rsidRPr="00A26C52">
        <w:rPr>
          <w:spacing w:val="-3"/>
          <w:sz w:val="24"/>
          <w:szCs w:val="24"/>
          <w:lang w:val="da-DK"/>
        </w:rPr>
        <w:t xml:space="preserve"> </w:t>
      </w:r>
      <w:r w:rsidRPr="00A26C52">
        <w:rPr>
          <w:sz w:val="24"/>
          <w:szCs w:val="24"/>
          <w:lang w:val="da-DK"/>
        </w:rPr>
        <w:t>41</w:t>
      </w:r>
      <w:r w:rsidRPr="00A26C52">
        <w:rPr>
          <w:spacing w:val="-2"/>
          <w:sz w:val="24"/>
          <w:szCs w:val="24"/>
          <w:lang w:val="da-DK"/>
        </w:rPr>
        <w:t xml:space="preserve"> </w:t>
      </w:r>
      <w:r w:rsidRPr="00A26C52">
        <w:rPr>
          <w:sz w:val="24"/>
          <w:szCs w:val="24"/>
          <w:lang w:val="da-DK"/>
        </w:rPr>
        <w:t>%</w:t>
      </w:r>
      <w:r w:rsidRPr="00A26C52">
        <w:rPr>
          <w:spacing w:val="-3"/>
          <w:sz w:val="24"/>
          <w:szCs w:val="24"/>
          <w:lang w:val="da-DK"/>
        </w:rPr>
        <w:t xml:space="preserve"> </w:t>
      </w:r>
      <w:r w:rsidRPr="00A26C52">
        <w:rPr>
          <w:sz w:val="24"/>
          <w:szCs w:val="24"/>
          <w:lang w:val="da-DK"/>
        </w:rPr>
        <w:t>reduktion</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risikoen</w:t>
      </w:r>
      <w:r w:rsidRPr="00A26C52">
        <w:rPr>
          <w:spacing w:val="-2"/>
          <w:sz w:val="24"/>
          <w:szCs w:val="24"/>
          <w:lang w:val="da-DK"/>
        </w:rPr>
        <w:t xml:space="preserve"> </w:t>
      </w:r>
      <w:r w:rsidRPr="00A26C52">
        <w:rPr>
          <w:sz w:val="24"/>
          <w:szCs w:val="24"/>
          <w:lang w:val="da-DK"/>
        </w:rPr>
        <w:t>for</w:t>
      </w:r>
      <w:r w:rsidRPr="00A26C52">
        <w:rPr>
          <w:spacing w:val="-4"/>
          <w:sz w:val="24"/>
          <w:szCs w:val="24"/>
          <w:lang w:val="da-DK"/>
        </w:rPr>
        <w:t xml:space="preserve"> </w:t>
      </w:r>
      <w:r w:rsidRPr="00A26C52">
        <w:rPr>
          <w:sz w:val="24"/>
          <w:szCs w:val="24"/>
          <w:lang w:val="da-DK"/>
        </w:rPr>
        <w:t>hoftefrakturer</w:t>
      </w:r>
      <w:r w:rsidRPr="00A26C52">
        <w:rPr>
          <w:spacing w:val="-2"/>
          <w:sz w:val="24"/>
          <w:szCs w:val="24"/>
          <w:lang w:val="da-DK"/>
        </w:rPr>
        <w:t xml:space="preserve"> </w:t>
      </w:r>
      <w:r w:rsidRPr="00A26C52">
        <w:rPr>
          <w:sz w:val="24"/>
          <w:szCs w:val="24"/>
          <w:lang w:val="da-DK"/>
        </w:rPr>
        <w:t>(95</w:t>
      </w:r>
      <w:r w:rsidRPr="00A26C52">
        <w:rPr>
          <w:spacing w:val="-1"/>
          <w:sz w:val="24"/>
          <w:szCs w:val="24"/>
          <w:lang w:val="da-DK"/>
        </w:rPr>
        <w:t xml:space="preserve"> </w:t>
      </w:r>
      <w:r w:rsidRPr="00A26C52">
        <w:rPr>
          <w:sz w:val="24"/>
          <w:szCs w:val="24"/>
          <w:lang w:val="da-DK"/>
        </w:rPr>
        <w:t>%</w:t>
      </w:r>
      <w:r w:rsidRPr="00A26C52">
        <w:rPr>
          <w:spacing w:val="-3"/>
          <w:sz w:val="24"/>
          <w:szCs w:val="24"/>
          <w:lang w:val="da-DK"/>
        </w:rPr>
        <w:t xml:space="preserve"> </w:t>
      </w:r>
      <w:r w:rsidRPr="00A26C52">
        <w:rPr>
          <w:sz w:val="24"/>
          <w:szCs w:val="24"/>
          <w:lang w:val="da-DK"/>
        </w:rPr>
        <w:t>CI, 17 % til 58 %). Hændelsesraten for hoftefrakturer var 1,44 % for patienter behandlet med zoledronsyre</w:t>
      </w:r>
      <w:r w:rsidRPr="00A26C52">
        <w:rPr>
          <w:spacing w:val="-5"/>
          <w:sz w:val="24"/>
          <w:szCs w:val="24"/>
          <w:lang w:val="da-DK"/>
        </w:rPr>
        <w:t xml:space="preserve"> </w:t>
      </w:r>
      <w:r w:rsidRPr="00A26C52">
        <w:rPr>
          <w:sz w:val="24"/>
          <w:szCs w:val="24"/>
          <w:lang w:val="da-DK"/>
        </w:rPr>
        <w:t>sammenlignet med 2,49 % for patienter behandlet med placebo. Risikoreduktionen var 51 % for patienter som ikke havde fået bisfosfonat tidligere og 42 % for patienter, som fik lov at være i samtidig osteoporosebehandling.</w:t>
      </w:r>
    </w:p>
    <w:p w14:paraId="56CC8BA8" w14:textId="0D867FBE" w:rsidR="00A26C52" w:rsidRDefault="00A26C52" w:rsidP="00A26C52">
      <w:pPr>
        <w:rPr>
          <w:sz w:val="24"/>
          <w:szCs w:val="24"/>
        </w:rPr>
      </w:pPr>
      <w:r>
        <w:rPr>
          <w:sz w:val="24"/>
          <w:szCs w:val="24"/>
        </w:rPr>
        <w:br w:type="page"/>
      </w:r>
    </w:p>
    <w:p w14:paraId="7BDF5364" w14:textId="77777777" w:rsidR="0083612A" w:rsidRPr="00A26C52" w:rsidRDefault="0083612A" w:rsidP="00A26C52">
      <w:pPr>
        <w:pStyle w:val="Brdtekst"/>
        <w:ind w:left="851"/>
        <w:rPr>
          <w:sz w:val="24"/>
          <w:szCs w:val="24"/>
          <w:lang w:val="da-DK"/>
        </w:rPr>
      </w:pPr>
    </w:p>
    <w:p w14:paraId="0016813B" w14:textId="77777777" w:rsidR="0083612A" w:rsidRPr="00A26C52" w:rsidRDefault="0083612A" w:rsidP="00A26C52">
      <w:pPr>
        <w:ind w:left="851"/>
        <w:rPr>
          <w:i/>
          <w:sz w:val="24"/>
          <w:szCs w:val="24"/>
        </w:rPr>
      </w:pPr>
      <w:r w:rsidRPr="00A26C52">
        <w:rPr>
          <w:i/>
          <w:sz w:val="24"/>
          <w:szCs w:val="24"/>
          <w:u w:val="single"/>
        </w:rPr>
        <w:t>Effekt</w:t>
      </w:r>
      <w:r w:rsidRPr="00A26C52">
        <w:rPr>
          <w:i/>
          <w:spacing w:val="-6"/>
          <w:sz w:val="24"/>
          <w:szCs w:val="24"/>
          <w:u w:val="single"/>
        </w:rPr>
        <w:t xml:space="preserve"> </w:t>
      </w:r>
      <w:r w:rsidRPr="00A26C52">
        <w:rPr>
          <w:i/>
          <w:sz w:val="24"/>
          <w:szCs w:val="24"/>
          <w:u w:val="single"/>
        </w:rPr>
        <w:t>på</w:t>
      </w:r>
      <w:r w:rsidRPr="00A26C52">
        <w:rPr>
          <w:i/>
          <w:spacing w:val="-6"/>
          <w:sz w:val="24"/>
          <w:szCs w:val="24"/>
          <w:u w:val="single"/>
        </w:rPr>
        <w:t xml:space="preserve"> </w:t>
      </w:r>
      <w:r w:rsidRPr="00A26C52">
        <w:rPr>
          <w:i/>
          <w:sz w:val="24"/>
          <w:szCs w:val="24"/>
          <w:u w:val="single"/>
        </w:rPr>
        <w:t>alle</w:t>
      </w:r>
      <w:r w:rsidRPr="00A26C52">
        <w:rPr>
          <w:i/>
          <w:spacing w:val="-7"/>
          <w:sz w:val="24"/>
          <w:szCs w:val="24"/>
          <w:u w:val="single"/>
        </w:rPr>
        <w:t xml:space="preserve"> </w:t>
      </w:r>
      <w:r w:rsidRPr="00A26C52">
        <w:rPr>
          <w:i/>
          <w:sz w:val="24"/>
          <w:szCs w:val="24"/>
          <w:u w:val="single"/>
        </w:rPr>
        <w:t>kliniske</w:t>
      </w:r>
      <w:r w:rsidRPr="00A26C52">
        <w:rPr>
          <w:i/>
          <w:spacing w:val="-7"/>
          <w:sz w:val="24"/>
          <w:szCs w:val="24"/>
          <w:u w:val="single"/>
        </w:rPr>
        <w:t xml:space="preserve"> </w:t>
      </w:r>
      <w:r w:rsidRPr="00A26C52">
        <w:rPr>
          <w:i/>
          <w:spacing w:val="-2"/>
          <w:sz w:val="24"/>
          <w:szCs w:val="24"/>
          <w:u w:val="single"/>
        </w:rPr>
        <w:t>frakturer</w:t>
      </w:r>
    </w:p>
    <w:p w14:paraId="7A6855B3" w14:textId="77777777" w:rsidR="0083612A" w:rsidRPr="00A26C52" w:rsidRDefault="0083612A" w:rsidP="00A26C52">
      <w:pPr>
        <w:pStyle w:val="Brdtekst"/>
        <w:ind w:left="851" w:right="1267"/>
        <w:rPr>
          <w:sz w:val="24"/>
          <w:szCs w:val="24"/>
          <w:lang w:val="da-DK"/>
        </w:rPr>
      </w:pPr>
      <w:r w:rsidRPr="00A26C52">
        <w:rPr>
          <w:sz w:val="24"/>
          <w:szCs w:val="24"/>
          <w:lang w:val="da-DK"/>
        </w:rPr>
        <w:t>Alle</w:t>
      </w:r>
      <w:r w:rsidRPr="00A26C52">
        <w:rPr>
          <w:spacing w:val="-4"/>
          <w:sz w:val="24"/>
          <w:szCs w:val="24"/>
          <w:lang w:val="da-DK"/>
        </w:rPr>
        <w:t xml:space="preserve"> </w:t>
      </w:r>
      <w:r w:rsidRPr="00A26C52">
        <w:rPr>
          <w:sz w:val="24"/>
          <w:szCs w:val="24"/>
          <w:lang w:val="da-DK"/>
        </w:rPr>
        <w:t>kliniske</w:t>
      </w:r>
      <w:r w:rsidRPr="00A26C52">
        <w:rPr>
          <w:spacing w:val="-4"/>
          <w:sz w:val="24"/>
          <w:szCs w:val="24"/>
          <w:lang w:val="da-DK"/>
        </w:rPr>
        <w:t xml:space="preserve"> </w:t>
      </w:r>
      <w:r w:rsidRPr="00A26C52">
        <w:rPr>
          <w:sz w:val="24"/>
          <w:szCs w:val="24"/>
          <w:lang w:val="da-DK"/>
        </w:rPr>
        <w:t>frakturer</w:t>
      </w:r>
      <w:r w:rsidRPr="00A26C52">
        <w:rPr>
          <w:spacing w:val="-3"/>
          <w:sz w:val="24"/>
          <w:szCs w:val="24"/>
          <w:lang w:val="da-DK"/>
        </w:rPr>
        <w:t xml:space="preserve"> </w:t>
      </w:r>
      <w:r w:rsidRPr="00A26C52">
        <w:rPr>
          <w:sz w:val="24"/>
          <w:szCs w:val="24"/>
          <w:lang w:val="da-DK"/>
        </w:rPr>
        <w:t>blev</w:t>
      </w:r>
      <w:r w:rsidRPr="00A26C52">
        <w:rPr>
          <w:spacing w:val="-3"/>
          <w:sz w:val="24"/>
          <w:szCs w:val="24"/>
          <w:lang w:val="da-DK"/>
        </w:rPr>
        <w:t xml:space="preserve"> </w:t>
      </w:r>
      <w:r w:rsidRPr="00A26C52">
        <w:rPr>
          <w:sz w:val="24"/>
          <w:szCs w:val="24"/>
          <w:lang w:val="da-DK"/>
        </w:rPr>
        <w:t>verificeret</w:t>
      </w:r>
      <w:r w:rsidRPr="00A26C52">
        <w:rPr>
          <w:spacing w:val="-3"/>
          <w:sz w:val="24"/>
          <w:szCs w:val="24"/>
          <w:lang w:val="da-DK"/>
        </w:rPr>
        <w:t xml:space="preserve"> </w:t>
      </w:r>
      <w:r w:rsidRPr="00A26C52">
        <w:rPr>
          <w:sz w:val="24"/>
          <w:szCs w:val="24"/>
          <w:lang w:val="da-DK"/>
        </w:rPr>
        <w:t>ud</w:t>
      </w:r>
      <w:r w:rsidRPr="00A26C52">
        <w:rPr>
          <w:spacing w:val="-3"/>
          <w:sz w:val="24"/>
          <w:szCs w:val="24"/>
          <w:lang w:val="da-DK"/>
        </w:rPr>
        <w:t xml:space="preserve"> </w:t>
      </w:r>
      <w:r w:rsidRPr="00A26C52">
        <w:rPr>
          <w:sz w:val="24"/>
          <w:szCs w:val="24"/>
          <w:lang w:val="da-DK"/>
        </w:rPr>
        <w:t>fra</w:t>
      </w:r>
      <w:r w:rsidRPr="00A26C52">
        <w:rPr>
          <w:spacing w:val="-4"/>
          <w:sz w:val="24"/>
          <w:szCs w:val="24"/>
          <w:lang w:val="da-DK"/>
        </w:rPr>
        <w:t xml:space="preserve"> </w:t>
      </w:r>
      <w:r w:rsidRPr="00A26C52">
        <w:rPr>
          <w:sz w:val="24"/>
          <w:szCs w:val="24"/>
          <w:lang w:val="da-DK"/>
        </w:rPr>
        <w:t>radiografi</w:t>
      </w:r>
      <w:r w:rsidRPr="00A26C52">
        <w:rPr>
          <w:spacing w:val="-3"/>
          <w:sz w:val="24"/>
          <w:szCs w:val="24"/>
          <w:lang w:val="da-DK"/>
        </w:rPr>
        <w:t xml:space="preserve"> </w:t>
      </w:r>
      <w:r w:rsidRPr="00A26C52">
        <w:rPr>
          <w:sz w:val="24"/>
          <w:szCs w:val="24"/>
          <w:lang w:val="da-DK"/>
        </w:rPr>
        <w:t>og/eller</w:t>
      </w:r>
      <w:r w:rsidRPr="00A26C52">
        <w:rPr>
          <w:spacing w:val="-3"/>
          <w:sz w:val="24"/>
          <w:szCs w:val="24"/>
          <w:lang w:val="da-DK"/>
        </w:rPr>
        <w:t xml:space="preserve"> </w:t>
      </w:r>
      <w:r w:rsidRPr="00A26C52">
        <w:rPr>
          <w:sz w:val="24"/>
          <w:szCs w:val="24"/>
          <w:lang w:val="da-DK"/>
        </w:rPr>
        <w:t>klinisk</w:t>
      </w:r>
      <w:r w:rsidRPr="00A26C52">
        <w:rPr>
          <w:spacing w:val="-3"/>
          <w:sz w:val="24"/>
          <w:szCs w:val="24"/>
          <w:lang w:val="da-DK"/>
        </w:rPr>
        <w:t xml:space="preserve"> </w:t>
      </w:r>
      <w:r w:rsidRPr="00A26C52">
        <w:rPr>
          <w:sz w:val="24"/>
          <w:szCs w:val="24"/>
          <w:lang w:val="da-DK"/>
        </w:rPr>
        <w:t>dokumentation.</w:t>
      </w:r>
      <w:r w:rsidRPr="00A26C52">
        <w:rPr>
          <w:spacing w:val="-3"/>
          <w:sz w:val="24"/>
          <w:szCs w:val="24"/>
          <w:lang w:val="da-DK"/>
        </w:rPr>
        <w:t xml:space="preserve"> </w:t>
      </w:r>
      <w:r w:rsidRPr="00A26C52">
        <w:rPr>
          <w:sz w:val="24"/>
          <w:szCs w:val="24"/>
          <w:lang w:val="da-DK"/>
        </w:rPr>
        <w:t>Et</w:t>
      </w:r>
      <w:r w:rsidRPr="00A26C52">
        <w:rPr>
          <w:spacing w:val="-3"/>
          <w:sz w:val="24"/>
          <w:szCs w:val="24"/>
          <w:lang w:val="da-DK"/>
        </w:rPr>
        <w:t xml:space="preserve"> </w:t>
      </w:r>
      <w:r w:rsidRPr="00A26C52">
        <w:rPr>
          <w:sz w:val="24"/>
          <w:szCs w:val="24"/>
          <w:lang w:val="da-DK"/>
        </w:rPr>
        <w:t>resumé af resultaterne er præsenteret i tabel 3.</w:t>
      </w:r>
    </w:p>
    <w:p w14:paraId="0FACA6BF" w14:textId="77777777" w:rsidR="0083612A" w:rsidRPr="00A26C52" w:rsidRDefault="0083612A" w:rsidP="00A26C52">
      <w:pPr>
        <w:pStyle w:val="Brdtekst"/>
        <w:ind w:left="851"/>
        <w:rPr>
          <w:sz w:val="24"/>
          <w:szCs w:val="24"/>
          <w:lang w:val="da-DK"/>
        </w:rPr>
      </w:pPr>
    </w:p>
    <w:p w14:paraId="6D85B218" w14:textId="77777777" w:rsidR="0083612A" w:rsidRPr="004F55B9" w:rsidRDefault="0083612A" w:rsidP="00A26C52">
      <w:pPr>
        <w:pStyle w:val="Overskrift2"/>
        <w:tabs>
          <w:tab w:val="left" w:pos="1352"/>
        </w:tabs>
        <w:ind w:left="1352" w:right="-1" w:hanging="1135"/>
        <w:rPr>
          <w:lang w:val="da-DK"/>
        </w:rPr>
      </w:pPr>
      <w:r w:rsidRPr="004F55B9">
        <w:rPr>
          <w:lang w:val="da-DK"/>
        </w:rPr>
        <w:t>Tabel 3</w:t>
      </w:r>
      <w:r w:rsidRPr="004F55B9">
        <w:rPr>
          <w:lang w:val="da-DK"/>
        </w:rPr>
        <w:tab/>
        <w:t>Sammenligninger</w:t>
      </w:r>
      <w:r w:rsidRPr="004F55B9">
        <w:rPr>
          <w:spacing w:val="-5"/>
          <w:lang w:val="da-DK"/>
        </w:rPr>
        <w:t xml:space="preserve"> </w:t>
      </w:r>
      <w:r w:rsidRPr="004F55B9">
        <w:rPr>
          <w:lang w:val="da-DK"/>
        </w:rPr>
        <w:t>mellem</w:t>
      </w:r>
      <w:r w:rsidRPr="004F55B9">
        <w:rPr>
          <w:spacing w:val="-4"/>
          <w:lang w:val="da-DK"/>
        </w:rPr>
        <w:t xml:space="preserve"> </w:t>
      </w:r>
      <w:r w:rsidRPr="004F55B9">
        <w:rPr>
          <w:lang w:val="da-DK"/>
        </w:rPr>
        <w:t>behandlinger</w:t>
      </w:r>
      <w:r w:rsidRPr="004F55B9">
        <w:rPr>
          <w:spacing w:val="-5"/>
          <w:lang w:val="da-DK"/>
        </w:rPr>
        <w:t xml:space="preserve"> </w:t>
      </w:r>
      <w:r w:rsidRPr="004F55B9">
        <w:rPr>
          <w:lang w:val="da-DK"/>
        </w:rPr>
        <w:t>af</w:t>
      </w:r>
      <w:r w:rsidRPr="004F55B9">
        <w:rPr>
          <w:spacing w:val="-4"/>
          <w:lang w:val="da-DK"/>
        </w:rPr>
        <w:t xml:space="preserve"> </w:t>
      </w:r>
      <w:r w:rsidRPr="004F55B9">
        <w:rPr>
          <w:lang w:val="da-DK"/>
        </w:rPr>
        <w:t>incidensen</w:t>
      </w:r>
      <w:r w:rsidRPr="004F55B9">
        <w:rPr>
          <w:spacing w:val="-4"/>
          <w:lang w:val="da-DK"/>
        </w:rPr>
        <w:t xml:space="preserve"> </w:t>
      </w:r>
      <w:r w:rsidRPr="004F55B9">
        <w:rPr>
          <w:lang w:val="da-DK"/>
        </w:rPr>
        <w:t>af</w:t>
      </w:r>
      <w:r w:rsidRPr="004F55B9">
        <w:rPr>
          <w:spacing w:val="-4"/>
          <w:lang w:val="da-DK"/>
        </w:rPr>
        <w:t xml:space="preserve"> </w:t>
      </w:r>
      <w:r w:rsidRPr="004F55B9">
        <w:rPr>
          <w:lang w:val="da-DK"/>
        </w:rPr>
        <w:t>vigtige</w:t>
      </w:r>
      <w:r w:rsidRPr="004F55B9">
        <w:rPr>
          <w:spacing w:val="-6"/>
          <w:lang w:val="da-DK"/>
        </w:rPr>
        <w:t xml:space="preserve"> </w:t>
      </w:r>
      <w:r w:rsidRPr="004F55B9">
        <w:rPr>
          <w:lang w:val="da-DK"/>
        </w:rPr>
        <w:t>kliniske frakturvariabler over 3 år</w:t>
      </w:r>
    </w:p>
    <w:p w14:paraId="46898524" w14:textId="3D0E3236" w:rsidR="0083612A" w:rsidRDefault="0083612A" w:rsidP="00A26C52">
      <w:pPr>
        <w:tabs>
          <w:tab w:val="left" w:pos="851"/>
        </w:tabs>
        <w:ind w:left="851"/>
        <w:rPr>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6"/>
        <w:gridCol w:w="1618"/>
        <w:gridCol w:w="1276"/>
        <w:gridCol w:w="1984"/>
        <w:gridCol w:w="1985"/>
      </w:tblGrid>
      <w:tr w:rsidR="0083612A" w:rsidRPr="00C64C2E" w14:paraId="714BC968" w14:textId="77777777" w:rsidTr="00A26C52">
        <w:trPr>
          <w:trHeight w:val="1011"/>
        </w:trPr>
        <w:tc>
          <w:tcPr>
            <w:tcW w:w="2886" w:type="dxa"/>
          </w:tcPr>
          <w:p w14:paraId="7C265E23" w14:textId="77777777" w:rsidR="0083612A" w:rsidRDefault="0083612A" w:rsidP="00A26C52">
            <w:pPr>
              <w:pStyle w:val="TableParagraph"/>
              <w:spacing w:line="240" w:lineRule="auto"/>
            </w:pPr>
            <w:r>
              <w:rPr>
                <w:spacing w:val="-2"/>
              </w:rPr>
              <w:t>Resultat</w:t>
            </w:r>
          </w:p>
        </w:tc>
        <w:tc>
          <w:tcPr>
            <w:tcW w:w="1618" w:type="dxa"/>
          </w:tcPr>
          <w:p w14:paraId="66F670FB" w14:textId="77777777" w:rsidR="0083612A" w:rsidRDefault="0083612A" w:rsidP="00A26C52">
            <w:pPr>
              <w:pStyle w:val="TableParagraph"/>
              <w:spacing w:line="240" w:lineRule="auto"/>
              <w:ind w:left="174" w:right="164" w:hanging="3"/>
              <w:jc w:val="center"/>
            </w:pPr>
            <w:r>
              <w:t>Zoledronsyre</w:t>
            </w:r>
            <w:r>
              <w:rPr>
                <w:spacing w:val="-5"/>
              </w:rPr>
              <w:t xml:space="preserve"> </w:t>
            </w:r>
            <w:r>
              <w:rPr>
                <w:spacing w:val="-2"/>
              </w:rPr>
              <w:t>(N=3.875)</w:t>
            </w:r>
          </w:p>
          <w:p w14:paraId="17592839" w14:textId="77777777" w:rsidR="0083612A" w:rsidRDefault="0083612A" w:rsidP="00A26C52">
            <w:pPr>
              <w:pStyle w:val="TableParagraph"/>
              <w:spacing w:line="240" w:lineRule="auto"/>
              <w:ind w:left="14" w:right="5"/>
              <w:jc w:val="center"/>
            </w:pPr>
            <w:r>
              <w:rPr>
                <w:spacing w:val="-2"/>
              </w:rPr>
              <w:t>hændelses</w:t>
            </w:r>
            <w:r>
              <w:t>rate (%)</w:t>
            </w:r>
          </w:p>
        </w:tc>
        <w:tc>
          <w:tcPr>
            <w:tcW w:w="1276" w:type="dxa"/>
          </w:tcPr>
          <w:p w14:paraId="5268E0C8" w14:textId="77777777" w:rsidR="0083612A" w:rsidRDefault="0083612A" w:rsidP="00A26C52">
            <w:pPr>
              <w:pStyle w:val="TableParagraph"/>
              <w:spacing w:line="240" w:lineRule="auto"/>
              <w:ind w:left="173" w:right="164" w:hanging="3"/>
              <w:jc w:val="center"/>
            </w:pPr>
            <w:r>
              <w:rPr>
                <w:spacing w:val="-2"/>
              </w:rPr>
              <w:t>Placebo (N=3.861)</w:t>
            </w:r>
          </w:p>
          <w:p w14:paraId="1C843CD6" w14:textId="77777777" w:rsidR="0083612A" w:rsidRDefault="0083612A" w:rsidP="00A26C52">
            <w:pPr>
              <w:pStyle w:val="TableParagraph"/>
              <w:spacing w:line="240" w:lineRule="auto"/>
              <w:ind w:left="13" w:right="6"/>
              <w:jc w:val="center"/>
            </w:pPr>
            <w:r>
              <w:rPr>
                <w:spacing w:val="-2"/>
              </w:rPr>
              <w:t xml:space="preserve">hændelses- </w:t>
            </w:r>
            <w:r>
              <w:t>rate (%)</w:t>
            </w:r>
          </w:p>
        </w:tc>
        <w:tc>
          <w:tcPr>
            <w:tcW w:w="1984" w:type="dxa"/>
          </w:tcPr>
          <w:p w14:paraId="181EB1F7" w14:textId="77777777" w:rsidR="0083612A" w:rsidRPr="00E6192E" w:rsidRDefault="0083612A" w:rsidP="00A26C52">
            <w:pPr>
              <w:pStyle w:val="TableParagraph"/>
              <w:spacing w:line="240" w:lineRule="auto"/>
              <w:ind w:left="134" w:right="124"/>
              <w:jc w:val="center"/>
              <w:rPr>
                <w:lang w:val="da-DK"/>
              </w:rPr>
            </w:pPr>
            <w:r w:rsidRPr="00E6192E">
              <w:rPr>
                <w:lang w:val="da-DK"/>
              </w:rPr>
              <w:t>Absolut</w:t>
            </w:r>
            <w:r w:rsidRPr="00E6192E">
              <w:rPr>
                <w:spacing w:val="-14"/>
                <w:lang w:val="da-DK"/>
              </w:rPr>
              <w:t xml:space="preserve"> </w:t>
            </w:r>
            <w:r w:rsidRPr="00E6192E">
              <w:rPr>
                <w:lang w:val="da-DK"/>
              </w:rPr>
              <w:t>reduktion</w:t>
            </w:r>
            <w:r w:rsidRPr="00E6192E">
              <w:rPr>
                <w:spacing w:val="-14"/>
                <w:lang w:val="da-DK"/>
              </w:rPr>
              <w:t xml:space="preserve"> </w:t>
            </w:r>
            <w:r w:rsidRPr="00E6192E">
              <w:rPr>
                <w:lang w:val="da-DK"/>
              </w:rPr>
              <w:t xml:space="preserve">i </w:t>
            </w:r>
            <w:r w:rsidRPr="00E6192E">
              <w:rPr>
                <w:spacing w:val="-2"/>
                <w:lang w:val="da-DK"/>
              </w:rPr>
              <w:t xml:space="preserve">frakturhændelses- </w:t>
            </w:r>
            <w:r w:rsidRPr="00E6192E">
              <w:rPr>
                <w:lang w:val="da-DK"/>
              </w:rPr>
              <w:t>rate %</w:t>
            </w:r>
          </w:p>
          <w:p w14:paraId="6C9E0A7F" w14:textId="77777777" w:rsidR="0083612A" w:rsidRDefault="0083612A" w:rsidP="00A26C52">
            <w:pPr>
              <w:pStyle w:val="TableParagraph"/>
              <w:spacing w:line="240" w:lineRule="auto"/>
              <w:ind w:left="7"/>
              <w:jc w:val="center"/>
            </w:pPr>
            <w:r>
              <w:rPr>
                <w:spacing w:val="-4"/>
              </w:rPr>
              <w:t>(CI)</w:t>
            </w:r>
          </w:p>
        </w:tc>
        <w:tc>
          <w:tcPr>
            <w:tcW w:w="1985" w:type="dxa"/>
          </w:tcPr>
          <w:p w14:paraId="0605AC11" w14:textId="77777777" w:rsidR="0083612A" w:rsidRPr="00E6192E" w:rsidRDefault="0083612A" w:rsidP="00A26C52">
            <w:pPr>
              <w:pStyle w:val="TableParagraph"/>
              <w:spacing w:line="240" w:lineRule="auto"/>
              <w:ind w:left="28" w:right="21"/>
              <w:jc w:val="center"/>
              <w:rPr>
                <w:lang w:val="da-DK"/>
              </w:rPr>
            </w:pPr>
            <w:r w:rsidRPr="00E6192E">
              <w:rPr>
                <w:spacing w:val="-2"/>
                <w:lang w:val="da-DK"/>
              </w:rPr>
              <w:t xml:space="preserve">Relativ </w:t>
            </w:r>
            <w:r w:rsidRPr="00E6192E">
              <w:rPr>
                <w:lang w:val="da-DK"/>
              </w:rPr>
              <w:t>risikoreduktion</w:t>
            </w:r>
            <w:r w:rsidRPr="00E6192E">
              <w:rPr>
                <w:spacing w:val="-14"/>
                <w:lang w:val="da-DK"/>
              </w:rPr>
              <w:t xml:space="preserve"> </w:t>
            </w:r>
            <w:r w:rsidRPr="00E6192E">
              <w:rPr>
                <w:lang w:val="da-DK"/>
              </w:rPr>
              <w:t xml:space="preserve">i </w:t>
            </w:r>
            <w:r w:rsidRPr="00E6192E">
              <w:rPr>
                <w:spacing w:val="-2"/>
                <w:lang w:val="da-DK"/>
              </w:rPr>
              <w:t>frakturincidens</w:t>
            </w:r>
          </w:p>
          <w:p w14:paraId="22A6BA74" w14:textId="77777777" w:rsidR="0083612A" w:rsidRPr="00E6192E" w:rsidRDefault="0083612A" w:rsidP="00A26C52">
            <w:pPr>
              <w:pStyle w:val="TableParagraph"/>
              <w:spacing w:line="240" w:lineRule="auto"/>
              <w:ind w:left="28" w:right="25"/>
              <w:jc w:val="center"/>
              <w:rPr>
                <w:lang w:val="da-DK"/>
              </w:rPr>
            </w:pPr>
            <w:r w:rsidRPr="00E6192E">
              <w:rPr>
                <w:lang w:val="da-DK"/>
              </w:rPr>
              <w:t>%</w:t>
            </w:r>
            <w:r w:rsidRPr="00E6192E">
              <w:rPr>
                <w:spacing w:val="-3"/>
                <w:lang w:val="da-DK"/>
              </w:rPr>
              <w:t xml:space="preserve"> </w:t>
            </w:r>
            <w:r w:rsidRPr="00E6192E">
              <w:rPr>
                <w:spacing w:val="-4"/>
                <w:lang w:val="da-DK"/>
              </w:rPr>
              <w:t>(CI)</w:t>
            </w:r>
          </w:p>
        </w:tc>
      </w:tr>
      <w:tr w:rsidR="0083612A" w14:paraId="0DAC23B5" w14:textId="77777777" w:rsidTr="00A26C52">
        <w:trPr>
          <w:trHeight w:val="249"/>
        </w:trPr>
        <w:tc>
          <w:tcPr>
            <w:tcW w:w="2886" w:type="dxa"/>
          </w:tcPr>
          <w:p w14:paraId="037A8FC0" w14:textId="77777777" w:rsidR="0083612A" w:rsidRDefault="0083612A" w:rsidP="00A26C52">
            <w:pPr>
              <w:pStyle w:val="TableParagraph"/>
              <w:spacing w:line="240" w:lineRule="auto"/>
            </w:pPr>
            <w:r>
              <w:t>Alle</w:t>
            </w:r>
            <w:r>
              <w:rPr>
                <w:spacing w:val="-9"/>
              </w:rPr>
              <w:t xml:space="preserve"> </w:t>
            </w:r>
            <w:r>
              <w:t>kliniske</w:t>
            </w:r>
            <w:r>
              <w:rPr>
                <w:spacing w:val="-8"/>
              </w:rPr>
              <w:t xml:space="preserve"> </w:t>
            </w:r>
            <w:r>
              <w:t>frakturer</w:t>
            </w:r>
            <w:r>
              <w:rPr>
                <w:spacing w:val="-8"/>
              </w:rPr>
              <w:t xml:space="preserve"> </w:t>
            </w:r>
            <w:r>
              <w:rPr>
                <w:spacing w:val="-5"/>
              </w:rPr>
              <w:t>(1)</w:t>
            </w:r>
          </w:p>
        </w:tc>
        <w:tc>
          <w:tcPr>
            <w:tcW w:w="1618" w:type="dxa"/>
          </w:tcPr>
          <w:p w14:paraId="0FE95AB2" w14:textId="77777777" w:rsidR="0083612A" w:rsidRDefault="0083612A" w:rsidP="00A26C52">
            <w:pPr>
              <w:pStyle w:val="TableParagraph"/>
              <w:spacing w:line="240" w:lineRule="auto"/>
              <w:ind w:left="14" w:right="6"/>
              <w:jc w:val="center"/>
            </w:pPr>
            <w:r>
              <w:rPr>
                <w:spacing w:val="-5"/>
              </w:rPr>
              <w:t>8,4</w:t>
            </w:r>
          </w:p>
        </w:tc>
        <w:tc>
          <w:tcPr>
            <w:tcW w:w="1276" w:type="dxa"/>
          </w:tcPr>
          <w:p w14:paraId="06491D02" w14:textId="77777777" w:rsidR="0083612A" w:rsidRDefault="0083612A" w:rsidP="00A26C52">
            <w:pPr>
              <w:pStyle w:val="TableParagraph"/>
              <w:spacing w:line="240" w:lineRule="auto"/>
              <w:ind w:left="12" w:right="6"/>
              <w:jc w:val="center"/>
            </w:pPr>
            <w:r>
              <w:rPr>
                <w:spacing w:val="-4"/>
              </w:rPr>
              <w:t>12,8</w:t>
            </w:r>
          </w:p>
        </w:tc>
        <w:tc>
          <w:tcPr>
            <w:tcW w:w="1984" w:type="dxa"/>
          </w:tcPr>
          <w:p w14:paraId="3DEA8E00" w14:textId="77777777" w:rsidR="0083612A" w:rsidRDefault="0083612A" w:rsidP="00A26C52">
            <w:pPr>
              <w:pStyle w:val="TableParagraph"/>
              <w:spacing w:line="240" w:lineRule="auto"/>
              <w:ind w:left="9"/>
              <w:jc w:val="center"/>
            </w:pPr>
            <w:r>
              <w:t>4,4</w:t>
            </w:r>
            <w:r>
              <w:rPr>
                <w:spacing w:val="-4"/>
              </w:rPr>
              <w:t xml:space="preserve"> </w:t>
            </w:r>
            <w:r>
              <w:t>(3,0,</w:t>
            </w:r>
            <w:r>
              <w:rPr>
                <w:spacing w:val="-4"/>
              </w:rPr>
              <w:t xml:space="preserve"> 5,8)</w:t>
            </w:r>
          </w:p>
        </w:tc>
        <w:tc>
          <w:tcPr>
            <w:tcW w:w="1985" w:type="dxa"/>
          </w:tcPr>
          <w:p w14:paraId="6A565949" w14:textId="77777777" w:rsidR="0083612A" w:rsidRDefault="0083612A" w:rsidP="00A26C52">
            <w:pPr>
              <w:pStyle w:val="TableParagraph"/>
              <w:spacing w:line="240" w:lineRule="auto"/>
              <w:ind w:left="28" w:right="21"/>
              <w:jc w:val="center"/>
            </w:pPr>
            <w:r>
              <w:t>33</w:t>
            </w:r>
            <w:r>
              <w:rPr>
                <w:spacing w:val="-4"/>
              </w:rPr>
              <w:t xml:space="preserve"> </w:t>
            </w:r>
            <w:r>
              <w:t>(23,</w:t>
            </w:r>
            <w:r>
              <w:rPr>
                <w:spacing w:val="-3"/>
              </w:rPr>
              <w:t xml:space="preserve"> </w:t>
            </w:r>
            <w:r>
              <w:rPr>
                <w:spacing w:val="-2"/>
              </w:rPr>
              <w:t>42)**</w:t>
            </w:r>
          </w:p>
        </w:tc>
      </w:tr>
      <w:tr w:rsidR="0083612A" w14:paraId="589F410F" w14:textId="77777777" w:rsidTr="00A26C52">
        <w:trPr>
          <w:trHeight w:val="254"/>
        </w:trPr>
        <w:tc>
          <w:tcPr>
            <w:tcW w:w="2886" w:type="dxa"/>
          </w:tcPr>
          <w:p w14:paraId="1FE29698" w14:textId="77777777" w:rsidR="0083612A" w:rsidRDefault="0083612A" w:rsidP="00A26C52">
            <w:pPr>
              <w:pStyle w:val="TableParagraph"/>
              <w:spacing w:line="240" w:lineRule="auto"/>
            </w:pPr>
            <w:r>
              <w:t>Klinisk</w:t>
            </w:r>
            <w:r>
              <w:rPr>
                <w:spacing w:val="-9"/>
              </w:rPr>
              <w:t xml:space="preserve"> </w:t>
            </w:r>
            <w:r>
              <w:t>vertebral</w:t>
            </w:r>
            <w:r>
              <w:rPr>
                <w:spacing w:val="-9"/>
              </w:rPr>
              <w:t xml:space="preserve"> </w:t>
            </w:r>
            <w:r>
              <w:t>fraktur</w:t>
            </w:r>
            <w:r>
              <w:rPr>
                <w:spacing w:val="-9"/>
              </w:rPr>
              <w:t xml:space="preserve"> </w:t>
            </w:r>
            <w:r>
              <w:rPr>
                <w:spacing w:val="-5"/>
              </w:rPr>
              <w:t>(2)</w:t>
            </w:r>
          </w:p>
        </w:tc>
        <w:tc>
          <w:tcPr>
            <w:tcW w:w="1618" w:type="dxa"/>
          </w:tcPr>
          <w:p w14:paraId="52B815C4" w14:textId="77777777" w:rsidR="0083612A" w:rsidRDefault="0083612A" w:rsidP="00A26C52">
            <w:pPr>
              <w:pStyle w:val="TableParagraph"/>
              <w:spacing w:line="240" w:lineRule="auto"/>
              <w:ind w:left="14" w:right="6"/>
              <w:jc w:val="center"/>
            </w:pPr>
            <w:r>
              <w:rPr>
                <w:spacing w:val="-5"/>
              </w:rPr>
              <w:t>0,5</w:t>
            </w:r>
          </w:p>
        </w:tc>
        <w:tc>
          <w:tcPr>
            <w:tcW w:w="1276" w:type="dxa"/>
          </w:tcPr>
          <w:p w14:paraId="7B27E427" w14:textId="77777777" w:rsidR="0083612A" w:rsidRDefault="0083612A" w:rsidP="00A26C52">
            <w:pPr>
              <w:pStyle w:val="TableParagraph"/>
              <w:spacing w:line="240" w:lineRule="auto"/>
              <w:ind w:left="12" w:right="6"/>
              <w:jc w:val="center"/>
            </w:pPr>
            <w:r>
              <w:rPr>
                <w:spacing w:val="-5"/>
              </w:rPr>
              <w:t>2,6</w:t>
            </w:r>
          </w:p>
        </w:tc>
        <w:tc>
          <w:tcPr>
            <w:tcW w:w="1984" w:type="dxa"/>
          </w:tcPr>
          <w:p w14:paraId="4468B836" w14:textId="77777777" w:rsidR="0083612A" w:rsidRDefault="0083612A" w:rsidP="00A26C52">
            <w:pPr>
              <w:pStyle w:val="TableParagraph"/>
              <w:spacing w:line="240" w:lineRule="auto"/>
              <w:ind w:left="9"/>
              <w:jc w:val="center"/>
            </w:pPr>
            <w:r>
              <w:t>2,1</w:t>
            </w:r>
            <w:r>
              <w:rPr>
                <w:spacing w:val="-4"/>
              </w:rPr>
              <w:t xml:space="preserve"> </w:t>
            </w:r>
            <w:r>
              <w:t>(1,5,</w:t>
            </w:r>
            <w:r>
              <w:rPr>
                <w:spacing w:val="-4"/>
              </w:rPr>
              <w:t xml:space="preserve"> 2,7)</w:t>
            </w:r>
          </w:p>
        </w:tc>
        <w:tc>
          <w:tcPr>
            <w:tcW w:w="1985" w:type="dxa"/>
          </w:tcPr>
          <w:p w14:paraId="006FB5D4" w14:textId="77777777" w:rsidR="0083612A" w:rsidRDefault="0083612A" w:rsidP="00A26C52">
            <w:pPr>
              <w:pStyle w:val="TableParagraph"/>
              <w:spacing w:line="240" w:lineRule="auto"/>
              <w:ind w:left="28" w:right="21"/>
              <w:jc w:val="center"/>
            </w:pPr>
            <w:r>
              <w:t>77</w:t>
            </w:r>
            <w:r>
              <w:rPr>
                <w:spacing w:val="-4"/>
              </w:rPr>
              <w:t xml:space="preserve"> </w:t>
            </w:r>
            <w:r>
              <w:t>(63,</w:t>
            </w:r>
            <w:r>
              <w:rPr>
                <w:spacing w:val="-3"/>
              </w:rPr>
              <w:t xml:space="preserve"> </w:t>
            </w:r>
            <w:r>
              <w:rPr>
                <w:spacing w:val="-2"/>
              </w:rPr>
              <w:t>86)**</w:t>
            </w:r>
          </w:p>
        </w:tc>
      </w:tr>
      <w:tr w:rsidR="0083612A" w14:paraId="0128DCD0" w14:textId="77777777" w:rsidTr="00A26C52">
        <w:trPr>
          <w:trHeight w:val="252"/>
        </w:trPr>
        <w:tc>
          <w:tcPr>
            <w:tcW w:w="2886" w:type="dxa"/>
          </w:tcPr>
          <w:p w14:paraId="708FBB62" w14:textId="77777777" w:rsidR="0083612A" w:rsidRDefault="0083612A" w:rsidP="00A26C52">
            <w:pPr>
              <w:pStyle w:val="TableParagraph"/>
              <w:spacing w:line="240" w:lineRule="auto"/>
              <w:ind w:left="163"/>
            </w:pPr>
            <w:r>
              <w:t>Ikke-vertebral</w:t>
            </w:r>
            <w:r>
              <w:rPr>
                <w:spacing w:val="-12"/>
              </w:rPr>
              <w:t xml:space="preserve"> </w:t>
            </w:r>
            <w:r>
              <w:t>fraktur</w:t>
            </w:r>
            <w:r>
              <w:rPr>
                <w:spacing w:val="-12"/>
              </w:rPr>
              <w:t xml:space="preserve"> </w:t>
            </w:r>
            <w:r>
              <w:rPr>
                <w:spacing w:val="-5"/>
              </w:rPr>
              <w:t>(1)</w:t>
            </w:r>
          </w:p>
        </w:tc>
        <w:tc>
          <w:tcPr>
            <w:tcW w:w="1618" w:type="dxa"/>
          </w:tcPr>
          <w:p w14:paraId="55148939" w14:textId="77777777" w:rsidR="0083612A" w:rsidRDefault="0083612A" w:rsidP="00A26C52">
            <w:pPr>
              <w:pStyle w:val="TableParagraph"/>
              <w:spacing w:line="240" w:lineRule="auto"/>
              <w:ind w:left="14" w:right="6"/>
              <w:jc w:val="center"/>
            </w:pPr>
            <w:r>
              <w:rPr>
                <w:spacing w:val="-5"/>
              </w:rPr>
              <w:t>8,0</w:t>
            </w:r>
          </w:p>
        </w:tc>
        <w:tc>
          <w:tcPr>
            <w:tcW w:w="1276" w:type="dxa"/>
          </w:tcPr>
          <w:p w14:paraId="0FE13BD5" w14:textId="77777777" w:rsidR="0083612A" w:rsidRDefault="0083612A" w:rsidP="00A26C52">
            <w:pPr>
              <w:pStyle w:val="TableParagraph"/>
              <w:spacing w:line="240" w:lineRule="auto"/>
              <w:ind w:left="12" w:right="6"/>
              <w:jc w:val="center"/>
            </w:pPr>
            <w:r>
              <w:rPr>
                <w:spacing w:val="-4"/>
              </w:rPr>
              <w:t>10,7</w:t>
            </w:r>
          </w:p>
        </w:tc>
        <w:tc>
          <w:tcPr>
            <w:tcW w:w="1984" w:type="dxa"/>
          </w:tcPr>
          <w:p w14:paraId="4EC111FA" w14:textId="77777777" w:rsidR="0083612A" w:rsidRDefault="0083612A" w:rsidP="00A26C52">
            <w:pPr>
              <w:pStyle w:val="TableParagraph"/>
              <w:spacing w:line="240" w:lineRule="auto"/>
              <w:ind w:left="9"/>
              <w:jc w:val="center"/>
            </w:pPr>
            <w:r>
              <w:t>2,7</w:t>
            </w:r>
            <w:r>
              <w:rPr>
                <w:spacing w:val="-4"/>
              </w:rPr>
              <w:t xml:space="preserve"> </w:t>
            </w:r>
            <w:r>
              <w:t>(1,4,</w:t>
            </w:r>
            <w:r>
              <w:rPr>
                <w:spacing w:val="-4"/>
              </w:rPr>
              <w:t xml:space="preserve"> 4,0)</w:t>
            </w:r>
          </w:p>
        </w:tc>
        <w:tc>
          <w:tcPr>
            <w:tcW w:w="1985" w:type="dxa"/>
          </w:tcPr>
          <w:p w14:paraId="5FDB751E" w14:textId="77777777" w:rsidR="0083612A" w:rsidRDefault="0083612A" w:rsidP="00A26C52">
            <w:pPr>
              <w:pStyle w:val="TableParagraph"/>
              <w:spacing w:line="240" w:lineRule="auto"/>
              <w:ind w:left="28" w:right="24"/>
              <w:jc w:val="center"/>
            </w:pPr>
            <w:r>
              <w:t>25</w:t>
            </w:r>
            <w:r>
              <w:rPr>
                <w:spacing w:val="-4"/>
              </w:rPr>
              <w:t xml:space="preserve"> </w:t>
            </w:r>
            <w:r>
              <w:t>(13,</w:t>
            </w:r>
            <w:r>
              <w:rPr>
                <w:spacing w:val="-3"/>
              </w:rPr>
              <w:t xml:space="preserve"> </w:t>
            </w:r>
            <w:r>
              <w:rPr>
                <w:spacing w:val="-4"/>
              </w:rPr>
              <w:t>36)*</w:t>
            </w:r>
          </w:p>
        </w:tc>
      </w:tr>
      <w:tr w:rsidR="0083612A" w:rsidRPr="00C64C2E" w14:paraId="61E4D750" w14:textId="77777777" w:rsidTr="00A26C52">
        <w:trPr>
          <w:trHeight w:val="759"/>
        </w:trPr>
        <w:tc>
          <w:tcPr>
            <w:tcW w:w="9749" w:type="dxa"/>
            <w:gridSpan w:val="5"/>
          </w:tcPr>
          <w:p w14:paraId="17ABD408" w14:textId="77777777" w:rsidR="0083612A" w:rsidRDefault="0083612A" w:rsidP="00A26C52">
            <w:pPr>
              <w:pStyle w:val="TableParagraph"/>
              <w:spacing w:line="240" w:lineRule="auto"/>
            </w:pPr>
            <w:r>
              <w:t>*p-værdi</w:t>
            </w:r>
            <w:r>
              <w:rPr>
                <w:spacing w:val="-10"/>
              </w:rPr>
              <w:t xml:space="preserve"> </w:t>
            </w:r>
            <w:r>
              <w:t>&lt;0,001,</w:t>
            </w:r>
            <w:r>
              <w:rPr>
                <w:spacing w:val="-11"/>
              </w:rPr>
              <w:t xml:space="preserve"> </w:t>
            </w:r>
            <w:r>
              <w:t>**p-værdi</w:t>
            </w:r>
            <w:r>
              <w:rPr>
                <w:spacing w:val="-10"/>
              </w:rPr>
              <w:t xml:space="preserve"> </w:t>
            </w:r>
            <w:r>
              <w:rPr>
                <w:spacing w:val="-2"/>
              </w:rPr>
              <w:t>&lt;0,0001</w:t>
            </w:r>
          </w:p>
          <w:p w14:paraId="35F200CA" w14:textId="77777777" w:rsidR="0083612A" w:rsidRPr="00E6192E" w:rsidRDefault="0083612A" w:rsidP="00A26C52">
            <w:pPr>
              <w:pStyle w:val="TableParagraph"/>
              <w:numPr>
                <w:ilvl w:val="0"/>
                <w:numId w:val="9"/>
              </w:numPr>
              <w:tabs>
                <w:tab w:val="left" w:pos="418"/>
              </w:tabs>
              <w:spacing w:line="240" w:lineRule="auto"/>
              <w:ind w:left="418" w:hanging="311"/>
              <w:rPr>
                <w:lang w:val="da-DK"/>
              </w:rPr>
            </w:pPr>
            <w:r w:rsidRPr="00E6192E">
              <w:rPr>
                <w:lang w:val="da-DK"/>
              </w:rPr>
              <w:t>Ekskl.</w:t>
            </w:r>
            <w:r w:rsidRPr="00E6192E">
              <w:rPr>
                <w:spacing w:val="-6"/>
                <w:lang w:val="da-DK"/>
              </w:rPr>
              <w:t xml:space="preserve"> </w:t>
            </w:r>
            <w:r w:rsidRPr="00E6192E">
              <w:rPr>
                <w:lang w:val="da-DK"/>
              </w:rPr>
              <w:t>frakturer</w:t>
            </w:r>
            <w:r w:rsidRPr="00E6192E">
              <w:rPr>
                <w:spacing w:val="-6"/>
                <w:lang w:val="da-DK"/>
              </w:rPr>
              <w:t xml:space="preserve"> </w:t>
            </w:r>
            <w:r w:rsidRPr="00E6192E">
              <w:rPr>
                <w:lang w:val="da-DK"/>
              </w:rPr>
              <w:t>på</w:t>
            </w:r>
            <w:r w:rsidRPr="00E6192E">
              <w:rPr>
                <w:spacing w:val="-6"/>
                <w:lang w:val="da-DK"/>
              </w:rPr>
              <w:t xml:space="preserve"> </w:t>
            </w:r>
            <w:r w:rsidRPr="00E6192E">
              <w:rPr>
                <w:lang w:val="da-DK"/>
              </w:rPr>
              <w:t>fingre,</w:t>
            </w:r>
            <w:r w:rsidRPr="00E6192E">
              <w:rPr>
                <w:spacing w:val="-6"/>
                <w:lang w:val="da-DK"/>
              </w:rPr>
              <w:t xml:space="preserve"> </w:t>
            </w:r>
            <w:r w:rsidRPr="00E6192E">
              <w:rPr>
                <w:lang w:val="da-DK"/>
              </w:rPr>
              <w:t>tær</w:t>
            </w:r>
            <w:r w:rsidRPr="00E6192E">
              <w:rPr>
                <w:spacing w:val="-5"/>
                <w:lang w:val="da-DK"/>
              </w:rPr>
              <w:t xml:space="preserve"> </w:t>
            </w:r>
            <w:r w:rsidRPr="00E6192E">
              <w:rPr>
                <w:lang w:val="da-DK"/>
              </w:rPr>
              <w:t>og</w:t>
            </w:r>
            <w:r w:rsidRPr="00E6192E">
              <w:rPr>
                <w:spacing w:val="-6"/>
                <w:lang w:val="da-DK"/>
              </w:rPr>
              <w:t xml:space="preserve"> </w:t>
            </w:r>
            <w:r w:rsidRPr="00E6192E">
              <w:rPr>
                <w:spacing w:val="-2"/>
                <w:lang w:val="da-DK"/>
              </w:rPr>
              <w:t>ansigt</w:t>
            </w:r>
          </w:p>
          <w:p w14:paraId="2015081C" w14:textId="77777777" w:rsidR="0083612A" w:rsidRPr="00E6192E" w:rsidRDefault="0083612A" w:rsidP="00A26C52">
            <w:pPr>
              <w:pStyle w:val="TableParagraph"/>
              <w:numPr>
                <w:ilvl w:val="0"/>
                <w:numId w:val="9"/>
              </w:numPr>
              <w:tabs>
                <w:tab w:val="left" w:pos="418"/>
              </w:tabs>
              <w:spacing w:line="240" w:lineRule="auto"/>
              <w:ind w:left="418" w:hanging="311"/>
              <w:rPr>
                <w:lang w:val="da-DK"/>
              </w:rPr>
            </w:pPr>
            <w:r w:rsidRPr="00E6192E">
              <w:rPr>
                <w:lang w:val="da-DK"/>
              </w:rPr>
              <w:t>Inkl.</w:t>
            </w:r>
            <w:r w:rsidRPr="00E6192E">
              <w:rPr>
                <w:spacing w:val="-8"/>
                <w:lang w:val="da-DK"/>
              </w:rPr>
              <w:t xml:space="preserve"> </w:t>
            </w:r>
            <w:r w:rsidRPr="00E6192E">
              <w:rPr>
                <w:lang w:val="da-DK"/>
              </w:rPr>
              <w:t>kliniske</w:t>
            </w:r>
            <w:r w:rsidRPr="00E6192E">
              <w:rPr>
                <w:spacing w:val="-8"/>
                <w:lang w:val="da-DK"/>
              </w:rPr>
              <w:t xml:space="preserve"> </w:t>
            </w:r>
            <w:r w:rsidRPr="00E6192E">
              <w:rPr>
                <w:lang w:val="da-DK"/>
              </w:rPr>
              <w:t>frakturer</w:t>
            </w:r>
            <w:r w:rsidRPr="00E6192E">
              <w:rPr>
                <w:spacing w:val="-6"/>
                <w:lang w:val="da-DK"/>
              </w:rPr>
              <w:t xml:space="preserve"> </w:t>
            </w:r>
            <w:r w:rsidRPr="00E6192E">
              <w:rPr>
                <w:lang w:val="da-DK"/>
              </w:rPr>
              <w:t>på</w:t>
            </w:r>
            <w:r w:rsidRPr="00E6192E">
              <w:rPr>
                <w:spacing w:val="-8"/>
                <w:lang w:val="da-DK"/>
              </w:rPr>
              <w:t xml:space="preserve"> </w:t>
            </w:r>
            <w:r w:rsidRPr="00E6192E">
              <w:rPr>
                <w:lang w:val="da-DK"/>
              </w:rPr>
              <w:t>torakale</w:t>
            </w:r>
            <w:r w:rsidRPr="00E6192E">
              <w:rPr>
                <w:spacing w:val="-7"/>
                <w:lang w:val="da-DK"/>
              </w:rPr>
              <w:t xml:space="preserve"> </w:t>
            </w:r>
            <w:r w:rsidRPr="00E6192E">
              <w:rPr>
                <w:lang w:val="da-DK"/>
              </w:rPr>
              <w:t>og</w:t>
            </w:r>
            <w:r w:rsidRPr="00E6192E">
              <w:rPr>
                <w:spacing w:val="-7"/>
                <w:lang w:val="da-DK"/>
              </w:rPr>
              <w:t xml:space="preserve"> </w:t>
            </w:r>
            <w:r w:rsidRPr="00E6192E">
              <w:rPr>
                <w:lang w:val="da-DK"/>
              </w:rPr>
              <w:t>lumbale</w:t>
            </w:r>
            <w:r w:rsidRPr="00E6192E">
              <w:rPr>
                <w:spacing w:val="-8"/>
                <w:lang w:val="da-DK"/>
              </w:rPr>
              <w:t xml:space="preserve"> </w:t>
            </w:r>
            <w:r w:rsidRPr="00E6192E">
              <w:rPr>
                <w:spacing w:val="-2"/>
                <w:lang w:val="da-DK"/>
              </w:rPr>
              <w:t>ryghvirvler</w:t>
            </w:r>
          </w:p>
        </w:tc>
      </w:tr>
    </w:tbl>
    <w:p w14:paraId="64A9263E" w14:textId="77777777" w:rsidR="0083612A" w:rsidRPr="00A26C52" w:rsidRDefault="0083612A" w:rsidP="00A26C52">
      <w:pPr>
        <w:tabs>
          <w:tab w:val="left" w:pos="851"/>
        </w:tabs>
        <w:ind w:left="851"/>
        <w:rPr>
          <w:sz w:val="24"/>
          <w:szCs w:val="24"/>
        </w:rPr>
      </w:pPr>
    </w:p>
    <w:p w14:paraId="319E1260" w14:textId="77777777" w:rsidR="0083612A" w:rsidRPr="00A26C52" w:rsidRDefault="0083612A" w:rsidP="00A26C52">
      <w:pPr>
        <w:tabs>
          <w:tab w:val="left" w:pos="851"/>
        </w:tabs>
        <w:ind w:left="851"/>
        <w:rPr>
          <w:i/>
          <w:sz w:val="24"/>
          <w:szCs w:val="24"/>
        </w:rPr>
      </w:pPr>
      <w:r w:rsidRPr="00A26C52">
        <w:rPr>
          <w:i/>
          <w:sz w:val="24"/>
          <w:szCs w:val="24"/>
          <w:u w:val="single"/>
        </w:rPr>
        <w:t>Effekt på knogledensitet (BMD)</w:t>
      </w:r>
    </w:p>
    <w:p w14:paraId="1833A9F2" w14:textId="77777777" w:rsidR="0083612A" w:rsidRPr="00A26C52" w:rsidRDefault="0083612A" w:rsidP="00A26C52">
      <w:pPr>
        <w:tabs>
          <w:tab w:val="left" w:pos="851"/>
        </w:tabs>
        <w:ind w:left="851"/>
        <w:rPr>
          <w:sz w:val="24"/>
          <w:szCs w:val="24"/>
        </w:rPr>
      </w:pPr>
      <w:r w:rsidRPr="00A26C52">
        <w:rPr>
          <w:sz w:val="24"/>
          <w:szCs w:val="24"/>
        </w:rPr>
        <w:t>Zoledronsyre øgede BMD signifikant ved den lumbale columna, hofte og distale radius i forhold til behandling med placebo på alle tidspunkter (6, 12, 24 og 36 måneder). Behandling med Zoledronsyre resulterede i en øgning af BMD med 6,7 % ved den lumbale columna, 6,0 % ved total hofte, 5,1 % ved lårbenshals og 3,2 % ved den distale radius over 3 år sammenlignet med placebo.</w:t>
      </w:r>
    </w:p>
    <w:p w14:paraId="110B5DD1" w14:textId="77777777" w:rsidR="0083612A" w:rsidRPr="00A26C52" w:rsidRDefault="0083612A" w:rsidP="00A26C52">
      <w:pPr>
        <w:tabs>
          <w:tab w:val="left" w:pos="851"/>
        </w:tabs>
        <w:ind w:left="851"/>
        <w:rPr>
          <w:sz w:val="24"/>
          <w:szCs w:val="24"/>
        </w:rPr>
      </w:pPr>
    </w:p>
    <w:p w14:paraId="7C1AD78A" w14:textId="77777777" w:rsidR="0083612A" w:rsidRPr="00A26C52" w:rsidRDefault="0083612A" w:rsidP="00A26C52">
      <w:pPr>
        <w:tabs>
          <w:tab w:val="left" w:pos="851"/>
        </w:tabs>
        <w:ind w:left="851"/>
        <w:rPr>
          <w:i/>
          <w:sz w:val="24"/>
          <w:szCs w:val="24"/>
        </w:rPr>
      </w:pPr>
      <w:r w:rsidRPr="00A26C52">
        <w:rPr>
          <w:i/>
          <w:sz w:val="24"/>
          <w:szCs w:val="24"/>
          <w:u w:val="single"/>
        </w:rPr>
        <w:t>Knoglehistologi</w:t>
      </w:r>
    </w:p>
    <w:p w14:paraId="2CCBC750" w14:textId="77777777" w:rsidR="0083612A" w:rsidRPr="00A26C52" w:rsidRDefault="0083612A" w:rsidP="00A26C52">
      <w:pPr>
        <w:tabs>
          <w:tab w:val="left" w:pos="851"/>
        </w:tabs>
        <w:ind w:left="851"/>
        <w:rPr>
          <w:sz w:val="24"/>
          <w:szCs w:val="24"/>
        </w:rPr>
      </w:pPr>
      <w:r w:rsidRPr="00A26C52">
        <w:rPr>
          <w:sz w:val="24"/>
          <w:szCs w:val="24"/>
        </w:rPr>
        <w:t>Der blev udført biopsier fra crista iliaca 1 år efter den tredje årlige dose på 152 postmenopausale patienter med osteoporose behandlet med zoledronsyre (N=82) eller placebo (N=70). Den histomorfometriske analyse viste en 63 % reduktion i knogleomsætningen. Hos patienter behandlet med zoledronsyre blev der ikke påvist nogen osteomalaci, marvfibrose eller dannelse af spongiøst knoglevæv. Tetracyklinmarkering kunne påvises i alle, undtagen en, af de 82 biopsier fra patienter på zoledronsyre. MikroCT-analysen (</w:t>
      </w:r>
      <w:r w:rsidRPr="00A26C52">
        <w:rPr>
          <w:sz w:val="24"/>
          <w:szCs w:val="24"/>
          <w:lang w:val="en-US"/>
        </w:rPr>
        <w:t>μ</w:t>
      </w:r>
      <w:r w:rsidRPr="00A26C52">
        <w:rPr>
          <w:sz w:val="24"/>
          <w:szCs w:val="24"/>
        </w:rPr>
        <w:t>CT) påviste øget trabekulær knoglevolumen og bevarelse af trabekulær knoglearkitektur hos patienter behandlet med zoledronsyre sammenlignet med placebo.</w:t>
      </w:r>
    </w:p>
    <w:p w14:paraId="20AA1D68" w14:textId="77777777" w:rsidR="0083612A" w:rsidRPr="00A26C52" w:rsidRDefault="0083612A" w:rsidP="00A26C52">
      <w:pPr>
        <w:tabs>
          <w:tab w:val="left" w:pos="851"/>
        </w:tabs>
        <w:ind w:left="851"/>
        <w:rPr>
          <w:sz w:val="24"/>
          <w:szCs w:val="24"/>
        </w:rPr>
      </w:pPr>
    </w:p>
    <w:p w14:paraId="3936F45A" w14:textId="77777777" w:rsidR="0083612A" w:rsidRPr="00A26C52" w:rsidRDefault="0083612A" w:rsidP="00A26C52">
      <w:pPr>
        <w:tabs>
          <w:tab w:val="left" w:pos="851"/>
        </w:tabs>
        <w:ind w:left="851"/>
        <w:rPr>
          <w:i/>
          <w:sz w:val="24"/>
          <w:szCs w:val="24"/>
        </w:rPr>
      </w:pPr>
      <w:r w:rsidRPr="00A26C52">
        <w:rPr>
          <w:i/>
          <w:sz w:val="24"/>
          <w:szCs w:val="24"/>
          <w:u w:val="single"/>
        </w:rPr>
        <w:t>Knogleomsætningsmarkører</w:t>
      </w:r>
    </w:p>
    <w:p w14:paraId="0C48E4CF" w14:textId="77777777" w:rsidR="0083612A" w:rsidRPr="00A26C52" w:rsidRDefault="0083612A" w:rsidP="00A26C52">
      <w:pPr>
        <w:tabs>
          <w:tab w:val="left" w:pos="851"/>
        </w:tabs>
        <w:ind w:left="851"/>
        <w:rPr>
          <w:sz w:val="24"/>
          <w:szCs w:val="24"/>
        </w:rPr>
      </w:pPr>
      <w:r w:rsidRPr="00A26C52">
        <w:rPr>
          <w:sz w:val="24"/>
          <w:szCs w:val="24"/>
        </w:rPr>
        <w:t xml:space="preserve">Knoglespecifik basisk fosfatase (bone-specific alkaline phosphatase – BSAP), serum N-terminal propeptid af type I-collagen (P1NP) og serum beta-C-telopeptider (b-CTx) blev evalueret i subsæt fra 517 til 1.246 patienter med jævne mellemrum under hele studiet. Behandling med en årlig zoledronsyre - dosis på 5 mg reducerede BSAP signifikant med 30 % i forhold til baseline ved 12 måneder, hvilket blev opretholdt med 28 % under baselineniveau ved 36 måneder. P1NP var signifikant reduceret med 61 % under baselineniveau ved 12 måneder, og dette blev opretholdt med 52 % under baseline ved 36 måneder. B-CTx var signifikant reduceret med 61 % under baselineniveau ved 12 måneder, og det blev opretholdt med 55 % under baseline ved 36 måneder. </w:t>
      </w:r>
    </w:p>
    <w:p w14:paraId="637E90F2" w14:textId="77777777" w:rsidR="0083612A" w:rsidRPr="00A26C52" w:rsidRDefault="0083612A" w:rsidP="00A26C52">
      <w:pPr>
        <w:tabs>
          <w:tab w:val="left" w:pos="851"/>
        </w:tabs>
        <w:ind w:left="851"/>
        <w:rPr>
          <w:sz w:val="24"/>
          <w:szCs w:val="24"/>
        </w:rPr>
      </w:pPr>
      <w:r w:rsidRPr="00A26C52">
        <w:rPr>
          <w:sz w:val="24"/>
          <w:szCs w:val="24"/>
        </w:rPr>
        <w:t>I hele denne periode lå knogleomsætningsmarkørerne inden for det præmenopausale interval ved udgangen af hvert år. Gentagen dosering førte ikke til yderligere reduktion af knogleomsætningsmarkørerne.</w:t>
      </w:r>
    </w:p>
    <w:p w14:paraId="098B7327" w14:textId="6CE8CEAB" w:rsidR="00A26C52" w:rsidRDefault="00A26C52" w:rsidP="00A26C52">
      <w:pPr>
        <w:rPr>
          <w:sz w:val="24"/>
          <w:szCs w:val="24"/>
        </w:rPr>
      </w:pPr>
      <w:r>
        <w:rPr>
          <w:sz w:val="24"/>
          <w:szCs w:val="24"/>
        </w:rPr>
        <w:br w:type="page"/>
      </w:r>
    </w:p>
    <w:p w14:paraId="3A4D562E" w14:textId="77777777" w:rsidR="0083612A" w:rsidRPr="00A26C52" w:rsidRDefault="0083612A" w:rsidP="00A26C52">
      <w:pPr>
        <w:tabs>
          <w:tab w:val="left" w:pos="851"/>
        </w:tabs>
        <w:ind w:left="851"/>
        <w:rPr>
          <w:sz w:val="24"/>
          <w:szCs w:val="24"/>
        </w:rPr>
      </w:pPr>
    </w:p>
    <w:p w14:paraId="45CD4D79" w14:textId="77777777" w:rsidR="0083612A" w:rsidRPr="00A26C52" w:rsidRDefault="0083612A" w:rsidP="00A26C52">
      <w:pPr>
        <w:tabs>
          <w:tab w:val="left" w:pos="851"/>
        </w:tabs>
        <w:ind w:left="851"/>
        <w:rPr>
          <w:i/>
          <w:sz w:val="24"/>
          <w:szCs w:val="24"/>
        </w:rPr>
      </w:pPr>
      <w:r w:rsidRPr="00A26C52">
        <w:rPr>
          <w:i/>
          <w:sz w:val="24"/>
          <w:szCs w:val="24"/>
          <w:u w:val="single"/>
        </w:rPr>
        <w:t>Effekt på højde</w:t>
      </w:r>
    </w:p>
    <w:p w14:paraId="7021FE89" w14:textId="77777777" w:rsidR="0083612A" w:rsidRPr="00A26C52" w:rsidRDefault="0083612A" w:rsidP="00A26C52">
      <w:pPr>
        <w:tabs>
          <w:tab w:val="left" w:pos="851"/>
        </w:tabs>
        <w:ind w:left="851"/>
        <w:rPr>
          <w:sz w:val="24"/>
          <w:szCs w:val="24"/>
        </w:rPr>
      </w:pPr>
      <w:r w:rsidRPr="00A26C52">
        <w:rPr>
          <w:sz w:val="24"/>
          <w:szCs w:val="24"/>
        </w:rPr>
        <w:t>I det treårige osteoporosestudie blev den stående højde målt årligt med et stadiometer. Zoledronsyre - gruppen viste ca. 2,5 mm mindre højdetab sammenlignet med placebo (95 % CI: 1,6 mm, 3,5 mm) [p&lt;0,0001].</w:t>
      </w:r>
    </w:p>
    <w:p w14:paraId="632EB6F8" w14:textId="77777777" w:rsidR="0083612A" w:rsidRPr="00A26C52" w:rsidRDefault="0083612A" w:rsidP="00A26C52">
      <w:pPr>
        <w:tabs>
          <w:tab w:val="left" w:pos="851"/>
        </w:tabs>
        <w:ind w:left="851"/>
        <w:rPr>
          <w:sz w:val="24"/>
          <w:szCs w:val="24"/>
        </w:rPr>
      </w:pPr>
    </w:p>
    <w:p w14:paraId="122E22D6" w14:textId="77777777" w:rsidR="0083612A" w:rsidRPr="00A26C52" w:rsidRDefault="0083612A" w:rsidP="00A26C52">
      <w:pPr>
        <w:tabs>
          <w:tab w:val="left" w:pos="851"/>
        </w:tabs>
        <w:ind w:left="851"/>
        <w:rPr>
          <w:i/>
          <w:sz w:val="24"/>
          <w:szCs w:val="24"/>
        </w:rPr>
      </w:pPr>
      <w:r w:rsidRPr="00A26C52">
        <w:rPr>
          <w:i/>
          <w:sz w:val="24"/>
          <w:szCs w:val="24"/>
          <w:u w:val="single"/>
        </w:rPr>
        <w:t>Dage med nedsat funktionsevne</w:t>
      </w:r>
    </w:p>
    <w:p w14:paraId="0EFB1DF3" w14:textId="77777777" w:rsidR="0083612A" w:rsidRPr="00A26C52" w:rsidRDefault="0083612A" w:rsidP="00A26C52">
      <w:pPr>
        <w:tabs>
          <w:tab w:val="left" w:pos="851"/>
        </w:tabs>
        <w:ind w:left="851"/>
        <w:rPr>
          <w:sz w:val="24"/>
          <w:szCs w:val="24"/>
        </w:rPr>
      </w:pPr>
      <w:r w:rsidRPr="00A26C52">
        <w:rPr>
          <w:sz w:val="24"/>
          <w:szCs w:val="24"/>
        </w:rPr>
        <w:t>Zoledronsyre reducerede signifikant det gennemsnitlige antal dage med begrænset aktivitet og antal dage med sengeleje på grund af rygsmerter med henholdsvis 17,9 dage og 11,3 dage sammenlignet med placebo og reducerede signifikant det gennemsnitlige antal dage med begrænset aktivitet og dage med sengeleje på grund af frakturer med henholdsvis 2,9 dage og 0,5 dage sammenlignet med placebo (alle p&lt;0,01).</w:t>
      </w:r>
    </w:p>
    <w:p w14:paraId="52B89B37" w14:textId="77777777" w:rsidR="0083612A" w:rsidRPr="00A26C52" w:rsidRDefault="0083612A" w:rsidP="00A26C52">
      <w:pPr>
        <w:tabs>
          <w:tab w:val="left" w:pos="851"/>
        </w:tabs>
        <w:ind w:left="851"/>
        <w:rPr>
          <w:sz w:val="24"/>
          <w:szCs w:val="24"/>
        </w:rPr>
      </w:pPr>
    </w:p>
    <w:p w14:paraId="0F275FB4" w14:textId="77777777" w:rsidR="0083612A" w:rsidRPr="00A26C52" w:rsidRDefault="0083612A" w:rsidP="00A26C52">
      <w:pPr>
        <w:tabs>
          <w:tab w:val="left" w:pos="851"/>
        </w:tabs>
        <w:ind w:left="851"/>
        <w:rPr>
          <w:sz w:val="24"/>
          <w:szCs w:val="24"/>
        </w:rPr>
      </w:pPr>
      <w:r w:rsidRPr="00A26C52">
        <w:rPr>
          <w:sz w:val="24"/>
          <w:szCs w:val="24"/>
          <w:u w:val="single"/>
        </w:rPr>
        <w:t>Klinisk effekt i behandlingen af osteoporose hos patienter med øget frakturrisiko efter nylig</w:t>
      </w:r>
      <w:r w:rsidRPr="00A26C52">
        <w:rPr>
          <w:sz w:val="24"/>
          <w:szCs w:val="24"/>
        </w:rPr>
        <w:t xml:space="preserve"> </w:t>
      </w:r>
      <w:r w:rsidRPr="00A26C52">
        <w:rPr>
          <w:sz w:val="24"/>
          <w:szCs w:val="24"/>
          <w:u w:val="single"/>
        </w:rPr>
        <w:t>hoftefraktur (RTF)</w:t>
      </w:r>
    </w:p>
    <w:p w14:paraId="373A0625" w14:textId="77777777" w:rsidR="0083612A" w:rsidRPr="0083612A" w:rsidRDefault="0083612A" w:rsidP="00A26C52">
      <w:pPr>
        <w:tabs>
          <w:tab w:val="left" w:pos="851"/>
        </w:tabs>
        <w:ind w:left="851"/>
        <w:rPr>
          <w:sz w:val="24"/>
          <w:szCs w:val="24"/>
        </w:rPr>
      </w:pPr>
      <w:r w:rsidRPr="00A26C52">
        <w:rPr>
          <w:sz w:val="24"/>
          <w:szCs w:val="24"/>
        </w:rPr>
        <w:t>Incidensen af kliniske frakturer, herunder vertebrale og non-vertebrale frakturer samt hoftefrakturer, blev bedømt i 2.127 mænd og kvinder i alderen 50-59 år (gennemsnitsalder 74,5 år) med en nylig (inden for 90 dage) lavenergi-hoftefraktur, som blev fulgt i gennemsnitligt 2 år på studiebehandling (zoledronsyre). Omkring 42 % af patienterne havde en lårbenshals BMD T-score lavere end -2,5 og omkring 45 % af patienterne havde en lårbenshals BMD T-score over -2,5. Zoledronsyre blev administreret en gang årligt, indtil mindst 211 patienter i forsøgspopulationen havde bekræftede kliniske frakturer. D-</w:t>
      </w:r>
      <w:r w:rsidRPr="0083612A">
        <w:rPr>
          <w:sz w:val="24"/>
          <w:szCs w:val="24"/>
        </w:rPr>
        <w:t>vitamin niveauerne blev ikke målt rutinemæssigt, men en støddosis D-vitamin (50.000 til 125.000 IE oralt eller intramuskulært) blev givet til flertallet af patienterne 2 uger før infusionen. Alle deltagerne modtog dagligt 1.000 til 1.500 mg usammensat calcium plus 800 til 1.200 IE D- vitaminsupplement. 95 % af patienterne modtog deres infusion to eller flere uger efter hoftefrakturen blev behandlet, og gennemsnitstidspunktet for infusion var ca. 6 uger efter hoftefrakturhelingen. Den primære effektvariabel var incidensen af kliniske frakturer i løbet af studiet.</w:t>
      </w:r>
    </w:p>
    <w:p w14:paraId="480A8A97" w14:textId="77777777" w:rsidR="0083612A" w:rsidRPr="0083612A" w:rsidRDefault="0083612A" w:rsidP="00A26C52">
      <w:pPr>
        <w:tabs>
          <w:tab w:val="left" w:pos="851"/>
        </w:tabs>
        <w:ind w:left="851"/>
        <w:rPr>
          <w:sz w:val="24"/>
          <w:szCs w:val="24"/>
        </w:rPr>
      </w:pPr>
    </w:p>
    <w:p w14:paraId="577391D4" w14:textId="77777777" w:rsidR="0083612A" w:rsidRPr="0083612A" w:rsidRDefault="0083612A" w:rsidP="00A26C52">
      <w:pPr>
        <w:tabs>
          <w:tab w:val="left" w:pos="851"/>
        </w:tabs>
        <w:ind w:left="851"/>
        <w:rPr>
          <w:i/>
          <w:sz w:val="24"/>
          <w:szCs w:val="24"/>
        </w:rPr>
      </w:pPr>
      <w:r w:rsidRPr="0083612A">
        <w:rPr>
          <w:i/>
          <w:sz w:val="24"/>
          <w:szCs w:val="24"/>
          <w:u w:val="single"/>
        </w:rPr>
        <w:t>Effekt på alle kliniske frakturer</w:t>
      </w:r>
    </w:p>
    <w:p w14:paraId="07AE5D18" w14:textId="2FFF7EA8" w:rsidR="0083612A" w:rsidRDefault="0083612A" w:rsidP="00A26C52">
      <w:pPr>
        <w:tabs>
          <w:tab w:val="left" w:pos="851"/>
        </w:tabs>
        <w:ind w:left="851"/>
        <w:rPr>
          <w:sz w:val="24"/>
          <w:szCs w:val="24"/>
        </w:rPr>
      </w:pPr>
      <w:r w:rsidRPr="0083612A">
        <w:rPr>
          <w:sz w:val="24"/>
          <w:szCs w:val="24"/>
        </w:rPr>
        <w:t>Incidensraten af vigtige kliniske frakturvariabler er angivet i tabel 4.</w:t>
      </w:r>
    </w:p>
    <w:p w14:paraId="77AAC466" w14:textId="77777777" w:rsidR="00A26C52" w:rsidRPr="0083612A" w:rsidRDefault="00A26C52" w:rsidP="00A26C52">
      <w:pPr>
        <w:tabs>
          <w:tab w:val="left" w:pos="851"/>
        </w:tabs>
        <w:ind w:left="851"/>
        <w:rPr>
          <w:sz w:val="24"/>
          <w:szCs w:val="24"/>
        </w:rPr>
      </w:pPr>
    </w:p>
    <w:p w14:paraId="0CE71CDF" w14:textId="77777777" w:rsidR="0083612A" w:rsidRPr="004F55B9" w:rsidRDefault="0083612A" w:rsidP="00A26C52">
      <w:pPr>
        <w:pStyle w:val="Overskrift2"/>
        <w:tabs>
          <w:tab w:val="left" w:pos="1352"/>
        </w:tabs>
        <w:ind w:left="1353" w:right="-1" w:hanging="1135"/>
        <w:rPr>
          <w:lang w:val="da-DK"/>
        </w:rPr>
      </w:pPr>
      <w:r w:rsidRPr="004F55B9">
        <w:rPr>
          <w:lang w:val="da-DK"/>
        </w:rPr>
        <w:t>Tabel 4</w:t>
      </w:r>
      <w:r w:rsidRPr="004F55B9">
        <w:rPr>
          <w:lang w:val="da-DK"/>
        </w:rPr>
        <w:tab/>
        <w:t>Sammenligninger</w:t>
      </w:r>
      <w:r w:rsidRPr="004F55B9">
        <w:rPr>
          <w:spacing w:val="-5"/>
          <w:lang w:val="da-DK"/>
        </w:rPr>
        <w:t xml:space="preserve"> </w:t>
      </w:r>
      <w:r w:rsidRPr="004F55B9">
        <w:rPr>
          <w:lang w:val="da-DK"/>
        </w:rPr>
        <w:t>mellem</w:t>
      </w:r>
      <w:r w:rsidRPr="004F55B9">
        <w:rPr>
          <w:spacing w:val="-4"/>
          <w:lang w:val="da-DK"/>
        </w:rPr>
        <w:t xml:space="preserve"> </w:t>
      </w:r>
      <w:r w:rsidRPr="004F55B9">
        <w:rPr>
          <w:lang w:val="da-DK"/>
        </w:rPr>
        <w:t>behandlinger</w:t>
      </w:r>
      <w:r w:rsidRPr="004F55B9">
        <w:rPr>
          <w:spacing w:val="-5"/>
          <w:lang w:val="da-DK"/>
        </w:rPr>
        <w:t xml:space="preserve"> </w:t>
      </w:r>
      <w:r w:rsidRPr="004F55B9">
        <w:rPr>
          <w:lang w:val="da-DK"/>
        </w:rPr>
        <w:t>af</w:t>
      </w:r>
      <w:r w:rsidRPr="004F55B9">
        <w:rPr>
          <w:spacing w:val="-4"/>
          <w:lang w:val="da-DK"/>
        </w:rPr>
        <w:t xml:space="preserve"> </w:t>
      </w:r>
      <w:r w:rsidRPr="004F55B9">
        <w:rPr>
          <w:lang w:val="da-DK"/>
        </w:rPr>
        <w:t>incidensen</w:t>
      </w:r>
      <w:r w:rsidRPr="004F55B9">
        <w:rPr>
          <w:spacing w:val="-4"/>
          <w:lang w:val="da-DK"/>
        </w:rPr>
        <w:t xml:space="preserve"> </w:t>
      </w:r>
      <w:r w:rsidRPr="004F55B9">
        <w:rPr>
          <w:lang w:val="da-DK"/>
        </w:rPr>
        <w:t>af</w:t>
      </w:r>
      <w:r w:rsidRPr="004F55B9">
        <w:rPr>
          <w:spacing w:val="-4"/>
          <w:lang w:val="da-DK"/>
        </w:rPr>
        <w:t xml:space="preserve"> </w:t>
      </w:r>
      <w:r w:rsidRPr="004F55B9">
        <w:rPr>
          <w:lang w:val="da-DK"/>
        </w:rPr>
        <w:t>vigtige</w:t>
      </w:r>
      <w:r w:rsidRPr="004F55B9">
        <w:rPr>
          <w:spacing w:val="-6"/>
          <w:lang w:val="da-DK"/>
        </w:rPr>
        <w:t xml:space="preserve"> </w:t>
      </w:r>
      <w:r w:rsidRPr="004F55B9">
        <w:rPr>
          <w:lang w:val="da-DK"/>
        </w:rPr>
        <w:t xml:space="preserve">kliniske </w:t>
      </w:r>
      <w:r w:rsidRPr="004F55B9">
        <w:rPr>
          <w:spacing w:val="-2"/>
          <w:lang w:val="da-DK"/>
        </w:rPr>
        <w:t>frakturvariabler</w:t>
      </w:r>
    </w:p>
    <w:p w14:paraId="194B5C40" w14:textId="77777777" w:rsidR="0083612A" w:rsidRPr="004F55B9" w:rsidRDefault="0083612A" w:rsidP="00A26C52">
      <w:pPr>
        <w:pStyle w:val="Brdtekst"/>
        <w:rPr>
          <w:b/>
          <w:sz w:val="20"/>
          <w:lang w:val="da-DK"/>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6"/>
        <w:gridCol w:w="1618"/>
        <w:gridCol w:w="1276"/>
        <w:gridCol w:w="1984"/>
        <w:gridCol w:w="1985"/>
      </w:tblGrid>
      <w:tr w:rsidR="0083612A" w:rsidRPr="00C64C2E" w14:paraId="41879C97" w14:textId="77777777" w:rsidTr="00A26C52">
        <w:trPr>
          <w:trHeight w:val="1011"/>
        </w:trPr>
        <w:tc>
          <w:tcPr>
            <w:tcW w:w="2886" w:type="dxa"/>
          </w:tcPr>
          <w:p w14:paraId="7B1EB06E" w14:textId="77777777" w:rsidR="0083612A" w:rsidRDefault="0083612A" w:rsidP="00A26C52">
            <w:pPr>
              <w:pStyle w:val="TableParagraph"/>
              <w:spacing w:line="240" w:lineRule="auto"/>
            </w:pPr>
            <w:r>
              <w:rPr>
                <w:spacing w:val="-2"/>
              </w:rPr>
              <w:t>Resultat</w:t>
            </w:r>
          </w:p>
        </w:tc>
        <w:tc>
          <w:tcPr>
            <w:tcW w:w="1618" w:type="dxa"/>
          </w:tcPr>
          <w:p w14:paraId="63635A1B" w14:textId="77777777" w:rsidR="0083612A" w:rsidRDefault="0083612A" w:rsidP="00A26C52">
            <w:pPr>
              <w:pStyle w:val="TableParagraph"/>
              <w:spacing w:line="240" w:lineRule="auto"/>
              <w:ind w:left="174" w:right="164" w:hanging="3"/>
              <w:jc w:val="center"/>
            </w:pPr>
            <w:r>
              <w:t>Zoledronsyre</w:t>
            </w:r>
            <w:r>
              <w:rPr>
                <w:spacing w:val="-5"/>
              </w:rPr>
              <w:t xml:space="preserve"> </w:t>
            </w:r>
            <w:r>
              <w:rPr>
                <w:spacing w:val="-2"/>
              </w:rPr>
              <w:t>(N=1.065)</w:t>
            </w:r>
          </w:p>
          <w:p w14:paraId="7584983E" w14:textId="77777777" w:rsidR="0083612A" w:rsidRDefault="0083612A" w:rsidP="00A26C52">
            <w:pPr>
              <w:pStyle w:val="TableParagraph"/>
              <w:spacing w:line="240" w:lineRule="auto"/>
              <w:ind w:left="14" w:right="5"/>
              <w:jc w:val="center"/>
            </w:pPr>
            <w:r>
              <w:rPr>
                <w:spacing w:val="-2"/>
              </w:rPr>
              <w:t>hændelses</w:t>
            </w:r>
            <w:r>
              <w:t>rate (%)</w:t>
            </w:r>
          </w:p>
        </w:tc>
        <w:tc>
          <w:tcPr>
            <w:tcW w:w="1276" w:type="dxa"/>
          </w:tcPr>
          <w:p w14:paraId="7AD18BF0" w14:textId="77777777" w:rsidR="0083612A" w:rsidRDefault="0083612A" w:rsidP="00A26C52">
            <w:pPr>
              <w:pStyle w:val="TableParagraph"/>
              <w:spacing w:line="240" w:lineRule="auto"/>
              <w:ind w:left="173" w:right="164" w:hanging="3"/>
              <w:jc w:val="center"/>
            </w:pPr>
            <w:r>
              <w:rPr>
                <w:spacing w:val="-2"/>
              </w:rPr>
              <w:t>Placebo (N=1.062)</w:t>
            </w:r>
          </w:p>
          <w:p w14:paraId="53F27B7C" w14:textId="77777777" w:rsidR="0083612A" w:rsidRDefault="0083612A" w:rsidP="00A26C52">
            <w:pPr>
              <w:pStyle w:val="TableParagraph"/>
              <w:spacing w:line="240" w:lineRule="auto"/>
              <w:ind w:left="12" w:right="6"/>
              <w:jc w:val="center"/>
            </w:pPr>
            <w:r>
              <w:rPr>
                <w:spacing w:val="-2"/>
              </w:rPr>
              <w:t xml:space="preserve">hændelses- </w:t>
            </w:r>
            <w:r>
              <w:t>rate (%)</w:t>
            </w:r>
          </w:p>
        </w:tc>
        <w:tc>
          <w:tcPr>
            <w:tcW w:w="1984" w:type="dxa"/>
          </w:tcPr>
          <w:p w14:paraId="18782349" w14:textId="77777777" w:rsidR="0083612A" w:rsidRPr="00E6192E" w:rsidRDefault="0083612A" w:rsidP="00A26C52">
            <w:pPr>
              <w:pStyle w:val="TableParagraph"/>
              <w:spacing w:line="240" w:lineRule="auto"/>
              <w:ind w:left="134" w:right="124"/>
              <w:jc w:val="center"/>
              <w:rPr>
                <w:lang w:val="da-DK"/>
              </w:rPr>
            </w:pPr>
            <w:r w:rsidRPr="00E6192E">
              <w:rPr>
                <w:lang w:val="da-DK"/>
              </w:rPr>
              <w:t>Absolut</w:t>
            </w:r>
            <w:r w:rsidRPr="00E6192E">
              <w:rPr>
                <w:spacing w:val="-14"/>
                <w:lang w:val="da-DK"/>
              </w:rPr>
              <w:t xml:space="preserve"> </w:t>
            </w:r>
            <w:r w:rsidRPr="00E6192E">
              <w:rPr>
                <w:lang w:val="da-DK"/>
              </w:rPr>
              <w:t>reduktion</w:t>
            </w:r>
            <w:r w:rsidRPr="00E6192E">
              <w:rPr>
                <w:spacing w:val="-14"/>
                <w:lang w:val="da-DK"/>
              </w:rPr>
              <w:t xml:space="preserve"> </w:t>
            </w:r>
            <w:r w:rsidRPr="00E6192E">
              <w:rPr>
                <w:lang w:val="da-DK"/>
              </w:rPr>
              <w:t xml:space="preserve">i </w:t>
            </w:r>
            <w:r w:rsidRPr="00E6192E">
              <w:rPr>
                <w:spacing w:val="-2"/>
                <w:lang w:val="da-DK"/>
              </w:rPr>
              <w:t xml:space="preserve">frakturhændelses- </w:t>
            </w:r>
            <w:r w:rsidRPr="00E6192E">
              <w:rPr>
                <w:lang w:val="da-DK"/>
              </w:rPr>
              <w:t>rate %</w:t>
            </w:r>
          </w:p>
          <w:p w14:paraId="53EE55D3" w14:textId="77777777" w:rsidR="0083612A" w:rsidRDefault="0083612A" w:rsidP="00A26C52">
            <w:pPr>
              <w:pStyle w:val="TableParagraph"/>
              <w:spacing w:line="240" w:lineRule="auto"/>
              <w:ind w:left="7"/>
              <w:jc w:val="center"/>
            </w:pPr>
            <w:r>
              <w:rPr>
                <w:spacing w:val="-4"/>
              </w:rPr>
              <w:t>(CI)</w:t>
            </w:r>
          </w:p>
        </w:tc>
        <w:tc>
          <w:tcPr>
            <w:tcW w:w="1985" w:type="dxa"/>
          </w:tcPr>
          <w:p w14:paraId="795F633B" w14:textId="77777777" w:rsidR="0083612A" w:rsidRPr="00E6192E" w:rsidRDefault="0083612A" w:rsidP="00A26C52">
            <w:pPr>
              <w:pStyle w:val="TableParagraph"/>
              <w:spacing w:line="240" w:lineRule="auto"/>
              <w:ind w:left="28" w:right="21"/>
              <w:jc w:val="center"/>
              <w:rPr>
                <w:lang w:val="da-DK"/>
              </w:rPr>
            </w:pPr>
            <w:r w:rsidRPr="00E6192E">
              <w:rPr>
                <w:spacing w:val="-2"/>
                <w:lang w:val="da-DK"/>
              </w:rPr>
              <w:t xml:space="preserve">Relativ </w:t>
            </w:r>
            <w:r w:rsidRPr="00E6192E">
              <w:rPr>
                <w:lang w:val="da-DK"/>
              </w:rPr>
              <w:t>risikoreduktion</w:t>
            </w:r>
            <w:r w:rsidRPr="00E6192E">
              <w:rPr>
                <w:spacing w:val="-14"/>
                <w:lang w:val="da-DK"/>
              </w:rPr>
              <w:t xml:space="preserve"> </w:t>
            </w:r>
            <w:r w:rsidRPr="00E6192E">
              <w:rPr>
                <w:lang w:val="da-DK"/>
              </w:rPr>
              <w:t xml:space="preserve">i </w:t>
            </w:r>
            <w:r w:rsidRPr="00E6192E">
              <w:rPr>
                <w:spacing w:val="-2"/>
                <w:lang w:val="da-DK"/>
              </w:rPr>
              <w:t>frakturincidens</w:t>
            </w:r>
          </w:p>
          <w:p w14:paraId="5B6EB7A2" w14:textId="77777777" w:rsidR="0083612A" w:rsidRPr="00E6192E" w:rsidRDefault="0083612A" w:rsidP="00A26C52">
            <w:pPr>
              <w:pStyle w:val="TableParagraph"/>
              <w:spacing w:line="240" w:lineRule="auto"/>
              <w:ind w:left="28" w:right="25"/>
              <w:jc w:val="center"/>
              <w:rPr>
                <w:lang w:val="da-DK"/>
              </w:rPr>
            </w:pPr>
            <w:r w:rsidRPr="00E6192E">
              <w:rPr>
                <w:lang w:val="da-DK"/>
              </w:rPr>
              <w:t>%</w:t>
            </w:r>
            <w:r w:rsidRPr="00E6192E">
              <w:rPr>
                <w:spacing w:val="-3"/>
                <w:lang w:val="da-DK"/>
              </w:rPr>
              <w:t xml:space="preserve"> </w:t>
            </w:r>
            <w:r w:rsidRPr="00E6192E">
              <w:rPr>
                <w:spacing w:val="-4"/>
                <w:lang w:val="da-DK"/>
              </w:rPr>
              <w:t>(CI)</w:t>
            </w:r>
          </w:p>
        </w:tc>
      </w:tr>
      <w:tr w:rsidR="0083612A" w14:paraId="747F0E62" w14:textId="77777777" w:rsidTr="00A26C52">
        <w:trPr>
          <w:trHeight w:val="254"/>
        </w:trPr>
        <w:tc>
          <w:tcPr>
            <w:tcW w:w="2886" w:type="dxa"/>
          </w:tcPr>
          <w:p w14:paraId="0A8F256D" w14:textId="77777777" w:rsidR="0083612A" w:rsidRDefault="0083612A" w:rsidP="00A26C52">
            <w:pPr>
              <w:pStyle w:val="TableParagraph"/>
              <w:spacing w:line="240" w:lineRule="auto"/>
            </w:pPr>
            <w:r>
              <w:t>Alle</w:t>
            </w:r>
            <w:r>
              <w:rPr>
                <w:spacing w:val="-9"/>
              </w:rPr>
              <w:t xml:space="preserve"> </w:t>
            </w:r>
            <w:r>
              <w:t>kliniske</w:t>
            </w:r>
            <w:r>
              <w:rPr>
                <w:spacing w:val="-8"/>
              </w:rPr>
              <w:t xml:space="preserve"> </w:t>
            </w:r>
            <w:r>
              <w:t>frakturer</w:t>
            </w:r>
            <w:r>
              <w:rPr>
                <w:spacing w:val="-8"/>
              </w:rPr>
              <w:t xml:space="preserve"> </w:t>
            </w:r>
            <w:r>
              <w:rPr>
                <w:spacing w:val="-5"/>
              </w:rPr>
              <w:t>(1)</w:t>
            </w:r>
          </w:p>
        </w:tc>
        <w:tc>
          <w:tcPr>
            <w:tcW w:w="1618" w:type="dxa"/>
          </w:tcPr>
          <w:p w14:paraId="309B6E89" w14:textId="77777777" w:rsidR="0083612A" w:rsidRDefault="0083612A" w:rsidP="00A26C52">
            <w:pPr>
              <w:pStyle w:val="TableParagraph"/>
              <w:spacing w:line="240" w:lineRule="auto"/>
              <w:ind w:left="14" w:right="6"/>
              <w:jc w:val="center"/>
            </w:pPr>
            <w:r>
              <w:rPr>
                <w:spacing w:val="-5"/>
              </w:rPr>
              <w:t>8,6</w:t>
            </w:r>
          </w:p>
        </w:tc>
        <w:tc>
          <w:tcPr>
            <w:tcW w:w="1276" w:type="dxa"/>
          </w:tcPr>
          <w:p w14:paraId="55EC507D" w14:textId="77777777" w:rsidR="0083612A" w:rsidRDefault="0083612A" w:rsidP="00A26C52">
            <w:pPr>
              <w:pStyle w:val="TableParagraph"/>
              <w:spacing w:line="240" w:lineRule="auto"/>
              <w:ind w:left="12" w:right="6"/>
              <w:jc w:val="center"/>
            </w:pPr>
            <w:r>
              <w:rPr>
                <w:spacing w:val="-4"/>
              </w:rPr>
              <w:t>13,9</w:t>
            </w:r>
          </w:p>
        </w:tc>
        <w:tc>
          <w:tcPr>
            <w:tcW w:w="1984" w:type="dxa"/>
          </w:tcPr>
          <w:p w14:paraId="65D8B9A1" w14:textId="77777777" w:rsidR="0083612A" w:rsidRDefault="0083612A" w:rsidP="00A26C52">
            <w:pPr>
              <w:pStyle w:val="TableParagraph"/>
              <w:spacing w:line="240" w:lineRule="auto"/>
              <w:ind w:left="9"/>
              <w:jc w:val="center"/>
            </w:pPr>
            <w:r>
              <w:t>5,3</w:t>
            </w:r>
            <w:r>
              <w:rPr>
                <w:spacing w:val="-4"/>
              </w:rPr>
              <w:t xml:space="preserve"> </w:t>
            </w:r>
            <w:r>
              <w:t>(2,3,</w:t>
            </w:r>
            <w:r>
              <w:rPr>
                <w:spacing w:val="-4"/>
              </w:rPr>
              <w:t xml:space="preserve"> 8,3)</w:t>
            </w:r>
          </w:p>
        </w:tc>
        <w:tc>
          <w:tcPr>
            <w:tcW w:w="1985" w:type="dxa"/>
          </w:tcPr>
          <w:p w14:paraId="465636BF" w14:textId="77777777" w:rsidR="0083612A" w:rsidRDefault="0083612A" w:rsidP="00A26C52">
            <w:pPr>
              <w:pStyle w:val="TableParagraph"/>
              <w:spacing w:line="240" w:lineRule="auto"/>
              <w:ind w:left="28" w:right="21"/>
              <w:jc w:val="center"/>
            </w:pPr>
            <w:r>
              <w:t>35</w:t>
            </w:r>
            <w:r>
              <w:rPr>
                <w:spacing w:val="-4"/>
              </w:rPr>
              <w:t xml:space="preserve"> </w:t>
            </w:r>
            <w:r>
              <w:t>(26,</w:t>
            </w:r>
            <w:r>
              <w:rPr>
                <w:spacing w:val="-3"/>
              </w:rPr>
              <w:t xml:space="preserve"> </w:t>
            </w:r>
            <w:r>
              <w:rPr>
                <w:spacing w:val="-2"/>
              </w:rPr>
              <w:t>50)**</w:t>
            </w:r>
          </w:p>
        </w:tc>
      </w:tr>
      <w:tr w:rsidR="0083612A" w14:paraId="5CACDAAF" w14:textId="77777777" w:rsidTr="00A26C52">
        <w:trPr>
          <w:trHeight w:val="252"/>
        </w:trPr>
        <w:tc>
          <w:tcPr>
            <w:tcW w:w="2886" w:type="dxa"/>
          </w:tcPr>
          <w:p w14:paraId="4957AD01" w14:textId="77777777" w:rsidR="0083612A" w:rsidRDefault="0083612A" w:rsidP="00A26C52">
            <w:pPr>
              <w:pStyle w:val="TableParagraph"/>
              <w:spacing w:line="240" w:lineRule="auto"/>
            </w:pPr>
            <w:r>
              <w:t>Klinisk</w:t>
            </w:r>
            <w:r>
              <w:rPr>
                <w:spacing w:val="-9"/>
              </w:rPr>
              <w:t xml:space="preserve"> </w:t>
            </w:r>
            <w:r>
              <w:t>vertebral</w:t>
            </w:r>
            <w:r>
              <w:rPr>
                <w:spacing w:val="-9"/>
              </w:rPr>
              <w:t xml:space="preserve"> </w:t>
            </w:r>
            <w:r>
              <w:t>fraktur</w:t>
            </w:r>
            <w:r>
              <w:rPr>
                <w:spacing w:val="-9"/>
              </w:rPr>
              <w:t xml:space="preserve"> </w:t>
            </w:r>
            <w:r>
              <w:rPr>
                <w:spacing w:val="-5"/>
              </w:rPr>
              <w:t>(2)</w:t>
            </w:r>
          </w:p>
        </w:tc>
        <w:tc>
          <w:tcPr>
            <w:tcW w:w="1618" w:type="dxa"/>
          </w:tcPr>
          <w:p w14:paraId="4394CC51" w14:textId="77777777" w:rsidR="0083612A" w:rsidRDefault="0083612A" w:rsidP="00A26C52">
            <w:pPr>
              <w:pStyle w:val="TableParagraph"/>
              <w:spacing w:line="240" w:lineRule="auto"/>
              <w:ind w:left="14" w:right="6"/>
              <w:jc w:val="center"/>
            </w:pPr>
            <w:r>
              <w:rPr>
                <w:spacing w:val="-5"/>
              </w:rPr>
              <w:t>1,7</w:t>
            </w:r>
          </w:p>
        </w:tc>
        <w:tc>
          <w:tcPr>
            <w:tcW w:w="1276" w:type="dxa"/>
          </w:tcPr>
          <w:p w14:paraId="3E6F07CF" w14:textId="77777777" w:rsidR="0083612A" w:rsidRDefault="0083612A" w:rsidP="00A26C52">
            <w:pPr>
              <w:pStyle w:val="TableParagraph"/>
              <w:spacing w:line="240" w:lineRule="auto"/>
              <w:ind w:left="12" w:right="6"/>
              <w:jc w:val="center"/>
            </w:pPr>
            <w:r>
              <w:rPr>
                <w:spacing w:val="-5"/>
              </w:rPr>
              <w:t>3,8</w:t>
            </w:r>
          </w:p>
        </w:tc>
        <w:tc>
          <w:tcPr>
            <w:tcW w:w="1984" w:type="dxa"/>
          </w:tcPr>
          <w:p w14:paraId="448B5582" w14:textId="77777777" w:rsidR="0083612A" w:rsidRDefault="0083612A" w:rsidP="00A26C52">
            <w:pPr>
              <w:pStyle w:val="TableParagraph"/>
              <w:spacing w:line="240" w:lineRule="auto"/>
              <w:ind w:left="9"/>
              <w:jc w:val="center"/>
            </w:pPr>
            <w:r>
              <w:t>2,1</w:t>
            </w:r>
            <w:r>
              <w:rPr>
                <w:spacing w:val="-4"/>
              </w:rPr>
              <w:t xml:space="preserve"> </w:t>
            </w:r>
            <w:r>
              <w:t>(0,5,</w:t>
            </w:r>
            <w:r>
              <w:rPr>
                <w:spacing w:val="-4"/>
              </w:rPr>
              <w:t xml:space="preserve"> 3,7)</w:t>
            </w:r>
          </w:p>
        </w:tc>
        <w:tc>
          <w:tcPr>
            <w:tcW w:w="1985" w:type="dxa"/>
          </w:tcPr>
          <w:p w14:paraId="305C36BE" w14:textId="77777777" w:rsidR="0083612A" w:rsidRDefault="0083612A" w:rsidP="00A26C52">
            <w:pPr>
              <w:pStyle w:val="TableParagraph"/>
              <w:spacing w:line="240" w:lineRule="auto"/>
              <w:ind w:left="28" w:right="23"/>
              <w:jc w:val="center"/>
            </w:pPr>
            <w:r>
              <w:t>46</w:t>
            </w:r>
            <w:r>
              <w:rPr>
                <w:spacing w:val="-3"/>
              </w:rPr>
              <w:t xml:space="preserve"> </w:t>
            </w:r>
            <w:r>
              <w:t>(8,</w:t>
            </w:r>
            <w:r>
              <w:rPr>
                <w:spacing w:val="-3"/>
              </w:rPr>
              <w:t xml:space="preserve"> </w:t>
            </w:r>
            <w:r>
              <w:rPr>
                <w:spacing w:val="-4"/>
              </w:rPr>
              <w:t>68)*</w:t>
            </w:r>
          </w:p>
        </w:tc>
      </w:tr>
      <w:tr w:rsidR="0083612A" w14:paraId="2E894063" w14:textId="77777777" w:rsidTr="00A26C52">
        <w:trPr>
          <w:trHeight w:val="252"/>
        </w:trPr>
        <w:tc>
          <w:tcPr>
            <w:tcW w:w="2886" w:type="dxa"/>
          </w:tcPr>
          <w:p w14:paraId="6E4E463C" w14:textId="77777777" w:rsidR="0083612A" w:rsidRDefault="0083612A" w:rsidP="00A26C52">
            <w:pPr>
              <w:pStyle w:val="TableParagraph"/>
              <w:spacing w:line="240" w:lineRule="auto"/>
            </w:pPr>
            <w:r>
              <w:t>Ikke-vertebral</w:t>
            </w:r>
            <w:r>
              <w:rPr>
                <w:spacing w:val="-12"/>
              </w:rPr>
              <w:t xml:space="preserve"> </w:t>
            </w:r>
            <w:r>
              <w:t>fraktur</w:t>
            </w:r>
            <w:r>
              <w:rPr>
                <w:spacing w:val="-12"/>
              </w:rPr>
              <w:t xml:space="preserve"> </w:t>
            </w:r>
            <w:r>
              <w:rPr>
                <w:spacing w:val="-5"/>
              </w:rPr>
              <w:t>(1)</w:t>
            </w:r>
          </w:p>
        </w:tc>
        <w:tc>
          <w:tcPr>
            <w:tcW w:w="1618" w:type="dxa"/>
          </w:tcPr>
          <w:p w14:paraId="4BE963C2" w14:textId="77777777" w:rsidR="0083612A" w:rsidRDefault="0083612A" w:rsidP="00A26C52">
            <w:pPr>
              <w:pStyle w:val="TableParagraph"/>
              <w:spacing w:line="240" w:lineRule="auto"/>
              <w:ind w:left="14" w:right="6"/>
              <w:jc w:val="center"/>
            </w:pPr>
            <w:r>
              <w:rPr>
                <w:spacing w:val="-5"/>
              </w:rPr>
              <w:t>7,6</w:t>
            </w:r>
          </w:p>
        </w:tc>
        <w:tc>
          <w:tcPr>
            <w:tcW w:w="1276" w:type="dxa"/>
          </w:tcPr>
          <w:p w14:paraId="53A4DBF9" w14:textId="77777777" w:rsidR="0083612A" w:rsidRDefault="0083612A" w:rsidP="00A26C52">
            <w:pPr>
              <w:pStyle w:val="TableParagraph"/>
              <w:spacing w:line="240" w:lineRule="auto"/>
              <w:ind w:left="12" w:right="6"/>
              <w:jc w:val="center"/>
            </w:pPr>
            <w:r>
              <w:rPr>
                <w:spacing w:val="-4"/>
              </w:rPr>
              <w:t>10,7</w:t>
            </w:r>
          </w:p>
        </w:tc>
        <w:tc>
          <w:tcPr>
            <w:tcW w:w="1984" w:type="dxa"/>
          </w:tcPr>
          <w:p w14:paraId="7697B8C5" w14:textId="77777777" w:rsidR="0083612A" w:rsidRDefault="0083612A" w:rsidP="00A26C52">
            <w:pPr>
              <w:pStyle w:val="TableParagraph"/>
              <w:spacing w:line="240" w:lineRule="auto"/>
              <w:ind w:left="9"/>
              <w:jc w:val="center"/>
            </w:pPr>
            <w:r>
              <w:t>3,1</w:t>
            </w:r>
            <w:r>
              <w:rPr>
                <w:spacing w:val="-4"/>
              </w:rPr>
              <w:t xml:space="preserve"> </w:t>
            </w:r>
            <w:r>
              <w:t>(0,3,</w:t>
            </w:r>
            <w:r>
              <w:rPr>
                <w:spacing w:val="-4"/>
              </w:rPr>
              <w:t xml:space="preserve"> 5,9)</w:t>
            </w:r>
          </w:p>
        </w:tc>
        <w:tc>
          <w:tcPr>
            <w:tcW w:w="1985" w:type="dxa"/>
          </w:tcPr>
          <w:p w14:paraId="35984B30" w14:textId="77777777" w:rsidR="0083612A" w:rsidRDefault="0083612A" w:rsidP="00A26C52">
            <w:pPr>
              <w:pStyle w:val="TableParagraph"/>
              <w:spacing w:line="240" w:lineRule="auto"/>
              <w:ind w:left="28" w:right="23"/>
              <w:jc w:val="center"/>
            </w:pPr>
            <w:r>
              <w:t>27</w:t>
            </w:r>
            <w:r>
              <w:rPr>
                <w:spacing w:val="-3"/>
              </w:rPr>
              <w:t xml:space="preserve"> </w:t>
            </w:r>
            <w:r>
              <w:t>(2,</w:t>
            </w:r>
            <w:r>
              <w:rPr>
                <w:spacing w:val="-3"/>
              </w:rPr>
              <w:t xml:space="preserve"> </w:t>
            </w:r>
            <w:r>
              <w:rPr>
                <w:spacing w:val="-4"/>
              </w:rPr>
              <w:t>45)*</w:t>
            </w:r>
          </w:p>
        </w:tc>
      </w:tr>
      <w:tr w:rsidR="0083612A" w:rsidRPr="00C64C2E" w14:paraId="04BD76F6" w14:textId="77777777" w:rsidTr="00A26C52">
        <w:trPr>
          <w:trHeight w:val="759"/>
        </w:trPr>
        <w:tc>
          <w:tcPr>
            <w:tcW w:w="9749" w:type="dxa"/>
            <w:gridSpan w:val="5"/>
          </w:tcPr>
          <w:p w14:paraId="6277E889" w14:textId="77777777" w:rsidR="0083612A" w:rsidRDefault="0083612A" w:rsidP="00A26C52">
            <w:pPr>
              <w:pStyle w:val="TableParagraph"/>
              <w:spacing w:line="240" w:lineRule="auto"/>
            </w:pPr>
            <w:r>
              <w:t>*p-værdi</w:t>
            </w:r>
            <w:r>
              <w:rPr>
                <w:spacing w:val="-10"/>
              </w:rPr>
              <w:t xml:space="preserve"> </w:t>
            </w:r>
            <w:r>
              <w:t>&lt;0,05,</w:t>
            </w:r>
            <w:r>
              <w:rPr>
                <w:spacing w:val="-10"/>
              </w:rPr>
              <w:t xml:space="preserve"> </w:t>
            </w:r>
            <w:r>
              <w:t>**p-værdi</w:t>
            </w:r>
            <w:r>
              <w:rPr>
                <w:spacing w:val="-9"/>
              </w:rPr>
              <w:t xml:space="preserve"> </w:t>
            </w:r>
            <w:r>
              <w:rPr>
                <w:spacing w:val="-2"/>
              </w:rPr>
              <w:t>&lt;0,01</w:t>
            </w:r>
          </w:p>
          <w:p w14:paraId="2D20B00E" w14:textId="77777777" w:rsidR="0083612A" w:rsidRPr="00E6192E" w:rsidRDefault="0083612A" w:rsidP="00A26C52">
            <w:pPr>
              <w:pStyle w:val="TableParagraph"/>
              <w:numPr>
                <w:ilvl w:val="0"/>
                <w:numId w:val="10"/>
              </w:numPr>
              <w:tabs>
                <w:tab w:val="left" w:pos="418"/>
              </w:tabs>
              <w:spacing w:line="240" w:lineRule="auto"/>
              <w:ind w:left="418" w:hanging="311"/>
              <w:rPr>
                <w:lang w:val="da-DK"/>
              </w:rPr>
            </w:pPr>
            <w:r w:rsidRPr="00E6192E">
              <w:rPr>
                <w:lang w:val="da-DK"/>
              </w:rPr>
              <w:t>Ekskl.</w:t>
            </w:r>
            <w:r w:rsidRPr="00E6192E">
              <w:rPr>
                <w:spacing w:val="-6"/>
                <w:lang w:val="da-DK"/>
              </w:rPr>
              <w:t xml:space="preserve"> </w:t>
            </w:r>
            <w:r w:rsidRPr="00E6192E">
              <w:rPr>
                <w:lang w:val="da-DK"/>
              </w:rPr>
              <w:t>frakturer</w:t>
            </w:r>
            <w:r w:rsidRPr="00E6192E">
              <w:rPr>
                <w:spacing w:val="-6"/>
                <w:lang w:val="da-DK"/>
              </w:rPr>
              <w:t xml:space="preserve"> </w:t>
            </w:r>
            <w:r w:rsidRPr="00E6192E">
              <w:rPr>
                <w:lang w:val="da-DK"/>
              </w:rPr>
              <w:t>på</w:t>
            </w:r>
            <w:r w:rsidRPr="00E6192E">
              <w:rPr>
                <w:spacing w:val="-6"/>
                <w:lang w:val="da-DK"/>
              </w:rPr>
              <w:t xml:space="preserve"> </w:t>
            </w:r>
            <w:r w:rsidRPr="00E6192E">
              <w:rPr>
                <w:lang w:val="da-DK"/>
              </w:rPr>
              <w:t>fingre,</w:t>
            </w:r>
            <w:r w:rsidRPr="00E6192E">
              <w:rPr>
                <w:spacing w:val="-6"/>
                <w:lang w:val="da-DK"/>
              </w:rPr>
              <w:t xml:space="preserve"> </w:t>
            </w:r>
            <w:r w:rsidRPr="00E6192E">
              <w:rPr>
                <w:lang w:val="da-DK"/>
              </w:rPr>
              <w:t>tæer</w:t>
            </w:r>
            <w:r w:rsidRPr="00E6192E">
              <w:rPr>
                <w:spacing w:val="-5"/>
                <w:lang w:val="da-DK"/>
              </w:rPr>
              <w:t xml:space="preserve"> </w:t>
            </w:r>
            <w:r w:rsidRPr="00E6192E">
              <w:rPr>
                <w:lang w:val="da-DK"/>
              </w:rPr>
              <w:t>og</w:t>
            </w:r>
            <w:r w:rsidRPr="00E6192E">
              <w:rPr>
                <w:spacing w:val="-6"/>
                <w:lang w:val="da-DK"/>
              </w:rPr>
              <w:t xml:space="preserve"> </w:t>
            </w:r>
            <w:r w:rsidRPr="00E6192E">
              <w:rPr>
                <w:spacing w:val="-2"/>
                <w:lang w:val="da-DK"/>
              </w:rPr>
              <w:t>ansigt</w:t>
            </w:r>
          </w:p>
          <w:p w14:paraId="5A0ECC38" w14:textId="77777777" w:rsidR="0083612A" w:rsidRPr="00E6192E" w:rsidRDefault="0083612A" w:rsidP="00A26C52">
            <w:pPr>
              <w:pStyle w:val="TableParagraph"/>
              <w:numPr>
                <w:ilvl w:val="0"/>
                <w:numId w:val="10"/>
              </w:numPr>
              <w:tabs>
                <w:tab w:val="left" w:pos="418"/>
              </w:tabs>
              <w:spacing w:line="240" w:lineRule="auto"/>
              <w:ind w:left="418" w:hanging="311"/>
              <w:rPr>
                <w:lang w:val="da-DK"/>
              </w:rPr>
            </w:pPr>
            <w:r w:rsidRPr="00E6192E">
              <w:rPr>
                <w:lang w:val="da-DK"/>
              </w:rPr>
              <w:t>Inkl.</w:t>
            </w:r>
            <w:r w:rsidRPr="00E6192E">
              <w:rPr>
                <w:spacing w:val="-8"/>
                <w:lang w:val="da-DK"/>
              </w:rPr>
              <w:t xml:space="preserve"> </w:t>
            </w:r>
            <w:r w:rsidRPr="00E6192E">
              <w:rPr>
                <w:lang w:val="da-DK"/>
              </w:rPr>
              <w:t>kliniske</w:t>
            </w:r>
            <w:r w:rsidRPr="00E6192E">
              <w:rPr>
                <w:spacing w:val="-8"/>
                <w:lang w:val="da-DK"/>
              </w:rPr>
              <w:t xml:space="preserve"> </w:t>
            </w:r>
            <w:r w:rsidRPr="00E6192E">
              <w:rPr>
                <w:lang w:val="da-DK"/>
              </w:rPr>
              <w:t>frakturer</w:t>
            </w:r>
            <w:r w:rsidRPr="00E6192E">
              <w:rPr>
                <w:spacing w:val="-6"/>
                <w:lang w:val="da-DK"/>
              </w:rPr>
              <w:t xml:space="preserve"> </w:t>
            </w:r>
            <w:r w:rsidRPr="00E6192E">
              <w:rPr>
                <w:lang w:val="da-DK"/>
              </w:rPr>
              <w:t>på</w:t>
            </w:r>
            <w:r w:rsidRPr="00E6192E">
              <w:rPr>
                <w:spacing w:val="-8"/>
                <w:lang w:val="da-DK"/>
              </w:rPr>
              <w:t xml:space="preserve"> </w:t>
            </w:r>
            <w:r w:rsidRPr="00E6192E">
              <w:rPr>
                <w:lang w:val="da-DK"/>
              </w:rPr>
              <w:t>torakale</w:t>
            </w:r>
            <w:r w:rsidRPr="00E6192E">
              <w:rPr>
                <w:spacing w:val="-7"/>
                <w:lang w:val="da-DK"/>
              </w:rPr>
              <w:t xml:space="preserve"> </w:t>
            </w:r>
            <w:r w:rsidRPr="00E6192E">
              <w:rPr>
                <w:lang w:val="da-DK"/>
              </w:rPr>
              <w:t>og</w:t>
            </w:r>
            <w:r w:rsidRPr="00E6192E">
              <w:rPr>
                <w:spacing w:val="-7"/>
                <w:lang w:val="da-DK"/>
              </w:rPr>
              <w:t xml:space="preserve"> </w:t>
            </w:r>
            <w:r w:rsidRPr="00E6192E">
              <w:rPr>
                <w:lang w:val="da-DK"/>
              </w:rPr>
              <w:t>lumbale</w:t>
            </w:r>
            <w:r w:rsidRPr="00E6192E">
              <w:rPr>
                <w:spacing w:val="-8"/>
                <w:lang w:val="da-DK"/>
              </w:rPr>
              <w:t xml:space="preserve"> </w:t>
            </w:r>
            <w:r w:rsidRPr="00E6192E">
              <w:rPr>
                <w:spacing w:val="-2"/>
                <w:lang w:val="da-DK"/>
              </w:rPr>
              <w:t>ryghvirvler</w:t>
            </w:r>
          </w:p>
        </w:tc>
      </w:tr>
    </w:tbl>
    <w:p w14:paraId="73895D15" w14:textId="77777777" w:rsidR="0083612A" w:rsidRPr="00E6192E" w:rsidRDefault="0083612A" w:rsidP="00A26C52">
      <w:pPr>
        <w:pStyle w:val="Brdtekst"/>
        <w:rPr>
          <w:b/>
          <w:lang w:val="da-DK"/>
        </w:rPr>
      </w:pPr>
    </w:p>
    <w:p w14:paraId="77C4E4CA" w14:textId="77777777" w:rsidR="0083612A" w:rsidRPr="00A26C52" w:rsidRDefault="0083612A" w:rsidP="00A26C52">
      <w:pPr>
        <w:pStyle w:val="Brdtekst"/>
        <w:ind w:left="851" w:right="879"/>
        <w:rPr>
          <w:sz w:val="24"/>
          <w:szCs w:val="24"/>
          <w:lang w:val="da-DK"/>
        </w:rPr>
      </w:pPr>
      <w:r w:rsidRPr="00A26C52">
        <w:rPr>
          <w:sz w:val="24"/>
          <w:szCs w:val="24"/>
          <w:lang w:val="da-DK"/>
        </w:rPr>
        <w:t>Studiet</w:t>
      </w:r>
      <w:r w:rsidRPr="00A26C52">
        <w:rPr>
          <w:spacing w:val="-2"/>
          <w:sz w:val="24"/>
          <w:szCs w:val="24"/>
          <w:lang w:val="da-DK"/>
        </w:rPr>
        <w:t xml:space="preserve"> </w:t>
      </w:r>
      <w:r w:rsidRPr="00A26C52">
        <w:rPr>
          <w:sz w:val="24"/>
          <w:szCs w:val="24"/>
          <w:lang w:val="da-DK"/>
        </w:rPr>
        <w:t>var</w:t>
      </w:r>
      <w:r w:rsidRPr="00A26C52">
        <w:rPr>
          <w:spacing w:val="-2"/>
          <w:sz w:val="24"/>
          <w:szCs w:val="24"/>
          <w:lang w:val="da-DK"/>
        </w:rPr>
        <w:t xml:space="preserve"> </w:t>
      </w:r>
      <w:r w:rsidRPr="00A26C52">
        <w:rPr>
          <w:sz w:val="24"/>
          <w:szCs w:val="24"/>
          <w:lang w:val="da-DK"/>
        </w:rPr>
        <w:t>ikke</w:t>
      </w:r>
      <w:r w:rsidRPr="00A26C52">
        <w:rPr>
          <w:spacing w:val="-3"/>
          <w:sz w:val="24"/>
          <w:szCs w:val="24"/>
          <w:lang w:val="da-DK"/>
        </w:rPr>
        <w:t xml:space="preserve"> </w:t>
      </w:r>
      <w:r w:rsidRPr="00A26C52">
        <w:rPr>
          <w:sz w:val="24"/>
          <w:szCs w:val="24"/>
          <w:lang w:val="da-DK"/>
        </w:rPr>
        <w:t>designet</w:t>
      </w:r>
      <w:r w:rsidRPr="00A26C52">
        <w:rPr>
          <w:spacing w:val="-2"/>
          <w:sz w:val="24"/>
          <w:szCs w:val="24"/>
          <w:lang w:val="da-DK"/>
        </w:rPr>
        <w:t xml:space="preserve"> </w:t>
      </w:r>
      <w:r w:rsidRPr="00A26C52">
        <w:rPr>
          <w:sz w:val="24"/>
          <w:szCs w:val="24"/>
          <w:lang w:val="da-DK"/>
        </w:rPr>
        <w:t>til</w:t>
      </w:r>
      <w:r w:rsidRPr="00A26C52">
        <w:rPr>
          <w:spacing w:val="-2"/>
          <w:sz w:val="24"/>
          <w:szCs w:val="24"/>
          <w:lang w:val="da-DK"/>
        </w:rPr>
        <w:t xml:space="preserve"> </w:t>
      </w:r>
      <w:r w:rsidRPr="00A26C52">
        <w:rPr>
          <w:sz w:val="24"/>
          <w:szCs w:val="24"/>
          <w:lang w:val="da-DK"/>
        </w:rPr>
        <w:t>at</w:t>
      </w:r>
      <w:r w:rsidRPr="00A26C52">
        <w:rPr>
          <w:spacing w:val="-2"/>
          <w:sz w:val="24"/>
          <w:szCs w:val="24"/>
          <w:lang w:val="da-DK"/>
        </w:rPr>
        <w:t xml:space="preserve"> </w:t>
      </w:r>
      <w:r w:rsidRPr="00A26C52">
        <w:rPr>
          <w:sz w:val="24"/>
          <w:szCs w:val="24"/>
          <w:lang w:val="da-DK"/>
        </w:rPr>
        <w:t>måle</w:t>
      </w:r>
      <w:r w:rsidRPr="00A26C52">
        <w:rPr>
          <w:spacing w:val="-3"/>
          <w:sz w:val="24"/>
          <w:szCs w:val="24"/>
          <w:lang w:val="da-DK"/>
        </w:rPr>
        <w:t xml:space="preserve"> </w:t>
      </w:r>
      <w:r w:rsidRPr="00A26C52">
        <w:rPr>
          <w:sz w:val="24"/>
          <w:szCs w:val="24"/>
          <w:lang w:val="da-DK"/>
        </w:rPr>
        <w:t>signifikante</w:t>
      </w:r>
      <w:r w:rsidRPr="00A26C52">
        <w:rPr>
          <w:spacing w:val="-3"/>
          <w:sz w:val="24"/>
          <w:szCs w:val="24"/>
          <w:lang w:val="da-DK"/>
        </w:rPr>
        <w:t xml:space="preserve"> </w:t>
      </w:r>
      <w:r w:rsidRPr="00A26C52">
        <w:rPr>
          <w:sz w:val="24"/>
          <w:szCs w:val="24"/>
          <w:lang w:val="da-DK"/>
        </w:rPr>
        <w:t>forskelle</w:t>
      </w:r>
      <w:r w:rsidRPr="00A26C52">
        <w:rPr>
          <w:spacing w:val="-3"/>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hoftefraktur,</w:t>
      </w:r>
      <w:r w:rsidRPr="00A26C52">
        <w:rPr>
          <w:spacing w:val="-2"/>
          <w:sz w:val="24"/>
          <w:szCs w:val="24"/>
          <w:lang w:val="da-DK"/>
        </w:rPr>
        <w:t xml:space="preserve"> </w:t>
      </w:r>
      <w:r w:rsidRPr="00A26C52">
        <w:rPr>
          <w:sz w:val="24"/>
          <w:szCs w:val="24"/>
          <w:lang w:val="da-DK"/>
        </w:rPr>
        <w:t>men</w:t>
      </w:r>
      <w:r w:rsidRPr="00A26C52">
        <w:rPr>
          <w:spacing w:val="-2"/>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ses</w:t>
      </w:r>
      <w:r w:rsidRPr="00A26C52">
        <w:rPr>
          <w:spacing w:val="-3"/>
          <w:sz w:val="24"/>
          <w:szCs w:val="24"/>
          <w:lang w:val="da-DK"/>
        </w:rPr>
        <w:t xml:space="preserve"> </w:t>
      </w:r>
      <w:r w:rsidRPr="00A26C52">
        <w:rPr>
          <w:sz w:val="24"/>
          <w:szCs w:val="24"/>
          <w:lang w:val="da-DK"/>
        </w:rPr>
        <w:t>en</w:t>
      </w:r>
      <w:r w:rsidRPr="00A26C52">
        <w:rPr>
          <w:spacing w:val="-2"/>
          <w:sz w:val="24"/>
          <w:szCs w:val="24"/>
          <w:lang w:val="da-DK"/>
        </w:rPr>
        <w:t xml:space="preserve"> </w:t>
      </w:r>
      <w:r w:rsidRPr="00A26C52">
        <w:rPr>
          <w:sz w:val="24"/>
          <w:szCs w:val="24"/>
          <w:lang w:val="da-DK"/>
        </w:rPr>
        <w:t>tendens</w:t>
      </w:r>
      <w:r w:rsidRPr="00A26C52">
        <w:rPr>
          <w:spacing w:val="-3"/>
          <w:sz w:val="24"/>
          <w:szCs w:val="24"/>
          <w:lang w:val="da-DK"/>
        </w:rPr>
        <w:t xml:space="preserve"> </w:t>
      </w:r>
      <w:r w:rsidRPr="00A26C52">
        <w:rPr>
          <w:sz w:val="24"/>
          <w:szCs w:val="24"/>
          <w:lang w:val="da-DK"/>
        </w:rPr>
        <w:t>mod reduktion i nye hoftefrakturer.</w:t>
      </w:r>
    </w:p>
    <w:p w14:paraId="578A0474" w14:textId="77777777" w:rsidR="0083612A" w:rsidRPr="00A26C52" w:rsidRDefault="0083612A" w:rsidP="00A26C52">
      <w:pPr>
        <w:pStyle w:val="Brdtekst"/>
        <w:ind w:left="851" w:right="906"/>
        <w:rPr>
          <w:sz w:val="24"/>
          <w:szCs w:val="24"/>
          <w:lang w:val="da-DK"/>
        </w:rPr>
      </w:pPr>
      <w:r w:rsidRPr="00A26C52">
        <w:rPr>
          <w:sz w:val="24"/>
          <w:szCs w:val="24"/>
          <w:lang w:val="da-DK"/>
        </w:rPr>
        <w:t>All</w:t>
      </w:r>
      <w:r w:rsidRPr="00A26C52">
        <w:rPr>
          <w:spacing w:val="-3"/>
          <w:sz w:val="24"/>
          <w:szCs w:val="24"/>
          <w:lang w:val="da-DK"/>
        </w:rPr>
        <w:t xml:space="preserve"> </w:t>
      </w:r>
      <w:r w:rsidRPr="00A26C52">
        <w:rPr>
          <w:sz w:val="24"/>
          <w:szCs w:val="24"/>
          <w:lang w:val="da-DK"/>
        </w:rPr>
        <w:t>cause</w:t>
      </w:r>
      <w:r w:rsidRPr="00A26C52">
        <w:rPr>
          <w:spacing w:val="-2"/>
          <w:sz w:val="24"/>
          <w:szCs w:val="24"/>
          <w:lang w:val="da-DK"/>
        </w:rPr>
        <w:t xml:space="preserve"> </w:t>
      </w:r>
      <w:r w:rsidRPr="00A26C52">
        <w:rPr>
          <w:sz w:val="24"/>
          <w:szCs w:val="24"/>
          <w:lang w:val="da-DK"/>
        </w:rPr>
        <w:t>mortaliteten</w:t>
      </w:r>
      <w:r w:rsidRPr="00A26C52">
        <w:rPr>
          <w:spacing w:val="-3"/>
          <w:sz w:val="24"/>
          <w:szCs w:val="24"/>
          <w:lang w:val="da-DK"/>
        </w:rPr>
        <w:t xml:space="preserve"> </w:t>
      </w:r>
      <w:r w:rsidRPr="00A26C52">
        <w:rPr>
          <w:sz w:val="24"/>
          <w:szCs w:val="24"/>
          <w:lang w:val="da-DK"/>
        </w:rPr>
        <w:t>var</w:t>
      </w:r>
      <w:r w:rsidRPr="00A26C52">
        <w:rPr>
          <w:spacing w:val="-3"/>
          <w:sz w:val="24"/>
          <w:szCs w:val="24"/>
          <w:lang w:val="da-DK"/>
        </w:rPr>
        <w:t xml:space="preserve"> </w:t>
      </w:r>
      <w:r w:rsidRPr="00A26C52">
        <w:rPr>
          <w:sz w:val="24"/>
          <w:szCs w:val="24"/>
          <w:lang w:val="da-DK"/>
        </w:rPr>
        <w:t>10</w:t>
      </w:r>
      <w:r w:rsidRPr="00A26C52">
        <w:rPr>
          <w:spacing w:val="-3"/>
          <w:sz w:val="24"/>
          <w:szCs w:val="24"/>
          <w:lang w:val="da-DK"/>
        </w:rPr>
        <w:t xml:space="preserve"> </w:t>
      </w:r>
      <w:r w:rsidRPr="00A26C52">
        <w:rPr>
          <w:sz w:val="24"/>
          <w:szCs w:val="24"/>
          <w:lang w:val="da-DK"/>
        </w:rPr>
        <w:t>%</w:t>
      </w:r>
      <w:r w:rsidRPr="00A26C52">
        <w:rPr>
          <w:spacing w:val="-4"/>
          <w:sz w:val="24"/>
          <w:szCs w:val="24"/>
          <w:lang w:val="da-DK"/>
        </w:rPr>
        <w:t xml:space="preserve"> </w:t>
      </w:r>
      <w:r w:rsidRPr="00A26C52">
        <w:rPr>
          <w:sz w:val="24"/>
          <w:szCs w:val="24"/>
          <w:lang w:val="da-DK"/>
        </w:rPr>
        <w:t>(101</w:t>
      </w:r>
      <w:r w:rsidRPr="00A26C52">
        <w:rPr>
          <w:spacing w:val="-4"/>
          <w:sz w:val="24"/>
          <w:szCs w:val="24"/>
          <w:lang w:val="da-DK"/>
        </w:rPr>
        <w:t xml:space="preserve"> </w:t>
      </w:r>
      <w:r w:rsidRPr="00A26C52">
        <w:rPr>
          <w:sz w:val="24"/>
          <w:szCs w:val="24"/>
          <w:lang w:val="da-DK"/>
        </w:rPr>
        <w:t>patienter)</w:t>
      </w:r>
      <w:r w:rsidRPr="00A26C52">
        <w:rPr>
          <w:spacing w:val="-3"/>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gruppen</w:t>
      </w:r>
      <w:r w:rsidRPr="00A26C52">
        <w:rPr>
          <w:spacing w:val="-3"/>
          <w:sz w:val="24"/>
          <w:szCs w:val="24"/>
          <w:lang w:val="da-DK"/>
        </w:rPr>
        <w:t xml:space="preserve"> </w:t>
      </w:r>
      <w:r w:rsidRPr="00A26C52">
        <w:rPr>
          <w:sz w:val="24"/>
          <w:szCs w:val="24"/>
          <w:lang w:val="da-DK"/>
        </w:rPr>
        <w:t>behandlet</w:t>
      </w:r>
      <w:r w:rsidRPr="00A26C52">
        <w:rPr>
          <w:spacing w:val="-4"/>
          <w:sz w:val="24"/>
          <w:szCs w:val="24"/>
          <w:lang w:val="da-DK"/>
        </w:rPr>
        <w:t xml:space="preserve"> </w:t>
      </w:r>
      <w:r w:rsidRPr="00A26C52">
        <w:rPr>
          <w:sz w:val="24"/>
          <w:szCs w:val="24"/>
          <w:lang w:val="da-DK"/>
        </w:rPr>
        <w:t>med</w:t>
      </w:r>
      <w:r w:rsidRPr="00A26C52">
        <w:rPr>
          <w:spacing w:val="-3"/>
          <w:sz w:val="24"/>
          <w:szCs w:val="24"/>
          <w:lang w:val="da-DK"/>
        </w:rPr>
        <w:t xml:space="preserve"> </w:t>
      </w:r>
      <w:r w:rsidRPr="00A26C52">
        <w:rPr>
          <w:sz w:val="24"/>
          <w:szCs w:val="24"/>
          <w:lang w:val="da-DK"/>
        </w:rPr>
        <w:t>zoledronsyre</w:t>
      </w:r>
      <w:r w:rsidRPr="00A26C52">
        <w:rPr>
          <w:spacing w:val="-5"/>
          <w:sz w:val="24"/>
          <w:szCs w:val="24"/>
          <w:lang w:val="da-DK"/>
        </w:rPr>
        <w:t xml:space="preserve"> </w:t>
      </w:r>
      <w:r w:rsidRPr="00A26C52">
        <w:rPr>
          <w:sz w:val="24"/>
          <w:szCs w:val="24"/>
          <w:lang w:val="da-DK"/>
        </w:rPr>
        <w:t>sammenlignet</w:t>
      </w:r>
      <w:r w:rsidRPr="00A26C52">
        <w:rPr>
          <w:spacing w:val="-3"/>
          <w:sz w:val="24"/>
          <w:szCs w:val="24"/>
          <w:lang w:val="da-DK"/>
        </w:rPr>
        <w:t xml:space="preserve"> </w:t>
      </w:r>
      <w:r w:rsidRPr="00A26C52">
        <w:rPr>
          <w:sz w:val="24"/>
          <w:szCs w:val="24"/>
          <w:lang w:val="da-DK"/>
        </w:rPr>
        <w:t>med 13 % (141 patienter) i placebogruppen. Det svarer til en reduktion på 28 % i risikoen for all cause mortalitet (p=0,01).</w:t>
      </w:r>
    </w:p>
    <w:p w14:paraId="64D9C5B5" w14:textId="77777777" w:rsidR="0083612A" w:rsidRPr="00A26C52" w:rsidRDefault="0083612A" w:rsidP="00A26C52">
      <w:pPr>
        <w:pStyle w:val="Brdtekst"/>
        <w:ind w:left="851"/>
        <w:rPr>
          <w:sz w:val="24"/>
          <w:szCs w:val="24"/>
          <w:lang w:val="da-DK"/>
        </w:rPr>
      </w:pPr>
    </w:p>
    <w:p w14:paraId="11829C5B" w14:textId="481D80F3" w:rsidR="0083612A" w:rsidRDefault="0083612A" w:rsidP="00A26C52">
      <w:pPr>
        <w:pStyle w:val="Brdtekst"/>
        <w:ind w:left="851" w:right="849"/>
        <w:rPr>
          <w:sz w:val="24"/>
          <w:szCs w:val="24"/>
          <w:lang w:val="da-DK"/>
        </w:rPr>
      </w:pPr>
      <w:r w:rsidRPr="00A26C52">
        <w:rPr>
          <w:sz w:val="24"/>
          <w:szCs w:val="24"/>
          <w:lang w:val="da-DK"/>
        </w:rPr>
        <w:lastRenderedPageBreak/>
        <w:t>Incidensen</w:t>
      </w:r>
      <w:r w:rsidRPr="00A26C52">
        <w:rPr>
          <w:spacing w:val="-3"/>
          <w:sz w:val="24"/>
          <w:szCs w:val="24"/>
          <w:lang w:val="da-DK"/>
        </w:rPr>
        <w:t xml:space="preserve"> </w:t>
      </w:r>
      <w:r w:rsidRPr="00A26C52">
        <w:rPr>
          <w:sz w:val="24"/>
          <w:szCs w:val="24"/>
          <w:lang w:val="da-DK"/>
        </w:rPr>
        <w:t>af</w:t>
      </w:r>
      <w:r w:rsidRPr="00A26C52">
        <w:rPr>
          <w:spacing w:val="-3"/>
          <w:sz w:val="24"/>
          <w:szCs w:val="24"/>
          <w:lang w:val="da-DK"/>
        </w:rPr>
        <w:t xml:space="preserve"> </w:t>
      </w:r>
      <w:r w:rsidRPr="00A26C52">
        <w:rPr>
          <w:sz w:val="24"/>
          <w:szCs w:val="24"/>
          <w:lang w:val="da-DK"/>
        </w:rPr>
        <w:t>forsinket</w:t>
      </w:r>
      <w:r w:rsidRPr="00A26C52">
        <w:rPr>
          <w:spacing w:val="-3"/>
          <w:sz w:val="24"/>
          <w:szCs w:val="24"/>
          <w:lang w:val="da-DK"/>
        </w:rPr>
        <w:t xml:space="preserve"> </w:t>
      </w:r>
      <w:r w:rsidRPr="00A26C52">
        <w:rPr>
          <w:sz w:val="24"/>
          <w:szCs w:val="24"/>
          <w:lang w:val="da-DK"/>
        </w:rPr>
        <w:t>heling</w:t>
      </w:r>
      <w:r w:rsidRPr="00A26C52">
        <w:rPr>
          <w:spacing w:val="-3"/>
          <w:sz w:val="24"/>
          <w:szCs w:val="24"/>
          <w:lang w:val="da-DK"/>
        </w:rPr>
        <w:t xml:space="preserve"> </w:t>
      </w:r>
      <w:r w:rsidRPr="00A26C52">
        <w:rPr>
          <w:sz w:val="24"/>
          <w:szCs w:val="24"/>
          <w:lang w:val="da-DK"/>
        </w:rPr>
        <w:t>af</w:t>
      </w:r>
      <w:r w:rsidRPr="00A26C52">
        <w:rPr>
          <w:spacing w:val="-3"/>
          <w:sz w:val="24"/>
          <w:szCs w:val="24"/>
          <w:lang w:val="da-DK"/>
        </w:rPr>
        <w:t xml:space="preserve"> </w:t>
      </w:r>
      <w:r w:rsidRPr="00A26C52">
        <w:rPr>
          <w:sz w:val="24"/>
          <w:szCs w:val="24"/>
          <w:lang w:val="da-DK"/>
        </w:rPr>
        <w:t>hoftefrakturer</w:t>
      </w:r>
      <w:r w:rsidRPr="00A26C52">
        <w:rPr>
          <w:spacing w:val="-3"/>
          <w:sz w:val="24"/>
          <w:szCs w:val="24"/>
          <w:lang w:val="da-DK"/>
        </w:rPr>
        <w:t xml:space="preserve"> </w:t>
      </w:r>
      <w:r w:rsidRPr="00A26C52">
        <w:rPr>
          <w:sz w:val="24"/>
          <w:szCs w:val="24"/>
          <w:lang w:val="da-DK"/>
        </w:rPr>
        <w:t>var</w:t>
      </w:r>
      <w:r w:rsidRPr="00A26C52">
        <w:rPr>
          <w:spacing w:val="-3"/>
          <w:sz w:val="24"/>
          <w:szCs w:val="24"/>
          <w:lang w:val="da-DK"/>
        </w:rPr>
        <w:t xml:space="preserve"> </w:t>
      </w:r>
      <w:r w:rsidRPr="00A26C52">
        <w:rPr>
          <w:sz w:val="24"/>
          <w:szCs w:val="24"/>
          <w:lang w:val="da-DK"/>
        </w:rPr>
        <w:t>sammenlignelig</w:t>
      </w:r>
      <w:r w:rsidRPr="00A26C52">
        <w:rPr>
          <w:spacing w:val="-3"/>
          <w:sz w:val="24"/>
          <w:szCs w:val="24"/>
          <w:lang w:val="da-DK"/>
        </w:rPr>
        <w:t xml:space="preserve"> </w:t>
      </w:r>
      <w:r w:rsidRPr="00A26C52">
        <w:rPr>
          <w:sz w:val="24"/>
          <w:szCs w:val="24"/>
          <w:lang w:val="da-DK"/>
        </w:rPr>
        <w:t>mellem</w:t>
      </w:r>
      <w:r w:rsidRPr="00A26C52">
        <w:rPr>
          <w:spacing w:val="-3"/>
          <w:sz w:val="24"/>
          <w:szCs w:val="24"/>
          <w:lang w:val="da-DK"/>
        </w:rPr>
        <w:t xml:space="preserve"> </w:t>
      </w:r>
      <w:r w:rsidRPr="00A26C52">
        <w:rPr>
          <w:sz w:val="24"/>
          <w:szCs w:val="24"/>
          <w:lang w:val="da-DK"/>
        </w:rPr>
        <w:t>zoledronsyre</w:t>
      </w:r>
      <w:r w:rsidRPr="00A26C52">
        <w:rPr>
          <w:spacing w:val="-5"/>
          <w:sz w:val="24"/>
          <w:szCs w:val="24"/>
          <w:lang w:val="da-DK"/>
        </w:rPr>
        <w:t xml:space="preserve"> </w:t>
      </w:r>
      <w:r w:rsidRPr="00A26C52">
        <w:rPr>
          <w:sz w:val="24"/>
          <w:szCs w:val="24"/>
          <w:lang w:val="da-DK"/>
        </w:rPr>
        <w:t>(34</w:t>
      </w:r>
      <w:r w:rsidRPr="00A26C52">
        <w:rPr>
          <w:spacing w:val="-3"/>
          <w:sz w:val="24"/>
          <w:szCs w:val="24"/>
          <w:lang w:val="da-DK"/>
        </w:rPr>
        <w:t xml:space="preserve"> </w:t>
      </w:r>
      <w:r w:rsidRPr="00A26C52">
        <w:rPr>
          <w:sz w:val="24"/>
          <w:szCs w:val="24"/>
          <w:lang w:val="da-DK"/>
        </w:rPr>
        <w:t>[3,2</w:t>
      </w:r>
      <w:r w:rsidRPr="00A26C52">
        <w:rPr>
          <w:spacing w:val="-3"/>
          <w:sz w:val="24"/>
          <w:szCs w:val="24"/>
          <w:lang w:val="da-DK"/>
        </w:rPr>
        <w:t xml:space="preserve"> </w:t>
      </w:r>
      <w:r w:rsidRPr="00A26C52">
        <w:rPr>
          <w:sz w:val="24"/>
          <w:szCs w:val="24"/>
          <w:lang w:val="da-DK"/>
        </w:rPr>
        <w:t>%])</w:t>
      </w:r>
      <w:r w:rsidRPr="00A26C52">
        <w:rPr>
          <w:spacing w:val="-3"/>
          <w:sz w:val="24"/>
          <w:szCs w:val="24"/>
          <w:lang w:val="da-DK"/>
        </w:rPr>
        <w:t xml:space="preserve"> </w:t>
      </w:r>
      <w:r w:rsidRPr="00A26C52">
        <w:rPr>
          <w:sz w:val="24"/>
          <w:szCs w:val="24"/>
          <w:lang w:val="da-DK"/>
        </w:rPr>
        <w:t>og placebo (29 [2,7 %]).</w:t>
      </w:r>
    </w:p>
    <w:p w14:paraId="2EE8B7AE" w14:textId="77777777" w:rsidR="00A26C52" w:rsidRPr="00A26C52" w:rsidRDefault="00A26C52" w:rsidP="00A26C52">
      <w:pPr>
        <w:pStyle w:val="Brdtekst"/>
        <w:ind w:left="851" w:right="849"/>
        <w:rPr>
          <w:sz w:val="24"/>
          <w:szCs w:val="24"/>
          <w:lang w:val="da-DK"/>
        </w:rPr>
      </w:pPr>
    </w:p>
    <w:p w14:paraId="5AB4FC3D" w14:textId="77777777" w:rsidR="0083612A" w:rsidRPr="00A26C52" w:rsidRDefault="0083612A" w:rsidP="00A26C52">
      <w:pPr>
        <w:ind w:left="851"/>
        <w:rPr>
          <w:i/>
          <w:sz w:val="24"/>
          <w:szCs w:val="24"/>
        </w:rPr>
      </w:pPr>
      <w:r w:rsidRPr="00A26C52">
        <w:rPr>
          <w:i/>
          <w:sz w:val="24"/>
          <w:szCs w:val="24"/>
          <w:u w:val="single"/>
        </w:rPr>
        <w:t>Effekt</w:t>
      </w:r>
      <w:r w:rsidRPr="00A26C52">
        <w:rPr>
          <w:i/>
          <w:spacing w:val="-10"/>
          <w:sz w:val="24"/>
          <w:szCs w:val="24"/>
          <w:u w:val="single"/>
        </w:rPr>
        <w:t xml:space="preserve"> </w:t>
      </w:r>
      <w:r w:rsidRPr="00A26C52">
        <w:rPr>
          <w:i/>
          <w:sz w:val="24"/>
          <w:szCs w:val="24"/>
          <w:u w:val="single"/>
        </w:rPr>
        <w:t>på</w:t>
      </w:r>
      <w:r w:rsidRPr="00A26C52">
        <w:rPr>
          <w:i/>
          <w:spacing w:val="-9"/>
          <w:sz w:val="24"/>
          <w:szCs w:val="24"/>
          <w:u w:val="single"/>
        </w:rPr>
        <w:t xml:space="preserve"> </w:t>
      </w:r>
      <w:r w:rsidRPr="00A26C52">
        <w:rPr>
          <w:i/>
          <w:sz w:val="24"/>
          <w:szCs w:val="24"/>
          <w:u w:val="single"/>
        </w:rPr>
        <w:t>knogledensitet</w:t>
      </w:r>
      <w:r w:rsidRPr="00A26C52">
        <w:rPr>
          <w:i/>
          <w:spacing w:val="-10"/>
          <w:sz w:val="24"/>
          <w:szCs w:val="24"/>
          <w:u w:val="single"/>
        </w:rPr>
        <w:t xml:space="preserve"> </w:t>
      </w:r>
      <w:r w:rsidRPr="00A26C52">
        <w:rPr>
          <w:i/>
          <w:spacing w:val="-2"/>
          <w:sz w:val="24"/>
          <w:szCs w:val="24"/>
          <w:u w:val="single"/>
        </w:rPr>
        <w:t>(BMD)</w:t>
      </w:r>
    </w:p>
    <w:p w14:paraId="6C3D9E4D" w14:textId="77777777" w:rsidR="0083612A" w:rsidRPr="00A26C52" w:rsidRDefault="0083612A" w:rsidP="00A26C52">
      <w:pPr>
        <w:pStyle w:val="Brdtekst"/>
        <w:ind w:left="851" w:right="849"/>
        <w:rPr>
          <w:sz w:val="24"/>
          <w:szCs w:val="24"/>
          <w:lang w:val="da-DK"/>
        </w:rPr>
      </w:pPr>
      <w:r w:rsidRPr="00A26C52">
        <w:rPr>
          <w:sz w:val="24"/>
          <w:szCs w:val="24"/>
          <w:lang w:val="da-DK"/>
        </w:rPr>
        <w:t>I HORIZON-RFT-studiet forøgede zoledronsyre</w:t>
      </w:r>
      <w:r w:rsidRPr="00A26C52">
        <w:rPr>
          <w:spacing w:val="-5"/>
          <w:sz w:val="24"/>
          <w:szCs w:val="24"/>
          <w:lang w:val="da-DK"/>
        </w:rPr>
        <w:t xml:space="preserve"> </w:t>
      </w:r>
      <w:r w:rsidRPr="00A26C52">
        <w:rPr>
          <w:sz w:val="24"/>
          <w:szCs w:val="24"/>
          <w:lang w:val="da-DK"/>
        </w:rPr>
        <w:t>behandling signifikant BMD i forhold til placebo ved hofteledet</w:t>
      </w:r>
      <w:r w:rsidRPr="00A26C52">
        <w:rPr>
          <w:spacing w:val="-2"/>
          <w:sz w:val="24"/>
          <w:szCs w:val="24"/>
          <w:lang w:val="da-DK"/>
        </w:rPr>
        <w:t xml:space="preserve"> </w:t>
      </w:r>
      <w:r w:rsidRPr="00A26C52">
        <w:rPr>
          <w:sz w:val="24"/>
          <w:szCs w:val="24"/>
          <w:lang w:val="da-DK"/>
        </w:rPr>
        <w:t>og</w:t>
      </w:r>
      <w:r w:rsidRPr="00A26C52">
        <w:rPr>
          <w:spacing w:val="-3"/>
          <w:sz w:val="24"/>
          <w:szCs w:val="24"/>
          <w:lang w:val="da-DK"/>
        </w:rPr>
        <w:t xml:space="preserve"> </w:t>
      </w:r>
      <w:r w:rsidRPr="00A26C52">
        <w:rPr>
          <w:sz w:val="24"/>
          <w:szCs w:val="24"/>
          <w:lang w:val="da-DK"/>
        </w:rPr>
        <w:t>lårbenshalsen</w:t>
      </w:r>
      <w:r w:rsidRPr="00A26C52">
        <w:rPr>
          <w:spacing w:val="-2"/>
          <w:sz w:val="24"/>
          <w:szCs w:val="24"/>
          <w:lang w:val="da-DK"/>
        </w:rPr>
        <w:t xml:space="preserve"> </w:t>
      </w:r>
      <w:r w:rsidRPr="00A26C52">
        <w:rPr>
          <w:sz w:val="24"/>
          <w:szCs w:val="24"/>
          <w:lang w:val="da-DK"/>
        </w:rPr>
        <w:t>ved</w:t>
      </w:r>
      <w:r w:rsidRPr="00A26C52">
        <w:rPr>
          <w:spacing w:val="-2"/>
          <w:sz w:val="24"/>
          <w:szCs w:val="24"/>
          <w:lang w:val="da-DK"/>
        </w:rPr>
        <w:t xml:space="preserve"> </w:t>
      </w:r>
      <w:r w:rsidRPr="00A26C52">
        <w:rPr>
          <w:sz w:val="24"/>
          <w:szCs w:val="24"/>
          <w:lang w:val="da-DK"/>
        </w:rPr>
        <w:t>alle</w:t>
      </w:r>
      <w:r w:rsidRPr="00A26C52">
        <w:rPr>
          <w:spacing w:val="-3"/>
          <w:sz w:val="24"/>
          <w:szCs w:val="24"/>
          <w:lang w:val="da-DK"/>
        </w:rPr>
        <w:t xml:space="preserve"> </w:t>
      </w:r>
      <w:r w:rsidRPr="00A26C52">
        <w:rPr>
          <w:sz w:val="24"/>
          <w:szCs w:val="24"/>
          <w:lang w:val="da-DK"/>
        </w:rPr>
        <w:t>tidspunkter</w:t>
      </w:r>
      <w:r w:rsidRPr="00A26C52">
        <w:rPr>
          <w:spacing w:val="-3"/>
          <w:sz w:val="24"/>
          <w:szCs w:val="24"/>
          <w:lang w:val="da-DK"/>
        </w:rPr>
        <w:t xml:space="preserve"> </w:t>
      </w:r>
      <w:r w:rsidRPr="00A26C52">
        <w:rPr>
          <w:sz w:val="24"/>
          <w:szCs w:val="24"/>
          <w:lang w:val="da-DK"/>
        </w:rPr>
        <w:t>(12,</w:t>
      </w:r>
      <w:r w:rsidRPr="00A26C52">
        <w:rPr>
          <w:spacing w:val="-2"/>
          <w:sz w:val="24"/>
          <w:szCs w:val="24"/>
          <w:lang w:val="da-DK"/>
        </w:rPr>
        <w:t xml:space="preserve"> </w:t>
      </w:r>
      <w:r w:rsidRPr="00A26C52">
        <w:rPr>
          <w:sz w:val="24"/>
          <w:szCs w:val="24"/>
          <w:lang w:val="da-DK"/>
        </w:rPr>
        <w:t>24</w:t>
      </w:r>
      <w:r w:rsidRPr="00A26C52">
        <w:rPr>
          <w:spacing w:val="-2"/>
          <w:sz w:val="24"/>
          <w:szCs w:val="24"/>
          <w:lang w:val="da-DK"/>
        </w:rPr>
        <w:t xml:space="preserve"> </w:t>
      </w:r>
      <w:r w:rsidRPr="00A26C52">
        <w:rPr>
          <w:sz w:val="24"/>
          <w:szCs w:val="24"/>
          <w:lang w:val="da-DK"/>
        </w:rPr>
        <w:t>og</w:t>
      </w:r>
      <w:r w:rsidRPr="00A26C52">
        <w:rPr>
          <w:spacing w:val="-3"/>
          <w:sz w:val="24"/>
          <w:szCs w:val="24"/>
          <w:lang w:val="da-DK"/>
        </w:rPr>
        <w:t xml:space="preserve"> </w:t>
      </w:r>
      <w:r w:rsidRPr="00A26C52">
        <w:rPr>
          <w:sz w:val="24"/>
          <w:szCs w:val="24"/>
          <w:lang w:val="da-DK"/>
        </w:rPr>
        <w:t>36</w:t>
      </w:r>
      <w:r w:rsidRPr="00A26C52">
        <w:rPr>
          <w:spacing w:val="-2"/>
          <w:sz w:val="24"/>
          <w:szCs w:val="24"/>
          <w:lang w:val="da-DK"/>
        </w:rPr>
        <w:t xml:space="preserve"> </w:t>
      </w:r>
      <w:r w:rsidRPr="00A26C52">
        <w:rPr>
          <w:sz w:val="24"/>
          <w:szCs w:val="24"/>
          <w:lang w:val="da-DK"/>
        </w:rPr>
        <w:t>måneder).</w:t>
      </w:r>
      <w:r w:rsidRPr="00A26C52">
        <w:rPr>
          <w:spacing w:val="-2"/>
          <w:sz w:val="24"/>
          <w:szCs w:val="24"/>
          <w:lang w:val="da-DK"/>
        </w:rPr>
        <w:t xml:space="preserve"> </w:t>
      </w:r>
      <w:r w:rsidRPr="00A26C52">
        <w:rPr>
          <w:sz w:val="24"/>
          <w:szCs w:val="24"/>
          <w:lang w:val="da-DK"/>
        </w:rPr>
        <w:t>Behandling</w:t>
      </w:r>
      <w:r w:rsidRPr="00A26C52">
        <w:rPr>
          <w:spacing w:val="-2"/>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zoledronsyre</w:t>
      </w:r>
      <w:r w:rsidRPr="00A26C52">
        <w:rPr>
          <w:spacing w:val="-5"/>
          <w:sz w:val="24"/>
          <w:szCs w:val="24"/>
          <w:lang w:val="da-DK"/>
        </w:rPr>
        <w:t xml:space="preserve"> </w:t>
      </w:r>
      <w:r w:rsidRPr="00A26C52">
        <w:rPr>
          <w:sz w:val="24"/>
          <w:szCs w:val="24"/>
          <w:lang w:val="da-DK"/>
        </w:rPr>
        <w:t>resulterede i 5,4 % stigning i BMD på hele hoften og 4,3 % ved lårbenshalsen over 24 måneder sammenlignet med placebo.</w:t>
      </w:r>
    </w:p>
    <w:p w14:paraId="12EEF0A1" w14:textId="77777777" w:rsidR="0083612A" w:rsidRPr="00A26C52" w:rsidRDefault="0083612A" w:rsidP="00A26C52">
      <w:pPr>
        <w:pStyle w:val="Brdtekst"/>
        <w:ind w:left="851"/>
        <w:rPr>
          <w:sz w:val="24"/>
          <w:szCs w:val="24"/>
          <w:lang w:val="da-DK"/>
        </w:rPr>
      </w:pPr>
    </w:p>
    <w:p w14:paraId="7391FF51" w14:textId="77777777" w:rsidR="0083612A" w:rsidRPr="00A26C52" w:rsidRDefault="0083612A" w:rsidP="00A26C52">
      <w:pPr>
        <w:pStyle w:val="Brdtekst"/>
        <w:ind w:left="851"/>
        <w:rPr>
          <w:sz w:val="24"/>
          <w:szCs w:val="24"/>
          <w:lang w:val="da-DK"/>
        </w:rPr>
      </w:pPr>
      <w:r w:rsidRPr="00A26C52">
        <w:rPr>
          <w:sz w:val="24"/>
          <w:szCs w:val="24"/>
          <w:u w:val="single"/>
          <w:lang w:val="da-DK"/>
        </w:rPr>
        <w:t>Klinisk</w:t>
      </w:r>
      <w:r w:rsidRPr="00A26C52">
        <w:rPr>
          <w:spacing w:val="-7"/>
          <w:sz w:val="24"/>
          <w:szCs w:val="24"/>
          <w:u w:val="single"/>
          <w:lang w:val="da-DK"/>
        </w:rPr>
        <w:t xml:space="preserve"> </w:t>
      </w:r>
      <w:r w:rsidRPr="00A26C52">
        <w:rPr>
          <w:sz w:val="24"/>
          <w:szCs w:val="24"/>
          <w:u w:val="single"/>
          <w:lang w:val="da-DK"/>
        </w:rPr>
        <w:t>effekt</w:t>
      </w:r>
      <w:r w:rsidRPr="00A26C52">
        <w:rPr>
          <w:spacing w:val="-6"/>
          <w:sz w:val="24"/>
          <w:szCs w:val="24"/>
          <w:u w:val="single"/>
          <w:lang w:val="da-DK"/>
        </w:rPr>
        <w:t xml:space="preserve"> </w:t>
      </w:r>
      <w:r w:rsidRPr="00A26C52">
        <w:rPr>
          <w:sz w:val="24"/>
          <w:szCs w:val="24"/>
          <w:u w:val="single"/>
          <w:lang w:val="da-DK"/>
        </w:rPr>
        <w:t>hos</w:t>
      </w:r>
      <w:r w:rsidRPr="00A26C52">
        <w:rPr>
          <w:spacing w:val="-7"/>
          <w:sz w:val="24"/>
          <w:szCs w:val="24"/>
          <w:u w:val="single"/>
          <w:lang w:val="da-DK"/>
        </w:rPr>
        <w:t xml:space="preserve"> </w:t>
      </w:r>
      <w:r w:rsidRPr="00A26C52">
        <w:rPr>
          <w:spacing w:val="-4"/>
          <w:sz w:val="24"/>
          <w:szCs w:val="24"/>
          <w:u w:val="single"/>
          <w:lang w:val="da-DK"/>
        </w:rPr>
        <w:t>mænd</w:t>
      </w:r>
    </w:p>
    <w:p w14:paraId="3739DADB" w14:textId="6A1A0494" w:rsidR="0083612A" w:rsidRPr="00A26C52" w:rsidRDefault="0083612A" w:rsidP="00A26C52">
      <w:pPr>
        <w:pStyle w:val="Brdtekst"/>
        <w:ind w:left="851"/>
        <w:rPr>
          <w:sz w:val="24"/>
          <w:szCs w:val="24"/>
          <w:lang w:val="da-DK"/>
        </w:rPr>
      </w:pPr>
      <w:r w:rsidRPr="00A26C52">
        <w:rPr>
          <w:sz w:val="24"/>
          <w:szCs w:val="24"/>
          <w:lang w:val="da-DK"/>
        </w:rPr>
        <w:t>I</w:t>
      </w:r>
      <w:r w:rsidRPr="00A26C52">
        <w:rPr>
          <w:spacing w:val="-8"/>
          <w:sz w:val="24"/>
          <w:szCs w:val="24"/>
          <w:lang w:val="da-DK"/>
        </w:rPr>
        <w:t xml:space="preserve"> </w:t>
      </w:r>
      <w:r w:rsidRPr="00A26C52">
        <w:rPr>
          <w:sz w:val="24"/>
          <w:szCs w:val="24"/>
          <w:lang w:val="da-DK"/>
        </w:rPr>
        <w:t>HORIZON-RTF</w:t>
      </w:r>
      <w:r w:rsidRPr="00A26C52">
        <w:rPr>
          <w:spacing w:val="-7"/>
          <w:sz w:val="24"/>
          <w:szCs w:val="24"/>
          <w:lang w:val="da-DK"/>
        </w:rPr>
        <w:t xml:space="preserve"> </w:t>
      </w:r>
      <w:r w:rsidRPr="00A26C52">
        <w:rPr>
          <w:sz w:val="24"/>
          <w:szCs w:val="24"/>
          <w:lang w:val="da-DK"/>
        </w:rPr>
        <w:t>studiet</w:t>
      </w:r>
      <w:r w:rsidRPr="00A26C52">
        <w:rPr>
          <w:spacing w:val="-8"/>
          <w:sz w:val="24"/>
          <w:szCs w:val="24"/>
          <w:lang w:val="da-DK"/>
        </w:rPr>
        <w:t xml:space="preserve"> </w:t>
      </w:r>
      <w:r w:rsidRPr="00A26C52">
        <w:rPr>
          <w:sz w:val="24"/>
          <w:szCs w:val="24"/>
          <w:lang w:val="da-DK"/>
        </w:rPr>
        <w:t>blev</w:t>
      </w:r>
      <w:r w:rsidRPr="00A26C52">
        <w:rPr>
          <w:spacing w:val="-7"/>
          <w:sz w:val="24"/>
          <w:szCs w:val="24"/>
          <w:lang w:val="da-DK"/>
        </w:rPr>
        <w:t xml:space="preserve"> </w:t>
      </w:r>
      <w:r w:rsidRPr="00A26C52">
        <w:rPr>
          <w:sz w:val="24"/>
          <w:szCs w:val="24"/>
          <w:lang w:val="da-DK"/>
        </w:rPr>
        <w:t>508</w:t>
      </w:r>
      <w:r w:rsidRPr="00A26C52">
        <w:rPr>
          <w:spacing w:val="-7"/>
          <w:sz w:val="24"/>
          <w:szCs w:val="24"/>
          <w:lang w:val="da-DK"/>
        </w:rPr>
        <w:t xml:space="preserve"> </w:t>
      </w:r>
      <w:r w:rsidRPr="00A26C52">
        <w:rPr>
          <w:sz w:val="24"/>
          <w:szCs w:val="24"/>
          <w:lang w:val="da-DK"/>
        </w:rPr>
        <w:t>mænd</w:t>
      </w:r>
      <w:r w:rsidRPr="00A26C52">
        <w:rPr>
          <w:spacing w:val="-8"/>
          <w:sz w:val="24"/>
          <w:szCs w:val="24"/>
          <w:lang w:val="da-DK"/>
        </w:rPr>
        <w:t xml:space="preserve"> </w:t>
      </w:r>
      <w:r w:rsidRPr="00A26C52">
        <w:rPr>
          <w:sz w:val="24"/>
          <w:szCs w:val="24"/>
          <w:lang w:val="da-DK"/>
        </w:rPr>
        <w:t>randomiseret</w:t>
      </w:r>
      <w:r w:rsidRPr="00A26C52">
        <w:rPr>
          <w:spacing w:val="-7"/>
          <w:sz w:val="24"/>
          <w:szCs w:val="24"/>
          <w:lang w:val="da-DK"/>
        </w:rPr>
        <w:t xml:space="preserve"> </w:t>
      </w:r>
      <w:r w:rsidRPr="00A26C52">
        <w:rPr>
          <w:sz w:val="24"/>
          <w:szCs w:val="24"/>
          <w:lang w:val="da-DK"/>
        </w:rPr>
        <w:t>og</w:t>
      </w:r>
      <w:r w:rsidRPr="00A26C52">
        <w:rPr>
          <w:spacing w:val="-7"/>
          <w:sz w:val="24"/>
          <w:szCs w:val="24"/>
          <w:lang w:val="da-DK"/>
        </w:rPr>
        <w:t xml:space="preserve"> </w:t>
      </w:r>
      <w:r w:rsidRPr="00A26C52">
        <w:rPr>
          <w:sz w:val="24"/>
          <w:szCs w:val="24"/>
          <w:lang w:val="da-DK"/>
        </w:rPr>
        <w:t>185</w:t>
      </w:r>
      <w:r w:rsidRPr="00A26C52">
        <w:rPr>
          <w:spacing w:val="-8"/>
          <w:sz w:val="24"/>
          <w:szCs w:val="24"/>
          <w:lang w:val="da-DK"/>
        </w:rPr>
        <w:t xml:space="preserve"> </w:t>
      </w:r>
      <w:r w:rsidRPr="00A26C52">
        <w:rPr>
          <w:sz w:val="24"/>
          <w:szCs w:val="24"/>
          <w:lang w:val="da-DK"/>
        </w:rPr>
        <w:t>patienter</w:t>
      </w:r>
      <w:r w:rsidRPr="00A26C52">
        <w:rPr>
          <w:spacing w:val="-7"/>
          <w:sz w:val="24"/>
          <w:szCs w:val="24"/>
          <w:lang w:val="da-DK"/>
        </w:rPr>
        <w:t xml:space="preserve"> </w:t>
      </w:r>
      <w:r w:rsidRPr="00A26C52">
        <w:rPr>
          <w:sz w:val="24"/>
          <w:szCs w:val="24"/>
          <w:lang w:val="da-DK"/>
        </w:rPr>
        <w:t>fik</w:t>
      </w:r>
      <w:r w:rsidRPr="00A26C52">
        <w:rPr>
          <w:spacing w:val="-7"/>
          <w:sz w:val="24"/>
          <w:szCs w:val="24"/>
          <w:lang w:val="da-DK"/>
        </w:rPr>
        <w:t xml:space="preserve"> </w:t>
      </w:r>
      <w:r w:rsidRPr="00A26C52">
        <w:rPr>
          <w:sz w:val="24"/>
          <w:szCs w:val="24"/>
          <w:lang w:val="da-DK"/>
        </w:rPr>
        <w:t>BMD</w:t>
      </w:r>
      <w:r w:rsidRPr="00A26C52">
        <w:rPr>
          <w:spacing w:val="-9"/>
          <w:sz w:val="24"/>
          <w:szCs w:val="24"/>
          <w:lang w:val="da-DK"/>
        </w:rPr>
        <w:t xml:space="preserve"> </w:t>
      </w:r>
      <w:r w:rsidRPr="00A26C52">
        <w:rPr>
          <w:sz w:val="24"/>
          <w:szCs w:val="24"/>
          <w:lang w:val="da-DK"/>
        </w:rPr>
        <w:t>bedømt</w:t>
      </w:r>
      <w:r w:rsidRPr="00A26C52">
        <w:rPr>
          <w:spacing w:val="-7"/>
          <w:sz w:val="24"/>
          <w:szCs w:val="24"/>
          <w:lang w:val="da-DK"/>
        </w:rPr>
        <w:t xml:space="preserve"> </w:t>
      </w:r>
      <w:r w:rsidRPr="00A26C52">
        <w:rPr>
          <w:spacing w:val="-5"/>
          <w:sz w:val="24"/>
          <w:szCs w:val="24"/>
          <w:lang w:val="da-DK"/>
        </w:rPr>
        <w:t>ved</w:t>
      </w:r>
      <w:r w:rsidR="00A26C52">
        <w:rPr>
          <w:spacing w:val="-5"/>
          <w:sz w:val="24"/>
          <w:szCs w:val="24"/>
          <w:lang w:val="da-DK"/>
        </w:rPr>
        <w:t xml:space="preserve"> </w:t>
      </w:r>
      <w:r w:rsidRPr="00A26C52">
        <w:rPr>
          <w:sz w:val="24"/>
          <w:szCs w:val="24"/>
          <w:lang w:val="da-DK"/>
        </w:rPr>
        <w:t>24 måneder. Ved 24 måneder blev der observeret en signifikant øgning på 3,6 % i BMD over hele hoften hos patienter, som blev behandlet med zoledronsyre, svarende til effekten observeret hos post- menopausale</w:t>
      </w:r>
      <w:r w:rsidRPr="00A26C52">
        <w:rPr>
          <w:spacing w:val="-1"/>
          <w:sz w:val="24"/>
          <w:szCs w:val="24"/>
          <w:lang w:val="da-DK"/>
        </w:rPr>
        <w:t xml:space="preserve"> </w:t>
      </w:r>
      <w:r w:rsidRPr="00A26C52">
        <w:rPr>
          <w:sz w:val="24"/>
          <w:szCs w:val="24"/>
          <w:lang w:val="da-DK"/>
        </w:rPr>
        <w:t>kvinder</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HORIZON-PFT</w:t>
      </w:r>
      <w:r w:rsidRPr="00A26C52">
        <w:rPr>
          <w:spacing w:val="-1"/>
          <w:sz w:val="24"/>
          <w:szCs w:val="24"/>
          <w:lang w:val="da-DK"/>
        </w:rPr>
        <w:t xml:space="preserve"> </w:t>
      </w:r>
      <w:r w:rsidRPr="00A26C52">
        <w:rPr>
          <w:sz w:val="24"/>
          <w:szCs w:val="24"/>
          <w:lang w:val="da-DK"/>
        </w:rPr>
        <w:t>studiet.</w:t>
      </w:r>
      <w:r w:rsidRPr="00A26C52">
        <w:rPr>
          <w:spacing w:val="-2"/>
          <w:sz w:val="24"/>
          <w:szCs w:val="24"/>
          <w:lang w:val="da-DK"/>
        </w:rPr>
        <w:t xml:space="preserve"> </w:t>
      </w:r>
      <w:r w:rsidRPr="00A26C52">
        <w:rPr>
          <w:sz w:val="24"/>
          <w:szCs w:val="24"/>
          <w:lang w:val="da-DK"/>
        </w:rPr>
        <w:t>Studiet</w:t>
      </w:r>
      <w:r w:rsidRPr="00A26C52">
        <w:rPr>
          <w:spacing w:val="-2"/>
          <w:sz w:val="24"/>
          <w:szCs w:val="24"/>
          <w:lang w:val="da-DK"/>
        </w:rPr>
        <w:t xml:space="preserve"> </w:t>
      </w:r>
      <w:r w:rsidRPr="00A26C52">
        <w:rPr>
          <w:sz w:val="24"/>
          <w:szCs w:val="24"/>
          <w:lang w:val="da-DK"/>
        </w:rPr>
        <w:t>var</w:t>
      </w:r>
      <w:r w:rsidRPr="00A26C52">
        <w:rPr>
          <w:spacing w:val="-2"/>
          <w:sz w:val="24"/>
          <w:szCs w:val="24"/>
          <w:lang w:val="da-DK"/>
        </w:rPr>
        <w:t xml:space="preserve"> </w:t>
      </w:r>
      <w:r w:rsidRPr="00A26C52">
        <w:rPr>
          <w:sz w:val="24"/>
          <w:szCs w:val="24"/>
          <w:lang w:val="da-DK"/>
        </w:rPr>
        <w:t>ikke</w:t>
      </w:r>
      <w:r w:rsidRPr="00A26C52">
        <w:rPr>
          <w:spacing w:val="-3"/>
          <w:sz w:val="24"/>
          <w:szCs w:val="24"/>
          <w:lang w:val="da-DK"/>
        </w:rPr>
        <w:t xml:space="preserve"> </w:t>
      </w:r>
      <w:r w:rsidRPr="00A26C52">
        <w:rPr>
          <w:sz w:val="24"/>
          <w:szCs w:val="24"/>
          <w:lang w:val="da-DK"/>
        </w:rPr>
        <w:t>dimensioneret</w:t>
      </w:r>
      <w:r w:rsidRPr="00A26C52">
        <w:rPr>
          <w:spacing w:val="-2"/>
          <w:sz w:val="24"/>
          <w:szCs w:val="24"/>
          <w:lang w:val="da-DK"/>
        </w:rPr>
        <w:t xml:space="preserve"> </w:t>
      </w:r>
      <w:r w:rsidRPr="00A26C52">
        <w:rPr>
          <w:sz w:val="24"/>
          <w:szCs w:val="24"/>
          <w:lang w:val="da-DK"/>
        </w:rPr>
        <w:t>til</w:t>
      </w:r>
      <w:r w:rsidRPr="00A26C52">
        <w:rPr>
          <w:spacing w:val="-2"/>
          <w:sz w:val="24"/>
          <w:szCs w:val="24"/>
          <w:lang w:val="da-DK"/>
        </w:rPr>
        <w:t xml:space="preserve"> </w:t>
      </w:r>
      <w:r w:rsidRPr="00A26C52">
        <w:rPr>
          <w:sz w:val="24"/>
          <w:szCs w:val="24"/>
          <w:lang w:val="da-DK"/>
        </w:rPr>
        <w:t>at</w:t>
      </w:r>
      <w:r w:rsidRPr="00A26C52">
        <w:rPr>
          <w:spacing w:val="-2"/>
          <w:sz w:val="24"/>
          <w:szCs w:val="24"/>
          <w:lang w:val="da-DK"/>
        </w:rPr>
        <w:t xml:space="preserve"> </w:t>
      </w:r>
      <w:r w:rsidRPr="00A26C52">
        <w:rPr>
          <w:sz w:val="24"/>
          <w:szCs w:val="24"/>
          <w:lang w:val="da-DK"/>
        </w:rPr>
        <w:t>vise</w:t>
      </w:r>
      <w:r w:rsidRPr="00A26C52">
        <w:rPr>
          <w:spacing w:val="-3"/>
          <w:sz w:val="24"/>
          <w:szCs w:val="24"/>
          <w:lang w:val="da-DK"/>
        </w:rPr>
        <w:t xml:space="preserve"> </w:t>
      </w:r>
      <w:r w:rsidRPr="00A26C52">
        <w:rPr>
          <w:sz w:val="24"/>
          <w:szCs w:val="24"/>
          <w:lang w:val="da-DK"/>
        </w:rPr>
        <w:t>en</w:t>
      </w:r>
      <w:r w:rsidRPr="00A26C52">
        <w:rPr>
          <w:spacing w:val="-2"/>
          <w:sz w:val="24"/>
          <w:szCs w:val="24"/>
          <w:lang w:val="da-DK"/>
        </w:rPr>
        <w:t xml:space="preserve"> </w:t>
      </w:r>
      <w:r w:rsidRPr="00A26C52">
        <w:rPr>
          <w:sz w:val="24"/>
          <w:szCs w:val="24"/>
          <w:lang w:val="da-DK"/>
        </w:rPr>
        <w:t>reduktion i kliniske frakturer hos mænd; incidensen af kliniske frakturer var 7,5 % hos mænd behandlet med zoledronsyre</w:t>
      </w:r>
      <w:r w:rsidRPr="00A26C52">
        <w:rPr>
          <w:spacing w:val="-5"/>
          <w:sz w:val="24"/>
          <w:szCs w:val="24"/>
          <w:lang w:val="da-DK"/>
        </w:rPr>
        <w:t xml:space="preserve"> </w:t>
      </w:r>
      <w:r w:rsidRPr="00A26C52">
        <w:rPr>
          <w:sz w:val="24"/>
          <w:szCs w:val="24"/>
          <w:lang w:val="da-DK"/>
        </w:rPr>
        <w:t>i forhold til 8,7 % for placebo.</w:t>
      </w:r>
    </w:p>
    <w:p w14:paraId="418DC39F" w14:textId="77777777" w:rsidR="0083612A" w:rsidRPr="00A26C52" w:rsidRDefault="0083612A" w:rsidP="00A26C52">
      <w:pPr>
        <w:pStyle w:val="Brdtekst"/>
        <w:ind w:left="851"/>
        <w:rPr>
          <w:sz w:val="24"/>
          <w:szCs w:val="24"/>
          <w:lang w:val="da-DK"/>
        </w:rPr>
      </w:pPr>
    </w:p>
    <w:p w14:paraId="76969036" w14:textId="77777777" w:rsidR="0083612A" w:rsidRPr="00A26C52" w:rsidRDefault="0083612A" w:rsidP="00A26C52">
      <w:pPr>
        <w:pStyle w:val="Brdtekst"/>
        <w:ind w:left="851" w:right="811"/>
        <w:rPr>
          <w:sz w:val="24"/>
          <w:szCs w:val="24"/>
          <w:lang w:val="da-DK"/>
        </w:rPr>
      </w:pPr>
      <w:r w:rsidRPr="00A26C52">
        <w:rPr>
          <w:sz w:val="24"/>
          <w:szCs w:val="24"/>
          <w:lang w:val="da-DK"/>
        </w:rPr>
        <w:t>I et andet studie, som</w:t>
      </w:r>
      <w:r w:rsidRPr="00A26C52">
        <w:rPr>
          <w:spacing w:val="-1"/>
          <w:sz w:val="24"/>
          <w:szCs w:val="24"/>
          <w:lang w:val="da-DK"/>
        </w:rPr>
        <w:t xml:space="preserve"> </w:t>
      </w:r>
      <w:r w:rsidRPr="00A26C52">
        <w:rPr>
          <w:sz w:val="24"/>
          <w:szCs w:val="24"/>
          <w:lang w:val="da-DK"/>
        </w:rPr>
        <w:t>omfattede</w:t>
      </w:r>
      <w:r w:rsidRPr="00A26C52">
        <w:rPr>
          <w:spacing w:val="-1"/>
          <w:sz w:val="24"/>
          <w:szCs w:val="24"/>
          <w:lang w:val="da-DK"/>
        </w:rPr>
        <w:t xml:space="preserve"> </w:t>
      </w:r>
      <w:r w:rsidRPr="00A26C52">
        <w:rPr>
          <w:sz w:val="24"/>
          <w:szCs w:val="24"/>
          <w:lang w:val="da-DK"/>
        </w:rPr>
        <w:t>mænd, (studie</w:t>
      </w:r>
      <w:r w:rsidRPr="00A26C52">
        <w:rPr>
          <w:spacing w:val="-1"/>
          <w:sz w:val="24"/>
          <w:szCs w:val="24"/>
          <w:lang w:val="da-DK"/>
        </w:rPr>
        <w:t xml:space="preserve"> </w:t>
      </w:r>
      <w:r w:rsidRPr="00A26C52">
        <w:rPr>
          <w:sz w:val="24"/>
          <w:szCs w:val="24"/>
          <w:lang w:val="da-DK"/>
        </w:rPr>
        <w:t>CZOL446M2308)</w:t>
      </w:r>
      <w:r w:rsidRPr="00A26C52">
        <w:rPr>
          <w:spacing w:val="-1"/>
          <w:sz w:val="24"/>
          <w:szCs w:val="24"/>
          <w:lang w:val="da-DK"/>
        </w:rPr>
        <w:t xml:space="preserve"> </w:t>
      </w:r>
      <w:r w:rsidRPr="00A26C52">
        <w:rPr>
          <w:sz w:val="24"/>
          <w:szCs w:val="24"/>
          <w:lang w:val="da-DK"/>
        </w:rPr>
        <w:t>var en årlig infusion af zoledronsyre</w:t>
      </w:r>
      <w:r w:rsidRPr="00A26C52">
        <w:rPr>
          <w:spacing w:val="-5"/>
          <w:sz w:val="24"/>
          <w:szCs w:val="24"/>
          <w:lang w:val="da-DK"/>
        </w:rPr>
        <w:t xml:space="preserve"> </w:t>
      </w:r>
      <w:r w:rsidRPr="00A26C52">
        <w:rPr>
          <w:sz w:val="24"/>
          <w:szCs w:val="24"/>
          <w:lang w:val="da-DK"/>
        </w:rPr>
        <w:t>non- inferiør</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forhold</w:t>
      </w:r>
      <w:r w:rsidRPr="00A26C52">
        <w:rPr>
          <w:spacing w:val="-2"/>
          <w:sz w:val="24"/>
          <w:szCs w:val="24"/>
          <w:lang w:val="da-DK"/>
        </w:rPr>
        <w:t xml:space="preserve"> </w:t>
      </w:r>
      <w:r w:rsidRPr="00A26C52">
        <w:rPr>
          <w:sz w:val="24"/>
          <w:szCs w:val="24"/>
          <w:lang w:val="da-DK"/>
        </w:rPr>
        <w:t>til</w:t>
      </w:r>
      <w:r w:rsidRPr="00A26C52">
        <w:rPr>
          <w:spacing w:val="-3"/>
          <w:sz w:val="24"/>
          <w:szCs w:val="24"/>
          <w:lang w:val="da-DK"/>
        </w:rPr>
        <w:t xml:space="preserve"> </w:t>
      </w:r>
      <w:r w:rsidRPr="00A26C52">
        <w:rPr>
          <w:sz w:val="24"/>
          <w:szCs w:val="24"/>
          <w:lang w:val="da-DK"/>
        </w:rPr>
        <w:t>ugentlig</w:t>
      </w:r>
      <w:r w:rsidRPr="00A26C52">
        <w:rPr>
          <w:spacing w:val="-2"/>
          <w:sz w:val="24"/>
          <w:szCs w:val="24"/>
          <w:lang w:val="da-DK"/>
        </w:rPr>
        <w:t xml:space="preserve"> </w:t>
      </w:r>
      <w:r w:rsidRPr="00A26C52">
        <w:rPr>
          <w:sz w:val="24"/>
          <w:szCs w:val="24"/>
          <w:lang w:val="da-DK"/>
        </w:rPr>
        <w:t>alendronat</w:t>
      </w:r>
      <w:r w:rsidRPr="00A26C52">
        <w:rPr>
          <w:spacing w:val="-2"/>
          <w:sz w:val="24"/>
          <w:szCs w:val="24"/>
          <w:lang w:val="da-DK"/>
        </w:rPr>
        <w:t xml:space="preserve"> </w:t>
      </w:r>
      <w:r w:rsidRPr="00A26C52">
        <w:rPr>
          <w:sz w:val="24"/>
          <w:szCs w:val="24"/>
          <w:lang w:val="da-DK"/>
        </w:rPr>
        <w:t>for</w:t>
      </w:r>
      <w:r w:rsidRPr="00A26C52">
        <w:rPr>
          <w:spacing w:val="-2"/>
          <w:sz w:val="24"/>
          <w:szCs w:val="24"/>
          <w:lang w:val="da-DK"/>
        </w:rPr>
        <w:t xml:space="preserve"> </w:t>
      </w:r>
      <w:r w:rsidRPr="00A26C52">
        <w:rPr>
          <w:sz w:val="24"/>
          <w:szCs w:val="24"/>
          <w:lang w:val="da-DK"/>
        </w:rPr>
        <w:t>den</w:t>
      </w:r>
      <w:r w:rsidRPr="00A26C52">
        <w:rPr>
          <w:spacing w:val="-2"/>
          <w:sz w:val="24"/>
          <w:szCs w:val="24"/>
          <w:lang w:val="da-DK"/>
        </w:rPr>
        <w:t xml:space="preserve"> </w:t>
      </w:r>
      <w:r w:rsidRPr="00A26C52">
        <w:rPr>
          <w:sz w:val="24"/>
          <w:szCs w:val="24"/>
          <w:lang w:val="da-DK"/>
        </w:rPr>
        <w:t>procentuelle</w:t>
      </w:r>
      <w:r w:rsidRPr="00A26C52">
        <w:rPr>
          <w:spacing w:val="-3"/>
          <w:sz w:val="24"/>
          <w:szCs w:val="24"/>
          <w:lang w:val="da-DK"/>
        </w:rPr>
        <w:t xml:space="preserve"> </w:t>
      </w:r>
      <w:r w:rsidRPr="00A26C52">
        <w:rPr>
          <w:sz w:val="24"/>
          <w:szCs w:val="24"/>
          <w:lang w:val="da-DK"/>
        </w:rPr>
        <w:t>ændring</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lænderyg-BMD</w:t>
      </w:r>
      <w:r w:rsidRPr="00A26C52">
        <w:rPr>
          <w:spacing w:val="-3"/>
          <w:sz w:val="24"/>
          <w:szCs w:val="24"/>
          <w:lang w:val="da-DK"/>
        </w:rPr>
        <w:t xml:space="preserve"> </w:t>
      </w:r>
      <w:r w:rsidRPr="00A26C52">
        <w:rPr>
          <w:sz w:val="24"/>
          <w:szCs w:val="24"/>
          <w:lang w:val="da-DK"/>
        </w:rPr>
        <w:t>ved</w:t>
      </w:r>
      <w:r w:rsidRPr="00A26C52">
        <w:rPr>
          <w:spacing w:val="-2"/>
          <w:sz w:val="24"/>
          <w:szCs w:val="24"/>
          <w:lang w:val="da-DK"/>
        </w:rPr>
        <w:t xml:space="preserve"> </w:t>
      </w:r>
      <w:r w:rsidRPr="00A26C52">
        <w:rPr>
          <w:sz w:val="24"/>
          <w:szCs w:val="24"/>
          <w:lang w:val="da-DK"/>
        </w:rPr>
        <w:t>måned</w:t>
      </w:r>
      <w:r w:rsidRPr="00A26C52">
        <w:rPr>
          <w:spacing w:val="-2"/>
          <w:sz w:val="24"/>
          <w:szCs w:val="24"/>
          <w:lang w:val="da-DK"/>
        </w:rPr>
        <w:t xml:space="preserve"> </w:t>
      </w:r>
      <w:r w:rsidRPr="00A26C52">
        <w:rPr>
          <w:sz w:val="24"/>
          <w:szCs w:val="24"/>
          <w:lang w:val="da-DK"/>
        </w:rPr>
        <w:t>24</w:t>
      </w:r>
      <w:r w:rsidRPr="00A26C52">
        <w:rPr>
          <w:spacing w:val="-2"/>
          <w:sz w:val="24"/>
          <w:szCs w:val="24"/>
          <w:lang w:val="da-DK"/>
        </w:rPr>
        <w:t xml:space="preserve"> </w:t>
      </w:r>
      <w:r w:rsidRPr="00A26C52">
        <w:rPr>
          <w:sz w:val="24"/>
          <w:szCs w:val="24"/>
          <w:lang w:val="da-DK"/>
        </w:rPr>
        <w:t>i forhold til baseline.</w:t>
      </w:r>
    </w:p>
    <w:p w14:paraId="09276593" w14:textId="77777777" w:rsidR="0083612A" w:rsidRPr="00A26C52" w:rsidRDefault="0083612A" w:rsidP="00A26C52">
      <w:pPr>
        <w:pStyle w:val="Brdtekst"/>
        <w:ind w:left="851"/>
        <w:rPr>
          <w:sz w:val="24"/>
          <w:szCs w:val="24"/>
          <w:lang w:val="da-DK"/>
        </w:rPr>
      </w:pPr>
    </w:p>
    <w:p w14:paraId="477078EA" w14:textId="77777777" w:rsidR="0083612A" w:rsidRPr="00A26C52" w:rsidRDefault="0083612A" w:rsidP="00A26C52">
      <w:pPr>
        <w:pStyle w:val="Brdtekst"/>
        <w:ind w:left="851"/>
        <w:rPr>
          <w:sz w:val="24"/>
          <w:szCs w:val="24"/>
          <w:lang w:val="da-DK"/>
        </w:rPr>
      </w:pPr>
      <w:r w:rsidRPr="00A26C52">
        <w:rPr>
          <w:sz w:val="24"/>
          <w:szCs w:val="24"/>
          <w:u w:val="single"/>
          <w:lang w:val="da-DK"/>
        </w:rPr>
        <w:t>Klinisk</w:t>
      </w:r>
      <w:r w:rsidRPr="00A26C52">
        <w:rPr>
          <w:spacing w:val="-10"/>
          <w:sz w:val="24"/>
          <w:szCs w:val="24"/>
          <w:u w:val="single"/>
          <w:lang w:val="da-DK"/>
        </w:rPr>
        <w:t xml:space="preserve"> </w:t>
      </w:r>
      <w:r w:rsidRPr="00A26C52">
        <w:rPr>
          <w:sz w:val="24"/>
          <w:szCs w:val="24"/>
          <w:u w:val="single"/>
          <w:lang w:val="da-DK"/>
        </w:rPr>
        <w:t>effekt</w:t>
      </w:r>
      <w:r w:rsidRPr="00A26C52">
        <w:rPr>
          <w:spacing w:val="-10"/>
          <w:sz w:val="24"/>
          <w:szCs w:val="24"/>
          <w:u w:val="single"/>
          <w:lang w:val="da-DK"/>
        </w:rPr>
        <w:t xml:space="preserve"> </w:t>
      </w:r>
      <w:r w:rsidRPr="00A26C52">
        <w:rPr>
          <w:sz w:val="24"/>
          <w:szCs w:val="24"/>
          <w:u w:val="single"/>
          <w:lang w:val="da-DK"/>
        </w:rPr>
        <w:t>ved</w:t>
      </w:r>
      <w:r w:rsidRPr="00A26C52">
        <w:rPr>
          <w:spacing w:val="-9"/>
          <w:sz w:val="24"/>
          <w:szCs w:val="24"/>
          <w:u w:val="single"/>
          <w:lang w:val="da-DK"/>
        </w:rPr>
        <w:t xml:space="preserve"> </w:t>
      </w:r>
      <w:r w:rsidRPr="00A26C52">
        <w:rPr>
          <w:sz w:val="24"/>
          <w:szCs w:val="24"/>
          <w:u w:val="single"/>
          <w:lang w:val="da-DK"/>
        </w:rPr>
        <w:t>osteoporose</w:t>
      </w:r>
      <w:r w:rsidRPr="00A26C52">
        <w:rPr>
          <w:spacing w:val="-10"/>
          <w:sz w:val="24"/>
          <w:szCs w:val="24"/>
          <w:u w:val="single"/>
          <w:lang w:val="da-DK"/>
        </w:rPr>
        <w:t xml:space="preserve"> </w:t>
      </w:r>
      <w:r w:rsidRPr="00A26C52">
        <w:rPr>
          <w:sz w:val="24"/>
          <w:szCs w:val="24"/>
          <w:u w:val="single"/>
          <w:lang w:val="da-DK"/>
        </w:rPr>
        <w:t>i</w:t>
      </w:r>
      <w:r w:rsidRPr="00A26C52">
        <w:rPr>
          <w:spacing w:val="-10"/>
          <w:sz w:val="24"/>
          <w:szCs w:val="24"/>
          <w:u w:val="single"/>
          <w:lang w:val="da-DK"/>
        </w:rPr>
        <w:t xml:space="preserve"> </w:t>
      </w:r>
      <w:r w:rsidRPr="00A26C52">
        <w:rPr>
          <w:sz w:val="24"/>
          <w:szCs w:val="24"/>
          <w:u w:val="single"/>
          <w:lang w:val="da-DK"/>
        </w:rPr>
        <w:t>forbindelse</w:t>
      </w:r>
      <w:r w:rsidRPr="00A26C52">
        <w:rPr>
          <w:spacing w:val="-10"/>
          <w:sz w:val="24"/>
          <w:szCs w:val="24"/>
          <w:u w:val="single"/>
          <w:lang w:val="da-DK"/>
        </w:rPr>
        <w:t xml:space="preserve"> </w:t>
      </w:r>
      <w:r w:rsidRPr="00A26C52">
        <w:rPr>
          <w:sz w:val="24"/>
          <w:szCs w:val="24"/>
          <w:u w:val="single"/>
          <w:lang w:val="da-DK"/>
        </w:rPr>
        <w:t>med</w:t>
      </w:r>
      <w:r w:rsidRPr="00A26C52">
        <w:rPr>
          <w:spacing w:val="-10"/>
          <w:sz w:val="24"/>
          <w:szCs w:val="24"/>
          <w:u w:val="single"/>
          <w:lang w:val="da-DK"/>
        </w:rPr>
        <w:t xml:space="preserve"> </w:t>
      </w:r>
      <w:r w:rsidRPr="00A26C52">
        <w:rPr>
          <w:sz w:val="24"/>
          <w:szCs w:val="24"/>
          <w:u w:val="single"/>
          <w:lang w:val="da-DK"/>
        </w:rPr>
        <w:t>længerevarende</w:t>
      </w:r>
      <w:r w:rsidRPr="00A26C52">
        <w:rPr>
          <w:spacing w:val="-10"/>
          <w:sz w:val="24"/>
          <w:szCs w:val="24"/>
          <w:u w:val="single"/>
          <w:lang w:val="da-DK"/>
        </w:rPr>
        <w:t xml:space="preserve"> </w:t>
      </w:r>
      <w:r w:rsidRPr="00A26C52">
        <w:rPr>
          <w:sz w:val="24"/>
          <w:szCs w:val="24"/>
          <w:u w:val="single"/>
          <w:lang w:val="da-DK"/>
        </w:rPr>
        <w:t>systemisk</w:t>
      </w:r>
      <w:r w:rsidRPr="00A26C52">
        <w:rPr>
          <w:spacing w:val="-10"/>
          <w:sz w:val="24"/>
          <w:szCs w:val="24"/>
          <w:u w:val="single"/>
          <w:lang w:val="da-DK"/>
        </w:rPr>
        <w:t xml:space="preserve"> </w:t>
      </w:r>
      <w:r w:rsidRPr="00A26C52">
        <w:rPr>
          <w:spacing w:val="-2"/>
          <w:sz w:val="24"/>
          <w:szCs w:val="24"/>
          <w:u w:val="single"/>
          <w:lang w:val="da-DK"/>
        </w:rPr>
        <w:t>glukokortikoidbehandling</w:t>
      </w:r>
    </w:p>
    <w:p w14:paraId="40DB91E8" w14:textId="0B89A776" w:rsidR="0083612A" w:rsidRDefault="0083612A" w:rsidP="00A26C52">
      <w:pPr>
        <w:pStyle w:val="Brdtekst"/>
        <w:ind w:left="851" w:right="734" w:firstLine="1"/>
        <w:rPr>
          <w:sz w:val="24"/>
          <w:szCs w:val="24"/>
          <w:lang w:val="da-DK"/>
        </w:rPr>
      </w:pPr>
      <w:r w:rsidRPr="00A26C52">
        <w:rPr>
          <w:sz w:val="24"/>
          <w:szCs w:val="24"/>
          <w:lang w:val="da-DK"/>
        </w:rPr>
        <w:t>Effekten</w:t>
      </w:r>
      <w:r w:rsidRPr="00A26C52">
        <w:rPr>
          <w:spacing w:val="-2"/>
          <w:sz w:val="24"/>
          <w:szCs w:val="24"/>
          <w:lang w:val="da-DK"/>
        </w:rPr>
        <w:t xml:space="preserve"> </w:t>
      </w:r>
      <w:r w:rsidRPr="00A26C52">
        <w:rPr>
          <w:sz w:val="24"/>
          <w:szCs w:val="24"/>
          <w:lang w:val="da-DK"/>
        </w:rPr>
        <w:t>og</w:t>
      </w:r>
      <w:r w:rsidRPr="00A26C52">
        <w:rPr>
          <w:spacing w:val="-2"/>
          <w:sz w:val="24"/>
          <w:szCs w:val="24"/>
          <w:lang w:val="da-DK"/>
        </w:rPr>
        <w:t xml:space="preserve"> </w:t>
      </w:r>
      <w:r w:rsidRPr="00A26C52">
        <w:rPr>
          <w:sz w:val="24"/>
          <w:szCs w:val="24"/>
          <w:lang w:val="da-DK"/>
        </w:rPr>
        <w:t>sikkerheden</w:t>
      </w:r>
      <w:r w:rsidRPr="00A26C52">
        <w:rPr>
          <w:spacing w:val="-2"/>
          <w:sz w:val="24"/>
          <w:szCs w:val="24"/>
          <w:lang w:val="da-DK"/>
        </w:rPr>
        <w:t xml:space="preserve"> </w:t>
      </w:r>
      <w:r w:rsidRPr="00A26C52">
        <w:rPr>
          <w:sz w:val="24"/>
          <w:szCs w:val="24"/>
          <w:lang w:val="da-DK"/>
        </w:rPr>
        <w:t>af</w:t>
      </w:r>
      <w:r w:rsidRPr="00A26C52">
        <w:rPr>
          <w:spacing w:val="-2"/>
          <w:sz w:val="24"/>
          <w:szCs w:val="24"/>
          <w:lang w:val="da-DK"/>
        </w:rPr>
        <w:t xml:space="preserve"> </w:t>
      </w:r>
      <w:r w:rsidRPr="00A26C52">
        <w:rPr>
          <w:sz w:val="24"/>
          <w:szCs w:val="24"/>
          <w:lang w:val="da-DK"/>
        </w:rPr>
        <w:t>zoledronsyre</w:t>
      </w:r>
      <w:r w:rsidRPr="00A26C52">
        <w:rPr>
          <w:spacing w:val="-5"/>
          <w:sz w:val="24"/>
          <w:szCs w:val="24"/>
          <w:lang w:val="da-DK"/>
        </w:rPr>
        <w:t xml:space="preserve"> </w:t>
      </w:r>
      <w:r w:rsidRPr="00A26C52">
        <w:rPr>
          <w:sz w:val="24"/>
          <w:szCs w:val="24"/>
          <w:lang w:val="da-DK"/>
        </w:rPr>
        <w:t>ved</w:t>
      </w:r>
      <w:r w:rsidRPr="00A26C52">
        <w:rPr>
          <w:spacing w:val="-2"/>
          <w:sz w:val="24"/>
          <w:szCs w:val="24"/>
          <w:lang w:val="da-DK"/>
        </w:rPr>
        <w:t xml:space="preserve"> </w:t>
      </w:r>
      <w:r w:rsidRPr="00A26C52">
        <w:rPr>
          <w:sz w:val="24"/>
          <w:szCs w:val="24"/>
          <w:lang w:val="da-DK"/>
        </w:rPr>
        <w:t>behandling</w:t>
      </w:r>
      <w:r w:rsidRPr="00A26C52">
        <w:rPr>
          <w:spacing w:val="-3"/>
          <w:sz w:val="24"/>
          <w:szCs w:val="24"/>
          <w:lang w:val="da-DK"/>
        </w:rPr>
        <w:t xml:space="preserve"> </w:t>
      </w:r>
      <w:r w:rsidRPr="00A26C52">
        <w:rPr>
          <w:sz w:val="24"/>
          <w:szCs w:val="24"/>
          <w:lang w:val="da-DK"/>
        </w:rPr>
        <w:t>og</w:t>
      </w:r>
      <w:r w:rsidRPr="00A26C52">
        <w:rPr>
          <w:spacing w:val="-2"/>
          <w:sz w:val="24"/>
          <w:szCs w:val="24"/>
          <w:lang w:val="da-DK"/>
        </w:rPr>
        <w:t xml:space="preserve"> </w:t>
      </w:r>
      <w:r w:rsidRPr="00A26C52">
        <w:rPr>
          <w:sz w:val="24"/>
          <w:szCs w:val="24"/>
          <w:lang w:val="da-DK"/>
        </w:rPr>
        <w:t>forebyggelse</w:t>
      </w:r>
      <w:r w:rsidRPr="00A26C52">
        <w:rPr>
          <w:spacing w:val="-3"/>
          <w:sz w:val="24"/>
          <w:szCs w:val="24"/>
          <w:lang w:val="da-DK"/>
        </w:rPr>
        <w:t xml:space="preserve"> </w:t>
      </w:r>
      <w:r w:rsidRPr="00A26C52">
        <w:rPr>
          <w:sz w:val="24"/>
          <w:szCs w:val="24"/>
          <w:lang w:val="da-DK"/>
        </w:rPr>
        <w:t>af</w:t>
      </w:r>
      <w:r w:rsidRPr="00A26C52">
        <w:rPr>
          <w:spacing w:val="-2"/>
          <w:sz w:val="24"/>
          <w:szCs w:val="24"/>
          <w:lang w:val="da-DK"/>
        </w:rPr>
        <w:t xml:space="preserve"> </w:t>
      </w:r>
      <w:r w:rsidRPr="00A26C52">
        <w:rPr>
          <w:sz w:val="24"/>
          <w:szCs w:val="24"/>
          <w:lang w:val="da-DK"/>
        </w:rPr>
        <w:t>osteoporose</w:t>
      </w:r>
      <w:r w:rsidRPr="00A26C52">
        <w:rPr>
          <w:spacing w:val="-3"/>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forbindelse</w:t>
      </w:r>
      <w:r w:rsidRPr="00A26C52">
        <w:rPr>
          <w:spacing w:val="-3"/>
          <w:sz w:val="24"/>
          <w:szCs w:val="24"/>
          <w:lang w:val="da-DK"/>
        </w:rPr>
        <w:t xml:space="preserve"> </w:t>
      </w:r>
      <w:r w:rsidRPr="00A26C52">
        <w:rPr>
          <w:sz w:val="24"/>
          <w:szCs w:val="24"/>
          <w:lang w:val="da-DK"/>
        </w:rPr>
        <w:t>med længerevarende systemisk glukokortikoidbehandling blev vurderet i et randomiseret, multicenter, dobbeltblindet, stratificeret, aktivt kontrolleret studie med 833 mænd og kvinder i alderen 18-85 år (gennemsnitsalder for mænd 56,4 år; for kvinder 53,5 år) behandlet med &gt; 7,5 mg prednisolon (eller tilsvarende) oralt dagligt. Patienterne blev inddelt i forhold til varigheden af deres glukokortikoid-behandling før randomisering (≤ 3 måneder versus &gt; 3 måneder). Varigheden af forsøget var 1 år. Patienterne blev randomiseret til behandling med enten en enkelt infusion zoledronsyre</w:t>
      </w:r>
      <w:r w:rsidRPr="00A26C52">
        <w:rPr>
          <w:spacing w:val="-5"/>
          <w:sz w:val="24"/>
          <w:szCs w:val="24"/>
          <w:lang w:val="da-DK"/>
        </w:rPr>
        <w:t xml:space="preserve"> </w:t>
      </w:r>
      <w:r w:rsidRPr="00A26C52">
        <w:rPr>
          <w:sz w:val="24"/>
          <w:szCs w:val="24"/>
          <w:lang w:val="da-DK"/>
        </w:rPr>
        <w:t>5 mg eller oralt risedronat 5 mg daglig i 1 år. Alle deltagere fik 1.000 mg usammensat calcium plus 400</w:t>
      </w:r>
      <w:r w:rsidRPr="00A26C52">
        <w:rPr>
          <w:spacing w:val="-2"/>
          <w:sz w:val="24"/>
          <w:szCs w:val="24"/>
          <w:lang w:val="da-DK"/>
        </w:rPr>
        <w:t xml:space="preserve"> </w:t>
      </w:r>
      <w:r w:rsidRPr="00A26C52">
        <w:rPr>
          <w:sz w:val="24"/>
          <w:szCs w:val="24"/>
          <w:lang w:val="da-DK"/>
        </w:rPr>
        <w:t>til</w:t>
      </w:r>
      <w:r w:rsidRPr="00A26C52">
        <w:rPr>
          <w:spacing w:val="-3"/>
          <w:sz w:val="24"/>
          <w:szCs w:val="24"/>
          <w:lang w:val="da-DK"/>
        </w:rPr>
        <w:t xml:space="preserve"> </w:t>
      </w:r>
      <w:r w:rsidRPr="00A26C52">
        <w:rPr>
          <w:sz w:val="24"/>
          <w:szCs w:val="24"/>
          <w:lang w:val="da-DK"/>
        </w:rPr>
        <w:t>1.000</w:t>
      </w:r>
      <w:r w:rsidRPr="00A26C52">
        <w:rPr>
          <w:spacing w:val="-3"/>
          <w:sz w:val="24"/>
          <w:szCs w:val="24"/>
          <w:lang w:val="da-DK"/>
        </w:rPr>
        <w:t xml:space="preserve"> </w:t>
      </w:r>
      <w:r w:rsidRPr="00A26C52">
        <w:rPr>
          <w:sz w:val="24"/>
          <w:szCs w:val="24"/>
          <w:lang w:val="da-DK"/>
        </w:rPr>
        <w:t>IE</w:t>
      </w:r>
      <w:r w:rsidRPr="00A26C52">
        <w:rPr>
          <w:spacing w:val="-2"/>
          <w:sz w:val="24"/>
          <w:szCs w:val="24"/>
          <w:lang w:val="da-DK"/>
        </w:rPr>
        <w:t xml:space="preserve"> </w:t>
      </w:r>
      <w:r w:rsidRPr="00A26C52">
        <w:rPr>
          <w:sz w:val="24"/>
          <w:szCs w:val="24"/>
          <w:lang w:val="da-DK"/>
        </w:rPr>
        <w:t>D-vitamin</w:t>
      </w:r>
      <w:r w:rsidRPr="00A26C52">
        <w:rPr>
          <w:spacing w:val="-2"/>
          <w:sz w:val="24"/>
          <w:szCs w:val="24"/>
          <w:lang w:val="da-DK"/>
        </w:rPr>
        <w:t xml:space="preserve"> </w:t>
      </w:r>
      <w:r w:rsidRPr="00A26C52">
        <w:rPr>
          <w:sz w:val="24"/>
          <w:szCs w:val="24"/>
          <w:lang w:val="da-DK"/>
        </w:rPr>
        <w:t>pr.</w:t>
      </w:r>
      <w:r w:rsidRPr="00A26C52">
        <w:rPr>
          <w:spacing w:val="-2"/>
          <w:sz w:val="24"/>
          <w:szCs w:val="24"/>
          <w:lang w:val="da-DK"/>
        </w:rPr>
        <w:t xml:space="preserve"> </w:t>
      </w:r>
      <w:r w:rsidRPr="00A26C52">
        <w:rPr>
          <w:sz w:val="24"/>
          <w:szCs w:val="24"/>
          <w:lang w:val="da-DK"/>
        </w:rPr>
        <w:t>dag.</w:t>
      </w:r>
      <w:r w:rsidRPr="00A26C52">
        <w:rPr>
          <w:spacing w:val="-2"/>
          <w:sz w:val="24"/>
          <w:szCs w:val="24"/>
          <w:lang w:val="da-DK"/>
        </w:rPr>
        <w:t xml:space="preserve"> </w:t>
      </w:r>
      <w:r w:rsidRPr="00A26C52">
        <w:rPr>
          <w:sz w:val="24"/>
          <w:szCs w:val="24"/>
          <w:lang w:val="da-DK"/>
        </w:rPr>
        <w:t>Effekt</w:t>
      </w:r>
      <w:r w:rsidRPr="00A26C52">
        <w:rPr>
          <w:spacing w:val="-2"/>
          <w:sz w:val="24"/>
          <w:szCs w:val="24"/>
          <w:lang w:val="da-DK"/>
        </w:rPr>
        <w:t xml:space="preserve"> </w:t>
      </w:r>
      <w:r w:rsidRPr="00A26C52">
        <w:rPr>
          <w:sz w:val="24"/>
          <w:szCs w:val="24"/>
          <w:lang w:val="da-DK"/>
        </w:rPr>
        <w:t>blev</w:t>
      </w:r>
      <w:r w:rsidRPr="00A26C52">
        <w:rPr>
          <w:spacing w:val="-1"/>
          <w:sz w:val="24"/>
          <w:szCs w:val="24"/>
          <w:lang w:val="da-DK"/>
        </w:rPr>
        <w:t xml:space="preserve"> </w:t>
      </w:r>
      <w:r w:rsidRPr="00A26C52">
        <w:rPr>
          <w:sz w:val="24"/>
          <w:szCs w:val="24"/>
          <w:lang w:val="da-DK"/>
        </w:rPr>
        <w:t>påvist,</w:t>
      </w:r>
      <w:r w:rsidRPr="00A26C52">
        <w:rPr>
          <w:spacing w:val="-3"/>
          <w:sz w:val="24"/>
          <w:szCs w:val="24"/>
          <w:lang w:val="da-DK"/>
        </w:rPr>
        <w:t xml:space="preserve"> </w:t>
      </w:r>
      <w:r w:rsidRPr="00A26C52">
        <w:rPr>
          <w:sz w:val="24"/>
          <w:szCs w:val="24"/>
          <w:lang w:val="da-DK"/>
        </w:rPr>
        <w:t>hvis</w:t>
      </w:r>
      <w:r w:rsidRPr="00A26C52">
        <w:rPr>
          <w:spacing w:val="-2"/>
          <w:sz w:val="24"/>
          <w:szCs w:val="24"/>
          <w:lang w:val="da-DK"/>
        </w:rPr>
        <w:t xml:space="preserve"> </w:t>
      </w:r>
      <w:r w:rsidRPr="00A26C52">
        <w:rPr>
          <w:sz w:val="24"/>
          <w:szCs w:val="24"/>
          <w:lang w:val="da-DK"/>
        </w:rPr>
        <w:t>non-inferioritet</w:t>
      </w:r>
      <w:r w:rsidRPr="00A26C52">
        <w:rPr>
          <w:spacing w:val="-2"/>
          <w:sz w:val="24"/>
          <w:szCs w:val="24"/>
          <w:lang w:val="da-DK"/>
        </w:rPr>
        <w:t xml:space="preserve"> </w:t>
      </w:r>
      <w:r w:rsidRPr="00A26C52">
        <w:rPr>
          <w:sz w:val="24"/>
          <w:szCs w:val="24"/>
          <w:lang w:val="da-DK"/>
        </w:rPr>
        <w:t>over</w:t>
      </w:r>
      <w:r w:rsidRPr="00A26C52">
        <w:rPr>
          <w:spacing w:val="-2"/>
          <w:sz w:val="24"/>
          <w:szCs w:val="24"/>
          <w:lang w:val="da-DK"/>
        </w:rPr>
        <w:t xml:space="preserve"> </w:t>
      </w:r>
      <w:r w:rsidRPr="00A26C52">
        <w:rPr>
          <w:sz w:val="24"/>
          <w:szCs w:val="24"/>
          <w:lang w:val="da-DK"/>
        </w:rPr>
        <w:t>for</w:t>
      </w:r>
      <w:r w:rsidRPr="00A26C52">
        <w:rPr>
          <w:spacing w:val="-2"/>
          <w:sz w:val="24"/>
          <w:szCs w:val="24"/>
          <w:lang w:val="da-DK"/>
        </w:rPr>
        <w:t xml:space="preserve"> </w:t>
      </w:r>
      <w:r w:rsidRPr="00A26C52">
        <w:rPr>
          <w:sz w:val="24"/>
          <w:szCs w:val="24"/>
          <w:lang w:val="da-DK"/>
        </w:rPr>
        <w:t>risedronat</w:t>
      </w:r>
      <w:r w:rsidRPr="00A26C52">
        <w:rPr>
          <w:spacing w:val="-4"/>
          <w:sz w:val="24"/>
          <w:szCs w:val="24"/>
          <w:lang w:val="da-DK"/>
        </w:rPr>
        <w:t xml:space="preserve"> </w:t>
      </w:r>
      <w:r w:rsidRPr="00A26C52">
        <w:rPr>
          <w:sz w:val="24"/>
          <w:szCs w:val="24"/>
          <w:lang w:val="da-DK"/>
        </w:rPr>
        <w:t>blev</w:t>
      </w:r>
      <w:r w:rsidRPr="00A26C52">
        <w:rPr>
          <w:spacing w:val="-2"/>
          <w:sz w:val="24"/>
          <w:szCs w:val="24"/>
          <w:lang w:val="da-DK"/>
        </w:rPr>
        <w:t xml:space="preserve"> </w:t>
      </w:r>
      <w:r w:rsidRPr="00A26C52">
        <w:rPr>
          <w:sz w:val="24"/>
          <w:szCs w:val="24"/>
          <w:lang w:val="da-DK"/>
        </w:rPr>
        <w:t>vist sekventielt med hensyn til den procentuelle forandring i BMD i lænderygsøjlen efter 12 måneder i forhold til basisniveau i undergrupperne for henholdsvis behandling og forebyggelse. Hovedparten af patienterne fortsatte med at få glukokortikoider i det år, studiet varede.</w:t>
      </w:r>
    </w:p>
    <w:p w14:paraId="3AEA027B" w14:textId="77777777" w:rsidR="00A26C52" w:rsidRPr="00A26C52" w:rsidRDefault="00A26C52" w:rsidP="00A26C52">
      <w:pPr>
        <w:pStyle w:val="Brdtekst"/>
        <w:ind w:left="851" w:right="734" w:firstLine="1"/>
        <w:rPr>
          <w:sz w:val="24"/>
          <w:szCs w:val="24"/>
          <w:lang w:val="da-DK"/>
        </w:rPr>
      </w:pPr>
    </w:p>
    <w:p w14:paraId="42795682" w14:textId="77777777" w:rsidR="0083612A" w:rsidRPr="00A26C52" w:rsidRDefault="0083612A" w:rsidP="00A26C52">
      <w:pPr>
        <w:ind w:left="851"/>
        <w:rPr>
          <w:i/>
          <w:sz w:val="24"/>
          <w:szCs w:val="24"/>
          <w:u w:val="single"/>
        </w:rPr>
      </w:pPr>
      <w:r w:rsidRPr="00A26C52">
        <w:rPr>
          <w:i/>
          <w:sz w:val="24"/>
          <w:szCs w:val="24"/>
          <w:u w:val="single"/>
        </w:rPr>
        <w:t>Effekt</w:t>
      </w:r>
      <w:r w:rsidRPr="00A26C52">
        <w:rPr>
          <w:i/>
          <w:spacing w:val="-10"/>
          <w:sz w:val="24"/>
          <w:szCs w:val="24"/>
          <w:u w:val="single"/>
        </w:rPr>
        <w:t xml:space="preserve"> </w:t>
      </w:r>
      <w:r w:rsidRPr="00A26C52">
        <w:rPr>
          <w:i/>
          <w:sz w:val="24"/>
          <w:szCs w:val="24"/>
          <w:u w:val="single"/>
        </w:rPr>
        <w:t>på</w:t>
      </w:r>
      <w:r w:rsidRPr="00A26C52">
        <w:rPr>
          <w:i/>
          <w:spacing w:val="-9"/>
          <w:sz w:val="24"/>
          <w:szCs w:val="24"/>
          <w:u w:val="single"/>
        </w:rPr>
        <w:t xml:space="preserve"> </w:t>
      </w:r>
      <w:r w:rsidRPr="00A26C52">
        <w:rPr>
          <w:i/>
          <w:sz w:val="24"/>
          <w:szCs w:val="24"/>
          <w:u w:val="single"/>
        </w:rPr>
        <w:t>knogledensitet</w:t>
      </w:r>
      <w:r w:rsidRPr="00A26C52">
        <w:rPr>
          <w:i/>
          <w:spacing w:val="-10"/>
          <w:sz w:val="24"/>
          <w:szCs w:val="24"/>
          <w:u w:val="single"/>
        </w:rPr>
        <w:t xml:space="preserve"> </w:t>
      </w:r>
      <w:r w:rsidRPr="00A26C52">
        <w:rPr>
          <w:i/>
          <w:spacing w:val="-2"/>
          <w:sz w:val="24"/>
          <w:szCs w:val="24"/>
          <w:u w:val="single"/>
        </w:rPr>
        <w:t>(BMD)</w:t>
      </w:r>
    </w:p>
    <w:p w14:paraId="43F8A247" w14:textId="3E6DED65" w:rsidR="0083612A" w:rsidRDefault="0083612A" w:rsidP="00A26C52">
      <w:pPr>
        <w:pStyle w:val="Brdtekst"/>
        <w:ind w:left="851" w:right="866"/>
        <w:rPr>
          <w:sz w:val="24"/>
          <w:szCs w:val="24"/>
          <w:lang w:val="da-DK"/>
        </w:rPr>
      </w:pPr>
      <w:r w:rsidRPr="00A26C52">
        <w:rPr>
          <w:sz w:val="24"/>
          <w:szCs w:val="24"/>
          <w:lang w:val="da-DK"/>
        </w:rPr>
        <w:t>Stigningen</w:t>
      </w:r>
      <w:r w:rsidRPr="00A26C52">
        <w:rPr>
          <w:spacing w:val="-2"/>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BMD</w:t>
      </w:r>
      <w:r w:rsidRPr="00A26C52">
        <w:rPr>
          <w:spacing w:val="-3"/>
          <w:sz w:val="24"/>
          <w:szCs w:val="24"/>
          <w:lang w:val="da-DK"/>
        </w:rPr>
        <w:t xml:space="preserve"> </w:t>
      </w:r>
      <w:r w:rsidRPr="00A26C52">
        <w:rPr>
          <w:sz w:val="24"/>
          <w:szCs w:val="24"/>
          <w:lang w:val="da-DK"/>
        </w:rPr>
        <w:t>var</w:t>
      </w:r>
      <w:r w:rsidRPr="00A26C52">
        <w:rPr>
          <w:spacing w:val="-2"/>
          <w:sz w:val="24"/>
          <w:szCs w:val="24"/>
          <w:lang w:val="da-DK"/>
        </w:rPr>
        <w:t xml:space="preserve"> </w:t>
      </w:r>
      <w:r w:rsidRPr="00A26C52">
        <w:rPr>
          <w:sz w:val="24"/>
          <w:szCs w:val="24"/>
          <w:lang w:val="da-DK"/>
        </w:rPr>
        <w:t>signifikant</w:t>
      </w:r>
      <w:r w:rsidRPr="00A26C52">
        <w:rPr>
          <w:spacing w:val="-2"/>
          <w:sz w:val="24"/>
          <w:szCs w:val="24"/>
          <w:lang w:val="da-DK"/>
        </w:rPr>
        <w:t xml:space="preserve"> </w:t>
      </w:r>
      <w:r w:rsidRPr="00A26C52">
        <w:rPr>
          <w:sz w:val="24"/>
          <w:szCs w:val="24"/>
          <w:lang w:val="da-DK"/>
        </w:rPr>
        <w:t>større</w:t>
      </w:r>
      <w:r w:rsidRPr="00A26C52">
        <w:rPr>
          <w:spacing w:val="-3"/>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lænderygsøjlen</w:t>
      </w:r>
      <w:r w:rsidRPr="00A26C52">
        <w:rPr>
          <w:spacing w:val="-2"/>
          <w:sz w:val="24"/>
          <w:szCs w:val="24"/>
          <w:lang w:val="da-DK"/>
        </w:rPr>
        <w:t xml:space="preserve"> </w:t>
      </w:r>
      <w:r w:rsidRPr="00A26C52">
        <w:rPr>
          <w:sz w:val="24"/>
          <w:szCs w:val="24"/>
          <w:lang w:val="da-DK"/>
        </w:rPr>
        <w:t>og</w:t>
      </w:r>
      <w:r w:rsidRPr="00A26C52">
        <w:rPr>
          <w:spacing w:val="-3"/>
          <w:sz w:val="24"/>
          <w:szCs w:val="24"/>
          <w:lang w:val="da-DK"/>
        </w:rPr>
        <w:t xml:space="preserve"> </w:t>
      </w:r>
      <w:r w:rsidRPr="00A26C52">
        <w:rPr>
          <w:sz w:val="24"/>
          <w:szCs w:val="24"/>
          <w:lang w:val="da-DK"/>
        </w:rPr>
        <w:t>lårbenshalsen</w:t>
      </w:r>
      <w:r w:rsidRPr="00A26C52">
        <w:rPr>
          <w:spacing w:val="-2"/>
          <w:sz w:val="24"/>
          <w:szCs w:val="24"/>
          <w:lang w:val="da-DK"/>
        </w:rPr>
        <w:t xml:space="preserve"> </w:t>
      </w:r>
      <w:r w:rsidRPr="00A26C52">
        <w:rPr>
          <w:sz w:val="24"/>
          <w:szCs w:val="24"/>
          <w:lang w:val="da-DK"/>
        </w:rPr>
        <w:t>efter</w:t>
      </w:r>
      <w:r w:rsidRPr="00A26C52">
        <w:rPr>
          <w:spacing w:val="-1"/>
          <w:sz w:val="24"/>
          <w:szCs w:val="24"/>
          <w:lang w:val="da-DK"/>
        </w:rPr>
        <w:t xml:space="preserve"> </w:t>
      </w:r>
      <w:r w:rsidRPr="00A26C52">
        <w:rPr>
          <w:sz w:val="24"/>
          <w:szCs w:val="24"/>
          <w:lang w:val="da-DK"/>
        </w:rPr>
        <w:t>12</w:t>
      </w:r>
      <w:r w:rsidRPr="00A26C52">
        <w:rPr>
          <w:spacing w:val="-2"/>
          <w:sz w:val="24"/>
          <w:szCs w:val="24"/>
          <w:lang w:val="da-DK"/>
        </w:rPr>
        <w:t xml:space="preserve"> </w:t>
      </w:r>
      <w:r w:rsidRPr="00A26C52">
        <w:rPr>
          <w:sz w:val="24"/>
          <w:szCs w:val="24"/>
          <w:lang w:val="da-DK"/>
        </w:rPr>
        <w:t>måneder</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gruppen behandlet med zoledronsyre</w:t>
      </w:r>
      <w:r w:rsidRPr="00A26C52">
        <w:rPr>
          <w:spacing w:val="-5"/>
          <w:sz w:val="24"/>
          <w:szCs w:val="24"/>
          <w:lang w:val="da-DK"/>
        </w:rPr>
        <w:t xml:space="preserve"> </w:t>
      </w:r>
      <w:r w:rsidRPr="00A26C52">
        <w:rPr>
          <w:sz w:val="24"/>
          <w:szCs w:val="24"/>
          <w:lang w:val="da-DK"/>
        </w:rPr>
        <w:t>sammenlignet med risedronat (alle p &lt; 0,03). I undergruppen med patienter, der havde fået glukokortikoider i 3 måneder eller derunder før randomisering, øgede zoledronsyre</w:t>
      </w:r>
      <w:r w:rsidRPr="00A26C52">
        <w:rPr>
          <w:spacing w:val="-5"/>
          <w:sz w:val="24"/>
          <w:szCs w:val="24"/>
          <w:lang w:val="da-DK"/>
        </w:rPr>
        <w:t xml:space="preserve"> </w:t>
      </w:r>
      <w:r w:rsidRPr="00A26C52">
        <w:rPr>
          <w:sz w:val="24"/>
          <w:szCs w:val="24"/>
          <w:lang w:val="da-DK"/>
        </w:rPr>
        <w:t>lænderygsøjlens BMD med 4,06 % i forhold til 2,71 % for risedronat (middeldifference: 1,36 %; p</w:t>
      </w:r>
      <w:r w:rsidRPr="00A26C52">
        <w:rPr>
          <w:spacing w:val="-2"/>
          <w:sz w:val="24"/>
          <w:szCs w:val="24"/>
          <w:lang w:val="da-DK"/>
        </w:rPr>
        <w:t xml:space="preserve"> </w:t>
      </w:r>
      <w:r w:rsidRPr="00A26C52">
        <w:rPr>
          <w:sz w:val="24"/>
          <w:szCs w:val="24"/>
          <w:lang w:val="da-DK"/>
        </w:rPr>
        <w:t>&lt;</w:t>
      </w:r>
      <w:r w:rsidRPr="00A26C52">
        <w:rPr>
          <w:spacing w:val="-3"/>
          <w:sz w:val="24"/>
          <w:szCs w:val="24"/>
          <w:lang w:val="da-DK"/>
        </w:rPr>
        <w:t xml:space="preserve"> </w:t>
      </w:r>
      <w:r w:rsidRPr="00A26C52">
        <w:rPr>
          <w:sz w:val="24"/>
          <w:szCs w:val="24"/>
          <w:lang w:val="da-DK"/>
        </w:rPr>
        <w:t>0,001).</w:t>
      </w:r>
      <w:r w:rsidRPr="00A26C52">
        <w:rPr>
          <w:spacing w:val="-2"/>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undergruppen</w:t>
      </w:r>
      <w:r w:rsidRPr="00A26C52">
        <w:rPr>
          <w:spacing w:val="-4"/>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patienter,</w:t>
      </w:r>
      <w:r w:rsidRPr="00A26C52">
        <w:rPr>
          <w:spacing w:val="-2"/>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havde</w:t>
      </w:r>
      <w:r w:rsidRPr="00A26C52">
        <w:rPr>
          <w:spacing w:val="-3"/>
          <w:sz w:val="24"/>
          <w:szCs w:val="24"/>
          <w:lang w:val="da-DK"/>
        </w:rPr>
        <w:t xml:space="preserve"> </w:t>
      </w:r>
      <w:r w:rsidRPr="00A26C52">
        <w:rPr>
          <w:sz w:val="24"/>
          <w:szCs w:val="24"/>
          <w:lang w:val="da-DK"/>
        </w:rPr>
        <w:t>fået</w:t>
      </w:r>
      <w:r w:rsidRPr="00A26C52">
        <w:rPr>
          <w:spacing w:val="-2"/>
          <w:sz w:val="24"/>
          <w:szCs w:val="24"/>
          <w:lang w:val="da-DK"/>
        </w:rPr>
        <w:t xml:space="preserve"> </w:t>
      </w:r>
      <w:r w:rsidRPr="00A26C52">
        <w:rPr>
          <w:sz w:val="24"/>
          <w:szCs w:val="24"/>
          <w:lang w:val="da-DK"/>
        </w:rPr>
        <w:t>glukokortikoider</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mindre</w:t>
      </w:r>
      <w:r w:rsidRPr="00A26C52">
        <w:rPr>
          <w:spacing w:val="-3"/>
          <w:sz w:val="24"/>
          <w:szCs w:val="24"/>
          <w:lang w:val="da-DK"/>
        </w:rPr>
        <w:t xml:space="preserve"> </w:t>
      </w:r>
      <w:r w:rsidRPr="00A26C52">
        <w:rPr>
          <w:sz w:val="24"/>
          <w:szCs w:val="24"/>
          <w:lang w:val="da-DK"/>
        </w:rPr>
        <w:t>end</w:t>
      </w:r>
      <w:r w:rsidRPr="00A26C52">
        <w:rPr>
          <w:spacing w:val="-2"/>
          <w:sz w:val="24"/>
          <w:szCs w:val="24"/>
          <w:lang w:val="da-DK"/>
        </w:rPr>
        <w:t xml:space="preserve"> </w:t>
      </w:r>
      <w:r w:rsidRPr="00A26C52">
        <w:rPr>
          <w:sz w:val="24"/>
          <w:szCs w:val="24"/>
          <w:lang w:val="da-DK"/>
        </w:rPr>
        <w:t>3</w:t>
      </w:r>
      <w:r w:rsidRPr="00A26C52">
        <w:rPr>
          <w:spacing w:val="-2"/>
          <w:sz w:val="24"/>
          <w:szCs w:val="24"/>
          <w:lang w:val="da-DK"/>
        </w:rPr>
        <w:t xml:space="preserve"> </w:t>
      </w:r>
      <w:r w:rsidRPr="00A26C52">
        <w:rPr>
          <w:sz w:val="24"/>
          <w:szCs w:val="24"/>
          <w:lang w:val="da-DK"/>
        </w:rPr>
        <w:t>måneder</w:t>
      </w:r>
      <w:r w:rsidRPr="00A26C52">
        <w:rPr>
          <w:spacing w:val="-2"/>
          <w:sz w:val="24"/>
          <w:szCs w:val="24"/>
          <w:lang w:val="da-DK"/>
        </w:rPr>
        <w:t xml:space="preserve"> </w:t>
      </w:r>
      <w:r w:rsidRPr="00A26C52">
        <w:rPr>
          <w:sz w:val="24"/>
          <w:szCs w:val="24"/>
          <w:lang w:val="da-DK"/>
        </w:rPr>
        <w:t>før randomisering, øgede zoledronsyre</w:t>
      </w:r>
      <w:r w:rsidRPr="00A26C52">
        <w:rPr>
          <w:spacing w:val="-5"/>
          <w:sz w:val="24"/>
          <w:szCs w:val="24"/>
          <w:lang w:val="da-DK"/>
        </w:rPr>
        <w:t xml:space="preserve"> </w:t>
      </w:r>
      <w:r w:rsidRPr="00A26C52">
        <w:rPr>
          <w:sz w:val="24"/>
          <w:szCs w:val="24"/>
          <w:lang w:val="da-DK"/>
        </w:rPr>
        <w:t xml:space="preserve">BMD i lænderygsøjlen med 2,60 % i forhold til 0,64 % for risedronat (middeldifference: 1,96 %; p &gt; 0,001). Studiet havde ikke styrke til at vise reduktion i kliniske frakturer sammelignet </w:t>
      </w:r>
      <w:r w:rsidRPr="00A26C52">
        <w:rPr>
          <w:sz w:val="24"/>
          <w:szCs w:val="24"/>
          <w:lang w:val="da-DK"/>
        </w:rPr>
        <w:lastRenderedPageBreak/>
        <w:t>med risedronat. Incidensen af frakturer var 8 for zoledronsyre</w:t>
      </w:r>
      <w:r w:rsidRPr="00A26C52">
        <w:rPr>
          <w:spacing w:val="-5"/>
          <w:sz w:val="24"/>
          <w:szCs w:val="24"/>
          <w:lang w:val="da-DK"/>
        </w:rPr>
        <w:t xml:space="preserve"> </w:t>
      </w:r>
      <w:r w:rsidRPr="00A26C52">
        <w:rPr>
          <w:sz w:val="24"/>
          <w:szCs w:val="24"/>
          <w:lang w:val="da-DK"/>
        </w:rPr>
        <w:t>behandlede patienter versus</w:t>
      </w:r>
      <w:r w:rsidRPr="00A26C52">
        <w:rPr>
          <w:i/>
          <w:sz w:val="24"/>
          <w:szCs w:val="24"/>
          <w:lang w:val="da-DK"/>
        </w:rPr>
        <w:t xml:space="preserve"> </w:t>
      </w:r>
      <w:r w:rsidRPr="00A26C52">
        <w:rPr>
          <w:sz w:val="24"/>
          <w:szCs w:val="24"/>
          <w:lang w:val="da-DK"/>
        </w:rPr>
        <w:t>7 for risedronatbehandlede patienter (p=0,8055).</w:t>
      </w:r>
    </w:p>
    <w:p w14:paraId="1A3904D3" w14:textId="77777777" w:rsidR="00A26C52" w:rsidRPr="00A26C52" w:rsidRDefault="00A26C52" w:rsidP="00A26C52">
      <w:pPr>
        <w:pStyle w:val="Brdtekst"/>
        <w:ind w:left="851" w:right="866"/>
        <w:rPr>
          <w:sz w:val="24"/>
          <w:szCs w:val="24"/>
          <w:lang w:val="da-DK"/>
        </w:rPr>
      </w:pPr>
    </w:p>
    <w:p w14:paraId="34764A98" w14:textId="77777777" w:rsidR="0083612A" w:rsidRPr="00A26C52" w:rsidRDefault="0083612A" w:rsidP="00A26C52">
      <w:pPr>
        <w:pStyle w:val="Brdtekst"/>
        <w:ind w:left="851"/>
        <w:rPr>
          <w:sz w:val="24"/>
          <w:szCs w:val="24"/>
          <w:lang w:val="da-DK"/>
        </w:rPr>
      </w:pPr>
      <w:r w:rsidRPr="00A26C52">
        <w:rPr>
          <w:sz w:val="24"/>
          <w:szCs w:val="24"/>
          <w:u w:val="single"/>
          <w:lang w:val="da-DK"/>
        </w:rPr>
        <w:t>Klinisk</w:t>
      </w:r>
      <w:r w:rsidRPr="00A26C52">
        <w:rPr>
          <w:spacing w:val="-7"/>
          <w:sz w:val="24"/>
          <w:szCs w:val="24"/>
          <w:u w:val="single"/>
          <w:lang w:val="da-DK"/>
        </w:rPr>
        <w:t xml:space="preserve"> </w:t>
      </w:r>
      <w:r w:rsidRPr="00A26C52">
        <w:rPr>
          <w:sz w:val="24"/>
          <w:szCs w:val="24"/>
          <w:u w:val="single"/>
          <w:lang w:val="da-DK"/>
        </w:rPr>
        <w:t>effekt</w:t>
      </w:r>
      <w:r w:rsidRPr="00A26C52">
        <w:rPr>
          <w:spacing w:val="-7"/>
          <w:sz w:val="24"/>
          <w:szCs w:val="24"/>
          <w:u w:val="single"/>
          <w:lang w:val="da-DK"/>
        </w:rPr>
        <w:t xml:space="preserve"> </w:t>
      </w:r>
      <w:r w:rsidRPr="00A26C52">
        <w:rPr>
          <w:sz w:val="24"/>
          <w:szCs w:val="24"/>
          <w:u w:val="single"/>
          <w:lang w:val="da-DK"/>
        </w:rPr>
        <w:t>ved</w:t>
      </w:r>
      <w:r w:rsidRPr="00A26C52">
        <w:rPr>
          <w:spacing w:val="-7"/>
          <w:sz w:val="24"/>
          <w:szCs w:val="24"/>
          <w:u w:val="single"/>
          <w:lang w:val="da-DK"/>
        </w:rPr>
        <w:t xml:space="preserve"> </w:t>
      </w:r>
      <w:r w:rsidRPr="00A26C52">
        <w:rPr>
          <w:sz w:val="24"/>
          <w:szCs w:val="24"/>
          <w:u w:val="single"/>
          <w:lang w:val="da-DK"/>
        </w:rPr>
        <w:t>behandling</w:t>
      </w:r>
      <w:r w:rsidRPr="00A26C52">
        <w:rPr>
          <w:spacing w:val="-6"/>
          <w:sz w:val="24"/>
          <w:szCs w:val="24"/>
          <w:u w:val="single"/>
          <w:lang w:val="da-DK"/>
        </w:rPr>
        <w:t xml:space="preserve"> </w:t>
      </w:r>
      <w:r w:rsidRPr="00A26C52">
        <w:rPr>
          <w:sz w:val="24"/>
          <w:szCs w:val="24"/>
          <w:u w:val="single"/>
          <w:lang w:val="da-DK"/>
        </w:rPr>
        <w:t>af</w:t>
      </w:r>
      <w:r w:rsidRPr="00A26C52">
        <w:rPr>
          <w:spacing w:val="-7"/>
          <w:sz w:val="24"/>
          <w:szCs w:val="24"/>
          <w:u w:val="single"/>
          <w:lang w:val="da-DK"/>
        </w:rPr>
        <w:t xml:space="preserve"> </w:t>
      </w:r>
      <w:r w:rsidRPr="00A26C52">
        <w:rPr>
          <w:sz w:val="24"/>
          <w:szCs w:val="24"/>
          <w:u w:val="single"/>
          <w:lang w:val="da-DK"/>
        </w:rPr>
        <w:t>Pagets</w:t>
      </w:r>
      <w:r w:rsidRPr="00A26C52">
        <w:rPr>
          <w:spacing w:val="-8"/>
          <w:sz w:val="24"/>
          <w:szCs w:val="24"/>
          <w:u w:val="single"/>
          <w:lang w:val="da-DK"/>
        </w:rPr>
        <w:t xml:space="preserve"> </w:t>
      </w:r>
      <w:r w:rsidRPr="00A26C52">
        <w:rPr>
          <w:sz w:val="24"/>
          <w:szCs w:val="24"/>
          <w:u w:val="single"/>
          <w:lang w:val="da-DK"/>
        </w:rPr>
        <w:t>sygdom</w:t>
      </w:r>
      <w:r w:rsidRPr="00A26C52">
        <w:rPr>
          <w:spacing w:val="-7"/>
          <w:sz w:val="24"/>
          <w:szCs w:val="24"/>
          <w:u w:val="single"/>
          <w:lang w:val="da-DK"/>
        </w:rPr>
        <w:t xml:space="preserve"> </w:t>
      </w:r>
      <w:r w:rsidRPr="00A26C52">
        <w:rPr>
          <w:sz w:val="24"/>
          <w:szCs w:val="24"/>
          <w:u w:val="single"/>
          <w:lang w:val="da-DK"/>
        </w:rPr>
        <w:t>af</w:t>
      </w:r>
      <w:r w:rsidRPr="00A26C52">
        <w:rPr>
          <w:spacing w:val="-7"/>
          <w:sz w:val="24"/>
          <w:szCs w:val="24"/>
          <w:u w:val="single"/>
          <w:lang w:val="da-DK"/>
        </w:rPr>
        <w:t xml:space="preserve"> </w:t>
      </w:r>
      <w:r w:rsidRPr="00A26C52">
        <w:rPr>
          <w:spacing w:val="-2"/>
          <w:sz w:val="24"/>
          <w:szCs w:val="24"/>
          <w:u w:val="single"/>
          <w:lang w:val="da-DK"/>
        </w:rPr>
        <w:t>knoglerne</w:t>
      </w:r>
    </w:p>
    <w:p w14:paraId="7D73FC17" w14:textId="77777777" w:rsidR="0083612A" w:rsidRPr="00A26C52" w:rsidRDefault="0083612A" w:rsidP="00A26C52">
      <w:pPr>
        <w:pStyle w:val="Brdtekst"/>
        <w:ind w:left="851" w:right="808"/>
        <w:rPr>
          <w:sz w:val="24"/>
          <w:szCs w:val="24"/>
          <w:lang w:val="da-DK"/>
        </w:rPr>
      </w:pPr>
      <w:r w:rsidRPr="00A26C52">
        <w:rPr>
          <w:sz w:val="24"/>
          <w:szCs w:val="24"/>
          <w:lang w:val="da-DK"/>
        </w:rPr>
        <w:t>Zoledronsyre</w:t>
      </w:r>
      <w:r w:rsidRPr="00A26C52">
        <w:rPr>
          <w:spacing w:val="-5"/>
          <w:sz w:val="24"/>
          <w:szCs w:val="24"/>
          <w:lang w:val="da-DK"/>
        </w:rPr>
        <w:t xml:space="preserve"> </w:t>
      </w:r>
      <w:r w:rsidRPr="00A26C52">
        <w:rPr>
          <w:sz w:val="24"/>
          <w:szCs w:val="24"/>
          <w:lang w:val="da-DK"/>
        </w:rPr>
        <w:t>blev</w:t>
      </w:r>
      <w:r w:rsidRPr="00A26C52">
        <w:rPr>
          <w:spacing w:val="-2"/>
          <w:sz w:val="24"/>
          <w:szCs w:val="24"/>
          <w:lang w:val="da-DK"/>
        </w:rPr>
        <w:t xml:space="preserve"> </w:t>
      </w:r>
      <w:r w:rsidRPr="00A26C52">
        <w:rPr>
          <w:sz w:val="24"/>
          <w:szCs w:val="24"/>
          <w:lang w:val="da-DK"/>
        </w:rPr>
        <w:t>undersøgt</w:t>
      </w:r>
      <w:r w:rsidRPr="00A26C52">
        <w:rPr>
          <w:spacing w:val="-2"/>
          <w:sz w:val="24"/>
          <w:szCs w:val="24"/>
          <w:lang w:val="da-DK"/>
        </w:rPr>
        <w:t xml:space="preserve"> </w:t>
      </w:r>
      <w:r w:rsidRPr="00A26C52">
        <w:rPr>
          <w:sz w:val="24"/>
          <w:szCs w:val="24"/>
          <w:lang w:val="da-DK"/>
        </w:rPr>
        <w:t>hos</w:t>
      </w:r>
      <w:r w:rsidRPr="00A26C52">
        <w:rPr>
          <w:spacing w:val="-3"/>
          <w:sz w:val="24"/>
          <w:szCs w:val="24"/>
          <w:lang w:val="da-DK"/>
        </w:rPr>
        <w:t xml:space="preserve"> </w:t>
      </w:r>
      <w:r w:rsidRPr="00A26C52">
        <w:rPr>
          <w:sz w:val="24"/>
          <w:szCs w:val="24"/>
          <w:lang w:val="da-DK"/>
        </w:rPr>
        <w:t>mænd</w:t>
      </w:r>
      <w:r w:rsidRPr="00A26C52">
        <w:rPr>
          <w:spacing w:val="-2"/>
          <w:sz w:val="24"/>
          <w:szCs w:val="24"/>
          <w:lang w:val="da-DK"/>
        </w:rPr>
        <w:t xml:space="preserve"> </w:t>
      </w:r>
      <w:r w:rsidRPr="00A26C52">
        <w:rPr>
          <w:sz w:val="24"/>
          <w:szCs w:val="24"/>
          <w:lang w:val="da-DK"/>
        </w:rPr>
        <w:t>og</w:t>
      </w:r>
      <w:r w:rsidRPr="00A26C52">
        <w:rPr>
          <w:spacing w:val="-2"/>
          <w:sz w:val="24"/>
          <w:szCs w:val="24"/>
          <w:lang w:val="da-DK"/>
        </w:rPr>
        <w:t xml:space="preserve"> </w:t>
      </w:r>
      <w:r w:rsidRPr="00A26C52">
        <w:rPr>
          <w:sz w:val="24"/>
          <w:szCs w:val="24"/>
          <w:lang w:val="da-DK"/>
        </w:rPr>
        <w:t>kvinder</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alderen</w:t>
      </w:r>
      <w:r w:rsidRPr="00A26C52">
        <w:rPr>
          <w:spacing w:val="-2"/>
          <w:sz w:val="24"/>
          <w:szCs w:val="24"/>
          <w:lang w:val="da-DK"/>
        </w:rPr>
        <w:t xml:space="preserve"> </w:t>
      </w:r>
      <w:r w:rsidRPr="00A26C52">
        <w:rPr>
          <w:sz w:val="24"/>
          <w:szCs w:val="24"/>
          <w:lang w:val="da-DK"/>
        </w:rPr>
        <w:t>over</w:t>
      </w:r>
      <w:r w:rsidRPr="00A26C52">
        <w:rPr>
          <w:spacing w:val="-2"/>
          <w:sz w:val="24"/>
          <w:szCs w:val="24"/>
          <w:lang w:val="da-DK"/>
        </w:rPr>
        <w:t xml:space="preserve"> </w:t>
      </w:r>
      <w:r w:rsidRPr="00A26C52">
        <w:rPr>
          <w:sz w:val="24"/>
          <w:szCs w:val="24"/>
          <w:lang w:val="da-DK"/>
        </w:rPr>
        <w:t>30</w:t>
      </w:r>
      <w:r w:rsidRPr="00A26C52">
        <w:rPr>
          <w:spacing w:val="-2"/>
          <w:sz w:val="24"/>
          <w:szCs w:val="24"/>
          <w:lang w:val="da-DK"/>
        </w:rPr>
        <w:t xml:space="preserve"> </w:t>
      </w:r>
      <w:r w:rsidRPr="00A26C52">
        <w:rPr>
          <w:sz w:val="24"/>
          <w:szCs w:val="24"/>
          <w:lang w:val="da-DK"/>
        </w:rPr>
        <w:t>år</w:t>
      </w:r>
      <w:r w:rsidRPr="00A26C52">
        <w:rPr>
          <w:spacing w:val="-3"/>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primært</w:t>
      </w:r>
      <w:r w:rsidRPr="00A26C52">
        <w:rPr>
          <w:spacing w:val="-1"/>
          <w:sz w:val="24"/>
          <w:szCs w:val="24"/>
          <w:lang w:val="da-DK"/>
        </w:rPr>
        <w:t xml:space="preserve"> </w:t>
      </w:r>
      <w:r w:rsidRPr="00A26C52">
        <w:rPr>
          <w:sz w:val="24"/>
          <w:szCs w:val="24"/>
          <w:lang w:val="da-DK"/>
        </w:rPr>
        <w:t>mild</w:t>
      </w:r>
      <w:r w:rsidRPr="00A26C52">
        <w:rPr>
          <w:spacing w:val="-2"/>
          <w:sz w:val="24"/>
          <w:szCs w:val="24"/>
          <w:lang w:val="da-DK"/>
        </w:rPr>
        <w:t xml:space="preserve"> </w:t>
      </w:r>
      <w:r w:rsidRPr="00A26C52">
        <w:rPr>
          <w:sz w:val="24"/>
          <w:szCs w:val="24"/>
          <w:lang w:val="da-DK"/>
        </w:rPr>
        <w:t>til</w:t>
      </w:r>
      <w:r w:rsidRPr="00A26C52">
        <w:rPr>
          <w:spacing w:val="-2"/>
          <w:sz w:val="24"/>
          <w:szCs w:val="24"/>
          <w:lang w:val="da-DK"/>
        </w:rPr>
        <w:t xml:space="preserve"> </w:t>
      </w:r>
      <w:r w:rsidRPr="00A26C52">
        <w:rPr>
          <w:sz w:val="24"/>
          <w:szCs w:val="24"/>
          <w:lang w:val="da-DK"/>
        </w:rPr>
        <w:t>moderat</w:t>
      </w:r>
      <w:r w:rsidRPr="00A26C52">
        <w:rPr>
          <w:spacing w:val="-2"/>
          <w:sz w:val="24"/>
          <w:szCs w:val="24"/>
          <w:lang w:val="da-DK"/>
        </w:rPr>
        <w:t xml:space="preserve"> </w:t>
      </w:r>
      <w:r w:rsidRPr="00A26C52">
        <w:rPr>
          <w:sz w:val="24"/>
          <w:szCs w:val="24"/>
          <w:lang w:val="da-DK"/>
        </w:rPr>
        <w:t>Pagets sygdom af knoglerne (gennemsnitlig serum alkalisk fosfatase niveau på 2,6-3,0 gange den øvre grænseværdi</w:t>
      </w:r>
      <w:r w:rsidRPr="00A26C52">
        <w:rPr>
          <w:spacing w:val="-3"/>
          <w:sz w:val="24"/>
          <w:szCs w:val="24"/>
          <w:lang w:val="da-DK"/>
        </w:rPr>
        <w:t xml:space="preserve"> </w:t>
      </w:r>
      <w:r w:rsidRPr="00A26C52">
        <w:rPr>
          <w:sz w:val="24"/>
          <w:szCs w:val="24"/>
          <w:lang w:val="da-DK"/>
        </w:rPr>
        <w:t>for</w:t>
      </w:r>
      <w:r w:rsidRPr="00A26C52">
        <w:rPr>
          <w:spacing w:val="-3"/>
          <w:sz w:val="24"/>
          <w:szCs w:val="24"/>
          <w:lang w:val="da-DK"/>
        </w:rPr>
        <w:t xml:space="preserve"> </w:t>
      </w:r>
      <w:r w:rsidRPr="00A26C52">
        <w:rPr>
          <w:sz w:val="24"/>
          <w:szCs w:val="24"/>
          <w:lang w:val="da-DK"/>
        </w:rPr>
        <w:t>det</w:t>
      </w:r>
      <w:r w:rsidRPr="00A26C52">
        <w:rPr>
          <w:spacing w:val="-3"/>
          <w:sz w:val="24"/>
          <w:szCs w:val="24"/>
          <w:lang w:val="da-DK"/>
        </w:rPr>
        <w:t xml:space="preserve"> </w:t>
      </w:r>
      <w:r w:rsidRPr="00A26C52">
        <w:rPr>
          <w:sz w:val="24"/>
          <w:szCs w:val="24"/>
          <w:lang w:val="da-DK"/>
        </w:rPr>
        <w:t>normale</w:t>
      </w:r>
      <w:r w:rsidRPr="00A26C52">
        <w:rPr>
          <w:spacing w:val="-4"/>
          <w:sz w:val="24"/>
          <w:szCs w:val="24"/>
          <w:lang w:val="da-DK"/>
        </w:rPr>
        <w:t xml:space="preserve"> </w:t>
      </w:r>
      <w:r w:rsidRPr="00A26C52">
        <w:rPr>
          <w:sz w:val="24"/>
          <w:szCs w:val="24"/>
          <w:lang w:val="da-DK"/>
        </w:rPr>
        <w:t>aldersspecifikke</w:t>
      </w:r>
      <w:r w:rsidRPr="00A26C52">
        <w:rPr>
          <w:spacing w:val="-4"/>
          <w:sz w:val="24"/>
          <w:szCs w:val="24"/>
          <w:lang w:val="da-DK"/>
        </w:rPr>
        <w:t xml:space="preserve"> </w:t>
      </w:r>
      <w:r w:rsidRPr="00A26C52">
        <w:rPr>
          <w:sz w:val="24"/>
          <w:szCs w:val="24"/>
          <w:lang w:val="da-DK"/>
        </w:rPr>
        <w:t>referenceområde</w:t>
      </w:r>
      <w:r w:rsidRPr="00A26C52">
        <w:rPr>
          <w:spacing w:val="-4"/>
          <w:sz w:val="24"/>
          <w:szCs w:val="24"/>
          <w:lang w:val="da-DK"/>
        </w:rPr>
        <w:t xml:space="preserve"> </w:t>
      </w:r>
      <w:r w:rsidRPr="00A26C52">
        <w:rPr>
          <w:sz w:val="24"/>
          <w:szCs w:val="24"/>
          <w:lang w:val="da-DK"/>
        </w:rPr>
        <w:t>ved</w:t>
      </w:r>
      <w:r w:rsidRPr="00A26C52">
        <w:rPr>
          <w:spacing w:val="-3"/>
          <w:sz w:val="24"/>
          <w:szCs w:val="24"/>
          <w:lang w:val="da-DK"/>
        </w:rPr>
        <w:t xml:space="preserve"> </w:t>
      </w:r>
      <w:r w:rsidRPr="00A26C52">
        <w:rPr>
          <w:sz w:val="24"/>
          <w:szCs w:val="24"/>
          <w:lang w:val="da-DK"/>
        </w:rPr>
        <w:t>inklusion</w:t>
      </w:r>
      <w:r w:rsidRPr="00A26C52">
        <w:rPr>
          <w:spacing w:val="-3"/>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studiet)</w:t>
      </w:r>
      <w:r w:rsidRPr="00A26C52">
        <w:rPr>
          <w:spacing w:val="-3"/>
          <w:sz w:val="24"/>
          <w:szCs w:val="24"/>
          <w:lang w:val="da-DK"/>
        </w:rPr>
        <w:t xml:space="preserve"> </w:t>
      </w:r>
      <w:r w:rsidRPr="00A26C52">
        <w:rPr>
          <w:sz w:val="24"/>
          <w:szCs w:val="24"/>
          <w:lang w:val="da-DK"/>
        </w:rPr>
        <w:t>bekræftet</w:t>
      </w:r>
      <w:r w:rsidRPr="00A26C52">
        <w:rPr>
          <w:spacing w:val="-3"/>
          <w:sz w:val="24"/>
          <w:szCs w:val="24"/>
          <w:lang w:val="da-DK"/>
        </w:rPr>
        <w:t xml:space="preserve"> </w:t>
      </w:r>
      <w:r w:rsidRPr="00A26C52">
        <w:rPr>
          <w:sz w:val="24"/>
          <w:szCs w:val="24"/>
          <w:lang w:val="da-DK"/>
        </w:rPr>
        <w:t>ved radiografisk påvisning.</w:t>
      </w:r>
    </w:p>
    <w:p w14:paraId="659AFE7B" w14:textId="77777777" w:rsidR="0083612A" w:rsidRPr="00A26C52" w:rsidRDefault="0083612A" w:rsidP="00A26C52">
      <w:pPr>
        <w:pStyle w:val="Brdtekst"/>
        <w:ind w:left="851" w:right="849"/>
        <w:rPr>
          <w:sz w:val="24"/>
          <w:szCs w:val="24"/>
          <w:lang w:val="da-DK"/>
        </w:rPr>
      </w:pPr>
      <w:r w:rsidRPr="00A26C52">
        <w:rPr>
          <w:sz w:val="24"/>
          <w:szCs w:val="24"/>
          <w:lang w:val="da-DK"/>
        </w:rPr>
        <w:t>Effekten</w:t>
      </w:r>
      <w:r w:rsidRPr="00A26C52">
        <w:rPr>
          <w:spacing w:val="-2"/>
          <w:sz w:val="24"/>
          <w:szCs w:val="24"/>
          <w:lang w:val="da-DK"/>
        </w:rPr>
        <w:t xml:space="preserve"> </w:t>
      </w:r>
      <w:r w:rsidRPr="00A26C52">
        <w:rPr>
          <w:sz w:val="24"/>
          <w:szCs w:val="24"/>
          <w:lang w:val="da-DK"/>
        </w:rPr>
        <w:t>af</w:t>
      </w:r>
      <w:r w:rsidRPr="00A26C52">
        <w:rPr>
          <w:spacing w:val="-2"/>
          <w:sz w:val="24"/>
          <w:szCs w:val="24"/>
          <w:lang w:val="da-DK"/>
        </w:rPr>
        <w:t xml:space="preserve"> </w:t>
      </w:r>
      <w:r w:rsidRPr="00A26C52">
        <w:rPr>
          <w:sz w:val="24"/>
          <w:szCs w:val="24"/>
          <w:lang w:val="da-DK"/>
        </w:rPr>
        <w:t>én</w:t>
      </w:r>
      <w:r w:rsidRPr="00A26C52">
        <w:rPr>
          <w:spacing w:val="-2"/>
          <w:sz w:val="24"/>
          <w:szCs w:val="24"/>
          <w:lang w:val="da-DK"/>
        </w:rPr>
        <w:t xml:space="preserve"> </w:t>
      </w:r>
      <w:r w:rsidRPr="00A26C52">
        <w:rPr>
          <w:sz w:val="24"/>
          <w:szCs w:val="24"/>
          <w:lang w:val="da-DK"/>
        </w:rPr>
        <w:t>infusion</w:t>
      </w:r>
      <w:r w:rsidRPr="00A26C52">
        <w:rPr>
          <w:spacing w:val="-2"/>
          <w:sz w:val="24"/>
          <w:szCs w:val="24"/>
          <w:lang w:val="da-DK"/>
        </w:rPr>
        <w:t xml:space="preserve"> </w:t>
      </w:r>
      <w:r w:rsidRPr="00A26C52">
        <w:rPr>
          <w:sz w:val="24"/>
          <w:szCs w:val="24"/>
          <w:lang w:val="da-DK"/>
        </w:rPr>
        <w:t>på</w:t>
      </w:r>
      <w:r w:rsidRPr="00A26C52">
        <w:rPr>
          <w:spacing w:val="-4"/>
          <w:sz w:val="24"/>
          <w:szCs w:val="24"/>
          <w:lang w:val="da-DK"/>
        </w:rPr>
        <w:t xml:space="preserve"> </w:t>
      </w:r>
      <w:r w:rsidRPr="00A26C52">
        <w:rPr>
          <w:sz w:val="24"/>
          <w:szCs w:val="24"/>
          <w:lang w:val="da-DK"/>
        </w:rPr>
        <w:t>5</w:t>
      </w:r>
      <w:r w:rsidRPr="00A26C52">
        <w:rPr>
          <w:spacing w:val="-2"/>
          <w:sz w:val="24"/>
          <w:szCs w:val="24"/>
          <w:lang w:val="da-DK"/>
        </w:rPr>
        <w:t xml:space="preserve"> </w:t>
      </w:r>
      <w:r w:rsidRPr="00A26C52">
        <w:rPr>
          <w:sz w:val="24"/>
          <w:szCs w:val="24"/>
          <w:lang w:val="da-DK"/>
        </w:rPr>
        <w:t>mg</w:t>
      </w:r>
      <w:r w:rsidRPr="00A26C52">
        <w:rPr>
          <w:spacing w:val="-2"/>
          <w:sz w:val="24"/>
          <w:szCs w:val="24"/>
          <w:lang w:val="da-DK"/>
        </w:rPr>
        <w:t xml:space="preserve"> </w:t>
      </w:r>
      <w:r w:rsidRPr="00A26C52">
        <w:rPr>
          <w:sz w:val="24"/>
          <w:szCs w:val="24"/>
          <w:lang w:val="da-DK"/>
        </w:rPr>
        <w:t>zoledronsyre</w:t>
      </w:r>
      <w:r w:rsidRPr="00A26C52">
        <w:rPr>
          <w:spacing w:val="-3"/>
          <w:sz w:val="24"/>
          <w:szCs w:val="24"/>
          <w:lang w:val="da-DK"/>
        </w:rPr>
        <w:t xml:space="preserve"> </w:t>
      </w:r>
      <w:r w:rsidRPr="00A26C52">
        <w:rPr>
          <w:sz w:val="24"/>
          <w:szCs w:val="24"/>
          <w:lang w:val="da-DK"/>
        </w:rPr>
        <w:t>versus</w:t>
      </w:r>
      <w:r w:rsidRPr="00A26C52">
        <w:rPr>
          <w:spacing w:val="-3"/>
          <w:sz w:val="24"/>
          <w:szCs w:val="24"/>
          <w:lang w:val="da-DK"/>
        </w:rPr>
        <w:t xml:space="preserve"> </w:t>
      </w:r>
      <w:r w:rsidRPr="00A26C52">
        <w:rPr>
          <w:sz w:val="24"/>
          <w:szCs w:val="24"/>
          <w:lang w:val="da-DK"/>
        </w:rPr>
        <w:t>daglige</w:t>
      </w:r>
      <w:r w:rsidRPr="00A26C52">
        <w:rPr>
          <w:spacing w:val="-3"/>
          <w:sz w:val="24"/>
          <w:szCs w:val="24"/>
          <w:lang w:val="da-DK"/>
        </w:rPr>
        <w:t xml:space="preserve"> </w:t>
      </w:r>
      <w:r w:rsidRPr="00A26C52">
        <w:rPr>
          <w:sz w:val="24"/>
          <w:szCs w:val="24"/>
          <w:lang w:val="da-DK"/>
        </w:rPr>
        <w:t>doser</w:t>
      </w:r>
      <w:r w:rsidRPr="00A26C52">
        <w:rPr>
          <w:spacing w:val="-2"/>
          <w:sz w:val="24"/>
          <w:szCs w:val="24"/>
          <w:lang w:val="da-DK"/>
        </w:rPr>
        <w:t xml:space="preserve"> </w:t>
      </w:r>
      <w:r w:rsidRPr="00A26C52">
        <w:rPr>
          <w:sz w:val="24"/>
          <w:szCs w:val="24"/>
          <w:lang w:val="da-DK"/>
        </w:rPr>
        <w:t>på</w:t>
      </w:r>
      <w:r w:rsidRPr="00A26C52">
        <w:rPr>
          <w:spacing w:val="-3"/>
          <w:sz w:val="24"/>
          <w:szCs w:val="24"/>
          <w:lang w:val="da-DK"/>
        </w:rPr>
        <w:t xml:space="preserve"> </w:t>
      </w:r>
      <w:r w:rsidRPr="00A26C52">
        <w:rPr>
          <w:sz w:val="24"/>
          <w:szCs w:val="24"/>
          <w:lang w:val="da-DK"/>
        </w:rPr>
        <w:t>30</w:t>
      </w:r>
      <w:r w:rsidRPr="00A26C52">
        <w:rPr>
          <w:spacing w:val="-2"/>
          <w:sz w:val="24"/>
          <w:szCs w:val="24"/>
          <w:lang w:val="da-DK"/>
        </w:rPr>
        <w:t xml:space="preserve"> </w:t>
      </w:r>
      <w:r w:rsidRPr="00A26C52">
        <w:rPr>
          <w:sz w:val="24"/>
          <w:szCs w:val="24"/>
          <w:lang w:val="da-DK"/>
        </w:rPr>
        <w:t>mg</w:t>
      </w:r>
      <w:r w:rsidRPr="00A26C52">
        <w:rPr>
          <w:spacing w:val="-2"/>
          <w:sz w:val="24"/>
          <w:szCs w:val="24"/>
          <w:lang w:val="da-DK"/>
        </w:rPr>
        <w:t xml:space="preserve"> </w:t>
      </w:r>
      <w:r w:rsidRPr="00A26C52">
        <w:rPr>
          <w:sz w:val="24"/>
          <w:szCs w:val="24"/>
          <w:lang w:val="da-DK"/>
        </w:rPr>
        <w:t>risedronat</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2</w:t>
      </w:r>
      <w:r w:rsidRPr="00A26C52">
        <w:rPr>
          <w:spacing w:val="-2"/>
          <w:sz w:val="24"/>
          <w:szCs w:val="24"/>
          <w:lang w:val="da-DK"/>
        </w:rPr>
        <w:t xml:space="preserve"> </w:t>
      </w:r>
      <w:r w:rsidRPr="00A26C52">
        <w:rPr>
          <w:sz w:val="24"/>
          <w:szCs w:val="24"/>
          <w:lang w:val="da-DK"/>
        </w:rPr>
        <w:t>måneder blev vist i to sammenligningsstudier med en varighed på 6 måneder. Efter 6 måneder viste zoledronsyre</w:t>
      </w:r>
      <w:r w:rsidRPr="00A26C52">
        <w:rPr>
          <w:spacing w:val="-5"/>
          <w:sz w:val="24"/>
          <w:szCs w:val="24"/>
          <w:lang w:val="da-DK"/>
        </w:rPr>
        <w:t xml:space="preserve"> </w:t>
      </w:r>
      <w:r w:rsidRPr="00A26C52">
        <w:rPr>
          <w:sz w:val="24"/>
          <w:szCs w:val="24"/>
          <w:lang w:val="da-DK"/>
        </w:rPr>
        <w:t>respons hos 96 % (169/176) og en serum alkalisk fosfatase (SAP) normaliseringsrate hos 89 % (156/176) sammenlignet med 74 % (127/171) og 58 % (99/171) for risedronat (alle p &lt; 0,001).</w:t>
      </w:r>
    </w:p>
    <w:p w14:paraId="0621A5E7" w14:textId="77777777" w:rsidR="0083612A" w:rsidRPr="00A26C52" w:rsidRDefault="0083612A" w:rsidP="00A26C52">
      <w:pPr>
        <w:pStyle w:val="Brdtekst"/>
        <w:ind w:left="851"/>
        <w:rPr>
          <w:sz w:val="24"/>
          <w:szCs w:val="24"/>
          <w:lang w:val="da-DK"/>
        </w:rPr>
      </w:pPr>
    </w:p>
    <w:p w14:paraId="53E65400" w14:textId="77777777" w:rsidR="0083612A" w:rsidRPr="00A26C52" w:rsidRDefault="0083612A" w:rsidP="00A26C52">
      <w:pPr>
        <w:pStyle w:val="Brdtekst"/>
        <w:ind w:left="851" w:right="1492"/>
        <w:rPr>
          <w:sz w:val="24"/>
          <w:szCs w:val="24"/>
          <w:lang w:val="da-DK"/>
        </w:rPr>
      </w:pPr>
      <w:r w:rsidRPr="00A26C52">
        <w:rPr>
          <w:sz w:val="24"/>
          <w:szCs w:val="24"/>
          <w:lang w:val="da-DK"/>
        </w:rPr>
        <w:t>I de poolede resultater blev der for zoledronsyre</w:t>
      </w:r>
      <w:r w:rsidRPr="00A26C52">
        <w:rPr>
          <w:spacing w:val="-5"/>
          <w:sz w:val="24"/>
          <w:szCs w:val="24"/>
          <w:lang w:val="da-DK"/>
        </w:rPr>
        <w:t xml:space="preserve"> </w:t>
      </w:r>
      <w:r w:rsidRPr="00A26C52">
        <w:rPr>
          <w:sz w:val="24"/>
          <w:szCs w:val="24"/>
          <w:lang w:val="da-DK"/>
        </w:rPr>
        <w:t>og risedronat observeret lignende nedsættelse i sværhedsgraden</w:t>
      </w:r>
      <w:r w:rsidRPr="00A26C52">
        <w:rPr>
          <w:spacing w:val="-2"/>
          <w:sz w:val="24"/>
          <w:szCs w:val="24"/>
          <w:lang w:val="da-DK"/>
        </w:rPr>
        <w:t xml:space="preserve"> </w:t>
      </w:r>
      <w:r w:rsidRPr="00A26C52">
        <w:rPr>
          <w:sz w:val="24"/>
          <w:szCs w:val="24"/>
          <w:lang w:val="da-DK"/>
        </w:rPr>
        <w:t>af</w:t>
      </w:r>
      <w:r w:rsidRPr="00A26C52">
        <w:rPr>
          <w:spacing w:val="-2"/>
          <w:sz w:val="24"/>
          <w:szCs w:val="24"/>
          <w:lang w:val="da-DK"/>
        </w:rPr>
        <w:t xml:space="preserve"> </w:t>
      </w:r>
      <w:r w:rsidRPr="00A26C52">
        <w:rPr>
          <w:sz w:val="24"/>
          <w:szCs w:val="24"/>
          <w:lang w:val="da-DK"/>
        </w:rPr>
        <w:t>smerte</w:t>
      </w:r>
      <w:r w:rsidRPr="00A26C52">
        <w:rPr>
          <w:spacing w:val="-1"/>
          <w:sz w:val="24"/>
          <w:szCs w:val="24"/>
          <w:lang w:val="da-DK"/>
        </w:rPr>
        <w:t xml:space="preserve"> </w:t>
      </w:r>
      <w:r w:rsidRPr="00A26C52">
        <w:rPr>
          <w:sz w:val="24"/>
          <w:szCs w:val="24"/>
          <w:lang w:val="da-DK"/>
        </w:rPr>
        <w:t>og</w:t>
      </w:r>
      <w:r w:rsidRPr="00A26C52">
        <w:rPr>
          <w:spacing w:val="-2"/>
          <w:sz w:val="24"/>
          <w:szCs w:val="24"/>
          <w:lang w:val="da-DK"/>
        </w:rPr>
        <w:t xml:space="preserve"> </w:t>
      </w:r>
      <w:r w:rsidRPr="00A26C52">
        <w:rPr>
          <w:sz w:val="24"/>
          <w:szCs w:val="24"/>
          <w:lang w:val="da-DK"/>
        </w:rPr>
        <w:t>score</w:t>
      </w:r>
      <w:r w:rsidRPr="00A26C52">
        <w:rPr>
          <w:spacing w:val="-3"/>
          <w:sz w:val="24"/>
          <w:szCs w:val="24"/>
          <w:lang w:val="da-DK"/>
        </w:rPr>
        <w:t xml:space="preserve"> </w:t>
      </w:r>
      <w:r w:rsidRPr="00A26C52">
        <w:rPr>
          <w:sz w:val="24"/>
          <w:szCs w:val="24"/>
          <w:lang w:val="da-DK"/>
        </w:rPr>
        <w:t>for</w:t>
      </w:r>
      <w:r w:rsidRPr="00A26C52">
        <w:rPr>
          <w:spacing w:val="-2"/>
          <w:sz w:val="24"/>
          <w:szCs w:val="24"/>
          <w:lang w:val="da-DK"/>
        </w:rPr>
        <w:t xml:space="preserve"> </w:t>
      </w:r>
      <w:r w:rsidRPr="00A26C52">
        <w:rPr>
          <w:sz w:val="24"/>
          <w:szCs w:val="24"/>
          <w:lang w:val="da-DK"/>
        </w:rPr>
        <w:t>smerteinterferens</w:t>
      </w:r>
      <w:r w:rsidRPr="00A26C52">
        <w:rPr>
          <w:spacing w:val="-3"/>
          <w:sz w:val="24"/>
          <w:szCs w:val="24"/>
          <w:lang w:val="da-DK"/>
        </w:rPr>
        <w:t xml:space="preserve"> </w:t>
      </w:r>
      <w:r w:rsidRPr="00A26C52">
        <w:rPr>
          <w:sz w:val="24"/>
          <w:szCs w:val="24"/>
          <w:lang w:val="da-DK"/>
        </w:rPr>
        <w:t>relativt</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forhold</w:t>
      </w:r>
      <w:r w:rsidRPr="00A26C52">
        <w:rPr>
          <w:spacing w:val="-3"/>
          <w:sz w:val="24"/>
          <w:szCs w:val="24"/>
          <w:lang w:val="da-DK"/>
        </w:rPr>
        <w:t xml:space="preserve"> </w:t>
      </w:r>
      <w:r w:rsidRPr="00A26C52">
        <w:rPr>
          <w:sz w:val="24"/>
          <w:szCs w:val="24"/>
          <w:lang w:val="da-DK"/>
        </w:rPr>
        <w:t>til</w:t>
      </w:r>
      <w:r w:rsidRPr="00A26C52">
        <w:rPr>
          <w:spacing w:val="-2"/>
          <w:sz w:val="24"/>
          <w:szCs w:val="24"/>
          <w:lang w:val="da-DK"/>
        </w:rPr>
        <w:t xml:space="preserve"> </w:t>
      </w:r>
      <w:r w:rsidRPr="00A26C52">
        <w:rPr>
          <w:sz w:val="24"/>
          <w:szCs w:val="24"/>
          <w:lang w:val="da-DK"/>
        </w:rPr>
        <w:t>baseline</w:t>
      </w:r>
      <w:r w:rsidRPr="00A26C52">
        <w:rPr>
          <w:spacing w:val="-3"/>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løbet</w:t>
      </w:r>
      <w:r w:rsidRPr="00A26C52">
        <w:rPr>
          <w:spacing w:val="-2"/>
          <w:sz w:val="24"/>
          <w:szCs w:val="24"/>
          <w:lang w:val="da-DK"/>
        </w:rPr>
        <w:t xml:space="preserve"> </w:t>
      </w:r>
      <w:r w:rsidRPr="00A26C52">
        <w:rPr>
          <w:sz w:val="24"/>
          <w:szCs w:val="24"/>
          <w:lang w:val="da-DK"/>
        </w:rPr>
        <w:t>af 6 måneder.</w:t>
      </w:r>
    </w:p>
    <w:p w14:paraId="46316FF9" w14:textId="77777777" w:rsidR="0083612A" w:rsidRPr="00A26C52" w:rsidRDefault="0083612A" w:rsidP="00A26C52">
      <w:pPr>
        <w:pStyle w:val="Brdtekst"/>
        <w:ind w:left="851"/>
        <w:rPr>
          <w:sz w:val="24"/>
          <w:szCs w:val="24"/>
          <w:lang w:val="da-DK"/>
        </w:rPr>
      </w:pPr>
    </w:p>
    <w:p w14:paraId="71A1737A" w14:textId="77777777" w:rsidR="0083612A" w:rsidRPr="00A26C52" w:rsidRDefault="0083612A" w:rsidP="00A26C52">
      <w:pPr>
        <w:pStyle w:val="Brdtekst"/>
        <w:ind w:left="851" w:right="904"/>
        <w:rPr>
          <w:sz w:val="24"/>
          <w:szCs w:val="24"/>
          <w:lang w:val="da-DK"/>
        </w:rPr>
      </w:pPr>
      <w:r w:rsidRPr="00A26C52">
        <w:rPr>
          <w:sz w:val="24"/>
          <w:szCs w:val="24"/>
          <w:lang w:val="da-DK"/>
        </w:rPr>
        <w:t>Patienter,</w:t>
      </w:r>
      <w:r w:rsidRPr="00A26C52">
        <w:rPr>
          <w:spacing w:val="-2"/>
          <w:sz w:val="24"/>
          <w:szCs w:val="24"/>
          <w:lang w:val="da-DK"/>
        </w:rPr>
        <w:t xml:space="preserve"> </w:t>
      </w:r>
      <w:r w:rsidRPr="00A26C52">
        <w:rPr>
          <w:sz w:val="24"/>
          <w:szCs w:val="24"/>
          <w:lang w:val="da-DK"/>
        </w:rPr>
        <w:t>som</w:t>
      </w:r>
      <w:r w:rsidRPr="00A26C52">
        <w:rPr>
          <w:spacing w:val="-3"/>
          <w:sz w:val="24"/>
          <w:szCs w:val="24"/>
          <w:lang w:val="da-DK"/>
        </w:rPr>
        <w:t xml:space="preserve"> </w:t>
      </w:r>
      <w:r w:rsidRPr="00A26C52">
        <w:rPr>
          <w:sz w:val="24"/>
          <w:szCs w:val="24"/>
          <w:lang w:val="da-DK"/>
        </w:rPr>
        <w:t>blev</w:t>
      </w:r>
      <w:r w:rsidRPr="00A26C52">
        <w:rPr>
          <w:spacing w:val="-2"/>
          <w:sz w:val="24"/>
          <w:szCs w:val="24"/>
          <w:lang w:val="da-DK"/>
        </w:rPr>
        <w:t xml:space="preserve"> </w:t>
      </w:r>
      <w:r w:rsidRPr="00A26C52">
        <w:rPr>
          <w:sz w:val="24"/>
          <w:szCs w:val="24"/>
          <w:lang w:val="da-DK"/>
        </w:rPr>
        <w:t>klassificeret</w:t>
      </w:r>
      <w:r w:rsidRPr="00A26C52">
        <w:rPr>
          <w:spacing w:val="-2"/>
          <w:sz w:val="24"/>
          <w:szCs w:val="24"/>
          <w:lang w:val="da-DK"/>
        </w:rPr>
        <w:t xml:space="preserve"> </w:t>
      </w:r>
      <w:r w:rsidRPr="00A26C52">
        <w:rPr>
          <w:sz w:val="24"/>
          <w:szCs w:val="24"/>
          <w:lang w:val="da-DK"/>
        </w:rPr>
        <w:t>som</w:t>
      </w:r>
      <w:r w:rsidRPr="00A26C52">
        <w:rPr>
          <w:spacing w:val="-3"/>
          <w:sz w:val="24"/>
          <w:szCs w:val="24"/>
          <w:lang w:val="da-DK"/>
        </w:rPr>
        <w:t xml:space="preserve"> </w:t>
      </w:r>
      <w:r w:rsidRPr="00A26C52">
        <w:rPr>
          <w:sz w:val="24"/>
          <w:szCs w:val="24"/>
          <w:lang w:val="da-DK"/>
        </w:rPr>
        <w:t>respondere</w:t>
      </w:r>
      <w:r w:rsidRPr="00A26C52">
        <w:rPr>
          <w:spacing w:val="-3"/>
          <w:sz w:val="24"/>
          <w:szCs w:val="24"/>
          <w:lang w:val="da-DK"/>
        </w:rPr>
        <w:t xml:space="preserve"> </w:t>
      </w:r>
      <w:r w:rsidRPr="00A26C52">
        <w:rPr>
          <w:sz w:val="24"/>
          <w:szCs w:val="24"/>
          <w:lang w:val="da-DK"/>
        </w:rPr>
        <w:t>efter</w:t>
      </w:r>
      <w:r w:rsidRPr="00A26C52">
        <w:rPr>
          <w:spacing w:val="-2"/>
          <w:sz w:val="24"/>
          <w:szCs w:val="24"/>
          <w:lang w:val="da-DK"/>
        </w:rPr>
        <w:t xml:space="preserve"> </w:t>
      </w:r>
      <w:r w:rsidRPr="00A26C52">
        <w:rPr>
          <w:sz w:val="24"/>
          <w:szCs w:val="24"/>
          <w:lang w:val="da-DK"/>
        </w:rPr>
        <w:t>6</w:t>
      </w:r>
      <w:r w:rsidRPr="00A26C52">
        <w:rPr>
          <w:spacing w:val="-2"/>
          <w:sz w:val="24"/>
          <w:szCs w:val="24"/>
          <w:lang w:val="da-DK"/>
        </w:rPr>
        <w:t xml:space="preserve"> </w:t>
      </w:r>
      <w:r w:rsidRPr="00A26C52">
        <w:rPr>
          <w:sz w:val="24"/>
          <w:szCs w:val="24"/>
          <w:lang w:val="da-DK"/>
        </w:rPr>
        <w:t>måneders</w:t>
      </w:r>
      <w:r w:rsidRPr="00A26C52">
        <w:rPr>
          <w:spacing w:val="-1"/>
          <w:sz w:val="24"/>
          <w:szCs w:val="24"/>
          <w:lang w:val="da-DK"/>
        </w:rPr>
        <w:t xml:space="preserve"> </w:t>
      </w:r>
      <w:r w:rsidRPr="00A26C52">
        <w:rPr>
          <w:sz w:val="24"/>
          <w:szCs w:val="24"/>
          <w:lang w:val="da-DK"/>
        </w:rPr>
        <w:t>hovedstudie,</w:t>
      </w:r>
      <w:r w:rsidRPr="00A26C52">
        <w:rPr>
          <w:spacing w:val="-3"/>
          <w:sz w:val="24"/>
          <w:szCs w:val="24"/>
          <w:lang w:val="da-DK"/>
        </w:rPr>
        <w:t xml:space="preserve"> </w:t>
      </w:r>
      <w:r w:rsidRPr="00A26C52">
        <w:rPr>
          <w:sz w:val="24"/>
          <w:szCs w:val="24"/>
          <w:lang w:val="da-DK"/>
        </w:rPr>
        <w:t>var</w:t>
      </w:r>
      <w:r w:rsidRPr="00A26C52">
        <w:rPr>
          <w:spacing w:val="-2"/>
          <w:sz w:val="24"/>
          <w:szCs w:val="24"/>
          <w:lang w:val="da-DK"/>
        </w:rPr>
        <w:t xml:space="preserve"> </w:t>
      </w:r>
      <w:r w:rsidRPr="00A26C52">
        <w:rPr>
          <w:sz w:val="24"/>
          <w:szCs w:val="24"/>
          <w:lang w:val="da-DK"/>
        </w:rPr>
        <w:t>egnet</w:t>
      </w:r>
      <w:r w:rsidRPr="00A26C52">
        <w:rPr>
          <w:spacing w:val="-2"/>
          <w:sz w:val="24"/>
          <w:szCs w:val="24"/>
          <w:lang w:val="da-DK"/>
        </w:rPr>
        <w:t xml:space="preserve"> </w:t>
      </w:r>
      <w:r w:rsidRPr="00A26C52">
        <w:rPr>
          <w:sz w:val="24"/>
          <w:szCs w:val="24"/>
          <w:lang w:val="da-DK"/>
        </w:rPr>
        <w:t>til</w:t>
      </w:r>
      <w:r w:rsidRPr="00A26C52">
        <w:rPr>
          <w:spacing w:val="-2"/>
          <w:sz w:val="24"/>
          <w:szCs w:val="24"/>
          <w:lang w:val="da-DK"/>
        </w:rPr>
        <w:t xml:space="preserve"> </w:t>
      </w:r>
      <w:r w:rsidRPr="00A26C52">
        <w:rPr>
          <w:sz w:val="24"/>
          <w:szCs w:val="24"/>
          <w:lang w:val="da-DK"/>
        </w:rPr>
        <w:t>at</w:t>
      </w:r>
      <w:r w:rsidRPr="00A26C52">
        <w:rPr>
          <w:spacing w:val="-2"/>
          <w:sz w:val="24"/>
          <w:szCs w:val="24"/>
          <w:lang w:val="da-DK"/>
        </w:rPr>
        <w:t xml:space="preserve"> </w:t>
      </w:r>
      <w:r w:rsidRPr="00A26C52">
        <w:rPr>
          <w:sz w:val="24"/>
          <w:szCs w:val="24"/>
          <w:lang w:val="da-DK"/>
        </w:rPr>
        <w:t>deltage i et udvidet opfølgningsstudie. Af de 153 patienter behandlet med zoledronsyre</w:t>
      </w:r>
      <w:r w:rsidRPr="00A26C52">
        <w:rPr>
          <w:spacing w:val="-5"/>
          <w:sz w:val="24"/>
          <w:szCs w:val="24"/>
          <w:lang w:val="da-DK"/>
        </w:rPr>
        <w:t xml:space="preserve"> </w:t>
      </w:r>
      <w:r w:rsidRPr="00A26C52">
        <w:rPr>
          <w:sz w:val="24"/>
          <w:szCs w:val="24"/>
          <w:lang w:val="da-DK"/>
        </w:rPr>
        <w:t>og 115 patienter behandlet med risedronat, som deltog i et udvidet observationsstudie, var andelen af patienter, som afsluttede den udvidede observationsperiode (efter en gennemsnitlig opfølgningsvarighed på 3,8 år efter dosering) pga. behov for efterbehandling (klinisk bedømmelse), højere for risedronat (48 patienter eller 41,7 %) end for zoledronsyre (11 patienter eller 7,2 %). Ved Pagets sygdom var gennemsnitstiden fra den første dosis til afslutning af den udvidede observationsperiode pga. behov for efterbehandling længere for zoledronsyre (7,7 år) end for risedronat (5,1 år).</w:t>
      </w:r>
    </w:p>
    <w:p w14:paraId="59D80F39" w14:textId="77777777" w:rsidR="0083612A" w:rsidRPr="00A26C52" w:rsidRDefault="0083612A" w:rsidP="00A26C52">
      <w:pPr>
        <w:pStyle w:val="Brdtekst"/>
        <w:ind w:left="851"/>
        <w:rPr>
          <w:sz w:val="24"/>
          <w:szCs w:val="24"/>
          <w:lang w:val="da-DK"/>
        </w:rPr>
      </w:pPr>
    </w:p>
    <w:p w14:paraId="50CCD9F1" w14:textId="77777777" w:rsidR="0083612A" w:rsidRPr="00A26C52" w:rsidRDefault="0083612A" w:rsidP="00A26C52">
      <w:pPr>
        <w:pStyle w:val="Brdtekst"/>
        <w:ind w:left="851" w:right="849"/>
        <w:rPr>
          <w:sz w:val="24"/>
          <w:szCs w:val="24"/>
          <w:lang w:val="da-DK"/>
        </w:rPr>
      </w:pPr>
      <w:r w:rsidRPr="00A26C52">
        <w:rPr>
          <w:sz w:val="24"/>
          <w:szCs w:val="24"/>
          <w:lang w:val="da-DK"/>
        </w:rPr>
        <w:t>Seks patienter, som opnåede terapeutisk respons 6 måneder efter behandling med zoledronsyre, og som senere</w:t>
      </w:r>
      <w:r w:rsidRPr="00A26C52">
        <w:rPr>
          <w:spacing w:val="-4"/>
          <w:sz w:val="24"/>
          <w:szCs w:val="24"/>
          <w:lang w:val="da-DK"/>
        </w:rPr>
        <w:t xml:space="preserve"> </w:t>
      </w:r>
      <w:r w:rsidRPr="00A26C52">
        <w:rPr>
          <w:sz w:val="24"/>
          <w:szCs w:val="24"/>
          <w:lang w:val="da-DK"/>
        </w:rPr>
        <w:t>fik</w:t>
      </w:r>
      <w:r w:rsidRPr="00A26C52">
        <w:rPr>
          <w:spacing w:val="-3"/>
          <w:sz w:val="24"/>
          <w:szCs w:val="24"/>
          <w:lang w:val="da-DK"/>
        </w:rPr>
        <w:t xml:space="preserve"> </w:t>
      </w:r>
      <w:r w:rsidRPr="00A26C52">
        <w:rPr>
          <w:sz w:val="24"/>
          <w:szCs w:val="24"/>
          <w:lang w:val="da-DK"/>
        </w:rPr>
        <w:t>sygdomstilbagefald</w:t>
      </w:r>
      <w:r w:rsidRPr="00A26C52">
        <w:rPr>
          <w:spacing w:val="-3"/>
          <w:sz w:val="24"/>
          <w:szCs w:val="24"/>
          <w:lang w:val="da-DK"/>
        </w:rPr>
        <w:t xml:space="preserve"> </w:t>
      </w:r>
      <w:r w:rsidRPr="00A26C52">
        <w:rPr>
          <w:sz w:val="24"/>
          <w:szCs w:val="24"/>
          <w:lang w:val="da-DK"/>
        </w:rPr>
        <w:t>i</w:t>
      </w:r>
      <w:r w:rsidRPr="00A26C52">
        <w:rPr>
          <w:spacing w:val="-4"/>
          <w:sz w:val="24"/>
          <w:szCs w:val="24"/>
          <w:lang w:val="da-DK"/>
        </w:rPr>
        <w:t xml:space="preserve"> </w:t>
      </w:r>
      <w:r w:rsidRPr="00A26C52">
        <w:rPr>
          <w:sz w:val="24"/>
          <w:szCs w:val="24"/>
          <w:lang w:val="da-DK"/>
        </w:rPr>
        <w:t>den</w:t>
      </w:r>
      <w:r w:rsidRPr="00A26C52">
        <w:rPr>
          <w:spacing w:val="-3"/>
          <w:sz w:val="24"/>
          <w:szCs w:val="24"/>
          <w:lang w:val="da-DK"/>
        </w:rPr>
        <w:t xml:space="preserve"> </w:t>
      </w:r>
      <w:r w:rsidRPr="00A26C52">
        <w:rPr>
          <w:sz w:val="24"/>
          <w:szCs w:val="24"/>
          <w:lang w:val="da-DK"/>
        </w:rPr>
        <w:t>udvidede</w:t>
      </w:r>
      <w:r w:rsidRPr="00A26C52">
        <w:rPr>
          <w:spacing w:val="-4"/>
          <w:sz w:val="24"/>
          <w:szCs w:val="24"/>
          <w:lang w:val="da-DK"/>
        </w:rPr>
        <w:t xml:space="preserve"> </w:t>
      </w:r>
      <w:r w:rsidRPr="00A26C52">
        <w:rPr>
          <w:sz w:val="24"/>
          <w:szCs w:val="24"/>
          <w:lang w:val="da-DK"/>
        </w:rPr>
        <w:t>opfølgningsperiode,</w:t>
      </w:r>
      <w:r w:rsidRPr="00A26C52">
        <w:rPr>
          <w:spacing w:val="-3"/>
          <w:sz w:val="24"/>
          <w:szCs w:val="24"/>
          <w:lang w:val="da-DK"/>
        </w:rPr>
        <w:t xml:space="preserve"> </w:t>
      </w:r>
      <w:r w:rsidRPr="00A26C52">
        <w:rPr>
          <w:sz w:val="24"/>
          <w:szCs w:val="24"/>
          <w:lang w:val="da-DK"/>
        </w:rPr>
        <w:t>blev</w:t>
      </w:r>
      <w:r w:rsidRPr="00A26C52">
        <w:rPr>
          <w:spacing w:val="-3"/>
          <w:sz w:val="24"/>
          <w:szCs w:val="24"/>
          <w:lang w:val="da-DK"/>
        </w:rPr>
        <w:t xml:space="preserve"> </w:t>
      </w:r>
      <w:r w:rsidRPr="00A26C52">
        <w:rPr>
          <w:sz w:val="24"/>
          <w:szCs w:val="24"/>
          <w:lang w:val="da-DK"/>
        </w:rPr>
        <w:t>efterbehandlet</w:t>
      </w:r>
      <w:r w:rsidRPr="00A26C52">
        <w:rPr>
          <w:spacing w:val="-3"/>
          <w:sz w:val="24"/>
          <w:szCs w:val="24"/>
          <w:lang w:val="da-DK"/>
        </w:rPr>
        <w:t xml:space="preserve"> </w:t>
      </w:r>
      <w:r w:rsidRPr="00A26C52">
        <w:rPr>
          <w:sz w:val="24"/>
          <w:szCs w:val="24"/>
          <w:lang w:val="da-DK"/>
        </w:rPr>
        <w:t>med</w:t>
      </w:r>
      <w:r w:rsidRPr="00A26C52">
        <w:rPr>
          <w:spacing w:val="-3"/>
          <w:sz w:val="24"/>
          <w:szCs w:val="24"/>
          <w:lang w:val="da-DK"/>
        </w:rPr>
        <w:t xml:space="preserve"> </w:t>
      </w:r>
      <w:r w:rsidRPr="00A26C52">
        <w:rPr>
          <w:sz w:val="24"/>
          <w:szCs w:val="24"/>
          <w:lang w:val="da-DK"/>
        </w:rPr>
        <w:t>zoledronsyre</w:t>
      </w:r>
      <w:r w:rsidRPr="00A26C52">
        <w:rPr>
          <w:spacing w:val="-5"/>
          <w:sz w:val="24"/>
          <w:szCs w:val="24"/>
          <w:lang w:val="da-DK"/>
        </w:rPr>
        <w:t xml:space="preserve"> </w:t>
      </w:r>
      <w:r w:rsidRPr="00A26C52">
        <w:rPr>
          <w:sz w:val="24"/>
          <w:szCs w:val="24"/>
          <w:lang w:val="da-DK"/>
        </w:rPr>
        <w:t>gennemsnitligt 6,5 år efter første behandling. Fem af de 6 patienter havde SAP inden for normalområdet ved måned 6 (</w:t>
      </w:r>
      <w:r w:rsidRPr="00A26C52">
        <w:rPr>
          <w:i/>
          <w:sz w:val="24"/>
          <w:szCs w:val="24"/>
          <w:lang w:val="da-DK"/>
        </w:rPr>
        <w:t>Last Observation Carried Forward</w:t>
      </w:r>
      <w:r w:rsidRPr="00A26C52">
        <w:rPr>
          <w:sz w:val="24"/>
          <w:szCs w:val="24"/>
          <w:lang w:val="da-DK"/>
        </w:rPr>
        <w:t>, LOCF).</w:t>
      </w:r>
    </w:p>
    <w:p w14:paraId="5DD1E364" w14:textId="77777777" w:rsidR="0083612A" w:rsidRPr="00A26C52" w:rsidRDefault="0083612A" w:rsidP="00A26C52">
      <w:pPr>
        <w:pStyle w:val="Brdtekst"/>
        <w:ind w:left="851"/>
        <w:rPr>
          <w:sz w:val="24"/>
          <w:szCs w:val="24"/>
          <w:lang w:val="da-DK"/>
        </w:rPr>
      </w:pPr>
    </w:p>
    <w:p w14:paraId="580D624C" w14:textId="187AD0EC" w:rsidR="0083612A" w:rsidRDefault="0083612A" w:rsidP="00A26C52">
      <w:pPr>
        <w:pStyle w:val="Brdtekst"/>
        <w:ind w:left="851" w:right="925"/>
        <w:rPr>
          <w:sz w:val="24"/>
          <w:szCs w:val="24"/>
          <w:lang w:val="da-DK"/>
        </w:rPr>
      </w:pPr>
      <w:r w:rsidRPr="00A26C52">
        <w:rPr>
          <w:sz w:val="24"/>
          <w:szCs w:val="24"/>
          <w:lang w:val="da-DK"/>
        </w:rPr>
        <w:t>Knoglehistologi blev evalueret hos 7 patienter med Pagets sygdom 6 måneder efter behandling med</w:t>
      </w:r>
      <w:r w:rsidRPr="00A26C52">
        <w:rPr>
          <w:spacing w:val="80"/>
          <w:sz w:val="24"/>
          <w:szCs w:val="24"/>
          <w:lang w:val="da-DK"/>
        </w:rPr>
        <w:t xml:space="preserve"> </w:t>
      </w:r>
      <w:r w:rsidRPr="00A26C52">
        <w:rPr>
          <w:sz w:val="24"/>
          <w:szCs w:val="24"/>
          <w:lang w:val="da-DK"/>
        </w:rPr>
        <w:t>5 mg zoledronsyre. Resultater af knoglebiopsi viste knogler af normal kvalitet og ingen nedsat remodellering</w:t>
      </w:r>
      <w:r w:rsidRPr="00A26C52">
        <w:rPr>
          <w:spacing w:val="-3"/>
          <w:sz w:val="24"/>
          <w:szCs w:val="24"/>
          <w:lang w:val="da-DK"/>
        </w:rPr>
        <w:t xml:space="preserve"> </w:t>
      </w:r>
      <w:r w:rsidRPr="00A26C52">
        <w:rPr>
          <w:sz w:val="24"/>
          <w:szCs w:val="24"/>
          <w:lang w:val="da-DK"/>
        </w:rPr>
        <w:t>af</w:t>
      </w:r>
      <w:r w:rsidRPr="00A26C52">
        <w:rPr>
          <w:spacing w:val="-3"/>
          <w:sz w:val="24"/>
          <w:szCs w:val="24"/>
          <w:lang w:val="da-DK"/>
        </w:rPr>
        <w:t xml:space="preserve"> </w:t>
      </w:r>
      <w:r w:rsidRPr="00A26C52">
        <w:rPr>
          <w:sz w:val="24"/>
          <w:szCs w:val="24"/>
          <w:lang w:val="da-DK"/>
        </w:rPr>
        <w:t>knoglerne</w:t>
      </w:r>
      <w:r w:rsidRPr="00A26C52">
        <w:rPr>
          <w:spacing w:val="-4"/>
          <w:sz w:val="24"/>
          <w:szCs w:val="24"/>
          <w:lang w:val="da-DK"/>
        </w:rPr>
        <w:t xml:space="preserve"> </w:t>
      </w:r>
      <w:r w:rsidRPr="00A26C52">
        <w:rPr>
          <w:sz w:val="24"/>
          <w:szCs w:val="24"/>
          <w:lang w:val="da-DK"/>
        </w:rPr>
        <w:t>og</w:t>
      </w:r>
      <w:r w:rsidRPr="00A26C52">
        <w:rPr>
          <w:spacing w:val="-3"/>
          <w:sz w:val="24"/>
          <w:szCs w:val="24"/>
          <w:lang w:val="da-DK"/>
        </w:rPr>
        <w:t xml:space="preserve"> </w:t>
      </w:r>
      <w:r w:rsidRPr="00A26C52">
        <w:rPr>
          <w:sz w:val="24"/>
          <w:szCs w:val="24"/>
          <w:lang w:val="da-DK"/>
        </w:rPr>
        <w:t>ingen</w:t>
      </w:r>
      <w:r w:rsidRPr="00A26C52">
        <w:rPr>
          <w:spacing w:val="-4"/>
          <w:sz w:val="24"/>
          <w:szCs w:val="24"/>
          <w:lang w:val="da-DK"/>
        </w:rPr>
        <w:t xml:space="preserve"> </w:t>
      </w:r>
      <w:r w:rsidRPr="00A26C52">
        <w:rPr>
          <w:sz w:val="24"/>
          <w:szCs w:val="24"/>
          <w:lang w:val="da-DK"/>
        </w:rPr>
        <w:t>mineraliseringsdefekter.</w:t>
      </w:r>
      <w:r w:rsidRPr="00A26C52">
        <w:rPr>
          <w:spacing w:val="-3"/>
          <w:sz w:val="24"/>
          <w:szCs w:val="24"/>
          <w:lang w:val="da-DK"/>
        </w:rPr>
        <w:t xml:space="preserve"> </w:t>
      </w:r>
      <w:r w:rsidRPr="00A26C52">
        <w:rPr>
          <w:sz w:val="24"/>
          <w:szCs w:val="24"/>
          <w:lang w:val="da-DK"/>
        </w:rPr>
        <w:t>Disse</w:t>
      </w:r>
      <w:r w:rsidRPr="00A26C52">
        <w:rPr>
          <w:spacing w:val="-4"/>
          <w:sz w:val="24"/>
          <w:szCs w:val="24"/>
          <w:lang w:val="da-DK"/>
        </w:rPr>
        <w:t xml:space="preserve"> </w:t>
      </w:r>
      <w:r w:rsidRPr="00A26C52">
        <w:rPr>
          <w:sz w:val="24"/>
          <w:szCs w:val="24"/>
          <w:lang w:val="da-DK"/>
        </w:rPr>
        <w:t>resultater</w:t>
      </w:r>
      <w:r w:rsidRPr="00A26C52">
        <w:rPr>
          <w:spacing w:val="-3"/>
          <w:sz w:val="24"/>
          <w:szCs w:val="24"/>
          <w:lang w:val="da-DK"/>
        </w:rPr>
        <w:t xml:space="preserve"> </w:t>
      </w:r>
      <w:r w:rsidRPr="00A26C52">
        <w:rPr>
          <w:sz w:val="24"/>
          <w:szCs w:val="24"/>
          <w:lang w:val="da-DK"/>
        </w:rPr>
        <w:t>var</w:t>
      </w:r>
      <w:r w:rsidRPr="00A26C52">
        <w:rPr>
          <w:spacing w:val="-3"/>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overensstemmelse med målinger af biokemiske markører, som viste normal knogleomsætning.</w:t>
      </w:r>
    </w:p>
    <w:p w14:paraId="3AAD9F0A" w14:textId="77777777" w:rsidR="00A26C52" w:rsidRPr="00A26C52" w:rsidRDefault="00A26C52" w:rsidP="00A26C52">
      <w:pPr>
        <w:pStyle w:val="Brdtekst"/>
        <w:ind w:left="851" w:right="925"/>
        <w:rPr>
          <w:sz w:val="24"/>
          <w:szCs w:val="24"/>
          <w:lang w:val="da-DK"/>
        </w:rPr>
      </w:pPr>
    </w:p>
    <w:p w14:paraId="1480D7D3" w14:textId="77777777" w:rsidR="0083612A" w:rsidRPr="00A26C52" w:rsidRDefault="0083612A" w:rsidP="00A26C52">
      <w:pPr>
        <w:pStyle w:val="Brdtekst"/>
        <w:ind w:left="851"/>
        <w:rPr>
          <w:sz w:val="24"/>
          <w:szCs w:val="24"/>
          <w:lang w:val="da-DK"/>
        </w:rPr>
      </w:pPr>
      <w:r w:rsidRPr="00A26C52">
        <w:rPr>
          <w:sz w:val="24"/>
          <w:szCs w:val="24"/>
          <w:u w:val="single"/>
          <w:lang w:val="da-DK"/>
        </w:rPr>
        <w:t>Pædiatrisk</w:t>
      </w:r>
      <w:r w:rsidRPr="00A26C52">
        <w:rPr>
          <w:spacing w:val="-13"/>
          <w:sz w:val="24"/>
          <w:szCs w:val="24"/>
          <w:u w:val="single"/>
          <w:lang w:val="da-DK"/>
        </w:rPr>
        <w:t xml:space="preserve"> </w:t>
      </w:r>
      <w:r w:rsidRPr="00A26C52">
        <w:rPr>
          <w:spacing w:val="-2"/>
          <w:sz w:val="24"/>
          <w:szCs w:val="24"/>
          <w:u w:val="single"/>
          <w:lang w:val="da-DK"/>
        </w:rPr>
        <w:t>population</w:t>
      </w:r>
    </w:p>
    <w:p w14:paraId="333AAE9F" w14:textId="77777777" w:rsidR="0083612A" w:rsidRPr="00A26C52" w:rsidRDefault="0083612A" w:rsidP="00A26C52">
      <w:pPr>
        <w:pStyle w:val="Brdtekst"/>
        <w:ind w:left="851" w:right="849"/>
        <w:rPr>
          <w:sz w:val="24"/>
          <w:szCs w:val="24"/>
          <w:lang w:val="da-DK"/>
        </w:rPr>
      </w:pPr>
      <w:r w:rsidRPr="00A26C52">
        <w:rPr>
          <w:sz w:val="24"/>
          <w:szCs w:val="24"/>
          <w:lang w:val="da-DK"/>
        </w:rPr>
        <w:t>Der er gennemført et randomiseret, dobbeltblindet, placebo-kontrolleret studie med pædiatriske patienter</w:t>
      </w:r>
      <w:r w:rsidRPr="00A26C52">
        <w:rPr>
          <w:spacing w:val="-3"/>
          <w:sz w:val="24"/>
          <w:szCs w:val="24"/>
          <w:lang w:val="da-DK"/>
        </w:rPr>
        <w:t xml:space="preserve"> </w:t>
      </w:r>
      <w:r w:rsidRPr="00A26C52">
        <w:rPr>
          <w:sz w:val="24"/>
          <w:szCs w:val="24"/>
          <w:lang w:val="da-DK"/>
        </w:rPr>
        <w:t>i</w:t>
      </w:r>
      <w:r w:rsidRPr="00A26C52">
        <w:rPr>
          <w:spacing w:val="-3"/>
          <w:sz w:val="24"/>
          <w:szCs w:val="24"/>
          <w:lang w:val="da-DK"/>
        </w:rPr>
        <w:t xml:space="preserve"> </w:t>
      </w:r>
      <w:r w:rsidRPr="00A26C52">
        <w:rPr>
          <w:sz w:val="24"/>
          <w:szCs w:val="24"/>
          <w:lang w:val="da-DK"/>
        </w:rPr>
        <w:t>alderen</w:t>
      </w:r>
      <w:r w:rsidRPr="00A26C52">
        <w:rPr>
          <w:spacing w:val="-3"/>
          <w:sz w:val="24"/>
          <w:szCs w:val="24"/>
          <w:lang w:val="da-DK"/>
        </w:rPr>
        <w:t xml:space="preserve"> </w:t>
      </w:r>
      <w:r w:rsidRPr="00A26C52">
        <w:rPr>
          <w:sz w:val="24"/>
          <w:szCs w:val="24"/>
          <w:lang w:val="da-DK"/>
        </w:rPr>
        <w:t>5-17</w:t>
      </w:r>
      <w:r w:rsidRPr="00A26C52">
        <w:rPr>
          <w:spacing w:val="-3"/>
          <w:sz w:val="24"/>
          <w:szCs w:val="24"/>
          <w:lang w:val="da-DK"/>
        </w:rPr>
        <w:t xml:space="preserve"> </w:t>
      </w:r>
      <w:r w:rsidRPr="00A26C52">
        <w:rPr>
          <w:sz w:val="24"/>
          <w:szCs w:val="24"/>
          <w:lang w:val="da-DK"/>
        </w:rPr>
        <w:t>år</w:t>
      </w:r>
      <w:r w:rsidRPr="00A26C52">
        <w:rPr>
          <w:spacing w:val="-3"/>
          <w:sz w:val="24"/>
          <w:szCs w:val="24"/>
          <w:lang w:val="da-DK"/>
        </w:rPr>
        <w:t xml:space="preserve"> </w:t>
      </w:r>
      <w:r w:rsidRPr="00A26C52">
        <w:rPr>
          <w:sz w:val="24"/>
          <w:szCs w:val="24"/>
          <w:lang w:val="da-DK"/>
        </w:rPr>
        <w:t>i</w:t>
      </w:r>
      <w:r w:rsidRPr="00A26C52">
        <w:rPr>
          <w:spacing w:val="-4"/>
          <w:sz w:val="24"/>
          <w:szCs w:val="24"/>
          <w:lang w:val="da-DK"/>
        </w:rPr>
        <w:t xml:space="preserve"> </w:t>
      </w:r>
      <w:r w:rsidRPr="00A26C52">
        <w:rPr>
          <w:sz w:val="24"/>
          <w:szCs w:val="24"/>
          <w:lang w:val="da-DK"/>
        </w:rPr>
        <w:t>behandling</w:t>
      </w:r>
      <w:r w:rsidRPr="00A26C52">
        <w:rPr>
          <w:spacing w:val="-4"/>
          <w:sz w:val="24"/>
          <w:szCs w:val="24"/>
          <w:lang w:val="da-DK"/>
        </w:rPr>
        <w:t xml:space="preserve"> </w:t>
      </w:r>
      <w:r w:rsidRPr="00A26C52">
        <w:rPr>
          <w:sz w:val="24"/>
          <w:szCs w:val="24"/>
          <w:lang w:val="da-DK"/>
        </w:rPr>
        <w:t>med</w:t>
      </w:r>
      <w:r w:rsidRPr="00A26C52">
        <w:rPr>
          <w:spacing w:val="-3"/>
          <w:sz w:val="24"/>
          <w:szCs w:val="24"/>
          <w:lang w:val="da-DK"/>
        </w:rPr>
        <w:t xml:space="preserve"> </w:t>
      </w:r>
      <w:r w:rsidRPr="00A26C52">
        <w:rPr>
          <w:sz w:val="24"/>
          <w:szCs w:val="24"/>
          <w:lang w:val="da-DK"/>
        </w:rPr>
        <w:t>glukokortikoider.</w:t>
      </w:r>
      <w:r w:rsidRPr="00A26C52">
        <w:rPr>
          <w:spacing w:val="-3"/>
          <w:sz w:val="24"/>
          <w:szCs w:val="24"/>
          <w:lang w:val="da-DK"/>
        </w:rPr>
        <w:t xml:space="preserve"> </w:t>
      </w:r>
      <w:r w:rsidRPr="00A26C52">
        <w:rPr>
          <w:sz w:val="24"/>
          <w:szCs w:val="24"/>
          <w:lang w:val="da-DK"/>
        </w:rPr>
        <w:t>Patienterne</w:t>
      </w:r>
      <w:r w:rsidRPr="00A26C52">
        <w:rPr>
          <w:spacing w:val="-4"/>
          <w:sz w:val="24"/>
          <w:szCs w:val="24"/>
          <w:lang w:val="da-DK"/>
        </w:rPr>
        <w:t xml:space="preserve"> </w:t>
      </w:r>
      <w:r w:rsidRPr="00A26C52">
        <w:rPr>
          <w:sz w:val="24"/>
          <w:szCs w:val="24"/>
          <w:lang w:val="da-DK"/>
        </w:rPr>
        <w:t>havde</w:t>
      </w:r>
      <w:r w:rsidRPr="00A26C52">
        <w:rPr>
          <w:spacing w:val="-4"/>
          <w:sz w:val="24"/>
          <w:szCs w:val="24"/>
          <w:lang w:val="da-DK"/>
        </w:rPr>
        <w:t xml:space="preserve"> </w:t>
      </w:r>
      <w:r w:rsidRPr="00A26C52">
        <w:rPr>
          <w:sz w:val="24"/>
          <w:szCs w:val="24"/>
          <w:lang w:val="da-DK"/>
        </w:rPr>
        <w:t>nedsat</w:t>
      </w:r>
      <w:r w:rsidRPr="00A26C52">
        <w:rPr>
          <w:spacing w:val="-3"/>
          <w:sz w:val="24"/>
          <w:szCs w:val="24"/>
          <w:lang w:val="da-DK"/>
        </w:rPr>
        <w:t xml:space="preserve"> </w:t>
      </w:r>
      <w:r w:rsidRPr="00A26C52">
        <w:rPr>
          <w:sz w:val="24"/>
          <w:szCs w:val="24"/>
          <w:lang w:val="da-DK"/>
        </w:rPr>
        <w:t>knogledensitet (lændehvirvelsøjle BMD Z-score ≤ -0,5) og osteoporotiske frakturer. Patientpopulationen, der blev randomiseret i studiet (ITT-population), inkluderede patienter med flere undertyper af reumatiske lidelser, inflammatorisk tarmsygdom eller Duchennes muskeldystrofi. Det var planlagt at inkludere</w:t>
      </w:r>
    </w:p>
    <w:p w14:paraId="6D49D9DC" w14:textId="77777777" w:rsidR="0083612A" w:rsidRPr="00A26C52" w:rsidRDefault="0083612A" w:rsidP="00A26C52">
      <w:pPr>
        <w:pStyle w:val="Brdtekst"/>
        <w:ind w:left="851" w:right="808"/>
        <w:rPr>
          <w:sz w:val="24"/>
          <w:szCs w:val="24"/>
          <w:lang w:val="da-DK"/>
        </w:rPr>
      </w:pPr>
      <w:r w:rsidRPr="00A26C52">
        <w:rPr>
          <w:sz w:val="24"/>
          <w:szCs w:val="24"/>
          <w:lang w:val="da-DK"/>
        </w:rPr>
        <w:lastRenderedPageBreak/>
        <w:t>92 patienter i studiet, men kun 34 patienter blev inkluderet og randomiseret til behandling med enten en</w:t>
      </w:r>
      <w:r w:rsidRPr="00A26C52">
        <w:rPr>
          <w:spacing w:val="-2"/>
          <w:sz w:val="24"/>
          <w:szCs w:val="24"/>
          <w:lang w:val="da-DK"/>
        </w:rPr>
        <w:t xml:space="preserve"> </w:t>
      </w:r>
      <w:r w:rsidRPr="00A26C52">
        <w:rPr>
          <w:sz w:val="24"/>
          <w:szCs w:val="24"/>
          <w:lang w:val="da-DK"/>
        </w:rPr>
        <w:t>intravenøs</w:t>
      </w:r>
      <w:r w:rsidRPr="00A26C52">
        <w:rPr>
          <w:spacing w:val="-3"/>
          <w:sz w:val="24"/>
          <w:szCs w:val="24"/>
          <w:lang w:val="da-DK"/>
        </w:rPr>
        <w:t xml:space="preserve"> </w:t>
      </w:r>
      <w:r w:rsidRPr="00A26C52">
        <w:rPr>
          <w:sz w:val="24"/>
          <w:szCs w:val="24"/>
          <w:lang w:val="da-DK"/>
        </w:rPr>
        <w:t>infusion</w:t>
      </w:r>
      <w:r w:rsidRPr="00A26C52">
        <w:rPr>
          <w:spacing w:val="-2"/>
          <w:sz w:val="24"/>
          <w:szCs w:val="24"/>
          <w:lang w:val="da-DK"/>
        </w:rPr>
        <w:t xml:space="preserve"> </w:t>
      </w:r>
      <w:r w:rsidRPr="00A26C52">
        <w:rPr>
          <w:sz w:val="24"/>
          <w:szCs w:val="24"/>
          <w:lang w:val="da-DK"/>
        </w:rPr>
        <w:t>af</w:t>
      </w:r>
      <w:r w:rsidRPr="00A26C52">
        <w:rPr>
          <w:spacing w:val="-4"/>
          <w:sz w:val="24"/>
          <w:szCs w:val="24"/>
          <w:lang w:val="da-DK"/>
        </w:rPr>
        <w:t xml:space="preserve"> </w:t>
      </w:r>
      <w:r w:rsidRPr="00A26C52">
        <w:rPr>
          <w:sz w:val="24"/>
          <w:szCs w:val="24"/>
          <w:lang w:val="da-DK"/>
        </w:rPr>
        <w:t>0,05</w:t>
      </w:r>
      <w:r w:rsidRPr="00A26C52">
        <w:rPr>
          <w:spacing w:val="-2"/>
          <w:sz w:val="24"/>
          <w:szCs w:val="24"/>
          <w:lang w:val="da-DK"/>
        </w:rPr>
        <w:t xml:space="preserve"> </w:t>
      </w:r>
      <w:r w:rsidRPr="00A26C52">
        <w:rPr>
          <w:sz w:val="24"/>
          <w:szCs w:val="24"/>
          <w:lang w:val="da-DK"/>
        </w:rPr>
        <w:t>mg/kg</w:t>
      </w:r>
      <w:r w:rsidRPr="00A26C52">
        <w:rPr>
          <w:spacing w:val="-2"/>
          <w:sz w:val="24"/>
          <w:szCs w:val="24"/>
          <w:lang w:val="da-DK"/>
        </w:rPr>
        <w:t xml:space="preserve"> </w:t>
      </w:r>
      <w:r w:rsidRPr="00A26C52">
        <w:rPr>
          <w:sz w:val="24"/>
          <w:szCs w:val="24"/>
          <w:lang w:val="da-DK"/>
        </w:rPr>
        <w:t>(højst</w:t>
      </w:r>
      <w:r w:rsidRPr="00A26C52">
        <w:rPr>
          <w:spacing w:val="-2"/>
          <w:sz w:val="24"/>
          <w:szCs w:val="24"/>
          <w:lang w:val="da-DK"/>
        </w:rPr>
        <w:t xml:space="preserve"> </w:t>
      </w:r>
      <w:r w:rsidRPr="00A26C52">
        <w:rPr>
          <w:sz w:val="24"/>
          <w:szCs w:val="24"/>
          <w:lang w:val="da-DK"/>
        </w:rPr>
        <w:t>5</w:t>
      </w:r>
      <w:r w:rsidRPr="00A26C52">
        <w:rPr>
          <w:spacing w:val="-2"/>
          <w:sz w:val="24"/>
          <w:szCs w:val="24"/>
          <w:lang w:val="da-DK"/>
        </w:rPr>
        <w:t xml:space="preserve"> </w:t>
      </w:r>
      <w:r w:rsidRPr="00A26C52">
        <w:rPr>
          <w:sz w:val="24"/>
          <w:szCs w:val="24"/>
          <w:lang w:val="da-DK"/>
        </w:rPr>
        <w:t>mg)</w:t>
      </w:r>
      <w:r w:rsidRPr="00A26C52">
        <w:rPr>
          <w:spacing w:val="-2"/>
          <w:sz w:val="24"/>
          <w:szCs w:val="24"/>
          <w:lang w:val="da-DK"/>
        </w:rPr>
        <w:t xml:space="preserve"> </w:t>
      </w:r>
      <w:r w:rsidRPr="00A26C52">
        <w:rPr>
          <w:sz w:val="24"/>
          <w:szCs w:val="24"/>
          <w:lang w:val="da-DK"/>
        </w:rPr>
        <w:t>zoledronsyre</w:t>
      </w:r>
      <w:r w:rsidRPr="00A26C52">
        <w:rPr>
          <w:spacing w:val="-3"/>
          <w:sz w:val="24"/>
          <w:szCs w:val="24"/>
          <w:lang w:val="da-DK"/>
        </w:rPr>
        <w:t xml:space="preserve"> </w:t>
      </w:r>
      <w:r w:rsidRPr="00A26C52">
        <w:rPr>
          <w:sz w:val="24"/>
          <w:szCs w:val="24"/>
          <w:lang w:val="da-DK"/>
        </w:rPr>
        <w:t>2</w:t>
      </w:r>
      <w:r w:rsidRPr="00A26C52">
        <w:rPr>
          <w:spacing w:val="-3"/>
          <w:sz w:val="24"/>
          <w:szCs w:val="24"/>
          <w:lang w:val="da-DK"/>
        </w:rPr>
        <w:t xml:space="preserve"> </w:t>
      </w:r>
      <w:r w:rsidRPr="00A26C52">
        <w:rPr>
          <w:sz w:val="24"/>
          <w:szCs w:val="24"/>
          <w:lang w:val="da-DK"/>
        </w:rPr>
        <w:t>gange</w:t>
      </w:r>
      <w:r w:rsidRPr="00A26C52">
        <w:rPr>
          <w:spacing w:val="-3"/>
          <w:sz w:val="24"/>
          <w:szCs w:val="24"/>
          <w:lang w:val="da-DK"/>
        </w:rPr>
        <w:t xml:space="preserve"> </w:t>
      </w:r>
      <w:r w:rsidRPr="00A26C52">
        <w:rPr>
          <w:sz w:val="24"/>
          <w:szCs w:val="24"/>
          <w:lang w:val="da-DK"/>
        </w:rPr>
        <w:t>årligt</w:t>
      </w:r>
      <w:r w:rsidRPr="00A26C52">
        <w:rPr>
          <w:spacing w:val="-2"/>
          <w:sz w:val="24"/>
          <w:szCs w:val="24"/>
          <w:lang w:val="da-DK"/>
        </w:rPr>
        <w:t xml:space="preserve"> </w:t>
      </w:r>
      <w:r w:rsidRPr="00A26C52">
        <w:rPr>
          <w:sz w:val="24"/>
          <w:szCs w:val="24"/>
          <w:lang w:val="da-DK"/>
        </w:rPr>
        <w:t>eller</w:t>
      </w:r>
      <w:r w:rsidRPr="00A26C52">
        <w:rPr>
          <w:spacing w:val="-2"/>
          <w:sz w:val="24"/>
          <w:szCs w:val="24"/>
          <w:lang w:val="da-DK"/>
        </w:rPr>
        <w:t xml:space="preserve"> </w:t>
      </w:r>
      <w:r w:rsidRPr="00A26C52">
        <w:rPr>
          <w:sz w:val="24"/>
          <w:szCs w:val="24"/>
          <w:lang w:val="da-DK"/>
        </w:rPr>
        <w:t>placebo</w:t>
      </w:r>
      <w:r w:rsidRPr="00A26C52">
        <w:rPr>
          <w:spacing w:val="-2"/>
          <w:sz w:val="24"/>
          <w:szCs w:val="24"/>
          <w:lang w:val="da-DK"/>
        </w:rPr>
        <w:t xml:space="preserve"> </w:t>
      </w:r>
      <w:r w:rsidRPr="00A26C52">
        <w:rPr>
          <w:sz w:val="24"/>
          <w:szCs w:val="24"/>
          <w:lang w:val="da-DK"/>
        </w:rPr>
        <w:t>i</w:t>
      </w:r>
      <w:r w:rsidRPr="00A26C52">
        <w:rPr>
          <w:spacing w:val="-2"/>
          <w:sz w:val="24"/>
          <w:szCs w:val="24"/>
          <w:lang w:val="da-DK"/>
        </w:rPr>
        <w:t xml:space="preserve"> </w:t>
      </w:r>
      <w:r w:rsidRPr="00A26C52">
        <w:rPr>
          <w:sz w:val="24"/>
          <w:szCs w:val="24"/>
          <w:lang w:val="da-DK"/>
        </w:rPr>
        <w:t>et</w:t>
      </w:r>
      <w:r w:rsidRPr="00A26C52">
        <w:rPr>
          <w:spacing w:val="-2"/>
          <w:sz w:val="24"/>
          <w:szCs w:val="24"/>
          <w:lang w:val="da-DK"/>
        </w:rPr>
        <w:t xml:space="preserve"> </w:t>
      </w:r>
      <w:r w:rsidRPr="00A26C52">
        <w:rPr>
          <w:sz w:val="24"/>
          <w:szCs w:val="24"/>
          <w:lang w:val="da-DK"/>
        </w:rPr>
        <w:t>år.</w:t>
      </w:r>
      <w:r w:rsidRPr="00A26C52">
        <w:rPr>
          <w:spacing w:val="-2"/>
          <w:sz w:val="24"/>
          <w:szCs w:val="24"/>
          <w:lang w:val="da-DK"/>
        </w:rPr>
        <w:t xml:space="preserve"> </w:t>
      </w:r>
      <w:r w:rsidRPr="00A26C52">
        <w:rPr>
          <w:sz w:val="24"/>
          <w:szCs w:val="24"/>
          <w:lang w:val="da-DK"/>
        </w:rPr>
        <w:t>Alle patienter blev pålagt D-vitamin og calcium som baggrundsbehandling.</w:t>
      </w:r>
    </w:p>
    <w:p w14:paraId="4537AD6E" w14:textId="77777777" w:rsidR="0083612A" w:rsidRPr="00A26C52" w:rsidRDefault="0083612A" w:rsidP="00A26C52">
      <w:pPr>
        <w:pStyle w:val="Brdtekst"/>
        <w:ind w:left="851"/>
        <w:rPr>
          <w:sz w:val="24"/>
          <w:szCs w:val="24"/>
          <w:lang w:val="da-DK"/>
        </w:rPr>
      </w:pPr>
    </w:p>
    <w:p w14:paraId="04052D01" w14:textId="77777777" w:rsidR="0083612A" w:rsidRPr="00A26C52" w:rsidRDefault="0083612A" w:rsidP="00A26C52">
      <w:pPr>
        <w:pStyle w:val="Brdtekst"/>
        <w:ind w:left="851" w:right="840"/>
        <w:rPr>
          <w:sz w:val="24"/>
          <w:szCs w:val="24"/>
          <w:lang w:val="da-DK"/>
        </w:rPr>
      </w:pPr>
      <w:r w:rsidRPr="00A26C52">
        <w:rPr>
          <w:sz w:val="24"/>
          <w:szCs w:val="24"/>
          <w:lang w:val="da-DK"/>
        </w:rPr>
        <w:t xml:space="preserve">Infusion af zoledronsyre resulterede i en stigning i gennemsnitlig lændehvirvelsøjle BMD Z-score </w:t>
      </w:r>
      <w:r w:rsidRPr="00A26C52">
        <w:rPr>
          <w:i/>
          <w:sz w:val="24"/>
          <w:szCs w:val="24"/>
          <w:lang w:val="da-DK"/>
        </w:rPr>
        <w:t xml:space="preserve">least square (LS) </w:t>
      </w:r>
      <w:r w:rsidRPr="00A26C52">
        <w:rPr>
          <w:sz w:val="24"/>
          <w:szCs w:val="24"/>
          <w:lang w:val="da-DK"/>
        </w:rPr>
        <w:t>på 0,41 efter 12 måneder i forhold til baseline sammenlignet med placebo (95</w:t>
      </w:r>
      <w:r w:rsidRPr="00A26C52">
        <w:rPr>
          <w:spacing w:val="-1"/>
          <w:sz w:val="24"/>
          <w:szCs w:val="24"/>
          <w:lang w:val="da-DK"/>
        </w:rPr>
        <w:t xml:space="preserve"> </w:t>
      </w:r>
      <w:r w:rsidRPr="00A26C52">
        <w:rPr>
          <w:sz w:val="24"/>
          <w:szCs w:val="24"/>
          <w:lang w:val="da-DK"/>
        </w:rPr>
        <w:t>% CI: 0,02, 0,81; 18 og 16 patienter, henholdsvis). Der blev ikke påvist en</w:t>
      </w:r>
      <w:r w:rsidRPr="00A26C52">
        <w:rPr>
          <w:spacing w:val="-1"/>
          <w:sz w:val="24"/>
          <w:szCs w:val="24"/>
          <w:lang w:val="da-DK"/>
        </w:rPr>
        <w:t xml:space="preserve"> </w:t>
      </w:r>
      <w:r w:rsidRPr="00A26C52">
        <w:rPr>
          <w:sz w:val="24"/>
          <w:szCs w:val="24"/>
          <w:lang w:val="da-DK"/>
        </w:rPr>
        <w:t>effekt på lændehvirvelsøjle BMD Z-score efter behandling i 6 måneder. Ved 12 måneder blev der observeret en statistisk signifikant (p&lt;0,05) reduktion i</w:t>
      </w:r>
      <w:r w:rsidRPr="00A26C52">
        <w:rPr>
          <w:spacing w:val="-1"/>
          <w:sz w:val="24"/>
          <w:szCs w:val="24"/>
          <w:lang w:val="da-DK"/>
        </w:rPr>
        <w:t xml:space="preserve"> </w:t>
      </w:r>
      <w:r w:rsidRPr="00A26C52">
        <w:rPr>
          <w:sz w:val="24"/>
          <w:szCs w:val="24"/>
          <w:lang w:val="da-DK"/>
        </w:rPr>
        <w:t>tre</w:t>
      </w:r>
      <w:r w:rsidRPr="00A26C52">
        <w:rPr>
          <w:spacing w:val="-1"/>
          <w:sz w:val="24"/>
          <w:szCs w:val="24"/>
          <w:lang w:val="da-DK"/>
        </w:rPr>
        <w:t xml:space="preserve"> </w:t>
      </w:r>
      <w:r w:rsidRPr="00A26C52">
        <w:rPr>
          <w:sz w:val="24"/>
          <w:szCs w:val="24"/>
          <w:lang w:val="da-DK"/>
        </w:rPr>
        <w:t>knogleomsætningsmarkører (P1NP, BSAP, NTX) hos</w:t>
      </w:r>
      <w:r w:rsidRPr="00A26C52">
        <w:rPr>
          <w:spacing w:val="-1"/>
          <w:sz w:val="24"/>
          <w:szCs w:val="24"/>
          <w:lang w:val="da-DK"/>
        </w:rPr>
        <w:t xml:space="preserve"> </w:t>
      </w:r>
      <w:r w:rsidRPr="00A26C52">
        <w:rPr>
          <w:sz w:val="24"/>
          <w:szCs w:val="24"/>
          <w:lang w:val="da-DK"/>
        </w:rPr>
        <w:t>gruppen</w:t>
      </w:r>
      <w:r w:rsidRPr="00A26C52">
        <w:rPr>
          <w:spacing w:val="-1"/>
          <w:sz w:val="24"/>
          <w:szCs w:val="24"/>
          <w:lang w:val="da-DK"/>
        </w:rPr>
        <w:t xml:space="preserve"> </w:t>
      </w:r>
      <w:r w:rsidRPr="00A26C52">
        <w:rPr>
          <w:sz w:val="24"/>
          <w:szCs w:val="24"/>
          <w:lang w:val="da-DK"/>
        </w:rPr>
        <w:t>behandlet med zoledronsyre sammenlignet med placebo-gruppen. Der blev ikke observeret statistiske signifikante forskelle i det totale knoglemineralindhold hos patienter behandlet med zoledronsyre sammenlignet med</w:t>
      </w:r>
      <w:r w:rsidRPr="00A26C52">
        <w:rPr>
          <w:spacing w:val="-2"/>
          <w:sz w:val="24"/>
          <w:szCs w:val="24"/>
          <w:lang w:val="da-DK"/>
        </w:rPr>
        <w:t xml:space="preserve"> </w:t>
      </w:r>
      <w:r w:rsidRPr="00A26C52">
        <w:rPr>
          <w:sz w:val="24"/>
          <w:szCs w:val="24"/>
          <w:lang w:val="da-DK"/>
        </w:rPr>
        <w:t>placebo</w:t>
      </w:r>
      <w:r w:rsidRPr="00A26C52">
        <w:rPr>
          <w:spacing w:val="-2"/>
          <w:sz w:val="24"/>
          <w:szCs w:val="24"/>
          <w:lang w:val="da-DK"/>
        </w:rPr>
        <w:t xml:space="preserve"> </w:t>
      </w:r>
      <w:r w:rsidRPr="00A26C52">
        <w:rPr>
          <w:sz w:val="24"/>
          <w:szCs w:val="24"/>
          <w:lang w:val="da-DK"/>
        </w:rPr>
        <w:t>ved</w:t>
      </w:r>
      <w:r w:rsidRPr="00A26C52">
        <w:rPr>
          <w:spacing w:val="-2"/>
          <w:sz w:val="24"/>
          <w:szCs w:val="24"/>
          <w:lang w:val="da-DK"/>
        </w:rPr>
        <w:t xml:space="preserve"> </w:t>
      </w:r>
      <w:r w:rsidRPr="00A26C52">
        <w:rPr>
          <w:sz w:val="24"/>
          <w:szCs w:val="24"/>
          <w:lang w:val="da-DK"/>
        </w:rPr>
        <w:t>6</w:t>
      </w:r>
      <w:r w:rsidRPr="00A26C52">
        <w:rPr>
          <w:spacing w:val="-2"/>
          <w:sz w:val="24"/>
          <w:szCs w:val="24"/>
          <w:lang w:val="da-DK"/>
        </w:rPr>
        <w:t xml:space="preserve"> </w:t>
      </w:r>
      <w:r w:rsidRPr="00A26C52">
        <w:rPr>
          <w:sz w:val="24"/>
          <w:szCs w:val="24"/>
          <w:lang w:val="da-DK"/>
        </w:rPr>
        <w:t>eller</w:t>
      </w:r>
      <w:r w:rsidRPr="00A26C52">
        <w:rPr>
          <w:spacing w:val="-2"/>
          <w:sz w:val="24"/>
          <w:szCs w:val="24"/>
          <w:lang w:val="da-DK"/>
        </w:rPr>
        <w:t xml:space="preserve"> </w:t>
      </w:r>
      <w:r w:rsidRPr="00A26C52">
        <w:rPr>
          <w:sz w:val="24"/>
          <w:szCs w:val="24"/>
          <w:lang w:val="da-DK"/>
        </w:rPr>
        <w:t>12</w:t>
      </w:r>
      <w:r w:rsidRPr="00A26C52">
        <w:rPr>
          <w:spacing w:val="-3"/>
          <w:sz w:val="24"/>
          <w:szCs w:val="24"/>
          <w:lang w:val="da-DK"/>
        </w:rPr>
        <w:t xml:space="preserve"> </w:t>
      </w:r>
      <w:r w:rsidRPr="00A26C52">
        <w:rPr>
          <w:sz w:val="24"/>
          <w:szCs w:val="24"/>
          <w:lang w:val="da-DK"/>
        </w:rPr>
        <w:t>måneder.</w:t>
      </w:r>
      <w:r w:rsidRPr="00A26C52">
        <w:rPr>
          <w:spacing w:val="-2"/>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er</w:t>
      </w:r>
      <w:r w:rsidRPr="00A26C52">
        <w:rPr>
          <w:spacing w:val="-2"/>
          <w:sz w:val="24"/>
          <w:szCs w:val="24"/>
          <w:lang w:val="da-DK"/>
        </w:rPr>
        <w:t xml:space="preserve"> </w:t>
      </w:r>
      <w:r w:rsidRPr="00A26C52">
        <w:rPr>
          <w:sz w:val="24"/>
          <w:szCs w:val="24"/>
          <w:lang w:val="da-DK"/>
        </w:rPr>
        <w:t>ingen</w:t>
      </w:r>
      <w:r w:rsidRPr="00A26C52">
        <w:rPr>
          <w:spacing w:val="-2"/>
          <w:sz w:val="24"/>
          <w:szCs w:val="24"/>
          <w:lang w:val="da-DK"/>
        </w:rPr>
        <w:t xml:space="preserve"> </w:t>
      </w:r>
      <w:r w:rsidRPr="00A26C52">
        <w:rPr>
          <w:sz w:val="24"/>
          <w:szCs w:val="24"/>
          <w:lang w:val="da-DK"/>
        </w:rPr>
        <w:t>klar</w:t>
      </w:r>
      <w:r w:rsidRPr="00A26C52">
        <w:rPr>
          <w:spacing w:val="-2"/>
          <w:sz w:val="24"/>
          <w:szCs w:val="24"/>
          <w:lang w:val="da-DK"/>
        </w:rPr>
        <w:t xml:space="preserve"> </w:t>
      </w:r>
      <w:r w:rsidRPr="00A26C52">
        <w:rPr>
          <w:sz w:val="24"/>
          <w:szCs w:val="24"/>
          <w:lang w:val="da-DK"/>
        </w:rPr>
        <w:t>evidens</w:t>
      </w:r>
      <w:r w:rsidRPr="00A26C52">
        <w:rPr>
          <w:spacing w:val="-3"/>
          <w:sz w:val="24"/>
          <w:szCs w:val="24"/>
          <w:lang w:val="da-DK"/>
        </w:rPr>
        <w:t xml:space="preserve"> </w:t>
      </w:r>
      <w:r w:rsidRPr="00A26C52">
        <w:rPr>
          <w:sz w:val="24"/>
          <w:szCs w:val="24"/>
          <w:lang w:val="da-DK"/>
        </w:rPr>
        <w:t>for</w:t>
      </w:r>
      <w:r w:rsidRPr="00A26C52">
        <w:rPr>
          <w:spacing w:val="-3"/>
          <w:sz w:val="24"/>
          <w:szCs w:val="24"/>
          <w:lang w:val="da-DK"/>
        </w:rPr>
        <w:t xml:space="preserve"> </w:t>
      </w:r>
      <w:r w:rsidRPr="00A26C52">
        <w:rPr>
          <w:sz w:val="24"/>
          <w:szCs w:val="24"/>
          <w:lang w:val="da-DK"/>
        </w:rPr>
        <w:t>en</w:t>
      </w:r>
      <w:r w:rsidRPr="00A26C52">
        <w:rPr>
          <w:spacing w:val="-2"/>
          <w:sz w:val="24"/>
          <w:szCs w:val="24"/>
          <w:lang w:val="da-DK"/>
        </w:rPr>
        <w:t xml:space="preserve"> </w:t>
      </w:r>
      <w:r w:rsidRPr="00A26C52">
        <w:rPr>
          <w:sz w:val="24"/>
          <w:szCs w:val="24"/>
          <w:lang w:val="da-DK"/>
        </w:rPr>
        <w:t>sammenhæng</w:t>
      </w:r>
      <w:r w:rsidRPr="00A26C52">
        <w:rPr>
          <w:spacing w:val="-2"/>
          <w:sz w:val="24"/>
          <w:szCs w:val="24"/>
          <w:lang w:val="da-DK"/>
        </w:rPr>
        <w:t xml:space="preserve"> </w:t>
      </w:r>
      <w:r w:rsidRPr="00A26C52">
        <w:rPr>
          <w:sz w:val="24"/>
          <w:szCs w:val="24"/>
          <w:lang w:val="da-DK"/>
        </w:rPr>
        <w:t>mellem</w:t>
      </w:r>
      <w:r w:rsidRPr="00A26C52">
        <w:rPr>
          <w:spacing w:val="-2"/>
          <w:sz w:val="24"/>
          <w:szCs w:val="24"/>
          <w:lang w:val="da-DK"/>
        </w:rPr>
        <w:t xml:space="preserve"> </w:t>
      </w:r>
      <w:r w:rsidRPr="00A26C52">
        <w:rPr>
          <w:sz w:val="24"/>
          <w:szCs w:val="24"/>
          <w:lang w:val="da-DK"/>
        </w:rPr>
        <w:t>ændringer i BMD og forebyggelse af frakturer hos børn med skeletvækst.</w:t>
      </w:r>
    </w:p>
    <w:p w14:paraId="559C433F" w14:textId="77777777" w:rsidR="0083612A" w:rsidRPr="00A26C52" w:rsidRDefault="0083612A" w:rsidP="00A26C52">
      <w:pPr>
        <w:pStyle w:val="Brdtekst"/>
        <w:ind w:left="851"/>
        <w:rPr>
          <w:sz w:val="24"/>
          <w:szCs w:val="24"/>
          <w:lang w:val="da-DK"/>
        </w:rPr>
      </w:pPr>
    </w:p>
    <w:p w14:paraId="66CCB774" w14:textId="77777777" w:rsidR="0083612A" w:rsidRPr="00A26C52" w:rsidRDefault="0083612A" w:rsidP="00A26C52">
      <w:pPr>
        <w:pStyle w:val="Brdtekst"/>
        <w:ind w:left="851" w:right="849"/>
        <w:rPr>
          <w:sz w:val="24"/>
          <w:szCs w:val="24"/>
          <w:lang w:val="da-DK"/>
        </w:rPr>
      </w:pPr>
      <w:r w:rsidRPr="00A26C52">
        <w:rPr>
          <w:sz w:val="24"/>
          <w:szCs w:val="24"/>
          <w:lang w:val="da-DK"/>
        </w:rPr>
        <w:t>I</w:t>
      </w:r>
      <w:r w:rsidRPr="00A26C52">
        <w:rPr>
          <w:spacing w:val="-2"/>
          <w:sz w:val="24"/>
          <w:szCs w:val="24"/>
          <w:lang w:val="da-DK"/>
        </w:rPr>
        <w:t xml:space="preserve"> </w:t>
      </w:r>
      <w:r w:rsidRPr="00A26C52">
        <w:rPr>
          <w:sz w:val="24"/>
          <w:szCs w:val="24"/>
          <w:lang w:val="da-DK"/>
        </w:rPr>
        <w:t>gruppen</w:t>
      </w:r>
      <w:r w:rsidRPr="00A26C52">
        <w:rPr>
          <w:spacing w:val="-3"/>
          <w:sz w:val="24"/>
          <w:szCs w:val="24"/>
          <w:lang w:val="da-DK"/>
        </w:rPr>
        <w:t xml:space="preserve"> </w:t>
      </w:r>
      <w:r w:rsidRPr="00A26C52">
        <w:rPr>
          <w:sz w:val="24"/>
          <w:szCs w:val="24"/>
          <w:lang w:val="da-DK"/>
        </w:rPr>
        <w:t>behandlet</w:t>
      </w:r>
      <w:r w:rsidRPr="00A26C52">
        <w:rPr>
          <w:spacing w:val="-2"/>
          <w:sz w:val="24"/>
          <w:szCs w:val="24"/>
          <w:lang w:val="da-DK"/>
        </w:rPr>
        <w:t xml:space="preserve"> </w:t>
      </w:r>
      <w:r w:rsidRPr="00A26C52">
        <w:rPr>
          <w:sz w:val="24"/>
          <w:szCs w:val="24"/>
          <w:lang w:val="da-DK"/>
        </w:rPr>
        <w:t>med</w:t>
      </w:r>
      <w:r w:rsidRPr="00A26C52">
        <w:rPr>
          <w:spacing w:val="-2"/>
          <w:sz w:val="24"/>
          <w:szCs w:val="24"/>
          <w:lang w:val="da-DK"/>
        </w:rPr>
        <w:t xml:space="preserve"> </w:t>
      </w:r>
      <w:r w:rsidRPr="00A26C52">
        <w:rPr>
          <w:sz w:val="24"/>
          <w:szCs w:val="24"/>
          <w:lang w:val="da-DK"/>
        </w:rPr>
        <w:t>zoledronsyre</w:t>
      </w:r>
      <w:r w:rsidRPr="00A26C52">
        <w:rPr>
          <w:spacing w:val="-3"/>
          <w:sz w:val="24"/>
          <w:szCs w:val="24"/>
          <w:lang w:val="da-DK"/>
        </w:rPr>
        <w:t xml:space="preserve"> </w:t>
      </w:r>
      <w:r w:rsidRPr="00A26C52">
        <w:rPr>
          <w:sz w:val="24"/>
          <w:szCs w:val="24"/>
          <w:lang w:val="da-DK"/>
        </w:rPr>
        <w:t>blev</w:t>
      </w:r>
      <w:r w:rsidRPr="00A26C52">
        <w:rPr>
          <w:spacing w:val="-2"/>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ikke</w:t>
      </w:r>
      <w:r w:rsidRPr="00A26C52">
        <w:rPr>
          <w:spacing w:val="-3"/>
          <w:sz w:val="24"/>
          <w:szCs w:val="24"/>
          <w:lang w:val="da-DK"/>
        </w:rPr>
        <w:t xml:space="preserve"> </w:t>
      </w:r>
      <w:r w:rsidRPr="00A26C52">
        <w:rPr>
          <w:sz w:val="24"/>
          <w:szCs w:val="24"/>
          <w:lang w:val="da-DK"/>
        </w:rPr>
        <w:t>observeret</w:t>
      </w:r>
      <w:r w:rsidRPr="00A26C52">
        <w:rPr>
          <w:spacing w:val="-2"/>
          <w:sz w:val="24"/>
          <w:szCs w:val="24"/>
          <w:lang w:val="da-DK"/>
        </w:rPr>
        <w:t xml:space="preserve"> </w:t>
      </w:r>
      <w:r w:rsidRPr="00A26C52">
        <w:rPr>
          <w:sz w:val="24"/>
          <w:szCs w:val="24"/>
          <w:lang w:val="da-DK"/>
        </w:rPr>
        <w:t>nye</w:t>
      </w:r>
      <w:r w:rsidRPr="00A26C52">
        <w:rPr>
          <w:spacing w:val="-3"/>
          <w:sz w:val="24"/>
          <w:szCs w:val="24"/>
          <w:lang w:val="da-DK"/>
        </w:rPr>
        <w:t xml:space="preserve"> </w:t>
      </w:r>
      <w:r w:rsidRPr="00A26C52">
        <w:rPr>
          <w:sz w:val="24"/>
          <w:szCs w:val="24"/>
          <w:lang w:val="da-DK"/>
        </w:rPr>
        <w:t>vertebrale</w:t>
      </w:r>
      <w:r w:rsidRPr="00A26C52">
        <w:rPr>
          <w:spacing w:val="-3"/>
          <w:sz w:val="24"/>
          <w:szCs w:val="24"/>
          <w:lang w:val="da-DK"/>
        </w:rPr>
        <w:t xml:space="preserve"> </w:t>
      </w:r>
      <w:r w:rsidRPr="00A26C52">
        <w:rPr>
          <w:sz w:val="24"/>
          <w:szCs w:val="24"/>
          <w:lang w:val="da-DK"/>
        </w:rPr>
        <w:t>frakturer</w:t>
      </w:r>
      <w:r w:rsidRPr="00A26C52">
        <w:rPr>
          <w:spacing w:val="-2"/>
          <w:sz w:val="24"/>
          <w:szCs w:val="24"/>
          <w:lang w:val="da-DK"/>
        </w:rPr>
        <w:t xml:space="preserve"> </w:t>
      </w:r>
      <w:r w:rsidRPr="00A26C52">
        <w:rPr>
          <w:sz w:val="24"/>
          <w:szCs w:val="24"/>
          <w:lang w:val="da-DK"/>
        </w:rPr>
        <w:t>sammenlignet med placebo-gruppen, hvor der blev observeret to nye frakturer.</w:t>
      </w:r>
    </w:p>
    <w:p w14:paraId="56A6C8BD" w14:textId="77777777" w:rsidR="0083612A" w:rsidRPr="00A26C52" w:rsidRDefault="0083612A" w:rsidP="00A26C52">
      <w:pPr>
        <w:pStyle w:val="Brdtekst"/>
        <w:ind w:left="851"/>
        <w:rPr>
          <w:sz w:val="24"/>
          <w:szCs w:val="24"/>
          <w:lang w:val="da-DK"/>
        </w:rPr>
      </w:pPr>
    </w:p>
    <w:p w14:paraId="68EA268E" w14:textId="75794028" w:rsidR="0083612A" w:rsidRPr="00A26C52" w:rsidRDefault="0083612A" w:rsidP="00A26C52">
      <w:pPr>
        <w:pStyle w:val="Brdtekst"/>
        <w:ind w:left="851"/>
        <w:rPr>
          <w:sz w:val="24"/>
          <w:szCs w:val="24"/>
          <w:lang w:val="da-DK"/>
        </w:rPr>
      </w:pPr>
      <w:r w:rsidRPr="00A26C52">
        <w:rPr>
          <w:sz w:val="24"/>
          <w:szCs w:val="24"/>
          <w:lang w:val="da-DK"/>
        </w:rPr>
        <w:t>De</w:t>
      </w:r>
      <w:r w:rsidRPr="00A26C52">
        <w:rPr>
          <w:spacing w:val="-9"/>
          <w:sz w:val="24"/>
          <w:szCs w:val="24"/>
          <w:lang w:val="da-DK"/>
        </w:rPr>
        <w:t xml:space="preserve"> </w:t>
      </w:r>
      <w:r w:rsidRPr="00A26C52">
        <w:rPr>
          <w:sz w:val="24"/>
          <w:szCs w:val="24"/>
          <w:lang w:val="da-DK"/>
        </w:rPr>
        <w:t>mest</w:t>
      </w:r>
      <w:r w:rsidRPr="00A26C52">
        <w:rPr>
          <w:spacing w:val="-8"/>
          <w:sz w:val="24"/>
          <w:szCs w:val="24"/>
          <w:lang w:val="da-DK"/>
        </w:rPr>
        <w:t xml:space="preserve"> </w:t>
      </w:r>
      <w:r w:rsidRPr="00A26C52">
        <w:rPr>
          <w:sz w:val="24"/>
          <w:szCs w:val="24"/>
          <w:lang w:val="da-DK"/>
        </w:rPr>
        <w:t>almindelige</w:t>
      </w:r>
      <w:r w:rsidRPr="00A26C52">
        <w:rPr>
          <w:spacing w:val="-9"/>
          <w:sz w:val="24"/>
          <w:szCs w:val="24"/>
          <w:lang w:val="da-DK"/>
        </w:rPr>
        <w:t xml:space="preserve"> </w:t>
      </w:r>
      <w:r w:rsidRPr="00A26C52">
        <w:rPr>
          <w:sz w:val="24"/>
          <w:szCs w:val="24"/>
          <w:lang w:val="da-DK"/>
        </w:rPr>
        <w:t>bivirkninger</w:t>
      </w:r>
      <w:r w:rsidRPr="00A26C52">
        <w:rPr>
          <w:spacing w:val="-8"/>
          <w:sz w:val="24"/>
          <w:szCs w:val="24"/>
          <w:lang w:val="da-DK"/>
        </w:rPr>
        <w:t xml:space="preserve"> </w:t>
      </w:r>
      <w:r w:rsidRPr="00A26C52">
        <w:rPr>
          <w:sz w:val="24"/>
          <w:szCs w:val="24"/>
          <w:lang w:val="da-DK"/>
        </w:rPr>
        <w:t>der</w:t>
      </w:r>
      <w:r w:rsidRPr="00A26C52">
        <w:rPr>
          <w:spacing w:val="-7"/>
          <w:sz w:val="24"/>
          <w:szCs w:val="24"/>
          <w:lang w:val="da-DK"/>
        </w:rPr>
        <w:t xml:space="preserve"> </w:t>
      </w:r>
      <w:r w:rsidRPr="00A26C52">
        <w:rPr>
          <w:sz w:val="24"/>
          <w:szCs w:val="24"/>
          <w:lang w:val="da-DK"/>
        </w:rPr>
        <w:t>blev</w:t>
      </w:r>
      <w:r w:rsidRPr="00A26C52">
        <w:rPr>
          <w:spacing w:val="-8"/>
          <w:sz w:val="24"/>
          <w:szCs w:val="24"/>
          <w:lang w:val="da-DK"/>
        </w:rPr>
        <w:t xml:space="preserve"> </w:t>
      </w:r>
      <w:r w:rsidRPr="00A26C52">
        <w:rPr>
          <w:sz w:val="24"/>
          <w:szCs w:val="24"/>
          <w:lang w:val="da-DK"/>
        </w:rPr>
        <w:t>rapporteret</w:t>
      </w:r>
      <w:r w:rsidRPr="00A26C52">
        <w:rPr>
          <w:spacing w:val="-9"/>
          <w:sz w:val="24"/>
          <w:szCs w:val="24"/>
          <w:lang w:val="da-DK"/>
        </w:rPr>
        <w:t xml:space="preserve"> </w:t>
      </w:r>
      <w:r w:rsidRPr="00A26C52">
        <w:rPr>
          <w:sz w:val="24"/>
          <w:szCs w:val="24"/>
          <w:lang w:val="da-DK"/>
        </w:rPr>
        <w:t>efter</w:t>
      </w:r>
      <w:r w:rsidRPr="00A26C52">
        <w:rPr>
          <w:spacing w:val="-8"/>
          <w:sz w:val="24"/>
          <w:szCs w:val="24"/>
          <w:lang w:val="da-DK"/>
        </w:rPr>
        <w:t xml:space="preserve"> </w:t>
      </w:r>
      <w:r w:rsidRPr="00A26C52">
        <w:rPr>
          <w:sz w:val="24"/>
          <w:szCs w:val="24"/>
          <w:lang w:val="da-DK"/>
        </w:rPr>
        <w:t>infusion</w:t>
      </w:r>
      <w:r w:rsidRPr="00A26C52">
        <w:rPr>
          <w:spacing w:val="-8"/>
          <w:sz w:val="24"/>
          <w:szCs w:val="24"/>
          <w:lang w:val="da-DK"/>
        </w:rPr>
        <w:t xml:space="preserve"> </w:t>
      </w:r>
      <w:r w:rsidRPr="00A26C52">
        <w:rPr>
          <w:sz w:val="24"/>
          <w:szCs w:val="24"/>
          <w:lang w:val="da-DK"/>
        </w:rPr>
        <w:t>af</w:t>
      </w:r>
      <w:r w:rsidRPr="00A26C52">
        <w:rPr>
          <w:spacing w:val="-7"/>
          <w:sz w:val="24"/>
          <w:szCs w:val="24"/>
          <w:lang w:val="da-DK"/>
        </w:rPr>
        <w:t xml:space="preserve"> </w:t>
      </w:r>
      <w:r w:rsidRPr="00A26C52">
        <w:rPr>
          <w:sz w:val="24"/>
          <w:szCs w:val="24"/>
          <w:lang w:val="da-DK"/>
        </w:rPr>
        <w:t>zoledronsyre</w:t>
      </w:r>
      <w:r w:rsidRPr="00A26C52">
        <w:rPr>
          <w:spacing w:val="-9"/>
          <w:sz w:val="24"/>
          <w:szCs w:val="24"/>
          <w:lang w:val="da-DK"/>
        </w:rPr>
        <w:t xml:space="preserve"> </w:t>
      </w:r>
      <w:r w:rsidRPr="00A26C52">
        <w:rPr>
          <w:sz w:val="24"/>
          <w:szCs w:val="24"/>
          <w:lang w:val="da-DK"/>
        </w:rPr>
        <w:t>var</w:t>
      </w:r>
      <w:r w:rsidRPr="00A26C52">
        <w:rPr>
          <w:spacing w:val="-8"/>
          <w:sz w:val="24"/>
          <w:szCs w:val="24"/>
          <w:lang w:val="da-DK"/>
        </w:rPr>
        <w:t xml:space="preserve"> </w:t>
      </w:r>
      <w:r w:rsidRPr="00A26C52">
        <w:rPr>
          <w:spacing w:val="-2"/>
          <w:sz w:val="24"/>
          <w:szCs w:val="24"/>
          <w:lang w:val="da-DK"/>
        </w:rPr>
        <w:t>artralgi</w:t>
      </w:r>
      <w:r w:rsidR="00A26C52">
        <w:rPr>
          <w:spacing w:val="-2"/>
          <w:sz w:val="24"/>
          <w:szCs w:val="24"/>
          <w:lang w:val="da-DK"/>
        </w:rPr>
        <w:t xml:space="preserve"> </w:t>
      </w:r>
      <w:r w:rsidRPr="00A26C52">
        <w:rPr>
          <w:sz w:val="24"/>
          <w:szCs w:val="24"/>
          <w:lang w:val="da-DK"/>
        </w:rPr>
        <w:t>(28</w:t>
      </w:r>
      <w:r w:rsidRPr="00A26C52">
        <w:rPr>
          <w:spacing w:val="-6"/>
          <w:sz w:val="24"/>
          <w:szCs w:val="24"/>
          <w:lang w:val="da-DK"/>
        </w:rPr>
        <w:t xml:space="preserve"> </w:t>
      </w:r>
      <w:r w:rsidRPr="00A26C52">
        <w:rPr>
          <w:sz w:val="24"/>
          <w:szCs w:val="24"/>
          <w:lang w:val="da-DK"/>
        </w:rPr>
        <w:t>%),</w:t>
      </w:r>
      <w:r w:rsidRPr="00A26C52">
        <w:rPr>
          <w:spacing w:val="-5"/>
          <w:sz w:val="24"/>
          <w:szCs w:val="24"/>
          <w:lang w:val="da-DK"/>
        </w:rPr>
        <w:t xml:space="preserve"> </w:t>
      </w:r>
      <w:r w:rsidRPr="00A26C52">
        <w:rPr>
          <w:sz w:val="24"/>
          <w:szCs w:val="24"/>
          <w:lang w:val="da-DK"/>
        </w:rPr>
        <w:t>pyreksi</w:t>
      </w:r>
      <w:r w:rsidRPr="00A26C52">
        <w:rPr>
          <w:spacing w:val="-6"/>
          <w:sz w:val="24"/>
          <w:szCs w:val="24"/>
          <w:lang w:val="da-DK"/>
        </w:rPr>
        <w:t xml:space="preserve"> </w:t>
      </w:r>
      <w:r w:rsidRPr="00A26C52">
        <w:rPr>
          <w:sz w:val="24"/>
          <w:szCs w:val="24"/>
          <w:lang w:val="da-DK"/>
        </w:rPr>
        <w:t>(22</w:t>
      </w:r>
      <w:r w:rsidRPr="00A26C52">
        <w:rPr>
          <w:spacing w:val="-5"/>
          <w:sz w:val="24"/>
          <w:szCs w:val="24"/>
          <w:lang w:val="da-DK"/>
        </w:rPr>
        <w:t xml:space="preserve"> </w:t>
      </w:r>
      <w:r w:rsidRPr="00A26C52">
        <w:rPr>
          <w:sz w:val="24"/>
          <w:szCs w:val="24"/>
          <w:lang w:val="da-DK"/>
        </w:rPr>
        <w:t>%),</w:t>
      </w:r>
      <w:r w:rsidRPr="00A26C52">
        <w:rPr>
          <w:spacing w:val="-6"/>
          <w:sz w:val="24"/>
          <w:szCs w:val="24"/>
          <w:lang w:val="da-DK"/>
        </w:rPr>
        <w:t xml:space="preserve"> </w:t>
      </w:r>
      <w:r w:rsidRPr="00A26C52">
        <w:rPr>
          <w:sz w:val="24"/>
          <w:szCs w:val="24"/>
          <w:lang w:val="da-DK"/>
        </w:rPr>
        <w:t>opkastning</w:t>
      </w:r>
      <w:r w:rsidRPr="00A26C52">
        <w:rPr>
          <w:spacing w:val="-5"/>
          <w:sz w:val="24"/>
          <w:szCs w:val="24"/>
          <w:lang w:val="da-DK"/>
        </w:rPr>
        <w:t xml:space="preserve"> </w:t>
      </w:r>
      <w:r w:rsidRPr="00A26C52">
        <w:rPr>
          <w:sz w:val="24"/>
          <w:szCs w:val="24"/>
          <w:lang w:val="da-DK"/>
        </w:rPr>
        <w:t>(22</w:t>
      </w:r>
      <w:r w:rsidRPr="00A26C52">
        <w:rPr>
          <w:spacing w:val="-7"/>
          <w:sz w:val="24"/>
          <w:szCs w:val="24"/>
          <w:lang w:val="da-DK"/>
        </w:rPr>
        <w:t xml:space="preserve"> </w:t>
      </w:r>
      <w:r w:rsidRPr="00A26C52">
        <w:rPr>
          <w:sz w:val="24"/>
          <w:szCs w:val="24"/>
          <w:lang w:val="da-DK"/>
        </w:rPr>
        <w:t>%),</w:t>
      </w:r>
      <w:r w:rsidRPr="00A26C52">
        <w:rPr>
          <w:spacing w:val="-5"/>
          <w:sz w:val="24"/>
          <w:szCs w:val="24"/>
          <w:lang w:val="da-DK"/>
        </w:rPr>
        <w:t xml:space="preserve"> </w:t>
      </w:r>
      <w:r w:rsidRPr="00A26C52">
        <w:rPr>
          <w:sz w:val="24"/>
          <w:szCs w:val="24"/>
          <w:lang w:val="da-DK"/>
        </w:rPr>
        <w:t>hovedpine</w:t>
      </w:r>
      <w:r w:rsidRPr="00A26C52">
        <w:rPr>
          <w:spacing w:val="-7"/>
          <w:sz w:val="24"/>
          <w:szCs w:val="24"/>
          <w:lang w:val="da-DK"/>
        </w:rPr>
        <w:t xml:space="preserve"> </w:t>
      </w:r>
      <w:r w:rsidRPr="00A26C52">
        <w:rPr>
          <w:sz w:val="24"/>
          <w:szCs w:val="24"/>
          <w:lang w:val="da-DK"/>
        </w:rPr>
        <w:t>(22</w:t>
      </w:r>
      <w:r w:rsidRPr="00A26C52">
        <w:rPr>
          <w:spacing w:val="-5"/>
          <w:sz w:val="24"/>
          <w:szCs w:val="24"/>
          <w:lang w:val="da-DK"/>
        </w:rPr>
        <w:t xml:space="preserve"> </w:t>
      </w:r>
      <w:r w:rsidRPr="00A26C52">
        <w:rPr>
          <w:sz w:val="24"/>
          <w:szCs w:val="24"/>
          <w:lang w:val="da-DK"/>
        </w:rPr>
        <w:t>%),</w:t>
      </w:r>
      <w:r w:rsidRPr="00A26C52">
        <w:rPr>
          <w:spacing w:val="-6"/>
          <w:sz w:val="24"/>
          <w:szCs w:val="24"/>
          <w:lang w:val="da-DK"/>
        </w:rPr>
        <w:t xml:space="preserve"> </w:t>
      </w:r>
      <w:r w:rsidRPr="00A26C52">
        <w:rPr>
          <w:sz w:val="24"/>
          <w:szCs w:val="24"/>
          <w:lang w:val="da-DK"/>
        </w:rPr>
        <w:t>kvalme</w:t>
      </w:r>
      <w:r w:rsidRPr="00A26C52">
        <w:rPr>
          <w:spacing w:val="-6"/>
          <w:sz w:val="24"/>
          <w:szCs w:val="24"/>
          <w:lang w:val="da-DK"/>
        </w:rPr>
        <w:t xml:space="preserve"> </w:t>
      </w:r>
      <w:r w:rsidRPr="00A26C52">
        <w:rPr>
          <w:sz w:val="24"/>
          <w:szCs w:val="24"/>
          <w:lang w:val="da-DK"/>
        </w:rPr>
        <w:t>(17</w:t>
      </w:r>
      <w:r w:rsidRPr="00A26C52">
        <w:rPr>
          <w:spacing w:val="-6"/>
          <w:sz w:val="24"/>
          <w:szCs w:val="24"/>
          <w:lang w:val="da-DK"/>
        </w:rPr>
        <w:t xml:space="preserve"> </w:t>
      </w:r>
      <w:r w:rsidRPr="00A26C52">
        <w:rPr>
          <w:sz w:val="24"/>
          <w:szCs w:val="24"/>
          <w:lang w:val="da-DK"/>
        </w:rPr>
        <w:t>%),</w:t>
      </w:r>
      <w:r w:rsidRPr="00A26C52">
        <w:rPr>
          <w:spacing w:val="-5"/>
          <w:sz w:val="24"/>
          <w:szCs w:val="24"/>
          <w:lang w:val="da-DK"/>
        </w:rPr>
        <w:t xml:space="preserve"> </w:t>
      </w:r>
      <w:r w:rsidRPr="00A26C52">
        <w:rPr>
          <w:sz w:val="24"/>
          <w:szCs w:val="24"/>
          <w:lang w:val="da-DK"/>
        </w:rPr>
        <w:t>myalgi</w:t>
      </w:r>
      <w:r w:rsidRPr="00A26C52">
        <w:rPr>
          <w:spacing w:val="-6"/>
          <w:sz w:val="24"/>
          <w:szCs w:val="24"/>
          <w:lang w:val="da-DK"/>
        </w:rPr>
        <w:t xml:space="preserve"> </w:t>
      </w:r>
      <w:r w:rsidRPr="00A26C52">
        <w:rPr>
          <w:sz w:val="24"/>
          <w:szCs w:val="24"/>
          <w:lang w:val="da-DK"/>
        </w:rPr>
        <w:t>(17</w:t>
      </w:r>
      <w:r w:rsidRPr="00A26C52">
        <w:rPr>
          <w:spacing w:val="-5"/>
          <w:sz w:val="24"/>
          <w:szCs w:val="24"/>
          <w:lang w:val="da-DK"/>
        </w:rPr>
        <w:t xml:space="preserve"> </w:t>
      </w:r>
      <w:r w:rsidRPr="00A26C52">
        <w:rPr>
          <w:sz w:val="24"/>
          <w:szCs w:val="24"/>
          <w:lang w:val="da-DK"/>
        </w:rPr>
        <w:t>%),</w:t>
      </w:r>
      <w:r w:rsidRPr="00A26C52">
        <w:rPr>
          <w:spacing w:val="-6"/>
          <w:sz w:val="24"/>
          <w:szCs w:val="24"/>
          <w:lang w:val="da-DK"/>
        </w:rPr>
        <w:t xml:space="preserve"> </w:t>
      </w:r>
      <w:r w:rsidRPr="00A26C52">
        <w:rPr>
          <w:spacing w:val="-2"/>
          <w:sz w:val="24"/>
          <w:szCs w:val="24"/>
          <w:lang w:val="da-DK"/>
        </w:rPr>
        <w:t>smerte</w:t>
      </w:r>
      <w:r w:rsidR="00A26C52">
        <w:rPr>
          <w:spacing w:val="-2"/>
          <w:sz w:val="24"/>
          <w:szCs w:val="24"/>
          <w:lang w:val="da-DK"/>
        </w:rPr>
        <w:t xml:space="preserve"> </w:t>
      </w:r>
      <w:r w:rsidRPr="00A26C52">
        <w:rPr>
          <w:sz w:val="24"/>
          <w:szCs w:val="24"/>
          <w:lang w:val="da-DK"/>
        </w:rPr>
        <w:t>(17</w:t>
      </w:r>
      <w:r w:rsidRPr="00A26C52">
        <w:rPr>
          <w:spacing w:val="-6"/>
          <w:sz w:val="24"/>
          <w:szCs w:val="24"/>
          <w:lang w:val="da-DK"/>
        </w:rPr>
        <w:t xml:space="preserve"> </w:t>
      </w:r>
      <w:r w:rsidRPr="00A26C52">
        <w:rPr>
          <w:sz w:val="24"/>
          <w:szCs w:val="24"/>
          <w:lang w:val="da-DK"/>
        </w:rPr>
        <w:t>%),</w:t>
      </w:r>
      <w:r w:rsidRPr="00A26C52">
        <w:rPr>
          <w:spacing w:val="-5"/>
          <w:sz w:val="24"/>
          <w:szCs w:val="24"/>
          <w:lang w:val="da-DK"/>
        </w:rPr>
        <w:t xml:space="preserve"> </w:t>
      </w:r>
      <w:r w:rsidRPr="00A26C52">
        <w:rPr>
          <w:sz w:val="24"/>
          <w:szCs w:val="24"/>
          <w:lang w:val="da-DK"/>
        </w:rPr>
        <w:t>diarré</w:t>
      </w:r>
      <w:r w:rsidRPr="00A26C52">
        <w:rPr>
          <w:spacing w:val="-6"/>
          <w:sz w:val="24"/>
          <w:szCs w:val="24"/>
          <w:lang w:val="da-DK"/>
        </w:rPr>
        <w:t xml:space="preserve"> </w:t>
      </w:r>
      <w:r w:rsidRPr="00A26C52">
        <w:rPr>
          <w:sz w:val="24"/>
          <w:szCs w:val="24"/>
          <w:lang w:val="da-DK"/>
        </w:rPr>
        <w:t>(11</w:t>
      </w:r>
      <w:r w:rsidRPr="00A26C52">
        <w:rPr>
          <w:spacing w:val="-4"/>
          <w:sz w:val="24"/>
          <w:szCs w:val="24"/>
          <w:lang w:val="da-DK"/>
        </w:rPr>
        <w:t xml:space="preserve"> </w:t>
      </w:r>
      <w:r w:rsidRPr="00A26C52">
        <w:rPr>
          <w:sz w:val="24"/>
          <w:szCs w:val="24"/>
          <w:lang w:val="da-DK"/>
        </w:rPr>
        <w:t>%)</w:t>
      </w:r>
      <w:r w:rsidRPr="00A26C52">
        <w:rPr>
          <w:spacing w:val="-6"/>
          <w:sz w:val="24"/>
          <w:szCs w:val="24"/>
          <w:lang w:val="da-DK"/>
        </w:rPr>
        <w:t xml:space="preserve"> </w:t>
      </w:r>
      <w:r w:rsidRPr="00A26C52">
        <w:rPr>
          <w:sz w:val="24"/>
          <w:szCs w:val="24"/>
          <w:lang w:val="da-DK"/>
        </w:rPr>
        <w:t>og</w:t>
      </w:r>
      <w:r w:rsidRPr="00A26C52">
        <w:rPr>
          <w:spacing w:val="-6"/>
          <w:sz w:val="24"/>
          <w:szCs w:val="24"/>
          <w:lang w:val="da-DK"/>
        </w:rPr>
        <w:t xml:space="preserve"> </w:t>
      </w:r>
      <w:r w:rsidRPr="00A26C52">
        <w:rPr>
          <w:sz w:val="24"/>
          <w:szCs w:val="24"/>
          <w:lang w:val="da-DK"/>
        </w:rPr>
        <w:t>hypokalcæmi</w:t>
      </w:r>
      <w:r w:rsidRPr="00A26C52">
        <w:rPr>
          <w:spacing w:val="-5"/>
          <w:sz w:val="24"/>
          <w:szCs w:val="24"/>
          <w:lang w:val="da-DK"/>
        </w:rPr>
        <w:t xml:space="preserve"> </w:t>
      </w:r>
      <w:r w:rsidRPr="00A26C52">
        <w:rPr>
          <w:sz w:val="24"/>
          <w:szCs w:val="24"/>
          <w:lang w:val="da-DK"/>
        </w:rPr>
        <w:t>(11</w:t>
      </w:r>
      <w:r w:rsidRPr="00A26C52">
        <w:rPr>
          <w:spacing w:val="-5"/>
          <w:sz w:val="24"/>
          <w:szCs w:val="24"/>
          <w:lang w:val="da-DK"/>
        </w:rPr>
        <w:t xml:space="preserve"> %).</w:t>
      </w:r>
    </w:p>
    <w:p w14:paraId="79D61124" w14:textId="77777777" w:rsidR="0083612A" w:rsidRPr="00A26C52" w:rsidRDefault="0083612A" w:rsidP="00A26C52">
      <w:pPr>
        <w:pStyle w:val="Brdtekst"/>
        <w:ind w:left="851" w:right="906"/>
        <w:rPr>
          <w:sz w:val="24"/>
          <w:szCs w:val="24"/>
          <w:lang w:val="da-DK"/>
        </w:rPr>
      </w:pPr>
      <w:r w:rsidRPr="00A26C52">
        <w:rPr>
          <w:sz w:val="24"/>
          <w:szCs w:val="24"/>
          <w:lang w:val="da-DK"/>
        </w:rPr>
        <w:t>I</w:t>
      </w:r>
      <w:r w:rsidRPr="00A26C52">
        <w:rPr>
          <w:spacing w:val="-3"/>
          <w:sz w:val="24"/>
          <w:szCs w:val="24"/>
          <w:lang w:val="da-DK"/>
        </w:rPr>
        <w:t xml:space="preserve"> </w:t>
      </w:r>
      <w:r w:rsidRPr="00A26C52">
        <w:rPr>
          <w:sz w:val="24"/>
          <w:szCs w:val="24"/>
          <w:lang w:val="da-DK"/>
        </w:rPr>
        <w:t>gruppen</w:t>
      </w:r>
      <w:r w:rsidRPr="00A26C52">
        <w:rPr>
          <w:spacing w:val="-4"/>
          <w:sz w:val="24"/>
          <w:szCs w:val="24"/>
          <w:lang w:val="da-DK"/>
        </w:rPr>
        <w:t xml:space="preserve"> </w:t>
      </w:r>
      <w:r w:rsidRPr="00A26C52">
        <w:rPr>
          <w:sz w:val="24"/>
          <w:szCs w:val="24"/>
          <w:lang w:val="da-DK"/>
        </w:rPr>
        <w:t>behandlet</w:t>
      </w:r>
      <w:r w:rsidRPr="00A26C52">
        <w:rPr>
          <w:spacing w:val="-3"/>
          <w:sz w:val="24"/>
          <w:szCs w:val="24"/>
          <w:lang w:val="da-DK"/>
        </w:rPr>
        <w:t xml:space="preserve"> </w:t>
      </w:r>
      <w:r w:rsidRPr="00A26C52">
        <w:rPr>
          <w:sz w:val="24"/>
          <w:szCs w:val="24"/>
          <w:lang w:val="da-DK"/>
        </w:rPr>
        <w:t>med</w:t>
      </w:r>
      <w:r w:rsidRPr="00A26C52">
        <w:rPr>
          <w:spacing w:val="-3"/>
          <w:sz w:val="24"/>
          <w:szCs w:val="24"/>
          <w:lang w:val="da-DK"/>
        </w:rPr>
        <w:t xml:space="preserve"> </w:t>
      </w:r>
      <w:r w:rsidRPr="00A26C52">
        <w:rPr>
          <w:sz w:val="24"/>
          <w:szCs w:val="24"/>
          <w:lang w:val="da-DK"/>
        </w:rPr>
        <w:t>zoledronsyre</w:t>
      </w:r>
      <w:r w:rsidRPr="00A26C52">
        <w:rPr>
          <w:spacing w:val="-4"/>
          <w:sz w:val="24"/>
          <w:szCs w:val="24"/>
          <w:lang w:val="da-DK"/>
        </w:rPr>
        <w:t xml:space="preserve"> </w:t>
      </w:r>
      <w:r w:rsidRPr="00A26C52">
        <w:rPr>
          <w:sz w:val="24"/>
          <w:szCs w:val="24"/>
          <w:lang w:val="da-DK"/>
        </w:rPr>
        <w:t>rapporterede</w:t>
      </w:r>
      <w:r w:rsidRPr="00A26C52">
        <w:rPr>
          <w:spacing w:val="-4"/>
          <w:sz w:val="24"/>
          <w:szCs w:val="24"/>
          <w:lang w:val="da-DK"/>
        </w:rPr>
        <w:t xml:space="preserve"> </w:t>
      </w:r>
      <w:r w:rsidRPr="00A26C52">
        <w:rPr>
          <w:sz w:val="24"/>
          <w:szCs w:val="24"/>
          <w:lang w:val="da-DK"/>
        </w:rPr>
        <w:t>flere</w:t>
      </w:r>
      <w:r w:rsidRPr="00A26C52">
        <w:rPr>
          <w:spacing w:val="-4"/>
          <w:sz w:val="24"/>
          <w:szCs w:val="24"/>
          <w:lang w:val="da-DK"/>
        </w:rPr>
        <w:t xml:space="preserve"> </w:t>
      </w:r>
      <w:r w:rsidRPr="00A26C52">
        <w:rPr>
          <w:sz w:val="24"/>
          <w:szCs w:val="24"/>
          <w:lang w:val="da-DK"/>
        </w:rPr>
        <w:t>patienter</w:t>
      </w:r>
      <w:r w:rsidRPr="00A26C52">
        <w:rPr>
          <w:spacing w:val="-2"/>
          <w:sz w:val="24"/>
          <w:szCs w:val="24"/>
          <w:lang w:val="da-DK"/>
        </w:rPr>
        <w:t xml:space="preserve"> </w:t>
      </w:r>
      <w:r w:rsidRPr="00A26C52">
        <w:rPr>
          <w:sz w:val="24"/>
          <w:szCs w:val="24"/>
          <w:lang w:val="da-DK"/>
        </w:rPr>
        <w:t>alvorlige</w:t>
      </w:r>
      <w:r w:rsidRPr="00A26C52">
        <w:rPr>
          <w:spacing w:val="-4"/>
          <w:sz w:val="24"/>
          <w:szCs w:val="24"/>
          <w:lang w:val="da-DK"/>
        </w:rPr>
        <w:t xml:space="preserve"> </w:t>
      </w:r>
      <w:r w:rsidRPr="00A26C52">
        <w:rPr>
          <w:sz w:val="24"/>
          <w:szCs w:val="24"/>
          <w:lang w:val="da-DK"/>
        </w:rPr>
        <w:t>bivirkninger sammenlignet med placebo-gruppen (5 [27,8 %] patienter versus 1 [6,3 %] patient).</w:t>
      </w:r>
    </w:p>
    <w:p w14:paraId="245C8013" w14:textId="77777777" w:rsidR="0083612A" w:rsidRPr="00A26C52" w:rsidRDefault="0083612A" w:rsidP="00A26C52">
      <w:pPr>
        <w:pStyle w:val="Brdtekst"/>
        <w:ind w:left="851"/>
        <w:rPr>
          <w:sz w:val="24"/>
          <w:szCs w:val="24"/>
          <w:lang w:val="da-DK"/>
        </w:rPr>
      </w:pPr>
    </w:p>
    <w:p w14:paraId="0BAA2542" w14:textId="77777777" w:rsidR="0083612A" w:rsidRPr="00A26C52" w:rsidRDefault="0083612A" w:rsidP="00A26C52">
      <w:pPr>
        <w:pStyle w:val="Brdtekst"/>
        <w:ind w:left="851" w:right="849"/>
        <w:rPr>
          <w:sz w:val="24"/>
          <w:szCs w:val="24"/>
          <w:lang w:val="da-DK"/>
        </w:rPr>
      </w:pPr>
      <w:r w:rsidRPr="00A26C52">
        <w:rPr>
          <w:sz w:val="24"/>
          <w:szCs w:val="24"/>
          <w:lang w:val="da-DK"/>
        </w:rPr>
        <w:t>I</w:t>
      </w:r>
      <w:r w:rsidRPr="00A26C52">
        <w:rPr>
          <w:spacing w:val="-2"/>
          <w:sz w:val="24"/>
          <w:szCs w:val="24"/>
          <w:lang w:val="da-DK"/>
        </w:rPr>
        <w:t xml:space="preserve"> </w:t>
      </w:r>
      <w:r w:rsidRPr="00A26C52">
        <w:rPr>
          <w:sz w:val="24"/>
          <w:szCs w:val="24"/>
          <w:lang w:val="da-DK"/>
        </w:rPr>
        <w:t>den</w:t>
      </w:r>
      <w:r w:rsidRPr="00A26C52">
        <w:rPr>
          <w:spacing w:val="-2"/>
          <w:sz w:val="24"/>
          <w:szCs w:val="24"/>
          <w:lang w:val="da-DK"/>
        </w:rPr>
        <w:t xml:space="preserve"> </w:t>
      </w:r>
      <w:r w:rsidRPr="00A26C52">
        <w:rPr>
          <w:sz w:val="24"/>
          <w:szCs w:val="24"/>
          <w:lang w:val="da-DK"/>
        </w:rPr>
        <w:t>12</w:t>
      </w:r>
      <w:r w:rsidRPr="00A26C52">
        <w:rPr>
          <w:spacing w:val="-2"/>
          <w:sz w:val="24"/>
          <w:szCs w:val="24"/>
          <w:lang w:val="da-DK"/>
        </w:rPr>
        <w:t xml:space="preserve"> </w:t>
      </w:r>
      <w:r w:rsidRPr="00A26C52">
        <w:rPr>
          <w:sz w:val="24"/>
          <w:szCs w:val="24"/>
          <w:lang w:val="da-DK"/>
        </w:rPr>
        <w:t>måneders</w:t>
      </w:r>
      <w:r w:rsidRPr="00A26C52">
        <w:rPr>
          <w:spacing w:val="-3"/>
          <w:sz w:val="24"/>
          <w:szCs w:val="24"/>
          <w:lang w:val="da-DK"/>
        </w:rPr>
        <w:t xml:space="preserve"> </w:t>
      </w:r>
      <w:r w:rsidRPr="00A26C52">
        <w:rPr>
          <w:sz w:val="24"/>
          <w:szCs w:val="24"/>
          <w:lang w:val="da-DK"/>
        </w:rPr>
        <w:t>åbne</w:t>
      </w:r>
      <w:r w:rsidRPr="00A26C52">
        <w:rPr>
          <w:spacing w:val="-3"/>
          <w:sz w:val="24"/>
          <w:szCs w:val="24"/>
          <w:lang w:val="da-DK"/>
        </w:rPr>
        <w:t xml:space="preserve"> </w:t>
      </w:r>
      <w:r w:rsidRPr="00A26C52">
        <w:rPr>
          <w:sz w:val="24"/>
          <w:szCs w:val="24"/>
          <w:lang w:val="da-DK"/>
        </w:rPr>
        <w:t>forlængelse</w:t>
      </w:r>
      <w:r w:rsidRPr="00A26C52">
        <w:rPr>
          <w:spacing w:val="-3"/>
          <w:sz w:val="24"/>
          <w:szCs w:val="24"/>
          <w:lang w:val="da-DK"/>
        </w:rPr>
        <w:t xml:space="preserve"> </w:t>
      </w:r>
      <w:r w:rsidRPr="00A26C52">
        <w:rPr>
          <w:sz w:val="24"/>
          <w:szCs w:val="24"/>
          <w:lang w:val="da-DK"/>
        </w:rPr>
        <w:t>af</w:t>
      </w:r>
      <w:r w:rsidRPr="00A26C52">
        <w:rPr>
          <w:spacing w:val="-1"/>
          <w:sz w:val="24"/>
          <w:szCs w:val="24"/>
          <w:lang w:val="da-DK"/>
        </w:rPr>
        <w:t xml:space="preserve"> </w:t>
      </w:r>
      <w:r w:rsidRPr="00A26C52">
        <w:rPr>
          <w:sz w:val="24"/>
          <w:szCs w:val="24"/>
          <w:lang w:val="da-DK"/>
        </w:rPr>
        <w:t>det</w:t>
      </w:r>
      <w:r w:rsidRPr="00A26C52">
        <w:rPr>
          <w:spacing w:val="-2"/>
          <w:sz w:val="24"/>
          <w:szCs w:val="24"/>
          <w:lang w:val="da-DK"/>
        </w:rPr>
        <w:t xml:space="preserve"> </w:t>
      </w:r>
      <w:r w:rsidRPr="00A26C52">
        <w:rPr>
          <w:sz w:val="24"/>
          <w:szCs w:val="24"/>
          <w:lang w:val="da-DK"/>
        </w:rPr>
        <w:t>ovenfor</w:t>
      </w:r>
      <w:r w:rsidRPr="00A26C52">
        <w:rPr>
          <w:spacing w:val="-3"/>
          <w:sz w:val="24"/>
          <w:szCs w:val="24"/>
          <w:lang w:val="da-DK"/>
        </w:rPr>
        <w:t xml:space="preserve"> </w:t>
      </w:r>
      <w:r w:rsidRPr="00A26C52">
        <w:rPr>
          <w:sz w:val="24"/>
          <w:szCs w:val="24"/>
          <w:lang w:val="da-DK"/>
        </w:rPr>
        <w:t>nævnte</w:t>
      </w:r>
      <w:r w:rsidRPr="00A26C52">
        <w:rPr>
          <w:spacing w:val="-3"/>
          <w:sz w:val="24"/>
          <w:szCs w:val="24"/>
          <w:lang w:val="da-DK"/>
        </w:rPr>
        <w:t xml:space="preserve"> </w:t>
      </w:r>
      <w:r w:rsidRPr="00A26C52">
        <w:rPr>
          <w:i/>
          <w:sz w:val="24"/>
          <w:szCs w:val="24"/>
          <w:lang w:val="da-DK"/>
        </w:rPr>
        <w:t>core</w:t>
      </w:r>
      <w:r w:rsidRPr="00A26C52">
        <w:rPr>
          <w:i/>
          <w:spacing w:val="-3"/>
          <w:sz w:val="24"/>
          <w:szCs w:val="24"/>
          <w:lang w:val="da-DK"/>
        </w:rPr>
        <w:t xml:space="preserve"> </w:t>
      </w:r>
      <w:r w:rsidRPr="00A26C52">
        <w:rPr>
          <w:sz w:val="24"/>
          <w:szCs w:val="24"/>
          <w:lang w:val="da-DK"/>
        </w:rPr>
        <w:t>studie,</w:t>
      </w:r>
      <w:r w:rsidRPr="00A26C52">
        <w:rPr>
          <w:spacing w:val="-2"/>
          <w:sz w:val="24"/>
          <w:szCs w:val="24"/>
          <w:lang w:val="da-DK"/>
        </w:rPr>
        <w:t xml:space="preserve"> </w:t>
      </w:r>
      <w:r w:rsidRPr="00A26C52">
        <w:rPr>
          <w:sz w:val="24"/>
          <w:szCs w:val="24"/>
          <w:lang w:val="da-DK"/>
        </w:rPr>
        <w:t>blev</w:t>
      </w:r>
      <w:r w:rsidRPr="00A26C52">
        <w:rPr>
          <w:spacing w:val="-3"/>
          <w:sz w:val="24"/>
          <w:szCs w:val="24"/>
          <w:lang w:val="da-DK"/>
        </w:rPr>
        <w:t xml:space="preserve"> </w:t>
      </w:r>
      <w:r w:rsidRPr="00A26C52">
        <w:rPr>
          <w:sz w:val="24"/>
          <w:szCs w:val="24"/>
          <w:lang w:val="da-DK"/>
        </w:rPr>
        <w:t>der</w:t>
      </w:r>
      <w:r w:rsidRPr="00A26C52">
        <w:rPr>
          <w:spacing w:val="-2"/>
          <w:sz w:val="24"/>
          <w:szCs w:val="24"/>
          <w:lang w:val="da-DK"/>
        </w:rPr>
        <w:t xml:space="preserve"> </w:t>
      </w:r>
      <w:r w:rsidRPr="00A26C52">
        <w:rPr>
          <w:sz w:val="24"/>
          <w:szCs w:val="24"/>
          <w:lang w:val="da-DK"/>
        </w:rPr>
        <w:t>ikke</w:t>
      </w:r>
      <w:r w:rsidRPr="00A26C52">
        <w:rPr>
          <w:spacing w:val="-3"/>
          <w:sz w:val="24"/>
          <w:szCs w:val="24"/>
          <w:lang w:val="da-DK"/>
        </w:rPr>
        <w:t xml:space="preserve"> </w:t>
      </w:r>
      <w:r w:rsidRPr="00A26C52">
        <w:rPr>
          <w:sz w:val="24"/>
          <w:szCs w:val="24"/>
          <w:lang w:val="da-DK"/>
        </w:rPr>
        <w:t>observeret</w:t>
      </w:r>
      <w:r w:rsidRPr="00A26C52">
        <w:rPr>
          <w:spacing w:val="-2"/>
          <w:sz w:val="24"/>
          <w:szCs w:val="24"/>
          <w:lang w:val="da-DK"/>
        </w:rPr>
        <w:t xml:space="preserve"> </w:t>
      </w:r>
      <w:r w:rsidRPr="00A26C52">
        <w:rPr>
          <w:sz w:val="24"/>
          <w:szCs w:val="24"/>
          <w:lang w:val="da-DK"/>
        </w:rPr>
        <w:t xml:space="preserve">nogen nye kliniske frakturer. Men 2 patienter, en i hver behandlingsgruppe i </w:t>
      </w:r>
      <w:r w:rsidRPr="00A26C52">
        <w:rPr>
          <w:i/>
          <w:sz w:val="24"/>
          <w:szCs w:val="24"/>
          <w:lang w:val="da-DK"/>
        </w:rPr>
        <w:t xml:space="preserve">core </w:t>
      </w:r>
      <w:r w:rsidRPr="00A26C52">
        <w:rPr>
          <w:sz w:val="24"/>
          <w:szCs w:val="24"/>
          <w:lang w:val="da-DK"/>
        </w:rPr>
        <w:t>studiet (zoledronsyre- gruppe: 1/9, 11,1 % og placebo-gruppe: 1/14, 7,1 %), havde nye morfometriske vertebrale frakturer. Der var ingen nye sikkerhedsfund.</w:t>
      </w:r>
    </w:p>
    <w:p w14:paraId="19640BFA" w14:textId="77777777" w:rsidR="0083612A" w:rsidRPr="00A26C52" w:rsidRDefault="0083612A" w:rsidP="00A26C52">
      <w:pPr>
        <w:pStyle w:val="Brdtekst"/>
        <w:ind w:left="851"/>
        <w:rPr>
          <w:sz w:val="24"/>
          <w:szCs w:val="24"/>
          <w:lang w:val="da-DK"/>
        </w:rPr>
      </w:pPr>
    </w:p>
    <w:p w14:paraId="2E2C35BC" w14:textId="77777777" w:rsidR="0083612A" w:rsidRPr="00A26C52" w:rsidRDefault="0083612A" w:rsidP="00A26C52">
      <w:pPr>
        <w:pStyle w:val="Brdtekst"/>
        <w:ind w:left="851"/>
        <w:rPr>
          <w:sz w:val="24"/>
          <w:szCs w:val="24"/>
          <w:lang w:val="da-DK"/>
        </w:rPr>
      </w:pPr>
      <w:r w:rsidRPr="00A26C52">
        <w:rPr>
          <w:sz w:val="24"/>
          <w:szCs w:val="24"/>
          <w:lang w:val="da-DK"/>
        </w:rPr>
        <w:t>Langtidssikkerhedsdata</w:t>
      </w:r>
      <w:r w:rsidRPr="00A26C52">
        <w:rPr>
          <w:spacing w:val="-11"/>
          <w:sz w:val="24"/>
          <w:szCs w:val="24"/>
          <w:lang w:val="da-DK"/>
        </w:rPr>
        <w:t xml:space="preserve"> </w:t>
      </w:r>
      <w:r w:rsidRPr="00A26C52">
        <w:rPr>
          <w:sz w:val="24"/>
          <w:szCs w:val="24"/>
          <w:lang w:val="da-DK"/>
        </w:rPr>
        <w:t>hos</w:t>
      </w:r>
      <w:r w:rsidRPr="00A26C52">
        <w:rPr>
          <w:spacing w:val="-10"/>
          <w:sz w:val="24"/>
          <w:szCs w:val="24"/>
          <w:lang w:val="da-DK"/>
        </w:rPr>
        <w:t xml:space="preserve"> </w:t>
      </w:r>
      <w:r w:rsidRPr="00A26C52">
        <w:rPr>
          <w:sz w:val="24"/>
          <w:szCs w:val="24"/>
          <w:lang w:val="da-DK"/>
        </w:rPr>
        <w:t>denne</w:t>
      </w:r>
      <w:r w:rsidRPr="00A26C52">
        <w:rPr>
          <w:spacing w:val="-10"/>
          <w:sz w:val="24"/>
          <w:szCs w:val="24"/>
          <w:lang w:val="da-DK"/>
        </w:rPr>
        <w:t xml:space="preserve"> </w:t>
      </w:r>
      <w:r w:rsidRPr="00A26C52">
        <w:rPr>
          <w:sz w:val="24"/>
          <w:szCs w:val="24"/>
          <w:lang w:val="da-DK"/>
        </w:rPr>
        <w:t>population</w:t>
      </w:r>
      <w:r w:rsidRPr="00A26C52">
        <w:rPr>
          <w:spacing w:val="-9"/>
          <w:sz w:val="24"/>
          <w:szCs w:val="24"/>
          <w:lang w:val="da-DK"/>
        </w:rPr>
        <w:t xml:space="preserve"> </w:t>
      </w:r>
      <w:r w:rsidRPr="00A26C52">
        <w:rPr>
          <w:sz w:val="24"/>
          <w:szCs w:val="24"/>
          <w:lang w:val="da-DK"/>
        </w:rPr>
        <w:t>kan</w:t>
      </w:r>
      <w:r w:rsidRPr="00A26C52">
        <w:rPr>
          <w:spacing w:val="-10"/>
          <w:sz w:val="24"/>
          <w:szCs w:val="24"/>
          <w:lang w:val="da-DK"/>
        </w:rPr>
        <w:t xml:space="preserve"> </w:t>
      </w:r>
      <w:r w:rsidRPr="00A26C52">
        <w:rPr>
          <w:sz w:val="24"/>
          <w:szCs w:val="24"/>
          <w:lang w:val="da-DK"/>
        </w:rPr>
        <w:t>ikke</w:t>
      </w:r>
      <w:r w:rsidRPr="00A26C52">
        <w:rPr>
          <w:spacing w:val="-10"/>
          <w:sz w:val="24"/>
          <w:szCs w:val="24"/>
          <w:lang w:val="da-DK"/>
        </w:rPr>
        <w:t xml:space="preserve"> </w:t>
      </w:r>
      <w:r w:rsidRPr="00A26C52">
        <w:rPr>
          <w:sz w:val="24"/>
          <w:szCs w:val="24"/>
          <w:lang w:val="da-DK"/>
        </w:rPr>
        <w:t>bestemmes</w:t>
      </w:r>
      <w:r w:rsidRPr="00A26C52">
        <w:rPr>
          <w:spacing w:val="-8"/>
          <w:sz w:val="24"/>
          <w:szCs w:val="24"/>
          <w:lang w:val="da-DK"/>
        </w:rPr>
        <w:t xml:space="preserve"> </w:t>
      </w:r>
      <w:r w:rsidRPr="00A26C52">
        <w:rPr>
          <w:sz w:val="24"/>
          <w:szCs w:val="24"/>
          <w:lang w:val="da-DK"/>
        </w:rPr>
        <w:t>fra</w:t>
      </w:r>
      <w:r w:rsidRPr="00A26C52">
        <w:rPr>
          <w:spacing w:val="-10"/>
          <w:sz w:val="24"/>
          <w:szCs w:val="24"/>
          <w:lang w:val="da-DK"/>
        </w:rPr>
        <w:t xml:space="preserve"> </w:t>
      </w:r>
      <w:r w:rsidRPr="00A26C52">
        <w:rPr>
          <w:sz w:val="24"/>
          <w:szCs w:val="24"/>
          <w:lang w:val="da-DK"/>
        </w:rPr>
        <w:t>disse</w:t>
      </w:r>
      <w:r w:rsidRPr="00A26C52">
        <w:rPr>
          <w:spacing w:val="-11"/>
          <w:sz w:val="24"/>
          <w:szCs w:val="24"/>
          <w:lang w:val="da-DK"/>
        </w:rPr>
        <w:t xml:space="preserve"> </w:t>
      </w:r>
      <w:r w:rsidRPr="00A26C52">
        <w:rPr>
          <w:spacing w:val="-2"/>
          <w:sz w:val="24"/>
          <w:szCs w:val="24"/>
          <w:lang w:val="da-DK"/>
        </w:rPr>
        <w:t>studier.</w:t>
      </w:r>
    </w:p>
    <w:p w14:paraId="711644CF" w14:textId="77777777" w:rsidR="0083612A" w:rsidRPr="00A26C52" w:rsidRDefault="0083612A" w:rsidP="00A26C52">
      <w:pPr>
        <w:pStyle w:val="Brdtekst"/>
        <w:ind w:left="851"/>
        <w:rPr>
          <w:sz w:val="24"/>
          <w:szCs w:val="24"/>
          <w:lang w:val="da-DK"/>
        </w:rPr>
      </w:pPr>
    </w:p>
    <w:p w14:paraId="7E5ABF64" w14:textId="77777777" w:rsidR="0083612A" w:rsidRPr="00A26C52" w:rsidRDefault="0083612A" w:rsidP="00A26C52">
      <w:pPr>
        <w:pStyle w:val="Brdtekst"/>
        <w:ind w:left="851" w:right="777"/>
        <w:rPr>
          <w:sz w:val="24"/>
          <w:szCs w:val="24"/>
          <w:lang w:val="da-DK"/>
        </w:rPr>
      </w:pPr>
      <w:r w:rsidRPr="00A26C52">
        <w:rPr>
          <w:sz w:val="24"/>
          <w:szCs w:val="24"/>
          <w:lang w:val="da-DK"/>
        </w:rPr>
        <w:t>Det</w:t>
      </w:r>
      <w:r w:rsidRPr="00A26C52">
        <w:rPr>
          <w:spacing w:val="-2"/>
          <w:sz w:val="24"/>
          <w:szCs w:val="24"/>
          <w:lang w:val="da-DK"/>
        </w:rPr>
        <w:t xml:space="preserve"> </w:t>
      </w:r>
      <w:r w:rsidRPr="00A26C52">
        <w:rPr>
          <w:sz w:val="24"/>
          <w:szCs w:val="24"/>
          <w:lang w:val="da-DK"/>
        </w:rPr>
        <w:t>Europæiske</w:t>
      </w:r>
      <w:r w:rsidRPr="00A26C52">
        <w:rPr>
          <w:spacing w:val="-3"/>
          <w:sz w:val="24"/>
          <w:szCs w:val="24"/>
          <w:lang w:val="da-DK"/>
        </w:rPr>
        <w:t xml:space="preserve"> </w:t>
      </w:r>
      <w:r w:rsidRPr="00A26C52">
        <w:rPr>
          <w:sz w:val="24"/>
          <w:szCs w:val="24"/>
          <w:lang w:val="da-DK"/>
        </w:rPr>
        <w:t>Lægemiddelagentur</w:t>
      </w:r>
      <w:r w:rsidRPr="00A26C52">
        <w:rPr>
          <w:spacing w:val="-3"/>
          <w:sz w:val="24"/>
          <w:szCs w:val="24"/>
          <w:lang w:val="da-DK"/>
        </w:rPr>
        <w:t xml:space="preserve"> </w:t>
      </w:r>
      <w:r w:rsidRPr="00A26C52">
        <w:rPr>
          <w:sz w:val="24"/>
          <w:szCs w:val="24"/>
          <w:lang w:val="da-DK"/>
        </w:rPr>
        <w:t>har</w:t>
      </w:r>
      <w:r w:rsidRPr="00A26C52">
        <w:rPr>
          <w:spacing w:val="-2"/>
          <w:sz w:val="24"/>
          <w:szCs w:val="24"/>
          <w:lang w:val="da-DK"/>
        </w:rPr>
        <w:t xml:space="preserve"> </w:t>
      </w:r>
      <w:r w:rsidRPr="00A26C52">
        <w:rPr>
          <w:sz w:val="24"/>
          <w:szCs w:val="24"/>
          <w:lang w:val="da-DK"/>
        </w:rPr>
        <w:t>dispenseret</w:t>
      </w:r>
      <w:r w:rsidRPr="00A26C52">
        <w:rPr>
          <w:spacing w:val="-2"/>
          <w:sz w:val="24"/>
          <w:szCs w:val="24"/>
          <w:lang w:val="da-DK"/>
        </w:rPr>
        <w:t xml:space="preserve"> </w:t>
      </w:r>
      <w:r w:rsidRPr="00A26C52">
        <w:rPr>
          <w:sz w:val="24"/>
          <w:szCs w:val="24"/>
          <w:lang w:val="da-DK"/>
        </w:rPr>
        <w:t>fra</w:t>
      </w:r>
      <w:r w:rsidRPr="00A26C52">
        <w:rPr>
          <w:spacing w:val="-3"/>
          <w:sz w:val="24"/>
          <w:szCs w:val="24"/>
          <w:lang w:val="da-DK"/>
        </w:rPr>
        <w:t xml:space="preserve"> </w:t>
      </w:r>
      <w:r w:rsidRPr="00A26C52">
        <w:rPr>
          <w:sz w:val="24"/>
          <w:szCs w:val="24"/>
          <w:lang w:val="da-DK"/>
        </w:rPr>
        <w:t>kravet</w:t>
      </w:r>
      <w:r w:rsidRPr="00A26C52">
        <w:rPr>
          <w:spacing w:val="-2"/>
          <w:sz w:val="24"/>
          <w:szCs w:val="24"/>
          <w:lang w:val="da-DK"/>
        </w:rPr>
        <w:t xml:space="preserve"> </w:t>
      </w:r>
      <w:r w:rsidRPr="00A26C52">
        <w:rPr>
          <w:sz w:val="24"/>
          <w:szCs w:val="24"/>
          <w:lang w:val="da-DK"/>
        </w:rPr>
        <w:t>om</w:t>
      </w:r>
      <w:r w:rsidRPr="00A26C52">
        <w:rPr>
          <w:spacing w:val="-3"/>
          <w:sz w:val="24"/>
          <w:szCs w:val="24"/>
          <w:lang w:val="da-DK"/>
        </w:rPr>
        <w:t xml:space="preserve"> </w:t>
      </w:r>
      <w:r w:rsidRPr="00A26C52">
        <w:rPr>
          <w:sz w:val="24"/>
          <w:szCs w:val="24"/>
          <w:lang w:val="da-DK"/>
        </w:rPr>
        <w:t>at</w:t>
      </w:r>
      <w:r w:rsidRPr="00A26C52">
        <w:rPr>
          <w:spacing w:val="-2"/>
          <w:sz w:val="24"/>
          <w:szCs w:val="24"/>
          <w:lang w:val="da-DK"/>
        </w:rPr>
        <w:t xml:space="preserve"> </w:t>
      </w:r>
      <w:r w:rsidRPr="00A26C52">
        <w:rPr>
          <w:sz w:val="24"/>
          <w:szCs w:val="24"/>
          <w:lang w:val="da-DK"/>
        </w:rPr>
        <w:t>fremlægge</w:t>
      </w:r>
      <w:r w:rsidRPr="00A26C52">
        <w:rPr>
          <w:spacing w:val="-3"/>
          <w:sz w:val="24"/>
          <w:szCs w:val="24"/>
          <w:lang w:val="da-DK"/>
        </w:rPr>
        <w:t xml:space="preserve"> </w:t>
      </w:r>
      <w:r w:rsidRPr="00A26C52">
        <w:rPr>
          <w:sz w:val="24"/>
          <w:szCs w:val="24"/>
          <w:lang w:val="da-DK"/>
        </w:rPr>
        <w:t>resultaterne</w:t>
      </w:r>
      <w:r w:rsidRPr="00A26C52">
        <w:rPr>
          <w:spacing w:val="-3"/>
          <w:sz w:val="24"/>
          <w:szCs w:val="24"/>
          <w:lang w:val="da-DK"/>
        </w:rPr>
        <w:t xml:space="preserve"> </w:t>
      </w:r>
      <w:r w:rsidRPr="00A26C52">
        <w:rPr>
          <w:sz w:val="24"/>
          <w:szCs w:val="24"/>
          <w:lang w:val="da-DK"/>
        </w:rPr>
        <w:t>af</w:t>
      </w:r>
      <w:r w:rsidRPr="00A26C52">
        <w:rPr>
          <w:spacing w:val="-2"/>
          <w:sz w:val="24"/>
          <w:szCs w:val="24"/>
          <w:lang w:val="da-DK"/>
        </w:rPr>
        <w:t xml:space="preserve"> </w:t>
      </w:r>
      <w:r w:rsidRPr="00A26C52">
        <w:rPr>
          <w:sz w:val="24"/>
          <w:szCs w:val="24"/>
          <w:lang w:val="da-DK"/>
        </w:rPr>
        <w:t>studier med zoledronsyre</w:t>
      </w:r>
      <w:r w:rsidRPr="00A26C52">
        <w:rPr>
          <w:spacing w:val="-5"/>
          <w:sz w:val="24"/>
          <w:szCs w:val="24"/>
          <w:lang w:val="da-DK"/>
        </w:rPr>
        <w:t xml:space="preserve"> </w:t>
      </w:r>
      <w:r w:rsidRPr="00A26C52">
        <w:rPr>
          <w:sz w:val="24"/>
          <w:szCs w:val="24"/>
          <w:lang w:val="da-DK"/>
        </w:rPr>
        <w:t xml:space="preserve">i alle undergrupper af den pædiatriske population for Pagets knoglesygdom, osteoporose hos mænd og post-menopausale kvinder med øget risiko for fraktur, og forebyggelse af kliniske frakturer efter hoftefraktur hos mænd og kvinder (se pkt. 4.2 for oplysninger om pædiatrisk </w:t>
      </w:r>
      <w:r w:rsidRPr="00A26C52">
        <w:rPr>
          <w:spacing w:val="-2"/>
          <w:sz w:val="24"/>
          <w:szCs w:val="24"/>
          <w:lang w:val="da-DK"/>
        </w:rPr>
        <w:t>anvendelse).</w:t>
      </w:r>
    </w:p>
    <w:p w14:paraId="572A6AFD" w14:textId="77777777" w:rsidR="0083612A" w:rsidRPr="00A26C52" w:rsidRDefault="0083612A" w:rsidP="00A26C52">
      <w:pPr>
        <w:tabs>
          <w:tab w:val="left" w:pos="851"/>
        </w:tabs>
        <w:ind w:left="851"/>
        <w:rPr>
          <w:sz w:val="24"/>
          <w:szCs w:val="24"/>
        </w:rPr>
      </w:pPr>
    </w:p>
    <w:p w14:paraId="3EDABEBE" w14:textId="77777777" w:rsidR="009260DE" w:rsidRPr="00C84483" w:rsidRDefault="009260DE" w:rsidP="00A26C5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5724B38" w14:textId="77777777" w:rsidR="0083612A" w:rsidRPr="0083612A" w:rsidRDefault="0083612A" w:rsidP="00A26C52">
      <w:pPr>
        <w:tabs>
          <w:tab w:val="left" w:pos="851"/>
        </w:tabs>
        <w:ind w:left="851"/>
        <w:rPr>
          <w:sz w:val="24"/>
          <w:szCs w:val="24"/>
        </w:rPr>
      </w:pPr>
      <w:r w:rsidRPr="0083612A">
        <w:rPr>
          <w:sz w:val="24"/>
          <w:szCs w:val="24"/>
        </w:rPr>
        <w:t>Enkeltinfusioner og gentagne infusioner over 5 og 15 minutter af 2, 4, 8 og 16 mg zoledronsyre til 64 patienter gav nedenstående farmakokinetiske data, som viste sig at være uafhængige af dosis.</w:t>
      </w:r>
    </w:p>
    <w:p w14:paraId="7CBC7995" w14:textId="479F2795" w:rsidR="00A26C52" w:rsidRDefault="00A26C52">
      <w:pPr>
        <w:rPr>
          <w:sz w:val="24"/>
          <w:szCs w:val="24"/>
        </w:rPr>
      </w:pPr>
      <w:r>
        <w:rPr>
          <w:sz w:val="24"/>
          <w:szCs w:val="24"/>
        </w:rPr>
        <w:br w:type="page"/>
      </w:r>
    </w:p>
    <w:p w14:paraId="3FBE4C15" w14:textId="77777777" w:rsidR="0083612A" w:rsidRPr="0083612A" w:rsidRDefault="0083612A" w:rsidP="00A26C52">
      <w:pPr>
        <w:tabs>
          <w:tab w:val="left" w:pos="851"/>
        </w:tabs>
        <w:ind w:left="851"/>
        <w:rPr>
          <w:sz w:val="24"/>
          <w:szCs w:val="24"/>
        </w:rPr>
      </w:pPr>
    </w:p>
    <w:p w14:paraId="65914BF4" w14:textId="77777777" w:rsidR="0083612A" w:rsidRPr="0083612A" w:rsidRDefault="0083612A" w:rsidP="00A26C52">
      <w:pPr>
        <w:tabs>
          <w:tab w:val="left" w:pos="851"/>
        </w:tabs>
        <w:ind w:left="851"/>
        <w:rPr>
          <w:sz w:val="24"/>
          <w:szCs w:val="24"/>
        </w:rPr>
      </w:pPr>
      <w:r w:rsidRPr="0083612A">
        <w:rPr>
          <w:sz w:val="24"/>
          <w:szCs w:val="24"/>
          <w:u w:val="single"/>
        </w:rPr>
        <w:t>Fordeling</w:t>
      </w:r>
    </w:p>
    <w:p w14:paraId="4B1C1B87" w14:textId="0788D593" w:rsidR="0083612A" w:rsidRDefault="0083612A" w:rsidP="00A26C52">
      <w:pPr>
        <w:tabs>
          <w:tab w:val="left" w:pos="851"/>
        </w:tabs>
        <w:ind w:left="851"/>
        <w:rPr>
          <w:sz w:val="24"/>
          <w:szCs w:val="24"/>
        </w:rPr>
      </w:pPr>
      <w:r w:rsidRPr="0083612A">
        <w:rPr>
          <w:sz w:val="24"/>
          <w:szCs w:val="24"/>
        </w:rPr>
        <w:t>Efter påbegyndelse af infusion med zoledronsyre, øges plasmakoncentrationen af den aktive substans hurtigt, og maksimal koncentration nås ved slutningen af infusionsperioden, efterfulgt af et hurtigt fald til &lt; 10 % af maksimalkoncentrationen efter 4 timer og &lt; 1 % af maksimalkoncentrationen efter</w:t>
      </w:r>
      <w:r w:rsidR="00A26C52">
        <w:rPr>
          <w:sz w:val="24"/>
          <w:szCs w:val="24"/>
        </w:rPr>
        <w:t xml:space="preserve"> </w:t>
      </w:r>
      <w:r w:rsidRPr="0083612A">
        <w:rPr>
          <w:sz w:val="24"/>
          <w:szCs w:val="24"/>
        </w:rPr>
        <w:t>24 timer, med en efterfølgende forlænget periode med meget lave koncentrationer der ikke overstiger 0,1 % af den maksimale koncentration.</w:t>
      </w:r>
    </w:p>
    <w:p w14:paraId="27761CB2" w14:textId="77777777" w:rsidR="00A26C52" w:rsidRPr="0083612A" w:rsidRDefault="00A26C52" w:rsidP="00A26C52">
      <w:pPr>
        <w:tabs>
          <w:tab w:val="left" w:pos="851"/>
        </w:tabs>
        <w:ind w:left="851"/>
        <w:rPr>
          <w:sz w:val="24"/>
          <w:szCs w:val="24"/>
        </w:rPr>
      </w:pPr>
    </w:p>
    <w:p w14:paraId="1058DD24" w14:textId="77777777" w:rsidR="0083612A" w:rsidRPr="0083612A" w:rsidRDefault="0083612A" w:rsidP="00A26C52">
      <w:pPr>
        <w:tabs>
          <w:tab w:val="left" w:pos="851"/>
        </w:tabs>
        <w:ind w:left="851"/>
        <w:rPr>
          <w:sz w:val="24"/>
          <w:szCs w:val="24"/>
        </w:rPr>
      </w:pPr>
      <w:r w:rsidRPr="0083612A">
        <w:rPr>
          <w:sz w:val="24"/>
          <w:szCs w:val="24"/>
          <w:u w:val="single"/>
        </w:rPr>
        <w:t>Elimination</w:t>
      </w:r>
    </w:p>
    <w:p w14:paraId="76BA1928" w14:textId="72B2FE22" w:rsidR="0083612A" w:rsidRDefault="0083612A" w:rsidP="00A26C52">
      <w:pPr>
        <w:tabs>
          <w:tab w:val="left" w:pos="851"/>
        </w:tabs>
        <w:ind w:left="851"/>
        <w:rPr>
          <w:sz w:val="24"/>
          <w:szCs w:val="24"/>
        </w:rPr>
      </w:pPr>
      <w:r w:rsidRPr="0083612A">
        <w:rPr>
          <w:sz w:val="24"/>
          <w:szCs w:val="24"/>
        </w:rPr>
        <w:t>Intravenøst administreret zoledronsyre elimineres i en trifasisk proces: hurtig bifasisk elimination fra det systemiske kredsløb med halveringstider på t</w:t>
      </w:r>
      <w:r w:rsidRPr="0083612A">
        <w:rPr>
          <w:sz w:val="24"/>
          <w:szCs w:val="24"/>
          <w:vertAlign w:val="subscript"/>
        </w:rPr>
        <w:t>½</w:t>
      </w:r>
      <w:r w:rsidR="00A26C52">
        <w:rPr>
          <w:sz w:val="24"/>
          <w:szCs w:val="24"/>
          <w:vertAlign w:val="subscript"/>
          <w:lang w:val="en-US"/>
        </w:rPr>
        <w:t>α</w:t>
      </w:r>
      <w:r w:rsidRPr="0083612A">
        <w:rPr>
          <w:sz w:val="24"/>
          <w:szCs w:val="24"/>
        </w:rPr>
        <w:t xml:space="preserve"> 0,24 og t</w:t>
      </w:r>
      <w:r w:rsidRPr="0083612A">
        <w:rPr>
          <w:sz w:val="24"/>
          <w:szCs w:val="24"/>
          <w:vertAlign w:val="subscript"/>
        </w:rPr>
        <w:t>½</w:t>
      </w:r>
      <w:r w:rsidRPr="0083612A">
        <w:rPr>
          <w:sz w:val="24"/>
          <w:szCs w:val="24"/>
          <w:vertAlign w:val="subscript"/>
          <w:lang w:val="en-US"/>
        </w:rPr>
        <w:t>β</w:t>
      </w:r>
      <w:r w:rsidRPr="0083612A">
        <w:rPr>
          <w:sz w:val="24"/>
          <w:szCs w:val="24"/>
        </w:rPr>
        <w:t xml:space="preserve"> 1,87 timer efterfulgt af en lang elimineringsfase med en terminal eliminationshalveringstid på t</w:t>
      </w:r>
      <w:r w:rsidRPr="0083612A">
        <w:rPr>
          <w:sz w:val="24"/>
          <w:szCs w:val="24"/>
          <w:vertAlign w:val="subscript"/>
        </w:rPr>
        <w:t>½</w:t>
      </w:r>
      <w:r w:rsidRPr="0083612A">
        <w:rPr>
          <w:sz w:val="24"/>
          <w:szCs w:val="24"/>
          <w:vertAlign w:val="subscript"/>
          <w:lang w:val="en-US"/>
        </w:rPr>
        <w:t>γ</w:t>
      </w:r>
      <w:r w:rsidRPr="0083612A">
        <w:rPr>
          <w:sz w:val="24"/>
          <w:szCs w:val="24"/>
        </w:rPr>
        <w:t xml:space="preserve"> 146 timer. Der var ingen akkumulering af den aktive substans i plasma efter gentagne doser administreret hver 28. dag. De tidlige dispositionsfaser (</w:t>
      </w:r>
      <w:r w:rsidRPr="0083612A">
        <w:rPr>
          <w:sz w:val="24"/>
          <w:szCs w:val="24"/>
          <w:lang w:val="en-US"/>
        </w:rPr>
        <w:t>α</w:t>
      </w:r>
      <w:r w:rsidRPr="0083612A">
        <w:rPr>
          <w:sz w:val="24"/>
          <w:szCs w:val="24"/>
        </w:rPr>
        <w:t xml:space="preserve"> og </w:t>
      </w:r>
      <w:r w:rsidRPr="0083612A">
        <w:rPr>
          <w:sz w:val="24"/>
          <w:szCs w:val="24"/>
          <w:lang w:val="en-US"/>
        </w:rPr>
        <w:t>β</w:t>
      </w:r>
      <w:r w:rsidRPr="0083612A">
        <w:rPr>
          <w:sz w:val="24"/>
          <w:szCs w:val="24"/>
        </w:rPr>
        <w:t xml:space="preserve"> med ovenstående t</w:t>
      </w:r>
      <w:r w:rsidRPr="0083612A">
        <w:rPr>
          <w:sz w:val="24"/>
          <w:szCs w:val="24"/>
          <w:vertAlign w:val="subscript"/>
        </w:rPr>
        <w:t>½</w:t>
      </w:r>
      <w:r w:rsidRPr="0083612A">
        <w:rPr>
          <w:sz w:val="24"/>
          <w:szCs w:val="24"/>
        </w:rPr>
        <w:t>-værdier) repræsenterer formodentlig hurtigt optag i knogle og udskillelse via nyrerne.</w:t>
      </w:r>
    </w:p>
    <w:p w14:paraId="57CC42E7" w14:textId="77777777" w:rsidR="00A26C52" w:rsidRPr="0083612A" w:rsidRDefault="00A26C52" w:rsidP="00A26C52">
      <w:pPr>
        <w:tabs>
          <w:tab w:val="left" w:pos="851"/>
        </w:tabs>
        <w:ind w:left="851"/>
        <w:rPr>
          <w:sz w:val="24"/>
          <w:szCs w:val="24"/>
        </w:rPr>
      </w:pPr>
    </w:p>
    <w:p w14:paraId="18AF1F65" w14:textId="522F8F21" w:rsidR="0083612A" w:rsidRDefault="0083612A" w:rsidP="00A26C52">
      <w:pPr>
        <w:tabs>
          <w:tab w:val="left" w:pos="851"/>
        </w:tabs>
        <w:ind w:left="851"/>
        <w:rPr>
          <w:sz w:val="24"/>
          <w:szCs w:val="24"/>
        </w:rPr>
      </w:pPr>
      <w:r w:rsidRPr="0083612A">
        <w:rPr>
          <w:sz w:val="24"/>
          <w:szCs w:val="24"/>
        </w:rPr>
        <w:t>Zoledronsyre metaboliseres ikke og udskilles i uændret form gennem nyrerne. I løbet af de første</w:t>
      </w:r>
      <w:r w:rsidR="00A26C52">
        <w:rPr>
          <w:sz w:val="24"/>
          <w:szCs w:val="24"/>
        </w:rPr>
        <w:t xml:space="preserve"> </w:t>
      </w:r>
      <w:r w:rsidRPr="0083612A">
        <w:rPr>
          <w:sz w:val="24"/>
          <w:szCs w:val="24"/>
        </w:rPr>
        <w:t>24 timer findes 39±16 % af den indgivne dosis i urinen, hvorimod den resterende mængde primært er bundet til knoglevævet. Denne optagelse i knoglevævet er fælles for alle bisfosfonater og er formentlig en konsekvens af den strukturelle lighed med pyrofosfat. Som for andre bisfosfonater er retentionsstiden af zoledronsyre i knogler meget lang. Fra knoglevævet afgives den meget langsomt tilbage til det systemiske kredsløb og elimineres gennem nyrerne. Total legemsclearance er</w:t>
      </w:r>
      <w:r w:rsidR="00A26C52">
        <w:rPr>
          <w:sz w:val="24"/>
          <w:szCs w:val="24"/>
        </w:rPr>
        <w:t xml:space="preserve"> </w:t>
      </w:r>
      <w:r w:rsidRPr="0083612A">
        <w:rPr>
          <w:sz w:val="24"/>
          <w:szCs w:val="24"/>
        </w:rPr>
        <w:t>5,04±2,5 l/time uafhængigt af dosis og uanset køn, alder, race og legemsvægt. Inter- og intraindividuel variation i zoledronsyreclearance i plasma er vist at være henholdsvis 36 % og 34 %. Forøgelse af infusionstiden fra 5 til 15 minutter forårsagede en 30 % nedgang i zoledronsyrekoncentrationen ved afslutningen af infusionen, men havde ingen effekt på arealet under plasmakoncentration versus tid kurven.</w:t>
      </w:r>
    </w:p>
    <w:p w14:paraId="0592BE75" w14:textId="77777777" w:rsidR="00A26C52" w:rsidRPr="0083612A" w:rsidRDefault="00A26C52" w:rsidP="00A26C52">
      <w:pPr>
        <w:tabs>
          <w:tab w:val="left" w:pos="851"/>
        </w:tabs>
        <w:ind w:left="851"/>
        <w:rPr>
          <w:sz w:val="24"/>
          <w:szCs w:val="24"/>
        </w:rPr>
      </w:pPr>
    </w:p>
    <w:p w14:paraId="11542F33" w14:textId="77777777" w:rsidR="0083612A" w:rsidRPr="0083612A" w:rsidRDefault="0083612A" w:rsidP="00A26C52">
      <w:pPr>
        <w:tabs>
          <w:tab w:val="left" w:pos="851"/>
        </w:tabs>
        <w:ind w:left="851"/>
        <w:rPr>
          <w:sz w:val="24"/>
          <w:szCs w:val="24"/>
        </w:rPr>
      </w:pPr>
      <w:r w:rsidRPr="0083612A">
        <w:rPr>
          <w:sz w:val="24"/>
          <w:szCs w:val="24"/>
          <w:u w:val="single"/>
        </w:rPr>
        <w:t>Farmakokinetiske/farmakodynamiske forhold</w:t>
      </w:r>
    </w:p>
    <w:p w14:paraId="6C906D0D" w14:textId="69BAD3DF" w:rsidR="0083612A" w:rsidRPr="0083612A" w:rsidRDefault="0083612A" w:rsidP="00A26C52">
      <w:pPr>
        <w:tabs>
          <w:tab w:val="left" w:pos="851"/>
        </w:tabs>
        <w:ind w:left="851"/>
        <w:rPr>
          <w:sz w:val="24"/>
          <w:szCs w:val="24"/>
        </w:rPr>
      </w:pPr>
      <w:r w:rsidRPr="0083612A">
        <w:rPr>
          <w:sz w:val="24"/>
          <w:szCs w:val="24"/>
        </w:rPr>
        <w:t>Der er ikke udført interaktionsundersøgelser med andre lægemidler og zoledronsyre. Siden zoledronsyre ikke metaboliseres i mennesker, og da stoffet havde lille eller ingen effekt som en direkte virkende og/eller irreversibel metabolismeafhængig hæmmer af P450 enzymer, er det usandsynligt, at zoledronsyre reducerer den metaboliske udskillelse af stoffer, som metaboliseres af cytokrom</w:t>
      </w:r>
      <w:r w:rsidR="00A26C52">
        <w:rPr>
          <w:sz w:val="24"/>
          <w:szCs w:val="24"/>
        </w:rPr>
        <w:t xml:space="preserve"> </w:t>
      </w:r>
      <w:r w:rsidRPr="0083612A">
        <w:rPr>
          <w:sz w:val="24"/>
          <w:szCs w:val="24"/>
        </w:rPr>
        <w:t>P450 enzymsystemet. Zoledronsyre bindes ikke mærkbart til plasmaproteiner (cirka 43-55 % bundet), og bindingen er uafhængig af koncentrationen. Af denne grund er interaktioner med stærkt proteinbundede lægemidler på grund af fortrængning usandsynlig.</w:t>
      </w:r>
    </w:p>
    <w:p w14:paraId="7BB47E49" w14:textId="77777777" w:rsidR="0083612A" w:rsidRPr="0083612A" w:rsidRDefault="0083612A" w:rsidP="00A26C52">
      <w:pPr>
        <w:tabs>
          <w:tab w:val="left" w:pos="851"/>
        </w:tabs>
        <w:ind w:left="851"/>
        <w:rPr>
          <w:sz w:val="24"/>
          <w:szCs w:val="24"/>
        </w:rPr>
      </w:pPr>
    </w:p>
    <w:p w14:paraId="565DAC61" w14:textId="77777777" w:rsidR="0083612A" w:rsidRPr="0083612A" w:rsidRDefault="0083612A" w:rsidP="00A26C52">
      <w:pPr>
        <w:tabs>
          <w:tab w:val="left" w:pos="851"/>
        </w:tabs>
        <w:ind w:left="851"/>
        <w:rPr>
          <w:sz w:val="24"/>
          <w:szCs w:val="24"/>
        </w:rPr>
      </w:pPr>
      <w:r w:rsidRPr="0083612A">
        <w:rPr>
          <w:sz w:val="24"/>
          <w:szCs w:val="24"/>
          <w:u w:val="single"/>
        </w:rPr>
        <w:t>Specielle populationer (se pkt. 4.2)</w:t>
      </w:r>
    </w:p>
    <w:p w14:paraId="62AAFACD" w14:textId="77777777" w:rsidR="0083612A" w:rsidRPr="0083612A" w:rsidRDefault="0083612A" w:rsidP="00A26C52">
      <w:pPr>
        <w:tabs>
          <w:tab w:val="left" w:pos="851"/>
        </w:tabs>
        <w:ind w:left="851"/>
        <w:rPr>
          <w:sz w:val="24"/>
          <w:szCs w:val="24"/>
        </w:rPr>
      </w:pPr>
    </w:p>
    <w:p w14:paraId="54646416" w14:textId="77777777" w:rsidR="0083612A" w:rsidRPr="00721EEF" w:rsidRDefault="0083612A" w:rsidP="00A26C52">
      <w:pPr>
        <w:tabs>
          <w:tab w:val="left" w:pos="851"/>
        </w:tabs>
        <w:ind w:left="851"/>
        <w:rPr>
          <w:i/>
          <w:sz w:val="24"/>
          <w:szCs w:val="24"/>
        </w:rPr>
      </w:pPr>
      <w:r w:rsidRPr="00721EEF">
        <w:rPr>
          <w:i/>
          <w:sz w:val="24"/>
          <w:szCs w:val="24"/>
        </w:rPr>
        <w:t>Nedsat nyrefunktion</w:t>
      </w:r>
    </w:p>
    <w:p w14:paraId="2A608320" w14:textId="4A3B2AC3" w:rsidR="0083612A" w:rsidRPr="0083612A" w:rsidRDefault="0083612A" w:rsidP="00A26C52">
      <w:pPr>
        <w:tabs>
          <w:tab w:val="left" w:pos="851"/>
        </w:tabs>
        <w:ind w:left="851"/>
        <w:rPr>
          <w:sz w:val="24"/>
          <w:szCs w:val="24"/>
        </w:rPr>
      </w:pPr>
      <w:r w:rsidRPr="0083612A">
        <w:rPr>
          <w:sz w:val="24"/>
          <w:szCs w:val="24"/>
        </w:rPr>
        <w:t>Den renale clearance af zoledronsyre korrelerer tydeligt med kreatininclearance, idet den renale clearance udgjorde 75</w:t>
      </w:r>
      <w:r w:rsidR="00721EEF">
        <w:rPr>
          <w:sz w:val="24"/>
          <w:szCs w:val="24"/>
        </w:rPr>
        <w:t>±</w:t>
      </w:r>
      <w:r w:rsidRPr="0083612A">
        <w:rPr>
          <w:sz w:val="24"/>
          <w:szCs w:val="24"/>
        </w:rPr>
        <w:t>33 % af kreatininclearance, hvilket viste en median på 84±29 ml/min (varierende fra 22 til 143 ml/min) hos de 64 undersøgte patienter. Der blev observeret mindre stigninger i AUC</w:t>
      </w:r>
      <w:r w:rsidRPr="0083612A">
        <w:rPr>
          <w:sz w:val="24"/>
          <w:szCs w:val="24"/>
          <w:vertAlign w:val="subscript"/>
        </w:rPr>
        <w:t>(0-24t)</w:t>
      </w:r>
      <w:r w:rsidRPr="0083612A">
        <w:rPr>
          <w:sz w:val="24"/>
          <w:szCs w:val="24"/>
        </w:rPr>
        <w:t xml:space="preserve"> på 30 % til 40 % ved mild til moderat nedsat nyrefunktion i forhold til en patient med normal nyrefunktion. Manglende akkumulering af stof givet som flere doser uanset nyrefunktionen, indikerer, at dosisjustering af zoledronsyre ved mild (Cl</w:t>
      </w:r>
      <w:r w:rsidRPr="0083612A">
        <w:rPr>
          <w:sz w:val="24"/>
          <w:szCs w:val="24"/>
          <w:vertAlign w:val="subscript"/>
        </w:rPr>
        <w:t>kr</w:t>
      </w:r>
      <w:r w:rsidRPr="0083612A">
        <w:rPr>
          <w:sz w:val="24"/>
          <w:szCs w:val="24"/>
        </w:rPr>
        <w:t xml:space="preserve"> = 50–80 ml/min) og moderat nedsat nyrefunktion ned til en kreatininclearance på 35 ml/min ikke er nødvendig.</w:t>
      </w:r>
    </w:p>
    <w:p w14:paraId="53932203" w14:textId="77777777" w:rsidR="0083612A" w:rsidRPr="0083612A" w:rsidRDefault="0083612A" w:rsidP="00A26C52">
      <w:pPr>
        <w:tabs>
          <w:tab w:val="left" w:pos="851"/>
        </w:tabs>
        <w:ind w:left="851"/>
        <w:rPr>
          <w:sz w:val="24"/>
          <w:szCs w:val="24"/>
        </w:rPr>
      </w:pPr>
      <w:r w:rsidRPr="0083612A">
        <w:rPr>
          <w:sz w:val="24"/>
          <w:szCs w:val="24"/>
        </w:rPr>
        <w:lastRenderedPageBreak/>
        <w:t>Anvendelse af zoledronsyre til patienter med svært nedsat nyrefunktion (kreatininclearance &lt; 35 ml/min) er kontraindiceret grundet en øget risiko for nyresvigt hos denne population.</w:t>
      </w:r>
    </w:p>
    <w:p w14:paraId="3422D650" w14:textId="77777777" w:rsidR="009260DE" w:rsidRPr="00C84483" w:rsidRDefault="009260DE" w:rsidP="00A26C52">
      <w:pPr>
        <w:tabs>
          <w:tab w:val="left" w:pos="851"/>
        </w:tabs>
        <w:ind w:left="851"/>
        <w:rPr>
          <w:sz w:val="24"/>
          <w:szCs w:val="24"/>
        </w:rPr>
      </w:pPr>
    </w:p>
    <w:p w14:paraId="37849188" w14:textId="77777777" w:rsidR="009260DE" w:rsidRPr="00C84483" w:rsidRDefault="009260DE" w:rsidP="00A26C52">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1BF887D" w14:textId="77777777" w:rsidR="0083612A" w:rsidRPr="00A26C52" w:rsidRDefault="0083612A" w:rsidP="00A26C52">
      <w:pPr>
        <w:tabs>
          <w:tab w:val="left" w:pos="851"/>
        </w:tabs>
        <w:ind w:left="851"/>
        <w:rPr>
          <w:b/>
          <w:sz w:val="24"/>
          <w:szCs w:val="24"/>
        </w:rPr>
      </w:pPr>
    </w:p>
    <w:p w14:paraId="5BE424E3" w14:textId="77777777" w:rsidR="0083612A" w:rsidRPr="0083612A" w:rsidRDefault="0083612A" w:rsidP="00A26C52">
      <w:pPr>
        <w:tabs>
          <w:tab w:val="left" w:pos="851"/>
        </w:tabs>
        <w:ind w:left="851"/>
        <w:rPr>
          <w:sz w:val="24"/>
          <w:szCs w:val="24"/>
        </w:rPr>
      </w:pPr>
      <w:r w:rsidRPr="0083612A">
        <w:rPr>
          <w:sz w:val="24"/>
          <w:szCs w:val="24"/>
          <w:u w:val="single"/>
        </w:rPr>
        <w:t>Akut toksicitet</w:t>
      </w:r>
    </w:p>
    <w:p w14:paraId="600F7448" w14:textId="37BB1207" w:rsidR="0083612A" w:rsidRDefault="0083612A" w:rsidP="00A26C52">
      <w:pPr>
        <w:tabs>
          <w:tab w:val="left" w:pos="851"/>
        </w:tabs>
        <w:ind w:left="851"/>
        <w:rPr>
          <w:sz w:val="24"/>
          <w:szCs w:val="24"/>
        </w:rPr>
      </w:pPr>
      <w:r w:rsidRPr="0083612A">
        <w:rPr>
          <w:sz w:val="24"/>
          <w:szCs w:val="24"/>
        </w:rPr>
        <w:t>Den højeste ikke-letale intravenøse enkeltdosis var 10 mg/kg legemsvægt hos mus og 0,6 mg/kg hos rotter. I enkelt-dosis infusions hundestudier, administreret over 15 minutter, var 1,0 mg/kg (6 gange den anbefalede humane terapeutiske eksponering baseret på AUC) fint tolereret uden nyreproblemer.</w:t>
      </w:r>
    </w:p>
    <w:p w14:paraId="1EAF7302" w14:textId="77777777" w:rsidR="008D1304" w:rsidRPr="0083612A" w:rsidRDefault="008D1304" w:rsidP="00A26C52">
      <w:pPr>
        <w:tabs>
          <w:tab w:val="left" w:pos="851"/>
        </w:tabs>
        <w:ind w:left="851"/>
        <w:rPr>
          <w:sz w:val="24"/>
          <w:szCs w:val="24"/>
        </w:rPr>
      </w:pPr>
    </w:p>
    <w:p w14:paraId="4BECE91D" w14:textId="77777777" w:rsidR="0083612A" w:rsidRPr="0083612A" w:rsidRDefault="0083612A" w:rsidP="00A26C52">
      <w:pPr>
        <w:tabs>
          <w:tab w:val="left" w:pos="851"/>
        </w:tabs>
        <w:ind w:left="851"/>
        <w:rPr>
          <w:sz w:val="24"/>
          <w:szCs w:val="24"/>
        </w:rPr>
      </w:pPr>
      <w:r w:rsidRPr="0083612A">
        <w:rPr>
          <w:sz w:val="24"/>
          <w:szCs w:val="24"/>
          <w:u w:val="single"/>
        </w:rPr>
        <w:t>Subkronisk og kronisk toksicitet</w:t>
      </w:r>
    </w:p>
    <w:p w14:paraId="5A38AAC3" w14:textId="77777777" w:rsidR="0083612A" w:rsidRPr="0083612A" w:rsidRDefault="0083612A" w:rsidP="00A26C52">
      <w:pPr>
        <w:tabs>
          <w:tab w:val="left" w:pos="851"/>
        </w:tabs>
        <w:ind w:left="851"/>
        <w:rPr>
          <w:sz w:val="24"/>
          <w:szCs w:val="24"/>
        </w:rPr>
      </w:pPr>
      <w:r w:rsidRPr="0083612A">
        <w:rPr>
          <w:sz w:val="24"/>
          <w:szCs w:val="24"/>
        </w:rPr>
        <w:t>I intravenøse infusionsstudier blev renal tolerabilitet overfor zoledronsyre bestemt hos rotter, som fik 0,6 mg/kg givet som 15 minutters infusion i alt seks gange med 3 dages interval (for en kumulativ dosis svarende til AUC niveau cirka 6 gange højere den humane terapeutiske eksponering), mens fem 15 minutters infusioner af 0,25 mg/kg blev administreret med 2–3 ugers interval (en kumulativ dosis svarende til 7 gange den humane terapeutiske eksponering) hos hunde var fint tolereret. I intravenøse bolusstudier faldt dosis, som var fint tolereret med stigende studievarighed: 0,2 og 0,02 mg/kg dagligt var fint tolereret i 4 uger hos henholdsvis rotter og hunde, men kun 0,01 mg/kg og 0,005 mg/kg hos henholdsvis rotter og hunde, når det indgives i 52 uger.</w:t>
      </w:r>
    </w:p>
    <w:p w14:paraId="4AFBD534" w14:textId="77777777" w:rsidR="0083612A" w:rsidRPr="0083612A" w:rsidRDefault="0083612A" w:rsidP="00A26C52">
      <w:pPr>
        <w:tabs>
          <w:tab w:val="left" w:pos="851"/>
        </w:tabs>
        <w:ind w:left="851"/>
        <w:rPr>
          <w:sz w:val="24"/>
          <w:szCs w:val="24"/>
        </w:rPr>
      </w:pPr>
    </w:p>
    <w:p w14:paraId="3A2F07FA" w14:textId="4BDBCCBF" w:rsidR="0083612A" w:rsidRDefault="0083612A" w:rsidP="00A26C52">
      <w:pPr>
        <w:tabs>
          <w:tab w:val="left" w:pos="851"/>
        </w:tabs>
        <w:ind w:left="851"/>
        <w:rPr>
          <w:sz w:val="24"/>
          <w:szCs w:val="24"/>
        </w:rPr>
      </w:pPr>
      <w:r w:rsidRPr="0083612A">
        <w:rPr>
          <w:sz w:val="24"/>
          <w:szCs w:val="24"/>
        </w:rPr>
        <w:t>Længerevarende gentaget administration, som gav tilstrækkelig kumulativ højere eksponering end maksimal dosis beregnet til human terapi, viste toksikologiske effekter på andre organer, inklusiv mavetarmkanalen og lever, og på det intravenøse injektionssted. Den kliniske relevans af resultaterne er ikke kendt. Det mest almindelige resultat ved studier med gentaget indgift var øget primær spongiosa i rørknoglernes metafyser hos voksende dyr ved næsten alle doser. Dette resultat afspejler stoffets farmakologiske antiresorptive aktivitet.</w:t>
      </w:r>
    </w:p>
    <w:p w14:paraId="4A4A9DFE" w14:textId="77777777" w:rsidR="008D1304" w:rsidRPr="0083612A" w:rsidRDefault="008D1304" w:rsidP="00A26C52">
      <w:pPr>
        <w:tabs>
          <w:tab w:val="left" w:pos="851"/>
        </w:tabs>
        <w:ind w:left="851"/>
        <w:rPr>
          <w:sz w:val="24"/>
          <w:szCs w:val="24"/>
        </w:rPr>
      </w:pPr>
    </w:p>
    <w:p w14:paraId="3951E4BA" w14:textId="77777777" w:rsidR="0083612A" w:rsidRPr="0083612A" w:rsidRDefault="0083612A" w:rsidP="00A26C52">
      <w:pPr>
        <w:tabs>
          <w:tab w:val="left" w:pos="851"/>
        </w:tabs>
        <w:ind w:left="851"/>
        <w:rPr>
          <w:sz w:val="24"/>
          <w:szCs w:val="24"/>
        </w:rPr>
      </w:pPr>
      <w:r w:rsidRPr="0083612A">
        <w:rPr>
          <w:sz w:val="24"/>
          <w:szCs w:val="24"/>
          <w:u w:val="single"/>
        </w:rPr>
        <w:t>Reproduktionstoksicitet</w:t>
      </w:r>
    </w:p>
    <w:p w14:paraId="15A4D657" w14:textId="0504E73A" w:rsidR="0083612A" w:rsidRPr="0083612A" w:rsidRDefault="0083612A" w:rsidP="00A26C52">
      <w:pPr>
        <w:tabs>
          <w:tab w:val="left" w:pos="851"/>
        </w:tabs>
        <w:ind w:left="851"/>
        <w:rPr>
          <w:sz w:val="24"/>
          <w:szCs w:val="24"/>
        </w:rPr>
      </w:pPr>
      <w:r w:rsidRPr="0083612A">
        <w:rPr>
          <w:sz w:val="24"/>
          <w:szCs w:val="24"/>
        </w:rPr>
        <w:t xml:space="preserve">Teratogenstudier blev udført på to arter, begge via subkutan administration. Der blev observeret teratogenicitet hos rotter ved doser på </w:t>
      </w:r>
      <w:r w:rsidR="008D1304" w:rsidRPr="008D1304">
        <w:rPr>
          <w:sz w:val="24"/>
          <w:szCs w:val="24"/>
        </w:rPr>
        <w:t>≥</w:t>
      </w:r>
      <w:r w:rsidRPr="0083612A">
        <w:rPr>
          <w:sz w:val="24"/>
          <w:szCs w:val="24"/>
        </w:rPr>
        <w:t xml:space="preserve"> 0,2 mg/kg og sås tydeligt i form af ydre og viscerale misdannelser samt misdannelser i skelettet. Dystoki blev observeret ved den laveste dosis (0,01 mg/kg kropsvægt), der blev afprøvet i rotter. Der blev ikke observeret teratogene eller embryo/føtal effekter hos kaniner, selvom maternal toksicitet blev bemærket ved 0,1 mg/kg på grund af nedsat niveau af serum calcium.</w:t>
      </w:r>
    </w:p>
    <w:p w14:paraId="6FBF766F" w14:textId="77777777" w:rsidR="0083612A" w:rsidRPr="0083612A" w:rsidRDefault="0083612A" w:rsidP="00A26C52">
      <w:pPr>
        <w:tabs>
          <w:tab w:val="left" w:pos="851"/>
        </w:tabs>
        <w:ind w:left="851"/>
        <w:rPr>
          <w:sz w:val="24"/>
          <w:szCs w:val="24"/>
        </w:rPr>
      </w:pPr>
    </w:p>
    <w:p w14:paraId="1F2F6E52" w14:textId="77777777" w:rsidR="0083612A" w:rsidRPr="0083612A" w:rsidRDefault="0083612A" w:rsidP="00A26C52">
      <w:pPr>
        <w:tabs>
          <w:tab w:val="left" w:pos="851"/>
        </w:tabs>
        <w:ind w:left="851"/>
        <w:rPr>
          <w:sz w:val="24"/>
          <w:szCs w:val="24"/>
        </w:rPr>
      </w:pPr>
      <w:r w:rsidRPr="0083612A">
        <w:rPr>
          <w:sz w:val="24"/>
          <w:szCs w:val="24"/>
          <w:u w:val="single"/>
        </w:rPr>
        <w:t>Mutagenicitet og cancerogent potentiale</w:t>
      </w:r>
    </w:p>
    <w:p w14:paraId="79A80C23" w14:textId="77777777" w:rsidR="0083612A" w:rsidRPr="0083612A" w:rsidRDefault="0083612A" w:rsidP="00A26C52">
      <w:pPr>
        <w:tabs>
          <w:tab w:val="left" w:pos="851"/>
        </w:tabs>
        <w:ind w:left="851"/>
        <w:rPr>
          <w:sz w:val="24"/>
          <w:szCs w:val="24"/>
        </w:rPr>
      </w:pPr>
      <w:r w:rsidRPr="0083612A">
        <w:rPr>
          <w:sz w:val="24"/>
          <w:szCs w:val="24"/>
        </w:rPr>
        <w:t>Zoledronsyre var ikke mutagen i de udførte mutagenicitetsprøver, og undersøgelse af carcinogenicitet kunne ikke påvise carcinogent potentiale.</w:t>
      </w:r>
    </w:p>
    <w:p w14:paraId="07D4642B" w14:textId="77777777" w:rsidR="009260DE" w:rsidRPr="00C84483" w:rsidRDefault="009260DE" w:rsidP="00A26C52">
      <w:pPr>
        <w:tabs>
          <w:tab w:val="left" w:pos="851"/>
        </w:tabs>
        <w:ind w:left="851"/>
        <w:rPr>
          <w:sz w:val="24"/>
          <w:szCs w:val="24"/>
        </w:rPr>
      </w:pPr>
    </w:p>
    <w:p w14:paraId="7A1382FC" w14:textId="77777777" w:rsidR="009260DE" w:rsidRPr="00C84483" w:rsidRDefault="009260DE" w:rsidP="00A26C52">
      <w:pPr>
        <w:tabs>
          <w:tab w:val="left" w:pos="851"/>
        </w:tabs>
        <w:ind w:left="851"/>
        <w:rPr>
          <w:sz w:val="24"/>
          <w:szCs w:val="24"/>
        </w:rPr>
      </w:pPr>
    </w:p>
    <w:p w14:paraId="5994F4AE" w14:textId="77777777" w:rsidR="009260DE" w:rsidRPr="00C84483" w:rsidRDefault="009260DE" w:rsidP="00A26C52">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27BB038" w14:textId="77777777" w:rsidR="009260DE" w:rsidRPr="00BA09F1" w:rsidRDefault="009260DE" w:rsidP="00A26C52">
      <w:pPr>
        <w:tabs>
          <w:tab w:val="left" w:pos="851"/>
        </w:tabs>
        <w:ind w:left="851"/>
        <w:rPr>
          <w:sz w:val="24"/>
          <w:szCs w:val="24"/>
        </w:rPr>
      </w:pPr>
    </w:p>
    <w:p w14:paraId="1E243B99" w14:textId="77777777" w:rsidR="009260DE" w:rsidRPr="00C84483" w:rsidRDefault="009260DE" w:rsidP="00A26C52">
      <w:pPr>
        <w:tabs>
          <w:tab w:val="left" w:pos="851"/>
        </w:tabs>
        <w:ind w:left="851" w:hanging="851"/>
        <w:rPr>
          <w:b/>
          <w:sz w:val="24"/>
          <w:szCs w:val="24"/>
        </w:rPr>
      </w:pPr>
      <w:r w:rsidRPr="00C84483">
        <w:rPr>
          <w:b/>
          <w:sz w:val="24"/>
          <w:szCs w:val="24"/>
        </w:rPr>
        <w:t>6.1</w:t>
      </w:r>
      <w:r w:rsidRPr="00C84483">
        <w:rPr>
          <w:b/>
          <w:sz w:val="24"/>
          <w:szCs w:val="24"/>
        </w:rPr>
        <w:tab/>
        <w:t>Hjælpestoffer</w:t>
      </w:r>
    </w:p>
    <w:p w14:paraId="1FC4C7AD" w14:textId="77777777" w:rsidR="0083612A" w:rsidRPr="0083612A" w:rsidRDefault="0083612A" w:rsidP="00A26C52">
      <w:pPr>
        <w:tabs>
          <w:tab w:val="left" w:pos="851"/>
        </w:tabs>
        <w:ind w:left="851"/>
        <w:rPr>
          <w:sz w:val="24"/>
          <w:szCs w:val="24"/>
        </w:rPr>
      </w:pPr>
      <w:r w:rsidRPr="0083612A">
        <w:rPr>
          <w:sz w:val="24"/>
          <w:szCs w:val="24"/>
        </w:rPr>
        <w:t>Mannitol (E421)</w:t>
      </w:r>
    </w:p>
    <w:p w14:paraId="5B2D010D" w14:textId="77777777" w:rsidR="0083612A" w:rsidRPr="0083612A" w:rsidRDefault="0083612A" w:rsidP="00A26C52">
      <w:pPr>
        <w:tabs>
          <w:tab w:val="left" w:pos="851"/>
        </w:tabs>
        <w:ind w:left="851"/>
        <w:rPr>
          <w:sz w:val="24"/>
          <w:szCs w:val="24"/>
        </w:rPr>
      </w:pPr>
      <w:r w:rsidRPr="0083612A">
        <w:rPr>
          <w:sz w:val="24"/>
          <w:szCs w:val="24"/>
        </w:rPr>
        <w:t>Natriumcitrat (E331)</w:t>
      </w:r>
    </w:p>
    <w:p w14:paraId="688E3B51" w14:textId="77777777" w:rsidR="0083612A" w:rsidRPr="0083612A" w:rsidRDefault="0083612A" w:rsidP="00A26C52">
      <w:pPr>
        <w:tabs>
          <w:tab w:val="left" w:pos="851"/>
        </w:tabs>
        <w:ind w:left="851"/>
        <w:rPr>
          <w:sz w:val="24"/>
          <w:szCs w:val="24"/>
        </w:rPr>
      </w:pPr>
      <w:r w:rsidRPr="0083612A">
        <w:rPr>
          <w:sz w:val="24"/>
          <w:szCs w:val="24"/>
        </w:rPr>
        <w:t>Vand til injektionsvæsker</w:t>
      </w:r>
    </w:p>
    <w:p w14:paraId="31A28D35" w14:textId="5F96159E" w:rsidR="00451E7A" w:rsidRDefault="00451E7A">
      <w:pPr>
        <w:rPr>
          <w:sz w:val="24"/>
          <w:szCs w:val="24"/>
        </w:rPr>
      </w:pPr>
      <w:r>
        <w:rPr>
          <w:sz w:val="24"/>
          <w:szCs w:val="24"/>
        </w:rPr>
        <w:br w:type="page"/>
      </w:r>
    </w:p>
    <w:p w14:paraId="1BC83B59" w14:textId="77777777" w:rsidR="009260DE" w:rsidRPr="00C84483" w:rsidRDefault="009260DE" w:rsidP="00A26C52">
      <w:pPr>
        <w:tabs>
          <w:tab w:val="left" w:pos="851"/>
        </w:tabs>
        <w:ind w:left="851"/>
        <w:rPr>
          <w:sz w:val="24"/>
          <w:szCs w:val="24"/>
        </w:rPr>
      </w:pPr>
    </w:p>
    <w:p w14:paraId="440FEED0" w14:textId="77777777" w:rsidR="009260DE" w:rsidRPr="00C84483" w:rsidRDefault="009260DE" w:rsidP="00A26C52">
      <w:pPr>
        <w:tabs>
          <w:tab w:val="left" w:pos="851"/>
        </w:tabs>
        <w:ind w:left="851" w:hanging="851"/>
        <w:rPr>
          <w:b/>
          <w:sz w:val="24"/>
          <w:szCs w:val="24"/>
        </w:rPr>
      </w:pPr>
      <w:r w:rsidRPr="00C84483">
        <w:rPr>
          <w:b/>
          <w:sz w:val="24"/>
          <w:szCs w:val="24"/>
        </w:rPr>
        <w:t>6.2</w:t>
      </w:r>
      <w:r w:rsidRPr="00C84483">
        <w:rPr>
          <w:b/>
          <w:sz w:val="24"/>
          <w:szCs w:val="24"/>
        </w:rPr>
        <w:tab/>
        <w:t>Uforligeligheder</w:t>
      </w:r>
    </w:p>
    <w:p w14:paraId="5FA9FD3C" w14:textId="77777777" w:rsidR="0083612A" w:rsidRPr="0083612A" w:rsidRDefault="0083612A" w:rsidP="00A26C52">
      <w:pPr>
        <w:tabs>
          <w:tab w:val="left" w:pos="851"/>
        </w:tabs>
        <w:ind w:left="851"/>
        <w:rPr>
          <w:sz w:val="24"/>
          <w:szCs w:val="24"/>
        </w:rPr>
      </w:pPr>
      <w:r w:rsidRPr="0083612A">
        <w:rPr>
          <w:sz w:val="24"/>
          <w:szCs w:val="24"/>
        </w:rPr>
        <w:t xml:space="preserve">Dette lægemiddel må ikke komme i kontakt med calcium-holdige opløsninger. </w:t>
      </w:r>
    </w:p>
    <w:p w14:paraId="1764DA90" w14:textId="665A3E71" w:rsidR="0083612A" w:rsidRPr="0083612A" w:rsidRDefault="0083612A" w:rsidP="00A26C52">
      <w:pPr>
        <w:tabs>
          <w:tab w:val="left" w:pos="851"/>
        </w:tabs>
        <w:ind w:left="851"/>
        <w:rPr>
          <w:sz w:val="24"/>
          <w:szCs w:val="24"/>
        </w:rPr>
      </w:pPr>
      <w:r w:rsidRPr="0083612A">
        <w:rPr>
          <w:sz w:val="24"/>
          <w:szCs w:val="24"/>
        </w:rPr>
        <w:t>Zoledronsyre "Sun Pharma" må ikke blandes eller gives intravenøst med andre lægemidler.</w:t>
      </w:r>
    </w:p>
    <w:p w14:paraId="493802C5" w14:textId="77777777" w:rsidR="009260DE" w:rsidRPr="00C84483" w:rsidRDefault="009260DE" w:rsidP="00A26C52">
      <w:pPr>
        <w:tabs>
          <w:tab w:val="left" w:pos="851"/>
        </w:tabs>
        <w:ind w:left="851"/>
        <w:rPr>
          <w:sz w:val="24"/>
          <w:szCs w:val="24"/>
        </w:rPr>
      </w:pPr>
    </w:p>
    <w:p w14:paraId="04CF167D" w14:textId="77777777" w:rsidR="009260DE" w:rsidRPr="00C84483" w:rsidRDefault="009260DE" w:rsidP="00A26C52">
      <w:pPr>
        <w:tabs>
          <w:tab w:val="left" w:pos="851"/>
        </w:tabs>
        <w:ind w:left="851" w:hanging="851"/>
        <w:rPr>
          <w:b/>
          <w:sz w:val="24"/>
          <w:szCs w:val="24"/>
        </w:rPr>
      </w:pPr>
      <w:r w:rsidRPr="00C84483">
        <w:rPr>
          <w:b/>
          <w:sz w:val="24"/>
          <w:szCs w:val="24"/>
        </w:rPr>
        <w:t>6.3</w:t>
      </w:r>
      <w:r w:rsidRPr="00C84483">
        <w:rPr>
          <w:b/>
          <w:sz w:val="24"/>
          <w:szCs w:val="24"/>
        </w:rPr>
        <w:tab/>
        <w:t>Opbevaringstid</w:t>
      </w:r>
    </w:p>
    <w:p w14:paraId="112FDD02" w14:textId="77777777" w:rsidR="00451E7A" w:rsidRDefault="00451E7A" w:rsidP="00A26C52">
      <w:pPr>
        <w:tabs>
          <w:tab w:val="left" w:pos="851"/>
        </w:tabs>
        <w:ind w:left="851"/>
        <w:rPr>
          <w:sz w:val="24"/>
          <w:szCs w:val="24"/>
        </w:rPr>
      </w:pPr>
    </w:p>
    <w:p w14:paraId="7186735F" w14:textId="77777777" w:rsidR="00451E7A" w:rsidRPr="00451E7A" w:rsidRDefault="0083612A" w:rsidP="00A26C52">
      <w:pPr>
        <w:tabs>
          <w:tab w:val="left" w:pos="851"/>
        </w:tabs>
        <w:ind w:left="851"/>
        <w:rPr>
          <w:sz w:val="24"/>
          <w:szCs w:val="24"/>
          <w:u w:val="single"/>
        </w:rPr>
      </w:pPr>
      <w:r w:rsidRPr="00451E7A">
        <w:rPr>
          <w:sz w:val="24"/>
          <w:szCs w:val="24"/>
          <w:u w:val="single"/>
        </w:rPr>
        <w:t>Uåbne</w:t>
      </w:r>
      <w:r w:rsidR="00451E7A" w:rsidRPr="00451E7A">
        <w:rPr>
          <w:sz w:val="24"/>
          <w:szCs w:val="24"/>
          <w:u w:val="single"/>
        </w:rPr>
        <w:t>t</w:t>
      </w:r>
      <w:r w:rsidRPr="00451E7A">
        <w:rPr>
          <w:sz w:val="24"/>
          <w:szCs w:val="24"/>
          <w:u w:val="single"/>
        </w:rPr>
        <w:t xml:space="preserve"> hætteglas</w:t>
      </w:r>
    </w:p>
    <w:p w14:paraId="51225F6B" w14:textId="4E04FBB2" w:rsidR="0083612A" w:rsidRPr="0083612A" w:rsidRDefault="0083612A" w:rsidP="00A26C52">
      <w:pPr>
        <w:tabs>
          <w:tab w:val="left" w:pos="851"/>
        </w:tabs>
        <w:ind w:left="851"/>
        <w:rPr>
          <w:sz w:val="24"/>
          <w:szCs w:val="24"/>
        </w:rPr>
      </w:pPr>
      <w:r w:rsidRPr="0083612A">
        <w:rPr>
          <w:sz w:val="24"/>
          <w:szCs w:val="24"/>
        </w:rPr>
        <w:t>30 måneder</w:t>
      </w:r>
      <w:r w:rsidR="00451E7A">
        <w:rPr>
          <w:sz w:val="24"/>
          <w:szCs w:val="24"/>
        </w:rPr>
        <w:t>.</w:t>
      </w:r>
    </w:p>
    <w:p w14:paraId="2EB37A64" w14:textId="77777777" w:rsidR="0083612A" w:rsidRPr="0083612A" w:rsidRDefault="0083612A" w:rsidP="00A26C52">
      <w:pPr>
        <w:tabs>
          <w:tab w:val="left" w:pos="851"/>
        </w:tabs>
        <w:ind w:left="851"/>
        <w:rPr>
          <w:sz w:val="24"/>
          <w:szCs w:val="24"/>
        </w:rPr>
      </w:pPr>
    </w:p>
    <w:p w14:paraId="078B867E" w14:textId="77777777" w:rsidR="00451E7A" w:rsidRPr="00451E7A" w:rsidRDefault="0083612A" w:rsidP="00A26C52">
      <w:pPr>
        <w:tabs>
          <w:tab w:val="left" w:pos="851"/>
        </w:tabs>
        <w:ind w:left="851"/>
        <w:rPr>
          <w:sz w:val="24"/>
          <w:szCs w:val="24"/>
          <w:u w:val="single"/>
        </w:rPr>
      </w:pPr>
      <w:r w:rsidRPr="00451E7A">
        <w:rPr>
          <w:sz w:val="24"/>
          <w:szCs w:val="24"/>
          <w:u w:val="single"/>
        </w:rPr>
        <w:t>Efter åbning</w:t>
      </w:r>
    </w:p>
    <w:p w14:paraId="366B2519" w14:textId="4F443AAB" w:rsidR="0083612A" w:rsidRPr="0083612A" w:rsidRDefault="0083612A" w:rsidP="00A26C52">
      <w:pPr>
        <w:tabs>
          <w:tab w:val="left" w:pos="851"/>
        </w:tabs>
        <w:ind w:left="851"/>
        <w:rPr>
          <w:sz w:val="24"/>
          <w:szCs w:val="24"/>
        </w:rPr>
      </w:pPr>
      <w:r w:rsidRPr="0083612A">
        <w:rPr>
          <w:sz w:val="24"/>
          <w:szCs w:val="24"/>
        </w:rPr>
        <w:t>Kemisk og fysisk stabilitet er blevet påvist i 24 timer ved 2°C - 8°C eller under 25°C.</w:t>
      </w:r>
    </w:p>
    <w:p w14:paraId="477AF098" w14:textId="77777777" w:rsidR="0083612A" w:rsidRPr="0083612A" w:rsidRDefault="0083612A" w:rsidP="00A26C52">
      <w:pPr>
        <w:tabs>
          <w:tab w:val="left" w:pos="851"/>
        </w:tabs>
        <w:ind w:left="851"/>
        <w:rPr>
          <w:sz w:val="24"/>
          <w:szCs w:val="24"/>
        </w:rPr>
      </w:pPr>
    </w:p>
    <w:p w14:paraId="526CE01E" w14:textId="77777777" w:rsidR="0083612A" w:rsidRPr="0083612A" w:rsidRDefault="0083612A" w:rsidP="00A26C52">
      <w:pPr>
        <w:tabs>
          <w:tab w:val="left" w:pos="851"/>
        </w:tabs>
        <w:ind w:left="851"/>
        <w:rPr>
          <w:sz w:val="24"/>
          <w:szCs w:val="24"/>
        </w:rPr>
      </w:pPr>
      <w:r w:rsidRPr="0083612A">
        <w:rPr>
          <w:sz w:val="24"/>
          <w:szCs w:val="24"/>
        </w:rPr>
        <w:t>Fra et mikrobiologisk synspunkt bør produktet anvendes straks. Hvis det ikke anvendes med det samme, er opbevaringstider og -betingelser inden brug brugerens ansvar og vil normalt ikke være længere end 24 timer ved 2°C - 8°C. Den nedkølede opløsning skal derefter ækvilibreres til stuetemperatur før administration.</w:t>
      </w:r>
    </w:p>
    <w:p w14:paraId="320F25CC" w14:textId="77777777" w:rsidR="009260DE" w:rsidRPr="00C84483" w:rsidRDefault="009260DE" w:rsidP="00A26C52">
      <w:pPr>
        <w:tabs>
          <w:tab w:val="left" w:pos="851"/>
        </w:tabs>
        <w:ind w:left="851"/>
        <w:rPr>
          <w:sz w:val="24"/>
          <w:szCs w:val="24"/>
        </w:rPr>
      </w:pPr>
    </w:p>
    <w:p w14:paraId="0A29C2BA" w14:textId="77777777" w:rsidR="009260DE" w:rsidRPr="00C84483" w:rsidRDefault="009260DE" w:rsidP="00A26C5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BE44DA" w14:textId="3038C2FE" w:rsidR="0083612A" w:rsidRDefault="0083612A" w:rsidP="00A26C52">
      <w:pPr>
        <w:tabs>
          <w:tab w:val="left" w:pos="851"/>
        </w:tabs>
        <w:ind w:left="851"/>
        <w:rPr>
          <w:sz w:val="24"/>
          <w:szCs w:val="24"/>
        </w:rPr>
      </w:pPr>
      <w:r w:rsidRPr="0083612A">
        <w:rPr>
          <w:sz w:val="24"/>
          <w:szCs w:val="24"/>
        </w:rPr>
        <w:t>Dette lægemiddel kræver ingen særlige opbevaringsforhold.</w:t>
      </w:r>
    </w:p>
    <w:p w14:paraId="0C9D5043" w14:textId="77777777" w:rsidR="00451E7A" w:rsidRPr="0083612A" w:rsidRDefault="00451E7A" w:rsidP="00A26C52">
      <w:pPr>
        <w:tabs>
          <w:tab w:val="left" w:pos="851"/>
        </w:tabs>
        <w:ind w:left="851"/>
        <w:rPr>
          <w:sz w:val="24"/>
          <w:szCs w:val="24"/>
        </w:rPr>
      </w:pPr>
    </w:p>
    <w:p w14:paraId="5D6443D3" w14:textId="77777777" w:rsidR="0083612A" w:rsidRPr="0083612A" w:rsidRDefault="0083612A" w:rsidP="00A26C52">
      <w:pPr>
        <w:tabs>
          <w:tab w:val="left" w:pos="851"/>
        </w:tabs>
        <w:ind w:left="851"/>
        <w:rPr>
          <w:sz w:val="24"/>
          <w:szCs w:val="24"/>
        </w:rPr>
      </w:pPr>
      <w:r w:rsidRPr="0083612A">
        <w:rPr>
          <w:sz w:val="24"/>
          <w:szCs w:val="24"/>
        </w:rPr>
        <w:t>For opbevaringsbetingelser efter første åbning af lægemidlet, se pkt. 6.3.</w:t>
      </w:r>
    </w:p>
    <w:p w14:paraId="0CDAA8F0" w14:textId="77777777" w:rsidR="009260DE" w:rsidRPr="00C84483" w:rsidRDefault="009260DE" w:rsidP="00A26C52">
      <w:pPr>
        <w:tabs>
          <w:tab w:val="left" w:pos="851"/>
        </w:tabs>
        <w:ind w:left="851"/>
        <w:rPr>
          <w:sz w:val="24"/>
          <w:szCs w:val="24"/>
        </w:rPr>
      </w:pPr>
    </w:p>
    <w:p w14:paraId="3B8FBD74" w14:textId="77777777" w:rsidR="009260DE" w:rsidRPr="00C84483" w:rsidRDefault="009260DE" w:rsidP="00A26C5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FFDCFB6" w14:textId="25E513B3" w:rsidR="0083612A" w:rsidRPr="0083612A" w:rsidRDefault="00451E7A" w:rsidP="00A26C52">
      <w:pPr>
        <w:tabs>
          <w:tab w:val="left" w:pos="851"/>
        </w:tabs>
        <w:ind w:left="851"/>
        <w:rPr>
          <w:sz w:val="24"/>
          <w:szCs w:val="24"/>
        </w:rPr>
      </w:pPr>
      <w:r>
        <w:rPr>
          <w:sz w:val="24"/>
          <w:szCs w:val="24"/>
        </w:rPr>
        <w:t>Klart</w:t>
      </w:r>
      <w:r w:rsidR="0083612A" w:rsidRPr="0083612A">
        <w:rPr>
          <w:sz w:val="24"/>
          <w:szCs w:val="24"/>
        </w:rPr>
        <w:t xml:space="preserve"> hætteglas af type II soda-kalk-silicaglas, lukket med type I-chlorbutylgummipropper og forseglet med flip-off-forseglinger af aluminium-polypropylen.</w:t>
      </w:r>
    </w:p>
    <w:p w14:paraId="4716653E" w14:textId="0C10F39F" w:rsidR="0083612A" w:rsidRDefault="0083612A" w:rsidP="00A26C52">
      <w:pPr>
        <w:tabs>
          <w:tab w:val="left" w:pos="851"/>
        </w:tabs>
        <w:ind w:left="851"/>
        <w:rPr>
          <w:sz w:val="24"/>
          <w:szCs w:val="24"/>
        </w:rPr>
      </w:pPr>
    </w:p>
    <w:p w14:paraId="015ED270" w14:textId="7197E125" w:rsidR="00451E7A" w:rsidRDefault="00451E7A" w:rsidP="00A26C52">
      <w:pPr>
        <w:tabs>
          <w:tab w:val="left" w:pos="851"/>
        </w:tabs>
        <w:ind w:left="851"/>
        <w:rPr>
          <w:sz w:val="24"/>
          <w:szCs w:val="24"/>
        </w:rPr>
      </w:pPr>
      <w:r>
        <w:rPr>
          <w:sz w:val="24"/>
          <w:szCs w:val="24"/>
        </w:rPr>
        <w:t>Pakningsstørrelser: 1 hætteglas á 100 ml.</w:t>
      </w:r>
    </w:p>
    <w:p w14:paraId="6AA54D83" w14:textId="629B8B35" w:rsidR="00451E7A" w:rsidRDefault="00451E7A" w:rsidP="00A26C52">
      <w:pPr>
        <w:tabs>
          <w:tab w:val="left" w:pos="851"/>
        </w:tabs>
        <w:ind w:left="851"/>
        <w:rPr>
          <w:sz w:val="24"/>
          <w:szCs w:val="24"/>
        </w:rPr>
      </w:pPr>
    </w:p>
    <w:p w14:paraId="6DF4F5DA" w14:textId="332E74DF" w:rsidR="0083612A" w:rsidRPr="00A26C52" w:rsidRDefault="00451E7A" w:rsidP="00A26C52">
      <w:pPr>
        <w:tabs>
          <w:tab w:val="left" w:pos="851"/>
        </w:tabs>
        <w:ind w:left="851"/>
        <w:rPr>
          <w:sz w:val="24"/>
          <w:szCs w:val="24"/>
        </w:rPr>
      </w:pPr>
      <w:r>
        <w:rPr>
          <w:sz w:val="24"/>
          <w:szCs w:val="24"/>
        </w:rPr>
        <w:t>Ikke alle pakningsstørelser er nødvendigvis markedsført.</w:t>
      </w:r>
    </w:p>
    <w:p w14:paraId="5700E69B" w14:textId="77777777" w:rsidR="009260DE" w:rsidRPr="00C84483" w:rsidRDefault="009260DE" w:rsidP="00A26C52">
      <w:pPr>
        <w:tabs>
          <w:tab w:val="left" w:pos="851"/>
        </w:tabs>
        <w:ind w:left="851"/>
        <w:rPr>
          <w:sz w:val="24"/>
          <w:szCs w:val="24"/>
        </w:rPr>
      </w:pPr>
    </w:p>
    <w:p w14:paraId="589BA61E" w14:textId="77777777" w:rsidR="009260DE" w:rsidRPr="00C84483" w:rsidRDefault="009260DE" w:rsidP="00A26C5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0331DB3" w14:textId="77777777" w:rsidR="0083612A" w:rsidRPr="0083612A" w:rsidRDefault="0083612A" w:rsidP="00A26C52">
      <w:pPr>
        <w:tabs>
          <w:tab w:val="left" w:pos="851"/>
        </w:tabs>
        <w:ind w:left="851"/>
        <w:rPr>
          <w:sz w:val="24"/>
          <w:szCs w:val="24"/>
        </w:rPr>
      </w:pPr>
      <w:r w:rsidRPr="0083612A">
        <w:rPr>
          <w:sz w:val="24"/>
          <w:szCs w:val="24"/>
        </w:rPr>
        <w:t>Kun til engangsbrug.</w:t>
      </w:r>
    </w:p>
    <w:p w14:paraId="040728E8" w14:textId="77777777" w:rsidR="0083612A" w:rsidRPr="0083612A" w:rsidRDefault="0083612A" w:rsidP="00A26C52">
      <w:pPr>
        <w:tabs>
          <w:tab w:val="left" w:pos="851"/>
        </w:tabs>
        <w:ind w:left="851"/>
        <w:rPr>
          <w:sz w:val="24"/>
          <w:szCs w:val="24"/>
        </w:rPr>
      </w:pPr>
      <w:r w:rsidRPr="0083612A">
        <w:rPr>
          <w:sz w:val="24"/>
          <w:szCs w:val="24"/>
        </w:rPr>
        <w:t>Kun klar opløsning fri for partikler og misfarvning bør anvendes.</w:t>
      </w:r>
    </w:p>
    <w:p w14:paraId="21B90DB2" w14:textId="77777777" w:rsidR="0083612A" w:rsidRPr="0083612A" w:rsidRDefault="0083612A" w:rsidP="00A26C52">
      <w:pPr>
        <w:tabs>
          <w:tab w:val="left" w:pos="851"/>
        </w:tabs>
        <w:ind w:left="851"/>
        <w:rPr>
          <w:sz w:val="24"/>
          <w:szCs w:val="24"/>
        </w:rPr>
      </w:pPr>
    </w:p>
    <w:p w14:paraId="534F2F18" w14:textId="4EC9134A" w:rsidR="0083612A" w:rsidRPr="0083612A" w:rsidRDefault="0083612A" w:rsidP="00A26C52">
      <w:pPr>
        <w:tabs>
          <w:tab w:val="left" w:pos="851"/>
        </w:tabs>
        <w:ind w:left="851"/>
        <w:rPr>
          <w:sz w:val="24"/>
          <w:szCs w:val="24"/>
        </w:rPr>
      </w:pPr>
      <w:r w:rsidRPr="0083612A">
        <w:rPr>
          <w:sz w:val="24"/>
          <w:szCs w:val="24"/>
        </w:rPr>
        <w:t>Hvis den er nedkølet, lad den nedkølede opløsning nå stuetemperatur før administration. Aseptiske teknikker skal følges under forberedelsen af infusionen.</w:t>
      </w:r>
    </w:p>
    <w:p w14:paraId="1FCE85DC" w14:textId="77777777" w:rsidR="0083612A" w:rsidRPr="0083612A" w:rsidRDefault="0083612A" w:rsidP="00A26C52">
      <w:pPr>
        <w:tabs>
          <w:tab w:val="left" w:pos="851"/>
        </w:tabs>
        <w:ind w:left="851"/>
        <w:rPr>
          <w:sz w:val="24"/>
          <w:szCs w:val="24"/>
        </w:rPr>
      </w:pPr>
    </w:p>
    <w:p w14:paraId="50F2101A" w14:textId="77777777" w:rsidR="0083612A" w:rsidRPr="0083612A" w:rsidRDefault="0083612A" w:rsidP="00A26C52">
      <w:pPr>
        <w:tabs>
          <w:tab w:val="left" w:pos="851"/>
        </w:tabs>
        <w:ind w:left="851"/>
        <w:rPr>
          <w:sz w:val="24"/>
          <w:szCs w:val="24"/>
        </w:rPr>
      </w:pPr>
      <w:r w:rsidRPr="0083612A">
        <w:rPr>
          <w:sz w:val="24"/>
          <w:szCs w:val="24"/>
        </w:rPr>
        <w:t xml:space="preserve">Ikke anvendt lægemiddel samt affald heraf skal bortskaffes i henhold til lokale retningslinjer. </w:t>
      </w:r>
    </w:p>
    <w:p w14:paraId="5BAAD6EA" w14:textId="77777777" w:rsidR="009260DE" w:rsidRPr="00C84483" w:rsidRDefault="009260DE" w:rsidP="00A26C52">
      <w:pPr>
        <w:tabs>
          <w:tab w:val="left" w:pos="851"/>
        </w:tabs>
        <w:ind w:left="851"/>
        <w:rPr>
          <w:sz w:val="24"/>
          <w:szCs w:val="24"/>
        </w:rPr>
      </w:pPr>
    </w:p>
    <w:p w14:paraId="4403B117" w14:textId="77777777" w:rsidR="009260DE" w:rsidRPr="00C84483" w:rsidRDefault="009260DE" w:rsidP="00A26C5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7B2FEAE" w14:textId="77777777" w:rsidR="0083612A" w:rsidRPr="00A26C52" w:rsidRDefault="0083612A" w:rsidP="00A26C52">
      <w:pPr>
        <w:tabs>
          <w:tab w:val="left" w:pos="851"/>
        </w:tabs>
        <w:ind w:left="851"/>
        <w:rPr>
          <w:bCs/>
          <w:sz w:val="24"/>
          <w:szCs w:val="24"/>
        </w:rPr>
      </w:pPr>
      <w:r w:rsidRPr="00A26C52">
        <w:rPr>
          <w:bCs/>
          <w:sz w:val="24"/>
          <w:szCs w:val="24"/>
        </w:rPr>
        <w:t>Sun Pharmaceutical Industries Europe BV</w:t>
      </w:r>
    </w:p>
    <w:p w14:paraId="38E127D0" w14:textId="77777777" w:rsidR="0083612A" w:rsidRPr="00451E7A" w:rsidRDefault="0083612A" w:rsidP="00A26C52">
      <w:pPr>
        <w:tabs>
          <w:tab w:val="left" w:pos="851"/>
        </w:tabs>
        <w:ind w:left="851"/>
        <w:rPr>
          <w:bCs/>
          <w:sz w:val="24"/>
          <w:szCs w:val="24"/>
        </w:rPr>
      </w:pPr>
      <w:r w:rsidRPr="00451E7A">
        <w:rPr>
          <w:bCs/>
          <w:sz w:val="24"/>
          <w:szCs w:val="24"/>
        </w:rPr>
        <w:t>Polarisavenue 87</w:t>
      </w:r>
    </w:p>
    <w:p w14:paraId="30C11ECB" w14:textId="77777777" w:rsidR="0083612A" w:rsidRPr="00451E7A" w:rsidRDefault="0083612A" w:rsidP="00A26C52">
      <w:pPr>
        <w:tabs>
          <w:tab w:val="left" w:pos="851"/>
        </w:tabs>
        <w:ind w:left="851"/>
        <w:rPr>
          <w:bCs/>
          <w:sz w:val="24"/>
          <w:szCs w:val="24"/>
        </w:rPr>
      </w:pPr>
      <w:r w:rsidRPr="00451E7A">
        <w:rPr>
          <w:bCs/>
          <w:sz w:val="24"/>
          <w:szCs w:val="24"/>
        </w:rPr>
        <w:t xml:space="preserve">2132 JH Hoofddorp </w:t>
      </w:r>
    </w:p>
    <w:p w14:paraId="7BC72F7A" w14:textId="77777777" w:rsidR="0083612A" w:rsidRPr="00451E7A" w:rsidRDefault="0083612A" w:rsidP="00A26C52">
      <w:pPr>
        <w:tabs>
          <w:tab w:val="left" w:pos="851"/>
        </w:tabs>
        <w:ind w:left="851"/>
        <w:rPr>
          <w:bCs/>
          <w:sz w:val="24"/>
          <w:szCs w:val="24"/>
        </w:rPr>
      </w:pPr>
      <w:r w:rsidRPr="00451E7A">
        <w:rPr>
          <w:bCs/>
          <w:sz w:val="24"/>
          <w:szCs w:val="24"/>
        </w:rPr>
        <w:t>Holland</w:t>
      </w:r>
    </w:p>
    <w:p w14:paraId="0984D43B" w14:textId="77777777" w:rsidR="009260DE" w:rsidRDefault="009260DE" w:rsidP="00A26C52">
      <w:pPr>
        <w:tabs>
          <w:tab w:val="left" w:pos="851"/>
        </w:tabs>
        <w:ind w:left="851"/>
        <w:rPr>
          <w:sz w:val="24"/>
          <w:szCs w:val="24"/>
        </w:rPr>
      </w:pPr>
    </w:p>
    <w:p w14:paraId="5106666D" w14:textId="77777777" w:rsidR="009260DE" w:rsidRPr="00C84483" w:rsidRDefault="009260DE" w:rsidP="00A26C5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D944BD2" w14:textId="3A51B02F" w:rsidR="009260DE" w:rsidRPr="00C84483" w:rsidRDefault="0083612A" w:rsidP="00A26C52">
      <w:pPr>
        <w:tabs>
          <w:tab w:val="left" w:pos="851"/>
        </w:tabs>
        <w:ind w:left="851"/>
        <w:rPr>
          <w:sz w:val="24"/>
          <w:szCs w:val="24"/>
        </w:rPr>
      </w:pPr>
      <w:r>
        <w:rPr>
          <w:sz w:val="24"/>
          <w:szCs w:val="24"/>
        </w:rPr>
        <w:t>69035</w:t>
      </w:r>
    </w:p>
    <w:p w14:paraId="3D2DAA87" w14:textId="60318C86" w:rsidR="00451E7A" w:rsidRDefault="00451E7A">
      <w:pPr>
        <w:rPr>
          <w:sz w:val="24"/>
          <w:szCs w:val="24"/>
        </w:rPr>
      </w:pPr>
      <w:r>
        <w:rPr>
          <w:sz w:val="24"/>
          <w:szCs w:val="24"/>
        </w:rPr>
        <w:br w:type="page"/>
      </w:r>
    </w:p>
    <w:p w14:paraId="67E8C9FE" w14:textId="77777777" w:rsidR="009260DE" w:rsidRPr="00C84483" w:rsidRDefault="009260DE" w:rsidP="00A26C52">
      <w:pPr>
        <w:tabs>
          <w:tab w:val="left" w:pos="851"/>
        </w:tabs>
        <w:ind w:left="851"/>
        <w:jc w:val="both"/>
        <w:rPr>
          <w:sz w:val="24"/>
          <w:szCs w:val="24"/>
        </w:rPr>
      </w:pPr>
    </w:p>
    <w:p w14:paraId="1BF3E4F9" w14:textId="77777777" w:rsidR="009260DE" w:rsidRPr="00C84483" w:rsidRDefault="009260DE" w:rsidP="00A26C5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6A3D575" w14:textId="6B1B6A0C" w:rsidR="009260DE" w:rsidRPr="00C84483" w:rsidRDefault="007D73B8" w:rsidP="00A26C52">
      <w:pPr>
        <w:tabs>
          <w:tab w:val="left" w:pos="851"/>
        </w:tabs>
        <w:ind w:left="851"/>
        <w:rPr>
          <w:sz w:val="24"/>
          <w:szCs w:val="24"/>
        </w:rPr>
      </w:pPr>
      <w:r>
        <w:rPr>
          <w:sz w:val="24"/>
          <w:szCs w:val="24"/>
        </w:rPr>
        <w:t>30. oktober 2024</w:t>
      </w:r>
    </w:p>
    <w:p w14:paraId="0640E1C5" w14:textId="77777777" w:rsidR="009260DE" w:rsidRPr="00C84483" w:rsidRDefault="009260DE" w:rsidP="00A26C52">
      <w:pPr>
        <w:tabs>
          <w:tab w:val="left" w:pos="851"/>
        </w:tabs>
        <w:ind w:left="851"/>
        <w:rPr>
          <w:sz w:val="24"/>
          <w:szCs w:val="24"/>
        </w:rPr>
      </w:pPr>
    </w:p>
    <w:p w14:paraId="0221E437" w14:textId="77777777" w:rsidR="009260DE" w:rsidRPr="00C84483" w:rsidRDefault="009260DE" w:rsidP="00A26C5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93CB472" w14:textId="5F22FA53" w:rsidR="009260DE" w:rsidRPr="00C84483" w:rsidRDefault="0083612A" w:rsidP="00A26C52">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D142" w14:textId="77777777" w:rsidR="00A26C52" w:rsidRDefault="00A26C52">
      <w:r>
        <w:separator/>
      </w:r>
    </w:p>
  </w:endnote>
  <w:endnote w:type="continuationSeparator" w:id="0">
    <w:p w14:paraId="2E8D24D3" w14:textId="77777777" w:rsidR="00A26C52" w:rsidRDefault="00A2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BAE6" w14:textId="2A18B846" w:rsidR="00A26C52" w:rsidRDefault="00A26C52">
    <w:pPr>
      <w:pStyle w:val="Sidefod"/>
      <w:pBdr>
        <w:bottom w:val="single" w:sz="6" w:space="1" w:color="auto"/>
      </w:pBdr>
    </w:pPr>
  </w:p>
  <w:p w14:paraId="792CE6B0" w14:textId="77777777" w:rsidR="00A26C52" w:rsidRDefault="00A26C52" w:rsidP="00C42586">
    <w:pPr>
      <w:pStyle w:val="Sidefod"/>
      <w:tabs>
        <w:tab w:val="clear" w:pos="4819"/>
        <w:tab w:val="left" w:pos="8505"/>
      </w:tabs>
      <w:rPr>
        <w:i/>
        <w:sz w:val="18"/>
        <w:szCs w:val="18"/>
      </w:rPr>
    </w:pPr>
  </w:p>
  <w:p w14:paraId="53D000C6" w14:textId="2F0B48E6" w:rsidR="00A26C52" w:rsidRPr="0083612A" w:rsidRDefault="00A26C52" w:rsidP="0083612A">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Zoledronsyre Sun Pharma, infusionsvæske, opløsning 5 mg-100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DE3D" w14:textId="77777777" w:rsidR="00A26C52" w:rsidRDefault="00A26C52">
      <w:r>
        <w:separator/>
      </w:r>
    </w:p>
  </w:footnote>
  <w:footnote w:type="continuationSeparator" w:id="0">
    <w:p w14:paraId="5734A1AE" w14:textId="77777777" w:rsidR="00A26C52" w:rsidRDefault="00A2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A2401C"/>
    <w:multiLevelType w:val="hybridMultilevel"/>
    <w:tmpl w:val="6454427A"/>
    <w:lvl w:ilvl="0" w:tplc="04060001">
      <w:start w:val="1"/>
      <w:numFmt w:val="bullet"/>
      <w:lvlText w:val=""/>
      <w:lvlJc w:val="left"/>
      <w:pPr>
        <w:ind w:left="785" w:hanging="568"/>
      </w:pPr>
      <w:rPr>
        <w:rFonts w:ascii="Symbol" w:hAnsi="Symbol" w:hint="default"/>
        <w:b w:val="0"/>
        <w:bCs w:val="0"/>
        <w:i w:val="0"/>
        <w:iCs w:val="0"/>
        <w:spacing w:val="0"/>
        <w:w w:val="99"/>
        <w:sz w:val="22"/>
        <w:szCs w:val="22"/>
        <w:lang w:eastAsia="en-US" w:bidi="ar-SA"/>
      </w:rPr>
    </w:lvl>
    <w:lvl w:ilvl="1" w:tplc="C0D8BE76">
      <w:numFmt w:val="bullet"/>
      <w:lvlText w:val="•"/>
      <w:lvlJc w:val="left"/>
      <w:pPr>
        <w:ind w:left="1710" w:hanging="568"/>
      </w:pPr>
      <w:rPr>
        <w:lang w:eastAsia="en-US" w:bidi="ar-SA"/>
      </w:rPr>
    </w:lvl>
    <w:lvl w:ilvl="2" w:tplc="4C6A03A4">
      <w:numFmt w:val="bullet"/>
      <w:lvlText w:val="•"/>
      <w:lvlJc w:val="left"/>
      <w:pPr>
        <w:ind w:left="2640" w:hanging="568"/>
      </w:pPr>
      <w:rPr>
        <w:lang w:eastAsia="en-US" w:bidi="ar-SA"/>
      </w:rPr>
    </w:lvl>
    <w:lvl w:ilvl="3" w:tplc="23747128">
      <w:numFmt w:val="bullet"/>
      <w:lvlText w:val="•"/>
      <w:lvlJc w:val="left"/>
      <w:pPr>
        <w:ind w:left="3570" w:hanging="568"/>
      </w:pPr>
      <w:rPr>
        <w:lang w:eastAsia="en-US" w:bidi="ar-SA"/>
      </w:rPr>
    </w:lvl>
    <w:lvl w:ilvl="4" w:tplc="86223EE4">
      <w:numFmt w:val="bullet"/>
      <w:lvlText w:val="•"/>
      <w:lvlJc w:val="left"/>
      <w:pPr>
        <w:ind w:left="4500" w:hanging="568"/>
      </w:pPr>
      <w:rPr>
        <w:lang w:eastAsia="en-US" w:bidi="ar-SA"/>
      </w:rPr>
    </w:lvl>
    <w:lvl w:ilvl="5" w:tplc="3AA67460">
      <w:numFmt w:val="bullet"/>
      <w:lvlText w:val="•"/>
      <w:lvlJc w:val="left"/>
      <w:pPr>
        <w:ind w:left="5430" w:hanging="568"/>
      </w:pPr>
      <w:rPr>
        <w:lang w:eastAsia="en-US" w:bidi="ar-SA"/>
      </w:rPr>
    </w:lvl>
    <w:lvl w:ilvl="6" w:tplc="27763766">
      <w:numFmt w:val="bullet"/>
      <w:lvlText w:val="•"/>
      <w:lvlJc w:val="left"/>
      <w:pPr>
        <w:ind w:left="6360" w:hanging="568"/>
      </w:pPr>
      <w:rPr>
        <w:lang w:eastAsia="en-US" w:bidi="ar-SA"/>
      </w:rPr>
    </w:lvl>
    <w:lvl w:ilvl="7" w:tplc="999466C4">
      <w:numFmt w:val="bullet"/>
      <w:lvlText w:val="•"/>
      <w:lvlJc w:val="left"/>
      <w:pPr>
        <w:ind w:left="7291" w:hanging="568"/>
      </w:pPr>
      <w:rPr>
        <w:lang w:eastAsia="en-US" w:bidi="ar-SA"/>
      </w:rPr>
    </w:lvl>
    <w:lvl w:ilvl="8" w:tplc="EB36365A">
      <w:numFmt w:val="bullet"/>
      <w:lvlText w:val="•"/>
      <w:lvlJc w:val="left"/>
      <w:pPr>
        <w:ind w:left="8221" w:hanging="568"/>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CF02EA"/>
    <w:multiLevelType w:val="hybridMultilevel"/>
    <w:tmpl w:val="CEB6AD76"/>
    <w:lvl w:ilvl="0" w:tplc="04060001">
      <w:start w:val="1"/>
      <w:numFmt w:val="bullet"/>
      <w:lvlText w:val=""/>
      <w:lvlJc w:val="left"/>
      <w:pPr>
        <w:ind w:left="785" w:hanging="568"/>
      </w:pPr>
      <w:rPr>
        <w:rFonts w:ascii="Symbol" w:hAnsi="Symbol" w:hint="default"/>
        <w:b w:val="0"/>
        <w:bCs w:val="0"/>
        <w:i w:val="0"/>
        <w:iCs w:val="0"/>
        <w:spacing w:val="0"/>
        <w:w w:val="99"/>
        <w:sz w:val="22"/>
        <w:szCs w:val="22"/>
        <w:lang w:eastAsia="en-US" w:bidi="ar-SA"/>
      </w:rPr>
    </w:lvl>
    <w:lvl w:ilvl="1" w:tplc="85A69DE0">
      <w:numFmt w:val="bullet"/>
      <w:lvlText w:val="•"/>
      <w:lvlJc w:val="left"/>
      <w:pPr>
        <w:ind w:left="1710" w:hanging="568"/>
      </w:pPr>
      <w:rPr>
        <w:lang w:eastAsia="en-US" w:bidi="ar-SA"/>
      </w:rPr>
    </w:lvl>
    <w:lvl w:ilvl="2" w:tplc="3D58C0E4">
      <w:numFmt w:val="bullet"/>
      <w:lvlText w:val="•"/>
      <w:lvlJc w:val="left"/>
      <w:pPr>
        <w:ind w:left="2640" w:hanging="568"/>
      </w:pPr>
      <w:rPr>
        <w:lang w:eastAsia="en-US" w:bidi="ar-SA"/>
      </w:rPr>
    </w:lvl>
    <w:lvl w:ilvl="3" w:tplc="6D70EBC2">
      <w:numFmt w:val="bullet"/>
      <w:lvlText w:val="•"/>
      <w:lvlJc w:val="left"/>
      <w:pPr>
        <w:ind w:left="3570" w:hanging="568"/>
      </w:pPr>
      <w:rPr>
        <w:lang w:eastAsia="en-US" w:bidi="ar-SA"/>
      </w:rPr>
    </w:lvl>
    <w:lvl w:ilvl="4" w:tplc="F8429F68">
      <w:numFmt w:val="bullet"/>
      <w:lvlText w:val="•"/>
      <w:lvlJc w:val="left"/>
      <w:pPr>
        <w:ind w:left="4500" w:hanging="568"/>
      </w:pPr>
      <w:rPr>
        <w:lang w:eastAsia="en-US" w:bidi="ar-SA"/>
      </w:rPr>
    </w:lvl>
    <w:lvl w:ilvl="5" w:tplc="05CCC7FA">
      <w:numFmt w:val="bullet"/>
      <w:lvlText w:val="•"/>
      <w:lvlJc w:val="left"/>
      <w:pPr>
        <w:ind w:left="5430" w:hanging="568"/>
      </w:pPr>
      <w:rPr>
        <w:lang w:eastAsia="en-US" w:bidi="ar-SA"/>
      </w:rPr>
    </w:lvl>
    <w:lvl w:ilvl="6" w:tplc="3FBC70B2">
      <w:numFmt w:val="bullet"/>
      <w:lvlText w:val="•"/>
      <w:lvlJc w:val="left"/>
      <w:pPr>
        <w:ind w:left="6360" w:hanging="568"/>
      </w:pPr>
      <w:rPr>
        <w:lang w:eastAsia="en-US" w:bidi="ar-SA"/>
      </w:rPr>
    </w:lvl>
    <w:lvl w:ilvl="7" w:tplc="D640F51C">
      <w:numFmt w:val="bullet"/>
      <w:lvlText w:val="•"/>
      <w:lvlJc w:val="left"/>
      <w:pPr>
        <w:ind w:left="7291" w:hanging="568"/>
      </w:pPr>
      <w:rPr>
        <w:lang w:eastAsia="en-US" w:bidi="ar-SA"/>
      </w:rPr>
    </w:lvl>
    <w:lvl w:ilvl="8" w:tplc="D95C5E14">
      <w:numFmt w:val="bullet"/>
      <w:lvlText w:val="•"/>
      <w:lvlJc w:val="left"/>
      <w:pPr>
        <w:ind w:left="8221" w:hanging="568"/>
      </w:pPr>
      <w:rPr>
        <w:lang w:eastAsia="en-US" w:bidi="ar-SA"/>
      </w:rPr>
    </w:lvl>
  </w:abstractNum>
  <w:abstractNum w:abstractNumId="6" w15:restartNumberingAfterBreak="0">
    <w:nsid w:val="4D0F02AA"/>
    <w:multiLevelType w:val="multilevel"/>
    <w:tmpl w:val="659EEE88"/>
    <w:lvl w:ilvl="0">
      <w:start w:val="1"/>
      <w:numFmt w:val="decimal"/>
      <w:lvlText w:val="%1."/>
      <w:lvlJc w:val="left"/>
      <w:pPr>
        <w:ind w:left="786" w:hanging="568"/>
      </w:pPr>
      <w:rPr>
        <w:rFonts w:ascii="Times New Roman" w:eastAsia="Times New Roman" w:hAnsi="Times New Roman" w:cs="Times New Roman" w:hint="default"/>
        <w:b/>
        <w:bCs/>
        <w:i w:val="0"/>
        <w:iCs w:val="0"/>
        <w:spacing w:val="0"/>
        <w:w w:val="99"/>
        <w:sz w:val="22"/>
        <w:szCs w:val="22"/>
        <w:lang w:eastAsia="en-US" w:bidi="ar-SA"/>
      </w:rPr>
    </w:lvl>
    <w:lvl w:ilvl="1">
      <w:start w:val="1"/>
      <w:numFmt w:val="decimal"/>
      <w:lvlText w:val="%1.%2"/>
      <w:lvlJc w:val="left"/>
      <w:pPr>
        <w:ind w:left="785" w:hanging="568"/>
      </w:pPr>
      <w:rPr>
        <w:rFonts w:ascii="Times New Roman" w:eastAsia="Times New Roman" w:hAnsi="Times New Roman" w:cs="Times New Roman" w:hint="default"/>
        <w:b/>
        <w:bCs/>
        <w:i w:val="0"/>
        <w:iCs w:val="0"/>
        <w:spacing w:val="0"/>
        <w:w w:val="99"/>
        <w:sz w:val="22"/>
        <w:szCs w:val="22"/>
        <w:lang w:eastAsia="en-US" w:bidi="ar-SA"/>
      </w:rPr>
    </w:lvl>
    <w:lvl w:ilvl="2">
      <w:numFmt w:val="bullet"/>
      <w:lvlText w:val=""/>
      <w:lvlJc w:val="left"/>
      <w:pPr>
        <w:ind w:left="217" w:hanging="568"/>
      </w:pPr>
      <w:rPr>
        <w:rFonts w:ascii="Symbol" w:eastAsia="Symbol" w:hAnsi="Symbol" w:cs="Symbol" w:hint="default"/>
        <w:b w:val="0"/>
        <w:bCs w:val="0"/>
        <w:i w:val="0"/>
        <w:iCs w:val="0"/>
        <w:spacing w:val="0"/>
        <w:w w:val="99"/>
        <w:sz w:val="22"/>
        <w:szCs w:val="22"/>
        <w:lang w:eastAsia="en-US" w:bidi="ar-SA"/>
      </w:rPr>
    </w:lvl>
    <w:lvl w:ilvl="3">
      <w:numFmt w:val="bullet"/>
      <w:lvlText w:val="•"/>
      <w:lvlJc w:val="left"/>
      <w:pPr>
        <w:ind w:left="2847" w:hanging="568"/>
      </w:pPr>
      <w:rPr>
        <w:lang w:eastAsia="en-US" w:bidi="ar-SA"/>
      </w:rPr>
    </w:lvl>
    <w:lvl w:ilvl="4">
      <w:numFmt w:val="bullet"/>
      <w:lvlText w:val="•"/>
      <w:lvlJc w:val="left"/>
      <w:pPr>
        <w:ind w:left="3880" w:hanging="568"/>
      </w:pPr>
      <w:rPr>
        <w:lang w:eastAsia="en-US" w:bidi="ar-SA"/>
      </w:rPr>
    </w:lvl>
    <w:lvl w:ilvl="5">
      <w:numFmt w:val="bullet"/>
      <w:lvlText w:val="•"/>
      <w:lvlJc w:val="left"/>
      <w:pPr>
        <w:ind w:left="4914" w:hanging="568"/>
      </w:pPr>
      <w:rPr>
        <w:lang w:eastAsia="en-US" w:bidi="ar-SA"/>
      </w:rPr>
    </w:lvl>
    <w:lvl w:ilvl="6">
      <w:numFmt w:val="bullet"/>
      <w:lvlText w:val="•"/>
      <w:lvlJc w:val="left"/>
      <w:pPr>
        <w:ind w:left="5947" w:hanging="568"/>
      </w:pPr>
      <w:rPr>
        <w:lang w:eastAsia="en-US" w:bidi="ar-SA"/>
      </w:rPr>
    </w:lvl>
    <w:lvl w:ilvl="7">
      <w:numFmt w:val="bullet"/>
      <w:lvlText w:val="•"/>
      <w:lvlJc w:val="left"/>
      <w:pPr>
        <w:ind w:left="6981" w:hanging="568"/>
      </w:pPr>
      <w:rPr>
        <w:lang w:eastAsia="en-US" w:bidi="ar-SA"/>
      </w:rPr>
    </w:lvl>
    <w:lvl w:ilvl="8">
      <w:numFmt w:val="bullet"/>
      <w:lvlText w:val="•"/>
      <w:lvlJc w:val="left"/>
      <w:pPr>
        <w:ind w:left="8014" w:hanging="568"/>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BB1F13"/>
    <w:multiLevelType w:val="hybridMultilevel"/>
    <w:tmpl w:val="870C4850"/>
    <w:lvl w:ilvl="0" w:tplc="711A7AC0">
      <w:start w:val="1"/>
      <w:numFmt w:val="decimal"/>
      <w:lvlText w:val="(%1)"/>
      <w:lvlJc w:val="left"/>
      <w:pPr>
        <w:ind w:left="419" w:hanging="312"/>
      </w:pPr>
      <w:rPr>
        <w:rFonts w:ascii="Times New Roman" w:eastAsia="Times New Roman" w:hAnsi="Times New Roman" w:cs="Times New Roman" w:hint="default"/>
        <w:b w:val="0"/>
        <w:bCs w:val="0"/>
        <w:i w:val="0"/>
        <w:iCs w:val="0"/>
        <w:spacing w:val="0"/>
        <w:w w:val="99"/>
        <w:sz w:val="22"/>
        <w:szCs w:val="22"/>
        <w:lang w:eastAsia="en-US" w:bidi="ar-SA"/>
      </w:rPr>
    </w:lvl>
    <w:lvl w:ilvl="1" w:tplc="A782BFEA">
      <w:numFmt w:val="bullet"/>
      <w:lvlText w:val="•"/>
      <w:lvlJc w:val="left"/>
      <w:pPr>
        <w:ind w:left="1351" w:hanging="312"/>
      </w:pPr>
      <w:rPr>
        <w:rFonts w:hint="default"/>
        <w:lang w:eastAsia="en-US" w:bidi="ar-SA"/>
      </w:rPr>
    </w:lvl>
    <w:lvl w:ilvl="2" w:tplc="24E0256C">
      <w:numFmt w:val="bullet"/>
      <w:lvlText w:val="•"/>
      <w:lvlJc w:val="left"/>
      <w:pPr>
        <w:ind w:left="2283" w:hanging="312"/>
      </w:pPr>
      <w:rPr>
        <w:rFonts w:hint="default"/>
        <w:lang w:eastAsia="en-US" w:bidi="ar-SA"/>
      </w:rPr>
    </w:lvl>
    <w:lvl w:ilvl="3" w:tplc="E288F7EA">
      <w:numFmt w:val="bullet"/>
      <w:lvlText w:val="•"/>
      <w:lvlJc w:val="left"/>
      <w:pPr>
        <w:ind w:left="3215" w:hanging="312"/>
      </w:pPr>
      <w:rPr>
        <w:rFonts w:hint="default"/>
        <w:lang w:eastAsia="en-US" w:bidi="ar-SA"/>
      </w:rPr>
    </w:lvl>
    <w:lvl w:ilvl="4" w:tplc="4ED83E54">
      <w:numFmt w:val="bullet"/>
      <w:lvlText w:val="•"/>
      <w:lvlJc w:val="left"/>
      <w:pPr>
        <w:ind w:left="4147" w:hanging="312"/>
      </w:pPr>
      <w:rPr>
        <w:rFonts w:hint="default"/>
        <w:lang w:eastAsia="en-US" w:bidi="ar-SA"/>
      </w:rPr>
    </w:lvl>
    <w:lvl w:ilvl="5" w:tplc="9F8E8C58">
      <w:numFmt w:val="bullet"/>
      <w:lvlText w:val="•"/>
      <w:lvlJc w:val="left"/>
      <w:pPr>
        <w:ind w:left="5079" w:hanging="312"/>
      </w:pPr>
      <w:rPr>
        <w:rFonts w:hint="default"/>
        <w:lang w:eastAsia="en-US" w:bidi="ar-SA"/>
      </w:rPr>
    </w:lvl>
    <w:lvl w:ilvl="6" w:tplc="B0146688">
      <w:numFmt w:val="bullet"/>
      <w:lvlText w:val="•"/>
      <w:lvlJc w:val="left"/>
      <w:pPr>
        <w:ind w:left="6011" w:hanging="312"/>
      </w:pPr>
      <w:rPr>
        <w:rFonts w:hint="default"/>
        <w:lang w:eastAsia="en-US" w:bidi="ar-SA"/>
      </w:rPr>
    </w:lvl>
    <w:lvl w:ilvl="7" w:tplc="07D8629A">
      <w:numFmt w:val="bullet"/>
      <w:lvlText w:val="•"/>
      <w:lvlJc w:val="left"/>
      <w:pPr>
        <w:ind w:left="6943" w:hanging="312"/>
      </w:pPr>
      <w:rPr>
        <w:rFonts w:hint="default"/>
        <w:lang w:eastAsia="en-US" w:bidi="ar-SA"/>
      </w:rPr>
    </w:lvl>
    <w:lvl w:ilvl="8" w:tplc="1424F1AC">
      <w:numFmt w:val="bullet"/>
      <w:lvlText w:val="•"/>
      <w:lvlJc w:val="left"/>
      <w:pPr>
        <w:ind w:left="7875" w:hanging="312"/>
      </w:pPr>
      <w:rPr>
        <w:rFonts w:hint="default"/>
        <w:lang w:eastAsia="en-US" w:bidi="ar-SA"/>
      </w:rPr>
    </w:lvl>
  </w:abstractNum>
  <w:abstractNum w:abstractNumId="9" w15:restartNumberingAfterBreak="0">
    <w:nsid w:val="785E7D6C"/>
    <w:multiLevelType w:val="hybridMultilevel"/>
    <w:tmpl w:val="B8DC4D6A"/>
    <w:lvl w:ilvl="0" w:tplc="3F864F22">
      <w:start w:val="1"/>
      <w:numFmt w:val="decimal"/>
      <w:lvlText w:val="(%1)"/>
      <w:lvlJc w:val="left"/>
      <w:pPr>
        <w:ind w:left="419" w:hanging="312"/>
      </w:pPr>
      <w:rPr>
        <w:rFonts w:ascii="Times New Roman" w:eastAsia="Times New Roman" w:hAnsi="Times New Roman" w:cs="Times New Roman" w:hint="default"/>
        <w:b w:val="0"/>
        <w:bCs w:val="0"/>
        <w:i w:val="0"/>
        <w:iCs w:val="0"/>
        <w:spacing w:val="0"/>
        <w:w w:val="99"/>
        <w:sz w:val="22"/>
        <w:szCs w:val="22"/>
        <w:lang w:eastAsia="en-US" w:bidi="ar-SA"/>
      </w:rPr>
    </w:lvl>
    <w:lvl w:ilvl="1" w:tplc="3FD412B8">
      <w:numFmt w:val="bullet"/>
      <w:lvlText w:val="•"/>
      <w:lvlJc w:val="left"/>
      <w:pPr>
        <w:ind w:left="1351" w:hanging="312"/>
      </w:pPr>
      <w:rPr>
        <w:rFonts w:hint="default"/>
        <w:lang w:eastAsia="en-US" w:bidi="ar-SA"/>
      </w:rPr>
    </w:lvl>
    <w:lvl w:ilvl="2" w:tplc="76122268">
      <w:numFmt w:val="bullet"/>
      <w:lvlText w:val="•"/>
      <w:lvlJc w:val="left"/>
      <w:pPr>
        <w:ind w:left="2283" w:hanging="312"/>
      </w:pPr>
      <w:rPr>
        <w:rFonts w:hint="default"/>
        <w:lang w:eastAsia="en-US" w:bidi="ar-SA"/>
      </w:rPr>
    </w:lvl>
    <w:lvl w:ilvl="3" w:tplc="53CC5218">
      <w:numFmt w:val="bullet"/>
      <w:lvlText w:val="•"/>
      <w:lvlJc w:val="left"/>
      <w:pPr>
        <w:ind w:left="3215" w:hanging="312"/>
      </w:pPr>
      <w:rPr>
        <w:rFonts w:hint="default"/>
        <w:lang w:eastAsia="en-US" w:bidi="ar-SA"/>
      </w:rPr>
    </w:lvl>
    <w:lvl w:ilvl="4" w:tplc="C5FE57CA">
      <w:numFmt w:val="bullet"/>
      <w:lvlText w:val="•"/>
      <w:lvlJc w:val="left"/>
      <w:pPr>
        <w:ind w:left="4147" w:hanging="312"/>
      </w:pPr>
      <w:rPr>
        <w:rFonts w:hint="default"/>
        <w:lang w:eastAsia="en-US" w:bidi="ar-SA"/>
      </w:rPr>
    </w:lvl>
    <w:lvl w:ilvl="5" w:tplc="47E6CA72">
      <w:numFmt w:val="bullet"/>
      <w:lvlText w:val="•"/>
      <w:lvlJc w:val="left"/>
      <w:pPr>
        <w:ind w:left="5079" w:hanging="312"/>
      </w:pPr>
      <w:rPr>
        <w:rFonts w:hint="default"/>
        <w:lang w:eastAsia="en-US" w:bidi="ar-SA"/>
      </w:rPr>
    </w:lvl>
    <w:lvl w:ilvl="6" w:tplc="0BB0BF2E">
      <w:numFmt w:val="bullet"/>
      <w:lvlText w:val="•"/>
      <w:lvlJc w:val="left"/>
      <w:pPr>
        <w:ind w:left="6011" w:hanging="312"/>
      </w:pPr>
      <w:rPr>
        <w:rFonts w:hint="default"/>
        <w:lang w:eastAsia="en-US" w:bidi="ar-SA"/>
      </w:rPr>
    </w:lvl>
    <w:lvl w:ilvl="7" w:tplc="FBCC44B2">
      <w:numFmt w:val="bullet"/>
      <w:lvlText w:val="•"/>
      <w:lvlJc w:val="left"/>
      <w:pPr>
        <w:ind w:left="6943" w:hanging="312"/>
      </w:pPr>
      <w:rPr>
        <w:rFonts w:hint="default"/>
        <w:lang w:eastAsia="en-US" w:bidi="ar-SA"/>
      </w:rPr>
    </w:lvl>
    <w:lvl w:ilvl="8" w:tplc="B12C95A2">
      <w:numFmt w:val="bullet"/>
      <w:lvlText w:val="•"/>
      <w:lvlJc w:val="left"/>
      <w:pPr>
        <w:ind w:left="7875" w:hanging="312"/>
      </w:pPr>
      <w:rPr>
        <w:rFonts w:hint="default"/>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AD"/>
    <w:rsid w:val="000259B9"/>
    <w:rsid w:val="00041491"/>
    <w:rsid w:val="00050D16"/>
    <w:rsid w:val="000730CA"/>
    <w:rsid w:val="00074F2A"/>
    <w:rsid w:val="000A1CA8"/>
    <w:rsid w:val="000A466B"/>
    <w:rsid w:val="000B058C"/>
    <w:rsid w:val="000B4B51"/>
    <w:rsid w:val="000B5F7D"/>
    <w:rsid w:val="000D68B0"/>
    <w:rsid w:val="000E4EE6"/>
    <w:rsid w:val="001454E2"/>
    <w:rsid w:val="001A6A61"/>
    <w:rsid w:val="00206CE8"/>
    <w:rsid w:val="0021526C"/>
    <w:rsid w:val="00270DF5"/>
    <w:rsid w:val="00283A2B"/>
    <w:rsid w:val="002B30AD"/>
    <w:rsid w:val="002C1EC0"/>
    <w:rsid w:val="002C2C01"/>
    <w:rsid w:val="003641AA"/>
    <w:rsid w:val="003A29AE"/>
    <w:rsid w:val="003A32D7"/>
    <w:rsid w:val="003A5640"/>
    <w:rsid w:val="003B4074"/>
    <w:rsid w:val="003B6491"/>
    <w:rsid w:val="003C769A"/>
    <w:rsid w:val="003D3A90"/>
    <w:rsid w:val="003F1838"/>
    <w:rsid w:val="004251C1"/>
    <w:rsid w:val="00441CFD"/>
    <w:rsid w:val="00451E7A"/>
    <w:rsid w:val="0045746C"/>
    <w:rsid w:val="004671FF"/>
    <w:rsid w:val="0049104B"/>
    <w:rsid w:val="004E3B12"/>
    <w:rsid w:val="00532310"/>
    <w:rsid w:val="005652E3"/>
    <w:rsid w:val="00565F0F"/>
    <w:rsid w:val="00594A86"/>
    <w:rsid w:val="00596D86"/>
    <w:rsid w:val="00635AAA"/>
    <w:rsid w:val="00637F5A"/>
    <w:rsid w:val="00641C65"/>
    <w:rsid w:val="006560B1"/>
    <w:rsid w:val="006756DD"/>
    <w:rsid w:val="00684A48"/>
    <w:rsid w:val="006851B0"/>
    <w:rsid w:val="0071241E"/>
    <w:rsid w:val="00721EEF"/>
    <w:rsid w:val="00737275"/>
    <w:rsid w:val="00740EEC"/>
    <w:rsid w:val="0075765C"/>
    <w:rsid w:val="0078011A"/>
    <w:rsid w:val="00782AF4"/>
    <w:rsid w:val="00790EE7"/>
    <w:rsid w:val="007B6649"/>
    <w:rsid w:val="007D73B8"/>
    <w:rsid w:val="007F160A"/>
    <w:rsid w:val="0082576E"/>
    <w:rsid w:val="0083612A"/>
    <w:rsid w:val="00865237"/>
    <w:rsid w:val="0089346F"/>
    <w:rsid w:val="008D1304"/>
    <w:rsid w:val="00907F75"/>
    <w:rsid w:val="009260DE"/>
    <w:rsid w:val="0093258A"/>
    <w:rsid w:val="009767D9"/>
    <w:rsid w:val="0099245C"/>
    <w:rsid w:val="009C7BA3"/>
    <w:rsid w:val="009D1F5A"/>
    <w:rsid w:val="00A0777B"/>
    <w:rsid w:val="00A10294"/>
    <w:rsid w:val="00A13A4E"/>
    <w:rsid w:val="00A26C52"/>
    <w:rsid w:val="00A665C6"/>
    <w:rsid w:val="00A751A6"/>
    <w:rsid w:val="00AB72E6"/>
    <w:rsid w:val="00B003BF"/>
    <w:rsid w:val="00B373D7"/>
    <w:rsid w:val="00B55271"/>
    <w:rsid w:val="00BD7931"/>
    <w:rsid w:val="00BF6243"/>
    <w:rsid w:val="00C22D7B"/>
    <w:rsid w:val="00C31CAD"/>
    <w:rsid w:val="00C36276"/>
    <w:rsid w:val="00C42586"/>
    <w:rsid w:val="00C45F6B"/>
    <w:rsid w:val="00C60CCD"/>
    <w:rsid w:val="00C84483"/>
    <w:rsid w:val="00C95551"/>
    <w:rsid w:val="00CB20D7"/>
    <w:rsid w:val="00D020B0"/>
    <w:rsid w:val="00D11748"/>
    <w:rsid w:val="00D237F6"/>
    <w:rsid w:val="00D34D98"/>
    <w:rsid w:val="00D366CF"/>
    <w:rsid w:val="00D531A9"/>
    <w:rsid w:val="00D93992"/>
    <w:rsid w:val="00E108AA"/>
    <w:rsid w:val="00E3749A"/>
    <w:rsid w:val="00E7437F"/>
    <w:rsid w:val="00E865B8"/>
    <w:rsid w:val="00EC0B9B"/>
    <w:rsid w:val="00ED5E9F"/>
    <w:rsid w:val="00F66D4F"/>
    <w:rsid w:val="00FB6D01"/>
    <w:rsid w:val="00FF1D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BAB21"/>
  <w15:chartTrackingRefBased/>
  <w15:docId w15:val="{42DD99E0-872D-4708-BA06-C09ACED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83612A"/>
    <w:pPr>
      <w:widowControl w:val="0"/>
      <w:autoSpaceDE w:val="0"/>
      <w:autoSpaceDN w:val="0"/>
      <w:ind w:left="291"/>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0B5F7D"/>
    <w:pPr>
      <w:widowControl w:val="0"/>
      <w:autoSpaceDE w:val="0"/>
      <w:autoSpaceDN w:val="0"/>
      <w:spacing w:line="233" w:lineRule="exact"/>
      <w:ind w:left="107"/>
    </w:pPr>
    <w:rPr>
      <w:sz w:val="22"/>
      <w:szCs w:val="22"/>
      <w:lang w:val="en-US"/>
    </w:rPr>
  </w:style>
  <w:style w:type="table" w:styleId="Tabel-Gitter">
    <w:name w:val="Table Grid"/>
    <w:basedOn w:val="Tabel-Normal"/>
    <w:uiPriority w:val="59"/>
    <w:rsid w:val="0068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635AA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635AAA"/>
    <w:rPr>
      <w:sz w:val="22"/>
      <w:szCs w:val="22"/>
      <w:lang w:val="en-US" w:eastAsia="en-US"/>
    </w:rPr>
  </w:style>
  <w:style w:type="character" w:styleId="Hyperlink">
    <w:name w:val="Hyperlink"/>
    <w:basedOn w:val="Standardskrifttypeiafsnit"/>
    <w:uiPriority w:val="99"/>
    <w:unhideWhenUsed/>
    <w:rsid w:val="00635AAA"/>
    <w:rPr>
      <w:color w:val="0563C1" w:themeColor="hyperlink"/>
      <w:u w:val="single"/>
    </w:rPr>
  </w:style>
  <w:style w:type="character" w:styleId="Ulstomtale">
    <w:name w:val="Unresolved Mention"/>
    <w:basedOn w:val="Standardskrifttypeiafsnit"/>
    <w:uiPriority w:val="99"/>
    <w:semiHidden/>
    <w:unhideWhenUsed/>
    <w:rsid w:val="00635AAA"/>
    <w:rPr>
      <w:color w:val="605E5C"/>
      <w:shd w:val="clear" w:color="auto" w:fill="E1DFDD"/>
    </w:rPr>
  </w:style>
  <w:style w:type="character" w:customStyle="1" w:styleId="Overskrift2Tegn">
    <w:name w:val="Overskrift 2 Tegn"/>
    <w:basedOn w:val="Standardskrifttypeiafsnit"/>
    <w:link w:val="Overskrift2"/>
    <w:uiPriority w:val="1"/>
    <w:rsid w:val="0083612A"/>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3659">
      <w:bodyDiv w:val="1"/>
      <w:marLeft w:val="0"/>
      <w:marRight w:val="0"/>
      <w:marTop w:val="0"/>
      <w:marBottom w:val="0"/>
      <w:divBdr>
        <w:top w:val="none" w:sz="0" w:space="0" w:color="auto"/>
        <w:left w:val="none" w:sz="0" w:space="0" w:color="auto"/>
        <w:bottom w:val="none" w:sz="0" w:space="0" w:color="auto"/>
        <w:right w:val="none" w:sz="0" w:space="0" w:color="auto"/>
      </w:divBdr>
    </w:div>
    <w:div w:id="88087688">
      <w:bodyDiv w:val="1"/>
      <w:marLeft w:val="0"/>
      <w:marRight w:val="0"/>
      <w:marTop w:val="0"/>
      <w:marBottom w:val="0"/>
      <w:divBdr>
        <w:top w:val="none" w:sz="0" w:space="0" w:color="auto"/>
        <w:left w:val="none" w:sz="0" w:space="0" w:color="auto"/>
        <w:bottom w:val="none" w:sz="0" w:space="0" w:color="auto"/>
        <w:right w:val="none" w:sz="0" w:space="0" w:color="auto"/>
      </w:divBdr>
    </w:div>
    <w:div w:id="979925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593635">
      <w:bodyDiv w:val="1"/>
      <w:marLeft w:val="0"/>
      <w:marRight w:val="0"/>
      <w:marTop w:val="0"/>
      <w:marBottom w:val="0"/>
      <w:divBdr>
        <w:top w:val="none" w:sz="0" w:space="0" w:color="auto"/>
        <w:left w:val="none" w:sz="0" w:space="0" w:color="auto"/>
        <w:bottom w:val="none" w:sz="0" w:space="0" w:color="auto"/>
        <w:right w:val="none" w:sz="0" w:space="0" w:color="auto"/>
      </w:divBdr>
    </w:div>
    <w:div w:id="355159297">
      <w:bodyDiv w:val="1"/>
      <w:marLeft w:val="0"/>
      <w:marRight w:val="0"/>
      <w:marTop w:val="0"/>
      <w:marBottom w:val="0"/>
      <w:divBdr>
        <w:top w:val="none" w:sz="0" w:space="0" w:color="auto"/>
        <w:left w:val="none" w:sz="0" w:space="0" w:color="auto"/>
        <w:bottom w:val="none" w:sz="0" w:space="0" w:color="auto"/>
        <w:right w:val="none" w:sz="0" w:space="0" w:color="auto"/>
      </w:divBdr>
    </w:div>
    <w:div w:id="398595200">
      <w:bodyDiv w:val="1"/>
      <w:marLeft w:val="0"/>
      <w:marRight w:val="0"/>
      <w:marTop w:val="0"/>
      <w:marBottom w:val="0"/>
      <w:divBdr>
        <w:top w:val="none" w:sz="0" w:space="0" w:color="auto"/>
        <w:left w:val="none" w:sz="0" w:space="0" w:color="auto"/>
        <w:bottom w:val="none" w:sz="0" w:space="0" w:color="auto"/>
        <w:right w:val="none" w:sz="0" w:space="0" w:color="auto"/>
      </w:divBdr>
    </w:div>
    <w:div w:id="503935697">
      <w:bodyDiv w:val="1"/>
      <w:marLeft w:val="0"/>
      <w:marRight w:val="0"/>
      <w:marTop w:val="0"/>
      <w:marBottom w:val="0"/>
      <w:divBdr>
        <w:top w:val="none" w:sz="0" w:space="0" w:color="auto"/>
        <w:left w:val="none" w:sz="0" w:space="0" w:color="auto"/>
        <w:bottom w:val="none" w:sz="0" w:space="0" w:color="auto"/>
        <w:right w:val="none" w:sz="0" w:space="0" w:color="auto"/>
      </w:divBdr>
    </w:div>
    <w:div w:id="546526204">
      <w:bodyDiv w:val="1"/>
      <w:marLeft w:val="0"/>
      <w:marRight w:val="0"/>
      <w:marTop w:val="0"/>
      <w:marBottom w:val="0"/>
      <w:divBdr>
        <w:top w:val="none" w:sz="0" w:space="0" w:color="auto"/>
        <w:left w:val="none" w:sz="0" w:space="0" w:color="auto"/>
        <w:bottom w:val="none" w:sz="0" w:space="0" w:color="auto"/>
        <w:right w:val="none" w:sz="0" w:space="0" w:color="auto"/>
      </w:divBdr>
    </w:div>
    <w:div w:id="707334069">
      <w:bodyDiv w:val="1"/>
      <w:marLeft w:val="0"/>
      <w:marRight w:val="0"/>
      <w:marTop w:val="0"/>
      <w:marBottom w:val="0"/>
      <w:divBdr>
        <w:top w:val="none" w:sz="0" w:space="0" w:color="auto"/>
        <w:left w:val="none" w:sz="0" w:space="0" w:color="auto"/>
        <w:bottom w:val="none" w:sz="0" w:space="0" w:color="auto"/>
        <w:right w:val="none" w:sz="0" w:space="0" w:color="auto"/>
      </w:divBdr>
    </w:div>
    <w:div w:id="731000323">
      <w:bodyDiv w:val="1"/>
      <w:marLeft w:val="0"/>
      <w:marRight w:val="0"/>
      <w:marTop w:val="0"/>
      <w:marBottom w:val="0"/>
      <w:divBdr>
        <w:top w:val="none" w:sz="0" w:space="0" w:color="auto"/>
        <w:left w:val="none" w:sz="0" w:space="0" w:color="auto"/>
        <w:bottom w:val="none" w:sz="0" w:space="0" w:color="auto"/>
        <w:right w:val="none" w:sz="0" w:space="0" w:color="auto"/>
      </w:divBdr>
    </w:div>
    <w:div w:id="765424312">
      <w:bodyDiv w:val="1"/>
      <w:marLeft w:val="0"/>
      <w:marRight w:val="0"/>
      <w:marTop w:val="0"/>
      <w:marBottom w:val="0"/>
      <w:divBdr>
        <w:top w:val="none" w:sz="0" w:space="0" w:color="auto"/>
        <w:left w:val="none" w:sz="0" w:space="0" w:color="auto"/>
        <w:bottom w:val="none" w:sz="0" w:space="0" w:color="auto"/>
        <w:right w:val="none" w:sz="0" w:space="0" w:color="auto"/>
      </w:divBdr>
    </w:div>
    <w:div w:id="1121069495">
      <w:bodyDiv w:val="1"/>
      <w:marLeft w:val="0"/>
      <w:marRight w:val="0"/>
      <w:marTop w:val="0"/>
      <w:marBottom w:val="0"/>
      <w:divBdr>
        <w:top w:val="none" w:sz="0" w:space="0" w:color="auto"/>
        <w:left w:val="none" w:sz="0" w:space="0" w:color="auto"/>
        <w:bottom w:val="none" w:sz="0" w:space="0" w:color="auto"/>
        <w:right w:val="none" w:sz="0" w:space="0" w:color="auto"/>
      </w:divBdr>
    </w:div>
    <w:div w:id="1152720785">
      <w:bodyDiv w:val="1"/>
      <w:marLeft w:val="0"/>
      <w:marRight w:val="0"/>
      <w:marTop w:val="0"/>
      <w:marBottom w:val="0"/>
      <w:divBdr>
        <w:top w:val="none" w:sz="0" w:space="0" w:color="auto"/>
        <w:left w:val="none" w:sz="0" w:space="0" w:color="auto"/>
        <w:bottom w:val="none" w:sz="0" w:space="0" w:color="auto"/>
        <w:right w:val="none" w:sz="0" w:space="0" w:color="auto"/>
      </w:divBdr>
    </w:div>
    <w:div w:id="1271665904">
      <w:bodyDiv w:val="1"/>
      <w:marLeft w:val="0"/>
      <w:marRight w:val="0"/>
      <w:marTop w:val="0"/>
      <w:marBottom w:val="0"/>
      <w:divBdr>
        <w:top w:val="none" w:sz="0" w:space="0" w:color="auto"/>
        <w:left w:val="none" w:sz="0" w:space="0" w:color="auto"/>
        <w:bottom w:val="none" w:sz="0" w:space="0" w:color="auto"/>
        <w:right w:val="none" w:sz="0" w:space="0" w:color="auto"/>
      </w:divBdr>
    </w:div>
    <w:div w:id="1444610052">
      <w:bodyDiv w:val="1"/>
      <w:marLeft w:val="0"/>
      <w:marRight w:val="0"/>
      <w:marTop w:val="0"/>
      <w:marBottom w:val="0"/>
      <w:divBdr>
        <w:top w:val="none" w:sz="0" w:space="0" w:color="auto"/>
        <w:left w:val="none" w:sz="0" w:space="0" w:color="auto"/>
        <w:bottom w:val="none" w:sz="0" w:space="0" w:color="auto"/>
        <w:right w:val="none" w:sz="0" w:space="0" w:color="auto"/>
      </w:divBdr>
    </w:div>
    <w:div w:id="1494684554">
      <w:bodyDiv w:val="1"/>
      <w:marLeft w:val="0"/>
      <w:marRight w:val="0"/>
      <w:marTop w:val="0"/>
      <w:marBottom w:val="0"/>
      <w:divBdr>
        <w:top w:val="none" w:sz="0" w:space="0" w:color="auto"/>
        <w:left w:val="none" w:sz="0" w:space="0" w:color="auto"/>
        <w:bottom w:val="none" w:sz="0" w:space="0" w:color="auto"/>
        <w:right w:val="none" w:sz="0" w:space="0" w:color="auto"/>
      </w:divBdr>
    </w:div>
    <w:div w:id="1562905545">
      <w:bodyDiv w:val="1"/>
      <w:marLeft w:val="0"/>
      <w:marRight w:val="0"/>
      <w:marTop w:val="0"/>
      <w:marBottom w:val="0"/>
      <w:divBdr>
        <w:top w:val="none" w:sz="0" w:space="0" w:color="auto"/>
        <w:left w:val="none" w:sz="0" w:space="0" w:color="auto"/>
        <w:bottom w:val="none" w:sz="0" w:space="0" w:color="auto"/>
        <w:right w:val="none" w:sz="0" w:space="0" w:color="auto"/>
      </w:divBdr>
    </w:div>
    <w:div w:id="1572345576">
      <w:bodyDiv w:val="1"/>
      <w:marLeft w:val="0"/>
      <w:marRight w:val="0"/>
      <w:marTop w:val="0"/>
      <w:marBottom w:val="0"/>
      <w:divBdr>
        <w:top w:val="none" w:sz="0" w:space="0" w:color="auto"/>
        <w:left w:val="none" w:sz="0" w:space="0" w:color="auto"/>
        <w:bottom w:val="none" w:sz="0" w:space="0" w:color="auto"/>
        <w:right w:val="none" w:sz="0" w:space="0" w:color="auto"/>
      </w:divBdr>
    </w:div>
    <w:div w:id="1574394896">
      <w:bodyDiv w:val="1"/>
      <w:marLeft w:val="0"/>
      <w:marRight w:val="0"/>
      <w:marTop w:val="0"/>
      <w:marBottom w:val="0"/>
      <w:divBdr>
        <w:top w:val="none" w:sz="0" w:space="0" w:color="auto"/>
        <w:left w:val="none" w:sz="0" w:space="0" w:color="auto"/>
        <w:bottom w:val="none" w:sz="0" w:space="0" w:color="auto"/>
        <w:right w:val="none" w:sz="0" w:space="0" w:color="auto"/>
      </w:divBdr>
    </w:div>
    <w:div w:id="1700666287">
      <w:bodyDiv w:val="1"/>
      <w:marLeft w:val="0"/>
      <w:marRight w:val="0"/>
      <w:marTop w:val="0"/>
      <w:marBottom w:val="0"/>
      <w:divBdr>
        <w:top w:val="none" w:sz="0" w:space="0" w:color="auto"/>
        <w:left w:val="none" w:sz="0" w:space="0" w:color="auto"/>
        <w:bottom w:val="none" w:sz="0" w:space="0" w:color="auto"/>
        <w:right w:val="none" w:sz="0" w:space="0" w:color="auto"/>
      </w:divBdr>
    </w:div>
    <w:div w:id="1847935061">
      <w:bodyDiv w:val="1"/>
      <w:marLeft w:val="0"/>
      <w:marRight w:val="0"/>
      <w:marTop w:val="0"/>
      <w:marBottom w:val="0"/>
      <w:divBdr>
        <w:top w:val="none" w:sz="0" w:space="0" w:color="auto"/>
        <w:left w:val="none" w:sz="0" w:space="0" w:color="auto"/>
        <w:bottom w:val="none" w:sz="0" w:space="0" w:color="auto"/>
        <w:right w:val="none" w:sz="0" w:space="0" w:color="auto"/>
      </w:divBdr>
    </w:div>
    <w:div w:id="19438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79</TotalTime>
  <Pages>20</Pages>
  <Words>6804</Words>
  <Characters>43243</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2023011821 mt</dc:description>
  <cp:lastModifiedBy>Hanne Thy Iversen</cp:lastModifiedBy>
  <cp:revision>27</cp:revision>
  <cp:lastPrinted>2012-08-22T08:53:00Z</cp:lastPrinted>
  <dcterms:created xsi:type="dcterms:W3CDTF">2024-10-29T11:48:00Z</dcterms:created>
  <dcterms:modified xsi:type="dcterms:W3CDTF">2024-10-30T08:18:00Z</dcterms:modified>
</cp:coreProperties>
</file>