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8E6F6" w14:textId="77777777" w:rsidR="004D4CB4" w:rsidRDefault="004D4CB4" w:rsidP="004D4CB4">
      <w:r>
        <w:rPr>
          <w:noProof/>
          <w:lang w:eastAsia="da-DK"/>
        </w:rPr>
        <w:drawing>
          <wp:inline distT="0" distB="0" distL="0" distR="0" wp14:anchorId="1AD9FAAD" wp14:editId="37727F23">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14:paraId="5541558A" w14:textId="77777777" w:rsidR="004D4CB4" w:rsidRDefault="004D4CB4" w:rsidP="004D4CB4">
      <w:pPr>
        <w:pStyle w:val="Titel"/>
        <w:tabs>
          <w:tab w:val="right" w:pos="9356"/>
        </w:tabs>
        <w:jc w:val="left"/>
        <w:rPr>
          <w:b w:val="0"/>
          <w:sz w:val="23"/>
          <w:lang w:eastAsia="en-US"/>
        </w:rPr>
      </w:pPr>
    </w:p>
    <w:p w14:paraId="467B77BC" w14:textId="0F4D6DDC" w:rsidR="004D4CB4" w:rsidRDefault="004D4CB4" w:rsidP="004D4CB4">
      <w:pPr>
        <w:pStyle w:val="Titel"/>
        <w:tabs>
          <w:tab w:val="right" w:pos="9356"/>
        </w:tabs>
        <w:jc w:val="left"/>
        <w:rPr>
          <w:b w:val="0"/>
        </w:rPr>
      </w:pPr>
      <w:r>
        <w:rPr>
          <w:b w:val="0"/>
          <w:sz w:val="23"/>
          <w:lang w:eastAsia="en-US"/>
        </w:rPr>
        <w:tab/>
      </w:r>
      <w:r w:rsidR="00B62BC4">
        <w:rPr>
          <w:szCs w:val="24"/>
        </w:rPr>
        <w:t>1</w:t>
      </w:r>
      <w:r w:rsidR="0081353E">
        <w:rPr>
          <w:szCs w:val="24"/>
        </w:rPr>
        <w:t xml:space="preserve">. </w:t>
      </w:r>
      <w:r w:rsidR="00B62BC4">
        <w:rPr>
          <w:szCs w:val="24"/>
        </w:rPr>
        <w:t>maj</w:t>
      </w:r>
      <w:bookmarkStart w:id="0" w:name="_GoBack"/>
      <w:bookmarkEnd w:id="0"/>
      <w:r w:rsidR="0081353E">
        <w:rPr>
          <w:szCs w:val="24"/>
        </w:rPr>
        <w:t xml:space="preserve"> 202</w:t>
      </w:r>
      <w:r w:rsidR="005F66C3">
        <w:rPr>
          <w:szCs w:val="24"/>
        </w:rPr>
        <w:t>4</w:t>
      </w:r>
    </w:p>
    <w:p w14:paraId="09AD30A8" w14:textId="77777777" w:rsidR="004D4CB4" w:rsidRDefault="004D4CB4" w:rsidP="004D4CB4">
      <w:pPr>
        <w:pStyle w:val="Titel"/>
        <w:jc w:val="left"/>
        <w:rPr>
          <w:b w:val="0"/>
        </w:rPr>
      </w:pPr>
    </w:p>
    <w:p w14:paraId="543049D6" w14:textId="77777777" w:rsidR="004D4CB4" w:rsidRPr="00EC0B9B" w:rsidRDefault="004D4CB4" w:rsidP="004D4CB4">
      <w:pPr>
        <w:jc w:val="center"/>
        <w:rPr>
          <w:b/>
          <w:sz w:val="24"/>
          <w:szCs w:val="24"/>
        </w:rPr>
      </w:pPr>
      <w:r w:rsidRPr="00EC0B9B">
        <w:rPr>
          <w:b/>
          <w:sz w:val="24"/>
          <w:szCs w:val="24"/>
        </w:rPr>
        <w:t>PRODUKTRESUMÉ</w:t>
      </w:r>
    </w:p>
    <w:p w14:paraId="5B8D8868" w14:textId="77777777" w:rsidR="004D4CB4" w:rsidRPr="00EC0B9B" w:rsidRDefault="004D4CB4" w:rsidP="004D4CB4">
      <w:pPr>
        <w:jc w:val="center"/>
        <w:rPr>
          <w:b/>
          <w:sz w:val="24"/>
          <w:szCs w:val="24"/>
        </w:rPr>
      </w:pPr>
    </w:p>
    <w:p w14:paraId="5FB6ECAC" w14:textId="77777777" w:rsidR="004D4CB4" w:rsidRPr="00EC0B9B" w:rsidRDefault="004D4CB4" w:rsidP="004D4CB4">
      <w:pPr>
        <w:jc w:val="center"/>
        <w:rPr>
          <w:b/>
          <w:sz w:val="24"/>
          <w:szCs w:val="24"/>
        </w:rPr>
      </w:pPr>
      <w:r w:rsidRPr="00EC0B9B">
        <w:rPr>
          <w:b/>
          <w:sz w:val="24"/>
          <w:szCs w:val="24"/>
        </w:rPr>
        <w:t>for</w:t>
      </w:r>
    </w:p>
    <w:p w14:paraId="07A27C19" w14:textId="77777777" w:rsidR="004D4CB4" w:rsidRPr="00EC0B9B" w:rsidRDefault="004D4CB4" w:rsidP="004D4CB4">
      <w:pPr>
        <w:jc w:val="center"/>
        <w:rPr>
          <w:b/>
          <w:sz w:val="24"/>
          <w:szCs w:val="24"/>
        </w:rPr>
      </w:pPr>
    </w:p>
    <w:p w14:paraId="7F7F76FD" w14:textId="77777777" w:rsidR="004D4CB4" w:rsidRPr="0049104B" w:rsidRDefault="004D4CB4" w:rsidP="004D4CB4">
      <w:pPr>
        <w:jc w:val="center"/>
        <w:rPr>
          <w:b/>
          <w:sz w:val="24"/>
          <w:szCs w:val="24"/>
        </w:rPr>
      </w:pPr>
      <w:proofErr w:type="spellStart"/>
      <w:r>
        <w:rPr>
          <w:b/>
          <w:sz w:val="24"/>
          <w:szCs w:val="24"/>
        </w:rPr>
        <w:t>Zolt</w:t>
      </w:r>
      <w:proofErr w:type="spellEnd"/>
      <w:r>
        <w:rPr>
          <w:b/>
          <w:sz w:val="24"/>
          <w:szCs w:val="24"/>
        </w:rPr>
        <w:t xml:space="preserve">, hårde </w:t>
      </w:r>
      <w:proofErr w:type="spellStart"/>
      <w:r>
        <w:rPr>
          <w:b/>
          <w:sz w:val="24"/>
          <w:szCs w:val="24"/>
        </w:rPr>
        <w:t>enterokapsler</w:t>
      </w:r>
      <w:proofErr w:type="spellEnd"/>
      <w:r>
        <w:rPr>
          <w:b/>
          <w:sz w:val="24"/>
          <w:szCs w:val="24"/>
        </w:rPr>
        <w:t>, 15 mg, pakningsstørrelser over 56 stk. og 30 mg</w:t>
      </w:r>
    </w:p>
    <w:p w14:paraId="5804B2AF" w14:textId="77777777" w:rsidR="004D4CB4" w:rsidRPr="00EC0B9B" w:rsidRDefault="004D4CB4" w:rsidP="004D4CB4">
      <w:pPr>
        <w:jc w:val="both"/>
        <w:rPr>
          <w:sz w:val="24"/>
          <w:szCs w:val="24"/>
        </w:rPr>
      </w:pPr>
    </w:p>
    <w:p w14:paraId="4747B745" w14:textId="77777777" w:rsidR="004D4CB4" w:rsidRPr="00386BA3" w:rsidRDefault="004D4CB4" w:rsidP="004D4CB4">
      <w:pPr>
        <w:ind w:left="851" w:hanging="851"/>
        <w:jc w:val="both"/>
        <w:rPr>
          <w:sz w:val="24"/>
          <w:szCs w:val="24"/>
        </w:rPr>
      </w:pPr>
    </w:p>
    <w:p w14:paraId="254EA7C9" w14:textId="77777777" w:rsidR="004D4CB4" w:rsidRPr="00386BA3" w:rsidRDefault="004D4CB4" w:rsidP="004D4CB4">
      <w:pPr>
        <w:ind w:left="851" w:hanging="851"/>
        <w:rPr>
          <w:b/>
          <w:sz w:val="24"/>
          <w:szCs w:val="24"/>
        </w:rPr>
      </w:pPr>
      <w:r w:rsidRPr="00386BA3">
        <w:rPr>
          <w:b/>
          <w:sz w:val="24"/>
          <w:szCs w:val="24"/>
        </w:rPr>
        <w:t>0.</w:t>
      </w:r>
      <w:r w:rsidRPr="00386BA3">
        <w:rPr>
          <w:b/>
          <w:sz w:val="24"/>
          <w:szCs w:val="24"/>
        </w:rPr>
        <w:tab/>
        <w:t>D.SP.NR.</w:t>
      </w:r>
    </w:p>
    <w:p w14:paraId="55879C11" w14:textId="77777777" w:rsidR="004D4CB4" w:rsidRPr="00386BA3" w:rsidRDefault="004D4CB4" w:rsidP="004D4CB4">
      <w:pPr>
        <w:ind w:left="851" w:hanging="851"/>
        <w:rPr>
          <w:sz w:val="24"/>
          <w:szCs w:val="24"/>
        </w:rPr>
      </w:pPr>
      <w:r w:rsidRPr="00386BA3">
        <w:rPr>
          <w:sz w:val="24"/>
          <w:szCs w:val="24"/>
        </w:rPr>
        <w:tab/>
        <w:t>28117</w:t>
      </w:r>
    </w:p>
    <w:p w14:paraId="4E7B0E0B" w14:textId="2C6C043D" w:rsidR="004D4CB4" w:rsidRDefault="004D4CB4" w:rsidP="004D4CB4">
      <w:pPr>
        <w:ind w:left="851" w:hanging="851"/>
        <w:rPr>
          <w:sz w:val="24"/>
          <w:szCs w:val="24"/>
        </w:rPr>
      </w:pPr>
    </w:p>
    <w:p w14:paraId="46EB5407" w14:textId="77777777" w:rsidR="005F66C3" w:rsidRPr="00386BA3" w:rsidRDefault="005F66C3" w:rsidP="004D4CB4">
      <w:pPr>
        <w:ind w:left="851" w:hanging="851"/>
        <w:rPr>
          <w:sz w:val="24"/>
          <w:szCs w:val="24"/>
        </w:rPr>
      </w:pPr>
    </w:p>
    <w:p w14:paraId="61D69BFA" w14:textId="77777777" w:rsidR="004D4CB4" w:rsidRPr="00386BA3" w:rsidRDefault="004D4CB4" w:rsidP="004D4CB4">
      <w:pPr>
        <w:ind w:left="851" w:hanging="851"/>
        <w:rPr>
          <w:b/>
          <w:sz w:val="24"/>
          <w:szCs w:val="24"/>
        </w:rPr>
      </w:pPr>
      <w:r w:rsidRPr="00386BA3">
        <w:rPr>
          <w:b/>
          <w:sz w:val="24"/>
          <w:szCs w:val="24"/>
        </w:rPr>
        <w:t>1.</w:t>
      </w:r>
      <w:r w:rsidRPr="00386BA3">
        <w:rPr>
          <w:b/>
          <w:sz w:val="24"/>
          <w:szCs w:val="24"/>
        </w:rPr>
        <w:tab/>
        <w:t>LÆGEMIDLETS NAVN</w:t>
      </w:r>
    </w:p>
    <w:p w14:paraId="012AB9D0" w14:textId="77777777" w:rsidR="004D4CB4" w:rsidRPr="00386BA3" w:rsidRDefault="004D4CB4" w:rsidP="004D4CB4">
      <w:pPr>
        <w:ind w:left="851" w:hanging="851"/>
        <w:rPr>
          <w:sz w:val="24"/>
          <w:szCs w:val="24"/>
        </w:rPr>
      </w:pPr>
      <w:r w:rsidRPr="00386BA3">
        <w:rPr>
          <w:sz w:val="24"/>
          <w:szCs w:val="24"/>
        </w:rPr>
        <w:tab/>
      </w:r>
      <w:proofErr w:type="spellStart"/>
      <w:r w:rsidRPr="00386BA3">
        <w:rPr>
          <w:sz w:val="24"/>
          <w:szCs w:val="24"/>
        </w:rPr>
        <w:t>Zolt</w:t>
      </w:r>
      <w:proofErr w:type="spellEnd"/>
    </w:p>
    <w:p w14:paraId="5F271AEE" w14:textId="4D036F67" w:rsidR="004D4CB4" w:rsidRDefault="004D4CB4" w:rsidP="004D4CB4">
      <w:pPr>
        <w:ind w:left="851" w:hanging="851"/>
        <w:rPr>
          <w:sz w:val="24"/>
          <w:szCs w:val="24"/>
        </w:rPr>
      </w:pPr>
      <w:r w:rsidRPr="00386BA3">
        <w:rPr>
          <w:sz w:val="24"/>
          <w:szCs w:val="24"/>
        </w:rPr>
        <w:tab/>
      </w:r>
    </w:p>
    <w:p w14:paraId="17D59A9D" w14:textId="77777777" w:rsidR="005F66C3" w:rsidRPr="00386BA3" w:rsidRDefault="005F66C3" w:rsidP="004D4CB4">
      <w:pPr>
        <w:ind w:left="851" w:hanging="851"/>
        <w:rPr>
          <w:sz w:val="24"/>
          <w:szCs w:val="24"/>
        </w:rPr>
      </w:pPr>
    </w:p>
    <w:p w14:paraId="7A410968" w14:textId="77777777" w:rsidR="004D4CB4" w:rsidRPr="00386BA3" w:rsidRDefault="004D4CB4" w:rsidP="004D4CB4">
      <w:pPr>
        <w:ind w:left="851" w:hanging="851"/>
        <w:rPr>
          <w:b/>
          <w:sz w:val="24"/>
          <w:szCs w:val="24"/>
        </w:rPr>
      </w:pPr>
      <w:r w:rsidRPr="00386BA3">
        <w:rPr>
          <w:b/>
          <w:sz w:val="24"/>
          <w:szCs w:val="24"/>
        </w:rPr>
        <w:t>2.</w:t>
      </w:r>
      <w:r w:rsidRPr="00386BA3">
        <w:rPr>
          <w:b/>
          <w:sz w:val="24"/>
          <w:szCs w:val="24"/>
        </w:rPr>
        <w:tab/>
        <w:t>KVALITATIV OG KVANTITATIV SAMMENSÆTNING</w:t>
      </w:r>
    </w:p>
    <w:p w14:paraId="2C12C422" w14:textId="77777777" w:rsidR="004D4CB4" w:rsidRPr="00386BA3" w:rsidRDefault="004D4CB4" w:rsidP="004D4CB4">
      <w:pPr>
        <w:ind w:left="851" w:hanging="851"/>
        <w:rPr>
          <w:sz w:val="24"/>
          <w:szCs w:val="24"/>
        </w:rPr>
      </w:pPr>
      <w:r w:rsidRPr="00386BA3">
        <w:rPr>
          <w:sz w:val="24"/>
          <w:szCs w:val="24"/>
        </w:rPr>
        <w:tab/>
        <w:t xml:space="preserve">15 mg: Hver kapsel indeholder 15 mg </w:t>
      </w:r>
      <w:proofErr w:type="spellStart"/>
      <w:r w:rsidRPr="00386BA3">
        <w:rPr>
          <w:sz w:val="24"/>
          <w:szCs w:val="24"/>
        </w:rPr>
        <w:t>lansoprazol</w:t>
      </w:r>
      <w:proofErr w:type="spellEnd"/>
      <w:r w:rsidRPr="00386BA3">
        <w:rPr>
          <w:sz w:val="24"/>
          <w:szCs w:val="24"/>
        </w:rPr>
        <w:t>.</w:t>
      </w:r>
    </w:p>
    <w:p w14:paraId="66FB0ED0" w14:textId="77777777" w:rsidR="004D4CB4" w:rsidRPr="00386BA3" w:rsidRDefault="004D4CB4" w:rsidP="004D4CB4">
      <w:pPr>
        <w:ind w:left="851"/>
        <w:rPr>
          <w:sz w:val="24"/>
          <w:szCs w:val="24"/>
        </w:rPr>
      </w:pPr>
      <w:r w:rsidRPr="00386BA3">
        <w:rPr>
          <w:sz w:val="24"/>
          <w:szCs w:val="24"/>
        </w:rPr>
        <w:t xml:space="preserve">30 mg: Hver kapsel indeholder 30 mg </w:t>
      </w:r>
      <w:proofErr w:type="spellStart"/>
      <w:r w:rsidRPr="00386BA3">
        <w:rPr>
          <w:sz w:val="24"/>
          <w:szCs w:val="24"/>
        </w:rPr>
        <w:t>lansoprazol</w:t>
      </w:r>
      <w:proofErr w:type="spellEnd"/>
      <w:r w:rsidRPr="00386BA3">
        <w:rPr>
          <w:sz w:val="24"/>
          <w:szCs w:val="24"/>
        </w:rPr>
        <w:t>.</w:t>
      </w:r>
    </w:p>
    <w:p w14:paraId="48741FD2" w14:textId="77777777" w:rsidR="004D4CB4" w:rsidRPr="00386BA3" w:rsidRDefault="004D4CB4" w:rsidP="004D4CB4">
      <w:pPr>
        <w:ind w:left="851" w:hanging="851"/>
        <w:rPr>
          <w:sz w:val="24"/>
          <w:szCs w:val="24"/>
          <w:lang w:val="fr-FR"/>
        </w:rPr>
      </w:pPr>
    </w:p>
    <w:p w14:paraId="29F5A876" w14:textId="77777777" w:rsidR="004D4CB4" w:rsidRPr="00386BA3" w:rsidRDefault="004D4CB4" w:rsidP="004D4CB4">
      <w:pPr>
        <w:ind w:left="851" w:hanging="851"/>
        <w:rPr>
          <w:i/>
          <w:iCs/>
          <w:sz w:val="24"/>
          <w:szCs w:val="24"/>
          <w:lang w:val="fr-FR"/>
        </w:rPr>
      </w:pPr>
      <w:r w:rsidRPr="00386BA3">
        <w:rPr>
          <w:i/>
          <w:iCs/>
          <w:sz w:val="24"/>
          <w:szCs w:val="24"/>
        </w:rPr>
        <w:tab/>
        <w:t>Hjælpestoffer, som behandleren skal være opmærksom på:</w:t>
      </w:r>
    </w:p>
    <w:p w14:paraId="504C834B" w14:textId="77777777" w:rsidR="0081353E" w:rsidRPr="00386BA3" w:rsidRDefault="004D4CB4" w:rsidP="0081353E">
      <w:pPr>
        <w:ind w:left="851" w:hanging="851"/>
        <w:rPr>
          <w:sz w:val="24"/>
          <w:szCs w:val="24"/>
        </w:rPr>
      </w:pPr>
      <w:r w:rsidRPr="00386BA3">
        <w:rPr>
          <w:sz w:val="24"/>
          <w:szCs w:val="24"/>
        </w:rPr>
        <w:tab/>
      </w:r>
      <w:r w:rsidR="0081353E" w:rsidRPr="00386BA3">
        <w:rPr>
          <w:sz w:val="24"/>
          <w:szCs w:val="24"/>
        </w:rPr>
        <w:t>Hver 15 mg kapsel indeholder 100,</w:t>
      </w:r>
      <w:r w:rsidR="0081353E">
        <w:rPr>
          <w:sz w:val="24"/>
          <w:szCs w:val="24"/>
        </w:rPr>
        <w:t>5 </w:t>
      </w:r>
      <w:r w:rsidR="0081353E" w:rsidRPr="00386BA3">
        <w:rPr>
          <w:sz w:val="24"/>
          <w:szCs w:val="24"/>
        </w:rPr>
        <w:t xml:space="preserve">mg </w:t>
      </w:r>
      <w:proofErr w:type="spellStart"/>
      <w:r w:rsidR="0081353E" w:rsidRPr="00386BA3">
        <w:rPr>
          <w:sz w:val="24"/>
          <w:szCs w:val="24"/>
        </w:rPr>
        <w:t>saccharose</w:t>
      </w:r>
      <w:proofErr w:type="spellEnd"/>
      <w:r w:rsidR="0081353E" w:rsidRPr="00386BA3">
        <w:rPr>
          <w:sz w:val="24"/>
          <w:szCs w:val="24"/>
        </w:rPr>
        <w:t>.</w:t>
      </w:r>
    </w:p>
    <w:p w14:paraId="2255B894" w14:textId="77777777" w:rsidR="004D4CB4" w:rsidRPr="00386BA3" w:rsidRDefault="0081353E" w:rsidP="0081353E">
      <w:pPr>
        <w:ind w:left="851" w:hanging="851"/>
        <w:rPr>
          <w:sz w:val="24"/>
          <w:szCs w:val="24"/>
        </w:rPr>
      </w:pPr>
      <w:r w:rsidRPr="004D73FC">
        <w:rPr>
          <w:sz w:val="24"/>
          <w:szCs w:val="24"/>
        </w:rPr>
        <w:tab/>
      </w:r>
      <w:r w:rsidRPr="00386BA3">
        <w:rPr>
          <w:sz w:val="24"/>
          <w:szCs w:val="24"/>
        </w:rPr>
        <w:t>Hver 30 mg kapsel indeholder 200,</w:t>
      </w:r>
      <w:r>
        <w:rPr>
          <w:sz w:val="24"/>
          <w:szCs w:val="24"/>
        </w:rPr>
        <w:t>9 </w:t>
      </w:r>
      <w:r w:rsidRPr="00386BA3">
        <w:rPr>
          <w:sz w:val="24"/>
          <w:szCs w:val="24"/>
        </w:rPr>
        <w:t xml:space="preserve">mg </w:t>
      </w:r>
      <w:proofErr w:type="spellStart"/>
      <w:r w:rsidRPr="00386BA3">
        <w:rPr>
          <w:sz w:val="24"/>
          <w:szCs w:val="24"/>
        </w:rPr>
        <w:t>saccharose</w:t>
      </w:r>
      <w:proofErr w:type="spellEnd"/>
      <w:r w:rsidRPr="00386BA3">
        <w:rPr>
          <w:sz w:val="24"/>
          <w:szCs w:val="24"/>
        </w:rPr>
        <w:t>.</w:t>
      </w:r>
    </w:p>
    <w:p w14:paraId="4D96C18F" w14:textId="77777777" w:rsidR="004D4CB4" w:rsidRPr="00386BA3" w:rsidRDefault="004D4CB4" w:rsidP="004D4CB4">
      <w:pPr>
        <w:ind w:left="851" w:hanging="851"/>
        <w:rPr>
          <w:sz w:val="24"/>
          <w:szCs w:val="24"/>
          <w:lang w:val="fr-FR"/>
        </w:rPr>
      </w:pPr>
    </w:p>
    <w:p w14:paraId="2B8C62D7" w14:textId="77777777" w:rsidR="004D4CB4" w:rsidRPr="00386BA3" w:rsidRDefault="004D4CB4" w:rsidP="004D4CB4">
      <w:pPr>
        <w:ind w:left="851" w:hanging="851"/>
        <w:rPr>
          <w:sz w:val="24"/>
          <w:szCs w:val="24"/>
          <w:lang w:val="fr-FR"/>
        </w:rPr>
      </w:pPr>
      <w:r w:rsidRPr="00386BA3">
        <w:rPr>
          <w:sz w:val="24"/>
          <w:szCs w:val="24"/>
        </w:rPr>
        <w:tab/>
        <w:t>Alle hjælpestoffer er anført under pkt. 6.1.</w:t>
      </w:r>
    </w:p>
    <w:p w14:paraId="43B8AE6B" w14:textId="7899247E" w:rsidR="004D4CB4" w:rsidRDefault="004D4CB4" w:rsidP="004D4CB4">
      <w:pPr>
        <w:ind w:left="851" w:hanging="851"/>
        <w:rPr>
          <w:sz w:val="24"/>
          <w:szCs w:val="24"/>
        </w:rPr>
      </w:pPr>
    </w:p>
    <w:p w14:paraId="4F07CC55" w14:textId="77777777" w:rsidR="005F66C3" w:rsidRPr="00386BA3" w:rsidRDefault="005F66C3" w:rsidP="004D4CB4">
      <w:pPr>
        <w:ind w:left="851" w:hanging="851"/>
        <w:rPr>
          <w:sz w:val="24"/>
          <w:szCs w:val="24"/>
        </w:rPr>
      </w:pPr>
    </w:p>
    <w:p w14:paraId="1F081052" w14:textId="77777777" w:rsidR="004D4CB4" w:rsidRPr="00386BA3" w:rsidRDefault="004D4CB4" w:rsidP="004D4CB4">
      <w:pPr>
        <w:ind w:left="851" w:hanging="851"/>
        <w:rPr>
          <w:b/>
          <w:sz w:val="24"/>
          <w:szCs w:val="24"/>
        </w:rPr>
      </w:pPr>
      <w:r w:rsidRPr="00386BA3">
        <w:rPr>
          <w:b/>
          <w:sz w:val="24"/>
          <w:szCs w:val="24"/>
        </w:rPr>
        <w:t>3.</w:t>
      </w:r>
      <w:r w:rsidRPr="00386BA3">
        <w:rPr>
          <w:b/>
          <w:sz w:val="24"/>
          <w:szCs w:val="24"/>
        </w:rPr>
        <w:tab/>
        <w:t>LÆGEMIDDELFORM</w:t>
      </w:r>
    </w:p>
    <w:p w14:paraId="1366DE47" w14:textId="77777777" w:rsidR="004D4CB4" w:rsidRPr="00386BA3" w:rsidRDefault="004D4CB4" w:rsidP="004D4CB4">
      <w:pPr>
        <w:ind w:left="851" w:hanging="851"/>
        <w:rPr>
          <w:sz w:val="24"/>
          <w:szCs w:val="24"/>
        </w:rPr>
      </w:pPr>
      <w:r w:rsidRPr="00386BA3">
        <w:rPr>
          <w:sz w:val="24"/>
          <w:szCs w:val="24"/>
        </w:rPr>
        <w:tab/>
      </w:r>
      <w:proofErr w:type="spellStart"/>
      <w:r w:rsidRPr="00386BA3">
        <w:rPr>
          <w:sz w:val="24"/>
          <w:szCs w:val="24"/>
        </w:rPr>
        <w:t>Enterokaps</w:t>
      </w:r>
      <w:r>
        <w:rPr>
          <w:sz w:val="24"/>
          <w:szCs w:val="24"/>
        </w:rPr>
        <w:t>ler</w:t>
      </w:r>
      <w:proofErr w:type="spellEnd"/>
      <w:r w:rsidRPr="00386BA3">
        <w:rPr>
          <w:sz w:val="24"/>
          <w:szCs w:val="24"/>
        </w:rPr>
        <w:t>, hård</w:t>
      </w:r>
      <w:r>
        <w:rPr>
          <w:sz w:val="24"/>
          <w:szCs w:val="24"/>
        </w:rPr>
        <w:t>e</w:t>
      </w:r>
      <w:r w:rsidRPr="00386BA3">
        <w:rPr>
          <w:sz w:val="24"/>
          <w:szCs w:val="24"/>
        </w:rPr>
        <w:t>.</w:t>
      </w:r>
    </w:p>
    <w:p w14:paraId="6C69FE04" w14:textId="77777777" w:rsidR="004D4CB4" w:rsidRPr="00386BA3" w:rsidRDefault="004D4CB4" w:rsidP="004D4CB4">
      <w:pPr>
        <w:ind w:left="851" w:hanging="851"/>
        <w:rPr>
          <w:sz w:val="24"/>
          <w:szCs w:val="24"/>
        </w:rPr>
      </w:pPr>
    </w:p>
    <w:p w14:paraId="3942D072" w14:textId="77777777" w:rsidR="004D4CB4" w:rsidRPr="00386BA3" w:rsidRDefault="004D4CB4" w:rsidP="004D4CB4">
      <w:pPr>
        <w:ind w:left="851" w:hanging="851"/>
        <w:rPr>
          <w:sz w:val="24"/>
          <w:szCs w:val="24"/>
        </w:rPr>
      </w:pPr>
      <w:r w:rsidRPr="00386BA3">
        <w:rPr>
          <w:sz w:val="24"/>
          <w:szCs w:val="24"/>
        </w:rPr>
        <w:tab/>
      </w:r>
      <w:proofErr w:type="spellStart"/>
      <w:r w:rsidRPr="00386BA3">
        <w:rPr>
          <w:sz w:val="24"/>
          <w:szCs w:val="24"/>
        </w:rPr>
        <w:t>Zolt</w:t>
      </w:r>
      <w:proofErr w:type="spellEnd"/>
      <w:r w:rsidR="0081353E">
        <w:rPr>
          <w:sz w:val="24"/>
          <w:szCs w:val="24"/>
        </w:rPr>
        <w:t> </w:t>
      </w:r>
      <w:r w:rsidRPr="00386BA3">
        <w:rPr>
          <w:sz w:val="24"/>
          <w:szCs w:val="24"/>
        </w:rPr>
        <w:t>15 mg: Kapsler med en uigennemsigtig gul under- og overdel. Hver kapsel indeholder runde, hvide eller næsten hvide mikrogranulater.</w:t>
      </w:r>
    </w:p>
    <w:p w14:paraId="53437BF5" w14:textId="77777777" w:rsidR="004D4CB4" w:rsidRPr="00386BA3" w:rsidRDefault="004D4CB4" w:rsidP="004D4CB4">
      <w:pPr>
        <w:ind w:left="851" w:hanging="851"/>
        <w:rPr>
          <w:sz w:val="24"/>
          <w:szCs w:val="24"/>
        </w:rPr>
      </w:pPr>
      <w:r w:rsidRPr="00386BA3">
        <w:rPr>
          <w:sz w:val="24"/>
          <w:szCs w:val="24"/>
        </w:rPr>
        <w:tab/>
      </w:r>
    </w:p>
    <w:p w14:paraId="5EF737F9" w14:textId="77777777" w:rsidR="004D4CB4" w:rsidRPr="00386BA3" w:rsidRDefault="004D4CB4" w:rsidP="004D4CB4">
      <w:pPr>
        <w:ind w:left="851" w:hanging="851"/>
        <w:rPr>
          <w:sz w:val="24"/>
          <w:szCs w:val="24"/>
        </w:rPr>
      </w:pPr>
      <w:r w:rsidRPr="00386BA3">
        <w:rPr>
          <w:sz w:val="24"/>
          <w:szCs w:val="24"/>
        </w:rPr>
        <w:tab/>
      </w:r>
      <w:proofErr w:type="spellStart"/>
      <w:r w:rsidRPr="00386BA3">
        <w:rPr>
          <w:sz w:val="24"/>
          <w:szCs w:val="24"/>
        </w:rPr>
        <w:t>Zolt</w:t>
      </w:r>
      <w:proofErr w:type="spellEnd"/>
      <w:r w:rsidR="0081353E">
        <w:rPr>
          <w:sz w:val="24"/>
          <w:szCs w:val="24"/>
        </w:rPr>
        <w:t> </w:t>
      </w:r>
      <w:r w:rsidRPr="00386BA3">
        <w:rPr>
          <w:sz w:val="24"/>
          <w:szCs w:val="24"/>
        </w:rPr>
        <w:t>30 mg: Kapsler med en uigennemsigtig hvid under- og overdel. Hver kapsel indeholder runde, hvide eller næsten hvide mikrogranulater.</w:t>
      </w:r>
    </w:p>
    <w:p w14:paraId="4D2B40B8" w14:textId="77777777" w:rsidR="004D4CB4" w:rsidRPr="00386BA3" w:rsidRDefault="004D4CB4" w:rsidP="004D4CB4">
      <w:pPr>
        <w:ind w:left="851" w:hanging="851"/>
        <w:rPr>
          <w:sz w:val="24"/>
          <w:szCs w:val="24"/>
        </w:rPr>
      </w:pPr>
    </w:p>
    <w:p w14:paraId="0F5EB6F4" w14:textId="77777777" w:rsidR="004D4CB4" w:rsidRPr="00386BA3" w:rsidRDefault="004D4CB4" w:rsidP="004D4CB4">
      <w:pPr>
        <w:ind w:left="851" w:hanging="851"/>
        <w:rPr>
          <w:sz w:val="24"/>
          <w:szCs w:val="24"/>
        </w:rPr>
      </w:pPr>
    </w:p>
    <w:p w14:paraId="3F9D5587" w14:textId="77777777" w:rsidR="004D4CB4" w:rsidRPr="00386BA3" w:rsidRDefault="004D4CB4" w:rsidP="004D4CB4">
      <w:pPr>
        <w:ind w:left="851" w:hanging="851"/>
        <w:rPr>
          <w:b/>
          <w:sz w:val="24"/>
          <w:szCs w:val="24"/>
        </w:rPr>
      </w:pPr>
      <w:r w:rsidRPr="00386BA3">
        <w:rPr>
          <w:b/>
          <w:sz w:val="24"/>
          <w:szCs w:val="24"/>
        </w:rPr>
        <w:t>4.</w:t>
      </w:r>
      <w:r w:rsidRPr="00386BA3">
        <w:rPr>
          <w:b/>
          <w:sz w:val="24"/>
          <w:szCs w:val="24"/>
        </w:rPr>
        <w:tab/>
        <w:t>KLINISKE OPLYSNINGER</w:t>
      </w:r>
    </w:p>
    <w:p w14:paraId="11E7004D" w14:textId="77777777" w:rsidR="004D4CB4" w:rsidRPr="00386BA3" w:rsidRDefault="004D4CB4" w:rsidP="004D4CB4">
      <w:pPr>
        <w:ind w:left="851" w:hanging="851"/>
        <w:rPr>
          <w:b/>
          <w:sz w:val="24"/>
          <w:szCs w:val="24"/>
        </w:rPr>
      </w:pPr>
    </w:p>
    <w:p w14:paraId="66033ECC" w14:textId="77777777" w:rsidR="004D4CB4" w:rsidRPr="00386BA3" w:rsidRDefault="004D4CB4" w:rsidP="004D4CB4">
      <w:pPr>
        <w:ind w:left="851" w:hanging="851"/>
        <w:rPr>
          <w:b/>
          <w:sz w:val="24"/>
          <w:szCs w:val="24"/>
          <w:u w:val="single"/>
        </w:rPr>
      </w:pPr>
      <w:r w:rsidRPr="00386BA3">
        <w:rPr>
          <w:b/>
          <w:sz w:val="24"/>
          <w:szCs w:val="24"/>
        </w:rPr>
        <w:t>4.1</w:t>
      </w:r>
      <w:r w:rsidRPr="00386BA3">
        <w:rPr>
          <w:b/>
          <w:sz w:val="24"/>
          <w:szCs w:val="24"/>
        </w:rPr>
        <w:tab/>
        <w:t>Terapeutiske indikationer</w:t>
      </w:r>
    </w:p>
    <w:p w14:paraId="258CF420" w14:textId="77777777" w:rsidR="004D4CB4" w:rsidRPr="00386BA3" w:rsidRDefault="004D4CB4" w:rsidP="004D4CB4">
      <w:pPr>
        <w:ind w:left="851" w:hanging="851"/>
        <w:rPr>
          <w:sz w:val="24"/>
          <w:szCs w:val="24"/>
        </w:rPr>
      </w:pPr>
      <w:r w:rsidRPr="00386BA3">
        <w:rPr>
          <w:sz w:val="24"/>
          <w:szCs w:val="24"/>
        </w:rPr>
        <w:tab/>
      </w:r>
      <w:proofErr w:type="spellStart"/>
      <w:r w:rsidRPr="00386BA3">
        <w:rPr>
          <w:sz w:val="24"/>
          <w:szCs w:val="24"/>
        </w:rPr>
        <w:t>Zolt</w:t>
      </w:r>
      <w:proofErr w:type="spellEnd"/>
      <w:r w:rsidRPr="00386BA3">
        <w:rPr>
          <w:sz w:val="24"/>
          <w:szCs w:val="24"/>
        </w:rPr>
        <w:t xml:space="preserve"> 15 mg og 30 mg hårde </w:t>
      </w:r>
      <w:proofErr w:type="spellStart"/>
      <w:r w:rsidRPr="00386BA3">
        <w:rPr>
          <w:sz w:val="24"/>
          <w:szCs w:val="24"/>
        </w:rPr>
        <w:t>enterokapsler</w:t>
      </w:r>
      <w:proofErr w:type="spellEnd"/>
      <w:r w:rsidRPr="00386BA3">
        <w:rPr>
          <w:b/>
          <w:sz w:val="24"/>
          <w:szCs w:val="24"/>
        </w:rPr>
        <w:t xml:space="preserve"> </w:t>
      </w:r>
      <w:r w:rsidRPr="00386BA3">
        <w:rPr>
          <w:sz w:val="24"/>
          <w:szCs w:val="24"/>
        </w:rPr>
        <w:t>er kun indiceret til voksne.</w:t>
      </w:r>
    </w:p>
    <w:p w14:paraId="2B7E2533" w14:textId="77777777" w:rsidR="004D4CB4" w:rsidRPr="00386BA3" w:rsidRDefault="004D4CB4" w:rsidP="004D4CB4">
      <w:pPr>
        <w:ind w:left="851" w:hanging="851"/>
        <w:rPr>
          <w:sz w:val="24"/>
          <w:szCs w:val="24"/>
        </w:rPr>
      </w:pPr>
    </w:p>
    <w:p w14:paraId="2165EA80" w14:textId="77777777" w:rsidR="004D4CB4" w:rsidRPr="00DA1FC1" w:rsidRDefault="004D4CB4" w:rsidP="004D4CB4">
      <w:pPr>
        <w:pStyle w:val="Listeafsnit"/>
        <w:numPr>
          <w:ilvl w:val="0"/>
          <w:numId w:val="6"/>
        </w:numPr>
        <w:ind w:left="1276" w:hanging="425"/>
        <w:rPr>
          <w:sz w:val="24"/>
          <w:szCs w:val="24"/>
        </w:rPr>
      </w:pPr>
      <w:r w:rsidRPr="00DA1FC1">
        <w:rPr>
          <w:sz w:val="24"/>
          <w:szCs w:val="24"/>
        </w:rPr>
        <w:t xml:space="preserve">Behandling af ulcus </w:t>
      </w:r>
      <w:proofErr w:type="spellStart"/>
      <w:r w:rsidRPr="00DA1FC1">
        <w:rPr>
          <w:sz w:val="24"/>
          <w:szCs w:val="24"/>
        </w:rPr>
        <w:t>duodeni</w:t>
      </w:r>
      <w:proofErr w:type="spellEnd"/>
      <w:r w:rsidRPr="00DA1FC1">
        <w:rPr>
          <w:sz w:val="24"/>
          <w:szCs w:val="24"/>
        </w:rPr>
        <w:t xml:space="preserve"> og ulcus </w:t>
      </w:r>
      <w:proofErr w:type="spellStart"/>
      <w:r w:rsidRPr="00DA1FC1">
        <w:rPr>
          <w:sz w:val="24"/>
          <w:szCs w:val="24"/>
        </w:rPr>
        <w:t>ventriculi</w:t>
      </w:r>
      <w:proofErr w:type="spellEnd"/>
    </w:p>
    <w:p w14:paraId="5DE1E33A" w14:textId="77777777" w:rsidR="004D4CB4" w:rsidRPr="00DA1FC1" w:rsidRDefault="004D4CB4" w:rsidP="004D4CB4">
      <w:pPr>
        <w:pStyle w:val="Listeafsnit"/>
        <w:numPr>
          <w:ilvl w:val="0"/>
          <w:numId w:val="6"/>
        </w:numPr>
        <w:ind w:left="1276" w:hanging="425"/>
        <w:rPr>
          <w:sz w:val="24"/>
          <w:szCs w:val="24"/>
          <w:lang w:val="sv-SE"/>
        </w:rPr>
      </w:pPr>
      <w:r w:rsidRPr="00DA1FC1">
        <w:rPr>
          <w:sz w:val="24"/>
          <w:szCs w:val="24"/>
        </w:rPr>
        <w:t xml:space="preserve">Behandling af </w:t>
      </w:r>
      <w:r w:rsidR="0040224B" w:rsidRPr="00ED147E">
        <w:rPr>
          <w:sz w:val="24"/>
          <w:szCs w:val="24"/>
        </w:rPr>
        <w:t>halsbrand (</w:t>
      </w:r>
      <w:proofErr w:type="spellStart"/>
      <w:r w:rsidR="0040224B" w:rsidRPr="00ED147E">
        <w:rPr>
          <w:sz w:val="24"/>
          <w:szCs w:val="24"/>
        </w:rPr>
        <w:t>refluksøsophagitis</w:t>
      </w:r>
      <w:proofErr w:type="spellEnd"/>
      <w:r w:rsidR="0040224B" w:rsidRPr="00ED147E">
        <w:rPr>
          <w:sz w:val="24"/>
          <w:szCs w:val="24"/>
        </w:rPr>
        <w:t>)</w:t>
      </w:r>
    </w:p>
    <w:p w14:paraId="3DD700C9" w14:textId="77777777" w:rsidR="004D4CB4" w:rsidRPr="00DA1FC1" w:rsidRDefault="004D4CB4" w:rsidP="004D4CB4">
      <w:pPr>
        <w:pStyle w:val="Listeafsnit"/>
        <w:numPr>
          <w:ilvl w:val="0"/>
          <w:numId w:val="6"/>
        </w:numPr>
        <w:ind w:left="1276" w:hanging="425"/>
        <w:rPr>
          <w:sz w:val="24"/>
          <w:szCs w:val="24"/>
          <w:lang w:val="sv-SE"/>
        </w:rPr>
      </w:pPr>
      <w:r w:rsidRPr="00DA1FC1">
        <w:rPr>
          <w:sz w:val="24"/>
          <w:szCs w:val="24"/>
        </w:rPr>
        <w:t xml:space="preserve">Profylakse af </w:t>
      </w:r>
      <w:proofErr w:type="spellStart"/>
      <w:r w:rsidRPr="00DA1FC1">
        <w:rPr>
          <w:sz w:val="24"/>
          <w:szCs w:val="24"/>
        </w:rPr>
        <w:t>refluksøsophagitis</w:t>
      </w:r>
      <w:proofErr w:type="spellEnd"/>
    </w:p>
    <w:p w14:paraId="7C45FB41" w14:textId="77777777" w:rsidR="004D4CB4" w:rsidRPr="00CD6003" w:rsidRDefault="004D4CB4" w:rsidP="004D4CB4">
      <w:pPr>
        <w:pStyle w:val="Listeafsnit"/>
        <w:numPr>
          <w:ilvl w:val="0"/>
          <w:numId w:val="6"/>
        </w:numPr>
        <w:ind w:left="1276" w:hanging="425"/>
        <w:rPr>
          <w:sz w:val="24"/>
          <w:szCs w:val="24"/>
        </w:rPr>
      </w:pPr>
      <w:proofErr w:type="spellStart"/>
      <w:r w:rsidRPr="00DA1FC1">
        <w:rPr>
          <w:sz w:val="24"/>
          <w:szCs w:val="24"/>
        </w:rPr>
        <w:lastRenderedPageBreak/>
        <w:t>Eradikation</w:t>
      </w:r>
      <w:proofErr w:type="spellEnd"/>
      <w:r w:rsidRPr="00DA1FC1">
        <w:rPr>
          <w:sz w:val="24"/>
          <w:szCs w:val="24"/>
        </w:rPr>
        <w:t xml:space="preserve"> af </w:t>
      </w:r>
      <w:proofErr w:type="spellStart"/>
      <w:r w:rsidRPr="0098390C">
        <w:rPr>
          <w:i/>
          <w:iCs/>
          <w:sz w:val="24"/>
          <w:szCs w:val="24"/>
        </w:rPr>
        <w:t>Helicobacter</w:t>
      </w:r>
      <w:proofErr w:type="spellEnd"/>
      <w:r w:rsidRPr="0098390C">
        <w:rPr>
          <w:i/>
          <w:iCs/>
          <w:sz w:val="24"/>
          <w:szCs w:val="24"/>
        </w:rPr>
        <w:t xml:space="preserve"> </w:t>
      </w:r>
      <w:proofErr w:type="spellStart"/>
      <w:r w:rsidRPr="0098390C">
        <w:rPr>
          <w:i/>
          <w:iCs/>
          <w:sz w:val="24"/>
          <w:szCs w:val="24"/>
        </w:rPr>
        <w:t>pylori</w:t>
      </w:r>
      <w:proofErr w:type="spellEnd"/>
      <w:r w:rsidRPr="00DA1FC1">
        <w:rPr>
          <w:iCs/>
          <w:sz w:val="24"/>
          <w:szCs w:val="24"/>
        </w:rPr>
        <w:t xml:space="preserve"> </w:t>
      </w:r>
      <w:r w:rsidRPr="00DA1FC1">
        <w:rPr>
          <w:i/>
          <w:iCs/>
          <w:sz w:val="24"/>
          <w:szCs w:val="24"/>
        </w:rPr>
        <w:t xml:space="preserve">(H. </w:t>
      </w:r>
      <w:proofErr w:type="spellStart"/>
      <w:r w:rsidRPr="00DA1FC1">
        <w:rPr>
          <w:i/>
          <w:iCs/>
          <w:sz w:val="24"/>
          <w:szCs w:val="24"/>
        </w:rPr>
        <w:t>pylori</w:t>
      </w:r>
      <w:proofErr w:type="spellEnd"/>
      <w:r w:rsidRPr="00DA1FC1">
        <w:rPr>
          <w:iCs/>
          <w:sz w:val="24"/>
          <w:szCs w:val="24"/>
        </w:rPr>
        <w:t xml:space="preserve">) </w:t>
      </w:r>
      <w:r w:rsidRPr="00DA1FC1">
        <w:rPr>
          <w:sz w:val="24"/>
          <w:szCs w:val="24"/>
        </w:rPr>
        <w:t xml:space="preserve">i kombination med passende antibiotika til behandling af </w:t>
      </w:r>
      <w:r w:rsidRPr="00DA1FC1">
        <w:rPr>
          <w:i/>
          <w:iCs/>
          <w:sz w:val="24"/>
          <w:szCs w:val="24"/>
        </w:rPr>
        <w:t xml:space="preserve">H. </w:t>
      </w:r>
      <w:proofErr w:type="spellStart"/>
      <w:r w:rsidRPr="00DA1FC1">
        <w:rPr>
          <w:i/>
          <w:iCs/>
          <w:sz w:val="24"/>
          <w:szCs w:val="24"/>
        </w:rPr>
        <w:t>pylori</w:t>
      </w:r>
      <w:proofErr w:type="spellEnd"/>
      <w:r w:rsidRPr="00DA1FC1">
        <w:rPr>
          <w:sz w:val="24"/>
          <w:szCs w:val="24"/>
        </w:rPr>
        <w:t>-associeret ulcus</w:t>
      </w:r>
    </w:p>
    <w:p w14:paraId="23C4DD75" w14:textId="77777777" w:rsidR="004D4CB4" w:rsidRPr="00CD6003" w:rsidRDefault="004D4CB4" w:rsidP="004D4CB4">
      <w:pPr>
        <w:pStyle w:val="Listeafsnit"/>
        <w:numPr>
          <w:ilvl w:val="0"/>
          <w:numId w:val="6"/>
        </w:numPr>
        <w:ind w:left="1276" w:hanging="425"/>
        <w:rPr>
          <w:sz w:val="24"/>
          <w:szCs w:val="24"/>
        </w:rPr>
      </w:pPr>
      <w:r w:rsidRPr="00DA1FC1">
        <w:rPr>
          <w:sz w:val="24"/>
          <w:szCs w:val="24"/>
        </w:rPr>
        <w:t xml:space="preserve">Behandling af NSAID-associeret benigne ulcus </w:t>
      </w:r>
      <w:proofErr w:type="spellStart"/>
      <w:r w:rsidRPr="00DA1FC1">
        <w:rPr>
          <w:sz w:val="24"/>
          <w:szCs w:val="24"/>
        </w:rPr>
        <w:t>ventriculi</w:t>
      </w:r>
      <w:proofErr w:type="spellEnd"/>
      <w:r w:rsidRPr="00DA1FC1">
        <w:rPr>
          <w:sz w:val="24"/>
          <w:szCs w:val="24"/>
        </w:rPr>
        <w:t xml:space="preserve"> og ulcus </w:t>
      </w:r>
      <w:proofErr w:type="spellStart"/>
      <w:r w:rsidRPr="00DA1FC1">
        <w:rPr>
          <w:sz w:val="24"/>
          <w:szCs w:val="24"/>
        </w:rPr>
        <w:t>duodeni</w:t>
      </w:r>
      <w:proofErr w:type="spellEnd"/>
      <w:r w:rsidRPr="00DA1FC1">
        <w:rPr>
          <w:sz w:val="24"/>
          <w:szCs w:val="24"/>
        </w:rPr>
        <w:t xml:space="preserve"> hos patienter, der kræver fortsat NSAID-behandling</w:t>
      </w:r>
    </w:p>
    <w:p w14:paraId="52709A42" w14:textId="77777777" w:rsidR="004D4CB4" w:rsidRPr="00CD6003" w:rsidRDefault="004D4CB4" w:rsidP="004D4CB4">
      <w:pPr>
        <w:pStyle w:val="Listeafsnit"/>
        <w:numPr>
          <w:ilvl w:val="0"/>
          <w:numId w:val="6"/>
        </w:numPr>
        <w:ind w:left="1276" w:hanging="425"/>
        <w:rPr>
          <w:sz w:val="24"/>
          <w:szCs w:val="24"/>
        </w:rPr>
      </w:pPr>
      <w:r w:rsidRPr="00DA1FC1">
        <w:rPr>
          <w:sz w:val="24"/>
          <w:szCs w:val="24"/>
        </w:rPr>
        <w:t xml:space="preserve">Profylakse af NSAID-associeret benigne ulcus </w:t>
      </w:r>
      <w:proofErr w:type="spellStart"/>
      <w:r w:rsidRPr="00DA1FC1">
        <w:rPr>
          <w:sz w:val="24"/>
          <w:szCs w:val="24"/>
        </w:rPr>
        <w:t>ventriculi</w:t>
      </w:r>
      <w:proofErr w:type="spellEnd"/>
      <w:r w:rsidRPr="00DA1FC1">
        <w:rPr>
          <w:sz w:val="24"/>
          <w:szCs w:val="24"/>
        </w:rPr>
        <w:t xml:space="preserve"> og ulcus </w:t>
      </w:r>
      <w:proofErr w:type="spellStart"/>
      <w:r w:rsidRPr="00DA1FC1">
        <w:rPr>
          <w:sz w:val="24"/>
          <w:szCs w:val="24"/>
        </w:rPr>
        <w:t>duodeni</w:t>
      </w:r>
      <w:proofErr w:type="spellEnd"/>
      <w:r w:rsidRPr="00DA1FC1">
        <w:rPr>
          <w:sz w:val="24"/>
          <w:szCs w:val="24"/>
        </w:rPr>
        <w:t xml:space="preserve"> hos risikopatienter som behøver fortsat behandling med NSAID (se pkt. 4.2)</w:t>
      </w:r>
    </w:p>
    <w:p w14:paraId="44DABE20" w14:textId="77777777" w:rsidR="004D4CB4" w:rsidRPr="00DA1FC1" w:rsidRDefault="004D4CB4" w:rsidP="004D4CB4">
      <w:pPr>
        <w:pStyle w:val="Listeafsnit"/>
        <w:numPr>
          <w:ilvl w:val="0"/>
          <w:numId w:val="6"/>
        </w:numPr>
        <w:ind w:left="1276" w:hanging="425"/>
        <w:rPr>
          <w:sz w:val="24"/>
          <w:szCs w:val="24"/>
          <w:lang w:val="sv-SE"/>
        </w:rPr>
      </w:pPr>
      <w:proofErr w:type="spellStart"/>
      <w:r w:rsidRPr="00DA1FC1">
        <w:rPr>
          <w:sz w:val="24"/>
          <w:szCs w:val="24"/>
        </w:rPr>
        <w:t>Zollinger-Ellisonsyndrom</w:t>
      </w:r>
      <w:proofErr w:type="spellEnd"/>
    </w:p>
    <w:p w14:paraId="16BCBDE6" w14:textId="77777777" w:rsidR="004D4CB4" w:rsidRPr="00386BA3" w:rsidRDefault="004D4CB4" w:rsidP="004D4CB4">
      <w:pPr>
        <w:ind w:left="851" w:hanging="851"/>
        <w:rPr>
          <w:sz w:val="24"/>
          <w:szCs w:val="24"/>
        </w:rPr>
      </w:pPr>
    </w:p>
    <w:p w14:paraId="61CDE616" w14:textId="7936C00D" w:rsidR="004D4CB4" w:rsidRDefault="004D4CB4" w:rsidP="004D4CB4">
      <w:pPr>
        <w:ind w:left="851" w:hanging="851"/>
        <w:rPr>
          <w:b/>
          <w:sz w:val="24"/>
          <w:szCs w:val="24"/>
        </w:rPr>
      </w:pPr>
      <w:r w:rsidRPr="00386BA3">
        <w:rPr>
          <w:b/>
          <w:sz w:val="24"/>
          <w:szCs w:val="24"/>
        </w:rPr>
        <w:t>4.2</w:t>
      </w:r>
      <w:r w:rsidRPr="00386BA3">
        <w:rPr>
          <w:b/>
          <w:sz w:val="24"/>
          <w:szCs w:val="24"/>
        </w:rPr>
        <w:tab/>
        <w:t xml:space="preserve">Dosering og </w:t>
      </w:r>
      <w:r w:rsidR="000858AD">
        <w:rPr>
          <w:b/>
          <w:sz w:val="24"/>
          <w:szCs w:val="24"/>
        </w:rPr>
        <w:t>administration</w:t>
      </w:r>
    </w:p>
    <w:p w14:paraId="4472B77F" w14:textId="77777777" w:rsidR="005F66C3" w:rsidRPr="00386BA3" w:rsidRDefault="005F66C3" w:rsidP="004D4CB4">
      <w:pPr>
        <w:ind w:left="851" w:hanging="851"/>
        <w:rPr>
          <w:b/>
          <w:sz w:val="24"/>
          <w:szCs w:val="24"/>
        </w:rPr>
      </w:pPr>
    </w:p>
    <w:p w14:paraId="3300C969" w14:textId="77777777" w:rsidR="0040224B" w:rsidRDefault="0040224B" w:rsidP="0040224B">
      <w:pPr>
        <w:ind w:left="851"/>
        <w:rPr>
          <w:b/>
          <w:sz w:val="24"/>
          <w:szCs w:val="24"/>
          <w:u w:val="single"/>
        </w:rPr>
      </w:pPr>
      <w:r>
        <w:rPr>
          <w:b/>
          <w:sz w:val="24"/>
          <w:szCs w:val="24"/>
          <w:u w:val="single"/>
        </w:rPr>
        <w:t>Dosering</w:t>
      </w:r>
    </w:p>
    <w:p w14:paraId="403B9ECE" w14:textId="77777777" w:rsidR="0040224B" w:rsidRDefault="0040224B" w:rsidP="0040224B">
      <w:pPr>
        <w:ind w:left="851"/>
        <w:rPr>
          <w:sz w:val="24"/>
          <w:szCs w:val="24"/>
          <w:u w:val="single"/>
        </w:rPr>
      </w:pPr>
    </w:p>
    <w:p w14:paraId="4A48209F" w14:textId="77777777" w:rsidR="0040224B" w:rsidRDefault="0040224B" w:rsidP="0040224B">
      <w:pPr>
        <w:ind w:left="851"/>
        <w:rPr>
          <w:sz w:val="24"/>
          <w:szCs w:val="24"/>
        </w:rPr>
      </w:pPr>
      <w:r>
        <w:rPr>
          <w:sz w:val="24"/>
          <w:szCs w:val="24"/>
          <w:u w:val="single"/>
        </w:rPr>
        <w:t xml:space="preserve">Behandling af ulcus </w:t>
      </w:r>
      <w:proofErr w:type="spellStart"/>
      <w:r>
        <w:rPr>
          <w:sz w:val="24"/>
          <w:szCs w:val="24"/>
          <w:u w:val="single"/>
        </w:rPr>
        <w:t>duodeni</w:t>
      </w:r>
      <w:proofErr w:type="spellEnd"/>
      <w:r>
        <w:rPr>
          <w:sz w:val="24"/>
          <w:szCs w:val="24"/>
        </w:rPr>
        <w:t xml:space="preserve">: </w:t>
      </w:r>
    </w:p>
    <w:p w14:paraId="4C186128" w14:textId="380DE0E5" w:rsidR="0040224B" w:rsidRDefault="0040224B" w:rsidP="0040224B">
      <w:pPr>
        <w:ind w:left="851"/>
        <w:rPr>
          <w:sz w:val="24"/>
          <w:szCs w:val="24"/>
        </w:rPr>
      </w:pPr>
      <w:r>
        <w:rPr>
          <w:sz w:val="24"/>
          <w:szCs w:val="24"/>
        </w:rPr>
        <w:t xml:space="preserve">Den anbefalede dosis er 30 mg én gang dagligt i 2 uger. Patienter, der ikke helbredes fuldstændigt i løbet af denne periode, </w:t>
      </w:r>
      <w:r w:rsidR="005F66C3">
        <w:rPr>
          <w:sz w:val="24"/>
          <w:szCs w:val="24"/>
        </w:rPr>
        <w:t>fortsætter behandlingen med</w:t>
      </w:r>
      <w:r>
        <w:rPr>
          <w:sz w:val="24"/>
          <w:szCs w:val="24"/>
        </w:rPr>
        <w:t xml:space="preserve"> den samme dosis i yderligere 2 uger.</w:t>
      </w:r>
    </w:p>
    <w:p w14:paraId="5E541CDD" w14:textId="77777777" w:rsidR="0040224B" w:rsidRDefault="0040224B" w:rsidP="0040224B">
      <w:pPr>
        <w:ind w:left="851" w:hanging="851"/>
        <w:rPr>
          <w:sz w:val="24"/>
          <w:szCs w:val="24"/>
        </w:rPr>
      </w:pPr>
    </w:p>
    <w:p w14:paraId="5BE42240" w14:textId="77777777" w:rsidR="0040224B" w:rsidRDefault="0040224B" w:rsidP="0040224B">
      <w:pPr>
        <w:ind w:left="851"/>
        <w:rPr>
          <w:sz w:val="24"/>
          <w:szCs w:val="24"/>
        </w:rPr>
      </w:pPr>
      <w:r>
        <w:rPr>
          <w:sz w:val="24"/>
          <w:szCs w:val="24"/>
          <w:u w:val="single"/>
        </w:rPr>
        <w:t xml:space="preserve">Behandling af ulcus </w:t>
      </w:r>
      <w:proofErr w:type="spellStart"/>
      <w:r>
        <w:rPr>
          <w:sz w:val="24"/>
          <w:szCs w:val="24"/>
          <w:u w:val="single"/>
        </w:rPr>
        <w:t>ventriculi</w:t>
      </w:r>
      <w:proofErr w:type="spellEnd"/>
      <w:r>
        <w:rPr>
          <w:sz w:val="24"/>
          <w:szCs w:val="24"/>
        </w:rPr>
        <w:t xml:space="preserve">: </w:t>
      </w:r>
    </w:p>
    <w:p w14:paraId="79C06023" w14:textId="77777777" w:rsidR="005F66C3" w:rsidRDefault="0040224B" w:rsidP="005F66C3">
      <w:pPr>
        <w:ind w:left="851"/>
        <w:rPr>
          <w:sz w:val="24"/>
          <w:szCs w:val="24"/>
        </w:rPr>
      </w:pPr>
      <w:r>
        <w:rPr>
          <w:sz w:val="24"/>
          <w:szCs w:val="24"/>
        </w:rPr>
        <w:t xml:space="preserve">Den anbefalede dosis er 30 mg én gang dagligt i 4 uger. Såret heler normalt i løbet af 4 uger, men patienter, der ikke helbredes fuldstændigt i løbet af denne periode, </w:t>
      </w:r>
      <w:r w:rsidR="005F66C3">
        <w:rPr>
          <w:sz w:val="24"/>
          <w:szCs w:val="24"/>
        </w:rPr>
        <w:t>kan fortsætte behandlingen med den samme dosis i yderligere 4 uger.</w:t>
      </w:r>
    </w:p>
    <w:p w14:paraId="39A032BC" w14:textId="47BB5BDF" w:rsidR="0040224B" w:rsidRDefault="0040224B" w:rsidP="005F66C3">
      <w:pPr>
        <w:ind w:left="851"/>
        <w:rPr>
          <w:sz w:val="24"/>
          <w:szCs w:val="24"/>
        </w:rPr>
      </w:pPr>
    </w:p>
    <w:p w14:paraId="51C71B28" w14:textId="77777777" w:rsidR="0040224B" w:rsidRDefault="0040224B" w:rsidP="0040224B">
      <w:pPr>
        <w:ind w:left="851"/>
        <w:rPr>
          <w:sz w:val="24"/>
          <w:szCs w:val="24"/>
        </w:rPr>
      </w:pPr>
      <w:proofErr w:type="spellStart"/>
      <w:r>
        <w:rPr>
          <w:sz w:val="24"/>
          <w:szCs w:val="24"/>
          <w:u w:val="single"/>
        </w:rPr>
        <w:t>Refluksøsophagitis</w:t>
      </w:r>
      <w:proofErr w:type="spellEnd"/>
      <w:r>
        <w:rPr>
          <w:sz w:val="24"/>
          <w:szCs w:val="24"/>
        </w:rPr>
        <w:t xml:space="preserve">: </w:t>
      </w:r>
    </w:p>
    <w:p w14:paraId="5E69A499" w14:textId="287C51F6" w:rsidR="0040224B" w:rsidRDefault="0040224B" w:rsidP="0040224B">
      <w:pPr>
        <w:ind w:left="851" w:hanging="851"/>
        <w:rPr>
          <w:sz w:val="24"/>
          <w:szCs w:val="24"/>
        </w:rPr>
      </w:pPr>
      <w:r>
        <w:rPr>
          <w:sz w:val="24"/>
          <w:szCs w:val="24"/>
        </w:rPr>
        <w:tab/>
        <w:t xml:space="preserve">Den anbefalede dosis er 30 mg én gang dagligt i 4 uger. Patienter, der ikke helbredes fuldstændigt i løbet af denne periode, kan </w:t>
      </w:r>
      <w:r w:rsidR="00A671C6">
        <w:rPr>
          <w:sz w:val="24"/>
          <w:szCs w:val="24"/>
        </w:rPr>
        <w:t>for</w:t>
      </w:r>
      <w:r w:rsidR="00BC7CAD">
        <w:rPr>
          <w:sz w:val="24"/>
          <w:szCs w:val="24"/>
        </w:rPr>
        <w:t>t</w:t>
      </w:r>
      <w:r w:rsidR="00A671C6">
        <w:rPr>
          <w:sz w:val="24"/>
          <w:szCs w:val="24"/>
        </w:rPr>
        <w:t>sætte behandlingen</w:t>
      </w:r>
      <w:r>
        <w:rPr>
          <w:sz w:val="24"/>
          <w:szCs w:val="24"/>
        </w:rPr>
        <w:t xml:space="preserve"> med den samme dosis i yderligere 4 uger.</w:t>
      </w:r>
    </w:p>
    <w:p w14:paraId="15DC5DF9" w14:textId="77777777" w:rsidR="0040224B" w:rsidRDefault="0040224B" w:rsidP="0040224B">
      <w:pPr>
        <w:ind w:left="851" w:hanging="851"/>
        <w:rPr>
          <w:sz w:val="24"/>
          <w:szCs w:val="24"/>
        </w:rPr>
      </w:pPr>
    </w:p>
    <w:p w14:paraId="420DCB82" w14:textId="77777777" w:rsidR="0040224B" w:rsidRDefault="0040224B" w:rsidP="0040224B">
      <w:pPr>
        <w:ind w:left="851" w:hanging="851"/>
        <w:rPr>
          <w:sz w:val="24"/>
          <w:szCs w:val="24"/>
        </w:rPr>
      </w:pPr>
      <w:r>
        <w:rPr>
          <w:sz w:val="24"/>
          <w:szCs w:val="24"/>
        </w:rPr>
        <w:tab/>
      </w:r>
      <w:r>
        <w:rPr>
          <w:sz w:val="24"/>
          <w:szCs w:val="24"/>
          <w:u w:val="single"/>
        </w:rPr>
        <w:t xml:space="preserve">Profylakse af </w:t>
      </w:r>
      <w:proofErr w:type="spellStart"/>
      <w:r>
        <w:rPr>
          <w:sz w:val="24"/>
          <w:szCs w:val="24"/>
          <w:u w:val="single"/>
        </w:rPr>
        <w:t>refluksøsophagitis</w:t>
      </w:r>
      <w:proofErr w:type="spellEnd"/>
      <w:r>
        <w:rPr>
          <w:sz w:val="24"/>
          <w:szCs w:val="24"/>
          <w:u w:val="single"/>
        </w:rPr>
        <w:t>:</w:t>
      </w:r>
      <w:r>
        <w:rPr>
          <w:sz w:val="24"/>
          <w:szCs w:val="24"/>
        </w:rPr>
        <w:t xml:space="preserve"> </w:t>
      </w:r>
    </w:p>
    <w:p w14:paraId="264520F5" w14:textId="77777777" w:rsidR="0040224B" w:rsidRDefault="0040224B" w:rsidP="0040224B">
      <w:pPr>
        <w:ind w:left="851" w:hanging="851"/>
        <w:rPr>
          <w:sz w:val="24"/>
          <w:szCs w:val="24"/>
        </w:rPr>
      </w:pPr>
      <w:r>
        <w:rPr>
          <w:sz w:val="24"/>
          <w:szCs w:val="24"/>
        </w:rPr>
        <w:tab/>
        <w:t>15 mg én gang dagligt. Om nødvendigt kan dosis øges op til 30 mg daglig.</w:t>
      </w:r>
    </w:p>
    <w:p w14:paraId="450E0B9B" w14:textId="77777777" w:rsidR="0040224B" w:rsidRDefault="0040224B" w:rsidP="0040224B">
      <w:pPr>
        <w:ind w:left="851" w:hanging="851"/>
        <w:rPr>
          <w:sz w:val="24"/>
          <w:szCs w:val="24"/>
        </w:rPr>
      </w:pPr>
      <w:r>
        <w:rPr>
          <w:sz w:val="24"/>
          <w:szCs w:val="24"/>
        </w:rPr>
        <w:tab/>
      </w:r>
    </w:p>
    <w:p w14:paraId="46E0006A" w14:textId="77777777" w:rsidR="0040224B" w:rsidRDefault="0040224B" w:rsidP="0040224B">
      <w:pPr>
        <w:ind w:left="851"/>
        <w:jc w:val="both"/>
        <w:rPr>
          <w:sz w:val="24"/>
          <w:szCs w:val="24"/>
        </w:rPr>
      </w:pPr>
      <w:proofErr w:type="spellStart"/>
      <w:r>
        <w:rPr>
          <w:sz w:val="24"/>
          <w:szCs w:val="24"/>
          <w:u w:val="single"/>
        </w:rPr>
        <w:t>Eradikation</w:t>
      </w:r>
      <w:proofErr w:type="spellEnd"/>
      <w:r>
        <w:rPr>
          <w:sz w:val="24"/>
          <w:szCs w:val="24"/>
          <w:u w:val="single"/>
        </w:rPr>
        <w:t xml:space="preserve"> af </w:t>
      </w:r>
      <w:proofErr w:type="spellStart"/>
      <w:r>
        <w:rPr>
          <w:i/>
          <w:iCs/>
          <w:sz w:val="24"/>
          <w:szCs w:val="24"/>
          <w:u w:val="single"/>
        </w:rPr>
        <w:t>Helicobacter</w:t>
      </w:r>
      <w:proofErr w:type="spellEnd"/>
      <w:r>
        <w:rPr>
          <w:i/>
          <w:iCs/>
          <w:sz w:val="24"/>
          <w:szCs w:val="24"/>
          <w:u w:val="single"/>
        </w:rPr>
        <w:t xml:space="preserve"> </w:t>
      </w:r>
      <w:proofErr w:type="spellStart"/>
      <w:r>
        <w:rPr>
          <w:i/>
          <w:iCs/>
          <w:sz w:val="24"/>
          <w:szCs w:val="24"/>
          <w:u w:val="single"/>
        </w:rPr>
        <w:t>pylori</w:t>
      </w:r>
      <w:proofErr w:type="spellEnd"/>
    </w:p>
    <w:p w14:paraId="1A7CCAD0" w14:textId="77777777" w:rsidR="0040224B" w:rsidRDefault="0040224B" w:rsidP="0040224B">
      <w:pPr>
        <w:ind w:left="851"/>
        <w:rPr>
          <w:sz w:val="24"/>
          <w:szCs w:val="24"/>
        </w:rPr>
      </w:pPr>
      <w:r>
        <w:rPr>
          <w:sz w:val="24"/>
          <w:szCs w:val="24"/>
        </w:rPr>
        <w:t>Når der skal vælges en passende kombinationsbehandling, er det vigtigt at tage officielle lokale retningslinjer i betragtning med hensyn til bakteriel resistens, varighed af behandling (normalt 7 dage, men nogle gange op til 14 dage) og hensigtsmæssig brug af antibakterielle midler.</w:t>
      </w:r>
    </w:p>
    <w:p w14:paraId="407D3B0B" w14:textId="77777777" w:rsidR="0040224B" w:rsidRDefault="0040224B" w:rsidP="0040224B">
      <w:pPr>
        <w:ind w:left="851" w:hanging="851"/>
        <w:rPr>
          <w:sz w:val="24"/>
          <w:szCs w:val="24"/>
        </w:rPr>
      </w:pPr>
    </w:p>
    <w:p w14:paraId="1F4EF8A7" w14:textId="77777777" w:rsidR="0040224B" w:rsidRDefault="0040224B" w:rsidP="0040224B">
      <w:pPr>
        <w:pStyle w:val="Sidehoved"/>
        <w:tabs>
          <w:tab w:val="left" w:pos="1304"/>
        </w:tabs>
        <w:ind w:left="851"/>
        <w:rPr>
          <w:szCs w:val="24"/>
        </w:rPr>
      </w:pPr>
      <w:r>
        <w:rPr>
          <w:szCs w:val="24"/>
        </w:rPr>
        <w:t xml:space="preserve">Den anbefalede dosis er 30 mg </w:t>
      </w:r>
      <w:proofErr w:type="spellStart"/>
      <w:r>
        <w:rPr>
          <w:szCs w:val="24"/>
        </w:rPr>
        <w:t>Zolt</w:t>
      </w:r>
      <w:proofErr w:type="spellEnd"/>
      <w:r>
        <w:rPr>
          <w:szCs w:val="24"/>
        </w:rPr>
        <w:t xml:space="preserve"> 2 gange dagligt i 7 dage kombineret med en af følgende:</w:t>
      </w:r>
    </w:p>
    <w:p w14:paraId="33A5E879" w14:textId="77777777" w:rsidR="0040224B" w:rsidRDefault="0040224B" w:rsidP="0040224B">
      <w:pPr>
        <w:pStyle w:val="Sidehoved"/>
        <w:tabs>
          <w:tab w:val="left" w:pos="1304"/>
        </w:tabs>
        <w:ind w:left="851"/>
        <w:rPr>
          <w:szCs w:val="24"/>
        </w:rPr>
      </w:pPr>
      <w:r>
        <w:rPr>
          <w:szCs w:val="24"/>
        </w:rPr>
        <w:t xml:space="preserve">250-500 mg </w:t>
      </w:r>
      <w:proofErr w:type="spellStart"/>
      <w:r>
        <w:rPr>
          <w:szCs w:val="24"/>
        </w:rPr>
        <w:t>clarithromycin</w:t>
      </w:r>
      <w:proofErr w:type="spellEnd"/>
      <w:r>
        <w:rPr>
          <w:szCs w:val="24"/>
        </w:rPr>
        <w:t xml:space="preserve"> 2 gange dagligt + 1 g </w:t>
      </w:r>
      <w:proofErr w:type="spellStart"/>
      <w:r>
        <w:rPr>
          <w:szCs w:val="24"/>
        </w:rPr>
        <w:t>amoxicillin</w:t>
      </w:r>
      <w:proofErr w:type="spellEnd"/>
      <w:r>
        <w:rPr>
          <w:szCs w:val="24"/>
        </w:rPr>
        <w:t xml:space="preserve"> 2 gange dagligt</w:t>
      </w:r>
    </w:p>
    <w:p w14:paraId="7ED44092" w14:textId="77777777" w:rsidR="0040224B" w:rsidRDefault="0040224B" w:rsidP="0040224B">
      <w:pPr>
        <w:ind w:left="851"/>
        <w:rPr>
          <w:sz w:val="24"/>
          <w:szCs w:val="24"/>
        </w:rPr>
      </w:pPr>
      <w:r>
        <w:rPr>
          <w:sz w:val="24"/>
          <w:szCs w:val="24"/>
        </w:rPr>
        <w:t xml:space="preserve">250 mg </w:t>
      </w:r>
      <w:proofErr w:type="spellStart"/>
      <w:r>
        <w:rPr>
          <w:sz w:val="24"/>
          <w:szCs w:val="24"/>
        </w:rPr>
        <w:t>clarithromycin</w:t>
      </w:r>
      <w:proofErr w:type="spellEnd"/>
      <w:r>
        <w:rPr>
          <w:sz w:val="24"/>
          <w:szCs w:val="24"/>
        </w:rPr>
        <w:t xml:space="preserve"> 2 gange dagligt + 400-500 mg </w:t>
      </w:r>
      <w:proofErr w:type="spellStart"/>
      <w:r>
        <w:rPr>
          <w:sz w:val="24"/>
          <w:szCs w:val="24"/>
        </w:rPr>
        <w:t>metronidazol</w:t>
      </w:r>
      <w:proofErr w:type="spellEnd"/>
      <w:r>
        <w:rPr>
          <w:sz w:val="24"/>
          <w:szCs w:val="24"/>
        </w:rPr>
        <w:t xml:space="preserve"> 2 gange dagligt.</w:t>
      </w:r>
    </w:p>
    <w:p w14:paraId="2FBE2058" w14:textId="77777777" w:rsidR="0040224B" w:rsidRDefault="0040224B" w:rsidP="0040224B">
      <w:pPr>
        <w:ind w:left="851" w:hanging="851"/>
        <w:rPr>
          <w:sz w:val="24"/>
          <w:szCs w:val="24"/>
        </w:rPr>
      </w:pPr>
    </w:p>
    <w:p w14:paraId="2BEB9AD3" w14:textId="77777777" w:rsidR="0040224B" w:rsidRDefault="0040224B" w:rsidP="0040224B">
      <w:pPr>
        <w:ind w:left="851"/>
        <w:rPr>
          <w:sz w:val="24"/>
          <w:szCs w:val="24"/>
        </w:rPr>
      </w:pPr>
      <w:proofErr w:type="spellStart"/>
      <w:r>
        <w:rPr>
          <w:sz w:val="24"/>
          <w:szCs w:val="24"/>
        </w:rPr>
        <w:t>Eradikation</w:t>
      </w:r>
      <w:proofErr w:type="spellEnd"/>
      <w:r>
        <w:rPr>
          <w:sz w:val="24"/>
          <w:szCs w:val="24"/>
        </w:rPr>
        <w:t xml:space="preserve"> af </w:t>
      </w:r>
      <w:r>
        <w:rPr>
          <w:i/>
          <w:iCs/>
          <w:sz w:val="24"/>
          <w:szCs w:val="24"/>
        </w:rPr>
        <w:t xml:space="preserve">H. </w:t>
      </w:r>
      <w:proofErr w:type="spellStart"/>
      <w:r>
        <w:rPr>
          <w:i/>
          <w:iCs/>
          <w:sz w:val="24"/>
          <w:szCs w:val="24"/>
        </w:rPr>
        <w:t>pylori</w:t>
      </w:r>
      <w:proofErr w:type="spellEnd"/>
      <w:r>
        <w:rPr>
          <w:sz w:val="24"/>
          <w:szCs w:val="24"/>
        </w:rPr>
        <w:t xml:space="preserve"> på op til 90 % opnås, når </w:t>
      </w:r>
      <w:proofErr w:type="spellStart"/>
      <w:r>
        <w:rPr>
          <w:sz w:val="24"/>
          <w:szCs w:val="24"/>
        </w:rPr>
        <w:t>clarithromycin</w:t>
      </w:r>
      <w:proofErr w:type="spellEnd"/>
      <w:r>
        <w:rPr>
          <w:sz w:val="24"/>
          <w:szCs w:val="24"/>
        </w:rPr>
        <w:t xml:space="preserve"> kombineres med </w:t>
      </w:r>
      <w:proofErr w:type="spellStart"/>
      <w:r>
        <w:rPr>
          <w:sz w:val="24"/>
          <w:szCs w:val="24"/>
        </w:rPr>
        <w:t>Zolt</w:t>
      </w:r>
      <w:proofErr w:type="spellEnd"/>
      <w:r>
        <w:rPr>
          <w:sz w:val="24"/>
          <w:szCs w:val="24"/>
        </w:rPr>
        <w:t xml:space="preserve"> og </w:t>
      </w:r>
      <w:proofErr w:type="spellStart"/>
      <w:r>
        <w:rPr>
          <w:sz w:val="24"/>
          <w:szCs w:val="24"/>
        </w:rPr>
        <w:t>amoxicillin</w:t>
      </w:r>
      <w:proofErr w:type="spellEnd"/>
      <w:r>
        <w:rPr>
          <w:sz w:val="24"/>
          <w:szCs w:val="24"/>
        </w:rPr>
        <w:t xml:space="preserve"> eller </w:t>
      </w:r>
      <w:proofErr w:type="spellStart"/>
      <w:r>
        <w:rPr>
          <w:sz w:val="24"/>
          <w:szCs w:val="24"/>
        </w:rPr>
        <w:t>metronidazol</w:t>
      </w:r>
      <w:proofErr w:type="spellEnd"/>
      <w:r>
        <w:rPr>
          <w:sz w:val="24"/>
          <w:szCs w:val="24"/>
        </w:rPr>
        <w:t>.</w:t>
      </w:r>
    </w:p>
    <w:p w14:paraId="089F55BD" w14:textId="77777777" w:rsidR="0040224B" w:rsidRDefault="0040224B" w:rsidP="0040224B">
      <w:pPr>
        <w:ind w:left="851" w:hanging="851"/>
        <w:rPr>
          <w:sz w:val="24"/>
          <w:szCs w:val="24"/>
        </w:rPr>
      </w:pPr>
    </w:p>
    <w:p w14:paraId="63A8F944" w14:textId="77777777" w:rsidR="0040224B" w:rsidRDefault="0040224B" w:rsidP="0040224B">
      <w:pPr>
        <w:ind w:left="851"/>
        <w:rPr>
          <w:sz w:val="24"/>
          <w:szCs w:val="24"/>
        </w:rPr>
      </w:pPr>
      <w:r>
        <w:rPr>
          <w:sz w:val="24"/>
          <w:szCs w:val="24"/>
        </w:rPr>
        <w:t xml:space="preserve">Seks måneder efter vellykket </w:t>
      </w:r>
      <w:proofErr w:type="spellStart"/>
      <w:r>
        <w:rPr>
          <w:sz w:val="24"/>
          <w:szCs w:val="24"/>
        </w:rPr>
        <w:t>eradikationsbehandling</w:t>
      </w:r>
      <w:proofErr w:type="spellEnd"/>
      <w:r>
        <w:rPr>
          <w:sz w:val="24"/>
          <w:szCs w:val="24"/>
        </w:rPr>
        <w:t xml:space="preserve"> er risikoen for en ny infektion lav, og tilbagefald er derfor usandsynligt.</w:t>
      </w:r>
    </w:p>
    <w:p w14:paraId="646F9C17" w14:textId="77777777" w:rsidR="0040224B" w:rsidRDefault="0040224B" w:rsidP="0040224B">
      <w:pPr>
        <w:ind w:left="851" w:hanging="851"/>
        <w:rPr>
          <w:sz w:val="24"/>
          <w:szCs w:val="24"/>
          <w:u w:val="single"/>
        </w:rPr>
      </w:pPr>
    </w:p>
    <w:p w14:paraId="28C3F7E6" w14:textId="77777777" w:rsidR="0040224B" w:rsidRDefault="0040224B" w:rsidP="0040224B">
      <w:pPr>
        <w:ind w:left="851"/>
        <w:rPr>
          <w:spacing w:val="-3"/>
          <w:sz w:val="24"/>
          <w:szCs w:val="24"/>
        </w:rPr>
      </w:pPr>
      <w:r>
        <w:rPr>
          <w:sz w:val="24"/>
          <w:szCs w:val="24"/>
        </w:rPr>
        <w:t xml:space="preserve">Anvendelse af et regime, bestående af 30 mg </w:t>
      </w:r>
      <w:proofErr w:type="spellStart"/>
      <w:r>
        <w:rPr>
          <w:sz w:val="24"/>
          <w:szCs w:val="24"/>
        </w:rPr>
        <w:t>lansoprazol</w:t>
      </w:r>
      <w:proofErr w:type="spellEnd"/>
      <w:r>
        <w:rPr>
          <w:sz w:val="24"/>
          <w:szCs w:val="24"/>
        </w:rPr>
        <w:t xml:space="preserve"> 2 gange dagligt, 1 g </w:t>
      </w:r>
      <w:proofErr w:type="spellStart"/>
      <w:r>
        <w:rPr>
          <w:sz w:val="24"/>
          <w:szCs w:val="24"/>
        </w:rPr>
        <w:t>amoxicillin</w:t>
      </w:r>
      <w:proofErr w:type="spellEnd"/>
      <w:r>
        <w:rPr>
          <w:sz w:val="24"/>
          <w:szCs w:val="24"/>
        </w:rPr>
        <w:t xml:space="preserve"> 2 gange dagligt og 400-500 mg </w:t>
      </w:r>
      <w:proofErr w:type="spellStart"/>
      <w:r>
        <w:rPr>
          <w:sz w:val="24"/>
          <w:szCs w:val="24"/>
        </w:rPr>
        <w:t>metronidazol</w:t>
      </w:r>
      <w:proofErr w:type="spellEnd"/>
      <w:r>
        <w:rPr>
          <w:sz w:val="24"/>
          <w:szCs w:val="24"/>
        </w:rPr>
        <w:t xml:space="preserve"> 2 gange dagligt, er også blevet undersøgt. Lavere </w:t>
      </w:r>
      <w:proofErr w:type="spellStart"/>
      <w:r>
        <w:rPr>
          <w:sz w:val="24"/>
          <w:szCs w:val="24"/>
        </w:rPr>
        <w:t>eradikationsrater</w:t>
      </w:r>
      <w:proofErr w:type="spellEnd"/>
      <w:r>
        <w:rPr>
          <w:sz w:val="24"/>
          <w:szCs w:val="24"/>
        </w:rPr>
        <w:t xml:space="preserve"> blev set ved brug af denne kombination end ved regimer, der omfattede </w:t>
      </w:r>
      <w:proofErr w:type="spellStart"/>
      <w:r>
        <w:rPr>
          <w:sz w:val="24"/>
          <w:szCs w:val="24"/>
        </w:rPr>
        <w:t>clarithromycin</w:t>
      </w:r>
      <w:proofErr w:type="spellEnd"/>
      <w:r>
        <w:rPr>
          <w:sz w:val="24"/>
          <w:szCs w:val="24"/>
        </w:rPr>
        <w:t xml:space="preserve">. Regimet kan være velegnet til patienter, der ikke er i stand til at </w:t>
      </w:r>
      <w:r>
        <w:rPr>
          <w:sz w:val="24"/>
          <w:szCs w:val="24"/>
        </w:rPr>
        <w:lastRenderedPageBreak/>
        <w:t xml:space="preserve">tage </w:t>
      </w:r>
      <w:proofErr w:type="spellStart"/>
      <w:r>
        <w:rPr>
          <w:sz w:val="24"/>
          <w:szCs w:val="24"/>
        </w:rPr>
        <w:t>clarithromycin</w:t>
      </w:r>
      <w:proofErr w:type="spellEnd"/>
      <w:r>
        <w:rPr>
          <w:sz w:val="24"/>
          <w:szCs w:val="24"/>
        </w:rPr>
        <w:t xml:space="preserve"> som en del af en </w:t>
      </w:r>
      <w:proofErr w:type="spellStart"/>
      <w:r>
        <w:rPr>
          <w:sz w:val="24"/>
          <w:szCs w:val="24"/>
        </w:rPr>
        <w:t>eradikationsbehandling</w:t>
      </w:r>
      <w:proofErr w:type="spellEnd"/>
      <w:r>
        <w:rPr>
          <w:sz w:val="24"/>
          <w:szCs w:val="24"/>
        </w:rPr>
        <w:t xml:space="preserve">, når de lokale resistensrater for </w:t>
      </w:r>
      <w:proofErr w:type="spellStart"/>
      <w:r>
        <w:rPr>
          <w:sz w:val="24"/>
          <w:szCs w:val="24"/>
        </w:rPr>
        <w:t>metronidazol</w:t>
      </w:r>
      <w:proofErr w:type="spellEnd"/>
      <w:r>
        <w:rPr>
          <w:sz w:val="24"/>
          <w:szCs w:val="24"/>
        </w:rPr>
        <w:t xml:space="preserve"> er lave.</w:t>
      </w:r>
    </w:p>
    <w:p w14:paraId="0109E85B" w14:textId="77777777" w:rsidR="0040224B" w:rsidRDefault="0040224B" w:rsidP="0040224B">
      <w:pPr>
        <w:ind w:left="851" w:hanging="851"/>
        <w:rPr>
          <w:sz w:val="24"/>
          <w:szCs w:val="24"/>
        </w:rPr>
      </w:pPr>
    </w:p>
    <w:p w14:paraId="7423AE91" w14:textId="77777777" w:rsidR="0040224B" w:rsidRDefault="0040224B" w:rsidP="0040224B">
      <w:pPr>
        <w:ind w:left="851"/>
        <w:rPr>
          <w:sz w:val="24"/>
          <w:szCs w:val="24"/>
        </w:rPr>
      </w:pPr>
      <w:r>
        <w:rPr>
          <w:sz w:val="24"/>
          <w:szCs w:val="24"/>
          <w:u w:val="single"/>
        </w:rPr>
        <w:t xml:space="preserve">Behandling af NSAID-associeret benign ulcus </w:t>
      </w:r>
      <w:proofErr w:type="spellStart"/>
      <w:r>
        <w:rPr>
          <w:sz w:val="24"/>
          <w:szCs w:val="24"/>
          <w:u w:val="single"/>
        </w:rPr>
        <w:t>ventriculi</w:t>
      </w:r>
      <w:proofErr w:type="spellEnd"/>
      <w:r>
        <w:rPr>
          <w:sz w:val="24"/>
          <w:szCs w:val="24"/>
          <w:u w:val="single"/>
        </w:rPr>
        <w:t xml:space="preserve"> og ulcus </w:t>
      </w:r>
      <w:proofErr w:type="spellStart"/>
      <w:r>
        <w:rPr>
          <w:sz w:val="24"/>
          <w:szCs w:val="24"/>
          <w:u w:val="single"/>
        </w:rPr>
        <w:t>duodeni</w:t>
      </w:r>
      <w:proofErr w:type="spellEnd"/>
      <w:r>
        <w:rPr>
          <w:sz w:val="24"/>
          <w:szCs w:val="24"/>
          <w:u w:val="single"/>
        </w:rPr>
        <w:t xml:space="preserve"> hos patienter, der kræver fortsat NSAID-behandling:</w:t>
      </w:r>
    </w:p>
    <w:p w14:paraId="2E6EA17E" w14:textId="77777777" w:rsidR="005F66C3" w:rsidRDefault="0040224B" w:rsidP="005F66C3">
      <w:pPr>
        <w:ind w:left="851"/>
        <w:rPr>
          <w:sz w:val="24"/>
          <w:szCs w:val="24"/>
        </w:rPr>
      </w:pPr>
      <w:r>
        <w:rPr>
          <w:sz w:val="24"/>
          <w:szCs w:val="24"/>
        </w:rPr>
        <w:t xml:space="preserve">30 mg én gang dagligt i 4 uger. Patienter, der ikke helbredes fuldstændigt, kan fortsætte med behandlingen i yderligere 4 uger. Ved risikopatienter eller patienter med mavesår, der er vanskelige at få til at hele, </w:t>
      </w:r>
      <w:r w:rsidR="005F66C3">
        <w:rPr>
          <w:sz w:val="24"/>
          <w:szCs w:val="24"/>
        </w:rPr>
        <w:t>bør det overvejes at forlænge behandlingen og/eller anvende en højere dosis.</w:t>
      </w:r>
    </w:p>
    <w:p w14:paraId="75EABB94" w14:textId="028B209C" w:rsidR="0040224B" w:rsidRDefault="0040224B" w:rsidP="005F66C3">
      <w:pPr>
        <w:ind w:left="851"/>
        <w:rPr>
          <w:sz w:val="24"/>
          <w:szCs w:val="24"/>
        </w:rPr>
      </w:pPr>
    </w:p>
    <w:p w14:paraId="492B13C0" w14:textId="4BFFB8F2" w:rsidR="0040224B" w:rsidRDefault="0040224B" w:rsidP="0040224B">
      <w:pPr>
        <w:ind w:left="851"/>
        <w:rPr>
          <w:sz w:val="24"/>
          <w:szCs w:val="24"/>
          <w:u w:val="single"/>
        </w:rPr>
      </w:pPr>
      <w:r>
        <w:rPr>
          <w:sz w:val="24"/>
          <w:szCs w:val="24"/>
          <w:u w:val="single"/>
        </w:rPr>
        <w:t xml:space="preserve">Profylakse af NSAID-associeret ulcus </w:t>
      </w:r>
      <w:proofErr w:type="spellStart"/>
      <w:r>
        <w:rPr>
          <w:sz w:val="24"/>
          <w:szCs w:val="24"/>
          <w:u w:val="single"/>
        </w:rPr>
        <w:t>ventriculi</w:t>
      </w:r>
      <w:proofErr w:type="spellEnd"/>
      <w:r>
        <w:rPr>
          <w:sz w:val="24"/>
          <w:szCs w:val="24"/>
          <w:u w:val="single"/>
        </w:rPr>
        <w:t xml:space="preserve"> og ulcus </w:t>
      </w:r>
      <w:proofErr w:type="spellStart"/>
      <w:r>
        <w:rPr>
          <w:sz w:val="24"/>
          <w:szCs w:val="24"/>
          <w:u w:val="single"/>
        </w:rPr>
        <w:t>duodeni</w:t>
      </w:r>
      <w:proofErr w:type="spellEnd"/>
      <w:r>
        <w:rPr>
          <w:sz w:val="24"/>
          <w:szCs w:val="24"/>
          <w:u w:val="single"/>
        </w:rPr>
        <w:t xml:space="preserve"> hos risikopatienter (for eksempel alder &gt; 65 eller gastrisk eller </w:t>
      </w:r>
      <w:proofErr w:type="spellStart"/>
      <w:r w:rsidR="005F66C3">
        <w:rPr>
          <w:sz w:val="24"/>
          <w:szCs w:val="24"/>
          <w:u w:val="single"/>
        </w:rPr>
        <w:t>duodenal</w:t>
      </w:r>
      <w:proofErr w:type="spellEnd"/>
      <w:r w:rsidR="005F66C3">
        <w:rPr>
          <w:sz w:val="24"/>
          <w:szCs w:val="24"/>
          <w:u w:val="single"/>
        </w:rPr>
        <w:t xml:space="preserve"> </w:t>
      </w:r>
      <w:proofErr w:type="spellStart"/>
      <w:r w:rsidR="005F66C3">
        <w:rPr>
          <w:sz w:val="24"/>
          <w:szCs w:val="24"/>
          <w:u w:val="single"/>
        </w:rPr>
        <w:t>ulcer</w:t>
      </w:r>
      <w:proofErr w:type="spellEnd"/>
      <w:r w:rsidR="005F66C3">
        <w:rPr>
          <w:sz w:val="24"/>
          <w:szCs w:val="24"/>
          <w:u w:val="single"/>
        </w:rPr>
        <w:t xml:space="preserve"> i anamnesen</w:t>
      </w:r>
      <w:r>
        <w:rPr>
          <w:sz w:val="24"/>
          <w:szCs w:val="24"/>
          <w:u w:val="single"/>
        </w:rPr>
        <w:t>), der behøver forlænget behandling med NSAID:</w:t>
      </w:r>
    </w:p>
    <w:p w14:paraId="14A197AD" w14:textId="77777777" w:rsidR="0040224B" w:rsidRDefault="0040224B" w:rsidP="0040224B">
      <w:pPr>
        <w:ind w:left="851" w:hanging="851"/>
        <w:rPr>
          <w:sz w:val="24"/>
          <w:szCs w:val="24"/>
        </w:rPr>
      </w:pPr>
      <w:r>
        <w:rPr>
          <w:sz w:val="24"/>
          <w:szCs w:val="24"/>
        </w:rPr>
        <w:tab/>
        <w:t>15 mg én gang dagligt. Hvis behandlingen ikke er tilstrækkelig, bør en dosis på 30 mg én gang dagligt anvendes.</w:t>
      </w:r>
    </w:p>
    <w:p w14:paraId="08475840" w14:textId="77777777" w:rsidR="005F66C3" w:rsidRDefault="005F66C3" w:rsidP="0040224B">
      <w:pPr>
        <w:ind w:left="851" w:hanging="851"/>
        <w:rPr>
          <w:sz w:val="24"/>
          <w:szCs w:val="24"/>
          <w:u w:val="single"/>
        </w:rPr>
      </w:pPr>
    </w:p>
    <w:p w14:paraId="5D640381" w14:textId="77777777" w:rsidR="0040224B" w:rsidRDefault="0040224B" w:rsidP="0040224B">
      <w:pPr>
        <w:ind w:left="851"/>
        <w:rPr>
          <w:sz w:val="24"/>
          <w:szCs w:val="24"/>
        </w:rPr>
      </w:pPr>
      <w:proofErr w:type="spellStart"/>
      <w:r>
        <w:rPr>
          <w:sz w:val="24"/>
          <w:szCs w:val="24"/>
          <w:u w:val="single"/>
        </w:rPr>
        <w:t>Zollinger-Ellison</w:t>
      </w:r>
      <w:proofErr w:type="spellEnd"/>
      <w:r>
        <w:rPr>
          <w:sz w:val="24"/>
          <w:szCs w:val="24"/>
          <w:u w:val="single"/>
        </w:rPr>
        <w:t xml:space="preserve"> syndrom:</w:t>
      </w:r>
      <w:r>
        <w:rPr>
          <w:sz w:val="24"/>
          <w:szCs w:val="24"/>
        </w:rPr>
        <w:t xml:space="preserve"> </w:t>
      </w:r>
    </w:p>
    <w:p w14:paraId="60E742C7" w14:textId="341141D4" w:rsidR="0040224B" w:rsidRDefault="0040224B" w:rsidP="0040224B">
      <w:pPr>
        <w:ind w:left="851" w:hanging="851"/>
        <w:rPr>
          <w:sz w:val="24"/>
          <w:szCs w:val="24"/>
        </w:rPr>
      </w:pPr>
      <w:r>
        <w:rPr>
          <w:sz w:val="24"/>
          <w:szCs w:val="24"/>
        </w:rPr>
        <w:tab/>
        <w:t>Den anbefalede startdosis er 60 mg én gang dagligt.</w:t>
      </w:r>
      <w:r>
        <w:rPr>
          <w:sz w:val="24"/>
          <w:szCs w:val="24"/>
          <w:lang w:val="de-DE"/>
        </w:rPr>
        <w:t xml:space="preserve"> </w:t>
      </w:r>
      <w:r>
        <w:rPr>
          <w:sz w:val="24"/>
          <w:szCs w:val="24"/>
        </w:rPr>
        <w:t>Dosis justeres individuelt, og behandlingen fortsættes, så længe det er nødvendigt. Doser på op til 180 mg dagligt har været anvendt. En daglig dosis på mere end 120 mg bør deles i 2 doser.</w:t>
      </w:r>
    </w:p>
    <w:p w14:paraId="15172CCC" w14:textId="351E4C3A" w:rsidR="005F66C3" w:rsidRDefault="005F66C3" w:rsidP="0040224B">
      <w:pPr>
        <w:ind w:left="851" w:hanging="851"/>
        <w:rPr>
          <w:sz w:val="24"/>
          <w:szCs w:val="24"/>
        </w:rPr>
      </w:pPr>
    </w:p>
    <w:p w14:paraId="1E507420" w14:textId="77777777" w:rsidR="005F66C3" w:rsidRDefault="005F66C3" w:rsidP="005F66C3">
      <w:pPr>
        <w:ind w:left="851" w:hanging="851"/>
        <w:rPr>
          <w:sz w:val="24"/>
          <w:szCs w:val="24"/>
          <w:u w:val="single"/>
        </w:rPr>
      </w:pPr>
      <w:r>
        <w:rPr>
          <w:sz w:val="24"/>
          <w:szCs w:val="24"/>
        </w:rPr>
        <w:t xml:space="preserve">              </w:t>
      </w:r>
      <w:r>
        <w:rPr>
          <w:sz w:val="24"/>
          <w:szCs w:val="24"/>
          <w:u w:val="single"/>
        </w:rPr>
        <w:t>Særlige populationer</w:t>
      </w:r>
    </w:p>
    <w:p w14:paraId="22F9C11C" w14:textId="77777777" w:rsidR="0040224B" w:rsidRDefault="0040224B" w:rsidP="0040224B">
      <w:pPr>
        <w:autoSpaceDE w:val="0"/>
        <w:autoSpaceDN w:val="0"/>
        <w:adjustRightInd w:val="0"/>
        <w:ind w:left="851" w:hanging="851"/>
        <w:jc w:val="both"/>
        <w:rPr>
          <w:sz w:val="24"/>
          <w:szCs w:val="24"/>
        </w:rPr>
      </w:pPr>
    </w:p>
    <w:p w14:paraId="62720977" w14:textId="77777777" w:rsidR="0040224B" w:rsidRDefault="0040224B" w:rsidP="0040224B">
      <w:pPr>
        <w:ind w:firstLine="851"/>
        <w:rPr>
          <w:i/>
          <w:sz w:val="24"/>
          <w:szCs w:val="24"/>
        </w:rPr>
      </w:pPr>
      <w:r>
        <w:rPr>
          <w:i/>
          <w:sz w:val="24"/>
          <w:szCs w:val="24"/>
        </w:rPr>
        <w:t>Nedsat nyrefunktion</w:t>
      </w:r>
    </w:p>
    <w:p w14:paraId="4BE20035" w14:textId="77777777" w:rsidR="0040224B" w:rsidRDefault="0040224B" w:rsidP="0040224B">
      <w:pPr>
        <w:ind w:firstLine="851"/>
        <w:rPr>
          <w:sz w:val="24"/>
          <w:szCs w:val="24"/>
        </w:rPr>
      </w:pPr>
      <w:r>
        <w:rPr>
          <w:sz w:val="24"/>
          <w:szCs w:val="24"/>
        </w:rPr>
        <w:t>Det er ikke nødvendigt at justere dosis til patienter med nedsat nyrefunktion.</w:t>
      </w:r>
    </w:p>
    <w:p w14:paraId="382ED343" w14:textId="77777777" w:rsidR="0040224B" w:rsidRDefault="0040224B" w:rsidP="0040224B">
      <w:pPr>
        <w:rPr>
          <w:sz w:val="24"/>
          <w:szCs w:val="24"/>
        </w:rPr>
      </w:pPr>
    </w:p>
    <w:p w14:paraId="776B7B4A" w14:textId="77777777" w:rsidR="0040224B" w:rsidRDefault="0040224B" w:rsidP="0040224B">
      <w:pPr>
        <w:ind w:firstLine="851"/>
        <w:rPr>
          <w:sz w:val="24"/>
          <w:szCs w:val="24"/>
        </w:rPr>
      </w:pPr>
      <w:r>
        <w:rPr>
          <w:i/>
          <w:sz w:val="24"/>
          <w:szCs w:val="24"/>
        </w:rPr>
        <w:t>Nedsat leverfunktion</w:t>
      </w:r>
    </w:p>
    <w:p w14:paraId="7165D0CC" w14:textId="77777777" w:rsidR="0040224B" w:rsidRDefault="0040224B" w:rsidP="0040224B">
      <w:pPr>
        <w:ind w:left="851"/>
        <w:rPr>
          <w:sz w:val="24"/>
          <w:szCs w:val="24"/>
        </w:rPr>
      </w:pPr>
      <w:r>
        <w:rPr>
          <w:sz w:val="24"/>
          <w:szCs w:val="24"/>
        </w:rPr>
        <w:t>Patienter med moderat eller svær leversygdom skal overvåges regelmæssigt, og der anbefales en reduktion på 50 % af den daglige dosis (se pkt. 4.4 og 5.2).</w:t>
      </w:r>
    </w:p>
    <w:p w14:paraId="6A081951" w14:textId="77777777" w:rsidR="0040224B" w:rsidRDefault="0040224B" w:rsidP="0040224B">
      <w:pPr>
        <w:rPr>
          <w:sz w:val="24"/>
          <w:szCs w:val="24"/>
        </w:rPr>
      </w:pPr>
    </w:p>
    <w:p w14:paraId="53C03854" w14:textId="77777777" w:rsidR="0040224B" w:rsidRDefault="0040224B" w:rsidP="0040224B">
      <w:pPr>
        <w:ind w:firstLine="851"/>
        <w:rPr>
          <w:i/>
          <w:sz w:val="24"/>
          <w:szCs w:val="24"/>
        </w:rPr>
      </w:pPr>
      <w:r>
        <w:rPr>
          <w:i/>
          <w:sz w:val="24"/>
          <w:szCs w:val="24"/>
        </w:rPr>
        <w:t>Ældre</w:t>
      </w:r>
    </w:p>
    <w:p w14:paraId="103DCAAE" w14:textId="77777777" w:rsidR="0040224B" w:rsidRDefault="0040224B" w:rsidP="0040224B">
      <w:pPr>
        <w:ind w:left="851"/>
        <w:rPr>
          <w:sz w:val="24"/>
          <w:szCs w:val="24"/>
        </w:rPr>
      </w:pPr>
      <w:r>
        <w:rPr>
          <w:sz w:val="24"/>
          <w:szCs w:val="24"/>
        </w:rPr>
        <w:t xml:space="preserve">På grund af nedsat </w:t>
      </w:r>
      <w:proofErr w:type="spellStart"/>
      <w:r>
        <w:rPr>
          <w:sz w:val="24"/>
          <w:szCs w:val="24"/>
        </w:rPr>
        <w:t>clearance</w:t>
      </w:r>
      <w:proofErr w:type="spellEnd"/>
      <w:r>
        <w:rPr>
          <w:sz w:val="24"/>
          <w:szCs w:val="24"/>
        </w:rPr>
        <w:t xml:space="preserve"> af </w:t>
      </w:r>
      <w:proofErr w:type="spellStart"/>
      <w:r>
        <w:rPr>
          <w:sz w:val="24"/>
          <w:szCs w:val="24"/>
        </w:rPr>
        <w:t>lansoprazol</w:t>
      </w:r>
      <w:proofErr w:type="spellEnd"/>
      <w:r>
        <w:rPr>
          <w:sz w:val="24"/>
          <w:szCs w:val="24"/>
        </w:rPr>
        <w:t xml:space="preserve"> hos ældre kan en justering af dosis være nødvendig baseret på individuelle behov. En daglig dosis på 30 mg til ældre må ikke overskrides, medmindre der er tvingende kliniske indikationer herfor. </w:t>
      </w:r>
    </w:p>
    <w:p w14:paraId="2D9538B9" w14:textId="77777777" w:rsidR="0040224B" w:rsidRDefault="0040224B" w:rsidP="0040224B">
      <w:pPr>
        <w:rPr>
          <w:sz w:val="24"/>
          <w:szCs w:val="24"/>
        </w:rPr>
      </w:pPr>
    </w:p>
    <w:p w14:paraId="50ADDDEF" w14:textId="77777777" w:rsidR="0040224B" w:rsidRDefault="0040224B" w:rsidP="0040224B">
      <w:pPr>
        <w:ind w:left="851"/>
        <w:rPr>
          <w:i/>
          <w:sz w:val="24"/>
          <w:szCs w:val="24"/>
        </w:rPr>
      </w:pPr>
      <w:r>
        <w:rPr>
          <w:i/>
          <w:sz w:val="24"/>
          <w:szCs w:val="24"/>
        </w:rPr>
        <w:t>Pædiatrisk population</w:t>
      </w:r>
    </w:p>
    <w:p w14:paraId="3927F3AA" w14:textId="77777777" w:rsidR="0040224B" w:rsidRDefault="0040224B" w:rsidP="0040224B">
      <w:pPr>
        <w:autoSpaceDE w:val="0"/>
        <w:autoSpaceDN w:val="0"/>
        <w:adjustRightInd w:val="0"/>
        <w:ind w:left="851"/>
        <w:rPr>
          <w:sz w:val="24"/>
          <w:szCs w:val="24"/>
        </w:rPr>
      </w:pPr>
      <w:r w:rsidRPr="00ED147E">
        <w:rPr>
          <w:sz w:val="24"/>
          <w:szCs w:val="24"/>
        </w:rPr>
        <w:t xml:space="preserve">Brugen af </w:t>
      </w:r>
      <w:proofErr w:type="spellStart"/>
      <w:r w:rsidRPr="00ED147E">
        <w:rPr>
          <w:sz w:val="24"/>
          <w:szCs w:val="24"/>
        </w:rPr>
        <w:t>Zolt</w:t>
      </w:r>
      <w:proofErr w:type="spellEnd"/>
      <w:r w:rsidRPr="00ED147E">
        <w:rPr>
          <w:sz w:val="24"/>
          <w:szCs w:val="24"/>
        </w:rPr>
        <w:t xml:space="preserve"> frarådes til børn, da kliniske data er begrænsede (se pkt. 5.2) </w:t>
      </w:r>
      <w:r>
        <w:rPr>
          <w:sz w:val="24"/>
          <w:szCs w:val="24"/>
        </w:rPr>
        <w:t>og det</w:t>
      </w:r>
      <w:r w:rsidRPr="00ED147E">
        <w:rPr>
          <w:sz w:val="24"/>
          <w:szCs w:val="24"/>
        </w:rPr>
        <w:t xml:space="preserve"> er </w:t>
      </w:r>
      <w:r w:rsidRPr="004D73FC">
        <w:rPr>
          <w:sz w:val="24"/>
          <w:szCs w:val="24"/>
        </w:rPr>
        <w:t>u</w:t>
      </w:r>
      <w:r w:rsidRPr="00ED147E">
        <w:rPr>
          <w:sz w:val="24"/>
          <w:szCs w:val="24"/>
        </w:rPr>
        <w:t>kendt om fundene fra de kliniske studier i unge dyr, er relevante for mennesker (se pkt. 5.3). Behandling af små børn under 1 år bør undgås, da tilgængelige</w:t>
      </w:r>
      <w:r w:rsidRPr="00365D9C">
        <w:rPr>
          <w:sz w:val="24"/>
          <w:szCs w:val="24"/>
        </w:rPr>
        <w:t xml:space="preserve"> data ikke har vist positiv effekt i behandlingen af </w:t>
      </w:r>
      <w:proofErr w:type="spellStart"/>
      <w:r w:rsidRPr="00365D9C">
        <w:rPr>
          <w:sz w:val="24"/>
          <w:szCs w:val="24"/>
        </w:rPr>
        <w:t>gastroøsofageal</w:t>
      </w:r>
      <w:proofErr w:type="spellEnd"/>
      <w:r w:rsidRPr="00365D9C">
        <w:rPr>
          <w:sz w:val="24"/>
          <w:szCs w:val="24"/>
        </w:rPr>
        <w:t xml:space="preserve"> </w:t>
      </w:r>
      <w:proofErr w:type="spellStart"/>
      <w:r w:rsidRPr="00365D9C">
        <w:rPr>
          <w:sz w:val="24"/>
          <w:szCs w:val="24"/>
        </w:rPr>
        <w:t>reflukssygdom</w:t>
      </w:r>
      <w:proofErr w:type="spellEnd"/>
      <w:r w:rsidRPr="00365D9C">
        <w:rPr>
          <w:sz w:val="24"/>
          <w:szCs w:val="24"/>
        </w:rPr>
        <w:t>.</w:t>
      </w:r>
    </w:p>
    <w:p w14:paraId="4CBB926E" w14:textId="77777777" w:rsidR="0040224B" w:rsidRDefault="0040224B" w:rsidP="0040224B">
      <w:pPr>
        <w:ind w:left="851"/>
        <w:rPr>
          <w:sz w:val="24"/>
          <w:szCs w:val="24"/>
        </w:rPr>
      </w:pPr>
    </w:p>
    <w:p w14:paraId="52ED5F59" w14:textId="77777777" w:rsidR="005416F8" w:rsidRPr="005416F8" w:rsidRDefault="005416F8" w:rsidP="005416F8">
      <w:pPr>
        <w:ind w:left="851"/>
        <w:rPr>
          <w:sz w:val="24"/>
          <w:szCs w:val="24"/>
          <w:u w:val="single"/>
        </w:rPr>
      </w:pPr>
      <w:r w:rsidRPr="005416F8">
        <w:rPr>
          <w:sz w:val="24"/>
          <w:szCs w:val="24"/>
          <w:u w:val="single"/>
        </w:rPr>
        <w:t>Administration</w:t>
      </w:r>
    </w:p>
    <w:p w14:paraId="776FCDEB" w14:textId="77777777" w:rsidR="0040224B" w:rsidRDefault="0040224B" w:rsidP="0040224B">
      <w:pPr>
        <w:ind w:left="851"/>
        <w:rPr>
          <w:sz w:val="24"/>
          <w:szCs w:val="24"/>
        </w:rPr>
      </w:pPr>
      <w:r>
        <w:rPr>
          <w:sz w:val="24"/>
          <w:szCs w:val="24"/>
        </w:rPr>
        <w:t xml:space="preserve">For at opnå optimal effekt skal </w:t>
      </w:r>
      <w:proofErr w:type="spellStart"/>
      <w:r>
        <w:rPr>
          <w:sz w:val="24"/>
          <w:szCs w:val="24"/>
        </w:rPr>
        <w:t>Zolt</w:t>
      </w:r>
      <w:proofErr w:type="spellEnd"/>
      <w:r>
        <w:rPr>
          <w:sz w:val="24"/>
          <w:szCs w:val="24"/>
        </w:rPr>
        <w:t xml:space="preserve"> tages én gang dagligt om morgenen, med undtagelse af, når det anvendes til </w:t>
      </w:r>
      <w:r>
        <w:rPr>
          <w:i/>
          <w:iCs/>
          <w:sz w:val="24"/>
          <w:szCs w:val="24"/>
        </w:rPr>
        <w:t xml:space="preserve">H. </w:t>
      </w:r>
      <w:proofErr w:type="spellStart"/>
      <w:r>
        <w:rPr>
          <w:i/>
          <w:iCs/>
          <w:sz w:val="24"/>
          <w:szCs w:val="24"/>
        </w:rPr>
        <w:t>pylori</w:t>
      </w:r>
      <w:r>
        <w:rPr>
          <w:iCs/>
          <w:sz w:val="24"/>
          <w:szCs w:val="24"/>
        </w:rPr>
        <w:t>-</w:t>
      </w:r>
      <w:r>
        <w:rPr>
          <w:sz w:val="24"/>
          <w:szCs w:val="24"/>
        </w:rPr>
        <w:t>eradikation</w:t>
      </w:r>
      <w:proofErr w:type="spellEnd"/>
      <w:r>
        <w:rPr>
          <w:sz w:val="24"/>
          <w:szCs w:val="24"/>
        </w:rPr>
        <w:t xml:space="preserve">, hvor behandlingen skal ske to gange dagligt, én gang om morgenen og én gang om aftenen. </w:t>
      </w:r>
      <w:proofErr w:type="spellStart"/>
      <w:r>
        <w:rPr>
          <w:sz w:val="24"/>
          <w:szCs w:val="24"/>
        </w:rPr>
        <w:t>Zolt</w:t>
      </w:r>
      <w:proofErr w:type="spellEnd"/>
      <w:r>
        <w:rPr>
          <w:sz w:val="24"/>
          <w:szCs w:val="24"/>
        </w:rPr>
        <w:t xml:space="preserve"> bør tages mindst 30 minutter før et måltid (se pkt. 5.2). Kapslerne synkes hele med væske. Kapslerne må ikke tygges eller knuses. </w:t>
      </w:r>
    </w:p>
    <w:p w14:paraId="173BA27D" w14:textId="77777777" w:rsidR="0040224B" w:rsidRDefault="0040224B" w:rsidP="0040224B">
      <w:pPr>
        <w:rPr>
          <w:sz w:val="24"/>
          <w:szCs w:val="24"/>
        </w:rPr>
      </w:pPr>
    </w:p>
    <w:p w14:paraId="65D56176" w14:textId="77777777" w:rsidR="0040224B" w:rsidRDefault="0040224B" w:rsidP="0040224B">
      <w:pPr>
        <w:ind w:left="851"/>
        <w:rPr>
          <w:b/>
          <w:sz w:val="24"/>
          <w:szCs w:val="24"/>
          <w:u w:val="single"/>
        </w:rPr>
      </w:pPr>
      <w:r>
        <w:rPr>
          <w:sz w:val="24"/>
          <w:szCs w:val="24"/>
        </w:rPr>
        <w:t xml:space="preserve">Til patienter med synkebesvær anbefales det på grundlag af studier og klinisk praksis, at kapslerne åbnes og granulatet blandes med en smule vand, æble-/tomatjuice eller drysses på flydende mad (f.eks. yoghurt eller æblemos) for at lette administrationen. Kapslerne kan </w:t>
      </w:r>
      <w:r>
        <w:rPr>
          <w:sz w:val="24"/>
          <w:szCs w:val="24"/>
        </w:rPr>
        <w:lastRenderedPageBreak/>
        <w:t xml:space="preserve">også åbnes og granulatet blandes med 40 ml æblejuice, så administration kan ske gennem </w:t>
      </w:r>
      <w:proofErr w:type="spellStart"/>
      <w:r>
        <w:rPr>
          <w:sz w:val="24"/>
          <w:szCs w:val="24"/>
        </w:rPr>
        <w:t>nasogastrisk</w:t>
      </w:r>
      <w:proofErr w:type="spellEnd"/>
      <w:r>
        <w:rPr>
          <w:sz w:val="24"/>
          <w:szCs w:val="24"/>
        </w:rPr>
        <w:t xml:space="preserve"> sonde (se pkt. 5.2). Lægemidlet skal administreres omgående, efter at suspensionen eller blandingen er fremstillet.</w:t>
      </w:r>
    </w:p>
    <w:p w14:paraId="4608D3B8" w14:textId="77777777" w:rsidR="004D4CB4" w:rsidRPr="00386BA3" w:rsidRDefault="004D4CB4" w:rsidP="004D4CB4">
      <w:pPr>
        <w:ind w:left="851" w:hanging="851"/>
        <w:rPr>
          <w:sz w:val="24"/>
          <w:szCs w:val="24"/>
        </w:rPr>
      </w:pPr>
    </w:p>
    <w:p w14:paraId="5BAF0A3E" w14:textId="77777777" w:rsidR="004D4CB4" w:rsidRPr="00386BA3" w:rsidRDefault="004D4CB4" w:rsidP="009024E7">
      <w:pPr>
        <w:keepNext/>
        <w:ind w:left="851" w:hanging="851"/>
        <w:rPr>
          <w:b/>
          <w:sz w:val="24"/>
          <w:szCs w:val="24"/>
        </w:rPr>
      </w:pPr>
      <w:r w:rsidRPr="00386BA3">
        <w:rPr>
          <w:b/>
          <w:sz w:val="24"/>
          <w:szCs w:val="24"/>
        </w:rPr>
        <w:t>4.3</w:t>
      </w:r>
      <w:r w:rsidRPr="00386BA3">
        <w:rPr>
          <w:b/>
          <w:sz w:val="24"/>
          <w:szCs w:val="24"/>
        </w:rPr>
        <w:tab/>
        <w:t>Kontraindikationer</w:t>
      </w:r>
    </w:p>
    <w:p w14:paraId="6528C28A" w14:textId="77777777" w:rsidR="004D4CB4" w:rsidRDefault="004D4CB4" w:rsidP="004D4CB4">
      <w:pPr>
        <w:ind w:left="851" w:hanging="851"/>
        <w:rPr>
          <w:sz w:val="24"/>
          <w:szCs w:val="24"/>
        </w:rPr>
      </w:pPr>
      <w:r w:rsidRPr="00386BA3">
        <w:rPr>
          <w:sz w:val="24"/>
          <w:szCs w:val="24"/>
        </w:rPr>
        <w:tab/>
      </w:r>
      <w:r>
        <w:rPr>
          <w:sz w:val="24"/>
          <w:szCs w:val="24"/>
        </w:rPr>
        <w:t>Overfølsomhed over for det aktive stof eller over for ét eller flere af hjælpestofferne anført i pkt</w:t>
      </w:r>
      <w:r w:rsidR="0040224B">
        <w:rPr>
          <w:sz w:val="24"/>
          <w:szCs w:val="24"/>
        </w:rPr>
        <w:t>. </w:t>
      </w:r>
      <w:r>
        <w:rPr>
          <w:sz w:val="24"/>
          <w:szCs w:val="24"/>
        </w:rPr>
        <w:t>6.1.</w:t>
      </w:r>
    </w:p>
    <w:p w14:paraId="67BC160D" w14:textId="77777777" w:rsidR="004D4CB4" w:rsidRDefault="004D4CB4" w:rsidP="004D4CB4">
      <w:pPr>
        <w:ind w:left="851" w:hanging="851"/>
        <w:rPr>
          <w:b/>
          <w:sz w:val="24"/>
          <w:szCs w:val="24"/>
        </w:rPr>
      </w:pPr>
    </w:p>
    <w:p w14:paraId="35A6DC78" w14:textId="0F83B264" w:rsidR="004D4CB4" w:rsidRDefault="004D4CB4" w:rsidP="004D4CB4">
      <w:pPr>
        <w:ind w:left="851" w:hanging="851"/>
        <w:rPr>
          <w:b/>
          <w:sz w:val="24"/>
          <w:szCs w:val="24"/>
        </w:rPr>
      </w:pPr>
      <w:r w:rsidRPr="00386BA3">
        <w:rPr>
          <w:b/>
          <w:sz w:val="24"/>
          <w:szCs w:val="24"/>
        </w:rPr>
        <w:t>4.4</w:t>
      </w:r>
      <w:r w:rsidRPr="00386BA3">
        <w:rPr>
          <w:b/>
          <w:sz w:val="24"/>
          <w:szCs w:val="24"/>
        </w:rPr>
        <w:tab/>
        <w:t>Særlige advarsler og forsigtighedsregler vedrørende brugen</w:t>
      </w:r>
    </w:p>
    <w:p w14:paraId="4A5F53BC" w14:textId="461C2FFC" w:rsidR="005F66C3" w:rsidRDefault="005F66C3" w:rsidP="004D4CB4">
      <w:pPr>
        <w:ind w:left="851" w:hanging="851"/>
        <w:rPr>
          <w:b/>
          <w:sz w:val="24"/>
          <w:szCs w:val="24"/>
        </w:rPr>
      </w:pPr>
    </w:p>
    <w:p w14:paraId="4269A479" w14:textId="57CDCBC1" w:rsidR="005F66C3" w:rsidRPr="00386BA3" w:rsidRDefault="005F66C3" w:rsidP="004D4CB4">
      <w:pPr>
        <w:ind w:left="851" w:hanging="851"/>
        <w:rPr>
          <w:b/>
          <w:sz w:val="24"/>
          <w:szCs w:val="24"/>
        </w:rPr>
      </w:pPr>
      <w:r>
        <w:rPr>
          <w:b/>
          <w:sz w:val="24"/>
          <w:szCs w:val="24"/>
        </w:rPr>
        <w:tab/>
      </w:r>
      <w:r>
        <w:rPr>
          <w:sz w:val="24"/>
          <w:szCs w:val="24"/>
          <w:u w:val="single"/>
        </w:rPr>
        <w:t xml:space="preserve">Malign </w:t>
      </w:r>
      <w:proofErr w:type="spellStart"/>
      <w:r>
        <w:rPr>
          <w:sz w:val="24"/>
          <w:szCs w:val="24"/>
          <w:u w:val="single"/>
        </w:rPr>
        <w:t>ventrielcancer</w:t>
      </w:r>
      <w:proofErr w:type="spellEnd"/>
    </w:p>
    <w:p w14:paraId="5D64C913" w14:textId="77777777" w:rsidR="0040224B" w:rsidRDefault="004D4CB4" w:rsidP="0040224B">
      <w:pPr>
        <w:ind w:left="851" w:hanging="851"/>
        <w:rPr>
          <w:sz w:val="24"/>
          <w:szCs w:val="24"/>
        </w:rPr>
      </w:pPr>
      <w:r w:rsidRPr="00386BA3">
        <w:rPr>
          <w:sz w:val="24"/>
          <w:szCs w:val="24"/>
        </w:rPr>
        <w:tab/>
      </w:r>
      <w:r w:rsidR="0040224B">
        <w:rPr>
          <w:sz w:val="24"/>
          <w:szCs w:val="24"/>
        </w:rPr>
        <w:t xml:space="preserve">Som ved andre behandlinger af ulcus, skal muligheden for malign gastrisk tumor udelukkes, inden der indledes behandling af gastrisk ulcus med </w:t>
      </w:r>
      <w:proofErr w:type="spellStart"/>
      <w:r w:rsidR="0040224B">
        <w:rPr>
          <w:sz w:val="24"/>
          <w:szCs w:val="24"/>
        </w:rPr>
        <w:t>lansoprazol</w:t>
      </w:r>
      <w:proofErr w:type="spellEnd"/>
      <w:r w:rsidR="0040224B">
        <w:rPr>
          <w:sz w:val="24"/>
          <w:szCs w:val="24"/>
        </w:rPr>
        <w:t xml:space="preserve">, da </w:t>
      </w:r>
      <w:proofErr w:type="spellStart"/>
      <w:r w:rsidR="0040224B">
        <w:rPr>
          <w:sz w:val="24"/>
          <w:szCs w:val="24"/>
        </w:rPr>
        <w:t>lansoprazol</w:t>
      </w:r>
      <w:proofErr w:type="spellEnd"/>
      <w:r w:rsidR="0040224B">
        <w:rPr>
          <w:sz w:val="24"/>
          <w:szCs w:val="24"/>
        </w:rPr>
        <w:t xml:space="preserve"> kan maskere symptomerne og forsinke diagnosen.</w:t>
      </w:r>
    </w:p>
    <w:p w14:paraId="7E82C3CD" w14:textId="77777777" w:rsidR="0040224B" w:rsidRDefault="0040224B" w:rsidP="0040224B">
      <w:pPr>
        <w:ind w:left="851" w:hanging="851"/>
        <w:rPr>
          <w:sz w:val="24"/>
          <w:szCs w:val="24"/>
        </w:rPr>
      </w:pPr>
    </w:p>
    <w:p w14:paraId="57E91CD4" w14:textId="77777777" w:rsidR="005F66C3" w:rsidRPr="005F66C3" w:rsidRDefault="005F66C3" w:rsidP="005F66C3">
      <w:pPr>
        <w:autoSpaceDE w:val="0"/>
        <w:autoSpaceDN w:val="0"/>
        <w:adjustRightInd w:val="0"/>
        <w:ind w:left="851"/>
        <w:rPr>
          <w:sz w:val="24"/>
          <w:szCs w:val="24"/>
          <w:u w:val="single"/>
        </w:rPr>
      </w:pPr>
      <w:r w:rsidRPr="005F66C3">
        <w:rPr>
          <w:sz w:val="24"/>
          <w:szCs w:val="24"/>
          <w:u w:val="single"/>
        </w:rPr>
        <w:t xml:space="preserve">Bakterielle </w:t>
      </w:r>
      <w:proofErr w:type="spellStart"/>
      <w:r w:rsidRPr="005F66C3">
        <w:rPr>
          <w:sz w:val="24"/>
          <w:szCs w:val="24"/>
          <w:u w:val="single"/>
        </w:rPr>
        <w:t>gastrointestinale</w:t>
      </w:r>
      <w:proofErr w:type="spellEnd"/>
      <w:r w:rsidRPr="005F66C3">
        <w:rPr>
          <w:sz w:val="24"/>
          <w:szCs w:val="24"/>
          <w:u w:val="single"/>
        </w:rPr>
        <w:t xml:space="preserve"> infektioner</w:t>
      </w:r>
    </w:p>
    <w:p w14:paraId="2503DE0A" w14:textId="77777777" w:rsidR="005F66C3" w:rsidRPr="005F66C3" w:rsidRDefault="005F66C3" w:rsidP="005F66C3">
      <w:pPr>
        <w:ind w:left="851"/>
        <w:rPr>
          <w:i/>
          <w:iCs/>
          <w:color w:val="000000"/>
          <w:sz w:val="24"/>
          <w:szCs w:val="24"/>
        </w:rPr>
      </w:pPr>
      <w:proofErr w:type="spellStart"/>
      <w:r w:rsidRPr="005F66C3">
        <w:rPr>
          <w:sz w:val="24"/>
          <w:szCs w:val="24"/>
        </w:rPr>
        <w:t>Lansoprazol</w:t>
      </w:r>
      <w:proofErr w:type="spellEnd"/>
      <w:r w:rsidRPr="005F66C3">
        <w:rPr>
          <w:sz w:val="24"/>
          <w:szCs w:val="24"/>
        </w:rPr>
        <w:t xml:space="preserve"> kan, ligesom alle </w:t>
      </w:r>
      <w:proofErr w:type="spellStart"/>
      <w:r w:rsidRPr="005F66C3">
        <w:rPr>
          <w:sz w:val="24"/>
          <w:szCs w:val="24"/>
        </w:rPr>
        <w:t>protonpumpehæmmere</w:t>
      </w:r>
      <w:proofErr w:type="spellEnd"/>
      <w:r w:rsidRPr="005F66C3">
        <w:rPr>
          <w:sz w:val="24"/>
          <w:szCs w:val="24"/>
        </w:rPr>
        <w:t xml:space="preserve"> (PPI), øge antallet af bakterier, der normalt er til stede i </w:t>
      </w:r>
      <w:proofErr w:type="spellStart"/>
      <w:r w:rsidRPr="005F66C3">
        <w:rPr>
          <w:sz w:val="24"/>
          <w:szCs w:val="24"/>
        </w:rPr>
        <w:t>gastrointestinalkanalen</w:t>
      </w:r>
      <w:proofErr w:type="spellEnd"/>
      <w:r w:rsidRPr="005F66C3">
        <w:rPr>
          <w:sz w:val="24"/>
          <w:szCs w:val="24"/>
        </w:rPr>
        <w:t xml:space="preserve">. Dette kan øge risikoen for </w:t>
      </w:r>
      <w:proofErr w:type="spellStart"/>
      <w:r w:rsidRPr="005F66C3">
        <w:rPr>
          <w:sz w:val="24"/>
          <w:szCs w:val="24"/>
        </w:rPr>
        <w:t>gastrointestinale</w:t>
      </w:r>
      <w:proofErr w:type="spellEnd"/>
      <w:r w:rsidRPr="005F66C3">
        <w:rPr>
          <w:sz w:val="24"/>
          <w:szCs w:val="24"/>
        </w:rPr>
        <w:t xml:space="preserve"> infektioner grundet bakterier, såsom </w:t>
      </w:r>
      <w:r w:rsidRPr="005F66C3">
        <w:rPr>
          <w:i/>
          <w:sz w:val="24"/>
          <w:szCs w:val="24"/>
        </w:rPr>
        <w:t>Salmonella</w:t>
      </w:r>
      <w:r w:rsidRPr="005F66C3">
        <w:rPr>
          <w:sz w:val="24"/>
          <w:szCs w:val="24"/>
        </w:rPr>
        <w:t xml:space="preserve">, </w:t>
      </w:r>
      <w:r w:rsidRPr="005F66C3">
        <w:rPr>
          <w:i/>
          <w:sz w:val="24"/>
          <w:szCs w:val="24"/>
        </w:rPr>
        <w:t>Campylobacter</w:t>
      </w:r>
      <w:r w:rsidRPr="005F66C3">
        <w:rPr>
          <w:sz w:val="24"/>
          <w:szCs w:val="24"/>
        </w:rPr>
        <w:t xml:space="preserve"> og, især hos indlagte patienter, </w:t>
      </w:r>
      <w:proofErr w:type="spellStart"/>
      <w:r w:rsidRPr="005F66C3">
        <w:rPr>
          <w:i/>
          <w:iCs/>
          <w:color w:val="000000"/>
          <w:sz w:val="24"/>
          <w:szCs w:val="24"/>
        </w:rPr>
        <w:t>Clostridium</w:t>
      </w:r>
      <w:proofErr w:type="spellEnd"/>
      <w:r w:rsidRPr="005F66C3">
        <w:rPr>
          <w:i/>
          <w:iCs/>
          <w:color w:val="000000"/>
          <w:sz w:val="24"/>
          <w:szCs w:val="24"/>
        </w:rPr>
        <w:t xml:space="preserve"> difficile.</w:t>
      </w:r>
    </w:p>
    <w:p w14:paraId="5328AF86" w14:textId="77777777" w:rsidR="0040224B" w:rsidRDefault="0040224B" w:rsidP="0040224B">
      <w:pPr>
        <w:ind w:left="851"/>
        <w:rPr>
          <w:sz w:val="24"/>
          <w:szCs w:val="24"/>
        </w:rPr>
      </w:pPr>
    </w:p>
    <w:p w14:paraId="103F074D" w14:textId="77777777" w:rsidR="005F66C3" w:rsidRDefault="005F66C3" w:rsidP="005F66C3">
      <w:pPr>
        <w:ind w:left="851"/>
        <w:rPr>
          <w:sz w:val="24"/>
          <w:szCs w:val="24"/>
          <w:u w:val="single"/>
        </w:rPr>
      </w:pPr>
      <w:r>
        <w:rPr>
          <w:sz w:val="24"/>
          <w:szCs w:val="24"/>
          <w:u w:val="single"/>
        </w:rPr>
        <w:t>Human immundefekt virus (HIV)-</w:t>
      </w:r>
      <w:proofErr w:type="spellStart"/>
      <w:r>
        <w:rPr>
          <w:sz w:val="24"/>
          <w:szCs w:val="24"/>
          <w:u w:val="single"/>
        </w:rPr>
        <w:t>proteasehæmmere</w:t>
      </w:r>
      <w:proofErr w:type="spellEnd"/>
    </w:p>
    <w:p w14:paraId="5D07D9E8" w14:textId="77777777" w:rsidR="005F66C3" w:rsidRDefault="005F66C3" w:rsidP="005F66C3">
      <w:pPr>
        <w:ind w:left="851"/>
        <w:rPr>
          <w:sz w:val="24"/>
          <w:szCs w:val="24"/>
        </w:rPr>
      </w:pPr>
      <w:r>
        <w:rPr>
          <w:sz w:val="24"/>
          <w:szCs w:val="24"/>
        </w:rPr>
        <w:t xml:space="preserve">Samtidig anvendelse af </w:t>
      </w:r>
      <w:proofErr w:type="spellStart"/>
      <w:r>
        <w:rPr>
          <w:sz w:val="24"/>
          <w:szCs w:val="24"/>
        </w:rPr>
        <w:t>lansoprazol</w:t>
      </w:r>
      <w:proofErr w:type="spellEnd"/>
      <w:r>
        <w:rPr>
          <w:sz w:val="24"/>
          <w:szCs w:val="24"/>
        </w:rPr>
        <w:t xml:space="preserve"> med HIV-</w:t>
      </w:r>
      <w:proofErr w:type="spellStart"/>
      <w:r>
        <w:rPr>
          <w:sz w:val="24"/>
          <w:szCs w:val="24"/>
        </w:rPr>
        <w:t>proteasehæmmere</w:t>
      </w:r>
      <w:proofErr w:type="spellEnd"/>
      <w:r>
        <w:rPr>
          <w:sz w:val="24"/>
          <w:szCs w:val="24"/>
        </w:rPr>
        <w:t xml:space="preserve">, for hvilke absorptionen er afhængig af sur intragastrisk pH, såsom </w:t>
      </w:r>
      <w:proofErr w:type="spellStart"/>
      <w:r>
        <w:rPr>
          <w:sz w:val="24"/>
          <w:szCs w:val="24"/>
        </w:rPr>
        <w:t>atazanavir</w:t>
      </w:r>
      <w:proofErr w:type="spellEnd"/>
      <w:r>
        <w:rPr>
          <w:sz w:val="24"/>
          <w:szCs w:val="24"/>
        </w:rPr>
        <w:t xml:space="preserve"> og </w:t>
      </w:r>
      <w:proofErr w:type="spellStart"/>
      <w:r>
        <w:rPr>
          <w:sz w:val="24"/>
          <w:szCs w:val="24"/>
        </w:rPr>
        <w:t>nelfinavir</w:t>
      </w:r>
      <w:proofErr w:type="spellEnd"/>
      <w:r>
        <w:rPr>
          <w:sz w:val="24"/>
          <w:szCs w:val="24"/>
        </w:rPr>
        <w:t xml:space="preserve">, frarådes grundet en signifikant reduktion i deres biotilgængelighed (se pkt. 4.5). Hvis samtidig anvendelse af </w:t>
      </w:r>
      <w:proofErr w:type="spellStart"/>
      <w:r>
        <w:rPr>
          <w:sz w:val="24"/>
          <w:szCs w:val="24"/>
        </w:rPr>
        <w:t>lansoprazol</w:t>
      </w:r>
      <w:proofErr w:type="spellEnd"/>
      <w:r>
        <w:rPr>
          <w:sz w:val="24"/>
          <w:szCs w:val="24"/>
        </w:rPr>
        <w:t xml:space="preserve"> med HIV-</w:t>
      </w:r>
      <w:proofErr w:type="spellStart"/>
      <w:r>
        <w:rPr>
          <w:sz w:val="24"/>
          <w:szCs w:val="24"/>
        </w:rPr>
        <w:t>proteasehæmmere</w:t>
      </w:r>
      <w:proofErr w:type="spellEnd"/>
      <w:r>
        <w:rPr>
          <w:sz w:val="24"/>
          <w:szCs w:val="24"/>
        </w:rPr>
        <w:t xml:space="preserve"> er uundgåelig anbefales nøje klinisk overvågning.</w:t>
      </w:r>
    </w:p>
    <w:p w14:paraId="412A7EFC" w14:textId="77777777" w:rsidR="0040224B" w:rsidRDefault="0040224B" w:rsidP="0040224B">
      <w:pPr>
        <w:ind w:left="851" w:hanging="851"/>
        <w:rPr>
          <w:sz w:val="24"/>
          <w:szCs w:val="24"/>
        </w:rPr>
      </w:pPr>
    </w:p>
    <w:p w14:paraId="58337EEC" w14:textId="77777777" w:rsidR="005F66C3" w:rsidRDefault="005F66C3" w:rsidP="005F66C3">
      <w:pPr>
        <w:autoSpaceDE w:val="0"/>
        <w:autoSpaceDN w:val="0"/>
        <w:adjustRightInd w:val="0"/>
        <w:ind w:left="851"/>
        <w:rPr>
          <w:sz w:val="24"/>
          <w:szCs w:val="24"/>
          <w:u w:val="single"/>
        </w:rPr>
      </w:pPr>
      <w:proofErr w:type="spellStart"/>
      <w:r>
        <w:rPr>
          <w:sz w:val="24"/>
          <w:szCs w:val="24"/>
          <w:u w:val="single"/>
        </w:rPr>
        <w:t>Hypomagnesiæmi</w:t>
      </w:r>
      <w:proofErr w:type="spellEnd"/>
    </w:p>
    <w:p w14:paraId="4A9903A4" w14:textId="77777777" w:rsidR="005F66C3" w:rsidRDefault="005F66C3" w:rsidP="005F66C3">
      <w:pPr>
        <w:ind w:left="851"/>
        <w:rPr>
          <w:sz w:val="24"/>
          <w:szCs w:val="24"/>
        </w:rPr>
      </w:pPr>
      <w:r>
        <w:rPr>
          <w:sz w:val="24"/>
          <w:szCs w:val="24"/>
        </w:rPr>
        <w:t xml:space="preserve">Sjældne tilfælde af svær </w:t>
      </w:r>
      <w:proofErr w:type="spellStart"/>
      <w:r>
        <w:rPr>
          <w:sz w:val="24"/>
          <w:szCs w:val="24"/>
        </w:rPr>
        <w:t>hypomagnesiæmi</w:t>
      </w:r>
      <w:proofErr w:type="spellEnd"/>
      <w:r>
        <w:rPr>
          <w:sz w:val="24"/>
          <w:szCs w:val="24"/>
        </w:rPr>
        <w:t xml:space="preserve"> er blevet rapporteret hos patienter i behandling med </w:t>
      </w:r>
      <w:proofErr w:type="spellStart"/>
      <w:r>
        <w:rPr>
          <w:sz w:val="24"/>
          <w:szCs w:val="24"/>
        </w:rPr>
        <w:t>PPI’er</w:t>
      </w:r>
      <w:proofErr w:type="spellEnd"/>
      <w:r>
        <w:rPr>
          <w:sz w:val="24"/>
          <w:szCs w:val="24"/>
        </w:rPr>
        <w:t xml:space="preserve"> som </w:t>
      </w:r>
      <w:proofErr w:type="spellStart"/>
      <w:r>
        <w:rPr>
          <w:sz w:val="24"/>
          <w:szCs w:val="24"/>
        </w:rPr>
        <w:t>lansoprazol</w:t>
      </w:r>
      <w:proofErr w:type="spellEnd"/>
      <w:r>
        <w:rPr>
          <w:sz w:val="24"/>
          <w:szCs w:val="24"/>
        </w:rPr>
        <w:t xml:space="preserve"> i mindst tre måneder og i de fleste tilfælde et år. Der kan forekomme alvorlige tegn på </w:t>
      </w:r>
      <w:proofErr w:type="spellStart"/>
      <w:r>
        <w:rPr>
          <w:sz w:val="24"/>
          <w:szCs w:val="24"/>
        </w:rPr>
        <w:t>hypomagnesiæmi</w:t>
      </w:r>
      <w:proofErr w:type="spellEnd"/>
      <w:r>
        <w:rPr>
          <w:sz w:val="24"/>
          <w:szCs w:val="24"/>
        </w:rPr>
        <w:t xml:space="preserve"> såsom træthed, tetani, delirium, konvulsioner, svimmelhed og </w:t>
      </w:r>
      <w:proofErr w:type="spellStart"/>
      <w:r>
        <w:rPr>
          <w:sz w:val="24"/>
          <w:szCs w:val="24"/>
        </w:rPr>
        <w:t>ventrikulær</w:t>
      </w:r>
      <w:proofErr w:type="spellEnd"/>
      <w:r>
        <w:rPr>
          <w:sz w:val="24"/>
          <w:szCs w:val="24"/>
        </w:rPr>
        <w:t xml:space="preserve"> </w:t>
      </w:r>
      <w:proofErr w:type="spellStart"/>
      <w:r>
        <w:rPr>
          <w:sz w:val="24"/>
          <w:szCs w:val="24"/>
        </w:rPr>
        <w:t>arytmi</w:t>
      </w:r>
      <w:proofErr w:type="spellEnd"/>
      <w:r>
        <w:rPr>
          <w:sz w:val="24"/>
          <w:szCs w:val="24"/>
        </w:rPr>
        <w:t>, men disse kan begynde snigende og kan blive overset.</w:t>
      </w:r>
      <w:r>
        <w:t xml:space="preserve"> </w:t>
      </w:r>
      <w:proofErr w:type="spellStart"/>
      <w:r>
        <w:rPr>
          <w:sz w:val="24"/>
          <w:szCs w:val="24"/>
        </w:rPr>
        <w:t>Hypomagnesiæmi</w:t>
      </w:r>
      <w:proofErr w:type="spellEnd"/>
      <w:r>
        <w:rPr>
          <w:sz w:val="24"/>
          <w:szCs w:val="24"/>
        </w:rPr>
        <w:t xml:space="preserve"> kan føre til </w:t>
      </w:r>
      <w:proofErr w:type="spellStart"/>
      <w:r>
        <w:rPr>
          <w:sz w:val="24"/>
          <w:szCs w:val="24"/>
        </w:rPr>
        <w:t>hypocalcæmi</w:t>
      </w:r>
      <w:proofErr w:type="spellEnd"/>
      <w:r>
        <w:rPr>
          <w:sz w:val="24"/>
          <w:szCs w:val="24"/>
        </w:rPr>
        <w:t xml:space="preserve"> og/eller </w:t>
      </w:r>
      <w:proofErr w:type="spellStart"/>
      <w:r>
        <w:rPr>
          <w:sz w:val="24"/>
          <w:szCs w:val="24"/>
        </w:rPr>
        <w:t>hypokaliæmi</w:t>
      </w:r>
      <w:proofErr w:type="spellEnd"/>
      <w:r>
        <w:rPr>
          <w:sz w:val="24"/>
          <w:szCs w:val="24"/>
        </w:rPr>
        <w:t xml:space="preserve"> (se pkt. 4.8). Hos de fleste påvirkede patienter forbedredes </w:t>
      </w:r>
      <w:proofErr w:type="spellStart"/>
      <w:r>
        <w:rPr>
          <w:sz w:val="24"/>
          <w:szCs w:val="24"/>
        </w:rPr>
        <w:t>hypomagnesiæmi</w:t>
      </w:r>
      <w:proofErr w:type="spellEnd"/>
      <w:r>
        <w:rPr>
          <w:sz w:val="24"/>
          <w:szCs w:val="24"/>
        </w:rPr>
        <w:t xml:space="preserve"> (og </w:t>
      </w:r>
      <w:proofErr w:type="spellStart"/>
      <w:r>
        <w:rPr>
          <w:sz w:val="24"/>
          <w:szCs w:val="24"/>
        </w:rPr>
        <w:t>hypomagnesiæmi</w:t>
      </w:r>
      <w:proofErr w:type="spellEnd"/>
      <w:r>
        <w:rPr>
          <w:sz w:val="24"/>
          <w:szCs w:val="24"/>
        </w:rPr>
        <w:t xml:space="preserve"> forbundet med </w:t>
      </w:r>
      <w:proofErr w:type="spellStart"/>
      <w:r>
        <w:rPr>
          <w:sz w:val="24"/>
          <w:szCs w:val="24"/>
        </w:rPr>
        <w:t>hypocalcæmi</w:t>
      </w:r>
      <w:proofErr w:type="spellEnd"/>
      <w:r>
        <w:rPr>
          <w:sz w:val="24"/>
          <w:szCs w:val="24"/>
        </w:rPr>
        <w:t xml:space="preserve"> og/eller </w:t>
      </w:r>
      <w:proofErr w:type="spellStart"/>
      <w:r>
        <w:rPr>
          <w:sz w:val="24"/>
          <w:szCs w:val="24"/>
        </w:rPr>
        <w:t>hypokaliæmi</w:t>
      </w:r>
      <w:proofErr w:type="spellEnd"/>
      <w:r>
        <w:rPr>
          <w:sz w:val="24"/>
          <w:szCs w:val="24"/>
        </w:rPr>
        <w:t xml:space="preserve">) efter magnesiumtilskud og </w:t>
      </w:r>
      <w:proofErr w:type="spellStart"/>
      <w:r>
        <w:rPr>
          <w:sz w:val="24"/>
          <w:szCs w:val="24"/>
        </w:rPr>
        <w:t>seponering</w:t>
      </w:r>
      <w:proofErr w:type="spellEnd"/>
      <w:r>
        <w:rPr>
          <w:sz w:val="24"/>
          <w:szCs w:val="24"/>
        </w:rPr>
        <w:t xml:space="preserve"> af PPI-præparatet.</w:t>
      </w:r>
    </w:p>
    <w:p w14:paraId="0B915A3E" w14:textId="77777777" w:rsidR="0040224B" w:rsidRDefault="0040224B" w:rsidP="0040224B">
      <w:pPr>
        <w:ind w:left="851"/>
        <w:rPr>
          <w:sz w:val="24"/>
          <w:szCs w:val="24"/>
        </w:rPr>
      </w:pPr>
    </w:p>
    <w:p w14:paraId="623FBCE3" w14:textId="77777777" w:rsidR="0040224B" w:rsidRPr="00ED147E" w:rsidRDefault="0040224B" w:rsidP="0040224B">
      <w:pPr>
        <w:ind w:left="851"/>
        <w:rPr>
          <w:sz w:val="24"/>
          <w:szCs w:val="24"/>
        </w:rPr>
      </w:pPr>
      <w:r>
        <w:rPr>
          <w:sz w:val="24"/>
          <w:szCs w:val="24"/>
        </w:rPr>
        <w:t>Sundhedspersoner</w:t>
      </w:r>
      <w:r w:rsidRPr="00EA312A">
        <w:rPr>
          <w:sz w:val="24"/>
          <w:szCs w:val="24"/>
        </w:rPr>
        <w:t xml:space="preserve"> bør overveje at måle magnesium</w:t>
      </w:r>
      <w:r>
        <w:rPr>
          <w:sz w:val="24"/>
          <w:szCs w:val="24"/>
        </w:rPr>
        <w:t>koncentrationen</w:t>
      </w:r>
      <w:r w:rsidRPr="00EA312A">
        <w:rPr>
          <w:sz w:val="24"/>
          <w:szCs w:val="24"/>
        </w:rPr>
        <w:t xml:space="preserve"> inden behandling med PPI og jævnligt under behandlingen hos patienter, der forventes at være i langvarig behandling, eller som tager PPI-</w:t>
      </w:r>
      <w:r w:rsidRPr="00ED147E">
        <w:rPr>
          <w:sz w:val="24"/>
          <w:szCs w:val="24"/>
        </w:rPr>
        <w:t xml:space="preserve">præparater sammen med </w:t>
      </w:r>
      <w:proofErr w:type="spellStart"/>
      <w:r w:rsidRPr="00ED147E">
        <w:rPr>
          <w:sz w:val="24"/>
          <w:szCs w:val="24"/>
        </w:rPr>
        <w:t>digoxin</w:t>
      </w:r>
      <w:proofErr w:type="spellEnd"/>
      <w:r w:rsidRPr="00ED147E">
        <w:rPr>
          <w:sz w:val="24"/>
          <w:szCs w:val="24"/>
        </w:rPr>
        <w:t xml:space="preserve"> eller lægemidler, der kan forårsage </w:t>
      </w:r>
      <w:proofErr w:type="spellStart"/>
      <w:r w:rsidRPr="00ED147E">
        <w:rPr>
          <w:sz w:val="24"/>
          <w:szCs w:val="24"/>
        </w:rPr>
        <w:t>hypomagnesiæmi</w:t>
      </w:r>
      <w:proofErr w:type="spellEnd"/>
      <w:r w:rsidRPr="00ED147E">
        <w:rPr>
          <w:sz w:val="24"/>
          <w:szCs w:val="24"/>
        </w:rPr>
        <w:t xml:space="preserve"> (f.eks. </w:t>
      </w:r>
      <w:proofErr w:type="spellStart"/>
      <w:r w:rsidRPr="00ED147E">
        <w:rPr>
          <w:sz w:val="24"/>
          <w:szCs w:val="24"/>
        </w:rPr>
        <w:t>diuretika</w:t>
      </w:r>
      <w:proofErr w:type="spellEnd"/>
      <w:r w:rsidRPr="00ED147E">
        <w:rPr>
          <w:sz w:val="24"/>
          <w:szCs w:val="24"/>
        </w:rPr>
        <w:t>).</w:t>
      </w:r>
    </w:p>
    <w:p w14:paraId="423E2B6E" w14:textId="77777777" w:rsidR="0040224B" w:rsidRPr="00ED147E" w:rsidRDefault="0040224B" w:rsidP="0040224B">
      <w:pPr>
        <w:ind w:left="851" w:hanging="851"/>
        <w:rPr>
          <w:sz w:val="24"/>
          <w:szCs w:val="24"/>
        </w:rPr>
      </w:pPr>
    </w:p>
    <w:p w14:paraId="2A673714" w14:textId="4F329E10" w:rsidR="00711401" w:rsidRDefault="00711401" w:rsidP="00711401">
      <w:pPr>
        <w:ind w:left="851"/>
        <w:rPr>
          <w:sz w:val="24"/>
          <w:szCs w:val="24"/>
          <w:u w:val="single"/>
        </w:rPr>
      </w:pPr>
      <w:r>
        <w:rPr>
          <w:sz w:val="24"/>
          <w:szCs w:val="24"/>
          <w:u w:val="single"/>
        </w:rPr>
        <w:t xml:space="preserve">Interferens med laboratorieprøver </w:t>
      </w:r>
    </w:p>
    <w:p w14:paraId="54B8C38B" w14:textId="77777777" w:rsidR="00711401" w:rsidRDefault="00711401" w:rsidP="00711401">
      <w:pPr>
        <w:ind w:left="851"/>
        <w:rPr>
          <w:sz w:val="24"/>
          <w:szCs w:val="24"/>
        </w:rPr>
      </w:pPr>
      <w:r>
        <w:rPr>
          <w:sz w:val="24"/>
          <w:szCs w:val="24"/>
        </w:rPr>
        <w:t xml:space="preserve">Forhøjet niveau af </w:t>
      </w:r>
      <w:proofErr w:type="spellStart"/>
      <w:r>
        <w:rPr>
          <w:sz w:val="24"/>
          <w:szCs w:val="24"/>
        </w:rPr>
        <w:t>chromogranin</w:t>
      </w:r>
      <w:proofErr w:type="spellEnd"/>
      <w:r>
        <w:rPr>
          <w:sz w:val="24"/>
          <w:szCs w:val="24"/>
        </w:rPr>
        <w:t xml:space="preserve"> A (</w:t>
      </w:r>
      <w:proofErr w:type="spellStart"/>
      <w:r>
        <w:rPr>
          <w:sz w:val="24"/>
          <w:szCs w:val="24"/>
        </w:rPr>
        <w:t>CgA</w:t>
      </w:r>
      <w:proofErr w:type="spellEnd"/>
      <w:r>
        <w:rPr>
          <w:sz w:val="24"/>
          <w:szCs w:val="24"/>
        </w:rPr>
        <w:t xml:space="preserve">) kan interferere med undersøgelser for </w:t>
      </w:r>
      <w:proofErr w:type="spellStart"/>
      <w:r>
        <w:rPr>
          <w:sz w:val="24"/>
          <w:szCs w:val="24"/>
        </w:rPr>
        <w:t>neuroendokrine</w:t>
      </w:r>
      <w:proofErr w:type="spellEnd"/>
      <w:r>
        <w:rPr>
          <w:sz w:val="24"/>
          <w:szCs w:val="24"/>
        </w:rPr>
        <w:t xml:space="preserve"> tumorer. For at undgå denne interferens bør behandlingen med </w:t>
      </w:r>
      <w:proofErr w:type="spellStart"/>
      <w:r>
        <w:rPr>
          <w:sz w:val="24"/>
          <w:szCs w:val="24"/>
        </w:rPr>
        <w:t>lanzoprazol</w:t>
      </w:r>
      <w:proofErr w:type="spellEnd"/>
      <w:r>
        <w:rPr>
          <w:sz w:val="24"/>
          <w:szCs w:val="24"/>
        </w:rPr>
        <w:t xml:space="preserve"> seponeres mindst 5 dage inden måling af </w:t>
      </w:r>
      <w:proofErr w:type="spellStart"/>
      <w:r>
        <w:rPr>
          <w:sz w:val="24"/>
          <w:szCs w:val="24"/>
        </w:rPr>
        <w:t>CgA</w:t>
      </w:r>
      <w:proofErr w:type="spellEnd"/>
      <w:r>
        <w:rPr>
          <w:sz w:val="24"/>
          <w:szCs w:val="24"/>
        </w:rPr>
        <w:t xml:space="preserve"> (se pkt. 5.1). Hvis niveauerne af </w:t>
      </w:r>
      <w:proofErr w:type="spellStart"/>
      <w:r>
        <w:rPr>
          <w:sz w:val="24"/>
          <w:szCs w:val="24"/>
        </w:rPr>
        <w:t>CgA</w:t>
      </w:r>
      <w:proofErr w:type="spellEnd"/>
      <w:r>
        <w:rPr>
          <w:sz w:val="24"/>
          <w:szCs w:val="24"/>
        </w:rPr>
        <w:t xml:space="preserve"> og gastrin ikke er vendt tilbage til referenceområdet efter den første måling, bør målingen gentages 14 dage efter </w:t>
      </w:r>
      <w:proofErr w:type="spellStart"/>
      <w:r>
        <w:rPr>
          <w:sz w:val="24"/>
          <w:szCs w:val="24"/>
        </w:rPr>
        <w:t>seponering</w:t>
      </w:r>
      <w:proofErr w:type="spellEnd"/>
      <w:r>
        <w:rPr>
          <w:sz w:val="24"/>
          <w:szCs w:val="24"/>
        </w:rPr>
        <w:t xml:space="preserve"> af protonpumpehæmmeren.</w:t>
      </w:r>
    </w:p>
    <w:p w14:paraId="53522218" w14:textId="77777777" w:rsidR="00711401" w:rsidRDefault="00711401" w:rsidP="0040224B">
      <w:pPr>
        <w:ind w:left="851" w:hanging="851"/>
        <w:rPr>
          <w:sz w:val="24"/>
          <w:szCs w:val="24"/>
        </w:rPr>
      </w:pPr>
    </w:p>
    <w:p w14:paraId="4E1FB5CD" w14:textId="77777777" w:rsidR="00711401" w:rsidRDefault="00711401" w:rsidP="0040224B">
      <w:pPr>
        <w:ind w:left="851" w:hanging="851"/>
        <w:rPr>
          <w:sz w:val="24"/>
          <w:szCs w:val="24"/>
        </w:rPr>
      </w:pPr>
    </w:p>
    <w:p w14:paraId="20DE3B51" w14:textId="77777777" w:rsidR="00711401" w:rsidRDefault="00711401" w:rsidP="00711401">
      <w:pPr>
        <w:ind w:left="851"/>
        <w:rPr>
          <w:sz w:val="24"/>
          <w:szCs w:val="24"/>
        </w:rPr>
      </w:pPr>
    </w:p>
    <w:p w14:paraId="0D4E63AE" w14:textId="77777777" w:rsidR="00711401" w:rsidRDefault="00711401" w:rsidP="00711401">
      <w:pPr>
        <w:ind w:left="851"/>
        <w:rPr>
          <w:sz w:val="24"/>
          <w:szCs w:val="24"/>
        </w:rPr>
      </w:pPr>
    </w:p>
    <w:p w14:paraId="71DBB969" w14:textId="77777777" w:rsidR="00711401" w:rsidRDefault="00711401" w:rsidP="00711401">
      <w:pPr>
        <w:ind w:left="851"/>
        <w:rPr>
          <w:sz w:val="24"/>
          <w:szCs w:val="24"/>
        </w:rPr>
      </w:pPr>
      <w:r>
        <w:rPr>
          <w:sz w:val="24"/>
          <w:szCs w:val="24"/>
          <w:u w:val="single"/>
        </w:rPr>
        <w:t>Påvirkning af vitamin B12-optagelsen</w:t>
      </w:r>
    </w:p>
    <w:p w14:paraId="1564F193" w14:textId="77777777" w:rsidR="00711401" w:rsidRDefault="00711401" w:rsidP="00711401">
      <w:pPr>
        <w:ind w:left="851"/>
        <w:rPr>
          <w:sz w:val="24"/>
          <w:szCs w:val="24"/>
        </w:rPr>
      </w:pPr>
      <w:r>
        <w:rPr>
          <w:sz w:val="24"/>
          <w:szCs w:val="24"/>
        </w:rPr>
        <w:t xml:space="preserve">Daglig behandling med et hvilket som helst syre-hæmmende lægemiddel over en længere periode (flere år) kan føre til </w:t>
      </w:r>
      <w:proofErr w:type="spellStart"/>
      <w:r>
        <w:rPr>
          <w:sz w:val="24"/>
          <w:szCs w:val="24"/>
        </w:rPr>
        <w:t>malabsorption</w:t>
      </w:r>
      <w:proofErr w:type="spellEnd"/>
      <w:r>
        <w:rPr>
          <w:sz w:val="24"/>
          <w:szCs w:val="24"/>
        </w:rPr>
        <w:t xml:space="preserve"> af vitamin B12 (</w:t>
      </w:r>
      <w:proofErr w:type="spellStart"/>
      <w:r>
        <w:rPr>
          <w:sz w:val="24"/>
          <w:szCs w:val="24"/>
        </w:rPr>
        <w:t>cyanocobalamin</w:t>
      </w:r>
      <w:proofErr w:type="spellEnd"/>
      <w:r>
        <w:rPr>
          <w:sz w:val="24"/>
          <w:szCs w:val="24"/>
        </w:rPr>
        <w:t xml:space="preserve">) på grund af </w:t>
      </w:r>
      <w:proofErr w:type="spellStart"/>
      <w:r>
        <w:rPr>
          <w:sz w:val="24"/>
          <w:szCs w:val="24"/>
        </w:rPr>
        <w:t>hypochlorhydri</w:t>
      </w:r>
      <w:proofErr w:type="spellEnd"/>
      <w:r>
        <w:rPr>
          <w:sz w:val="24"/>
          <w:szCs w:val="24"/>
        </w:rPr>
        <w:t xml:space="preserve"> eller </w:t>
      </w:r>
      <w:proofErr w:type="spellStart"/>
      <w:r>
        <w:rPr>
          <w:sz w:val="24"/>
          <w:szCs w:val="24"/>
        </w:rPr>
        <w:t>achlorhydri</w:t>
      </w:r>
      <w:proofErr w:type="spellEnd"/>
      <w:r>
        <w:rPr>
          <w:sz w:val="24"/>
          <w:szCs w:val="24"/>
        </w:rPr>
        <w:t xml:space="preserve">. </w:t>
      </w:r>
      <w:proofErr w:type="spellStart"/>
      <w:r>
        <w:rPr>
          <w:sz w:val="24"/>
          <w:szCs w:val="24"/>
        </w:rPr>
        <w:t>Cyanocobalamin</w:t>
      </w:r>
      <w:proofErr w:type="spellEnd"/>
      <w:r>
        <w:rPr>
          <w:sz w:val="24"/>
          <w:szCs w:val="24"/>
        </w:rPr>
        <w:t xml:space="preserve">-mangel bør overvejes hos patienter med </w:t>
      </w:r>
      <w:proofErr w:type="spellStart"/>
      <w:r>
        <w:rPr>
          <w:sz w:val="24"/>
          <w:szCs w:val="24"/>
        </w:rPr>
        <w:t>Zollinger-Ellison</w:t>
      </w:r>
      <w:proofErr w:type="spellEnd"/>
      <w:r>
        <w:rPr>
          <w:sz w:val="24"/>
          <w:szCs w:val="24"/>
        </w:rPr>
        <w:t xml:space="preserve"> syndrom og andre patologiske </w:t>
      </w:r>
      <w:proofErr w:type="spellStart"/>
      <w:r>
        <w:rPr>
          <w:sz w:val="24"/>
          <w:szCs w:val="24"/>
        </w:rPr>
        <w:t>hypersekretoriske</w:t>
      </w:r>
      <w:proofErr w:type="spellEnd"/>
      <w:r>
        <w:rPr>
          <w:sz w:val="24"/>
          <w:szCs w:val="24"/>
        </w:rPr>
        <w:t xml:space="preserve"> tilstande, der kræver langvarig behandling, personer med reducerede kropsreserver eller ved risikofaktorer for reduceret absorption af vitamin B12 (såsom ældre) under længerevarende behandling eller hos hvem relevante kliniske symptomer er observeret.</w:t>
      </w:r>
    </w:p>
    <w:p w14:paraId="5C9454C4" w14:textId="77777777" w:rsidR="00711401" w:rsidRDefault="00711401" w:rsidP="00711401">
      <w:pPr>
        <w:ind w:left="1702" w:hanging="851"/>
        <w:rPr>
          <w:sz w:val="24"/>
          <w:szCs w:val="24"/>
        </w:rPr>
      </w:pPr>
    </w:p>
    <w:p w14:paraId="4184BE2B" w14:textId="77777777" w:rsidR="00711401" w:rsidRDefault="00711401" w:rsidP="00711401">
      <w:pPr>
        <w:ind w:left="1702" w:hanging="851"/>
        <w:rPr>
          <w:sz w:val="24"/>
          <w:szCs w:val="24"/>
          <w:u w:val="single"/>
        </w:rPr>
      </w:pPr>
      <w:r>
        <w:rPr>
          <w:sz w:val="24"/>
          <w:szCs w:val="24"/>
          <w:u w:val="single"/>
        </w:rPr>
        <w:t>Nedsat leverfunktion</w:t>
      </w:r>
    </w:p>
    <w:p w14:paraId="1C803EBB" w14:textId="77777777" w:rsidR="00711401" w:rsidRDefault="00711401" w:rsidP="00711401">
      <w:pPr>
        <w:ind w:left="851" w:hanging="851"/>
        <w:rPr>
          <w:sz w:val="24"/>
          <w:szCs w:val="24"/>
        </w:rPr>
      </w:pPr>
      <w:r>
        <w:rPr>
          <w:sz w:val="24"/>
          <w:szCs w:val="24"/>
        </w:rPr>
        <w:tab/>
      </w:r>
      <w:proofErr w:type="spellStart"/>
      <w:r>
        <w:rPr>
          <w:sz w:val="24"/>
          <w:szCs w:val="24"/>
        </w:rPr>
        <w:t>Lansoprazol</w:t>
      </w:r>
      <w:proofErr w:type="spellEnd"/>
      <w:r>
        <w:rPr>
          <w:sz w:val="24"/>
          <w:szCs w:val="24"/>
        </w:rPr>
        <w:t xml:space="preserve"> bør anvendes med forsigtighed hos patienter med moderat og svært nedsat leverfunktion (se pkt. 4.2 og 5.2).</w:t>
      </w:r>
    </w:p>
    <w:p w14:paraId="24FC52D0" w14:textId="77777777" w:rsidR="0040224B" w:rsidRDefault="0040224B" w:rsidP="0040224B">
      <w:pPr>
        <w:ind w:left="851" w:hanging="851"/>
        <w:rPr>
          <w:sz w:val="24"/>
          <w:szCs w:val="24"/>
        </w:rPr>
      </w:pPr>
      <w:r>
        <w:rPr>
          <w:sz w:val="24"/>
          <w:szCs w:val="24"/>
        </w:rPr>
        <w:tab/>
      </w:r>
    </w:p>
    <w:p w14:paraId="23EC3EAE" w14:textId="77777777" w:rsidR="00711401" w:rsidRDefault="00711401" w:rsidP="00711401">
      <w:pPr>
        <w:autoSpaceDE w:val="0"/>
        <w:autoSpaceDN w:val="0"/>
        <w:adjustRightInd w:val="0"/>
        <w:ind w:left="851"/>
        <w:rPr>
          <w:sz w:val="24"/>
          <w:szCs w:val="24"/>
          <w:u w:val="single"/>
        </w:rPr>
      </w:pPr>
      <w:r>
        <w:rPr>
          <w:sz w:val="24"/>
          <w:szCs w:val="24"/>
          <w:u w:val="single"/>
        </w:rPr>
        <w:t xml:space="preserve">Bakterielle </w:t>
      </w:r>
      <w:proofErr w:type="spellStart"/>
      <w:r>
        <w:rPr>
          <w:sz w:val="24"/>
          <w:szCs w:val="24"/>
          <w:u w:val="single"/>
        </w:rPr>
        <w:t>gastrointestinale</w:t>
      </w:r>
      <w:proofErr w:type="spellEnd"/>
      <w:r>
        <w:rPr>
          <w:sz w:val="24"/>
          <w:szCs w:val="24"/>
          <w:u w:val="single"/>
        </w:rPr>
        <w:t xml:space="preserve"> infektioner</w:t>
      </w:r>
    </w:p>
    <w:p w14:paraId="392D6916" w14:textId="77777777" w:rsidR="00711401" w:rsidRDefault="00711401" w:rsidP="00711401">
      <w:pPr>
        <w:ind w:left="851"/>
        <w:rPr>
          <w:sz w:val="24"/>
          <w:szCs w:val="24"/>
        </w:rPr>
      </w:pPr>
      <w:r>
        <w:rPr>
          <w:sz w:val="24"/>
          <w:szCs w:val="24"/>
        </w:rPr>
        <w:t xml:space="preserve">Nedsat </w:t>
      </w:r>
      <w:proofErr w:type="spellStart"/>
      <w:r>
        <w:rPr>
          <w:sz w:val="24"/>
          <w:szCs w:val="24"/>
        </w:rPr>
        <w:t>ventrikelaciditet</w:t>
      </w:r>
      <w:proofErr w:type="spellEnd"/>
      <w:r>
        <w:rPr>
          <w:sz w:val="24"/>
          <w:szCs w:val="24"/>
        </w:rPr>
        <w:t xml:space="preserve"> på grund af </w:t>
      </w:r>
      <w:proofErr w:type="spellStart"/>
      <w:r>
        <w:rPr>
          <w:sz w:val="24"/>
          <w:szCs w:val="24"/>
        </w:rPr>
        <w:t>lansoprazol</w:t>
      </w:r>
      <w:proofErr w:type="spellEnd"/>
      <w:r>
        <w:rPr>
          <w:sz w:val="24"/>
          <w:szCs w:val="24"/>
        </w:rPr>
        <w:t xml:space="preserve"> kan forventes at øge forekomsten af bakterier, der normalt er til stede i </w:t>
      </w:r>
      <w:proofErr w:type="spellStart"/>
      <w:r>
        <w:rPr>
          <w:sz w:val="24"/>
          <w:szCs w:val="24"/>
        </w:rPr>
        <w:t>gastrointestinalkanalen</w:t>
      </w:r>
      <w:proofErr w:type="spellEnd"/>
      <w:r>
        <w:rPr>
          <w:sz w:val="24"/>
          <w:szCs w:val="24"/>
        </w:rPr>
        <w:t xml:space="preserve">. Behandling med </w:t>
      </w:r>
      <w:proofErr w:type="spellStart"/>
      <w:r>
        <w:rPr>
          <w:sz w:val="24"/>
          <w:szCs w:val="24"/>
        </w:rPr>
        <w:t>lansoprazol</w:t>
      </w:r>
      <w:proofErr w:type="spellEnd"/>
      <w:r>
        <w:rPr>
          <w:sz w:val="24"/>
          <w:szCs w:val="24"/>
        </w:rPr>
        <w:t xml:space="preserve"> kan medføre en let forhøjet risiko for </w:t>
      </w:r>
      <w:proofErr w:type="spellStart"/>
      <w:r>
        <w:rPr>
          <w:sz w:val="24"/>
          <w:szCs w:val="24"/>
        </w:rPr>
        <w:t>gastrointestinale</w:t>
      </w:r>
      <w:proofErr w:type="spellEnd"/>
      <w:r>
        <w:rPr>
          <w:sz w:val="24"/>
          <w:szCs w:val="24"/>
        </w:rPr>
        <w:t xml:space="preserve"> infektioner som for eksempel med </w:t>
      </w:r>
      <w:r>
        <w:rPr>
          <w:i/>
          <w:iCs/>
          <w:sz w:val="24"/>
          <w:szCs w:val="24"/>
        </w:rPr>
        <w:t>Salmonella</w:t>
      </w:r>
      <w:r>
        <w:rPr>
          <w:sz w:val="24"/>
          <w:szCs w:val="24"/>
        </w:rPr>
        <w:t xml:space="preserve"> og </w:t>
      </w:r>
      <w:r>
        <w:rPr>
          <w:i/>
          <w:iCs/>
          <w:sz w:val="24"/>
          <w:szCs w:val="24"/>
        </w:rPr>
        <w:t>Campylobacter</w:t>
      </w:r>
      <w:r>
        <w:rPr>
          <w:sz w:val="24"/>
          <w:szCs w:val="24"/>
        </w:rPr>
        <w:t>.</w:t>
      </w:r>
    </w:p>
    <w:p w14:paraId="0302D9A8" w14:textId="77777777" w:rsidR="0040224B" w:rsidRDefault="0040224B" w:rsidP="0040224B">
      <w:pPr>
        <w:ind w:left="851"/>
        <w:rPr>
          <w:sz w:val="24"/>
          <w:szCs w:val="24"/>
        </w:rPr>
      </w:pPr>
    </w:p>
    <w:p w14:paraId="1F64A686" w14:textId="77777777" w:rsidR="0040224B" w:rsidRDefault="0040224B" w:rsidP="0040224B">
      <w:pPr>
        <w:ind w:left="851"/>
        <w:rPr>
          <w:sz w:val="24"/>
          <w:szCs w:val="24"/>
        </w:rPr>
      </w:pPr>
      <w:r>
        <w:rPr>
          <w:sz w:val="24"/>
          <w:szCs w:val="24"/>
        </w:rPr>
        <w:t xml:space="preserve">Hos patienter med </w:t>
      </w:r>
      <w:proofErr w:type="spellStart"/>
      <w:r>
        <w:rPr>
          <w:sz w:val="24"/>
          <w:szCs w:val="24"/>
        </w:rPr>
        <w:t>gastroduodenalsår</w:t>
      </w:r>
      <w:proofErr w:type="spellEnd"/>
      <w:r>
        <w:rPr>
          <w:sz w:val="24"/>
          <w:szCs w:val="24"/>
        </w:rPr>
        <w:t xml:space="preserve"> skal muligheden for en infektion med </w:t>
      </w:r>
      <w:r>
        <w:rPr>
          <w:i/>
          <w:iCs/>
          <w:sz w:val="24"/>
          <w:szCs w:val="24"/>
        </w:rPr>
        <w:t xml:space="preserve">H. </w:t>
      </w:r>
      <w:proofErr w:type="spellStart"/>
      <w:r>
        <w:rPr>
          <w:i/>
          <w:iCs/>
          <w:sz w:val="24"/>
          <w:szCs w:val="24"/>
        </w:rPr>
        <w:t>pylori</w:t>
      </w:r>
      <w:proofErr w:type="spellEnd"/>
      <w:r>
        <w:rPr>
          <w:sz w:val="24"/>
          <w:szCs w:val="24"/>
        </w:rPr>
        <w:t xml:space="preserve"> overvejes som en ætiologisk faktor.</w:t>
      </w:r>
    </w:p>
    <w:p w14:paraId="735527C3" w14:textId="77777777" w:rsidR="0040224B" w:rsidRDefault="0040224B" w:rsidP="0040224B">
      <w:pPr>
        <w:ind w:left="851" w:hanging="851"/>
        <w:rPr>
          <w:sz w:val="24"/>
          <w:szCs w:val="24"/>
        </w:rPr>
      </w:pPr>
    </w:p>
    <w:p w14:paraId="24E366D1" w14:textId="77777777" w:rsidR="0040224B" w:rsidRDefault="0040224B" w:rsidP="0040224B">
      <w:pPr>
        <w:ind w:left="851"/>
        <w:rPr>
          <w:b/>
          <w:bCs/>
          <w:i/>
          <w:iCs/>
          <w:sz w:val="24"/>
          <w:szCs w:val="24"/>
        </w:rPr>
      </w:pPr>
      <w:r>
        <w:rPr>
          <w:sz w:val="24"/>
          <w:szCs w:val="24"/>
        </w:rPr>
        <w:t xml:space="preserve">Hvis </w:t>
      </w:r>
      <w:proofErr w:type="spellStart"/>
      <w:r>
        <w:rPr>
          <w:sz w:val="24"/>
          <w:szCs w:val="24"/>
        </w:rPr>
        <w:t>lansoprazol</w:t>
      </w:r>
      <w:proofErr w:type="spellEnd"/>
      <w:r>
        <w:rPr>
          <w:sz w:val="24"/>
          <w:szCs w:val="24"/>
        </w:rPr>
        <w:t xml:space="preserve"> anvendes i kombination med antibiotika til </w:t>
      </w:r>
      <w:proofErr w:type="spellStart"/>
      <w:r>
        <w:rPr>
          <w:sz w:val="24"/>
          <w:szCs w:val="24"/>
        </w:rPr>
        <w:t>eradikationsbehandling</w:t>
      </w:r>
      <w:proofErr w:type="spellEnd"/>
      <w:r>
        <w:rPr>
          <w:sz w:val="24"/>
          <w:szCs w:val="24"/>
        </w:rPr>
        <w:t xml:space="preserve"> af </w:t>
      </w:r>
      <w:r>
        <w:rPr>
          <w:i/>
          <w:iCs/>
          <w:sz w:val="24"/>
          <w:szCs w:val="24"/>
        </w:rPr>
        <w:t xml:space="preserve">H. </w:t>
      </w:r>
      <w:proofErr w:type="spellStart"/>
      <w:r>
        <w:rPr>
          <w:i/>
          <w:iCs/>
          <w:sz w:val="24"/>
          <w:szCs w:val="24"/>
        </w:rPr>
        <w:t>pylori</w:t>
      </w:r>
      <w:proofErr w:type="spellEnd"/>
      <w:r>
        <w:rPr>
          <w:sz w:val="24"/>
          <w:szCs w:val="24"/>
        </w:rPr>
        <w:t>, skal anvisningerne for brugen af disse antibiotika også følges.</w:t>
      </w:r>
    </w:p>
    <w:p w14:paraId="42EC26E2" w14:textId="77777777" w:rsidR="0040224B" w:rsidRDefault="0040224B" w:rsidP="0040224B">
      <w:pPr>
        <w:ind w:left="851" w:hanging="851"/>
        <w:rPr>
          <w:b/>
          <w:bCs/>
          <w:i/>
          <w:iCs/>
          <w:sz w:val="24"/>
          <w:szCs w:val="24"/>
        </w:rPr>
      </w:pPr>
    </w:p>
    <w:p w14:paraId="2D86C9B3" w14:textId="77777777" w:rsidR="00711401" w:rsidRDefault="00711401" w:rsidP="00711401">
      <w:pPr>
        <w:ind w:left="851"/>
        <w:rPr>
          <w:sz w:val="24"/>
          <w:szCs w:val="24"/>
          <w:u w:val="single"/>
        </w:rPr>
      </w:pPr>
      <w:r>
        <w:rPr>
          <w:sz w:val="24"/>
          <w:szCs w:val="24"/>
          <w:u w:val="single"/>
        </w:rPr>
        <w:t>Langtidsbehandling</w:t>
      </w:r>
    </w:p>
    <w:p w14:paraId="26F4B47E" w14:textId="77777777" w:rsidR="00711401" w:rsidRDefault="00711401" w:rsidP="00711401">
      <w:pPr>
        <w:ind w:left="851"/>
        <w:rPr>
          <w:sz w:val="24"/>
          <w:szCs w:val="24"/>
        </w:rPr>
      </w:pPr>
      <w:r>
        <w:rPr>
          <w:sz w:val="24"/>
          <w:szCs w:val="24"/>
        </w:rPr>
        <w:t>På grund af de begrænsede sikkerhedsdata for patienter, der har været i vedligeholdelsesbehandling i mere end 1 år, skal der regelmæssigt foretages en gennemgang af behandlingen og en grundig afvejning af risici/fordele for disse patienter.</w:t>
      </w:r>
    </w:p>
    <w:p w14:paraId="27DF5F52" w14:textId="77777777" w:rsidR="0040224B" w:rsidRDefault="0040224B" w:rsidP="0040224B">
      <w:pPr>
        <w:ind w:left="851" w:hanging="851"/>
        <w:rPr>
          <w:b/>
          <w:bCs/>
          <w:i/>
          <w:iCs/>
          <w:sz w:val="24"/>
          <w:szCs w:val="24"/>
          <w:u w:val="single"/>
        </w:rPr>
      </w:pPr>
    </w:p>
    <w:p w14:paraId="4F0AEAED" w14:textId="77777777" w:rsidR="00711401" w:rsidRDefault="00711401" w:rsidP="00711401">
      <w:pPr>
        <w:ind w:left="851"/>
        <w:rPr>
          <w:sz w:val="24"/>
          <w:szCs w:val="24"/>
          <w:u w:val="single"/>
        </w:rPr>
      </w:pPr>
      <w:proofErr w:type="spellStart"/>
      <w:r>
        <w:rPr>
          <w:sz w:val="24"/>
          <w:szCs w:val="24"/>
          <w:u w:val="single"/>
        </w:rPr>
        <w:t>Gastrointestinale</w:t>
      </w:r>
      <w:proofErr w:type="spellEnd"/>
      <w:r>
        <w:rPr>
          <w:sz w:val="24"/>
          <w:szCs w:val="24"/>
          <w:u w:val="single"/>
        </w:rPr>
        <w:t xml:space="preserve"> lidelser</w:t>
      </w:r>
    </w:p>
    <w:p w14:paraId="70E35C0A" w14:textId="77777777" w:rsidR="00711401" w:rsidRDefault="00711401" w:rsidP="00711401">
      <w:pPr>
        <w:ind w:left="851"/>
        <w:rPr>
          <w:sz w:val="24"/>
          <w:szCs w:val="24"/>
        </w:rPr>
      </w:pPr>
      <w:r>
        <w:rPr>
          <w:sz w:val="24"/>
          <w:szCs w:val="24"/>
        </w:rPr>
        <w:t xml:space="preserve">Der er rapporteret om meget sjældne tilfælde af colitis hos patienter, der tager </w:t>
      </w:r>
      <w:proofErr w:type="spellStart"/>
      <w:r>
        <w:rPr>
          <w:sz w:val="24"/>
          <w:szCs w:val="24"/>
        </w:rPr>
        <w:t>lansoprazol</w:t>
      </w:r>
      <w:proofErr w:type="spellEnd"/>
      <w:r>
        <w:rPr>
          <w:sz w:val="24"/>
          <w:szCs w:val="24"/>
        </w:rPr>
        <w:t xml:space="preserve">. I tilfælde af svær og/eller vedvarende diarré skal det derfor overvejes at seponere behandlingen. </w:t>
      </w:r>
    </w:p>
    <w:p w14:paraId="429C3299" w14:textId="77777777" w:rsidR="0040224B" w:rsidRDefault="0040224B" w:rsidP="0040224B">
      <w:pPr>
        <w:ind w:left="851"/>
        <w:rPr>
          <w:sz w:val="24"/>
          <w:szCs w:val="24"/>
        </w:rPr>
      </w:pPr>
    </w:p>
    <w:p w14:paraId="7D4DECEC" w14:textId="77777777" w:rsidR="0040224B" w:rsidRDefault="0040224B" w:rsidP="0040224B">
      <w:pPr>
        <w:ind w:left="851"/>
        <w:rPr>
          <w:sz w:val="24"/>
          <w:szCs w:val="24"/>
        </w:rPr>
      </w:pPr>
      <w:r w:rsidRPr="001352AA">
        <w:rPr>
          <w:sz w:val="24"/>
          <w:szCs w:val="24"/>
        </w:rPr>
        <w:t xml:space="preserve">Med undtagelse af patienter behandlet for udryddelse af </w:t>
      </w:r>
      <w:r w:rsidRPr="004D73FC">
        <w:rPr>
          <w:i/>
          <w:iCs/>
          <w:sz w:val="24"/>
          <w:szCs w:val="24"/>
        </w:rPr>
        <w:t xml:space="preserve">H. </w:t>
      </w:r>
      <w:proofErr w:type="spellStart"/>
      <w:r w:rsidRPr="004D73FC">
        <w:rPr>
          <w:i/>
          <w:iCs/>
          <w:sz w:val="24"/>
          <w:szCs w:val="24"/>
        </w:rPr>
        <w:t>pylori</w:t>
      </w:r>
      <w:proofErr w:type="spellEnd"/>
      <w:r w:rsidRPr="001352AA">
        <w:rPr>
          <w:sz w:val="24"/>
          <w:szCs w:val="24"/>
        </w:rPr>
        <w:t>-infektion, hvis diarré vedvarer,</w:t>
      </w:r>
      <w:r>
        <w:rPr>
          <w:sz w:val="24"/>
          <w:szCs w:val="24"/>
        </w:rPr>
        <w:t xml:space="preserve"> </w:t>
      </w:r>
      <w:r w:rsidRPr="001352AA">
        <w:rPr>
          <w:sz w:val="24"/>
          <w:szCs w:val="24"/>
        </w:rPr>
        <w:t xml:space="preserve">bør administration af </w:t>
      </w:r>
      <w:proofErr w:type="spellStart"/>
      <w:r w:rsidRPr="001352AA">
        <w:rPr>
          <w:sz w:val="24"/>
          <w:szCs w:val="24"/>
        </w:rPr>
        <w:t>lansoprazol</w:t>
      </w:r>
      <w:proofErr w:type="spellEnd"/>
      <w:r w:rsidRPr="001352AA">
        <w:rPr>
          <w:sz w:val="24"/>
          <w:szCs w:val="24"/>
        </w:rPr>
        <w:t xml:space="preserve"> seponeres på grund af muligheden for mikroskopisk colitis</w:t>
      </w:r>
      <w:r>
        <w:rPr>
          <w:sz w:val="24"/>
          <w:szCs w:val="24"/>
        </w:rPr>
        <w:t xml:space="preserve"> </w:t>
      </w:r>
      <w:r w:rsidRPr="001352AA">
        <w:rPr>
          <w:sz w:val="24"/>
          <w:szCs w:val="24"/>
        </w:rPr>
        <w:t xml:space="preserve">med fortykkelse af </w:t>
      </w:r>
      <w:proofErr w:type="spellStart"/>
      <w:r w:rsidRPr="001352AA">
        <w:rPr>
          <w:sz w:val="24"/>
          <w:szCs w:val="24"/>
        </w:rPr>
        <w:t>kollagenbundtet</w:t>
      </w:r>
      <w:proofErr w:type="spellEnd"/>
      <w:r w:rsidRPr="001352AA">
        <w:rPr>
          <w:sz w:val="24"/>
          <w:szCs w:val="24"/>
        </w:rPr>
        <w:t xml:space="preserve"> eller infiltration af inflammatoriske celler, der er </w:t>
      </w:r>
      <w:r>
        <w:rPr>
          <w:sz w:val="24"/>
          <w:szCs w:val="24"/>
        </w:rPr>
        <w:t xml:space="preserve">observeret </w:t>
      </w:r>
      <w:r w:rsidRPr="001352AA">
        <w:rPr>
          <w:sz w:val="24"/>
          <w:szCs w:val="24"/>
        </w:rPr>
        <w:t>i tyktarm</w:t>
      </w:r>
      <w:r>
        <w:rPr>
          <w:sz w:val="24"/>
          <w:szCs w:val="24"/>
        </w:rPr>
        <w:t xml:space="preserve">ens </w:t>
      </w:r>
      <w:proofErr w:type="spellStart"/>
      <w:r w:rsidRPr="001352AA">
        <w:rPr>
          <w:sz w:val="24"/>
          <w:szCs w:val="24"/>
        </w:rPr>
        <w:t>submucosa</w:t>
      </w:r>
      <w:proofErr w:type="spellEnd"/>
      <w:r w:rsidRPr="001352AA">
        <w:rPr>
          <w:sz w:val="24"/>
          <w:szCs w:val="24"/>
        </w:rPr>
        <w:t xml:space="preserve">. I de fleste tilfælde forsvinder symptomer på mikroskopisk colitis ved </w:t>
      </w:r>
      <w:proofErr w:type="spellStart"/>
      <w:r w:rsidRPr="001352AA">
        <w:rPr>
          <w:sz w:val="24"/>
          <w:szCs w:val="24"/>
        </w:rPr>
        <w:t>seponering</w:t>
      </w:r>
      <w:proofErr w:type="spellEnd"/>
      <w:r w:rsidRPr="001352AA">
        <w:rPr>
          <w:sz w:val="24"/>
          <w:szCs w:val="24"/>
        </w:rPr>
        <w:t xml:space="preserve"> af</w:t>
      </w:r>
      <w:r>
        <w:rPr>
          <w:sz w:val="24"/>
          <w:szCs w:val="24"/>
        </w:rPr>
        <w:t xml:space="preserve"> </w:t>
      </w:r>
      <w:proofErr w:type="spellStart"/>
      <w:r w:rsidRPr="001352AA">
        <w:rPr>
          <w:sz w:val="24"/>
          <w:szCs w:val="24"/>
        </w:rPr>
        <w:t>lansoprazol</w:t>
      </w:r>
      <w:proofErr w:type="spellEnd"/>
      <w:r w:rsidRPr="001352AA">
        <w:rPr>
          <w:sz w:val="24"/>
          <w:szCs w:val="24"/>
        </w:rPr>
        <w:t>.</w:t>
      </w:r>
    </w:p>
    <w:p w14:paraId="318715AB" w14:textId="77777777" w:rsidR="0040224B" w:rsidRDefault="0040224B" w:rsidP="0040224B">
      <w:pPr>
        <w:ind w:left="851" w:hanging="851"/>
        <w:rPr>
          <w:sz w:val="24"/>
          <w:szCs w:val="24"/>
        </w:rPr>
      </w:pPr>
    </w:p>
    <w:p w14:paraId="00CF81E9" w14:textId="77777777" w:rsidR="00711401" w:rsidRDefault="00711401" w:rsidP="00711401">
      <w:pPr>
        <w:ind w:left="851"/>
        <w:rPr>
          <w:sz w:val="24"/>
          <w:szCs w:val="24"/>
          <w:u w:val="single"/>
        </w:rPr>
      </w:pPr>
      <w:r>
        <w:rPr>
          <w:sz w:val="24"/>
          <w:szCs w:val="24"/>
          <w:u w:val="single"/>
        </w:rPr>
        <w:t xml:space="preserve">Samtidig behandling med </w:t>
      </w:r>
      <w:proofErr w:type="spellStart"/>
      <w:r>
        <w:rPr>
          <w:sz w:val="24"/>
          <w:szCs w:val="24"/>
          <w:u w:val="single"/>
        </w:rPr>
        <w:t>NSAID’er</w:t>
      </w:r>
      <w:proofErr w:type="spellEnd"/>
    </w:p>
    <w:p w14:paraId="33B76D2F" w14:textId="77777777" w:rsidR="00711401" w:rsidRDefault="00711401" w:rsidP="00711401">
      <w:pPr>
        <w:ind w:left="851"/>
        <w:rPr>
          <w:sz w:val="24"/>
          <w:szCs w:val="24"/>
        </w:rPr>
      </w:pPr>
      <w:r>
        <w:rPr>
          <w:sz w:val="24"/>
          <w:szCs w:val="24"/>
        </w:rPr>
        <w:t xml:space="preserve">Den forebyggende behandling af ulcus </w:t>
      </w:r>
      <w:proofErr w:type="spellStart"/>
      <w:r>
        <w:rPr>
          <w:sz w:val="24"/>
          <w:szCs w:val="24"/>
        </w:rPr>
        <w:t>pepticum</w:t>
      </w:r>
      <w:proofErr w:type="spellEnd"/>
      <w:r>
        <w:rPr>
          <w:sz w:val="24"/>
          <w:szCs w:val="24"/>
        </w:rPr>
        <w:t xml:space="preserve"> hos patienter, der kræver fortsat NSAID-behandling, skal begrænses til højrisikopatienter (f.eks. tidligere </w:t>
      </w:r>
      <w:proofErr w:type="spellStart"/>
      <w:r>
        <w:rPr>
          <w:sz w:val="24"/>
          <w:szCs w:val="24"/>
        </w:rPr>
        <w:t>gastrointestinal</w:t>
      </w:r>
      <w:proofErr w:type="spellEnd"/>
      <w:r>
        <w:rPr>
          <w:sz w:val="24"/>
          <w:szCs w:val="24"/>
        </w:rPr>
        <w:t xml:space="preserve"> blødning, perforation eller ulcus, fremskreden alder, samtidig brug af medicin, der er kendt for at øge sandsynligheden for bivirkninger i den øvre </w:t>
      </w:r>
      <w:proofErr w:type="spellStart"/>
      <w:r>
        <w:rPr>
          <w:sz w:val="24"/>
          <w:szCs w:val="24"/>
        </w:rPr>
        <w:t>gastrointestinalkanal</w:t>
      </w:r>
      <w:proofErr w:type="spellEnd"/>
      <w:r>
        <w:rPr>
          <w:sz w:val="24"/>
          <w:szCs w:val="24"/>
        </w:rPr>
        <w:t xml:space="preserve"> [f.eks. </w:t>
      </w:r>
      <w:proofErr w:type="spellStart"/>
      <w:r>
        <w:rPr>
          <w:sz w:val="24"/>
          <w:szCs w:val="24"/>
        </w:rPr>
        <w:t>kortikosteroider</w:t>
      </w:r>
      <w:proofErr w:type="spellEnd"/>
      <w:r>
        <w:rPr>
          <w:sz w:val="24"/>
          <w:szCs w:val="24"/>
        </w:rPr>
        <w:t xml:space="preserve"> eller </w:t>
      </w:r>
      <w:proofErr w:type="spellStart"/>
      <w:r>
        <w:rPr>
          <w:sz w:val="24"/>
          <w:szCs w:val="24"/>
        </w:rPr>
        <w:t>antikoagulantia</w:t>
      </w:r>
      <w:proofErr w:type="spellEnd"/>
      <w:r>
        <w:rPr>
          <w:sz w:val="24"/>
          <w:szCs w:val="24"/>
        </w:rPr>
        <w:t xml:space="preserve">], tilstedeværelse af en alvorlig faktor for </w:t>
      </w:r>
      <w:proofErr w:type="spellStart"/>
      <w:r>
        <w:rPr>
          <w:sz w:val="24"/>
          <w:szCs w:val="24"/>
        </w:rPr>
        <w:t>komorbiditet</w:t>
      </w:r>
      <w:proofErr w:type="spellEnd"/>
      <w:r>
        <w:rPr>
          <w:sz w:val="24"/>
          <w:szCs w:val="24"/>
        </w:rPr>
        <w:t xml:space="preserve"> eller forlænget brug af de maksimalt anbefalede doser af NSAID).</w:t>
      </w:r>
    </w:p>
    <w:p w14:paraId="73764648" w14:textId="77777777" w:rsidR="0040224B" w:rsidRDefault="0040224B" w:rsidP="0040224B">
      <w:pPr>
        <w:ind w:left="851" w:hanging="851"/>
        <w:rPr>
          <w:sz w:val="24"/>
          <w:szCs w:val="24"/>
        </w:rPr>
      </w:pPr>
    </w:p>
    <w:p w14:paraId="693A308C" w14:textId="77777777" w:rsidR="00711401" w:rsidRDefault="00711401" w:rsidP="00711401">
      <w:pPr>
        <w:ind w:left="851"/>
        <w:rPr>
          <w:sz w:val="24"/>
          <w:szCs w:val="24"/>
          <w:u w:val="single"/>
        </w:rPr>
      </w:pPr>
      <w:r>
        <w:rPr>
          <w:sz w:val="24"/>
          <w:szCs w:val="24"/>
          <w:u w:val="single"/>
        </w:rPr>
        <w:t>Knoglefrakturer</w:t>
      </w:r>
    </w:p>
    <w:p w14:paraId="786558A0" w14:textId="77777777" w:rsidR="00711401" w:rsidRDefault="00711401" w:rsidP="00711401">
      <w:pPr>
        <w:ind w:left="851"/>
        <w:rPr>
          <w:sz w:val="24"/>
          <w:szCs w:val="24"/>
        </w:rPr>
      </w:pPr>
      <w:proofErr w:type="spellStart"/>
      <w:r>
        <w:rPr>
          <w:sz w:val="24"/>
          <w:szCs w:val="24"/>
        </w:rPr>
        <w:lastRenderedPageBreak/>
        <w:t>Protonpumpehæmmere</w:t>
      </w:r>
      <w:proofErr w:type="spellEnd"/>
      <w:r>
        <w:rPr>
          <w:sz w:val="24"/>
          <w:szCs w:val="24"/>
        </w:rPr>
        <w:t xml:space="preserve"> kan i beskedent omfang øge risikoen for hofte-, håndleds- og rygfrakturer, hovedsageligt hos ældre eller ved tilstedeværelse af andre kendte risikofaktorer, især hvis de bruges i høje doser og over lange behandlingsperioder (&gt;1 år). Observationsstudier tyder på, at </w:t>
      </w:r>
      <w:proofErr w:type="spellStart"/>
      <w:r>
        <w:rPr>
          <w:sz w:val="24"/>
          <w:szCs w:val="24"/>
        </w:rPr>
        <w:t>protonpumpehæmmere</w:t>
      </w:r>
      <w:proofErr w:type="spellEnd"/>
      <w:r>
        <w:rPr>
          <w:sz w:val="24"/>
          <w:szCs w:val="24"/>
        </w:rPr>
        <w:t xml:space="preserve"> kan øge den overordnede risiko for fraktur med 10-40 %. Noget af denne øgning kan skyldes andre risikofaktorer. </w:t>
      </w:r>
    </w:p>
    <w:p w14:paraId="6305F64C" w14:textId="76C6AB55" w:rsidR="00711401" w:rsidRDefault="00711401" w:rsidP="00711401">
      <w:pPr>
        <w:ind w:left="851"/>
        <w:rPr>
          <w:sz w:val="24"/>
          <w:szCs w:val="24"/>
        </w:rPr>
      </w:pPr>
      <w:r>
        <w:rPr>
          <w:sz w:val="24"/>
          <w:szCs w:val="24"/>
        </w:rPr>
        <w:t xml:space="preserve">Patienter med risiko for osteoporose bør modtage behandling i henhold til gældende kliniske retningslinjer, og de bør have et tilstrækkeligt indtag af vitamin D og calcium. </w:t>
      </w:r>
    </w:p>
    <w:p w14:paraId="3EA7C108" w14:textId="44A53223" w:rsidR="00711401" w:rsidRDefault="00711401" w:rsidP="00711401">
      <w:pPr>
        <w:ind w:left="851"/>
        <w:rPr>
          <w:sz w:val="24"/>
          <w:szCs w:val="24"/>
        </w:rPr>
      </w:pPr>
    </w:p>
    <w:p w14:paraId="422EB6E7" w14:textId="77777777" w:rsidR="00711401" w:rsidRDefault="00711401" w:rsidP="00711401">
      <w:pPr>
        <w:ind w:left="851"/>
        <w:rPr>
          <w:sz w:val="24"/>
          <w:szCs w:val="24"/>
          <w:u w:val="single"/>
        </w:rPr>
      </w:pPr>
      <w:r>
        <w:rPr>
          <w:sz w:val="24"/>
          <w:szCs w:val="24"/>
          <w:u w:val="single"/>
        </w:rPr>
        <w:t xml:space="preserve">Svære </w:t>
      </w:r>
      <w:proofErr w:type="spellStart"/>
      <w:r>
        <w:rPr>
          <w:sz w:val="24"/>
          <w:szCs w:val="24"/>
          <w:u w:val="single"/>
        </w:rPr>
        <w:t>kutane</w:t>
      </w:r>
      <w:proofErr w:type="spellEnd"/>
      <w:r>
        <w:rPr>
          <w:sz w:val="24"/>
          <w:szCs w:val="24"/>
          <w:u w:val="single"/>
        </w:rPr>
        <w:t xml:space="preserve"> bivirkninger</w:t>
      </w:r>
    </w:p>
    <w:p w14:paraId="152B9430" w14:textId="77777777" w:rsidR="00711401" w:rsidRDefault="00711401" w:rsidP="00711401">
      <w:pPr>
        <w:ind w:left="851"/>
        <w:rPr>
          <w:sz w:val="24"/>
          <w:szCs w:val="24"/>
        </w:rPr>
      </w:pPr>
      <w:r>
        <w:rPr>
          <w:sz w:val="24"/>
          <w:szCs w:val="24"/>
        </w:rPr>
        <w:t xml:space="preserve">Svære </w:t>
      </w:r>
      <w:proofErr w:type="spellStart"/>
      <w:r>
        <w:rPr>
          <w:sz w:val="24"/>
          <w:szCs w:val="24"/>
        </w:rPr>
        <w:t>kutane</w:t>
      </w:r>
      <w:proofErr w:type="spellEnd"/>
      <w:r>
        <w:rPr>
          <w:sz w:val="24"/>
          <w:szCs w:val="24"/>
        </w:rPr>
        <w:t xml:space="preserve"> bivirkninger, herunder Stevens-Johnsons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og lægemiddelfremkaldt udslæt med </w:t>
      </w:r>
      <w:proofErr w:type="spellStart"/>
      <w:r>
        <w:rPr>
          <w:sz w:val="24"/>
          <w:szCs w:val="24"/>
        </w:rPr>
        <w:t>eosinofili</w:t>
      </w:r>
      <w:proofErr w:type="spellEnd"/>
      <w:r>
        <w:rPr>
          <w:sz w:val="24"/>
          <w:szCs w:val="24"/>
        </w:rPr>
        <w:t xml:space="preserve"> og systemiske symptomer (DRESS), som kan være livstruende eller fatale, er blevet rapporteret i forbindelse med brugen af </w:t>
      </w:r>
      <w:proofErr w:type="spellStart"/>
      <w:r>
        <w:rPr>
          <w:sz w:val="24"/>
          <w:szCs w:val="24"/>
        </w:rPr>
        <w:t>PPIer</w:t>
      </w:r>
      <w:proofErr w:type="spellEnd"/>
      <w:r>
        <w:rPr>
          <w:sz w:val="24"/>
          <w:szCs w:val="24"/>
        </w:rPr>
        <w:t xml:space="preserve"> (se pkt. 4.8). Ved ordinering bør patienterne gøres opmærksomme på tegn og symptomer samt monitoreres nøje for hudreaktioner. Hvis der opstår tegn og symptomer på sådanne reaktioner, bør </w:t>
      </w:r>
      <w:proofErr w:type="spellStart"/>
      <w:r>
        <w:rPr>
          <w:sz w:val="24"/>
          <w:szCs w:val="24"/>
        </w:rPr>
        <w:t>lansoprazol</w:t>
      </w:r>
      <w:proofErr w:type="spellEnd"/>
      <w:r>
        <w:rPr>
          <w:sz w:val="24"/>
          <w:szCs w:val="24"/>
        </w:rPr>
        <w:t xml:space="preserve"> straks seponeres.</w:t>
      </w:r>
    </w:p>
    <w:p w14:paraId="6E1AE122" w14:textId="77777777" w:rsidR="0040224B" w:rsidRDefault="0040224B" w:rsidP="0040224B">
      <w:pPr>
        <w:rPr>
          <w:sz w:val="24"/>
          <w:szCs w:val="24"/>
        </w:rPr>
      </w:pPr>
    </w:p>
    <w:p w14:paraId="547124EF" w14:textId="77777777" w:rsidR="00711401" w:rsidRDefault="00711401" w:rsidP="00711401">
      <w:pPr>
        <w:ind w:left="851"/>
        <w:rPr>
          <w:sz w:val="24"/>
          <w:szCs w:val="24"/>
          <w:u w:val="single"/>
          <w:lang w:val="fi-FI"/>
        </w:rPr>
      </w:pPr>
      <w:r>
        <w:rPr>
          <w:sz w:val="24"/>
          <w:szCs w:val="24"/>
          <w:u w:val="single"/>
          <w:lang w:val="fi-FI"/>
        </w:rPr>
        <w:t xml:space="preserve">Subakut kutan lupus erythematosus (SCLE)  </w:t>
      </w:r>
    </w:p>
    <w:p w14:paraId="13A2C9C1" w14:textId="77777777" w:rsidR="00711401" w:rsidRDefault="00711401" w:rsidP="00711401">
      <w:pPr>
        <w:ind w:left="851"/>
        <w:rPr>
          <w:sz w:val="24"/>
          <w:szCs w:val="24"/>
        </w:rPr>
      </w:pPr>
      <w:proofErr w:type="spellStart"/>
      <w:r>
        <w:rPr>
          <w:sz w:val="24"/>
          <w:szCs w:val="24"/>
        </w:rPr>
        <w:t>Protonpumpehæmmere</w:t>
      </w:r>
      <w:proofErr w:type="spellEnd"/>
      <w:r>
        <w:rPr>
          <w:sz w:val="24"/>
          <w:szCs w:val="24"/>
        </w:rPr>
        <w:t xml:space="preserve"> er forbundet med meget sjældne tilfælde af SCLE. Hvis sådanne hudreaktioner optræder, navnlig på hudområder udsat for sol, og er ledsaget af </w:t>
      </w:r>
      <w:proofErr w:type="spellStart"/>
      <w:r>
        <w:rPr>
          <w:sz w:val="24"/>
          <w:szCs w:val="24"/>
        </w:rPr>
        <w:t>artralgi</w:t>
      </w:r>
      <w:proofErr w:type="spellEnd"/>
      <w:r>
        <w:rPr>
          <w:sz w:val="24"/>
          <w:szCs w:val="24"/>
        </w:rPr>
        <w:t xml:space="preserve">, bør patienten straks søge læge, og lægen bør overveje at seponere </w:t>
      </w:r>
      <w:proofErr w:type="spellStart"/>
      <w:r>
        <w:rPr>
          <w:sz w:val="24"/>
          <w:szCs w:val="24"/>
        </w:rPr>
        <w:t>Zolt</w:t>
      </w:r>
      <w:proofErr w:type="spellEnd"/>
      <w:r>
        <w:rPr>
          <w:sz w:val="24"/>
          <w:szCs w:val="24"/>
        </w:rPr>
        <w:t xml:space="preserve">. SCLE efter tidligere behandling med en protonpumpehæmmer kan øge risikoen for SCLE med andre </w:t>
      </w:r>
      <w:proofErr w:type="spellStart"/>
      <w:r>
        <w:rPr>
          <w:sz w:val="24"/>
          <w:szCs w:val="24"/>
        </w:rPr>
        <w:t>protonpumpehæmmere</w:t>
      </w:r>
      <w:proofErr w:type="spellEnd"/>
      <w:r>
        <w:rPr>
          <w:sz w:val="24"/>
          <w:szCs w:val="24"/>
        </w:rPr>
        <w:t xml:space="preserve"> (se pkt. 4.8).</w:t>
      </w:r>
    </w:p>
    <w:p w14:paraId="07139EED" w14:textId="77777777" w:rsidR="000858AD" w:rsidRDefault="000858AD" w:rsidP="000858AD">
      <w:pPr>
        <w:ind w:left="851"/>
        <w:rPr>
          <w:sz w:val="24"/>
          <w:szCs w:val="24"/>
          <w:highlight w:val="yellow"/>
          <w:u w:val="single"/>
        </w:rPr>
      </w:pPr>
    </w:p>
    <w:p w14:paraId="16C49D94" w14:textId="77777777" w:rsidR="000858AD" w:rsidRPr="00483A2A" w:rsidRDefault="000858AD" w:rsidP="000858AD">
      <w:pPr>
        <w:ind w:left="851"/>
        <w:rPr>
          <w:sz w:val="24"/>
          <w:szCs w:val="24"/>
          <w:u w:val="single"/>
        </w:rPr>
      </w:pPr>
      <w:r w:rsidRPr="00483A2A">
        <w:rPr>
          <w:bCs/>
          <w:sz w:val="24"/>
          <w:szCs w:val="24"/>
          <w:u w:val="single"/>
        </w:rPr>
        <w:t xml:space="preserve">Nedsat nyrefunktion </w:t>
      </w:r>
    </w:p>
    <w:p w14:paraId="0FDDE214" w14:textId="77777777" w:rsidR="000858AD" w:rsidRDefault="000858AD" w:rsidP="000858AD">
      <w:pPr>
        <w:ind w:left="851"/>
        <w:rPr>
          <w:bCs/>
          <w:sz w:val="24"/>
          <w:szCs w:val="24"/>
        </w:rPr>
      </w:pPr>
      <w:r w:rsidRPr="00483A2A">
        <w:rPr>
          <w:bCs/>
          <w:sz w:val="24"/>
          <w:szCs w:val="24"/>
        </w:rPr>
        <w:t xml:space="preserve">Akut </w:t>
      </w:r>
      <w:proofErr w:type="spellStart"/>
      <w:r w:rsidRPr="00483A2A">
        <w:rPr>
          <w:bCs/>
          <w:sz w:val="24"/>
          <w:szCs w:val="24"/>
        </w:rPr>
        <w:t>tubulointerstitiel</w:t>
      </w:r>
      <w:proofErr w:type="spellEnd"/>
      <w:r w:rsidRPr="00483A2A">
        <w:rPr>
          <w:bCs/>
          <w:sz w:val="24"/>
          <w:szCs w:val="24"/>
        </w:rPr>
        <w:t xml:space="preserve"> </w:t>
      </w:r>
      <w:proofErr w:type="spellStart"/>
      <w:r w:rsidRPr="00483A2A">
        <w:rPr>
          <w:bCs/>
          <w:sz w:val="24"/>
          <w:szCs w:val="24"/>
        </w:rPr>
        <w:t>nefritis</w:t>
      </w:r>
      <w:proofErr w:type="spellEnd"/>
      <w:r w:rsidRPr="00483A2A">
        <w:rPr>
          <w:bCs/>
          <w:sz w:val="24"/>
          <w:szCs w:val="24"/>
        </w:rPr>
        <w:t xml:space="preserve"> (TIN) er blevet observeret hos patienter, der tager </w:t>
      </w:r>
      <w:proofErr w:type="spellStart"/>
      <w:r>
        <w:rPr>
          <w:bCs/>
          <w:sz w:val="24"/>
          <w:szCs w:val="24"/>
        </w:rPr>
        <w:t>lanzoprazol</w:t>
      </w:r>
      <w:proofErr w:type="spellEnd"/>
      <w:r w:rsidRPr="00483A2A">
        <w:rPr>
          <w:bCs/>
          <w:sz w:val="24"/>
          <w:szCs w:val="24"/>
        </w:rPr>
        <w:t xml:space="preserve">, og kan optræde på et hvilket som helst tidspunkt under behandlingen med </w:t>
      </w:r>
      <w:proofErr w:type="spellStart"/>
      <w:r>
        <w:rPr>
          <w:bCs/>
          <w:sz w:val="24"/>
          <w:szCs w:val="24"/>
        </w:rPr>
        <w:t>lanzoprazol</w:t>
      </w:r>
      <w:proofErr w:type="spellEnd"/>
      <w:r w:rsidRPr="00483A2A">
        <w:rPr>
          <w:bCs/>
          <w:sz w:val="24"/>
          <w:szCs w:val="24"/>
        </w:rPr>
        <w:t xml:space="preserve"> (se pkt. 4.8). Akut </w:t>
      </w:r>
      <w:proofErr w:type="spellStart"/>
      <w:r w:rsidRPr="00483A2A">
        <w:rPr>
          <w:bCs/>
          <w:sz w:val="24"/>
          <w:szCs w:val="24"/>
        </w:rPr>
        <w:t>tubulointerstitiel</w:t>
      </w:r>
      <w:proofErr w:type="spellEnd"/>
      <w:r w:rsidRPr="00483A2A">
        <w:rPr>
          <w:bCs/>
          <w:sz w:val="24"/>
          <w:szCs w:val="24"/>
        </w:rPr>
        <w:t xml:space="preserve"> </w:t>
      </w:r>
      <w:proofErr w:type="spellStart"/>
      <w:r w:rsidRPr="00483A2A">
        <w:rPr>
          <w:bCs/>
          <w:sz w:val="24"/>
          <w:szCs w:val="24"/>
        </w:rPr>
        <w:t>nefritis</w:t>
      </w:r>
      <w:proofErr w:type="spellEnd"/>
      <w:r w:rsidRPr="00483A2A">
        <w:rPr>
          <w:bCs/>
          <w:sz w:val="24"/>
          <w:szCs w:val="24"/>
        </w:rPr>
        <w:t xml:space="preserve"> kan udvikle sig til nyresvigt.</w:t>
      </w:r>
    </w:p>
    <w:p w14:paraId="4E36CC4B" w14:textId="77777777" w:rsidR="000858AD" w:rsidRPr="00483A2A" w:rsidRDefault="000858AD" w:rsidP="000858AD">
      <w:pPr>
        <w:ind w:left="851"/>
        <w:rPr>
          <w:sz w:val="24"/>
          <w:szCs w:val="24"/>
        </w:rPr>
      </w:pPr>
    </w:p>
    <w:p w14:paraId="27482779" w14:textId="77777777" w:rsidR="000858AD" w:rsidRPr="00483A2A" w:rsidRDefault="000858AD" w:rsidP="000858AD">
      <w:pPr>
        <w:ind w:left="851"/>
        <w:rPr>
          <w:sz w:val="24"/>
          <w:szCs w:val="24"/>
          <w:u w:val="single"/>
        </w:rPr>
      </w:pPr>
      <w:proofErr w:type="spellStart"/>
      <w:r w:rsidRPr="00483A2A">
        <w:rPr>
          <w:bCs/>
          <w:sz w:val="24"/>
          <w:szCs w:val="24"/>
        </w:rPr>
        <w:t>Lanzoprazol</w:t>
      </w:r>
      <w:proofErr w:type="spellEnd"/>
      <w:r w:rsidRPr="00483A2A">
        <w:rPr>
          <w:bCs/>
          <w:sz w:val="24"/>
          <w:szCs w:val="24"/>
        </w:rPr>
        <w:t xml:space="preserve"> bør seponeres i tilfælde af mistanke om TIN, og passende behandling bør straks iværksættes.</w:t>
      </w:r>
    </w:p>
    <w:p w14:paraId="161F18B6" w14:textId="77777777" w:rsidR="005416F8" w:rsidRDefault="005416F8" w:rsidP="0040224B">
      <w:pPr>
        <w:ind w:left="851"/>
        <w:rPr>
          <w:sz w:val="24"/>
          <w:szCs w:val="24"/>
          <w:highlight w:val="yellow"/>
          <w:u w:val="single"/>
        </w:rPr>
      </w:pPr>
    </w:p>
    <w:p w14:paraId="4203CA18" w14:textId="77777777" w:rsidR="0040224B" w:rsidRPr="004D73FC" w:rsidRDefault="0040224B" w:rsidP="0040224B">
      <w:pPr>
        <w:ind w:left="851"/>
        <w:rPr>
          <w:sz w:val="24"/>
          <w:szCs w:val="24"/>
          <w:u w:val="single"/>
        </w:rPr>
      </w:pPr>
      <w:r w:rsidRPr="004D73FC">
        <w:rPr>
          <w:sz w:val="24"/>
          <w:szCs w:val="24"/>
          <w:u w:val="single"/>
        </w:rPr>
        <w:t>Hjælpestoffer</w:t>
      </w:r>
    </w:p>
    <w:p w14:paraId="266CDB9A" w14:textId="44611752" w:rsidR="0040224B" w:rsidRPr="00B24863" w:rsidRDefault="0040224B" w:rsidP="0040224B">
      <w:pPr>
        <w:ind w:left="851"/>
        <w:rPr>
          <w:sz w:val="24"/>
          <w:szCs w:val="24"/>
        </w:rPr>
      </w:pPr>
      <w:r w:rsidRPr="0095458F">
        <w:rPr>
          <w:sz w:val="24"/>
          <w:szCs w:val="24"/>
        </w:rPr>
        <w:t xml:space="preserve">Dette lægemiddel indeholder </w:t>
      </w:r>
      <w:proofErr w:type="spellStart"/>
      <w:r w:rsidRPr="0095458F">
        <w:rPr>
          <w:sz w:val="24"/>
          <w:szCs w:val="24"/>
        </w:rPr>
        <w:t>saccharose</w:t>
      </w:r>
      <w:proofErr w:type="spellEnd"/>
      <w:r w:rsidRPr="0095458F">
        <w:rPr>
          <w:sz w:val="24"/>
          <w:szCs w:val="24"/>
        </w:rPr>
        <w:t xml:space="preserve">. </w:t>
      </w:r>
      <w:r w:rsidR="00A671C6">
        <w:rPr>
          <w:sz w:val="24"/>
          <w:szCs w:val="24"/>
        </w:rPr>
        <w:t>B</w:t>
      </w:r>
      <w:r w:rsidRPr="00B24863">
        <w:rPr>
          <w:sz w:val="24"/>
          <w:szCs w:val="24"/>
        </w:rPr>
        <w:t xml:space="preserve">ør ikke anvendes til patienter med </w:t>
      </w:r>
      <w:r w:rsidRPr="004D73FC">
        <w:rPr>
          <w:sz w:val="24"/>
          <w:szCs w:val="24"/>
        </w:rPr>
        <w:t>hereditær</w:t>
      </w:r>
      <w:r w:rsidRPr="00B24863">
        <w:rPr>
          <w:sz w:val="24"/>
          <w:szCs w:val="24"/>
        </w:rPr>
        <w:t xml:space="preserve"> </w:t>
      </w:r>
      <w:proofErr w:type="spellStart"/>
      <w:r w:rsidRPr="00B24863">
        <w:rPr>
          <w:sz w:val="24"/>
          <w:szCs w:val="24"/>
        </w:rPr>
        <w:t>fructoseintolerans</w:t>
      </w:r>
      <w:proofErr w:type="spellEnd"/>
      <w:r w:rsidRPr="00B24863">
        <w:rPr>
          <w:sz w:val="24"/>
          <w:szCs w:val="24"/>
        </w:rPr>
        <w:t xml:space="preserve">, </w:t>
      </w:r>
      <w:proofErr w:type="spellStart"/>
      <w:r w:rsidRPr="00B24863">
        <w:rPr>
          <w:sz w:val="24"/>
          <w:szCs w:val="24"/>
        </w:rPr>
        <w:t>glucose</w:t>
      </w:r>
      <w:proofErr w:type="spellEnd"/>
      <w:r w:rsidRPr="00B24863">
        <w:rPr>
          <w:sz w:val="24"/>
          <w:szCs w:val="24"/>
        </w:rPr>
        <w:t>/</w:t>
      </w:r>
      <w:proofErr w:type="spellStart"/>
      <w:r w:rsidRPr="00B24863">
        <w:rPr>
          <w:sz w:val="24"/>
          <w:szCs w:val="24"/>
        </w:rPr>
        <w:t>galactose-malabsorption</w:t>
      </w:r>
      <w:proofErr w:type="spellEnd"/>
      <w:r w:rsidRPr="00B24863">
        <w:rPr>
          <w:sz w:val="24"/>
          <w:szCs w:val="24"/>
        </w:rPr>
        <w:t xml:space="preserve"> og </w:t>
      </w:r>
      <w:proofErr w:type="spellStart"/>
      <w:r w:rsidRPr="00B24863">
        <w:rPr>
          <w:sz w:val="24"/>
          <w:szCs w:val="24"/>
        </w:rPr>
        <w:t>sucrase</w:t>
      </w:r>
      <w:proofErr w:type="spellEnd"/>
      <w:r w:rsidRPr="00B24863">
        <w:rPr>
          <w:sz w:val="24"/>
          <w:szCs w:val="24"/>
        </w:rPr>
        <w:t>-</w:t>
      </w:r>
      <w:proofErr w:type="spellStart"/>
      <w:r w:rsidRPr="00B24863">
        <w:rPr>
          <w:sz w:val="24"/>
          <w:szCs w:val="24"/>
        </w:rPr>
        <w:t>isomaltase</w:t>
      </w:r>
      <w:proofErr w:type="spellEnd"/>
      <w:r w:rsidRPr="00B24863">
        <w:rPr>
          <w:sz w:val="24"/>
          <w:szCs w:val="24"/>
        </w:rPr>
        <w:t>-mangel.</w:t>
      </w:r>
    </w:p>
    <w:p w14:paraId="39317777" w14:textId="77777777" w:rsidR="0040224B" w:rsidRPr="00B24863" w:rsidRDefault="0040224B" w:rsidP="0040224B">
      <w:pPr>
        <w:ind w:left="851"/>
        <w:rPr>
          <w:sz w:val="24"/>
          <w:szCs w:val="24"/>
        </w:rPr>
      </w:pPr>
    </w:p>
    <w:p w14:paraId="39C0E5E0" w14:textId="77777777" w:rsidR="0040224B" w:rsidRDefault="0040224B" w:rsidP="0040224B">
      <w:pPr>
        <w:ind w:left="851"/>
        <w:rPr>
          <w:sz w:val="24"/>
          <w:szCs w:val="24"/>
        </w:rPr>
      </w:pPr>
      <w:r w:rsidRPr="004D73FC">
        <w:rPr>
          <w:sz w:val="24"/>
          <w:szCs w:val="24"/>
        </w:rPr>
        <w:t>Dette lægemiddel indeholder mindre end 1 mmol (23 mg) natrium pr. kapsel, dvs. det er i det væsentlige natriumfrit.</w:t>
      </w:r>
    </w:p>
    <w:p w14:paraId="383F8D74" w14:textId="77777777" w:rsidR="004D4CB4" w:rsidRPr="00386BA3" w:rsidRDefault="004D4CB4" w:rsidP="0040224B">
      <w:pPr>
        <w:ind w:left="851" w:hanging="851"/>
        <w:rPr>
          <w:sz w:val="24"/>
          <w:szCs w:val="24"/>
        </w:rPr>
      </w:pPr>
    </w:p>
    <w:p w14:paraId="79227520" w14:textId="77777777" w:rsidR="004D4CB4" w:rsidRPr="00386BA3" w:rsidRDefault="004D4CB4" w:rsidP="004D4CB4">
      <w:pPr>
        <w:ind w:left="851" w:hanging="851"/>
        <w:rPr>
          <w:b/>
          <w:sz w:val="24"/>
          <w:szCs w:val="24"/>
        </w:rPr>
      </w:pPr>
      <w:r w:rsidRPr="00386BA3">
        <w:rPr>
          <w:b/>
          <w:sz w:val="24"/>
          <w:szCs w:val="24"/>
        </w:rPr>
        <w:t>4.5</w:t>
      </w:r>
      <w:r w:rsidRPr="00386BA3">
        <w:rPr>
          <w:b/>
          <w:sz w:val="24"/>
          <w:szCs w:val="24"/>
        </w:rPr>
        <w:tab/>
        <w:t>Interaktion med andre lægemidler og andre former for interaktion</w:t>
      </w:r>
    </w:p>
    <w:p w14:paraId="39F45299" w14:textId="77777777" w:rsidR="004D4CB4" w:rsidRDefault="004D4CB4" w:rsidP="004D4CB4">
      <w:pPr>
        <w:ind w:left="851" w:hanging="851"/>
        <w:rPr>
          <w:sz w:val="24"/>
          <w:szCs w:val="24"/>
        </w:rPr>
      </w:pPr>
    </w:p>
    <w:p w14:paraId="6D1188BA" w14:textId="77777777" w:rsidR="0040224B" w:rsidRDefault="004D4CB4" w:rsidP="0040224B">
      <w:pPr>
        <w:ind w:left="851" w:hanging="851"/>
        <w:rPr>
          <w:b/>
          <w:bCs/>
          <w:sz w:val="24"/>
          <w:szCs w:val="24"/>
          <w:u w:val="single"/>
        </w:rPr>
      </w:pPr>
      <w:r>
        <w:rPr>
          <w:sz w:val="24"/>
          <w:szCs w:val="24"/>
        </w:rPr>
        <w:tab/>
      </w:r>
      <w:proofErr w:type="spellStart"/>
      <w:r w:rsidR="0040224B">
        <w:rPr>
          <w:b/>
          <w:bCs/>
          <w:sz w:val="24"/>
          <w:szCs w:val="24"/>
          <w:u w:val="single"/>
        </w:rPr>
        <w:t>Lansoprazols</w:t>
      </w:r>
      <w:proofErr w:type="spellEnd"/>
      <w:r w:rsidR="0040224B">
        <w:rPr>
          <w:b/>
          <w:bCs/>
          <w:sz w:val="24"/>
          <w:szCs w:val="24"/>
          <w:u w:val="single"/>
        </w:rPr>
        <w:t xml:space="preserve"> effekt på andre lægemidler</w:t>
      </w:r>
    </w:p>
    <w:p w14:paraId="54B73CE8" w14:textId="77777777" w:rsidR="0040224B" w:rsidRDefault="0040224B" w:rsidP="0040224B">
      <w:pPr>
        <w:ind w:left="851" w:hanging="851"/>
        <w:rPr>
          <w:b/>
          <w:bCs/>
          <w:sz w:val="24"/>
          <w:szCs w:val="24"/>
          <w:u w:val="single"/>
        </w:rPr>
      </w:pPr>
    </w:p>
    <w:p w14:paraId="14A87B82" w14:textId="77777777" w:rsidR="0040224B" w:rsidRDefault="0040224B" w:rsidP="0040224B">
      <w:pPr>
        <w:ind w:left="851"/>
        <w:rPr>
          <w:b/>
          <w:bCs/>
          <w:sz w:val="24"/>
          <w:szCs w:val="24"/>
        </w:rPr>
      </w:pPr>
      <w:r>
        <w:rPr>
          <w:b/>
          <w:bCs/>
          <w:sz w:val="24"/>
          <w:szCs w:val="24"/>
        </w:rPr>
        <w:t>Lægemidler med pH-afhængig absorption</w:t>
      </w:r>
    </w:p>
    <w:p w14:paraId="1E96DAEF" w14:textId="77777777" w:rsidR="0040224B" w:rsidRPr="00ED147E" w:rsidRDefault="0040224B" w:rsidP="0040224B">
      <w:pPr>
        <w:ind w:left="851"/>
        <w:rPr>
          <w:sz w:val="24"/>
          <w:szCs w:val="24"/>
        </w:rPr>
      </w:pPr>
      <w:proofErr w:type="spellStart"/>
      <w:r>
        <w:rPr>
          <w:sz w:val="24"/>
          <w:szCs w:val="24"/>
        </w:rPr>
        <w:t>Lansoprazol</w:t>
      </w:r>
      <w:proofErr w:type="spellEnd"/>
      <w:r>
        <w:rPr>
          <w:sz w:val="24"/>
          <w:szCs w:val="24"/>
        </w:rPr>
        <w:t xml:space="preserve"> kan påvirke absorptionen af andre </w:t>
      </w:r>
      <w:r w:rsidRPr="00ED147E">
        <w:rPr>
          <w:sz w:val="24"/>
          <w:szCs w:val="24"/>
        </w:rPr>
        <w:t>lægemidler, for hvilke gastrisk surhed (pH) har en afgørende indflydelse for oral biotilgængelighed.</w:t>
      </w:r>
    </w:p>
    <w:p w14:paraId="1C59B8DA" w14:textId="77777777" w:rsidR="0040224B" w:rsidRPr="00ED147E" w:rsidRDefault="0040224B" w:rsidP="0040224B">
      <w:pPr>
        <w:ind w:left="851" w:hanging="851"/>
        <w:rPr>
          <w:sz w:val="24"/>
          <w:szCs w:val="24"/>
        </w:rPr>
      </w:pPr>
    </w:p>
    <w:p w14:paraId="23303FF9" w14:textId="77777777" w:rsidR="00711401" w:rsidRDefault="00711401" w:rsidP="00711401">
      <w:pPr>
        <w:ind w:left="851"/>
        <w:rPr>
          <w:sz w:val="24"/>
          <w:szCs w:val="24"/>
          <w:u w:val="single"/>
        </w:rPr>
      </w:pPr>
      <w:r>
        <w:rPr>
          <w:sz w:val="24"/>
          <w:szCs w:val="24"/>
          <w:u w:val="single"/>
        </w:rPr>
        <w:t>HIV-</w:t>
      </w:r>
      <w:proofErr w:type="spellStart"/>
      <w:r>
        <w:rPr>
          <w:sz w:val="24"/>
          <w:szCs w:val="24"/>
          <w:u w:val="single"/>
        </w:rPr>
        <w:t>proteasehæmmere</w:t>
      </w:r>
      <w:proofErr w:type="spellEnd"/>
    </w:p>
    <w:p w14:paraId="0D12F76C" w14:textId="77777777" w:rsidR="00711401" w:rsidRDefault="00711401" w:rsidP="00711401">
      <w:pPr>
        <w:ind w:left="851"/>
        <w:rPr>
          <w:sz w:val="24"/>
          <w:szCs w:val="24"/>
        </w:rPr>
      </w:pPr>
      <w:r>
        <w:rPr>
          <w:sz w:val="24"/>
          <w:szCs w:val="24"/>
        </w:rPr>
        <w:t xml:space="preserve">Samtidig administration af </w:t>
      </w:r>
      <w:proofErr w:type="spellStart"/>
      <w:r>
        <w:rPr>
          <w:sz w:val="24"/>
          <w:szCs w:val="24"/>
        </w:rPr>
        <w:t>lansoprazol</w:t>
      </w:r>
      <w:proofErr w:type="spellEnd"/>
      <w:r>
        <w:rPr>
          <w:sz w:val="24"/>
          <w:szCs w:val="24"/>
        </w:rPr>
        <w:t xml:space="preserve"> og HIV-</w:t>
      </w:r>
      <w:proofErr w:type="spellStart"/>
      <w:r>
        <w:rPr>
          <w:sz w:val="24"/>
          <w:szCs w:val="24"/>
        </w:rPr>
        <w:t>proteasehæmmere</w:t>
      </w:r>
      <w:proofErr w:type="spellEnd"/>
      <w:r>
        <w:rPr>
          <w:sz w:val="24"/>
          <w:szCs w:val="24"/>
        </w:rPr>
        <w:t xml:space="preserve">, for hvilke absorptionen er afhængig af sur </w:t>
      </w:r>
      <w:proofErr w:type="spellStart"/>
      <w:r>
        <w:rPr>
          <w:sz w:val="24"/>
          <w:szCs w:val="24"/>
        </w:rPr>
        <w:t>intergastrisk</w:t>
      </w:r>
      <w:proofErr w:type="spellEnd"/>
      <w:r>
        <w:rPr>
          <w:sz w:val="24"/>
          <w:szCs w:val="24"/>
        </w:rPr>
        <w:t xml:space="preserve"> pH, såsom </w:t>
      </w:r>
      <w:proofErr w:type="spellStart"/>
      <w:r>
        <w:rPr>
          <w:sz w:val="24"/>
          <w:szCs w:val="24"/>
        </w:rPr>
        <w:t>atazanavir</w:t>
      </w:r>
      <w:proofErr w:type="spellEnd"/>
      <w:r>
        <w:rPr>
          <w:sz w:val="24"/>
          <w:szCs w:val="24"/>
        </w:rPr>
        <w:t xml:space="preserve"> og </w:t>
      </w:r>
      <w:proofErr w:type="spellStart"/>
      <w:r>
        <w:rPr>
          <w:sz w:val="24"/>
          <w:szCs w:val="24"/>
        </w:rPr>
        <w:t>nelfinavir</w:t>
      </w:r>
      <w:proofErr w:type="spellEnd"/>
      <w:r>
        <w:rPr>
          <w:sz w:val="24"/>
          <w:szCs w:val="24"/>
        </w:rPr>
        <w:t>, frarådes grundet en signifikant reduktion i deres biotilgængelighed (se pkt. 4.4).</w:t>
      </w:r>
    </w:p>
    <w:p w14:paraId="47F399FF" w14:textId="77777777" w:rsidR="0040224B" w:rsidRDefault="0040224B" w:rsidP="0040224B">
      <w:pPr>
        <w:rPr>
          <w:sz w:val="24"/>
          <w:szCs w:val="24"/>
        </w:rPr>
      </w:pPr>
    </w:p>
    <w:p w14:paraId="6767B941" w14:textId="77777777" w:rsidR="0040224B" w:rsidRPr="00737F26" w:rsidRDefault="0040224B" w:rsidP="0040224B">
      <w:pPr>
        <w:ind w:left="851"/>
        <w:rPr>
          <w:sz w:val="24"/>
          <w:szCs w:val="24"/>
        </w:rPr>
      </w:pPr>
      <w:r w:rsidRPr="00737F26">
        <w:rPr>
          <w:sz w:val="24"/>
          <w:szCs w:val="24"/>
        </w:rPr>
        <w:t xml:space="preserve">Et studie har vist, at samtidig administration af </w:t>
      </w:r>
      <w:proofErr w:type="spellStart"/>
      <w:r w:rsidRPr="00737F26">
        <w:rPr>
          <w:sz w:val="24"/>
          <w:szCs w:val="24"/>
        </w:rPr>
        <w:t>lansoprazol</w:t>
      </w:r>
      <w:proofErr w:type="spellEnd"/>
      <w:r w:rsidRPr="00737F26">
        <w:rPr>
          <w:sz w:val="24"/>
          <w:szCs w:val="24"/>
        </w:rPr>
        <w:t xml:space="preserve"> (60</w:t>
      </w:r>
      <w:r>
        <w:rPr>
          <w:sz w:val="24"/>
          <w:szCs w:val="24"/>
        </w:rPr>
        <w:t> </w:t>
      </w:r>
      <w:r w:rsidRPr="00737F26">
        <w:rPr>
          <w:sz w:val="24"/>
          <w:szCs w:val="24"/>
        </w:rPr>
        <w:t xml:space="preserve">mg én gang dagligt) og </w:t>
      </w:r>
      <w:proofErr w:type="spellStart"/>
      <w:r w:rsidRPr="00737F26">
        <w:rPr>
          <w:sz w:val="24"/>
          <w:szCs w:val="24"/>
        </w:rPr>
        <w:t>atazanavir</w:t>
      </w:r>
      <w:proofErr w:type="spellEnd"/>
      <w:r w:rsidRPr="00737F26">
        <w:rPr>
          <w:sz w:val="24"/>
          <w:szCs w:val="24"/>
        </w:rPr>
        <w:t xml:space="preserve"> 400</w:t>
      </w:r>
      <w:r>
        <w:rPr>
          <w:sz w:val="24"/>
          <w:szCs w:val="24"/>
        </w:rPr>
        <w:t> </w:t>
      </w:r>
      <w:r w:rsidRPr="00737F26">
        <w:rPr>
          <w:sz w:val="24"/>
          <w:szCs w:val="24"/>
        </w:rPr>
        <w:t xml:space="preserve">mg til raske frivillige medførte en væsentlig reduktion af </w:t>
      </w:r>
      <w:proofErr w:type="spellStart"/>
      <w:r w:rsidRPr="00737F26">
        <w:rPr>
          <w:sz w:val="24"/>
          <w:szCs w:val="24"/>
        </w:rPr>
        <w:t>atazanavireksponeringen</w:t>
      </w:r>
      <w:proofErr w:type="spellEnd"/>
      <w:r w:rsidRPr="00737F26">
        <w:rPr>
          <w:sz w:val="24"/>
          <w:szCs w:val="24"/>
        </w:rPr>
        <w:t xml:space="preserve"> (en reduktion af AUC og </w:t>
      </w:r>
      <w:proofErr w:type="spellStart"/>
      <w:r w:rsidRPr="00737F26">
        <w:rPr>
          <w:sz w:val="24"/>
          <w:szCs w:val="24"/>
        </w:rPr>
        <w:t>C</w:t>
      </w:r>
      <w:r w:rsidRPr="00737F26">
        <w:rPr>
          <w:sz w:val="24"/>
          <w:szCs w:val="24"/>
          <w:vertAlign w:val="subscript"/>
        </w:rPr>
        <w:t>max</w:t>
      </w:r>
      <w:proofErr w:type="spellEnd"/>
      <w:r w:rsidRPr="00737F26">
        <w:rPr>
          <w:sz w:val="24"/>
          <w:szCs w:val="24"/>
        </w:rPr>
        <w:t xml:space="preserve"> på cirka 90</w:t>
      </w:r>
      <w:r>
        <w:rPr>
          <w:sz w:val="24"/>
          <w:szCs w:val="24"/>
        </w:rPr>
        <w:t> </w:t>
      </w:r>
      <w:r w:rsidRPr="00737F26">
        <w:rPr>
          <w:sz w:val="24"/>
          <w:szCs w:val="24"/>
        </w:rPr>
        <w:t xml:space="preserve">%). </w:t>
      </w:r>
    </w:p>
    <w:p w14:paraId="113AE8DA" w14:textId="77777777" w:rsidR="0040224B" w:rsidRPr="00737F26" w:rsidRDefault="0040224B" w:rsidP="0040224B">
      <w:pPr>
        <w:rPr>
          <w:sz w:val="24"/>
          <w:szCs w:val="24"/>
        </w:rPr>
      </w:pPr>
    </w:p>
    <w:p w14:paraId="1C03BECD" w14:textId="77777777" w:rsidR="0040224B" w:rsidRDefault="0040224B" w:rsidP="0040224B">
      <w:pPr>
        <w:ind w:left="851"/>
        <w:rPr>
          <w:sz w:val="24"/>
          <w:szCs w:val="24"/>
          <w:u w:val="single"/>
        </w:rPr>
      </w:pPr>
      <w:proofErr w:type="spellStart"/>
      <w:r>
        <w:rPr>
          <w:sz w:val="24"/>
          <w:szCs w:val="24"/>
          <w:u w:val="single"/>
        </w:rPr>
        <w:t>Ketoconazol</w:t>
      </w:r>
      <w:proofErr w:type="spellEnd"/>
      <w:r>
        <w:rPr>
          <w:sz w:val="24"/>
          <w:szCs w:val="24"/>
          <w:u w:val="single"/>
        </w:rPr>
        <w:t xml:space="preserve"> og </w:t>
      </w:r>
      <w:proofErr w:type="spellStart"/>
      <w:r>
        <w:rPr>
          <w:sz w:val="24"/>
          <w:szCs w:val="24"/>
          <w:u w:val="single"/>
        </w:rPr>
        <w:t>itraconazol</w:t>
      </w:r>
      <w:proofErr w:type="spellEnd"/>
    </w:p>
    <w:p w14:paraId="56BB7C83" w14:textId="77777777" w:rsidR="0040224B" w:rsidRDefault="0040224B" w:rsidP="0040224B">
      <w:pPr>
        <w:pStyle w:val="Corpsdetexte"/>
        <w:spacing w:before="0" w:line="240" w:lineRule="auto"/>
        <w:ind w:left="851"/>
        <w:rPr>
          <w:rFonts w:ascii="Times New Roman" w:hAnsi="Times New Roman" w:cs="Times New Roman"/>
          <w:strike/>
          <w:sz w:val="24"/>
          <w:szCs w:val="24"/>
          <w:lang w:val="da-DK"/>
        </w:rPr>
      </w:pPr>
      <w:r>
        <w:rPr>
          <w:rFonts w:ascii="Times New Roman" w:hAnsi="Times New Roman" w:cs="Times New Roman"/>
          <w:sz w:val="24"/>
          <w:szCs w:val="24"/>
          <w:lang w:val="da-DK"/>
        </w:rPr>
        <w:t xml:space="preserve">Absorptionen af </w:t>
      </w:r>
      <w:proofErr w:type="spellStart"/>
      <w:r>
        <w:rPr>
          <w:rFonts w:ascii="Times New Roman" w:hAnsi="Times New Roman" w:cs="Times New Roman"/>
          <w:sz w:val="24"/>
          <w:szCs w:val="24"/>
          <w:lang w:val="da-DK"/>
        </w:rPr>
        <w:t>ketoconazol</w:t>
      </w:r>
      <w:proofErr w:type="spellEnd"/>
      <w:r>
        <w:rPr>
          <w:rFonts w:ascii="Times New Roman" w:hAnsi="Times New Roman" w:cs="Times New Roman"/>
          <w:sz w:val="24"/>
          <w:szCs w:val="24"/>
          <w:lang w:val="da-DK"/>
        </w:rPr>
        <w:t xml:space="preserve"> og </w:t>
      </w:r>
      <w:proofErr w:type="spellStart"/>
      <w:r>
        <w:rPr>
          <w:rFonts w:ascii="Times New Roman" w:hAnsi="Times New Roman" w:cs="Times New Roman"/>
          <w:sz w:val="24"/>
          <w:szCs w:val="24"/>
          <w:lang w:val="da-DK"/>
        </w:rPr>
        <w:t>itraconazol</w:t>
      </w:r>
      <w:proofErr w:type="spellEnd"/>
      <w:r>
        <w:rPr>
          <w:rFonts w:ascii="Times New Roman" w:hAnsi="Times New Roman" w:cs="Times New Roman"/>
          <w:sz w:val="24"/>
          <w:szCs w:val="24"/>
          <w:lang w:val="da-DK"/>
        </w:rPr>
        <w:t xml:space="preserve"> fra </w:t>
      </w:r>
      <w:proofErr w:type="spellStart"/>
      <w:r>
        <w:rPr>
          <w:rFonts w:ascii="Times New Roman" w:hAnsi="Times New Roman" w:cs="Times New Roman"/>
          <w:sz w:val="24"/>
          <w:szCs w:val="24"/>
          <w:lang w:val="da-DK"/>
        </w:rPr>
        <w:t>gastrointestinalkanalen</w:t>
      </w:r>
      <w:proofErr w:type="spellEnd"/>
      <w:r>
        <w:rPr>
          <w:rFonts w:ascii="Times New Roman" w:hAnsi="Times New Roman" w:cs="Times New Roman"/>
          <w:sz w:val="24"/>
          <w:szCs w:val="24"/>
          <w:lang w:val="da-DK"/>
        </w:rPr>
        <w:t xml:space="preserve"> forstærkes af tilstedeværelsen af mavesyre. Administration af </w:t>
      </w:r>
      <w:proofErr w:type="spellStart"/>
      <w:r>
        <w:rPr>
          <w:rFonts w:ascii="Times New Roman" w:hAnsi="Times New Roman" w:cs="Times New Roman"/>
          <w:sz w:val="24"/>
          <w:szCs w:val="24"/>
          <w:lang w:val="da-DK"/>
        </w:rPr>
        <w:t>lansoprazol</w:t>
      </w:r>
      <w:proofErr w:type="spellEnd"/>
      <w:r>
        <w:rPr>
          <w:rFonts w:ascii="Times New Roman" w:hAnsi="Times New Roman" w:cs="Times New Roman"/>
          <w:sz w:val="24"/>
          <w:szCs w:val="24"/>
          <w:lang w:val="da-DK"/>
        </w:rPr>
        <w:t xml:space="preserve"> kan resultere i subterapeutiske koncentrationer af </w:t>
      </w:r>
      <w:proofErr w:type="spellStart"/>
      <w:r>
        <w:rPr>
          <w:rFonts w:ascii="Times New Roman" w:hAnsi="Times New Roman" w:cs="Times New Roman"/>
          <w:sz w:val="24"/>
          <w:szCs w:val="24"/>
          <w:lang w:val="da-DK"/>
        </w:rPr>
        <w:t>ketoconazol</w:t>
      </w:r>
      <w:proofErr w:type="spellEnd"/>
      <w:r>
        <w:rPr>
          <w:rFonts w:ascii="Times New Roman" w:hAnsi="Times New Roman" w:cs="Times New Roman"/>
          <w:sz w:val="24"/>
          <w:szCs w:val="24"/>
          <w:lang w:val="da-DK"/>
        </w:rPr>
        <w:t xml:space="preserve"> og </w:t>
      </w:r>
      <w:proofErr w:type="spellStart"/>
      <w:r>
        <w:rPr>
          <w:rFonts w:ascii="Times New Roman" w:hAnsi="Times New Roman" w:cs="Times New Roman"/>
          <w:sz w:val="24"/>
          <w:szCs w:val="24"/>
          <w:lang w:val="da-DK"/>
        </w:rPr>
        <w:t>itraconazol</w:t>
      </w:r>
      <w:proofErr w:type="spellEnd"/>
      <w:r>
        <w:rPr>
          <w:rFonts w:ascii="Times New Roman" w:hAnsi="Times New Roman" w:cs="Times New Roman"/>
          <w:sz w:val="24"/>
          <w:szCs w:val="24"/>
          <w:lang w:val="da-DK"/>
        </w:rPr>
        <w:t xml:space="preserve">, og kombinationen skal undgås. </w:t>
      </w:r>
    </w:p>
    <w:p w14:paraId="71A496B6" w14:textId="77777777" w:rsidR="0040224B" w:rsidRDefault="0040224B" w:rsidP="0040224B">
      <w:pPr>
        <w:ind w:left="851" w:hanging="851"/>
        <w:rPr>
          <w:sz w:val="24"/>
          <w:szCs w:val="24"/>
        </w:rPr>
      </w:pPr>
    </w:p>
    <w:p w14:paraId="5236BE40" w14:textId="77777777" w:rsidR="0040224B" w:rsidRDefault="0040224B" w:rsidP="0040224B">
      <w:pPr>
        <w:ind w:left="851"/>
        <w:rPr>
          <w:b/>
          <w:bCs/>
          <w:sz w:val="24"/>
          <w:szCs w:val="24"/>
          <w:u w:val="single"/>
        </w:rPr>
      </w:pPr>
      <w:proofErr w:type="spellStart"/>
      <w:r>
        <w:rPr>
          <w:sz w:val="24"/>
          <w:szCs w:val="24"/>
          <w:u w:val="single"/>
        </w:rPr>
        <w:t>Digoxin</w:t>
      </w:r>
      <w:proofErr w:type="spellEnd"/>
    </w:p>
    <w:p w14:paraId="192D7A17" w14:textId="77777777" w:rsidR="0040224B" w:rsidRDefault="0040224B" w:rsidP="0040224B">
      <w:pPr>
        <w:ind w:left="851"/>
        <w:rPr>
          <w:sz w:val="24"/>
          <w:szCs w:val="24"/>
        </w:rPr>
      </w:pPr>
      <w:r>
        <w:rPr>
          <w:sz w:val="24"/>
          <w:szCs w:val="24"/>
        </w:rPr>
        <w:t xml:space="preserve">Samtidig administration af </w:t>
      </w:r>
      <w:proofErr w:type="spellStart"/>
      <w:r>
        <w:rPr>
          <w:sz w:val="24"/>
          <w:szCs w:val="24"/>
        </w:rPr>
        <w:t>lansoprazol</w:t>
      </w:r>
      <w:proofErr w:type="spellEnd"/>
      <w:r>
        <w:rPr>
          <w:sz w:val="24"/>
          <w:szCs w:val="24"/>
        </w:rPr>
        <w:t xml:space="preserve"> og </w:t>
      </w:r>
      <w:proofErr w:type="spellStart"/>
      <w:r>
        <w:rPr>
          <w:sz w:val="24"/>
          <w:szCs w:val="24"/>
        </w:rPr>
        <w:t>digoxin</w:t>
      </w:r>
      <w:proofErr w:type="spellEnd"/>
      <w:r>
        <w:rPr>
          <w:sz w:val="24"/>
          <w:szCs w:val="24"/>
        </w:rPr>
        <w:t xml:space="preserve"> kan medføre forhøjede plasmakoncentrationer af </w:t>
      </w:r>
      <w:proofErr w:type="spellStart"/>
      <w:r>
        <w:rPr>
          <w:sz w:val="24"/>
          <w:szCs w:val="24"/>
        </w:rPr>
        <w:t>digoxin</w:t>
      </w:r>
      <w:proofErr w:type="spellEnd"/>
      <w:r>
        <w:rPr>
          <w:sz w:val="24"/>
          <w:szCs w:val="24"/>
        </w:rPr>
        <w:t xml:space="preserve">. Plasmakoncentrationerne af </w:t>
      </w:r>
      <w:proofErr w:type="spellStart"/>
      <w:r>
        <w:rPr>
          <w:sz w:val="24"/>
          <w:szCs w:val="24"/>
        </w:rPr>
        <w:t>digoxin</w:t>
      </w:r>
      <w:proofErr w:type="spellEnd"/>
      <w:r>
        <w:rPr>
          <w:sz w:val="24"/>
          <w:szCs w:val="24"/>
        </w:rPr>
        <w:t xml:space="preserve"> skal derfor overvåges og dosis af </w:t>
      </w:r>
      <w:proofErr w:type="spellStart"/>
      <w:r>
        <w:rPr>
          <w:sz w:val="24"/>
          <w:szCs w:val="24"/>
        </w:rPr>
        <w:t>digoxin</w:t>
      </w:r>
      <w:proofErr w:type="spellEnd"/>
      <w:r>
        <w:rPr>
          <w:sz w:val="24"/>
          <w:szCs w:val="24"/>
        </w:rPr>
        <w:t xml:space="preserve"> justeres, hvis det er nødvendigt, når behandling med </w:t>
      </w:r>
      <w:proofErr w:type="spellStart"/>
      <w:r>
        <w:rPr>
          <w:sz w:val="24"/>
          <w:szCs w:val="24"/>
        </w:rPr>
        <w:t>lansoprazol</w:t>
      </w:r>
      <w:proofErr w:type="spellEnd"/>
      <w:r>
        <w:rPr>
          <w:sz w:val="24"/>
          <w:szCs w:val="24"/>
        </w:rPr>
        <w:t xml:space="preserve"> påbegyndes og afsluttes. </w:t>
      </w:r>
    </w:p>
    <w:p w14:paraId="00B179DC" w14:textId="77777777" w:rsidR="0040224B" w:rsidRDefault="0040224B" w:rsidP="0040224B">
      <w:pPr>
        <w:ind w:left="851"/>
        <w:rPr>
          <w:sz w:val="24"/>
          <w:szCs w:val="24"/>
        </w:rPr>
      </w:pPr>
    </w:p>
    <w:p w14:paraId="339C948F" w14:textId="77777777" w:rsidR="0040224B" w:rsidRPr="004D73FC" w:rsidRDefault="0040224B" w:rsidP="0040224B">
      <w:pPr>
        <w:ind w:left="851"/>
        <w:rPr>
          <w:sz w:val="24"/>
          <w:szCs w:val="24"/>
        </w:rPr>
      </w:pPr>
      <w:r>
        <w:rPr>
          <w:b/>
          <w:bCs/>
          <w:sz w:val="24"/>
          <w:szCs w:val="24"/>
        </w:rPr>
        <w:t xml:space="preserve">Lægemidler, der </w:t>
      </w:r>
      <w:proofErr w:type="spellStart"/>
      <w:r>
        <w:rPr>
          <w:b/>
          <w:bCs/>
          <w:sz w:val="24"/>
          <w:szCs w:val="24"/>
        </w:rPr>
        <w:t>metaboliseres</w:t>
      </w:r>
      <w:proofErr w:type="spellEnd"/>
      <w:r>
        <w:rPr>
          <w:b/>
          <w:bCs/>
          <w:sz w:val="24"/>
          <w:szCs w:val="24"/>
        </w:rPr>
        <w:t xml:space="preserve"> af P450-enzymer</w:t>
      </w:r>
    </w:p>
    <w:p w14:paraId="18FC0F2A" w14:textId="77777777" w:rsidR="0040224B" w:rsidRDefault="0040224B" w:rsidP="0040224B">
      <w:pPr>
        <w:ind w:left="851"/>
        <w:rPr>
          <w:sz w:val="24"/>
          <w:szCs w:val="24"/>
        </w:rPr>
      </w:pPr>
      <w:proofErr w:type="spellStart"/>
      <w:r>
        <w:rPr>
          <w:sz w:val="24"/>
          <w:szCs w:val="24"/>
        </w:rPr>
        <w:t>Lansoprazol</w:t>
      </w:r>
      <w:proofErr w:type="spellEnd"/>
      <w:r>
        <w:rPr>
          <w:sz w:val="24"/>
          <w:szCs w:val="24"/>
        </w:rPr>
        <w:t xml:space="preserve"> kan øge plasmakoncentrationerne af lægemidler, der </w:t>
      </w:r>
      <w:proofErr w:type="spellStart"/>
      <w:r>
        <w:rPr>
          <w:sz w:val="24"/>
          <w:szCs w:val="24"/>
        </w:rPr>
        <w:t>metaboliseres</w:t>
      </w:r>
      <w:proofErr w:type="spellEnd"/>
      <w:r>
        <w:rPr>
          <w:sz w:val="24"/>
          <w:szCs w:val="24"/>
        </w:rPr>
        <w:t xml:space="preserve"> af CYP3A4. Forsigtighed tilrådes ved kombination af </w:t>
      </w:r>
      <w:proofErr w:type="spellStart"/>
      <w:r>
        <w:rPr>
          <w:sz w:val="24"/>
          <w:szCs w:val="24"/>
        </w:rPr>
        <w:t>lansoprazol</w:t>
      </w:r>
      <w:proofErr w:type="spellEnd"/>
      <w:r>
        <w:rPr>
          <w:sz w:val="24"/>
          <w:szCs w:val="24"/>
        </w:rPr>
        <w:t xml:space="preserve"> med lægemidler, der </w:t>
      </w:r>
      <w:proofErr w:type="spellStart"/>
      <w:r>
        <w:rPr>
          <w:sz w:val="24"/>
          <w:szCs w:val="24"/>
        </w:rPr>
        <w:t>metaboliseres</w:t>
      </w:r>
      <w:proofErr w:type="spellEnd"/>
      <w:r>
        <w:rPr>
          <w:sz w:val="24"/>
          <w:szCs w:val="24"/>
        </w:rPr>
        <w:t xml:space="preserve"> af dette enzym og har et snævert terapeutisk vindue.</w:t>
      </w:r>
    </w:p>
    <w:p w14:paraId="18DE7BBD" w14:textId="77777777" w:rsidR="0040224B" w:rsidRDefault="0040224B" w:rsidP="0040224B">
      <w:pPr>
        <w:ind w:left="851"/>
        <w:rPr>
          <w:sz w:val="24"/>
          <w:szCs w:val="24"/>
          <w:u w:val="single"/>
        </w:rPr>
      </w:pPr>
    </w:p>
    <w:p w14:paraId="21A02758" w14:textId="77777777" w:rsidR="0040224B" w:rsidRPr="00ED147E" w:rsidRDefault="0040224B" w:rsidP="0040224B">
      <w:pPr>
        <w:ind w:left="851"/>
        <w:rPr>
          <w:sz w:val="24"/>
          <w:szCs w:val="24"/>
          <w:u w:val="single"/>
        </w:rPr>
      </w:pPr>
      <w:proofErr w:type="spellStart"/>
      <w:r w:rsidRPr="00ED147E">
        <w:rPr>
          <w:sz w:val="24"/>
          <w:szCs w:val="24"/>
          <w:u w:val="single"/>
        </w:rPr>
        <w:t>Warfarin</w:t>
      </w:r>
      <w:proofErr w:type="spellEnd"/>
    </w:p>
    <w:p w14:paraId="024DE792" w14:textId="01B97B19" w:rsidR="00711401" w:rsidRDefault="00711401" w:rsidP="00711401">
      <w:pPr>
        <w:ind w:left="851"/>
        <w:rPr>
          <w:sz w:val="24"/>
          <w:szCs w:val="24"/>
        </w:rPr>
      </w:pPr>
      <w:r>
        <w:rPr>
          <w:sz w:val="24"/>
          <w:szCs w:val="24"/>
        </w:rPr>
        <w:t xml:space="preserve">Der har været rapporteret om øget INR og </w:t>
      </w:r>
      <w:proofErr w:type="spellStart"/>
      <w:r>
        <w:rPr>
          <w:sz w:val="24"/>
          <w:szCs w:val="24"/>
        </w:rPr>
        <w:t>protrombintid</w:t>
      </w:r>
      <w:proofErr w:type="spellEnd"/>
      <w:r>
        <w:rPr>
          <w:sz w:val="24"/>
          <w:szCs w:val="24"/>
        </w:rPr>
        <w:t xml:space="preserve"> hos patienter, der fik PPI-præparater og </w:t>
      </w:r>
      <w:proofErr w:type="spellStart"/>
      <w:r>
        <w:rPr>
          <w:sz w:val="24"/>
          <w:szCs w:val="24"/>
        </w:rPr>
        <w:t>warfarin</w:t>
      </w:r>
      <w:proofErr w:type="spellEnd"/>
      <w:r>
        <w:rPr>
          <w:sz w:val="24"/>
          <w:szCs w:val="24"/>
        </w:rPr>
        <w:t xml:space="preserve"> samtidig. Stigninger i INR og </w:t>
      </w:r>
      <w:proofErr w:type="spellStart"/>
      <w:r>
        <w:rPr>
          <w:sz w:val="24"/>
          <w:szCs w:val="24"/>
        </w:rPr>
        <w:t>protrombintid</w:t>
      </w:r>
      <w:proofErr w:type="spellEnd"/>
      <w:r>
        <w:rPr>
          <w:sz w:val="24"/>
          <w:szCs w:val="24"/>
        </w:rPr>
        <w:t xml:space="preserve"> kan medføre unormale blødninger og endda død. Patienter i samtidig behandling med </w:t>
      </w:r>
      <w:proofErr w:type="spellStart"/>
      <w:r>
        <w:rPr>
          <w:sz w:val="24"/>
          <w:szCs w:val="24"/>
        </w:rPr>
        <w:t>lansoprazol</w:t>
      </w:r>
      <w:proofErr w:type="spellEnd"/>
      <w:r>
        <w:rPr>
          <w:sz w:val="24"/>
          <w:szCs w:val="24"/>
        </w:rPr>
        <w:t xml:space="preserve"> og </w:t>
      </w:r>
      <w:proofErr w:type="spellStart"/>
      <w:r>
        <w:rPr>
          <w:sz w:val="24"/>
          <w:szCs w:val="24"/>
        </w:rPr>
        <w:t>warfarin</w:t>
      </w:r>
      <w:proofErr w:type="spellEnd"/>
      <w:r>
        <w:rPr>
          <w:sz w:val="24"/>
          <w:szCs w:val="24"/>
        </w:rPr>
        <w:t xml:space="preserve"> kan have behov for at blive monitoreret for stigninger i INR og </w:t>
      </w:r>
      <w:proofErr w:type="spellStart"/>
      <w:r>
        <w:rPr>
          <w:sz w:val="24"/>
          <w:szCs w:val="24"/>
        </w:rPr>
        <w:t>protrombintid</w:t>
      </w:r>
      <w:proofErr w:type="spellEnd"/>
      <w:r>
        <w:rPr>
          <w:sz w:val="24"/>
          <w:szCs w:val="24"/>
        </w:rPr>
        <w:t>.</w:t>
      </w:r>
    </w:p>
    <w:p w14:paraId="09ED3411" w14:textId="77777777" w:rsidR="0040224B" w:rsidRPr="00ED147E" w:rsidRDefault="0040224B" w:rsidP="0040224B">
      <w:pPr>
        <w:ind w:left="851" w:hanging="851"/>
        <w:rPr>
          <w:sz w:val="24"/>
          <w:szCs w:val="24"/>
          <w:u w:val="single"/>
        </w:rPr>
      </w:pPr>
    </w:p>
    <w:p w14:paraId="6BF31839" w14:textId="77777777" w:rsidR="0040224B" w:rsidRDefault="0040224B" w:rsidP="0040224B">
      <w:pPr>
        <w:ind w:left="851"/>
        <w:rPr>
          <w:sz w:val="24"/>
          <w:szCs w:val="24"/>
          <w:u w:val="single"/>
        </w:rPr>
      </w:pPr>
      <w:proofErr w:type="spellStart"/>
      <w:r>
        <w:rPr>
          <w:sz w:val="24"/>
          <w:szCs w:val="24"/>
          <w:u w:val="single"/>
        </w:rPr>
        <w:t>Theophyllin</w:t>
      </w:r>
      <w:proofErr w:type="spellEnd"/>
    </w:p>
    <w:p w14:paraId="67F5330F" w14:textId="77777777" w:rsidR="0040224B" w:rsidRDefault="0040224B" w:rsidP="0040224B">
      <w:pPr>
        <w:ind w:left="851"/>
        <w:rPr>
          <w:sz w:val="24"/>
          <w:szCs w:val="24"/>
        </w:rPr>
      </w:pPr>
      <w:proofErr w:type="spellStart"/>
      <w:r>
        <w:rPr>
          <w:sz w:val="24"/>
          <w:szCs w:val="24"/>
        </w:rPr>
        <w:t>Lansoprazol</w:t>
      </w:r>
      <w:proofErr w:type="spellEnd"/>
      <w:r>
        <w:rPr>
          <w:sz w:val="24"/>
          <w:szCs w:val="24"/>
        </w:rPr>
        <w:t xml:space="preserve"> reducerer plasmakoncentrationen af </w:t>
      </w:r>
      <w:proofErr w:type="spellStart"/>
      <w:r>
        <w:rPr>
          <w:sz w:val="24"/>
          <w:szCs w:val="24"/>
        </w:rPr>
        <w:t>theophyllin</w:t>
      </w:r>
      <w:proofErr w:type="spellEnd"/>
      <w:r>
        <w:rPr>
          <w:sz w:val="24"/>
          <w:szCs w:val="24"/>
        </w:rPr>
        <w:t xml:space="preserve">, hvilket kan reducere den forventede kliniske effekt af dosis. Patienter skal monitoreres ved samtidig administration af </w:t>
      </w:r>
      <w:proofErr w:type="spellStart"/>
      <w:r>
        <w:rPr>
          <w:sz w:val="24"/>
          <w:szCs w:val="24"/>
        </w:rPr>
        <w:t>lansoprazol</w:t>
      </w:r>
      <w:proofErr w:type="spellEnd"/>
      <w:r>
        <w:rPr>
          <w:sz w:val="24"/>
          <w:szCs w:val="24"/>
        </w:rPr>
        <w:t xml:space="preserve"> og </w:t>
      </w:r>
      <w:proofErr w:type="spellStart"/>
      <w:r>
        <w:rPr>
          <w:sz w:val="24"/>
          <w:szCs w:val="24"/>
        </w:rPr>
        <w:t>theophyllin</w:t>
      </w:r>
      <w:proofErr w:type="spellEnd"/>
      <w:r>
        <w:rPr>
          <w:sz w:val="24"/>
          <w:szCs w:val="24"/>
        </w:rPr>
        <w:t>.</w:t>
      </w:r>
    </w:p>
    <w:p w14:paraId="44B4C1B5" w14:textId="77777777" w:rsidR="0040224B" w:rsidRDefault="0040224B" w:rsidP="0040224B">
      <w:pPr>
        <w:ind w:left="851" w:hanging="851"/>
        <w:rPr>
          <w:strike/>
          <w:sz w:val="24"/>
          <w:szCs w:val="24"/>
          <w:u w:val="single"/>
        </w:rPr>
      </w:pPr>
    </w:p>
    <w:p w14:paraId="65780EE0" w14:textId="77777777" w:rsidR="0040224B" w:rsidRDefault="0040224B" w:rsidP="0040224B">
      <w:pPr>
        <w:ind w:left="851"/>
        <w:rPr>
          <w:sz w:val="24"/>
          <w:szCs w:val="24"/>
          <w:u w:val="single"/>
        </w:rPr>
      </w:pPr>
      <w:proofErr w:type="spellStart"/>
      <w:r>
        <w:rPr>
          <w:sz w:val="24"/>
          <w:szCs w:val="24"/>
          <w:u w:val="single"/>
        </w:rPr>
        <w:t>Tacrolimus</w:t>
      </w:r>
      <w:proofErr w:type="spellEnd"/>
    </w:p>
    <w:p w14:paraId="496094A2" w14:textId="77777777" w:rsidR="00711401" w:rsidRDefault="00711401" w:rsidP="00711401">
      <w:pPr>
        <w:ind w:left="851"/>
        <w:rPr>
          <w:sz w:val="24"/>
          <w:szCs w:val="24"/>
        </w:rPr>
      </w:pPr>
      <w:r>
        <w:rPr>
          <w:sz w:val="24"/>
          <w:szCs w:val="24"/>
        </w:rPr>
        <w:t xml:space="preserve">Samtidig administration af </w:t>
      </w:r>
      <w:proofErr w:type="spellStart"/>
      <w:r>
        <w:rPr>
          <w:sz w:val="24"/>
          <w:szCs w:val="24"/>
        </w:rPr>
        <w:t>lansoprazol</w:t>
      </w:r>
      <w:proofErr w:type="spellEnd"/>
      <w:r>
        <w:rPr>
          <w:sz w:val="24"/>
          <w:szCs w:val="24"/>
        </w:rPr>
        <w:t xml:space="preserve"> øger plasmakoncentrationerne af </w:t>
      </w:r>
      <w:proofErr w:type="spellStart"/>
      <w:r>
        <w:rPr>
          <w:sz w:val="24"/>
          <w:szCs w:val="24"/>
        </w:rPr>
        <w:t>tacrolimus</w:t>
      </w:r>
      <w:proofErr w:type="spellEnd"/>
      <w:r>
        <w:rPr>
          <w:sz w:val="24"/>
          <w:szCs w:val="24"/>
        </w:rPr>
        <w:t xml:space="preserve"> (et CYP3A- og P-gp-substrat). Eksponering for </w:t>
      </w:r>
      <w:proofErr w:type="spellStart"/>
      <w:r>
        <w:rPr>
          <w:sz w:val="24"/>
          <w:szCs w:val="24"/>
        </w:rPr>
        <w:t>lansoprazol</w:t>
      </w:r>
      <w:proofErr w:type="spellEnd"/>
      <w:r>
        <w:rPr>
          <w:sz w:val="24"/>
          <w:szCs w:val="24"/>
        </w:rPr>
        <w:t xml:space="preserve"> forhøjede gennemsnitseksponeringen for </w:t>
      </w:r>
      <w:proofErr w:type="spellStart"/>
      <w:r>
        <w:rPr>
          <w:sz w:val="24"/>
          <w:szCs w:val="24"/>
        </w:rPr>
        <w:t>tacrolimus</w:t>
      </w:r>
      <w:proofErr w:type="spellEnd"/>
      <w:r>
        <w:rPr>
          <w:sz w:val="24"/>
          <w:szCs w:val="24"/>
        </w:rPr>
        <w:t xml:space="preserve"> med op til 81 %. </w:t>
      </w:r>
    </w:p>
    <w:p w14:paraId="1932D9C1" w14:textId="77777777" w:rsidR="00711401" w:rsidRDefault="00711401" w:rsidP="00711401">
      <w:pPr>
        <w:ind w:left="851"/>
        <w:rPr>
          <w:sz w:val="24"/>
          <w:szCs w:val="24"/>
        </w:rPr>
      </w:pPr>
      <w:r>
        <w:rPr>
          <w:sz w:val="24"/>
          <w:szCs w:val="24"/>
        </w:rPr>
        <w:t xml:space="preserve">Monitorering af plasmakoncentrationerne af </w:t>
      </w:r>
      <w:proofErr w:type="spellStart"/>
      <w:r>
        <w:rPr>
          <w:sz w:val="24"/>
          <w:szCs w:val="24"/>
        </w:rPr>
        <w:t>tacrolimus</w:t>
      </w:r>
      <w:proofErr w:type="spellEnd"/>
      <w:r>
        <w:rPr>
          <w:sz w:val="24"/>
          <w:szCs w:val="24"/>
        </w:rPr>
        <w:t xml:space="preserve"> tilrådes, når samtidig behandling med </w:t>
      </w:r>
      <w:proofErr w:type="spellStart"/>
      <w:r>
        <w:rPr>
          <w:sz w:val="24"/>
          <w:szCs w:val="24"/>
        </w:rPr>
        <w:t>lansoprazol</w:t>
      </w:r>
      <w:proofErr w:type="spellEnd"/>
      <w:r>
        <w:rPr>
          <w:sz w:val="24"/>
          <w:szCs w:val="24"/>
        </w:rPr>
        <w:t xml:space="preserve"> påbegyndes og afsluttes.</w:t>
      </w:r>
    </w:p>
    <w:p w14:paraId="0EC027B0" w14:textId="77777777" w:rsidR="0040224B" w:rsidRDefault="0040224B" w:rsidP="0040224B">
      <w:pPr>
        <w:ind w:left="851" w:hanging="851"/>
        <w:rPr>
          <w:b/>
          <w:bCs/>
          <w:sz w:val="24"/>
          <w:szCs w:val="24"/>
        </w:rPr>
      </w:pPr>
    </w:p>
    <w:p w14:paraId="7CBF41C8" w14:textId="77777777" w:rsidR="0040224B" w:rsidRDefault="0040224B" w:rsidP="0040224B">
      <w:pPr>
        <w:ind w:left="851"/>
        <w:rPr>
          <w:b/>
          <w:bCs/>
          <w:sz w:val="24"/>
          <w:szCs w:val="24"/>
        </w:rPr>
      </w:pPr>
      <w:r>
        <w:rPr>
          <w:b/>
          <w:bCs/>
          <w:sz w:val="24"/>
          <w:szCs w:val="24"/>
        </w:rPr>
        <w:t>Lægemidler, der transporteres af P-</w:t>
      </w:r>
      <w:proofErr w:type="spellStart"/>
      <w:r>
        <w:rPr>
          <w:b/>
          <w:bCs/>
          <w:sz w:val="24"/>
          <w:szCs w:val="24"/>
        </w:rPr>
        <w:t>glycoprotein</w:t>
      </w:r>
      <w:proofErr w:type="spellEnd"/>
    </w:p>
    <w:p w14:paraId="504B945C" w14:textId="77777777" w:rsidR="0040224B" w:rsidRDefault="0040224B" w:rsidP="0040224B">
      <w:pPr>
        <w:ind w:left="851"/>
        <w:rPr>
          <w:sz w:val="24"/>
          <w:szCs w:val="24"/>
        </w:rPr>
      </w:pPr>
      <w:r>
        <w:rPr>
          <w:sz w:val="24"/>
          <w:szCs w:val="24"/>
        </w:rPr>
        <w:t xml:space="preserve">Det er observeret, at </w:t>
      </w:r>
      <w:proofErr w:type="spellStart"/>
      <w:r>
        <w:rPr>
          <w:sz w:val="24"/>
          <w:szCs w:val="24"/>
        </w:rPr>
        <w:t>lansoprazol</w:t>
      </w:r>
      <w:proofErr w:type="spellEnd"/>
      <w:r>
        <w:rPr>
          <w:sz w:val="24"/>
          <w:szCs w:val="24"/>
        </w:rPr>
        <w:t xml:space="preserve"> hæmmer transportproteinet P-</w:t>
      </w:r>
      <w:proofErr w:type="spellStart"/>
      <w:r>
        <w:rPr>
          <w:sz w:val="24"/>
          <w:szCs w:val="24"/>
        </w:rPr>
        <w:t>glycoprotein</w:t>
      </w:r>
      <w:proofErr w:type="spellEnd"/>
      <w:r>
        <w:rPr>
          <w:sz w:val="24"/>
          <w:szCs w:val="24"/>
        </w:rPr>
        <w:t xml:space="preserve"> (P-gp) </w:t>
      </w:r>
      <w:r>
        <w:rPr>
          <w:i/>
          <w:iCs/>
          <w:sz w:val="24"/>
          <w:szCs w:val="24"/>
        </w:rPr>
        <w:t xml:space="preserve">in </w:t>
      </w:r>
      <w:proofErr w:type="spellStart"/>
      <w:r>
        <w:rPr>
          <w:i/>
          <w:iCs/>
          <w:sz w:val="24"/>
          <w:szCs w:val="24"/>
        </w:rPr>
        <w:t>vitro</w:t>
      </w:r>
      <w:proofErr w:type="spellEnd"/>
      <w:r>
        <w:rPr>
          <w:sz w:val="24"/>
          <w:szCs w:val="24"/>
        </w:rPr>
        <w:t>. Den kliniske relevans af dette kendes ikke.</w:t>
      </w:r>
    </w:p>
    <w:p w14:paraId="7E876D40" w14:textId="77777777" w:rsidR="0040224B" w:rsidRDefault="0040224B" w:rsidP="0040224B">
      <w:pPr>
        <w:ind w:left="851" w:hanging="851"/>
        <w:rPr>
          <w:sz w:val="24"/>
          <w:szCs w:val="24"/>
        </w:rPr>
      </w:pPr>
    </w:p>
    <w:p w14:paraId="2C773CAB" w14:textId="77777777" w:rsidR="0040224B" w:rsidRDefault="0040224B" w:rsidP="0040224B">
      <w:pPr>
        <w:ind w:left="851"/>
        <w:rPr>
          <w:b/>
          <w:bCs/>
          <w:sz w:val="24"/>
          <w:szCs w:val="24"/>
          <w:u w:val="single"/>
        </w:rPr>
      </w:pPr>
      <w:r>
        <w:rPr>
          <w:b/>
          <w:bCs/>
          <w:sz w:val="24"/>
          <w:szCs w:val="24"/>
          <w:u w:val="single"/>
        </w:rPr>
        <w:t xml:space="preserve">Andre lægemidlers effekt på </w:t>
      </w:r>
      <w:proofErr w:type="spellStart"/>
      <w:r>
        <w:rPr>
          <w:b/>
          <w:bCs/>
          <w:sz w:val="24"/>
          <w:szCs w:val="24"/>
          <w:u w:val="single"/>
        </w:rPr>
        <w:t>lansoprazol</w:t>
      </w:r>
      <w:proofErr w:type="spellEnd"/>
      <w:r>
        <w:rPr>
          <w:b/>
          <w:bCs/>
          <w:sz w:val="24"/>
          <w:szCs w:val="24"/>
          <w:u w:val="single"/>
        </w:rPr>
        <w:t xml:space="preserve"> </w:t>
      </w:r>
    </w:p>
    <w:p w14:paraId="755F2EE1" w14:textId="77777777" w:rsidR="0040224B" w:rsidRDefault="0040224B" w:rsidP="0040224B">
      <w:pPr>
        <w:ind w:left="851" w:hanging="851"/>
        <w:rPr>
          <w:b/>
          <w:bCs/>
          <w:sz w:val="24"/>
          <w:szCs w:val="24"/>
          <w:u w:val="single"/>
        </w:rPr>
      </w:pPr>
    </w:p>
    <w:p w14:paraId="5F9667DF" w14:textId="77777777" w:rsidR="0040224B" w:rsidRDefault="0040224B" w:rsidP="0040224B">
      <w:pPr>
        <w:ind w:left="851"/>
        <w:rPr>
          <w:b/>
          <w:bCs/>
          <w:sz w:val="24"/>
          <w:szCs w:val="24"/>
        </w:rPr>
      </w:pPr>
      <w:r>
        <w:rPr>
          <w:b/>
          <w:bCs/>
          <w:sz w:val="24"/>
          <w:szCs w:val="24"/>
        </w:rPr>
        <w:t>Lægemidler, der hæmmer CYP2C19</w:t>
      </w:r>
    </w:p>
    <w:p w14:paraId="281BB2DA" w14:textId="77777777" w:rsidR="0040224B" w:rsidRDefault="0040224B" w:rsidP="0040224B">
      <w:pPr>
        <w:ind w:left="851"/>
        <w:rPr>
          <w:sz w:val="24"/>
          <w:szCs w:val="24"/>
          <w:u w:val="single"/>
        </w:rPr>
      </w:pPr>
      <w:proofErr w:type="spellStart"/>
      <w:r>
        <w:rPr>
          <w:sz w:val="24"/>
          <w:szCs w:val="24"/>
          <w:u w:val="single"/>
        </w:rPr>
        <w:t>Fluvoxamin</w:t>
      </w:r>
      <w:proofErr w:type="spellEnd"/>
    </w:p>
    <w:p w14:paraId="49A90AB2" w14:textId="77777777" w:rsidR="0040224B" w:rsidRDefault="0040224B" w:rsidP="0040224B">
      <w:pPr>
        <w:ind w:left="851"/>
        <w:rPr>
          <w:sz w:val="24"/>
          <w:szCs w:val="24"/>
        </w:rPr>
      </w:pPr>
      <w:r>
        <w:rPr>
          <w:sz w:val="24"/>
          <w:szCs w:val="24"/>
        </w:rPr>
        <w:t xml:space="preserve">En reduktion af dosis bør overvejes, når </w:t>
      </w:r>
      <w:proofErr w:type="spellStart"/>
      <w:r>
        <w:rPr>
          <w:sz w:val="24"/>
          <w:szCs w:val="24"/>
        </w:rPr>
        <w:t>lansoprazol</w:t>
      </w:r>
      <w:proofErr w:type="spellEnd"/>
      <w:r>
        <w:rPr>
          <w:sz w:val="24"/>
          <w:szCs w:val="24"/>
        </w:rPr>
        <w:t xml:space="preserve"> kombineres med CYP2C19-hæmmeren </w:t>
      </w:r>
      <w:proofErr w:type="spellStart"/>
      <w:r>
        <w:rPr>
          <w:sz w:val="24"/>
          <w:szCs w:val="24"/>
        </w:rPr>
        <w:t>fluvoxamin</w:t>
      </w:r>
      <w:proofErr w:type="spellEnd"/>
      <w:r>
        <w:rPr>
          <w:sz w:val="24"/>
          <w:szCs w:val="24"/>
        </w:rPr>
        <w:t xml:space="preserve">. Plasmakoncentrationerne af </w:t>
      </w:r>
      <w:proofErr w:type="spellStart"/>
      <w:r>
        <w:rPr>
          <w:sz w:val="24"/>
          <w:szCs w:val="24"/>
        </w:rPr>
        <w:t>lansoprazol</w:t>
      </w:r>
      <w:proofErr w:type="spellEnd"/>
      <w:r>
        <w:rPr>
          <w:sz w:val="24"/>
          <w:szCs w:val="24"/>
        </w:rPr>
        <w:t xml:space="preserve"> øges op til 4 gange.</w:t>
      </w:r>
    </w:p>
    <w:p w14:paraId="750C1CA9" w14:textId="77777777" w:rsidR="0040224B" w:rsidRDefault="0040224B" w:rsidP="0040224B">
      <w:pPr>
        <w:ind w:left="851" w:hanging="851"/>
        <w:rPr>
          <w:b/>
          <w:bCs/>
          <w:i/>
          <w:iCs/>
          <w:sz w:val="24"/>
          <w:szCs w:val="24"/>
        </w:rPr>
      </w:pPr>
    </w:p>
    <w:p w14:paraId="6CB482F7" w14:textId="77777777" w:rsidR="0040224B" w:rsidRDefault="0040224B" w:rsidP="0040224B">
      <w:pPr>
        <w:ind w:left="851"/>
        <w:rPr>
          <w:b/>
          <w:bCs/>
          <w:sz w:val="24"/>
          <w:szCs w:val="24"/>
        </w:rPr>
      </w:pPr>
      <w:r>
        <w:rPr>
          <w:b/>
          <w:bCs/>
          <w:sz w:val="24"/>
          <w:szCs w:val="24"/>
        </w:rPr>
        <w:t>Lægemidler, der inducerer CYP2C19 og CYP3A4</w:t>
      </w:r>
    </w:p>
    <w:p w14:paraId="64113C6F" w14:textId="77777777" w:rsidR="0040224B" w:rsidRDefault="0040224B" w:rsidP="0040224B">
      <w:pPr>
        <w:ind w:left="851"/>
        <w:rPr>
          <w:sz w:val="24"/>
          <w:szCs w:val="24"/>
        </w:rPr>
      </w:pPr>
      <w:r>
        <w:rPr>
          <w:sz w:val="24"/>
          <w:szCs w:val="24"/>
        </w:rPr>
        <w:lastRenderedPageBreak/>
        <w:t xml:space="preserve">Enzyminducere, der påvirker CYP2C19 og CYP3A4, som for eksempel </w:t>
      </w:r>
      <w:proofErr w:type="spellStart"/>
      <w:r>
        <w:rPr>
          <w:sz w:val="24"/>
          <w:szCs w:val="24"/>
        </w:rPr>
        <w:t>rifampicin</w:t>
      </w:r>
      <w:proofErr w:type="spellEnd"/>
      <w:r>
        <w:rPr>
          <w:sz w:val="24"/>
          <w:szCs w:val="24"/>
        </w:rPr>
        <w:t xml:space="preserve"> og prikbladet perikum (</w:t>
      </w:r>
      <w:r>
        <w:rPr>
          <w:i/>
          <w:iCs/>
          <w:sz w:val="24"/>
          <w:szCs w:val="24"/>
        </w:rPr>
        <w:t xml:space="preserve">Hypericum </w:t>
      </w:r>
      <w:proofErr w:type="spellStart"/>
      <w:r>
        <w:rPr>
          <w:i/>
          <w:iCs/>
          <w:sz w:val="24"/>
          <w:szCs w:val="24"/>
        </w:rPr>
        <w:t>perforatum</w:t>
      </w:r>
      <w:proofErr w:type="spellEnd"/>
      <w:r>
        <w:rPr>
          <w:sz w:val="24"/>
          <w:szCs w:val="24"/>
        </w:rPr>
        <w:t xml:space="preserve">), kan reducere plasmakoncentrationerne af </w:t>
      </w:r>
      <w:proofErr w:type="spellStart"/>
      <w:r>
        <w:rPr>
          <w:sz w:val="24"/>
          <w:szCs w:val="24"/>
        </w:rPr>
        <w:t>lansoprazol</w:t>
      </w:r>
      <w:proofErr w:type="spellEnd"/>
      <w:r>
        <w:rPr>
          <w:sz w:val="24"/>
          <w:szCs w:val="24"/>
        </w:rPr>
        <w:t xml:space="preserve"> markant.</w:t>
      </w:r>
    </w:p>
    <w:p w14:paraId="04484E29" w14:textId="77777777" w:rsidR="0040224B" w:rsidRDefault="0040224B" w:rsidP="0040224B">
      <w:pPr>
        <w:ind w:left="851" w:hanging="851"/>
        <w:rPr>
          <w:sz w:val="24"/>
          <w:szCs w:val="24"/>
        </w:rPr>
      </w:pPr>
    </w:p>
    <w:p w14:paraId="64EB3A95" w14:textId="77777777" w:rsidR="0040224B" w:rsidRDefault="0040224B" w:rsidP="0040224B">
      <w:pPr>
        <w:ind w:left="851"/>
        <w:rPr>
          <w:b/>
          <w:bCs/>
          <w:sz w:val="24"/>
          <w:szCs w:val="24"/>
        </w:rPr>
      </w:pPr>
      <w:r>
        <w:rPr>
          <w:b/>
          <w:bCs/>
          <w:sz w:val="24"/>
          <w:szCs w:val="24"/>
        </w:rPr>
        <w:t>Andet</w:t>
      </w:r>
    </w:p>
    <w:p w14:paraId="2F334F1B" w14:textId="77777777" w:rsidR="0040224B" w:rsidRPr="0062400C" w:rsidRDefault="0040224B" w:rsidP="0040224B">
      <w:pPr>
        <w:ind w:left="851"/>
        <w:rPr>
          <w:sz w:val="24"/>
          <w:szCs w:val="24"/>
          <w:u w:val="single"/>
        </w:rPr>
      </w:pPr>
      <w:proofErr w:type="spellStart"/>
      <w:r w:rsidRPr="00202E07">
        <w:rPr>
          <w:sz w:val="24"/>
          <w:szCs w:val="24"/>
          <w:u w:val="single"/>
        </w:rPr>
        <w:t>Methotrexat</w:t>
      </w:r>
      <w:proofErr w:type="spellEnd"/>
    </w:p>
    <w:p w14:paraId="25BD76ED" w14:textId="77777777" w:rsidR="00711401" w:rsidRDefault="00711401" w:rsidP="00711401">
      <w:pPr>
        <w:ind w:left="851"/>
        <w:rPr>
          <w:sz w:val="24"/>
          <w:szCs w:val="24"/>
        </w:rPr>
      </w:pPr>
      <w:r>
        <w:rPr>
          <w:sz w:val="24"/>
          <w:szCs w:val="24"/>
        </w:rPr>
        <w:t xml:space="preserve">Samtidig anvendelse med højdosis </w:t>
      </w:r>
      <w:proofErr w:type="spellStart"/>
      <w:r>
        <w:rPr>
          <w:sz w:val="24"/>
          <w:szCs w:val="24"/>
        </w:rPr>
        <w:t>methotrexat</w:t>
      </w:r>
      <w:proofErr w:type="spellEnd"/>
      <w:r>
        <w:rPr>
          <w:sz w:val="24"/>
          <w:szCs w:val="24"/>
        </w:rPr>
        <w:t xml:space="preserve"> kan øge og forlænge serumkoncentrationerne af </w:t>
      </w:r>
      <w:proofErr w:type="spellStart"/>
      <w:r>
        <w:rPr>
          <w:sz w:val="24"/>
          <w:szCs w:val="24"/>
        </w:rPr>
        <w:t>methotrexat</w:t>
      </w:r>
      <w:proofErr w:type="spellEnd"/>
      <w:r>
        <w:rPr>
          <w:sz w:val="24"/>
          <w:szCs w:val="24"/>
        </w:rPr>
        <w:t xml:space="preserve"> og/eller dets metabolitter, hvilket muligvis kan føre til toksicitet af </w:t>
      </w:r>
      <w:proofErr w:type="spellStart"/>
      <w:r>
        <w:rPr>
          <w:sz w:val="24"/>
          <w:szCs w:val="24"/>
        </w:rPr>
        <w:t>methotrexat</w:t>
      </w:r>
      <w:proofErr w:type="spellEnd"/>
      <w:r>
        <w:rPr>
          <w:sz w:val="24"/>
          <w:szCs w:val="24"/>
        </w:rPr>
        <w:t>.</w:t>
      </w:r>
    </w:p>
    <w:p w14:paraId="50E36C81" w14:textId="77777777" w:rsidR="0040224B" w:rsidRDefault="0040224B" w:rsidP="0040224B">
      <w:pPr>
        <w:ind w:left="851"/>
        <w:rPr>
          <w:sz w:val="24"/>
          <w:szCs w:val="24"/>
        </w:rPr>
      </w:pPr>
    </w:p>
    <w:p w14:paraId="3FC68467" w14:textId="77777777" w:rsidR="0040224B" w:rsidRDefault="0040224B" w:rsidP="0040224B">
      <w:pPr>
        <w:ind w:left="851"/>
        <w:rPr>
          <w:sz w:val="24"/>
          <w:szCs w:val="24"/>
          <w:u w:val="single"/>
        </w:rPr>
      </w:pPr>
      <w:proofErr w:type="spellStart"/>
      <w:r>
        <w:rPr>
          <w:sz w:val="24"/>
          <w:szCs w:val="24"/>
          <w:u w:val="single"/>
        </w:rPr>
        <w:t>Sucralfat</w:t>
      </w:r>
      <w:proofErr w:type="spellEnd"/>
      <w:r>
        <w:rPr>
          <w:sz w:val="24"/>
          <w:szCs w:val="24"/>
          <w:u w:val="single"/>
        </w:rPr>
        <w:t>/</w:t>
      </w:r>
      <w:proofErr w:type="spellStart"/>
      <w:r>
        <w:rPr>
          <w:sz w:val="24"/>
          <w:szCs w:val="24"/>
          <w:u w:val="single"/>
        </w:rPr>
        <w:t>antacida</w:t>
      </w:r>
      <w:proofErr w:type="spellEnd"/>
    </w:p>
    <w:p w14:paraId="3DD240B4" w14:textId="77777777" w:rsidR="0040224B" w:rsidRDefault="0040224B" w:rsidP="0040224B">
      <w:pPr>
        <w:ind w:left="851"/>
        <w:rPr>
          <w:sz w:val="24"/>
          <w:szCs w:val="24"/>
        </w:rPr>
      </w:pPr>
      <w:proofErr w:type="spellStart"/>
      <w:r>
        <w:rPr>
          <w:sz w:val="24"/>
          <w:szCs w:val="24"/>
        </w:rPr>
        <w:t>Sucralfat</w:t>
      </w:r>
      <w:proofErr w:type="spellEnd"/>
      <w:r>
        <w:rPr>
          <w:sz w:val="24"/>
          <w:szCs w:val="24"/>
        </w:rPr>
        <w:t>/</w:t>
      </w:r>
      <w:proofErr w:type="spellStart"/>
      <w:r>
        <w:rPr>
          <w:sz w:val="24"/>
          <w:szCs w:val="24"/>
        </w:rPr>
        <w:t>antacida</w:t>
      </w:r>
      <w:proofErr w:type="spellEnd"/>
      <w:r>
        <w:rPr>
          <w:sz w:val="24"/>
          <w:szCs w:val="24"/>
        </w:rPr>
        <w:t xml:space="preserve"> kan nedsætte biotilgængeligheden af </w:t>
      </w:r>
      <w:proofErr w:type="spellStart"/>
      <w:r>
        <w:rPr>
          <w:sz w:val="24"/>
          <w:szCs w:val="24"/>
        </w:rPr>
        <w:t>lansoprazol</w:t>
      </w:r>
      <w:proofErr w:type="spellEnd"/>
      <w:r>
        <w:rPr>
          <w:sz w:val="24"/>
          <w:szCs w:val="24"/>
        </w:rPr>
        <w:t xml:space="preserve">. Derfor skal </w:t>
      </w:r>
      <w:proofErr w:type="spellStart"/>
      <w:r>
        <w:rPr>
          <w:sz w:val="24"/>
          <w:szCs w:val="24"/>
        </w:rPr>
        <w:t>lansoprazol</w:t>
      </w:r>
      <w:proofErr w:type="spellEnd"/>
      <w:r>
        <w:rPr>
          <w:sz w:val="24"/>
          <w:szCs w:val="24"/>
        </w:rPr>
        <w:t xml:space="preserve"> tages mindst 1 time efter, at disse lægemidler er taget.</w:t>
      </w:r>
    </w:p>
    <w:p w14:paraId="460918B3" w14:textId="77777777" w:rsidR="0040224B" w:rsidRPr="004D73FC" w:rsidRDefault="0040224B" w:rsidP="0040224B">
      <w:pPr>
        <w:rPr>
          <w:bCs/>
          <w:sz w:val="24"/>
          <w:szCs w:val="24"/>
          <w:u w:val="single"/>
        </w:rPr>
      </w:pPr>
    </w:p>
    <w:p w14:paraId="48F475E2" w14:textId="77777777" w:rsidR="00711401" w:rsidRDefault="00711401" w:rsidP="00711401">
      <w:pPr>
        <w:ind w:left="851"/>
        <w:rPr>
          <w:sz w:val="24"/>
          <w:szCs w:val="24"/>
          <w:u w:val="single"/>
        </w:rPr>
      </w:pPr>
      <w:r>
        <w:rPr>
          <w:sz w:val="24"/>
          <w:szCs w:val="24"/>
          <w:u w:val="single"/>
        </w:rPr>
        <w:t>Non-</w:t>
      </w:r>
      <w:proofErr w:type="spellStart"/>
      <w:r>
        <w:rPr>
          <w:sz w:val="24"/>
          <w:szCs w:val="24"/>
          <w:u w:val="single"/>
        </w:rPr>
        <w:t>steroide</w:t>
      </w:r>
      <w:proofErr w:type="spellEnd"/>
      <w:r>
        <w:rPr>
          <w:sz w:val="24"/>
          <w:szCs w:val="24"/>
          <w:u w:val="single"/>
        </w:rPr>
        <w:t xml:space="preserve"> antiinflammatoriske lægemidler</w:t>
      </w:r>
    </w:p>
    <w:p w14:paraId="655B3993" w14:textId="5BC86D2B" w:rsidR="00711401" w:rsidRDefault="00711401" w:rsidP="00711401">
      <w:pPr>
        <w:ind w:left="851"/>
        <w:rPr>
          <w:sz w:val="24"/>
          <w:szCs w:val="24"/>
        </w:rPr>
      </w:pPr>
      <w:r>
        <w:rPr>
          <w:sz w:val="24"/>
          <w:szCs w:val="24"/>
        </w:rPr>
        <w:t xml:space="preserve">Der er ikke blevet påvist klinisk signifikante interaktioner mellem </w:t>
      </w:r>
      <w:proofErr w:type="spellStart"/>
      <w:r>
        <w:rPr>
          <w:sz w:val="24"/>
          <w:szCs w:val="24"/>
        </w:rPr>
        <w:t>lansoprazol</w:t>
      </w:r>
      <w:proofErr w:type="spellEnd"/>
      <w:r>
        <w:rPr>
          <w:sz w:val="24"/>
          <w:szCs w:val="24"/>
        </w:rPr>
        <w:t xml:space="preserve"> og non-</w:t>
      </w:r>
      <w:proofErr w:type="spellStart"/>
      <w:r>
        <w:rPr>
          <w:sz w:val="24"/>
          <w:szCs w:val="24"/>
        </w:rPr>
        <w:t>steroide</w:t>
      </w:r>
      <w:proofErr w:type="spellEnd"/>
      <w:r>
        <w:rPr>
          <w:sz w:val="24"/>
          <w:szCs w:val="24"/>
        </w:rPr>
        <w:t xml:space="preserve"> antiinflammatoriske lægemidler. Der er dog ikke udført nogen formelle interaktionsstudier. </w:t>
      </w:r>
    </w:p>
    <w:p w14:paraId="10280AAB" w14:textId="77777777" w:rsidR="000858AD" w:rsidRDefault="000858AD" w:rsidP="0040224B">
      <w:pPr>
        <w:ind w:left="851" w:hanging="851"/>
        <w:rPr>
          <w:sz w:val="24"/>
          <w:szCs w:val="24"/>
        </w:rPr>
      </w:pPr>
    </w:p>
    <w:p w14:paraId="6B2E0E2C" w14:textId="77BCB615" w:rsidR="004D4CB4" w:rsidRDefault="004D4CB4" w:rsidP="004D4CB4">
      <w:pPr>
        <w:ind w:left="851" w:hanging="851"/>
        <w:rPr>
          <w:b/>
          <w:sz w:val="24"/>
          <w:szCs w:val="24"/>
        </w:rPr>
      </w:pPr>
      <w:r w:rsidRPr="00386BA3">
        <w:rPr>
          <w:b/>
          <w:sz w:val="24"/>
          <w:szCs w:val="24"/>
        </w:rPr>
        <w:t>4.6</w:t>
      </w:r>
      <w:r w:rsidRPr="00386BA3">
        <w:rPr>
          <w:b/>
          <w:sz w:val="24"/>
          <w:szCs w:val="24"/>
        </w:rPr>
        <w:tab/>
      </w:r>
      <w:r w:rsidR="000858AD">
        <w:rPr>
          <w:b/>
          <w:sz w:val="24"/>
          <w:szCs w:val="24"/>
        </w:rPr>
        <w:t>Fertilitet, g</w:t>
      </w:r>
      <w:r w:rsidRPr="00386BA3">
        <w:rPr>
          <w:b/>
          <w:sz w:val="24"/>
          <w:szCs w:val="24"/>
        </w:rPr>
        <w:t>raviditet og amning</w:t>
      </w:r>
    </w:p>
    <w:p w14:paraId="1DA2433C" w14:textId="77777777" w:rsidR="00711401" w:rsidRPr="00386BA3" w:rsidRDefault="00711401" w:rsidP="004D4CB4">
      <w:pPr>
        <w:ind w:left="851" w:hanging="851"/>
        <w:rPr>
          <w:b/>
          <w:sz w:val="24"/>
          <w:szCs w:val="24"/>
        </w:rPr>
      </w:pPr>
    </w:p>
    <w:p w14:paraId="60E295D5" w14:textId="77777777" w:rsidR="004D4CB4" w:rsidRDefault="004D4CB4" w:rsidP="004D4CB4">
      <w:pPr>
        <w:ind w:left="851" w:hanging="851"/>
        <w:rPr>
          <w:sz w:val="24"/>
          <w:szCs w:val="24"/>
          <w:u w:val="single"/>
        </w:rPr>
      </w:pPr>
      <w:r w:rsidRPr="00386BA3">
        <w:rPr>
          <w:sz w:val="24"/>
          <w:szCs w:val="24"/>
        </w:rPr>
        <w:tab/>
      </w:r>
      <w:r>
        <w:rPr>
          <w:sz w:val="24"/>
          <w:szCs w:val="24"/>
          <w:u w:val="single"/>
        </w:rPr>
        <w:t>Graviditet</w:t>
      </w:r>
    </w:p>
    <w:p w14:paraId="6F9B034A" w14:textId="2E437D80" w:rsidR="004D4CB4" w:rsidRDefault="004D4CB4" w:rsidP="004D4CB4">
      <w:pPr>
        <w:ind w:left="851" w:hanging="851"/>
        <w:rPr>
          <w:sz w:val="24"/>
          <w:szCs w:val="24"/>
        </w:rPr>
      </w:pPr>
      <w:r>
        <w:rPr>
          <w:sz w:val="24"/>
          <w:szCs w:val="24"/>
        </w:rPr>
        <w:tab/>
        <w:t xml:space="preserve">Der foreligger ingen kliniske data </w:t>
      </w:r>
      <w:r w:rsidR="00A671C6">
        <w:rPr>
          <w:sz w:val="24"/>
          <w:szCs w:val="24"/>
        </w:rPr>
        <w:t xml:space="preserve">vedrørende eksponering </w:t>
      </w:r>
      <w:r>
        <w:rPr>
          <w:sz w:val="24"/>
          <w:szCs w:val="24"/>
        </w:rPr>
        <w:t xml:space="preserve">for </w:t>
      </w:r>
      <w:proofErr w:type="spellStart"/>
      <w:r>
        <w:rPr>
          <w:sz w:val="24"/>
          <w:szCs w:val="24"/>
        </w:rPr>
        <w:t>lansoprazol</w:t>
      </w:r>
      <w:proofErr w:type="spellEnd"/>
      <w:r>
        <w:rPr>
          <w:sz w:val="24"/>
          <w:szCs w:val="24"/>
        </w:rPr>
        <w:t xml:space="preserve"> </w:t>
      </w:r>
      <w:r w:rsidR="00A671C6">
        <w:rPr>
          <w:sz w:val="24"/>
          <w:szCs w:val="24"/>
        </w:rPr>
        <w:t>under</w:t>
      </w:r>
      <w:r>
        <w:rPr>
          <w:sz w:val="24"/>
          <w:szCs w:val="24"/>
        </w:rPr>
        <w:t xml:space="preserve"> graviditet. Dyrestudier indikerer hverken direkte eller indirekte skadelige virkninger hvad angår graviditet, embryonal/</w:t>
      </w:r>
      <w:proofErr w:type="spellStart"/>
      <w:r>
        <w:rPr>
          <w:sz w:val="24"/>
          <w:szCs w:val="24"/>
        </w:rPr>
        <w:t>føtal</w:t>
      </w:r>
      <w:proofErr w:type="spellEnd"/>
      <w:r>
        <w:rPr>
          <w:sz w:val="24"/>
          <w:szCs w:val="24"/>
        </w:rPr>
        <w:t xml:space="preserve"> udvikling, fødsel eller </w:t>
      </w:r>
      <w:proofErr w:type="spellStart"/>
      <w:r>
        <w:rPr>
          <w:sz w:val="24"/>
          <w:szCs w:val="24"/>
        </w:rPr>
        <w:t>postnatal</w:t>
      </w:r>
      <w:proofErr w:type="spellEnd"/>
      <w:r>
        <w:rPr>
          <w:sz w:val="24"/>
          <w:szCs w:val="24"/>
        </w:rPr>
        <w:t xml:space="preserve"> udvikling.</w:t>
      </w:r>
    </w:p>
    <w:p w14:paraId="28DA11D7" w14:textId="77777777" w:rsidR="004D4CB4" w:rsidRDefault="004D4CB4" w:rsidP="004D4CB4">
      <w:pPr>
        <w:ind w:left="851" w:hanging="851"/>
        <w:rPr>
          <w:sz w:val="24"/>
          <w:szCs w:val="24"/>
        </w:rPr>
      </w:pPr>
    </w:p>
    <w:p w14:paraId="50EB2492" w14:textId="77777777" w:rsidR="004D4CB4" w:rsidRDefault="004D4CB4" w:rsidP="004D4CB4">
      <w:pPr>
        <w:ind w:left="851" w:hanging="851"/>
        <w:rPr>
          <w:sz w:val="24"/>
          <w:szCs w:val="24"/>
        </w:rPr>
      </w:pPr>
      <w:r>
        <w:rPr>
          <w:sz w:val="24"/>
          <w:szCs w:val="24"/>
        </w:rPr>
        <w:tab/>
        <w:t xml:space="preserve">Derfor frarådes brugen af </w:t>
      </w:r>
      <w:proofErr w:type="spellStart"/>
      <w:r>
        <w:rPr>
          <w:sz w:val="24"/>
          <w:szCs w:val="24"/>
        </w:rPr>
        <w:t>lansoprazol</w:t>
      </w:r>
      <w:proofErr w:type="spellEnd"/>
      <w:r>
        <w:rPr>
          <w:sz w:val="24"/>
          <w:szCs w:val="24"/>
        </w:rPr>
        <w:t xml:space="preserve"> under graviditet.</w:t>
      </w:r>
    </w:p>
    <w:p w14:paraId="67E6C91B" w14:textId="77777777" w:rsidR="004D4CB4" w:rsidRDefault="004D4CB4" w:rsidP="004D4CB4">
      <w:pPr>
        <w:ind w:left="851" w:hanging="851"/>
        <w:rPr>
          <w:sz w:val="24"/>
          <w:szCs w:val="24"/>
        </w:rPr>
      </w:pPr>
    </w:p>
    <w:p w14:paraId="735529BB" w14:textId="77777777" w:rsidR="00711401" w:rsidRDefault="004D4CB4" w:rsidP="00711401">
      <w:pPr>
        <w:keepNext/>
        <w:ind w:left="851" w:hanging="851"/>
        <w:rPr>
          <w:sz w:val="24"/>
          <w:szCs w:val="24"/>
          <w:u w:val="single"/>
        </w:rPr>
      </w:pPr>
      <w:r>
        <w:rPr>
          <w:sz w:val="24"/>
          <w:szCs w:val="24"/>
        </w:rPr>
        <w:tab/>
      </w:r>
      <w:r w:rsidR="00711401">
        <w:rPr>
          <w:sz w:val="24"/>
          <w:szCs w:val="24"/>
          <w:u w:val="single"/>
        </w:rPr>
        <w:t>Amning</w:t>
      </w:r>
    </w:p>
    <w:p w14:paraId="252EEDFC" w14:textId="77777777" w:rsidR="00711401" w:rsidRDefault="00711401" w:rsidP="00711401">
      <w:pPr>
        <w:ind w:left="851" w:hanging="851"/>
        <w:rPr>
          <w:sz w:val="24"/>
          <w:szCs w:val="24"/>
        </w:rPr>
      </w:pPr>
      <w:r>
        <w:rPr>
          <w:sz w:val="24"/>
          <w:szCs w:val="24"/>
        </w:rPr>
        <w:tab/>
        <w:t xml:space="preserve">Det er ukendt, om </w:t>
      </w:r>
      <w:proofErr w:type="spellStart"/>
      <w:r>
        <w:rPr>
          <w:sz w:val="24"/>
          <w:szCs w:val="24"/>
        </w:rPr>
        <w:t>lansoprazol</w:t>
      </w:r>
      <w:proofErr w:type="spellEnd"/>
      <w:r>
        <w:rPr>
          <w:sz w:val="24"/>
          <w:szCs w:val="24"/>
        </w:rPr>
        <w:t xml:space="preserve">/metabolitter udskilles i human brystmælk. Dyrestudier har vist udskillelse af </w:t>
      </w:r>
      <w:proofErr w:type="spellStart"/>
      <w:r>
        <w:rPr>
          <w:sz w:val="24"/>
          <w:szCs w:val="24"/>
        </w:rPr>
        <w:t>lansoprazol</w:t>
      </w:r>
      <w:proofErr w:type="spellEnd"/>
      <w:r>
        <w:rPr>
          <w:sz w:val="24"/>
          <w:szCs w:val="24"/>
        </w:rPr>
        <w:t xml:space="preserve"> i brystmælk. </w:t>
      </w:r>
    </w:p>
    <w:p w14:paraId="40CDEE62" w14:textId="12878064" w:rsidR="004D4CB4" w:rsidRDefault="004D4CB4" w:rsidP="00711401">
      <w:pPr>
        <w:keepNext/>
        <w:ind w:left="851" w:hanging="851"/>
        <w:rPr>
          <w:sz w:val="24"/>
          <w:szCs w:val="24"/>
        </w:rPr>
      </w:pPr>
    </w:p>
    <w:p w14:paraId="373EF3FA" w14:textId="77777777" w:rsidR="004D4CB4" w:rsidRDefault="004D4CB4" w:rsidP="004D4CB4">
      <w:pPr>
        <w:ind w:left="851" w:hanging="851"/>
        <w:rPr>
          <w:sz w:val="24"/>
          <w:szCs w:val="24"/>
        </w:rPr>
      </w:pPr>
      <w:r>
        <w:rPr>
          <w:sz w:val="24"/>
          <w:szCs w:val="24"/>
        </w:rPr>
        <w:tab/>
        <w:t xml:space="preserve">Der bør tages beslutning om enten at fortsætte/afbryde amningen eller fortsætte/seponere behandlingen med </w:t>
      </w:r>
      <w:proofErr w:type="spellStart"/>
      <w:r>
        <w:rPr>
          <w:sz w:val="24"/>
          <w:szCs w:val="24"/>
        </w:rPr>
        <w:t>lansoprazol</w:t>
      </w:r>
      <w:proofErr w:type="spellEnd"/>
      <w:r>
        <w:rPr>
          <w:sz w:val="24"/>
          <w:szCs w:val="24"/>
        </w:rPr>
        <w:t xml:space="preserve"> under hensyntagen til fordelen ved amning for barnet og fordelen ved behandlingen med </w:t>
      </w:r>
      <w:proofErr w:type="spellStart"/>
      <w:r>
        <w:rPr>
          <w:sz w:val="24"/>
          <w:szCs w:val="24"/>
        </w:rPr>
        <w:t>lansoprazol</w:t>
      </w:r>
      <w:proofErr w:type="spellEnd"/>
      <w:r>
        <w:rPr>
          <w:sz w:val="24"/>
          <w:szCs w:val="24"/>
        </w:rPr>
        <w:t xml:space="preserve"> for kvinden.</w:t>
      </w:r>
    </w:p>
    <w:p w14:paraId="05229783" w14:textId="77777777" w:rsidR="0040224B" w:rsidRDefault="0040224B" w:rsidP="004D4CB4">
      <w:pPr>
        <w:ind w:left="851" w:hanging="851"/>
        <w:rPr>
          <w:sz w:val="24"/>
          <w:szCs w:val="24"/>
        </w:rPr>
      </w:pPr>
    </w:p>
    <w:p w14:paraId="1B1B4054" w14:textId="77777777" w:rsidR="0040224B" w:rsidRPr="00202E07" w:rsidRDefault="0040224B" w:rsidP="009024E7">
      <w:pPr>
        <w:keepNext/>
        <w:ind w:left="851"/>
        <w:rPr>
          <w:sz w:val="24"/>
          <w:szCs w:val="24"/>
          <w:u w:val="single"/>
        </w:rPr>
      </w:pPr>
      <w:r w:rsidRPr="00202E07">
        <w:rPr>
          <w:sz w:val="24"/>
          <w:szCs w:val="24"/>
          <w:u w:val="single"/>
        </w:rPr>
        <w:t>Fertilitet</w:t>
      </w:r>
    </w:p>
    <w:p w14:paraId="7F7F91C8" w14:textId="77777777" w:rsidR="0040224B" w:rsidRDefault="0040224B" w:rsidP="0040224B">
      <w:pPr>
        <w:ind w:left="851" w:hanging="851"/>
        <w:rPr>
          <w:sz w:val="24"/>
          <w:szCs w:val="24"/>
        </w:rPr>
      </w:pPr>
      <w:r>
        <w:rPr>
          <w:sz w:val="24"/>
          <w:szCs w:val="24"/>
        </w:rPr>
        <w:tab/>
        <w:t xml:space="preserve">Der foreligger ingen humane data vedrørende </w:t>
      </w:r>
      <w:proofErr w:type="spellStart"/>
      <w:r>
        <w:rPr>
          <w:sz w:val="24"/>
          <w:szCs w:val="24"/>
        </w:rPr>
        <w:t>lansoprazols</w:t>
      </w:r>
      <w:proofErr w:type="spellEnd"/>
      <w:r>
        <w:rPr>
          <w:sz w:val="24"/>
          <w:szCs w:val="24"/>
        </w:rPr>
        <w:t xml:space="preserve"> effekt på fertilitet. Reproduktionsstudier med gravide rotter og kaniner viste ingen </w:t>
      </w:r>
      <w:proofErr w:type="spellStart"/>
      <w:r>
        <w:rPr>
          <w:sz w:val="24"/>
          <w:szCs w:val="24"/>
        </w:rPr>
        <w:t>lansoprazol</w:t>
      </w:r>
      <w:proofErr w:type="spellEnd"/>
      <w:r>
        <w:rPr>
          <w:sz w:val="24"/>
          <w:szCs w:val="24"/>
        </w:rPr>
        <w:t>-relateret forringelse af fertiliteten.</w:t>
      </w:r>
    </w:p>
    <w:p w14:paraId="5C08997E" w14:textId="77777777" w:rsidR="004D4CB4" w:rsidRPr="00386BA3" w:rsidRDefault="004D4CB4" w:rsidP="004D4CB4">
      <w:pPr>
        <w:ind w:left="851" w:hanging="851"/>
        <w:rPr>
          <w:sz w:val="24"/>
          <w:szCs w:val="24"/>
        </w:rPr>
      </w:pPr>
    </w:p>
    <w:p w14:paraId="50F57015" w14:textId="27D79A12" w:rsidR="004D4CB4" w:rsidRPr="00386BA3" w:rsidRDefault="004D4CB4" w:rsidP="004D4CB4">
      <w:pPr>
        <w:ind w:left="851" w:hanging="851"/>
        <w:rPr>
          <w:b/>
          <w:sz w:val="24"/>
          <w:szCs w:val="24"/>
        </w:rPr>
      </w:pPr>
      <w:r w:rsidRPr="00386BA3">
        <w:rPr>
          <w:b/>
          <w:sz w:val="24"/>
          <w:szCs w:val="24"/>
        </w:rPr>
        <w:t>4.7</w:t>
      </w:r>
      <w:r w:rsidRPr="00386BA3">
        <w:rPr>
          <w:b/>
          <w:sz w:val="24"/>
          <w:szCs w:val="24"/>
        </w:rPr>
        <w:tab/>
        <w:t xml:space="preserve">Virkning på evnen til at føre motorkøretøj </w:t>
      </w:r>
      <w:r w:rsidR="000858AD">
        <w:rPr>
          <w:b/>
          <w:sz w:val="24"/>
          <w:szCs w:val="24"/>
        </w:rPr>
        <w:t>og</w:t>
      </w:r>
      <w:r w:rsidRPr="00386BA3">
        <w:rPr>
          <w:b/>
          <w:sz w:val="24"/>
          <w:szCs w:val="24"/>
        </w:rPr>
        <w:t xml:space="preserve"> betjene maskiner</w:t>
      </w:r>
    </w:p>
    <w:p w14:paraId="72D9B263" w14:textId="77777777" w:rsidR="004D4CB4" w:rsidRPr="00386BA3" w:rsidRDefault="004D4CB4" w:rsidP="004D4CB4">
      <w:pPr>
        <w:ind w:left="851" w:hanging="851"/>
        <w:rPr>
          <w:sz w:val="24"/>
          <w:szCs w:val="24"/>
        </w:rPr>
      </w:pPr>
      <w:r w:rsidRPr="00386BA3">
        <w:rPr>
          <w:sz w:val="24"/>
          <w:szCs w:val="24"/>
        </w:rPr>
        <w:tab/>
        <w:t>Ikke mærkning.</w:t>
      </w:r>
    </w:p>
    <w:p w14:paraId="249D7B39" w14:textId="77777777" w:rsidR="004D4CB4" w:rsidRPr="00386BA3" w:rsidRDefault="004D4CB4" w:rsidP="004D4CB4">
      <w:pPr>
        <w:ind w:left="851" w:hanging="851"/>
        <w:rPr>
          <w:sz w:val="24"/>
          <w:szCs w:val="24"/>
        </w:rPr>
      </w:pPr>
      <w:r w:rsidRPr="00386BA3">
        <w:rPr>
          <w:sz w:val="24"/>
          <w:szCs w:val="24"/>
        </w:rPr>
        <w:tab/>
      </w:r>
    </w:p>
    <w:p w14:paraId="488D0BE7" w14:textId="77777777" w:rsidR="004D4CB4" w:rsidRPr="00386BA3" w:rsidRDefault="004D4CB4" w:rsidP="004D4CB4">
      <w:pPr>
        <w:ind w:left="851" w:hanging="851"/>
        <w:rPr>
          <w:sz w:val="24"/>
          <w:szCs w:val="24"/>
        </w:rPr>
      </w:pPr>
      <w:r w:rsidRPr="00386BA3">
        <w:rPr>
          <w:sz w:val="24"/>
          <w:szCs w:val="24"/>
        </w:rPr>
        <w:tab/>
        <w:t>Der kan forekomme bivirkninger i form af svimmelhed, synsforstyrrelser og træthed (se pkt. 4.8).</w:t>
      </w:r>
      <w:r w:rsidRPr="00CD6003">
        <w:rPr>
          <w:sz w:val="24"/>
          <w:szCs w:val="24"/>
        </w:rPr>
        <w:t xml:space="preserve"> </w:t>
      </w:r>
      <w:r w:rsidRPr="00386BA3">
        <w:rPr>
          <w:sz w:val="24"/>
          <w:szCs w:val="24"/>
        </w:rPr>
        <w:t>Under disse omstændigheder kan reaktionsevnen være nedsat.</w:t>
      </w:r>
      <w:r w:rsidRPr="00CD6003">
        <w:rPr>
          <w:sz w:val="24"/>
          <w:szCs w:val="24"/>
        </w:rPr>
        <w:t xml:space="preserve"> </w:t>
      </w:r>
    </w:p>
    <w:p w14:paraId="660E80B8" w14:textId="77777777" w:rsidR="004D4CB4" w:rsidRPr="00386BA3" w:rsidRDefault="004D4CB4" w:rsidP="004D4CB4">
      <w:pPr>
        <w:ind w:left="851" w:hanging="851"/>
        <w:rPr>
          <w:sz w:val="24"/>
          <w:szCs w:val="24"/>
        </w:rPr>
      </w:pPr>
    </w:p>
    <w:p w14:paraId="556D10F2" w14:textId="77777777" w:rsidR="004D4CB4" w:rsidRPr="00386BA3" w:rsidRDefault="004D4CB4" w:rsidP="004D4CB4">
      <w:pPr>
        <w:ind w:left="851" w:hanging="851"/>
        <w:rPr>
          <w:b/>
          <w:sz w:val="24"/>
          <w:szCs w:val="24"/>
        </w:rPr>
      </w:pPr>
      <w:r w:rsidRPr="00386BA3">
        <w:rPr>
          <w:b/>
          <w:sz w:val="24"/>
          <w:szCs w:val="24"/>
        </w:rPr>
        <w:t>4.8</w:t>
      </w:r>
      <w:r w:rsidRPr="00386BA3">
        <w:rPr>
          <w:b/>
          <w:sz w:val="24"/>
          <w:szCs w:val="24"/>
        </w:rPr>
        <w:tab/>
        <w:t>Bivirkninger</w:t>
      </w:r>
    </w:p>
    <w:p w14:paraId="644FAA14" w14:textId="77777777" w:rsidR="00CC7E5E" w:rsidRDefault="004D4CB4" w:rsidP="00CC7E5E">
      <w:pPr>
        <w:ind w:left="851" w:hanging="851"/>
        <w:rPr>
          <w:sz w:val="24"/>
          <w:szCs w:val="24"/>
        </w:rPr>
      </w:pPr>
      <w:r w:rsidRPr="00386BA3">
        <w:rPr>
          <w:sz w:val="24"/>
          <w:szCs w:val="24"/>
        </w:rPr>
        <w:lastRenderedPageBreak/>
        <w:tab/>
      </w:r>
      <w:r w:rsidR="005416F8">
        <w:rPr>
          <w:sz w:val="24"/>
          <w:szCs w:val="24"/>
        </w:rPr>
        <w:t xml:space="preserve">Hyppighederne har følgende definitioner: meget almindelig (≥1/10), almindelig (≥1/100 til &lt;1/10), ikke almindelig (≥1/1 000 til &lt;1/100), sjælden (≥1/10 000 til &lt;1/1 000) og meget </w:t>
      </w:r>
      <w:r w:rsidR="00CC7E5E">
        <w:rPr>
          <w:sz w:val="24"/>
          <w:szCs w:val="24"/>
        </w:rPr>
        <w:t>sjælden (&lt;1/10 000), ikke kendt (kan ikke estimeres ud fra forhåndenværende data).</w:t>
      </w:r>
    </w:p>
    <w:p w14:paraId="5F3CA78B" w14:textId="77777777" w:rsidR="00CC7E5E" w:rsidRDefault="00CC7E5E" w:rsidP="00CC7E5E">
      <w:pPr>
        <w:pStyle w:val="Sidehoved"/>
        <w:rPr>
          <w:szCs w:val="24"/>
        </w:rPr>
      </w:pPr>
    </w:p>
    <w:tbl>
      <w:tblPr>
        <w:tblStyle w:val="Tabel-Gitter"/>
        <w:tblW w:w="0" w:type="auto"/>
        <w:tblLayout w:type="fixed"/>
        <w:tblLook w:val="04A0" w:firstRow="1" w:lastRow="0" w:firstColumn="1" w:lastColumn="0" w:noHBand="0" w:noVBand="1"/>
      </w:tblPr>
      <w:tblGrid>
        <w:gridCol w:w="1980"/>
        <w:gridCol w:w="1701"/>
        <w:gridCol w:w="1134"/>
        <w:gridCol w:w="1701"/>
        <w:gridCol w:w="1559"/>
        <w:gridCol w:w="1553"/>
      </w:tblGrid>
      <w:tr w:rsidR="00CC7E5E" w14:paraId="6A705CDB" w14:textId="77777777" w:rsidTr="00CC7E5E">
        <w:tc>
          <w:tcPr>
            <w:tcW w:w="1980" w:type="dxa"/>
            <w:tcBorders>
              <w:top w:val="single" w:sz="4" w:space="0" w:color="auto"/>
              <w:left w:val="single" w:sz="4" w:space="0" w:color="auto"/>
              <w:bottom w:val="single" w:sz="4" w:space="0" w:color="auto"/>
              <w:right w:val="single" w:sz="4" w:space="0" w:color="auto"/>
            </w:tcBorders>
          </w:tcPr>
          <w:p w14:paraId="34F45703" w14:textId="77777777" w:rsidR="00CC7E5E" w:rsidRDefault="00CC7E5E">
            <w:pPr>
              <w:pStyle w:val="Sidehoved"/>
              <w:rPr>
                <w:b/>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1CBAEDED" w14:textId="77777777" w:rsidR="00CC7E5E" w:rsidRDefault="00CC7E5E">
            <w:pPr>
              <w:pStyle w:val="Sidehoved"/>
              <w:rPr>
                <w:b/>
                <w:sz w:val="22"/>
                <w:szCs w:val="22"/>
              </w:rPr>
            </w:pPr>
            <w:r>
              <w:rPr>
                <w:b/>
                <w:bCs/>
                <w:sz w:val="22"/>
                <w:szCs w:val="22"/>
              </w:rPr>
              <w:t>Almindelig</w:t>
            </w:r>
          </w:p>
        </w:tc>
        <w:tc>
          <w:tcPr>
            <w:tcW w:w="1134" w:type="dxa"/>
            <w:tcBorders>
              <w:top w:val="single" w:sz="4" w:space="0" w:color="auto"/>
              <w:left w:val="single" w:sz="4" w:space="0" w:color="auto"/>
              <w:bottom w:val="single" w:sz="4" w:space="0" w:color="auto"/>
              <w:right w:val="single" w:sz="4" w:space="0" w:color="auto"/>
            </w:tcBorders>
            <w:hideMark/>
          </w:tcPr>
          <w:p w14:paraId="4A465CC9" w14:textId="77777777" w:rsidR="00CC7E5E" w:rsidRDefault="00CC7E5E">
            <w:pPr>
              <w:pStyle w:val="Sidehoved"/>
              <w:rPr>
                <w:b/>
                <w:sz w:val="22"/>
                <w:szCs w:val="22"/>
              </w:rPr>
            </w:pPr>
            <w:r>
              <w:rPr>
                <w:b/>
                <w:sz w:val="22"/>
                <w:szCs w:val="22"/>
              </w:rPr>
              <w:t xml:space="preserve">Ikke </w:t>
            </w:r>
            <w:r>
              <w:rPr>
                <w:b/>
                <w:sz w:val="22"/>
                <w:szCs w:val="22"/>
              </w:rPr>
              <w:br/>
              <w:t>alminde</w:t>
            </w:r>
            <w:r>
              <w:rPr>
                <w:b/>
                <w:sz w:val="22"/>
                <w:szCs w:val="22"/>
              </w:rPr>
              <w:softHyphen/>
              <w:t>lig</w:t>
            </w:r>
          </w:p>
        </w:tc>
        <w:tc>
          <w:tcPr>
            <w:tcW w:w="1701" w:type="dxa"/>
            <w:tcBorders>
              <w:top w:val="single" w:sz="4" w:space="0" w:color="auto"/>
              <w:left w:val="single" w:sz="4" w:space="0" w:color="auto"/>
              <w:bottom w:val="single" w:sz="4" w:space="0" w:color="auto"/>
              <w:right w:val="single" w:sz="4" w:space="0" w:color="auto"/>
            </w:tcBorders>
            <w:hideMark/>
          </w:tcPr>
          <w:p w14:paraId="086273FF" w14:textId="77777777" w:rsidR="00CC7E5E" w:rsidRDefault="00CC7E5E">
            <w:pPr>
              <w:pStyle w:val="Sidehoved"/>
              <w:rPr>
                <w:b/>
                <w:sz w:val="22"/>
                <w:szCs w:val="22"/>
              </w:rPr>
            </w:pPr>
            <w:r>
              <w:rPr>
                <w:b/>
                <w:sz w:val="22"/>
                <w:szCs w:val="22"/>
              </w:rPr>
              <w:t>Sjælden</w:t>
            </w:r>
          </w:p>
        </w:tc>
        <w:tc>
          <w:tcPr>
            <w:tcW w:w="1559" w:type="dxa"/>
            <w:tcBorders>
              <w:top w:val="single" w:sz="4" w:space="0" w:color="auto"/>
              <w:left w:val="single" w:sz="4" w:space="0" w:color="auto"/>
              <w:bottom w:val="single" w:sz="4" w:space="0" w:color="auto"/>
              <w:right w:val="single" w:sz="4" w:space="0" w:color="auto"/>
            </w:tcBorders>
            <w:hideMark/>
          </w:tcPr>
          <w:p w14:paraId="4408C378" w14:textId="77777777" w:rsidR="00CC7E5E" w:rsidRDefault="00CC7E5E">
            <w:pPr>
              <w:pStyle w:val="Sidehoved"/>
              <w:rPr>
                <w:b/>
                <w:sz w:val="22"/>
                <w:szCs w:val="22"/>
              </w:rPr>
            </w:pPr>
            <w:r>
              <w:rPr>
                <w:b/>
                <w:sz w:val="22"/>
                <w:szCs w:val="22"/>
              </w:rPr>
              <w:t>Meget sjælden</w:t>
            </w:r>
          </w:p>
        </w:tc>
        <w:tc>
          <w:tcPr>
            <w:tcW w:w="1553" w:type="dxa"/>
            <w:tcBorders>
              <w:top w:val="single" w:sz="4" w:space="0" w:color="auto"/>
              <w:left w:val="single" w:sz="4" w:space="0" w:color="auto"/>
              <w:bottom w:val="single" w:sz="4" w:space="0" w:color="auto"/>
              <w:right w:val="single" w:sz="4" w:space="0" w:color="auto"/>
            </w:tcBorders>
            <w:hideMark/>
          </w:tcPr>
          <w:p w14:paraId="1F3FB786" w14:textId="77777777" w:rsidR="00CC7E5E" w:rsidRDefault="00CC7E5E">
            <w:pPr>
              <w:pStyle w:val="Sidehoved"/>
              <w:rPr>
                <w:b/>
                <w:sz w:val="22"/>
                <w:szCs w:val="22"/>
              </w:rPr>
            </w:pPr>
            <w:r>
              <w:rPr>
                <w:b/>
                <w:sz w:val="22"/>
                <w:szCs w:val="22"/>
              </w:rPr>
              <w:t>Ikke kendt</w:t>
            </w:r>
          </w:p>
        </w:tc>
      </w:tr>
      <w:tr w:rsidR="00CC7E5E" w14:paraId="4B2C0884" w14:textId="77777777" w:rsidTr="00CC7E5E">
        <w:tc>
          <w:tcPr>
            <w:tcW w:w="1980" w:type="dxa"/>
            <w:tcBorders>
              <w:top w:val="single" w:sz="4" w:space="0" w:color="auto"/>
              <w:left w:val="single" w:sz="4" w:space="0" w:color="auto"/>
              <w:bottom w:val="single" w:sz="4" w:space="0" w:color="auto"/>
              <w:right w:val="single" w:sz="4" w:space="0" w:color="auto"/>
            </w:tcBorders>
            <w:hideMark/>
          </w:tcPr>
          <w:p w14:paraId="73A71AD7" w14:textId="77777777" w:rsidR="00CC7E5E" w:rsidRDefault="00CC7E5E">
            <w:pPr>
              <w:pStyle w:val="Sidehoved"/>
              <w:rPr>
                <w:sz w:val="22"/>
                <w:szCs w:val="22"/>
              </w:rPr>
            </w:pPr>
            <w:r>
              <w:rPr>
                <w:b/>
                <w:bCs/>
                <w:sz w:val="22"/>
                <w:szCs w:val="22"/>
              </w:rPr>
              <w:t>Blod og lymfesystem</w:t>
            </w:r>
          </w:p>
        </w:tc>
        <w:tc>
          <w:tcPr>
            <w:tcW w:w="1701" w:type="dxa"/>
            <w:tcBorders>
              <w:top w:val="single" w:sz="4" w:space="0" w:color="auto"/>
              <w:left w:val="single" w:sz="4" w:space="0" w:color="auto"/>
              <w:bottom w:val="single" w:sz="4" w:space="0" w:color="auto"/>
              <w:right w:val="single" w:sz="4" w:space="0" w:color="auto"/>
            </w:tcBorders>
          </w:tcPr>
          <w:p w14:paraId="6CBDAFC6" w14:textId="77777777" w:rsidR="00CC7E5E" w:rsidRDefault="00CC7E5E">
            <w:pPr>
              <w:pStyle w:val="Sidehoved"/>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440D40EE" w14:textId="77777777" w:rsidR="00CC7E5E" w:rsidRDefault="00CC7E5E">
            <w:pPr>
              <w:pStyle w:val="Sidehoved"/>
              <w:rPr>
                <w:sz w:val="22"/>
                <w:szCs w:val="22"/>
              </w:rPr>
            </w:pPr>
            <w:proofErr w:type="spellStart"/>
            <w:r>
              <w:rPr>
                <w:sz w:val="22"/>
                <w:szCs w:val="22"/>
              </w:rPr>
              <w:t>Trombo</w:t>
            </w:r>
            <w:r>
              <w:rPr>
                <w:sz w:val="22"/>
                <w:szCs w:val="22"/>
              </w:rPr>
              <w:softHyphen/>
              <w:t>cytopeni</w:t>
            </w:r>
            <w:proofErr w:type="spellEnd"/>
            <w:r>
              <w:rPr>
                <w:sz w:val="22"/>
                <w:szCs w:val="22"/>
              </w:rPr>
              <w:t xml:space="preserve">*, </w:t>
            </w:r>
            <w:proofErr w:type="spellStart"/>
            <w:r>
              <w:rPr>
                <w:sz w:val="22"/>
                <w:szCs w:val="22"/>
              </w:rPr>
              <w:t>eosinofili</w:t>
            </w:r>
            <w:proofErr w:type="spellEnd"/>
            <w:r>
              <w:rPr>
                <w:sz w:val="22"/>
                <w:szCs w:val="22"/>
              </w:rPr>
              <w:t xml:space="preserve">, </w:t>
            </w:r>
            <w:proofErr w:type="spellStart"/>
            <w:r>
              <w:rPr>
                <w:sz w:val="22"/>
                <w:szCs w:val="22"/>
              </w:rPr>
              <w:t>leukopeni</w:t>
            </w:r>
            <w:proofErr w:type="spellEnd"/>
            <w:r>
              <w:rPr>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4B80C9FE" w14:textId="77777777" w:rsidR="00CC7E5E" w:rsidRDefault="00CC7E5E">
            <w:pPr>
              <w:pStyle w:val="Sidehoved"/>
              <w:rPr>
                <w:sz w:val="22"/>
                <w:szCs w:val="22"/>
              </w:rPr>
            </w:pPr>
            <w:r>
              <w:rPr>
                <w:sz w:val="22"/>
                <w:szCs w:val="22"/>
              </w:rPr>
              <w:t>Anæmi</w:t>
            </w:r>
          </w:p>
        </w:tc>
        <w:tc>
          <w:tcPr>
            <w:tcW w:w="1559" w:type="dxa"/>
            <w:tcBorders>
              <w:top w:val="single" w:sz="4" w:space="0" w:color="auto"/>
              <w:left w:val="single" w:sz="4" w:space="0" w:color="auto"/>
              <w:bottom w:val="single" w:sz="4" w:space="0" w:color="auto"/>
              <w:right w:val="single" w:sz="4" w:space="0" w:color="auto"/>
            </w:tcBorders>
            <w:hideMark/>
          </w:tcPr>
          <w:p w14:paraId="26D205D1" w14:textId="77777777" w:rsidR="00CC7E5E" w:rsidRDefault="00CC7E5E">
            <w:pPr>
              <w:pStyle w:val="Sidehoved"/>
              <w:rPr>
                <w:sz w:val="22"/>
                <w:szCs w:val="22"/>
              </w:rPr>
            </w:pPr>
            <w:proofErr w:type="spellStart"/>
            <w:r>
              <w:rPr>
                <w:sz w:val="22"/>
                <w:szCs w:val="22"/>
              </w:rPr>
              <w:t>Agranulo</w:t>
            </w:r>
            <w:r>
              <w:rPr>
                <w:sz w:val="22"/>
                <w:szCs w:val="22"/>
              </w:rPr>
              <w:softHyphen/>
              <w:t>cytose</w:t>
            </w:r>
            <w:proofErr w:type="spellEnd"/>
            <w:r>
              <w:rPr>
                <w:sz w:val="22"/>
                <w:szCs w:val="22"/>
              </w:rPr>
              <w:t xml:space="preserve">*, </w:t>
            </w:r>
            <w:proofErr w:type="spellStart"/>
            <w:r>
              <w:rPr>
                <w:sz w:val="22"/>
                <w:szCs w:val="22"/>
              </w:rPr>
              <w:t>pancytopeni</w:t>
            </w:r>
            <w:proofErr w:type="spellEnd"/>
            <w:r>
              <w:rPr>
                <w:sz w:val="22"/>
                <w:szCs w:val="22"/>
              </w:rPr>
              <w:t>*</w:t>
            </w:r>
          </w:p>
        </w:tc>
        <w:tc>
          <w:tcPr>
            <w:tcW w:w="1553" w:type="dxa"/>
            <w:tcBorders>
              <w:top w:val="single" w:sz="4" w:space="0" w:color="auto"/>
              <w:left w:val="single" w:sz="4" w:space="0" w:color="auto"/>
              <w:bottom w:val="single" w:sz="4" w:space="0" w:color="auto"/>
              <w:right w:val="single" w:sz="4" w:space="0" w:color="auto"/>
            </w:tcBorders>
          </w:tcPr>
          <w:p w14:paraId="6235F605" w14:textId="77777777" w:rsidR="00CC7E5E" w:rsidRDefault="00CC7E5E">
            <w:pPr>
              <w:pStyle w:val="Sidehoved"/>
              <w:rPr>
                <w:sz w:val="22"/>
                <w:szCs w:val="22"/>
              </w:rPr>
            </w:pPr>
          </w:p>
        </w:tc>
      </w:tr>
      <w:tr w:rsidR="00CC7E5E" w14:paraId="5801009F" w14:textId="77777777" w:rsidTr="00CC7E5E">
        <w:tc>
          <w:tcPr>
            <w:tcW w:w="1980" w:type="dxa"/>
            <w:tcBorders>
              <w:top w:val="single" w:sz="4" w:space="0" w:color="auto"/>
              <w:left w:val="single" w:sz="4" w:space="0" w:color="auto"/>
              <w:bottom w:val="single" w:sz="4" w:space="0" w:color="auto"/>
              <w:right w:val="single" w:sz="4" w:space="0" w:color="auto"/>
            </w:tcBorders>
            <w:hideMark/>
          </w:tcPr>
          <w:p w14:paraId="734F7C9A" w14:textId="77777777" w:rsidR="00CC7E5E" w:rsidRDefault="00CC7E5E">
            <w:pPr>
              <w:pStyle w:val="Sidehoved"/>
              <w:rPr>
                <w:b/>
                <w:bCs/>
                <w:sz w:val="22"/>
                <w:szCs w:val="22"/>
              </w:rPr>
            </w:pPr>
            <w:r>
              <w:rPr>
                <w:b/>
                <w:bCs/>
                <w:sz w:val="22"/>
                <w:szCs w:val="22"/>
              </w:rPr>
              <w:t>Immunsystemet</w:t>
            </w:r>
          </w:p>
        </w:tc>
        <w:tc>
          <w:tcPr>
            <w:tcW w:w="1701" w:type="dxa"/>
            <w:tcBorders>
              <w:top w:val="single" w:sz="4" w:space="0" w:color="auto"/>
              <w:left w:val="single" w:sz="4" w:space="0" w:color="auto"/>
              <w:bottom w:val="single" w:sz="4" w:space="0" w:color="auto"/>
              <w:right w:val="single" w:sz="4" w:space="0" w:color="auto"/>
            </w:tcBorders>
          </w:tcPr>
          <w:p w14:paraId="4B6C192E" w14:textId="77777777" w:rsidR="00CC7E5E" w:rsidRDefault="00CC7E5E">
            <w:pPr>
              <w:pStyle w:val="Sidehoved"/>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0ECFA8" w14:textId="77777777" w:rsidR="00CC7E5E" w:rsidRDefault="00CC7E5E">
            <w:pPr>
              <w:pStyle w:val="Sidehoved"/>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C41209F" w14:textId="77777777" w:rsidR="00CC7E5E" w:rsidRDefault="00CC7E5E">
            <w:pPr>
              <w:pStyle w:val="Sidehoved"/>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398D3D44" w14:textId="77777777" w:rsidR="00CC7E5E" w:rsidRDefault="00CC7E5E">
            <w:pPr>
              <w:pStyle w:val="Sidehoved"/>
              <w:rPr>
                <w:sz w:val="22"/>
                <w:szCs w:val="22"/>
              </w:rPr>
            </w:pPr>
            <w:proofErr w:type="spellStart"/>
            <w:r>
              <w:rPr>
                <w:sz w:val="22"/>
                <w:szCs w:val="22"/>
                <w:lang w:eastAsia="fr-FR" w:bidi="he-IL"/>
              </w:rPr>
              <w:t>Anafylaktisk</w:t>
            </w:r>
            <w:proofErr w:type="spellEnd"/>
            <w:r>
              <w:rPr>
                <w:sz w:val="22"/>
                <w:szCs w:val="22"/>
                <w:lang w:eastAsia="fr-FR" w:bidi="he-IL"/>
              </w:rPr>
              <w:t xml:space="preserve"> </w:t>
            </w:r>
            <w:proofErr w:type="spellStart"/>
            <w:r>
              <w:rPr>
                <w:sz w:val="22"/>
                <w:szCs w:val="22"/>
                <w:lang w:eastAsia="fr-FR" w:bidi="he-IL"/>
              </w:rPr>
              <w:t>shock</w:t>
            </w:r>
            <w:proofErr w:type="spellEnd"/>
            <w:r>
              <w:rPr>
                <w:sz w:val="22"/>
                <w:szCs w:val="22"/>
                <w:lang w:eastAsia="fr-FR" w:bidi="he-IL"/>
              </w:rPr>
              <w:t>*</w:t>
            </w:r>
          </w:p>
        </w:tc>
        <w:tc>
          <w:tcPr>
            <w:tcW w:w="1553" w:type="dxa"/>
            <w:tcBorders>
              <w:top w:val="single" w:sz="4" w:space="0" w:color="auto"/>
              <w:left w:val="single" w:sz="4" w:space="0" w:color="auto"/>
              <w:bottom w:val="single" w:sz="4" w:space="0" w:color="auto"/>
              <w:right w:val="single" w:sz="4" w:space="0" w:color="auto"/>
            </w:tcBorders>
          </w:tcPr>
          <w:p w14:paraId="7A743ACF" w14:textId="77777777" w:rsidR="00CC7E5E" w:rsidRDefault="00CC7E5E">
            <w:pPr>
              <w:pStyle w:val="Sidehoved"/>
              <w:rPr>
                <w:sz w:val="22"/>
                <w:szCs w:val="22"/>
              </w:rPr>
            </w:pPr>
          </w:p>
        </w:tc>
      </w:tr>
      <w:tr w:rsidR="00CC7E5E" w14:paraId="73374962" w14:textId="77777777" w:rsidTr="00CC7E5E">
        <w:tc>
          <w:tcPr>
            <w:tcW w:w="1980" w:type="dxa"/>
            <w:tcBorders>
              <w:top w:val="single" w:sz="4" w:space="0" w:color="auto"/>
              <w:left w:val="single" w:sz="4" w:space="0" w:color="auto"/>
              <w:bottom w:val="single" w:sz="4" w:space="0" w:color="auto"/>
              <w:right w:val="single" w:sz="4" w:space="0" w:color="auto"/>
            </w:tcBorders>
            <w:hideMark/>
          </w:tcPr>
          <w:p w14:paraId="3981C37B" w14:textId="77777777" w:rsidR="00CC7E5E" w:rsidRDefault="00CC7E5E">
            <w:pPr>
              <w:pStyle w:val="Sidehoved"/>
              <w:rPr>
                <w:b/>
                <w:bCs/>
                <w:sz w:val="22"/>
                <w:szCs w:val="22"/>
              </w:rPr>
            </w:pPr>
            <w:r>
              <w:rPr>
                <w:b/>
                <w:bCs/>
                <w:sz w:val="22"/>
                <w:szCs w:val="22"/>
                <w:lang w:eastAsia="fr-FR" w:bidi="he-IL"/>
              </w:rPr>
              <w:t xml:space="preserve">Metabolisme og ernæring </w:t>
            </w:r>
          </w:p>
        </w:tc>
        <w:tc>
          <w:tcPr>
            <w:tcW w:w="1701" w:type="dxa"/>
            <w:tcBorders>
              <w:top w:val="single" w:sz="4" w:space="0" w:color="auto"/>
              <w:left w:val="single" w:sz="4" w:space="0" w:color="auto"/>
              <w:bottom w:val="single" w:sz="4" w:space="0" w:color="auto"/>
              <w:right w:val="single" w:sz="4" w:space="0" w:color="auto"/>
            </w:tcBorders>
          </w:tcPr>
          <w:p w14:paraId="423518DB" w14:textId="77777777" w:rsidR="00CC7E5E" w:rsidRDefault="00CC7E5E">
            <w:pPr>
              <w:pStyle w:val="Sidehoved"/>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A0754DD" w14:textId="77777777" w:rsidR="00CC7E5E" w:rsidRDefault="00CC7E5E">
            <w:pPr>
              <w:pStyle w:val="Sidehoved"/>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64F6AD1" w14:textId="77777777" w:rsidR="00CC7E5E" w:rsidRDefault="00CC7E5E">
            <w:pPr>
              <w:pStyle w:val="Sidehoved"/>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3FC1A72C" w14:textId="77777777" w:rsidR="00CC7E5E" w:rsidRDefault="00CC7E5E">
            <w:pPr>
              <w:pStyle w:val="Sidehoved"/>
              <w:rPr>
                <w:sz w:val="22"/>
                <w:szCs w:val="22"/>
              </w:rPr>
            </w:pPr>
            <w:proofErr w:type="spellStart"/>
            <w:r>
              <w:rPr>
                <w:sz w:val="22"/>
                <w:szCs w:val="22"/>
              </w:rPr>
              <w:t>Hyponatriæmi</w:t>
            </w:r>
            <w:proofErr w:type="spellEnd"/>
            <w:r>
              <w:rPr>
                <w:sz w:val="22"/>
                <w:szCs w:val="22"/>
              </w:rPr>
              <w:t>*</w:t>
            </w:r>
          </w:p>
        </w:tc>
        <w:tc>
          <w:tcPr>
            <w:tcW w:w="1553" w:type="dxa"/>
            <w:tcBorders>
              <w:top w:val="single" w:sz="4" w:space="0" w:color="auto"/>
              <w:left w:val="single" w:sz="4" w:space="0" w:color="auto"/>
              <w:bottom w:val="single" w:sz="4" w:space="0" w:color="auto"/>
              <w:right w:val="single" w:sz="4" w:space="0" w:color="auto"/>
            </w:tcBorders>
            <w:hideMark/>
          </w:tcPr>
          <w:p w14:paraId="03371542" w14:textId="77777777" w:rsidR="00CC7E5E" w:rsidRDefault="00CC7E5E">
            <w:pPr>
              <w:pStyle w:val="Sidehoved"/>
              <w:rPr>
                <w:sz w:val="22"/>
                <w:szCs w:val="22"/>
              </w:rPr>
            </w:pPr>
            <w:proofErr w:type="spellStart"/>
            <w:r>
              <w:rPr>
                <w:sz w:val="22"/>
                <w:szCs w:val="22"/>
                <w:lang w:eastAsia="fr-FR" w:bidi="he-IL"/>
              </w:rPr>
              <w:t>Hypo-magnesiæmi</w:t>
            </w:r>
            <w:proofErr w:type="spellEnd"/>
            <w:r>
              <w:rPr>
                <w:sz w:val="22"/>
                <w:szCs w:val="22"/>
              </w:rPr>
              <w:t xml:space="preserve">*, </w:t>
            </w:r>
            <w:proofErr w:type="spellStart"/>
            <w:r>
              <w:rPr>
                <w:sz w:val="22"/>
                <w:szCs w:val="22"/>
                <w:lang w:eastAsia="fr-FR" w:bidi="he-IL"/>
              </w:rPr>
              <w:t>hypocalcæmi</w:t>
            </w:r>
            <w:proofErr w:type="spellEnd"/>
            <w:r>
              <w:rPr>
                <w:sz w:val="22"/>
                <w:szCs w:val="22"/>
                <w:lang w:eastAsia="fr-FR" w:bidi="he-IL"/>
              </w:rPr>
              <w:t xml:space="preserve"> * </w:t>
            </w:r>
            <w:r>
              <w:rPr>
                <w:sz w:val="22"/>
                <w:szCs w:val="22"/>
                <w:vertAlign w:val="superscript"/>
                <w:lang w:val="en-GB" w:eastAsia="fr-FR" w:bidi="he-IL"/>
              </w:rPr>
              <w:t>ϯ</w:t>
            </w:r>
            <w:r>
              <w:rPr>
                <w:sz w:val="22"/>
                <w:szCs w:val="22"/>
                <w:lang w:eastAsia="fr-FR" w:bidi="he-IL"/>
              </w:rPr>
              <w:t xml:space="preserve">, </w:t>
            </w:r>
            <w:proofErr w:type="spellStart"/>
            <w:r>
              <w:rPr>
                <w:sz w:val="22"/>
                <w:szCs w:val="22"/>
                <w:lang w:eastAsia="fr-FR" w:bidi="he-IL"/>
              </w:rPr>
              <w:t>hypokaliæmi</w:t>
            </w:r>
            <w:proofErr w:type="spellEnd"/>
            <w:r>
              <w:rPr>
                <w:sz w:val="22"/>
                <w:szCs w:val="22"/>
                <w:lang w:eastAsia="fr-FR" w:bidi="he-IL"/>
              </w:rPr>
              <w:t xml:space="preserve"> * </w:t>
            </w:r>
            <w:r>
              <w:rPr>
                <w:sz w:val="22"/>
                <w:szCs w:val="22"/>
                <w:vertAlign w:val="superscript"/>
                <w:lang w:val="en-GB" w:eastAsia="fr-FR" w:bidi="he-IL"/>
              </w:rPr>
              <w:t>ϯ</w:t>
            </w:r>
            <w:r w:rsidRPr="00CC7E5E">
              <w:rPr>
                <w:sz w:val="22"/>
                <w:szCs w:val="22"/>
              </w:rPr>
              <w:t xml:space="preserve"> </w:t>
            </w:r>
            <w:r>
              <w:rPr>
                <w:sz w:val="22"/>
                <w:szCs w:val="22"/>
              </w:rPr>
              <w:t>(se pkt. 4.4)</w:t>
            </w:r>
          </w:p>
        </w:tc>
      </w:tr>
      <w:tr w:rsidR="00CC7E5E" w14:paraId="04C2C2BB" w14:textId="77777777" w:rsidTr="00CC7E5E">
        <w:tc>
          <w:tcPr>
            <w:tcW w:w="1980" w:type="dxa"/>
            <w:tcBorders>
              <w:top w:val="single" w:sz="4" w:space="0" w:color="auto"/>
              <w:left w:val="single" w:sz="4" w:space="0" w:color="auto"/>
              <w:bottom w:val="single" w:sz="4" w:space="0" w:color="auto"/>
              <w:right w:val="single" w:sz="4" w:space="0" w:color="auto"/>
            </w:tcBorders>
            <w:hideMark/>
          </w:tcPr>
          <w:p w14:paraId="2B072E97" w14:textId="77777777" w:rsidR="00CC7E5E" w:rsidRDefault="00CC7E5E">
            <w:pPr>
              <w:pStyle w:val="Sidehoved"/>
              <w:rPr>
                <w:sz w:val="22"/>
                <w:szCs w:val="22"/>
              </w:rPr>
            </w:pPr>
            <w:r>
              <w:rPr>
                <w:b/>
                <w:bCs/>
                <w:sz w:val="22"/>
                <w:szCs w:val="22"/>
              </w:rPr>
              <w:t>Psykiske forstyrrelser</w:t>
            </w:r>
          </w:p>
        </w:tc>
        <w:tc>
          <w:tcPr>
            <w:tcW w:w="1701" w:type="dxa"/>
            <w:tcBorders>
              <w:top w:val="single" w:sz="4" w:space="0" w:color="auto"/>
              <w:left w:val="single" w:sz="4" w:space="0" w:color="auto"/>
              <w:bottom w:val="single" w:sz="4" w:space="0" w:color="auto"/>
              <w:right w:val="single" w:sz="4" w:space="0" w:color="auto"/>
            </w:tcBorders>
          </w:tcPr>
          <w:p w14:paraId="4D931652" w14:textId="77777777" w:rsidR="00CC7E5E" w:rsidRDefault="00CC7E5E">
            <w:pPr>
              <w:pStyle w:val="Sidehoved"/>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1ECC1BDC" w14:textId="77777777" w:rsidR="00CC7E5E" w:rsidRDefault="00CC7E5E">
            <w:pPr>
              <w:pStyle w:val="Sidehoved"/>
              <w:rPr>
                <w:sz w:val="22"/>
                <w:szCs w:val="22"/>
              </w:rPr>
            </w:pPr>
            <w:r>
              <w:rPr>
                <w:sz w:val="22"/>
                <w:szCs w:val="22"/>
              </w:rPr>
              <w:t>Depres</w:t>
            </w:r>
            <w:r>
              <w:rPr>
                <w:sz w:val="22"/>
                <w:szCs w:val="22"/>
              </w:rPr>
              <w:softHyphen/>
              <w:t>sion</w:t>
            </w:r>
          </w:p>
        </w:tc>
        <w:tc>
          <w:tcPr>
            <w:tcW w:w="1701" w:type="dxa"/>
            <w:tcBorders>
              <w:top w:val="single" w:sz="4" w:space="0" w:color="auto"/>
              <w:left w:val="single" w:sz="4" w:space="0" w:color="auto"/>
              <w:bottom w:val="single" w:sz="4" w:space="0" w:color="auto"/>
              <w:right w:val="single" w:sz="4" w:space="0" w:color="auto"/>
            </w:tcBorders>
            <w:hideMark/>
          </w:tcPr>
          <w:p w14:paraId="1755991F" w14:textId="77777777" w:rsidR="00CC7E5E" w:rsidRDefault="00CC7E5E">
            <w:pPr>
              <w:pStyle w:val="Sidehoved"/>
              <w:rPr>
                <w:sz w:val="22"/>
                <w:szCs w:val="22"/>
              </w:rPr>
            </w:pPr>
            <w:proofErr w:type="spellStart"/>
            <w:r>
              <w:rPr>
                <w:sz w:val="22"/>
                <w:szCs w:val="22"/>
              </w:rPr>
              <w:t>Insomni</w:t>
            </w:r>
            <w:proofErr w:type="spellEnd"/>
            <w:r>
              <w:rPr>
                <w:sz w:val="22"/>
                <w:szCs w:val="22"/>
              </w:rPr>
              <w:t>, hallucinationer, konfusion</w:t>
            </w:r>
          </w:p>
        </w:tc>
        <w:tc>
          <w:tcPr>
            <w:tcW w:w="1559" w:type="dxa"/>
            <w:tcBorders>
              <w:top w:val="single" w:sz="4" w:space="0" w:color="auto"/>
              <w:left w:val="single" w:sz="4" w:space="0" w:color="auto"/>
              <w:bottom w:val="single" w:sz="4" w:space="0" w:color="auto"/>
              <w:right w:val="single" w:sz="4" w:space="0" w:color="auto"/>
            </w:tcBorders>
          </w:tcPr>
          <w:p w14:paraId="49DFF7B4" w14:textId="77777777" w:rsidR="00CC7E5E" w:rsidRDefault="00CC7E5E">
            <w:pPr>
              <w:pStyle w:val="Sidehoved"/>
              <w:rPr>
                <w:sz w:val="22"/>
                <w:szCs w:val="22"/>
              </w:rPr>
            </w:pPr>
          </w:p>
        </w:tc>
        <w:tc>
          <w:tcPr>
            <w:tcW w:w="1553" w:type="dxa"/>
            <w:tcBorders>
              <w:top w:val="single" w:sz="4" w:space="0" w:color="auto"/>
              <w:left w:val="single" w:sz="4" w:space="0" w:color="auto"/>
              <w:bottom w:val="single" w:sz="4" w:space="0" w:color="auto"/>
              <w:right w:val="single" w:sz="4" w:space="0" w:color="auto"/>
            </w:tcBorders>
            <w:hideMark/>
          </w:tcPr>
          <w:p w14:paraId="302E8C22" w14:textId="77777777" w:rsidR="00CC7E5E" w:rsidRDefault="00CC7E5E">
            <w:pPr>
              <w:pStyle w:val="Sidehoved"/>
              <w:rPr>
                <w:sz w:val="22"/>
                <w:szCs w:val="22"/>
              </w:rPr>
            </w:pPr>
            <w:r>
              <w:rPr>
                <w:sz w:val="22"/>
                <w:szCs w:val="22"/>
              </w:rPr>
              <w:t>Visuelle hallucinationer</w:t>
            </w:r>
          </w:p>
        </w:tc>
      </w:tr>
      <w:tr w:rsidR="00CC7E5E" w14:paraId="70ADDD30" w14:textId="77777777" w:rsidTr="00CC7E5E">
        <w:tc>
          <w:tcPr>
            <w:tcW w:w="1980" w:type="dxa"/>
            <w:tcBorders>
              <w:top w:val="single" w:sz="4" w:space="0" w:color="auto"/>
              <w:left w:val="single" w:sz="4" w:space="0" w:color="auto"/>
              <w:bottom w:val="single" w:sz="4" w:space="0" w:color="auto"/>
              <w:right w:val="single" w:sz="4" w:space="0" w:color="auto"/>
            </w:tcBorders>
            <w:hideMark/>
          </w:tcPr>
          <w:p w14:paraId="3EB53343" w14:textId="77777777" w:rsidR="00CC7E5E" w:rsidRDefault="00CC7E5E">
            <w:pPr>
              <w:pStyle w:val="Sidehoved"/>
              <w:rPr>
                <w:sz w:val="22"/>
                <w:szCs w:val="22"/>
              </w:rPr>
            </w:pPr>
            <w:r>
              <w:rPr>
                <w:b/>
                <w:bCs/>
                <w:sz w:val="22"/>
                <w:szCs w:val="22"/>
              </w:rPr>
              <w:t>Nervesystemet</w:t>
            </w:r>
          </w:p>
        </w:tc>
        <w:tc>
          <w:tcPr>
            <w:tcW w:w="1701" w:type="dxa"/>
            <w:tcBorders>
              <w:top w:val="single" w:sz="4" w:space="0" w:color="auto"/>
              <w:left w:val="single" w:sz="4" w:space="0" w:color="auto"/>
              <w:bottom w:val="single" w:sz="4" w:space="0" w:color="auto"/>
              <w:right w:val="single" w:sz="4" w:space="0" w:color="auto"/>
            </w:tcBorders>
            <w:hideMark/>
          </w:tcPr>
          <w:p w14:paraId="487C5513" w14:textId="77777777" w:rsidR="00CC7E5E" w:rsidRDefault="00CC7E5E">
            <w:pPr>
              <w:pStyle w:val="Sidehoved"/>
              <w:rPr>
                <w:sz w:val="22"/>
                <w:szCs w:val="22"/>
              </w:rPr>
            </w:pPr>
            <w:r>
              <w:rPr>
                <w:sz w:val="22"/>
                <w:szCs w:val="22"/>
              </w:rPr>
              <w:t>Hovedpine, svimmelhed</w:t>
            </w:r>
          </w:p>
        </w:tc>
        <w:tc>
          <w:tcPr>
            <w:tcW w:w="1134" w:type="dxa"/>
            <w:tcBorders>
              <w:top w:val="single" w:sz="4" w:space="0" w:color="auto"/>
              <w:left w:val="single" w:sz="4" w:space="0" w:color="auto"/>
              <w:bottom w:val="single" w:sz="4" w:space="0" w:color="auto"/>
              <w:right w:val="single" w:sz="4" w:space="0" w:color="auto"/>
            </w:tcBorders>
          </w:tcPr>
          <w:p w14:paraId="64D89B88" w14:textId="77777777" w:rsidR="00CC7E5E" w:rsidRDefault="00CC7E5E">
            <w:pPr>
              <w:pStyle w:val="Sidehoved"/>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4D3A43E" w14:textId="77777777" w:rsidR="00CC7E5E" w:rsidRDefault="00CC7E5E">
            <w:pPr>
              <w:pStyle w:val="Sidehoved"/>
              <w:rPr>
                <w:sz w:val="22"/>
                <w:szCs w:val="22"/>
              </w:rPr>
            </w:pPr>
            <w:r>
              <w:rPr>
                <w:sz w:val="22"/>
                <w:szCs w:val="22"/>
              </w:rPr>
              <w:t xml:space="preserve">Rastløshed, </w:t>
            </w:r>
            <w:proofErr w:type="spellStart"/>
            <w:r>
              <w:rPr>
                <w:sz w:val="22"/>
                <w:szCs w:val="22"/>
              </w:rPr>
              <w:t>vertigo</w:t>
            </w:r>
            <w:proofErr w:type="spellEnd"/>
            <w:r>
              <w:rPr>
                <w:sz w:val="22"/>
                <w:szCs w:val="22"/>
              </w:rPr>
              <w:t xml:space="preserve">, </w:t>
            </w:r>
            <w:proofErr w:type="spellStart"/>
            <w:r>
              <w:rPr>
                <w:sz w:val="22"/>
                <w:szCs w:val="22"/>
              </w:rPr>
              <w:t>paræstesi</w:t>
            </w:r>
            <w:proofErr w:type="spellEnd"/>
            <w:r>
              <w:rPr>
                <w:sz w:val="22"/>
                <w:szCs w:val="22"/>
              </w:rPr>
              <w:t xml:space="preserve">, </w:t>
            </w:r>
            <w:proofErr w:type="spellStart"/>
            <w:r>
              <w:rPr>
                <w:sz w:val="22"/>
                <w:szCs w:val="22"/>
              </w:rPr>
              <w:t>somnolens</w:t>
            </w:r>
            <w:proofErr w:type="spellEnd"/>
            <w:r>
              <w:rPr>
                <w:sz w:val="22"/>
                <w:szCs w:val="22"/>
              </w:rPr>
              <w:t xml:space="preserve">, </w:t>
            </w:r>
            <w:proofErr w:type="spellStart"/>
            <w:r>
              <w:rPr>
                <w:sz w:val="22"/>
                <w:szCs w:val="22"/>
              </w:rPr>
              <w:t>tremor</w:t>
            </w:r>
            <w:proofErr w:type="spellEnd"/>
          </w:p>
        </w:tc>
        <w:tc>
          <w:tcPr>
            <w:tcW w:w="1559" w:type="dxa"/>
            <w:tcBorders>
              <w:top w:val="single" w:sz="4" w:space="0" w:color="auto"/>
              <w:left w:val="single" w:sz="4" w:space="0" w:color="auto"/>
              <w:bottom w:val="single" w:sz="4" w:space="0" w:color="auto"/>
              <w:right w:val="single" w:sz="4" w:space="0" w:color="auto"/>
            </w:tcBorders>
          </w:tcPr>
          <w:p w14:paraId="2650D7AF" w14:textId="77777777" w:rsidR="00CC7E5E" w:rsidRDefault="00CC7E5E">
            <w:pPr>
              <w:pStyle w:val="Sidehoved"/>
              <w:rPr>
                <w:sz w:val="22"/>
                <w:szCs w:val="22"/>
              </w:rPr>
            </w:pPr>
          </w:p>
        </w:tc>
        <w:tc>
          <w:tcPr>
            <w:tcW w:w="1553" w:type="dxa"/>
            <w:tcBorders>
              <w:top w:val="single" w:sz="4" w:space="0" w:color="auto"/>
              <w:left w:val="single" w:sz="4" w:space="0" w:color="auto"/>
              <w:bottom w:val="single" w:sz="4" w:space="0" w:color="auto"/>
              <w:right w:val="single" w:sz="4" w:space="0" w:color="auto"/>
            </w:tcBorders>
          </w:tcPr>
          <w:p w14:paraId="066F2367" w14:textId="77777777" w:rsidR="00CC7E5E" w:rsidRDefault="00CC7E5E">
            <w:pPr>
              <w:pStyle w:val="Sidehoved"/>
              <w:rPr>
                <w:sz w:val="22"/>
                <w:szCs w:val="22"/>
              </w:rPr>
            </w:pPr>
          </w:p>
        </w:tc>
      </w:tr>
      <w:tr w:rsidR="00CC7E5E" w14:paraId="556EF69F" w14:textId="77777777" w:rsidTr="00CC7E5E">
        <w:tc>
          <w:tcPr>
            <w:tcW w:w="1980" w:type="dxa"/>
            <w:tcBorders>
              <w:top w:val="single" w:sz="4" w:space="0" w:color="auto"/>
              <w:left w:val="single" w:sz="4" w:space="0" w:color="auto"/>
              <w:bottom w:val="single" w:sz="4" w:space="0" w:color="auto"/>
              <w:right w:val="single" w:sz="4" w:space="0" w:color="auto"/>
            </w:tcBorders>
            <w:hideMark/>
          </w:tcPr>
          <w:p w14:paraId="590B722C" w14:textId="77777777" w:rsidR="00CC7E5E" w:rsidRDefault="00CC7E5E">
            <w:pPr>
              <w:pStyle w:val="Sidehoved"/>
              <w:rPr>
                <w:sz w:val="22"/>
                <w:szCs w:val="22"/>
              </w:rPr>
            </w:pPr>
            <w:r>
              <w:rPr>
                <w:b/>
                <w:bCs/>
                <w:sz w:val="22"/>
                <w:szCs w:val="22"/>
              </w:rPr>
              <w:t>Øjne</w:t>
            </w:r>
          </w:p>
        </w:tc>
        <w:tc>
          <w:tcPr>
            <w:tcW w:w="1701" w:type="dxa"/>
            <w:tcBorders>
              <w:top w:val="single" w:sz="4" w:space="0" w:color="auto"/>
              <w:left w:val="single" w:sz="4" w:space="0" w:color="auto"/>
              <w:bottom w:val="single" w:sz="4" w:space="0" w:color="auto"/>
              <w:right w:val="single" w:sz="4" w:space="0" w:color="auto"/>
            </w:tcBorders>
          </w:tcPr>
          <w:p w14:paraId="2727E604" w14:textId="77777777" w:rsidR="00CC7E5E" w:rsidRDefault="00CC7E5E">
            <w:pPr>
              <w:pStyle w:val="Sidehoved"/>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0AFEDBC" w14:textId="77777777" w:rsidR="00CC7E5E" w:rsidRDefault="00CC7E5E">
            <w:pPr>
              <w:pStyle w:val="Sidehoved"/>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38402DAC" w14:textId="77777777" w:rsidR="00CC7E5E" w:rsidRDefault="00CC7E5E">
            <w:pPr>
              <w:pStyle w:val="Sidehoved"/>
              <w:rPr>
                <w:sz w:val="22"/>
                <w:szCs w:val="22"/>
              </w:rPr>
            </w:pPr>
            <w:proofErr w:type="spellStart"/>
            <w:r>
              <w:rPr>
                <w:sz w:val="22"/>
                <w:szCs w:val="22"/>
              </w:rPr>
              <w:t>Synsforstyrrel</w:t>
            </w:r>
            <w:proofErr w:type="spellEnd"/>
            <w:r>
              <w:rPr>
                <w:sz w:val="22"/>
                <w:szCs w:val="22"/>
              </w:rPr>
              <w:t>-</w:t>
            </w:r>
            <w:r>
              <w:rPr>
                <w:sz w:val="22"/>
                <w:szCs w:val="22"/>
              </w:rPr>
              <w:br/>
              <w:t>ser</w:t>
            </w:r>
          </w:p>
        </w:tc>
        <w:tc>
          <w:tcPr>
            <w:tcW w:w="1559" w:type="dxa"/>
            <w:tcBorders>
              <w:top w:val="single" w:sz="4" w:space="0" w:color="auto"/>
              <w:left w:val="single" w:sz="4" w:space="0" w:color="auto"/>
              <w:bottom w:val="single" w:sz="4" w:space="0" w:color="auto"/>
              <w:right w:val="single" w:sz="4" w:space="0" w:color="auto"/>
            </w:tcBorders>
          </w:tcPr>
          <w:p w14:paraId="1124FA4D" w14:textId="77777777" w:rsidR="00CC7E5E" w:rsidRDefault="00CC7E5E">
            <w:pPr>
              <w:pStyle w:val="Sidehoved"/>
              <w:rPr>
                <w:sz w:val="22"/>
                <w:szCs w:val="22"/>
              </w:rPr>
            </w:pPr>
          </w:p>
        </w:tc>
        <w:tc>
          <w:tcPr>
            <w:tcW w:w="1553" w:type="dxa"/>
            <w:tcBorders>
              <w:top w:val="single" w:sz="4" w:space="0" w:color="auto"/>
              <w:left w:val="single" w:sz="4" w:space="0" w:color="auto"/>
              <w:bottom w:val="single" w:sz="4" w:space="0" w:color="auto"/>
              <w:right w:val="single" w:sz="4" w:space="0" w:color="auto"/>
            </w:tcBorders>
          </w:tcPr>
          <w:p w14:paraId="52A31524" w14:textId="77777777" w:rsidR="00CC7E5E" w:rsidRDefault="00CC7E5E">
            <w:pPr>
              <w:pStyle w:val="Sidehoved"/>
              <w:rPr>
                <w:sz w:val="22"/>
                <w:szCs w:val="22"/>
              </w:rPr>
            </w:pPr>
          </w:p>
        </w:tc>
      </w:tr>
      <w:tr w:rsidR="00CC7E5E" w14:paraId="067C0CAA" w14:textId="77777777" w:rsidTr="00CC7E5E">
        <w:tc>
          <w:tcPr>
            <w:tcW w:w="1980" w:type="dxa"/>
            <w:tcBorders>
              <w:top w:val="single" w:sz="4" w:space="0" w:color="auto"/>
              <w:left w:val="single" w:sz="4" w:space="0" w:color="auto"/>
              <w:bottom w:val="single" w:sz="4" w:space="0" w:color="auto"/>
              <w:right w:val="single" w:sz="4" w:space="0" w:color="auto"/>
            </w:tcBorders>
            <w:hideMark/>
          </w:tcPr>
          <w:p w14:paraId="1CF804DC" w14:textId="77777777" w:rsidR="00CC7E5E" w:rsidRDefault="00CC7E5E">
            <w:pPr>
              <w:pStyle w:val="Sidehoved"/>
              <w:rPr>
                <w:sz w:val="22"/>
                <w:szCs w:val="22"/>
              </w:rPr>
            </w:pPr>
            <w:r>
              <w:rPr>
                <w:b/>
                <w:bCs/>
                <w:sz w:val="22"/>
                <w:szCs w:val="22"/>
              </w:rPr>
              <w:t>Mave-tarm-kanalen</w:t>
            </w:r>
          </w:p>
        </w:tc>
        <w:tc>
          <w:tcPr>
            <w:tcW w:w="1701" w:type="dxa"/>
            <w:tcBorders>
              <w:top w:val="single" w:sz="4" w:space="0" w:color="auto"/>
              <w:left w:val="single" w:sz="4" w:space="0" w:color="auto"/>
              <w:bottom w:val="single" w:sz="4" w:space="0" w:color="auto"/>
              <w:right w:val="single" w:sz="4" w:space="0" w:color="auto"/>
            </w:tcBorders>
            <w:hideMark/>
          </w:tcPr>
          <w:p w14:paraId="71DF3041" w14:textId="77777777" w:rsidR="00CC7E5E" w:rsidRDefault="00CC7E5E">
            <w:pPr>
              <w:pStyle w:val="Sidehoved"/>
              <w:rPr>
                <w:sz w:val="22"/>
                <w:szCs w:val="22"/>
              </w:rPr>
            </w:pPr>
            <w:r>
              <w:rPr>
                <w:sz w:val="22"/>
                <w:szCs w:val="22"/>
              </w:rPr>
              <w:t xml:space="preserve">Kvalme, diarré, mavesmerter, obstipation, opkastning, </w:t>
            </w:r>
            <w:proofErr w:type="spellStart"/>
            <w:r>
              <w:rPr>
                <w:sz w:val="22"/>
                <w:szCs w:val="22"/>
              </w:rPr>
              <w:t>flatulens</w:t>
            </w:r>
            <w:proofErr w:type="spellEnd"/>
            <w:r>
              <w:rPr>
                <w:sz w:val="22"/>
                <w:szCs w:val="22"/>
              </w:rPr>
              <w:t>, mund- og halstørhed, benigne gastriske polypper</w:t>
            </w:r>
          </w:p>
        </w:tc>
        <w:tc>
          <w:tcPr>
            <w:tcW w:w="1134" w:type="dxa"/>
            <w:tcBorders>
              <w:top w:val="single" w:sz="4" w:space="0" w:color="auto"/>
              <w:left w:val="single" w:sz="4" w:space="0" w:color="auto"/>
              <w:bottom w:val="single" w:sz="4" w:space="0" w:color="auto"/>
              <w:right w:val="single" w:sz="4" w:space="0" w:color="auto"/>
            </w:tcBorders>
          </w:tcPr>
          <w:p w14:paraId="1A4B20A1" w14:textId="77777777" w:rsidR="00CC7E5E" w:rsidRDefault="00CC7E5E">
            <w:pPr>
              <w:pStyle w:val="Sidehoved"/>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4F2F936F" w14:textId="77777777" w:rsidR="00CC7E5E" w:rsidRDefault="00CC7E5E">
            <w:pPr>
              <w:pStyle w:val="Sidehoved"/>
              <w:rPr>
                <w:sz w:val="22"/>
                <w:szCs w:val="22"/>
              </w:rPr>
            </w:pPr>
            <w:proofErr w:type="spellStart"/>
            <w:r>
              <w:rPr>
                <w:sz w:val="22"/>
                <w:szCs w:val="22"/>
              </w:rPr>
              <w:t>Glossitis</w:t>
            </w:r>
            <w:proofErr w:type="spellEnd"/>
            <w:r>
              <w:rPr>
                <w:sz w:val="22"/>
                <w:szCs w:val="22"/>
              </w:rPr>
              <w:t xml:space="preserve">, </w:t>
            </w:r>
            <w:proofErr w:type="spellStart"/>
            <w:r>
              <w:rPr>
                <w:sz w:val="22"/>
                <w:szCs w:val="22"/>
              </w:rPr>
              <w:t>Candidiasis</w:t>
            </w:r>
            <w:proofErr w:type="spellEnd"/>
            <w:r>
              <w:rPr>
                <w:sz w:val="22"/>
                <w:szCs w:val="22"/>
              </w:rPr>
              <w:t xml:space="preserve"> i </w:t>
            </w:r>
            <w:proofErr w:type="spellStart"/>
            <w:r>
              <w:rPr>
                <w:sz w:val="22"/>
                <w:szCs w:val="22"/>
              </w:rPr>
              <w:t>oesophagus</w:t>
            </w:r>
            <w:proofErr w:type="spellEnd"/>
            <w:r>
              <w:rPr>
                <w:sz w:val="22"/>
                <w:szCs w:val="22"/>
              </w:rPr>
              <w:t xml:space="preserve">, </w:t>
            </w:r>
            <w:proofErr w:type="spellStart"/>
            <w:r>
              <w:rPr>
                <w:sz w:val="22"/>
                <w:szCs w:val="22"/>
              </w:rPr>
              <w:t>pankreatitis</w:t>
            </w:r>
            <w:proofErr w:type="spellEnd"/>
            <w:r>
              <w:rPr>
                <w:sz w:val="22"/>
                <w:szCs w:val="22"/>
              </w:rPr>
              <w:t xml:space="preserve">, </w:t>
            </w:r>
            <w:proofErr w:type="spellStart"/>
            <w:r>
              <w:rPr>
                <w:sz w:val="22"/>
                <w:szCs w:val="22"/>
              </w:rPr>
              <w:t>smagsforstyrrel</w:t>
            </w:r>
            <w:proofErr w:type="spellEnd"/>
            <w:r>
              <w:rPr>
                <w:sz w:val="22"/>
                <w:szCs w:val="22"/>
              </w:rPr>
              <w:t>-</w:t>
            </w:r>
            <w:r>
              <w:rPr>
                <w:sz w:val="22"/>
                <w:szCs w:val="22"/>
              </w:rPr>
              <w:br/>
              <w:t>ser</w:t>
            </w:r>
          </w:p>
        </w:tc>
        <w:tc>
          <w:tcPr>
            <w:tcW w:w="1559" w:type="dxa"/>
            <w:tcBorders>
              <w:top w:val="single" w:sz="4" w:space="0" w:color="auto"/>
              <w:left w:val="single" w:sz="4" w:space="0" w:color="auto"/>
              <w:bottom w:val="single" w:sz="4" w:space="0" w:color="auto"/>
              <w:right w:val="single" w:sz="4" w:space="0" w:color="auto"/>
            </w:tcBorders>
            <w:hideMark/>
          </w:tcPr>
          <w:p w14:paraId="6F37E615" w14:textId="77777777" w:rsidR="00CC7E5E" w:rsidRDefault="00CC7E5E">
            <w:pPr>
              <w:pStyle w:val="Sidehoved"/>
              <w:rPr>
                <w:sz w:val="22"/>
                <w:szCs w:val="22"/>
              </w:rPr>
            </w:pPr>
            <w:r>
              <w:rPr>
                <w:sz w:val="22"/>
                <w:szCs w:val="22"/>
              </w:rPr>
              <w:t xml:space="preserve">Colitis*, </w:t>
            </w:r>
            <w:proofErr w:type="spellStart"/>
            <w:r>
              <w:rPr>
                <w:sz w:val="22"/>
                <w:szCs w:val="22"/>
              </w:rPr>
              <w:t>stomatitis</w:t>
            </w:r>
            <w:proofErr w:type="spellEnd"/>
          </w:p>
        </w:tc>
        <w:tc>
          <w:tcPr>
            <w:tcW w:w="1553" w:type="dxa"/>
            <w:tcBorders>
              <w:top w:val="single" w:sz="4" w:space="0" w:color="auto"/>
              <w:left w:val="single" w:sz="4" w:space="0" w:color="auto"/>
              <w:bottom w:val="single" w:sz="4" w:space="0" w:color="auto"/>
              <w:right w:val="single" w:sz="4" w:space="0" w:color="auto"/>
            </w:tcBorders>
          </w:tcPr>
          <w:p w14:paraId="4E82AEE3" w14:textId="77777777" w:rsidR="00CC7E5E" w:rsidRDefault="00CC7E5E">
            <w:pPr>
              <w:pStyle w:val="Sidehoved"/>
              <w:rPr>
                <w:sz w:val="22"/>
                <w:szCs w:val="22"/>
              </w:rPr>
            </w:pPr>
          </w:p>
        </w:tc>
      </w:tr>
      <w:tr w:rsidR="00CC7E5E" w14:paraId="57696D8A" w14:textId="77777777" w:rsidTr="00CC7E5E">
        <w:tc>
          <w:tcPr>
            <w:tcW w:w="1980" w:type="dxa"/>
            <w:tcBorders>
              <w:top w:val="single" w:sz="4" w:space="0" w:color="auto"/>
              <w:left w:val="single" w:sz="4" w:space="0" w:color="auto"/>
              <w:bottom w:val="single" w:sz="4" w:space="0" w:color="auto"/>
              <w:right w:val="single" w:sz="4" w:space="0" w:color="auto"/>
            </w:tcBorders>
            <w:hideMark/>
          </w:tcPr>
          <w:p w14:paraId="5FFE9333" w14:textId="77777777" w:rsidR="00CC7E5E" w:rsidRDefault="00CC7E5E">
            <w:pPr>
              <w:pStyle w:val="Sidehoved"/>
              <w:rPr>
                <w:b/>
                <w:bCs/>
                <w:sz w:val="22"/>
                <w:szCs w:val="22"/>
              </w:rPr>
            </w:pPr>
            <w:r>
              <w:rPr>
                <w:b/>
                <w:bCs/>
                <w:sz w:val="22"/>
                <w:szCs w:val="22"/>
              </w:rPr>
              <w:t>Lever og galdeveje</w:t>
            </w:r>
          </w:p>
        </w:tc>
        <w:tc>
          <w:tcPr>
            <w:tcW w:w="1701" w:type="dxa"/>
            <w:tcBorders>
              <w:top w:val="single" w:sz="4" w:space="0" w:color="auto"/>
              <w:left w:val="single" w:sz="4" w:space="0" w:color="auto"/>
              <w:bottom w:val="single" w:sz="4" w:space="0" w:color="auto"/>
              <w:right w:val="single" w:sz="4" w:space="0" w:color="auto"/>
            </w:tcBorders>
            <w:hideMark/>
          </w:tcPr>
          <w:p w14:paraId="4461E345" w14:textId="77777777" w:rsidR="00CC7E5E" w:rsidRDefault="00CC7E5E">
            <w:pPr>
              <w:pStyle w:val="Sidehoved"/>
              <w:rPr>
                <w:sz w:val="22"/>
                <w:szCs w:val="22"/>
              </w:rPr>
            </w:pPr>
            <w:r>
              <w:rPr>
                <w:sz w:val="22"/>
                <w:szCs w:val="22"/>
              </w:rPr>
              <w:t>Stigning i leverenzym</w:t>
            </w:r>
            <w:r>
              <w:rPr>
                <w:sz w:val="22"/>
                <w:szCs w:val="22"/>
              </w:rPr>
              <w:softHyphen/>
              <w:t>niveauer</w:t>
            </w:r>
          </w:p>
        </w:tc>
        <w:tc>
          <w:tcPr>
            <w:tcW w:w="1134" w:type="dxa"/>
            <w:tcBorders>
              <w:top w:val="single" w:sz="4" w:space="0" w:color="auto"/>
              <w:left w:val="single" w:sz="4" w:space="0" w:color="auto"/>
              <w:bottom w:val="single" w:sz="4" w:space="0" w:color="auto"/>
              <w:right w:val="single" w:sz="4" w:space="0" w:color="auto"/>
            </w:tcBorders>
          </w:tcPr>
          <w:p w14:paraId="7A589C70" w14:textId="77777777" w:rsidR="00CC7E5E" w:rsidRDefault="00CC7E5E">
            <w:pPr>
              <w:pStyle w:val="Sidehoved"/>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347674BE" w14:textId="77777777" w:rsidR="00CC7E5E" w:rsidRDefault="00CC7E5E">
            <w:pPr>
              <w:pStyle w:val="Sidehoved"/>
              <w:rPr>
                <w:sz w:val="22"/>
                <w:szCs w:val="22"/>
              </w:rPr>
            </w:pPr>
            <w:r>
              <w:rPr>
                <w:sz w:val="22"/>
                <w:szCs w:val="22"/>
              </w:rPr>
              <w:t xml:space="preserve">Hepatitis, </w:t>
            </w:r>
            <w:proofErr w:type="spellStart"/>
            <w:r>
              <w:rPr>
                <w:sz w:val="22"/>
                <w:szCs w:val="22"/>
              </w:rPr>
              <w:t>ikterus</w:t>
            </w:r>
            <w:proofErr w:type="spellEnd"/>
          </w:p>
        </w:tc>
        <w:tc>
          <w:tcPr>
            <w:tcW w:w="1559" w:type="dxa"/>
            <w:tcBorders>
              <w:top w:val="single" w:sz="4" w:space="0" w:color="auto"/>
              <w:left w:val="single" w:sz="4" w:space="0" w:color="auto"/>
              <w:bottom w:val="single" w:sz="4" w:space="0" w:color="auto"/>
              <w:right w:val="single" w:sz="4" w:space="0" w:color="auto"/>
            </w:tcBorders>
          </w:tcPr>
          <w:p w14:paraId="3F6960D5" w14:textId="77777777" w:rsidR="00CC7E5E" w:rsidRDefault="00CC7E5E">
            <w:pPr>
              <w:pStyle w:val="Sidehoved"/>
              <w:rPr>
                <w:sz w:val="22"/>
                <w:szCs w:val="22"/>
              </w:rPr>
            </w:pPr>
          </w:p>
        </w:tc>
        <w:tc>
          <w:tcPr>
            <w:tcW w:w="1553" w:type="dxa"/>
            <w:tcBorders>
              <w:top w:val="single" w:sz="4" w:space="0" w:color="auto"/>
              <w:left w:val="single" w:sz="4" w:space="0" w:color="auto"/>
              <w:bottom w:val="single" w:sz="4" w:space="0" w:color="auto"/>
              <w:right w:val="single" w:sz="4" w:space="0" w:color="auto"/>
            </w:tcBorders>
          </w:tcPr>
          <w:p w14:paraId="48B4B3FB" w14:textId="77777777" w:rsidR="00CC7E5E" w:rsidRDefault="00CC7E5E">
            <w:pPr>
              <w:pStyle w:val="Sidehoved"/>
              <w:rPr>
                <w:sz w:val="22"/>
                <w:szCs w:val="22"/>
              </w:rPr>
            </w:pPr>
          </w:p>
        </w:tc>
      </w:tr>
      <w:tr w:rsidR="00CC7E5E" w14:paraId="76DAE0F4" w14:textId="77777777" w:rsidTr="00CC7E5E">
        <w:tc>
          <w:tcPr>
            <w:tcW w:w="1980" w:type="dxa"/>
            <w:tcBorders>
              <w:top w:val="single" w:sz="4" w:space="0" w:color="auto"/>
              <w:left w:val="single" w:sz="4" w:space="0" w:color="auto"/>
              <w:bottom w:val="single" w:sz="4" w:space="0" w:color="auto"/>
              <w:right w:val="single" w:sz="4" w:space="0" w:color="auto"/>
            </w:tcBorders>
            <w:hideMark/>
          </w:tcPr>
          <w:p w14:paraId="029C1A4F" w14:textId="77777777" w:rsidR="00CC7E5E" w:rsidRDefault="00CC7E5E">
            <w:pPr>
              <w:pStyle w:val="Sidehoved"/>
              <w:rPr>
                <w:b/>
                <w:bCs/>
                <w:sz w:val="22"/>
                <w:szCs w:val="22"/>
              </w:rPr>
            </w:pPr>
            <w:r>
              <w:rPr>
                <w:b/>
                <w:bCs/>
                <w:sz w:val="22"/>
                <w:szCs w:val="22"/>
              </w:rPr>
              <w:t>Hud og subkutane væv</w:t>
            </w:r>
          </w:p>
        </w:tc>
        <w:tc>
          <w:tcPr>
            <w:tcW w:w="1701" w:type="dxa"/>
            <w:tcBorders>
              <w:top w:val="single" w:sz="4" w:space="0" w:color="auto"/>
              <w:left w:val="single" w:sz="4" w:space="0" w:color="auto"/>
              <w:bottom w:val="single" w:sz="4" w:space="0" w:color="auto"/>
              <w:right w:val="single" w:sz="4" w:space="0" w:color="auto"/>
            </w:tcBorders>
            <w:hideMark/>
          </w:tcPr>
          <w:p w14:paraId="39A9EDA4" w14:textId="77777777" w:rsidR="00CC7E5E" w:rsidRDefault="00CC7E5E">
            <w:pPr>
              <w:pStyle w:val="Sidehoved"/>
              <w:rPr>
                <w:sz w:val="22"/>
                <w:szCs w:val="22"/>
              </w:rPr>
            </w:pPr>
            <w:proofErr w:type="spellStart"/>
            <w:r>
              <w:rPr>
                <w:sz w:val="22"/>
                <w:szCs w:val="22"/>
              </w:rPr>
              <w:t>Urtikaria</w:t>
            </w:r>
            <w:proofErr w:type="spellEnd"/>
            <w:r>
              <w:rPr>
                <w:sz w:val="22"/>
                <w:szCs w:val="22"/>
              </w:rPr>
              <w:t>, kløe, udslæt</w:t>
            </w:r>
          </w:p>
        </w:tc>
        <w:tc>
          <w:tcPr>
            <w:tcW w:w="1134" w:type="dxa"/>
            <w:tcBorders>
              <w:top w:val="single" w:sz="4" w:space="0" w:color="auto"/>
              <w:left w:val="single" w:sz="4" w:space="0" w:color="auto"/>
              <w:bottom w:val="single" w:sz="4" w:space="0" w:color="auto"/>
              <w:right w:val="single" w:sz="4" w:space="0" w:color="auto"/>
            </w:tcBorders>
          </w:tcPr>
          <w:p w14:paraId="470E751C" w14:textId="77777777" w:rsidR="00CC7E5E" w:rsidRDefault="00CC7E5E">
            <w:pPr>
              <w:pStyle w:val="Sidehoved"/>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10AF9D6C" w14:textId="77777777" w:rsidR="00CC7E5E" w:rsidRDefault="00CC7E5E">
            <w:pPr>
              <w:pStyle w:val="Sidehoved"/>
              <w:rPr>
                <w:sz w:val="22"/>
                <w:szCs w:val="22"/>
              </w:rPr>
            </w:pPr>
            <w:proofErr w:type="spellStart"/>
            <w:r>
              <w:rPr>
                <w:sz w:val="22"/>
                <w:szCs w:val="22"/>
              </w:rPr>
              <w:t>Petekkier</w:t>
            </w:r>
            <w:proofErr w:type="spellEnd"/>
            <w:r>
              <w:rPr>
                <w:sz w:val="22"/>
                <w:szCs w:val="22"/>
              </w:rPr>
              <w:t xml:space="preserve">, </w:t>
            </w:r>
            <w:proofErr w:type="spellStart"/>
            <w:r>
              <w:rPr>
                <w:sz w:val="22"/>
                <w:szCs w:val="22"/>
              </w:rPr>
              <w:t>purpura</w:t>
            </w:r>
            <w:proofErr w:type="spellEnd"/>
            <w:r>
              <w:rPr>
                <w:sz w:val="22"/>
                <w:szCs w:val="22"/>
              </w:rPr>
              <w:t xml:space="preserve">, hårtab, </w:t>
            </w:r>
            <w:proofErr w:type="spellStart"/>
            <w:r>
              <w:rPr>
                <w:sz w:val="22"/>
                <w:szCs w:val="22"/>
              </w:rPr>
              <w:t>erythema</w:t>
            </w:r>
            <w:proofErr w:type="spellEnd"/>
            <w:r>
              <w:rPr>
                <w:sz w:val="22"/>
                <w:szCs w:val="22"/>
              </w:rPr>
              <w:t xml:space="preserve"> multiforme,</w:t>
            </w:r>
            <w:r>
              <w:rPr>
                <w:i/>
                <w:sz w:val="22"/>
                <w:szCs w:val="22"/>
              </w:rPr>
              <w:t xml:space="preserve"> </w:t>
            </w:r>
            <w:r>
              <w:rPr>
                <w:sz w:val="22"/>
                <w:szCs w:val="22"/>
              </w:rPr>
              <w:t>lysfølsomhed</w:t>
            </w:r>
          </w:p>
        </w:tc>
        <w:tc>
          <w:tcPr>
            <w:tcW w:w="1559" w:type="dxa"/>
            <w:tcBorders>
              <w:top w:val="single" w:sz="4" w:space="0" w:color="auto"/>
              <w:left w:val="single" w:sz="4" w:space="0" w:color="auto"/>
              <w:bottom w:val="single" w:sz="4" w:space="0" w:color="auto"/>
              <w:right w:val="single" w:sz="4" w:space="0" w:color="auto"/>
            </w:tcBorders>
            <w:hideMark/>
          </w:tcPr>
          <w:p w14:paraId="3C370171" w14:textId="77777777" w:rsidR="00CC7E5E" w:rsidRDefault="00CC7E5E">
            <w:pPr>
              <w:pStyle w:val="Sidehoved"/>
              <w:rPr>
                <w:sz w:val="22"/>
                <w:szCs w:val="22"/>
                <w:lang w:val="nb-NO"/>
              </w:rPr>
            </w:pPr>
            <w:r>
              <w:rPr>
                <w:sz w:val="22"/>
                <w:szCs w:val="22"/>
                <w:lang w:val="nb-NO"/>
              </w:rPr>
              <w:t>Stevens-Johnson’s syndrom*</w:t>
            </w:r>
            <w:r>
              <w:rPr>
                <w:sz w:val="22"/>
                <w:szCs w:val="22"/>
                <w:vertAlign w:val="superscript"/>
                <w:lang w:eastAsia="fi-FI"/>
              </w:rPr>
              <w:t>‡</w:t>
            </w:r>
            <w:r>
              <w:rPr>
                <w:sz w:val="22"/>
                <w:szCs w:val="22"/>
                <w:lang w:val="nb-NO"/>
              </w:rPr>
              <w:t>, toksisk epidermal nekrolyse*</w:t>
            </w:r>
            <w:r>
              <w:rPr>
                <w:sz w:val="22"/>
                <w:szCs w:val="22"/>
                <w:vertAlign w:val="superscript"/>
                <w:lang w:eastAsia="fi-FI"/>
              </w:rPr>
              <w:t>‡</w:t>
            </w:r>
          </w:p>
        </w:tc>
        <w:tc>
          <w:tcPr>
            <w:tcW w:w="1553" w:type="dxa"/>
            <w:tcBorders>
              <w:top w:val="single" w:sz="4" w:space="0" w:color="auto"/>
              <w:left w:val="single" w:sz="4" w:space="0" w:color="auto"/>
              <w:bottom w:val="single" w:sz="4" w:space="0" w:color="auto"/>
              <w:right w:val="single" w:sz="4" w:space="0" w:color="auto"/>
            </w:tcBorders>
            <w:hideMark/>
          </w:tcPr>
          <w:p w14:paraId="253F1149" w14:textId="77777777" w:rsidR="00CC7E5E" w:rsidRDefault="00CC7E5E">
            <w:pPr>
              <w:pStyle w:val="Sidehoved"/>
              <w:rPr>
                <w:sz w:val="22"/>
                <w:szCs w:val="22"/>
                <w:lang w:val="nb-NO"/>
              </w:rPr>
            </w:pPr>
            <w:r>
              <w:rPr>
                <w:sz w:val="22"/>
                <w:szCs w:val="22"/>
                <w:lang w:val="nb-NO"/>
              </w:rPr>
              <w:t>Subakut kutan lupus erythe-matosus*</w:t>
            </w:r>
            <w:r>
              <w:rPr>
                <w:sz w:val="22"/>
                <w:szCs w:val="22"/>
                <w:vertAlign w:val="superscript"/>
                <w:lang w:val="nb-NO" w:eastAsia="fi-FI"/>
              </w:rPr>
              <w:t xml:space="preserve"> ‡</w:t>
            </w:r>
            <w:r>
              <w:rPr>
                <w:sz w:val="22"/>
                <w:szCs w:val="22"/>
                <w:lang w:val="nb-NO"/>
              </w:rPr>
              <w:t>, lægemiddel-reaktion med eosinofili og systemiske symptomer </w:t>
            </w:r>
          </w:p>
          <w:p w14:paraId="7F86F110" w14:textId="77777777" w:rsidR="00CC7E5E" w:rsidRDefault="00CC7E5E">
            <w:pPr>
              <w:pStyle w:val="Sidehoved"/>
              <w:rPr>
                <w:sz w:val="22"/>
                <w:szCs w:val="22"/>
                <w:lang w:val="fi-FI"/>
              </w:rPr>
            </w:pPr>
            <w:r>
              <w:rPr>
                <w:sz w:val="22"/>
                <w:szCs w:val="22"/>
                <w:lang w:val="nb-NO"/>
              </w:rPr>
              <w:t>(</w:t>
            </w:r>
            <w:r>
              <w:rPr>
                <w:sz w:val="22"/>
                <w:szCs w:val="22"/>
                <w:lang w:val="fi-FI"/>
              </w:rPr>
              <w:t xml:space="preserve">DRESS)* </w:t>
            </w:r>
          </w:p>
        </w:tc>
      </w:tr>
      <w:tr w:rsidR="00CC7E5E" w14:paraId="53F8BB5F" w14:textId="77777777" w:rsidTr="00CC7E5E">
        <w:tc>
          <w:tcPr>
            <w:tcW w:w="1980" w:type="dxa"/>
            <w:tcBorders>
              <w:top w:val="single" w:sz="4" w:space="0" w:color="auto"/>
              <w:left w:val="single" w:sz="4" w:space="0" w:color="auto"/>
              <w:bottom w:val="single" w:sz="4" w:space="0" w:color="auto"/>
              <w:right w:val="single" w:sz="4" w:space="0" w:color="auto"/>
            </w:tcBorders>
            <w:hideMark/>
          </w:tcPr>
          <w:p w14:paraId="45F4F171" w14:textId="77777777" w:rsidR="00CC7E5E" w:rsidRDefault="00CC7E5E">
            <w:pPr>
              <w:pStyle w:val="Sidehoved"/>
              <w:keepNext/>
              <w:rPr>
                <w:b/>
                <w:bCs/>
                <w:sz w:val="22"/>
                <w:szCs w:val="22"/>
              </w:rPr>
            </w:pPr>
            <w:r>
              <w:rPr>
                <w:b/>
                <w:bCs/>
                <w:sz w:val="22"/>
                <w:szCs w:val="22"/>
              </w:rPr>
              <w:lastRenderedPageBreak/>
              <w:t>Knogler, led, muskler og bindevæv</w:t>
            </w:r>
          </w:p>
        </w:tc>
        <w:tc>
          <w:tcPr>
            <w:tcW w:w="1701" w:type="dxa"/>
            <w:tcBorders>
              <w:top w:val="single" w:sz="4" w:space="0" w:color="auto"/>
              <w:left w:val="single" w:sz="4" w:space="0" w:color="auto"/>
              <w:bottom w:val="single" w:sz="4" w:space="0" w:color="auto"/>
              <w:right w:val="single" w:sz="4" w:space="0" w:color="auto"/>
            </w:tcBorders>
          </w:tcPr>
          <w:p w14:paraId="60DF5F2E" w14:textId="77777777" w:rsidR="00CC7E5E" w:rsidRDefault="00CC7E5E">
            <w:pPr>
              <w:pStyle w:val="Sidehoved"/>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74534D76" w14:textId="77777777" w:rsidR="00CC7E5E" w:rsidRDefault="00CC7E5E">
            <w:pPr>
              <w:pStyle w:val="Sidehoved"/>
              <w:rPr>
                <w:sz w:val="22"/>
                <w:szCs w:val="22"/>
              </w:rPr>
            </w:pPr>
            <w:proofErr w:type="spellStart"/>
            <w:r>
              <w:rPr>
                <w:sz w:val="22"/>
                <w:szCs w:val="22"/>
              </w:rPr>
              <w:t>Artralgi</w:t>
            </w:r>
            <w:proofErr w:type="spellEnd"/>
            <w:r>
              <w:rPr>
                <w:sz w:val="22"/>
                <w:szCs w:val="22"/>
              </w:rPr>
              <w:t>, myalgi, fraktur på hofte, håndled eller rygrad (se pkt.</w:t>
            </w:r>
            <w:r>
              <w:rPr>
                <w:szCs w:val="24"/>
              </w:rPr>
              <w:t> </w:t>
            </w:r>
            <w:r>
              <w:rPr>
                <w:sz w:val="22"/>
                <w:szCs w:val="22"/>
              </w:rPr>
              <w:t>4.4)</w:t>
            </w:r>
          </w:p>
        </w:tc>
        <w:tc>
          <w:tcPr>
            <w:tcW w:w="1701" w:type="dxa"/>
            <w:tcBorders>
              <w:top w:val="single" w:sz="4" w:space="0" w:color="auto"/>
              <w:left w:val="single" w:sz="4" w:space="0" w:color="auto"/>
              <w:bottom w:val="single" w:sz="4" w:space="0" w:color="auto"/>
              <w:right w:val="single" w:sz="4" w:space="0" w:color="auto"/>
            </w:tcBorders>
          </w:tcPr>
          <w:p w14:paraId="3ACF9B55" w14:textId="77777777" w:rsidR="00CC7E5E" w:rsidRDefault="00CC7E5E">
            <w:pPr>
              <w:pStyle w:val="Sidehoved"/>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986E245" w14:textId="77777777" w:rsidR="00CC7E5E" w:rsidRDefault="00CC7E5E">
            <w:pPr>
              <w:pStyle w:val="Sidehoved"/>
              <w:rPr>
                <w:sz w:val="22"/>
                <w:szCs w:val="22"/>
              </w:rPr>
            </w:pPr>
          </w:p>
        </w:tc>
        <w:tc>
          <w:tcPr>
            <w:tcW w:w="1553" w:type="dxa"/>
            <w:tcBorders>
              <w:top w:val="single" w:sz="4" w:space="0" w:color="auto"/>
              <w:left w:val="single" w:sz="4" w:space="0" w:color="auto"/>
              <w:bottom w:val="single" w:sz="4" w:space="0" w:color="auto"/>
              <w:right w:val="single" w:sz="4" w:space="0" w:color="auto"/>
            </w:tcBorders>
          </w:tcPr>
          <w:p w14:paraId="56A35B77" w14:textId="77777777" w:rsidR="00CC7E5E" w:rsidRDefault="00CC7E5E">
            <w:pPr>
              <w:pStyle w:val="Sidehoved"/>
              <w:rPr>
                <w:sz w:val="22"/>
                <w:szCs w:val="22"/>
              </w:rPr>
            </w:pPr>
          </w:p>
        </w:tc>
      </w:tr>
      <w:tr w:rsidR="00CC7E5E" w14:paraId="5CCB01A6" w14:textId="77777777" w:rsidTr="00CC7E5E">
        <w:tc>
          <w:tcPr>
            <w:tcW w:w="1980" w:type="dxa"/>
            <w:tcBorders>
              <w:top w:val="single" w:sz="4" w:space="0" w:color="auto"/>
              <w:left w:val="single" w:sz="4" w:space="0" w:color="auto"/>
              <w:bottom w:val="single" w:sz="4" w:space="0" w:color="auto"/>
              <w:right w:val="single" w:sz="4" w:space="0" w:color="auto"/>
            </w:tcBorders>
            <w:hideMark/>
          </w:tcPr>
          <w:p w14:paraId="08390EDF" w14:textId="77777777" w:rsidR="00CC7E5E" w:rsidRDefault="00CC7E5E">
            <w:pPr>
              <w:pStyle w:val="Sidehoved"/>
              <w:rPr>
                <w:b/>
                <w:bCs/>
                <w:sz w:val="22"/>
                <w:szCs w:val="22"/>
              </w:rPr>
            </w:pPr>
            <w:r>
              <w:rPr>
                <w:b/>
                <w:bCs/>
                <w:sz w:val="22"/>
                <w:szCs w:val="22"/>
              </w:rPr>
              <w:t>Nyrer og urinveje</w:t>
            </w:r>
          </w:p>
        </w:tc>
        <w:tc>
          <w:tcPr>
            <w:tcW w:w="1701" w:type="dxa"/>
            <w:tcBorders>
              <w:top w:val="single" w:sz="4" w:space="0" w:color="auto"/>
              <w:left w:val="single" w:sz="4" w:space="0" w:color="auto"/>
              <w:bottom w:val="single" w:sz="4" w:space="0" w:color="auto"/>
              <w:right w:val="single" w:sz="4" w:space="0" w:color="auto"/>
            </w:tcBorders>
          </w:tcPr>
          <w:p w14:paraId="0FFC2EF2" w14:textId="77777777" w:rsidR="00CC7E5E" w:rsidRDefault="00CC7E5E">
            <w:pPr>
              <w:pStyle w:val="Sidehoved"/>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8A1BAA7" w14:textId="77777777" w:rsidR="00CC7E5E" w:rsidRDefault="00CC7E5E">
            <w:pPr>
              <w:pStyle w:val="Sidehoved"/>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4F82701C" w14:textId="77777777" w:rsidR="00CC7E5E" w:rsidRDefault="00CC7E5E">
            <w:pPr>
              <w:pStyle w:val="Sidehoved"/>
              <w:rPr>
                <w:sz w:val="22"/>
                <w:szCs w:val="22"/>
              </w:rPr>
            </w:pPr>
            <w:proofErr w:type="spellStart"/>
            <w:r>
              <w:rPr>
                <w:sz w:val="22"/>
                <w:szCs w:val="22"/>
              </w:rPr>
              <w:t>Tubulointersti-tiel</w:t>
            </w:r>
            <w:proofErr w:type="spellEnd"/>
            <w:r>
              <w:rPr>
                <w:sz w:val="22"/>
                <w:szCs w:val="22"/>
              </w:rPr>
              <w:t xml:space="preserve"> </w:t>
            </w:r>
            <w:proofErr w:type="spellStart"/>
            <w:r>
              <w:rPr>
                <w:sz w:val="22"/>
                <w:szCs w:val="22"/>
              </w:rPr>
              <w:t>nefritis</w:t>
            </w:r>
            <w:proofErr w:type="spellEnd"/>
            <w:r>
              <w:rPr>
                <w:sz w:val="22"/>
                <w:szCs w:val="22"/>
              </w:rPr>
              <w:t xml:space="preserve"> (med mulig udvikling til nyresvigt)</w:t>
            </w:r>
          </w:p>
        </w:tc>
        <w:tc>
          <w:tcPr>
            <w:tcW w:w="1559" w:type="dxa"/>
            <w:tcBorders>
              <w:top w:val="single" w:sz="4" w:space="0" w:color="auto"/>
              <w:left w:val="single" w:sz="4" w:space="0" w:color="auto"/>
              <w:bottom w:val="single" w:sz="4" w:space="0" w:color="auto"/>
              <w:right w:val="single" w:sz="4" w:space="0" w:color="auto"/>
            </w:tcBorders>
          </w:tcPr>
          <w:p w14:paraId="5A13BB09" w14:textId="77777777" w:rsidR="00CC7E5E" w:rsidRDefault="00CC7E5E">
            <w:pPr>
              <w:pStyle w:val="Sidehoved"/>
              <w:rPr>
                <w:sz w:val="22"/>
                <w:szCs w:val="22"/>
              </w:rPr>
            </w:pPr>
          </w:p>
        </w:tc>
        <w:tc>
          <w:tcPr>
            <w:tcW w:w="1553" w:type="dxa"/>
            <w:tcBorders>
              <w:top w:val="single" w:sz="4" w:space="0" w:color="auto"/>
              <w:left w:val="single" w:sz="4" w:space="0" w:color="auto"/>
              <w:bottom w:val="single" w:sz="4" w:space="0" w:color="auto"/>
              <w:right w:val="single" w:sz="4" w:space="0" w:color="auto"/>
            </w:tcBorders>
          </w:tcPr>
          <w:p w14:paraId="41FB3271" w14:textId="77777777" w:rsidR="00CC7E5E" w:rsidRDefault="00CC7E5E">
            <w:pPr>
              <w:pStyle w:val="Sidehoved"/>
              <w:rPr>
                <w:sz w:val="22"/>
                <w:szCs w:val="22"/>
              </w:rPr>
            </w:pPr>
          </w:p>
        </w:tc>
      </w:tr>
      <w:tr w:rsidR="00CC7E5E" w14:paraId="5DDC36B2" w14:textId="77777777" w:rsidTr="00CC7E5E">
        <w:tc>
          <w:tcPr>
            <w:tcW w:w="1980" w:type="dxa"/>
            <w:tcBorders>
              <w:top w:val="single" w:sz="4" w:space="0" w:color="auto"/>
              <w:left w:val="single" w:sz="4" w:space="0" w:color="auto"/>
              <w:bottom w:val="single" w:sz="4" w:space="0" w:color="auto"/>
              <w:right w:val="single" w:sz="4" w:space="0" w:color="auto"/>
            </w:tcBorders>
            <w:hideMark/>
          </w:tcPr>
          <w:p w14:paraId="730B2D05" w14:textId="77777777" w:rsidR="00CC7E5E" w:rsidRDefault="00CC7E5E">
            <w:pPr>
              <w:pStyle w:val="Sidehoved"/>
              <w:rPr>
                <w:b/>
                <w:bCs/>
                <w:sz w:val="22"/>
                <w:szCs w:val="22"/>
              </w:rPr>
            </w:pPr>
            <w:r>
              <w:rPr>
                <w:b/>
                <w:bCs/>
                <w:sz w:val="22"/>
                <w:szCs w:val="22"/>
              </w:rPr>
              <w:t>Det reproduktive system og mammae</w:t>
            </w:r>
          </w:p>
        </w:tc>
        <w:tc>
          <w:tcPr>
            <w:tcW w:w="1701" w:type="dxa"/>
            <w:tcBorders>
              <w:top w:val="single" w:sz="4" w:space="0" w:color="auto"/>
              <w:left w:val="single" w:sz="4" w:space="0" w:color="auto"/>
              <w:bottom w:val="single" w:sz="4" w:space="0" w:color="auto"/>
              <w:right w:val="single" w:sz="4" w:space="0" w:color="auto"/>
            </w:tcBorders>
          </w:tcPr>
          <w:p w14:paraId="0ECB125A" w14:textId="77777777" w:rsidR="00CC7E5E" w:rsidRDefault="00CC7E5E">
            <w:pPr>
              <w:pStyle w:val="Sidehoved"/>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F8BD227" w14:textId="77777777" w:rsidR="00CC7E5E" w:rsidRDefault="00CC7E5E">
            <w:pPr>
              <w:pStyle w:val="Sidehoved"/>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5209D245" w14:textId="77777777" w:rsidR="00CC7E5E" w:rsidRDefault="00CC7E5E">
            <w:pPr>
              <w:pStyle w:val="Sidehoved"/>
              <w:rPr>
                <w:sz w:val="22"/>
                <w:szCs w:val="22"/>
              </w:rPr>
            </w:pPr>
            <w:proofErr w:type="spellStart"/>
            <w:r>
              <w:rPr>
                <w:sz w:val="22"/>
                <w:szCs w:val="22"/>
              </w:rPr>
              <w:t>Gynækomasti</w:t>
            </w:r>
            <w:proofErr w:type="spellEnd"/>
          </w:p>
        </w:tc>
        <w:tc>
          <w:tcPr>
            <w:tcW w:w="1559" w:type="dxa"/>
            <w:tcBorders>
              <w:top w:val="single" w:sz="4" w:space="0" w:color="auto"/>
              <w:left w:val="single" w:sz="4" w:space="0" w:color="auto"/>
              <w:bottom w:val="single" w:sz="4" w:space="0" w:color="auto"/>
              <w:right w:val="single" w:sz="4" w:space="0" w:color="auto"/>
            </w:tcBorders>
          </w:tcPr>
          <w:p w14:paraId="5DD4926E" w14:textId="77777777" w:rsidR="00CC7E5E" w:rsidRDefault="00CC7E5E">
            <w:pPr>
              <w:pStyle w:val="Sidehoved"/>
              <w:rPr>
                <w:sz w:val="22"/>
                <w:szCs w:val="22"/>
              </w:rPr>
            </w:pPr>
          </w:p>
        </w:tc>
        <w:tc>
          <w:tcPr>
            <w:tcW w:w="1553" w:type="dxa"/>
            <w:tcBorders>
              <w:top w:val="single" w:sz="4" w:space="0" w:color="auto"/>
              <w:left w:val="single" w:sz="4" w:space="0" w:color="auto"/>
              <w:bottom w:val="single" w:sz="4" w:space="0" w:color="auto"/>
              <w:right w:val="single" w:sz="4" w:space="0" w:color="auto"/>
            </w:tcBorders>
          </w:tcPr>
          <w:p w14:paraId="3F027F58" w14:textId="77777777" w:rsidR="00CC7E5E" w:rsidRDefault="00CC7E5E">
            <w:pPr>
              <w:pStyle w:val="Sidehoved"/>
              <w:rPr>
                <w:sz w:val="22"/>
                <w:szCs w:val="22"/>
              </w:rPr>
            </w:pPr>
          </w:p>
        </w:tc>
      </w:tr>
      <w:tr w:rsidR="00CC7E5E" w14:paraId="4168E53C" w14:textId="77777777" w:rsidTr="00CC7E5E">
        <w:tc>
          <w:tcPr>
            <w:tcW w:w="1980" w:type="dxa"/>
            <w:tcBorders>
              <w:top w:val="single" w:sz="4" w:space="0" w:color="auto"/>
              <w:left w:val="single" w:sz="4" w:space="0" w:color="auto"/>
              <w:bottom w:val="single" w:sz="4" w:space="0" w:color="auto"/>
              <w:right w:val="single" w:sz="4" w:space="0" w:color="auto"/>
            </w:tcBorders>
            <w:hideMark/>
          </w:tcPr>
          <w:p w14:paraId="642B41CC" w14:textId="77777777" w:rsidR="00CC7E5E" w:rsidRDefault="00CC7E5E">
            <w:pPr>
              <w:pStyle w:val="Sidehoved"/>
              <w:rPr>
                <w:b/>
                <w:bCs/>
                <w:sz w:val="22"/>
                <w:szCs w:val="22"/>
              </w:rPr>
            </w:pPr>
            <w:r>
              <w:rPr>
                <w:b/>
                <w:bCs/>
                <w:sz w:val="22"/>
                <w:szCs w:val="22"/>
              </w:rPr>
              <w:t xml:space="preserve">Almene symptomer og reaktioner på </w:t>
            </w:r>
            <w:r>
              <w:rPr>
                <w:b/>
                <w:bCs/>
                <w:sz w:val="22"/>
                <w:szCs w:val="22"/>
              </w:rPr>
              <w:br/>
              <w:t>administrations-</w:t>
            </w:r>
            <w:r>
              <w:rPr>
                <w:b/>
                <w:bCs/>
                <w:sz w:val="22"/>
                <w:szCs w:val="22"/>
              </w:rPr>
              <w:br/>
              <w:t>stedet</w:t>
            </w:r>
          </w:p>
        </w:tc>
        <w:tc>
          <w:tcPr>
            <w:tcW w:w="1701" w:type="dxa"/>
            <w:tcBorders>
              <w:top w:val="single" w:sz="4" w:space="0" w:color="auto"/>
              <w:left w:val="single" w:sz="4" w:space="0" w:color="auto"/>
              <w:bottom w:val="single" w:sz="4" w:space="0" w:color="auto"/>
              <w:right w:val="single" w:sz="4" w:space="0" w:color="auto"/>
            </w:tcBorders>
            <w:hideMark/>
          </w:tcPr>
          <w:p w14:paraId="6A8827F7" w14:textId="77777777" w:rsidR="00CC7E5E" w:rsidRDefault="00CC7E5E">
            <w:pPr>
              <w:pStyle w:val="Sidehoved"/>
              <w:rPr>
                <w:sz w:val="22"/>
                <w:szCs w:val="22"/>
              </w:rPr>
            </w:pPr>
            <w:r>
              <w:rPr>
                <w:sz w:val="22"/>
                <w:szCs w:val="22"/>
              </w:rPr>
              <w:t>Træthed</w:t>
            </w:r>
          </w:p>
        </w:tc>
        <w:tc>
          <w:tcPr>
            <w:tcW w:w="1134" w:type="dxa"/>
            <w:tcBorders>
              <w:top w:val="single" w:sz="4" w:space="0" w:color="auto"/>
              <w:left w:val="single" w:sz="4" w:space="0" w:color="auto"/>
              <w:bottom w:val="single" w:sz="4" w:space="0" w:color="auto"/>
              <w:right w:val="single" w:sz="4" w:space="0" w:color="auto"/>
            </w:tcBorders>
            <w:hideMark/>
          </w:tcPr>
          <w:p w14:paraId="04722E6A" w14:textId="77777777" w:rsidR="00CC7E5E" w:rsidRDefault="00CC7E5E">
            <w:pPr>
              <w:pStyle w:val="Sidehoved"/>
              <w:rPr>
                <w:sz w:val="22"/>
                <w:szCs w:val="22"/>
              </w:rPr>
            </w:pPr>
            <w:r>
              <w:rPr>
                <w:sz w:val="22"/>
                <w:szCs w:val="22"/>
              </w:rPr>
              <w:t>Ødemer</w:t>
            </w:r>
          </w:p>
        </w:tc>
        <w:tc>
          <w:tcPr>
            <w:tcW w:w="1701" w:type="dxa"/>
            <w:tcBorders>
              <w:top w:val="single" w:sz="4" w:space="0" w:color="auto"/>
              <w:left w:val="single" w:sz="4" w:space="0" w:color="auto"/>
              <w:bottom w:val="single" w:sz="4" w:space="0" w:color="auto"/>
              <w:right w:val="single" w:sz="4" w:space="0" w:color="auto"/>
            </w:tcBorders>
            <w:hideMark/>
          </w:tcPr>
          <w:p w14:paraId="2B6B3967" w14:textId="77777777" w:rsidR="00CC7E5E" w:rsidRDefault="00CC7E5E">
            <w:pPr>
              <w:pStyle w:val="Sidehoved"/>
              <w:rPr>
                <w:sz w:val="22"/>
                <w:szCs w:val="22"/>
              </w:rPr>
            </w:pPr>
            <w:r>
              <w:rPr>
                <w:sz w:val="22"/>
                <w:szCs w:val="22"/>
              </w:rPr>
              <w:t xml:space="preserve">Feber, </w:t>
            </w:r>
            <w:proofErr w:type="spellStart"/>
            <w:r>
              <w:rPr>
                <w:sz w:val="22"/>
                <w:szCs w:val="22"/>
              </w:rPr>
              <w:t>hyperhidrose</w:t>
            </w:r>
            <w:proofErr w:type="spellEnd"/>
            <w:r>
              <w:rPr>
                <w:sz w:val="22"/>
                <w:szCs w:val="22"/>
              </w:rPr>
              <w:t xml:space="preserve">, </w:t>
            </w:r>
            <w:proofErr w:type="spellStart"/>
            <w:r>
              <w:rPr>
                <w:sz w:val="22"/>
                <w:szCs w:val="22"/>
              </w:rPr>
              <w:t>angioødem</w:t>
            </w:r>
            <w:proofErr w:type="spellEnd"/>
            <w:r>
              <w:rPr>
                <w:sz w:val="22"/>
                <w:szCs w:val="22"/>
              </w:rPr>
              <w:t>, anoreksi, impotens</w:t>
            </w:r>
          </w:p>
        </w:tc>
        <w:tc>
          <w:tcPr>
            <w:tcW w:w="1559" w:type="dxa"/>
            <w:tcBorders>
              <w:top w:val="single" w:sz="4" w:space="0" w:color="auto"/>
              <w:left w:val="single" w:sz="4" w:space="0" w:color="auto"/>
              <w:bottom w:val="single" w:sz="4" w:space="0" w:color="auto"/>
              <w:right w:val="single" w:sz="4" w:space="0" w:color="auto"/>
            </w:tcBorders>
            <w:hideMark/>
          </w:tcPr>
          <w:p w14:paraId="4B85F44B" w14:textId="77777777" w:rsidR="00CC7E5E" w:rsidRDefault="00CC7E5E">
            <w:pPr>
              <w:rPr>
                <w:sz w:val="22"/>
                <w:szCs w:val="22"/>
              </w:rPr>
            </w:pPr>
          </w:p>
        </w:tc>
        <w:tc>
          <w:tcPr>
            <w:tcW w:w="1553" w:type="dxa"/>
            <w:tcBorders>
              <w:top w:val="single" w:sz="4" w:space="0" w:color="auto"/>
              <w:left w:val="single" w:sz="4" w:space="0" w:color="auto"/>
              <w:bottom w:val="single" w:sz="4" w:space="0" w:color="auto"/>
              <w:right w:val="single" w:sz="4" w:space="0" w:color="auto"/>
            </w:tcBorders>
          </w:tcPr>
          <w:p w14:paraId="6CF9ACD9" w14:textId="77777777" w:rsidR="00CC7E5E" w:rsidRDefault="00CC7E5E">
            <w:pPr>
              <w:pStyle w:val="Sidehoved"/>
              <w:rPr>
                <w:sz w:val="22"/>
                <w:szCs w:val="22"/>
              </w:rPr>
            </w:pPr>
          </w:p>
        </w:tc>
      </w:tr>
      <w:tr w:rsidR="00CC7E5E" w14:paraId="59E91E69" w14:textId="77777777" w:rsidTr="00CC7E5E">
        <w:tc>
          <w:tcPr>
            <w:tcW w:w="1980" w:type="dxa"/>
            <w:tcBorders>
              <w:top w:val="single" w:sz="4" w:space="0" w:color="auto"/>
              <w:left w:val="single" w:sz="4" w:space="0" w:color="auto"/>
              <w:bottom w:val="single" w:sz="4" w:space="0" w:color="auto"/>
              <w:right w:val="single" w:sz="4" w:space="0" w:color="auto"/>
            </w:tcBorders>
            <w:hideMark/>
          </w:tcPr>
          <w:p w14:paraId="702F17EB" w14:textId="77777777" w:rsidR="00CC7E5E" w:rsidRDefault="00CC7E5E">
            <w:pPr>
              <w:pStyle w:val="Sidehoved"/>
              <w:rPr>
                <w:b/>
                <w:bCs/>
                <w:sz w:val="22"/>
                <w:szCs w:val="22"/>
              </w:rPr>
            </w:pPr>
            <w:r>
              <w:rPr>
                <w:b/>
                <w:bCs/>
                <w:sz w:val="22"/>
                <w:szCs w:val="22"/>
              </w:rPr>
              <w:t>Undersøgelser</w:t>
            </w:r>
          </w:p>
        </w:tc>
        <w:tc>
          <w:tcPr>
            <w:tcW w:w="1701" w:type="dxa"/>
            <w:tcBorders>
              <w:top w:val="single" w:sz="4" w:space="0" w:color="auto"/>
              <w:left w:val="single" w:sz="4" w:space="0" w:color="auto"/>
              <w:bottom w:val="single" w:sz="4" w:space="0" w:color="auto"/>
              <w:right w:val="single" w:sz="4" w:space="0" w:color="auto"/>
            </w:tcBorders>
          </w:tcPr>
          <w:p w14:paraId="59B58C81" w14:textId="77777777" w:rsidR="00CC7E5E" w:rsidRDefault="00CC7E5E">
            <w:pPr>
              <w:pStyle w:val="Sidehoved"/>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4DC0DB4" w14:textId="77777777" w:rsidR="00CC7E5E" w:rsidRDefault="00CC7E5E">
            <w:pPr>
              <w:pStyle w:val="Sidehoved"/>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90667E4" w14:textId="77777777" w:rsidR="00CC7E5E" w:rsidRDefault="00CC7E5E">
            <w:pPr>
              <w:pStyle w:val="Sidehoved"/>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75CC63D3" w14:textId="77777777" w:rsidR="00CC7E5E" w:rsidRDefault="00CC7E5E">
            <w:pPr>
              <w:pStyle w:val="Sidehoved"/>
              <w:rPr>
                <w:sz w:val="22"/>
                <w:szCs w:val="22"/>
              </w:rPr>
            </w:pPr>
            <w:r>
              <w:rPr>
                <w:sz w:val="22"/>
                <w:szCs w:val="22"/>
              </w:rPr>
              <w:t>Stigning i kolesterol- og triglycerid</w:t>
            </w:r>
            <w:r>
              <w:rPr>
                <w:sz w:val="22"/>
                <w:szCs w:val="22"/>
              </w:rPr>
              <w:softHyphen/>
              <w:t xml:space="preserve">niveauer </w:t>
            </w:r>
          </w:p>
        </w:tc>
        <w:tc>
          <w:tcPr>
            <w:tcW w:w="1553" w:type="dxa"/>
            <w:tcBorders>
              <w:top w:val="single" w:sz="4" w:space="0" w:color="auto"/>
              <w:left w:val="single" w:sz="4" w:space="0" w:color="auto"/>
              <w:bottom w:val="single" w:sz="4" w:space="0" w:color="auto"/>
              <w:right w:val="single" w:sz="4" w:space="0" w:color="auto"/>
            </w:tcBorders>
            <w:hideMark/>
          </w:tcPr>
          <w:p w14:paraId="3D1E993A" w14:textId="77777777" w:rsidR="00CC7E5E" w:rsidRDefault="00CC7E5E">
            <w:pPr>
              <w:rPr>
                <w:sz w:val="22"/>
                <w:szCs w:val="22"/>
              </w:rPr>
            </w:pPr>
          </w:p>
        </w:tc>
      </w:tr>
    </w:tbl>
    <w:p w14:paraId="4FC591B3" w14:textId="77777777" w:rsidR="00CC7E5E" w:rsidRDefault="00CC7E5E" w:rsidP="00CC7E5E">
      <w:pPr>
        <w:ind w:left="851"/>
        <w:rPr>
          <w:sz w:val="24"/>
          <w:szCs w:val="24"/>
        </w:rPr>
      </w:pPr>
      <w:r>
        <w:rPr>
          <w:sz w:val="24"/>
          <w:szCs w:val="24"/>
        </w:rPr>
        <w:t>*</w:t>
      </w:r>
      <w:r>
        <w:t>H</w:t>
      </w:r>
      <w:r>
        <w:rPr>
          <w:sz w:val="24"/>
          <w:szCs w:val="24"/>
        </w:rPr>
        <w:t>ændelser efter markedsføring</w:t>
      </w:r>
    </w:p>
    <w:p w14:paraId="6973525F" w14:textId="77777777" w:rsidR="00CC7E5E" w:rsidRDefault="00CC7E5E" w:rsidP="00CC7E5E">
      <w:pPr>
        <w:ind w:left="851"/>
        <w:rPr>
          <w:sz w:val="24"/>
          <w:szCs w:val="24"/>
        </w:rPr>
      </w:pPr>
      <w:r>
        <w:rPr>
          <w:sz w:val="22"/>
          <w:szCs w:val="22"/>
          <w:vertAlign w:val="superscript"/>
          <w:lang w:val="en-GB"/>
        </w:rPr>
        <w:t>ϯ</w:t>
      </w:r>
      <w:r w:rsidRPr="00CC7E5E">
        <w:rPr>
          <w:sz w:val="24"/>
          <w:szCs w:val="24"/>
        </w:rPr>
        <w:t xml:space="preserve"> </w:t>
      </w:r>
      <w:proofErr w:type="spellStart"/>
      <w:r>
        <w:rPr>
          <w:sz w:val="24"/>
          <w:szCs w:val="24"/>
        </w:rPr>
        <w:t>Hypocalcæmi</w:t>
      </w:r>
      <w:proofErr w:type="spellEnd"/>
      <w:r>
        <w:rPr>
          <w:sz w:val="24"/>
          <w:szCs w:val="24"/>
        </w:rPr>
        <w:t xml:space="preserve"> og/eller </w:t>
      </w:r>
      <w:proofErr w:type="spellStart"/>
      <w:r>
        <w:rPr>
          <w:sz w:val="24"/>
          <w:szCs w:val="24"/>
        </w:rPr>
        <w:t>hypokaliæmi</w:t>
      </w:r>
      <w:proofErr w:type="spellEnd"/>
      <w:r>
        <w:rPr>
          <w:sz w:val="24"/>
          <w:szCs w:val="24"/>
        </w:rPr>
        <w:t xml:space="preserve"> kan være relateret til forekomsten af </w:t>
      </w:r>
      <w:proofErr w:type="spellStart"/>
      <w:r>
        <w:rPr>
          <w:sz w:val="24"/>
          <w:szCs w:val="24"/>
        </w:rPr>
        <w:t>hypomagnesiæmi</w:t>
      </w:r>
      <w:proofErr w:type="spellEnd"/>
      <w:r>
        <w:rPr>
          <w:sz w:val="24"/>
          <w:szCs w:val="24"/>
        </w:rPr>
        <w:t xml:space="preserve"> (se pkt. 4.4)</w:t>
      </w:r>
    </w:p>
    <w:p w14:paraId="082BF842" w14:textId="77777777" w:rsidR="00CC7E5E" w:rsidRDefault="00CC7E5E" w:rsidP="00CC7E5E">
      <w:pPr>
        <w:ind w:left="851"/>
        <w:rPr>
          <w:sz w:val="24"/>
          <w:szCs w:val="24"/>
        </w:rPr>
      </w:pPr>
      <w:r>
        <w:rPr>
          <w:sz w:val="22"/>
          <w:szCs w:val="22"/>
          <w:vertAlign w:val="superscript"/>
          <w:lang w:eastAsia="fi-FI"/>
        </w:rPr>
        <w:t xml:space="preserve">‡ </w:t>
      </w:r>
      <w:r>
        <w:rPr>
          <w:sz w:val="22"/>
          <w:szCs w:val="22"/>
          <w:lang w:eastAsia="fi-FI"/>
        </w:rPr>
        <w:t>Se pkt. 4.4</w:t>
      </w:r>
    </w:p>
    <w:p w14:paraId="2334A23D" w14:textId="77777777" w:rsidR="005416F8" w:rsidRDefault="005416F8" w:rsidP="005416F8">
      <w:pPr>
        <w:ind w:left="851"/>
        <w:rPr>
          <w:sz w:val="24"/>
          <w:szCs w:val="24"/>
          <w:u w:val="single"/>
        </w:rPr>
      </w:pPr>
    </w:p>
    <w:p w14:paraId="3540B1C9" w14:textId="77777777" w:rsidR="000858AD" w:rsidRDefault="000858AD" w:rsidP="005416F8">
      <w:pPr>
        <w:ind w:left="851"/>
        <w:rPr>
          <w:sz w:val="24"/>
          <w:szCs w:val="24"/>
          <w:u w:val="single"/>
        </w:rPr>
      </w:pPr>
    </w:p>
    <w:p w14:paraId="0DF14BA2" w14:textId="77777777" w:rsidR="000858AD" w:rsidRDefault="000858AD" w:rsidP="005416F8">
      <w:pPr>
        <w:ind w:left="851"/>
        <w:rPr>
          <w:sz w:val="24"/>
          <w:szCs w:val="24"/>
          <w:u w:val="single"/>
        </w:rPr>
      </w:pPr>
    </w:p>
    <w:p w14:paraId="7CEF30A2" w14:textId="77777777" w:rsidR="000858AD" w:rsidRDefault="000858AD" w:rsidP="005416F8">
      <w:pPr>
        <w:ind w:left="851"/>
        <w:rPr>
          <w:sz w:val="24"/>
          <w:szCs w:val="24"/>
          <w:u w:val="single"/>
        </w:rPr>
      </w:pPr>
    </w:p>
    <w:p w14:paraId="7F29AC30" w14:textId="77777777" w:rsidR="005416F8" w:rsidRDefault="005416F8" w:rsidP="005416F8">
      <w:pPr>
        <w:ind w:left="851"/>
        <w:rPr>
          <w:sz w:val="24"/>
          <w:szCs w:val="24"/>
          <w:u w:val="single"/>
        </w:rPr>
      </w:pPr>
      <w:r>
        <w:rPr>
          <w:sz w:val="24"/>
          <w:szCs w:val="24"/>
          <w:u w:val="single"/>
        </w:rPr>
        <w:t>Indberetning af formodede bivirkninger</w:t>
      </w:r>
    </w:p>
    <w:p w14:paraId="7CBF98A8" w14:textId="77777777" w:rsidR="005416F8" w:rsidRDefault="005416F8" w:rsidP="005416F8">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14:paraId="5D506289" w14:textId="77777777" w:rsidR="005416F8" w:rsidRDefault="005416F8" w:rsidP="005416F8">
      <w:pPr>
        <w:ind w:left="851"/>
        <w:rPr>
          <w:sz w:val="24"/>
          <w:szCs w:val="24"/>
        </w:rPr>
      </w:pPr>
    </w:p>
    <w:p w14:paraId="6FE10532" w14:textId="77777777" w:rsidR="005416F8" w:rsidRDefault="005416F8" w:rsidP="005416F8">
      <w:pPr>
        <w:ind w:left="851"/>
        <w:rPr>
          <w:sz w:val="24"/>
          <w:szCs w:val="24"/>
        </w:rPr>
      </w:pPr>
      <w:r>
        <w:rPr>
          <w:sz w:val="24"/>
          <w:szCs w:val="24"/>
        </w:rPr>
        <w:t>Lægemiddelstyrelsen</w:t>
      </w:r>
    </w:p>
    <w:p w14:paraId="269150CB" w14:textId="77777777" w:rsidR="005416F8" w:rsidRDefault="005416F8" w:rsidP="005416F8">
      <w:pPr>
        <w:ind w:left="851"/>
        <w:rPr>
          <w:sz w:val="24"/>
          <w:szCs w:val="24"/>
        </w:rPr>
      </w:pPr>
      <w:r>
        <w:rPr>
          <w:sz w:val="24"/>
          <w:szCs w:val="24"/>
        </w:rPr>
        <w:t>Axel Heides Gade 1</w:t>
      </w:r>
    </w:p>
    <w:p w14:paraId="2FD53884" w14:textId="77777777" w:rsidR="005416F8" w:rsidRDefault="005416F8" w:rsidP="005416F8">
      <w:pPr>
        <w:ind w:left="851"/>
        <w:rPr>
          <w:sz w:val="24"/>
          <w:szCs w:val="24"/>
        </w:rPr>
      </w:pPr>
      <w:r>
        <w:rPr>
          <w:sz w:val="24"/>
          <w:szCs w:val="24"/>
        </w:rPr>
        <w:t>DK-2300 København S</w:t>
      </w:r>
    </w:p>
    <w:p w14:paraId="21E5DF58" w14:textId="77777777" w:rsidR="005416F8" w:rsidRDefault="005416F8" w:rsidP="005416F8">
      <w:pPr>
        <w:ind w:left="851"/>
        <w:rPr>
          <w:sz w:val="24"/>
          <w:szCs w:val="24"/>
        </w:rPr>
      </w:pPr>
      <w:r>
        <w:rPr>
          <w:sz w:val="24"/>
          <w:szCs w:val="24"/>
        </w:rPr>
        <w:t xml:space="preserve">Websted: </w:t>
      </w:r>
      <w:hyperlink r:id="rId8" w:history="1">
        <w:r>
          <w:rPr>
            <w:rStyle w:val="Hyperlink"/>
            <w:sz w:val="24"/>
            <w:szCs w:val="24"/>
          </w:rPr>
          <w:t>www.meldenbivirkning.dk</w:t>
        </w:r>
      </w:hyperlink>
    </w:p>
    <w:p w14:paraId="0AB60013" w14:textId="77777777" w:rsidR="004D4CB4" w:rsidRPr="0040224B" w:rsidRDefault="004D4CB4" w:rsidP="004D4CB4">
      <w:pPr>
        <w:ind w:left="851" w:hanging="851"/>
        <w:rPr>
          <w:szCs w:val="24"/>
        </w:rPr>
      </w:pPr>
    </w:p>
    <w:p w14:paraId="032D88DC" w14:textId="77777777" w:rsidR="004D4CB4" w:rsidRPr="00386BA3" w:rsidRDefault="004D4CB4" w:rsidP="004D4CB4">
      <w:pPr>
        <w:ind w:left="851" w:hanging="851"/>
        <w:rPr>
          <w:b/>
          <w:sz w:val="24"/>
          <w:szCs w:val="24"/>
        </w:rPr>
      </w:pPr>
      <w:r w:rsidRPr="00386BA3">
        <w:rPr>
          <w:b/>
          <w:sz w:val="24"/>
          <w:szCs w:val="24"/>
        </w:rPr>
        <w:t>4.9</w:t>
      </w:r>
      <w:r w:rsidRPr="00386BA3">
        <w:rPr>
          <w:b/>
          <w:sz w:val="24"/>
          <w:szCs w:val="24"/>
        </w:rPr>
        <w:tab/>
        <w:t>Overdosering</w:t>
      </w:r>
    </w:p>
    <w:p w14:paraId="04E81CFE" w14:textId="24DADDA3" w:rsidR="004D4CB4" w:rsidRDefault="004D4CB4" w:rsidP="004D4CB4">
      <w:pPr>
        <w:ind w:left="851" w:hanging="851"/>
        <w:rPr>
          <w:sz w:val="24"/>
          <w:szCs w:val="24"/>
        </w:rPr>
      </w:pPr>
      <w:r w:rsidRPr="00386BA3">
        <w:rPr>
          <w:sz w:val="24"/>
          <w:szCs w:val="24"/>
        </w:rPr>
        <w:tab/>
      </w:r>
      <w:r w:rsidR="00CC7E5E">
        <w:rPr>
          <w:sz w:val="24"/>
          <w:szCs w:val="24"/>
        </w:rPr>
        <w:t xml:space="preserve">Virkningerne af </w:t>
      </w:r>
      <w:r>
        <w:rPr>
          <w:sz w:val="24"/>
          <w:szCs w:val="24"/>
        </w:rPr>
        <w:t xml:space="preserve">overdosering med </w:t>
      </w:r>
      <w:proofErr w:type="spellStart"/>
      <w:r>
        <w:rPr>
          <w:sz w:val="24"/>
          <w:szCs w:val="24"/>
        </w:rPr>
        <w:t>lansoprazol</w:t>
      </w:r>
      <w:proofErr w:type="spellEnd"/>
      <w:r>
        <w:rPr>
          <w:sz w:val="24"/>
          <w:szCs w:val="24"/>
        </w:rPr>
        <w:t xml:space="preserve"> hos mennesker kendes ikke (selvom den akutte toksicitet sandsynligvis er lav), og der kan derfor ikke gives vejledning om </w:t>
      </w:r>
      <w:r w:rsidR="00CC7E5E">
        <w:rPr>
          <w:sz w:val="24"/>
          <w:szCs w:val="24"/>
        </w:rPr>
        <w:t xml:space="preserve">behandling. Daglige doser på op til 180 mg </w:t>
      </w:r>
      <w:proofErr w:type="spellStart"/>
      <w:r w:rsidR="00CC7E5E">
        <w:rPr>
          <w:sz w:val="24"/>
          <w:szCs w:val="24"/>
        </w:rPr>
        <w:t>lansoprazol</w:t>
      </w:r>
      <w:proofErr w:type="spellEnd"/>
      <w:r w:rsidR="00CC7E5E">
        <w:rPr>
          <w:sz w:val="24"/>
          <w:szCs w:val="24"/>
        </w:rPr>
        <w:t xml:space="preserve"> oralt og op til 90 mg </w:t>
      </w:r>
      <w:proofErr w:type="spellStart"/>
      <w:r w:rsidR="00CC7E5E">
        <w:rPr>
          <w:sz w:val="24"/>
          <w:szCs w:val="24"/>
        </w:rPr>
        <w:t>lansoprazol</w:t>
      </w:r>
      <w:proofErr w:type="spellEnd"/>
      <w:r w:rsidR="00CC7E5E">
        <w:rPr>
          <w:sz w:val="24"/>
          <w:szCs w:val="24"/>
        </w:rPr>
        <w:t xml:space="preserve"> </w:t>
      </w:r>
      <w:r>
        <w:rPr>
          <w:sz w:val="24"/>
          <w:szCs w:val="24"/>
        </w:rPr>
        <w:t>intravenøst er dog blevet administreret i studier uden signifikante bivirkninger.</w:t>
      </w:r>
    </w:p>
    <w:p w14:paraId="57ACF12D" w14:textId="77777777" w:rsidR="004D4CB4" w:rsidRDefault="004D4CB4" w:rsidP="004D4CB4">
      <w:pPr>
        <w:ind w:left="851" w:hanging="851"/>
        <w:rPr>
          <w:sz w:val="24"/>
          <w:szCs w:val="24"/>
        </w:rPr>
      </w:pPr>
      <w:r>
        <w:rPr>
          <w:sz w:val="24"/>
          <w:szCs w:val="24"/>
        </w:rPr>
        <w:tab/>
      </w:r>
    </w:p>
    <w:p w14:paraId="5B08543B" w14:textId="77777777" w:rsidR="00CC7E5E" w:rsidRDefault="004D4CB4" w:rsidP="00CC7E5E">
      <w:pPr>
        <w:ind w:left="851" w:hanging="851"/>
        <w:rPr>
          <w:sz w:val="24"/>
          <w:szCs w:val="24"/>
        </w:rPr>
      </w:pPr>
      <w:r>
        <w:rPr>
          <w:sz w:val="24"/>
          <w:szCs w:val="24"/>
        </w:rPr>
        <w:tab/>
      </w:r>
      <w:r w:rsidR="00CC7E5E">
        <w:rPr>
          <w:sz w:val="24"/>
          <w:szCs w:val="24"/>
        </w:rPr>
        <w:t xml:space="preserve">Der henvises til pkt. 4.8 for mulige symptomer på overdosering med </w:t>
      </w:r>
      <w:proofErr w:type="spellStart"/>
      <w:r w:rsidR="00CC7E5E">
        <w:rPr>
          <w:sz w:val="24"/>
          <w:szCs w:val="24"/>
        </w:rPr>
        <w:t>lansoprazol</w:t>
      </w:r>
      <w:proofErr w:type="spellEnd"/>
      <w:r w:rsidR="00CC7E5E">
        <w:rPr>
          <w:sz w:val="24"/>
          <w:szCs w:val="24"/>
        </w:rPr>
        <w:t>.</w:t>
      </w:r>
    </w:p>
    <w:p w14:paraId="2C8982D5" w14:textId="77777777" w:rsidR="004D4CB4" w:rsidRDefault="004D4CB4" w:rsidP="004D4CB4">
      <w:pPr>
        <w:ind w:left="851" w:hanging="851"/>
        <w:rPr>
          <w:sz w:val="24"/>
          <w:szCs w:val="24"/>
        </w:rPr>
      </w:pPr>
      <w:r>
        <w:rPr>
          <w:sz w:val="24"/>
          <w:szCs w:val="24"/>
        </w:rPr>
        <w:tab/>
      </w:r>
    </w:p>
    <w:p w14:paraId="326CF973" w14:textId="77777777" w:rsidR="004D4CB4" w:rsidRDefault="004D4CB4" w:rsidP="004D4CB4">
      <w:pPr>
        <w:ind w:left="851" w:hanging="851"/>
        <w:rPr>
          <w:sz w:val="24"/>
          <w:szCs w:val="24"/>
        </w:rPr>
      </w:pPr>
      <w:r>
        <w:rPr>
          <w:sz w:val="24"/>
          <w:szCs w:val="24"/>
        </w:rPr>
        <w:tab/>
        <w:t xml:space="preserve">I tilfælde af mistanke om overdosering skal patienten overvåges. </w:t>
      </w:r>
      <w:proofErr w:type="spellStart"/>
      <w:r>
        <w:rPr>
          <w:sz w:val="24"/>
          <w:szCs w:val="24"/>
        </w:rPr>
        <w:t>Lansoprazol</w:t>
      </w:r>
      <w:proofErr w:type="spellEnd"/>
      <w:r>
        <w:rPr>
          <w:sz w:val="24"/>
          <w:szCs w:val="24"/>
        </w:rPr>
        <w:t xml:space="preserve"> bliver ikke signifikant elimineret ved hæmodialyse. Om nødvendigt anbefales ventrikeltømning, administration af aktivt kul og symptomatisk behandling.</w:t>
      </w:r>
    </w:p>
    <w:p w14:paraId="19AA82FA" w14:textId="77777777" w:rsidR="004D4CB4" w:rsidRPr="00386BA3" w:rsidRDefault="004D4CB4" w:rsidP="004D4CB4">
      <w:pPr>
        <w:ind w:left="851" w:hanging="851"/>
        <w:rPr>
          <w:sz w:val="24"/>
          <w:szCs w:val="24"/>
        </w:rPr>
      </w:pPr>
    </w:p>
    <w:p w14:paraId="3D6F6E43" w14:textId="77777777" w:rsidR="004D4CB4" w:rsidRPr="00386BA3" w:rsidRDefault="004D4CB4" w:rsidP="004D4CB4">
      <w:pPr>
        <w:ind w:left="851" w:hanging="851"/>
        <w:rPr>
          <w:b/>
          <w:sz w:val="24"/>
          <w:szCs w:val="24"/>
        </w:rPr>
      </w:pPr>
      <w:r w:rsidRPr="00386BA3">
        <w:rPr>
          <w:b/>
          <w:sz w:val="24"/>
          <w:szCs w:val="24"/>
        </w:rPr>
        <w:t>4.10</w:t>
      </w:r>
      <w:r w:rsidRPr="00386BA3">
        <w:rPr>
          <w:b/>
          <w:sz w:val="24"/>
          <w:szCs w:val="24"/>
        </w:rPr>
        <w:tab/>
        <w:t>Udlevering</w:t>
      </w:r>
    </w:p>
    <w:p w14:paraId="76E5D814" w14:textId="77777777" w:rsidR="004D4CB4" w:rsidRPr="00386BA3" w:rsidRDefault="004D4CB4" w:rsidP="004D4CB4">
      <w:pPr>
        <w:ind w:left="851" w:hanging="851"/>
        <w:rPr>
          <w:sz w:val="24"/>
          <w:szCs w:val="24"/>
        </w:rPr>
      </w:pPr>
      <w:r w:rsidRPr="00386BA3">
        <w:rPr>
          <w:sz w:val="24"/>
          <w:szCs w:val="24"/>
        </w:rPr>
        <w:tab/>
        <w:t>B</w:t>
      </w:r>
    </w:p>
    <w:p w14:paraId="6A9F6C00" w14:textId="77777777" w:rsidR="004D4CB4" w:rsidRPr="00386BA3" w:rsidRDefault="004D4CB4" w:rsidP="004D4CB4">
      <w:pPr>
        <w:ind w:left="851" w:hanging="851"/>
        <w:rPr>
          <w:sz w:val="24"/>
          <w:szCs w:val="24"/>
        </w:rPr>
      </w:pPr>
    </w:p>
    <w:p w14:paraId="00FF3C35" w14:textId="77777777" w:rsidR="004D4CB4" w:rsidRPr="00386BA3" w:rsidRDefault="004D4CB4" w:rsidP="004D4CB4">
      <w:pPr>
        <w:ind w:left="851" w:hanging="851"/>
        <w:rPr>
          <w:sz w:val="24"/>
          <w:szCs w:val="24"/>
        </w:rPr>
      </w:pPr>
    </w:p>
    <w:p w14:paraId="5AB56890" w14:textId="77777777" w:rsidR="004D4CB4" w:rsidRPr="00386BA3" w:rsidRDefault="004D4CB4" w:rsidP="004D4CB4">
      <w:pPr>
        <w:keepNext/>
        <w:ind w:left="851" w:hanging="851"/>
        <w:rPr>
          <w:b/>
          <w:sz w:val="24"/>
          <w:szCs w:val="24"/>
        </w:rPr>
      </w:pPr>
      <w:r w:rsidRPr="00386BA3">
        <w:rPr>
          <w:b/>
          <w:sz w:val="24"/>
          <w:szCs w:val="24"/>
        </w:rPr>
        <w:t>5.</w:t>
      </w:r>
      <w:r w:rsidRPr="00386BA3">
        <w:rPr>
          <w:b/>
          <w:sz w:val="24"/>
          <w:szCs w:val="24"/>
        </w:rPr>
        <w:tab/>
        <w:t>FARMAKOLOGISKE EGENSKABER</w:t>
      </w:r>
    </w:p>
    <w:p w14:paraId="7C7935B3" w14:textId="77777777" w:rsidR="005416F8" w:rsidRPr="00386BA3" w:rsidRDefault="005416F8" w:rsidP="005416F8">
      <w:pPr>
        <w:ind w:left="851"/>
        <w:rPr>
          <w:sz w:val="24"/>
          <w:szCs w:val="24"/>
        </w:rPr>
      </w:pPr>
    </w:p>
    <w:p w14:paraId="510E1414" w14:textId="77777777" w:rsidR="004D4CB4" w:rsidRPr="00386BA3" w:rsidRDefault="004D4CB4" w:rsidP="004D4CB4">
      <w:pPr>
        <w:ind w:left="851" w:hanging="851"/>
        <w:rPr>
          <w:b/>
          <w:sz w:val="24"/>
          <w:szCs w:val="24"/>
        </w:rPr>
      </w:pPr>
      <w:r w:rsidRPr="00386BA3">
        <w:rPr>
          <w:b/>
          <w:sz w:val="24"/>
          <w:szCs w:val="24"/>
        </w:rPr>
        <w:t>5.1</w:t>
      </w:r>
      <w:r w:rsidRPr="00386BA3">
        <w:rPr>
          <w:b/>
          <w:sz w:val="24"/>
          <w:szCs w:val="24"/>
        </w:rPr>
        <w:tab/>
      </w:r>
      <w:proofErr w:type="spellStart"/>
      <w:r w:rsidRPr="00386BA3">
        <w:rPr>
          <w:b/>
          <w:sz w:val="24"/>
          <w:szCs w:val="24"/>
        </w:rPr>
        <w:t>Farmakodynamiske</w:t>
      </w:r>
      <w:proofErr w:type="spellEnd"/>
      <w:r w:rsidRPr="00386BA3">
        <w:rPr>
          <w:b/>
          <w:sz w:val="24"/>
          <w:szCs w:val="24"/>
        </w:rPr>
        <w:t xml:space="preserve"> egenskaber</w:t>
      </w:r>
    </w:p>
    <w:p w14:paraId="24252D71" w14:textId="77777777" w:rsidR="000858AD" w:rsidRDefault="000858AD" w:rsidP="000858AD">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Midler mod mavesår og </w:t>
      </w:r>
      <w:proofErr w:type="spellStart"/>
      <w:r>
        <w:rPr>
          <w:sz w:val="24"/>
          <w:szCs w:val="24"/>
        </w:rPr>
        <w:t>gastro-oesophageal</w:t>
      </w:r>
      <w:proofErr w:type="spellEnd"/>
      <w:r>
        <w:rPr>
          <w:sz w:val="24"/>
          <w:szCs w:val="24"/>
        </w:rPr>
        <w:t xml:space="preserve"> </w:t>
      </w:r>
      <w:proofErr w:type="spellStart"/>
      <w:r>
        <w:rPr>
          <w:sz w:val="24"/>
          <w:szCs w:val="24"/>
        </w:rPr>
        <w:t>reflux</w:t>
      </w:r>
      <w:proofErr w:type="spellEnd"/>
      <w:r>
        <w:rPr>
          <w:sz w:val="24"/>
          <w:szCs w:val="24"/>
        </w:rPr>
        <w:t xml:space="preserve"> (</w:t>
      </w:r>
      <w:proofErr w:type="spellStart"/>
      <w:r>
        <w:rPr>
          <w:sz w:val="24"/>
          <w:szCs w:val="24"/>
        </w:rPr>
        <w:t>gord</w:t>
      </w:r>
      <w:proofErr w:type="spellEnd"/>
      <w:r>
        <w:rPr>
          <w:sz w:val="24"/>
          <w:szCs w:val="24"/>
        </w:rPr>
        <w:t xml:space="preserve">), </w:t>
      </w:r>
      <w:proofErr w:type="spellStart"/>
      <w:r>
        <w:rPr>
          <w:sz w:val="24"/>
          <w:szCs w:val="24"/>
        </w:rPr>
        <w:t>protonpumpehæmmere</w:t>
      </w:r>
      <w:proofErr w:type="spellEnd"/>
      <w:r>
        <w:rPr>
          <w:sz w:val="24"/>
          <w:szCs w:val="24"/>
        </w:rPr>
        <w:t>, ATC-kode: A02B C03.</w:t>
      </w:r>
    </w:p>
    <w:p w14:paraId="414D0A4A" w14:textId="77777777" w:rsidR="000858AD" w:rsidRDefault="000858AD" w:rsidP="004D4CB4">
      <w:pPr>
        <w:ind w:left="851" w:hanging="851"/>
        <w:rPr>
          <w:sz w:val="24"/>
          <w:szCs w:val="24"/>
        </w:rPr>
      </w:pPr>
    </w:p>
    <w:p w14:paraId="4390823D" w14:textId="77777777" w:rsidR="004D4CB4" w:rsidRPr="00CD6003" w:rsidRDefault="004D4CB4" w:rsidP="000858AD">
      <w:pPr>
        <w:ind w:left="851"/>
        <w:rPr>
          <w:sz w:val="24"/>
          <w:szCs w:val="24"/>
        </w:rPr>
      </w:pPr>
      <w:proofErr w:type="spellStart"/>
      <w:r w:rsidRPr="00386BA3">
        <w:rPr>
          <w:sz w:val="24"/>
          <w:szCs w:val="24"/>
        </w:rPr>
        <w:t>Lansoprazol</w:t>
      </w:r>
      <w:proofErr w:type="spellEnd"/>
      <w:r w:rsidRPr="00386BA3">
        <w:rPr>
          <w:sz w:val="24"/>
          <w:szCs w:val="24"/>
        </w:rPr>
        <w:t xml:space="preserve"> er en gastrisk protonpumpehæmmer.</w:t>
      </w:r>
      <w:r w:rsidRPr="00CD6003">
        <w:rPr>
          <w:sz w:val="24"/>
          <w:szCs w:val="24"/>
        </w:rPr>
        <w:t xml:space="preserve"> </w:t>
      </w:r>
      <w:r w:rsidRPr="00386BA3">
        <w:rPr>
          <w:sz w:val="24"/>
          <w:szCs w:val="24"/>
        </w:rPr>
        <w:t>Det hæmmer det sidste trin i dannelsen af mavesyre ved at hæmme aktiviteten af H</w:t>
      </w:r>
      <w:r w:rsidRPr="00386BA3">
        <w:rPr>
          <w:sz w:val="24"/>
          <w:szCs w:val="24"/>
          <w:vertAlign w:val="superscript"/>
        </w:rPr>
        <w:t>+</w:t>
      </w:r>
      <w:r w:rsidRPr="00386BA3">
        <w:rPr>
          <w:sz w:val="24"/>
          <w:szCs w:val="24"/>
        </w:rPr>
        <w:t>/K</w:t>
      </w:r>
      <w:r w:rsidRPr="00386BA3">
        <w:rPr>
          <w:sz w:val="24"/>
          <w:szCs w:val="24"/>
          <w:vertAlign w:val="superscript"/>
        </w:rPr>
        <w:t xml:space="preserve">+ </w:t>
      </w:r>
      <w:proofErr w:type="spellStart"/>
      <w:r w:rsidRPr="00386BA3">
        <w:rPr>
          <w:sz w:val="24"/>
          <w:szCs w:val="24"/>
        </w:rPr>
        <w:t>ATPase</w:t>
      </w:r>
      <w:proofErr w:type="spellEnd"/>
      <w:r w:rsidRPr="00386BA3">
        <w:rPr>
          <w:sz w:val="24"/>
          <w:szCs w:val="24"/>
        </w:rPr>
        <w:t xml:space="preserve"> i mavens </w:t>
      </w:r>
      <w:proofErr w:type="spellStart"/>
      <w:r w:rsidRPr="00386BA3">
        <w:rPr>
          <w:sz w:val="24"/>
          <w:szCs w:val="24"/>
        </w:rPr>
        <w:t>parietalceller</w:t>
      </w:r>
      <w:proofErr w:type="spellEnd"/>
      <w:r w:rsidRPr="00386BA3">
        <w:rPr>
          <w:sz w:val="24"/>
          <w:szCs w:val="24"/>
        </w:rPr>
        <w:t>.</w:t>
      </w:r>
      <w:r w:rsidRPr="00CD6003">
        <w:rPr>
          <w:sz w:val="24"/>
          <w:szCs w:val="24"/>
        </w:rPr>
        <w:t xml:space="preserve"> </w:t>
      </w:r>
      <w:r w:rsidRPr="00386BA3">
        <w:rPr>
          <w:sz w:val="24"/>
          <w:szCs w:val="24"/>
        </w:rPr>
        <w:t>Hæmningen er dosisafhængig og reversibel, og virkningen gælder for både basal og stimuleret sekretion af mavesyre.</w:t>
      </w:r>
      <w:r w:rsidRPr="00CD6003">
        <w:rPr>
          <w:sz w:val="24"/>
          <w:szCs w:val="24"/>
        </w:rPr>
        <w:t xml:space="preserve"> </w:t>
      </w:r>
    </w:p>
    <w:p w14:paraId="19E13155" w14:textId="77777777" w:rsidR="004D4CB4" w:rsidRPr="00CD6003" w:rsidRDefault="004D4CB4" w:rsidP="004D4CB4">
      <w:pPr>
        <w:ind w:left="851" w:hanging="851"/>
        <w:rPr>
          <w:sz w:val="24"/>
          <w:szCs w:val="24"/>
        </w:rPr>
      </w:pPr>
      <w:r w:rsidRPr="00CD6003">
        <w:rPr>
          <w:sz w:val="24"/>
          <w:szCs w:val="24"/>
        </w:rPr>
        <w:tab/>
      </w:r>
      <w:proofErr w:type="spellStart"/>
      <w:r w:rsidRPr="00386BA3">
        <w:rPr>
          <w:sz w:val="24"/>
          <w:szCs w:val="24"/>
        </w:rPr>
        <w:t>Lansoprazol</w:t>
      </w:r>
      <w:proofErr w:type="spellEnd"/>
      <w:r w:rsidRPr="00386BA3">
        <w:rPr>
          <w:sz w:val="24"/>
          <w:szCs w:val="24"/>
        </w:rPr>
        <w:t xml:space="preserve"> er koncentreret i </w:t>
      </w:r>
      <w:proofErr w:type="spellStart"/>
      <w:r w:rsidRPr="00386BA3">
        <w:rPr>
          <w:sz w:val="24"/>
          <w:szCs w:val="24"/>
        </w:rPr>
        <w:t>parietalcellerne</w:t>
      </w:r>
      <w:proofErr w:type="spellEnd"/>
      <w:r w:rsidRPr="00386BA3">
        <w:rPr>
          <w:sz w:val="24"/>
          <w:szCs w:val="24"/>
        </w:rPr>
        <w:t xml:space="preserve"> og aktiveres i det sure miljø, hvorefter det reagerer med </w:t>
      </w:r>
      <w:proofErr w:type="spellStart"/>
      <w:r w:rsidRPr="00386BA3">
        <w:rPr>
          <w:sz w:val="24"/>
          <w:szCs w:val="24"/>
        </w:rPr>
        <w:t>sulfydrylgruppen</w:t>
      </w:r>
      <w:proofErr w:type="spellEnd"/>
      <w:r w:rsidRPr="00386BA3">
        <w:rPr>
          <w:sz w:val="24"/>
          <w:szCs w:val="24"/>
        </w:rPr>
        <w:t xml:space="preserve"> af H</w:t>
      </w:r>
      <w:r w:rsidRPr="00386BA3">
        <w:rPr>
          <w:sz w:val="24"/>
          <w:szCs w:val="24"/>
          <w:vertAlign w:val="superscript"/>
        </w:rPr>
        <w:t>+</w:t>
      </w:r>
      <w:r w:rsidRPr="00386BA3">
        <w:rPr>
          <w:sz w:val="24"/>
          <w:szCs w:val="24"/>
        </w:rPr>
        <w:t>/</w:t>
      </w:r>
      <w:proofErr w:type="spellStart"/>
      <w:r w:rsidRPr="00386BA3">
        <w:rPr>
          <w:sz w:val="24"/>
          <w:szCs w:val="24"/>
        </w:rPr>
        <w:t>K</w:t>
      </w:r>
      <w:r w:rsidRPr="00386BA3">
        <w:rPr>
          <w:sz w:val="24"/>
          <w:szCs w:val="24"/>
          <w:vertAlign w:val="superscript"/>
        </w:rPr>
        <w:t>+</w:t>
      </w:r>
      <w:r w:rsidRPr="00386BA3">
        <w:rPr>
          <w:sz w:val="24"/>
          <w:szCs w:val="24"/>
        </w:rPr>
        <w:t>ATPase</w:t>
      </w:r>
      <w:proofErr w:type="spellEnd"/>
      <w:r w:rsidRPr="00386BA3">
        <w:rPr>
          <w:sz w:val="24"/>
          <w:szCs w:val="24"/>
        </w:rPr>
        <w:t>, hvilket medfører hæmning af enzymaktiviteten.</w:t>
      </w:r>
    </w:p>
    <w:p w14:paraId="6F2E552E" w14:textId="77777777" w:rsidR="004D4CB4" w:rsidRPr="00CD6003" w:rsidRDefault="004D4CB4" w:rsidP="004D4CB4">
      <w:pPr>
        <w:ind w:left="851" w:hanging="851"/>
        <w:rPr>
          <w:sz w:val="24"/>
          <w:szCs w:val="24"/>
        </w:rPr>
      </w:pPr>
    </w:p>
    <w:p w14:paraId="5F86B49A" w14:textId="77777777" w:rsidR="004D4CB4" w:rsidRPr="00CD6003" w:rsidRDefault="004D4CB4" w:rsidP="004D4CB4">
      <w:pPr>
        <w:ind w:left="851"/>
        <w:rPr>
          <w:sz w:val="24"/>
          <w:szCs w:val="24"/>
        </w:rPr>
      </w:pPr>
      <w:r w:rsidRPr="00386BA3">
        <w:rPr>
          <w:sz w:val="24"/>
          <w:szCs w:val="24"/>
          <w:u w:val="single"/>
        </w:rPr>
        <w:t>Virkning på sekretion af mavesyre</w:t>
      </w:r>
    </w:p>
    <w:p w14:paraId="4DCB718E" w14:textId="6ACE2C3A" w:rsidR="004D4CB4" w:rsidRDefault="004D4CB4" w:rsidP="004D4CB4">
      <w:pPr>
        <w:ind w:left="851" w:hanging="851"/>
        <w:rPr>
          <w:sz w:val="24"/>
          <w:szCs w:val="24"/>
        </w:rPr>
      </w:pPr>
      <w:r w:rsidRPr="00386BA3">
        <w:rPr>
          <w:sz w:val="24"/>
          <w:szCs w:val="24"/>
        </w:rPr>
        <w:tab/>
      </w:r>
      <w:proofErr w:type="spellStart"/>
      <w:r w:rsidRPr="00386BA3">
        <w:rPr>
          <w:sz w:val="24"/>
          <w:szCs w:val="24"/>
        </w:rPr>
        <w:t>Lansoprazol</w:t>
      </w:r>
      <w:proofErr w:type="spellEnd"/>
      <w:r w:rsidRPr="00386BA3">
        <w:rPr>
          <w:sz w:val="24"/>
          <w:szCs w:val="24"/>
        </w:rPr>
        <w:t xml:space="preserve"> er en specifik hæmmer af </w:t>
      </w:r>
      <w:proofErr w:type="spellStart"/>
      <w:r w:rsidRPr="00386BA3">
        <w:rPr>
          <w:sz w:val="24"/>
          <w:szCs w:val="24"/>
        </w:rPr>
        <w:t>parietalcellens</w:t>
      </w:r>
      <w:proofErr w:type="spellEnd"/>
      <w:r w:rsidRPr="00386BA3">
        <w:rPr>
          <w:sz w:val="24"/>
          <w:szCs w:val="24"/>
        </w:rPr>
        <w:t xml:space="preserve"> protonpumpe.</w:t>
      </w:r>
      <w:r w:rsidRPr="00CD6003">
        <w:rPr>
          <w:sz w:val="24"/>
          <w:szCs w:val="24"/>
        </w:rPr>
        <w:t xml:space="preserve"> </w:t>
      </w:r>
      <w:r w:rsidRPr="00386BA3">
        <w:rPr>
          <w:sz w:val="24"/>
          <w:szCs w:val="24"/>
        </w:rPr>
        <w:t xml:space="preserve">En enkelt oral </w:t>
      </w:r>
      <w:r w:rsidR="0040224B">
        <w:rPr>
          <w:sz w:val="24"/>
          <w:szCs w:val="24"/>
        </w:rPr>
        <w:t xml:space="preserve">30 mg </w:t>
      </w:r>
      <w:r w:rsidRPr="00386BA3">
        <w:rPr>
          <w:sz w:val="24"/>
          <w:szCs w:val="24"/>
        </w:rPr>
        <w:t xml:space="preserve">dosis </w:t>
      </w:r>
      <w:proofErr w:type="spellStart"/>
      <w:r w:rsidRPr="00386BA3">
        <w:rPr>
          <w:sz w:val="24"/>
          <w:szCs w:val="24"/>
        </w:rPr>
        <w:t>lansoprazol</w:t>
      </w:r>
      <w:proofErr w:type="spellEnd"/>
      <w:r w:rsidRPr="00386BA3">
        <w:rPr>
          <w:sz w:val="24"/>
          <w:szCs w:val="24"/>
        </w:rPr>
        <w:t xml:space="preserve"> hæmmer </w:t>
      </w:r>
      <w:proofErr w:type="spellStart"/>
      <w:r w:rsidRPr="00386BA3">
        <w:rPr>
          <w:sz w:val="24"/>
          <w:szCs w:val="24"/>
        </w:rPr>
        <w:t>pentagastrinstimuleret</w:t>
      </w:r>
      <w:proofErr w:type="spellEnd"/>
      <w:r w:rsidRPr="00386BA3">
        <w:rPr>
          <w:sz w:val="24"/>
          <w:szCs w:val="24"/>
        </w:rPr>
        <w:t xml:space="preserve"> mavesyresekretion med omkring 80 %.</w:t>
      </w:r>
      <w:r w:rsidRPr="00CD6003">
        <w:rPr>
          <w:sz w:val="24"/>
          <w:szCs w:val="24"/>
        </w:rPr>
        <w:t xml:space="preserve"> </w:t>
      </w:r>
      <w:r w:rsidRPr="00386BA3">
        <w:rPr>
          <w:sz w:val="24"/>
          <w:szCs w:val="24"/>
        </w:rPr>
        <w:t>Efter gentagen daglig administration i 7 dage, opnås cirka 90 % hæmning af mavesyresekretionen.</w:t>
      </w:r>
      <w:r w:rsidRPr="00CD6003">
        <w:rPr>
          <w:sz w:val="24"/>
          <w:szCs w:val="24"/>
        </w:rPr>
        <w:t xml:space="preserve"> </w:t>
      </w:r>
      <w:r w:rsidRPr="00386BA3">
        <w:rPr>
          <w:sz w:val="24"/>
          <w:szCs w:val="24"/>
        </w:rPr>
        <w:t>Det har en tilsvarende virkning på den basale sekretion af mavesyre.</w:t>
      </w:r>
      <w:r w:rsidRPr="00CD6003">
        <w:rPr>
          <w:sz w:val="24"/>
          <w:szCs w:val="24"/>
        </w:rPr>
        <w:t xml:space="preserve"> </w:t>
      </w:r>
      <w:r w:rsidRPr="00386BA3">
        <w:rPr>
          <w:sz w:val="24"/>
          <w:szCs w:val="24"/>
        </w:rPr>
        <w:t>En enkelt oral dosis på 30 mg nedsætter basal sekretion med omkring 70 %, og patientens symptomer lindres dermed allerede fra den allerførste dosis.</w:t>
      </w:r>
      <w:r w:rsidRPr="00CD6003">
        <w:rPr>
          <w:sz w:val="24"/>
          <w:szCs w:val="24"/>
        </w:rPr>
        <w:t xml:space="preserve"> </w:t>
      </w:r>
      <w:r w:rsidRPr="00386BA3">
        <w:rPr>
          <w:sz w:val="24"/>
          <w:szCs w:val="24"/>
        </w:rPr>
        <w:t>Efter 8 dage med gentagen administration er reduktionen cirka 85 %.</w:t>
      </w:r>
      <w:r w:rsidRPr="00CD6003">
        <w:rPr>
          <w:sz w:val="24"/>
          <w:szCs w:val="24"/>
        </w:rPr>
        <w:t xml:space="preserve"> </w:t>
      </w:r>
      <w:r w:rsidRPr="00386BA3">
        <w:rPr>
          <w:sz w:val="24"/>
          <w:szCs w:val="24"/>
        </w:rPr>
        <w:t xml:space="preserve">Hurtig symptomlindring opnås med én kapsel (30 mg) dagligt, og de fleste patienter med ulcus </w:t>
      </w:r>
      <w:proofErr w:type="spellStart"/>
      <w:r w:rsidRPr="00386BA3">
        <w:rPr>
          <w:sz w:val="24"/>
          <w:szCs w:val="24"/>
        </w:rPr>
        <w:t>duodeni</w:t>
      </w:r>
      <w:proofErr w:type="spellEnd"/>
      <w:r w:rsidRPr="00386BA3">
        <w:rPr>
          <w:sz w:val="24"/>
          <w:szCs w:val="24"/>
        </w:rPr>
        <w:t xml:space="preserve"> bliver raske i løbet af 2 uger og patienter med ulcus </w:t>
      </w:r>
      <w:proofErr w:type="spellStart"/>
      <w:r w:rsidRPr="00386BA3">
        <w:rPr>
          <w:sz w:val="24"/>
          <w:szCs w:val="24"/>
        </w:rPr>
        <w:t>ventriculi</w:t>
      </w:r>
      <w:proofErr w:type="spellEnd"/>
      <w:r w:rsidRPr="00386BA3">
        <w:rPr>
          <w:sz w:val="24"/>
          <w:szCs w:val="24"/>
        </w:rPr>
        <w:t xml:space="preserve"> og </w:t>
      </w:r>
      <w:proofErr w:type="spellStart"/>
      <w:r w:rsidR="00CC7E5E">
        <w:rPr>
          <w:sz w:val="24"/>
          <w:szCs w:val="24"/>
        </w:rPr>
        <w:t>refluksøsophagitis</w:t>
      </w:r>
      <w:proofErr w:type="spellEnd"/>
      <w:r w:rsidR="00CC7E5E">
        <w:rPr>
          <w:sz w:val="24"/>
          <w:szCs w:val="24"/>
        </w:rPr>
        <w:t xml:space="preserve"> </w:t>
      </w:r>
      <w:r w:rsidRPr="00386BA3">
        <w:rPr>
          <w:sz w:val="24"/>
          <w:szCs w:val="24"/>
        </w:rPr>
        <w:t xml:space="preserve">i løbet af 4 uger. Ved at reducere </w:t>
      </w:r>
      <w:proofErr w:type="spellStart"/>
      <w:r w:rsidRPr="00386BA3">
        <w:rPr>
          <w:sz w:val="24"/>
          <w:szCs w:val="24"/>
        </w:rPr>
        <w:t>ventrikelaciditeten</w:t>
      </w:r>
      <w:proofErr w:type="spellEnd"/>
      <w:r w:rsidRPr="00386BA3">
        <w:rPr>
          <w:sz w:val="24"/>
          <w:szCs w:val="24"/>
        </w:rPr>
        <w:t xml:space="preserve"> skaber </w:t>
      </w:r>
      <w:proofErr w:type="spellStart"/>
      <w:r w:rsidRPr="00386BA3">
        <w:rPr>
          <w:sz w:val="24"/>
          <w:szCs w:val="24"/>
        </w:rPr>
        <w:t>lansoprazol</w:t>
      </w:r>
      <w:proofErr w:type="spellEnd"/>
      <w:r w:rsidRPr="00386BA3">
        <w:rPr>
          <w:sz w:val="24"/>
          <w:szCs w:val="24"/>
        </w:rPr>
        <w:t xml:space="preserve"> et miljø, i hvilket passende antibiotika kan være effektive mod </w:t>
      </w:r>
      <w:r w:rsidRPr="00386BA3">
        <w:rPr>
          <w:i/>
          <w:iCs/>
          <w:sz w:val="24"/>
          <w:szCs w:val="24"/>
        </w:rPr>
        <w:t xml:space="preserve">H. </w:t>
      </w:r>
      <w:proofErr w:type="spellStart"/>
      <w:r w:rsidRPr="00386BA3">
        <w:rPr>
          <w:i/>
          <w:iCs/>
          <w:sz w:val="24"/>
          <w:szCs w:val="24"/>
        </w:rPr>
        <w:t>pylori</w:t>
      </w:r>
      <w:proofErr w:type="spellEnd"/>
      <w:r w:rsidRPr="00386BA3">
        <w:rPr>
          <w:sz w:val="24"/>
          <w:szCs w:val="24"/>
        </w:rPr>
        <w:t>.</w:t>
      </w:r>
    </w:p>
    <w:p w14:paraId="10D026DC" w14:textId="77777777" w:rsidR="004D4CB4" w:rsidRDefault="004D4CB4" w:rsidP="004D4CB4">
      <w:pPr>
        <w:ind w:left="851" w:hanging="851"/>
        <w:rPr>
          <w:sz w:val="24"/>
          <w:szCs w:val="24"/>
        </w:rPr>
      </w:pPr>
    </w:p>
    <w:p w14:paraId="652B37B8" w14:textId="77777777" w:rsidR="00CC7E5E" w:rsidRDefault="00CC7E5E" w:rsidP="00CC7E5E">
      <w:pPr>
        <w:ind w:left="851"/>
        <w:rPr>
          <w:sz w:val="24"/>
          <w:szCs w:val="24"/>
        </w:rPr>
      </w:pPr>
      <w:r>
        <w:rPr>
          <w:sz w:val="24"/>
          <w:szCs w:val="24"/>
        </w:rPr>
        <w:t xml:space="preserve">Under behandling med sekretionshæmmende lægemidler stiger indholdet af gastrin i serum som reaktion på den nedsatte syresekretion. Også indholdet af </w:t>
      </w:r>
      <w:proofErr w:type="spellStart"/>
      <w:r>
        <w:rPr>
          <w:sz w:val="24"/>
          <w:szCs w:val="24"/>
        </w:rPr>
        <w:t>CgA</w:t>
      </w:r>
      <w:proofErr w:type="spellEnd"/>
      <w:r>
        <w:rPr>
          <w:sz w:val="24"/>
          <w:szCs w:val="24"/>
        </w:rPr>
        <w:t xml:space="preserve"> stiger på grund af den nedsatte gastriske </w:t>
      </w:r>
      <w:proofErr w:type="spellStart"/>
      <w:r>
        <w:rPr>
          <w:sz w:val="24"/>
          <w:szCs w:val="24"/>
        </w:rPr>
        <w:t>aciditet</w:t>
      </w:r>
      <w:proofErr w:type="spellEnd"/>
      <w:r>
        <w:rPr>
          <w:sz w:val="24"/>
          <w:szCs w:val="24"/>
        </w:rPr>
        <w:t xml:space="preserve">. Det forhøjede indhold af </w:t>
      </w:r>
      <w:proofErr w:type="spellStart"/>
      <w:r>
        <w:rPr>
          <w:sz w:val="24"/>
          <w:szCs w:val="24"/>
        </w:rPr>
        <w:t>CgA</w:t>
      </w:r>
      <w:proofErr w:type="spellEnd"/>
      <w:r>
        <w:rPr>
          <w:sz w:val="24"/>
          <w:szCs w:val="24"/>
        </w:rPr>
        <w:t xml:space="preserve"> kan interferere med undersøgelser for </w:t>
      </w:r>
      <w:proofErr w:type="spellStart"/>
      <w:r>
        <w:rPr>
          <w:sz w:val="24"/>
          <w:szCs w:val="24"/>
        </w:rPr>
        <w:t>neuroendokrine</w:t>
      </w:r>
      <w:proofErr w:type="spellEnd"/>
      <w:r>
        <w:rPr>
          <w:sz w:val="24"/>
          <w:szCs w:val="24"/>
        </w:rPr>
        <w:t xml:space="preserve"> tumorer.</w:t>
      </w:r>
    </w:p>
    <w:p w14:paraId="0F2B38BC" w14:textId="77777777" w:rsidR="00CC7E5E" w:rsidRPr="00CD6003" w:rsidRDefault="00CC7E5E" w:rsidP="004D4CB4">
      <w:pPr>
        <w:ind w:left="851"/>
        <w:rPr>
          <w:sz w:val="24"/>
          <w:szCs w:val="24"/>
        </w:rPr>
      </w:pPr>
    </w:p>
    <w:p w14:paraId="7E1AB27F" w14:textId="5B9910AA" w:rsidR="004D4CB4" w:rsidRPr="00CD6003" w:rsidRDefault="004D4CB4" w:rsidP="004D4CB4">
      <w:pPr>
        <w:ind w:left="851"/>
        <w:rPr>
          <w:sz w:val="24"/>
          <w:szCs w:val="24"/>
        </w:rPr>
      </w:pPr>
      <w:r w:rsidRPr="00CD6003">
        <w:rPr>
          <w:sz w:val="24"/>
          <w:szCs w:val="24"/>
        </w:rPr>
        <w:t xml:space="preserve">Den foreliggende publicerede </w:t>
      </w:r>
      <w:r w:rsidR="00CC7E5E">
        <w:rPr>
          <w:sz w:val="24"/>
          <w:szCs w:val="24"/>
        </w:rPr>
        <w:t>dokumentation tyder på</w:t>
      </w:r>
      <w:r w:rsidRPr="00CD6003">
        <w:rPr>
          <w:sz w:val="24"/>
          <w:szCs w:val="24"/>
        </w:rPr>
        <w:t xml:space="preserve">, at </w:t>
      </w:r>
      <w:proofErr w:type="spellStart"/>
      <w:r w:rsidRPr="00CD6003">
        <w:rPr>
          <w:sz w:val="24"/>
          <w:szCs w:val="24"/>
        </w:rPr>
        <w:t>protonpumpehæmmere</w:t>
      </w:r>
      <w:proofErr w:type="spellEnd"/>
      <w:r w:rsidRPr="00CD6003">
        <w:rPr>
          <w:sz w:val="24"/>
          <w:szCs w:val="24"/>
        </w:rPr>
        <w:t xml:space="preserve"> bør seponeres mellem 5 dage og 2 uger før måling af </w:t>
      </w:r>
      <w:proofErr w:type="spellStart"/>
      <w:r w:rsidRPr="00CD6003">
        <w:rPr>
          <w:sz w:val="24"/>
          <w:szCs w:val="24"/>
        </w:rPr>
        <w:t>CgA</w:t>
      </w:r>
      <w:proofErr w:type="spellEnd"/>
      <w:r w:rsidRPr="00CD6003">
        <w:rPr>
          <w:sz w:val="24"/>
          <w:szCs w:val="24"/>
        </w:rPr>
        <w:t xml:space="preserve">. Dette er for at eventuelle falskt forhøjede værdier af </w:t>
      </w:r>
      <w:proofErr w:type="spellStart"/>
      <w:r w:rsidRPr="00CD6003">
        <w:rPr>
          <w:sz w:val="24"/>
          <w:szCs w:val="24"/>
        </w:rPr>
        <w:t>CgA</w:t>
      </w:r>
      <w:proofErr w:type="spellEnd"/>
      <w:r w:rsidRPr="00CD6003">
        <w:rPr>
          <w:sz w:val="24"/>
          <w:szCs w:val="24"/>
        </w:rPr>
        <w:t xml:space="preserve"> i forbindelse med behandling med </w:t>
      </w:r>
      <w:proofErr w:type="spellStart"/>
      <w:r w:rsidRPr="00CD6003">
        <w:rPr>
          <w:sz w:val="24"/>
          <w:szCs w:val="24"/>
        </w:rPr>
        <w:t>protonpumpehæmmere</w:t>
      </w:r>
      <w:proofErr w:type="spellEnd"/>
      <w:r w:rsidRPr="00CD6003">
        <w:rPr>
          <w:sz w:val="24"/>
          <w:szCs w:val="24"/>
        </w:rPr>
        <w:t xml:space="preserve"> kan vende tilbage til referenceområdet.</w:t>
      </w:r>
    </w:p>
    <w:p w14:paraId="613EA73F" w14:textId="77777777" w:rsidR="004D4CB4" w:rsidRPr="00386BA3" w:rsidRDefault="004D4CB4" w:rsidP="004D4CB4">
      <w:pPr>
        <w:ind w:left="851" w:hanging="851"/>
        <w:rPr>
          <w:sz w:val="24"/>
          <w:szCs w:val="24"/>
        </w:rPr>
      </w:pPr>
    </w:p>
    <w:p w14:paraId="3BA3187E" w14:textId="77777777" w:rsidR="004D4CB4" w:rsidRPr="00386BA3" w:rsidRDefault="004D4CB4" w:rsidP="004D4CB4">
      <w:pPr>
        <w:ind w:left="851" w:hanging="851"/>
        <w:rPr>
          <w:b/>
          <w:sz w:val="24"/>
          <w:szCs w:val="24"/>
        </w:rPr>
      </w:pPr>
      <w:r w:rsidRPr="00386BA3">
        <w:rPr>
          <w:b/>
          <w:sz w:val="24"/>
          <w:szCs w:val="24"/>
        </w:rPr>
        <w:t>5.2</w:t>
      </w:r>
      <w:r w:rsidRPr="00386BA3">
        <w:rPr>
          <w:b/>
          <w:sz w:val="24"/>
          <w:szCs w:val="24"/>
        </w:rPr>
        <w:tab/>
      </w:r>
      <w:proofErr w:type="spellStart"/>
      <w:r w:rsidRPr="00386BA3">
        <w:rPr>
          <w:b/>
          <w:sz w:val="24"/>
          <w:szCs w:val="24"/>
        </w:rPr>
        <w:t>Farmakokinetiske</w:t>
      </w:r>
      <w:proofErr w:type="spellEnd"/>
      <w:r w:rsidRPr="00386BA3">
        <w:rPr>
          <w:b/>
          <w:sz w:val="24"/>
          <w:szCs w:val="24"/>
        </w:rPr>
        <w:t xml:space="preserve"> egenskaber</w:t>
      </w:r>
    </w:p>
    <w:p w14:paraId="7AEF763B" w14:textId="77777777" w:rsidR="004D4CB4" w:rsidRDefault="004D4CB4" w:rsidP="004D4CB4">
      <w:pPr>
        <w:ind w:left="851" w:hanging="851"/>
        <w:rPr>
          <w:sz w:val="24"/>
          <w:szCs w:val="24"/>
        </w:rPr>
      </w:pPr>
      <w:r w:rsidRPr="00386BA3">
        <w:rPr>
          <w:sz w:val="24"/>
          <w:szCs w:val="24"/>
        </w:rPr>
        <w:tab/>
      </w:r>
      <w:proofErr w:type="spellStart"/>
      <w:r>
        <w:rPr>
          <w:sz w:val="24"/>
          <w:szCs w:val="24"/>
        </w:rPr>
        <w:t>Lansoprazol</w:t>
      </w:r>
      <w:proofErr w:type="spellEnd"/>
      <w:r>
        <w:rPr>
          <w:sz w:val="24"/>
          <w:szCs w:val="24"/>
        </w:rPr>
        <w:t xml:space="preserve"> er et </w:t>
      </w:r>
      <w:proofErr w:type="spellStart"/>
      <w:r>
        <w:rPr>
          <w:sz w:val="24"/>
          <w:szCs w:val="24"/>
        </w:rPr>
        <w:t>racemat</w:t>
      </w:r>
      <w:proofErr w:type="spellEnd"/>
      <w:r>
        <w:rPr>
          <w:sz w:val="24"/>
          <w:szCs w:val="24"/>
        </w:rPr>
        <w:t xml:space="preserve"> af to aktive </w:t>
      </w:r>
      <w:proofErr w:type="spellStart"/>
      <w:r>
        <w:rPr>
          <w:sz w:val="24"/>
          <w:szCs w:val="24"/>
        </w:rPr>
        <w:t>enantiomerer</w:t>
      </w:r>
      <w:proofErr w:type="spellEnd"/>
      <w:r>
        <w:rPr>
          <w:sz w:val="24"/>
          <w:szCs w:val="24"/>
        </w:rPr>
        <w:t xml:space="preserve">, der biotransformeres til den aktive form i </w:t>
      </w:r>
      <w:proofErr w:type="spellStart"/>
      <w:r>
        <w:rPr>
          <w:sz w:val="24"/>
          <w:szCs w:val="24"/>
        </w:rPr>
        <w:t>parietalcellernes</w:t>
      </w:r>
      <w:proofErr w:type="spellEnd"/>
      <w:r>
        <w:rPr>
          <w:sz w:val="24"/>
          <w:szCs w:val="24"/>
        </w:rPr>
        <w:t xml:space="preserve"> sure miljø. Eftersom </w:t>
      </w:r>
      <w:proofErr w:type="spellStart"/>
      <w:r>
        <w:rPr>
          <w:sz w:val="24"/>
          <w:szCs w:val="24"/>
        </w:rPr>
        <w:t>lansoprazol</w:t>
      </w:r>
      <w:proofErr w:type="spellEnd"/>
      <w:r>
        <w:rPr>
          <w:sz w:val="24"/>
          <w:szCs w:val="24"/>
        </w:rPr>
        <w:t xml:space="preserve"> hurtigt inaktiveres af mavesyre, administreres det oralt som </w:t>
      </w:r>
      <w:proofErr w:type="spellStart"/>
      <w:r>
        <w:rPr>
          <w:sz w:val="24"/>
          <w:szCs w:val="24"/>
        </w:rPr>
        <w:t>enterogranulat</w:t>
      </w:r>
      <w:proofErr w:type="spellEnd"/>
      <w:r>
        <w:rPr>
          <w:sz w:val="24"/>
          <w:szCs w:val="24"/>
        </w:rPr>
        <w:t xml:space="preserve"> for at opnå systemisk absorption.</w:t>
      </w:r>
    </w:p>
    <w:p w14:paraId="4F97BB2E" w14:textId="77777777" w:rsidR="004D4CB4" w:rsidRDefault="004D4CB4" w:rsidP="004D4CB4">
      <w:pPr>
        <w:ind w:left="851" w:hanging="851"/>
        <w:rPr>
          <w:sz w:val="24"/>
          <w:szCs w:val="24"/>
        </w:rPr>
      </w:pPr>
    </w:p>
    <w:p w14:paraId="0AF4B665" w14:textId="77777777" w:rsidR="004D4CB4" w:rsidRDefault="004D4CB4" w:rsidP="004D4CB4">
      <w:pPr>
        <w:ind w:left="851"/>
        <w:rPr>
          <w:sz w:val="24"/>
          <w:szCs w:val="24"/>
          <w:u w:val="single"/>
        </w:rPr>
      </w:pPr>
      <w:r>
        <w:rPr>
          <w:sz w:val="24"/>
          <w:szCs w:val="24"/>
          <w:u w:val="single"/>
        </w:rPr>
        <w:t>Absorption og fordeling</w:t>
      </w:r>
    </w:p>
    <w:p w14:paraId="6905FCA2" w14:textId="77777777" w:rsidR="004D4CB4" w:rsidRDefault="004D4CB4" w:rsidP="004D4CB4">
      <w:pPr>
        <w:ind w:left="851"/>
        <w:rPr>
          <w:sz w:val="24"/>
          <w:szCs w:val="24"/>
        </w:rPr>
      </w:pPr>
      <w:proofErr w:type="spellStart"/>
      <w:r>
        <w:rPr>
          <w:sz w:val="24"/>
          <w:szCs w:val="24"/>
        </w:rPr>
        <w:t>Lansoprazol</w:t>
      </w:r>
      <w:proofErr w:type="spellEnd"/>
      <w:r>
        <w:rPr>
          <w:sz w:val="24"/>
          <w:szCs w:val="24"/>
        </w:rPr>
        <w:t xml:space="preserve"> udviser høj (80-90 %) biotilgængelighed med en enkelt dosis. Maksimale plasmakoncentrationer opnås i løbet af 1,5 til 2,0 timer. Indtagelse af føde sænker </w:t>
      </w:r>
      <w:proofErr w:type="spellStart"/>
      <w:r>
        <w:rPr>
          <w:sz w:val="24"/>
          <w:szCs w:val="24"/>
        </w:rPr>
        <w:lastRenderedPageBreak/>
        <w:t>lansoprazols</w:t>
      </w:r>
      <w:proofErr w:type="spellEnd"/>
      <w:r>
        <w:rPr>
          <w:sz w:val="24"/>
          <w:szCs w:val="24"/>
        </w:rPr>
        <w:t xml:space="preserve"> absorptionshastighed og reducerer dets biotilgængelighed med cirka 50 %. Plasmaproteinbindingen er 97 %. </w:t>
      </w:r>
    </w:p>
    <w:p w14:paraId="25B9B8AE" w14:textId="77777777" w:rsidR="004D4CB4" w:rsidRDefault="004D4CB4" w:rsidP="004D4CB4">
      <w:pPr>
        <w:ind w:left="851" w:hanging="851"/>
        <w:rPr>
          <w:sz w:val="24"/>
          <w:szCs w:val="24"/>
        </w:rPr>
      </w:pPr>
    </w:p>
    <w:p w14:paraId="138F5E4D" w14:textId="77777777" w:rsidR="00CC7E5E" w:rsidRDefault="00CC7E5E" w:rsidP="00CC7E5E">
      <w:pPr>
        <w:ind w:left="851"/>
        <w:rPr>
          <w:sz w:val="24"/>
          <w:szCs w:val="24"/>
        </w:rPr>
      </w:pPr>
      <w:r>
        <w:rPr>
          <w:sz w:val="24"/>
          <w:szCs w:val="24"/>
        </w:rPr>
        <w:t xml:space="preserve">Studier har vist, at granulater fra åbnede kapsler har samme biotilgængelighed som den intakte kapsel, hvis granulaterne blandes med en lille mængde appelsinjuice, æblejuice eller tomatjuice, der er blandet med en skefuld æble- eller pæremos eller strøs over en spiseskefuld yoghurt, budding eller hytteost. Samme AUC er også påvist for granulater, der er blandet med æblejuice og administreret via en </w:t>
      </w:r>
      <w:proofErr w:type="spellStart"/>
      <w:r>
        <w:rPr>
          <w:sz w:val="24"/>
          <w:szCs w:val="24"/>
        </w:rPr>
        <w:t>nasogastrisk</w:t>
      </w:r>
      <w:proofErr w:type="spellEnd"/>
      <w:r>
        <w:rPr>
          <w:sz w:val="24"/>
          <w:szCs w:val="24"/>
        </w:rPr>
        <w:t xml:space="preserve"> sonde.</w:t>
      </w:r>
    </w:p>
    <w:p w14:paraId="422CFF5A" w14:textId="77777777" w:rsidR="004D4CB4" w:rsidRDefault="004D4CB4" w:rsidP="004D4CB4">
      <w:pPr>
        <w:ind w:left="851" w:hanging="851"/>
        <w:rPr>
          <w:sz w:val="24"/>
          <w:szCs w:val="24"/>
        </w:rPr>
      </w:pPr>
    </w:p>
    <w:p w14:paraId="1EAECD10" w14:textId="77777777" w:rsidR="00CC7E5E" w:rsidRDefault="00CC7E5E" w:rsidP="00CC7E5E">
      <w:pPr>
        <w:ind w:left="851"/>
        <w:rPr>
          <w:sz w:val="24"/>
          <w:szCs w:val="24"/>
          <w:u w:val="single"/>
        </w:rPr>
      </w:pPr>
      <w:r>
        <w:rPr>
          <w:sz w:val="24"/>
          <w:szCs w:val="24"/>
          <w:u w:val="single"/>
        </w:rPr>
        <w:t>Biotransformation og elimination</w:t>
      </w:r>
    </w:p>
    <w:p w14:paraId="32FD91B1" w14:textId="77777777" w:rsidR="00CC7E5E" w:rsidRDefault="00CC7E5E" w:rsidP="00CC7E5E">
      <w:pPr>
        <w:ind w:left="851"/>
        <w:rPr>
          <w:sz w:val="24"/>
          <w:szCs w:val="24"/>
        </w:rPr>
      </w:pPr>
      <w:proofErr w:type="spellStart"/>
      <w:r>
        <w:rPr>
          <w:sz w:val="24"/>
          <w:szCs w:val="24"/>
        </w:rPr>
        <w:t>Lansoprazol</w:t>
      </w:r>
      <w:proofErr w:type="spellEnd"/>
      <w:r>
        <w:rPr>
          <w:sz w:val="24"/>
          <w:szCs w:val="24"/>
        </w:rPr>
        <w:t xml:space="preserve"> </w:t>
      </w:r>
      <w:proofErr w:type="spellStart"/>
      <w:r>
        <w:rPr>
          <w:sz w:val="24"/>
          <w:szCs w:val="24"/>
        </w:rPr>
        <w:t>metaboliseres</w:t>
      </w:r>
      <w:proofErr w:type="spellEnd"/>
      <w:r>
        <w:rPr>
          <w:sz w:val="24"/>
          <w:szCs w:val="24"/>
        </w:rPr>
        <w:t xml:space="preserve"> i vid udstrækning af leveren, og metabolitterne udskilles både via nyrerne og galdevejene. </w:t>
      </w:r>
      <w:proofErr w:type="spellStart"/>
      <w:r>
        <w:rPr>
          <w:sz w:val="24"/>
          <w:szCs w:val="24"/>
        </w:rPr>
        <w:t>Lansoprazols</w:t>
      </w:r>
      <w:proofErr w:type="spellEnd"/>
      <w:r>
        <w:rPr>
          <w:sz w:val="24"/>
          <w:szCs w:val="24"/>
        </w:rPr>
        <w:t xml:space="preserve"> biotransformation katalyseres hovedsageligt af enzymet CYP2C19. Enzymet CYP3A4 bidrager også til biotransformationen. Eliminationshalveringstiden i plasma ligger mellem 1 til 2 timer hos raske personer efter administration af enkelte eller multiple doser. Der er ikke tegn på akkumulering efter multiple doser administreret til raske personer. </w:t>
      </w:r>
      <w:proofErr w:type="spellStart"/>
      <w:r>
        <w:rPr>
          <w:sz w:val="24"/>
          <w:szCs w:val="24"/>
        </w:rPr>
        <w:t>Sulfon</w:t>
      </w:r>
      <w:proofErr w:type="spellEnd"/>
      <w:r>
        <w:rPr>
          <w:sz w:val="24"/>
          <w:szCs w:val="24"/>
        </w:rPr>
        <w:t xml:space="preserve">-, sulfid- og 5-hydroxylderivater af </w:t>
      </w:r>
      <w:proofErr w:type="spellStart"/>
      <w:r>
        <w:rPr>
          <w:sz w:val="24"/>
          <w:szCs w:val="24"/>
        </w:rPr>
        <w:t>lansoprazol</w:t>
      </w:r>
      <w:proofErr w:type="spellEnd"/>
      <w:r>
        <w:rPr>
          <w:sz w:val="24"/>
          <w:szCs w:val="24"/>
        </w:rPr>
        <w:t xml:space="preserve"> er blevet fundet i plasma. Disse metabolitter har en meget lille eller ingen </w:t>
      </w:r>
      <w:proofErr w:type="spellStart"/>
      <w:r>
        <w:rPr>
          <w:sz w:val="24"/>
          <w:szCs w:val="24"/>
        </w:rPr>
        <w:t>antisekrerende</w:t>
      </w:r>
      <w:proofErr w:type="spellEnd"/>
      <w:r>
        <w:rPr>
          <w:sz w:val="24"/>
          <w:szCs w:val="24"/>
        </w:rPr>
        <w:t xml:space="preserve"> effekt. </w:t>
      </w:r>
    </w:p>
    <w:p w14:paraId="364AA1E6" w14:textId="77777777" w:rsidR="004D4CB4" w:rsidRDefault="004D4CB4" w:rsidP="004D4CB4">
      <w:pPr>
        <w:ind w:left="851" w:hanging="851"/>
        <w:rPr>
          <w:sz w:val="24"/>
          <w:szCs w:val="24"/>
        </w:rPr>
      </w:pPr>
    </w:p>
    <w:p w14:paraId="6831CE3E" w14:textId="77777777" w:rsidR="004D4CB4" w:rsidRDefault="004D4CB4" w:rsidP="004D4CB4">
      <w:pPr>
        <w:ind w:left="851"/>
        <w:rPr>
          <w:sz w:val="24"/>
          <w:szCs w:val="24"/>
        </w:rPr>
      </w:pPr>
      <w:r>
        <w:rPr>
          <w:sz w:val="24"/>
          <w:szCs w:val="24"/>
        </w:rPr>
        <w:t xml:space="preserve">Et studie med </w:t>
      </w:r>
      <w:r>
        <w:rPr>
          <w:sz w:val="24"/>
          <w:szCs w:val="24"/>
          <w:vertAlign w:val="superscript"/>
        </w:rPr>
        <w:t>14</w:t>
      </w:r>
      <w:r>
        <w:rPr>
          <w:sz w:val="24"/>
          <w:szCs w:val="24"/>
        </w:rPr>
        <w:t xml:space="preserve">C-mærket </w:t>
      </w:r>
      <w:proofErr w:type="spellStart"/>
      <w:r>
        <w:rPr>
          <w:sz w:val="24"/>
          <w:szCs w:val="24"/>
        </w:rPr>
        <w:t>lansoprazol</w:t>
      </w:r>
      <w:proofErr w:type="spellEnd"/>
      <w:r>
        <w:rPr>
          <w:sz w:val="24"/>
          <w:szCs w:val="24"/>
        </w:rPr>
        <w:t xml:space="preserve"> indikerede, at cirka en tredjedel af den administrerede strålebehandling blev udskilt i urinen, og to tredjedele blev fundet i fæces.</w:t>
      </w:r>
    </w:p>
    <w:p w14:paraId="59C20A9F" w14:textId="77777777" w:rsidR="004D4CB4" w:rsidRDefault="004D4CB4" w:rsidP="004D4CB4">
      <w:pPr>
        <w:rPr>
          <w:sz w:val="24"/>
          <w:szCs w:val="24"/>
        </w:rPr>
      </w:pPr>
    </w:p>
    <w:p w14:paraId="041E5766" w14:textId="77777777" w:rsidR="004D4CB4" w:rsidRDefault="004D4CB4" w:rsidP="004D4CB4">
      <w:pPr>
        <w:ind w:firstLine="851"/>
        <w:rPr>
          <w:sz w:val="24"/>
          <w:szCs w:val="24"/>
          <w:u w:val="single"/>
        </w:rPr>
      </w:pPr>
      <w:r>
        <w:rPr>
          <w:sz w:val="24"/>
          <w:szCs w:val="24"/>
          <w:u w:val="single"/>
        </w:rPr>
        <w:t>Farmakokinetik hos ældre patienter</w:t>
      </w:r>
    </w:p>
    <w:p w14:paraId="1B0B8B2B" w14:textId="77777777" w:rsidR="004D4CB4" w:rsidRDefault="004D4CB4" w:rsidP="004D4CB4">
      <w:pPr>
        <w:ind w:left="851"/>
        <w:rPr>
          <w:sz w:val="24"/>
          <w:szCs w:val="24"/>
        </w:rPr>
      </w:pPr>
      <w:proofErr w:type="spellStart"/>
      <w:r>
        <w:rPr>
          <w:sz w:val="24"/>
          <w:szCs w:val="24"/>
        </w:rPr>
        <w:t>Lansoprazols</w:t>
      </w:r>
      <w:proofErr w:type="spellEnd"/>
      <w:r>
        <w:rPr>
          <w:sz w:val="24"/>
          <w:szCs w:val="24"/>
        </w:rPr>
        <w:t xml:space="preserve"> </w:t>
      </w:r>
      <w:proofErr w:type="spellStart"/>
      <w:r>
        <w:rPr>
          <w:sz w:val="24"/>
          <w:szCs w:val="24"/>
        </w:rPr>
        <w:t>clearance</w:t>
      </w:r>
      <w:proofErr w:type="spellEnd"/>
      <w:r>
        <w:rPr>
          <w:sz w:val="24"/>
          <w:szCs w:val="24"/>
        </w:rPr>
        <w:t xml:space="preserve"> reduceres hos ældre patienter med en øget eliminationshalveringstid på cirka 50 % til 100 %. De maksimale plasmakoncentrationer steg ikke hos ældre patienter.</w:t>
      </w:r>
    </w:p>
    <w:p w14:paraId="24E6C36B" w14:textId="77777777" w:rsidR="004D4CB4" w:rsidRDefault="004D4CB4" w:rsidP="004D4CB4">
      <w:pPr>
        <w:rPr>
          <w:sz w:val="24"/>
          <w:szCs w:val="24"/>
        </w:rPr>
      </w:pPr>
    </w:p>
    <w:p w14:paraId="43E3AEB2" w14:textId="77777777" w:rsidR="004D4CB4" w:rsidRDefault="004D4CB4" w:rsidP="004D4CB4">
      <w:pPr>
        <w:ind w:left="851"/>
        <w:rPr>
          <w:sz w:val="24"/>
          <w:szCs w:val="24"/>
          <w:u w:val="single"/>
        </w:rPr>
      </w:pPr>
      <w:r>
        <w:rPr>
          <w:sz w:val="24"/>
          <w:szCs w:val="24"/>
          <w:u w:val="single"/>
        </w:rPr>
        <w:t>Farmakokinetik hos pædiatriske patienter</w:t>
      </w:r>
    </w:p>
    <w:p w14:paraId="4D3E7063" w14:textId="77777777" w:rsidR="00CC7E5E" w:rsidRDefault="00CC7E5E" w:rsidP="00CC7E5E">
      <w:pPr>
        <w:ind w:left="851"/>
        <w:rPr>
          <w:sz w:val="24"/>
          <w:szCs w:val="24"/>
        </w:rPr>
      </w:pPr>
      <w:r>
        <w:rPr>
          <w:sz w:val="24"/>
          <w:szCs w:val="24"/>
        </w:rPr>
        <w:t>Evalueringen af farmakokinetikken hos børn i alderen 1-17 år viste en lignende eksponering sammenlignet med voksne, når der blev givet doser på 15 mg til personer, som vejede under 30 kg, og 30 mg til personer over 30 kg. Undersøgelsen af en dosis på 17 mg/m</w:t>
      </w:r>
      <w:r>
        <w:rPr>
          <w:sz w:val="24"/>
          <w:szCs w:val="24"/>
          <w:vertAlign w:val="superscript"/>
        </w:rPr>
        <w:t>2</w:t>
      </w:r>
      <w:r>
        <w:rPr>
          <w:sz w:val="24"/>
          <w:szCs w:val="24"/>
        </w:rPr>
        <w:t xml:space="preserve"> legemsoverflade eller 1 mg/kg legemsvægt viste også en lignende eksponering for </w:t>
      </w:r>
      <w:proofErr w:type="spellStart"/>
      <w:r>
        <w:rPr>
          <w:sz w:val="24"/>
          <w:szCs w:val="24"/>
        </w:rPr>
        <w:t>lansoprazol</w:t>
      </w:r>
      <w:proofErr w:type="spellEnd"/>
      <w:r>
        <w:rPr>
          <w:sz w:val="24"/>
          <w:szCs w:val="24"/>
        </w:rPr>
        <w:t xml:space="preserve"> hos børn i alderen fra 2-3 måneder og op til 1 år sammenlignet med voksne.</w:t>
      </w:r>
    </w:p>
    <w:p w14:paraId="0E17ECD9" w14:textId="77777777" w:rsidR="004D4CB4" w:rsidRDefault="004D4CB4" w:rsidP="004D4CB4">
      <w:pPr>
        <w:ind w:left="851" w:hanging="851"/>
        <w:rPr>
          <w:sz w:val="24"/>
          <w:szCs w:val="24"/>
        </w:rPr>
      </w:pPr>
    </w:p>
    <w:p w14:paraId="46E5FE59" w14:textId="77777777" w:rsidR="004D4CB4" w:rsidRDefault="004D4CB4" w:rsidP="0040224B">
      <w:pPr>
        <w:ind w:left="851"/>
        <w:rPr>
          <w:sz w:val="24"/>
          <w:szCs w:val="24"/>
        </w:rPr>
      </w:pPr>
      <w:r>
        <w:rPr>
          <w:sz w:val="24"/>
          <w:szCs w:val="24"/>
        </w:rPr>
        <w:t xml:space="preserve">Højere eksponering for </w:t>
      </w:r>
      <w:proofErr w:type="spellStart"/>
      <w:r>
        <w:rPr>
          <w:sz w:val="24"/>
          <w:szCs w:val="24"/>
        </w:rPr>
        <w:t>lansoprazol</w:t>
      </w:r>
      <w:proofErr w:type="spellEnd"/>
      <w:r>
        <w:rPr>
          <w:sz w:val="24"/>
          <w:szCs w:val="24"/>
        </w:rPr>
        <w:t xml:space="preserve"> sammenlignet med voksne er blevet set hos spædbørn yngre end 2-3 måneder med doser på både 1,0 mg/kg og 0,5 mg/kg legemsvægt administreret som en enkelt dosis.</w:t>
      </w:r>
    </w:p>
    <w:p w14:paraId="005B7B0C" w14:textId="77777777" w:rsidR="004D4CB4" w:rsidRDefault="004D4CB4" w:rsidP="0040224B">
      <w:pPr>
        <w:ind w:left="851" w:hanging="851"/>
        <w:rPr>
          <w:sz w:val="24"/>
          <w:szCs w:val="24"/>
          <w:u w:val="single"/>
        </w:rPr>
      </w:pPr>
    </w:p>
    <w:p w14:paraId="508C1F40" w14:textId="77777777" w:rsidR="004D4CB4" w:rsidRDefault="004D4CB4" w:rsidP="0040224B">
      <w:pPr>
        <w:ind w:left="851"/>
        <w:rPr>
          <w:sz w:val="24"/>
          <w:szCs w:val="24"/>
          <w:u w:val="single"/>
        </w:rPr>
      </w:pPr>
      <w:r>
        <w:rPr>
          <w:sz w:val="24"/>
          <w:szCs w:val="24"/>
          <w:u w:val="single"/>
        </w:rPr>
        <w:t>Farmakokinetik ved nedsat leverfunktion</w:t>
      </w:r>
    </w:p>
    <w:p w14:paraId="2A97B451" w14:textId="77777777" w:rsidR="004D4CB4" w:rsidRDefault="004D4CB4" w:rsidP="0040224B">
      <w:pPr>
        <w:pStyle w:val="Brdtekst"/>
        <w:spacing w:after="0"/>
        <w:ind w:left="851"/>
        <w:rPr>
          <w:szCs w:val="24"/>
        </w:rPr>
      </w:pPr>
      <w:r>
        <w:rPr>
          <w:szCs w:val="24"/>
        </w:rPr>
        <w:t xml:space="preserve">Eksponeringen for </w:t>
      </w:r>
      <w:proofErr w:type="spellStart"/>
      <w:r>
        <w:rPr>
          <w:szCs w:val="24"/>
        </w:rPr>
        <w:t>lansoprazol</w:t>
      </w:r>
      <w:proofErr w:type="spellEnd"/>
      <w:r>
        <w:rPr>
          <w:szCs w:val="24"/>
        </w:rPr>
        <w:t xml:space="preserve"> fordobles hos patienter med let nedsat leverfunktion og øges langt mere hos patienter med moderat og svært nedsat leverfunktion.</w:t>
      </w:r>
    </w:p>
    <w:p w14:paraId="18ED5607" w14:textId="77777777" w:rsidR="004D4CB4" w:rsidRDefault="004D4CB4" w:rsidP="0040224B">
      <w:pPr>
        <w:ind w:left="851" w:hanging="851"/>
        <w:rPr>
          <w:sz w:val="24"/>
          <w:szCs w:val="24"/>
          <w:u w:val="single"/>
        </w:rPr>
      </w:pPr>
    </w:p>
    <w:p w14:paraId="640A12C6" w14:textId="77777777" w:rsidR="004D4CB4" w:rsidRDefault="004D4CB4" w:rsidP="004D4CB4">
      <w:pPr>
        <w:ind w:left="851"/>
        <w:rPr>
          <w:sz w:val="24"/>
          <w:szCs w:val="24"/>
          <w:u w:val="single"/>
        </w:rPr>
      </w:pPr>
      <w:r>
        <w:rPr>
          <w:sz w:val="24"/>
          <w:szCs w:val="24"/>
          <w:u w:val="single"/>
        </w:rPr>
        <w:t>Personer med nedsat CYP2C19-metabolisme</w:t>
      </w:r>
    </w:p>
    <w:p w14:paraId="717F13AA" w14:textId="77777777" w:rsidR="004D4CB4" w:rsidRDefault="004D4CB4" w:rsidP="004D4CB4">
      <w:pPr>
        <w:ind w:left="851"/>
        <w:rPr>
          <w:sz w:val="24"/>
          <w:szCs w:val="24"/>
        </w:rPr>
      </w:pPr>
      <w:r>
        <w:rPr>
          <w:sz w:val="24"/>
          <w:szCs w:val="24"/>
        </w:rPr>
        <w:t xml:space="preserve">CYP2C19 er genstand for genetisk </w:t>
      </w:r>
      <w:proofErr w:type="spellStart"/>
      <w:r>
        <w:rPr>
          <w:sz w:val="24"/>
          <w:szCs w:val="24"/>
        </w:rPr>
        <w:t>polymorfi</w:t>
      </w:r>
      <w:proofErr w:type="spellEnd"/>
      <w:r>
        <w:rPr>
          <w:sz w:val="24"/>
          <w:szCs w:val="24"/>
        </w:rPr>
        <w:t xml:space="preserve">, og 2-6 % af befolkningen, der har en ringe </w:t>
      </w:r>
      <w:proofErr w:type="spellStart"/>
      <w:r>
        <w:rPr>
          <w:sz w:val="24"/>
          <w:szCs w:val="24"/>
        </w:rPr>
        <w:t>metaboliseringsevne</w:t>
      </w:r>
      <w:proofErr w:type="spellEnd"/>
      <w:r>
        <w:rPr>
          <w:sz w:val="24"/>
          <w:szCs w:val="24"/>
        </w:rPr>
        <w:t xml:space="preserve">, er homozygoter for en mutant CYP2C19-allel og mangler derfor et funktionelt CYP2C19-enzym. Eksponeringen for </w:t>
      </w:r>
      <w:proofErr w:type="spellStart"/>
      <w:r>
        <w:rPr>
          <w:sz w:val="24"/>
          <w:szCs w:val="24"/>
        </w:rPr>
        <w:t>lansoprazol</w:t>
      </w:r>
      <w:proofErr w:type="spellEnd"/>
      <w:r>
        <w:rPr>
          <w:sz w:val="24"/>
          <w:szCs w:val="24"/>
        </w:rPr>
        <w:t xml:space="preserve"> er flere gange højere hos personer, der har en ringe </w:t>
      </w:r>
      <w:proofErr w:type="spellStart"/>
      <w:r>
        <w:rPr>
          <w:sz w:val="24"/>
          <w:szCs w:val="24"/>
        </w:rPr>
        <w:t>metaboliseringsevne</w:t>
      </w:r>
      <w:proofErr w:type="spellEnd"/>
      <w:r>
        <w:rPr>
          <w:sz w:val="24"/>
          <w:szCs w:val="24"/>
        </w:rPr>
        <w:t xml:space="preserve">, end hos personer, som har en god </w:t>
      </w:r>
      <w:proofErr w:type="spellStart"/>
      <w:r>
        <w:rPr>
          <w:sz w:val="24"/>
          <w:szCs w:val="24"/>
        </w:rPr>
        <w:t>metaboliseringsevne</w:t>
      </w:r>
      <w:proofErr w:type="spellEnd"/>
      <w:r>
        <w:rPr>
          <w:sz w:val="24"/>
          <w:szCs w:val="24"/>
        </w:rPr>
        <w:t>.</w:t>
      </w:r>
    </w:p>
    <w:p w14:paraId="33224384" w14:textId="6F6A5BD5" w:rsidR="004D4CB4" w:rsidRDefault="004D4CB4" w:rsidP="004D4CB4">
      <w:pPr>
        <w:ind w:left="851" w:hanging="851"/>
        <w:rPr>
          <w:sz w:val="24"/>
          <w:szCs w:val="24"/>
        </w:rPr>
      </w:pPr>
    </w:p>
    <w:p w14:paraId="5E51DA5C" w14:textId="0532EF7D" w:rsidR="00CC7E5E" w:rsidRDefault="00CC7E5E" w:rsidP="004D4CB4">
      <w:pPr>
        <w:ind w:left="851" w:hanging="851"/>
        <w:rPr>
          <w:sz w:val="24"/>
          <w:szCs w:val="24"/>
        </w:rPr>
      </w:pPr>
    </w:p>
    <w:p w14:paraId="0E1A4FC0" w14:textId="77777777" w:rsidR="00CC7E5E" w:rsidRPr="00386BA3" w:rsidRDefault="00CC7E5E" w:rsidP="004D4CB4">
      <w:pPr>
        <w:ind w:left="851" w:hanging="851"/>
        <w:rPr>
          <w:sz w:val="24"/>
          <w:szCs w:val="24"/>
        </w:rPr>
      </w:pPr>
    </w:p>
    <w:p w14:paraId="4484E204" w14:textId="77777777" w:rsidR="004D4CB4" w:rsidRPr="00386BA3" w:rsidRDefault="004D4CB4" w:rsidP="004D4CB4">
      <w:pPr>
        <w:ind w:left="851" w:hanging="851"/>
        <w:rPr>
          <w:b/>
          <w:sz w:val="24"/>
          <w:szCs w:val="24"/>
        </w:rPr>
      </w:pPr>
      <w:r w:rsidRPr="00386BA3">
        <w:rPr>
          <w:b/>
          <w:sz w:val="24"/>
          <w:szCs w:val="24"/>
        </w:rPr>
        <w:lastRenderedPageBreak/>
        <w:t>5.3</w:t>
      </w:r>
      <w:r w:rsidRPr="00386BA3">
        <w:rPr>
          <w:b/>
          <w:sz w:val="24"/>
          <w:szCs w:val="24"/>
        </w:rPr>
        <w:tab/>
      </w:r>
      <w:r w:rsidR="000858AD">
        <w:rPr>
          <w:b/>
          <w:sz w:val="24"/>
          <w:szCs w:val="24"/>
        </w:rPr>
        <w:t>Non-</w:t>
      </w:r>
      <w:r w:rsidRPr="00386BA3">
        <w:rPr>
          <w:b/>
          <w:sz w:val="24"/>
          <w:szCs w:val="24"/>
        </w:rPr>
        <w:t>kliniske sikkerhedsdata</w:t>
      </w:r>
    </w:p>
    <w:p w14:paraId="38DF7CBC" w14:textId="77777777" w:rsidR="0040224B" w:rsidRDefault="004D4CB4" w:rsidP="0040224B">
      <w:pPr>
        <w:ind w:left="851" w:hanging="851"/>
        <w:rPr>
          <w:sz w:val="24"/>
          <w:szCs w:val="24"/>
        </w:rPr>
      </w:pPr>
      <w:r w:rsidRPr="00386BA3">
        <w:rPr>
          <w:sz w:val="24"/>
          <w:szCs w:val="24"/>
        </w:rPr>
        <w:tab/>
      </w:r>
      <w:r w:rsidR="0040224B">
        <w:rPr>
          <w:sz w:val="24"/>
          <w:szCs w:val="24"/>
        </w:rPr>
        <w:t>Prækliniske data viser ingen speciel risiko for mennesker vurderet ud fra konventionelle studier af sikkerhedsfarmakologi, toksicitet efter gentagne doser, genotoksicitet samt reproduktionstoksicitet.</w:t>
      </w:r>
    </w:p>
    <w:p w14:paraId="70C1047F" w14:textId="77777777" w:rsidR="0040224B" w:rsidRDefault="0040224B" w:rsidP="0040224B">
      <w:pPr>
        <w:ind w:left="851" w:hanging="851"/>
        <w:rPr>
          <w:sz w:val="24"/>
          <w:szCs w:val="24"/>
        </w:rPr>
      </w:pPr>
    </w:p>
    <w:p w14:paraId="274378C0" w14:textId="77777777" w:rsidR="00CC7E5E" w:rsidRDefault="00CC7E5E" w:rsidP="00CC7E5E">
      <w:pPr>
        <w:ind w:left="851"/>
        <w:rPr>
          <w:sz w:val="24"/>
          <w:szCs w:val="24"/>
        </w:rPr>
      </w:pPr>
      <w:r>
        <w:rPr>
          <w:sz w:val="24"/>
          <w:szCs w:val="24"/>
        </w:rPr>
        <w:t xml:space="preserve">I to </w:t>
      </w:r>
      <w:proofErr w:type="spellStart"/>
      <w:r>
        <w:rPr>
          <w:sz w:val="24"/>
          <w:szCs w:val="24"/>
        </w:rPr>
        <w:t>karcinogenicitetsstudier</w:t>
      </w:r>
      <w:proofErr w:type="spellEnd"/>
      <w:r>
        <w:rPr>
          <w:sz w:val="24"/>
          <w:szCs w:val="24"/>
        </w:rPr>
        <w:t xml:space="preserve"> med rotter fremkaldte </w:t>
      </w:r>
      <w:proofErr w:type="spellStart"/>
      <w:r>
        <w:rPr>
          <w:sz w:val="24"/>
          <w:szCs w:val="24"/>
        </w:rPr>
        <w:t>lansoprazol</w:t>
      </w:r>
      <w:proofErr w:type="spellEnd"/>
      <w:r>
        <w:rPr>
          <w:sz w:val="24"/>
          <w:szCs w:val="24"/>
        </w:rPr>
        <w:t xml:space="preserve"> dosisrelateret gastrisk </w:t>
      </w:r>
      <w:bookmarkStart w:id="1" w:name="_Hlk142913216"/>
      <w:proofErr w:type="spellStart"/>
      <w:r>
        <w:rPr>
          <w:sz w:val="24"/>
          <w:szCs w:val="24"/>
        </w:rPr>
        <w:t>enterochromaffin</w:t>
      </w:r>
      <w:proofErr w:type="spellEnd"/>
      <w:r>
        <w:rPr>
          <w:sz w:val="24"/>
          <w:szCs w:val="24"/>
        </w:rPr>
        <w:t xml:space="preserve"> lignende</w:t>
      </w:r>
      <w:bookmarkEnd w:id="1"/>
      <w:r>
        <w:rPr>
          <w:sz w:val="24"/>
          <w:szCs w:val="24"/>
        </w:rPr>
        <w:t xml:space="preserve"> (ECL)-</w:t>
      </w:r>
      <w:proofErr w:type="spellStart"/>
      <w:r>
        <w:rPr>
          <w:sz w:val="24"/>
          <w:szCs w:val="24"/>
        </w:rPr>
        <w:t>cellehyperplasi</w:t>
      </w:r>
      <w:proofErr w:type="spellEnd"/>
      <w:r>
        <w:rPr>
          <w:sz w:val="24"/>
          <w:szCs w:val="24"/>
        </w:rPr>
        <w:t xml:space="preserve"> og ECL-</w:t>
      </w:r>
      <w:proofErr w:type="spellStart"/>
      <w:r>
        <w:rPr>
          <w:sz w:val="24"/>
          <w:szCs w:val="24"/>
        </w:rPr>
        <w:t>cellecarcinoider</w:t>
      </w:r>
      <w:proofErr w:type="spellEnd"/>
      <w:r>
        <w:rPr>
          <w:sz w:val="24"/>
          <w:szCs w:val="24"/>
        </w:rPr>
        <w:t xml:space="preserve">, der blev forbundet med </w:t>
      </w:r>
      <w:proofErr w:type="spellStart"/>
      <w:r>
        <w:rPr>
          <w:sz w:val="24"/>
          <w:szCs w:val="24"/>
        </w:rPr>
        <w:t>hypergastrinæmi</w:t>
      </w:r>
      <w:proofErr w:type="spellEnd"/>
      <w:r>
        <w:rPr>
          <w:sz w:val="24"/>
          <w:szCs w:val="24"/>
        </w:rPr>
        <w:t xml:space="preserve"> på grund af hæmningen af syresekretion. </w:t>
      </w:r>
    </w:p>
    <w:p w14:paraId="627C169E" w14:textId="77777777" w:rsidR="00CC7E5E" w:rsidRDefault="00CC7E5E" w:rsidP="00CC7E5E">
      <w:pPr>
        <w:ind w:left="851"/>
        <w:rPr>
          <w:sz w:val="24"/>
          <w:szCs w:val="24"/>
        </w:rPr>
      </w:pPr>
      <w:proofErr w:type="spellStart"/>
      <w:r>
        <w:rPr>
          <w:sz w:val="24"/>
          <w:szCs w:val="24"/>
        </w:rPr>
        <w:t>Intestinal</w:t>
      </w:r>
      <w:proofErr w:type="spellEnd"/>
      <w:r>
        <w:rPr>
          <w:sz w:val="24"/>
          <w:szCs w:val="24"/>
        </w:rPr>
        <w:t xml:space="preserve"> </w:t>
      </w:r>
      <w:proofErr w:type="spellStart"/>
      <w:r>
        <w:rPr>
          <w:sz w:val="24"/>
          <w:szCs w:val="24"/>
        </w:rPr>
        <w:t>metaplasi</w:t>
      </w:r>
      <w:proofErr w:type="spellEnd"/>
      <w:r>
        <w:rPr>
          <w:sz w:val="24"/>
          <w:szCs w:val="24"/>
        </w:rPr>
        <w:t xml:space="preserve">, </w:t>
      </w:r>
      <w:proofErr w:type="spellStart"/>
      <w:r>
        <w:rPr>
          <w:sz w:val="24"/>
          <w:szCs w:val="24"/>
        </w:rPr>
        <w:t>hyperplasi</w:t>
      </w:r>
      <w:proofErr w:type="spellEnd"/>
      <w:r>
        <w:rPr>
          <w:sz w:val="24"/>
          <w:szCs w:val="24"/>
        </w:rPr>
        <w:t xml:space="preserve"> i </w:t>
      </w:r>
      <w:proofErr w:type="spellStart"/>
      <w:r>
        <w:rPr>
          <w:sz w:val="24"/>
          <w:szCs w:val="24"/>
        </w:rPr>
        <w:t>Leydig</w:t>
      </w:r>
      <w:proofErr w:type="spellEnd"/>
      <w:r>
        <w:rPr>
          <w:sz w:val="24"/>
          <w:szCs w:val="24"/>
        </w:rPr>
        <w:t xml:space="preserve">-celler og godartede tumorer i </w:t>
      </w:r>
      <w:proofErr w:type="spellStart"/>
      <w:r>
        <w:rPr>
          <w:sz w:val="24"/>
          <w:szCs w:val="24"/>
        </w:rPr>
        <w:t>Leydig</w:t>
      </w:r>
      <w:proofErr w:type="spellEnd"/>
      <w:r>
        <w:rPr>
          <w:sz w:val="24"/>
          <w:szCs w:val="24"/>
        </w:rPr>
        <w:t xml:space="preserve">-celler blev også observeret. Efter 18 måneders behandling blev der observeret </w:t>
      </w:r>
      <w:proofErr w:type="spellStart"/>
      <w:r>
        <w:rPr>
          <w:sz w:val="24"/>
          <w:szCs w:val="24"/>
        </w:rPr>
        <w:t>retinal</w:t>
      </w:r>
      <w:proofErr w:type="spellEnd"/>
      <w:r>
        <w:rPr>
          <w:sz w:val="24"/>
          <w:szCs w:val="24"/>
        </w:rPr>
        <w:t xml:space="preserve"> atrofi. Dette blev ikke set hos aber, hunde eller mus. </w:t>
      </w:r>
    </w:p>
    <w:p w14:paraId="1EB5E962" w14:textId="77777777" w:rsidR="0040224B" w:rsidRDefault="0040224B" w:rsidP="0040224B">
      <w:pPr>
        <w:ind w:left="851" w:hanging="851"/>
        <w:rPr>
          <w:sz w:val="24"/>
          <w:szCs w:val="24"/>
        </w:rPr>
      </w:pPr>
    </w:p>
    <w:p w14:paraId="43C7151D" w14:textId="77777777" w:rsidR="0040224B" w:rsidRDefault="0040224B" w:rsidP="0040224B">
      <w:pPr>
        <w:ind w:left="851"/>
        <w:rPr>
          <w:sz w:val="24"/>
          <w:szCs w:val="24"/>
        </w:rPr>
      </w:pPr>
      <w:r>
        <w:rPr>
          <w:sz w:val="24"/>
          <w:szCs w:val="24"/>
        </w:rPr>
        <w:t xml:space="preserve">I </w:t>
      </w:r>
      <w:proofErr w:type="spellStart"/>
      <w:r>
        <w:rPr>
          <w:sz w:val="24"/>
          <w:szCs w:val="24"/>
        </w:rPr>
        <w:t>karcinogenicitetsstudier</w:t>
      </w:r>
      <w:proofErr w:type="spellEnd"/>
      <w:r>
        <w:rPr>
          <w:sz w:val="24"/>
          <w:szCs w:val="24"/>
        </w:rPr>
        <w:t xml:space="preserve"> med mus</w:t>
      </w:r>
      <w:r>
        <w:rPr>
          <w:spacing w:val="-3"/>
          <w:sz w:val="24"/>
          <w:szCs w:val="24"/>
        </w:rPr>
        <w:t xml:space="preserve"> blev der udviklet dosisrelateret gastrisk </w:t>
      </w:r>
      <w:proofErr w:type="spellStart"/>
      <w:r>
        <w:rPr>
          <w:spacing w:val="-3"/>
          <w:sz w:val="24"/>
          <w:szCs w:val="24"/>
        </w:rPr>
        <w:t>hyperplasi</w:t>
      </w:r>
      <w:proofErr w:type="spellEnd"/>
      <w:r>
        <w:rPr>
          <w:spacing w:val="-3"/>
          <w:sz w:val="24"/>
          <w:szCs w:val="24"/>
        </w:rPr>
        <w:t xml:space="preserve"> i ECL-celler samt levertumorer og </w:t>
      </w:r>
      <w:proofErr w:type="spellStart"/>
      <w:r>
        <w:rPr>
          <w:spacing w:val="-3"/>
          <w:sz w:val="24"/>
          <w:szCs w:val="24"/>
        </w:rPr>
        <w:t>adenom</w:t>
      </w:r>
      <w:proofErr w:type="spellEnd"/>
      <w:r>
        <w:rPr>
          <w:spacing w:val="-3"/>
          <w:sz w:val="24"/>
          <w:szCs w:val="24"/>
        </w:rPr>
        <w:t xml:space="preserve"> i </w:t>
      </w:r>
      <w:proofErr w:type="spellStart"/>
      <w:r>
        <w:rPr>
          <w:spacing w:val="-3"/>
          <w:sz w:val="24"/>
          <w:szCs w:val="24"/>
        </w:rPr>
        <w:t>rete</w:t>
      </w:r>
      <w:proofErr w:type="spellEnd"/>
      <w:r>
        <w:rPr>
          <w:spacing w:val="-3"/>
          <w:sz w:val="24"/>
          <w:szCs w:val="24"/>
        </w:rPr>
        <w:t xml:space="preserve"> testis.</w:t>
      </w:r>
    </w:p>
    <w:p w14:paraId="4781E26F" w14:textId="77777777" w:rsidR="0040224B" w:rsidRDefault="0040224B" w:rsidP="0040224B">
      <w:pPr>
        <w:ind w:left="851" w:hanging="851"/>
        <w:rPr>
          <w:sz w:val="24"/>
          <w:szCs w:val="24"/>
        </w:rPr>
      </w:pPr>
    </w:p>
    <w:p w14:paraId="5CD8A18D" w14:textId="77777777" w:rsidR="0040224B" w:rsidRDefault="0040224B" w:rsidP="0040224B">
      <w:pPr>
        <w:ind w:left="851"/>
        <w:rPr>
          <w:sz w:val="24"/>
          <w:szCs w:val="24"/>
        </w:rPr>
      </w:pPr>
      <w:r>
        <w:rPr>
          <w:sz w:val="24"/>
          <w:szCs w:val="24"/>
        </w:rPr>
        <w:t>Den kliniske relevans af disse fund kendes ikke.</w:t>
      </w:r>
    </w:p>
    <w:p w14:paraId="7DBA8745" w14:textId="77777777" w:rsidR="0040224B" w:rsidRDefault="0040224B" w:rsidP="0040224B">
      <w:pPr>
        <w:ind w:left="851"/>
        <w:rPr>
          <w:sz w:val="24"/>
          <w:szCs w:val="24"/>
        </w:rPr>
      </w:pPr>
    </w:p>
    <w:p w14:paraId="77E4553A" w14:textId="77777777" w:rsidR="0040224B" w:rsidRPr="00202E07" w:rsidRDefault="0040224B" w:rsidP="0040224B">
      <w:pPr>
        <w:ind w:left="851"/>
        <w:rPr>
          <w:sz w:val="24"/>
          <w:szCs w:val="24"/>
          <w:u w:val="single"/>
        </w:rPr>
      </w:pPr>
      <w:r w:rsidRPr="00202E07">
        <w:rPr>
          <w:sz w:val="24"/>
          <w:szCs w:val="24"/>
          <w:u w:val="single"/>
        </w:rPr>
        <w:t>Undersøgelser i unge dyr</w:t>
      </w:r>
    </w:p>
    <w:p w14:paraId="0DA69952" w14:textId="77777777" w:rsidR="0040224B" w:rsidRDefault="0040224B" w:rsidP="0040224B">
      <w:pPr>
        <w:ind w:left="851"/>
        <w:rPr>
          <w:sz w:val="24"/>
          <w:szCs w:val="24"/>
        </w:rPr>
      </w:pPr>
      <w:r w:rsidRPr="002646CF">
        <w:rPr>
          <w:sz w:val="24"/>
          <w:szCs w:val="24"/>
        </w:rPr>
        <w:t xml:space="preserve">Hos unge rotter blev </w:t>
      </w:r>
      <w:proofErr w:type="spellStart"/>
      <w:r w:rsidRPr="002646CF">
        <w:rPr>
          <w:sz w:val="24"/>
          <w:szCs w:val="24"/>
        </w:rPr>
        <w:t>lansoprazol</w:t>
      </w:r>
      <w:proofErr w:type="spellEnd"/>
      <w:r w:rsidRPr="002646CF">
        <w:rPr>
          <w:sz w:val="24"/>
          <w:szCs w:val="24"/>
        </w:rPr>
        <w:t xml:space="preserve"> administreret fra </w:t>
      </w:r>
      <w:proofErr w:type="spellStart"/>
      <w:r w:rsidRPr="002646CF">
        <w:rPr>
          <w:sz w:val="24"/>
          <w:szCs w:val="24"/>
        </w:rPr>
        <w:t>postnatal</w:t>
      </w:r>
      <w:proofErr w:type="spellEnd"/>
      <w:r w:rsidRPr="002646CF">
        <w:rPr>
          <w:sz w:val="24"/>
          <w:szCs w:val="24"/>
        </w:rPr>
        <w:t xml:space="preserve"> dag</w:t>
      </w:r>
      <w:r>
        <w:rPr>
          <w:sz w:val="24"/>
          <w:szCs w:val="24"/>
        </w:rPr>
        <w:t> </w:t>
      </w:r>
      <w:r w:rsidRPr="002646CF">
        <w:rPr>
          <w:sz w:val="24"/>
          <w:szCs w:val="24"/>
        </w:rPr>
        <w:t xml:space="preserve">7 (alder svarende til nyfødte mennesker) til </w:t>
      </w:r>
      <w:proofErr w:type="spellStart"/>
      <w:r w:rsidRPr="002646CF">
        <w:rPr>
          <w:sz w:val="24"/>
          <w:szCs w:val="24"/>
        </w:rPr>
        <w:t>postnatal</w:t>
      </w:r>
      <w:proofErr w:type="spellEnd"/>
      <w:r w:rsidRPr="002646CF">
        <w:rPr>
          <w:sz w:val="24"/>
          <w:szCs w:val="24"/>
        </w:rPr>
        <w:t xml:space="preserve"> dag</w:t>
      </w:r>
      <w:r>
        <w:rPr>
          <w:sz w:val="24"/>
          <w:szCs w:val="24"/>
        </w:rPr>
        <w:t> </w:t>
      </w:r>
      <w:r w:rsidRPr="002646CF">
        <w:rPr>
          <w:sz w:val="24"/>
          <w:szCs w:val="24"/>
        </w:rPr>
        <w:t>62 (alder svarende til ca. 14</w:t>
      </w:r>
      <w:r>
        <w:rPr>
          <w:sz w:val="24"/>
          <w:szCs w:val="24"/>
        </w:rPr>
        <w:t> </w:t>
      </w:r>
      <w:r w:rsidRPr="002646CF">
        <w:rPr>
          <w:sz w:val="24"/>
          <w:szCs w:val="24"/>
        </w:rPr>
        <w:t>år hos mennesker).</w:t>
      </w:r>
    </w:p>
    <w:p w14:paraId="4B548D05" w14:textId="77777777" w:rsidR="0040224B" w:rsidRDefault="0040224B" w:rsidP="0040224B">
      <w:pPr>
        <w:ind w:left="851"/>
        <w:rPr>
          <w:sz w:val="24"/>
          <w:szCs w:val="24"/>
        </w:rPr>
      </w:pPr>
    </w:p>
    <w:p w14:paraId="69E80B37" w14:textId="104ACADD" w:rsidR="00CC7E5E" w:rsidRDefault="00CC7E5E" w:rsidP="00CC7E5E">
      <w:pPr>
        <w:ind w:left="851"/>
        <w:rPr>
          <w:sz w:val="24"/>
          <w:szCs w:val="24"/>
        </w:rPr>
      </w:pPr>
      <w:r>
        <w:rPr>
          <w:sz w:val="24"/>
          <w:szCs w:val="24"/>
        </w:rPr>
        <w:t xml:space="preserve">Studier i juvenile rotter (8-ugers studie, 6-ugers </w:t>
      </w:r>
      <w:proofErr w:type="spellStart"/>
      <w:r>
        <w:rPr>
          <w:sz w:val="24"/>
          <w:szCs w:val="24"/>
        </w:rPr>
        <w:t>toksikokinetisk</w:t>
      </w:r>
      <w:proofErr w:type="spellEnd"/>
      <w:r>
        <w:rPr>
          <w:sz w:val="24"/>
          <w:szCs w:val="24"/>
        </w:rPr>
        <w:t xml:space="preserve"> dosistitreringsstudie, udviklingssensitivitetsstudie) har vist en øget forekomst af fortykkelse af hjerteklappen.</w:t>
      </w:r>
      <w:r w:rsidR="006B1D32">
        <w:rPr>
          <w:sz w:val="24"/>
          <w:szCs w:val="24"/>
        </w:rPr>
        <w:t xml:space="preserve"> </w:t>
      </w:r>
      <w:r>
        <w:rPr>
          <w:sz w:val="24"/>
          <w:szCs w:val="24"/>
        </w:rPr>
        <w:t xml:space="preserve">Fundene reverserede eller tenderede mod reversibilitet efter en 4-ugers lægemiddelfri restitutionsperiode. Rotter yngre end </w:t>
      </w:r>
      <w:proofErr w:type="spellStart"/>
      <w:r>
        <w:rPr>
          <w:sz w:val="24"/>
          <w:szCs w:val="24"/>
        </w:rPr>
        <w:t>postnatal</w:t>
      </w:r>
      <w:proofErr w:type="spellEnd"/>
      <w:r>
        <w:rPr>
          <w:sz w:val="24"/>
          <w:szCs w:val="24"/>
        </w:rPr>
        <w:t xml:space="preserve"> dag 21 (alder tilsvarende cirka 2 år for mennesker) var mere tilbøjelige til at udvikle fortykkelse af hjerteklappen. Sikkerhedsmarginen for den forventede eksponering i mennesker er 3 til 6 gange eksponeringen i studierne med unge dyr, baseret på AUC i </w:t>
      </w:r>
      <w:r>
        <w:rPr>
          <w:i/>
          <w:iCs/>
          <w:sz w:val="24"/>
          <w:szCs w:val="24"/>
        </w:rPr>
        <w:t>no-</w:t>
      </w:r>
      <w:proofErr w:type="spellStart"/>
      <w:r>
        <w:rPr>
          <w:i/>
          <w:iCs/>
          <w:sz w:val="24"/>
          <w:szCs w:val="24"/>
        </w:rPr>
        <w:t>observed</w:t>
      </w:r>
      <w:proofErr w:type="spellEnd"/>
      <w:r>
        <w:rPr>
          <w:i/>
          <w:iCs/>
          <w:sz w:val="24"/>
          <w:szCs w:val="24"/>
        </w:rPr>
        <w:t>-</w:t>
      </w:r>
      <w:proofErr w:type="spellStart"/>
      <w:r>
        <w:rPr>
          <w:i/>
          <w:iCs/>
          <w:sz w:val="24"/>
          <w:szCs w:val="24"/>
        </w:rPr>
        <w:t>effect-</w:t>
      </w:r>
      <w:r>
        <w:rPr>
          <w:i/>
          <w:sz w:val="24"/>
          <w:szCs w:val="24"/>
        </w:rPr>
        <w:t>level</w:t>
      </w:r>
      <w:proofErr w:type="spellEnd"/>
      <w:r>
        <w:rPr>
          <w:sz w:val="24"/>
          <w:szCs w:val="24"/>
        </w:rPr>
        <w:t xml:space="preserve"> (NOEL) (8-ugers studie, 6-ugers </w:t>
      </w:r>
      <w:proofErr w:type="spellStart"/>
      <w:r>
        <w:rPr>
          <w:sz w:val="24"/>
          <w:szCs w:val="24"/>
        </w:rPr>
        <w:t>toksikokinetisk</w:t>
      </w:r>
      <w:proofErr w:type="spellEnd"/>
      <w:r>
        <w:rPr>
          <w:sz w:val="24"/>
          <w:szCs w:val="24"/>
        </w:rPr>
        <w:t xml:space="preserve"> dosistitreringsstudie) eller </w:t>
      </w:r>
      <w:proofErr w:type="spellStart"/>
      <w:r>
        <w:rPr>
          <w:i/>
          <w:iCs/>
          <w:sz w:val="24"/>
          <w:szCs w:val="24"/>
        </w:rPr>
        <w:t>lowest-observed-effect-level</w:t>
      </w:r>
      <w:proofErr w:type="spellEnd"/>
      <w:r>
        <w:rPr>
          <w:sz w:val="24"/>
          <w:szCs w:val="24"/>
        </w:rPr>
        <w:t xml:space="preserve"> (LOEL) (udviklingssensitivitetsstudie).</w:t>
      </w:r>
    </w:p>
    <w:p w14:paraId="06031A1F" w14:textId="77777777" w:rsidR="00CC7E5E" w:rsidRDefault="00CC7E5E" w:rsidP="00CC7E5E">
      <w:pPr>
        <w:ind w:left="851"/>
        <w:rPr>
          <w:sz w:val="24"/>
          <w:szCs w:val="24"/>
        </w:rPr>
      </w:pPr>
    </w:p>
    <w:p w14:paraId="400DC245" w14:textId="77777777" w:rsidR="00CC7E5E" w:rsidRDefault="00CC7E5E" w:rsidP="00CC7E5E">
      <w:pPr>
        <w:ind w:left="851"/>
        <w:rPr>
          <w:sz w:val="24"/>
          <w:szCs w:val="24"/>
        </w:rPr>
      </w:pPr>
      <w:r>
        <w:rPr>
          <w:sz w:val="24"/>
          <w:szCs w:val="24"/>
        </w:rPr>
        <w:t xml:space="preserve">Disse studier har også vist ændringer i mandligt reproduktivt væv (testikler og </w:t>
      </w:r>
      <w:proofErr w:type="spellStart"/>
      <w:r>
        <w:rPr>
          <w:sz w:val="24"/>
          <w:szCs w:val="24"/>
        </w:rPr>
        <w:t>epididymis</w:t>
      </w:r>
      <w:proofErr w:type="spellEnd"/>
      <w:r>
        <w:rPr>
          <w:sz w:val="24"/>
          <w:szCs w:val="24"/>
        </w:rPr>
        <w:t xml:space="preserve">). Desuden er vækstretardering blevet registreret enten hos hanner eller hos hunrotter, men kun hos hanner førte dette til forsinket fortykkelse af den femorale </w:t>
      </w:r>
      <w:proofErr w:type="spellStart"/>
      <w:r>
        <w:rPr>
          <w:sz w:val="24"/>
          <w:szCs w:val="24"/>
        </w:rPr>
        <w:t>epifyseskive</w:t>
      </w:r>
      <w:proofErr w:type="spellEnd"/>
      <w:r>
        <w:rPr>
          <w:sz w:val="24"/>
          <w:szCs w:val="24"/>
        </w:rPr>
        <w:t xml:space="preserve">. </w:t>
      </w:r>
    </w:p>
    <w:p w14:paraId="21BE3063" w14:textId="77777777" w:rsidR="0040224B" w:rsidRDefault="0040224B" w:rsidP="0040224B">
      <w:pPr>
        <w:ind w:left="851"/>
        <w:rPr>
          <w:sz w:val="24"/>
          <w:szCs w:val="24"/>
        </w:rPr>
      </w:pPr>
    </w:p>
    <w:p w14:paraId="18530282" w14:textId="77777777" w:rsidR="0040224B" w:rsidRPr="00EF5457" w:rsidRDefault="0040224B" w:rsidP="0040224B">
      <w:pPr>
        <w:ind w:left="851"/>
        <w:rPr>
          <w:sz w:val="24"/>
          <w:szCs w:val="24"/>
        </w:rPr>
      </w:pPr>
      <w:r>
        <w:rPr>
          <w:sz w:val="24"/>
          <w:szCs w:val="24"/>
        </w:rPr>
        <w:t>Relevansen af disse fund for pædiatriske patienter yngre end 12 år er ikke kendt.</w:t>
      </w:r>
    </w:p>
    <w:p w14:paraId="43940613" w14:textId="77777777" w:rsidR="004D4CB4" w:rsidRPr="00386BA3" w:rsidRDefault="004D4CB4" w:rsidP="0040224B">
      <w:pPr>
        <w:ind w:left="851" w:hanging="851"/>
        <w:rPr>
          <w:sz w:val="24"/>
          <w:szCs w:val="24"/>
        </w:rPr>
      </w:pPr>
    </w:p>
    <w:p w14:paraId="20B9E05E" w14:textId="77777777" w:rsidR="004D4CB4" w:rsidRPr="00386BA3" w:rsidRDefault="004D4CB4" w:rsidP="004D4CB4">
      <w:pPr>
        <w:ind w:left="851" w:hanging="851"/>
        <w:rPr>
          <w:sz w:val="24"/>
          <w:szCs w:val="24"/>
        </w:rPr>
      </w:pPr>
    </w:p>
    <w:p w14:paraId="15E14B58" w14:textId="77777777" w:rsidR="004D4CB4" w:rsidRPr="00386BA3" w:rsidRDefault="004D4CB4" w:rsidP="004D4CB4">
      <w:pPr>
        <w:ind w:left="851" w:hanging="851"/>
        <w:rPr>
          <w:b/>
          <w:sz w:val="24"/>
          <w:szCs w:val="24"/>
        </w:rPr>
      </w:pPr>
      <w:r w:rsidRPr="00386BA3">
        <w:rPr>
          <w:b/>
          <w:sz w:val="24"/>
          <w:szCs w:val="24"/>
        </w:rPr>
        <w:t>6.</w:t>
      </w:r>
      <w:r w:rsidRPr="00386BA3">
        <w:rPr>
          <w:b/>
          <w:sz w:val="24"/>
          <w:szCs w:val="24"/>
        </w:rPr>
        <w:tab/>
        <w:t>FARMACEUTISKE OPLYSNINGER</w:t>
      </w:r>
    </w:p>
    <w:p w14:paraId="7F143699" w14:textId="77777777" w:rsidR="004D4CB4" w:rsidRPr="00386BA3" w:rsidRDefault="004D4CB4" w:rsidP="004D4CB4">
      <w:pPr>
        <w:ind w:left="851" w:hanging="851"/>
        <w:rPr>
          <w:b/>
          <w:sz w:val="24"/>
          <w:szCs w:val="24"/>
        </w:rPr>
      </w:pPr>
    </w:p>
    <w:p w14:paraId="457F7E4C" w14:textId="77777777" w:rsidR="004D4CB4" w:rsidRPr="00386BA3" w:rsidRDefault="004D4CB4" w:rsidP="004D4CB4">
      <w:pPr>
        <w:ind w:left="851" w:hanging="851"/>
        <w:rPr>
          <w:b/>
          <w:sz w:val="24"/>
          <w:szCs w:val="24"/>
        </w:rPr>
      </w:pPr>
      <w:r w:rsidRPr="00386BA3">
        <w:rPr>
          <w:b/>
          <w:sz w:val="24"/>
          <w:szCs w:val="24"/>
        </w:rPr>
        <w:t>6.1</w:t>
      </w:r>
      <w:r w:rsidRPr="00386BA3">
        <w:rPr>
          <w:b/>
          <w:sz w:val="24"/>
          <w:szCs w:val="24"/>
        </w:rPr>
        <w:tab/>
        <w:t>Hjælpestoffer</w:t>
      </w:r>
    </w:p>
    <w:p w14:paraId="471D070B" w14:textId="77777777" w:rsidR="004D4CB4" w:rsidRPr="00386BA3" w:rsidRDefault="004D4CB4" w:rsidP="004D4CB4">
      <w:pPr>
        <w:ind w:left="851" w:hanging="851"/>
        <w:rPr>
          <w:sz w:val="24"/>
          <w:szCs w:val="24"/>
        </w:rPr>
      </w:pPr>
      <w:r w:rsidRPr="00386BA3">
        <w:rPr>
          <w:sz w:val="24"/>
          <w:szCs w:val="24"/>
        </w:rPr>
        <w:tab/>
        <w:t>Sukkerkugler (</w:t>
      </w:r>
      <w:proofErr w:type="spellStart"/>
      <w:r w:rsidRPr="00386BA3">
        <w:rPr>
          <w:sz w:val="24"/>
          <w:szCs w:val="24"/>
        </w:rPr>
        <w:t>saccharose</w:t>
      </w:r>
      <w:proofErr w:type="spellEnd"/>
      <w:r w:rsidRPr="00386BA3">
        <w:rPr>
          <w:sz w:val="24"/>
          <w:szCs w:val="24"/>
        </w:rPr>
        <w:t xml:space="preserve"> og majsstivelse)</w:t>
      </w:r>
    </w:p>
    <w:p w14:paraId="3FA41E3E" w14:textId="77777777" w:rsidR="004D4CB4" w:rsidRPr="00386BA3" w:rsidRDefault="004D4CB4" w:rsidP="004D4CB4">
      <w:pPr>
        <w:ind w:left="851" w:hanging="851"/>
        <w:rPr>
          <w:sz w:val="24"/>
          <w:szCs w:val="24"/>
        </w:rPr>
      </w:pPr>
      <w:r w:rsidRPr="00386BA3">
        <w:rPr>
          <w:sz w:val="24"/>
          <w:szCs w:val="24"/>
        </w:rPr>
        <w:tab/>
      </w:r>
      <w:proofErr w:type="spellStart"/>
      <w:r w:rsidRPr="00386BA3">
        <w:rPr>
          <w:sz w:val="24"/>
          <w:szCs w:val="24"/>
        </w:rPr>
        <w:t>Natriumlaurilsulfat</w:t>
      </w:r>
      <w:proofErr w:type="spellEnd"/>
    </w:p>
    <w:p w14:paraId="162903EC" w14:textId="77777777" w:rsidR="004D4CB4" w:rsidRPr="00386BA3" w:rsidRDefault="004D4CB4" w:rsidP="004D4CB4">
      <w:pPr>
        <w:ind w:left="851" w:hanging="851"/>
        <w:rPr>
          <w:sz w:val="24"/>
          <w:szCs w:val="24"/>
        </w:rPr>
      </w:pPr>
      <w:r w:rsidRPr="00386BA3">
        <w:rPr>
          <w:sz w:val="24"/>
          <w:szCs w:val="24"/>
        </w:rPr>
        <w:tab/>
      </w:r>
      <w:proofErr w:type="spellStart"/>
      <w:r w:rsidRPr="00386BA3">
        <w:rPr>
          <w:sz w:val="24"/>
          <w:szCs w:val="24"/>
        </w:rPr>
        <w:t>Meglumin</w:t>
      </w:r>
      <w:proofErr w:type="spellEnd"/>
    </w:p>
    <w:p w14:paraId="3E882E94" w14:textId="77777777" w:rsidR="004D4CB4" w:rsidRPr="00CD6003" w:rsidRDefault="004D4CB4" w:rsidP="004D4CB4">
      <w:pPr>
        <w:ind w:left="851" w:hanging="851"/>
        <w:rPr>
          <w:sz w:val="24"/>
          <w:szCs w:val="24"/>
        </w:rPr>
      </w:pPr>
      <w:r w:rsidRPr="00386BA3">
        <w:rPr>
          <w:sz w:val="24"/>
          <w:szCs w:val="24"/>
        </w:rPr>
        <w:tab/>
      </w:r>
      <w:proofErr w:type="spellStart"/>
      <w:r w:rsidRPr="00386BA3">
        <w:rPr>
          <w:sz w:val="24"/>
          <w:szCs w:val="24"/>
        </w:rPr>
        <w:t>Mannitol</w:t>
      </w:r>
      <w:proofErr w:type="spellEnd"/>
      <w:r w:rsidRPr="00386BA3">
        <w:rPr>
          <w:sz w:val="24"/>
          <w:szCs w:val="24"/>
        </w:rPr>
        <w:t xml:space="preserve"> (E421)</w:t>
      </w:r>
    </w:p>
    <w:p w14:paraId="096FC64D" w14:textId="77777777" w:rsidR="004D4CB4" w:rsidRPr="00CD6003" w:rsidRDefault="004D4CB4" w:rsidP="004D4CB4">
      <w:pPr>
        <w:ind w:left="851" w:hanging="851"/>
        <w:rPr>
          <w:sz w:val="24"/>
          <w:szCs w:val="24"/>
        </w:rPr>
      </w:pPr>
      <w:r w:rsidRPr="00386BA3">
        <w:rPr>
          <w:sz w:val="24"/>
          <w:szCs w:val="24"/>
        </w:rPr>
        <w:tab/>
      </w:r>
      <w:proofErr w:type="spellStart"/>
      <w:r w:rsidRPr="00386BA3">
        <w:rPr>
          <w:sz w:val="24"/>
          <w:szCs w:val="24"/>
        </w:rPr>
        <w:t>Hypromellose</w:t>
      </w:r>
      <w:proofErr w:type="spellEnd"/>
    </w:p>
    <w:p w14:paraId="201725FB" w14:textId="77777777" w:rsidR="004D4CB4" w:rsidRPr="00386BA3" w:rsidRDefault="004D4CB4" w:rsidP="004D4CB4">
      <w:pPr>
        <w:ind w:left="851" w:hanging="851"/>
        <w:rPr>
          <w:sz w:val="24"/>
          <w:szCs w:val="24"/>
        </w:rPr>
      </w:pPr>
      <w:r w:rsidRPr="00386BA3">
        <w:rPr>
          <w:sz w:val="24"/>
          <w:szCs w:val="24"/>
        </w:rPr>
        <w:tab/>
      </w:r>
      <w:proofErr w:type="spellStart"/>
      <w:r w:rsidRPr="00386BA3">
        <w:rPr>
          <w:sz w:val="24"/>
          <w:szCs w:val="24"/>
        </w:rPr>
        <w:t>Talcum</w:t>
      </w:r>
      <w:proofErr w:type="spellEnd"/>
    </w:p>
    <w:p w14:paraId="3318D5E4" w14:textId="77777777" w:rsidR="004D4CB4" w:rsidRPr="00CD6003" w:rsidRDefault="004D4CB4" w:rsidP="004D4CB4">
      <w:pPr>
        <w:ind w:left="851" w:hanging="851"/>
        <w:rPr>
          <w:sz w:val="24"/>
          <w:szCs w:val="24"/>
        </w:rPr>
      </w:pPr>
      <w:r w:rsidRPr="00386BA3">
        <w:rPr>
          <w:sz w:val="24"/>
          <w:szCs w:val="24"/>
        </w:rPr>
        <w:tab/>
      </w:r>
      <w:proofErr w:type="spellStart"/>
      <w:r w:rsidRPr="00386BA3">
        <w:rPr>
          <w:sz w:val="24"/>
          <w:szCs w:val="24"/>
        </w:rPr>
        <w:t>Polysorbat</w:t>
      </w:r>
      <w:proofErr w:type="spellEnd"/>
      <w:r w:rsidRPr="00386BA3">
        <w:rPr>
          <w:sz w:val="24"/>
          <w:szCs w:val="24"/>
        </w:rPr>
        <w:t xml:space="preserve"> 80</w:t>
      </w:r>
    </w:p>
    <w:p w14:paraId="5AD25F26" w14:textId="77777777" w:rsidR="004D4CB4" w:rsidRPr="00CD6003" w:rsidRDefault="004D4CB4" w:rsidP="004D4CB4">
      <w:pPr>
        <w:ind w:left="851" w:hanging="851"/>
        <w:rPr>
          <w:sz w:val="24"/>
          <w:szCs w:val="24"/>
        </w:rPr>
      </w:pPr>
      <w:r w:rsidRPr="00386BA3">
        <w:rPr>
          <w:sz w:val="24"/>
          <w:szCs w:val="24"/>
        </w:rPr>
        <w:tab/>
        <w:t>Titandioxid (E171)</w:t>
      </w:r>
    </w:p>
    <w:p w14:paraId="53990E0B" w14:textId="77777777" w:rsidR="004D4CB4" w:rsidRPr="00CD6003" w:rsidRDefault="004D4CB4" w:rsidP="004D4CB4">
      <w:pPr>
        <w:ind w:left="851" w:hanging="851"/>
        <w:rPr>
          <w:sz w:val="24"/>
          <w:szCs w:val="24"/>
        </w:rPr>
      </w:pPr>
      <w:r w:rsidRPr="00386BA3">
        <w:rPr>
          <w:sz w:val="24"/>
          <w:szCs w:val="24"/>
        </w:rPr>
        <w:tab/>
      </w:r>
      <w:proofErr w:type="spellStart"/>
      <w:r w:rsidRPr="00386BA3">
        <w:rPr>
          <w:sz w:val="24"/>
          <w:szCs w:val="24"/>
        </w:rPr>
        <w:t>Metacrylsyre-ethylacrylat</w:t>
      </w:r>
      <w:proofErr w:type="spellEnd"/>
      <w:r w:rsidRPr="00386BA3">
        <w:rPr>
          <w:sz w:val="24"/>
          <w:szCs w:val="24"/>
        </w:rPr>
        <w:t xml:space="preserve"> </w:t>
      </w:r>
      <w:proofErr w:type="spellStart"/>
      <w:r w:rsidRPr="00386BA3">
        <w:rPr>
          <w:sz w:val="24"/>
          <w:szCs w:val="24"/>
        </w:rPr>
        <w:t>copolymer</w:t>
      </w:r>
      <w:proofErr w:type="spellEnd"/>
      <w:r w:rsidRPr="00386BA3">
        <w:rPr>
          <w:sz w:val="24"/>
          <w:szCs w:val="24"/>
        </w:rPr>
        <w:t xml:space="preserve">  </w:t>
      </w:r>
    </w:p>
    <w:p w14:paraId="31BCA2A6" w14:textId="77777777" w:rsidR="004D4CB4" w:rsidRPr="00CD6003" w:rsidRDefault="004D4CB4" w:rsidP="004D4CB4">
      <w:pPr>
        <w:ind w:left="851" w:hanging="851"/>
        <w:rPr>
          <w:sz w:val="24"/>
          <w:szCs w:val="24"/>
        </w:rPr>
      </w:pPr>
      <w:r w:rsidRPr="00386BA3">
        <w:rPr>
          <w:sz w:val="24"/>
          <w:szCs w:val="24"/>
        </w:rPr>
        <w:tab/>
      </w:r>
    </w:p>
    <w:p w14:paraId="2CB88E4D" w14:textId="77777777" w:rsidR="004D4CB4" w:rsidRPr="00386BA3" w:rsidRDefault="004D4CB4" w:rsidP="004D4CB4">
      <w:pPr>
        <w:ind w:left="851" w:hanging="851"/>
        <w:rPr>
          <w:sz w:val="24"/>
          <w:szCs w:val="24"/>
          <w:lang w:val="de-DE"/>
        </w:rPr>
      </w:pPr>
      <w:r w:rsidRPr="00386BA3">
        <w:rPr>
          <w:i/>
          <w:iCs/>
          <w:sz w:val="24"/>
          <w:szCs w:val="24"/>
        </w:rPr>
        <w:lastRenderedPageBreak/>
        <w:tab/>
        <w:t xml:space="preserve">Kapselskal </w:t>
      </w:r>
    </w:p>
    <w:p w14:paraId="3F37EB33" w14:textId="77777777" w:rsidR="004D4CB4" w:rsidRPr="00386BA3" w:rsidRDefault="004D4CB4" w:rsidP="004D4CB4">
      <w:pPr>
        <w:ind w:left="851" w:hanging="851"/>
        <w:rPr>
          <w:sz w:val="24"/>
          <w:szCs w:val="24"/>
        </w:rPr>
      </w:pPr>
      <w:r w:rsidRPr="00386BA3">
        <w:rPr>
          <w:sz w:val="24"/>
          <w:szCs w:val="24"/>
        </w:rPr>
        <w:tab/>
        <w:t>Gelatine</w:t>
      </w:r>
    </w:p>
    <w:p w14:paraId="5F46EB74" w14:textId="77777777" w:rsidR="004D4CB4" w:rsidRPr="00386BA3" w:rsidRDefault="004D4CB4" w:rsidP="004D4CB4">
      <w:pPr>
        <w:ind w:left="851" w:hanging="851"/>
        <w:rPr>
          <w:sz w:val="24"/>
          <w:szCs w:val="24"/>
          <w:lang w:val="de-DE"/>
        </w:rPr>
      </w:pPr>
      <w:r w:rsidRPr="00386BA3">
        <w:rPr>
          <w:sz w:val="24"/>
          <w:szCs w:val="24"/>
        </w:rPr>
        <w:tab/>
        <w:t>Titandioxid (E171)</w:t>
      </w:r>
    </w:p>
    <w:p w14:paraId="3EC39882" w14:textId="77777777" w:rsidR="00487351" w:rsidRDefault="004D4CB4" w:rsidP="004D4CB4">
      <w:pPr>
        <w:ind w:left="851" w:hanging="851"/>
        <w:rPr>
          <w:sz w:val="24"/>
          <w:szCs w:val="24"/>
        </w:rPr>
      </w:pPr>
      <w:r w:rsidRPr="00386BA3">
        <w:rPr>
          <w:sz w:val="24"/>
          <w:szCs w:val="24"/>
        </w:rPr>
        <w:tab/>
      </w:r>
    </w:p>
    <w:p w14:paraId="70BE851F" w14:textId="77777777" w:rsidR="004D4CB4" w:rsidRPr="00386BA3" w:rsidRDefault="004D4CB4" w:rsidP="00487351">
      <w:pPr>
        <w:ind w:left="851"/>
        <w:rPr>
          <w:sz w:val="24"/>
          <w:szCs w:val="24"/>
        </w:rPr>
      </w:pPr>
      <w:r w:rsidRPr="00386BA3">
        <w:rPr>
          <w:sz w:val="24"/>
          <w:szCs w:val="24"/>
        </w:rPr>
        <w:t xml:space="preserve">Kun 15 mg: </w:t>
      </w:r>
      <w:proofErr w:type="spellStart"/>
      <w:r w:rsidRPr="00386BA3">
        <w:rPr>
          <w:sz w:val="24"/>
          <w:szCs w:val="24"/>
        </w:rPr>
        <w:t>Quinolingult</w:t>
      </w:r>
      <w:proofErr w:type="spellEnd"/>
      <w:r w:rsidRPr="00386BA3">
        <w:rPr>
          <w:sz w:val="24"/>
          <w:szCs w:val="24"/>
        </w:rPr>
        <w:t xml:space="preserve"> (E104)</w:t>
      </w:r>
    </w:p>
    <w:p w14:paraId="5805E48E" w14:textId="77777777" w:rsidR="004D4CB4" w:rsidRPr="00386BA3" w:rsidRDefault="004D4CB4" w:rsidP="004D4CB4">
      <w:pPr>
        <w:ind w:left="851" w:hanging="851"/>
        <w:rPr>
          <w:sz w:val="24"/>
          <w:szCs w:val="24"/>
        </w:rPr>
      </w:pPr>
    </w:p>
    <w:p w14:paraId="751E03CF" w14:textId="77777777" w:rsidR="004D4CB4" w:rsidRPr="00386BA3" w:rsidRDefault="004D4CB4" w:rsidP="009024E7">
      <w:pPr>
        <w:keepNext/>
        <w:ind w:left="851" w:hanging="851"/>
        <w:rPr>
          <w:b/>
          <w:sz w:val="24"/>
          <w:szCs w:val="24"/>
        </w:rPr>
      </w:pPr>
      <w:r w:rsidRPr="00386BA3">
        <w:rPr>
          <w:b/>
          <w:sz w:val="24"/>
          <w:szCs w:val="24"/>
        </w:rPr>
        <w:t>6.2</w:t>
      </w:r>
      <w:r w:rsidRPr="00386BA3">
        <w:rPr>
          <w:b/>
          <w:sz w:val="24"/>
          <w:szCs w:val="24"/>
        </w:rPr>
        <w:tab/>
        <w:t>Uforligeligheder</w:t>
      </w:r>
    </w:p>
    <w:p w14:paraId="1B850F71" w14:textId="77777777" w:rsidR="004D4CB4" w:rsidRPr="00CD6003" w:rsidRDefault="004D4CB4" w:rsidP="004D4CB4">
      <w:pPr>
        <w:ind w:left="851" w:hanging="851"/>
        <w:rPr>
          <w:sz w:val="24"/>
          <w:szCs w:val="24"/>
        </w:rPr>
      </w:pPr>
      <w:r w:rsidRPr="00386BA3">
        <w:rPr>
          <w:sz w:val="24"/>
          <w:szCs w:val="24"/>
        </w:rPr>
        <w:tab/>
        <w:t>Ikke relevant.</w:t>
      </w:r>
    </w:p>
    <w:p w14:paraId="5AAE239D" w14:textId="77777777" w:rsidR="004D4CB4" w:rsidRPr="00386BA3" w:rsidRDefault="004D4CB4" w:rsidP="004D4CB4">
      <w:pPr>
        <w:ind w:left="851" w:hanging="851"/>
        <w:rPr>
          <w:sz w:val="24"/>
          <w:szCs w:val="24"/>
        </w:rPr>
      </w:pPr>
    </w:p>
    <w:p w14:paraId="65991566" w14:textId="77777777" w:rsidR="004D4CB4" w:rsidRPr="00386BA3" w:rsidRDefault="004D4CB4" w:rsidP="004D4CB4">
      <w:pPr>
        <w:ind w:left="851" w:hanging="851"/>
        <w:rPr>
          <w:b/>
          <w:sz w:val="24"/>
          <w:szCs w:val="24"/>
        </w:rPr>
      </w:pPr>
      <w:r w:rsidRPr="00386BA3">
        <w:rPr>
          <w:b/>
          <w:sz w:val="24"/>
          <w:szCs w:val="24"/>
        </w:rPr>
        <w:t>6.3</w:t>
      </w:r>
      <w:r w:rsidRPr="00386BA3">
        <w:rPr>
          <w:b/>
          <w:sz w:val="24"/>
          <w:szCs w:val="24"/>
        </w:rPr>
        <w:tab/>
        <w:t>Opbevaringstid</w:t>
      </w:r>
    </w:p>
    <w:p w14:paraId="3CD6E251" w14:textId="77777777" w:rsidR="004D4CB4" w:rsidRPr="00386BA3" w:rsidRDefault="004D4CB4" w:rsidP="004D4CB4">
      <w:pPr>
        <w:ind w:left="851" w:hanging="851"/>
        <w:rPr>
          <w:sz w:val="24"/>
          <w:szCs w:val="24"/>
        </w:rPr>
      </w:pPr>
      <w:r w:rsidRPr="00386BA3">
        <w:rPr>
          <w:sz w:val="24"/>
          <w:szCs w:val="24"/>
        </w:rPr>
        <w:tab/>
        <w:t>Al/Al blisterpakning: 3 år</w:t>
      </w:r>
    </w:p>
    <w:p w14:paraId="1AB5055C" w14:textId="77777777" w:rsidR="004D4CB4" w:rsidRPr="00386BA3" w:rsidRDefault="004D4CB4" w:rsidP="004D4CB4">
      <w:pPr>
        <w:ind w:left="851"/>
        <w:rPr>
          <w:sz w:val="24"/>
          <w:szCs w:val="24"/>
        </w:rPr>
      </w:pPr>
      <w:r w:rsidRPr="00386BA3">
        <w:rPr>
          <w:sz w:val="24"/>
          <w:szCs w:val="24"/>
        </w:rPr>
        <w:t>HDPE-beholder: 4 år. Anvendes 6 måneder efter anbrud.</w:t>
      </w:r>
    </w:p>
    <w:p w14:paraId="2D9B5C49" w14:textId="77777777" w:rsidR="004D4CB4" w:rsidRPr="00386BA3" w:rsidRDefault="004D4CB4" w:rsidP="004D4CB4">
      <w:pPr>
        <w:ind w:left="851" w:hanging="851"/>
        <w:rPr>
          <w:sz w:val="24"/>
          <w:szCs w:val="24"/>
        </w:rPr>
      </w:pPr>
    </w:p>
    <w:p w14:paraId="3C302966" w14:textId="77777777" w:rsidR="004D4CB4" w:rsidRPr="00386BA3" w:rsidRDefault="004D4CB4" w:rsidP="004D4CB4">
      <w:pPr>
        <w:ind w:left="851" w:hanging="851"/>
        <w:rPr>
          <w:b/>
          <w:sz w:val="24"/>
          <w:szCs w:val="24"/>
        </w:rPr>
      </w:pPr>
      <w:r w:rsidRPr="00386BA3">
        <w:rPr>
          <w:b/>
          <w:sz w:val="24"/>
          <w:szCs w:val="24"/>
        </w:rPr>
        <w:t>6.4</w:t>
      </w:r>
      <w:r w:rsidRPr="00386BA3">
        <w:rPr>
          <w:b/>
          <w:sz w:val="24"/>
          <w:szCs w:val="24"/>
        </w:rPr>
        <w:tab/>
        <w:t>Særlige opbevaringsforhold</w:t>
      </w:r>
    </w:p>
    <w:p w14:paraId="1EB0EF78" w14:textId="77777777" w:rsidR="004D4CB4" w:rsidRPr="00386BA3" w:rsidRDefault="004D4CB4" w:rsidP="004D4CB4">
      <w:pPr>
        <w:ind w:left="851" w:hanging="851"/>
        <w:rPr>
          <w:sz w:val="24"/>
          <w:szCs w:val="24"/>
        </w:rPr>
      </w:pPr>
      <w:r w:rsidRPr="00386BA3">
        <w:rPr>
          <w:sz w:val="24"/>
          <w:szCs w:val="24"/>
        </w:rPr>
        <w:tab/>
        <w:t>Al/Al blisterpakning:</w:t>
      </w:r>
    </w:p>
    <w:p w14:paraId="04DF9807" w14:textId="77777777" w:rsidR="004D4CB4" w:rsidRPr="00386BA3" w:rsidRDefault="004D4CB4" w:rsidP="004D4CB4">
      <w:pPr>
        <w:ind w:left="851" w:hanging="851"/>
        <w:rPr>
          <w:sz w:val="24"/>
          <w:szCs w:val="24"/>
        </w:rPr>
      </w:pPr>
      <w:r w:rsidRPr="00386BA3">
        <w:rPr>
          <w:sz w:val="24"/>
          <w:szCs w:val="24"/>
        </w:rPr>
        <w:tab/>
        <w:t xml:space="preserve">Må ikke opbevares ved temperaturer over 30° C. </w:t>
      </w:r>
    </w:p>
    <w:p w14:paraId="10D7F852" w14:textId="77777777" w:rsidR="004D4CB4" w:rsidRPr="00386BA3" w:rsidRDefault="004D4CB4" w:rsidP="004D4CB4">
      <w:pPr>
        <w:ind w:left="851" w:hanging="851"/>
        <w:rPr>
          <w:sz w:val="24"/>
          <w:szCs w:val="24"/>
        </w:rPr>
      </w:pPr>
      <w:r w:rsidRPr="00386BA3">
        <w:rPr>
          <w:sz w:val="24"/>
          <w:szCs w:val="24"/>
        </w:rPr>
        <w:tab/>
        <w:t>Opbevares i den originale yderpakning for at beskytte mod fugt.</w:t>
      </w:r>
    </w:p>
    <w:p w14:paraId="485E28F9" w14:textId="77777777" w:rsidR="004D4CB4" w:rsidRPr="00386BA3" w:rsidRDefault="004D4CB4" w:rsidP="004D4CB4">
      <w:pPr>
        <w:ind w:left="851" w:hanging="851"/>
        <w:rPr>
          <w:sz w:val="24"/>
          <w:szCs w:val="24"/>
        </w:rPr>
      </w:pPr>
    </w:p>
    <w:p w14:paraId="5F56A15C" w14:textId="77777777" w:rsidR="004D4CB4" w:rsidRPr="00386BA3" w:rsidRDefault="004D4CB4" w:rsidP="004D4CB4">
      <w:pPr>
        <w:ind w:left="851" w:hanging="851"/>
        <w:rPr>
          <w:sz w:val="24"/>
          <w:szCs w:val="24"/>
        </w:rPr>
      </w:pPr>
      <w:r w:rsidRPr="00386BA3">
        <w:rPr>
          <w:sz w:val="24"/>
          <w:szCs w:val="24"/>
        </w:rPr>
        <w:tab/>
        <w:t>HDPE-beholder:</w:t>
      </w:r>
    </w:p>
    <w:p w14:paraId="19793C83" w14:textId="77777777" w:rsidR="004D4CB4" w:rsidRPr="00386BA3" w:rsidRDefault="004D4CB4" w:rsidP="004D4CB4">
      <w:pPr>
        <w:ind w:left="851" w:hanging="851"/>
        <w:rPr>
          <w:sz w:val="24"/>
          <w:szCs w:val="24"/>
        </w:rPr>
      </w:pPr>
      <w:r w:rsidRPr="00386BA3">
        <w:rPr>
          <w:sz w:val="24"/>
          <w:szCs w:val="24"/>
        </w:rPr>
        <w:tab/>
        <w:t xml:space="preserve">Må ikke opbevares ved temperaturer over 30° C. </w:t>
      </w:r>
    </w:p>
    <w:p w14:paraId="5B132B41" w14:textId="77777777" w:rsidR="004D4CB4" w:rsidRPr="00CD6003" w:rsidRDefault="004D4CB4" w:rsidP="004D4CB4">
      <w:pPr>
        <w:ind w:left="851" w:hanging="851"/>
        <w:rPr>
          <w:sz w:val="24"/>
          <w:szCs w:val="24"/>
        </w:rPr>
      </w:pPr>
      <w:r w:rsidRPr="00386BA3">
        <w:rPr>
          <w:sz w:val="24"/>
          <w:szCs w:val="24"/>
        </w:rPr>
        <w:tab/>
        <w:t>Hold beholderen tæt tillukket for at beskytte mod fugt.</w:t>
      </w:r>
    </w:p>
    <w:p w14:paraId="096F4943" w14:textId="77777777" w:rsidR="004D4CB4" w:rsidRPr="00386BA3" w:rsidRDefault="004D4CB4" w:rsidP="004D4CB4">
      <w:pPr>
        <w:ind w:left="851" w:hanging="851"/>
        <w:rPr>
          <w:sz w:val="24"/>
          <w:szCs w:val="24"/>
        </w:rPr>
      </w:pPr>
    </w:p>
    <w:p w14:paraId="0D5A515B" w14:textId="77777777" w:rsidR="004D4CB4" w:rsidRPr="00386BA3" w:rsidRDefault="004D4CB4" w:rsidP="004D4CB4">
      <w:pPr>
        <w:ind w:left="851" w:hanging="851"/>
        <w:rPr>
          <w:b/>
          <w:sz w:val="24"/>
          <w:szCs w:val="24"/>
        </w:rPr>
      </w:pPr>
      <w:r w:rsidRPr="00386BA3">
        <w:rPr>
          <w:b/>
          <w:sz w:val="24"/>
          <w:szCs w:val="24"/>
        </w:rPr>
        <w:t>6.5</w:t>
      </w:r>
      <w:r w:rsidRPr="00386BA3">
        <w:rPr>
          <w:b/>
          <w:sz w:val="24"/>
          <w:szCs w:val="24"/>
        </w:rPr>
        <w:tab/>
        <w:t>Emballagetype og pakningsstørrelser</w:t>
      </w:r>
    </w:p>
    <w:p w14:paraId="5CEFC482" w14:textId="77777777" w:rsidR="004D4CB4" w:rsidRPr="00386BA3" w:rsidRDefault="004D4CB4" w:rsidP="004D4CB4">
      <w:pPr>
        <w:ind w:left="851" w:hanging="851"/>
        <w:rPr>
          <w:sz w:val="24"/>
          <w:szCs w:val="24"/>
        </w:rPr>
      </w:pPr>
      <w:r w:rsidRPr="00386BA3">
        <w:rPr>
          <w:sz w:val="24"/>
          <w:szCs w:val="24"/>
        </w:rPr>
        <w:tab/>
        <w:t xml:space="preserve">15 mg: </w:t>
      </w:r>
    </w:p>
    <w:p w14:paraId="75528EC2" w14:textId="77777777" w:rsidR="004D4CB4" w:rsidRPr="00386BA3" w:rsidRDefault="004D4CB4" w:rsidP="004D4CB4">
      <w:pPr>
        <w:ind w:left="851"/>
        <w:rPr>
          <w:sz w:val="24"/>
          <w:szCs w:val="24"/>
        </w:rPr>
      </w:pPr>
      <w:r w:rsidRPr="00386BA3">
        <w:rPr>
          <w:sz w:val="24"/>
          <w:szCs w:val="24"/>
        </w:rPr>
        <w:t>Al/Al blisterpakning:</w:t>
      </w:r>
    </w:p>
    <w:p w14:paraId="7B3B9904" w14:textId="77777777" w:rsidR="004D4CB4" w:rsidRPr="00386BA3" w:rsidRDefault="004D4CB4" w:rsidP="004D4CB4">
      <w:pPr>
        <w:ind w:left="851"/>
        <w:rPr>
          <w:sz w:val="24"/>
          <w:szCs w:val="24"/>
        </w:rPr>
      </w:pPr>
      <w:r w:rsidRPr="00386BA3">
        <w:rPr>
          <w:sz w:val="24"/>
          <w:szCs w:val="24"/>
        </w:rPr>
        <w:t>98 kapsler</w:t>
      </w:r>
    </w:p>
    <w:p w14:paraId="386A2810" w14:textId="77777777" w:rsidR="004D4CB4" w:rsidRPr="00386BA3" w:rsidRDefault="004D4CB4" w:rsidP="004D4CB4">
      <w:pPr>
        <w:ind w:left="851" w:hanging="851"/>
        <w:rPr>
          <w:sz w:val="24"/>
          <w:szCs w:val="24"/>
        </w:rPr>
      </w:pPr>
    </w:p>
    <w:p w14:paraId="5B8FC028" w14:textId="77777777" w:rsidR="004D4CB4" w:rsidRPr="00386BA3" w:rsidRDefault="004D4CB4" w:rsidP="004D4CB4">
      <w:pPr>
        <w:ind w:left="851" w:hanging="851"/>
        <w:rPr>
          <w:sz w:val="24"/>
          <w:szCs w:val="24"/>
        </w:rPr>
      </w:pPr>
      <w:r w:rsidRPr="00386BA3">
        <w:rPr>
          <w:sz w:val="24"/>
          <w:szCs w:val="24"/>
        </w:rPr>
        <w:tab/>
        <w:t xml:space="preserve">HDPE-beholder med propylenlåg med </w:t>
      </w:r>
      <w:proofErr w:type="spellStart"/>
      <w:r w:rsidRPr="00386BA3">
        <w:rPr>
          <w:sz w:val="24"/>
          <w:szCs w:val="24"/>
        </w:rPr>
        <w:t>silicagel</w:t>
      </w:r>
      <w:proofErr w:type="spellEnd"/>
      <w:r w:rsidRPr="00386BA3">
        <w:rPr>
          <w:sz w:val="24"/>
          <w:szCs w:val="24"/>
        </w:rPr>
        <w:t xml:space="preserve"> som tørremiddel:</w:t>
      </w:r>
    </w:p>
    <w:p w14:paraId="34CBB046" w14:textId="77777777" w:rsidR="004D4CB4" w:rsidRPr="00386BA3" w:rsidRDefault="004D4CB4" w:rsidP="004D4CB4">
      <w:pPr>
        <w:ind w:left="851"/>
        <w:rPr>
          <w:sz w:val="24"/>
          <w:szCs w:val="24"/>
        </w:rPr>
      </w:pPr>
      <w:r w:rsidRPr="00386BA3">
        <w:rPr>
          <w:sz w:val="24"/>
          <w:szCs w:val="24"/>
        </w:rPr>
        <w:t>98 kapsler</w:t>
      </w:r>
    </w:p>
    <w:p w14:paraId="05363CEF" w14:textId="77777777" w:rsidR="004D4CB4" w:rsidRDefault="004D4CB4" w:rsidP="004D4CB4">
      <w:pPr>
        <w:ind w:left="851" w:hanging="851"/>
        <w:rPr>
          <w:sz w:val="24"/>
          <w:szCs w:val="24"/>
        </w:rPr>
      </w:pPr>
    </w:p>
    <w:p w14:paraId="13965E24" w14:textId="77777777" w:rsidR="004D4CB4" w:rsidRPr="00386BA3" w:rsidRDefault="004D4CB4" w:rsidP="004D4CB4">
      <w:pPr>
        <w:ind w:left="851"/>
        <w:rPr>
          <w:sz w:val="24"/>
          <w:szCs w:val="24"/>
        </w:rPr>
      </w:pPr>
      <w:r w:rsidRPr="00386BA3">
        <w:rPr>
          <w:sz w:val="24"/>
          <w:szCs w:val="24"/>
        </w:rPr>
        <w:t>30 mg:</w:t>
      </w:r>
    </w:p>
    <w:p w14:paraId="0AA64BF8" w14:textId="77777777" w:rsidR="004D4CB4" w:rsidRPr="00386BA3" w:rsidRDefault="004D4CB4" w:rsidP="004D4CB4">
      <w:pPr>
        <w:ind w:left="851"/>
        <w:rPr>
          <w:sz w:val="24"/>
          <w:szCs w:val="24"/>
        </w:rPr>
      </w:pPr>
      <w:r w:rsidRPr="00386BA3">
        <w:rPr>
          <w:sz w:val="24"/>
          <w:szCs w:val="24"/>
        </w:rPr>
        <w:t>Al/Al blisterpakning:</w:t>
      </w:r>
    </w:p>
    <w:p w14:paraId="28BD281C" w14:textId="77777777" w:rsidR="004D4CB4" w:rsidRPr="00386BA3" w:rsidRDefault="004D4CB4" w:rsidP="004D4CB4">
      <w:pPr>
        <w:ind w:left="851"/>
        <w:rPr>
          <w:sz w:val="24"/>
          <w:szCs w:val="24"/>
        </w:rPr>
      </w:pPr>
      <w:r w:rsidRPr="00386BA3">
        <w:rPr>
          <w:sz w:val="24"/>
          <w:szCs w:val="24"/>
        </w:rPr>
        <w:t>7, 14, 28, 56 og 98 kapsler</w:t>
      </w:r>
    </w:p>
    <w:p w14:paraId="7BB88ACB" w14:textId="77777777" w:rsidR="004D4CB4" w:rsidRPr="00386BA3" w:rsidRDefault="004D4CB4" w:rsidP="004D4CB4">
      <w:pPr>
        <w:ind w:left="851" w:hanging="851"/>
        <w:rPr>
          <w:sz w:val="24"/>
          <w:szCs w:val="24"/>
        </w:rPr>
      </w:pPr>
    </w:p>
    <w:p w14:paraId="71B178AB" w14:textId="77777777" w:rsidR="004D4CB4" w:rsidRPr="00386BA3" w:rsidRDefault="004D4CB4" w:rsidP="004D4CB4">
      <w:pPr>
        <w:ind w:left="851" w:hanging="851"/>
        <w:rPr>
          <w:sz w:val="24"/>
          <w:szCs w:val="24"/>
        </w:rPr>
      </w:pPr>
      <w:r w:rsidRPr="00386BA3">
        <w:rPr>
          <w:sz w:val="24"/>
          <w:szCs w:val="24"/>
        </w:rPr>
        <w:tab/>
        <w:t xml:space="preserve">HDPE-beholder med propylenlåg med </w:t>
      </w:r>
      <w:proofErr w:type="spellStart"/>
      <w:r w:rsidRPr="00386BA3">
        <w:rPr>
          <w:sz w:val="24"/>
          <w:szCs w:val="24"/>
        </w:rPr>
        <w:t>silicagel</w:t>
      </w:r>
      <w:proofErr w:type="spellEnd"/>
      <w:r w:rsidRPr="00386BA3">
        <w:rPr>
          <w:sz w:val="24"/>
          <w:szCs w:val="24"/>
        </w:rPr>
        <w:t xml:space="preserve"> som tørremiddel:</w:t>
      </w:r>
    </w:p>
    <w:p w14:paraId="406F19C1" w14:textId="77777777" w:rsidR="004D4CB4" w:rsidRPr="00386BA3" w:rsidRDefault="004D4CB4" w:rsidP="004D4CB4">
      <w:pPr>
        <w:ind w:left="851"/>
        <w:rPr>
          <w:sz w:val="24"/>
          <w:szCs w:val="24"/>
        </w:rPr>
      </w:pPr>
      <w:r w:rsidRPr="00386BA3">
        <w:rPr>
          <w:sz w:val="24"/>
          <w:szCs w:val="24"/>
        </w:rPr>
        <w:t>7, 14, 28, 56 og 98 kapsler</w:t>
      </w:r>
    </w:p>
    <w:p w14:paraId="013BCEAB" w14:textId="77777777" w:rsidR="004D4CB4" w:rsidRPr="00386BA3" w:rsidRDefault="004D4CB4" w:rsidP="004D4CB4">
      <w:pPr>
        <w:ind w:left="851" w:hanging="851"/>
        <w:rPr>
          <w:sz w:val="24"/>
          <w:szCs w:val="24"/>
        </w:rPr>
      </w:pPr>
    </w:p>
    <w:p w14:paraId="6E742985" w14:textId="77777777" w:rsidR="004D4CB4" w:rsidRPr="00CD6003" w:rsidRDefault="004D4CB4" w:rsidP="004D4CB4">
      <w:pPr>
        <w:ind w:left="851" w:hanging="851"/>
        <w:rPr>
          <w:sz w:val="24"/>
          <w:szCs w:val="24"/>
        </w:rPr>
      </w:pPr>
      <w:r w:rsidRPr="00386BA3">
        <w:rPr>
          <w:sz w:val="24"/>
          <w:szCs w:val="24"/>
        </w:rPr>
        <w:tab/>
        <w:t>Ikke alle pakningsstørrelser er nødvendigvis markedsført.</w:t>
      </w:r>
    </w:p>
    <w:p w14:paraId="7969C462" w14:textId="77777777" w:rsidR="004D4CB4" w:rsidRPr="00386BA3" w:rsidRDefault="004D4CB4" w:rsidP="004D4CB4">
      <w:pPr>
        <w:ind w:left="851" w:hanging="851"/>
        <w:rPr>
          <w:sz w:val="24"/>
          <w:szCs w:val="24"/>
        </w:rPr>
      </w:pPr>
    </w:p>
    <w:p w14:paraId="699FCCB9" w14:textId="77777777" w:rsidR="004D4CB4" w:rsidRPr="00386BA3" w:rsidRDefault="004D4CB4" w:rsidP="004D4CB4">
      <w:pPr>
        <w:ind w:left="851" w:hanging="851"/>
        <w:rPr>
          <w:b/>
          <w:sz w:val="24"/>
          <w:szCs w:val="24"/>
        </w:rPr>
      </w:pPr>
      <w:r w:rsidRPr="00386BA3">
        <w:rPr>
          <w:b/>
          <w:sz w:val="24"/>
          <w:szCs w:val="24"/>
        </w:rPr>
        <w:t>6.6</w:t>
      </w:r>
      <w:r w:rsidRPr="00386BA3">
        <w:rPr>
          <w:b/>
          <w:sz w:val="24"/>
          <w:szCs w:val="24"/>
        </w:rPr>
        <w:tab/>
        <w:t xml:space="preserve">Regler for </w:t>
      </w:r>
      <w:r w:rsidR="000858AD">
        <w:rPr>
          <w:b/>
          <w:sz w:val="24"/>
          <w:szCs w:val="24"/>
        </w:rPr>
        <w:t>bortskaffelse</w:t>
      </w:r>
      <w:r w:rsidRPr="00386BA3">
        <w:rPr>
          <w:b/>
          <w:sz w:val="24"/>
          <w:szCs w:val="24"/>
        </w:rPr>
        <w:t xml:space="preserve"> og anden håndtering</w:t>
      </w:r>
    </w:p>
    <w:p w14:paraId="3C144F63" w14:textId="77777777" w:rsidR="006B1D32" w:rsidRDefault="004D4CB4" w:rsidP="006B1D32">
      <w:pPr>
        <w:ind w:left="851" w:hanging="851"/>
        <w:rPr>
          <w:sz w:val="24"/>
          <w:szCs w:val="24"/>
        </w:rPr>
      </w:pPr>
      <w:r w:rsidRPr="00386BA3">
        <w:rPr>
          <w:sz w:val="24"/>
          <w:szCs w:val="24"/>
        </w:rPr>
        <w:tab/>
      </w:r>
      <w:r w:rsidR="006B1D32">
        <w:rPr>
          <w:sz w:val="24"/>
          <w:szCs w:val="24"/>
        </w:rPr>
        <w:t>Ikke anvendt lægemiddel samt affald heraf skal bortskaffes i henhold til lokale retningslinjer.</w:t>
      </w:r>
    </w:p>
    <w:p w14:paraId="1F8AF92A" w14:textId="72365E4E" w:rsidR="004D4CB4" w:rsidRDefault="004D4CB4" w:rsidP="006B1D32">
      <w:pPr>
        <w:ind w:left="851" w:hanging="851"/>
        <w:rPr>
          <w:sz w:val="24"/>
          <w:szCs w:val="24"/>
        </w:rPr>
      </w:pPr>
    </w:p>
    <w:p w14:paraId="2ACCD245" w14:textId="77777777" w:rsidR="006B1D32" w:rsidRPr="00386BA3" w:rsidRDefault="006B1D32" w:rsidP="006B1D32">
      <w:pPr>
        <w:ind w:left="851" w:hanging="851"/>
        <w:rPr>
          <w:sz w:val="24"/>
          <w:szCs w:val="24"/>
        </w:rPr>
      </w:pPr>
    </w:p>
    <w:p w14:paraId="31858A10" w14:textId="77777777" w:rsidR="004D4CB4" w:rsidRPr="00386BA3" w:rsidRDefault="004D4CB4" w:rsidP="004D4CB4">
      <w:pPr>
        <w:ind w:left="851" w:hanging="851"/>
        <w:rPr>
          <w:b/>
          <w:sz w:val="24"/>
          <w:szCs w:val="24"/>
        </w:rPr>
      </w:pPr>
      <w:r w:rsidRPr="00386BA3">
        <w:rPr>
          <w:b/>
          <w:sz w:val="24"/>
          <w:szCs w:val="24"/>
        </w:rPr>
        <w:t>7.</w:t>
      </w:r>
      <w:r w:rsidRPr="00386BA3">
        <w:rPr>
          <w:b/>
          <w:sz w:val="24"/>
          <w:szCs w:val="24"/>
        </w:rPr>
        <w:tab/>
        <w:t>INDEHAVER AF MARKEDSFØRINGSTILLADELSEN</w:t>
      </w:r>
    </w:p>
    <w:p w14:paraId="6B0E5E6D" w14:textId="77777777" w:rsidR="004D4CB4" w:rsidRPr="00B62BC4" w:rsidRDefault="004D4CB4" w:rsidP="004D4CB4">
      <w:pPr>
        <w:ind w:left="851" w:hanging="851"/>
        <w:rPr>
          <w:sz w:val="24"/>
          <w:szCs w:val="24"/>
        </w:rPr>
      </w:pPr>
      <w:r w:rsidRPr="00386BA3">
        <w:rPr>
          <w:sz w:val="24"/>
          <w:szCs w:val="24"/>
        </w:rPr>
        <w:tab/>
      </w:r>
      <w:r w:rsidRPr="00B62BC4">
        <w:rPr>
          <w:sz w:val="24"/>
          <w:szCs w:val="24"/>
        </w:rPr>
        <w:t>Orion Corporation</w:t>
      </w:r>
    </w:p>
    <w:p w14:paraId="21497AE7" w14:textId="77777777" w:rsidR="004D4CB4" w:rsidRPr="00B62BC4" w:rsidRDefault="004D4CB4" w:rsidP="004D4CB4">
      <w:pPr>
        <w:ind w:left="851" w:hanging="851"/>
        <w:rPr>
          <w:sz w:val="24"/>
          <w:szCs w:val="24"/>
        </w:rPr>
      </w:pPr>
      <w:r w:rsidRPr="00B62BC4">
        <w:rPr>
          <w:sz w:val="24"/>
          <w:szCs w:val="24"/>
        </w:rPr>
        <w:tab/>
      </w:r>
      <w:proofErr w:type="spellStart"/>
      <w:r w:rsidRPr="00B62BC4">
        <w:rPr>
          <w:sz w:val="24"/>
          <w:szCs w:val="24"/>
        </w:rPr>
        <w:t>Orionintie</w:t>
      </w:r>
      <w:proofErr w:type="spellEnd"/>
      <w:r w:rsidRPr="00B62BC4">
        <w:rPr>
          <w:sz w:val="24"/>
          <w:szCs w:val="24"/>
        </w:rPr>
        <w:t xml:space="preserve"> 1</w:t>
      </w:r>
    </w:p>
    <w:p w14:paraId="1AFCBAC6" w14:textId="77777777" w:rsidR="004D4CB4" w:rsidRPr="00386BA3" w:rsidRDefault="004D4CB4" w:rsidP="004D4CB4">
      <w:pPr>
        <w:ind w:left="851" w:hanging="851"/>
        <w:rPr>
          <w:sz w:val="24"/>
          <w:szCs w:val="24"/>
          <w:lang w:val="en-GB"/>
        </w:rPr>
      </w:pPr>
      <w:r w:rsidRPr="00B62BC4">
        <w:rPr>
          <w:sz w:val="24"/>
          <w:szCs w:val="24"/>
        </w:rPr>
        <w:tab/>
      </w:r>
      <w:r w:rsidRPr="00386BA3">
        <w:rPr>
          <w:sz w:val="24"/>
          <w:szCs w:val="24"/>
          <w:lang w:val="en-GB"/>
        </w:rPr>
        <w:t>FI-02200 Espoo</w:t>
      </w:r>
    </w:p>
    <w:p w14:paraId="6C960303" w14:textId="77777777" w:rsidR="004D4CB4" w:rsidRPr="00CD6003" w:rsidRDefault="004D4CB4" w:rsidP="004D4CB4">
      <w:pPr>
        <w:ind w:left="851" w:hanging="851"/>
        <w:rPr>
          <w:sz w:val="24"/>
          <w:szCs w:val="24"/>
          <w:lang w:val="en-US"/>
        </w:rPr>
      </w:pPr>
      <w:r w:rsidRPr="00386BA3">
        <w:rPr>
          <w:sz w:val="24"/>
          <w:szCs w:val="24"/>
          <w:lang w:val="en-GB"/>
        </w:rPr>
        <w:tab/>
      </w:r>
      <w:r w:rsidRPr="00CD6003">
        <w:rPr>
          <w:sz w:val="24"/>
          <w:szCs w:val="24"/>
          <w:lang w:val="en-US"/>
        </w:rPr>
        <w:t>Finland</w:t>
      </w:r>
    </w:p>
    <w:p w14:paraId="51FE7610" w14:textId="77777777" w:rsidR="005416F8" w:rsidRPr="00386BA3" w:rsidRDefault="005416F8" w:rsidP="000858AD">
      <w:pPr>
        <w:autoSpaceDE w:val="0"/>
        <w:autoSpaceDN w:val="0"/>
        <w:adjustRightInd w:val="0"/>
        <w:rPr>
          <w:rFonts w:eastAsia="SimSun"/>
          <w:sz w:val="24"/>
          <w:szCs w:val="24"/>
          <w:lang w:val="en-US" w:eastAsia="zh-CN"/>
        </w:rPr>
      </w:pPr>
    </w:p>
    <w:p w14:paraId="2A0413EA" w14:textId="77777777" w:rsidR="004D4CB4" w:rsidRPr="00B62BC4" w:rsidRDefault="004D4CB4" w:rsidP="004D4CB4">
      <w:pPr>
        <w:autoSpaceDE w:val="0"/>
        <w:autoSpaceDN w:val="0"/>
        <w:adjustRightInd w:val="0"/>
        <w:ind w:left="851"/>
        <w:rPr>
          <w:rFonts w:eastAsia="SimSun"/>
          <w:b/>
          <w:sz w:val="24"/>
          <w:szCs w:val="24"/>
          <w:lang w:val="en-US" w:eastAsia="zh-CN"/>
        </w:rPr>
      </w:pPr>
      <w:proofErr w:type="spellStart"/>
      <w:r w:rsidRPr="00B62BC4">
        <w:rPr>
          <w:rFonts w:eastAsia="SimSun"/>
          <w:b/>
          <w:sz w:val="24"/>
          <w:szCs w:val="24"/>
          <w:lang w:val="en-US" w:eastAsia="zh-CN"/>
        </w:rPr>
        <w:t>Repræsentant</w:t>
      </w:r>
      <w:proofErr w:type="spellEnd"/>
    </w:p>
    <w:p w14:paraId="797CB226" w14:textId="77777777" w:rsidR="004D4CB4" w:rsidRPr="00B62BC4" w:rsidRDefault="004D4CB4" w:rsidP="004D4CB4">
      <w:pPr>
        <w:ind w:left="851"/>
        <w:rPr>
          <w:rFonts w:eastAsia="MS Mincho"/>
          <w:iCs/>
          <w:sz w:val="24"/>
          <w:szCs w:val="24"/>
          <w:lang w:val="en-US"/>
        </w:rPr>
      </w:pPr>
      <w:r w:rsidRPr="00B62BC4">
        <w:rPr>
          <w:rFonts w:eastAsia="MS Mincho"/>
          <w:iCs/>
          <w:sz w:val="24"/>
          <w:szCs w:val="24"/>
          <w:lang w:val="en-US"/>
        </w:rPr>
        <w:lastRenderedPageBreak/>
        <w:t>Orion Pharma A/S</w:t>
      </w:r>
    </w:p>
    <w:p w14:paraId="3FCB5A36" w14:textId="77777777" w:rsidR="004D4CB4" w:rsidRPr="00BB4BE6" w:rsidRDefault="004D4CB4" w:rsidP="004D4CB4">
      <w:pPr>
        <w:ind w:left="851"/>
        <w:rPr>
          <w:rFonts w:eastAsia="MS Mincho"/>
          <w:iCs/>
          <w:sz w:val="24"/>
          <w:szCs w:val="24"/>
        </w:rPr>
      </w:pPr>
      <w:r w:rsidRPr="00BB4BE6">
        <w:rPr>
          <w:rFonts w:eastAsia="MS Mincho"/>
          <w:iCs/>
          <w:sz w:val="24"/>
          <w:szCs w:val="24"/>
        </w:rPr>
        <w:t>Ørestads Boulevard 73</w:t>
      </w:r>
    </w:p>
    <w:p w14:paraId="77508D93" w14:textId="77777777" w:rsidR="004D4CB4" w:rsidRPr="00FA3F98" w:rsidRDefault="004D4CB4" w:rsidP="004D4CB4">
      <w:pPr>
        <w:ind w:left="851"/>
        <w:rPr>
          <w:rFonts w:eastAsia="MS Mincho"/>
          <w:iCs/>
          <w:sz w:val="24"/>
          <w:szCs w:val="24"/>
        </w:rPr>
      </w:pPr>
      <w:r>
        <w:rPr>
          <w:rFonts w:eastAsia="MS Mincho"/>
          <w:iCs/>
          <w:sz w:val="24"/>
          <w:szCs w:val="24"/>
        </w:rPr>
        <w:t>2300 København S</w:t>
      </w:r>
    </w:p>
    <w:p w14:paraId="685436F0" w14:textId="0EAB6554" w:rsidR="004D4CB4" w:rsidRDefault="004D4CB4" w:rsidP="004D4CB4">
      <w:pPr>
        <w:ind w:left="851" w:hanging="851"/>
        <w:rPr>
          <w:sz w:val="24"/>
          <w:szCs w:val="24"/>
        </w:rPr>
      </w:pPr>
    </w:p>
    <w:p w14:paraId="605B0D33" w14:textId="77777777" w:rsidR="006B1D32" w:rsidRPr="00386BA3" w:rsidRDefault="006B1D32" w:rsidP="004D4CB4">
      <w:pPr>
        <w:ind w:left="851" w:hanging="851"/>
        <w:rPr>
          <w:sz w:val="24"/>
          <w:szCs w:val="24"/>
        </w:rPr>
      </w:pPr>
    </w:p>
    <w:p w14:paraId="01CC7CD1" w14:textId="77777777" w:rsidR="004D4CB4" w:rsidRPr="00386BA3" w:rsidRDefault="004D4CB4" w:rsidP="004D4CB4">
      <w:pPr>
        <w:ind w:left="851" w:hanging="851"/>
        <w:rPr>
          <w:b/>
          <w:sz w:val="24"/>
          <w:szCs w:val="24"/>
        </w:rPr>
      </w:pPr>
      <w:r w:rsidRPr="00386BA3">
        <w:rPr>
          <w:b/>
          <w:sz w:val="24"/>
          <w:szCs w:val="24"/>
        </w:rPr>
        <w:t>8.</w:t>
      </w:r>
      <w:r w:rsidRPr="00386BA3">
        <w:rPr>
          <w:b/>
          <w:sz w:val="24"/>
          <w:szCs w:val="24"/>
        </w:rPr>
        <w:tab/>
        <w:t>MARKEDSFØRINGSTILLADELSESNUMMER (</w:t>
      </w:r>
      <w:r w:rsidR="000858AD">
        <w:rPr>
          <w:b/>
          <w:sz w:val="24"/>
          <w:szCs w:val="24"/>
        </w:rPr>
        <w:t>-</w:t>
      </w:r>
      <w:r w:rsidRPr="00386BA3">
        <w:rPr>
          <w:b/>
          <w:sz w:val="24"/>
          <w:szCs w:val="24"/>
        </w:rPr>
        <w:t>NUMRE)</w:t>
      </w:r>
    </w:p>
    <w:p w14:paraId="1CDD196C" w14:textId="77777777" w:rsidR="004D4CB4" w:rsidRPr="00386BA3" w:rsidRDefault="004D4CB4" w:rsidP="004D4CB4">
      <w:pPr>
        <w:ind w:left="851" w:hanging="851"/>
        <w:rPr>
          <w:sz w:val="24"/>
          <w:szCs w:val="24"/>
        </w:rPr>
      </w:pPr>
      <w:r w:rsidRPr="00386BA3">
        <w:rPr>
          <w:sz w:val="24"/>
          <w:szCs w:val="24"/>
        </w:rPr>
        <w:tab/>
        <w:t>15 mg: 49823</w:t>
      </w:r>
    </w:p>
    <w:p w14:paraId="69250041" w14:textId="77777777" w:rsidR="004D4CB4" w:rsidRPr="003809D9" w:rsidRDefault="004D4CB4" w:rsidP="004D4CB4">
      <w:pPr>
        <w:ind w:left="851"/>
        <w:rPr>
          <w:sz w:val="24"/>
          <w:szCs w:val="24"/>
        </w:rPr>
      </w:pPr>
      <w:r w:rsidRPr="00386BA3">
        <w:rPr>
          <w:sz w:val="24"/>
          <w:szCs w:val="24"/>
        </w:rPr>
        <w:t>30 mg</w:t>
      </w:r>
      <w:r w:rsidRPr="003809D9">
        <w:rPr>
          <w:sz w:val="24"/>
          <w:szCs w:val="24"/>
        </w:rPr>
        <w:t>: 49824</w:t>
      </w:r>
    </w:p>
    <w:p w14:paraId="4B879B0C" w14:textId="20163485" w:rsidR="004D4CB4" w:rsidRDefault="004D4CB4" w:rsidP="004D4CB4">
      <w:pPr>
        <w:ind w:left="851" w:hanging="851"/>
        <w:jc w:val="both"/>
        <w:rPr>
          <w:sz w:val="24"/>
          <w:szCs w:val="24"/>
        </w:rPr>
      </w:pPr>
    </w:p>
    <w:p w14:paraId="0EE9A7BD" w14:textId="77777777" w:rsidR="006B1D32" w:rsidRPr="003809D9" w:rsidRDefault="006B1D32" w:rsidP="004D4CB4">
      <w:pPr>
        <w:ind w:left="851" w:hanging="851"/>
        <w:jc w:val="both"/>
        <w:rPr>
          <w:sz w:val="24"/>
          <w:szCs w:val="24"/>
        </w:rPr>
      </w:pPr>
    </w:p>
    <w:p w14:paraId="2C54089B" w14:textId="77777777" w:rsidR="004D4CB4" w:rsidRPr="003809D9" w:rsidRDefault="004D4CB4" w:rsidP="004D4CB4">
      <w:pPr>
        <w:ind w:left="851" w:hanging="851"/>
        <w:rPr>
          <w:b/>
          <w:sz w:val="24"/>
          <w:szCs w:val="24"/>
        </w:rPr>
      </w:pPr>
      <w:r w:rsidRPr="003809D9">
        <w:rPr>
          <w:b/>
          <w:sz w:val="24"/>
          <w:szCs w:val="24"/>
        </w:rPr>
        <w:t>9.</w:t>
      </w:r>
      <w:r w:rsidRPr="003809D9">
        <w:rPr>
          <w:b/>
          <w:sz w:val="24"/>
          <w:szCs w:val="24"/>
        </w:rPr>
        <w:tab/>
        <w:t>DATO FOR FØRSTE MARKEDSFØRINGSTILLADELSE</w:t>
      </w:r>
    </w:p>
    <w:p w14:paraId="2EDAF5B5" w14:textId="77777777" w:rsidR="004D4CB4" w:rsidRPr="003809D9" w:rsidRDefault="004D4CB4" w:rsidP="004D4CB4">
      <w:pPr>
        <w:ind w:left="851" w:hanging="851"/>
        <w:rPr>
          <w:sz w:val="24"/>
          <w:szCs w:val="24"/>
        </w:rPr>
      </w:pPr>
      <w:r w:rsidRPr="003809D9">
        <w:rPr>
          <w:sz w:val="24"/>
          <w:szCs w:val="24"/>
        </w:rPr>
        <w:tab/>
        <w:t>16. januar 2013</w:t>
      </w:r>
    </w:p>
    <w:p w14:paraId="2110DA9A" w14:textId="34D4B3D6" w:rsidR="004D4CB4" w:rsidRDefault="004D4CB4" w:rsidP="004D4CB4">
      <w:pPr>
        <w:ind w:left="851" w:hanging="851"/>
        <w:rPr>
          <w:sz w:val="24"/>
          <w:szCs w:val="24"/>
        </w:rPr>
      </w:pPr>
    </w:p>
    <w:p w14:paraId="5F03D8BB" w14:textId="77777777" w:rsidR="006B1D32" w:rsidRPr="003809D9" w:rsidRDefault="006B1D32" w:rsidP="004D4CB4">
      <w:pPr>
        <w:ind w:left="851" w:hanging="851"/>
        <w:rPr>
          <w:sz w:val="24"/>
          <w:szCs w:val="24"/>
        </w:rPr>
      </w:pPr>
    </w:p>
    <w:p w14:paraId="1E9F021D" w14:textId="77777777" w:rsidR="004D4CB4" w:rsidRPr="003809D9" w:rsidRDefault="004D4CB4" w:rsidP="004D4CB4">
      <w:pPr>
        <w:ind w:left="851" w:hanging="851"/>
        <w:rPr>
          <w:b/>
          <w:sz w:val="24"/>
          <w:szCs w:val="24"/>
        </w:rPr>
      </w:pPr>
      <w:r w:rsidRPr="003809D9">
        <w:rPr>
          <w:b/>
          <w:sz w:val="24"/>
          <w:szCs w:val="24"/>
        </w:rPr>
        <w:t>10.</w:t>
      </w:r>
      <w:r w:rsidRPr="003809D9">
        <w:rPr>
          <w:b/>
          <w:sz w:val="24"/>
          <w:szCs w:val="24"/>
        </w:rPr>
        <w:tab/>
        <w:t>DATO FOR ÆNDRING AF TEKSTEN</w:t>
      </w:r>
    </w:p>
    <w:p w14:paraId="5520E6E7" w14:textId="205286DB" w:rsidR="004D4CB4" w:rsidRPr="0081353E" w:rsidRDefault="004D4CB4" w:rsidP="004D4CB4">
      <w:pPr>
        <w:ind w:left="851" w:hanging="851"/>
        <w:rPr>
          <w:sz w:val="24"/>
          <w:szCs w:val="24"/>
        </w:rPr>
      </w:pPr>
      <w:r w:rsidRPr="0081353E">
        <w:rPr>
          <w:sz w:val="24"/>
          <w:szCs w:val="24"/>
        </w:rPr>
        <w:tab/>
      </w:r>
      <w:r w:rsidR="00B62BC4">
        <w:rPr>
          <w:sz w:val="24"/>
          <w:szCs w:val="24"/>
        </w:rPr>
        <w:t>1</w:t>
      </w:r>
      <w:r w:rsidR="000858AD">
        <w:rPr>
          <w:sz w:val="24"/>
          <w:szCs w:val="24"/>
        </w:rPr>
        <w:t xml:space="preserve">. </w:t>
      </w:r>
      <w:r w:rsidR="00B62BC4">
        <w:rPr>
          <w:sz w:val="24"/>
          <w:szCs w:val="24"/>
        </w:rPr>
        <w:t>maj</w:t>
      </w:r>
      <w:r w:rsidR="000858AD">
        <w:rPr>
          <w:sz w:val="24"/>
          <w:szCs w:val="24"/>
        </w:rPr>
        <w:t xml:space="preserve"> 202</w:t>
      </w:r>
      <w:r w:rsidR="005F66C3">
        <w:rPr>
          <w:sz w:val="24"/>
          <w:szCs w:val="24"/>
        </w:rPr>
        <w:t>4</w:t>
      </w:r>
    </w:p>
    <w:p w14:paraId="6A4719FC" w14:textId="77777777" w:rsidR="004D4CB4" w:rsidRPr="00B4032E" w:rsidRDefault="004D4CB4" w:rsidP="004D4CB4"/>
    <w:p w14:paraId="44BCD23B" w14:textId="77777777" w:rsidR="009260DE" w:rsidRPr="004D4CB4" w:rsidRDefault="009260DE" w:rsidP="004D4CB4"/>
    <w:sectPr w:rsidR="009260DE" w:rsidRPr="004D4CB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77870" w14:textId="77777777" w:rsidR="00760F74" w:rsidRDefault="00760F74">
      <w:r>
        <w:separator/>
      </w:r>
    </w:p>
  </w:endnote>
  <w:endnote w:type="continuationSeparator" w:id="0">
    <w:p w14:paraId="76F33470" w14:textId="77777777" w:rsidR="00760F74" w:rsidRDefault="0076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22C3D" w14:textId="77777777" w:rsidR="0040224B" w:rsidRDefault="0040224B">
    <w:pPr>
      <w:pStyle w:val="Sidefod"/>
      <w:pBdr>
        <w:bottom w:val="single" w:sz="6" w:space="1" w:color="auto"/>
      </w:pBdr>
    </w:pPr>
  </w:p>
  <w:p w14:paraId="3D27D044" w14:textId="77777777" w:rsidR="0040224B" w:rsidRDefault="0040224B" w:rsidP="00C42586">
    <w:pPr>
      <w:pStyle w:val="Sidefod"/>
      <w:tabs>
        <w:tab w:val="clear" w:pos="4819"/>
        <w:tab w:val="left" w:pos="8505"/>
      </w:tabs>
      <w:rPr>
        <w:i/>
        <w:sz w:val="18"/>
        <w:szCs w:val="18"/>
      </w:rPr>
    </w:pPr>
  </w:p>
  <w:p w14:paraId="3B6D8BB5" w14:textId="6694812E" w:rsidR="0040224B" w:rsidRPr="00B373D7" w:rsidRDefault="0040224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D6003">
      <w:rPr>
        <w:i/>
        <w:noProof/>
        <w:sz w:val="18"/>
        <w:szCs w:val="18"/>
      </w:rPr>
      <w:t>Zolt, hårde enterokapsler 15 mg, over 56 stk. og 30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C3FED" w14:textId="77777777" w:rsidR="00760F74" w:rsidRDefault="00760F74">
      <w:r>
        <w:separator/>
      </w:r>
    </w:p>
  </w:footnote>
  <w:footnote w:type="continuationSeparator" w:id="0">
    <w:p w14:paraId="3BD85A99" w14:textId="77777777" w:rsidR="00760F74" w:rsidRDefault="00760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1DA0"/>
    <w:multiLevelType w:val="hybridMultilevel"/>
    <w:tmpl w:val="660AE3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B4"/>
    <w:rsid w:val="000259B9"/>
    <w:rsid w:val="00041491"/>
    <w:rsid w:val="00050D16"/>
    <w:rsid w:val="00074F2A"/>
    <w:rsid w:val="000858AD"/>
    <w:rsid w:val="000A1CA8"/>
    <w:rsid w:val="000A466B"/>
    <w:rsid w:val="000B058C"/>
    <w:rsid w:val="000E4EE6"/>
    <w:rsid w:val="001454E2"/>
    <w:rsid w:val="00206CE8"/>
    <w:rsid w:val="0021526C"/>
    <w:rsid w:val="00283A2B"/>
    <w:rsid w:val="00290B53"/>
    <w:rsid w:val="002B30AD"/>
    <w:rsid w:val="002C2C01"/>
    <w:rsid w:val="002F36A7"/>
    <w:rsid w:val="003634EF"/>
    <w:rsid w:val="003A29AE"/>
    <w:rsid w:val="003A32D7"/>
    <w:rsid w:val="003B4074"/>
    <w:rsid w:val="003C769A"/>
    <w:rsid w:val="003E39AF"/>
    <w:rsid w:val="003F1838"/>
    <w:rsid w:val="003F2AE4"/>
    <w:rsid w:val="0040224B"/>
    <w:rsid w:val="0045746C"/>
    <w:rsid w:val="00483C37"/>
    <w:rsid w:val="00487351"/>
    <w:rsid w:val="0049104B"/>
    <w:rsid w:val="004D4CB4"/>
    <w:rsid w:val="004E3B12"/>
    <w:rsid w:val="00527EA8"/>
    <w:rsid w:val="00532310"/>
    <w:rsid w:val="005416F8"/>
    <w:rsid w:val="00560ECC"/>
    <w:rsid w:val="00565F0F"/>
    <w:rsid w:val="00594A86"/>
    <w:rsid w:val="00596D86"/>
    <w:rsid w:val="005F66C3"/>
    <w:rsid w:val="00637F5A"/>
    <w:rsid w:val="00654854"/>
    <w:rsid w:val="006560B1"/>
    <w:rsid w:val="006756DD"/>
    <w:rsid w:val="006B1D32"/>
    <w:rsid w:val="00711401"/>
    <w:rsid w:val="00737275"/>
    <w:rsid w:val="00740EEC"/>
    <w:rsid w:val="00760F74"/>
    <w:rsid w:val="0078011A"/>
    <w:rsid w:val="00782AF4"/>
    <w:rsid w:val="00790EE7"/>
    <w:rsid w:val="007B6649"/>
    <w:rsid w:val="0081353E"/>
    <w:rsid w:val="0081546F"/>
    <w:rsid w:val="0082576E"/>
    <w:rsid w:val="009024E7"/>
    <w:rsid w:val="00907F75"/>
    <w:rsid w:val="009260DE"/>
    <w:rsid w:val="0093258A"/>
    <w:rsid w:val="0098390C"/>
    <w:rsid w:val="009C7BA3"/>
    <w:rsid w:val="009D1F5A"/>
    <w:rsid w:val="00A671C6"/>
    <w:rsid w:val="00A7088D"/>
    <w:rsid w:val="00B003BF"/>
    <w:rsid w:val="00B373D7"/>
    <w:rsid w:val="00B62BC4"/>
    <w:rsid w:val="00BC7CAD"/>
    <w:rsid w:val="00C36276"/>
    <w:rsid w:val="00C42586"/>
    <w:rsid w:val="00C60CCD"/>
    <w:rsid w:val="00C84483"/>
    <w:rsid w:val="00C95551"/>
    <w:rsid w:val="00CB20D7"/>
    <w:rsid w:val="00CC7E5E"/>
    <w:rsid w:val="00CD6003"/>
    <w:rsid w:val="00D020B0"/>
    <w:rsid w:val="00D11748"/>
    <w:rsid w:val="00D366CF"/>
    <w:rsid w:val="00E108AA"/>
    <w:rsid w:val="00E31812"/>
    <w:rsid w:val="00E3749A"/>
    <w:rsid w:val="00E7437F"/>
    <w:rsid w:val="00E865B8"/>
    <w:rsid w:val="00EC0B9B"/>
    <w:rsid w:val="00ED5E9F"/>
    <w:rsid w:val="00F66D4F"/>
    <w:rsid w:val="00F91E5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9B3FD"/>
  <w15:chartTrackingRefBased/>
  <w15:docId w15:val="{9AFE089B-B78B-44FB-A73E-B6FB0282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8AD"/>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Corpsdetexte">
    <w:name w:val="Corps de texte"/>
    <w:basedOn w:val="Normal"/>
    <w:rsid w:val="004D4CB4"/>
    <w:pPr>
      <w:spacing w:before="240" w:line="240" w:lineRule="atLeast"/>
    </w:pPr>
    <w:rPr>
      <w:rFonts w:ascii="Arial" w:hAnsi="Arial" w:cs="Arial"/>
      <w:snapToGrid w:val="0"/>
      <w:sz w:val="22"/>
      <w:szCs w:val="22"/>
      <w:lang w:val="fr-FR" w:eastAsia="da-DK"/>
    </w:rPr>
  </w:style>
  <w:style w:type="paragraph" w:styleId="Brdtekst">
    <w:name w:val="Body Text"/>
    <w:basedOn w:val="Normal"/>
    <w:link w:val="BrdtekstTegn"/>
    <w:rsid w:val="004D4CB4"/>
    <w:pPr>
      <w:spacing w:after="120"/>
    </w:pPr>
    <w:rPr>
      <w:sz w:val="24"/>
    </w:rPr>
  </w:style>
  <w:style w:type="character" w:customStyle="1" w:styleId="BrdtekstTegn">
    <w:name w:val="Brødtekst Tegn"/>
    <w:basedOn w:val="Standardskrifttypeiafsnit"/>
    <w:link w:val="Brdtekst"/>
    <w:rsid w:val="004D4CB4"/>
    <w:rPr>
      <w:sz w:val="24"/>
      <w:lang w:eastAsia="en-US"/>
    </w:rPr>
  </w:style>
  <w:style w:type="paragraph" w:styleId="Listeafsnit">
    <w:name w:val="List Paragraph"/>
    <w:basedOn w:val="Normal"/>
    <w:uiPriority w:val="34"/>
    <w:qFormat/>
    <w:rsid w:val="004D4CB4"/>
    <w:pPr>
      <w:ind w:left="720"/>
      <w:contextualSpacing/>
    </w:pPr>
  </w:style>
  <w:style w:type="table" w:styleId="Tabel-Gitter">
    <w:name w:val="Table Grid"/>
    <w:basedOn w:val="Tabel-Normal"/>
    <w:uiPriority w:val="59"/>
    <w:rsid w:val="004D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4D4C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7387">
      <w:bodyDiv w:val="1"/>
      <w:marLeft w:val="0"/>
      <w:marRight w:val="0"/>
      <w:marTop w:val="0"/>
      <w:marBottom w:val="0"/>
      <w:divBdr>
        <w:top w:val="none" w:sz="0" w:space="0" w:color="auto"/>
        <w:left w:val="none" w:sz="0" w:space="0" w:color="auto"/>
        <w:bottom w:val="none" w:sz="0" w:space="0" w:color="auto"/>
        <w:right w:val="none" w:sz="0" w:space="0" w:color="auto"/>
      </w:divBdr>
    </w:div>
    <w:div w:id="13965825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9763117">
      <w:bodyDiv w:val="1"/>
      <w:marLeft w:val="0"/>
      <w:marRight w:val="0"/>
      <w:marTop w:val="0"/>
      <w:marBottom w:val="0"/>
      <w:divBdr>
        <w:top w:val="none" w:sz="0" w:space="0" w:color="auto"/>
        <w:left w:val="none" w:sz="0" w:space="0" w:color="auto"/>
        <w:bottom w:val="none" w:sz="0" w:space="0" w:color="auto"/>
        <w:right w:val="none" w:sz="0" w:space="0" w:color="auto"/>
      </w:divBdr>
    </w:div>
    <w:div w:id="195970416">
      <w:bodyDiv w:val="1"/>
      <w:marLeft w:val="0"/>
      <w:marRight w:val="0"/>
      <w:marTop w:val="0"/>
      <w:marBottom w:val="0"/>
      <w:divBdr>
        <w:top w:val="none" w:sz="0" w:space="0" w:color="auto"/>
        <w:left w:val="none" w:sz="0" w:space="0" w:color="auto"/>
        <w:bottom w:val="none" w:sz="0" w:space="0" w:color="auto"/>
        <w:right w:val="none" w:sz="0" w:space="0" w:color="auto"/>
      </w:divBdr>
    </w:div>
    <w:div w:id="230316748">
      <w:bodyDiv w:val="1"/>
      <w:marLeft w:val="0"/>
      <w:marRight w:val="0"/>
      <w:marTop w:val="0"/>
      <w:marBottom w:val="0"/>
      <w:divBdr>
        <w:top w:val="none" w:sz="0" w:space="0" w:color="auto"/>
        <w:left w:val="none" w:sz="0" w:space="0" w:color="auto"/>
        <w:bottom w:val="none" w:sz="0" w:space="0" w:color="auto"/>
        <w:right w:val="none" w:sz="0" w:space="0" w:color="auto"/>
      </w:divBdr>
    </w:div>
    <w:div w:id="246034489">
      <w:bodyDiv w:val="1"/>
      <w:marLeft w:val="0"/>
      <w:marRight w:val="0"/>
      <w:marTop w:val="0"/>
      <w:marBottom w:val="0"/>
      <w:divBdr>
        <w:top w:val="none" w:sz="0" w:space="0" w:color="auto"/>
        <w:left w:val="none" w:sz="0" w:space="0" w:color="auto"/>
        <w:bottom w:val="none" w:sz="0" w:space="0" w:color="auto"/>
        <w:right w:val="none" w:sz="0" w:space="0" w:color="auto"/>
      </w:divBdr>
    </w:div>
    <w:div w:id="310406792">
      <w:bodyDiv w:val="1"/>
      <w:marLeft w:val="0"/>
      <w:marRight w:val="0"/>
      <w:marTop w:val="0"/>
      <w:marBottom w:val="0"/>
      <w:divBdr>
        <w:top w:val="none" w:sz="0" w:space="0" w:color="auto"/>
        <w:left w:val="none" w:sz="0" w:space="0" w:color="auto"/>
        <w:bottom w:val="none" w:sz="0" w:space="0" w:color="auto"/>
        <w:right w:val="none" w:sz="0" w:space="0" w:color="auto"/>
      </w:divBdr>
    </w:div>
    <w:div w:id="323895051">
      <w:bodyDiv w:val="1"/>
      <w:marLeft w:val="0"/>
      <w:marRight w:val="0"/>
      <w:marTop w:val="0"/>
      <w:marBottom w:val="0"/>
      <w:divBdr>
        <w:top w:val="none" w:sz="0" w:space="0" w:color="auto"/>
        <w:left w:val="none" w:sz="0" w:space="0" w:color="auto"/>
        <w:bottom w:val="none" w:sz="0" w:space="0" w:color="auto"/>
        <w:right w:val="none" w:sz="0" w:space="0" w:color="auto"/>
      </w:divBdr>
    </w:div>
    <w:div w:id="403572366">
      <w:bodyDiv w:val="1"/>
      <w:marLeft w:val="0"/>
      <w:marRight w:val="0"/>
      <w:marTop w:val="0"/>
      <w:marBottom w:val="0"/>
      <w:divBdr>
        <w:top w:val="none" w:sz="0" w:space="0" w:color="auto"/>
        <w:left w:val="none" w:sz="0" w:space="0" w:color="auto"/>
        <w:bottom w:val="none" w:sz="0" w:space="0" w:color="auto"/>
        <w:right w:val="none" w:sz="0" w:space="0" w:color="auto"/>
      </w:divBdr>
    </w:div>
    <w:div w:id="411926270">
      <w:bodyDiv w:val="1"/>
      <w:marLeft w:val="0"/>
      <w:marRight w:val="0"/>
      <w:marTop w:val="0"/>
      <w:marBottom w:val="0"/>
      <w:divBdr>
        <w:top w:val="none" w:sz="0" w:space="0" w:color="auto"/>
        <w:left w:val="none" w:sz="0" w:space="0" w:color="auto"/>
        <w:bottom w:val="none" w:sz="0" w:space="0" w:color="auto"/>
        <w:right w:val="none" w:sz="0" w:space="0" w:color="auto"/>
      </w:divBdr>
    </w:div>
    <w:div w:id="422461613">
      <w:bodyDiv w:val="1"/>
      <w:marLeft w:val="0"/>
      <w:marRight w:val="0"/>
      <w:marTop w:val="0"/>
      <w:marBottom w:val="0"/>
      <w:divBdr>
        <w:top w:val="none" w:sz="0" w:space="0" w:color="auto"/>
        <w:left w:val="none" w:sz="0" w:space="0" w:color="auto"/>
        <w:bottom w:val="none" w:sz="0" w:space="0" w:color="auto"/>
        <w:right w:val="none" w:sz="0" w:space="0" w:color="auto"/>
      </w:divBdr>
    </w:div>
    <w:div w:id="520507551">
      <w:bodyDiv w:val="1"/>
      <w:marLeft w:val="0"/>
      <w:marRight w:val="0"/>
      <w:marTop w:val="0"/>
      <w:marBottom w:val="0"/>
      <w:divBdr>
        <w:top w:val="none" w:sz="0" w:space="0" w:color="auto"/>
        <w:left w:val="none" w:sz="0" w:space="0" w:color="auto"/>
        <w:bottom w:val="none" w:sz="0" w:space="0" w:color="auto"/>
        <w:right w:val="none" w:sz="0" w:space="0" w:color="auto"/>
      </w:divBdr>
    </w:div>
    <w:div w:id="547567074">
      <w:bodyDiv w:val="1"/>
      <w:marLeft w:val="0"/>
      <w:marRight w:val="0"/>
      <w:marTop w:val="0"/>
      <w:marBottom w:val="0"/>
      <w:divBdr>
        <w:top w:val="none" w:sz="0" w:space="0" w:color="auto"/>
        <w:left w:val="none" w:sz="0" w:space="0" w:color="auto"/>
        <w:bottom w:val="none" w:sz="0" w:space="0" w:color="auto"/>
        <w:right w:val="none" w:sz="0" w:space="0" w:color="auto"/>
      </w:divBdr>
    </w:div>
    <w:div w:id="594479608">
      <w:bodyDiv w:val="1"/>
      <w:marLeft w:val="0"/>
      <w:marRight w:val="0"/>
      <w:marTop w:val="0"/>
      <w:marBottom w:val="0"/>
      <w:divBdr>
        <w:top w:val="none" w:sz="0" w:space="0" w:color="auto"/>
        <w:left w:val="none" w:sz="0" w:space="0" w:color="auto"/>
        <w:bottom w:val="none" w:sz="0" w:space="0" w:color="auto"/>
        <w:right w:val="none" w:sz="0" w:space="0" w:color="auto"/>
      </w:divBdr>
    </w:div>
    <w:div w:id="669328206">
      <w:bodyDiv w:val="1"/>
      <w:marLeft w:val="0"/>
      <w:marRight w:val="0"/>
      <w:marTop w:val="0"/>
      <w:marBottom w:val="0"/>
      <w:divBdr>
        <w:top w:val="none" w:sz="0" w:space="0" w:color="auto"/>
        <w:left w:val="none" w:sz="0" w:space="0" w:color="auto"/>
        <w:bottom w:val="none" w:sz="0" w:space="0" w:color="auto"/>
        <w:right w:val="none" w:sz="0" w:space="0" w:color="auto"/>
      </w:divBdr>
    </w:div>
    <w:div w:id="788743754">
      <w:bodyDiv w:val="1"/>
      <w:marLeft w:val="0"/>
      <w:marRight w:val="0"/>
      <w:marTop w:val="0"/>
      <w:marBottom w:val="0"/>
      <w:divBdr>
        <w:top w:val="none" w:sz="0" w:space="0" w:color="auto"/>
        <w:left w:val="none" w:sz="0" w:space="0" w:color="auto"/>
        <w:bottom w:val="none" w:sz="0" w:space="0" w:color="auto"/>
        <w:right w:val="none" w:sz="0" w:space="0" w:color="auto"/>
      </w:divBdr>
    </w:div>
    <w:div w:id="961692775">
      <w:bodyDiv w:val="1"/>
      <w:marLeft w:val="0"/>
      <w:marRight w:val="0"/>
      <w:marTop w:val="0"/>
      <w:marBottom w:val="0"/>
      <w:divBdr>
        <w:top w:val="none" w:sz="0" w:space="0" w:color="auto"/>
        <w:left w:val="none" w:sz="0" w:space="0" w:color="auto"/>
        <w:bottom w:val="none" w:sz="0" w:space="0" w:color="auto"/>
        <w:right w:val="none" w:sz="0" w:space="0" w:color="auto"/>
      </w:divBdr>
    </w:div>
    <w:div w:id="1002853733">
      <w:bodyDiv w:val="1"/>
      <w:marLeft w:val="0"/>
      <w:marRight w:val="0"/>
      <w:marTop w:val="0"/>
      <w:marBottom w:val="0"/>
      <w:divBdr>
        <w:top w:val="none" w:sz="0" w:space="0" w:color="auto"/>
        <w:left w:val="none" w:sz="0" w:space="0" w:color="auto"/>
        <w:bottom w:val="none" w:sz="0" w:space="0" w:color="auto"/>
        <w:right w:val="none" w:sz="0" w:space="0" w:color="auto"/>
      </w:divBdr>
    </w:div>
    <w:div w:id="1015502662">
      <w:bodyDiv w:val="1"/>
      <w:marLeft w:val="0"/>
      <w:marRight w:val="0"/>
      <w:marTop w:val="0"/>
      <w:marBottom w:val="0"/>
      <w:divBdr>
        <w:top w:val="none" w:sz="0" w:space="0" w:color="auto"/>
        <w:left w:val="none" w:sz="0" w:space="0" w:color="auto"/>
        <w:bottom w:val="none" w:sz="0" w:space="0" w:color="auto"/>
        <w:right w:val="none" w:sz="0" w:space="0" w:color="auto"/>
      </w:divBdr>
    </w:div>
    <w:div w:id="1019625034">
      <w:bodyDiv w:val="1"/>
      <w:marLeft w:val="0"/>
      <w:marRight w:val="0"/>
      <w:marTop w:val="0"/>
      <w:marBottom w:val="0"/>
      <w:divBdr>
        <w:top w:val="none" w:sz="0" w:space="0" w:color="auto"/>
        <w:left w:val="none" w:sz="0" w:space="0" w:color="auto"/>
        <w:bottom w:val="none" w:sz="0" w:space="0" w:color="auto"/>
        <w:right w:val="none" w:sz="0" w:space="0" w:color="auto"/>
      </w:divBdr>
    </w:div>
    <w:div w:id="1042754429">
      <w:bodyDiv w:val="1"/>
      <w:marLeft w:val="0"/>
      <w:marRight w:val="0"/>
      <w:marTop w:val="0"/>
      <w:marBottom w:val="0"/>
      <w:divBdr>
        <w:top w:val="none" w:sz="0" w:space="0" w:color="auto"/>
        <w:left w:val="none" w:sz="0" w:space="0" w:color="auto"/>
        <w:bottom w:val="none" w:sz="0" w:space="0" w:color="auto"/>
        <w:right w:val="none" w:sz="0" w:space="0" w:color="auto"/>
      </w:divBdr>
    </w:div>
    <w:div w:id="1085885269">
      <w:bodyDiv w:val="1"/>
      <w:marLeft w:val="0"/>
      <w:marRight w:val="0"/>
      <w:marTop w:val="0"/>
      <w:marBottom w:val="0"/>
      <w:divBdr>
        <w:top w:val="none" w:sz="0" w:space="0" w:color="auto"/>
        <w:left w:val="none" w:sz="0" w:space="0" w:color="auto"/>
        <w:bottom w:val="none" w:sz="0" w:space="0" w:color="auto"/>
        <w:right w:val="none" w:sz="0" w:space="0" w:color="auto"/>
      </w:divBdr>
    </w:div>
    <w:div w:id="1424375664">
      <w:bodyDiv w:val="1"/>
      <w:marLeft w:val="0"/>
      <w:marRight w:val="0"/>
      <w:marTop w:val="0"/>
      <w:marBottom w:val="0"/>
      <w:divBdr>
        <w:top w:val="none" w:sz="0" w:space="0" w:color="auto"/>
        <w:left w:val="none" w:sz="0" w:space="0" w:color="auto"/>
        <w:bottom w:val="none" w:sz="0" w:space="0" w:color="auto"/>
        <w:right w:val="none" w:sz="0" w:space="0" w:color="auto"/>
      </w:divBdr>
    </w:div>
    <w:div w:id="1427271182">
      <w:bodyDiv w:val="1"/>
      <w:marLeft w:val="0"/>
      <w:marRight w:val="0"/>
      <w:marTop w:val="0"/>
      <w:marBottom w:val="0"/>
      <w:divBdr>
        <w:top w:val="none" w:sz="0" w:space="0" w:color="auto"/>
        <w:left w:val="none" w:sz="0" w:space="0" w:color="auto"/>
        <w:bottom w:val="none" w:sz="0" w:space="0" w:color="auto"/>
        <w:right w:val="none" w:sz="0" w:space="0" w:color="auto"/>
      </w:divBdr>
    </w:div>
    <w:div w:id="1462455705">
      <w:bodyDiv w:val="1"/>
      <w:marLeft w:val="0"/>
      <w:marRight w:val="0"/>
      <w:marTop w:val="0"/>
      <w:marBottom w:val="0"/>
      <w:divBdr>
        <w:top w:val="none" w:sz="0" w:space="0" w:color="auto"/>
        <w:left w:val="none" w:sz="0" w:space="0" w:color="auto"/>
        <w:bottom w:val="none" w:sz="0" w:space="0" w:color="auto"/>
        <w:right w:val="none" w:sz="0" w:space="0" w:color="auto"/>
      </w:divBdr>
    </w:div>
    <w:div w:id="1518077764">
      <w:bodyDiv w:val="1"/>
      <w:marLeft w:val="0"/>
      <w:marRight w:val="0"/>
      <w:marTop w:val="0"/>
      <w:marBottom w:val="0"/>
      <w:divBdr>
        <w:top w:val="none" w:sz="0" w:space="0" w:color="auto"/>
        <w:left w:val="none" w:sz="0" w:space="0" w:color="auto"/>
        <w:bottom w:val="none" w:sz="0" w:space="0" w:color="auto"/>
        <w:right w:val="none" w:sz="0" w:space="0" w:color="auto"/>
      </w:divBdr>
    </w:div>
    <w:div w:id="1610969197">
      <w:bodyDiv w:val="1"/>
      <w:marLeft w:val="0"/>
      <w:marRight w:val="0"/>
      <w:marTop w:val="0"/>
      <w:marBottom w:val="0"/>
      <w:divBdr>
        <w:top w:val="none" w:sz="0" w:space="0" w:color="auto"/>
        <w:left w:val="none" w:sz="0" w:space="0" w:color="auto"/>
        <w:bottom w:val="none" w:sz="0" w:space="0" w:color="auto"/>
        <w:right w:val="none" w:sz="0" w:space="0" w:color="auto"/>
      </w:divBdr>
    </w:div>
    <w:div w:id="1670058533">
      <w:bodyDiv w:val="1"/>
      <w:marLeft w:val="0"/>
      <w:marRight w:val="0"/>
      <w:marTop w:val="0"/>
      <w:marBottom w:val="0"/>
      <w:divBdr>
        <w:top w:val="none" w:sz="0" w:space="0" w:color="auto"/>
        <w:left w:val="none" w:sz="0" w:space="0" w:color="auto"/>
        <w:bottom w:val="none" w:sz="0" w:space="0" w:color="auto"/>
        <w:right w:val="none" w:sz="0" w:space="0" w:color="auto"/>
      </w:divBdr>
    </w:div>
    <w:div w:id="1687708791">
      <w:bodyDiv w:val="1"/>
      <w:marLeft w:val="0"/>
      <w:marRight w:val="0"/>
      <w:marTop w:val="0"/>
      <w:marBottom w:val="0"/>
      <w:divBdr>
        <w:top w:val="none" w:sz="0" w:space="0" w:color="auto"/>
        <w:left w:val="none" w:sz="0" w:space="0" w:color="auto"/>
        <w:bottom w:val="none" w:sz="0" w:space="0" w:color="auto"/>
        <w:right w:val="none" w:sz="0" w:space="0" w:color="auto"/>
      </w:divBdr>
    </w:div>
    <w:div w:id="1741244036">
      <w:bodyDiv w:val="1"/>
      <w:marLeft w:val="0"/>
      <w:marRight w:val="0"/>
      <w:marTop w:val="0"/>
      <w:marBottom w:val="0"/>
      <w:divBdr>
        <w:top w:val="none" w:sz="0" w:space="0" w:color="auto"/>
        <w:left w:val="none" w:sz="0" w:space="0" w:color="auto"/>
        <w:bottom w:val="none" w:sz="0" w:space="0" w:color="auto"/>
        <w:right w:val="none" w:sz="0" w:space="0" w:color="auto"/>
      </w:divBdr>
    </w:div>
    <w:div w:id="1778867180">
      <w:bodyDiv w:val="1"/>
      <w:marLeft w:val="0"/>
      <w:marRight w:val="0"/>
      <w:marTop w:val="0"/>
      <w:marBottom w:val="0"/>
      <w:divBdr>
        <w:top w:val="none" w:sz="0" w:space="0" w:color="auto"/>
        <w:left w:val="none" w:sz="0" w:space="0" w:color="auto"/>
        <w:bottom w:val="none" w:sz="0" w:space="0" w:color="auto"/>
        <w:right w:val="none" w:sz="0" w:space="0" w:color="auto"/>
      </w:divBdr>
    </w:div>
    <w:div w:id="1919172763">
      <w:bodyDiv w:val="1"/>
      <w:marLeft w:val="0"/>
      <w:marRight w:val="0"/>
      <w:marTop w:val="0"/>
      <w:marBottom w:val="0"/>
      <w:divBdr>
        <w:top w:val="none" w:sz="0" w:space="0" w:color="auto"/>
        <w:left w:val="none" w:sz="0" w:space="0" w:color="auto"/>
        <w:bottom w:val="none" w:sz="0" w:space="0" w:color="auto"/>
        <w:right w:val="none" w:sz="0" w:space="0" w:color="auto"/>
      </w:divBdr>
    </w:div>
    <w:div w:id="1952937058">
      <w:bodyDiv w:val="1"/>
      <w:marLeft w:val="0"/>
      <w:marRight w:val="0"/>
      <w:marTop w:val="0"/>
      <w:marBottom w:val="0"/>
      <w:divBdr>
        <w:top w:val="none" w:sz="0" w:space="0" w:color="auto"/>
        <w:left w:val="none" w:sz="0" w:space="0" w:color="auto"/>
        <w:bottom w:val="none" w:sz="0" w:space="0" w:color="auto"/>
        <w:right w:val="none" w:sz="0" w:space="0" w:color="auto"/>
      </w:divBdr>
    </w:div>
    <w:div w:id="21340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4186</Words>
  <Characters>27245</Characters>
  <Application>Microsoft Office Word</Application>
  <DocSecurity>4</DocSecurity>
  <Lines>227</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Rettelser: 4.2, 4.4, 4.5, 4.6, 4.8, 4.9, 5.1, 5.2, 5.3, 6.5, 6.6, QRD</dc:description>
  <cp:lastModifiedBy>Gitte Ronnovius</cp:lastModifiedBy>
  <cp:revision>2</cp:revision>
  <cp:lastPrinted>2024-04-24T10:47:00Z</cp:lastPrinted>
  <dcterms:created xsi:type="dcterms:W3CDTF">2024-05-01T08:21:00Z</dcterms:created>
  <dcterms:modified xsi:type="dcterms:W3CDTF">2024-05-01T08:21:00Z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