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245" w:rsidRPr="009C3E06" w:rsidRDefault="00182245" w:rsidP="00182245">
      <w:r w:rsidRPr="009C3E06">
        <w:rPr>
          <w:noProof/>
          <w:lang w:eastAsia="da-DK"/>
        </w:rPr>
        <w:drawing>
          <wp:inline distT="0" distB="0" distL="0" distR="0" wp14:anchorId="031ED8B1" wp14:editId="516BC136">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82245" w:rsidRPr="009C3E06" w:rsidRDefault="00182245" w:rsidP="00182245">
      <w:pPr>
        <w:pStyle w:val="Titel"/>
        <w:tabs>
          <w:tab w:val="right" w:pos="9356"/>
        </w:tabs>
        <w:jc w:val="left"/>
        <w:rPr>
          <w:b w:val="0"/>
          <w:sz w:val="23"/>
          <w:lang w:eastAsia="en-US"/>
        </w:rPr>
      </w:pPr>
    </w:p>
    <w:p w:rsidR="00182245" w:rsidRPr="009C3E06" w:rsidRDefault="00182245" w:rsidP="00182245">
      <w:pPr>
        <w:pStyle w:val="Titel"/>
        <w:tabs>
          <w:tab w:val="right" w:pos="9356"/>
        </w:tabs>
        <w:jc w:val="left"/>
        <w:rPr>
          <w:b w:val="0"/>
        </w:rPr>
      </w:pPr>
      <w:r w:rsidRPr="009C3E06">
        <w:rPr>
          <w:b w:val="0"/>
          <w:sz w:val="23"/>
          <w:lang w:eastAsia="en-US"/>
        </w:rPr>
        <w:tab/>
      </w:r>
      <w:r w:rsidR="0042585E">
        <w:rPr>
          <w:sz w:val="23"/>
          <w:lang w:eastAsia="en-US"/>
        </w:rPr>
        <w:t>1</w:t>
      </w:r>
      <w:r w:rsidR="00BB1BE5" w:rsidRPr="009C3E06">
        <w:rPr>
          <w:szCs w:val="24"/>
        </w:rPr>
        <w:t xml:space="preserve">. </w:t>
      </w:r>
      <w:r w:rsidR="0042585E">
        <w:rPr>
          <w:szCs w:val="24"/>
        </w:rPr>
        <w:t>maj</w:t>
      </w:r>
      <w:r w:rsidR="00BB1BE5" w:rsidRPr="009C3E06">
        <w:rPr>
          <w:szCs w:val="24"/>
        </w:rPr>
        <w:t xml:space="preserve"> 202</w:t>
      </w:r>
      <w:r w:rsidR="007A5F7A">
        <w:rPr>
          <w:szCs w:val="24"/>
        </w:rPr>
        <w:t>4</w:t>
      </w:r>
    </w:p>
    <w:p w:rsidR="00182245" w:rsidRPr="009C3E06" w:rsidRDefault="00182245" w:rsidP="00182245">
      <w:pPr>
        <w:pStyle w:val="Titel"/>
        <w:jc w:val="left"/>
        <w:rPr>
          <w:b w:val="0"/>
        </w:rPr>
      </w:pPr>
    </w:p>
    <w:p w:rsidR="00182245" w:rsidRPr="009C3E06" w:rsidRDefault="00182245" w:rsidP="00182245">
      <w:pPr>
        <w:jc w:val="center"/>
        <w:rPr>
          <w:b/>
          <w:sz w:val="24"/>
          <w:szCs w:val="24"/>
        </w:rPr>
      </w:pPr>
      <w:r w:rsidRPr="009C3E06">
        <w:rPr>
          <w:b/>
          <w:sz w:val="24"/>
          <w:szCs w:val="24"/>
        </w:rPr>
        <w:t>PRODUKTRESUMÉ</w:t>
      </w:r>
    </w:p>
    <w:p w:rsidR="00182245" w:rsidRPr="009C3E06" w:rsidRDefault="00182245" w:rsidP="00182245">
      <w:pPr>
        <w:jc w:val="center"/>
        <w:rPr>
          <w:b/>
          <w:sz w:val="24"/>
          <w:szCs w:val="24"/>
        </w:rPr>
      </w:pPr>
    </w:p>
    <w:p w:rsidR="00182245" w:rsidRPr="009C3E06" w:rsidRDefault="00182245" w:rsidP="00182245">
      <w:pPr>
        <w:jc w:val="center"/>
        <w:rPr>
          <w:b/>
          <w:sz w:val="24"/>
          <w:szCs w:val="24"/>
        </w:rPr>
      </w:pPr>
      <w:r w:rsidRPr="009C3E06">
        <w:rPr>
          <w:b/>
          <w:sz w:val="24"/>
          <w:szCs w:val="24"/>
        </w:rPr>
        <w:t>for</w:t>
      </w:r>
    </w:p>
    <w:p w:rsidR="00182245" w:rsidRPr="009C3E06" w:rsidRDefault="00182245" w:rsidP="00182245">
      <w:pPr>
        <w:jc w:val="center"/>
        <w:rPr>
          <w:b/>
          <w:sz w:val="24"/>
          <w:szCs w:val="24"/>
        </w:rPr>
      </w:pPr>
    </w:p>
    <w:p w:rsidR="00182245" w:rsidRPr="009C3E06" w:rsidRDefault="00182245" w:rsidP="00182245">
      <w:pPr>
        <w:jc w:val="center"/>
        <w:rPr>
          <w:b/>
          <w:sz w:val="24"/>
          <w:szCs w:val="24"/>
        </w:rPr>
      </w:pPr>
      <w:proofErr w:type="spellStart"/>
      <w:r w:rsidRPr="009C3E06">
        <w:rPr>
          <w:b/>
          <w:sz w:val="24"/>
          <w:szCs w:val="24"/>
        </w:rPr>
        <w:t>Zolt</w:t>
      </w:r>
      <w:proofErr w:type="spellEnd"/>
      <w:r w:rsidRPr="009C3E06">
        <w:rPr>
          <w:b/>
          <w:sz w:val="24"/>
          <w:szCs w:val="24"/>
        </w:rPr>
        <w:t xml:space="preserve">, hårde </w:t>
      </w:r>
      <w:proofErr w:type="spellStart"/>
      <w:r w:rsidRPr="009C3E06">
        <w:rPr>
          <w:b/>
          <w:sz w:val="24"/>
          <w:szCs w:val="24"/>
        </w:rPr>
        <w:t>enterokapsler</w:t>
      </w:r>
      <w:proofErr w:type="spellEnd"/>
      <w:r w:rsidRPr="009C3E06">
        <w:rPr>
          <w:b/>
          <w:sz w:val="24"/>
          <w:szCs w:val="24"/>
        </w:rPr>
        <w:t xml:space="preserve"> 15 mg, pakningsstørrelser til og med 56 stk.</w:t>
      </w:r>
    </w:p>
    <w:p w:rsidR="00182245" w:rsidRPr="009C3E06" w:rsidRDefault="00182245" w:rsidP="00182245">
      <w:pPr>
        <w:jc w:val="both"/>
        <w:rPr>
          <w:sz w:val="24"/>
          <w:szCs w:val="24"/>
        </w:rPr>
      </w:pPr>
    </w:p>
    <w:p w:rsidR="00182245" w:rsidRPr="009C3E06" w:rsidRDefault="00182245" w:rsidP="00182245">
      <w:pPr>
        <w:ind w:left="851" w:hanging="851"/>
        <w:jc w:val="both"/>
        <w:rPr>
          <w:sz w:val="24"/>
          <w:szCs w:val="24"/>
        </w:rPr>
      </w:pPr>
    </w:p>
    <w:p w:rsidR="00182245" w:rsidRPr="009C3E06" w:rsidRDefault="00182245" w:rsidP="00182245">
      <w:pPr>
        <w:ind w:left="851" w:hanging="851"/>
        <w:rPr>
          <w:b/>
          <w:sz w:val="24"/>
          <w:szCs w:val="24"/>
        </w:rPr>
      </w:pPr>
      <w:r w:rsidRPr="009C3E06">
        <w:rPr>
          <w:b/>
          <w:sz w:val="24"/>
          <w:szCs w:val="24"/>
        </w:rPr>
        <w:t>0.</w:t>
      </w:r>
      <w:r w:rsidRPr="009C3E06">
        <w:rPr>
          <w:b/>
          <w:sz w:val="24"/>
          <w:szCs w:val="24"/>
        </w:rPr>
        <w:tab/>
        <w:t>D.SP.NR.</w:t>
      </w:r>
    </w:p>
    <w:p w:rsidR="00182245" w:rsidRPr="009C3E06" w:rsidRDefault="00182245" w:rsidP="00182245">
      <w:pPr>
        <w:ind w:left="851" w:hanging="851"/>
        <w:rPr>
          <w:sz w:val="24"/>
          <w:szCs w:val="24"/>
        </w:rPr>
      </w:pPr>
      <w:r w:rsidRPr="009C3E06">
        <w:rPr>
          <w:sz w:val="24"/>
          <w:szCs w:val="24"/>
        </w:rPr>
        <w:tab/>
        <w:t>28117</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1.</w:t>
      </w:r>
      <w:r w:rsidRPr="009C3E06">
        <w:rPr>
          <w:b/>
          <w:sz w:val="24"/>
          <w:szCs w:val="24"/>
        </w:rPr>
        <w:tab/>
        <w:t>LÆGEMIDLETS NAVN</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Zolt</w:t>
      </w:r>
      <w:proofErr w:type="spellEnd"/>
    </w:p>
    <w:p w:rsidR="00182245" w:rsidRPr="009C3E06" w:rsidRDefault="00182245" w:rsidP="00182245">
      <w:pPr>
        <w:ind w:left="851" w:hanging="851"/>
        <w:rPr>
          <w:sz w:val="24"/>
          <w:szCs w:val="24"/>
        </w:rPr>
      </w:pPr>
      <w:r w:rsidRPr="009C3E06">
        <w:rPr>
          <w:sz w:val="24"/>
          <w:szCs w:val="24"/>
        </w:rPr>
        <w:tab/>
      </w:r>
    </w:p>
    <w:p w:rsidR="00182245" w:rsidRPr="009C3E06" w:rsidRDefault="00182245" w:rsidP="00182245">
      <w:pPr>
        <w:ind w:left="851" w:hanging="851"/>
        <w:rPr>
          <w:b/>
          <w:sz w:val="24"/>
          <w:szCs w:val="24"/>
        </w:rPr>
      </w:pPr>
      <w:r w:rsidRPr="009C3E06">
        <w:rPr>
          <w:b/>
          <w:sz w:val="24"/>
          <w:szCs w:val="24"/>
        </w:rPr>
        <w:t>2.</w:t>
      </w:r>
      <w:r w:rsidRPr="009C3E06">
        <w:rPr>
          <w:b/>
          <w:sz w:val="24"/>
          <w:szCs w:val="24"/>
        </w:rPr>
        <w:tab/>
        <w:t>KVALITATIV OG KVANTITATIV SAMMENSÆTNING</w:t>
      </w:r>
    </w:p>
    <w:p w:rsidR="00182245" w:rsidRPr="009C3E06" w:rsidRDefault="00182245" w:rsidP="00182245">
      <w:pPr>
        <w:ind w:left="851" w:hanging="851"/>
        <w:rPr>
          <w:sz w:val="24"/>
          <w:szCs w:val="24"/>
        </w:rPr>
      </w:pPr>
      <w:r w:rsidRPr="009C3E06">
        <w:rPr>
          <w:sz w:val="24"/>
          <w:szCs w:val="24"/>
        </w:rPr>
        <w:tab/>
        <w:t xml:space="preserve">Hver kapsel indeholder 15 mg </w:t>
      </w:r>
      <w:proofErr w:type="spellStart"/>
      <w:r w:rsidRPr="009C3E06">
        <w:rPr>
          <w:sz w:val="24"/>
          <w:szCs w:val="24"/>
        </w:rPr>
        <w:t>lansoprazol</w:t>
      </w:r>
      <w:proofErr w:type="spellEnd"/>
      <w:r w:rsidRPr="009C3E06">
        <w:rPr>
          <w:sz w:val="24"/>
          <w:szCs w:val="24"/>
        </w:rPr>
        <w:t>.</w:t>
      </w:r>
    </w:p>
    <w:p w:rsidR="00182245" w:rsidRPr="009C3E06" w:rsidRDefault="00182245" w:rsidP="00182245">
      <w:pPr>
        <w:ind w:left="851" w:hanging="851"/>
        <w:rPr>
          <w:sz w:val="24"/>
          <w:szCs w:val="24"/>
        </w:rPr>
      </w:pPr>
    </w:p>
    <w:p w:rsidR="00182245" w:rsidRPr="009C3E06" w:rsidRDefault="00182245" w:rsidP="00182245">
      <w:pPr>
        <w:ind w:left="851" w:hanging="851"/>
        <w:rPr>
          <w:i/>
          <w:iCs/>
          <w:sz w:val="24"/>
          <w:szCs w:val="24"/>
        </w:rPr>
      </w:pPr>
      <w:r w:rsidRPr="009C3E06">
        <w:rPr>
          <w:i/>
          <w:iCs/>
          <w:sz w:val="24"/>
          <w:szCs w:val="24"/>
        </w:rPr>
        <w:tab/>
        <w:t>Hjælpestoffer, som behandleren skal være opmærksom på:</w:t>
      </w:r>
    </w:p>
    <w:p w:rsidR="00182245" w:rsidRPr="009C3E06" w:rsidRDefault="00182245" w:rsidP="00182245">
      <w:pPr>
        <w:ind w:left="851" w:hanging="851"/>
        <w:rPr>
          <w:sz w:val="24"/>
          <w:szCs w:val="24"/>
        </w:rPr>
      </w:pPr>
      <w:r w:rsidRPr="009C3E06">
        <w:rPr>
          <w:sz w:val="24"/>
          <w:szCs w:val="24"/>
        </w:rPr>
        <w:tab/>
        <w:t xml:space="preserve">Hver kapsel indeholder </w:t>
      </w:r>
      <w:r w:rsidR="00BB1BE5" w:rsidRPr="009C3E06">
        <w:rPr>
          <w:sz w:val="24"/>
          <w:szCs w:val="24"/>
        </w:rPr>
        <w:t>100,5 mg</w:t>
      </w:r>
      <w:r w:rsidRPr="009C3E06">
        <w:rPr>
          <w:sz w:val="24"/>
          <w:szCs w:val="24"/>
        </w:rPr>
        <w:t xml:space="preserve"> </w:t>
      </w:r>
      <w:proofErr w:type="spellStart"/>
      <w:r w:rsidRPr="009C3E06">
        <w:rPr>
          <w:sz w:val="24"/>
          <w:szCs w:val="24"/>
        </w:rPr>
        <w:t>saccharose</w:t>
      </w:r>
      <w:proofErr w:type="spellEnd"/>
      <w:r w:rsidRPr="009C3E06">
        <w:rPr>
          <w:sz w:val="24"/>
          <w:szCs w:val="24"/>
        </w:rPr>
        <w:t>.</w:t>
      </w:r>
    </w:p>
    <w:p w:rsidR="00182245" w:rsidRPr="009C3E06" w:rsidRDefault="00182245" w:rsidP="00182245">
      <w:pPr>
        <w:ind w:left="851" w:hanging="851"/>
        <w:rPr>
          <w:sz w:val="24"/>
          <w:szCs w:val="24"/>
        </w:rPr>
      </w:pPr>
    </w:p>
    <w:p w:rsidR="00182245" w:rsidRPr="009C3E06" w:rsidRDefault="00182245" w:rsidP="00182245">
      <w:pPr>
        <w:ind w:left="851" w:hanging="851"/>
        <w:rPr>
          <w:sz w:val="24"/>
          <w:szCs w:val="24"/>
        </w:rPr>
      </w:pPr>
      <w:r w:rsidRPr="009C3E06">
        <w:rPr>
          <w:sz w:val="24"/>
          <w:szCs w:val="24"/>
        </w:rPr>
        <w:tab/>
        <w:t>Alle hjælpestoffer er anført under pkt. 6.1.</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3.</w:t>
      </w:r>
      <w:r w:rsidRPr="009C3E06">
        <w:rPr>
          <w:b/>
          <w:sz w:val="24"/>
          <w:szCs w:val="24"/>
        </w:rPr>
        <w:tab/>
        <w:t>LÆGEMIDDELFORM</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Enterokapsler</w:t>
      </w:r>
      <w:proofErr w:type="spellEnd"/>
      <w:r w:rsidRPr="009C3E06">
        <w:rPr>
          <w:sz w:val="24"/>
          <w:szCs w:val="24"/>
        </w:rPr>
        <w:t>, hårde.</w:t>
      </w:r>
    </w:p>
    <w:p w:rsidR="00182245" w:rsidRPr="009C3E06" w:rsidRDefault="00182245" w:rsidP="00182245">
      <w:pPr>
        <w:ind w:left="851" w:hanging="851"/>
        <w:rPr>
          <w:sz w:val="24"/>
          <w:szCs w:val="24"/>
        </w:rPr>
      </w:pPr>
    </w:p>
    <w:p w:rsidR="00182245" w:rsidRPr="009C3E06" w:rsidRDefault="00182245" w:rsidP="00182245">
      <w:pPr>
        <w:ind w:left="851" w:hanging="851"/>
        <w:rPr>
          <w:sz w:val="24"/>
          <w:szCs w:val="24"/>
        </w:rPr>
      </w:pPr>
      <w:r w:rsidRPr="009C3E06">
        <w:rPr>
          <w:sz w:val="24"/>
          <w:szCs w:val="24"/>
        </w:rPr>
        <w:tab/>
        <w:t>Kapsler med en uigennemsigtig gul under- og overdel. Hver kapsel indeholder runde, hvide eller næsten hvide mikrogranulater.</w:t>
      </w:r>
    </w:p>
    <w:p w:rsidR="00182245" w:rsidRPr="009C3E06" w:rsidRDefault="00182245" w:rsidP="00182245">
      <w:pPr>
        <w:ind w:left="851" w:hanging="851"/>
        <w:rPr>
          <w:sz w:val="24"/>
          <w:szCs w:val="24"/>
        </w:rPr>
      </w:pP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4.</w:t>
      </w:r>
      <w:r w:rsidRPr="009C3E06">
        <w:rPr>
          <w:b/>
          <w:sz w:val="24"/>
          <w:szCs w:val="24"/>
        </w:rPr>
        <w:tab/>
        <w:t>KLINISKE OPLYSNINGER</w:t>
      </w:r>
    </w:p>
    <w:p w:rsidR="00182245" w:rsidRPr="009C3E06" w:rsidRDefault="00182245" w:rsidP="00182245">
      <w:pPr>
        <w:ind w:left="851" w:hanging="851"/>
        <w:rPr>
          <w:b/>
          <w:sz w:val="24"/>
          <w:szCs w:val="24"/>
        </w:rPr>
      </w:pPr>
    </w:p>
    <w:p w:rsidR="00182245" w:rsidRPr="009C3E06" w:rsidRDefault="00182245" w:rsidP="00182245">
      <w:pPr>
        <w:ind w:left="851" w:hanging="851"/>
        <w:rPr>
          <w:b/>
          <w:sz w:val="24"/>
          <w:szCs w:val="24"/>
          <w:u w:val="single"/>
        </w:rPr>
      </w:pPr>
      <w:r w:rsidRPr="009C3E06">
        <w:rPr>
          <w:b/>
          <w:sz w:val="24"/>
          <w:szCs w:val="24"/>
        </w:rPr>
        <w:t>4.1</w:t>
      </w:r>
      <w:r w:rsidRPr="009C3E06">
        <w:rPr>
          <w:b/>
          <w:sz w:val="24"/>
          <w:szCs w:val="24"/>
        </w:rPr>
        <w:tab/>
        <w:t>Terapeutiske indikationer</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Zolt</w:t>
      </w:r>
      <w:proofErr w:type="spellEnd"/>
      <w:r w:rsidRPr="009C3E06">
        <w:rPr>
          <w:sz w:val="24"/>
          <w:szCs w:val="24"/>
        </w:rPr>
        <w:t xml:space="preserve"> er kun indiceret til voksne.</w:t>
      </w:r>
    </w:p>
    <w:p w:rsidR="00182245" w:rsidRPr="009C3E06" w:rsidRDefault="00182245" w:rsidP="00182245">
      <w:pPr>
        <w:ind w:left="851" w:hanging="851"/>
        <w:rPr>
          <w:sz w:val="24"/>
          <w:szCs w:val="24"/>
        </w:rPr>
      </w:pPr>
    </w:p>
    <w:p w:rsidR="00182245" w:rsidRPr="009C3E06" w:rsidRDefault="00182245" w:rsidP="00182245">
      <w:pPr>
        <w:ind w:left="851"/>
        <w:rPr>
          <w:sz w:val="24"/>
          <w:szCs w:val="24"/>
        </w:rPr>
      </w:pPr>
      <w:r w:rsidRPr="009C3E06">
        <w:rPr>
          <w:sz w:val="24"/>
          <w:szCs w:val="24"/>
        </w:rPr>
        <w:t xml:space="preserve">Symptomatisk </w:t>
      </w:r>
      <w:proofErr w:type="spellStart"/>
      <w:r w:rsidRPr="009C3E06">
        <w:rPr>
          <w:sz w:val="24"/>
          <w:szCs w:val="24"/>
        </w:rPr>
        <w:t>gastroøsophageal</w:t>
      </w:r>
      <w:proofErr w:type="spellEnd"/>
      <w:r w:rsidRPr="009C3E06">
        <w:rPr>
          <w:sz w:val="24"/>
          <w:szCs w:val="24"/>
        </w:rPr>
        <w:t xml:space="preserve"> </w:t>
      </w:r>
      <w:proofErr w:type="spellStart"/>
      <w:r w:rsidRPr="009C3E06">
        <w:rPr>
          <w:sz w:val="24"/>
          <w:szCs w:val="24"/>
        </w:rPr>
        <w:t>reflukssygdom</w:t>
      </w:r>
      <w:proofErr w:type="spellEnd"/>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4.2</w:t>
      </w:r>
      <w:r w:rsidRPr="009C3E06">
        <w:rPr>
          <w:b/>
          <w:sz w:val="24"/>
          <w:szCs w:val="24"/>
        </w:rPr>
        <w:tab/>
        <w:t xml:space="preserve">Dosering og </w:t>
      </w:r>
      <w:r w:rsidR="00AE1008">
        <w:rPr>
          <w:b/>
          <w:sz w:val="24"/>
          <w:szCs w:val="24"/>
        </w:rPr>
        <w:t>administration</w:t>
      </w:r>
    </w:p>
    <w:p w:rsidR="00182245" w:rsidRPr="009C3E06" w:rsidRDefault="00182245" w:rsidP="00182245">
      <w:pPr>
        <w:ind w:left="851"/>
        <w:rPr>
          <w:sz w:val="24"/>
          <w:szCs w:val="24"/>
        </w:rPr>
      </w:pPr>
      <w:r w:rsidRPr="009C3E06">
        <w:rPr>
          <w:b/>
          <w:sz w:val="24"/>
          <w:szCs w:val="24"/>
          <w:u w:val="single"/>
        </w:rPr>
        <w:t>Dosering</w:t>
      </w:r>
    </w:p>
    <w:p w:rsidR="00182245" w:rsidRPr="009C3E06" w:rsidRDefault="00182245" w:rsidP="00182245">
      <w:pPr>
        <w:ind w:left="851"/>
        <w:rPr>
          <w:sz w:val="24"/>
          <w:szCs w:val="24"/>
        </w:rPr>
      </w:pPr>
    </w:p>
    <w:p w:rsidR="00182245" w:rsidRPr="009C3E06" w:rsidRDefault="00182245" w:rsidP="00182245">
      <w:pPr>
        <w:ind w:left="851"/>
        <w:rPr>
          <w:sz w:val="24"/>
          <w:szCs w:val="24"/>
          <w:u w:val="single"/>
        </w:rPr>
      </w:pPr>
      <w:r w:rsidRPr="009C3E06">
        <w:rPr>
          <w:sz w:val="24"/>
          <w:szCs w:val="24"/>
          <w:u w:val="single"/>
        </w:rPr>
        <w:t xml:space="preserve">Symptomatisk </w:t>
      </w:r>
      <w:proofErr w:type="spellStart"/>
      <w:r w:rsidRPr="009C3E06">
        <w:rPr>
          <w:sz w:val="24"/>
          <w:szCs w:val="24"/>
          <w:u w:val="single"/>
        </w:rPr>
        <w:t>gastroøsophageal</w:t>
      </w:r>
      <w:proofErr w:type="spellEnd"/>
      <w:r w:rsidRPr="009C3E06">
        <w:rPr>
          <w:sz w:val="24"/>
          <w:szCs w:val="24"/>
          <w:u w:val="single"/>
        </w:rPr>
        <w:t xml:space="preserve"> </w:t>
      </w:r>
      <w:proofErr w:type="spellStart"/>
      <w:r w:rsidRPr="009C3E06">
        <w:rPr>
          <w:sz w:val="24"/>
          <w:szCs w:val="24"/>
          <w:u w:val="single"/>
        </w:rPr>
        <w:t>reflukssygdom</w:t>
      </w:r>
      <w:proofErr w:type="spellEnd"/>
      <w:r w:rsidRPr="009C3E06">
        <w:rPr>
          <w:sz w:val="24"/>
          <w:szCs w:val="24"/>
          <w:u w:val="single"/>
        </w:rPr>
        <w:t>:</w:t>
      </w:r>
    </w:p>
    <w:p w:rsidR="00BB1BE5" w:rsidRDefault="00182245" w:rsidP="00BB1BE5">
      <w:pPr>
        <w:ind w:left="851" w:hanging="851"/>
        <w:rPr>
          <w:sz w:val="24"/>
          <w:szCs w:val="24"/>
        </w:rPr>
      </w:pPr>
      <w:r w:rsidRPr="009C3E06">
        <w:rPr>
          <w:sz w:val="24"/>
          <w:szCs w:val="24"/>
        </w:rPr>
        <w:tab/>
      </w:r>
      <w:r w:rsidR="00BB1BE5" w:rsidRPr="009C3E06">
        <w:rPr>
          <w:sz w:val="24"/>
          <w:szCs w:val="24"/>
        </w:rPr>
        <w:t>Den anbefalede dosis er 15 mg eller 30 mg én gang dagligt. Symptomerne lindres hurtigt. Individuel justering af dosis bør overvejes. Hvis symptomerne ikke er reduceret indenfor 4 uger med en daglig dosis på 30 mg, anbefales yderligere undersøgelser.</w:t>
      </w:r>
    </w:p>
    <w:p w:rsidR="00650ADA" w:rsidRDefault="00650ADA" w:rsidP="00BB1BE5">
      <w:pPr>
        <w:ind w:left="851" w:hanging="851"/>
        <w:rPr>
          <w:sz w:val="24"/>
          <w:szCs w:val="24"/>
        </w:rPr>
      </w:pPr>
    </w:p>
    <w:p w:rsidR="00650ADA" w:rsidRDefault="00650ADA" w:rsidP="00BB1BE5">
      <w:pPr>
        <w:ind w:left="851" w:hanging="851"/>
        <w:rPr>
          <w:sz w:val="24"/>
          <w:szCs w:val="24"/>
        </w:rPr>
      </w:pPr>
    </w:p>
    <w:p w:rsidR="00650ADA" w:rsidRPr="0042585E" w:rsidRDefault="00650ADA" w:rsidP="0042585E">
      <w:pPr>
        <w:ind w:left="851"/>
        <w:rPr>
          <w:sz w:val="24"/>
          <w:szCs w:val="24"/>
          <w:u w:val="single"/>
        </w:rPr>
      </w:pPr>
      <w:r>
        <w:rPr>
          <w:sz w:val="24"/>
          <w:szCs w:val="24"/>
          <w:u w:val="single"/>
        </w:rPr>
        <w:lastRenderedPageBreak/>
        <w:t>Særlige populationer</w:t>
      </w:r>
    </w:p>
    <w:p w:rsidR="00BB1BE5" w:rsidRPr="009C3E06" w:rsidRDefault="00BB1BE5" w:rsidP="00BB1BE5">
      <w:pPr>
        <w:autoSpaceDE w:val="0"/>
        <w:autoSpaceDN w:val="0"/>
        <w:adjustRightInd w:val="0"/>
        <w:ind w:left="851" w:hanging="851"/>
        <w:jc w:val="both"/>
        <w:rPr>
          <w:sz w:val="24"/>
          <w:szCs w:val="24"/>
        </w:rPr>
      </w:pPr>
    </w:p>
    <w:p w:rsidR="00BB1BE5" w:rsidRPr="009C3E06" w:rsidRDefault="00BB1BE5" w:rsidP="004A12B7">
      <w:pPr>
        <w:keepNext/>
        <w:ind w:firstLine="851"/>
        <w:rPr>
          <w:i/>
          <w:sz w:val="24"/>
          <w:szCs w:val="24"/>
        </w:rPr>
      </w:pPr>
      <w:r w:rsidRPr="009C3E06">
        <w:rPr>
          <w:i/>
          <w:sz w:val="24"/>
          <w:szCs w:val="24"/>
        </w:rPr>
        <w:t>Nedsat nyrefunktion</w:t>
      </w:r>
    </w:p>
    <w:p w:rsidR="00BB1BE5" w:rsidRPr="009C3E06" w:rsidRDefault="00BB1BE5" w:rsidP="00BB1BE5">
      <w:pPr>
        <w:ind w:firstLine="851"/>
        <w:rPr>
          <w:sz w:val="24"/>
          <w:szCs w:val="24"/>
        </w:rPr>
      </w:pPr>
      <w:r w:rsidRPr="009C3E06">
        <w:rPr>
          <w:sz w:val="24"/>
          <w:szCs w:val="24"/>
        </w:rPr>
        <w:t>Det er ikke nødvendigt at justere dosis til patienter med nedsat nyrefunktion.</w:t>
      </w:r>
    </w:p>
    <w:p w:rsidR="00BB1BE5" w:rsidRPr="009C3E06" w:rsidRDefault="00BB1BE5" w:rsidP="00BB1BE5">
      <w:pPr>
        <w:rPr>
          <w:sz w:val="24"/>
          <w:szCs w:val="24"/>
        </w:rPr>
      </w:pPr>
    </w:p>
    <w:p w:rsidR="00BB1BE5" w:rsidRPr="009C3E06" w:rsidRDefault="00BB1BE5" w:rsidP="00BB1BE5">
      <w:pPr>
        <w:ind w:firstLine="851"/>
        <w:rPr>
          <w:sz w:val="24"/>
          <w:szCs w:val="24"/>
        </w:rPr>
      </w:pPr>
      <w:r w:rsidRPr="009C3E06">
        <w:rPr>
          <w:i/>
          <w:sz w:val="24"/>
          <w:szCs w:val="24"/>
        </w:rPr>
        <w:t>Nedsat leverfunktion</w:t>
      </w:r>
    </w:p>
    <w:p w:rsidR="00BB1BE5" w:rsidRPr="009C3E06" w:rsidRDefault="00BB1BE5" w:rsidP="00BB1BE5">
      <w:pPr>
        <w:ind w:left="851"/>
        <w:rPr>
          <w:sz w:val="24"/>
          <w:szCs w:val="24"/>
        </w:rPr>
      </w:pPr>
      <w:r w:rsidRPr="009C3E06">
        <w:rPr>
          <w:sz w:val="24"/>
          <w:szCs w:val="24"/>
        </w:rPr>
        <w:t>Patienter med moderat eller svær leversygdom skal overvåges regelmæssigt, og der anbefales en reduktion på 50 % af den daglige dosis (se pkt. 4.4 og 5.2).</w:t>
      </w:r>
    </w:p>
    <w:p w:rsidR="00BB1BE5" w:rsidRPr="009C3E06" w:rsidRDefault="00BB1BE5" w:rsidP="00BB1BE5">
      <w:pPr>
        <w:rPr>
          <w:sz w:val="24"/>
          <w:szCs w:val="24"/>
        </w:rPr>
      </w:pPr>
    </w:p>
    <w:p w:rsidR="00BB1BE5" w:rsidRPr="009C3E06" w:rsidRDefault="00BB1BE5" w:rsidP="00BB1BE5">
      <w:pPr>
        <w:ind w:firstLine="851"/>
        <w:rPr>
          <w:i/>
          <w:sz w:val="24"/>
          <w:szCs w:val="24"/>
        </w:rPr>
      </w:pPr>
      <w:r w:rsidRPr="009C3E06">
        <w:rPr>
          <w:i/>
          <w:sz w:val="24"/>
          <w:szCs w:val="24"/>
        </w:rPr>
        <w:t>Ældre</w:t>
      </w:r>
    </w:p>
    <w:p w:rsidR="00BB1BE5" w:rsidRPr="009C3E06" w:rsidRDefault="00BB1BE5" w:rsidP="00BB1BE5">
      <w:pPr>
        <w:ind w:left="851"/>
        <w:rPr>
          <w:sz w:val="24"/>
          <w:szCs w:val="24"/>
        </w:rPr>
      </w:pPr>
      <w:r w:rsidRPr="009C3E06">
        <w:rPr>
          <w:sz w:val="24"/>
          <w:szCs w:val="24"/>
        </w:rPr>
        <w:t xml:space="preserve">På grund af nedsat </w:t>
      </w:r>
      <w:proofErr w:type="spellStart"/>
      <w:r w:rsidRPr="009C3E06">
        <w:rPr>
          <w:sz w:val="24"/>
          <w:szCs w:val="24"/>
        </w:rPr>
        <w:t>clearance</w:t>
      </w:r>
      <w:proofErr w:type="spellEnd"/>
      <w:r w:rsidRPr="009C3E06">
        <w:rPr>
          <w:sz w:val="24"/>
          <w:szCs w:val="24"/>
        </w:rPr>
        <w:t xml:space="preserve"> af </w:t>
      </w:r>
      <w:proofErr w:type="spellStart"/>
      <w:r w:rsidRPr="009C3E06">
        <w:rPr>
          <w:sz w:val="24"/>
          <w:szCs w:val="24"/>
        </w:rPr>
        <w:t>lansoprazol</w:t>
      </w:r>
      <w:proofErr w:type="spellEnd"/>
      <w:r w:rsidRPr="009C3E06">
        <w:rPr>
          <w:sz w:val="24"/>
          <w:szCs w:val="24"/>
        </w:rPr>
        <w:t xml:space="preserve"> hos ældre kan en justering af dosis være nødvendig baseret på individuelle behov. En daglig dosis på 30 mg til ældre må ikke overskrides, medmindre der er tvingende kliniske indikationer herfor. </w:t>
      </w:r>
    </w:p>
    <w:p w:rsidR="00BB1BE5" w:rsidRPr="009C3E06" w:rsidRDefault="00BB1BE5" w:rsidP="00BB1BE5">
      <w:pPr>
        <w:ind w:left="851" w:hanging="851"/>
        <w:rPr>
          <w:sz w:val="24"/>
          <w:szCs w:val="24"/>
          <w:u w:val="single"/>
        </w:rPr>
      </w:pPr>
    </w:p>
    <w:p w:rsidR="00BB1BE5" w:rsidRPr="009C3E06" w:rsidRDefault="00BB1BE5" w:rsidP="00BB1BE5">
      <w:pPr>
        <w:ind w:left="851"/>
        <w:rPr>
          <w:i/>
          <w:sz w:val="24"/>
          <w:szCs w:val="24"/>
        </w:rPr>
      </w:pPr>
      <w:r w:rsidRPr="009C3E06">
        <w:rPr>
          <w:i/>
          <w:sz w:val="24"/>
          <w:szCs w:val="24"/>
        </w:rPr>
        <w:t>Pædiatrisk population</w:t>
      </w:r>
    </w:p>
    <w:p w:rsidR="00BB1BE5" w:rsidRPr="009C3E06" w:rsidRDefault="00BB1BE5" w:rsidP="00BB1BE5">
      <w:pPr>
        <w:ind w:left="851" w:hanging="851"/>
        <w:rPr>
          <w:sz w:val="24"/>
          <w:szCs w:val="24"/>
        </w:rPr>
      </w:pPr>
      <w:r w:rsidRPr="009C3E06">
        <w:rPr>
          <w:sz w:val="24"/>
          <w:szCs w:val="24"/>
        </w:rPr>
        <w:tab/>
        <w:t xml:space="preserve">Brugen af </w:t>
      </w:r>
      <w:proofErr w:type="spellStart"/>
      <w:r w:rsidRPr="009C3E06">
        <w:rPr>
          <w:sz w:val="24"/>
          <w:szCs w:val="24"/>
        </w:rPr>
        <w:t>Zolt</w:t>
      </w:r>
      <w:proofErr w:type="spellEnd"/>
      <w:r w:rsidRPr="009C3E06">
        <w:rPr>
          <w:sz w:val="24"/>
          <w:szCs w:val="24"/>
        </w:rPr>
        <w:t xml:space="preserve"> frarådes til børn, da kliniske data er begrænsede (se pkt. 5.2) og det er ukendt om fundene fra de kliniske studier i unge dyr, er relevante for mennesker (se pkt. 5.3). Behandling af små børn under 1 år bør undgås, da tilgængelige data ikke har vist positiv effekt i behandlingen af </w:t>
      </w:r>
      <w:proofErr w:type="spellStart"/>
      <w:r w:rsidRPr="009C3E06">
        <w:rPr>
          <w:sz w:val="24"/>
          <w:szCs w:val="24"/>
        </w:rPr>
        <w:t>gastroøsofageal</w:t>
      </w:r>
      <w:proofErr w:type="spellEnd"/>
      <w:r w:rsidRPr="009C3E06">
        <w:rPr>
          <w:sz w:val="24"/>
          <w:szCs w:val="24"/>
        </w:rPr>
        <w:t xml:space="preserve"> </w:t>
      </w:r>
      <w:proofErr w:type="spellStart"/>
      <w:r w:rsidRPr="009C3E06">
        <w:rPr>
          <w:sz w:val="24"/>
          <w:szCs w:val="24"/>
        </w:rPr>
        <w:t>reflukssygdom</w:t>
      </w:r>
      <w:proofErr w:type="spellEnd"/>
      <w:r w:rsidRPr="009C3E06">
        <w:rPr>
          <w:sz w:val="24"/>
          <w:szCs w:val="24"/>
        </w:rPr>
        <w:t>.</w:t>
      </w:r>
    </w:p>
    <w:p w:rsidR="00BB1BE5" w:rsidRPr="009C3E06" w:rsidRDefault="00BB1BE5" w:rsidP="00BB1BE5">
      <w:pPr>
        <w:ind w:left="851"/>
        <w:rPr>
          <w:b/>
          <w:sz w:val="24"/>
          <w:szCs w:val="24"/>
          <w:u w:val="single"/>
        </w:rPr>
      </w:pPr>
    </w:p>
    <w:p w:rsidR="00BB1BE5" w:rsidRPr="009C3E06" w:rsidRDefault="00BB1BE5" w:rsidP="00BB1BE5">
      <w:pPr>
        <w:ind w:left="851"/>
        <w:rPr>
          <w:sz w:val="24"/>
          <w:szCs w:val="24"/>
        </w:rPr>
      </w:pPr>
      <w:r w:rsidRPr="009C3E06">
        <w:rPr>
          <w:b/>
          <w:sz w:val="24"/>
          <w:szCs w:val="24"/>
          <w:u w:val="single"/>
        </w:rPr>
        <w:t>Administration</w:t>
      </w:r>
    </w:p>
    <w:p w:rsidR="00BB1BE5" w:rsidRPr="009C3E06" w:rsidRDefault="00BB1BE5" w:rsidP="00BB1BE5">
      <w:pPr>
        <w:ind w:left="851"/>
        <w:rPr>
          <w:sz w:val="24"/>
          <w:szCs w:val="24"/>
        </w:rPr>
      </w:pPr>
      <w:r w:rsidRPr="009C3E06">
        <w:rPr>
          <w:sz w:val="24"/>
          <w:szCs w:val="24"/>
        </w:rPr>
        <w:t xml:space="preserve">For at opnå optimal effekt skal </w:t>
      </w:r>
      <w:proofErr w:type="spellStart"/>
      <w:r w:rsidRPr="009C3E06">
        <w:rPr>
          <w:sz w:val="24"/>
          <w:szCs w:val="24"/>
        </w:rPr>
        <w:t>Zolt</w:t>
      </w:r>
      <w:proofErr w:type="spellEnd"/>
      <w:r w:rsidRPr="009C3E06">
        <w:rPr>
          <w:sz w:val="24"/>
          <w:szCs w:val="24"/>
        </w:rPr>
        <w:t xml:space="preserve"> tages én gang dagligt om morgenen. </w:t>
      </w:r>
      <w:proofErr w:type="spellStart"/>
      <w:r w:rsidRPr="009C3E06">
        <w:rPr>
          <w:sz w:val="24"/>
          <w:szCs w:val="24"/>
        </w:rPr>
        <w:t>Zolt</w:t>
      </w:r>
      <w:proofErr w:type="spellEnd"/>
      <w:r w:rsidRPr="009C3E06">
        <w:rPr>
          <w:sz w:val="24"/>
          <w:szCs w:val="24"/>
        </w:rPr>
        <w:t xml:space="preserve"> bør tages mindst 30 minutter før et måltid (se pkt. 5.2). Kapslerne synkes hele med væske. Kapslerne må ikke tygges eller knuses. </w:t>
      </w:r>
    </w:p>
    <w:p w:rsidR="00BB1BE5" w:rsidRPr="009C3E06" w:rsidRDefault="00BB1BE5" w:rsidP="00BB1BE5">
      <w:pPr>
        <w:ind w:left="851" w:hanging="851"/>
        <w:rPr>
          <w:sz w:val="24"/>
          <w:szCs w:val="24"/>
        </w:rPr>
      </w:pPr>
    </w:p>
    <w:p w:rsidR="00182245" w:rsidRPr="009C3E06" w:rsidRDefault="00BB1BE5" w:rsidP="00BB1BE5">
      <w:pPr>
        <w:ind w:left="851"/>
        <w:rPr>
          <w:sz w:val="24"/>
          <w:szCs w:val="24"/>
        </w:rPr>
      </w:pPr>
      <w:r w:rsidRPr="009C3E06">
        <w:rPr>
          <w:sz w:val="24"/>
          <w:szCs w:val="24"/>
        </w:rPr>
        <w:t xml:space="preserve">Til patienter med synkebesvær anbefales det på grundlag af studier og klinisk praksis, at kapslerne åbnes og granulatet blandes med en smule vand, æble-/tomatjuice eller drysses på flydende mad (f.eks. yoghurt eller æblemos) for at lette administrationen. Kapslerne kan også åbnes og granulatet blandes med 40 ml æblejuice, så administration kan ske gennem </w:t>
      </w:r>
      <w:proofErr w:type="spellStart"/>
      <w:r w:rsidRPr="009C3E06">
        <w:rPr>
          <w:sz w:val="24"/>
          <w:szCs w:val="24"/>
        </w:rPr>
        <w:t>nasogastrisk</w:t>
      </w:r>
      <w:proofErr w:type="spellEnd"/>
      <w:r w:rsidRPr="009C3E06">
        <w:rPr>
          <w:sz w:val="24"/>
          <w:szCs w:val="24"/>
        </w:rPr>
        <w:t xml:space="preserve"> sonde (se pkt. 5.2). Lægemidlet skal administreres omgående, efter at suspensionen eller blandingen er fremstillet.</w:t>
      </w:r>
    </w:p>
    <w:p w:rsidR="00BB1BE5" w:rsidRPr="009C3E06" w:rsidRDefault="00BB1BE5" w:rsidP="00BB1BE5">
      <w:pPr>
        <w:ind w:left="851" w:hanging="851"/>
        <w:rPr>
          <w:sz w:val="24"/>
          <w:szCs w:val="24"/>
        </w:rPr>
      </w:pPr>
    </w:p>
    <w:p w:rsidR="00182245" w:rsidRPr="009C3E06" w:rsidRDefault="00182245" w:rsidP="00182245">
      <w:pPr>
        <w:ind w:left="851" w:hanging="851"/>
        <w:rPr>
          <w:b/>
          <w:sz w:val="24"/>
          <w:szCs w:val="24"/>
        </w:rPr>
      </w:pPr>
      <w:r w:rsidRPr="009C3E06">
        <w:rPr>
          <w:b/>
          <w:sz w:val="24"/>
          <w:szCs w:val="24"/>
        </w:rPr>
        <w:t>4.3</w:t>
      </w:r>
      <w:r w:rsidRPr="009C3E06">
        <w:rPr>
          <w:b/>
          <w:sz w:val="24"/>
          <w:szCs w:val="24"/>
        </w:rPr>
        <w:tab/>
        <w:t>Kontraindikationer</w:t>
      </w:r>
    </w:p>
    <w:p w:rsidR="00182245" w:rsidRPr="009C3E06" w:rsidRDefault="00182245" w:rsidP="00182245">
      <w:pPr>
        <w:ind w:left="851" w:hanging="851"/>
        <w:rPr>
          <w:sz w:val="24"/>
          <w:szCs w:val="24"/>
        </w:rPr>
      </w:pPr>
      <w:r w:rsidRPr="009C3E06">
        <w:rPr>
          <w:sz w:val="24"/>
          <w:szCs w:val="24"/>
        </w:rPr>
        <w:tab/>
        <w:t>Overfølsomhed over for det aktive stof eller over for ét eller flere af hjælpestofferne anført i pkt.</w:t>
      </w:r>
      <w:r w:rsidR="00E90930">
        <w:rPr>
          <w:sz w:val="24"/>
          <w:szCs w:val="24"/>
        </w:rPr>
        <w:t xml:space="preserve"> </w:t>
      </w:r>
      <w:r w:rsidRPr="009C3E06">
        <w:rPr>
          <w:sz w:val="24"/>
          <w:szCs w:val="24"/>
        </w:rPr>
        <w:t>6.1.</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4.4</w:t>
      </w:r>
      <w:r w:rsidRPr="009C3E06">
        <w:rPr>
          <w:b/>
          <w:sz w:val="24"/>
          <w:szCs w:val="24"/>
        </w:rPr>
        <w:tab/>
        <w:t>Særlige advarsler og forsigtighedsregler vedrørende brugen</w:t>
      </w:r>
    </w:p>
    <w:p w:rsidR="007A5F7A" w:rsidRDefault="007A5F7A" w:rsidP="007A5F7A">
      <w:pPr>
        <w:ind w:left="851"/>
        <w:rPr>
          <w:sz w:val="24"/>
          <w:szCs w:val="24"/>
          <w:u w:val="single"/>
        </w:rPr>
      </w:pPr>
      <w:r>
        <w:rPr>
          <w:sz w:val="24"/>
          <w:szCs w:val="24"/>
          <w:u w:val="single"/>
        </w:rPr>
        <w:t xml:space="preserve">Malign </w:t>
      </w:r>
      <w:proofErr w:type="spellStart"/>
      <w:r>
        <w:rPr>
          <w:sz w:val="24"/>
          <w:szCs w:val="24"/>
          <w:u w:val="single"/>
        </w:rPr>
        <w:t>ventrielcancer</w:t>
      </w:r>
      <w:proofErr w:type="spellEnd"/>
      <w:r>
        <w:rPr>
          <w:sz w:val="24"/>
          <w:szCs w:val="24"/>
          <w:u w:val="single"/>
        </w:rPr>
        <w:t xml:space="preserve"> </w:t>
      </w:r>
    </w:p>
    <w:p w:rsidR="007A5F7A" w:rsidRPr="009C3E06" w:rsidRDefault="007A5F7A" w:rsidP="007A5F7A">
      <w:pPr>
        <w:ind w:left="851"/>
        <w:rPr>
          <w:sz w:val="24"/>
          <w:szCs w:val="24"/>
        </w:rPr>
      </w:pPr>
      <w:r w:rsidRPr="009C3E06">
        <w:rPr>
          <w:sz w:val="24"/>
          <w:szCs w:val="24"/>
        </w:rPr>
        <w:t xml:space="preserve">Som ved andre behandlinger af ulcus, skal muligheden for malign gastrisk tumor udelukkes, inden der indledes behandling af gastrisk ulcus med </w:t>
      </w:r>
      <w:proofErr w:type="spellStart"/>
      <w:r w:rsidRPr="009C3E06">
        <w:rPr>
          <w:sz w:val="24"/>
          <w:szCs w:val="24"/>
        </w:rPr>
        <w:t>lansoprazol</w:t>
      </w:r>
      <w:proofErr w:type="spellEnd"/>
      <w:r w:rsidRPr="009C3E06">
        <w:rPr>
          <w:sz w:val="24"/>
          <w:szCs w:val="24"/>
        </w:rPr>
        <w:t xml:space="preserve">, da </w:t>
      </w:r>
      <w:proofErr w:type="spellStart"/>
      <w:r w:rsidRPr="009C3E06">
        <w:rPr>
          <w:sz w:val="24"/>
          <w:szCs w:val="24"/>
        </w:rPr>
        <w:t>lansoprazol</w:t>
      </w:r>
      <w:proofErr w:type="spellEnd"/>
      <w:r w:rsidRPr="009C3E06">
        <w:rPr>
          <w:sz w:val="24"/>
          <w:szCs w:val="24"/>
        </w:rPr>
        <w:t xml:space="preserve"> kan maskere symptomerne og forsinke diagnosen.</w:t>
      </w:r>
    </w:p>
    <w:p w:rsidR="00BB1BE5" w:rsidRPr="009C3E06" w:rsidRDefault="00BB1BE5" w:rsidP="00BB1BE5">
      <w:pPr>
        <w:ind w:left="851" w:hanging="851"/>
        <w:rPr>
          <w:sz w:val="24"/>
          <w:szCs w:val="24"/>
        </w:rPr>
      </w:pPr>
    </w:p>
    <w:p w:rsidR="007A5F7A" w:rsidRPr="00D52B56" w:rsidRDefault="007A5F7A" w:rsidP="007A5F7A">
      <w:pPr>
        <w:ind w:left="851"/>
        <w:rPr>
          <w:sz w:val="24"/>
          <w:szCs w:val="24"/>
          <w:u w:val="single"/>
        </w:rPr>
      </w:pPr>
      <w:r w:rsidRPr="00D52B56">
        <w:rPr>
          <w:sz w:val="24"/>
          <w:szCs w:val="24"/>
          <w:u w:val="single"/>
        </w:rPr>
        <w:t xml:space="preserve">Bakterielle </w:t>
      </w:r>
      <w:proofErr w:type="spellStart"/>
      <w:r w:rsidRPr="00D52B56">
        <w:rPr>
          <w:sz w:val="24"/>
          <w:szCs w:val="24"/>
          <w:u w:val="single"/>
        </w:rPr>
        <w:t>gastrointestinale</w:t>
      </w:r>
      <w:proofErr w:type="spellEnd"/>
      <w:r w:rsidRPr="00D52B56">
        <w:rPr>
          <w:sz w:val="24"/>
          <w:szCs w:val="24"/>
          <w:u w:val="single"/>
        </w:rPr>
        <w:t xml:space="preserve"> infektioner</w:t>
      </w:r>
    </w:p>
    <w:p w:rsidR="007A5F7A" w:rsidRPr="009C3E06" w:rsidRDefault="007A5F7A" w:rsidP="007A5F7A">
      <w:pPr>
        <w:ind w:left="851"/>
        <w:rPr>
          <w:i/>
          <w:iCs/>
          <w:color w:val="000000"/>
          <w:sz w:val="24"/>
          <w:szCs w:val="24"/>
        </w:rPr>
      </w:pPr>
      <w:proofErr w:type="spellStart"/>
      <w:r w:rsidRPr="009C3E06">
        <w:rPr>
          <w:sz w:val="24"/>
          <w:szCs w:val="24"/>
        </w:rPr>
        <w:t>Lansoprazol</w:t>
      </w:r>
      <w:proofErr w:type="spellEnd"/>
      <w:r w:rsidRPr="009C3E06">
        <w:rPr>
          <w:sz w:val="24"/>
          <w:szCs w:val="24"/>
        </w:rPr>
        <w:t xml:space="preserve"> kan, ligesom alle </w:t>
      </w:r>
      <w:proofErr w:type="spellStart"/>
      <w:r>
        <w:rPr>
          <w:sz w:val="24"/>
          <w:szCs w:val="24"/>
        </w:rPr>
        <w:t>protonpumpehæmmere</w:t>
      </w:r>
      <w:proofErr w:type="spellEnd"/>
      <w:r>
        <w:rPr>
          <w:sz w:val="24"/>
          <w:szCs w:val="24"/>
        </w:rPr>
        <w:t xml:space="preserve"> (</w:t>
      </w:r>
      <w:r w:rsidRPr="009C3E06">
        <w:rPr>
          <w:sz w:val="24"/>
          <w:szCs w:val="24"/>
        </w:rPr>
        <w:t>PPI</w:t>
      </w:r>
      <w:r>
        <w:rPr>
          <w:sz w:val="24"/>
          <w:szCs w:val="24"/>
        </w:rPr>
        <w:t>)</w:t>
      </w:r>
      <w:r w:rsidRPr="009C3E06">
        <w:rPr>
          <w:sz w:val="24"/>
          <w:szCs w:val="24"/>
        </w:rPr>
        <w:t>, øge antallet af bakterier, der normalt er til</w:t>
      </w:r>
      <w:r>
        <w:rPr>
          <w:sz w:val="24"/>
          <w:szCs w:val="24"/>
        </w:rPr>
        <w:t xml:space="preserve"> </w:t>
      </w:r>
      <w:r w:rsidRPr="009C3E06">
        <w:rPr>
          <w:sz w:val="24"/>
          <w:szCs w:val="24"/>
        </w:rPr>
        <w:t xml:space="preserve">stede i </w:t>
      </w:r>
      <w:proofErr w:type="spellStart"/>
      <w:r w:rsidRPr="009C3E06">
        <w:rPr>
          <w:sz w:val="24"/>
          <w:szCs w:val="24"/>
        </w:rPr>
        <w:t>gastrointestinalkanalen</w:t>
      </w:r>
      <w:proofErr w:type="spellEnd"/>
      <w:r w:rsidRPr="009C3E06">
        <w:rPr>
          <w:sz w:val="24"/>
          <w:szCs w:val="24"/>
        </w:rPr>
        <w:t xml:space="preserve">. Dette kan øge risikoen for </w:t>
      </w:r>
      <w:proofErr w:type="spellStart"/>
      <w:r w:rsidRPr="009C3E06">
        <w:rPr>
          <w:sz w:val="24"/>
          <w:szCs w:val="24"/>
        </w:rPr>
        <w:t>gastrointestinale</w:t>
      </w:r>
      <w:proofErr w:type="spellEnd"/>
      <w:r w:rsidRPr="009C3E06">
        <w:rPr>
          <w:sz w:val="24"/>
          <w:szCs w:val="24"/>
        </w:rPr>
        <w:t xml:space="preserve"> infektioner grundet bakterier, såsom </w:t>
      </w:r>
      <w:r w:rsidRPr="009C3E06">
        <w:rPr>
          <w:i/>
          <w:sz w:val="24"/>
          <w:szCs w:val="24"/>
        </w:rPr>
        <w:t>Salmonella</w:t>
      </w:r>
      <w:r w:rsidRPr="009C3E06">
        <w:rPr>
          <w:sz w:val="24"/>
          <w:szCs w:val="24"/>
        </w:rPr>
        <w:t xml:space="preserve">, </w:t>
      </w:r>
      <w:r w:rsidRPr="009C3E06">
        <w:rPr>
          <w:i/>
          <w:sz w:val="24"/>
          <w:szCs w:val="24"/>
        </w:rPr>
        <w:t>Campylobacter</w:t>
      </w:r>
      <w:r w:rsidRPr="009C3E06">
        <w:rPr>
          <w:sz w:val="24"/>
          <w:szCs w:val="24"/>
        </w:rPr>
        <w:t xml:space="preserve"> og, især hos indlagte patienter, </w:t>
      </w:r>
      <w:proofErr w:type="spellStart"/>
      <w:r w:rsidRPr="009C3E06">
        <w:rPr>
          <w:i/>
          <w:iCs/>
          <w:color w:val="000000"/>
          <w:sz w:val="24"/>
          <w:szCs w:val="24"/>
        </w:rPr>
        <w:t>Clostridium</w:t>
      </w:r>
      <w:proofErr w:type="spellEnd"/>
      <w:r w:rsidRPr="009C3E06">
        <w:rPr>
          <w:i/>
          <w:iCs/>
          <w:color w:val="000000"/>
          <w:sz w:val="24"/>
          <w:szCs w:val="24"/>
        </w:rPr>
        <w:t xml:space="preserve"> difficile.</w:t>
      </w:r>
    </w:p>
    <w:p w:rsidR="00BB1BE5" w:rsidRPr="009C3E06" w:rsidRDefault="00BB1BE5" w:rsidP="00BB1BE5">
      <w:pPr>
        <w:ind w:left="851"/>
        <w:rPr>
          <w:sz w:val="24"/>
          <w:szCs w:val="24"/>
        </w:rPr>
      </w:pPr>
    </w:p>
    <w:p w:rsidR="007A5F7A" w:rsidRPr="00D52B56" w:rsidRDefault="007A5F7A" w:rsidP="007A5F7A">
      <w:pPr>
        <w:ind w:left="851"/>
        <w:rPr>
          <w:sz w:val="24"/>
          <w:szCs w:val="24"/>
          <w:u w:val="single"/>
        </w:rPr>
      </w:pPr>
      <w:r>
        <w:rPr>
          <w:sz w:val="24"/>
          <w:szCs w:val="24"/>
          <w:u w:val="single"/>
        </w:rPr>
        <w:t>H</w:t>
      </w:r>
      <w:r w:rsidRPr="00F32752">
        <w:rPr>
          <w:sz w:val="24"/>
          <w:szCs w:val="24"/>
          <w:u w:val="single"/>
        </w:rPr>
        <w:t xml:space="preserve">uman immundefekt virus </w:t>
      </w:r>
      <w:r>
        <w:rPr>
          <w:sz w:val="24"/>
          <w:szCs w:val="24"/>
          <w:u w:val="single"/>
        </w:rPr>
        <w:t>(</w:t>
      </w:r>
      <w:r w:rsidRPr="00D52B56">
        <w:rPr>
          <w:sz w:val="24"/>
          <w:szCs w:val="24"/>
          <w:u w:val="single"/>
        </w:rPr>
        <w:t>HIV</w:t>
      </w:r>
      <w:r>
        <w:rPr>
          <w:sz w:val="24"/>
          <w:szCs w:val="24"/>
          <w:u w:val="single"/>
        </w:rPr>
        <w:t>)</w:t>
      </w:r>
      <w:r w:rsidRPr="00D52B56">
        <w:rPr>
          <w:sz w:val="24"/>
          <w:szCs w:val="24"/>
          <w:u w:val="single"/>
        </w:rPr>
        <w:t>-</w:t>
      </w:r>
      <w:proofErr w:type="spellStart"/>
      <w:r w:rsidRPr="00D52B56">
        <w:rPr>
          <w:sz w:val="24"/>
          <w:szCs w:val="24"/>
          <w:u w:val="single"/>
        </w:rPr>
        <w:t>proteasehæmmere</w:t>
      </w:r>
      <w:proofErr w:type="spellEnd"/>
    </w:p>
    <w:p w:rsidR="00BB1BE5" w:rsidRPr="009C3E06" w:rsidRDefault="007A5F7A" w:rsidP="007A5F7A">
      <w:pPr>
        <w:ind w:left="851"/>
        <w:rPr>
          <w:sz w:val="24"/>
          <w:szCs w:val="24"/>
        </w:rPr>
      </w:pPr>
      <w:r w:rsidRPr="009C3E06">
        <w:rPr>
          <w:sz w:val="24"/>
          <w:szCs w:val="24"/>
        </w:rPr>
        <w:t xml:space="preserve">Samtidig anvendelse af </w:t>
      </w:r>
      <w:proofErr w:type="spellStart"/>
      <w:r w:rsidRPr="009C3E06">
        <w:rPr>
          <w:sz w:val="24"/>
          <w:szCs w:val="24"/>
        </w:rPr>
        <w:t>lansoprazol</w:t>
      </w:r>
      <w:proofErr w:type="spellEnd"/>
      <w:r w:rsidRPr="009C3E06">
        <w:rPr>
          <w:sz w:val="24"/>
          <w:szCs w:val="24"/>
        </w:rPr>
        <w:t xml:space="preserve"> med HIV-</w:t>
      </w:r>
      <w:proofErr w:type="spellStart"/>
      <w:r w:rsidRPr="009C3E06">
        <w:rPr>
          <w:sz w:val="24"/>
          <w:szCs w:val="24"/>
        </w:rPr>
        <w:t>proteasehæmmere</w:t>
      </w:r>
      <w:proofErr w:type="spellEnd"/>
      <w:r w:rsidRPr="009C3E06">
        <w:rPr>
          <w:sz w:val="24"/>
          <w:szCs w:val="24"/>
        </w:rPr>
        <w:t>, for hvilke absorption</w:t>
      </w:r>
      <w:r>
        <w:rPr>
          <w:sz w:val="24"/>
          <w:szCs w:val="24"/>
        </w:rPr>
        <w:t>en</w:t>
      </w:r>
      <w:r w:rsidRPr="009C3E06">
        <w:rPr>
          <w:sz w:val="24"/>
          <w:szCs w:val="24"/>
        </w:rPr>
        <w:t xml:space="preserve"> er afhængig af sur int</w:t>
      </w:r>
      <w:r>
        <w:rPr>
          <w:sz w:val="24"/>
          <w:szCs w:val="24"/>
        </w:rPr>
        <w:t>ra</w:t>
      </w:r>
      <w:r w:rsidRPr="009C3E06">
        <w:rPr>
          <w:sz w:val="24"/>
          <w:szCs w:val="24"/>
        </w:rPr>
        <w:t xml:space="preserve">gastrisk pH, såsom </w:t>
      </w:r>
      <w:proofErr w:type="spellStart"/>
      <w:r w:rsidRPr="009C3E06">
        <w:rPr>
          <w:sz w:val="24"/>
          <w:szCs w:val="24"/>
        </w:rPr>
        <w:t>atazanavir</w:t>
      </w:r>
      <w:proofErr w:type="spellEnd"/>
      <w:r w:rsidRPr="009C3E06">
        <w:rPr>
          <w:sz w:val="24"/>
          <w:szCs w:val="24"/>
        </w:rPr>
        <w:t xml:space="preserve"> og </w:t>
      </w:r>
      <w:proofErr w:type="spellStart"/>
      <w:r w:rsidRPr="009C3E06">
        <w:rPr>
          <w:sz w:val="24"/>
          <w:szCs w:val="24"/>
        </w:rPr>
        <w:t>nelfinavir</w:t>
      </w:r>
      <w:proofErr w:type="spellEnd"/>
      <w:r w:rsidRPr="009C3E06">
        <w:rPr>
          <w:sz w:val="24"/>
          <w:szCs w:val="24"/>
        </w:rPr>
        <w:t xml:space="preserve">, frarådes grundet en </w:t>
      </w:r>
      <w:r w:rsidRPr="009C3E06">
        <w:rPr>
          <w:sz w:val="24"/>
          <w:szCs w:val="24"/>
        </w:rPr>
        <w:lastRenderedPageBreak/>
        <w:t xml:space="preserve">signifikant reduktion i deres biotilgængelighed (se pkt. 4.5). Hvis samtidig anvendelse af </w:t>
      </w:r>
      <w:proofErr w:type="spellStart"/>
      <w:r w:rsidRPr="009C3E06">
        <w:rPr>
          <w:sz w:val="24"/>
          <w:szCs w:val="24"/>
        </w:rPr>
        <w:t>lansoprazol</w:t>
      </w:r>
      <w:proofErr w:type="spellEnd"/>
      <w:r w:rsidRPr="009C3E06">
        <w:rPr>
          <w:sz w:val="24"/>
          <w:szCs w:val="24"/>
        </w:rPr>
        <w:t xml:space="preserve"> med HIV-</w:t>
      </w:r>
      <w:proofErr w:type="spellStart"/>
      <w:r w:rsidRPr="009C3E06">
        <w:rPr>
          <w:sz w:val="24"/>
          <w:szCs w:val="24"/>
        </w:rPr>
        <w:t>proteasehæmmere</w:t>
      </w:r>
      <w:proofErr w:type="spellEnd"/>
      <w:r w:rsidRPr="009C3E06">
        <w:rPr>
          <w:sz w:val="24"/>
          <w:szCs w:val="24"/>
        </w:rPr>
        <w:t xml:space="preserve"> er uundgåelig anbefales nøje klinisk overvågning. </w:t>
      </w:r>
    </w:p>
    <w:p w:rsidR="007A5F7A" w:rsidRPr="00D52B56" w:rsidRDefault="007A5F7A" w:rsidP="007A5F7A">
      <w:pPr>
        <w:ind w:left="851"/>
        <w:rPr>
          <w:sz w:val="24"/>
          <w:szCs w:val="24"/>
          <w:u w:val="single"/>
        </w:rPr>
      </w:pPr>
      <w:proofErr w:type="spellStart"/>
      <w:r w:rsidRPr="00D52B56">
        <w:rPr>
          <w:sz w:val="24"/>
          <w:szCs w:val="24"/>
          <w:u w:val="single"/>
        </w:rPr>
        <w:t>Hypomagnesiæmi</w:t>
      </w:r>
      <w:proofErr w:type="spellEnd"/>
    </w:p>
    <w:p w:rsidR="007A5F7A" w:rsidRDefault="007A5F7A" w:rsidP="007A5F7A">
      <w:pPr>
        <w:ind w:left="851"/>
        <w:rPr>
          <w:sz w:val="24"/>
          <w:szCs w:val="24"/>
        </w:rPr>
      </w:pPr>
      <w:r>
        <w:rPr>
          <w:sz w:val="24"/>
          <w:szCs w:val="24"/>
        </w:rPr>
        <w:t xml:space="preserve">Sjældne tilfælde af svær </w:t>
      </w:r>
      <w:proofErr w:type="spellStart"/>
      <w:r>
        <w:rPr>
          <w:sz w:val="24"/>
          <w:szCs w:val="24"/>
        </w:rPr>
        <w:t>hypomagnesiæmi</w:t>
      </w:r>
      <w:proofErr w:type="spellEnd"/>
      <w:r>
        <w:rPr>
          <w:sz w:val="24"/>
          <w:szCs w:val="24"/>
        </w:rPr>
        <w:t xml:space="preserve"> er rapporteret hos patienter i behandling med </w:t>
      </w:r>
      <w:proofErr w:type="spellStart"/>
      <w:r>
        <w:rPr>
          <w:sz w:val="24"/>
          <w:szCs w:val="24"/>
        </w:rPr>
        <w:t>PPI’er</w:t>
      </w:r>
      <w:proofErr w:type="spellEnd"/>
      <w:r>
        <w:rPr>
          <w:sz w:val="24"/>
          <w:szCs w:val="24"/>
        </w:rPr>
        <w:t xml:space="preserve"> som </w:t>
      </w:r>
      <w:proofErr w:type="spellStart"/>
      <w:r>
        <w:rPr>
          <w:sz w:val="24"/>
          <w:szCs w:val="24"/>
        </w:rPr>
        <w:t>lansoprazol</w:t>
      </w:r>
      <w:proofErr w:type="spellEnd"/>
      <w:r>
        <w:rPr>
          <w:sz w:val="24"/>
          <w:szCs w:val="24"/>
        </w:rPr>
        <w:t xml:space="preserve"> i mindst tre måneder og i de fleste tilfælde et år. Der kan forekomme alvorlige tegn på </w:t>
      </w:r>
      <w:proofErr w:type="spellStart"/>
      <w:r>
        <w:rPr>
          <w:sz w:val="24"/>
          <w:szCs w:val="24"/>
        </w:rPr>
        <w:t>hypomagnesiæmi</w:t>
      </w:r>
      <w:proofErr w:type="spellEnd"/>
      <w:r>
        <w:rPr>
          <w:sz w:val="24"/>
          <w:szCs w:val="24"/>
        </w:rPr>
        <w:t xml:space="preserve"> såsom træthed, tetani, delirium, konvulsioner, svimmelhed og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men disse kan begynde snigende og kan blive overset. </w:t>
      </w:r>
      <w:proofErr w:type="spellStart"/>
      <w:r>
        <w:rPr>
          <w:sz w:val="24"/>
          <w:szCs w:val="24"/>
        </w:rPr>
        <w:t>Hypomagnesiæmi</w:t>
      </w:r>
      <w:proofErr w:type="spellEnd"/>
      <w:r>
        <w:rPr>
          <w:sz w:val="24"/>
          <w:szCs w:val="24"/>
        </w:rPr>
        <w:t xml:space="preserve"> kan føre til </w:t>
      </w:r>
      <w:proofErr w:type="spellStart"/>
      <w:r>
        <w:rPr>
          <w:sz w:val="24"/>
          <w:szCs w:val="24"/>
        </w:rPr>
        <w:t>hypocalcæmi</w:t>
      </w:r>
      <w:proofErr w:type="spellEnd"/>
      <w:r>
        <w:rPr>
          <w:sz w:val="24"/>
          <w:szCs w:val="24"/>
        </w:rPr>
        <w:t xml:space="preserve"> og/eller </w:t>
      </w:r>
      <w:proofErr w:type="spellStart"/>
      <w:r>
        <w:rPr>
          <w:sz w:val="24"/>
          <w:szCs w:val="24"/>
        </w:rPr>
        <w:t>hypokaliæmi</w:t>
      </w:r>
      <w:proofErr w:type="spellEnd"/>
      <w:r>
        <w:rPr>
          <w:sz w:val="24"/>
          <w:szCs w:val="24"/>
        </w:rPr>
        <w:t xml:space="preserve"> (se pkt. 4.8). Hos de fleste påvirkede patienter forbedredes </w:t>
      </w:r>
      <w:proofErr w:type="spellStart"/>
      <w:r>
        <w:rPr>
          <w:sz w:val="24"/>
          <w:szCs w:val="24"/>
        </w:rPr>
        <w:t>hypomagnesiæmi</w:t>
      </w:r>
      <w:proofErr w:type="spellEnd"/>
      <w:r>
        <w:rPr>
          <w:sz w:val="24"/>
          <w:szCs w:val="24"/>
        </w:rPr>
        <w:t xml:space="preserve"> (og </w:t>
      </w:r>
      <w:proofErr w:type="spellStart"/>
      <w:r>
        <w:rPr>
          <w:sz w:val="24"/>
          <w:szCs w:val="24"/>
        </w:rPr>
        <w:t>hypomagnesiæmi</w:t>
      </w:r>
      <w:proofErr w:type="spellEnd"/>
      <w:r>
        <w:rPr>
          <w:sz w:val="24"/>
          <w:szCs w:val="24"/>
        </w:rPr>
        <w:t xml:space="preserve"> forbundet med </w:t>
      </w:r>
      <w:proofErr w:type="spellStart"/>
      <w:r>
        <w:rPr>
          <w:sz w:val="24"/>
          <w:szCs w:val="24"/>
        </w:rPr>
        <w:t>hypocalcæmi</w:t>
      </w:r>
      <w:proofErr w:type="spellEnd"/>
      <w:r>
        <w:rPr>
          <w:sz w:val="24"/>
          <w:szCs w:val="24"/>
        </w:rPr>
        <w:t xml:space="preserve"> og/eller </w:t>
      </w:r>
      <w:proofErr w:type="spellStart"/>
      <w:r>
        <w:rPr>
          <w:sz w:val="24"/>
          <w:szCs w:val="24"/>
        </w:rPr>
        <w:t>hypokaliæmi</w:t>
      </w:r>
      <w:proofErr w:type="spellEnd"/>
      <w:r>
        <w:rPr>
          <w:sz w:val="24"/>
          <w:szCs w:val="24"/>
        </w:rPr>
        <w:t xml:space="preserve">) efter magnesiumtilskud og </w:t>
      </w:r>
      <w:proofErr w:type="spellStart"/>
      <w:r>
        <w:rPr>
          <w:sz w:val="24"/>
          <w:szCs w:val="24"/>
        </w:rPr>
        <w:t>seponering</w:t>
      </w:r>
      <w:proofErr w:type="spellEnd"/>
      <w:r>
        <w:rPr>
          <w:sz w:val="24"/>
          <w:szCs w:val="24"/>
        </w:rPr>
        <w:t xml:space="preserve"> af PPI-præparatet.</w:t>
      </w:r>
    </w:p>
    <w:p w:rsidR="00BB1BE5" w:rsidRPr="009C3E06" w:rsidRDefault="00BB1BE5" w:rsidP="00BB1BE5">
      <w:pPr>
        <w:ind w:left="851"/>
        <w:rPr>
          <w:sz w:val="24"/>
          <w:szCs w:val="24"/>
        </w:rPr>
      </w:pPr>
    </w:p>
    <w:p w:rsidR="00BB1BE5" w:rsidRDefault="00BB1BE5" w:rsidP="00BB1BE5">
      <w:pPr>
        <w:ind w:left="851"/>
        <w:rPr>
          <w:sz w:val="24"/>
          <w:szCs w:val="24"/>
        </w:rPr>
      </w:pPr>
      <w:r w:rsidRPr="009C3E06">
        <w:rPr>
          <w:sz w:val="24"/>
          <w:szCs w:val="24"/>
        </w:rPr>
        <w:t xml:space="preserve">Sundhedspersoner bør overveje at måle magnesiumkoncentrationen inden behandling med PPI og jævnligt under behandlingen hos patienter, der forventes at være i langvarig behandling, eller som tager PPI-præparater sammen med </w:t>
      </w:r>
      <w:proofErr w:type="spellStart"/>
      <w:r w:rsidRPr="009C3E06">
        <w:rPr>
          <w:sz w:val="24"/>
          <w:szCs w:val="24"/>
        </w:rPr>
        <w:t>digoxin</w:t>
      </w:r>
      <w:proofErr w:type="spellEnd"/>
      <w:r w:rsidRPr="009C3E06">
        <w:rPr>
          <w:sz w:val="24"/>
          <w:szCs w:val="24"/>
        </w:rPr>
        <w:t xml:space="preserve"> eller lægemidler, der kan forårsage </w:t>
      </w:r>
      <w:proofErr w:type="spellStart"/>
      <w:r w:rsidRPr="009C3E06">
        <w:rPr>
          <w:sz w:val="24"/>
          <w:szCs w:val="24"/>
        </w:rPr>
        <w:t>hypomagnesiæmi</w:t>
      </w:r>
      <w:proofErr w:type="spellEnd"/>
      <w:r w:rsidRPr="009C3E06">
        <w:rPr>
          <w:sz w:val="24"/>
          <w:szCs w:val="24"/>
        </w:rPr>
        <w:t xml:space="preserve"> (f.eks. </w:t>
      </w:r>
      <w:proofErr w:type="spellStart"/>
      <w:r w:rsidRPr="009C3E06">
        <w:rPr>
          <w:sz w:val="24"/>
          <w:szCs w:val="24"/>
        </w:rPr>
        <w:t>diuretika</w:t>
      </w:r>
      <w:proofErr w:type="spellEnd"/>
      <w:r w:rsidRPr="009C3E06">
        <w:rPr>
          <w:sz w:val="24"/>
          <w:szCs w:val="24"/>
        </w:rPr>
        <w:t>).</w:t>
      </w:r>
    </w:p>
    <w:p w:rsidR="007A5F7A" w:rsidRDefault="007A5F7A" w:rsidP="00BB1BE5">
      <w:pPr>
        <w:ind w:left="851"/>
        <w:rPr>
          <w:sz w:val="24"/>
          <w:szCs w:val="24"/>
        </w:rPr>
      </w:pPr>
    </w:p>
    <w:p w:rsidR="007A5F7A" w:rsidRPr="0049030B" w:rsidRDefault="007A5F7A" w:rsidP="007A5F7A">
      <w:pPr>
        <w:ind w:left="851"/>
        <w:rPr>
          <w:sz w:val="24"/>
          <w:szCs w:val="24"/>
          <w:u w:val="single"/>
        </w:rPr>
      </w:pPr>
      <w:r w:rsidRPr="0049030B">
        <w:rPr>
          <w:sz w:val="24"/>
          <w:szCs w:val="24"/>
          <w:u w:val="single"/>
        </w:rPr>
        <w:t xml:space="preserve">Interferens med laboratorieprøver </w:t>
      </w:r>
    </w:p>
    <w:p w:rsidR="007A5F7A" w:rsidRPr="0049030B" w:rsidRDefault="007A5F7A" w:rsidP="007A5F7A">
      <w:pPr>
        <w:ind w:left="851"/>
        <w:rPr>
          <w:sz w:val="24"/>
          <w:szCs w:val="24"/>
        </w:rPr>
      </w:pPr>
      <w:r w:rsidRPr="0049030B">
        <w:rPr>
          <w:sz w:val="24"/>
          <w:szCs w:val="24"/>
        </w:rPr>
        <w:t>Forhøjet</w:t>
      </w:r>
      <w:r>
        <w:rPr>
          <w:sz w:val="24"/>
          <w:szCs w:val="24"/>
        </w:rPr>
        <w:t xml:space="preserve"> niveau af</w:t>
      </w:r>
      <w:r w:rsidRPr="0049030B">
        <w:rPr>
          <w:sz w:val="24"/>
          <w:szCs w:val="24"/>
        </w:rPr>
        <w:t xml:space="preserve"> </w:t>
      </w:r>
      <w:proofErr w:type="spellStart"/>
      <w:r w:rsidRPr="0049030B">
        <w:rPr>
          <w:sz w:val="24"/>
          <w:szCs w:val="24"/>
        </w:rPr>
        <w:t>chromogranin</w:t>
      </w:r>
      <w:proofErr w:type="spellEnd"/>
      <w:r w:rsidRPr="0049030B">
        <w:rPr>
          <w:sz w:val="24"/>
          <w:szCs w:val="24"/>
        </w:rPr>
        <w:t xml:space="preserve"> A (</w:t>
      </w:r>
      <w:proofErr w:type="spellStart"/>
      <w:r w:rsidRPr="0049030B">
        <w:rPr>
          <w:sz w:val="24"/>
          <w:szCs w:val="24"/>
        </w:rPr>
        <w:t>CgA</w:t>
      </w:r>
      <w:proofErr w:type="spellEnd"/>
      <w:r w:rsidRPr="0049030B">
        <w:rPr>
          <w:sz w:val="24"/>
          <w:szCs w:val="24"/>
        </w:rPr>
        <w:t xml:space="preserve">) kan interferere med undersøgelser for </w:t>
      </w:r>
      <w:proofErr w:type="spellStart"/>
      <w:r w:rsidRPr="0049030B">
        <w:rPr>
          <w:sz w:val="24"/>
          <w:szCs w:val="24"/>
        </w:rPr>
        <w:t>neuroendokrine</w:t>
      </w:r>
      <w:proofErr w:type="spellEnd"/>
      <w:r w:rsidRPr="0049030B">
        <w:rPr>
          <w:sz w:val="24"/>
          <w:szCs w:val="24"/>
        </w:rPr>
        <w:t xml:space="preserve"> tumorer. For at undgå denne interferens bør </w:t>
      </w:r>
      <w:r>
        <w:rPr>
          <w:sz w:val="24"/>
          <w:szCs w:val="24"/>
        </w:rPr>
        <w:t xml:space="preserve">behandlingen med </w:t>
      </w:r>
      <w:proofErr w:type="spellStart"/>
      <w:r w:rsidRPr="0049030B">
        <w:rPr>
          <w:sz w:val="24"/>
          <w:szCs w:val="24"/>
        </w:rPr>
        <w:t>lanzoprazol</w:t>
      </w:r>
      <w:proofErr w:type="spellEnd"/>
      <w:r w:rsidRPr="0049030B">
        <w:rPr>
          <w:sz w:val="24"/>
          <w:szCs w:val="24"/>
        </w:rPr>
        <w:t xml:space="preserve"> seponeres mindst 5</w:t>
      </w:r>
      <w:r>
        <w:rPr>
          <w:sz w:val="24"/>
          <w:szCs w:val="24"/>
        </w:rPr>
        <w:t> </w:t>
      </w:r>
      <w:r w:rsidRPr="0049030B">
        <w:rPr>
          <w:sz w:val="24"/>
          <w:szCs w:val="24"/>
        </w:rPr>
        <w:t xml:space="preserve">dage inden måling af </w:t>
      </w:r>
      <w:proofErr w:type="spellStart"/>
      <w:r w:rsidRPr="0049030B">
        <w:rPr>
          <w:sz w:val="24"/>
          <w:szCs w:val="24"/>
        </w:rPr>
        <w:t>CgA</w:t>
      </w:r>
      <w:proofErr w:type="spellEnd"/>
      <w:r w:rsidRPr="0049030B">
        <w:rPr>
          <w:sz w:val="24"/>
          <w:szCs w:val="24"/>
        </w:rPr>
        <w:t xml:space="preserve"> (se pkt.</w:t>
      </w:r>
      <w:r>
        <w:rPr>
          <w:sz w:val="24"/>
          <w:szCs w:val="24"/>
        </w:rPr>
        <w:t> </w:t>
      </w:r>
      <w:r w:rsidRPr="0049030B">
        <w:rPr>
          <w:sz w:val="24"/>
          <w:szCs w:val="24"/>
        </w:rPr>
        <w:t xml:space="preserve">5.1). Hvis </w:t>
      </w:r>
      <w:r>
        <w:rPr>
          <w:sz w:val="24"/>
          <w:szCs w:val="24"/>
        </w:rPr>
        <w:t>niveauerne</w:t>
      </w:r>
      <w:r w:rsidRPr="0049030B">
        <w:rPr>
          <w:sz w:val="24"/>
          <w:szCs w:val="24"/>
        </w:rPr>
        <w:t xml:space="preserve"> af </w:t>
      </w:r>
      <w:proofErr w:type="spellStart"/>
      <w:r w:rsidRPr="0049030B">
        <w:rPr>
          <w:sz w:val="24"/>
          <w:szCs w:val="24"/>
        </w:rPr>
        <w:t>CgA</w:t>
      </w:r>
      <w:proofErr w:type="spellEnd"/>
      <w:r w:rsidRPr="0049030B">
        <w:rPr>
          <w:sz w:val="24"/>
          <w:szCs w:val="24"/>
        </w:rPr>
        <w:t xml:space="preserve"> og gastrin ikke er </w:t>
      </w:r>
      <w:r>
        <w:rPr>
          <w:sz w:val="24"/>
          <w:szCs w:val="24"/>
        </w:rPr>
        <w:t>vendt tilbage</w:t>
      </w:r>
      <w:r w:rsidRPr="0049030B">
        <w:rPr>
          <w:sz w:val="24"/>
          <w:szCs w:val="24"/>
        </w:rPr>
        <w:t xml:space="preserve"> til referenceområdet </w:t>
      </w:r>
      <w:r>
        <w:rPr>
          <w:sz w:val="24"/>
          <w:szCs w:val="24"/>
        </w:rPr>
        <w:t>efter</w:t>
      </w:r>
      <w:r w:rsidRPr="0049030B">
        <w:rPr>
          <w:sz w:val="24"/>
          <w:szCs w:val="24"/>
        </w:rPr>
        <w:t xml:space="preserve"> den første måling, bør målingen gentages 14</w:t>
      </w:r>
      <w:r>
        <w:rPr>
          <w:sz w:val="24"/>
          <w:szCs w:val="24"/>
        </w:rPr>
        <w:t> </w:t>
      </w:r>
      <w:r w:rsidRPr="0049030B">
        <w:rPr>
          <w:sz w:val="24"/>
          <w:szCs w:val="24"/>
        </w:rPr>
        <w:t xml:space="preserve">dage efter </w:t>
      </w:r>
      <w:proofErr w:type="spellStart"/>
      <w:r w:rsidRPr="0049030B">
        <w:rPr>
          <w:sz w:val="24"/>
          <w:szCs w:val="24"/>
        </w:rPr>
        <w:t>seponering</w:t>
      </w:r>
      <w:proofErr w:type="spellEnd"/>
      <w:r w:rsidRPr="0049030B">
        <w:rPr>
          <w:sz w:val="24"/>
          <w:szCs w:val="24"/>
        </w:rPr>
        <w:t xml:space="preserve"> af protonpumpehæmmeren.</w:t>
      </w:r>
    </w:p>
    <w:p w:rsidR="00BB1BE5" w:rsidRPr="009C3E06" w:rsidRDefault="00BB1BE5" w:rsidP="00BB1BE5">
      <w:pPr>
        <w:ind w:left="851"/>
        <w:rPr>
          <w:sz w:val="24"/>
          <w:szCs w:val="24"/>
        </w:rPr>
      </w:pPr>
    </w:p>
    <w:p w:rsidR="007A5F7A" w:rsidRDefault="007A5F7A" w:rsidP="007A5F7A">
      <w:pPr>
        <w:ind w:left="851"/>
        <w:rPr>
          <w:sz w:val="24"/>
          <w:szCs w:val="24"/>
        </w:rPr>
      </w:pPr>
      <w:r w:rsidRPr="00B25FF1">
        <w:rPr>
          <w:sz w:val="24"/>
          <w:szCs w:val="24"/>
          <w:u w:val="single"/>
        </w:rPr>
        <w:t>Påvirkning af vitamin B12-optagelse</w:t>
      </w:r>
      <w:r>
        <w:rPr>
          <w:sz w:val="24"/>
          <w:szCs w:val="24"/>
          <w:u w:val="single"/>
        </w:rPr>
        <w:t>n</w:t>
      </w:r>
    </w:p>
    <w:p w:rsidR="007A5F7A" w:rsidRPr="009C3E06" w:rsidRDefault="007A5F7A" w:rsidP="007A5F7A">
      <w:pPr>
        <w:ind w:left="851"/>
        <w:rPr>
          <w:sz w:val="24"/>
          <w:szCs w:val="24"/>
        </w:rPr>
      </w:pPr>
      <w:r w:rsidRPr="009C3E06">
        <w:rPr>
          <w:sz w:val="24"/>
          <w:szCs w:val="24"/>
        </w:rPr>
        <w:t xml:space="preserve">Daglig behandling med hvilken som helst syre-hæmmende lægemiddel over en længere periode (flere år) kan føre til </w:t>
      </w:r>
      <w:proofErr w:type="spellStart"/>
      <w:r w:rsidRPr="009C3E06">
        <w:rPr>
          <w:sz w:val="24"/>
          <w:szCs w:val="24"/>
        </w:rPr>
        <w:t>malabsorption</w:t>
      </w:r>
      <w:proofErr w:type="spellEnd"/>
      <w:r w:rsidRPr="009C3E06">
        <w:rPr>
          <w:sz w:val="24"/>
          <w:szCs w:val="24"/>
        </w:rPr>
        <w:t xml:space="preserve"> af vitamin B12 (</w:t>
      </w:r>
      <w:proofErr w:type="spellStart"/>
      <w:r w:rsidRPr="009C3E06">
        <w:rPr>
          <w:sz w:val="24"/>
          <w:szCs w:val="24"/>
        </w:rPr>
        <w:t>cyanocobalamin</w:t>
      </w:r>
      <w:proofErr w:type="spellEnd"/>
      <w:r w:rsidRPr="009C3E06">
        <w:rPr>
          <w:sz w:val="24"/>
          <w:szCs w:val="24"/>
        </w:rPr>
        <w:t xml:space="preserve">) på grund af </w:t>
      </w:r>
      <w:proofErr w:type="spellStart"/>
      <w:r w:rsidRPr="009C3E06">
        <w:rPr>
          <w:sz w:val="24"/>
          <w:szCs w:val="24"/>
        </w:rPr>
        <w:t>hypochlorhydri</w:t>
      </w:r>
      <w:proofErr w:type="spellEnd"/>
      <w:r w:rsidRPr="009C3E06">
        <w:rPr>
          <w:sz w:val="24"/>
          <w:szCs w:val="24"/>
        </w:rPr>
        <w:t xml:space="preserve"> eller </w:t>
      </w:r>
      <w:proofErr w:type="spellStart"/>
      <w:r w:rsidRPr="009C3E06">
        <w:rPr>
          <w:sz w:val="24"/>
          <w:szCs w:val="24"/>
        </w:rPr>
        <w:t>achlorhydri</w:t>
      </w:r>
      <w:proofErr w:type="spellEnd"/>
      <w:r w:rsidRPr="009C3E06">
        <w:rPr>
          <w:sz w:val="24"/>
          <w:szCs w:val="24"/>
        </w:rPr>
        <w:t>.</w:t>
      </w:r>
      <w:r>
        <w:rPr>
          <w:sz w:val="24"/>
          <w:szCs w:val="24"/>
        </w:rPr>
        <w:t xml:space="preserve"> </w:t>
      </w:r>
      <w:proofErr w:type="spellStart"/>
      <w:r w:rsidRPr="009C3E06">
        <w:rPr>
          <w:sz w:val="24"/>
          <w:szCs w:val="24"/>
        </w:rPr>
        <w:t>Cyanocobalamin</w:t>
      </w:r>
      <w:proofErr w:type="spellEnd"/>
      <w:r w:rsidRPr="009C3E06">
        <w:rPr>
          <w:sz w:val="24"/>
          <w:szCs w:val="24"/>
        </w:rPr>
        <w:t xml:space="preserve">-mangel bør overvejes hos patienter med </w:t>
      </w:r>
      <w:proofErr w:type="spellStart"/>
      <w:r w:rsidRPr="009C3E06">
        <w:rPr>
          <w:sz w:val="24"/>
          <w:szCs w:val="24"/>
        </w:rPr>
        <w:t>Zollinger-Ellison</w:t>
      </w:r>
      <w:proofErr w:type="spellEnd"/>
      <w:r w:rsidRPr="009C3E06">
        <w:rPr>
          <w:sz w:val="24"/>
          <w:szCs w:val="24"/>
        </w:rPr>
        <w:t xml:space="preserve"> syndrom og andre patologiske </w:t>
      </w:r>
      <w:proofErr w:type="spellStart"/>
      <w:r w:rsidRPr="009C3E06">
        <w:rPr>
          <w:sz w:val="24"/>
          <w:szCs w:val="24"/>
        </w:rPr>
        <w:t>hypersekretoriske</w:t>
      </w:r>
      <w:proofErr w:type="spellEnd"/>
      <w:r w:rsidRPr="009C3E06">
        <w:rPr>
          <w:sz w:val="24"/>
          <w:szCs w:val="24"/>
        </w:rPr>
        <w:t xml:space="preserve"> tilstande, der kræver langvarig behandling, personer med reducerede kropsreserver eller ved risikofaktorer for reduceret absorption af vitamin B12 (såsom ældre) under længerevarende behandling eller hos hvem relevante kliniske symptomer er observeret.</w:t>
      </w:r>
    </w:p>
    <w:p w:rsidR="00BB1BE5" w:rsidRPr="009C3E06" w:rsidRDefault="00BB1BE5" w:rsidP="00BB1BE5">
      <w:pPr>
        <w:ind w:left="851" w:hanging="851"/>
        <w:rPr>
          <w:sz w:val="24"/>
          <w:szCs w:val="24"/>
        </w:rPr>
      </w:pPr>
    </w:p>
    <w:p w:rsidR="007A5F7A" w:rsidRPr="00D52B56" w:rsidRDefault="00BB1BE5" w:rsidP="007A5F7A">
      <w:pPr>
        <w:ind w:left="851" w:hanging="851"/>
        <w:rPr>
          <w:sz w:val="24"/>
          <w:szCs w:val="24"/>
          <w:u w:val="single"/>
        </w:rPr>
      </w:pPr>
      <w:r w:rsidRPr="009C3E06">
        <w:rPr>
          <w:sz w:val="24"/>
          <w:szCs w:val="24"/>
        </w:rPr>
        <w:tab/>
      </w:r>
      <w:r w:rsidR="007A5F7A" w:rsidRPr="00D52B56">
        <w:rPr>
          <w:sz w:val="24"/>
          <w:szCs w:val="24"/>
          <w:u w:val="single"/>
        </w:rPr>
        <w:t>Nedsat leverfunktion</w:t>
      </w:r>
    </w:p>
    <w:p w:rsidR="007A5F7A" w:rsidRPr="009C3E06" w:rsidRDefault="007A5F7A" w:rsidP="007A5F7A">
      <w:pPr>
        <w:ind w:left="851"/>
        <w:rPr>
          <w:sz w:val="24"/>
          <w:szCs w:val="24"/>
        </w:rPr>
      </w:pPr>
      <w:proofErr w:type="spellStart"/>
      <w:r>
        <w:rPr>
          <w:sz w:val="24"/>
          <w:szCs w:val="24"/>
        </w:rPr>
        <w:t>Lansoprazol</w:t>
      </w:r>
      <w:proofErr w:type="spellEnd"/>
      <w:r>
        <w:rPr>
          <w:sz w:val="24"/>
          <w:szCs w:val="24"/>
        </w:rPr>
        <w:t xml:space="preserve"> bør anvendes med forsigtighed hos patienter med moderat og svært nedsat </w:t>
      </w:r>
      <w:proofErr w:type="gramStart"/>
      <w:r>
        <w:rPr>
          <w:sz w:val="24"/>
          <w:szCs w:val="24"/>
        </w:rPr>
        <w:t>leverfunktion  (</w:t>
      </w:r>
      <w:proofErr w:type="gramEnd"/>
      <w:r>
        <w:rPr>
          <w:sz w:val="24"/>
          <w:szCs w:val="24"/>
        </w:rPr>
        <w:t>se pkt. 4.2 og 5.2).</w:t>
      </w:r>
    </w:p>
    <w:p w:rsidR="00BB1BE5" w:rsidRPr="009C3E06" w:rsidRDefault="00BB1BE5" w:rsidP="007A5F7A">
      <w:pPr>
        <w:ind w:left="851" w:hanging="851"/>
        <w:rPr>
          <w:sz w:val="24"/>
          <w:szCs w:val="24"/>
        </w:rPr>
      </w:pPr>
    </w:p>
    <w:p w:rsidR="007A5F7A" w:rsidRPr="00D52B56" w:rsidRDefault="007A5F7A" w:rsidP="007A5F7A">
      <w:pPr>
        <w:ind w:left="851"/>
        <w:rPr>
          <w:sz w:val="24"/>
          <w:szCs w:val="24"/>
          <w:u w:val="single"/>
        </w:rPr>
      </w:pPr>
      <w:r w:rsidRPr="00D52B56">
        <w:rPr>
          <w:sz w:val="24"/>
          <w:szCs w:val="24"/>
          <w:u w:val="single"/>
        </w:rPr>
        <w:t xml:space="preserve">Bakterielle </w:t>
      </w:r>
      <w:proofErr w:type="spellStart"/>
      <w:r w:rsidRPr="00D52B56">
        <w:rPr>
          <w:sz w:val="24"/>
          <w:szCs w:val="24"/>
          <w:u w:val="single"/>
        </w:rPr>
        <w:t>g</w:t>
      </w:r>
      <w:r>
        <w:rPr>
          <w:sz w:val="24"/>
          <w:szCs w:val="24"/>
          <w:u w:val="single"/>
        </w:rPr>
        <w:t>a</w:t>
      </w:r>
      <w:r w:rsidRPr="00D52B56">
        <w:rPr>
          <w:sz w:val="24"/>
          <w:szCs w:val="24"/>
          <w:u w:val="single"/>
        </w:rPr>
        <w:t>strointestinale</w:t>
      </w:r>
      <w:proofErr w:type="spellEnd"/>
      <w:r w:rsidRPr="00D52B56">
        <w:rPr>
          <w:sz w:val="24"/>
          <w:szCs w:val="24"/>
          <w:u w:val="single"/>
        </w:rPr>
        <w:t xml:space="preserve"> infektioner </w:t>
      </w:r>
    </w:p>
    <w:p w:rsidR="007A5F7A" w:rsidRPr="009C3E06" w:rsidRDefault="007A5F7A" w:rsidP="007A5F7A">
      <w:pPr>
        <w:ind w:left="851"/>
        <w:rPr>
          <w:sz w:val="24"/>
          <w:szCs w:val="24"/>
        </w:rPr>
      </w:pPr>
      <w:r w:rsidRPr="009C3E06">
        <w:rPr>
          <w:sz w:val="24"/>
          <w:szCs w:val="24"/>
        </w:rPr>
        <w:t xml:space="preserve">Nedsat </w:t>
      </w:r>
      <w:proofErr w:type="spellStart"/>
      <w:r w:rsidRPr="009C3E06">
        <w:rPr>
          <w:sz w:val="24"/>
          <w:szCs w:val="24"/>
        </w:rPr>
        <w:t>ventrikelaciditet</w:t>
      </w:r>
      <w:proofErr w:type="spellEnd"/>
      <w:r w:rsidRPr="009C3E06">
        <w:rPr>
          <w:sz w:val="24"/>
          <w:szCs w:val="24"/>
        </w:rPr>
        <w:t xml:space="preserve"> på grund af </w:t>
      </w:r>
      <w:proofErr w:type="spellStart"/>
      <w:r w:rsidRPr="009C3E06">
        <w:rPr>
          <w:sz w:val="24"/>
          <w:szCs w:val="24"/>
        </w:rPr>
        <w:t>lansoprazol</w:t>
      </w:r>
      <w:proofErr w:type="spellEnd"/>
      <w:r w:rsidRPr="009C3E06">
        <w:rPr>
          <w:sz w:val="24"/>
          <w:szCs w:val="24"/>
        </w:rPr>
        <w:t xml:space="preserve"> kan forventes at øge forekomsten af bakterier, der normalt er til stede i </w:t>
      </w:r>
      <w:proofErr w:type="spellStart"/>
      <w:r w:rsidRPr="009C3E06">
        <w:rPr>
          <w:sz w:val="24"/>
          <w:szCs w:val="24"/>
        </w:rPr>
        <w:t>gastrointestinalkanalen</w:t>
      </w:r>
      <w:proofErr w:type="spellEnd"/>
      <w:r w:rsidRPr="009C3E06">
        <w:rPr>
          <w:sz w:val="24"/>
          <w:szCs w:val="24"/>
        </w:rPr>
        <w:t xml:space="preserve">. Behandling med </w:t>
      </w:r>
      <w:proofErr w:type="spellStart"/>
      <w:r w:rsidRPr="009C3E06">
        <w:rPr>
          <w:sz w:val="24"/>
          <w:szCs w:val="24"/>
        </w:rPr>
        <w:t>lansoprazol</w:t>
      </w:r>
      <w:proofErr w:type="spellEnd"/>
      <w:r w:rsidRPr="009C3E06">
        <w:rPr>
          <w:sz w:val="24"/>
          <w:szCs w:val="24"/>
        </w:rPr>
        <w:t xml:space="preserve"> kan medføre en let forhøjet risiko for </w:t>
      </w:r>
      <w:proofErr w:type="spellStart"/>
      <w:r w:rsidRPr="009C3E06">
        <w:rPr>
          <w:sz w:val="24"/>
          <w:szCs w:val="24"/>
        </w:rPr>
        <w:t>gastrointestinale</w:t>
      </w:r>
      <w:proofErr w:type="spellEnd"/>
      <w:r w:rsidRPr="009C3E06">
        <w:rPr>
          <w:sz w:val="24"/>
          <w:szCs w:val="24"/>
        </w:rPr>
        <w:t xml:space="preserve"> infektioner som for eksempel med </w:t>
      </w:r>
      <w:r w:rsidRPr="009C3E06">
        <w:rPr>
          <w:i/>
          <w:iCs/>
          <w:sz w:val="24"/>
          <w:szCs w:val="24"/>
        </w:rPr>
        <w:t>Salmonella</w:t>
      </w:r>
      <w:r w:rsidRPr="009C3E06">
        <w:rPr>
          <w:sz w:val="24"/>
          <w:szCs w:val="24"/>
        </w:rPr>
        <w:t xml:space="preserve"> og </w:t>
      </w:r>
      <w:r w:rsidRPr="009C3E06">
        <w:rPr>
          <w:i/>
          <w:iCs/>
          <w:sz w:val="24"/>
          <w:szCs w:val="24"/>
        </w:rPr>
        <w:t>Campylobacter</w:t>
      </w:r>
      <w:r w:rsidRPr="009C3E06">
        <w:rPr>
          <w:sz w:val="24"/>
          <w:szCs w:val="24"/>
        </w:rPr>
        <w:t>.</w:t>
      </w:r>
    </w:p>
    <w:p w:rsidR="00BB1BE5" w:rsidRPr="009C3E06" w:rsidRDefault="00BB1BE5" w:rsidP="00BB1BE5">
      <w:pPr>
        <w:ind w:left="851"/>
        <w:rPr>
          <w:sz w:val="24"/>
          <w:szCs w:val="24"/>
        </w:rPr>
      </w:pPr>
    </w:p>
    <w:p w:rsidR="00BB1BE5" w:rsidRPr="009C3E06" w:rsidRDefault="00BB1BE5" w:rsidP="00BB1BE5">
      <w:pPr>
        <w:ind w:left="851"/>
        <w:rPr>
          <w:sz w:val="24"/>
          <w:szCs w:val="24"/>
        </w:rPr>
      </w:pPr>
      <w:r w:rsidRPr="009C3E06">
        <w:rPr>
          <w:sz w:val="24"/>
          <w:szCs w:val="24"/>
        </w:rPr>
        <w:t xml:space="preserve">Hos patienter med </w:t>
      </w:r>
      <w:proofErr w:type="spellStart"/>
      <w:r w:rsidRPr="009C3E06">
        <w:rPr>
          <w:sz w:val="24"/>
          <w:szCs w:val="24"/>
        </w:rPr>
        <w:t>gastroduodenalsår</w:t>
      </w:r>
      <w:proofErr w:type="spellEnd"/>
      <w:r w:rsidRPr="009C3E06">
        <w:rPr>
          <w:sz w:val="24"/>
          <w:szCs w:val="24"/>
        </w:rPr>
        <w:t xml:space="preserve"> skal muligheden for en infektion med </w:t>
      </w:r>
      <w:r w:rsidRPr="009C3E06">
        <w:rPr>
          <w:i/>
          <w:iCs/>
          <w:sz w:val="24"/>
          <w:szCs w:val="24"/>
        </w:rPr>
        <w:t xml:space="preserve">H. </w:t>
      </w:r>
      <w:proofErr w:type="spellStart"/>
      <w:r w:rsidRPr="009C3E06">
        <w:rPr>
          <w:i/>
          <w:iCs/>
          <w:sz w:val="24"/>
          <w:szCs w:val="24"/>
        </w:rPr>
        <w:t>pylori</w:t>
      </w:r>
      <w:proofErr w:type="spellEnd"/>
      <w:r w:rsidRPr="009C3E06">
        <w:rPr>
          <w:sz w:val="24"/>
          <w:szCs w:val="24"/>
        </w:rPr>
        <w:t xml:space="preserve"> overvejes som en ætiologisk faktor.</w:t>
      </w:r>
    </w:p>
    <w:p w:rsidR="00BB1BE5" w:rsidRPr="009C3E06" w:rsidRDefault="00BB1BE5" w:rsidP="00BB1BE5">
      <w:pPr>
        <w:ind w:left="851" w:hanging="851"/>
        <w:rPr>
          <w:sz w:val="24"/>
          <w:szCs w:val="24"/>
        </w:rPr>
      </w:pPr>
    </w:p>
    <w:p w:rsidR="00BB1BE5" w:rsidRPr="009C3E06" w:rsidRDefault="00BB1BE5" w:rsidP="00BB1BE5">
      <w:pPr>
        <w:ind w:left="851"/>
        <w:rPr>
          <w:b/>
          <w:bCs/>
          <w:i/>
          <w:iCs/>
          <w:sz w:val="24"/>
          <w:szCs w:val="24"/>
        </w:rPr>
      </w:pPr>
      <w:r w:rsidRPr="009C3E06">
        <w:rPr>
          <w:sz w:val="24"/>
          <w:szCs w:val="24"/>
        </w:rPr>
        <w:t xml:space="preserve">Hvis </w:t>
      </w:r>
      <w:proofErr w:type="spellStart"/>
      <w:r w:rsidRPr="009C3E06">
        <w:rPr>
          <w:sz w:val="24"/>
          <w:szCs w:val="24"/>
        </w:rPr>
        <w:t>lansoprazol</w:t>
      </w:r>
      <w:proofErr w:type="spellEnd"/>
      <w:r w:rsidRPr="009C3E06">
        <w:rPr>
          <w:sz w:val="24"/>
          <w:szCs w:val="24"/>
        </w:rPr>
        <w:t xml:space="preserve"> anvendes i kombination med antibiotika til </w:t>
      </w:r>
      <w:proofErr w:type="spellStart"/>
      <w:r w:rsidRPr="009C3E06">
        <w:rPr>
          <w:sz w:val="24"/>
          <w:szCs w:val="24"/>
        </w:rPr>
        <w:t>eradikationsbehandling</w:t>
      </w:r>
      <w:proofErr w:type="spellEnd"/>
      <w:r w:rsidRPr="009C3E06">
        <w:rPr>
          <w:sz w:val="24"/>
          <w:szCs w:val="24"/>
        </w:rPr>
        <w:t xml:space="preserve"> af </w:t>
      </w:r>
      <w:r w:rsidRPr="009C3E06">
        <w:rPr>
          <w:i/>
          <w:iCs/>
          <w:sz w:val="24"/>
          <w:szCs w:val="24"/>
        </w:rPr>
        <w:t xml:space="preserve">H. </w:t>
      </w:r>
      <w:proofErr w:type="spellStart"/>
      <w:r w:rsidRPr="009C3E06">
        <w:rPr>
          <w:i/>
          <w:iCs/>
          <w:sz w:val="24"/>
          <w:szCs w:val="24"/>
        </w:rPr>
        <w:t>pylori</w:t>
      </w:r>
      <w:proofErr w:type="spellEnd"/>
      <w:r w:rsidRPr="009C3E06">
        <w:rPr>
          <w:sz w:val="24"/>
          <w:szCs w:val="24"/>
        </w:rPr>
        <w:t>, skal anvisningerne for brugen af disse antibiotika også følges.</w:t>
      </w:r>
    </w:p>
    <w:p w:rsidR="00BB1BE5" w:rsidRPr="009C3E06" w:rsidRDefault="00BB1BE5" w:rsidP="00BB1BE5">
      <w:pPr>
        <w:ind w:left="851" w:hanging="851"/>
        <w:rPr>
          <w:b/>
          <w:bCs/>
          <w:i/>
          <w:iCs/>
          <w:sz w:val="24"/>
          <w:szCs w:val="24"/>
        </w:rPr>
      </w:pPr>
    </w:p>
    <w:p w:rsidR="007A5F7A" w:rsidRPr="00D52B56" w:rsidRDefault="007A5F7A" w:rsidP="007A5F7A">
      <w:pPr>
        <w:ind w:left="851"/>
        <w:rPr>
          <w:sz w:val="24"/>
          <w:szCs w:val="24"/>
          <w:u w:val="single"/>
        </w:rPr>
      </w:pPr>
      <w:r>
        <w:rPr>
          <w:sz w:val="24"/>
          <w:szCs w:val="24"/>
          <w:u w:val="single"/>
        </w:rPr>
        <w:t>Langtids</w:t>
      </w:r>
      <w:r w:rsidRPr="00D52B56">
        <w:rPr>
          <w:sz w:val="24"/>
          <w:szCs w:val="24"/>
          <w:u w:val="single"/>
        </w:rPr>
        <w:t>behandling</w:t>
      </w:r>
    </w:p>
    <w:p w:rsidR="007A5F7A" w:rsidRPr="009C3E06" w:rsidRDefault="007A5F7A" w:rsidP="007A5F7A">
      <w:pPr>
        <w:ind w:left="851"/>
        <w:rPr>
          <w:sz w:val="24"/>
          <w:szCs w:val="24"/>
        </w:rPr>
      </w:pPr>
      <w:r w:rsidRPr="009C3E06">
        <w:rPr>
          <w:sz w:val="24"/>
          <w:szCs w:val="24"/>
        </w:rPr>
        <w:lastRenderedPageBreak/>
        <w:t>På grund af de begrænsede sikkerhedsdata for patienter, der har været i vedligeholdelsesbehandling i mere end 1 år, skal der regelmæssigt foretages en gennemgang af behandlingen og en grundig afvejning af risici/fordele for disse patienter.</w:t>
      </w:r>
    </w:p>
    <w:p w:rsidR="00BB1BE5" w:rsidRPr="009C3E06" w:rsidRDefault="00BB1BE5" w:rsidP="00BB1BE5">
      <w:pPr>
        <w:ind w:left="851" w:hanging="851"/>
        <w:rPr>
          <w:b/>
          <w:bCs/>
          <w:i/>
          <w:iCs/>
          <w:sz w:val="24"/>
          <w:szCs w:val="24"/>
          <w:u w:val="single"/>
        </w:rPr>
      </w:pPr>
    </w:p>
    <w:p w:rsidR="007A5F7A" w:rsidRPr="00D52B56" w:rsidRDefault="007A5F7A" w:rsidP="007A5F7A">
      <w:pPr>
        <w:ind w:left="851"/>
        <w:rPr>
          <w:sz w:val="24"/>
          <w:szCs w:val="24"/>
          <w:u w:val="single"/>
        </w:rPr>
      </w:pPr>
      <w:proofErr w:type="spellStart"/>
      <w:r w:rsidRPr="00D52B56">
        <w:rPr>
          <w:sz w:val="24"/>
          <w:szCs w:val="24"/>
          <w:u w:val="single"/>
        </w:rPr>
        <w:t>Gastrointestinale</w:t>
      </w:r>
      <w:proofErr w:type="spellEnd"/>
      <w:r w:rsidRPr="00D52B56">
        <w:rPr>
          <w:sz w:val="24"/>
          <w:szCs w:val="24"/>
          <w:u w:val="single"/>
        </w:rPr>
        <w:t xml:space="preserve"> </w:t>
      </w:r>
      <w:r>
        <w:rPr>
          <w:sz w:val="24"/>
          <w:szCs w:val="24"/>
          <w:u w:val="single"/>
        </w:rPr>
        <w:t>lidelser</w:t>
      </w:r>
    </w:p>
    <w:p w:rsidR="007A5F7A" w:rsidRPr="009C3E06" w:rsidRDefault="007A5F7A" w:rsidP="007A5F7A">
      <w:pPr>
        <w:ind w:left="851"/>
        <w:rPr>
          <w:sz w:val="24"/>
          <w:szCs w:val="24"/>
        </w:rPr>
      </w:pPr>
      <w:r w:rsidRPr="009C3E06">
        <w:rPr>
          <w:sz w:val="24"/>
          <w:szCs w:val="24"/>
        </w:rPr>
        <w:t xml:space="preserve">Der er rapporteret om meget sjældne tilfælde af colitis hos patienter, der tager </w:t>
      </w:r>
      <w:proofErr w:type="spellStart"/>
      <w:r w:rsidRPr="009C3E06">
        <w:rPr>
          <w:sz w:val="24"/>
          <w:szCs w:val="24"/>
        </w:rPr>
        <w:t>lansoprazol</w:t>
      </w:r>
      <w:proofErr w:type="spellEnd"/>
      <w:r w:rsidRPr="009C3E06">
        <w:rPr>
          <w:sz w:val="24"/>
          <w:szCs w:val="24"/>
        </w:rPr>
        <w:t xml:space="preserve">. I tilfælde af svær og/eller vedvarende diarré skal det derfor overvejes at seponere behandlingen. </w:t>
      </w:r>
    </w:p>
    <w:p w:rsidR="00BB1BE5" w:rsidRPr="009C3E06" w:rsidRDefault="00BB1BE5" w:rsidP="00BB1BE5">
      <w:pPr>
        <w:ind w:left="851"/>
        <w:rPr>
          <w:sz w:val="24"/>
          <w:szCs w:val="24"/>
        </w:rPr>
      </w:pPr>
    </w:p>
    <w:p w:rsidR="007A5F7A" w:rsidRPr="009C3E06" w:rsidRDefault="007A5F7A" w:rsidP="007A5F7A">
      <w:pPr>
        <w:ind w:left="851"/>
        <w:rPr>
          <w:sz w:val="24"/>
          <w:szCs w:val="24"/>
        </w:rPr>
      </w:pPr>
      <w:r w:rsidRPr="009C3E06">
        <w:rPr>
          <w:sz w:val="24"/>
          <w:szCs w:val="24"/>
        </w:rPr>
        <w:t xml:space="preserve">Med undtagelse af patienter behandlet for udryddelse af </w:t>
      </w:r>
      <w:r w:rsidRPr="009C3E06">
        <w:rPr>
          <w:i/>
          <w:iCs/>
          <w:sz w:val="24"/>
          <w:szCs w:val="24"/>
        </w:rPr>
        <w:t xml:space="preserve">H. </w:t>
      </w:r>
      <w:proofErr w:type="spellStart"/>
      <w:r w:rsidRPr="009C3E06">
        <w:rPr>
          <w:i/>
          <w:iCs/>
          <w:sz w:val="24"/>
          <w:szCs w:val="24"/>
        </w:rPr>
        <w:t>pylori</w:t>
      </w:r>
      <w:proofErr w:type="spellEnd"/>
      <w:r w:rsidRPr="009C3E06">
        <w:rPr>
          <w:sz w:val="24"/>
          <w:szCs w:val="24"/>
        </w:rPr>
        <w:t xml:space="preserve">-infektion, hvis diarré vedvarer, bør administration af </w:t>
      </w:r>
      <w:proofErr w:type="spellStart"/>
      <w:r w:rsidRPr="009C3E06">
        <w:rPr>
          <w:sz w:val="24"/>
          <w:szCs w:val="24"/>
        </w:rPr>
        <w:t>lansoprazol</w:t>
      </w:r>
      <w:proofErr w:type="spellEnd"/>
      <w:r w:rsidRPr="009C3E06">
        <w:rPr>
          <w:sz w:val="24"/>
          <w:szCs w:val="24"/>
        </w:rPr>
        <w:t xml:space="preserve"> seponeres på grund af muligheden for mikroskopisk colitis med fortykkelse af </w:t>
      </w:r>
      <w:proofErr w:type="spellStart"/>
      <w:r w:rsidRPr="009C3E06">
        <w:rPr>
          <w:sz w:val="24"/>
          <w:szCs w:val="24"/>
        </w:rPr>
        <w:t>kollagenbundtet</w:t>
      </w:r>
      <w:proofErr w:type="spellEnd"/>
      <w:r w:rsidRPr="009C3E06">
        <w:rPr>
          <w:sz w:val="24"/>
          <w:szCs w:val="24"/>
        </w:rPr>
        <w:t xml:space="preserve"> eller infiltration af inflammatoriske celler, der er observeret i tyktarmens </w:t>
      </w:r>
      <w:proofErr w:type="spellStart"/>
      <w:r w:rsidRPr="009C3E06">
        <w:rPr>
          <w:sz w:val="24"/>
          <w:szCs w:val="24"/>
        </w:rPr>
        <w:t>submucosa</w:t>
      </w:r>
      <w:proofErr w:type="spellEnd"/>
      <w:r w:rsidRPr="009C3E06">
        <w:rPr>
          <w:sz w:val="24"/>
          <w:szCs w:val="24"/>
        </w:rPr>
        <w:t xml:space="preserve">. I de fleste tilfælde forsvinder symptomer på mikroskopisk colitis ved </w:t>
      </w:r>
      <w:proofErr w:type="spellStart"/>
      <w:r w:rsidRPr="009C3E06">
        <w:rPr>
          <w:sz w:val="24"/>
          <w:szCs w:val="24"/>
        </w:rPr>
        <w:t>seponering</w:t>
      </w:r>
      <w:proofErr w:type="spellEnd"/>
      <w:r w:rsidRPr="009C3E06">
        <w:rPr>
          <w:sz w:val="24"/>
          <w:szCs w:val="24"/>
        </w:rPr>
        <w:t xml:space="preserve"> af </w:t>
      </w:r>
      <w:proofErr w:type="spellStart"/>
      <w:r w:rsidRPr="009C3E06">
        <w:rPr>
          <w:sz w:val="24"/>
          <w:szCs w:val="24"/>
        </w:rPr>
        <w:t>lansoprazol</w:t>
      </w:r>
      <w:proofErr w:type="spellEnd"/>
      <w:r w:rsidRPr="009C3E06">
        <w:rPr>
          <w:sz w:val="24"/>
          <w:szCs w:val="24"/>
        </w:rPr>
        <w:t>.</w:t>
      </w:r>
    </w:p>
    <w:p w:rsidR="00BB1BE5" w:rsidRPr="009C3E06" w:rsidRDefault="00BB1BE5" w:rsidP="00BB1BE5">
      <w:pPr>
        <w:rPr>
          <w:sz w:val="24"/>
          <w:szCs w:val="24"/>
        </w:rPr>
      </w:pPr>
    </w:p>
    <w:p w:rsidR="007A5F7A" w:rsidRPr="00D52B56" w:rsidRDefault="007A5F7A" w:rsidP="007A5F7A">
      <w:pPr>
        <w:ind w:left="851"/>
        <w:rPr>
          <w:sz w:val="24"/>
          <w:szCs w:val="24"/>
          <w:u w:val="single"/>
        </w:rPr>
      </w:pPr>
      <w:r w:rsidRPr="00D52B56">
        <w:rPr>
          <w:sz w:val="24"/>
          <w:szCs w:val="24"/>
          <w:u w:val="single"/>
        </w:rPr>
        <w:t xml:space="preserve">Samtidig behandling med </w:t>
      </w:r>
      <w:proofErr w:type="spellStart"/>
      <w:r w:rsidRPr="00D52B56">
        <w:rPr>
          <w:sz w:val="24"/>
          <w:szCs w:val="24"/>
          <w:u w:val="single"/>
        </w:rPr>
        <w:t>NSAID’er</w:t>
      </w:r>
      <w:proofErr w:type="spellEnd"/>
    </w:p>
    <w:p w:rsidR="007A5F7A" w:rsidRPr="009C3E06" w:rsidRDefault="007A5F7A" w:rsidP="007A5F7A">
      <w:pPr>
        <w:ind w:left="851"/>
        <w:rPr>
          <w:sz w:val="24"/>
          <w:szCs w:val="24"/>
        </w:rPr>
      </w:pPr>
      <w:r w:rsidRPr="009C3E06">
        <w:rPr>
          <w:sz w:val="24"/>
          <w:szCs w:val="24"/>
        </w:rPr>
        <w:t xml:space="preserve">Den forebyggende behandling af ulcus </w:t>
      </w:r>
      <w:proofErr w:type="spellStart"/>
      <w:r w:rsidRPr="009C3E06">
        <w:rPr>
          <w:sz w:val="24"/>
          <w:szCs w:val="24"/>
        </w:rPr>
        <w:t>pepticum</w:t>
      </w:r>
      <w:proofErr w:type="spellEnd"/>
      <w:r w:rsidRPr="009C3E06">
        <w:rPr>
          <w:sz w:val="24"/>
          <w:szCs w:val="24"/>
        </w:rPr>
        <w:t xml:space="preserve"> hos patienter, der kræver fortsat NSAID-behandling, skal begrænses til højrisikopatienter (f.eks. tidligere </w:t>
      </w:r>
      <w:proofErr w:type="spellStart"/>
      <w:r w:rsidRPr="009C3E06">
        <w:rPr>
          <w:sz w:val="24"/>
          <w:szCs w:val="24"/>
        </w:rPr>
        <w:t>gastrointestinal</w:t>
      </w:r>
      <w:proofErr w:type="spellEnd"/>
      <w:r w:rsidRPr="009C3E06">
        <w:rPr>
          <w:sz w:val="24"/>
          <w:szCs w:val="24"/>
        </w:rPr>
        <w:t xml:space="preserve"> blødning, perforation eller ulcus, fremskreden alder, samtidig brug af medicin, der er kendt for at øge sandsynligheden for bivirkninger i den øvre </w:t>
      </w:r>
      <w:proofErr w:type="spellStart"/>
      <w:r w:rsidRPr="009C3E06">
        <w:rPr>
          <w:sz w:val="24"/>
          <w:szCs w:val="24"/>
        </w:rPr>
        <w:t>gastrointestinalkanal</w:t>
      </w:r>
      <w:proofErr w:type="spellEnd"/>
      <w:r w:rsidRPr="009C3E06">
        <w:rPr>
          <w:sz w:val="24"/>
          <w:szCs w:val="24"/>
        </w:rPr>
        <w:t xml:space="preserve"> [f.eks. </w:t>
      </w:r>
      <w:proofErr w:type="spellStart"/>
      <w:r w:rsidRPr="009C3E06">
        <w:rPr>
          <w:sz w:val="24"/>
          <w:szCs w:val="24"/>
        </w:rPr>
        <w:t>kortikosteroider</w:t>
      </w:r>
      <w:proofErr w:type="spellEnd"/>
      <w:r w:rsidRPr="009C3E06">
        <w:rPr>
          <w:sz w:val="24"/>
          <w:szCs w:val="24"/>
        </w:rPr>
        <w:t xml:space="preserve"> eller </w:t>
      </w:r>
      <w:proofErr w:type="spellStart"/>
      <w:r w:rsidRPr="009C3E06">
        <w:rPr>
          <w:sz w:val="24"/>
          <w:szCs w:val="24"/>
        </w:rPr>
        <w:t>antikoagulantia</w:t>
      </w:r>
      <w:proofErr w:type="spellEnd"/>
      <w:r w:rsidRPr="009C3E06">
        <w:rPr>
          <w:sz w:val="24"/>
          <w:szCs w:val="24"/>
        </w:rPr>
        <w:t xml:space="preserve">], tilstedeværelse af en alvorlig faktor for </w:t>
      </w:r>
      <w:proofErr w:type="spellStart"/>
      <w:r w:rsidRPr="009C3E06">
        <w:rPr>
          <w:sz w:val="24"/>
          <w:szCs w:val="24"/>
        </w:rPr>
        <w:t>komorbiditet</w:t>
      </w:r>
      <w:proofErr w:type="spellEnd"/>
      <w:r w:rsidRPr="009C3E06">
        <w:rPr>
          <w:sz w:val="24"/>
          <w:szCs w:val="24"/>
        </w:rPr>
        <w:t xml:space="preserve"> eller forlænget brug af de maksimalt anbefalede doser af NSAID).</w:t>
      </w:r>
    </w:p>
    <w:p w:rsidR="00BB1BE5" w:rsidRPr="009C3E06" w:rsidRDefault="00BB1BE5" w:rsidP="00BB1BE5">
      <w:pPr>
        <w:ind w:left="851" w:hanging="851"/>
        <w:rPr>
          <w:sz w:val="24"/>
          <w:szCs w:val="24"/>
        </w:rPr>
      </w:pPr>
    </w:p>
    <w:p w:rsidR="007A5F7A" w:rsidRPr="00D52B56" w:rsidRDefault="007A5F7A" w:rsidP="007A5F7A">
      <w:pPr>
        <w:ind w:left="851"/>
        <w:rPr>
          <w:sz w:val="24"/>
          <w:szCs w:val="24"/>
          <w:u w:val="single"/>
        </w:rPr>
      </w:pPr>
      <w:r w:rsidRPr="00D52B56">
        <w:rPr>
          <w:sz w:val="24"/>
          <w:szCs w:val="24"/>
          <w:u w:val="single"/>
        </w:rPr>
        <w:t>Knoglefrakturer</w:t>
      </w:r>
    </w:p>
    <w:p w:rsidR="007A5F7A" w:rsidRPr="009C3E06" w:rsidRDefault="007A5F7A" w:rsidP="007A5F7A">
      <w:pPr>
        <w:ind w:left="851"/>
        <w:rPr>
          <w:sz w:val="24"/>
          <w:szCs w:val="24"/>
        </w:rPr>
      </w:pPr>
      <w:proofErr w:type="spellStart"/>
      <w:r w:rsidRPr="009C3E06">
        <w:rPr>
          <w:sz w:val="24"/>
          <w:szCs w:val="24"/>
        </w:rPr>
        <w:t>Protonpumpehæmmere</w:t>
      </w:r>
      <w:proofErr w:type="spellEnd"/>
      <w:r w:rsidRPr="009C3E06">
        <w:rPr>
          <w:sz w:val="24"/>
          <w:szCs w:val="24"/>
        </w:rPr>
        <w:t xml:space="preserve"> kan i beskedent omfang øge risikoen for hofte-, håndleds- og rygfrakturer, hovedsageligt hos ældre eller ved tilstedeværelse af andre kendte risikofaktorer, især hvis de bruges i høje doser og over lange behandlingsperioder </w:t>
      </w:r>
      <w:r>
        <w:rPr>
          <w:sz w:val="24"/>
          <w:szCs w:val="24"/>
        </w:rPr>
        <w:t xml:space="preserve">(&gt;1 år). </w:t>
      </w:r>
      <w:r w:rsidRPr="009C3E06">
        <w:rPr>
          <w:sz w:val="24"/>
          <w:szCs w:val="24"/>
        </w:rPr>
        <w:t>Observationsstudier</w:t>
      </w:r>
      <w:r>
        <w:rPr>
          <w:sz w:val="24"/>
          <w:szCs w:val="24"/>
        </w:rPr>
        <w:t xml:space="preserve"> tyder på</w:t>
      </w:r>
      <w:r w:rsidRPr="009C3E06">
        <w:rPr>
          <w:sz w:val="24"/>
          <w:szCs w:val="24"/>
        </w:rPr>
        <w:t xml:space="preserve">, at </w:t>
      </w:r>
      <w:proofErr w:type="spellStart"/>
      <w:r w:rsidRPr="009C3E06">
        <w:rPr>
          <w:sz w:val="24"/>
          <w:szCs w:val="24"/>
        </w:rPr>
        <w:t>protonpumpehæmmere</w:t>
      </w:r>
      <w:proofErr w:type="spellEnd"/>
      <w:r w:rsidRPr="009C3E06">
        <w:rPr>
          <w:sz w:val="24"/>
          <w:szCs w:val="24"/>
        </w:rPr>
        <w:t xml:space="preserve"> kan øge den overordnede risiko for fraktur med 10-40 %. Noget af denne øgning kan skyldes andre risikofaktorer. </w:t>
      </w:r>
    </w:p>
    <w:p w:rsidR="007A5F7A" w:rsidRPr="009C3E06" w:rsidRDefault="007A5F7A" w:rsidP="007A5F7A">
      <w:pPr>
        <w:ind w:left="851"/>
        <w:rPr>
          <w:sz w:val="24"/>
          <w:szCs w:val="24"/>
        </w:rPr>
      </w:pPr>
      <w:r w:rsidRPr="009C3E06">
        <w:rPr>
          <w:sz w:val="24"/>
          <w:szCs w:val="24"/>
        </w:rPr>
        <w:t xml:space="preserve">Patienter med risiko for osteoporose bør modtage behandling i henhold til gældende kliniske retningslinjer, og de bør have et tilstrækkeligt indtag af vitamin D og calcium. </w:t>
      </w:r>
    </w:p>
    <w:p w:rsidR="00BB1BE5" w:rsidRPr="009C3E06" w:rsidRDefault="00BB1BE5" w:rsidP="00BB1BE5">
      <w:pPr>
        <w:ind w:left="851"/>
        <w:rPr>
          <w:sz w:val="24"/>
          <w:szCs w:val="24"/>
          <w:u w:val="single"/>
        </w:rPr>
      </w:pPr>
    </w:p>
    <w:p w:rsidR="007A5F7A" w:rsidRDefault="007A5F7A" w:rsidP="00BB1BE5">
      <w:pPr>
        <w:ind w:left="851"/>
        <w:rPr>
          <w:sz w:val="24"/>
          <w:szCs w:val="24"/>
        </w:rPr>
      </w:pPr>
    </w:p>
    <w:p w:rsidR="007A5F7A" w:rsidRPr="00CE1321" w:rsidRDefault="007A5F7A" w:rsidP="007A5F7A">
      <w:pPr>
        <w:ind w:left="851"/>
        <w:rPr>
          <w:sz w:val="24"/>
          <w:szCs w:val="24"/>
          <w:u w:val="single"/>
        </w:rPr>
      </w:pPr>
      <w:r w:rsidRPr="00CE1321">
        <w:rPr>
          <w:sz w:val="24"/>
          <w:szCs w:val="24"/>
          <w:u w:val="single"/>
        </w:rPr>
        <w:t xml:space="preserve">Svære </w:t>
      </w:r>
      <w:proofErr w:type="spellStart"/>
      <w:r w:rsidRPr="00CE1321">
        <w:rPr>
          <w:sz w:val="24"/>
          <w:szCs w:val="24"/>
          <w:u w:val="single"/>
        </w:rPr>
        <w:t>kutane</w:t>
      </w:r>
      <w:proofErr w:type="spellEnd"/>
      <w:r w:rsidRPr="00CE1321">
        <w:rPr>
          <w:sz w:val="24"/>
          <w:szCs w:val="24"/>
          <w:u w:val="single"/>
        </w:rPr>
        <w:t xml:space="preserve"> bivirkninger</w:t>
      </w:r>
    </w:p>
    <w:p w:rsidR="007A5F7A" w:rsidRPr="00CE1321" w:rsidRDefault="007A5F7A" w:rsidP="007A5F7A">
      <w:pPr>
        <w:ind w:left="851"/>
        <w:rPr>
          <w:sz w:val="24"/>
          <w:szCs w:val="24"/>
        </w:rPr>
      </w:pPr>
      <w:r w:rsidRPr="00CE1321">
        <w:rPr>
          <w:sz w:val="24"/>
          <w:szCs w:val="24"/>
        </w:rPr>
        <w:t xml:space="preserve">Svære </w:t>
      </w:r>
      <w:proofErr w:type="spellStart"/>
      <w:r w:rsidRPr="00CE1321">
        <w:rPr>
          <w:sz w:val="24"/>
          <w:szCs w:val="24"/>
        </w:rPr>
        <w:t>kutane</w:t>
      </w:r>
      <w:proofErr w:type="spellEnd"/>
      <w:r w:rsidRPr="00CE1321">
        <w:rPr>
          <w:sz w:val="24"/>
          <w:szCs w:val="24"/>
        </w:rPr>
        <w:t xml:space="preserve"> bivirkninger, herunder Stevens-Johnsons syndrom (SJS), toksisk </w:t>
      </w:r>
      <w:proofErr w:type="spellStart"/>
      <w:r w:rsidRPr="00CE1321">
        <w:rPr>
          <w:sz w:val="24"/>
          <w:szCs w:val="24"/>
        </w:rPr>
        <w:t>epidermal</w:t>
      </w:r>
      <w:proofErr w:type="spellEnd"/>
      <w:r w:rsidRPr="00CE1321">
        <w:rPr>
          <w:sz w:val="24"/>
          <w:szCs w:val="24"/>
        </w:rPr>
        <w:t xml:space="preserve"> </w:t>
      </w:r>
      <w:proofErr w:type="spellStart"/>
      <w:r w:rsidRPr="00CE1321">
        <w:rPr>
          <w:sz w:val="24"/>
          <w:szCs w:val="24"/>
        </w:rPr>
        <w:t>nekrolyse</w:t>
      </w:r>
      <w:proofErr w:type="spellEnd"/>
      <w:r w:rsidRPr="00CE1321">
        <w:rPr>
          <w:sz w:val="24"/>
          <w:szCs w:val="24"/>
        </w:rPr>
        <w:t xml:space="preserve"> (TEN) og lægemiddelfremkaldt udslæt med </w:t>
      </w:r>
      <w:proofErr w:type="spellStart"/>
      <w:r w:rsidRPr="00CE1321">
        <w:rPr>
          <w:sz w:val="24"/>
          <w:szCs w:val="24"/>
        </w:rPr>
        <w:t>eosinofili</w:t>
      </w:r>
      <w:proofErr w:type="spellEnd"/>
      <w:r w:rsidRPr="00CE1321">
        <w:rPr>
          <w:sz w:val="24"/>
          <w:szCs w:val="24"/>
        </w:rPr>
        <w:t xml:space="preserve"> og systemiske symptomer (DRESS), som kan være livstruende eller fatale, er blevet rapporteret i forbindelse med brugen af </w:t>
      </w:r>
      <w:proofErr w:type="spellStart"/>
      <w:r w:rsidRPr="00CE1321">
        <w:rPr>
          <w:sz w:val="24"/>
          <w:szCs w:val="24"/>
        </w:rPr>
        <w:t>PPIer</w:t>
      </w:r>
      <w:proofErr w:type="spellEnd"/>
      <w:r w:rsidRPr="00CE1321">
        <w:rPr>
          <w:sz w:val="24"/>
          <w:szCs w:val="24"/>
        </w:rPr>
        <w:t xml:space="preserve"> (se pkt. 4.8). Ved ordinering bør patienterne gøres opmærksomme på tegn og symptomer </w:t>
      </w:r>
      <w:r>
        <w:rPr>
          <w:sz w:val="24"/>
          <w:szCs w:val="24"/>
        </w:rPr>
        <w:t>samt</w:t>
      </w:r>
      <w:r w:rsidRPr="00CE1321">
        <w:rPr>
          <w:sz w:val="24"/>
          <w:szCs w:val="24"/>
        </w:rPr>
        <w:t xml:space="preserve"> monitoreres nøje for hudreaktioner. Hvis der opstår tegn og symptomer på sådanne reaktioner, bør </w:t>
      </w:r>
      <w:proofErr w:type="spellStart"/>
      <w:r w:rsidRPr="00CE1321">
        <w:rPr>
          <w:sz w:val="24"/>
          <w:szCs w:val="24"/>
        </w:rPr>
        <w:t>lansoprazol</w:t>
      </w:r>
      <w:proofErr w:type="spellEnd"/>
      <w:r w:rsidRPr="00CE1321">
        <w:rPr>
          <w:sz w:val="24"/>
          <w:szCs w:val="24"/>
        </w:rPr>
        <w:t xml:space="preserve"> straks seponeres.</w:t>
      </w:r>
    </w:p>
    <w:p w:rsidR="00BB1BE5" w:rsidRPr="009C3E06" w:rsidRDefault="00BB1BE5" w:rsidP="00BB1BE5">
      <w:pPr>
        <w:ind w:left="851"/>
        <w:rPr>
          <w:sz w:val="24"/>
          <w:szCs w:val="24"/>
        </w:rPr>
      </w:pPr>
    </w:p>
    <w:p w:rsidR="007A5F7A" w:rsidRPr="00551DFA" w:rsidRDefault="007A5F7A" w:rsidP="007A5F7A">
      <w:pPr>
        <w:ind w:left="851"/>
        <w:rPr>
          <w:sz w:val="24"/>
          <w:u w:val="single"/>
          <w:lang w:val="fi-FI"/>
        </w:rPr>
      </w:pPr>
      <w:r w:rsidRPr="00551DFA">
        <w:rPr>
          <w:sz w:val="24"/>
          <w:u w:val="single"/>
          <w:lang w:val="fi-FI"/>
        </w:rPr>
        <w:t xml:space="preserve">Subakut kutan lupus erythematosus (SCLE)  </w:t>
      </w:r>
    </w:p>
    <w:p w:rsidR="007A5F7A" w:rsidRPr="009C3E06" w:rsidRDefault="007A5F7A" w:rsidP="007A5F7A">
      <w:pPr>
        <w:ind w:left="851"/>
        <w:rPr>
          <w:sz w:val="24"/>
          <w:szCs w:val="24"/>
        </w:rPr>
      </w:pPr>
      <w:proofErr w:type="spellStart"/>
      <w:r w:rsidRPr="009C3E06">
        <w:rPr>
          <w:sz w:val="24"/>
          <w:szCs w:val="24"/>
        </w:rPr>
        <w:t>Protonpumpehæmmere</w:t>
      </w:r>
      <w:proofErr w:type="spellEnd"/>
      <w:r w:rsidRPr="009C3E06">
        <w:rPr>
          <w:sz w:val="24"/>
          <w:szCs w:val="24"/>
        </w:rPr>
        <w:t xml:space="preserve"> er forbundet med meget sjældne tilfælde af SCLE. Hvis sådanne hudreaktioner optræder, navnlig på hudområder udsat for sol, og er ledsaget af </w:t>
      </w:r>
      <w:proofErr w:type="spellStart"/>
      <w:r w:rsidRPr="009C3E06">
        <w:rPr>
          <w:sz w:val="24"/>
          <w:szCs w:val="24"/>
        </w:rPr>
        <w:t>artralgi</w:t>
      </w:r>
      <w:proofErr w:type="spellEnd"/>
      <w:r w:rsidRPr="009C3E06">
        <w:rPr>
          <w:sz w:val="24"/>
          <w:szCs w:val="24"/>
        </w:rPr>
        <w:t xml:space="preserve">, bør patienten straks søge læge, og lægen bør overveje at seponere </w:t>
      </w:r>
      <w:proofErr w:type="spellStart"/>
      <w:r w:rsidRPr="009C3E06">
        <w:rPr>
          <w:sz w:val="24"/>
          <w:szCs w:val="24"/>
        </w:rPr>
        <w:t>Zolt</w:t>
      </w:r>
      <w:proofErr w:type="spellEnd"/>
      <w:r w:rsidRPr="009C3E06">
        <w:rPr>
          <w:sz w:val="24"/>
          <w:szCs w:val="24"/>
        </w:rPr>
        <w:t>. SCLE efter tidli</w:t>
      </w:r>
      <w:r>
        <w:rPr>
          <w:sz w:val="24"/>
          <w:szCs w:val="24"/>
        </w:rPr>
        <w:t>g</w:t>
      </w:r>
      <w:r w:rsidRPr="009C3E06">
        <w:rPr>
          <w:sz w:val="24"/>
          <w:szCs w:val="24"/>
        </w:rPr>
        <w:t xml:space="preserve">ere behandling med en protonpumpehæmmer kan øge risikoen for SCLE med andre </w:t>
      </w:r>
      <w:proofErr w:type="spellStart"/>
      <w:r w:rsidRPr="009C3E06">
        <w:rPr>
          <w:sz w:val="24"/>
          <w:szCs w:val="24"/>
        </w:rPr>
        <w:t>protonpumpehæmmere</w:t>
      </w:r>
      <w:proofErr w:type="spellEnd"/>
      <w:r>
        <w:rPr>
          <w:sz w:val="24"/>
          <w:szCs w:val="24"/>
        </w:rPr>
        <w:t xml:space="preserve"> (se pkt. 4.8)</w:t>
      </w:r>
      <w:r w:rsidRPr="009C3E06">
        <w:rPr>
          <w:sz w:val="24"/>
          <w:szCs w:val="24"/>
        </w:rPr>
        <w:t>.</w:t>
      </w:r>
    </w:p>
    <w:p w:rsidR="007A5F7A" w:rsidRDefault="007A5F7A" w:rsidP="00BB1BE5">
      <w:pPr>
        <w:ind w:left="851"/>
        <w:rPr>
          <w:sz w:val="24"/>
          <w:szCs w:val="24"/>
        </w:rPr>
      </w:pPr>
    </w:p>
    <w:p w:rsidR="007A5F7A" w:rsidRPr="00483A2A" w:rsidRDefault="007A5F7A" w:rsidP="007A5F7A">
      <w:pPr>
        <w:ind w:left="851"/>
        <w:rPr>
          <w:sz w:val="24"/>
          <w:szCs w:val="24"/>
          <w:u w:val="single"/>
        </w:rPr>
      </w:pPr>
      <w:r w:rsidRPr="00483A2A">
        <w:rPr>
          <w:bCs/>
          <w:sz w:val="24"/>
          <w:szCs w:val="24"/>
          <w:u w:val="single"/>
        </w:rPr>
        <w:t xml:space="preserve">Nedsat nyrefunktion </w:t>
      </w:r>
    </w:p>
    <w:p w:rsidR="007A5F7A" w:rsidRDefault="007A5F7A" w:rsidP="007A5F7A">
      <w:pPr>
        <w:ind w:left="851"/>
        <w:rPr>
          <w:bCs/>
          <w:sz w:val="24"/>
          <w:szCs w:val="24"/>
        </w:rPr>
      </w:pPr>
      <w:r w:rsidRPr="00483A2A">
        <w:rPr>
          <w:bCs/>
          <w:sz w:val="24"/>
          <w:szCs w:val="24"/>
        </w:rPr>
        <w:lastRenderedPageBreak/>
        <w:t xml:space="preserve">Akut </w:t>
      </w:r>
      <w:proofErr w:type="spellStart"/>
      <w:r w:rsidRPr="00483A2A">
        <w:rPr>
          <w:bCs/>
          <w:sz w:val="24"/>
          <w:szCs w:val="24"/>
        </w:rPr>
        <w:t>tubulointerstitiel</w:t>
      </w:r>
      <w:proofErr w:type="spellEnd"/>
      <w:r w:rsidRPr="00483A2A">
        <w:rPr>
          <w:bCs/>
          <w:sz w:val="24"/>
          <w:szCs w:val="24"/>
        </w:rPr>
        <w:t xml:space="preserve"> </w:t>
      </w:r>
      <w:proofErr w:type="spellStart"/>
      <w:r w:rsidRPr="00483A2A">
        <w:rPr>
          <w:bCs/>
          <w:sz w:val="24"/>
          <w:szCs w:val="24"/>
        </w:rPr>
        <w:t>nefritis</w:t>
      </w:r>
      <w:proofErr w:type="spellEnd"/>
      <w:r w:rsidRPr="00483A2A">
        <w:rPr>
          <w:bCs/>
          <w:sz w:val="24"/>
          <w:szCs w:val="24"/>
        </w:rPr>
        <w:t xml:space="preserve"> (TIN) er blevet observeret hos patienter, der tager </w:t>
      </w:r>
      <w:proofErr w:type="spellStart"/>
      <w:r>
        <w:rPr>
          <w:bCs/>
          <w:sz w:val="24"/>
          <w:szCs w:val="24"/>
        </w:rPr>
        <w:t>lanzoprazol</w:t>
      </w:r>
      <w:proofErr w:type="spellEnd"/>
      <w:r w:rsidRPr="00483A2A">
        <w:rPr>
          <w:bCs/>
          <w:sz w:val="24"/>
          <w:szCs w:val="24"/>
        </w:rPr>
        <w:t xml:space="preserve">, og kan optræde på et hvilket som helst tidspunkt under behandlingen med </w:t>
      </w:r>
      <w:proofErr w:type="spellStart"/>
      <w:r>
        <w:rPr>
          <w:bCs/>
          <w:sz w:val="24"/>
          <w:szCs w:val="24"/>
        </w:rPr>
        <w:t>lanzoprazol</w:t>
      </w:r>
      <w:proofErr w:type="spellEnd"/>
      <w:r w:rsidRPr="00483A2A">
        <w:rPr>
          <w:bCs/>
          <w:sz w:val="24"/>
          <w:szCs w:val="24"/>
        </w:rPr>
        <w:t xml:space="preserve"> (se pkt.</w:t>
      </w:r>
      <w:r>
        <w:rPr>
          <w:bCs/>
          <w:sz w:val="24"/>
          <w:szCs w:val="24"/>
        </w:rPr>
        <w:t> </w:t>
      </w:r>
      <w:r w:rsidRPr="00483A2A">
        <w:rPr>
          <w:bCs/>
          <w:sz w:val="24"/>
          <w:szCs w:val="24"/>
        </w:rPr>
        <w:t xml:space="preserve">4.8). Akut </w:t>
      </w:r>
      <w:proofErr w:type="spellStart"/>
      <w:r w:rsidRPr="00483A2A">
        <w:rPr>
          <w:bCs/>
          <w:sz w:val="24"/>
          <w:szCs w:val="24"/>
        </w:rPr>
        <w:t>tubulointerstitiel</w:t>
      </w:r>
      <w:proofErr w:type="spellEnd"/>
      <w:r w:rsidRPr="00483A2A">
        <w:rPr>
          <w:bCs/>
          <w:sz w:val="24"/>
          <w:szCs w:val="24"/>
        </w:rPr>
        <w:t xml:space="preserve"> </w:t>
      </w:r>
      <w:proofErr w:type="spellStart"/>
      <w:r w:rsidRPr="00483A2A">
        <w:rPr>
          <w:bCs/>
          <w:sz w:val="24"/>
          <w:szCs w:val="24"/>
        </w:rPr>
        <w:t>nefritis</w:t>
      </w:r>
      <w:proofErr w:type="spellEnd"/>
      <w:r w:rsidRPr="00483A2A">
        <w:rPr>
          <w:bCs/>
          <w:sz w:val="24"/>
          <w:szCs w:val="24"/>
        </w:rPr>
        <w:t xml:space="preserve"> kan udvikle sig til nyresvigt.</w:t>
      </w:r>
    </w:p>
    <w:p w:rsidR="007A5F7A" w:rsidRPr="00483A2A" w:rsidRDefault="007A5F7A" w:rsidP="007A5F7A">
      <w:pPr>
        <w:ind w:left="851"/>
        <w:rPr>
          <w:sz w:val="24"/>
          <w:szCs w:val="24"/>
        </w:rPr>
      </w:pPr>
    </w:p>
    <w:p w:rsidR="007A5F7A" w:rsidRDefault="007A5F7A" w:rsidP="007A5F7A">
      <w:pPr>
        <w:ind w:left="851"/>
        <w:rPr>
          <w:bCs/>
          <w:sz w:val="24"/>
          <w:szCs w:val="24"/>
        </w:rPr>
      </w:pPr>
      <w:proofErr w:type="spellStart"/>
      <w:r w:rsidRPr="00483A2A">
        <w:rPr>
          <w:bCs/>
          <w:sz w:val="24"/>
          <w:szCs w:val="24"/>
        </w:rPr>
        <w:t>Lanzoprazol</w:t>
      </w:r>
      <w:proofErr w:type="spellEnd"/>
      <w:r w:rsidRPr="00483A2A">
        <w:rPr>
          <w:bCs/>
          <w:sz w:val="24"/>
          <w:szCs w:val="24"/>
        </w:rPr>
        <w:t xml:space="preserve"> bør seponeres i tilfælde af mistanke om TIN, og passende behandling bør straks iværksættes.</w:t>
      </w:r>
    </w:p>
    <w:p w:rsidR="007A5F7A" w:rsidRPr="009C3E06" w:rsidRDefault="007A5F7A" w:rsidP="007A5F7A">
      <w:pPr>
        <w:rPr>
          <w:sz w:val="24"/>
          <w:szCs w:val="24"/>
        </w:rPr>
      </w:pPr>
    </w:p>
    <w:p w:rsidR="00537957" w:rsidRPr="009C3E06" w:rsidRDefault="00537957" w:rsidP="00537957">
      <w:pPr>
        <w:autoSpaceDE w:val="0"/>
        <w:autoSpaceDN w:val="0"/>
        <w:adjustRightInd w:val="0"/>
        <w:ind w:left="851"/>
        <w:rPr>
          <w:sz w:val="24"/>
          <w:szCs w:val="24"/>
          <w:u w:val="single"/>
        </w:rPr>
      </w:pPr>
      <w:r w:rsidRPr="009C3E06">
        <w:rPr>
          <w:sz w:val="24"/>
          <w:szCs w:val="24"/>
          <w:u w:val="single"/>
        </w:rPr>
        <w:t xml:space="preserve">Symptomatisk </w:t>
      </w:r>
      <w:proofErr w:type="spellStart"/>
      <w:r w:rsidRPr="009C3E06">
        <w:rPr>
          <w:sz w:val="24"/>
          <w:szCs w:val="24"/>
          <w:u w:val="single"/>
        </w:rPr>
        <w:t>gastroøsophageal</w:t>
      </w:r>
      <w:proofErr w:type="spellEnd"/>
      <w:r w:rsidRPr="009C3E06">
        <w:rPr>
          <w:sz w:val="24"/>
          <w:szCs w:val="24"/>
          <w:u w:val="single"/>
        </w:rPr>
        <w:t xml:space="preserve"> </w:t>
      </w:r>
      <w:proofErr w:type="spellStart"/>
      <w:r w:rsidRPr="009C3E06">
        <w:rPr>
          <w:sz w:val="24"/>
          <w:szCs w:val="24"/>
          <w:u w:val="single"/>
        </w:rPr>
        <w:t>reflukssygdom</w:t>
      </w:r>
      <w:proofErr w:type="spellEnd"/>
      <w:r w:rsidRPr="009C3E06">
        <w:rPr>
          <w:sz w:val="24"/>
          <w:szCs w:val="24"/>
          <w:u w:val="single"/>
        </w:rPr>
        <w:t xml:space="preserve"> hos voksne</w:t>
      </w:r>
    </w:p>
    <w:p w:rsidR="00537957" w:rsidRPr="009C3E06" w:rsidRDefault="00537957" w:rsidP="00537957">
      <w:pPr>
        <w:ind w:left="851" w:hanging="851"/>
        <w:rPr>
          <w:sz w:val="24"/>
          <w:szCs w:val="24"/>
        </w:rPr>
      </w:pPr>
      <w:r w:rsidRPr="009C3E06">
        <w:rPr>
          <w:sz w:val="24"/>
          <w:szCs w:val="24"/>
        </w:rPr>
        <w:tab/>
        <w:t xml:space="preserve">Behandlingen bør ikke fortsættes uafbrudt i længere end 4 uger uden </w:t>
      </w:r>
      <w:r>
        <w:rPr>
          <w:sz w:val="24"/>
          <w:szCs w:val="24"/>
        </w:rPr>
        <w:t xml:space="preserve">at patienten </w:t>
      </w:r>
      <w:r w:rsidRPr="009C3E06">
        <w:rPr>
          <w:sz w:val="24"/>
          <w:szCs w:val="24"/>
        </w:rPr>
        <w:t xml:space="preserve">først </w:t>
      </w:r>
      <w:r>
        <w:rPr>
          <w:sz w:val="24"/>
          <w:szCs w:val="24"/>
        </w:rPr>
        <w:t>har</w:t>
      </w:r>
      <w:r w:rsidRPr="009C3E06">
        <w:rPr>
          <w:sz w:val="24"/>
          <w:szCs w:val="24"/>
        </w:rPr>
        <w:t xml:space="preserve"> tal</w:t>
      </w:r>
      <w:r>
        <w:rPr>
          <w:sz w:val="24"/>
          <w:szCs w:val="24"/>
        </w:rPr>
        <w:t>t</w:t>
      </w:r>
      <w:r w:rsidRPr="009C3E06">
        <w:rPr>
          <w:sz w:val="24"/>
          <w:szCs w:val="24"/>
        </w:rPr>
        <w:t xml:space="preserve"> med en læge.</w:t>
      </w:r>
    </w:p>
    <w:p w:rsidR="00537957" w:rsidRPr="009C3E06" w:rsidRDefault="00537957" w:rsidP="00537957">
      <w:pPr>
        <w:ind w:left="851" w:hanging="851"/>
        <w:rPr>
          <w:sz w:val="24"/>
          <w:szCs w:val="24"/>
        </w:rPr>
      </w:pPr>
    </w:p>
    <w:p w:rsidR="00537957" w:rsidRPr="009C3E06" w:rsidRDefault="00537957" w:rsidP="00537957">
      <w:pPr>
        <w:ind w:left="851" w:hanging="851"/>
        <w:rPr>
          <w:sz w:val="24"/>
          <w:szCs w:val="24"/>
        </w:rPr>
      </w:pPr>
      <w:r w:rsidRPr="009C3E06">
        <w:rPr>
          <w:sz w:val="24"/>
          <w:szCs w:val="24"/>
        </w:rPr>
        <w:tab/>
        <w:t>Patienten skal konsultere en læge før anvendelse af dette lægemiddel hvis:</w:t>
      </w:r>
    </w:p>
    <w:p w:rsidR="00537957" w:rsidRPr="009C3E06" w:rsidRDefault="00537957" w:rsidP="00537957">
      <w:pPr>
        <w:numPr>
          <w:ilvl w:val="0"/>
          <w:numId w:val="6"/>
        </w:numPr>
        <w:ind w:left="1276" w:hanging="425"/>
        <w:rPr>
          <w:sz w:val="24"/>
          <w:szCs w:val="24"/>
        </w:rPr>
      </w:pPr>
      <w:r w:rsidRPr="009C3E06">
        <w:rPr>
          <w:sz w:val="24"/>
          <w:szCs w:val="24"/>
        </w:rPr>
        <w:t>Han/hun er 50 år eller ældre og for nylig har haft maveproblemer for første gang</w:t>
      </w:r>
    </w:p>
    <w:p w:rsidR="00537957" w:rsidRPr="009C3E06" w:rsidRDefault="00537957" w:rsidP="00537957">
      <w:pPr>
        <w:numPr>
          <w:ilvl w:val="0"/>
          <w:numId w:val="7"/>
        </w:numPr>
        <w:ind w:left="1276" w:hanging="425"/>
        <w:rPr>
          <w:sz w:val="24"/>
          <w:szCs w:val="24"/>
        </w:rPr>
      </w:pPr>
      <w:r w:rsidRPr="009C3E06">
        <w:rPr>
          <w:sz w:val="24"/>
          <w:szCs w:val="24"/>
        </w:rPr>
        <w:t>Mavesymptomer</w:t>
      </w:r>
      <w:r>
        <w:rPr>
          <w:sz w:val="24"/>
          <w:szCs w:val="24"/>
        </w:rPr>
        <w:t xml:space="preserve">ne </w:t>
      </w:r>
      <w:r w:rsidRPr="009C3E06">
        <w:rPr>
          <w:sz w:val="24"/>
          <w:szCs w:val="24"/>
        </w:rPr>
        <w:t xml:space="preserve">er ledsaget af vægttab, synkebesvær, anæmi, opkastning eller de er vedvarende eller meget </w:t>
      </w:r>
      <w:r>
        <w:rPr>
          <w:sz w:val="24"/>
          <w:szCs w:val="24"/>
        </w:rPr>
        <w:t>svære</w:t>
      </w:r>
    </w:p>
    <w:p w:rsidR="00537957" w:rsidRPr="009C3E06" w:rsidRDefault="00537957" w:rsidP="00537957">
      <w:pPr>
        <w:numPr>
          <w:ilvl w:val="0"/>
          <w:numId w:val="7"/>
        </w:numPr>
        <w:ind w:left="1276" w:hanging="425"/>
        <w:rPr>
          <w:sz w:val="24"/>
          <w:szCs w:val="24"/>
        </w:rPr>
      </w:pPr>
      <w:r w:rsidRPr="009C3E06">
        <w:rPr>
          <w:sz w:val="24"/>
          <w:szCs w:val="24"/>
        </w:rPr>
        <w:t xml:space="preserve">Patienten lider samtidigt af </w:t>
      </w:r>
      <w:proofErr w:type="spellStart"/>
      <w:r w:rsidRPr="009C3E06">
        <w:rPr>
          <w:sz w:val="24"/>
          <w:szCs w:val="24"/>
        </w:rPr>
        <w:t>abdominale</w:t>
      </w:r>
      <w:proofErr w:type="spellEnd"/>
      <w:r w:rsidRPr="009C3E06">
        <w:rPr>
          <w:sz w:val="24"/>
          <w:szCs w:val="24"/>
        </w:rPr>
        <w:t xml:space="preserve"> smerter eller nedsat tarmfunktion, såsom diarré, obstipation eller hævelse.</w:t>
      </w:r>
    </w:p>
    <w:p w:rsidR="00537957" w:rsidRPr="009C3E06" w:rsidRDefault="00537957" w:rsidP="00537957">
      <w:pPr>
        <w:numPr>
          <w:ilvl w:val="0"/>
          <w:numId w:val="7"/>
        </w:numPr>
        <w:ind w:left="1276" w:hanging="425"/>
        <w:rPr>
          <w:sz w:val="24"/>
          <w:szCs w:val="24"/>
        </w:rPr>
      </w:pPr>
      <w:r w:rsidRPr="009C3E06">
        <w:rPr>
          <w:sz w:val="24"/>
          <w:szCs w:val="24"/>
        </w:rPr>
        <w:t>Patienten har behov for gentagen eller næsten daglig behandling med et lægemiddel mod halsbrand.</w:t>
      </w:r>
    </w:p>
    <w:p w:rsidR="00537957" w:rsidRPr="009C3E06" w:rsidRDefault="00537957" w:rsidP="00537957">
      <w:pPr>
        <w:numPr>
          <w:ilvl w:val="0"/>
          <w:numId w:val="7"/>
        </w:numPr>
        <w:ind w:left="1276" w:hanging="425"/>
        <w:rPr>
          <w:sz w:val="24"/>
          <w:szCs w:val="24"/>
        </w:rPr>
      </w:pPr>
      <w:r w:rsidRPr="009C3E06">
        <w:rPr>
          <w:sz w:val="24"/>
          <w:szCs w:val="24"/>
        </w:rPr>
        <w:t xml:space="preserve">Patienten har </w:t>
      </w:r>
      <w:r>
        <w:rPr>
          <w:sz w:val="24"/>
          <w:szCs w:val="24"/>
        </w:rPr>
        <w:t xml:space="preserve">en </w:t>
      </w:r>
      <w:r w:rsidRPr="009C3E06">
        <w:rPr>
          <w:sz w:val="24"/>
          <w:szCs w:val="24"/>
        </w:rPr>
        <w:t xml:space="preserve">diagnose på </w:t>
      </w:r>
      <w:proofErr w:type="spellStart"/>
      <w:r w:rsidRPr="009C3E06">
        <w:rPr>
          <w:sz w:val="24"/>
          <w:szCs w:val="24"/>
        </w:rPr>
        <w:t>øsphagitis</w:t>
      </w:r>
      <w:proofErr w:type="spellEnd"/>
      <w:r w:rsidRPr="009C3E06">
        <w:rPr>
          <w:sz w:val="24"/>
          <w:szCs w:val="24"/>
        </w:rPr>
        <w:t xml:space="preserve"> eller </w:t>
      </w:r>
      <w:proofErr w:type="spellStart"/>
      <w:r w:rsidRPr="009C3E06">
        <w:rPr>
          <w:sz w:val="24"/>
          <w:szCs w:val="24"/>
        </w:rPr>
        <w:t>Barrett’s</w:t>
      </w:r>
      <w:proofErr w:type="spellEnd"/>
      <w:r w:rsidRPr="009C3E06">
        <w:rPr>
          <w:sz w:val="24"/>
          <w:szCs w:val="24"/>
        </w:rPr>
        <w:t xml:space="preserve"> </w:t>
      </w:r>
      <w:proofErr w:type="spellStart"/>
      <w:r w:rsidRPr="009C3E06">
        <w:rPr>
          <w:sz w:val="24"/>
          <w:szCs w:val="24"/>
        </w:rPr>
        <w:t>oesophagus</w:t>
      </w:r>
      <w:proofErr w:type="spellEnd"/>
      <w:r w:rsidRPr="009C3E06">
        <w:rPr>
          <w:sz w:val="24"/>
          <w:szCs w:val="24"/>
        </w:rPr>
        <w:t xml:space="preserve"> i anamnesen</w:t>
      </w:r>
    </w:p>
    <w:p w:rsidR="00537957" w:rsidRPr="009C3E06" w:rsidRDefault="00537957" w:rsidP="00537957">
      <w:pPr>
        <w:numPr>
          <w:ilvl w:val="0"/>
          <w:numId w:val="7"/>
        </w:numPr>
        <w:ind w:left="1276" w:hanging="425"/>
        <w:rPr>
          <w:sz w:val="24"/>
          <w:szCs w:val="24"/>
        </w:rPr>
      </w:pPr>
      <w:r w:rsidRPr="009C3E06">
        <w:rPr>
          <w:sz w:val="24"/>
          <w:szCs w:val="24"/>
        </w:rPr>
        <w:t xml:space="preserve">Patienten tager regelmæssigt </w:t>
      </w:r>
      <w:proofErr w:type="spellStart"/>
      <w:r w:rsidRPr="009C3E06">
        <w:rPr>
          <w:sz w:val="24"/>
          <w:szCs w:val="24"/>
        </w:rPr>
        <w:t>NSAID’er</w:t>
      </w:r>
      <w:proofErr w:type="spellEnd"/>
      <w:r w:rsidRPr="009C3E06">
        <w:rPr>
          <w:sz w:val="24"/>
          <w:szCs w:val="24"/>
        </w:rPr>
        <w:t xml:space="preserve"> eller </w:t>
      </w:r>
      <w:proofErr w:type="spellStart"/>
      <w:r w:rsidRPr="009C3E06">
        <w:rPr>
          <w:sz w:val="24"/>
          <w:szCs w:val="24"/>
        </w:rPr>
        <w:t>acetylsalicylsyre-holdig</w:t>
      </w:r>
      <w:proofErr w:type="spellEnd"/>
      <w:r w:rsidRPr="009C3E06">
        <w:rPr>
          <w:sz w:val="24"/>
          <w:szCs w:val="24"/>
        </w:rPr>
        <w:t xml:space="preserve"> medicin, inklusive lave acetylsalicylsyredoser som tromboseprofylakse (især hvis patienten har haft ulcus </w:t>
      </w:r>
      <w:proofErr w:type="spellStart"/>
      <w:r w:rsidRPr="009C3E06">
        <w:rPr>
          <w:sz w:val="24"/>
          <w:szCs w:val="24"/>
        </w:rPr>
        <w:t>ventriculi</w:t>
      </w:r>
      <w:proofErr w:type="spellEnd"/>
      <w:r w:rsidRPr="009C3E06">
        <w:rPr>
          <w:sz w:val="24"/>
          <w:szCs w:val="24"/>
        </w:rPr>
        <w:t>), hyppigere end 4 dage om ugen.</w:t>
      </w:r>
    </w:p>
    <w:p w:rsidR="00537957" w:rsidRPr="009C3E06" w:rsidRDefault="00537957" w:rsidP="00537957">
      <w:pPr>
        <w:numPr>
          <w:ilvl w:val="0"/>
          <w:numId w:val="7"/>
        </w:numPr>
        <w:ind w:left="1276" w:hanging="425"/>
        <w:rPr>
          <w:sz w:val="24"/>
          <w:szCs w:val="24"/>
        </w:rPr>
      </w:pPr>
      <w:r w:rsidRPr="009C3E06">
        <w:rPr>
          <w:sz w:val="24"/>
          <w:szCs w:val="24"/>
        </w:rPr>
        <w:t xml:space="preserve">Patienten har allerede taget </w:t>
      </w:r>
      <w:proofErr w:type="spellStart"/>
      <w:r w:rsidRPr="009C3E06">
        <w:rPr>
          <w:sz w:val="24"/>
          <w:szCs w:val="24"/>
        </w:rPr>
        <w:t>lansoprazol</w:t>
      </w:r>
      <w:proofErr w:type="spellEnd"/>
      <w:r w:rsidRPr="009C3E06">
        <w:rPr>
          <w:sz w:val="24"/>
          <w:szCs w:val="24"/>
        </w:rPr>
        <w:t xml:space="preserve"> i 2 uger, eller seneste behandling med </w:t>
      </w:r>
      <w:proofErr w:type="spellStart"/>
      <w:r w:rsidRPr="009C3E06">
        <w:rPr>
          <w:sz w:val="24"/>
          <w:szCs w:val="24"/>
        </w:rPr>
        <w:t>lansoprazol</w:t>
      </w:r>
      <w:proofErr w:type="spellEnd"/>
      <w:r w:rsidRPr="009C3E06">
        <w:rPr>
          <w:sz w:val="24"/>
          <w:szCs w:val="24"/>
        </w:rPr>
        <w:t xml:space="preserve"> ligger ikke mere end 3 måneder tilbage.</w:t>
      </w:r>
    </w:p>
    <w:p w:rsidR="00537957" w:rsidRPr="009C3E06" w:rsidRDefault="00537957" w:rsidP="00537957">
      <w:pPr>
        <w:numPr>
          <w:ilvl w:val="0"/>
          <w:numId w:val="7"/>
        </w:numPr>
        <w:ind w:left="1276" w:hanging="425"/>
        <w:rPr>
          <w:sz w:val="24"/>
          <w:szCs w:val="24"/>
        </w:rPr>
      </w:pPr>
      <w:r w:rsidRPr="009C3E06">
        <w:rPr>
          <w:sz w:val="24"/>
          <w:szCs w:val="24"/>
        </w:rPr>
        <w:t xml:space="preserve">Patienten er aktuelt i behandling med et antibiotikum eller et svampemiddel, eller tager kontinuerligt andre lægemidler, som giver mulige negative interaktioner med </w:t>
      </w:r>
      <w:proofErr w:type="spellStart"/>
      <w:r w:rsidRPr="009C3E06">
        <w:rPr>
          <w:sz w:val="24"/>
          <w:szCs w:val="24"/>
        </w:rPr>
        <w:t>lansoprazol</w:t>
      </w:r>
      <w:proofErr w:type="spellEnd"/>
      <w:r w:rsidRPr="009C3E06">
        <w:rPr>
          <w:sz w:val="24"/>
          <w:szCs w:val="24"/>
        </w:rPr>
        <w:t>.</w:t>
      </w:r>
    </w:p>
    <w:p w:rsidR="00537957" w:rsidRPr="009C3E06" w:rsidRDefault="00537957" w:rsidP="00537957">
      <w:pPr>
        <w:numPr>
          <w:ilvl w:val="0"/>
          <w:numId w:val="7"/>
        </w:numPr>
        <w:ind w:left="1276" w:hanging="425"/>
        <w:rPr>
          <w:sz w:val="24"/>
          <w:szCs w:val="24"/>
        </w:rPr>
      </w:pPr>
      <w:r w:rsidRPr="009C3E06">
        <w:rPr>
          <w:sz w:val="24"/>
          <w:szCs w:val="24"/>
        </w:rPr>
        <w:t>Patienten lider af leversvigt.</w:t>
      </w:r>
    </w:p>
    <w:p w:rsidR="00BB1BE5" w:rsidRPr="009C3E06" w:rsidRDefault="00BB1BE5" w:rsidP="00BB1BE5">
      <w:pPr>
        <w:ind w:left="851" w:hanging="851"/>
        <w:rPr>
          <w:sz w:val="24"/>
          <w:szCs w:val="24"/>
        </w:rPr>
      </w:pPr>
    </w:p>
    <w:p w:rsidR="00BB1BE5" w:rsidRPr="009C3E06" w:rsidRDefault="00BB1BE5" w:rsidP="004A12B7">
      <w:pPr>
        <w:keepNext/>
        <w:ind w:left="851"/>
        <w:rPr>
          <w:sz w:val="24"/>
          <w:szCs w:val="24"/>
          <w:u w:val="single"/>
        </w:rPr>
      </w:pPr>
      <w:r w:rsidRPr="009C3E06">
        <w:rPr>
          <w:sz w:val="24"/>
          <w:szCs w:val="24"/>
          <w:u w:val="single"/>
        </w:rPr>
        <w:t>Hjælpestoffer</w:t>
      </w:r>
    </w:p>
    <w:p w:rsidR="00BB1BE5" w:rsidRPr="009C3E06" w:rsidRDefault="00BB1BE5" w:rsidP="00BB1BE5">
      <w:pPr>
        <w:ind w:left="851"/>
        <w:rPr>
          <w:sz w:val="24"/>
          <w:szCs w:val="24"/>
        </w:rPr>
      </w:pPr>
      <w:r w:rsidRPr="009C3E06">
        <w:rPr>
          <w:sz w:val="24"/>
          <w:szCs w:val="24"/>
        </w:rPr>
        <w:t xml:space="preserve">Dette lægemiddel indeholder </w:t>
      </w:r>
      <w:proofErr w:type="spellStart"/>
      <w:r w:rsidRPr="009C3E06">
        <w:rPr>
          <w:sz w:val="24"/>
          <w:szCs w:val="24"/>
        </w:rPr>
        <w:t>saccharose</w:t>
      </w:r>
      <w:proofErr w:type="spellEnd"/>
      <w:r w:rsidRPr="009C3E06">
        <w:rPr>
          <w:sz w:val="24"/>
          <w:szCs w:val="24"/>
        </w:rPr>
        <w:t xml:space="preserve">. </w:t>
      </w:r>
      <w:r w:rsidR="00650ADA">
        <w:rPr>
          <w:sz w:val="24"/>
          <w:szCs w:val="24"/>
        </w:rPr>
        <w:t>B</w:t>
      </w:r>
      <w:r w:rsidRPr="009C3E06">
        <w:rPr>
          <w:sz w:val="24"/>
          <w:szCs w:val="24"/>
        </w:rPr>
        <w:t>ør ikke anvendes til patienter med hereditær</w:t>
      </w:r>
      <w:r w:rsidRPr="009C3E06" w:rsidDel="006D66C2">
        <w:rPr>
          <w:sz w:val="24"/>
          <w:szCs w:val="24"/>
        </w:rPr>
        <w:t xml:space="preserve"> </w:t>
      </w:r>
      <w:proofErr w:type="spellStart"/>
      <w:r w:rsidRPr="009C3E06">
        <w:rPr>
          <w:sz w:val="24"/>
          <w:szCs w:val="24"/>
        </w:rPr>
        <w:t>fructoseintolerans</w:t>
      </w:r>
      <w:proofErr w:type="spellEnd"/>
      <w:r w:rsidRPr="009C3E06">
        <w:rPr>
          <w:sz w:val="24"/>
          <w:szCs w:val="24"/>
        </w:rPr>
        <w:t xml:space="preserve">, </w:t>
      </w:r>
      <w:proofErr w:type="spellStart"/>
      <w:r w:rsidRPr="009C3E06">
        <w:rPr>
          <w:sz w:val="24"/>
          <w:szCs w:val="24"/>
        </w:rPr>
        <w:t>glucose</w:t>
      </w:r>
      <w:proofErr w:type="spellEnd"/>
      <w:r w:rsidRPr="009C3E06">
        <w:rPr>
          <w:sz w:val="24"/>
          <w:szCs w:val="24"/>
        </w:rPr>
        <w:t>/</w:t>
      </w:r>
      <w:proofErr w:type="spellStart"/>
      <w:r w:rsidRPr="009C3E06">
        <w:rPr>
          <w:sz w:val="24"/>
          <w:szCs w:val="24"/>
        </w:rPr>
        <w:t>galactose-malabsorption</w:t>
      </w:r>
      <w:proofErr w:type="spellEnd"/>
      <w:r w:rsidRPr="009C3E06">
        <w:rPr>
          <w:sz w:val="24"/>
          <w:szCs w:val="24"/>
        </w:rPr>
        <w:t xml:space="preserve"> og </w:t>
      </w:r>
      <w:proofErr w:type="spellStart"/>
      <w:r w:rsidRPr="009C3E06">
        <w:rPr>
          <w:sz w:val="24"/>
          <w:szCs w:val="24"/>
        </w:rPr>
        <w:t>sucrase</w:t>
      </w:r>
      <w:proofErr w:type="spellEnd"/>
      <w:r w:rsidRPr="009C3E06">
        <w:rPr>
          <w:sz w:val="24"/>
          <w:szCs w:val="24"/>
        </w:rPr>
        <w:t>-</w:t>
      </w:r>
      <w:proofErr w:type="spellStart"/>
      <w:r w:rsidRPr="009C3E06">
        <w:rPr>
          <w:sz w:val="24"/>
          <w:szCs w:val="24"/>
        </w:rPr>
        <w:t>isomaltase</w:t>
      </w:r>
      <w:proofErr w:type="spellEnd"/>
      <w:r w:rsidRPr="009C3E06">
        <w:rPr>
          <w:sz w:val="24"/>
          <w:szCs w:val="24"/>
        </w:rPr>
        <w:t xml:space="preserve">-mangel. </w:t>
      </w:r>
    </w:p>
    <w:p w:rsidR="00BB1BE5" w:rsidRPr="009C3E06" w:rsidRDefault="00BB1BE5" w:rsidP="00BB1BE5">
      <w:pPr>
        <w:ind w:left="851"/>
        <w:rPr>
          <w:sz w:val="24"/>
          <w:szCs w:val="24"/>
        </w:rPr>
      </w:pPr>
    </w:p>
    <w:p w:rsidR="00BB1BE5" w:rsidRPr="009C3E06" w:rsidRDefault="00BB1BE5" w:rsidP="00BB1BE5">
      <w:pPr>
        <w:ind w:left="851"/>
        <w:rPr>
          <w:sz w:val="24"/>
          <w:szCs w:val="24"/>
        </w:rPr>
      </w:pPr>
      <w:r w:rsidRPr="009C3E06">
        <w:rPr>
          <w:sz w:val="24"/>
          <w:szCs w:val="24"/>
        </w:rPr>
        <w:t>Dette lægemiddel indeholder mindre end 1 mmol (23 mg) natrium pr. kapsel, dvs. det er i det væsentlige natriumfrit.</w:t>
      </w:r>
    </w:p>
    <w:p w:rsidR="00182245" w:rsidRPr="009C3E06" w:rsidRDefault="00182245" w:rsidP="00BB1BE5">
      <w:pPr>
        <w:ind w:left="851" w:hanging="851"/>
        <w:rPr>
          <w:sz w:val="24"/>
          <w:szCs w:val="24"/>
        </w:rPr>
      </w:pPr>
    </w:p>
    <w:p w:rsidR="00182245" w:rsidRPr="009C3E06" w:rsidRDefault="00182245" w:rsidP="00182245">
      <w:pPr>
        <w:ind w:left="851" w:hanging="851"/>
        <w:rPr>
          <w:b/>
          <w:sz w:val="24"/>
          <w:szCs w:val="24"/>
        </w:rPr>
      </w:pPr>
      <w:r w:rsidRPr="009C3E06">
        <w:rPr>
          <w:b/>
          <w:sz w:val="24"/>
          <w:szCs w:val="24"/>
        </w:rPr>
        <w:t>4.5</w:t>
      </w:r>
      <w:r w:rsidRPr="009C3E06">
        <w:rPr>
          <w:b/>
          <w:sz w:val="24"/>
          <w:szCs w:val="24"/>
        </w:rPr>
        <w:tab/>
        <w:t>Interaktion med andre lægemidler og andre former for interaktion</w:t>
      </w:r>
    </w:p>
    <w:p w:rsidR="00BB1BE5" w:rsidRPr="009C3E06" w:rsidRDefault="00182245" w:rsidP="00BB1BE5">
      <w:pPr>
        <w:ind w:left="851" w:hanging="851"/>
        <w:rPr>
          <w:sz w:val="24"/>
          <w:szCs w:val="24"/>
        </w:rPr>
      </w:pPr>
      <w:r w:rsidRPr="009C3E06">
        <w:rPr>
          <w:sz w:val="24"/>
          <w:szCs w:val="24"/>
        </w:rPr>
        <w:tab/>
      </w:r>
    </w:p>
    <w:p w:rsidR="00BB1BE5" w:rsidRPr="009C3E06" w:rsidRDefault="00BB1BE5" w:rsidP="00BB1BE5">
      <w:pPr>
        <w:ind w:left="851"/>
        <w:rPr>
          <w:b/>
          <w:bCs/>
          <w:sz w:val="24"/>
          <w:szCs w:val="24"/>
          <w:u w:val="single"/>
        </w:rPr>
      </w:pPr>
      <w:proofErr w:type="spellStart"/>
      <w:r w:rsidRPr="009C3E06">
        <w:rPr>
          <w:b/>
          <w:bCs/>
          <w:sz w:val="24"/>
          <w:szCs w:val="24"/>
          <w:u w:val="single"/>
        </w:rPr>
        <w:t>Lansoprazols</w:t>
      </w:r>
      <w:proofErr w:type="spellEnd"/>
      <w:r w:rsidRPr="009C3E06">
        <w:rPr>
          <w:b/>
          <w:bCs/>
          <w:sz w:val="24"/>
          <w:szCs w:val="24"/>
          <w:u w:val="single"/>
        </w:rPr>
        <w:t xml:space="preserve"> effekt på andre lægemidler</w:t>
      </w:r>
    </w:p>
    <w:p w:rsidR="00BB1BE5" w:rsidRPr="009C3E06" w:rsidRDefault="00BB1BE5" w:rsidP="00BB1BE5">
      <w:pPr>
        <w:ind w:left="851" w:hanging="851"/>
        <w:rPr>
          <w:b/>
          <w:bCs/>
          <w:sz w:val="24"/>
          <w:szCs w:val="24"/>
          <w:u w:val="single"/>
        </w:rPr>
      </w:pPr>
    </w:p>
    <w:p w:rsidR="00BB1BE5" w:rsidRPr="009C3E06" w:rsidRDefault="00BB1BE5" w:rsidP="00BB1BE5">
      <w:pPr>
        <w:ind w:left="851"/>
        <w:rPr>
          <w:b/>
          <w:bCs/>
          <w:sz w:val="24"/>
          <w:szCs w:val="24"/>
        </w:rPr>
      </w:pPr>
      <w:r w:rsidRPr="009C3E06">
        <w:rPr>
          <w:b/>
          <w:bCs/>
          <w:sz w:val="24"/>
          <w:szCs w:val="24"/>
        </w:rPr>
        <w:t>Lægemidler med pH-afhængig absorption</w:t>
      </w:r>
    </w:p>
    <w:p w:rsidR="00BB1BE5" w:rsidRPr="009C3E06" w:rsidRDefault="00BB1BE5" w:rsidP="00BB1BE5">
      <w:pPr>
        <w:ind w:left="851"/>
        <w:rPr>
          <w:sz w:val="24"/>
          <w:szCs w:val="24"/>
        </w:rPr>
      </w:pPr>
      <w:proofErr w:type="spellStart"/>
      <w:r w:rsidRPr="009C3E06">
        <w:rPr>
          <w:sz w:val="24"/>
          <w:szCs w:val="24"/>
        </w:rPr>
        <w:t>Lansoprazol</w:t>
      </w:r>
      <w:proofErr w:type="spellEnd"/>
      <w:r w:rsidRPr="009C3E06">
        <w:rPr>
          <w:sz w:val="24"/>
          <w:szCs w:val="24"/>
        </w:rPr>
        <w:t xml:space="preserve"> kan påvirke absorptionen af andre lægemidler, for hvilke gastrisk surhed (pH) har en afgørende indflydelse for oral biotilgængelighed.</w:t>
      </w:r>
    </w:p>
    <w:p w:rsidR="00BB1BE5" w:rsidRPr="009C3E06" w:rsidRDefault="00BB1BE5" w:rsidP="00BB1BE5">
      <w:pPr>
        <w:ind w:left="851"/>
        <w:rPr>
          <w:sz w:val="24"/>
          <w:szCs w:val="24"/>
        </w:rPr>
      </w:pPr>
    </w:p>
    <w:p w:rsidR="00537957" w:rsidRPr="009C3E06" w:rsidRDefault="00537957" w:rsidP="00537957">
      <w:pPr>
        <w:ind w:left="851"/>
        <w:rPr>
          <w:sz w:val="24"/>
          <w:szCs w:val="24"/>
          <w:u w:val="single"/>
        </w:rPr>
      </w:pPr>
      <w:r w:rsidRPr="009C3E06">
        <w:rPr>
          <w:sz w:val="24"/>
          <w:szCs w:val="24"/>
          <w:u w:val="single"/>
        </w:rPr>
        <w:t>HIV-</w:t>
      </w:r>
      <w:proofErr w:type="spellStart"/>
      <w:r w:rsidRPr="009C3E06">
        <w:rPr>
          <w:sz w:val="24"/>
          <w:szCs w:val="24"/>
          <w:u w:val="single"/>
        </w:rPr>
        <w:t>proteasehæmmere</w:t>
      </w:r>
      <w:proofErr w:type="spellEnd"/>
    </w:p>
    <w:p w:rsidR="00537957" w:rsidRPr="009C3E06" w:rsidRDefault="00537957" w:rsidP="00537957">
      <w:pPr>
        <w:ind w:left="851"/>
        <w:rPr>
          <w:sz w:val="24"/>
          <w:szCs w:val="24"/>
        </w:rPr>
      </w:pPr>
      <w:r w:rsidRPr="009C3E06">
        <w:rPr>
          <w:sz w:val="24"/>
          <w:szCs w:val="24"/>
        </w:rPr>
        <w:t>Samtidig a</w:t>
      </w:r>
      <w:r>
        <w:rPr>
          <w:sz w:val="24"/>
          <w:szCs w:val="24"/>
        </w:rPr>
        <w:t>dministration</w:t>
      </w:r>
      <w:r w:rsidRPr="009C3E06">
        <w:rPr>
          <w:sz w:val="24"/>
          <w:szCs w:val="24"/>
        </w:rPr>
        <w:t xml:space="preserve"> af </w:t>
      </w:r>
      <w:proofErr w:type="spellStart"/>
      <w:r w:rsidRPr="009C3E06">
        <w:rPr>
          <w:sz w:val="24"/>
          <w:szCs w:val="24"/>
        </w:rPr>
        <w:t>lansoprazol</w:t>
      </w:r>
      <w:proofErr w:type="spellEnd"/>
      <w:r w:rsidRPr="009C3E06">
        <w:rPr>
          <w:sz w:val="24"/>
          <w:szCs w:val="24"/>
        </w:rPr>
        <w:t xml:space="preserve"> </w:t>
      </w:r>
      <w:r>
        <w:rPr>
          <w:sz w:val="24"/>
          <w:szCs w:val="24"/>
        </w:rPr>
        <w:t>og</w:t>
      </w:r>
      <w:r w:rsidRPr="009C3E06">
        <w:rPr>
          <w:sz w:val="24"/>
          <w:szCs w:val="24"/>
        </w:rPr>
        <w:t xml:space="preserve"> HIV-</w:t>
      </w:r>
      <w:proofErr w:type="spellStart"/>
      <w:r w:rsidRPr="009C3E06">
        <w:rPr>
          <w:sz w:val="24"/>
          <w:szCs w:val="24"/>
        </w:rPr>
        <w:t>proteasehæmmere</w:t>
      </w:r>
      <w:proofErr w:type="spellEnd"/>
      <w:r w:rsidRPr="009C3E06">
        <w:rPr>
          <w:sz w:val="24"/>
          <w:szCs w:val="24"/>
        </w:rPr>
        <w:t>, for hvilke absorption</w:t>
      </w:r>
      <w:r>
        <w:rPr>
          <w:sz w:val="24"/>
          <w:szCs w:val="24"/>
        </w:rPr>
        <w:t>en</w:t>
      </w:r>
      <w:r w:rsidRPr="009C3E06">
        <w:rPr>
          <w:sz w:val="24"/>
          <w:szCs w:val="24"/>
        </w:rPr>
        <w:t xml:space="preserve"> er afhængig af sur </w:t>
      </w:r>
      <w:proofErr w:type="spellStart"/>
      <w:r w:rsidRPr="009C3E06">
        <w:rPr>
          <w:sz w:val="24"/>
          <w:szCs w:val="24"/>
        </w:rPr>
        <w:t>intergastrisk</w:t>
      </w:r>
      <w:proofErr w:type="spellEnd"/>
      <w:r w:rsidRPr="009C3E06">
        <w:rPr>
          <w:sz w:val="24"/>
          <w:szCs w:val="24"/>
        </w:rPr>
        <w:t xml:space="preserve"> pH, såsom </w:t>
      </w:r>
      <w:proofErr w:type="spellStart"/>
      <w:r w:rsidRPr="009C3E06">
        <w:rPr>
          <w:sz w:val="24"/>
          <w:szCs w:val="24"/>
        </w:rPr>
        <w:t>atazanavir</w:t>
      </w:r>
      <w:proofErr w:type="spellEnd"/>
      <w:r w:rsidRPr="009C3E06">
        <w:rPr>
          <w:sz w:val="24"/>
          <w:szCs w:val="24"/>
        </w:rPr>
        <w:t xml:space="preserve"> og </w:t>
      </w:r>
      <w:proofErr w:type="spellStart"/>
      <w:r w:rsidRPr="009C3E06">
        <w:rPr>
          <w:sz w:val="24"/>
          <w:szCs w:val="24"/>
        </w:rPr>
        <w:t>nelfinavir</w:t>
      </w:r>
      <w:proofErr w:type="spellEnd"/>
      <w:r w:rsidRPr="009C3E06">
        <w:rPr>
          <w:sz w:val="24"/>
          <w:szCs w:val="24"/>
        </w:rPr>
        <w:t>, frarådes grundet en signifikant reduktion i deres biotilgængelighed (se pkt. 4.4).</w:t>
      </w:r>
    </w:p>
    <w:p w:rsidR="00BB1BE5" w:rsidRPr="009C3E06" w:rsidRDefault="00BB1BE5" w:rsidP="00BB1BE5">
      <w:pPr>
        <w:rPr>
          <w:sz w:val="24"/>
          <w:szCs w:val="24"/>
          <w:u w:val="single"/>
        </w:rPr>
      </w:pPr>
    </w:p>
    <w:p w:rsidR="00BB1BE5" w:rsidRPr="009C3E06" w:rsidRDefault="00BB1BE5" w:rsidP="00BB1BE5">
      <w:pPr>
        <w:ind w:left="851"/>
        <w:rPr>
          <w:sz w:val="24"/>
          <w:szCs w:val="24"/>
        </w:rPr>
      </w:pPr>
      <w:r w:rsidRPr="009C3E06">
        <w:rPr>
          <w:sz w:val="24"/>
          <w:szCs w:val="24"/>
        </w:rPr>
        <w:lastRenderedPageBreak/>
        <w:t xml:space="preserve">Et studie har vist, at samtidig administration af </w:t>
      </w:r>
      <w:proofErr w:type="spellStart"/>
      <w:r w:rsidRPr="009C3E06">
        <w:rPr>
          <w:sz w:val="24"/>
          <w:szCs w:val="24"/>
        </w:rPr>
        <w:t>lansoprazol</w:t>
      </w:r>
      <w:proofErr w:type="spellEnd"/>
      <w:r w:rsidRPr="009C3E06">
        <w:rPr>
          <w:sz w:val="24"/>
          <w:szCs w:val="24"/>
        </w:rPr>
        <w:t xml:space="preserve"> (60 mg én gang dagligt) og </w:t>
      </w:r>
      <w:proofErr w:type="spellStart"/>
      <w:r w:rsidRPr="009C3E06">
        <w:rPr>
          <w:sz w:val="24"/>
          <w:szCs w:val="24"/>
        </w:rPr>
        <w:t>atazanavir</w:t>
      </w:r>
      <w:proofErr w:type="spellEnd"/>
      <w:r w:rsidRPr="009C3E06">
        <w:rPr>
          <w:sz w:val="24"/>
          <w:szCs w:val="24"/>
        </w:rPr>
        <w:t xml:space="preserve"> 400 mg til raske frivillige medførte en væsentlig reduktion af </w:t>
      </w:r>
      <w:proofErr w:type="spellStart"/>
      <w:r w:rsidRPr="009C3E06">
        <w:rPr>
          <w:sz w:val="24"/>
          <w:szCs w:val="24"/>
        </w:rPr>
        <w:t>atazanavireksponeringen</w:t>
      </w:r>
      <w:proofErr w:type="spellEnd"/>
      <w:r w:rsidRPr="009C3E06">
        <w:rPr>
          <w:sz w:val="24"/>
          <w:szCs w:val="24"/>
        </w:rPr>
        <w:t xml:space="preserve"> (en reduktion af AUC og </w:t>
      </w:r>
      <w:proofErr w:type="spellStart"/>
      <w:r w:rsidRPr="009C3E06">
        <w:rPr>
          <w:sz w:val="24"/>
          <w:szCs w:val="24"/>
        </w:rPr>
        <w:t>C</w:t>
      </w:r>
      <w:r w:rsidRPr="009C3E06">
        <w:rPr>
          <w:sz w:val="24"/>
          <w:szCs w:val="24"/>
          <w:vertAlign w:val="subscript"/>
        </w:rPr>
        <w:t>max</w:t>
      </w:r>
      <w:proofErr w:type="spellEnd"/>
      <w:r w:rsidRPr="009C3E06">
        <w:rPr>
          <w:sz w:val="24"/>
          <w:szCs w:val="24"/>
        </w:rPr>
        <w:t xml:space="preserve"> på cirka 90 %).</w:t>
      </w:r>
    </w:p>
    <w:p w:rsidR="00BB1BE5" w:rsidRPr="009C3E06" w:rsidRDefault="00BB1BE5" w:rsidP="00BB1BE5">
      <w:pPr>
        <w:ind w:left="851"/>
        <w:rPr>
          <w:sz w:val="24"/>
          <w:szCs w:val="24"/>
          <w:u w:val="single"/>
        </w:rPr>
      </w:pPr>
    </w:p>
    <w:p w:rsidR="00BB1BE5" w:rsidRPr="009C3E06" w:rsidRDefault="00BB1BE5" w:rsidP="00BB1BE5">
      <w:pPr>
        <w:ind w:left="851"/>
        <w:rPr>
          <w:sz w:val="24"/>
          <w:szCs w:val="24"/>
          <w:u w:val="single"/>
        </w:rPr>
      </w:pPr>
      <w:proofErr w:type="spellStart"/>
      <w:r w:rsidRPr="009C3E06">
        <w:rPr>
          <w:sz w:val="24"/>
          <w:szCs w:val="24"/>
          <w:u w:val="single"/>
        </w:rPr>
        <w:t>Ketoconazol</w:t>
      </w:r>
      <w:proofErr w:type="spellEnd"/>
      <w:r w:rsidRPr="009C3E06">
        <w:rPr>
          <w:sz w:val="24"/>
          <w:szCs w:val="24"/>
          <w:u w:val="single"/>
        </w:rPr>
        <w:t xml:space="preserve"> og </w:t>
      </w:r>
      <w:proofErr w:type="spellStart"/>
      <w:r w:rsidRPr="009C3E06">
        <w:rPr>
          <w:sz w:val="24"/>
          <w:szCs w:val="24"/>
          <w:u w:val="single"/>
        </w:rPr>
        <w:t>itraconazol</w:t>
      </w:r>
      <w:proofErr w:type="spellEnd"/>
    </w:p>
    <w:p w:rsidR="00BB1BE5" w:rsidRPr="009C3E06" w:rsidRDefault="00BB1BE5" w:rsidP="00BB1BE5">
      <w:pPr>
        <w:pStyle w:val="Corpsdetexte"/>
        <w:spacing w:before="0" w:line="240" w:lineRule="auto"/>
        <w:ind w:left="851"/>
        <w:rPr>
          <w:rFonts w:ascii="Times New Roman" w:hAnsi="Times New Roman" w:cs="Times New Roman"/>
          <w:strike/>
          <w:sz w:val="24"/>
          <w:szCs w:val="24"/>
          <w:lang w:val="da-DK"/>
        </w:rPr>
      </w:pPr>
      <w:r w:rsidRPr="009C3E06">
        <w:rPr>
          <w:rFonts w:ascii="Times New Roman" w:hAnsi="Times New Roman" w:cs="Times New Roman"/>
          <w:sz w:val="24"/>
          <w:szCs w:val="24"/>
          <w:lang w:val="da-DK"/>
        </w:rPr>
        <w:t xml:space="preserve">Absorptionen af </w:t>
      </w:r>
      <w:proofErr w:type="spellStart"/>
      <w:r w:rsidRPr="009C3E06">
        <w:rPr>
          <w:rFonts w:ascii="Times New Roman" w:hAnsi="Times New Roman" w:cs="Times New Roman"/>
          <w:sz w:val="24"/>
          <w:szCs w:val="24"/>
          <w:lang w:val="da-DK"/>
        </w:rPr>
        <w:t>ketoconazol</w:t>
      </w:r>
      <w:proofErr w:type="spellEnd"/>
      <w:r w:rsidRPr="009C3E06">
        <w:rPr>
          <w:rFonts w:ascii="Times New Roman" w:hAnsi="Times New Roman" w:cs="Times New Roman"/>
          <w:sz w:val="24"/>
          <w:szCs w:val="24"/>
          <w:lang w:val="da-DK"/>
        </w:rPr>
        <w:t xml:space="preserve"> og </w:t>
      </w:r>
      <w:proofErr w:type="spellStart"/>
      <w:r w:rsidRPr="009C3E06">
        <w:rPr>
          <w:rFonts w:ascii="Times New Roman" w:hAnsi="Times New Roman" w:cs="Times New Roman"/>
          <w:sz w:val="24"/>
          <w:szCs w:val="24"/>
          <w:lang w:val="da-DK"/>
        </w:rPr>
        <w:t>itraconazol</w:t>
      </w:r>
      <w:proofErr w:type="spellEnd"/>
      <w:r w:rsidRPr="009C3E06">
        <w:rPr>
          <w:rFonts w:ascii="Times New Roman" w:hAnsi="Times New Roman" w:cs="Times New Roman"/>
          <w:sz w:val="24"/>
          <w:szCs w:val="24"/>
          <w:lang w:val="da-DK"/>
        </w:rPr>
        <w:t xml:space="preserve"> fra </w:t>
      </w:r>
      <w:proofErr w:type="spellStart"/>
      <w:r w:rsidRPr="009C3E06">
        <w:rPr>
          <w:rFonts w:ascii="Times New Roman" w:hAnsi="Times New Roman" w:cs="Times New Roman"/>
          <w:sz w:val="24"/>
          <w:szCs w:val="24"/>
          <w:lang w:val="da-DK"/>
        </w:rPr>
        <w:t>gastrointestinalkanalen</w:t>
      </w:r>
      <w:proofErr w:type="spellEnd"/>
      <w:r w:rsidRPr="009C3E06">
        <w:rPr>
          <w:rFonts w:ascii="Times New Roman" w:hAnsi="Times New Roman" w:cs="Times New Roman"/>
          <w:sz w:val="24"/>
          <w:szCs w:val="24"/>
          <w:lang w:val="da-DK"/>
        </w:rPr>
        <w:t xml:space="preserve"> forstærkes af tilstedeværelsen af mavesyre. Administration af </w:t>
      </w:r>
      <w:proofErr w:type="spellStart"/>
      <w:r w:rsidRPr="009C3E06">
        <w:rPr>
          <w:rFonts w:ascii="Times New Roman" w:hAnsi="Times New Roman" w:cs="Times New Roman"/>
          <w:sz w:val="24"/>
          <w:szCs w:val="24"/>
          <w:lang w:val="da-DK"/>
        </w:rPr>
        <w:t>lansoprazol</w:t>
      </w:r>
      <w:proofErr w:type="spellEnd"/>
      <w:r w:rsidRPr="009C3E06">
        <w:rPr>
          <w:rFonts w:ascii="Times New Roman" w:hAnsi="Times New Roman" w:cs="Times New Roman"/>
          <w:sz w:val="24"/>
          <w:szCs w:val="24"/>
          <w:lang w:val="da-DK"/>
        </w:rPr>
        <w:t xml:space="preserve"> kan resultere i subterapeutiske koncentrationer af </w:t>
      </w:r>
      <w:proofErr w:type="spellStart"/>
      <w:r w:rsidRPr="009C3E06">
        <w:rPr>
          <w:rFonts w:ascii="Times New Roman" w:hAnsi="Times New Roman" w:cs="Times New Roman"/>
          <w:sz w:val="24"/>
          <w:szCs w:val="24"/>
          <w:lang w:val="da-DK"/>
        </w:rPr>
        <w:t>ketoconazol</w:t>
      </w:r>
      <w:proofErr w:type="spellEnd"/>
      <w:r w:rsidRPr="009C3E06">
        <w:rPr>
          <w:rFonts w:ascii="Times New Roman" w:hAnsi="Times New Roman" w:cs="Times New Roman"/>
          <w:sz w:val="24"/>
          <w:szCs w:val="24"/>
          <w:lang w:val="da-DK"/>
        </w:rPr>
        <w:t xml:space="preserve"> og </w:t>
      </w:r>
      <w:proofErr w:type="spellStart"/>
      <w:r w:rsidRPr="009C3E06">
        <w:rPr>
          <w:rFonts w:ascii="Times New Roman" w:hAnsi="Times New Roman" w:cs="Times New Roman"/>
          <w:sz w:val="24"/>
          <w:szCs w:val="24"/>
          <w:lang w:val="da-DK"/>
        </w:rPr>
        <w:t>itraconazol</w:t>
      </w:r>
      <w:proofErr w:type="spellEnd"/>
      <w:r w:rsidRPr="009C3E06">
        <w:rPr>
          <w:rFonts w:ascii="Times New Roman" w:hAnsi="Times New Roman" w:cs="Times New Roman"/>
          <w:sz w:val="24"/>
          <w:szCs w:val="24"/>
          <w:lang w:val="da-DK"/>
        </w:rPr>
        <w:t xml:space="preserve">, og kombinationen skal undgås. </w:t>
      </w:r>
    </w:p>
    <w:p w:rsidR="00BB1BE5" w:rsidRPr="009C3E06" w:rsidRDefault="00BB1BE5" w:rsidP="00BB1BE5">
      <w:pPr>
        <w:ind w:left="851" w:hanging="851"/>
        <w:rPr>
          <w:sz w:val="24"/>
          <w:szCs w:val="24"/>
        </w:rPr>
      </w:pPr>
    </w:p>
    <w:p w:rsidR="00BB1BE5" w:rsidRPr="009C3E06" w:rsidRDefault="00BB1BE5" w:rsidP="00BB1BE5">
      <w:pPr>
        <w:ind w:left="851"/>
        <w:rPr>
          <w:b/>
          <w:bCs/>
          <w:sz w:val="24"/>
          <w:szCs w:val="24"/>
          <w:u w:val="single"/>
        </w:rPr>
      </w:pPr>
      <w:proofErr w:type="spellStart"/>
      <w:r w:rsidRPr="009C3E06">
        <w:rPr>
          <w:sz w:val="24"/>
          <w:szCs w:val="24"/>
          <w:u w:val="single"/>
        </w:rPr>
        <w:t>Digoxin</w:t>
      </w:r>
      <w:proofErr w:type="spellEnd"/>
    </w:p>
    <w:p w:rsidR="00BB1BE5" w:rsidRPr="009C3E06" w:rsidRDefault="00BB1BE5" w:rsidP="00BB1BE5">
      <w:pPr>
        <w:ind w:left="851"/>
        <w:rPr>
          <w:sz w:val="24"/>
          <w:szCs w:val="24"/>
        </w:rPr>
      </w:pPr>
      <w:r w:rsidRPr="009C3E06">
        <w:rPr>
          <w:sz w:val="24"/>
          <w:szCs w:val="24"/>
        </w:rPr>
        <w:t xml:space="preserve">Samtidig administration af </w:t>
      </w:r>
      <w:proofErr w:type="spellStart"/>
      <w:r w:rsidRPr="009C3E06">
        <w:rPr>
          <w:sz w:val="24"/>
          <w:szCs w:val="24"/>
        </w:rPr>
        <w:t>lansoprazol</w:t>
      </w:r>
      <w:proofErr w:type="spellEnd"/>
      <w:r w:rsidRPr="009C3E06">
        <w:rPr>
          <w:sz w:val="24"/>
          <w:szCs w:val="24"/>
        </w:rPr>
        <w:t xml:space="preserve"> og </w:t>
      </w:r>
      <w:proofErr w:type="spellStart"/>
      <w:r w:rsidRPr="009C3E06">
        <w:rPr>
          <w:sz w:val="24"/>
          <w:szCs w:val="24"/>
        </w:rPr>
        <w:t>digoxin</w:t>
      </w:r>
      <w:proofErr w:type="spellEnd"/>
      <w:r w:rsidRPr="009C3E06">
        <w:rPr>
          <w:sz w:val="24"/>
          <w:szCs w:val="24"/>
        </w:rPr>
        <w:t xml:space="preserve"> kan medføre forhøjede plasmakoncentrationer af </w:t>
      </w:r>
      <w:proofErr w:type="spellStart"/>
      <w:r w:rsidRPr="009C3E06">
        <w:rPr>
          <w:sz w:val="24"/>
          <w:szCs w:val="24"/>
        </w:rPr>
        <w:t>digoxin</w:t>
      </w:r>
      <w:proofErr w:type="spellEnd"/>
      <w:r w:rsidRPr="009C3E06">
        <w:rPr>
          <w:sz w:val="24"/>
          <w:szCs w:val="24"/>
        </w:rPr>
        <w:t xml:space="preserve">. Plasmakoncentrationerne af </w:t>
      </w:r>
      <w:proofErr w:type="spellStart"/>
      <w:r w:rsidRPr="009C3E06">
        <w:rPr>
          <w:sz w:val="24"/>
          <w:szCs w:val="24"/>
        </w:rPr>
        <w:t>digoxin</w:t>
      </w:r>
      <w:proofErr w:type="spellEnd"/>
      <w:r w:rsidRPr="009C3E06">
        <w:rPr>
          <w:sz w:val="24"/>
          <w:szCs w:val="24"/>
        </w:rPr>
        <w:t xml:space="preserve"> skal derfor overvåges og dosis af </w:t>
      </w:r>
      <w:proofErr w:type="spellStart"/>
      <w:r w:rsidRPr="009C3E06">
        <w:rPr>
          <w:sz w:val="24"/>
          <w:szCs w:val="24"/>
        </w:rPr>
        <w:t>digoxin</w:t>
      </w:r>
      <w:proofErr w:type="spellEnd"/>
      <w:r w:rsidRPr="009C3E06">
        <w:rPr>
          <w:sz w:val="24"/>
          <w:szCs w:val="24"/>
        </w:rPr>
        <w:t xml:space="preserve"> justeres, hvis det er nødvendigt, når behandling med </w:t>
      </w:r>
      <w:proofErr w:type="spellStart"/>
      <w:r w:rsidRPr="009C3E06">
        <w:rPr>
          <w:sz w:val="24"/>
          <w:szCs w:val="24"/>
        </w:rPr>
        <w:t>lansoprazol</w:t>
      </w:r>
      <w:proofErr w:type="spellEnd"/>
      <w:r w:rsidRPr="009C3E06">
        <w:rPr>
          <w:sz w:val="24"/>
          <w:szCs w:val="24"/>
        </w:rPr>
        <w:t xml:space="preserve"> påbegyndes og afsluttes. </w:t>
      </w:r>
    </w:p>
    <w:p w:rsidR="00BB1BE5" w:rsidRPr="009C3E06" w:rsidRDefault="00BB1BE5" w:rsidP="00BB1BE5">
      <w:pPr>
        <w:ind w:left="851"/>
        <w:rPr>
          <w:sz w:val="24"/>
          <w:szCs w:val="24"/>
        </w:rPr>
      </w:pPr>
    </w:p>
    <w:p w:rsidR="00BB1BE5" w:rsidRPr="009C3E06" w:rsidRDefault="00BB1BE5" w:rsidP="00BB1BE5">
      <w:pPr>
        <w:keepNext/>
        <w:ind w:firstLine="851"/>
        <w:rPr>
          <w:b/>
          <w:bCs/>
          <w:sz w:val="24"/>
          <w:szCs w:val="24"/>
        </w:rPr>
      </w:pPr>
      <w:r w:rsidRPr="009C3E06">
        <w:rPr>
          <w:b/>
          <w:bCs/>
          <w:sz w:val="24"/>
          <w:szCs w:val="24"/>
        </w:rPr>
        <w:t xml:space="preserve">Lægemidler, der </w:t>
      </w:r>
      <w:proofErr w:type="spellStart"/>
      <w:r w:rsidRPr="009C3E06">
        <w:rPr>
          <w:b/>
          <w:bCs/>
          <w:sz w:val="24"/>
          <w:szCs w:val="24"/>
        </w:rPr>
        <w:t>metaboliseres</w:t>
      </w:r>
      <w:proofErr w:type="spellEnd"/>
      <w:r w:rsidRPr="009C3E06">
        <w:rPr>
          <w:b/>
          <w:bCs/>
          <w:sz w:val="24"/>
          <w:szCs w:val="24"/>
        </w:rPr>
        <w:t xml:space="preserve"> af P450-enzymer</w:t>
      </w:r>
    </w:p>
    <w:p w:rsidR="00BB1BE5" w:rsidRPr="009C3E06" w:rsidRDefault="00BB1BE5" w:rsidP="00BB1BE5">
      <w:pPr>
        <w:ind w:left="851"/>
        <w:rPr>
          <w:sz w:val="24"/>
          <w:szCs w:val="24"/>
        </w:rPr>
      </w:pPr>
      <w:proofErr w:type="spellStart"/>
      <w:r w:rsidRPr="009C3E06">
        <w:rPr>
          <w:sz w:val="24"/>
          <w:szCs w:val="24"/>
        </w:rPr>
        <w:t>Lansoprazol</w:t>
      </w:r>
      <w:proofErr w:type="spellEnd"/>
      <w:r w:rsidRPr="009C3E06">
        <w:rPr>
          <w:sz w:val="24"/>
          <w:szCs w:val="24"/>
        </w:rPr>
        <w:t xml:space="preserve"> kan øge plasmakoncentrationerne af lægemidler, der </w:t>
      </w:r>
      <w:proofErr w:type="spellStart"/>
      <w:r w:rsidRPr="009C3E06">
        <w:rPr>
          <w:sz w:val="24"/>
          <w:szCs w:val="24"/>
        </w:rPr>
        <w:t>metaboliseres</w:t>
      </w:r>
      <w:proofErr w:type="spellEnd"/>
      <w:r w:rsidRPr="009C3E06">
        <w:rPr>
          <w:sz w:val="24"/>
          <w:szCs w:val="24"/>
        </w:rPr>
        <w:t xml:space="preserve"> af CYP3A4. Forsigtighed tilrådes ved kombination af </w:t>
      </w:r>
      <w:proofErr w:type="spellStart"/>
      <w:r w:rsidRPr="009C3E06">
        <w:rPr>
          <w:sz w:val="24"/>
          <w:szCs w:val="24"/>
        </w:rPr>
        <w:t>lansoprazol</w:t>
      </w:r>
      <w:proofErr w:type="spellEnd"/>
      <w:r w:rsidRPr="009C3E06">
        <w:rPr>
          <w:sz w:val="24"/>
          <w:szCs w:val="24"/>
        </w:rPr>
        <w:t xml:space="preserve"> med lægemidler, der </w:t>
      </w:r>
      <w:proofErr w:type="spellStart"/>
      <w:r w:rsidRPr="009C3E06">
        <w:rPr>
          <w:sz w:val="24"/>
          <w:szCs w:val="24"/>
        </w:rPr>
        <w:t>metaboliseres</w:t>
      </w:r>
      <w:proofErr w:type="spellEnd"/>
      <w:r w:rsidRPr="009C3E06">
        <w:rPr>
          <w:sz w:val="24"/>
          <w:szCs w:val="24"/>
        </w:rPr>
        <w:t xml:space="preserve"> af dette enzym og har et snævert terapeutisk vindue.</w:t>
      </w:r>
    </w:p>
    <w:p w:rsidR="00AE1008" w:rsidRPr="009C3E06" w:rsidRDefault="00AE1008" w:rsidP="00BB1BE5">
      <w:pPr>
        <w:ind w:left="851"/>
        <w:rPr>
          <w:sz w:val="24"/>
          <w:szCs w:val="24"/>
        </w:rPr>
      </w:pPr>
    </w:p>
    <w:p w:rsidR="00537957" w:rsidRPr="009C3E06" w:rsidRDefault="00537957" w:rsidP="00537957">
      <w:pPr>
        <w:ind w:left="851"/>
        <w:rPr>
          <w:sz w:val="24"/>
          <w:szCs w:val="24"/>
          <w:u w:val="single"/>
        </w:rPr>
      </w:pPr>
      <w:proofErr w:type="spellStart"/>
      <w:r w:rsidRPr="009C3E06">
        <w:rPr>
          <w:sz w:val="24"/>
          <w:szCs w:val="24"/>
          <w:u w:val="single"/>
        </w:rPr>
        <w:t>Warfarin</w:t>
      </w:r>
      <w:proofErr w:type="spellEnd"/>
    </w:p>
    <w:p w:rsidR="00537957" w:rsidRPr="009C3E06" w:rsidRDefault="00537957" w:rsidP="00537957">
      <w:pPr>
        <w:ind w:left="851"/>
        <w:rPr>
          <w:sz w:val="24"/>
          <w:szCs w:val="24"/>
        </w:rPr>
      </w:pPr>
      <w:r w:rsidRPr="009C3E06">
        <w:rPr>
          <w:sz w:val="24"/>
          <w:szCs w:val="24"/>
        </w:rPr>
        <w:t>Der har været rapporter</w:t>
      </w:r>
      <w:r>
        <w:rPr>
          <w:sz w:val="24"/>
          <w:szCs w:val="24"/>
        </w:rPr>
        <w:t>et</w:t>
      </w:r>
      <w:r w:rsidRPr="009C3E06">
        <w:rPr>
          <w:sz w:val="24"/>
          <w:szCs w:val="24"/>
        </w:rPr>
        <w:t xml:space="preserve"> om øget INR og </w:t>
      </w:r>
      <w:proofErr w:type="spellStart"/>
      <w:r w:rsidRPr="009C3E06">
        <w:rPr>
          <w:sz w:val="24"/>
          <w:szCs w:val="24"/>
        </w:rPr>
        <w:t>protrombintid</w:t>
      </w:r>
      <w:proofErr w:type="spellEnd"/>
      <w:r w:rsidRPr="009C3E06">
        <w:rPr>
          <w:sz w:val="24"/>
          <w:szCs w:val="24"/>
        </w:rPr>
        <w:t xml:space="preserve"> hos patienter, der fik PPI-præparater og </w:t>
      </w:r>
      <w:proofErr w:type="spellStart"/>
      <w:r w:rsidRPr="009C3E06">
        <w:rPr>
          <w:sz w:val="24"/>
          <w:szCs w:val="24"/>
        </w:rPr>
        <w:t>warfarin</w:t>
      </w:r>
      <w:proofErr w:type="spellEnd"/>
      <w:r w:rsidRPr="009C3E06">
        <w:rPr>
          <w:sz w:val="24"/>
          <w:szCs w:val="24"/>
        </w:rPr>
        <w:t xml:space="preserve"> samtidig. Stigninger i INR og </w:t>
      </w:r>
      <w:proofErr w:type="spellStart"/>
      <w:r w:rsidRPr="009C3E06">
        <w:rPr>
          <w:sz w:val="24"/>
          <w:szCs w:val="24"/>
        </w:rPr>
        <w:t>protrombintid</w:t>
      </w:r>
      <w:proofErr w:type="spellEnd"/>
      <w:r w:rsidRPr="009C3E06">
        <w:rPr>
          <w:sz w:val="24"/>
          <w:szCs w:val="24"/>
        </w:rPr>
        <w:t xml:space="preserve"> kan medføre </w:t>
      </w:r>
      <w:r>
        <w:rPr>
          <w:sz w:val="24"/>
          <w:szCs w:val="24"/>
        </w:rPr>
        <w:t>u</w:t>
      </w:r>
      <w:r w:rsidRPr="009C3E06">
        <w:rPr>
          <w:sz w:val="24"/>
          <w:szCs w:val="24"/>
        </w:rPr>
        <w:t xml:space="preserve">normale blødninger og endda død. Patienter i samtidig behandling med </w:t>
      </w:r>
      <w:proofErr w:type="spellStart"/>
      <w:r w:rsidRPr="009C3E06">
        <w:rPr>
          <w:sz w:val="24"/>
          <w:szCs w:val="24"/>
        </w:rPr>
        <w:t>lansoprazol</w:t>
      </w:r>
      <w:proofErr w:type="spellEnd"/>
      <w:r w:rsidRPr="009C3E06">
        <w:rPr>
          <w:sz w:val="24"/>
          <w:szCs w:val="24"/>
        </w:rPr>
        <w:t xml:space="preserve"> og </w:t>
      </w:r>
      <w:proofErr w:type="spellStart"/>
      <w:r w:rsidRPr="009C3E06">
        <w:rPr>
          <w:sz w:val="24"/>
          <w:szCs w:val="24"/>
        </w:rPr>
        <w:t>warfarin</w:t>
      </w:r>
      <w:proofErr w:type="spellEnd"/>
      <w:r w:rsidRPr="009C3E06">
        <w:rPr>
          <w:sz w:val="24"/>
          <w:szCs w:val="24"/>
        </w:rPr>
        <w:t xml:space="preserve"> kan have behov for </w:t>
      </w:r>
      <w:r>
        <w:rPr>
          <w:sz w:val="24"/>
          <w:szCs w:val="24"/>
        </w:rPr>
        <w:t xml:space="preserve">at blive monitoreret for </w:t>
      </w:r>
      <w:r w:rsidRPr="009C3E06">
        <w:rPr>
          <w:sz w:val="24"/>
          <w:szCs w:val="24"/>
        </w:rPr>
        <w:t xml:space="preserve">stigninger i INR og </w:t>
      </w:r>
      <w:proofErr w:type="spellStart"/>
      <w:r w:rsidRPr="009C3E06">
        <w:rPr>
          <w:sz w:val="24"/>
          <w:szCs w:val="24"/>
        </w:rPr>
        <w:t>protrombintid</w:t>
      </w:r>
      <w:proofErr w:type="spellEnd"/>
      <w:r w:rsidRPr="009C3E06">
        <w:rPr>
          <w:sz w:val="24"/>
          <w:szCs w:val="24"/>
        </w:rPr>
        <w:t>.</w:t>
      </w:r>
    </w:p>
    <w:p w:rsidR="00BB1BE5" w:rsidRPr="009C3E06" w:rsidRDefault="00BB1BE5" w:rsidP="00BB1BE5">
      <w:pPr>
        <w:ind w:left="851" w:hanging="851"/>
        <w:rPr>
          <w:sz w:val="24"/>
          <w:szCs w:val="24"/>
          <w:u w:val="single"/>
        </w:rPr>
      </w:pPr>
    </w:p>
    <w:p w:rsidR="00BB1BE5" w:rsidRPr="009C3E06" w:rsidRDefault="00BB1BE5" w:rsidP="00BB1BE5">
      <w:pPr>
        <w:ind w:left="851"/>
        <w:rPr>
          <w:sz w:val="24"/>
          <w:szCs w:val="24"/>
          <w:u w:val="single"/>
        </w:rPr>
      </w:pPr>
      <w:proofErr w:type="spellStart"/>
      <w:r w:rsidRPr="009C3E06">
        <w:rPr>
          <w:sz w:val="24"/>
          <w:szCs w:val="24"/>
          <w:u w:val="single"/>
        </w:rPr>
        <w:t>Theophyllin</w:t>
      </w:r>
      <w:proofErr w:type="spellEnd"/>
    </w:p>
    <w:p w:rsidR="00BB1BE5" w:rsidRPr="009C3E06" w:rsidRDefault="00BB1BE5" w:rsidP="00BB1BE5">
      <w:pPr>
        <w:ind w:left="851"/>
        <w:rPr>
          <w:sz w:val="24"/>
          <w:szCs w:val="24"/>
        </w:rPr>
      </w:pPr>
      <w:proofErr w:type="spellStart"/>
      <w:r w:rsidRPr="009C3E06">
        <w:rPr>
          <w:sz w:val="24"/>
          <w:szCs w:val="24"/>
        </w:rPr>
        <w:t>Lansoprazol</w:t>
      </w:r>
      <w:proofErr w:type="spellEnd"/>
      <w:r w:rsidRPr="009C3E06">
        <w:rPr>
          <w:sz w:val="24"/>
          <w:szCs w:val="24"/>
        </w:rPr>
        <w:t xml:space="preserve"> reducerer plasmakoncentrationen af </w:t>
      </w:r>
      <w:proofErr w:type="spellStart"/>
      <w:r w:rsidRPr="009C3E06">
        <w:rPr>
          <w:sz w:val="24"/>
          <w:szCs w:val="24"/>
        </w:rPr>
        <w:t>theophyllin</w:t>
      </w:r>
      <w:proofErr w:type="spellEnd"/>
      <w:r w:rsidRPr="009C3E06">
        <w:rPr>
          <w:sz w:val="24"/>
          <w:szCs w:val="24"/>
        </w:rPr>
        <w:t xml:space="preserve">, hvilket kan reducere den forventede kliniske effekt af dosis. Patienter skal monitoreres ved samtidig administration af </w:t>
      </w:r>
      <w:proofErr w:type="spellStart"/>
      <w:r w:rsidRPr="009C3E06">
        <w:rPr>
          <w:sz w:val="24"/>
          <w:szCs w:val="24"/>
        </w:rPr>
        <w:t>lansoprazol</w:t>
      </w:r>
      <w:proofErr w:type="spellEnd"/>
      <w:r w:rsidRPr="009C3E06">
        <w:rPr>
          <w:sz w:val="24"/>
          <w:szCs w:val="24"/>
        </w:rPr>
        <w:t xml:space="preserve"> og </w:t>
      </w:r>
      <w:proofErr w:type="spellStart"/>
      <w:r w:rsidRPr="009C3E06">
        <w:rPr>
          <w:sz w:val="24"/>
          <w:szCs w:val="24"/>
        </w:rPr>
        <w:t>theophyllin</w:t>
      </w:r>
      <w:proofErr w:type="spellEnd"/>
      <w:r w:rsidRPr="009C3E06">
        <w:rPr>
          <w:sz w:val="24"/>
          <w:szCs w:val="24"/>
        </w:rPr>
        <w:t>.</w:t>
      </w:r>
    </w:p>
    <w:p w:rsidR="00BB1BE5" w:rsidRPr="009C3E06" w:rsidRDefault="00BB1BE5" w:rsidP="00BB1BE5">
      <w:pPr>
        <w:ind w:left="851" w:hanging="851"/>
        <w:rPr>
          <w:strike/>
          <w:sz w:val="24"/>
          <w:szCs w:val="24"/>
          <w:u w:val="single"/>
        </w:rPr>
      </w:pPr>
    </w:p>
    <w:p w:rsidR="00537957" w:rsidRPr="009C3E06" w:rsidRDefault="00537957" w:rsidP="00537957">
      <w:pPr>
        <w:ind w:left="851"/>
        <w:rPr>
          <w:sz w:val="24"/>
          <w:szCs w:val="24"/>
          <w:u w:val="single"/>
        </w:rPr>
      </w:pPr>
      <w:proofErr w:type="spellStart"/>
      <w:r w:rsidRPr="009C3E06">
        <w:rPr>
          <w:sz w:val="24"/>
          <w:szCs w:val="24"/>
          <w:u w:val="single"/>
        </w:rPr>
        <w:t>Tacrolimus</w:t>
      </w:r>
      <w:proofErr w:type="spellEnd"/>
    </w:p>
    <w:p w:rsidR="00537957" w:rsidRPr="009C3E06" w:rsidRDefault="00537957" w:rsidP="00537957">
      <w:pPr>
        <w:ind w:left="851"/>
        <w:rPr>
          <w:sz w:val="24"/>
          <w:szCs w:val="24"/>
        </w:rPr>
      </w:pPr>
      <w:r w:rsidRPr="009C3E06">
        <w:rPr>
          <w:sz w:val="24"/>
          <w:szCs w:val="24"/>
        </w:rPr>
        <w:t xml:space="preserve">Samtidig administration af </w:t>
      </w:r>
      <w:proofErr w:type="spellStart"/>
      <w:r w:rsidRPr="009C3E06">
        <w:rPr>
          <w:sz w:val="24"/>
          <w:szCs w:val="24"/>
        </w:rPr>
        <w:t>lansoprazol</w:t>
      </w:r>
      <w:proofErr w:type="spellEnd"/>
      <w:r w:rsidRPr="009C3E06">
        <w:rPr>
          <w:sz w:val="24"/>
          <w:szCs w:val="24"/>
        </w:rPr>
        <w:t xml:space="preserve"> øger plasmakoncentrationerne af </w:t>
      </w:r>
      <w:proofErr w:type="spellStart"/>
      <w:r w:rsidRPr="009C3E06">
        <w:rPr>
          <w:sz w:val="24"/>
          <w:szCs w:val="24"/>
        </w:rPr>
        <w:t>tacrolimus</w:t>
      </w:r>
      <w:proofErr w:type="spellEnd"/>
      <w:r w:rsidRPr="009C3E06">
        <w:rPr>
          <w:sz w:val="24"/>
          <w:szCs w:val="24"/>
        </w:rPr>
        <w:t xml:space="preserve"> (et CYP3A- og P-gp-substrat). Eksponering for </w:t>
      </w:r>
      <w:proofErr w:type="spellStart"/>
      <w:r w:rsidRPr="009C3E06">
        <w:rPr>
          <w:sz w:val="24"/>
          <w:szCs w:val="24"/>
        </w:rPr>
        <w:t>lansoprazol</w:t>
      </w:r>
      <w:proofErr w:type="spellEnd"/>
      <w:r w:rsidRPr="009C3E06">
        <w:rPr>
          <w:sz w:val="24"/>
          <w:szCs w:val="24"/>
        </w:rPr>
        <w:t xml:space="preserve"> forhøjede gennemsnitseksponeringen for </w:t>
      </w:r>
      <w:proofErr w:type="spellStart"/>
      <w:r w:rsidRPr="009C3E06">
        <w:rPr>
          <w:sz w:val="24"/>
          <w:szCs w:val="24"/>
        </w:rPr>
        <w:t>tacrolimus</w:t>
      </w:r>
      <w:proofErr w:type="spellEnd"/>
      <w:r w:rsidRPr="009C3E06">
        <w:rPr>
          <w:sz w:val="24"/>
          <w:szCs w:val="24"/>
        </w:rPr>
        <w:t xml:space="preserve"> med op til 81 %. </w:t>
      </w:r>
    </w:p>
    <w:p w:rsidR="00537957" w:rsidRPr="009C3E06" w:rsidRDefault="00537957" w:rsidP="00537957">
      <w:pPr>
        <w:ind w:left="851"/>
        <w:rPr>
          <w:sz w:val="24"/>
          <w:szCs w:val="24"/>
        </w:rPr>
      </w:pPr>
      <w:r>
        <w:rPr>
          <w:sz w:val="24"/>
          <w:szCs w:val="24"/>
        </w:rPr>
        <w:t>Monitorering</w:t>
      </w:r>
      <w:r w:rsidRPr="009C3E06">
        <w:rPr>
          <w:sz w:val="24"/>
          <w:szCs w:val="24"/>
        </w:rPr>
        <w:t xml:space="preserve"> af plasmakoncentrationerne af </w:t>
      </w:r>
      <w:proofErr w:type="spellStart"/>
      <w:r w:rsidRPr="009C3E06">
        <w:rPr>
          <w:sz w:val="24"/>
          <w:szCs w:val="24"/>
        </w:rPr>
        <w:t>tacrolimus</w:t>
      </w:r>
      <w:proofErr w:type="spellEnd"/>
      <w:r w:rsidRPr="009C3E06">
        <w:rPr>
          <w:sz w:val="24"/>
          <w:szCs w:val="24"/>
        </w:rPr>
        <w:t xml:space="preserve"> tilrådes, når samtidig behandling med </w:t>
      </w:r>
      <w:proofErr w:type="spellStart"/>
      <w:r w:rsidRPr="009C3E06">
        <w:rPr>
          <w:sz w:val="24"/>
          <w:szCs w:val="24"/>
        </w:rPr>
        <w:t>lansoprazol</w:t>
      </w:r>
      <w:proofErr w:type="spellEnd"/>
      <w:r w:rsidRPr="009C3E06">
        <w:rPr>
          <w:sz w:val="24"/>
          <w:szCs w:val="24"/>
        </w:rPr>
        <w:t xml:space="preserve"> påbegyndes og afsluttes.</w:t>
      </w:r>
    </w:p>
    <w:p w:rsidR="00BB1BE5" w:rsidRPr="009C3E06" w:rsidRDefault="00BB1BE5" w:rsidP="00BB1BE5">
      <w:pPr>
        <w:ind w:left="851" w:hanging="851"/>
        <w:rPr>
          <w:b/>
          <w:bCs/>
          <w:sz w:val="24"/>
          <w:szCs w:val="24"/>
        </w:rPr>
      </w:pPr>
    </w:p>
    <w:p w:rsidR="00BB1BE5" w:rsidRPr="009C3E06" w:rsidRDefault="00BB1BE5" w:rsidP="00BB1BE5">
      <w:pPr>
        <w:ind w:left="851"/>
        <w:rPr>
          <w:b/>
          <w:bCs/>
          <w:sz w:val="24"/>
          <w:szCs w:val="24"/>
        </w:rPr>
      </w:pPr>
      <w:r w:rsidRPr="009C3E06">
        <w:rPr>
          <w:b/>
          <w:bCs/>
          <w:sz w:val="24"/>
          <w:szCs w:val="24"/>
        </w:rPr>
        <w:t>Lægemidler, der transporteres af P-</w:t>
      </w:r>
      <w:proofErr w:type="spellStart"/>
      <w:r w:rsidRPr="009C3E06">
        <w:rPr>
          <w:b/>
          <w:bCs/>
          <w:sz w:val="24"/>
          <w:szCs w:val="24"/>
        </w:rPr>
        <w:t>glycoprotein</w:t>
      </w:r>
      <w:proofErr w:type="spellEnd"/>
    </w:p>
    <w:p w:rsidR="00BB1BE5" w:rsidRPr="009C3E06" w:rsidRDefault="00BB1BE5" w:rsidP="00BB1BE5">
      <w:pPr>
        <w:ind w:left="851"/>
        <w:rPr>
          <w:sz w:val="24"/>
          <w:szCs w:val="24"/>
        </w:rPr>
      </w:pPr>
      <w:r w:rsidRPr="009C3E06">
        <w:rPr>
          <w:sz w:val="24"/>
          <w:szCs w:val="24"/>
        </w:rPr>
        <w:t xml:space="preserve">Det er observeret, at </w:t>
      </w:r>
      <w:proofErr w:type="spellStart"/>
      <w:r w:rsidRPr="009C3E06">
        <w:rPr>
          <w:sz w:val="24"/>
          <w:szCs w:val="24"/>
        </w:rPr>
        <w:t>lansoprazol</w:t>
      </w:r>
      <w:proofErr w:type="spellEnd"/>
      <w:r w:rsidRPr="009C3E06">
        <w:rPr>
          <w:sz w:val="24"/>
          <w:szCs w:val="24"/>
        </w:rPr>
        <w:t xml:space="preserve"> hæmmer transportproteinet P-</w:t>
      </w:r>
      <w:proofErr w:type="spellStart"/>
      <w:r w:rsidRPr="009C3E06">
        <w:rPr>
          <w:sz w:val="24"/>
          <w:szCs w:val="24"/>
        </w:rPr>
        <w:t>glycoprotein</w:t>
      </w:r>
      <w:proofErr w:type="spellEnd"/>
      <w:r w:rsidRPr="009C3E06">
        <w:rPr>
          <w:sz w:val="24"/>
          <w:szCs w:val="24"/>
        </w:rPr>
        <w:t xml:space="preserve"> (P-gp) </w:t>
      </w:r>
      <w:r w:rsidRPr="009C3E06">
        <w:rPr>
          <w:i/>
          <w:iCs/>
          <w:sz w:val="24"/>
          <w:szCs w:val="24"/>
        </w:rPr>
        <w:t xml:space="preserve">in </w:t>
      </w:r>
      <w:proofErr w:type="spellStart"/>
      <w:r w:rsidRPr="009C3E06">
        <w:rPr>
          <w:i/>
          <w:iCs/>
          <w:sz w:val="24"/>
          <w:szCs w:val="24"/>
        </w:rPr>
        <w:t>vitro</w:t>
      </w:r>
      <w:proofErr w:type="spellEnd"/>
      <w:r w:rsidRPr="009C3E06">
        <w:rPr>
          <w:sz w:val="24"/>
          <w:szCs w:val="24"/>
        </w:rPr>
        <w:t>. Den kliniske relevans af dette kendes ikke.</w:t>
      </w:r>
    </w:p>
    <w:p w:rsidR="00BB1BE5" w:rsidRPr="009C3E06" w:rsidRDefault="00BB1BE5" w:rsidP="00BB1BE5">
      <w:pPr>
        <w:ind w:left="851" w:hanging="851"/>
        <w:rPr>
          <w:sz w:val="24"/>
          <w:szCs w:val="24"/>
        </w:rPr>
      </w:pPr>
    </w:p>
    <w:p w:rsidR="00BB1BE5" w:rsidRPr="009C3E06" w:rsidRDefault="00BB1BE5" w:rsidP="00BB1BE5">
      <w:pPr>
        <w:ind w:left="851"/>
        <w:rPr>
          <w:b/>
          <w:bCs/>
          <w:sz w:val="24"/>
          <w:szCs w:val="24"/>
          <w:u w:val="single"/>
        </w:rPr>
      </w:pPr>
      <w:r w:rsidRPr="009C3E06">
        <w:rPr>
          <w:b/>
          <w:bCs/>
          <w:sz w:val="24"/>
          <w:szCs w:val="24"/>
          <w:u w:val="single"/>
        </w:rPr>
        <w:t xml:space="preserve">Andre lægemidlers effekt på </w:t>
      </w:r>
      <w:proofErr w:type="spellStart"/>
      <w:r w:rsidRPr="009C3E06">
        <w:rPr>
          <w:b/>
          <w:bCs/>
          <w:sz w:val="24"/>
          <w:szCs w:val="24"/>
          <w:u w:val="single"/>
        </w:rPr>
        <w:t>lansoprazol</w:t>
      </w:r>
      <w:proofErr w:type="spellEnd"/>
      <w:r w:rsidRPr="009C3E06">
        <w:rPr>
          <w:b/>
          <w:bCs/>
          <w:sz w:val="24"/>
          <w:szCs w:val="24"/>
          <w:u w:val="single"/>
        </w:rPr>
        <w:t xml:space="preserve"> </w:t>
      </w:r>
    </w:p>
    <w:p w:rsidR="00BB1BE5" w:rsidRPr="009C3E06" w:rsidRDefault="00BB1BE5" w:rsidP="00BB1BE5">
      <w:pPr>
        <w:ind w:left="851" w:hanging="851"/>
        <w:rPr>
          <w:b/>
          <w:bCs/>
          <w:sz w:val="24"/>
          <w:szCs w:val="24"/>
          <w:u w:val="single"/>
        </w:rPr>
      </w:pPr>
    </w:p>
    <w:p w:rsidR="00BB1BE5" w:rsidRPr="009C3E06" w:rsidRDefault="00BB1BE5" w:rsidP="00BB1BE5">
      <w:pPr>
        <w:ind w:left="851"/>
        <w:rPr>
          <w:b/>
          <w:bCs/>
          <w:sz w:val="24"/>
          <w:szCs w:val="24"/>
        </w:rPr>
      </w:pPr>
      <w:r w:rsidRPr="009C3E06">
        <w:rPr>
          <w:b/>
          <w:bCs/>
          <w:sz w:val="24"/>
          <w:szCs w:val="24"/>
        </w:rPr>
        <w:t>Lægemidler, der hæmmer CYP2C19</w:t>
      </w:r>
    </w:p>
    <w:p w:rsidR="00BB1BE5" w:rsidRPr="009C3E06" w:rsidRDefault="00BB1BE5" w:rsidP="00BB1BE5">
      <w:pPr>
        <w:ind w:left="851"/>
        <w:rPr>
          <w:sz w:val="24"/>
          <w:szCs w:val="24"/>
          <w:u w:val="single"/>
        </w:rPr>
      </w:pPr>
      <w:proofErr w:type="spellStart"/>
      <w:r w:rsidRPr="009C3E06">
        <w:rPr>
          <w:sz w:val="24"/>
          <w:szCs w:val="24"/>
          <w:u w:val="single"/>
        </w:rPr>
        <w:t>Fluvoxamin</w:t>
      </w:r>
      <w:proofErr w:type="spellEnd"/>
    </w:p>
    <w:p w:rsidR="00BB1BE5" w:rsidRPr="009C3E06" w:rsidRDefault="00BB1BE5" w:rsidP="00BB1BE5">
      <w:pPr>
        <w:ind w:left="851"/>
        <w:rPr>
          <w:sz w:val="24"/>
          <w:szCs w:val="24"/>
        </w:rPr>
      </w:pPr>
      <w:r w:rsidRPr="009C3E06">
        <w:rPr>
          <w:sz w:val="24"/>
          <w:szCs w:val="24"/>
        </w:rPr>
        <w:t xml:space="preserve">En reduktion af dosis bør overvejes, når </w:t>
      </w:r>
      <w:proofErr w:type="spellStart"/>
      <w:r w:rsidRPr="009C3E06">
        <w:rPr>
          <w:sz w:val="24"/>
          <w:szCs w:val="24"/>
        </w:rPr>
        <w:t>lansoprazol</w:t>
      </w:r>
      <w:proofErr w:type="spellEnd"/>
      <w:r w:rsidRPr="009C3E06">
        <w:rPr>
          <w:sz w:val="24"/>
          <w:szCs w:val="24"/>
        </w:rPr>
        <w:t xml:space="preserve"> kombineres med CYP2C19-hæmmeren </w:t>
      </w:r>
      <w:proofErr w:type="spellStart"/>
      <w:r w:rsidRPr="009C3E06">
        <w:rPr>
          <w:sz w:val="24"/>
          <w:szCs w:val="24"/>
        </w:rPr>
        <w:t>fluvoxamin</w:t>
      </w:r>
      <w:proofErr w:type="spellEnd"/>
      <w:r w:rsidRPr="009C3E06">
        <w:rPr>
          <w:sz w:val="24"/>
          <w:szCs w:val="24"/>
        </w:rPr>
        <w:t xml:space="preserve">. Plasmakoncentrationerne af </w:t>
      </w:r>
      <w:proofErr w:type="spellStart"/>
      <w:r w:rsidRPr="009C3E06">
        <w:rPr>
          <w:sz w:val="24"/>
          <w:szCs w:val="24"/>
        </w:rPr>
        <w:t>lansoprazol</w:t>
      </w:r>
      <w:proofErr w:type="spellEnd"/>
      <w:r w:rsidRPr="009C3E06">
        <w:rPr>
          <w:sz w:val="24"/>
          <w:szCs w:val="24"/>
        </w:rPr>
        <w:t xml:space="preserve"> øges op til 4 gange.</w:t>
      </w:r>
    </w:p>
    <w:p w:rsidR="00BB1BE5" w:rsidRPr="009C3E06" w:rsidRDefault="00BB1BE5" w:rsidP="00BB1BE5">
      <w:pPr>
        <w:ind w:left="851" w:hanging="851"/>
        <w:rPr>
          <w:b/>
          <w:bCs/>
          <w:i/>
          <w:iCs/>
          <w:sz w:val="24"/>
          <w:szCs w:val="24"/>
        </w:rPr>
      </w:pPr>
    </w:p>
    <w:p w:rsidR="00BB1BE5" w:rsidRPr="009C3E06" w:rsidRDefault="00BB1BE5" w:rsidP="00BB1BE5">
      <w:pPr>
        <w:ind w:left="851"/>
        <w:rPr>
          <w:b/>
          <w:bCs/>
          <w:sz w:val="24"/>
          <w:szCs w:val="24"/>
        </w:rPr>
      </w:pPr>
      <w:r w:rsidRPr="009C3E06">
        <w:rPr>
          <w:b/>
          <w:bCs/>
          <w:sz w:val="24"/>
          <w:szCs w:val="24"/>
        </w:rPr>
        <w:t>Lægemidler, der inducerer CYP2C19 og CYP3A4</w:t>
      </w:r>
    </w:p>
    <w:p w:rsidR="00BB1BE5" w:rsidRPr="009C3E06" w:rsidRDefault="00BB1BE5" w:rsidP="00BB1BE5">
      <w:pPr>
        <w:ind w:left="851"/>
        <w:rPr>
          <w:sz w:val="24"/>
          <w:szCs w:val="24"/>
        </w:rPr>
      </w:pPr>
      <w:r w:rsidRPr="009C3E06">
        <w:rPr>
          <w:sz w:val="24"/>
          <w:szCs w:val="24"/>
        </w:rPr>
        <w:lastRenderedPageBreak/>
        <w:t xml:space="preserve">Enzyminducere, der påvirker CYP2C19 og CYP3A4, som for eksempel </w:t>
      </w:r>
      <w:proofErr w:type="spellStart"/>
      <w:r w:rsidRPr="009C3E06">
        <w:rPr>
          <w:sz w:val="24"/>
          <w:szCs w:val="24"/>
        </w:rPr>
        <w:t>rifampicin</w:t>
      </w:r>
      <w:proofErr w:type="spellEnd"/>
      <w:r w:rsidRPr="009C3E06">
        <w:rPr>
          <w:sz w:val="24"/>
          <w:szCs w:val="24"/>
        </w:rPr>
        <w:t xml:space="preserve"> og prikbladet perikum (</w:t>
      </w:r>
      <w:r w:rsidRPr="009C3E06">
        <w:rPr>
          <w:i/>
          <w:iCs/>
          <w:sz w:val="24"/>
          <w:szCs w:val="24"/>
        </w:rPr>
        <w:t xml:space="preserve">Hypericum </w:t>
      </w:r>
      <w:proofErr w:type="spellStart"/>
      <w:r w:rsidRPr="009C3E06">
        <w:rPr>
          <w:i/>
          <w:iCs/>
          <w:sz w:val="24"/>
          <w:szCs w:val="24"/>
        </w:rPr>
        <w:t>perforatum</w:t>
      </w:r>
      <w:proofErr w:type="spellEnd"/>
      <w:r w:rsidRPr="009C3E06">
        <w:rPr>
          <w:sz w:val="24"/>
          <w:szCs w:val="24"/>
        </w:rPr>
        <w:t xml:space="preserve">), kan reducere plasmakoncentrationerne af </w:t>
      </w:r>
      <w:proofErr w:type="spellStart"/>
      <w:r w:rsidRPr="009C3E06">
        <w:rPr>
          <w:sz w:val="24"/>
          <w:szCs w:val="24"/>
        </w:rPr>
        <w:t>lansoprazol</w:t>
      </w:r>
      <w:proofErr w:type="spellEnd"/>
      <w:r w:rsidRPr="009C3E06">
        <w:rPr>
          <w:sz w:val="24"/>
          <w:szCs w:val="24"/>
        </w:rPr>
        <w:t xml:space="preserve"> markant.</w:t>
      </w:r>
    </w:p>
    <w:p w:rsidR="00BB1BE5" w:rsidRPr="009C3E06" w:rsidRDefault="00BB1BE5" w:rsidP="00BB1BE5">
      <w:pPr>
        <w:ind w:left="851" w:hanging="851"/>
        <w:rPr>
          <w:sz w:val="24"/>
          <w:szCs w:val="24"/>
        </w:rPr>
      </w:pPr>
    </w:p>
    <w:p w:rsidR="00537957" w:rsidRPr="009C3E06" w:rsidRDefault="00537957" w:rsidP="00537957">
      <w:pPr>
        <w:ind w:left="851"/>
        <w:rPr>
          <w:b/>
          <w:bCs/>
          <w:sz w:val="24"/>
          <w:szCs w:val="24"/>
        </w:rPr>
      </w:pPr>
      <w:r w:rsidRPr="009C3E06">
        <w:rPr>
          <w:b/>
          <w:bCs/>
          <w:sz w:val="24"/>
          <w:szCs w:val="24"/>
        </w:rPr>
        <w:t>Andet</w:t>
      </w:r>
    </w:p>
    <w:p w:rsidR="00537957" w:rsidRPr="009C3E06" w:rsidRDefault="00537957" w:rsidP="00537957">
      <w:pPr>
        <w:ind w:left="851"/>
        <w:rPr>
          <w:sz w:val="24"/>
          <w:szCs w:val="24"/>
          <w:u w:val="single"/>
        </w:rPr>
      </w:pPr>
      <w:proofErr w:type="spellStart"/>
      <w:r w:rsidRPr="009C3E06">
        <w:rPr>
          <w:sz w:val="24"/>
          <w:szCs w:val="24"/>
          <w:u w:val="single"/>
        </w:rPr>
        <w:t>Methotrexat</w:t>
      </w:r>
      <w:proofErr w:type="spellEnd"/>
    </w:p>
    <w:p w:rsidR="00537957" w:rsidRPr="009C3E06" w:rsidRDefault="00537957" w:rsidP="00537957">
      <w:pPr>
        <w:ind w:left="851"/>
        <w:rPr>
          <w:sz w:val="24"/>
          <w:szCs w:val="24"/>
        </w:rPr>
      </w:pPr>
      <w:r w:rsidRPr="009C3E06">
        <w:rPr>
          <w:sz w:val="24"/>
          <w:szCs w:val="24"/>
        </w:rPr>
        <w:t xml:space="preserve">Samtidig anvendelse med højdosis </w:t>
      </w:r>
      <w:proofErr w:type="spellStart"/>
      <w:r w:rsidRPr="009C3E06">
        <w:rPr>
          <w:sz w:val="24"/>
          <w:szCs w:val="24"/>
        </w:rPr>
        <w:t>methotrexat</w:t>
      </w:r>
      <w:proofErr w:type="spellEnd"/>
      <w:r w:rsidRPr="009C3E06">
        <w:rPr>
          <w:sz w:val="24"/>
          <w:szCs w:val="24"/>
        </w:rPr>
        <w:t xml:space="preserve"> kan øge og forlænge serumkoncentrationer</w:t>
      </w:r>
      <w:r>
        <w:rPr>
          <w:sz w:val="24"/>
          <w:szCs w:val="24"/>
        </w:rPr>
        <w:t>ne</w:t>
      </w:r>
      <w:r w:rsidRPr="009C3E06">
        <w:rPr>
          <w:sz w:val="24"/>
          <w:szCs w:val="24"/>
        </w:rPr>
        <w:t xml:space="preserve"> af </w:t>
      </w:r>
      <w:proofErr w:type="spellStart"/>
      <w:r w:rsidRPr="009C3E06">
        <w:rPr>
          <w:sz w:val="24"/>
          <w:szCs w:val="24"/>
        </w:rPr>
        <w:t>methotrexat</w:t>
      </w:r>
      <w:proofErr w:type="spellEnd"/>
      <w:r w:rsidRPr="009C3E06">
        <w:rPr>
          <w:sz w:val="24"/>
          <w:szCs w:val="24"/>
        </w:rPr>
        <w:t xml:space="preserve"> og/eller dets metabolitter, hvilket muligvis kan føre til </w:t>
      </w:r>
      <w:r>
        <w:rPr>
          <w:sz w:val="24"/>
          <w:szCs w:val="24"/>
        </w:rPr>
        <w:t xml:space="preserve">toksicitet af </w:t>
      </w:r>
      <w:proofErr w:type="spellStart"/>
      <w:r>
        <w:rPr>
          <w:sz w:val="24"/>
          <w:szCs w:val="24"/>
        </w:rPr>
        <w:t>methotrexat</w:t>
      </w:r>
      <w:proofErr w:type="spellEnd"/>
      <w:r>
        <w:rPr>
          <w:sz w:val="24"/>
          <w:szCs w:val="24"/>
        </w:rPr>
        <w:t>.</w:t>
      </w:r>
    </w:p>
    <w:p w:rsidR="00537957" w:rsidRPr="009C3E06" w:rsidRDefault="00537957" w:rsidP="00537957">
      <w:pPr>
        <w:ind w:left="851"/>
        <w:rPr>
          <w:sz w:val="24"/>
          <w:szCs w:val="24"/>
        </w:rPr>
      </w:pPr>
    </w:p>
    <w:p w:rsidR="00537957" w:rsidRPr="009C3E06" w:rsidRDefault="00537957" w:rsidP="00537957">
      <w:pPr>
        <w:ind w:left="851"/>
        <w:rPr>
          <w:sz w:val="24"/>
          <w:szCs w:val="24"/>
          <w:u w:val="single"/>
        </w:rPr>
      </w:pPr>
      <w:proofErr w:type="spellStart"/>
      <w:r w:rsidRPr="009C3E06">
        <w:rPr>
          <w:sz w:val="24"/>
          <w:szCs w:val="24"/>
          <w:u w:val="single"/>
        </w:rPr>
        <w:t>Sucralfat</w:t>
      </w:r>
      <w:proofErr w:type="spellEnd"/>
      <w:r w:rsidRPr="009C3E06">
        <w:rPr>
          <w:sz w:val="24"/>
          <w:szCs w:val="24"/>
          <w:u w:val="single"/>
        </w:rPr>
        <w:t>/</w:t>
      </w:r>
      <w:proofErr w:type="spellStart"/>
      <w:r w:rsidRPr="009C3E06">
        <w:rPr>
          <w:sz w:val="24"/>
          <w:szCs w:val="24"/>
          <w:u w:val="single"/>
        </w:rPr>
        <w:t>antacida</w:t>
      </w:r>
      <w:proofErr w:type="spellEnd"/>
    </w:p>
    <w:p w:rsidR="00537957" w:rsidRPr="009C3E06" w:rsidRDefault="00537957" w:rsidP="00537957">
      <w:pPr>
        <w:ind w:left="851"/>
        <w:rPr>
          <w:sz w:val="24"/>
          <w:szCs w:val="24"/>
        </w:rPr>
      </w:pPr>
      <w:proofErr w:type="spellStart"/>
      <w:r w:rsidRPr="009C3E06">
        <w:rPr>
          <w:sz w:val="24"/>
          <w:szCs w:val="24"/>
        </w:rPr>
        <w:t>Sucralfat</w:t>
      </w:r>
      <w:proofErr w:type="spellEnd"/>
      <w:r w:rsidRPr="009C3E06">
        <w:rPr>
          <w:sz w:val="24"/>
          <w:szCs w:val="24"/>
        </w:rPr>
        <w:t>/</w:t>
      </w:r>
      <w:proofErr w:type="spellStart"/>
      <w:r w:rsidRPr="009C3E06">
        <w:rPr>
          <w:sz w:val="24"/>
          <w:szCs w:val="24"/>
        </w:rPr>
        <w:t>antacida</w:t>
      </w:r>
      <w:proofErr w:type="spellEnd"/>
      <w:r w:rsidRPr="009C3E06">
        <w:rPr>
          <w:sz w:val="24"/>
          <w:szCs w:val="24"/>
        </w:rPr>
        <w:t xml:space="preserve"> kan nedsætte biotilgængeligheden af </w:t>
      </w:r>
      <w:proofErr w:type="spellStart"/>
      <w:r w:rsidRPr="009C3E06">
        <w:rPr>
          <w:sz w:val="24"/>
          <w:szCs w:val="24"/>
        </w:rPr>
        <w:t>lansoprazol</w:t>
      </w:r>
      <w:proofErr w:type="spellEnd"/>
      <w:r w:rsidRPr="009C3E06">
        <w:rPr>
          <w:sz w:val="24"/>
          <w:szCs w:val="24"/>
        </w:rPr>
        <w:t xml:space="preserve">. Derfor skal </w:t>
      </w:r>
      <w:proofErr w:type="spellStart"/>
      <w:r w:rsidRPr="009C3E06">
        <w:rPr>
          <w:sz w:val="24"/>
          <w:szCs w:val="24"/>
        </w:rPr>
        <w:t>lansoprazol</w:t>
      </w:r>
      <w:proofErr w:type="spellEnd"/>
      <w:r w:rsidRPr="009C3E06">
        <w:rPr>
          <w:sz w:val="24"/>
          <w:szCs w:val="24"/>
        </w:rPr>
        <w:t xml:space="preserve"> tages mindst 1 time efter, at disse lægemidler er taget.</w:t>
      </w:r>
    </w:p>
    <w:p w:rsidR="00537957" w:rsidRPr="009C3E06" w:rsidRDefault="00537957" w:rsidP="00537957">
      <w:pPr>
        <w:rPr>
          <w:bCs/>
          <w:sz w:val="24"/>
          <w:szCs w:val="24"/>
          <w:u w:val="single"/>
        </w:rPr>
      </w:pPr>
    </w:p>
    <w:p w:rsidR="00537957" w:rsidRPr="00D52B56" w:rsidRDefault="00537957" w:rsidP="00537957">
      <w:pPr>
        <w:ind w:left="851"/>
        <w:rPr>
          <w:sz w:val="24"/>
          <w:szCs w:val="24"/>
          <w:u w:val="single"/>
        </w:rPr>
      </w:pPr>
      <w:r w:rsidRPr="00D52B56">
        <w:rPr>
          <w:sz w:val="24"/>
          <w:szCs w:val="24"/>
          <w:u w:val="single"/>
        </w:rPr>
        <w:t>Non</w:t>
      </w:r>
      <w:r>
        <w:rPr>
          <w:sz w:val="24"/>
          <w:szCs w:val="24"/>
          <w:u w:val="single"/>
        </w:rPr>
        <w:t>-</w:t>
      </w:r>
      <w:proofErr w:type="spellStart"/>
      <w:r w:rsidRPr="00D52B56">
        <w:rPr>
          <w:sz w:val="24"/>
          <w:szCs w:val="24"/>
          <w:u w:val="single"/>
        </w:rPr>
        <w:t>steroide</w:t>
      </w:r>
      <w:proofErr w:type="spellEnd"/>
      <w:r w:rsidRPr="00D52B56">
        <w:rPr>
          <w:sz w:val="24"/>
          <w:szCs w:val="24"/>
          <w:u w:val="single"/>
        </w:rPr>
        <w:t xml:space="preserve"> antiinflammatoriske lægemidler</w:t>
      </w:r>
    </w:p>
    <w:p w:rsidR="00537957" w:rsidRPr="009C3E06" w:rsidRDefault="00537957" w:rsidP="00537957">
      <w:pPr>
        <w:ind w:left="851"/>
        <w:rPr>
          <w:sz w:val="24"/>
          <w:szCs w:val="24"/>
        </w:rPr>
      </w:pPr>
      <w:r>
        <w:rPr>
          <w:sz w:val="24"/>
          <w:szCs w:val="24"/>
        </w:rPr>
        <w:t>Der er ikke blevet påvist</w:t>
      </w:r>
      <w:r w:rsidRPr="009C3E06">
        <w:rPr>
          <w:sz w:val="24"/>
          <w:szCs w:val="24"/>
        </w:rPr>
        <w:t xml:space="preserve"> klinisk signifikante interaktioner </w:t>
      </w:r>
      <w:r>
        <w:rPr>
          <w:sz w:val="24"/>
          <w:szCs w:val="24"/>
        </w:rPr>
        <w:t>mellem</w:t>
      </w:r>
      <w:r w:rsidRPr="009C3E06">
        <w:rPr>
          <w:sz w:val="24"/>
          <w:szCs w:val="24"/>
        </w:rPr>
        <w:t xml:space="preserve"> </w:t>
      </w:r>
      <w:proofErr w:type="spellStart"/>
      <w:r w:rsidRPr="009C3E06">
        <w:rPr>
          <w:sz w:val="24"/>
          <w:szCs w:val="24"/>
        </w:rPr>
        <w:t>lansoprazol</w:t>
      </w:r>
      <w:proofErr w:type="spellEnd"/>
      <w:r w:rsidRPr="009C3E06">
        <w:rPr>
          <w:sz w:val="24"/>
          <w:szCs w:val="24"/>
        </w:rPr>
        <w:t xml:space="preserve"> </w:t>
      </w:r>
      <w:r>
        <w:rPr>
          <w:sz w:val="24"/>
          <w:szCs w:val="24"/>
        </w:rPr>
        <w:t>og</w:t>
      </w:r>
      <w:r w:rsidRPr="009C3E06">
        <w:rPr>
          <w:sz w:val="24"/>
          <w:szCs w:val="24"/>
        </w:rPr>
        <w:t xml:space="preserve"> non</w:t>
      </w:r>
      <w:r>
        <w:rPr>
          <w:sz w:val="24"/>
          <w:szCs w:val="24"/>
        </w:rPr>
        <w:t>-</w:t>
      </w:r>
      <w:proofErr w:type="spellStart"/>
      <w:r w:rsidRPr="009C3E06">
        <w:rPr>
          <w:sz w:val="24"/>
          <w:szCs w:val="24"/>
        </w:rPr>
        <w:t>steroide</w:t>
      </w:r>
      <w:proofErr w:type="spellEnd"/>
      <w:r w:rsidRPr="009C3E06">
        <w:rPr>
          <w:sz w:val="24"/>
          <w:szCs w:val="24"/>
        </w:rPr>
        <w:t xml:space="preserve"> antiinflammatoriske lægemidler. Der er dog ikke udført nogen formelle interaktionsstudier. </w:t>
      </w:r>
    </w:p>
    <w:p w:rsidR="00AE1008" w:rsidRPr="009C3E06" w:rsidRDefault="00AE1008" w:rsidP="00BB1BE5">
      <w:pPr>
        <w:ind w:left="851" w:hanging="851"/>
        <w:rPr>
          <w:sz w:val="24"/>
          <w:szCs w:val="24"/>
        </w:rPr>
      </w:pPr>
    </w:p>
    <w:p w:rsidR="00182245" w:rsidRPr="009C3E06" w:rsidRDefault="00182245" w:rsidP="00182245">
      <w:pPr>
        <w:ind w:left="851" w:hanging="851"/>
        <w:rPr>
          <w:b/>
          <w:sz w:val="24"/>
          <w:szCs w:val="24"/>
        </w:rPr>
      </w:pPr>
      <w:r w:rsidRPr="009C3E06">
        <w:rPr>
          <w:b/>
          <w:sz w:val="24"/>
          <w:szCs w:val="24"/>
        </w:rPr>
        <w:t>4.6</w:t>
      </w:r>
      <w:r w:rsidRPr="009C3E06">
        <w:rPr>
          <w:b/>
          <w:sz w:val="24"/>
          <w:szCs w:val="24"/>
        </w:rPr>
        <w:tab/>
      </w:r>
      <w:r w:rsidR="00AE1008">
        <w:rPr>
          <w:b/>
          <w:sz w:val="24"/>
          <w:szCs w:val="24"/>
        </w:rPr>
        <w:t>Fertilitet, g</w:t>
      </w:r>
      <w:r w:rsidRPr="009C3E06">
        <w:rPr>
          <w:b/>
          <w:sz w:val="24"/>
          <w:szCs w:val="24"/>
        </w:rPr>
        <w:t>raviditet og amning</w:t>
      </w:r>
    </w:p>
    <w:p w:rsidR="00182245" w:rsidRPr="009C3E06" w:rsidRDefault="00182245" w:rsidP="00182245">
      <w:pPr>
        <w:ind w:left="851"/>
        <w:rPr>
          <w:sz w:val="24"/>
          <w:szCs w:val="24"/>
          <w:u w:val="single"/>
        </w:rPr>
      </w:pPr>
      <w:r w:rsidRPr="009C3E06">
        <w:rPr>
          <w:sz w:val="24"/>
          <w:szCs w:val="24"/>
          <w:u w:val="single"/>
        </w:rPr>
        <w:t>Graviditet</w:t>
      </w:r>
    </w:p>
    <w:p w:rsidR="00537957" w:rsidRPr="009C3E06" w:rsidRDefault="00182245" w:rsidP="00537957">
      <w:pPr>
        <w:ind w:left="851" w:hanging="851"/>
        <w:rPr>
          <w:sz w:val="24"/>
          <w:szCs w:val="24"/>
        </w:rPr>
      </w:pPr>
      <w:r w:rsidRPr="009C3E06">
        <w:rPr>
          <w:sz w:val="24"/>
          <w:szCs w:val="24"/>
        </w:rPr>
        <w:tab/>
      </w:r>
      <w:r w:rsidR="00537957" w:rsidRPr="009C3E06">
        <w:rPr>
          <w:sz w:val="24"/>
          <w:szCs w:val="24"/>
        </w:rPr>
        <w:t xml:space="preserve">Der foreligger ingen kliniske data </w:t>
      </w:r>
      <w:r w:rsidR="00537957">
        <w:rPr>
          <w:sz w:val="24"/>
          <w:szCs w:val="24"/>
        </w:rPr>
        <w:t xml:space="preserve">vedrørende eksponering </w:t>
      </w:r>
      <w:r w:rsidR="00537957" w:rsidRPr="009C3E06">
        <w:rPr>
          <w:sz w:val="24"/>
          <w:szCs w:val="24"/>
        </w:rPr>
        <w:t xml:space="preserve">for </w:t>
      </w:r>
      <w:proofErr w:type="spellStart"/>
      <w:r w:rsidR="00537957" w:rsidRPr="009C3E06">
        <w:rPr>
          <w:sz w:val="24"/>
          <w:szCs w:val="24"/>
        </w:rPr>
        <w:t>lansoprazol</w:t>
      </w:r>
      <w:proofErr w:type="spellEnd"/>
      <w:r w:rsidR="00537957" w:rsidRPr="009C3E06">
        <w:rPr>
          <w:sz w:val="24"/>
          <w:szCs w:val="24"/>
        </w:rPr>
        <w:t xml:space="preserve"> </w:t>
      </w:r>
      <w:r w:rsidR="00537957">
        <w:rPr>
          <w:sz w:val="24"/>
          <w:szCs w:val="24"/>
        </w:rPr>
        <w:t>under graviditet</w:t>
      </w:r>
      <w:r w:rsidR="00537957" w:rsidRPr="009C3E06">
        <w:rPr>
          <w:sz w:val="24"/>
          <w:szCs w:val="24"/>
        </w:rPr>
        <w:t>. Dyrestudier indikerer hverken direkte eller indirekte skadelige virkninger hvad angår graviditet, embryonal/</w:t>
      </w:r>
      <w:proofErr w:type="spellStart"/>
      <w:r w:rsidR="00537957" w:rsidRPr="009C3E06">
        <w:rPr>
          <w:sz w:val="24"/>
          <w:szCs w:val="24"/>
        </w:rPr>
        <w:t>føtal</w:t>
      </w:r>
      <w:proofErr w:type="spellEnd"/>
      <w:r w:rsidR="00537957" w:rsidRPr="009C3E06">
        <w:rPr>
          <w:sz w:val="24"/>
          <w:szCs w:val="24"/>
        </w:rPr>
        <w:t xml:space="preserve"> udvikling, fødsel eller </w:t>
      </w:r>
      <w:proofErr w:type="spellStart"/>
      <w:r w:rsidR="00537957" w:rsidRPr="009C3E06">
        <w:rPr>
          <w:sz w:val="24"/>
          <w:szCs w:val="24"/>
        </w:rPr>
        <w:t>postnatal</w:t>
      </w:r>
      <w:proofErr w:type="spellEnd"/>
      <w:r w:rsidR="00537957" w:rsidRPr="009C3E06">
        <w:rPr>
          <w:sz w:val="24"/>
          <w:szCs w:val="24"/>
        </w:rPr>
        <w:t xml:space="preserve"> udvikling.</w:t>
      </w:r>
    </w:p>
    <w:p w:rsidR="00182245" w:rsidRPr="009C3E06" w:rsidRDefault="00182245" w:rsidP="00182245">
      <w:pPr>
        <w:ind w:left="851" w:hanging="851"/>
        <w:rPr>
          <w:sz w:val="24"/>
          <w:szCs w:val="24"/>
        </w:rPr>
      </w:pPr>
    </w:p>
    <w:p w:rsidR="00182245" w:rsidRPr="009C3E06" w:rsidRDefault="00182245" w:rsidP="00182245">
      <w:pPr>
        <w:ind w:left="851" w:hanging="851"/>
        <w:rPr>
          <w:sz w:val="24"/>
          <w:szCs w:val="24"/>
        </w:rPr>
      </w:pPr>
      <w:r w:rsidRPr="009C3E06">
        <w:rPr>
          <w:sz w:val="24"/>
          <w:szCs w:val="24"/>
        </w:rPr>
        <w:tab/>
        <w:t xml:space="preserve">Derfor frarådes brugen af </w:t>
      </w:r>
      <w:proofErr w:type="spellStart"/>
      <w:r w:rsidRPr="009C3E06">
        <w:rPr>
          <w:sz w:val="24"/>
          <w:szCs w:val="24"/>
        </w:rPr>
        <w:t>lansoprazol</w:t>
      </w:r>
      <w:proofErr w:type="spellEnd"/>
      <w:r w:rsidRPr="009C3E06">
        <w:rPr>
          <w:sz w:val="24"/>
          <w:szCs w:val="24"/>
        </w:rPr>
        <w:t xml:space="preserve"> under graviditet.</w:t>
      </w:r>
    </w:p>
    <w:p w:rsidR="00182245" w:rsidRPr="009C3E06" w:rsidRDefault="00182245" w:rsidP="00182245">
      <w:pPr>
        <w:ind w:left="851" w:hanging="851"/>
        <w:rPr>
          <w:sz w:val="24"/>
          <w:szCs w:val="24"/>
        </w:rPr>
      </w:pPr>
    </w:p>
    <w:p w:rsidR="00537957" w:rsidRPr="009C3E06" w:rsidRDefault="00182245" w:rsidP="00537957">
      <w:pPr>
        <w:keepNext/>
        <w:ind w:left="851" w:hanging="851"/>
        <w:rPr>
          <w:sz w:val="24"/>
          <w:szCs w:val="24"/>
          <w:u w:val="single"/>
        </w:rPr>
      </w:pPr>
      <w:r w:rsidRPr="009C3E06">
        <w:rPr>
          <w:sz w:val="24"/>
          <w:szCs w:val="24"/>
        </w:rPr>
        <w:tab/>
      </w:r>
      <w:r w:rsidR="00537957" w:rsidRPr="009C3E06">
        <w:rPr>
          <w:sz w:val="24"/>
          <w:szCs w:val="24"/>
          <w:u w:val="single"/>
        </w:rPr>
        <w:t>Amning</w:t>
      </w:r>
    </w:p>
    <w:p w:rsidR="00537957" w:rsidRPr="009C3E06" w:rsidRDefault="00537957" w:rsidP="00537957">
      <w:pPr>
        <w:ind w:left="851" w:hanging="851"/>
        <w:rPr>
          <w:sz w:val="24"/>
          <w:szCs w:val="24"/>
        </w:rPr>
      </w:pPr>
      <w:r w:rsidRPr="009C3E06">
        <w:rPr>
          <w:sz w:val="24"/>
          <w:szCs w:val="24"/>
        </w:rPr>
        <w:tab/>
        <w:t xml:space="preserve">Det er ukendt, om </w:t>
      </w:r>
      <w:proofErr w:type="spellStart"/>
      <w:r w:rsidRPr="009C3E06">
        <w:rPr>
          <w:sz w:val="24"/>
          <w:szCs w:val="24"/>
        </w:rPr>
        <w:t>lansoprazol</w:t>
      </w:r>
      <w:proofErr w:type="spellEnd"/>
      <w:r>
        <w:rPr>
          <w:sz w:val="24"/>
          <w:szCs w:val="24"/>
        </w:rPr>
        <w:t>/metabolitter</w:t>
      </w:r>
      <w:r w:rsidRPr="009C3E06">
        <w:rPr>
          <w:sz w:val="24"/>
          <w:szCs w:val="24"/>
        </w:rPr>
        <w:t xml:space="preserve"> udskilles i human </w:t>
      </w:r>
      <w:r>
        <w:rPr>
          <w:sz w:val="24"/>
          <w:szCs w:val="24"/>
        </w:rPr>
        <w:t>bryst</w:t>
      </w:r>
      <w:r w:rsidRPr="009C3E06">
        <w:rPr>
          <w:sz w:val="24"/>
          <w:szCs w:val="24"/>
        </w:rPr>
        <w:t xml:space="preserve">mælk. Dyrestudier har vist udskillelse af </w:t>
      </w:r>
      <w:proofErr w:type="spellStart"/>
      <w:r w:rsidRPr="009C3E06">
        <w:rPr>
          <w:sz w:val="24"/>
          <w:szCs w:val="24"/>
        </w:rPr>
        <w:t>lansoprazol</w:t>
      </w:r>
      <w:proofErr w:type="spellEnd"/>
      <w:r w:rsidRPr="009C3E06">
        <w:rPr>
          <w:sz w:val="24"/>
          <w:szCs w:val="24"/>
        </w:rPr>
        <w:t xml:space="preserve"> i brystmælk. </w:t>
      </w:r>
    </w:p>
    <w:p w:rsidR="00182245" w:rsidRPr="009C3E06" w:rsidRDefault="00182245" w:rsidP="00537957">
      <w:pPr>
        <w:keepNext/>
        <w:ind w:left="851" w:hanging="851"/>
        <w:rPr>
          <w:sz w:val="24"/>
          <w:szCs w:val="24"/>
        </w:rPr>
      </w:pPr>
    </w:p>
    <w:p w:rsidR="00182245" w:rsidRPr="009C3E06" w:rsidRDefault="00182245" w:rsidP="00182245">
      <w:pPr>
        <w:ind w:left="851" w:hanging="851"/>
        <w:rPr>
          <w:sz w:val="24"/>
          <w:szCs w:val="24"/>
        </w:rPr>
      </w:pPr>
      <w:r w:rsidRPr="009C3E06">
        <w:rPr>
          <w:sz w:val="24"/>
          <w:szCs w:val="24"/>
        </w:rPr>
        <w:tab/>
        <w:t xml:space="preserve">Der bør tages beslutning om enten at fortsætte/afbryde amningen eller fortsætte/seponere behandlingen med </w:t>
      </w:r>
      <w:proofErr w:type="spellStart"/>
      <w:r w:rsidRPr="009C3E06">
        <w:rPr>
          <w:sz w:val="24"/>
          <w:szCs w:val="24"/>
        </w:rPr>
        <w:t>lansoprazol</w:t>
      </w:r>
      <w:proofErr w:type="spellEnd"/>
      <w:r w:rsidRPr="009C3E06">
        <w:rPr>
          <w:sz w:val="24"/>
          <w:szCs w:val="24"/>
        </w:rPr>
        <w:t xml:space="preserve"> under hensyntagen til fordelen ved amning for barnet og fordelen ved behandlingen med </w:t>
      </w:r>
      <w:proofErr w:type="spellStart"/>
      <w:r w:rsidRPr="009C3E06">
        <w:rPr>
          <w:sz w:val="24"/>
          <w:szCs w:val="24"/>
        </w:rPr>
        <w:t>lansoprazol</w:t>
      </w:r>
      <w:proofErr w:type="spellEnd"/>
      <w:r w:rsidRPr="009C3E06">
        <w:rPr>
          <w:sz w:val="24"/>
          <w:szCs w:val="24"/>
        </w:rPr>
        <w:t xml:space="preserve"> for kvinden.</w:t>
      </w:r>
    </w:p>
    <w:p w:rsidR="00BB1BE5" w:rsidRPr="009C3E06" w:rsidRDefault="00BB1BE5" w:rsidP="00182245">
      <w:pPr>
        <w:ind w:left="851" w:hanging="851"/>
        <w:rPr>
          <w:sz w:val="24"/>
          <w:szCs w:val="24"/>
        </w:rPr>
      </w:pPr>
    </w:p>
    <w:p w:rsidR="00BB1BE5" w:rsidRPr="009C3E06" w:rsidRDefault="00BB1BE5" w:rsidP="00BB1BE5">
      <w:pPr>
        <w:ind w:left="851"/>
        <w:rPr>
          <w:sz w:val="24"/>
          <w:szCs w:val="24"/>
          <w:u w:val="single"/>
        </w:rPr>
      </w:pPr>
      <w:r w:rsidRPr="009C3E06">
        <w:rPr>
          <w:sz w:val="24"/>
          <w:szCs w:val="24"/>
          <w:u w:val="single"/>
        </w:rPr>
        <w:t>Fertilitet</w:t>
      </w:r>
    </w:p>
    <w:p w:rsidR="00BB1BE5" w:rsidRPr="009C3E06" w:rsidRDefault="00BB1BE5" w:rsidP="00BB1BE5">
      <w:pPr>
        <w:ind w:left="851" w:hanging="851"/>
        <w:rPr>
          <w:sz w:val="24"/>
          <w:szCs w:val="24"/>
        </w:rPr>
      </w:pPr>
      <w:r w:rsidRPr="009C3E06">
        <w:rPr>
          <w:sz w:val="24"/>
          <w:szCs w:val="24"/>
        </w:rPr>
        <w:tab/>
        <w:t xml:space="preserve">Der foreligger ingen humane data vedrørende </w:t>
      </w:r>
      <w:proofErr w:type="spellStart"/>
      <w:r w:rsidRPr="009C3E06">
        <w:rPr>
          <w:sz w:val="24"/>
          <w:szCs w:val="24"/>
        </w:rPr>
        <w:t>lansoprazols</w:t>
      </w:r>
      <w:proofErr w:type="spellEnd"/>
      <w:r w:rsidRPr="009C3E06">
        <w:rPr>
          <w:sz w:val="24"/>
          <w:szCs w:val="24"/>
        </w:rPr>
        <w:t xml:space="preserve"> effekt på fertilitet. Reproduktionsstudier med gravide rotter og kaniner viste ingen </w:t>
      </w:r>
      <w:proofErr w:type="spellStart"/>
      <w:r w:rsidRPr="009C3E06">
        <w:rPr>
          <w:sz w:val="24"/>
          <w:szCs w:val="24"/>
        </w:rPr>
        <w:t>lansoprazol</w:t>
      </w:r>
      <w:proofErr w:type="spellEnd"/>
      <w:r w:rsidRPr="009C3E06">
        <w:rPr>
          <w:sz w:val="24"/>
          <w:szCs w:val="24"/>
        </w:rPr>
        <w:t>-relateret forringelse af fertiliteten.</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4.7</w:t>
      </w:r>
      <w:r w:rsidRPr="009C3E06">
        <w:rPr>
          <w:b/>
          <w:sz w:val="24"/>
          <w:szCs w:val="24"/>
        </w:rPr>
        <w:tab/>
        <w:t xml:space="preserve">Virkning på evnen til at føre motorkøretøj </w:t>
      </w:r>
      <w:r w:rsidR="00AE1008">
        <w:rPr>
          <w:b/>
          <w:sz w:val="24"/>
          <w:szCs w:val="24"/>
        </w:rPr>
        <w:t>og</w:t>
      </w:r>
      <w:r w:rsidRPr="009C3E06">
        <w:rPr>
          <w:b/>
          <w:sz w:val="24"/>
          <w:szCs w:val="24"/>
        </w:rPr>
        <w:t xml:space="preserve"> betjene maskiner</w:t>
      </w:r>
    </w:p>
    <w:p w:rsidR="00182245" w:rsidRPr="009C3E06" w:rsidRDefault="00182245" w:rsidP="00182245">
      <w:pPr>
        <w:ind w:left="851" w:hanging="851"/>
        <w:rPr>
          <w:sz w:val="24"/>
          <w:szCs w:val="24"/>
        </w:rPr>
      </w:pPr>
      <w:r w:rsidRPr="009C3E06">
        <w:rPr>
          <w:sz w:val="24"/>
          <w:szCs w:val="24"/>
        </w:rPr>
        <w:tab/>
        <w:t>Ikke mærkning.</w:t>
      </w:r>
    </w:p>
    <w:p w:rsidR="00182245" w:rsidRPr="009C3E06" w:rsidRDefault="00182245" w:rsidP="00182245">
      <w:pPr>
        <w:ind w:left="851" w:hanging="851"/>
        <w:rPr>
          <w:sz w:val="24"/>
          <w:szCs w:val="24"/>
        </w:rPr>
      </w:pPr>
      <w:r w:rsidRPr="009C3E06">
        <w:rPr>
          <w:sz w:val="24"/>
          <w:szCs w:val="24"/>
        </w:rPr>
        <w:tab/>
      </w:r>
    </w:p>
    <w:p w:rsidR="00182245" w:rsidRPr="009C3E06" w:rsidRDefault="00182245" w:rsidP="00182245">
      <w:pPr>
        <w:ind w:left="851" w:hanging="851"/>
        <w:rPr>
          <w:sz w:val="24"/>
          <w:szCs w:val="24"/>
        </w:rPr>
      </w:pPr>
      <w:r w:rsidRPr="009C3E06">
        <w:rPr>
          <w:sz w:val="24"/>
          <w:szCs w:val="24"/>
        </w:rPr>
        <w:tab/>
        <w:t xml:space="preserve">Der kan forekomme bivirkninger i form af svimmelhed, synsforstyrrelser og træthed (se pkt. 4.8). Under disse omstændigheder kan reaktionsevnen være nedsat. </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4.8</w:t>
      </w:r>
      <w:r w:rsidRPr="009C3E06">
        <w:rPr>
          <w:b/>
          <w:sz w:val="24"/>
          <w:szCs w:val="24"/>
        </w:rPr>
        <w:tab/>
        <w:t>Bivirkninger</w:t>
      </w:r>
    </w:p>
    <w:p w:rsidR="00E90930" w:rsidRDefault="00182245" w:rsidP="00E90930">
      <w:pPr>
        <w:ind w:left="851" w:hanging="851"/>
        <w:rPr>
          <w:sz w:val="24"/>
          <w:szCs w:val="24"/>
        </w:rPr>
      </w:pPr>
      <w:r w:rsidRPr="009C3E06">
        <w:rPr>
          <w:sz w:val="24"/>
          <w:szCs w:val="24"/>
        </w:rPr>
        <w:tab/>
      </w:r>
      <w:r w:rsidR="00E90930">
        <w:rPr>
          <w:sz w:val="24"/>
          <w:szCs w:val="24"/>
        </w:rPr>
        <w:t>Hyppighederne har følgende definitioner: meget almindelig (≥1/10), almindelig (≥1/100 til &lt;1/10), ikke almindelig (≥1/1 000 til &lt;1/100), sjælden (≥1/10 000 til &lt;1/1 000) og meget sjælden (&lt;1/10 000), ikke kendt (kan ikke estimeres ud fra forhåndenværende data).</w:t>
      </w:r>
    </w:p>
    <w:p w:rsidR="00E90930" w:rsidRDefault="00E90930" w:rsidP="00E90930">
      <w:pPr>
        <w:ind w:left="851" w:hanging="851"/>
        <w:rPr>
          <w:sz w:val="24"/>
          <w:szCs w:val="24"/>
        </w:rPr>
      </w:pPr>
    </w:p>
    <w:tbl>
      <w:tblPr>
        <w:tblStyle w:val="Tabel-Gitter"/>
        <w:tblW w:w="5000" w:type="pct"/>
        <w:tblLook w:val="04A0" w:firstRow="1" w:lastRow="0" w:firstColumn="1" w:lastColumn="0" w:noHBand="0" w:noVBand="1"/>
      </w:tblPr>
      <w:tblGrid>
        <w:gridCol w:w="1997"/>
        <w:gridCol w:w="1562"/>
        <w:gridCol w:w="1193"/>
        <w:gridCol w:w="1743"/>
        <w:gridCol w:w="1598"/>
        <w:gridCol w:w="1535"/>
      </w:tblGrid>
      <w:tr w:rsidR="00E90930" w:rsidTr="00537957">
        <w:tc>
          <w:tcPr>
            <w:tcW w:w="1072" w:type="pct"/>
            <w:tcBorders>
              <w:top w:val="single" w:sz="4" w:space="0" w:color="auto"/>
              <w:left w:val="single" w:sz="4" w:space="0" w:color="auto"/>
              <w:bottom w:val="single" w:sz="4" w:space="0" w:color="auto"/>
              <w:right w:val="single" w:sz="4" w:space="0" w:color="auto"/>
            </w:tcBorders>
          </w:tcPr>
          <w:p w:rsidR="00E90930" w:rsidRDefault="00E90930">
            <w:pPr>
              <w:rPr>
                <w:b/>
                <w:sz w:val="22"/>
                <w:szCs w:val="22"/>
              </w:rPr>
            </w:pPr>
          </w:p>
        </w:tc>
        <w:tc>
          <w:tcPr>
            <w:tcW w:w="846" w:type="pct"/>
            <w:tcBorders>
              <w:top w:val="single" w:sz="4" w:space="0" w:color="auto"/>
              <w:left w:val="single" w:sz="4" w:space="0" w:color="auto"/>
              <w:bottom w:val="single" w:sz="4" w:space="0" w:color="auto"/>
              <w:right w:val="single" w:sz="4" w:space="0" w:color="auto"/>
            </w:tcBorders>
            <w:hideMark/>
          </w:tcPr>
          <w:p w:rsidR="00E90930" w:rsidRDefault="00E90930">
            <w:pPr>
              <w:ind w:left="-1"/>
              <w:rPr>
                <w:b/>
                <w:sz w:val="22"/>
                <w:szCs w:val="22"/>
              </w:rPr>
            </w:pPr>
            <w:r>
              <w:rPr>
                <w:b/>
                <w:bCs/>
                <w:sz w:val="22"/>
                <w:szCs w:val="22"/>
                <w:lang w:eastAsia="fr-FR" w:bidi="he-IL"/>
              </w:rPr>
              <w:t>Almindelig</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rsidR="00E90930" w:rsidRDefault="00E90930">
            <w:pPr>
              <w:ind w:left="-1"/>
              <w:rPr>
                <w:b/>
                <w:sz w:val="22"/>
                <w:szCs w:val="22"/>
              </w:rPr>
            </w:pPr>
            <w:r>
              <w:rPr>
                <w:b/>
                <w:sz w:val="22"/>
                <w:szCs w:val="22"/>
              </w:rPr>
              <w:t>Ikke almindelig</w:t>
            </w:r>
          </w:p>
        </w:tc>
        <w:tc>
          <w:tcPr>
            <w:tcW w:w="905" w:type="pct"/>
            <w:tcBorders>
              <w:top w:val="single" w:sz="4" w:space="0" w:color="auto"/>
              <w:left w:val="single" w:sz="4" w:space="0" w:color="auto"/>
              <w:bottom w:val="single" w:sz="4" w:space="0" w:color="auto"/>
              <w:right w:val="single" w:sz="4" w:space="0" w:color="auto"/>
            </w:tcBorders>
            <w:hideMark/>
          </w:tcPr>
          <w:p w:rsidR="00E90930" w:rsidRDefault="00E90930">
            <w:pPr>
              <w:ind w:left="-1"/>
              <w:rPr>
                <w:b/>
                <w:sz w:val="22"/>
                <w:szCs w:val="22"/>
              </w:rPr>
            </w:pPr>
            <w:r>
              <w:rPr>
                <w:b/>
                <w:sz w:val="22"/>
                <w:szCs w:val="22"/>
              </w:rPr>
              <w:t>Sjælden</w:t>
            </w:r>
          </w:p>
        </w:tc>
        <w:tc>
          <w:tcPr>
            <w:tcW w:w="760" w:type="pct"/>
            <w:tcBorders>
              <w:top w:val="single" w:sz="4" w:space="0" w:color="auto"/>
              <w:left w:val="single" w:sz="4" w:space="0" w:color="auto"/>
              <w:bottom w:val="single" w:sz="4" w:space="0" w:color="auto"/>
              <w:right w:val="single" w:sz="4" w:space="0" w:color="auto"/>
            </w:tcBorders>
            <w:hideMark/>
          </w:tcPr>
          <w:p w:rsidR="00E90930" w:rsidRDefault="00E90930">
            <w:pPr>
              <w:rPr>
                <w:b/>
                <w:sz w:val="22"/>
                <w:szCs w:val="22"/>
              </w:rPr>
            </w:pPr>
            <w:r>
              <w:rPr>
                <w:b/>
                <w:sz w:val="22"/>
                <w:szCs w:val="22"/>
              </w:rPr>
              <w:t>Meget sjælden</w:t>
            </w:r>
          </w:p>
        </w:tc>
        <w:tc>
          <w:tcPr>
            <w:tcW w:w="797" w:type="pct"/>
            <w:tcBorders>
              <w:top w:val="single" w:sz="4" w:space="0" w:color="auto"/>
              <w:left w:val="single" w:sz="4" w:space="0" w:color="auto"/>
              <w:bottom w:val="single" w:sz="4" w:space="0" w:color="auto"/>
              <w:right w:val="single" w:sz="4" w:space="0" w:color="auto"/>
            </w:tcBorders>
            <w:hideMark/>
          </w:tcPr>
          <w:p w:rsidR="00E90930" w:rsidRDefault="00E90930">
            <w:pPr>
              <w:ind w:left="-1"/>
              <w:rPr>
                <w:b/>
                <w:sz w:val="22"/>
                <w:szCs w:val="22"/>
              </w:rPr>
            </w:pPr>
            <w:r>
              <w:rPr>
                <w:b/>
                <w:sz w:val="22"/>
                <w:szCs w:val="22"/>
              </w:rPr>
              <w:t>Ikke kendt</w:t>
            </w: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rPr>
            </w:pPr>
            <w:r>
              <w:rPr>
                <w:b/>
                <w:bCs/>
                <w:sz w:val="22"/>
                <w:szCs w:val="22"/>
              </w:rPr>
              <w:t>Blod og lymfesystem</w:t>
            </w:r>
          </w:p>
        </w:tc>
        <w:tc>
          <w:tcPr>
            <w:tcW w:w="846"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620"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proofErr w:type="spellStart"/>
            <w:r>
              <w:rPr>
                <w:sz w:val="22"/>
                <w:szCs w:val="22"/>
              </w:rPr>
              <w:t>Trombo</w:t>
            </w:r>
            <w:r>
              <w:rPr>
                <w:sz w:val="22"/>
                <w:szCs w:val="22"/>
              </w:rPr>
              <w:softHyphen/>
              <w:t>cytopeni</w:t>
            </w:r>
            <w:proofErr w:type="spellEnd"/>
            <w:r>
              <w:rPr>
                <w:sz w:val="22"/>
                <w:szCs w:val="22"/>
              </w:rPr>
              <w:t xml:space="preserve">*, </w:t>
            </w:r>
            <w:proofErr w:type="spellStart"/>
            <w:r>
              <w:rPr>
                <w:sz w:val="22"/>
                <w:szCs w:val="22"/>
              </w:rPr>
              <w:t>eosinofili</w:t>
            </w:r>
            <w:proofErr w:type="spellEnd"/>
            <w:r>
              <w:rPr>
                <w:sz w:val="22"/>
                <w:szCs w:val="22"/>
              </w:rPr>
              <w:t xml:space="preserve">, </w:t>
            </w:r>
            <w:proofErr w:type="spellStart"/>
            <w:r>
              <w:rPr>
                <w:sz w:val="22"/>
                <w:szCs w:val="22"/>
              </w:rPr>
              <w:t>leukopeni</w:t>
            </w:r>
            <w:proofErr w:type="spellEnd"/>
            <w:r>
              <w:rPr>
                <w:sz w:val="22"/>
                <w:szCs w:val="22"/>
              </w:rPr>
              <w:t>*</w:t>
            </w: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r>
              <w:rPr>
                <w:sz w:val="22"/>
                <w:szCs w:val="22"/>
                <w:lang w:eastAsia="fr-FR" w:bidi="he-IL"/>
              </w:rPr>
              <w:t>Anæmi</w:t>
            </w:r>
          </w:p>
        </w:tc>
        <w:tc>
          <w:tcPr>
            <w:tcW w:w="760"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rPr>
            </w:pPr>
            <w:proofErr w:type="spellStart"/>
            <w:r>
              <w:rPr>
                <w:sz w:val="22"/>
                <w:szCs w:val="22"/>
              </w:rPr>
              <w:t>Agranulo</w:t>
            </w:r>
            <w:r>
              <w:rPr>
                <w:sz w:val="22"/>
                <w:szCs w:val="22"/>
              </w:rPr>
              <w:softHyphen/>
              <w:t>cytose</w:t>
            </w:r>
            <w:proofErr w:type="spellEnd"/>
            <w:r>
              <w:rPr>
                <w:sz w:val="22"/>
                <w:szCs w:val="22"/>
              </w:rPr>
              <w:t xml:space="preserve">*, </w:t>
            </w:r>
            <w:proofErr w:type="spellStart"/>
            <w:r>
              <w:rPr>
                <w:sz w:val="22"/>
                <w:szCs w:val="22"/>
              </w:rPr>
              <w:t>pancytopeni</w:t>
            </w:r>
            <w:proofErr w:type="spellEnd"/>
            <w:r>
              <w:rPr>
                <w:sz w:val="22"/>
                <w:szCs w:val="22"/>
              </w:rPr>
              <w:t>*</w:t>
            </w:r>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b/>
                <w:bCs/>
                <w:sz w:val="22"/>
                <w:szCs w:val="22"/>
              </w:rPr>
            </w:pPr>
            <w:r>
              <w:rPr>
                <w:b/>
                <w:bCs/>
                <w:sz w:val="22"/>
                <w:szCs w:val="22"/>
              </w:rPr>
              <w:t>Immunsystemet</w:t>
            </w:r>
          </w:p>
        </w:tc>
        <w:tc>
          <w:tcPr>
            <w:tcW w:w="846"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905"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lang w:eastAsia="fr-FR" w:bidi="he-IL"/>
              </w:rPr>
            </w:pPr>
          </w:p>
        </w:tc>
        <w:tc>
          <w:tcPr>
            <w:tcW w:w="760"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rPr>
            </w:pPr>
            <w:proofErr w:type="spellStart"/>
            <w:r>
              <w:rPr>
                <w:sz w:val="22"/>
                <w:szCs w:val="22"/>
                <w:lang w:eastAsia="fr-FR" w:bidi="he-IL"/>
              </w:rPr>
              <w:t>Anafylaktisk</w:t>
            </w:r>
            <w:proofErr w:type="spellEnd"/>
            <w:r>
              <w:rPr>
                <w:sz w:val="22"/>
                <w:szCs w:val="22"/>
                <w:lang w:eastAsia="fr-FR" w:bidi="he-IL"/>
              </w:rPr>
              <w:t xml:space="preserve"> </w:t>
            </w:r>
            <w:proofErr w:type="spellStart"/>
            <w:r>
              <w:rPr>
                <w:sz w:val="22"/>
                <w:szCs w:val="22"/>
                <w:lang w:eastAsia="fr-FR" w:bidi="he-IL"/>
              </w:rPr>
              <w:t>shock</w:t>
            </w:r>
            <w:proofErr w:type="spellEnd"/>
            <w:r>
              <w:rPr>
                <w:sz w:val="22"/>
                <w:szCs w:val="22"/>
                <w:lang w:eastAsia="fr-FR" w:bidi="he-IL"/>
              </w:rPr>
              <w:t>*</w:t>
            </w:r>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b/>
                <w:bCs/>
                <w:sz w:val="22"/>
                <w:szCs w:val="22"/>
                <w:lang w:eastAsia="fr-FR" w:bidi="he-IL"/>
              </w:rPr>
            </w:pPr>
            <w:r>
              <w:rPr>
                <w:b/>
                <w:bCs/>
                <w:sz w:val="22"/>
                <w:szCs w:val="22"/>
                <w:lang w:eastAsia="fr-FR" w:bidi="he-IL"/>
              </w:rPr>
              <w:t>Metabolisme og ernæring</w:t>
            </w:r>
          </w:p>
        </w:tc>
        <w:tc>
          <w:tcPr>
            <w:tcW w:w="846"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lang w:eastAsia="fr-FR" w:bidi="he-IL"/>
              </w:rPr>
            </w:pPr>
          </w:p>
        </w:tc>
        <w:tc>
          <w:tcPr>
            <w:tcW w:w="905" w:type="pct"/>
            <w:tcBorders>
              <w:top w:val="single" w:sz="4" w:space="0" w:color="auto"/>
              <w:left w:val="single" w:sz="4" w:space="0" w:color="auto"/>
              <w:bottom w:val="single" w:sz="4" w:space="0" w:color="auto"/>
              <w:right w:val="single" w:sz="4" w:space="0" w:color="auto"/>
            </w:tcBorders>
          </w:tcPr>
          <w:p w:rsidR="00537957" w:rsidRDefault="00537957" w:rsidP="00537957">
            <w:pPr>
              <w:ind w:left="-1" w:right="-108"/>
              <w:rPr>
                <w:sz w:val="22"/>
                <w:szCs w:val="22"/>
                <w:lang w:eastAsia="fr-FR" w:bidi="he-IL"/>
              </w:rPr>
            </w:pPr>
          </w:p>
        </w:tc>
        <w:tc>
          <w:tcPr>
            <w:tcW w:w="760" w:type="pct"/>
            <w:tcBorders>
              <w:top w:val="single" w:sz="4" w:space="0" w:color="auto"/>
              <w:left w:val="single" w:sz="4" w:space="0" w:color="auto"/>
              <w:bottom w:val="single" w:sz="4" w:space="0" w:color="auto"/>
              <w:right w:val="single" w:sz="4" w:space="0" w:color="auto"/>
            </w:tcBorders>
          </w:tcPr>
          <w:p w:rsidR="00537957" w:rsidRDefault="00537957" w:rsidP="00537957">
            <w:pPr>
              <w:rPr>
                <w:sz w:val="22"/>
                <w:szCs w:val="22"/>
              </w:rPr>
            </w:pPr>
            <w:proofErr w:type="spellStart"/>
            <w:r>
              <w:rPr>
                <w:sz w:val="22"/>
                <w:szCs w:val="22"/>
              </w:rPr>
              <w:t>Hyponatriæmi</w:t>
            </w:r>
            <w:proofErr w:type="spellEnd"/>
            <w:r>
              <w:rPr>
                <w:sz w:val="22"/>
                <w:szCs w:val="22"/>
              </w:rPr>
              <w:t>*</w:t>
            </w:r>
          </w:p>
        </w:tc>
        <w:tc>
          <w:tcPr>
            <w:tcW w:w="797"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proofErr w:type="spellStart"/>
            <w:r>
              <w:rPr>
                <w:sz w:val="22"/>
                <w:szCs w:val="22"/>
                <w:lang w:eastAsia="fr-FR" w:bidi="he-IL"/>
              </w:rPr>
              <w:t>Hypo</w:t>
            </w:r>
            <w:proofErr w:type="spellEnd"/>
            <w:r>
              <w:rPr>
                <w:sz w:val="22"/>
                <w:szCs w:val="22"/>
                <w:lang w:eastAsia="fr-FR" w:bidi="he-IL"/>
              </w:rPr>
              <w:t>-</w:t>
            </w:r>
            <w:r>
              <w:rPr>
                <w:sz w:val="22"/>
                <w:szCs w:val="22"/>
                <w:lang w:eastAsia="fr-FR" w:bidi="he-IL"/>
              </w:rPr>
              <w:br/>
            </w:r>
            <w:proofErr w:type="spellStart"/>
            <w:r>
              <w:rPr>
                <w:sz w:val="22"/>
                <w:szCs w:val="22"/>
                <w:lang w:eastAsia="fr-FR" w:bidi="he-IL"/>
              </w:rPr>
              <w:t>magnesiæmi</w:t>
            </w:r>
            <w:proofErr w:type="spellEnd"/>
            <w:r>
              <w:rPr>
                <w:sz w:val="22"/>
                <w:szCs w:val="22"/>
              </w:rPr>
              <w:t xml:space="preserve">*, </w:t>
            </w:r>
            <w:proofErr w:type="spellStart"/>
            <w:r>
              <w:rPr>
                <w:sz w:val="22"/>
                <w:szCs w:val="22"/>
                <w:lang w:eastAsia="fr-FR" w:bidi="he-IL"/>
              </w:rPr>
              <w:t>hypocalcæmi</w:t>
            </w:r>
            <w:proofErr w:type="spellEnd"/>
            <w:r>
              <w:rPr>
                <w:sz w:val="22"/>
                <w:szCs w:val="22"/>
                <w:lang w:eastAsia="fr-FR" w:bidi="he-IL"/>
              </w:rPr>
              <w:t xml:space="preserve">* </w:t>
            </w:r>
            <w:r>
              <w:rPr>
                <w:sz w:val="22"/>
                <w:szCs w:val="22"/>
                <w:vertAlign w:val="superscript"/>
                <w:lang w:val="en-GB" w:eastAsia="fr-FR" w:bidi="he-IL"/>
              </w:rPr>
              <w:t>ϯ</w:t>
            </w:r>
            <w:r>
              <w:rPr>
                <w:sz w:val="22"/>
                <w:szCs w:val="22"/>
                <w:lang w:eastAsia="fr-FR" w:bidi="he-IL"/>
              </w:rPr>
              <w:t xml:space="preserve">, </w:t>
            </w:r>
            <w:proofErr w:type="spellStart"/>
            <w:r>
              <w:rPr>
                <w:sz w:val="22"/>
                <w:szCs w:val="22"/>
                <w:lang w:eastAsia="fr-FR" w:bidi="he-IL"/>
              </w:rPr>
              <w:t>hypokaliæmi</w:t>
            </w:r>
            <w:proofErr w:type="spellEnd"/>
            <w:r>
              <w:rPr>
                <w:sz w:val="22"/>
                <w:szCs w:val="22"/>
                <w:lang w:eastAsia="fr-FR" w:bidi="he-IL"/>
              </w:rPr>
              <w:t xml:space="preserve">* </w:t>
            </w:r>
            <w:r>
              <w:rPr>
                <w:sz w:val="22"/>
                <w:szCs w:val="22"/>
                <w:vertAlign w:val="superscript"/>
                <w:lang w:val="en-GB" w:eastAsia="fr-FR" w:bidi="he-IL"/>
              </w:rPr>
              <w:t>ϯ</w:t>
            </w:r>
            <w:r>
              <w:rPr>
                <w:sz w:val="22"/>
                <w:szCs w:val="22"/>
                <w:lang w:eastAsia="fr-FR" w:bidi="he-IL"/>
              </w:rPr>
              <w:t xml:space="preserve"> </w:t>
            </w:r>
            <w:r w:rsidRPr="00D52B56">
              <w:rPr>
                <w:sz w:val="22"/>
                <w:szCs w:val="22"/>
                <w:lang w:eastAsia="fr-FR" w:bidi="he-IL"/>
              </w:rPr>
              <w:t>(se pkt.</w:t>
            </w:r>
            <w:r>
              <w:rPr>
                <w:sz w:val="22"/>
                <w:szCs w:val="22"/>
                <w:lang w:eastAsia="fr-FR" w:bidi="he-IL"/>
              </w:rPr>
              <w:t> </w:t>
            </w:r>
            <w:r w:rsidRPr="00D52B56">
              <w:rPr>
                <w:sz w:val="22"/>
                <w:szCs w:val="22"/>
                <w:lang w:eastAsia="fr-FR" w:bidi="he-IL"/>
              </w:rPr>
              <w:t>4.4)</w:t>
            </w: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rPr>
            </w:pPr>
            <w:r>
              <w:rPr>
                <w:b/>
                <w:bCs/>
                <w:sz w:val="22"/>
                <w:szCs w:val="22"/>
                <w:lang w:eastAsia="fr-FR" w:bidi="he-IL"/>
              </w:rPr>
              <w:t>Psykiske forstyrrelser</w:t>
            </w:r>
          </w:p>
        </w:tc>
        <w:tc>
          <w:tcPr>
            <w:tcW w:w="846"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620"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r>
              <w:rPr>
                <w:sz w:val="22"/>
                <w:szCs w:val="22"/>
                <w:lang w:eastAsia="fr-FR" w:bidi="he-IL"/>
              </w:rPr>
              <w:t>Depres</w:t>
            </w:r>
            <w:r>
              <w:rPr>
                <w:sz w:val="22"/>
                <w:szCs w:val="22"/>
                <w:lang w:eastAsia="fr-FR" w:bidi="he-IL"/>
              </w:rPr>
              <w:softHyphen/>
              <w:t>sion</w:t>
            </w: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ight="-108"/>
              <w:rPr>
                <w:sz w:val="22"/>
                <w:szCs w:val="22"/>
              </w:rPr>
            </w:pPr>
            <w:proofErr w:type="spellStart"/>
            <w:r>
              <w:rPr>
                <w:sz w:val="22"/>
                <w:szCs w:val="22"/>
                <w:lang w:eastAsia="fr-FR" w:bidi="he-IL"/>
              </w:rPr>
              <w:t>Insomni</w:t>
            </w:r>
            <w:proofErr w:type="spellEnd"/>
            <w:r>
              <w:rPr>
                <w:sz w:val="22"/>
                <w:szCs w:val="22"/>
                <w:lang w:eastAsia="fr-FR" w:bidi="he-IL"/>
              </w:rPr>
              <w:t>, hallucinationer, konfusion</w:t>
            </w:r>
          </w:p>
        </w:tc>
        <w:tc>
          <w:tcPr>
            <w:tcW w:w="760" w:type="pct"/>
            <w:tcBorders>
              <w:top w:val="single" w:sz="4" w:space="0" w:color="auto"/>
              <w:left w:val="single" w:sz="4" w:space="0" w:color="auto"/>
              <w:bottom w:val="single" w:sz="4" w:space="0" w:color="auto"/>
              <w:right w:val="single" w:sz="4" w:space="0" w:color="auto"/>
            </w:tcBorders>
          </w:tcPr>
          <w:p w:rsidR="00537957" w:rsidRDefault="00537957" w:rsidP="00537957">
            <w:pPr>
              <w:rPr>
                <w:sz w:val="22"/>
                <w:szCs w:val="22"/>
              </w:rPr>
            </w:pPr>
          </w:p>
        </w:tc>
        <w:tc>
          <w:tcPr>
            <w:tcW w:w="797"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r>
              <w:rPr>
                <w:sz w:val="22"/>
                <w:szCs w:val="22"/>
              </w:rPr>
              <w:t>Visuelle hallucinationer</w:t>
            </w: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rPr>
            </w:pPr>
            <w:r>
              <w:rPr>
                <w:b/>
                <w:bCs/>
                <w:sz w:val="22"/>
                <w:szCs w:val="22"/>
                <w:lang w:eastAsia="fr-FR" w:bidi="he-IL"/>
              </w:rPr>
              <w:t>Nervesystemet</w:t>
            </w:r>
          </w:p>
        </w:tc>
        <w:tc>
          <w:tcPr>
            <w:tcW w:w="846"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r>
              <w:rPr>
                <w:sz w:val="22"/>
                <w:szCs w:val="22"/>
                <w:lang w:eastAsia="fr-FR" w:bidi="he-IL"/>
              </w:rPr>
              <w:t>Hovedpine, svimmelhed</w:t>
            </w: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r>
              <w:rPr>
                <w:sz w:val="22"/>
                <w:szCs w:val="22"/>
              </w:rPr>
              <w:t xml:space="preserve">Rastløshed, </w:t>
            </w:r>
            <w:proofErr w:type="spellStart"/>
            <w:r>
              <w:rPr>
                <w:sz w:val="22"/>
                <w:szCs w:val="22"/>
              </w:rPr>
              <w:t>vertigo</w:t>
            </w:r>
            <w:proofErr w:type="spellEnd"/>
            <w:r>
              <w:rPr>
                <w:sz w:val="22"/>
                <w:szCs w:val="22"/>
              </w:rPr>
              <w:t xml:space="preserve">, </w:t>
            </w:r>
            <w:proofErr w:type="spellStart"/>
            <w:r>
              <w:rPr>
                <w:sz w:val="22"/>
                <w:szCs w:val="22"/>
              </w:rPr>
              <w:t>paræstesi</w:t>
            </w:r>
            <w:proofErr w:type="spellEnd"/>
            <w:r>
              <w:rPr>
                <w:sz w:val="22"/>
                <w:szCs w:val="22"/>
              </w:rPr>
              <w:t xml:space="preserve">, </w:t>
            </w:r>
            <w:proofErr w:type="spellStart"/>
            <w:r>
              <w:rPr>
                <w:sz w:val="22"/>
                <w:szCs w:val="22"/>
              </w:rPr>
              <w:t>somnolens</w:t>
            </w:r>
            <w:proofErr w:type="spellEnd"/>
            <w:r>
              <w:rPr>
                <w:sz w:val="22"/>
                <w:szCs w:val="22"/>
              </w:rPr>
              <w:t xml:space="preserve">, </w:t>
            </w:r>
            <w:proofErr w:type="spellStart"/>
            <w:r>
              <w:rPr>
                <w:sz w:val="22"/>
                <w:szCs w:val="22"/>
              </w:rPr>
              <w:t>tremor</w:t>
            </w:r>
            <w:proofErr w:type="spellEnd"/>
          </w:p>
        </w:tc>
        <w:tc>
          <w:tcPr>
            <w:tcW w:w="760" w:type="pct"/>
            <w:tcBorders>
              <w:top w:val="single" w:sz="4" w:space="0" w:color="auto"/>
              <w:left w:val="single" w:sz="4" w:space="0" w:color="auto"/>
              <w:bottom w:val="single" w:sz="4" w:space="0" w:color="auto"/>
              <w:right w:val="single" w:sz="4" w:space="0" w:color="auto"/>
            </w:tcBorders>
          </w:tcPr>
          <w:p w:rsidR="00537957" w:rsidRDefault="00537957" w:rsidP="005379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rPr>
            </w:pPr>
            <w:r>
              <w:rPr>
                <w:b/>
                <w:bCs/>
                <w:sz w:val="22"/>
                <w:szCs w:val="22"/>
                <w:lang w:eastAsia="fr-FR" w:bidi="he-IL"/>
              </w:rPr>
              <w:t>Øjne</w:t>
            </w:r>
          </w:p>
        </w:tc>
        <w:tc>
          <w:tcPr>
            <w:tcW w:w="846"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proofErr w:type="spellStart"/>
            <w:r>
              <w:rPr>
                <w:sz w:val="22"/>
                <w:szCs w:val="22"/>
                <w:lang w:eastAsia="fr-FR" w:bidi="he-IL"/>
              </w:rPr>
              <w:t>Synsforstyrrel-ser</w:t>
            </w:r>
            <w:proofErr w:type="spellEnd"/>
          </w:p>
        </w:tc>
        <w:tc>
          <w:tcPr>
            <w:tcW w:w="760" w:type="pct"/>
            <w:tcBorders>
              <w:top w:val="single" w:sz="4" w:space="0" w:color="auto"/>
              <w:left w:val="single" w:sz="4" w:space="0" w:color="auto"/>
              <w:bottom w:val="single" w:sz="4" w:space="0" w:color="auto"/>
              <w:right w:val="single" w:sz="4" w:space="0" w:color="auto"/>
            </w:tcBorders>
          </w:tcPr>
          <w:p w:rsidR="00537957" w:rsidRDefault="00537957" w:rsidP="005379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rPr>
            </w:pPr>
            <w:r>
              <w:rPr>
                <w:b/>
                <w:bCs/>
                <w:sz w:val="22"/>
                <w:szCs w:val="22"/>
                <w:lang w:eastAsia="fr-FR" w:bidi="he-IL"/>
              </w:rPr>
              <w:t>Mave-tarm-kanalen</w:t>
            </w:r>
          </w:p>
        </w:tc>
        <w:tc>
          <w:tcPr>
            <w:tcW w:w="846"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firstLine="16"/>
              <w:rPr>
                <w:sz w:val="22"/>
                <w:szCs w:val="22"/>
              </w:rPr>
            </w:pPr>
            <w:r>
              <w:rPr>
                <w:sz w:val="22"/>
                <w:szCs w:val="22"/>
              </w:rPr>
              <w:t xml:space="preserve">Kvalme, diarré, mavesmerter, obstipation, opkastning, </w:t>
            </w:r>
            <w:r>
              <w:rPr>
                <w:sz w:val="22"/>
                <w:szCs w:val="22"/>
              </w:rPr>
              <w:br/>
            </w:r>
            <w:proofErr w:type="spellStart"/>
            <w:r>
              <w:rPr>
                <w:sz w:val="22"/>
                <w:szCs w:val="22"/>
              </w:rPr>
              <w:t>flatulens</w:t>
            </w:r>
            <w:proofErr w:type="spellEnd"/>
            <w:r>
              <w:rPr>
                <w:sz w:val="22"/>
                <w:szCs w:val="22"/>
              </w:rPr>
              <w:t>, mund- og halstørhed, benigne gastriske polypper</w:t>
            </w: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proofErr w:type="spellStart"/>
            <w:r>
              <w:rPr>
                <w:sz w:val="22"/>
                <w:szCs w:val="22"/>
              </w:rPr>
              <w:t>Glossitis</w:t>
            </w:r>
            <w:proofErr w:type="spellEnd"/>
            <w:r>
              <w:rPr>
                <w:sz w:val="22"/>
                <w:szCs w:val="22"/>
              </w:rPr>
              <w:t xml:space="preserve">, </w:t>
            </w:r>
            <w:r>
              <w:rPr>
                <w:sz w:val="22"/>
                <w:szCs w:val="22"/>
              </w:rPr>
              <w:br/>
            </w:r>
            <w:proofErr w:type="spellStart"/>
            <w:r>
              <w:rPr>
                <w:sz w:val="22"/>
                <w:szCs w:val="22"/>
              </w:rPr>
              <w:t>Candidiasis</w:t>
            </w:r>
            <w:proofErr w:type="spellEnd"/>
            <w:r>
              <w:rPr>
                <w:sz w:val="22"/>
                <w:szCs w:val="22"/>
              </w:rPr>
              <w:t xml:space="preserve"> i </w:t>
            </w:r>
            <w:proofErr w:type="spellStart"/>
            <w:r>
              <w:rPr>
                <w:sz w:val="22"/>
                <w:szCs w:val="22"/>
              </w:rPr>
              <w:t>oesophagus</w:t>
            </w:r>
            <w:proofErr w:type="spellEnd"/>
            <w:r>
              <w:rPr>
                <w:sz w:val="22"/>
                <w:szCs w:val="22"/>
              </w:rPr>
              <w:t xml:space="preserve">, </w:t>
            </w:r>
            <w:proofErr w:type="spellStart"/>
            <w:r>
              <w:rPr>
                <w:sz w:val="22"/>
                <w:szCs w:val="22"/>
              </w:rPr>
              <w:t>pankreatitis</w:t>
            </w:r>
            <w:proofErr w:type="spellEnd"/>
            <w:r>
              <w:rPr>
                <w:sz w:val="22"/>
                <w:szCs w:val="22"/>
              </w:rPr>
              <w:t>, smagsforstyr-</w:t>
            </w:r>
            <w:proofErr w:type="spellStart"/>
            <w:r>
              <w:rPr>
                <w:sz w:val="22"/>
                <w:szCs w:val="22"/>
              </w:rPr>
              <w:t>relser</w:t>
            </w:r>
            <w:proofErr w:type="spellEnd"/>
          </w:p>
        </w:tc>
        <w:tc>
          <w:tcPr>
            <w:tcW w:w="760"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rPr>
            </w:pPr>
            <w:r>
              <w:rPr>
                <w:sz w:val="22"/>
                <w:szCs w:val="22"/>
              </w:rPr>
              <w:t xml:space="preserve">Colitis*, </w:t>
            </w:r>
            <w:proofErr w:type="spellStart"/>
            <w:r>
              <w:rPr>
                <w:sz w:val="22"/>
                <w:szCs w:val="22"/>
              </w:rPr>
              <w:t>stomatitis</w:t>
            </w:r>
            <w:proofErr w:type="spellEnd"/>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b/>
                <w:bCs/>
                <w:sz w:val="22"/>
                <w:szCs w:val="22"/>
                <w:lang w:eastAsia="fr-FR" w:bidi="he-IL"/>
              </w:rPr>
            </w:pPr>
            <w:r>
              <w:rPr>
                <w:b/>
                <w:bCs/>
                <w:sz w:val="22"/>
                <w:szCs w:val="22"/>
                <w:lang w:eastAsia="fr-FR" w:bidi="he-IL"/>
              </w:rPr>
              <w:t>Lever og galdeveje</w:t>
            </w:r>
          </w:p>
        </w:tc>
        <w:tc>
          <w:tcPr>
            <w:tcW w:w="846"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firstLine="16"/>
              <w:rPr>
                <w:sz w:val="22"/>
                <w:szCs w:val="22"/>
              </w:rPr>
            </w:pPr>
            <w:r>
              <w:rPr>
                <w:sz w:val="22"/>
                <w:szCs w:val="22"/>
                <w:lang w:eastAsia="fr-FR" w:bidi="he-IL"/>
              </w:rPr>
              <w:t>Stigning i leverenzym</w:t>
            </w:r>
            <w:r>
              <w:rPr>
                <w:sz w:val="22"/>
                <w:szCs w:val="22"/>
                <w:lang w:eastAsia="fr-FR" w:bidi="he-IL"/>
              </w:rPr>
              <w:softHyphen/>
              <w:t>niveauer</w:t>
            </w: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r>
              <w:rPr>
                <w:sz w:val="22"/>
                <w:szCs w:val="22"/>
                <w:lang w:eastAsia="fr-FR" w:bidi="he-IL"/>
              </w:rPr>
              <w:t xml:space="preserve">Hepatitis, </w:t>
            </w:r>
            <w:proofErr w:type="spellStart"/>
            <w:r>
              <w:rPr>
                <w:sz w:val="22"/>
                <w:szCs w:val="22"/>
                <w:lang w:eastAsia="fr-FR" w:bidi="he-IL"/>
              </w:rPr>
              <w:t>ikterus</w:t>
            </w:r>
            <w:proofErr w:type="spellEnd"/>
          </w:p>
        </w:tc>
        <w:tc>
          <w:tcPr>
            <w:tcW w:w="760" w:type="pct"/>
            <w:tcBorders>
              <w:top w:val="single" w:sz="4" w:space="0" w:color="auto"/>
              <w:left w:val="single" w:sz="4" w:space="0" w:color="auto"/>
              <w:bottom w:val="single" w:sz="4" w:space="0" w:color="auto"/>
              <w:right w:val="single" w:sz="4" w:space="0" w:color="auto"/>
            </w:tcBorders>
          </w:tcPr>
          <w:p w:rsidR="00537957" w:rsidRDefault="00537957" w:rsidP="005379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b/>
                <w:bCs/>
                <w:sz w:val="22"/>
                <w:szCs w:val="22"/>
                <w:lang w:eastAsia="fr-FR" w:bidi="he-IL"/>
              </w:rPr>
            </w:pPr>
            <w:r>
              <w:rPr>
                <w:b/>
                <w:bCs/>
                <w:sz w:val="22"/>
                <w:szCs w:val="22"/>
                <w:lang w:eastAsia="fr-FR" w:bidi="he-IL"/>
              </w:rPr>
              <w:t>Hud og subkutane væv</w:t>
            </w:r>
          </w:p>
        </w:tc>
        <w:tc>
          <w:tcPr>
            <w:tcW w:w="846"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firstLine="16"/>
              <w:rPr>
                <w:sz w:val="22"/>
                <w:szCs w:val="22"/>
              </w:rPr>
            </w:pPr>
            <w:proofErr w:type="spellStart"/>
            <w:r>
              <w:rPr>
                <w:sz w:val="22"/>
                <w:szCs w:val="22"/>
              </w:rPr>
              <w:t>Urtikaria</w:t>
            </w:r>
            <w:proofErr w:type="spellEnd"/>
            <w:r>
              <w:rPr>
                <w:sz w:val="22"/>
                <w:szCs w:val="22"/>
              </w:rPr>
              <w:t>, kløe, udslæt</w:t>
            </w: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proofErr w:type="spellStart"/>
            <w:r>
              <w:rPr>
                <w:sz w:val="22"/>
                <w:szCs w:val="22"/>
              </w:rPr>
              <w:t>Petekkier</w:t>
            </w:r>
            <w:proofErr w:type="spellEnd"/>
            <w:r>
              <w:rPr>
                <w:sz w:val="22"/>
                <w:szCs w:val="22"/>
              </w:rPr>
              <w:t xml:space="preserve">, </w:t>
            </w:r>
            <w:proofErr w:type="spellStart"/>
            <w:r>
              <w:rPr>
                <w:sz w:val="22"/>
                <w:szCs w:val="22"/>
              </w:rPr>
              <w:t>purpura</w:t>
            </w:r>
            <w:proofErr w:type="spellEnd"/>
            <w:r>
              <w:rPr>
                <w:sz w:val="22"/>
                <w:szCs w:val="22"/>
              </w:rPr>
              <w:t xml:space="preserve">, hårtab, </w:t>
            </w:r>
            <w:proofErr w:type="spellStart"/>
            <w:r>
              <w:rPr>
                <w:sz w:val="22"/>
                <w:szCs w:val="22"/>
              </w:rPr>
              <w:t>erythema</w:t>
            </w:r>
            <w:proofErr w:type="spellEnd"/>
            <w:r>
              <w:rPr>
                <w:sz w:val="22"/>
                <w:szCs w:val="22"/>
              </w:rPr>
              <w:t xml:space="preserve"> multiforme,</w:t>
            </w:r>
            <w:r>
              <w:rPr>
                <w:i/>
                <w:sz w:val="22"/>
                <w:szCs w:val="22"/>
              </w:rPr>
              <w:t xml:space="preserve"> </w:t>
            </w:r>
            <w:r>
              <w:rPr>
                <w:sz w:val="22"/>
                <w:szCs w:val="22"/>
              </w:rPr>
              <w:t>lysfølsomhed</w:t>
            </w:r>
          </w:p>
        </w:tc>
        <w:tc>
          <w:tcPr>
            <w:tcW w:w="760"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lang w:val="nb-NO"/>
              </w:rPr>
            </w:pPr>
            <w:r>
              <w:rPr>
                <w:sz w:val="22"/>
                <w:szCs w:val="22"/>
                <w:lang w:val="nb-NO"/>
              </w:rPr>
              <w:t>Stevens-Johnson’s syndrom*</w:t>
            </w:r>
            <w:r w:rsidRPr="00D52B56">
              <w:rPr>
                <w:sz w:val="22"/>
                <w:szCs w:val="22"/>
                <w:vertAlign w:val="superscript"/>
                <w:lang w:eastAsia="fi-FI"/>
              </w:rPr>
              <w:t>‡</w:t>
            </w:r>
            <w:r>
              <w:rPr>
                <w:sz w:val="22"/>
                <w:szCs w:val="22"/>
                <w:lang w:val="nb-NO"/>
              </w:rPr>
              <w:t>, toksisk epidermal nekrolyse*</w:t>
            </w:r>
            <w:r w:rsidRPr="00D52B56">
              <w:rPr>
                <w:sz w:val="22"/>
                <w:szCs w:val="22"/>
                <w:vertAlign w:val="superscript"/>
                <w:lang w:eastAsia="fi-FI"/>
              </w:rPr>
              <w:t>‡</w:t>
            </w:r>
          </w:p>
        </w:tc>
        <w:tc>
          <w:tcPr>
            <w:tcW w:w="797" w:type="pct"/>
            <w:tcBorders>
              <w:top w:val="single" w:sz="4" w:space="0" w:color="auto"/>
              <w:left w:val="single" w:sz="4" w:space="0" w:color="auto"/>
              <w:bottom w:val="single" w:sz="4" w:space="0" w:color="auto"/>
              <w:right w:val="single" w:sz="4" w:space="0" w:color="auto"/>
            </w:tcBorders>
            <w:hideMark/>
          </w:tcPr>
          <w:p w:rsidR="00537957" w:rsidRDefault="00537957" w:rsidP="00537957">
            <w:pPr>
              <w:pStyle w:val="Sidehoved"/>
              <w:rPr>
                <w:sz w:val="22"/>
                <w:szCs w:val="22"/>
                <w:lang w:val="nb-NO"/>
              </w:rPr>
            </w:pPr>
            <w:r w:rsidRPr="00D52B56">
              <w:rPr>
                <w:sz w:val="22"/>
                <w:szCs w:val="22"/>
                <w:lang w:val="nb-NO"/>
              </w:rPr>
              <w:t>Subakut kutan lupus erythe-matosus*</w:t>
            </w:r>
            <w:r w:rsidRPr="00D52B56">
              <w:rPr>
                <w:sz w:val="22"/>
                <w:szCs w:val="22"/>
                <w:vertAlign w:val="superscript"/>
                <w:lang w:val="nb-NO" w:eastAsia="fi-FI"/>
              </w:rPr>
              <w:t xml:space="preserve"> ‡</w:t>
            </w:r>
            <w:r w:rsidRPr="00D52B56">
              <w:rPr>
                <w:sz w:val="22"/>
                <w:szCs w:val="22"/>
                <w:lang w:val="nb-NO"/>
              </w:rPr>
              <w:t xml:space="preserve">, </w:t>
            </w:r>
            <w:r>
              <w:rPr>
                <w:sz w:val="22"/>
                <w:szCs w:val="22"/>
                <w:lang w:val="nb-NO"/>
              </w:rPr>
              <w:t>l</w:t>
            </w:r>
            <w:r w:rsidRPr="0058123A">
              <w:rPr>
                <w:sz w:val="22"/>
                <w:szCs w:val="22"/>
                <w:lang w:val="nb-NO"/>
              </w:rPr>
              <w:t>ægemiddel</w:t>
            </w:r>
            <w:r>
              <w:rPr>
                <w:sz w:val="22"/>
                <w:szCs w:val="22"/>
                <w:lang w:val="nb-NO"/>
              </w:rPr>
              <w:t>-</w:t>
            </w:r>
            <w:r w:rsidRPr="0058123A">
              <w:rPr>
                <w:sz w:val="22"/>
                <w:szCs w:val="22"/>
                <w:lang w:val="nb-NO"/>
              </w:rPr>
              <w:t>reaktion med eosinofili og systemiske symptomer </w:t>
            </w:r>
          </w:p>
          <w:p w:rsidR="00537957" w:rsidRDefault="00537957" w:rsidP="00537957">
            <w:pPr>
              <w:ind w:left="-1"/>
              <w:rPr>
                <w:sz w:val="22"/>
                <w:szCs w:val="22"/>
              </w:rPr>
            </w:pPr>
            <w:r>
              <w:rPr>
                <w:sz w:val="22"/>
                <w:szCs w:val="22"/>
                <w:lang w:val="nb-NO"/>
              </w:rPr>
              <w:t>(</w:t>
            </w:r>
            <w:r>
              <w:rPr>
                <w:sz w:val="22"/>
                <w:szCs w:val="22"/>
                <w:lang w:val="fi-FI"/>
              </w:rPr>
              <w:t>DRESS)*</w:t>
            </w: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keepNext/>
              <w:rPr>
                <w:b/>
                <w:bCs/>
                <w:sz w:val="22"/>
                <w:szCs w:val="22"/>
                <w:lang w:eastAsia="fr-FR" w:bidi="he-IL"/>
              </w:rPr>
            </w:pPr>
            <w:r>
              <w:rPr>
                <w:b/>
                <w:bCs/>
                <w:sz w:val="22"/>
                <w:szCs w:val="22"/>
                <w:lang w:eastAsia="fr-FR" w:bidi="he-IL"/>
              </w:rPr>
              <w:lastRenderedPageBreak/>
              <w:t>Knogler, led, muskler og bindevæv</w:t>
            </w:r>
          </w:p>
        </w:tc>
        <w:tc>
          <w:tcPr>
            <w:tcW w:w="846" w:type="pct"/>
            <w:tcBorders>
              <w:top w:val="single" w:sz="4" w:space="0" w:color="auto"/>
              <w:left w:val="single" w:sz="4" w:space="0" w:color="auto"/>
              <w:bottom w:val="single" w:sz="4" w:space="0" w:color="auto"/>
              <w:right w:val="single" w:sz="4" w:space="0" w:color="auto"/>
            </w:tcBorders>
          </w:tcPr>
          <w:p w:rsidR="00537957" w:rsidRDefault="00537957" w:rsidP="00537957">
            <w:pPr>
              <w:ind w:left="-1" w:firstLine="16"/>
              <w:rPr>
                <w:sz w:val="22"/>
                <w:szCs w:val="22"/>
              </w:rPr>
            </w:pPr>
          </w:p>
        </w:tc>
        <w:tc>
          <w:tcPr>
            <w:tcW w:w="620"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proofErr w:type="spellStart"/>
            <w:r>
              <w:rPr>
                <w:sz w:val="22"/>
                <w:szCs w:val="22"/>
              </w:rPr>
              <w:t>Artralgi</w:t>
            </w:r>
            <w:proofErr w:type="spellEnd"/>
            <w:r>
              <w:rPr>
                <w:sz w:val="22"/>
                <w:szCs w:val="22"/>
              </w:rPr>
              <w:t>, myalgi, fraktur på hofte, håndled eller rygrad (se pkt.</w:t>
            </w:r>
            <w:r>
              <w:rPr>
                <w:sz w:val="24"/>
                <w:szCs w:val="24"/>
              </w:rPr>
              <w:t xml:space="preserve">  </w:t>
            </w:r>
            <w:r>
              <w:rPr>
                <w:sz w:val="22"/>
                <w:szCs w:val="22"/>
              </w:rPr>
              <w:t>4.4)</w:t>
            </w:r>
          </w:p>
        </w:tc>
        <w:tc>
          <w:tcPr>
            <w:tcW w:w="905"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760" w:type="pct"/>
            <w:tcBorders>
              <w:top w:val="single" w:sz="4" w:space="0" w:color="auto"/>
              <w:left w:val="single" w:sz="4" w:space="0" w:color="auto"/>
              <w:bottom w:val="single" w:sz="4" w:space="0" w:color="auto"/>
              <w:right w:val="single" w:sz="4" w:space="0" w:color="auto"/>
            </w:tcBorders>
          </w:tcPr>
          <w:p w:rsidR="00537957" w:rsidRDefault="00537957" w:rsidP="005379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b/>
                <w:bCs/>
                <w:sz w:val="22"/>
                <w:szCs w:val="22"/>
                <w:lang w:eastAsia="fr-FR" w:bidi="he-IL"/>
              </w:rPr>
            </w:pPr>
            <w:r>
              <w:rPr>
                <w:b/>
                <w:bCs/>
                <w:sz w:val="22"/>
                <w:szCs w:val="22"/>
                <w:lang w:eastAsia="fr-FR" w:bidi="he-IL"/>
              </w:rPr>
              <w:t>Nyrer og urinveje</w:t>
            </w:r>
          </w:p>
        </w:tc>
        <w:tc>
          <w:tcPr>
            <w:tcW w:w="846" w:type="pct"/>
            <w:tcBorders>
              <w:top w:val="single" w:sz="4" w:space="0" w:color="auto"/>
              <w:left w:val="single" w:sz="4" w:space="0" w:color="auto"/>
              <w:bottom w:val="single" w:sz="4" w:space="0" w:color="auto"/>
              <w:right w:val="single" w:sz="4" w:space="0" w:color="auto"/>
            </w:tcBorders>
          </w:tcPr>
          <w:p w:rsidR="00537957" w:rsidRDefault="00537957" w:rsidP="00537957">
            <w:pPr>
              <w:ind w:left="-1" w:firstLine="16"/>
              <w:rPr>
                <w:sz w:val="22"/>
                <w:szCs w:val="22"/>
              </w:rPr>
            </w:pP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proofErr w:type="spellStart"/>
            <w:r w:rsidRPr="00C6012F">
              <w:rPr>
                <w:sz w:val="22"/>
                <w:szCs w:val="22"/>
                <w:lang w:eastAsia="fr-FR" w:bidi="he-IL"/>
              </w:rPr>
              <w:t>Tubulo</w:t>
            </w:r>
            <w:r>
              <w:rPr>
                <w:sz w:val="22"/>
                <w:szCs w:val="22"/>
                <w:lang w:eastAsia="fr-FR" w:bidi="he-IL"/>
              </w:rPr>
              <w:t>interstitiel</w:t>
            </w:r>
            <w:proofErr w:type="spellEnd"/>
            <w:r>
              <w:rPr>
                <w:sz w:val="22"/>
                <w:szCs w:val="22"/>
                <w:lang w:eastAsia="fr-FR" w:bidi="he-IL"/>
              </w:rPr>
              <w:t xml:space="preserve"> </w:t>
            </w:r>
            <w:proofErr w:type="spellStart"/>
            <w:r>
              <w:rPr>
                <w:sz w:val="22"/>
                <w:szCs w:val="22"/>
                <w:lang w:eastAsia="fr-FR" w:bidi="he-IL"/>
              </w:rPr>
              <w:t>nefritis</w:t>
            </w:r>
            <w:proofErr w:type="spellEnd"/>
            <w:r>
              <w:rPr>
                <w:sz w:val="22"/>
                <w:szCs w:val="22"/>
                <w:lang w:eastAsia="fr-FR" w:bidi="he-IL"/>
              </w:rPr>
              <w:t xml:space="preserve"> </w:t>
            </w:r>
            <w:r w:rsidRPr="00C6012F">
              <w:rPr>
                <w:sz w:val="22"/>
                <w:szCs w:val="22"/>
                <w:lang w:eastAsia="fr-FR" w:bidi="he-IL"/>
              </w:rPr>
              <w:t>(med mulig udvikling til nyresvigt)</w:t>
            </w:r>
          </w:p>
        </w:tc>
        <w:tc>
          <w:tcPr>
            <w:tcW w:w="760" w:type="pct"/>
            <w:tcBorders>
              <w:top w:val="single" w:sz="4" w:space="0" w:color="auto"/>
              <w:left w:val="single" w:sz="4" w:space="0" w:color="auto"/>
              <w:bottom w:val="single" w:sz="4" w:space="0" w:color="auto"/>
              <w:right w:val="single" w:sz="4" w:space="0" w:color="auto"/>
            </w:tcBorders>
          </w:tcPr>
          <w:p w:rsidR="00537957" w:rsidRDefault="00537957" w:rsidP="005379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b/>
                <w:bCs/>
                <w:sz w:val="22"/>
                <w:szCs w:val="22"/>
                <w:lang w:eastAsia="fr-FR" w:bidi="he-IL"/>
              </w:rPr>
            </w:pPr>
            <w:r>
              <w:rPr>
                <w:b/>
                <w:bCs/>
                <w:sz w:val="22"/>
                <w:szCs w:val="22"/>
                <w:lang w:eastAsia="fr-FR" w:bidi="he-IL"/>
              </w:rPr>
              <w:t>Det reproduktive system og mammae</w:t>
            </w:r>
          </w:p>
        </w:tc>
        <w:tc>
          <w:tcPr>
            <w:tcW w:w="846" w:type="pct"/>
            <w:tcBorders>
              <w:top w:val="single" w:sz="4" w:space="0" w:color="auto"/>
              <w:left w:val="single" w:sz="4" w:space="0" w:color="auto"/>
              <w:bottom w:val="single" w:sz="4" w:space="0" w:color="auto"/>
              <w:right w:val="single" w:sz="4" w:space="0" w:color="auto"/>
            </w:tcBorders>
          </w:tcPr>
          <w:p w:rsidR="00537957" w:rsidRDefault="00537957" w:rsidP="00537957">
            <w:pPr>
              <w:ind w:left="-1" w:firstLine="16"/>
              <w:rPr>
                <w:sz w:val="22"/>
                <w:szCs w:val="22"/>
              </w:rPr>
            </w:pP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lang w:eastAsia="fr-FR" w:bidi="he-IL"/>
              </w:rPr>
            </w:pPr>
            <w:proofErr w:type="spellStart"/>
            <w:r>
              <w:rPr>
                <w:sz w:val="22"/>
                <w:szCs w:val="22"/>
                <w:lang w:eastAsia="fr-FR" w:bidi="he-IL"/>
              </w:rPr>
              <w:t>Gynækomasti</w:t>
            </w:r>
            <w:proofErr w:type="spellEnd"/>
          </w:p>
        </w:tc>
        <w:tc>
          <w:tcPr>
            <w:tcW w:w="760" w:type="pct"/>
            <w:tcBorders>
              <w:top w:val="single" w:sz="4" w:space="0" w:color="auto"/>
              <w:left w:val="single" w:sz="4" w:space="0" w:color="auto"/>
              <w:bottom w:val="single" w:sz="4" w:space="0" w:color="auto"/>
              <w:right w:val="single" w:sz="4" w:space="0" w:color="auto"/>
            </w:tcBorders>
          </w:tcPr>
          <w:p w:rsidR="00537957" w:rsidRDefault="00537957" w:rsidP="005379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b/>
                <w:bCs/>
                <w:sz w:val="22"/>
                <w:szCs w:val="22"/>
                <w:lang w:eastAsia="fr-FR" w:bidi="he-IL"/>
              </w:rPr>
            </w:pPr>
            <w:r>
              <w:rPr>
                <w:b/>
                <w:bCs/>
                <w:sz w:val="22"/>
                <w:szCs w:val="22"/>
                <w:lang w:eastAsia="fr-FR" w:bidi="he-IL"/>
              </w:rPr>
              <w:t xml:space="preserve">Almene symptomer og reaktioner på </w:t>
            </w:r>
            <w:r>
              <w:rPr>
                <w:b/>
                <w:bCs/>
                <w:sz w:val="22"/>
                <w:szCs w:val="22"/>
                <w:lang w:eastAsia="fr-FR" w:bidi="he-IL"/>
              </w:rPr>
              <w:br/>
              <w:t>administrations</w:t>
            </w:r>
            <w:r>
              <w:rPr>
                <w:b/>
                <w:bCs/>
                <w:sz w:val="22"/>
                <w:szCs w:val="22"/>
                <w:lang w:eastAsia="fr-FR" w:bidi="he-IL"/>
              </w:rPr>
              <w:noBreakHyphen/>
            </w:r>
            <w:r>
              <w:rPr>
                <w:b/>
                <w:bCs/>
                <w:sz w:val="22"/>
                <w:szCs w:val="22"/>
                <w:lang w:eastAsia="fr-FR" w:bidi="he-IL"/>
              </w:rPr>
              <w:br/>
              <w:t>stedet</w:t>
            </w:r>
          </w:p>
        </w:tc>
        <w:tc>
          <w:tcPr>
            <w:tcW w:w="846"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firstLine="16"/>
              <w:rPr>
                <w:sz w:val="22"/>
                <w:szCs w:val="22"/>
              </w:rPr>
            </w:pPr>
            <w:r>
              <w:rPr>
                <w:sz w:val="22"/>
                <w:szCs w:val="22"/>
                <w:lang w:eastAsia="fr-FR" w:bidi="he-IL"/>
              </w:rPr>
              <w:t>Træthed</w:t>
            </w:r>
          </w:p>
        </w:tc>
        <w:tc>
          <w:tcPr>
            <w:tcW w:w="620"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rPr>
            </w:pPr>
            <w:r>
              <w:rPr>
                <w:sz w:val="22"/>
                <w:szCs w:val="22"/>
                <w:lang w:eastAsia="fr-FR" w:bidi="he-IL"/>
              </w:rPr>
              <w:t>Ødemer</w:t>
            </w:r>
          </w:p>
        </w:tc>
        <w:tc>
          <w:tcPr>
            <w:tcW w:w="905" w:type="pct"/>
            <w:tcBorders>
              <w:top w:val="single" w:sz="4" w:space="0" w:color="auto"/>
              <w:left w:val="single" w:sz="4" w:space="0" w:color="auto"/>
              <w:bottom w:val="single" w:sz="4" w:space="0" w:color="auto"/>
              <w:right w:val="single" w:sz="4" w:space="0" w:color="auto"/>
            </w:tcBorders>
            <w:hideMark/>
          </w:tcPr>
          <w:p w:rsidR="00537957" w:rsidRDefault="00537957" w:rsidP="00537957">
            <w:pPr>
              <w:ind w:left="-1"/>
              <w:rPr>
                <w:sz w:val="22"/>
                <w:szCs w:val="22"/>
                <w:lang w:eastAsia="fr-FR" w:bidi="he-IL"/>
              </w:rPr>
            </w:pPr>
            <w:r>
              <w:rPr>
                <w:sz w:val="22"/>
                <w:szCs w:val="22"/>
              </w:rPr>
              <w:t xml:space="preserve">Feber, </w:t>
            </w:r>
            <w:proofErr w:type="spellStart"/>
            <w:r>
              <w:rPr>
                <w:sz w:val="22"/>
                <w:szCs w:val="22"/>
              </w:rPr>
              <w:t>hyperhidrose</w:t>
            </w:r>
            <w:proofErr w:type="spellEnd"/>
            <w:r>
              <w:rPr>
                <w:sz w:val="22"/>
                <w:szCs w:val="22"/>
              </w:rPr>
              <w:t xml:space="preserve">, </w:t>
            </w:r>
            <w:proofErr w:type="spellStart"/>
            <w:r>
              <w:rPr>
                <w:sz w:val="22"/>
                <w:szCs w:val="22"/>
              </w:rPr>
              <w:t>angioødem</w:t>
            </w:r>
            <w:proofErr w:type="spellEnd"/>
            <w:r>
              <w:rPr>
                <w:sz w:val="22"/>
                <w:szCs w:val="22"/>
              </w:rPr>
              <w:t>, anoreksi, impotens</w:t>
            </w:r>
          </w:p>
        </w:tc>
        <w:tc>
          <w:tcPr>
            <w:tcW w:w="760"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lang w:eastAsia="fr-FR" w:bidi="he-IL"/>
              </w:rPr>
            </w:pPr>
          </w:p>
        </w:tc>
        <w:tc>
          <w:tcPr>
            <w:tcW w:w="797"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r>
      <w:tr w:rsidR="00537957" w:rsidTr="00537957">
        <w:tc>
          <w:tcPr>
            <w:tcW w:w="1072"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b/>
                <w:bCs/>
                <w:sz w:val="22"/>
                <w:szCs w:val="22"/>
                <w:lang w:eastAsia="fr-FR" w:bidi="he-IL"/>
              </w:rPr>
            </w:pPr>
            <w:r>
              <w:rPr>
                <w:b/>
                <w:bCs/>
                <w:sz w:val="22"/>
                <w:szCs w:val="22"/>
                <w:lang w:eastAsia="fr-FR" w:bidi="he-IL"/>
              </w:rPr>
              <w:t>Undersøgelser</w:t>
            </w:r>
          </w:p>
        </w:tc>
        <w:tc>
          <w:tcPr>
            <w:tcW w:w="846" w:type="pct"/>
            <w:tcBorders>
              <w:top w:val="single" w:sz="4" w:space="0" w:color="auto"/>
              <w:left w:val="single" w:sz="4" w:space="0" w:color="auto"/>
              <w:bottom w:val="single" w:sz="4" w:space="0" w:color="auto"/>
              <w:right w:val="single" w:sz="4" w:space="0" w:color="auto"/>
            </w:tcBorders>
          </w:tcPr>
          <w:p w:rsidR="00537957" w:rsidRDefault="00537957" w:rsidP="00537957">
            <w:pPr>
              <w:ind w:left="-1" w:firstLine="16"/>
              <w:rPr>
                <w:sz w:val="22"/>
                <w:szCs w:val="22"/>
                <w:lang w:eastAsia="fr-FR" w:bidi="he-IL"/>
              </w:rPr>
            </w:pPr>
          </w:p>
        </w:tc>
        <w:tc>
          <w:tcPr>
            <w:tcW w:w="620"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lang w:eastAsia="fr-FR" w:bidi="he-IL"/>
              </w:rPr>
            </w:pPr>
          </w:p>
        </w:tc>
        <w:tc>
          <w:tcPr>
            <w:tcW w:w="905" w:type="pct"/>
            <w:tcBorders>
              <w:top w:val="single" w:sz="4" w:space="0" w:color="auto"/>
              <w:left w:val="single" w:sz="4" w:space="0" w:color="auto"/>
              <w:bottom w:val="single" w:sz="4" w:space="0" w:color="auto"/>
              <w:right w:val="single" w:sz="4" w:space="0" w:color="auto"/>
            </w:tcBorders>
          </w:tcPr>
          <w:p w:rsidR="00537957" w:rsidRDefault="00537957" w:rsidP="00537957">
            <w:pPr>
              <w:ind w:left="-1"/>
              <w:rPr>
                <w:sz w:val="22"/>
                <w:szCs w:val="22"/>
              </w:rPr>
            </w:pPr>
          </w:p>
        </w:tc>
        <w:tc>
          <w:tcPr>
            <w:tcW w:w="760"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lang w:eastAsia="fr-FR" w:bidi="he-IL"/>
              </w:rPr>
            </w:pPr>
            <w:r>
              <w:rPr>
                <w:sz w:val="22"/>
                <w:szCs w:val="22"/>
                <w:lang w:eastAsia="fr-FR" w:bidi="he-IL"/>
              </w:rPr>
              <w:t>Stigning i kolesterol- og triglycerid</w:t>
            </w:r>
            <w:r>
              <w:rPr>
                <w:sz w:val="22"/>
                <w:szCs w:val="22"/>
                <w:lang w:eastAsia="fr-FR" w:bidi="he-IL"/>
              </w:rPr>
              <w:softHyphen/>
              <w:t>niveauer</w:t>
            </w:r>
          </w:p>
        </w:tc>
        <w:tc>
          <w:tcPr>
            <w:tcW w:w="797" w:type="pct"/>
            <w:tcBorders>
              <w:top w:val="single" w:sz="4" w:space="0" w:color="auto"/>
              <w:left w:val="single" w:sz="4" w:space="0" w:color="auto"/>
              <w:bottom w:val="single" w:sz="4" w:space="0" w:color="auto"/>
              <w:right w:val="single" w:sz="4" w:space="0" w:color="auto"/>
            </w:tcBorders>
            <w:hideMark/>
          </w:tcPr>
          <w:p w:rsidR="00537957" w:rsidRDefault="00537957" w:rsidP="00537957">
            <w:pPr>
              <w:rPr>
                <w:sz w:val="22"/>
                <w:szCs w:val="22"/>
                <w:lang w:eastAsia="fr-FR" w:bidi="he-IL"/>
              </w:rPr>
            </w:pPr>
          </w:p>
        </w:tc>
      </w:tr>
    </w:tbl>
    <w:p w:rsidR="00E90930" w:rsidRDefault="00E90930" w:rsidP="00E90930">
      <w:pPr>
        <w:ind w:left="851" w:hanging="851"/>
        <w:rPr>
          <w:sz w:val="24"/>
          <w:szCs w:val="24"/>
        </w:rPr>
      </w:pPr>
    </w:p>
    <w:p w:rsidR="00DC2C3B" w:rsidRDefault="00DC2C3B" w:rsidP="00DC2C3B">
      <w:pPr>
        <w:ind w:left="851"/>
        <w:rPr>
          <w:sz w:val="24"/>
          <w:szCs w:val="24"/>
        </w:rPr>
      </w:pPr>
      <w:r>
        <w:rPr>
          <w:sz w:val="24"/>
          <w:szCs w:val="24"/>
        </w:rPr>
        <w:t>*Hændelser efter markedsføring</w:t>
      </w:r>
    </w:p>
    <w:p w:rsidR="00DC2C3B" w:rsidRDefault="00DC2C3B" w:rsidP="00DC2C3B">
      <w:pPr>
        <w:ind w:left="851"/>
        <w:rPr>
          <w:sz w:val="24"/>
          <w:szCs w:val="24"/>
        </w:rPr>
      </w:pPr>
      <w:r>
        <w:rPr>
          <w:sz w:val="24"/>
          <w:szCs w:val="24"/>
        </w:rPr>
        <w:t xml:space="preserve">ϯ </w:t>
      </w:r>
      <w:proofErr w:type="spellStart"/>
      <w:r>
        <w:rPr>
          <w:sz w:val="24"/>
          <w:szCs w:val="24"/>
        </w:rPr>
        <w:t>Hypocalcæmi</w:t>
      </w:r>
      <w:proofErr w:type="spellEnd"/>
      <w:r>
        <w:rPr>
          <w:sz w:val="24"/>
          <w:szCs w:val="24"/>
        </w:rPr>
        <w:t xml:space="preserve"> og/eller </w:t>
      </w:r>
      <w:proofErr w:type="spellStart"/>
      <w:r>
        <w:rPr>
          <w:sz w:val="24"/>
          <w:szCs w:val="24"/>
        </w:rPr>
        <w:t>hypokaliæmi</w:t>
      </w:r>
      <w:proofErr w:type="spellEnd"/>
      <w:r>
        <w:rPr>
          <w:sz w:val="24"/>
          <w:szCs w:val="24"/>
        </w:rPr>
        <w:t xml:space="preserve"> kan være relateret til forekomsten af </w:t>
      </w:r>
      <w:proofErr w:type="spellStart"/>
      <w:r>
        <w:rPr>
          <w:sz w:val="24"/>
          <w:szCs w:val="24"/>
        </w:rPr>
        <w:t>hypomagnesiæmi</w:t>
      </w:r>
      <w:proofErr w:type="spellEnd"/>
      <w:r>
        <w:rPr>
          <w:sz w:val="24"/>
          <w:szCs w:val="24"/>
        </w:rPr>
        <w:t xml:space="preserve"> (se pkt. 4.4)</w:t>
      </w:r>
    </w:p>
    <w:p w:rsidR="00DC2C3B" w:rsidRPr="00CD55E9" w:rsidRDefault="00DC2C3B" w:rsidP="00DC2C3B">
      <w:pPr>
        <w:ind w:left="851"/>
        <w:rPr>
          <w:sz w:val="24"/>
          <w:szCs w:val="24"/>
        </w:rPr>
      </w:pPr>
      <w:r w:rsidRPr="00D52B56">
        <w:rPr>
          <w:sz w:val="22"/>
          <w:szCs w:val="22"/>
          <w:vertAlign w:val="superscript"/>
          <w:lang w:eastAsia="fi-FI"/>
        </w:rPr>
        <w:t xml:space="preserve">‡ </w:t>
      </w:r>
      <w:r w:rsidRPr="00D52B56">
        <w:rPr>
          <w:sz w:val="22"/>
          <w:szCs w:val="22"/>
          <w:lang w:eastAsia="fi-FI"/>
        </w:rPr>
        <w:t>Se pkt. 4.4</w:t>
      </w:r>
    </w:p>
    <w:p w:rsidR="00AE1008" w:rsidRDefault="00AE1008" w:rsidP="00E90930">
      <w:pPr>
        <w:ind w:left="851"/>
        <w:rPr>
          <w:sz w:val="24"/>
          <w:szCs w:val="24"/>
          <w:u w:val="single"/>
        </w:rPr>
      </w:pPr>
    </w:p>
    <w:p w:rsidR="00E90930" w:rsidRDefault="00E90930" w:rsidP="00E90930">
      <w:pPr>
        <w:ind w:left="851"/>
        <w:rPr>
          <w:sz w:val="24"/>
          <w:szCs w:val="24"/>
          <w:u w:val="single"/>
        </w:rPr>
      </w:pPr>
      <w:r>
        <w:rPr>
          <w:sz w:val="24"/>
          <w:szCs w:val="24"/>
          <w:u w:val="single"/>
        </w:rPr>
        <w:t>Indberetning af formodede bivirkninger</w:t>
      </w:r>
    </w:p>
    <w:p w:rsidR="00E90930" w:rsidRDefault="00E90930" w:rsidP="00E9093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E90930" w:rsidRDefault="00E90930" w:rsidP="00E90930">
      <w:pPr>
        <w:ind w:left="851"/>
        <w:rPr>
          <w:sz w:val="24"/>
          <w:szCs w:val="24"/>
        </w:rPr>
      </w:pPr>
    </w:p>
    <w:p w:rsidR="00E90930" w:rsidRDefault="00E90930" w:rsidP="00E90930">
      <w:pPr>
        <w:ind w:left="851"/>
        <w:rPr>
          <w:sz w:val="24"/>
          <w:szCs w:val="24"/>
        </w:rPr>
      </w:pPr>
      <w:r>
        <w:rPr>
          <w:sz w:val="24"/>
          <w:szCs w:val="24"/>
        </w:rPr>
        <w:t>Lægemiddelstyrelsen</w:t>
      </w:r>
    </w:p>
    <w:p w:rsidR="00E90930" w:rsidRDefault="00E90930" w:rsidP="00E90930">
      <w:pPr>
        <w:ind w:left="851"/>
        <w:rPr>
          <w:sz w:val="24"/>
          <w:szCs w:val="24"/>
        </w:rPr>
      </w:pPr>
      <w:r>
        <w:rPr>
          <w:sz w:val="24"/>
          <w:szCs w:val="24"/>
        </w:rPr>
        <w:t>Axel Heides Gade 1</w:t>
      </w:r>
    </w:p>
    <w:p w:rsidR="00E90930" w:rsidRDefault="00E90930" w:rsidP="00E90930">
      <w:pPr>
        <w:ind w:left="851"/>
        <w:rPr>
          <w:sz w:val="24"/>
          <w:szCs w:val="24"/>
        </w:rPr>
      </w:pPr>
      <w:r>
        <w:rPr>
          <w:sz w:val="24"/>
          <w:szCs w:val="24"/>
        </w:rPr>
        <w:t>DK-2300 København S</w:t>
      </w:r>
    </w:p>
    <w:p w:rsidR="00E90930" w:rsidRDefault="00E90930" w:rsidP="00E90930">
      <w:pPr>
        <w:ind w:left="851"/>
        <w:rPr>
          <w:sz w:val="24"/>
          <w:szCs w:val="24"/>
        </w:rPr>
      </w:pPr>
      <w:r>
        <w:rPr>
          <w:sz w:val="24"/>
          <w:szCs w:val="24"/>
        </w:rPr>
        <w:t xml:space="preserve">Websted: </w:t>
      </w:r>
      <w:hyperlink r:id="rId8" w:history="1">
        <w:r>
          <w:rPr>
            <w:rStyle w:val="Hyperlink"/>
            <w:sz w:val="24"/>
            <w:szCs w:val="24"/>
          </w:rPr>
          <w:t>www.meldenbivirkning.dk</w:t>
        </w:r>
      </w:hyperlink>
    </w:p>
    <w:p w:rsidR="00182245" w:rsidRPr="009C3E06" w:rsidRDefault="00182245" w:rsidP="00182245">
      <w:pPr>
        <w:ind w:left="851"/>
        <w:rPr>
          <w:sz w:val="24"/>
          <w:szCs w:val="24"/>
        </w:rPr>
      </w:pPr>
    </w:p>
    <w:p w:rsidR="00182245" w:rsidRPr="009C3E06" w:rsidRDefault="00182245" w:rsidP="00182245">
      <w:pPr>
        <w:ind w:left="851" w:hanging="851"/>
        <w:rPr>
          <w:b/>
          <w:sz w:val="24"/>
          <w:szCs w:val="24"/>
        </w:rPr>
      </w:pPr>
      <w:r w:rsidRPr="009C3E06">
        <w:rPr>
          <w:b/>
          <w:sz w:val="24"/>
          <w:szCs w:val="24"/>
        </w:rPr>
        <w:t>4.9</w:t>
      </w:r>
      <w:r w:rsidRPr="009C3E06">
        <w:rPr>
          <w:b/>
          <w:sz w:val="24"/>
          <w:szCs w:val="24"/>
        </w:rPr>
        <w:tab/>
        <w:t>Overdosering</w:t>
      </w:r>
    </w:p>
    <w:p w:rsidR="00DC2C3B" w:rsidRPr="009C3E06" w:rsidRDefault="00182245" w:rsidP="00DC2C3B">
      <w:pPr>
        <w:ind w:left="851" w:hanging="851"/>
        <w:rPr>
          <w:sz w:val="24"/>
          <w:szCs w:val="24"/>
        </w:rPr>
      </w:pPr>
      <w:r w:rsidRPr="009C3E06">
        <w:rPr>
          <w:sz w:val="24"/>
          <w:szCs w:val="24"/>
        </w:rPr>
        <w:tab/>
      </w:r>
      <w:r w:rsidR="00DC2C3B" w:rsidRPr="009C3E06">
        <w:rPr>
          <w:sz w:val="24"/>
          <w:szCs w:val="24"/>
        </w:rPr>
        <w:t xml:space="preserve">Virkningerne </w:t>
      </w:r>
      <w:r w:rsidR="00DC2C3B">
        <w:rPr>
          <w:sz w:val="24"/>
          <w:szCs w:val="24"/>
        </w:rPr>
        <w:t>af</w:t>
      </w:r>
      <w:r w:rsidR="00DC2C3B" w:rsidRPr="009C3E06">
        <w:rPr>
          <w:sz w:val="24"/>
          <w:szCs w:val="24"/>
        </w:rPr>
        <w:t xml:space="preserve"> overdosering med </w:t>
      </w:r>
      <w:proofErr w:type="spellStart"/>
      <w:r w:rsidR="00DC2C3B" w:rsidRPr="009C3E06">
        <w:rPr>
          <w:sz w:val="24"/>
          <w:szCs w:val="24"/>
        </w:rPr>
        <w:t>lansoprazol</w:t>
      </w:r>
      <w:proofErr w:type="spellEnd"/>
      <w:r w:rsidR="00DC2C3B" w:rsidRPr="009C3E06">
        <w:rPr>
          <w:sz w:val="24"/>
          <w:szCs w:val="24"/>
        </w:rPr>
        <w:t xml:space="preserve"> hos mennesker kendes ikke (selvom den akutte toksicitet sandsynligvis er lav), og der kan derfor ikke gives vejledning om behandling. Daglige doser på op til 180 mg </w:t>
      </w:r>
      <w:proofErr w:type="spellStart"/>
      <w:r w:rsidR="00DC2C3B" w:rsidRPr="009C3E06">
        <w:rPr>
          <w:sz w:val="24"/>
          <w:szCs w:val="24"/>
        </w:rPr>
        <w:t>lansoprazol</w:t>
      </w:r>
      <w:proofErr w:type="spellEnd"/>
      <w:r w:rsidR="00DC2C3B" w:rsidRPr="009C3E06">
        <w:rPr>
          <w:sz w:val="24"/>
          <w:szCs w:val="24"/>
        </w:rPr>
        <w:t xml:space="preserve"> oralt og op til 90 mg </w:t>
      </w:r>
      <w:proofErr w:type="spellStart"/>
      <w:r w:rsidR="00DC2C3B" w:rsidRPr="009C3E06">
        <w:rPr>
          <w:sz w:val="24"/>
          <w:szCs w:val="24"/>
        </w:rPr>
        <w:t>lansoprazol</w:t>
      </w:r>
      <w:proofErr w:type="spellEnd"/>
      <w:r w:rsidR="00DC2C3B" w:rsidRPr="009C3E06">
        <w:rPr>
          <w:sz w:val="24"/>
          <w:szCs w:val="24"/>
        </w:rPr>
        <w:t xml:space="preserve"> intravenøst er dog blevet administreret i studier uden signifikante bivirkninger.</w:t>
      </w:r>
    </w:p>
    <w:p w:rsidR="00182245" w:rsidRPr="009C3E06" w:rsidRDefault="00182245" w:rsidP="00182245">
      <w:pPr>
        <w:ind w:left="851" w:hanging="851"/>
        <w:rPr>
          <w:sz w:val="24"/>
          <w:szCs w:val="24"/>
        </w:rPr>
      </w:pPr>
      <w:r w:rsidRPr="009C3E06">
        <w:rPr>
          <w:sz w:val="24"/>
          <w:szCs w:val="24"/>
        </w:rPr>
        <w:tab/>
      </w:r>
    </w:p>
    <w:p w:rsidR="00182245" w:rsidRPr="009C3E06" w:rsidRDefault="00182245" w:rsidP="00182245">
      <w:pPr>
        <w:ind w:left="851" w:hanging="851"/>
        <w:rPr>
          <w:sz w:val="24"/>
          <w:szCs w:val="24"/>
        </w:rPr>
      </w:pPr>
      <w:r w:rsidRPr="009C3E06">
        <w:rPr>
          <w:sz w:val="24"/>
          <w:szCs w:val="24"/>
        </w:rPr>
        <w:tab/>
        <w:t xml:space="preserve">Der henvises til pkt. 4.8 for mulige symptomer på overdosering med </w:t>
      </w:r>
      <w:proofErr w:type="spellStart"/>
      <w:r w:rsidRPr="009C3E06">
        <w:rPr>
          <w:sz w:val="24"/>
          <w:szCs w:val="24"/>
        </w:rPr>
        <w:t>lansoprazol</w:t>
      </w:r>
      <w:proofErr w:type="spellEnd"/>
      <w:r w:rsidRPr="009C3E06">
        <w:rPr>
          <w:sz w:val="24"/>
          <w:szCs w:val="24"/>
        </w:rPr>
        <w:t>.</w:t>
      </w:r>
    </w:p>
    <w:p w:rsidR="00182245" w:rsidRPr="009C3E06" w:rsidRDefault="00182245" w:rsidP="00182245">
      <w:pPr>
        <w:ind w:left="851" w:hanging="851"/>
        <w:rPr>
          <w:sz w:val="24"/>
          <w:szCs w:val="24"/>
        </w:rPr>
      </w:pPr>
      <w:r w:rsidRPr="009C3E06">
        <w:rPr>
          <w:sz w:val="24"/>
          <w:szCs w:val="24"/>
        </w:rPr>
        <w:tab/>
      </w:r>
    </w:p>
    <w:p w:rsidR="00182245" w:rsidRPr="009C3E06" w:rsidRDefault="00182245" w:rsidP="00182245">
      <w:pPr>
        <w:ind w:left="851" w:hanging="851"/>
        <w:rPr>
          <w:sz w:val="24"/>
          <w:szCs w:val="24"/>
        </w:rPr>
      </w:pPr>
      <w:r w:rsidRPr="009C3E06">
        <w:rPr>
          <w:sz w:val="24"/>
          <w:szCs w:val="24"/>
        </w:rPr>
        <w:tab/>
        <w:t xml:space="preserve">I tilfælde af mistanke om overdosering skal patienten overvåges. </w:t>
      </w:r>
      <w:proofErr w:type="spellStart"/>
      <w:r w:rsidRPr="009C3E06">
        <w:rPr>
          <w:sz w:val="24"/>
          <w:szCs w:val="24"/>
        </w:rPr>
        <w:t>Lansoprazol</w:t>
      </w:r>
      <w:proofErr w:type="spellEnd"/>
      <w:r w:rsidRPr="009C3E06">
        <w:rPr>
          <w:sz w:val="24"/>
          <w:szCs w:val="24"/>
        </w:rPr>
        <w:t xml:space="preserve"> bliver ikke signifikant elimineret ved hæmodialyse. Om nødvendigt anbefales ventrikeltømning, administration af aktivt kul og symptomatisk behandling.</w:t>
      </w:r>
    </w:p>
    <w:p w:rsidR="00182245" w:rsidRPr="009C3E06" w:rsidRDefault="00182245" w:rsidP="00182245">
      <w:pPr>
        <w:ind w:left="851" w:hanging="851"/>
        <w:rPr>
          <w:sz w:val="24"/>
          <w:szCs w:val="24"/>
        </w:rPr>
      </w:pPr>
    </w:p>
    <w:p w:rsidR="00DC2C3B" w:rsidRDefault="00DC2C3B" w:rsidP="00182245">
      <w:pPr>
        <w:ind w:left="851" w:hanging="851"/>
        <w:rPr>
          <w:b/>
          <w:sz w:val="24"/>
          <w:szCs w:val="24"/>
        </w:rPr>
      </w:pPr>
    </w:p>
    <w:p w:rsidR="00182245" w:rsidRPr="009C3E06" w:rsidRDefault="00182245" w:rsidP="00182245">
      <w:pPr>
        <w:ind w:left="851" w:hanging="851"/>
        <w:rPr>
          <w:b/>
          <w:sz w:val="24"/>
          <w:szCs w:val="24"/>
        </w:rPr>
      </w:pPr>
      <w:r w:rsidRPr="009C3E06">
        <w:rPr>
          <w:b/>
          <w:sz w:val="24"/>
          <w:szCs w:val="24"/>
        </w:rPr>
        <w:lastRenderedPageBreak/>
        <w:t>4.10</w:t>
      </w:r>
      <w:r w:rsidRPr="009C3E06">
        <w:rPr>
          <w:b/>
          <w:sz w:val="24"/>
          <w:szCs w:val="24"/>
        </w:rPr>
        <w:tab/>
        <w:t>Udlevering</w:t>
      </w:r>
    </w:p>
    <w:p w:rsidR="00182245" w:rsidRPr="009C3E06" w:rsidRDefault="00182245" w:rsidP="00182245">
      <w:pPr>
        <w:ind w:left="851" w:hanging="851"/>
        <w:rPr>
          <w:sz w:val="24"/>
          <w:szCs w:val="24"/>
        </w:rPr>
      </w:pPr>
      <w:r w:rsidRPr="009C3E06">
        <w:rPr>
          <w:sz w:val="24"/>
          <w:szCs w:val="24"/>
        </w:rPr>
        <w:tab/>
        <w:t>HA</w:t>
      </w:r>
    </w:p>
    <w:p w:rsidR="00182245" w:rsidRPr="009C3E06" w:rsidRDefault="00182245" w:rsidP="00182245">
      <w:pPr>
        <w:ind w:left="851" w:hanging="851"/>
        <w:rPr>
          <w:sz w:val="24"/>
          <w:szCs w:val="24"/>
        </w:rPr>
      </w:pPr>
    </w:p>
    <w:p w:rsidR="00182245" w:rsidRPr="009C3E06" w:rsidRDefault="00182245" w:rsidP="00182245">
      <w:pPr>
        <w:ind w:left="851" w:hanging="851"/>
        <w:rPr>
          <w:sz w:val="24"/>
          <w:szCs w:val="24"/>
        </w:rPr>
      </w:pPr>
    </w:p>
    <w:p w:rsidR="00182245" w:rsidRPr="009C3E06" w:rsidRDefault="00182245" w:rsidP="00182245">
      <w:pPr>
        <w:keepNext/>
        <w:ind w:left="851" w:hanging="851"/>
        <w:rPr>
          <w:b/>
          <w:sz w:val="24"/>
          <w:szCs w:val="24"/>
        </w:rPr>
      </w:pPr>
      <w:r w:rsidRPr="009C3E06">
        <w:rPr>
          <w:b/>
          <w:sz w:val="24"/>
          <w:szCs w:val="24"/>
        </w:rPr>
        <w:t>5.</w:t>
      </w:r>
      <w:r w:rsidRPr="009C3E06">
        <w:rPr>
          <w:b/>
          <w:sz w:val="24"/>
          <w:szCs w:val="24"/>
        </w:rPr>
        <w:tab/>
        <w:t>FARMAKOLOGISKE EGENSKABER</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5.1</w:t>
      </w:r>
      <w:r w:rsidRPr="009C3E06">
        <w:rPr>
          <w:b/>
          <w:sz w:val="24"/>
          <w:szCs w:val="24"/>
        </w:rPr>
        <w:tab/>
      </w:r>
      <w:proofErr w:type="spellStart"/>
      <w:r w:rsidRPr="009C3E06">
        <w:rPr>
          <w:b/>
          <w:sz w:val="24"/>
          <w:szCs w:val="24"/>
        </w:rPr>
        <w:t>Farmakodynamiske</w:t>
      </w:r>
      <w:proofErr w:type="spellEnd"/>
      <w:r w:rsidRPr="009C3E06">
        <w:rPr>
          <w:b/>
          <w:sz w:val="24"/>
          <w:szCs w:val="24"/>
        </w:rPr>
        <w:t xml:space="preserve"> egenskaber</w:t>
      </w:r>
    </w:p>
    <w:p w:rsidR="00AE1008" w:rsidRPr="009C3E06" w:rsidRDefault="00182245" w:rsidP="00AE1008">
      <w:pPr>
        <w:ind w:left="851" w:hanging="851"/>
        <w:rPr>
          <w:sz w:val="24"/>
          <w:szCs w:val="24"/>
        </w:rPr>
      </w:pPr>
      <w:r w:rsidRPr="009C3E06">
        <w:rPr>
          <w:sz w:val="24"/>
          <w:szCs w:val="24"/>
        </w:rPr>
        <w:tab/>
      </w:r>
      <w:proofErr w:type="spellStart"/>
      <w:r w:rsidR="00AE1008">
        <w:rPr>
          <w:sz w:val="24"/>
          <w:szCs w:val="24"/>
        </w:rPr>
        <w:t>Farmakoterapeutisk</w:t>
      </w:r>
      <w:proofErr w:type="spellEnd"/>
      <w:r w:rsidR="00AE1008">
        <w:rPr>
          <w:sz w:val="24"/>
          <w:szCs w:val="24"/>
        </w:rPr>
        <w:t xml:space="preserve"> klassifikation:</w:t>
      </w:r>
      <w:r w:rsidR="00AE1008">
        <w:t xml:space="preserve"> </w:t>
      </w:r>
      <w:r w:rsidR="00AE1008">
        <w:rPr>
          <w:sz w:val="24"/>
          <w:szCs w:val="24"/>
        </w:rPr>
        <w:t xml:space="preserve">Midler mod mavesår og </w:t>
      </w:r>
      <w:proofErr w:type="spellStart"/>
      <w:r w:rsidR="00AE1008">
        <w:rPr>
          <w:sz w:val="24"/>
          <w:szCs w:val="24"/>
        </w:rPr>
        <w:t>gastro-oesophageal</w:t>
      </w:r>
      <w:proofErr w:type="spellEnd"/>
      <w:r w:rsidR="00AE1008">
        <w:rPr>
          <w:sz w:val="24"/>
          <w:szCs w:val="24"/>
        </w:rPr>
        <w:t xml:space="preserve"> </w:t>
      </w:r>
      <w:proofErr w:type="spellStart"/>
      <w:r w:rsidR="00AE1008">
        <w:rPr>
          <w:sz w:val="24"/>
          <w:szCs w:val="24"/>
        </w:rPr>
        <w:t>reflux</w:t>
      </w:r>
      <w:proofErr w:type="spellEnd"/>
      <w:r w:rsidR="00AE1008">
        <w:rPr>
          <w:sz w:val="24"/>
          <w:szCs w:val="24"/>
        </w:rPr>
        <w:t xml:space="preserve"> (</w:t>
      </w:r>
      <w:proofErr w:type="spellStart"/>
      <w:r w:rsidR="00AE1008">
        <w:rPr>
          <w:sz w:val="24"/>
          <w:szCs w:val="24"/>
        </w:rPr>
        <w:t>gord</w:t>
      </w:r>
      <w:proofErr w:type="spellEnd"/>
      <w:r w:rsidR="00AE1008">
        <w:rPr>
          <w:sz w:val="24"/>
          <w:szCs w:val="24"/>
        </w:rPr>
        <w:t xml:space="preserve">), </w:t>
      </w:r>
      <w:proofErr w:type="spellStart"/>
      <w:r w:rsidR="00AE1008">
        <w:rPr>
          <w:sz w:val="24"/>
          <w:szCs w:val="24"/>
        </w:rPr>
        <w:t>protonpumpehæmmere</w:t>
      </w:r>
      <w:proofErr w:type="spellEnd"/>
      <w:r w:rsidR="00AE1008">
        <w:rPr>
          <w:sz w:val="24"/>
          <w:szCs w:val="24"/>
        </w:rPr>
        <w:t>, ATC-kode: A02B C03.</w:t>
      </w:r>
    </w:p>
    <w:p w:rsidR="00AE1008" w:rsidRDefault="00AE1008" w:rsidP="00182245">
      <w:pPr>
        <w:ind w:left="851" w:hanging="851"/>
        <w:rPr>
          <w:sz w:val="24"/>
          <w:szCs w:val="24"/>
        </w:rPr>
      </w:pPr>
    </w:p>
    <w:p w:rsidR="00182245" w:rsidRPr="009C3E06" w:rsidRDefault="00182245" w:rsidP="00AE1008">
      <w:pPr>
        <w:ind w:left="851"/>
        <w:rPr>
          <w:sz w:val="24"/>
          <w:szCs w:val="24"/>
        </w:rPr>
      </w:pPr>
      <w:proofErr w:type="spellStart"/>
      <w:r w:rsidRPr="009C3E06">
        <w:rPr>
          <w:sz w:val="24"/>
          <w:szCs w:val="24"/>
        </w:rPr>
        <w:t>Lansoprazol</w:t>
      </w:r>
      <w:proofErr w:type="spellEnd"/>
      <w:r w:rsidRPr="009C3E06">
        <w:rPr>
          <w:sz w:val="24"/>
          <w:szCs w:val="24"/>
        </w:rPr>
        <w:t xml:space="preserve"> er en gastrisk protonpumpehæmmer. Det hæmmer det sidste trin i dannelsen af mavesyre ved at hæmme aktiviteten af H</w:t>
      </w:r>
      <w:r w:rsidRPr="009C3E06">
        <w:rPr>
          <w:sz w:val="24"/>
          <w:szCs w:val="24"/>
          <w:vertAlign w:val="superscript"/>
        </w:rPr>
        <w:t>+</w:t>
      </w:r>
      <w:r w:rsidRPr="009C3E06">
        <w:rPr>
          <w:sz w:val="24"/>
          <w:szCs w:val="24"/>
        </w:rPr>
        <w:t>/K</w:t>
      </w:r>
      <w:r w:rsidRPr="009C3E06">
        <w:rPr>
          <w:sz w:val="24"/>
          <w:szCs w:val="24"/>
          <w:vertAlign w:val="superscript"/>
        </w:rPr>
        <w:t xml:space="preserve">+ </w:t>
      </w:r>
      <w:proofErr w:type="spellStart"/>
      <w:r w:rsidRPr="009C3E06">
        <w:rPr>
          <w:sz w:val="24"/>
          <w:szCs w:val="24"/>
        </w:rPr>
        <w:t>ATPase</w:t>
      </w:r>
      <w:proofErr w:type="spellEnd"/>
      <w:r w:rsidRPr="009C3E06">
        <w:rPr>
          <w:sz w:val="24"/>
          <w:szCs w:val="24"/>
        </w:rPr>
        <w:t xml:space="preserve"> i mavens </w:t>
      </w:r>
      <w:proofErr w:type="spellStart"/>
      <w:r w:rsidRPr="009C3E06">
        <w:rPr>
          <w:sz w:val="24"/>
          <w:szCs w:val="24"/>
        </w:rPr>
        <w:t>parietalceller</w:t>
      </w:r>
      <w:proofErr w:type="spellEnd"/>
      <w:r w:rsidRPr="009C3E06">
        <w:rPr>
          <w:sz w:val="24"/>
          <w:szCs w:val="24"/>
        </w:rPr>
        <w:t xml:space="preserve">. Hæmningen er dosisafhængig og reversibel, og virkningen gælder for både basal og stimuleret sekretion af mavesyre. </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Lansoprazol</w:t>
      </w:r>
      <w:proofErr w:type="spellEnd"/>
      <w:r w:rsidRPr="009C3E06">
        <w:rPr>
          <w:sz w:val="24"/>
          <w:szCs w:val="24"/>
        </w:rPr>
        <w:t xml:space="preserve"> er koncentreret i </w:t>
      </w:r>
      <w:proofErr w:type="spellStart"/>
      <w:r w:rsidRPr="009C3E06">
        <w:rPr>
          <w:sz w:val="24"/>
          <w:szCs w:val="24"/>
        </w:rPr>
        <w:t>parietalcellerne</w:t>
      </w:r>
      <w:proofErr w:type="spellEnd"/>
      <w:r w:rsidRPr="009C3E06">
        <w:rPr>
          <w:sz w:val="24"/>
          <w:szCs w:val="24"/>
        </w:rPr>
        <w:t xml:space="preserve"> og aktiveres i det sure miljø, hvorefter det reagerer med </w:t>
      </w:r>
      <w:proofErr w:type="spellStart"/>
      <w:r w:rsidRPr="009C3E06">
        <w:rPr>
          <w:sz w:val="24"/>
          <w:szCs w:val="24"/>
        </w:rPr>
        <w:t>sulfydrylgruppen</w:t>
      </w:r>
      <w:proofErr w:type="spellEnd"/>
      <w:r w:rsidRPr="009C3E06">
        <w:rPr>
          <w:sz w:val="24"/>
          <w:szCs w:val="24"/>
        </w:rPr>
        <w:t xml:space="preserve"> af H</w:t>
      </w:r>
      <w:r w:rsidRPr="009C3E06">
        <w:rPr>
          <w:sz w:val="24"/>
          <w:szCs w:val="24"/>
          <w:vertAlign w:val="superscript"/>
        </w:rPr>
        <w:t>+</w:t>
      </w:r>
      <w:r w:rsidRPr="009C3E06">
        <w:rPr>
          <w:sz w:val="24"/>
          <w:szCs w:val="24"/>
        </w:rPr>
        <w:t>/</w:t>
      </w:r>
      <w:proofErr w:type="spellStart"/>
      <w:r w:rsidRPr="009C3E06">
        <w:rPr>
          <w:sz w:val="24"/>
          <w:szCs w:val="24"/>
        </w:rPr>
        <w:t>K</w:t>
      </w:r>
      <w:r w:rsidRPr="009C3E06">
        <w:rPr>
          <w:sz w:val="24"/>
          <w:szCs w:val="24"/>
          <w:vertAlign w:val="superscript"/>
        </w:rPr>
        <w:t>+</w:t>
      </w:r>
      <w:r w:rsidRPr="009C3E06">
        <w:rPr>
          <w:sz w:val="24"/>
          <w:szCs w:val="24"/>
        </w:rPr>
        <w:t>ATPase</w:t>
      </w:r>
      <w:proofErr w:type="spellEnd"/>
      <w:r w:rsidRPr="009C3E06">
        <w:rPr>
          <w:sz w:val="24"/>
          <w:szCs w:val="24"/>
        </w:rPr>
        <w:t>, hvilket medfører hæmning af enzymaktiviteten.</w:t>
      </w:r>
    </w:p>
    <w:p w:rsidR="00182245" w:rsidRPr="009C3E06" w:rsidRDefault="00182245" w:rsidP="00182245">
      <w:pPr>
        <w:ind w:left="851" w:hanging="851"/>
        <w:rPr>
          <w:sz w:val="24"/>
          <w:szCs w:val="24"/>
        </w:rPr>
      </w:pPr>
    </w:p>
    <w:p w:rsidR="00182245" w:rsidRPr="009C3E06" w:rsidRDefault="00182245" w:rsidP="00182245">
      <w:pPr>
        <w:ind w:left="851"/>
        <w:rPr>
          <w:sz w:val="24"/>
          <w:szCs w:val="24"/>
        </w:rPr>
      </w:pPr>
      <w:r w:rsidRPr="009C3E06">
        <w:rPr>
          <w:sz w:val="24"/>
          <w:szCs w:val="24"/>
          <w:u w:val="single"/>
        </w:rPr>
        <w:t>Virkning på sekretion af mavesyre:</w:t>
      </w:r>
      <w:r w:rsidRPr="009C3E06">
        <w:rPr>
          <w:sz w:val="24"/>
          <w:szCs w:val="24"/>
        </w:rPr>
        <w:t xml:space="preserve"> </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Lansoprazol</w:t>
      </w:r>
      <w:proofErr w:type="spellEnd"/>
      <w:r w:rsidRPr="009C3E06">
        <w:rPr>
          <w:sz w:val="24"/>
          <w:szCs w:val="24"/>
        </w:rPr>
        <w:t xml:space="preserve"> er en specifik hæmmer af </w:t>
      </w:r>
      <w:proofErr w:type="spellStart"/>
      <w:r w:rsidRPr="009C3E06">
        <w:rPr>
          <w:sz w:val="24"/>
          <w:szCs w:val="24"/>
        </w:rPr>
        <w:t>parietalcellens</w:t>
      </w:r>
      <w:proofErr w:type="spellEnd"/>
      <w:r w:rsidRPr="009C3E06">
        <w:rPr>
          <w:sz w:val="24"/>
          <w:szCs w:val="24"/>
        </w:rPr>
        <w:t xml:space="preserve"> protonpumpe. En enkelt oral</w:t>
      </w:r>
      <w:r w:rsidR="009C3E06" w:rsidRPr="009C3E06">
        <w:rPr>
          <w:sz w:val="24"/>
          <w:szCs w:val="24"/>
        </w:rPr>
        <w:t xml:space="preserve"> 30 mg </w:t>
      </w:r>
      <w:r w:rsidRPr="009C3E06">
        <w:rPr>
          <w:sz w:val="24"/>
          <w:szCs w:val="24"/>
        </w:rPr>
        <w:t xml:space="preserve">dosis </w:t>
      </w:r>
      <w:proofErr w:type="spellStart"/>
      <w:r w:rsidRPr="009C3E06">
        <w:rPr>
          <w:sz w:val="24"/>
          <w:szCs w:val="24"/>
        </w:rPr>
        <w:t>lansoprazol</w:t>
      </w:r>
      <w:proofErr w:type="spellEnd"/>
      <w:r w:rsidRPr="009C3E06">
        <w:rPr>
          <w:sz w:val="24"/>
          <w:szCs w:val="24"/>
        </w:rPr>
        <w:t xml:space="preserve"> hæmmer </w:t>
      </w:r>
      <w:proofErr w:type="spellStart"/>
      <w:r w:rsidRPr="009C3E06">
        <w:rPr>
          <w:sz w:val="24"/>
          <w:szCs w:val="24"/>
        </w:rPr>
        <w:t>pentagastrinstimuleret</w:t>
      </w:r>
      <w:proofErr w:type="spellEnd"/>
      <w:r w:rsidRPr="009C3E06">
        <w:rPr>
          <w:sz w:val="24"/>
          <w:szCs w:val="24"/>
        </w:rPr>
        <w:t xml:space="preserve"> mavesyresekretion med omkring 80 %. Efter gentagen daglig administration i 7 dage, opnås cirka 90 % hæmning af mavesyresekretionen. Det har en tilsvarende virkning på den basale sekretion af mavesyre. En enkelt oral dosis på 30 mg nedsætter basal sekretion med omkring 70 %, og patientens symptomer lindres dermed allerede fra den allerførste dosis. Efter 8 dage med gentagen administration er reduktionen cirka 85 %. Hurtig symptomlindring opnås med én kapsel (30 mg) dagligt, og de fleste patienter med ulcus </w:t>
      </w:r>
      <w:proofErr w:type="spellStart"/>
      <w:r w:rsidRPr="009C3E06">
        <w:rPr>
          <w:sz w:val="24"/>
          <w:szCs w:val="24"/>
        </w:rPr>
        <w:t>duodeni</w:t>
      </w:r>
      <w:proofErr w:type="spellEnd"/>
      <w:r w:rsidRPr="009C3E06">
        <w:rPr>
          <w:sz w:val="24"/>
          <w:szCs w:val="24"/>
        </w:rPr>
        <w:t xml:space="preserve"> bliver raske i løbet af 2 uger og </w:t>
      </w:r>
      <w:r w:rsidR="00DC2C3B" w:rsidRPr="009C3E06">
        <w:rPr>
          <w:sz w:val="24"/>
          <w:szCs w:val="24"/>
        </w:rPr>
        <w:t xml:space="preserve">patienter med ulcus </w:t>
      </w:r>
      <w:proofErr w:type="spellStart"/>
      <w:r w:rsidR="00DC2C3B" w:rsidRPr="009C3E06">
        <w:rPr>
          <w:sz w:val="24"/>
          <w:szCs w:val="24"/>
        </w:rPr>
        <w:t>ventriculi</w:t>
      </w:r>
      <w:proofErr w:type="spellEnd"/>
      <w:r w:rsidR="00DC2C3B" w:rsidRPr="009C3E06">
        <w:rPr>
          <w:sz w:val="24"/>
          <w:szCs w:val="24"/>
        </w:rPr>
        <w:t xml:space="preserve"> og </w:t>
      </w:r>
      <w:proofErr w:type="spellStart"/>
      <w:r w:rsidR="00DC2C3B" w:rsidRPr="009C3E06">
        <w:rPr>
          <w:sz w:val="24"/>
          <w:szCs w:val="24"/>
        </w:rPr>
        <w:t>refluksøsophagitis</w:t>
      </w:r>
      <w:proofErr w:type="spellEnd"/>
      <w:r w:rsidR="00DC2C3B" w:rsidRPr="009C3E06">
        <w:rPr>
          <w:sz w:val="24"/>
          <w:szCs w:val="24"/>
        </w:rPr>
        <w:t xml:space="preserve"> i løbet af 4 uger. Ved at reducere </w:t>
      </w:r>
      <w:proofErr w:type="spellStart"/>
      <w:r w:rsidRPr="009C3E06">
        <w:rPr>
          <w:sz w:val="24"/>
          <w:szCs w:val="24"/>
        </w:rPr>
        <w:t>ventrikelaciditeten</w:t>
      </w:r>
      <w:proofErr w:type="spellEnd"/>
      <w:r w:rsidRPr="009C3E06">
        <w:rPr>
          <w:sz w:val="24"/>
          <w:szCs w:val="24"/>
        </w:rPr>
        <w:t xml:space="preserve"> skaber </w:t>
      </w:r>
      <w:proofErr w:type="spellStart"/>
      <w:r w:rsidRPr="009C3E06">
        <w:rPr>
          <w:sz w:val="24"/>
          <w:szCs w:val="24"/>
        </w:rPr>
        <w:t>lansoprazol</w:t>
      </w:r>
      <w:proofErr w:type="spellEnd"/>
      <w:r w:rsidRPr="009C3E06">
        <w:rPr>
          <w:sz w:val="24"/>
          <w:szCs w:val="24"/>
        </w:rPr>
        <w:t xml:space="preserve"> et miljø, i hvilket passende antibiotika kan være effektive mod </w:t>
      </w:r>
      <w:r w:rsidRPr="009C3E06">
        <w:rPr>
          <w:i/>
          <w:iCs/>
          <w:sz w:val="24"/>
          <w:szCs w:val="24"/>
        </w:rPr>
        <w:t xml:space="preserve">H. </w:t>
      </w:r>
      <w:proofErr w:type="spellStart"/>
      <w:r w:rsidRPr="009C3E06">
        <w:rPr>
          <w:i/>
          <w:iCs/>
          <w:sz w:val="24"/>
          <w:szCs w:val="24"/>
        </w:rPr>
        <w:t>pylori</w:t>
      </w:r>
      <w:proofErr w:type="spellEnd"/>
      <w:r w:rsidRPr="009C3E06">
        <w:rPr>
          <w:sz w:val="24"/>
          <w:szCs w:val="24"/>
        </w:rPr>
        <w:t>.</w:t>
      </w:r>
    </w:p>
    <w:p w:rsidR="00182245" w:rsidRPr="009C3E06" w:rsidRDefault="00182245" w:rsidP="00182245">
      <w:pPr>
        <w:ind w:left="851" w:hanging="851"/>
        <w:rPr>
          <w:sz w:val="24"/>
          <w:szCs w:val="24"/>
        </w:rPr>
      </w:pPr>
    </w:p>
    <w:p w:rsidR="00182245" w:rsidRPr="009C3E06" w:rsidRDefault="00182245" w:rsidP="00182245">
      <w:pPr>
        <w:ind w:left="851"/>
        <w:rPr>
          <w:sz w:val="24"/>
          <w:szCs w:val="24"/>
        </w:rPr>
      </w:pPr>
      <w:r w:rsidRPr="009C3E06">
        <w:rPr>
          <w:sz w:val="24"/>
          <w:szCs w:val="24"/>
        </w:rPr>
        <w:t xml:space="preserve">Under behandling med sekretionshæmmende lægemidler stiger indholdet af gastrin i serum som reaktion på den nedsatte syresekretion. Også indholdet af </w:t>
      </w:r>
      <w:proofErr w:type="spellStart"/>
      <w:r w:rsidRPr="009C3E06">
        <w:rPr>
          <w:sz w:val="24"/>
          <w:szCs w:val="24"/>
        </w:rPr>
        <w:t>CgA</w:t>
      </w:r>
      <w:proofErr w:type="spellEnd"/>
      <w:r w:rsidRPr="009C3E06">
        <w:rPr>
          <w:sz w:val="24"/>
          <w:szCs w:val="24"/>
        </w:rPr>
        <w:t xml:space="preserve"> stiger på grund af den nedsatte gastriske </w:t>
      </w:r>
      <w:proofErr w:type="spellStart"/>
      <w:r w:rsidRPr="009C3E06">
        <w:rPr>
          <w:sz w:val="24"/>
          <w:szCs w:val="24"/>
        </w:rPr>
        <w:t>aciditet</w:t>
      </w:r>
      <w:proofErr w:type="spellEnd"/>
      <w:r w:rsidRPr="009C3E06">
        <w:rPr>
          <w:sz w:val="24"/>
          <w:szCs w:val="24"/>
        </w:rPr>
        <w:t xml:space="preserve">. Det forhøjede indhold af </w:t>
      </w:r>
      <w:proofErr w:type="spellStart"/>
      <w:r w:rsidRPr="009C3E06">
        <w:rPr>
          <w:sz w:val="24"/>
          <w:szCs w:val="24"/>
        </w:rPr>
        <w:t>CgA</w:t>
      </w:r>
      <w:proofErr w:type="spellEnd"/>
      <w:r w:rsidRPr="009C3E06">
        <w:rPr>
          <w:sz w:val="24"/>
          <w:szCs w:val="24"/>
        </w:rPr>
        <w:t xml:space="preserve"> kan interferere med undersøgelser for </w:t>
      </w:r>
      <w:proofErr w:type="spellStart"/>
      <w:r w:rsidRPr="009C3E06">
        <w:rPr>
          <w:sz w:val="24"/>
          <w:szCs w:val="24"/>
        </w:rPr>
        <w:t>neuroendokrine</w:t>
      </w:r>
      <w:proofErr w:type="spellEnd"/>
      <w:r w:rsidRPr="009C3E06">
        <w:rPr>
          <w:sz w:val="24"/>
          <w:szCs w:val="24"/>
        </w:rPr>
        <w:t xml:space="preserve"> tumorer.</w:t>
      </w:r>
    </w:p>
    <w:p w:rsidR="00182245" w:rsidRPr="009C3E06" w:rsidRDefault="00182245" w:rsidP="00182245">
      <w:pPr>
        <w:ind w:left="851"/>
        <w:rPr>
          <w:sz w:val="24"/>
          <w:szCs w:val="24"/>
        </w:rPr>
      </w:pPr>
      <w:r w:rsidRPr="009C3E06">
        <w:rPr>
          <w:sz w:val="24"/>
          <w:szCs w:val="24"/>
        </w:rPr>
        <w:t xml:space="preserve">Den foreliggende publicerede dokumentation antyder, at </w:t>
      </w:r>
      <w:proofErr w:type="spellStart"/>
      <w:r w:rsidRPr="009C3E06">
        <w:rPr>
          <w:sz w:val="24"/>
          <w:szCs w:val="24"/>
        </w:rPr>
        <w:t>protonpumpehæmmere</w:t>
      </w:r>
      <w:proofErr w:type="spellEnd"/>
      <w:r w:rsidRPr="009C3E06">
        <w:rPr>
          <w:sz w:val="24"/>
          <w:szCs w:val="24"/>
        </w:rPr>
        <w:t xml:space="preserve"> bør seponeres mellem 5 dage og 2 uger før måling af </w:t>
      </w:r>
      <w:proofErr w:type="spellStart"/>
      <w:r w:rsidRPr="009C3E06">
        <w:rPr>
          <w:sz w:val="24"/>
          <w:szCs w:val="24"/>
        </w:rPr>
        <w:t>CgA</w:t>
      </w:r>
      <w:proofErr w:type="spellEnd"/>
      <w:r w:rsidRPr="009C3E06">
        <w:rPr>
          <w:sz w:val="24"/>
          <w:szCs w:val="24"/>
        </w:rPr>
        <w:t xml:space="preserve">. Dette er for at eventuelle falskt forhøjede værdier af </w:t>
      </w:r>
      <w:proofErr w:type="spellStart"/>
      <w:r w:rsidRPr="009C3E06">
        <w:rPr>
          <w:sz w:val="24"/>
          <w:szCs w:val="24"/>
        </w:rPr>
        <w:t>CgA</w:t>
      </w:r>
      <w:proofErr w:type="spellEnd"/>
      <w:r w:rsidRPr="009C3E06">
        <w:rPr>
          <w:sz w:val="24"/>
          <w:szCs w:val="24"/>
        </w:rPr>
        <w:t xml:space="preserve"> i forbindelse med behandling med </w:t>
      </w:r>
      <w:proofErr w:type="spellStart"/>
      <w:r w:rsidRPr="009C3E06">
        <w:rPr>
          <w:sz w:val="24"/>
          <w:szCs w:val="24"/>
        </w:rPr>
        <w:t>protonpumpehæmmere</w:t>
      </w:r>
      <w:proofErr w:type="spellEnd"/>
      <w:r w:rsidRPr="009C3E06">
        <w:rPr>
          <w:sz w:val="24"/>
          <w:szCs w:val="24"/>
        </w:rPr>
        <w:t xml:space="preserve"> kan vende tilbage til referenceområdet.</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5.2</w:t>
      </w:r>
      <w:r w:rsidRPr="009C3E06">
        <w:rPr>
          <w:b/>
          <w:sz w:val="24"/>
          <w:szCs w:val="24"/>
        </w:rPr>
        <w:tab/>
      </w:r>
      <w:proofErr w:type="spellStart"/>
      <w:r w:rsidRPr="009C3E06">
        <w:rPr>
          <w:b/>
          <w:sz w:val="24"/>
          <w:szCs w:val="24"/>
        </w:rPr>
        <w:t>Farmakokinetiske</w:t>
      </w:r>
      <w:proofErr w:type="spellEnd"/>
      <w:r w:rsidRPr="009C3E06">
        <w:rPr>
          <w:b/>
          <w:sz w:val="24"/>
          <w:szCs w:val="24"/>
        </w:rPr>
        <w:t xml:space="preserve"> egenskaber</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Lansoprazol</w:t>
      </w:r>
      <w:proofErr w:type="spellEnd"/>
      <w:r w:rsidRPr="009C3E06">
        <w:rPr>
          <w:sz w:val="24"/>
          <w:szCs w:val="24"/>
        </w:rPr>
        <w:t xml:space="preserve"> er et </w:t>
      </w:r>
      <w:proofErr w:type="spellStart"/>
      <w:r w:rsidRPr="009C3E06">
        <w:rPr>
          <w:sz w:val="24"/>
          <w:szCs w:val="24"/>
        </w:rPr>
        <w:t>racemat</w:t>
      </w:r>
      <w:proofErr w:type="spellEnd"/>
      <w:r w:rsidRPr="009C3E06">
        <w:rPr>
          <w:sz w:val="24"/>
          <w:szCs w:val="24"/>
        </w:rPr>
        <w:t xml:space="preserve"> af to aktive </w:t>
      </w:r>
      <w:proofErr w:type="spellStart"/>
      <w:r w:rsidRPr="009C3E06">
        <w:rPr>
          <w:sz w:val="24"/>
          <w:szCs w:val="24"/>
        </w:rPr>
        <w:t>enantiomerer</w:t>
      </w:r>
      <w:proofErr w:type="spellEnd"/>
      <w:r w:rsidRPr="009C3E06">
        <w:rPr>
          <w:sz w:val="24"/>
          <w:szCs w:val="24"/>
        </w:rPr>
        <w:t xml:space="preserve">, der biotransformeres til den aktive form i </w:t>
      </w:r>
      <w:proofErr w:type="spellStart"/>
      <w:r w:rsidRPr="009C3E06">
        <w:rPr>
          <w:sz w:val="24"/>
          <w:szCs w:val="24"/>
        </w:rPr>
        <w:t>parietalcellernes</w:t>
      </w:r>
      <w:proofErr w:type="spellEnd"/>
      <w:r w:rsidRPr="009C3E06">
        <w:rPr>
          <w:sz w:val="24"/>
          <w:szCs w:val="24"/>
        </w:rPr>
        <w:t xml:space="preserve"> sure miljø. Eftersom </w:t>
      </w:r>
      <w:proofErr w:type="spellStart"/>
      <w:r w:rsidRPr="009C3E06">
        <w:rPr>
          <w:sz w:val="24"/>
          <w:szCs w:val="24"/>
        </w:rPr>
        <w:t>lansoprazol</w:t>
      </w:r>
      <w:proofErr w:type="spellEnd"/>
      <w:r w:rsidRPr="009C3E06">
        <w:rPr>
          <w:sz w:val="24"/>
          <w:szCs w:val="24"/>
        </w:rPr>
        <w:t xml:space="preserve"> hurtigt inaktiveres af mavesyre, administreres det oralt som </w:t>
      </w:r>
      <w:proofErr w:type="spellStart"/>
      <w:r w:rsidRPr="009C3E06">
        <w:rPr>
          <w:sz w:val="24"/>
          <w:szCs w:val="24"/>
        </w:rPr>
        <w:t>enterogranulat</w:t>
      </w:r>
      <w:proofErr w:type="spellEnd"/>
      <w:r w:rsidRPr="009C3E06">
        <w:rPr>
          <w:sz w:val="24"/>
          <w:szCs w:val="24"/>
        </w:rPr>
        <w:t xml:space="preserve"> for at opnå systemisk absorption.</w:t>
      </w:r>
    </w:p>
    <w:p w:rsidR="00182245" w:rsidRPr="009C3E06" w:rsidRDefault="00182245" w:rsidP="00182245">
      <w:pPr>
        <w:ind w:left="851" w:hanging="851"/>
        <w:rPr>
          <w:sz w:val="24"/>
          <w:szCs w:val="24"/>
        </w:rPr>
      </w:pPr>
    </w:p>
    <w:p w:rsidR="00182245" w:rsidRPr="009C3E06" w:rsidRDefault="00182245" w:rsidP="00182245">
      <w:pPr>
        <w:ind w:left="851"/>
        <w:rPr>
          <w:sz w:val="24"/>
          <w:szCs w:val="24"/>
          <w:u w:val="single"/>
        </w:rPr>
      </w:pPr>
      <w:r w:rsidRPr="009C3E06">
        <w:rPr>
          <w:sz w:val="24"/>
          <w:szCs w:val="24"/>
          <w:u w:val="single"/>
        </w:rPr>
        <w:t>Absorption og fordeling</w:t>
      </w:r>
    </w:p>
    <w:p w:rsidR="00182245" w:rsidRPr="009C3E06" w:rsidRDefault="00182245" w:rsidP="00182245">
      <w:pPr>
        <w:ind w:left="851"/>
        <w:rPr>
          <w:sz w:val="24"/>
          <w:szCs w:val="24"/>
        </w:rPr>
      </w:pPr>
      <w:proofErr w:type="spellStart"/>
      <w:r w:rsidRPr="009C3E06">
        <w:rPr>
          <w:sz w:val="24"/>
          <w:szCs w:val="24"/>
        </w:rPr>
        <w:t>Lansoprazol</w:t>
      </w:r>
      <w:proofErr w:type="spellEnd"/>
      <w:r w:rsidRPr="009C3E06">
        <w:rPr>
          <w:sz w:val="24"/>
          <w:szCs w:val="24"/>
        </w:rPr>
        <w:t xml:space="preserve"> udviser høj (80-90 %) biotilgængelighed med en enkelt dosis. Maksimale plasmakoncentrationer opnås i løbet af 1,5 til 2,0 timer. Indtagelse af føde sænker </w:t>
      </w:r>
      <w:proofErr w:type="spellStart"/>
      <w:r w:rsidRPr="009C3E06">
        <w:rPr>
          <w:sz w:val="24"/>
          <w:szCs w:val="24"/>
        </w:rPr>
        <w:t>lansoprazols</w:t>
      </w:r>
      <w:proofErr w:type="spellEnd"/>
      <w:r w:rsidRPr="009C3E06">
        <w:rPr>
          <w:sz w:val="24"/>
          <w:szCs w:val="24"/>
        </w:rPr>
        <w:t xml:space="preserve"> absorptionshastighed og reducerer dets biotilgængelighed med cirka 50 %. Plasmaproteinbindingen er 97 %. </w:t>
      </w:r>
    </w:p>
    <w:p w:rsidR="00182245" w:rsidRPr="009C3E06" w:rsidRDefault="00182245" w:rsidP="00182245">
      <w:pPr>
        <w:ind w:left="851" w:hanging="851"/>
        <w:rPr>
          <w:sz w:val="24"/>
          <w:szCs w:val="24"/>
        </w:rPr>
      </w:pPr>
    </w:p>
    <w:p w:rsidR="00DC2C3B" w:rsidRPr="009C3E06" w:rsidRDefault="00DC2C3B" w:rsidP="00DC2C3B">
      <w:pPr>
        <w:ind w:left="851"/>
        <w:rPr>
          <w:sz w:val="24"/>
          <w:szCs w:val="24"/>
        </w:rPr>
      </w:pPr>
      <w:r w:rsidRPr="009C3E06">
        <w:rPr>
          <w:sz w:val="24"/>
          <w:szCs w:val="24"/>
        </w:rPr>
        <w:lastRenderedPageBreak/>
        <w:t xml:space="preserve">Studier har vist, at granulater fra åbnede kapsler har samme biotilgængelighed som den intakte kapsel, hvis granulaterne blandes med en lille mængde appelsinjuice, æblejuice eller tomatjuice, der er blandet med en skefuld æble- eller pæremos eller strøs over en spiseskefuld yoghurt, budding eller hytteost. Samme </w:t>
      </w:r>
      <w:r>
        <w:rPr>
          <w:sz w:val="24"/>
          <w:szCs w:val="24"/>
        </w:rPr>
        <w:t>AUC</w:t>
      </w:r>
      <w:r w:rsidRPr="009C3E06">
        <w:rPr>
          <w:sz w:val="24"/>
          <w:szCs w:val="24"/>
        </w:rPr>
        <w:t xml:space="preserve"> er også påvist for granulater, der er blandet med æblejuice og administreret via en </w:t>
      </w:r>
      <w:proofErr w:type="spellStart"/>
      <w:r w:rsidRPr="009C3E06">
        <w:rPr>
          <w:sz w:val="24"/>
          <w:szCs w:val="24"/>
        </w:rPr>
        <w:t>nasogastrisk</w:t>
      </w:r>
      <w:proofErr w:type="spellEnd"/>
      <w:r w:rsidRPr="009C3E06">
        <w:rPr>
          <w:sz w:val="24"/>
          <w:szCs w:val="24"/>
        </w:rPr>
        <w:t xml:space="preserve"> sonde.</w:t>
      </w:r>
    </w:p>
    <w:p w:rsidR="00182245" w:rsidRPr="009C3E06" w:rsidRDefault="00182245" w:rsidP="00182245">
      <w:pPr>
        <w:ind w:left="851" w:hanging="851"/>
        <w:rPr>
          <w:sz w:val="24"/>
          <w:szCs w:val="24"/>
        </w:rPr>
      </w:pPr>
    </w:p>
    <w:p w:rsidR="00DC2C3B" w:rsidRPr="009C3E06" w:rsidRDefault="00DC2C3B" w:rsidP="00DC2C3B">
      <w:pPr>
        <w:ind w:left="851"/>
        <w:rPr>
          <w:sz w:val="24"/>
          <w:szCs w:val="24"/>
          <w:u w:val="single"/>
        </w:rPr>
      </w:pPr>
      <w:r w:rsidRPr="009C3E06">
        <w:rPr>
          <w:sz w:val="24"/>
          <w:szCs w:val="24"/>
          <w:u w:val="single"/>
        </w:rPr>
        <w:t>Biotransformation og elimination</w:t>
      </w:r>
    </w:p>
    <w:p w:rsidR="00DC2C3B" w:rsidRPr="009C3E06" w:rsidRDefault="00DC2C3B" w:rsidP="00DC2C3B">
      <w:pPr>
        <w:ind w:left="851"/>
        <w:rPr>
          <w:sz w:val="24"/>
          <w:szCs w:val="24"/>
        </w:rPr>
      </w:pPr>
      <w:proofErr w:type="spellStart"/>
      <w:r w:rsidRPr="009C3E06">
        <w:rPr>
          <w:sz w:val="24"/>
          <w:szCs w:val="24"/>
        </w:rPr>
        <w:t>Lansoprazol</w:t>
      </w:r>
      <w:proofErr w:type="spellEnd"/>
      <w:r w:rsidRPr="009C3E06">
        <w:rPr>
          <w:sz w:val="24"/>
          <w:szCs w:val="24"/>
        </w:rPr>
        <w:t xml:space="preserve"> </w:t>
      </w:r>
      <w:proofErr w:type="spellStart"/>
      <w:r w:rsidRPr="009C3E06">
        <w:rPr>
          <w:sz w:val="24"/>
          <w:szCs w:val="24"/>
        </w:rPr>
        <w:t>metaboliseres</w:t>
      </w:r>
      <w:proofErr w:type="spellEnd"/>
      <w:r w:rsidRPr="009C3E06">
        <w:rPr>
          <w:sz w:val="24"/>
          <w:szCs w:val="24"/>
        </w:rPr>
        <w:t xml:space="preserve"> i vid udstrækning af leveren, og metabolitterne udskilles både via nyrerne og galdevejene. </w:t>
      </w:r>
      <w:proofErr w:type="spellStart"/>
      <w:r w:rsidRPr="009C3E06">
        <w:rPr>
          <w:sz w:val="24"/>
          <w:szCs w:val="24"/>
        </w:rPr>
        <w:t>Lansoprazols</w:t>
      </w:r>
      <w:proofErr w:type="spellEnd"/>
      <w:r w:rsidRPr="009C3E06">
        <w:rPr>
          <w:sz w:val="24"/>
          <w:szCs w:val="24"/>
        </w:rPr>
        <w:t xml:space="preserve"> biotransformation katalyseres hovedsageligt af enzymet CYP2C19. Enzymet CYP3A4 bidrager også til biotransformationen. Eliminationshalveringstiden i plasma ligger mellem 1 til 2 timer hos raske personer efter administration af enk</w:t>
      </w:r>
      <w:r>
        <w:rPr>
          <w:sz w:val="24"/>
          <w:szCs w:val="24"/>
        </w:rPr>
        <w:t>elte</w:t>
      </w:r>
      <w:r w:rsidRPr="009C3E06">
        <w:rPr>
          <w:sz w:val="24"/>
          <w:szCs w:val="24"/>
        </w:rPr>
        <w:t xml:space="preserve"> eller multiple doser. Der er ikke tegn på akkumulering efter multiple doser administreret til raske personer. </w:t>
      </w:r>
      <w:proofErr w:type="spellStart"/>
      <w:r w:rsidRPr="009C3E06">
        <w:rPr>
          <w:sz w:val="24"/>
          <w:szCs w:val="24"/>
        </w:rPr>
        <w:t>Sulfon</w:t>
      </w:r>
      <w:proofErr w:type="spellEnd"/>
      <w:r w:rsidRPr="009C3E06">
        <w:rPr>
          <w:sz w:val="24"/>
          <w:szCs w:val="24"/>
        </w:rPr>
        <w:t xml:space="preserve">-, sulfid- og 5-hydroxylderivater af </w:t>
      </w:r>
      <w:proofErr w:type="spellStart"/>
      <w:r w:rsidRPr="009C3E06">
        <w:rPr>
          <w:sz w:val="24"/>
          <w:szCs w:val="24"/>
        </w:rPr>
        <w:t>lansoprazol</w:t>
      </w:r>
      <w:proofErr w:type="spellEnd"/>
      <w:r w:rsidRPr="009C3E06">
        <w:rPr>
          <w:sz w:val="24"/>
          <w:szCs w:val="24"/>
        </w:rPr>
        <w:t xml:space="preserve"> er blevet fundet i plasma. Disse metabolitter har en meget lille eller ingen </w:t>
      </w:r>
      <w:proofErr w:type="spellStart"/>
      <w:r w:rsidRPr="009C3E06">
        <w:rPr>
          <w:sz w:val="24"/>
          <w:szCs w:val="24"/>
        </w:rPr>
        <w:t>antisekrerende</w:t>
      </w:r>
      <w:proofErr w:type="spellEnd"/>
      <w:r w:rsidRPr="009C3E06">
        <w:rPr>
          <w:sz w:val="24"/>
          <w:szCs w:val="24"/>
        </w:rPr>
        <w:t xml:space="preserve"> effekt. </w:t>
      </w:r>
    </w:p>
    <w:p w:rsidR="00182245" w:rsidRPr="009C3E06" w:rsidRDefault="00182245" w:rsidP="00182245">
      <w:pPr>
        <w:ind w:left="851" w:hanging="851"/>
        <w:rPr>
          <w:sz w:val="24"/>
          <w:szCs w:val="24"/>
        </w:rPr>
      </w:pPr>
    </w:p>
    <w:p w:rsidR="00182245" w:rsidRPr="009C3E06" w:rsidRDefault="00182245" w:rsidP="00182245">
      <w:pPr>
        <w:ind w:left="851"/>
        <w:rPr>
          <w:sz w:val="24"/>
          <w:szCs w:val="24"/>
        </w:rPr>
      </w:pPr>
      <w:r w:rsidRPr="009C3E06">
        <w:rPr>
          <w:sz w:val="24"/>
          <w:szCs w:val="24"/>
        </w:rPr>
        <w:t xml:space="preserve">Et </w:t>
      </w:r>
      <w:r w:rsidR="00E90930" w:rsidRPr="009C3E06">
        <w:rPr>
          <w:sz w:val="24"/>
          <w:szCs w:val="24"/>
        </w:rPr>
        <w:t>studie</w:t>
      </w:r>
      <w:r w:rsidRPr="009C3E06">
        <w:rPr>
          <w:sz w:val="24"/>
          <w:szCs w:val="24"/>
        </w:rPr>
        <w:t xml:space="preserve"> med </w:t>
      </w:r>
      <w:r w:rsidRPr="009C3E06">
        <w:rPr>
          <w:sz w:val="24"/>
          <w:szCs w:val="24"/>
          <w:vertAlign w:val="superscript"/>
        </w:rPr>
        <w:t>14</w:t>
      </w:r>
      <w:r w:rsidRPr="009C3E06">
        <w:rPr>
          <w:sz w:val="24"/>
          <w:szCs w:val="24"/>
        </w:rPr>
        <w:t xml:space="preserve">C-mærket </w:t>
      </w:r>
      <w:proofErr w:type="spellStart"/>
      <w:r w:rsidRPr="009C3E06">
        <w:rPr>
          <w:sz w:val="24"/>
          <w:szCs w:val="24"/>
        </w:rPr>
        <w:t>lansoprazol</w:t>
      </w:r>
      <w:proofErr w:type="spellEnd"/>
      <w:r w:rsidRPr="009C3E06">
        <w:rPr>
          <w:sz w:val="24"/>
          <w:szCs w:val="24"/>
        </w:rPr>
        <w:t xml:space="preserve"> indikerede, at cirka en tredjedel af den administrerede strålebehandling blev udskilt i urinen, og to tredjedele blev fundet i fæces.</w:t>
      </w:r>
    </w:p>
    <w:p w:rsidR="00182245" w:rsidRPr="009C3E06" w:rsidRDefault="00182245" w:rsidP="00182245">
      <w:pPr>
        <w:rPr>
          <w:sz w:val="24"/>
          <w:szCs w:val="24"/>
        </w:rPr>
      </w:pPr>
    </w:p>
    <w:p w:rsidR="00182245" w:rsidRPr="009C3E06" w:rsidRDefault="00182245" w:rsidP="00182245">
      <w:pPr>
        <w:ind w:firstLine="851"/>
        <w:rPr>
          <w:sz w:val="24"/>
          <w:szCs w:val="24"/>
          <w:u w:val="single"/>
        </w:rPr>
      </w:pPr>
      <w:r w:rsidRPr="009C3E06">
        <w:rPr>
          <w:sz w:val="24"/>
          <w:szCs w:val="24"/>
          <w:u w:val="single"/>
        </w:rPr>
        <w:t>Farmakokinetik hos ældre patienter</w:t>
      </w:r>
    </w:p>
    <w:p w:rsidR="00182245" w:rsidRPr="009C3E06" w:rsidRDefault="00182245" w:rsidP="00182245">
      <w:pPr>
        <w:ind w:left="851"/>
        <w:rPr>
          <w:sz w:val="24"/>
          <w:szCs w:val="24"/>
        </w:rPr>
      </w:pPr>
      <w:proofErr w:type="spellStart"/>
      <w:r w:rsidRPr="009C3E06">
        <w:rPr>
          <w:sz w:val="24"/>
          <w:szCs w:val="24"/>
        </w:rPr>
        <w:t>Lansoprazols</w:t>
      </w:r>
      <w:proofErr w:type="spellEnd"/>
      <w:r w:rsidRPr="009C3E06">
        <w:rPr>
          <w:sz w:val="24"/>
          <w:szCs w:val="24"/>
        </w:rPr>
        <w:t xml:space="preserve"> </w:t>
      </w:r>
      <w:proofErr w:type="spellStart"/>
      <w:r w:rsidRPr="009C3E06">
        <w:rPr>
          <w:sz w:val="24"/>
          <w:szCs w:val="24"/>
        </w:rPr>
        <w:t>clearance</w:t>
      </w:r>
      <w:proofErr w:type="spellEnd"/>
      <w:r w:rsidRPr="009C3E06">
        <w:rPr>
          <w:sz w:val="24"/>
          <w:szCs w:val="24"/>
        </w:rPr>
        <w:t xml:space="preserve"> reduceres hos ældre patienter med en øget eliminationshalveringstid på cirka 50 % til 100 %. De maksimale plasmakoncentrationer steg ikke hos ældre patienter.</w:t>
      </w:r>
    </w:p>
    <w:p w:rsidR="00182245" w:rsidRPr="009C3E06" w:rsidRDefault="00182245" w:rsidP="00182245">
      <w:pPr>
        <w:ind w:left="851" w:hanging="851"/>
        <w:rPr>
          <w:sz w:val="24"/>
          <w:szCs w:val="24"/>
        </w:rPr>
      </w:pPr>
    </w:p>
    <w:p w:rsidR="00DC2C3B" w:rsidRPr="009C3E06" w:rsidRDefault="00DC2C3B" w:rsidP="00DC2C3B">
      <w:pPr>
        <w:ind w:left="851"/>
        <w:rPr>
          <w:sz w:val="24"/>
          <w:szCs w:val="24"/>
          <w:u w:val="single"/>
        </w:rPr>
      </w:pPr>
      <w:r w:rsidRPr="009C3E06">
        <w:rPr>
          <w:sz w:val="24"/>
          <w:szCs w:val="24"/>
          <w:u w:val="single"/>
        </w:rPr>
        <w:t>Farmakokinetik hos pædiatriske patienter</w:t>
      </w:r>
    </w:p>
    <w:p w:rsidR="00DC2C3B" w:rsidRPr="009C3E06" w:rsidRDefault="00DC2C3B" w:rsidP="00DC2C3B">
      <w:pPr>
        <w:ind w:left="851"/>
        <w:rPr>
          <w:sz w:val="24"/>
          <w:szCs w:val="24"/>
        </w:rPr>
      </w:pPr>
      <w:r w:rsidRPr="009C3E06">
        <w:rPr>
          <w:sz w:val="24"/>
          <w:szCs w:val="24"/>
        </w:rPr>
        <w:t>Evalueringen af farmakokinetikken hos børn i alderen 1-17 år viste en lignende eksponering sammenlignet med voksne, når der blev givet doser på 15 mg til personer, som vejede under 30 kg, og 30 mg til personer over 30 kg. Undersøgelsen af en dosis på 17 mg/m</w:t>
      </w:r>
      <w:r w:rsidRPr="009C3E06">
        <w:rPr>
          <w:sz w:val="24"/>
          <w:szCs w:val="24"/>
          <w:vertAlign w:val="superscript"/>
        </w:rPr>
        <w:t>2</w:t>
      </w:r>
      <w:r w:rsidRPr="009C3E06">
        <w:rPr>
          <w:sz w:val="24"/>
          <w:szCs w:val="24"/>
        </w:rPr>
        <w:t xml:space="preserve"> legemsoverflade eller 1 mg/kg legemsvægt viste også en lignende eksponering for </w:t>
      </w:r>
      <w:proofErr w:type="spellStart"/>
      <w:r w:rsidRPr="009C3E06">
        <w:rPr>
          <w:sz w:val="24"/>
          <w:szCs w:val="24"/>
        </w:rPr>
        <w:t>lansoprazol</w:t>
      </w:r>
      <w:proofErr w:type="spellEnd"/>
      <w:r w:rsidRPr="009C3E06">
        <w:rPr>
          <w:sz w:val="24"/>
          <w:szCs w:val="24"/>
        </w:rPr>
        <w:t xml:space="preserve"> hos børn i alderen </w:t>
      </w:r>
      <w:r>
        <w:rPr>
          <w:sz w:val="24"/>
          <w:szCs w:val="24"/>
        </w:rPr>
        <w:t xml:space="preserve">fra </w:t>
      </w:r>
      <w:r w:rsidRPr="009C3E06">
        <w:rPr>
          <w:sz w:val="24"/>
          <w:szCs w:val="24"/>
        </w:rPr>
        <w:t xml:space="preserve">2-3 måneder </w:t>
      </w:r>
      <w:r>
        <w:rPr>
          <w:sz w:val="24"/>
          <w:szCs w:val="24"/>
        </w:rPr>
        <w:t xml:space="preserve">og </w:t>
      </w:r>
      <w:r w:rsidRPr="009C3E06">
        <w:rPr>
          <w:sz w:val="24"/>
          <w:szCs w:val="24"/>
        </w:rPr>
        <w:t>op til 1 år sammenlignet med voksne.</w:t>
      </w:r>
    </w:p>
    <w:p w:rsidR="00182245" w:rsidRPr="009C3E06" w:rsidRDefault="00182245" w:rsidP="00182245">
      <w:pPr>
        <w:ind w:left="851" w:hanging="851"/>
        <w:rPr>
          <w:sz w:val="24"/>
          <w:szCs w:val="24"/>
        </w:rPr>
      </w:pPr>
    </w:p>
    <w:p w:rsidR="00182245" w:rsidRPr="009C3E06" w:rsidRDefault="00182245" w:rsidP="00182245">
      <w:pPr>
        <w:ind w:left="851"/>
        <w:rPr>
          <w:sz w:val="24"/>
          <w:szCs w:val="24"/>
        </w:rPr>
      </w:pPr>
      <w:r w:rsidRPr="009C3E06">
        <w:rPr>
          <w:sz w:val="24"/>
          <w:szCs w:val="24"/>
        </w:rPr>
        <w:t xml:space="preserve">Højere eksponering for </w:t>
      </w:r>
      <w:proofErr w:type="spellStart"/>
      <w:r w:rsidRPr="009C3E06">
        <w:rPr>
          <w:sz w:val="24"/>
          <w:szCs w:val="24"/>
        </w:rPr>
        <w:t>lansoprazol</w:t>
      </w:r>
      <w:proofErr w:type="spellEnd"/>
      <w:r w:rsidRPr="009C3E06">
        <w:rPr>
          <w:sz w:val="24"/>
          <w:szCs w:val="24"/>
        </w:rPr>
        <w:t xml:space="preserve"> sammenlignet med voksne er blevet set hos spædbørn yngre end 2-3 måneder med doser på både 1,0 mg/kg og 0,5 mg/kg legemsvægt administreret som en enkelt dosis.</w:t>
      </w:r>
    </w:p>
    <w:p w:rsidR="00182245" w:rsidRPr="009C3E06" w:rsidRDefault="00182245" w:rsidP="00182245">
      <w:pPr>
        <w:ind w:left="851" w:hanging="851"/>
        <w:rPr>
          <w:sz w:val="24"/>
          <w:szCs w:val="24"/>
          <w:u w:val="single"/>
        </w:rPr>
      </w:pPr>
    </w:p>
    <w:p w:rsidR="00182245" w:rsidRPr="009C3E06" w:rsidRDefault="00182245" w:rsidP="00182245">
      <w:pPr>
        <w:ind w:left="851"/>
        <w:rPr>
          <w:sz w:val="24"/>
          <w:szCs w:val="24"/>
          <w:u w:val="single"/>
        </w:rPr>
      </w:pPr>
      <w:r w:rsidRPr="009C3E06">
        <w:rPr>
          <w:sz w:val="24"/>
          <w:szCs w:val="24"/>
          <w:u w:val="single"/>
        </w:rPr>
        <w:t>Farmakokinetik ved nedsat leverfunktion</w:t>
      </w:r>
    </w:p>
    <w:p w:rsidR="00182245" w:rsidRPr="009C3E06" w:rsidRDefault="00182245" w:rsidP="00182245">
      <w:pPr>
        <w:ind w:left="851"/>
        <w:rPr>
          <w:sz w:val="24"/>
          <w:szCs w:val="24"/>
        </w:rPr>
      </w:pPr>
      <w:r w:rsidRPr="009C3E06">
        <w:rPr>
          <w:sz w:val="24"/>
          <w:szCs w:val="24"/>
        </w:rPr>
        <w:t xml:space="preserve">Eksponeringen for </w:t>
      </w:r>
      <w:proofErr w:type="spellStart"/>
      <w:r w:rsidRPr="009C3E06">
        <w:rPr>
          <w:sz w:val="24"/>
          <w:szCs w:val="24"/>
        </w:rPr>
        <w:t>lansoprazol</w:t>
      </w:r>
      <w:proofErr w:type="spellEnd"/>
      <w:r w:rsidRPr="009C3E06">
        <w:rPr>
          <w:sz w:val="24"/>
          <w:szCs w:val="24"/>
        </w:rPr>
        <w:t xml:space="preserve"> fordobles hos patienter med let nedsat leverfunktion og øges langt mere hos patienter med moderat og svært nedsat leverfunktion.</w:t>
      </w:r>
    </w:p>
    <w:p w:rsidR="00182245" w:rsidRPr="009C3E06" w:rsidRDefault="00182245" w:rsidP="00182245">
      <w:pPr>
        <w:ind w:left="851" w:hanging="851"/>
        <w:rPr>
          <w:sz w:val="24"/>
          <w:szCs w:val="24"/>
          <w:u w:val="single"/>
        </w:rPr>
      </w:pPr>
    </w:p>
    <w:p w:rsidR="00182245" w:rsidRPr="009C3E06" w:rsidRDefault="00182245" w:rsidP="00182245">
      <w:pPr>
        <w:ind w:left="851"/>
        <w:rPr>
          <w:sz w:val="24"/>
          <w:szCs w:val="24"/>
          <w:u w:val="single"/>
        </w:rPr>
      </w:pPr>
      <w:r w:rsidRPr="009C3E06">
        <w:rPr>
          <w:sz w:val="24"/>
          <w:szCs w:val="24"/>
          <w:u w:val="single"/>
        </w:rPr>
        <w:t>Personer med nedsat CYP2C19-metabolisme</w:t>
      </w:r>
    </w:p>
    <w:p w:rsidR="00182245" w:rsidRPr="009C3E06" w:rsidRDefault="00182245" w:rsidP="00182245">
      <w:pPr>
        <w:ind w:left="851"/>
        <w:rPr>
          <w:sz w:val="24"/>
          <w:szCs w:val="24"/>
        </w:rPr>
      </w:pPr>
      <w:r w:rsidRPr="009C3E06">
        <w:rPr>
          <w:sz w:val="24"/>
          <w:szCs w:val="24"/>
        </w:rPr>
        <w:t xml:space="preserve">CYP2C19 er genstand for genetisk </w:t>
      </w:r>
      <w:proofErr w:type="spellStart"/>
      <w:r w:rsidRPr="009C3E06">
        <w:rPr>
          <w:sz w:val="24"/>
          <w:szCs w:val="24"/>
        </w:rPr>
        <w:t>polymorfi</w:t>
      </w:r>
      <w:proofErr w:type="spellEnd"/>
      <w:r w:rsidRPr="009C3E06">
        <w:rPr>
          <w:sz w:val="24"/>
          <w:szCs w:val="24"/>
        </w:rPr>
        <w:t xml:space="preserve">, og 2-6 % af befolkningen, der har en ringe </w:t>
      </w:r>
      <w:proofErr w:type="spellStart"/>
      <w:r w:rsidRPr="009C3E06">
        <w:rPr>
          <w:sz w:val="24"/>
          <w:szCs w:val="24"/>
        </w:rPr>
        <w:t>metaboliseringsevne</w:t>
      </w:r>
      <w:proofErr w:type="spellEnd"/>
      <w:r w:rsidRPr="009C3E06">
        <w:rPr>
          <w:sz w:val="24"/>
          <w:szCs w:val="24"/>
        </w:rPr>
        <w:t xml:space="preserve">, er homozygoter for en mutant CYP2C19-allel og mangler derfor et funktionelt CYP2C19-enzym. Eksponeringen for </w:t>
      </w:r>
      <w:proofErr w:type="spellStart"/>
      <w:r w:rsidRPr="009C3E06">
        <w:rPr>
          <w:sz w:val="24"/>
          <w:szCs w:val="24"/>
        </w:rPr>
        <w:t>lansoprazol</w:t>
      </w:r>
      <w:proofErr w:type="spellEnd"/>
      <w:r w:rsidRPr="009C3E06">
        <w:rPr>
          <w:sz w:val="24"/>
          <w:szCs w:val="24"/>
        </w:rPr>
        <w:t xml:space="preserve"> er flere gange højere hos personer, der har en ringe </w:t>
      </w:r>
      <w:proofErr w:type="spellStart"/>
      <w:r w:rsidRPr="009C3E06">
        <w:rPr>
          <w:sz w:val="24"/>
          <w:szCs w:val="24"/>
        </w:rPr>
        <w:t>metaboliseringsevne</w:t>
      </w:r>
      <w:proofErr w:type="spellEnd"/>
      <w:r w:rsidRPr="009C3E06">
        <w:rPr>
          <w:sz w:val="24"/>
          <w:szCs w:val="24"/>
        </w:rPr>
        <w:t xml:space="preserve">, end hos personer, som har en god </w:t>
      </w:r>
      <w:proofErr w:type="spellStart"/>
      <w:r w:rsidRPr="009C3E06">
        <w:rPr>
          <w:sz w:val="24"/>
          <w:szCs w:val="24"/>
        </w:rPr>
        <w:t>metaboliseringsevne</w:t>
      </w:r>
      <w:proofErr w:type="spellEnd"/>
      <w:r w:rsidRPr="009C3E06">
        <w:rPr>
          <w:sz w:val="24"/>
          <w:szCs w:val="24"/>
        </w:rPr>
        <w:t>.</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5.3</w:t>
      </w:r>
      <w:r w:rsidRPr="009C3E06">
        <w:rPr>
          <w:b/>
          <w:sz w:val="24"/>
          <w:szCs w:val="24"/>
        </w:rPr>
        <w:tab/>
      </w:r>
      <w:r w:rsidR="00AE1008">
        <w:rPr>
          <w:b/>
          <w:sz w:val="24"/>
          <w:szCs w:val="24"/>
        </w:rPr>
        <w:t>Non-</w:t>
      </w:r>
      <w:r w:rsidRPr="009C3E06">
        <w:rPr>
          <w:b/>
          <w:sz w:val="24"/>
          <w:szCs w:val="24"/>
        </w:rPr>
        <w:t>kliniske sikkerhedsdata</w:t>
      </w:r>
    </w:p>
    <w:p w:rsidR="009C3E06" w:rsidRPr="009C3E06" w:rsidRDefault="00182245" w:rsidP="009C3E06">
      <w:pPr>
        <w:ind w:left="851" w:hanging="851"/>
        <w:rPr>
          <w:sz w:val="24"/>
          <w:szCs w:val="24"/>
        </w:rPr>
      </w:pPr>
      <w:r w:rsidRPr="009C3E06">
        <w:rPr>
          <w:sz w:val="24"/>
          <w:szCs w:val="24"/>
        </w:rPr>
        <w:tab/>
      </w:r>
      <w:r w:rsidR="009C3E06" w:rsidRPr="009C3E06">
        <w:rPr>
          <w:sz w:val="24"/>
          <w:szCs w:val="24"/>
        </w:rPr>
        <w:t>Prækliniske data viser ingen speciel risiko for mennesker vurderet ud fra konventionelle studier af sikkerhedsfarmakologi, toksicitet efter gentagne doser, genotoksicitet samt reproduktionstoksicitet.</w:t>
      </w:r>
    </w:p>
    <w:p w:rsidR="009C3E06" w:rsidRPr="009C3E06" w:rsidRDefault="009C3E06" w:rsidP="009C3E06">
      <w:pPr>
        <w:ind w:left="851" w:hanging="851"/>
        <w:rPr>
          <w:sz w:val="24"/>
          <w:szCs w:val="24"/>
        </w:rPr>
      </w:pPr>
    </w:p>
    <w:p w:rsidR="00DC2C3B" w:rsidRPr="009C3E06" w:rsidRDefault="00DC2C3B" w:rsidP="00DC2C3B">
      <w:pPr>
        <w:ind w:left="851"/>
        <w:rPr>
          <w:sz w:val="24"/>
          <w:szCs w:val="24"/>
        </w:rPr>
      </w:pPr>
      <w:r w:rsidRPr="009C3E06">
        <w:rPr>
          <w:sz w:val="24"/>
          <w:szCs w:val="24"/>
        </w:rPr>
        <w:lastRenderedPageBreak/>
        <w:t xml:space="preserve">I to </w:t>
      </w:r>
      <w:proofErr w:type="spellStart"/>
      <w:r w:rsidRPr="009C3E06">
        <w:rPr>
          <w:sz w:val="24"/>
          <w:szCs w:val="24"/>
        </w:rPr>
        <w:t>karcinogenicitetsstudier</w:t>
      </w:r>
      <w:proofErr w:type="spellEnd"/>
      <w:r w:rsidRPr="009C3E06">
        <w:rPr>
          <w:sz w:val="24"/>
          <w:szCs w:val="24"/>
        </w:rPr>
        <w:t xml:space="preserve"> med rotter fremkaldte </w:t>
      </w:r>
      <w:proofErr w:type="spellStart"/>
      <w:r w:rsidRPr="009C3E06">
        <w:rPr>
          <w:sz w:val="24"/>
          <w:szCs w:val="24"/>
        </w:rPr>
        <w:t>lansoprazol</w:t>
      </w:r>
      <w:proofErr w:type="spellEnd"/>
      <w:r w:rsidRPr="009C3E06">
        <w:rPr>
          <w:sz w:val="24"/>
          <w:szCs w:val="24"/>
        </w:rPr>
        <w:t xml:space="preserve"> dosisrelateret gastrisk</w:t>
      </w:r>
      <w:r>
        <w:rPr>
          <w:sz w:val="24"/>
          <w:szCs w:val="24"/>
        </w:rPr>
        <w:t xml:space="preserve"> </w:t>
      </w:r>
      <w:proofErr w:type="spellStart"/>
      <w:r w:rsidRPr="00366D74">
        <w:rPr>
          <w:sz w:val="24"/>
          <w:szCs w:val="24"/>
        </w:rPr>
        <w:t>entero</w:t>
      </w:r>
      <w:r>
        <w:rPr>
          <w:sz w:val="24"/>
          <w:szCs w:val="24"/>
        </w:rPr>
        <w:t>ch</w:t>
      </w:r>
      <w:r w:rsidRPr="00366D74">
        <w:rPr>
          <w:sz w:val="24"/>
          <w:szCs w:val="24"/>
        </w:rPr>
        <w:t>romaffin</w:t>
      </w:r>
      <w:proofErr w:type="spellEnd"/>
      <w:r w:rsidRPr="00366D74">
        <w:rPr>
          <w:sz w:val="24"/>
          <w:szCs w:val="24"/>
        </w:rPr>
        <w:t xml:space="preserve"> lignende</w:t>
      </w:r>
      <w:r w:rsidRPr="009C3E06">
        <w:rPr>
          <w:sz w:val="24"/>
          <w:szCs w:val="24"/>
        </w:rPr>
        <w:t xml:space="preserve"> </w:t>
      </w:r>
      <w:r>
        <w:rPr>
          <w:sz w:val="24"/>
          <w:szCs w:val="24"/>
        </w:rPr>
        <w:t>(</w:t>
      </w:r>
      <w:r w:rsidRPr="009C3E06">
        <w:rPr>
          <w:sz w:val="24"/>
          <w:szCs w:val="24"/>
        </w:rPr>
        <w:t>ECL</w:t>
      </w:r>
      <w:r>
        <w:rPr>
          <w:sz w:val="24"/>
          <w:szCs w:val="24"/>
        </w:rPr>
        <w:t>)</w:t>
      </w:r>
      <w:r w:rsidRPr="009C3E06">
        <w:rPr>
          <w:sz w:val="24"/>
          <w:szCs w:val="24"/>
        </w:rPr>
        <w:t>-</w:t>
      </w:r>
      <w:proofErr w:type="spellStart"/>
      <w:r w:rsidRPr="009C3E06">
        <w:rPr>
          <w:sz w:val="24"/>
          <w:szCs w:val="24"/>
        </w:rPr>
        <w:t>cellehyperplasi</w:t>
      </w:r>
      <w:proofErr w:type="spellEnd"/>
      <w:r w:rsidRPr="009C3E06">
        <w:rPr>
          <w:sz w:val="24"/>
          <w:szCs w:val="24"/>
        </w:rPr>
        <w:t xml:space="preserve"> og ECL-</w:t>
      </w:r>
      <w:proofErr w:type="spellStart"/>
      <w:r w:rsidRPr="009C3E06">
        <w:rPr>
          <w:sz w:val="24"/>
          <w:szCs w:val="24"/>
        </w:rPr>
        <w:t>cellecarcinoider</w:t>
      </w:r>
      <w:proofErr w:type="spellEnd"/>
      <w:r w:rsidRPr="009C3E06">
        <w:rPr>
          <w:sz w:val="24"/>
          <w:szCs w:val="24"/>
        </w:rPr>
        <w:t xml:space="preserve">, der blev forbundet med </w:t>
      </w:r>
      <w:proofErr w:type="spellStart"/>
      <w:r w:rsidRPr="009C3E06">
        <w:rPr>
          <w:sz w:val="24"/>
          <w:szCs w:val="24"/>
        </w:rPr>
        <w:t>hypergastrinæmi</w:t>
      </w:r>
      <w:proofErr w:type="spellEnd"/>
      <w:r w:rsidRPr="009C3E06">
        <w:rPr>
          <w:sz w:val="24"/>
          <w:szCs w:val="24"/>
        </w:rPr>
        <w:t xml:space="preserve"> på grund af hæmningen af syresekretion. </w:t>
      </w:r>
    </w:p>
    <w:p w:rsidR="00DC2C3B" w:rsidRPr="009C3E06" w:rsidRDefault="00DC2C3B" w:rsidP="00DC2C3B">
      <w:pPr>
        <w:ind w:left="851"/>
        <w:rPr>
          <w:sz w:val="24"/>
          <w:szCs w:val="24"/>
        </w:rPr>
      </w:pPr>
      <w:proofErr w:type="spellStart"/>
      <w:r w:rsidRPr="009C3E06">
        <w:rPr>
          <w:sz w:val="24"/>
          <w:szCs w:val="24"/>
        </w:rPr>
        <w:t>Intestinal</w:t>
      </w:r>
      <w:proofErr w:type="spellEnd"/>
      <w:r w:rsidRPr="009C3E06">
        <w:rPr>
          <w:sz w:val="24"/>
          <w:szCs w:val="24"/>
        </w:rPr>
        <w:t xml:space="preserve"> </w:t>
      </w:r>
      <w:proofErr w:type="spellStart"/>
      <w:r w:rsidRPr="009C3E06">
        <w:rPr>
          <w:sz w:val="24"/>
          <w:szCs w:val="24"/>
        </w:rPr>
        <w:t>metaplasi</w:t>
      </w:r>
      <w:proofErr w:type="spellEnd"/>
      <w:r w:rsidRPr="009C3E06">
        <w:rPr>
          <w:sz w:val="24"/>
          <w:szCs w:val="24"/>
        </w:rPr>
        <w:t xml:space="preserve">, </w:t>
      </w:r>
      <w:proofErr w:type="spellStart"/>
      <w:r w:rsidRPr="009C3E06">
        <w:rPr>
          <w:sz w:val="24"/>
          <w:szCs w:val="24"/>
        </w:rPr>
        <w:t>hyperplasi</w:t>
      </w:r>
      <w:proofErr w:type="spellEnd"/>
      <w:r w:rsidRPr="009C3E06">
        <w:rPr>
          <w:sz w:val="24"/>
          <w:szCs w:val="24"/>
        </w:rPr>
        <w:t xml:space="preserve"> i </w:t>
      </w:r>
      <w:proofErr w:type="spellStart"/>
      <w:r w:rsidRPr="009C3E06">
        <w:rPr>
          <w:sz w:val="24"/>
          <w:szCs w:val="24"/>
        </w:rPr>
        <w:t>Leydig</w:t>
      </w:r>
      <w:proofErr w:type="spellEnd"/>
      <w:r w:rsidRPr="009C3E06">
        <w:rPr>
          <w:sz w:val="24"/>
          <w:szCs w:val="24"/>
        </w:rPr>
        <w:t xml:space="preserve">-celler og godartede tumorer i </w:t>
      </w:r>
      <w:proofErr w:type="spellStart"/>
      <w:r w:rsidRPr="009C3E06">
        <w:rPr>
          <w:sz w:val="24"/>
          <w:szCs w:val="24"/>
        </w:rPr>
        <w:t>Leydig</w:t>
      </w:r>
      <w:proofErr w:type="spellEnd"/>
      <w:r w:rsidRPr="009C3E06">
        <w:rPr>
          <w:sz w:val="24"/>
          <w:szCs w:val="24"/>
        </w:rPr>
        <w:t xml:space="preserve">-celler blev også observeret. Efter 18 måneders behandling blev der observeret </w:t>
      </w:r>
      <w:proofErr w:type="spellStart"/>
      <w:r w:rsidRPr="009C3E06">
        <w:rPr>
          <w:sz w:val="24"/>
          <w:szCs w:val="24"/>
        </w:rPr>
        <w:t>retinal</w:t>
      </w:r>
      <w:proofErr w:type="spellEnd"/>
      <w:r w:rsidRPr="009C3E06">
        <w:rPr>
          <w:sz w:val="24"/>
          <w:szCs w:val="24"/>
        </w:rPr>
        <w:t xml:space="preserve"> atrofi. Dette blev ikke set hos aber, hunde eller mus. </w:t>
      </w:r>
    </w:p>
    <w:p w:rsidR="009C3E06" w:rsidRPr="009C3E06" w:rsidRDefault="009C3E06" w:rsidP="009C3E06">
      <w:pPr>
        <w:ind w:left="851" w:hanging="851"/>
        <w:rPr>
          <w:sz w:val="24"/>
          <w:szCs w:val="24"/>
        </w:rPr>
      </w:pPr>
    </w:p>
    <w:p w:rsidR="009C3E06" w:rsidRPr="009C3E06" w:rsidRDefault="009C3E06" w:rsidP="009C3E06">
      <w:pPr>
        <w:ind w:left="851"/>
        <w:rPr>
          <w:sz w:val="24"/>
          <w:szCs w:val="24"/>
        </w:rPr>
      </w:pPr>
      <w:r w:rsidRPr="009C3E06">
        <w:rPr>
          <w:sz w:val="24"/>
          <w:szCs w:val="24"/>
        </w:rPr>
        <w:t xml:space="preserve">I </w:t>
      </w:r>
      <w:proofErr w:type="spellStart"/>
      <w:r w:rsidRPr="009C3E06">
        <w:rPr>
          <w:sz w:val="24"/>
          <w:szCs w:val="24"/>
        </w:rPr>
        <w:t>karcinogenicitetsstudier</w:t>
      </w:r>
      <w:proofErr w:type="spellEnd"/>
      <w:r w:rsidRPr="009C3E06">
        <w:rPr>
          <w:sz w:val="24"/>
          <w:szCs w:val="24"/>
        </w:rPr>
        <w:t xml:space="preserve"> med mus</w:t>
      </w:r>
      <w:r w:rsidRPr="009C3E06">
        <w:rPr>
          <w:spacing w:val="-3"/>
          <w:sz w:val="24"/>
          <w:szCs w:val="24"/>
        </w:rPr>
        <w:t xml:space="preserve"> blev der udviklet dosisrelateret gastrisk </w:t>
      </w:r>
      <w:proofErr w:type="spellStart"/>
      <w:r w:rsidRPr="009C3E06">
        <w:rPr>
          <w:spacing w:val="-3"/>
          <w:sz w:val="24"/>
          <w:szCs w:val="24"/>
        </w:rPr>
        <w:t>hyperplasi</w:t>
      </w:r>
      <w:proofErr w:type="spellEnd"/>
      <w:r w:rsidRPr="009C3E06">
        <w:rPr>
          <w:spacing w:val="-3"/>
          <w:sz w:val="24"/>
          <w:szCs w:val="24"/>
        </w:rPr>
        <w:t xml:space="preserve"> i ECL-celler samt levertumorer og </w:t>
      </w:r>
      <w:proofErr w:type="spellStart"/>
      <w:r w:rsidRPr="009C3E06">
        <w:rPr>
          <w:spacing w:val="-3"/>
          <w:sz w:val="24"/>
          <w:szCs w:val="24"/>
        </w:rPr>
        <w:t>adenom</w:t>
      </w:r>
      <w:proofErr w:type="spellEnd"/>
      <w:r w:rsidRPr="009C3E06">
        <w:rPr>
          <w:spacing w:val="-3"/>
          <w:sz w:val="24"/>
          <w:szCs w:val="24"/>
        </w:rPr>
        <w:t xml:space="preserve"> i </w:t>
      </w:r>
      <w:proofErr w:type="spellStart"/>
      <w:r w:rsidRPr="009C3E06">
        <w:rPr>
          <w:spacing w:val="-3"/>
          <w:sz w:val="24"/>
          <w:szCs w:val="24"/>
        </w:rPr>
        <w:t>rete</w:t>
      </w:r>
      <w:proofErr w:type="spellEnd"/>
      <w:r w:rsidRPr="009C3E06">
        <w:rPr>
          <w:spacing w:val="-3"/>
          <w:sz w:val="24"/>
          <w:szCs w:val="24"/>
        </w:rPr>
        <w:t xml:space="preserve"> testis.</w:t>
      </w:r>
    </w:p>
    <w:p w:rsidR="009C3E06" w:rsidRPr="009C3E06" w:rsidRDefault="009C3E06" w:rsidP="009C3E06">
      <w:pPr>
        <w:ind w:left="851" w:hanging="851"/>
        <w:rPr>
          <w:sz w:val="24"/>
          <w:szCs w:val="24"/>
        </w:rPr>
      </w:pPr>
    </w:p>
    <w:p w:rsidR="009C3E06" w:rsidRPr="009C3E06" w:rsidRDefault="009C3E06" w:rsidP="009C3E06">
      <w:pPr>
        <w:ind w:left="851"/>
        <w:rPr>
          <w:sz w:val="24"/>
          <w:szCs w:val="24"/>
        </w:rPr>
      </w:pPr>
      <w:r w:rsidRPr="009C3E06">
        <w:rPr>
          <w:sz w:val="24"/>
          <w:szCs w:val="24"/>
        </w:rPr>
        <w:t>Den kliniske relevans af disse fund kendes ikke.</w:t>
      </w:r>
    </w:p>
    <w:p w:rsidR="009C3E06" w:rsidRPr="009C3E06" w:rsidRDefault="009C3E06" w:rsidP="009C3E06">
      <w:pPr>
        <w:ind w:left="851"/>
        <w:rPr>
          <w:sz w:val="24"/>
          <w:szCs w:val="24"/>
        </w:rPr>
      </w:pPr>
    </w:p>
    <w:p w:rsidR="00DC2C3B" w:rsidRPr="009C3E06" w:rsidRDefault="00DC2C3B" w:rsidP="00DC2C3B">
      <w:pPr>
        <w:ind w:left="851"/>
        <w:rPr>
          <w:sz w:val="24"/>
          <w:szCs w:val="24"/>
          <w:u w:val="single"/>
        </w:rPr>
      </w:pPr>
      <w:r w:rsidRPr="009C3E06">
        <w:rPr>
          <w:sz w:val="24"/>
          <w:szCs w:val="24"/>
          <w:u w:val="single"/>
        </w:rPr>
        <w:t>Undersøgelser i unge dyr</w:t>
      </w:r>
    </w:p>
    <w:p w:rsidR="00DC2C3B" w:rsidRPr="009C3E06" w:rsidRDefault="00DC2C3B" w:rsidP="00DC2C3B">
      <w:pPr>
        <w:ind w:left="851"/>
        <w:rPr>
          <w:sz w:val="24"/>
          <w:szCs w:val="24"/>
        </w:rPr>
      </w:pPr>
      <w:r w:rsidRPr="009C3E06">
        <w:rPr>
          <w:sz w:val="24"/>
          <w:szCs w:val="24"/>
        </w:rPr>
        <w:t xml:space="preserve">Hos unge rotter blev </w:t>
      </w:r>
      <w:proofErr w:type="spellStart"/>
      <w:r w:rsidRPr="009C3E06">
        <w:rPr>
          <w:sz w:val="24"/>
          <w:szCs w:val="24"/>
        </w:rPr>
        <w:t>lansoprazol</w:t>
      </w:r>
      <w:proofErr w:type="spellEnd"/>
      <w:r w:rsidRPr="009C3E06">
        <w:rPr>
          <w:sz w:val="24"/>
          <w:szCs w:val="24"/>
        </w:rPr>
        <w:t xml:space="preserve"> administreret fra </w:t>
      </w:r>
      <w:proofErr w:type="spellStart"/>
      <w:r w:rsidRPr="009C3E06">
        <w:rPr>
          <w:sz w:val="24"/>
          <w:szCs w:val="24"/>
        </w:rPr>
        <w:t>postnatal</w:t>
      </w:r>
      <w:proofErr w:type="spellEnd"/>
      <w:r w:rsidRPr="009C3E06">
        <w:rPr>
          <w:sz w:val="24"/>
          <w:szCs w:val="24"/>
        </w:rPr>
        <w:t xml:space="preserve"> dag 7 (alder svarende til nyfødte mennesker) til </w:t>
      </w:r>
      <w:proofErr w:type="spellStart"/>
      <w:r w:rsidRPr="009C3E06">
        <w:rPr>
          <w:sz w:val="24"/>
          <w:szCs w:val="24"/>
        </w:rPr>
        <w:t>postnatal</w:t>
      </w:r>
      <w:proofErr w:type="spellEnd"/>
      <w:r w:rsidRPr="009C3E06">
        <w:rPr>
          <w:sz w:val="24"/>
          <w:szCs w:val="24"/>
        </w:rPr>
        <w:t xml:space="preserve"> dag 62 (alder svarende til ca. 14 år hos mennesker).</w:t>
      </w:r>
    </w:p>
    <w:p w:rsidR="00DC2C3B" w:rsidRPr="009C3E06" w:rsidRDefault="00DC2C3B" w:rsidP="00DC2C3B">
      <w:pPr>
        <w:rPr>
          <w:sz w:val="24"/>
          <w:szCs w:val="24"/>
        </w:rPr>
      </w:pPr>
    </w:p>
    <w:p w:rsidR="00DC2C3B" w:rsidRPr="009C3E06" w:rsidRDefault="00DC2C3B" w:rsidP="00DC2C3B">
      <w:pPr>
        <w:ind w:left="851"/>
        <w:rPr>
          <w:sz w:val="24"/>
          <w:szCs w:val="24"/>
        </w:rPr>
      </w:pPr>
      <w:r w:rsidRPr="009C3E06">
        <w:rPr>
          <w:sz w:val="24"/>
          <w:szCs w:val="24"/>
        </w:rPr>
        <w:t xml:space="preserve">Studier i juvenile rotter (8-ugers studie, 6-ugers </w:t>
      </w:r>
      <w:proofErr w:type="spellStart"/>
      <w:r w:rsidRPr="009C3E06">
        <w:rPr>
          <w:sz w:val="24"/>
          <w:szCs w:val="24"/>
        </w:rPr>
        <w:t>toksikokinetisk</w:t>
      </w:r>
      <w:proofErr w:type="spellEnd"/>
      <w:r w:rsidRPr="009C3E06">
        <w:rPr>
          <w:sz w:val="24"/>
          <w:szCs w:val="24"/>
        </w:rPr>
        <w:t xml:space="preserve"> dosistitreringsstudie, udviklingssensitivitetsstudie) har vist en øget forekomst af fortykkelse af hjerteklappen. </w:t>
      </w:r>
      <w:r>
        <w:rPr>
          <w:sz w:val="24"/>
          <w:szCs w:val="24"/>
        </w:rPr>
        <w:t>Fundene reverserede eller tenderede</w:t>
      </w:r>
      <w:r w:rsidRPr="009C3E06">
        <w:rPr>
          <w:sz w:val="24"/>
          <w:szCs w:val="24"/>
        </w:rPr>
        <w:t xml:space="preserve"> mod reversibilitet efter en 4-ugers lægemiddelfri restitutionsperiode. Rotter yngre end </w:t>
      </w:r>
      <w:proofErr w:type="spellStart"/>
      <w:r w:rsidRPr="009C3E06">
        <w:rPr>
          <w:sz w:val="24"/>
          <w:szCs w:val="24"/>
        </w:rPr>
        <w:t>postnatal</w:t>
      </w:r>
      <w:proofErr w:type="spellEnd"/>
      <w:r w:rsidRPr="009C3E06">
        <w:rPr>
          <w:sz w:val="24"/>
          <w:szCs w:val="24"/>
        </w:rPr>
        <w:t xml:space="preserve"> dag 21 (alder tilsvarende cirka 2 år for mennesker) var mere tilbøjelige til at udvikle fortykkelse af hjerteklappen. Sikkerhedsmargin</w:t>
      </w:r>
      <w:r>
        <w:rPr>
          <w:sz w:val="24"/>
          <w:szCs w:val="24"/>
        </w:rPr>
        <w:t>en</w:t>
      </w:r>
      <w:r w:rsidRPr="009C3E06">
        <w:rPr>
          <w:sz w:val="24"/>
          <w:szCs w:val="24"/>
        </w:rPr>
        <w:t xml:space="preserve"> for den forventede eksponering i mennesker er 3 til 6 gange eksponering</w:t>
      </w:r>
      <w:r>
        <w:rPr>
          <w:sz w:val="24"/>
          <w:szCs w:val="24"/>
        </w:rPr>
        <w:t>en</w:t>
      </w:r>
      <w:r w:rsidRPr="009C3E06">
        <w:rPr>
          <w:sz w:val="24"/>
          <w:szCs w:val="24"/>
        </w:rPr>
        <w:t xml:space="preserve"> i </w:t>
      </w:r>
      <w:r>
        <w:rPr>
          <w:sz w:val="24"/>
          <w:szCs w:val="24"/>
        </w:rPr>
        <w:t>studierne med unge dyr</w:t>
      </w:r>
      <w:proofErr w:type="gramStart"/>
      <w:r>
        <w:rPr>
          <w:sz w:val="24"/>
          <w:szCs w:val="24"/>
        </w:rPr>
        <w:t xml:space="preserve">, </w:t>
      </w:r>
      <w:r w:rsidRPr="009C3E06">
        <w:rPr>
          <w:sz w:val="24"/>
          <w:szCs w:val="24"/>
        </w:rPr>
        <w:t>,</w:t>
      </w:r>
      <w:proofErr w:type="gramEnd"/>
      <w:r w:rsidRPr="009C3E06">
        <w:rPr>
          <w:sz w:val="24"/>
          <w:szCs w:val="24"/>
        </w:rPr>
        <w:t xml:space="preserve"> baseret på AUC</w:t>
      </w:r>
      <w:r>
        <w:rPr>
          <w:sz w:val="24"/>
          <w:szCs w:val="24"/>
        </w:rPr>
        <w:t xml:space="preserve"> i </w:t>
      </w:r>
      <w:r w:rsidRPr="00D52B56">
        <w:rPr>
          <w:i/>
          <w:iCs/>
          <w:sz w:val="24"/>
          <w:szCs w:val="24"/>
        </w:rPr>
        <w:t>no-</w:t>
      </w:r>
      <w:proofErr w:type="spellStart"/>
      <w:r w:rsidRPr="00D52B56">
        <w:rPr>
          <w:i/>
          <w:iCs/>
          <w:sz w:val="24"/>
          <w:szCs w:val="24"/>
        </w:rPr>
        <w:t>observed</w:t>
      </w:r>
      <w:proofErr w:type="spellEnd"/>
      <w:r w:rsidRPr="00D52B56">
        <w:rPr>
          <w:i/>
          <w:iCs/>
          <w:sz w:val="24"/>
          <w:szCs w:val="24"/>
        </w:rPr>
        <w:t>-</w:t>
      </w:r>
      <w:proofErr w:type="spellStart"/>
      <w:r w:rsidRPr="00D52B56">
        <w:rPr>
          <w:i/>
          <w:iCs/>
          <w:sz w:val="24"/>
          <w:szCs w:val="24"/>
        </w:rPr>
        <w:t>effect-level</w:t>
      </w:r>
      <w:proofErr w:type="spellEnd"/>
      <w:r>
        <w:rPr>
          <w:sz w:val="24"/>
          <w:szCs w:val="24"/>
        </w:rPr>
        <w:t xml:space="preserve"> </w:t>
      </w:r>
      <w:r w:rsidRPr="009C3E06">
        <w:rPr>
          <w:sz w:val="24"/>
          <w:szCs w:val="24"/>
        </w:rPr>
        <w:t xml:space="preserve">(NOEL) (8-ugers studie, 6-ugers </w:t>
      </w:r>
      <w:proofErr w:type="spellStart"/>
      <w:r w:rsidRPr="009C3E06">
        <w:rPr>
          <w:sz w:val="24"/>
          <w:szCs w:val="24"/>
        </w:rPr>
        <w:t>toksikokinetisk</w:t>
      </w:r>
      <w:proofErr w:type="spellEnd"/>
      <w:r w:rsidRPr="009C3E06">
        <w:rPr>
          <w:sz w:val="24"/>
          <w:szCs w:val="24"/>
        </w:rPr>
        <w:t xml:space="preserve"> dosistitreringsstudie) eller </w:t>
      </w:r>
      <w:proofErr w:type="spellStart"/>
      <w:r w:rsidRPr="00D52B56">
        <w:rPr>
          <w:i/>
          <w:iCs/>
          <w:sz w:val="24"/>
          <w:szCs w:val="24"/>
        </w:rPr>
        <w:t>lowest-observed-effect-level</w:t>
      </w:r>
      <w:proofErr w:type="spellEnd"/>
      <w:r w:rsidRPr="009C3E06">
        <w:rPr>
          <w:sz w:val="24"/>
          <w:szCs w:val="24"/>
        </w:rPr>
        <w:t xml:space="preserve"> (LOEL) (udviklingssensitivitetsstudie).</w:t>
      </w:r>
    </w:p>
    <w:p w:rsidR="00DC2C3B" w:rsidRPr="009C3E06" w:rsidRDefault="00DC2C3B" w:rsidP="00DC2C3B">
      <w:pPr>
        <w:ind w:left="851"/>
        <w:rPr>
          <w:sz w:val="24"/>
          <w:szCs w:val="24"/>
        </w:rPr>
      </w:pPr>
    </w:p>
    <w:p w:rsidR="00DC2C3B" w:rsidRPr="009C3E06" w:rsidRDefault="00DC2C3B" w:rsidP="00DC2C3B">
      <w:pPr>
        <w:ind w:left="851"/>
        <w:rPr>
          <w:sz w:val="24"/>
          <w:szCs w:val="24"/>
        </w:rPr>
      </w:pPr>
      <w:r w:rsidRPr="009C3E06">
        <w:rPr>
          <w:sz w:val="24"/>
          <w:szCs w:val="24"/>
        </w:rPr>
        <w:t xml:space="preserve">Disse </w:t>
      </w:r>
      <w:r>
        <w:rPr>
          <w:sz w:val="24"/>
          <w:szCs w:val="24"/>
        </w:rPr>
        <w:t>studier</w:t>
      </w:r>
      <w:r w:rsidRPr="009C3E06">
        <w:rPr>
          <w:sz w:val="24"/>
          <w:szCs w:val="24"/>
        </w:rPr>
        <w:t xml:space="preserve"> har også vist ændringer i mandligt reproduktiv</w:t>
      </w:r>
      <w:r>
        <w:rPr>
          <w:sz w:val="24"/>
          <w:szCs w:val="24"/>
        </w:rPr>
        <w:t>t</w:t>
      </w:r>
      <w:r w:rsidRPr="009C3E06">
        <w:rPr>
          <w:sz w:val="24"/>
          <w:szCs w:val="24"/>
        </w:rPr>
        <w:t xml:space="preserve"> væv (testikler og </w:t>
      </w:r>
      <w:proofErr w:type="spellStart"/>
      <w:r w:rsidRPr="009C3E06">
        <w:rPr>
          <w:sz w:val="24"/>
          <w:szCs w:val="24"/>
        </w:rPr>
        <w:t>epididymis</w:t>
      </w:r>
      <w:proofErr w:type="spellEnd"/>
      <w:r w:rsidRPr="009C3E06">
        <w:rPr>
          <w:sz w:val="24"/>
          <w:szCs w:val="24"/>
        </w:rPr>
        <w:t xml:space="preserve">). Desuden er vækstretardering blevet registreret enten hos hanner eller hos hunrotter, men kun hos hanner førte dette til forsinket </w:t>
      </w:r>
      <w:r>
        <w:rPr>
          <w:sz w:val="24"/>
          <w:szCs w:val="24"/>
        </w:rPr>
        <w:t xml:space="preserve">fortykkelse af den femorale </w:t>
      </w:r>
      <w:proofErr w:type="spellStart"/>
      <w:r>
        <w:rPr>
          <w:sz w:val="24"/>
          <w:szCs w:val="24"/>
        </w:rPr>
        <w:t>epifyseskive</w:t>
      </w:r>
      <w:proofErr w:type="spellEnd"/>
      <w:r>
        <w:rPr>
          <w:sz w:val="24"/>
          <w:szCs w:val="24"/>
        </w:rPr>
        <w:t>.</w:t>
      </w:r>
    </w:p>
    <w:p w:rsidR="00DC2C3B" w:rsidRPr="009C3E06" w:rsidRDefault="00DC2C3B" w:rsidP="00DC2C3B">
      <w:pPr>
        <w:ind w:left="851"/>
        <w:rPr>
          <w:sz w:val="24"/>
          <w:szCs w:val="24"/>
        </w:rPr>
      </w:pPr>
      <w:r w:rsidRPr="009C3E06">
        <w:rPr>
          <w:sz w:val="24"/>
          <w:szCs w:val="24"/>
        </w:rPr>
        <w:t>Relevansen af disse fund for pædiatriske patienter er ikke kendt.</w:t>
      </w:r>
    </w:p>
    <w:p w:rsidR="00182245" w:rsidRPr="009C3E06" w:rsidRDefault="00182245" w:rsidP="009C3E06">
      <w:pPr>
        <w:ind w:left="851" w:hanging="851"/>
        <w:rPr>
          <w:sz w:val="24"/>
          <w:szCs w:val="24"/>
        </w:rPr>
      </w:pP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6.</w:t>
      </w:r>
      <w:r w:rsidRPr="009C3E06">
        <w:rPr>
          <w:b/>
          <w:sz w:val="24"/>
          <w:szCs w:val="24"/>
        </w:rPr>
        <w:tab/>
        <w:t>FARMACEUTISKE OPLYSNINGER</w:t>
      </w:r>
    </w:p>
    <w:p w:rsidR="00182245" w:rsidRPr="009C3E06" w:rsidRDefault="00182245" w:rsidP="00182245">
      <w:pPr>
        <w:ind w:left="851" w:hanging="851"/>
        <w:rPr>
          <w:b/>
          <w:sz w:val="24"/>
          <w:szCs w:val="24"/>
        </w:rPr>
      </w:pPr>
    </w:p>
    <w:p w:rsidR="00182245" w:rsidRPr="009C3E06" w:rsidRDefault="00182245" w:rsidP="00182245">
      <w:pPr>
        <w:ind w:left="851" w:hanging="851"/>
        <w:rPr>
          <w:b/>
          <w:sz w:val="24"/>
          <w:szCs w:val="24"/>
        </w:rPr>
      </w:pPr>
      <w:r w:rsidRPr="009C3E06">
        <w:rPr>
          <w:b/>
          <w:sz w:val="24"/>
          <w:szCs w:val="24"/>
        </w:rPr>
        <w:t>6.1</w:t>
      </w:r>
      <w:r w:rsidRPr="009C3E06">
        <w:rPr>
          <w:b/>
          <w:sz w:val="24"/>
          <w:szCs w:val="24"/>
        </w:rPr>
        <w:tab/>
        <w:t>Hjælpestoffer</w:t>
      </w:r>
    </w:p>
    <w:p w:rsidR="00182245" w:rsidRPr="009C3E06" w:rsidRDefault="00182245" w:rsidP="00182245">
      <w:pPr>
        <w:ind w:left="851" w:hanging="851"/>
        <w:rPr>
          <w:sz w:val="24"/>
          <w:szCs w:val="24"/>
        </w:rPr>
      </w:pPr>
      <w:r w:rsidRPr="009C3E06">
        <w:rPr>
          <w:sz w:val="24"/>
          <w:szCs w:val="24"/>
        </w:rPr>
        <w:tab/>
        <w:t>Sukkerkugler (</w:t>
      </w:r>
      <w:proofErr w:type="spellStart"/>
      <w:r w:rsidRPr="009C3E06">
        <w:rPr>
          <w:sz w:val="24"/>
          <w:szCs w:val="24"/>
        </w:rPr>
        <w:t>saccharose</w:t>
      </w:r>
      <w:proofErr w:type="spellEnd"/>
      <w:r w:rsidRPr="009C3E06">
        <w:rPr>
          <w:sz w:val="24"/>
          <w:szCs w:val="24"/>
        </w:rPr>
        <w:t xml:space="preserve"> og majsstivelse)</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Natriumlaurilsulfat</w:t>
      </w:r>
      <w:proofErr w:type="spellEnd"/>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Meglumin</w:t>
      </w:r>
      <w:proofErr w:type="spellEnd"/>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Mannitol</w:t>
      </w:r>
      <w:proofErr w:type="spellEnd"/>
      <w:r w:rsidRPr="009C3E06">
        <w:rPr>
          <w:sz w:val="24"/>
          <w:szCs w:val="24"/>
        </w:rPr>
        <w:t xml:space="preserve"> (E421)</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Hypromellose</w:t>
      </w:r>
      <w:proofErr w:type="spellEnd"/>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Talcum</w:t>
      </w:r>
      <w:proofErr w:type="spellEnd"/>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Polysorbat</w:t>
      </w:r>
      <w:proofErr w:type="spellEnd"/>
      <w:r w:rsidRPr="009C3E06">
        <w:rPr>
          <w:sz w:val="24"/>
          <w:szCs w:val="24"/>
        </w:rPr>
        <w:t xml:space="preserve"> 80</w:t>
      </w:r>
    </w:p>
    <w:p w:rsidR="00182245" w:rsidRPr="009C3E06" w:rsidRDefault="00182245" w:rsidP="00182245">
      <w:pPr>
        <w:ind w:left="851" w:hanging="851"/>
        <w:rPr>
          <w:sz w:val="24"/>
          <w:szCs w:val="24"/>
        </w:rPr>
      </w:pPr>
      <w:r w:rsidRPr="009C3E06">
        <w:rPr>
          <w:sz w:val="24"/>
          <w:szCs w:val="24"/>
        </w:rPr>
        <w:tab/>
        <w:t>Titandioxid (E171)</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Metacrylsyre-ethylacrylat</w:t>
      </w:r>
      <w:proofErr w:type="spellEnd"/>
      <w:r w:rsidRPr="009C3E06">
        <w:rPr>
          <w:sz w:val="24"/>
          <w:szCs w:val="24"/>
        </w:rPr>
        <w:t xml:space="preserve"> </w:t>
      </w:r>
      <w:proofErr w:type="spellStart"/>
      <w:r w:rsidRPr="009C3E06">
        <w:rPr>
          <w:sz w:val="24"/>
          <w:szCs w:val="24"/>
        </w:rPr>
        <w:t>copolymer</w:t>
      </w:r>
      <w:proofErr w:type="spellEnd"/>
      <w:r w:rsidRPr="009C3E06">
        <w:rPr>
          <w:sz w:val="24"/>
          <w:szCs w:val="24"/>
        </w:rPr>
        <w:t xml:space="preserve">  </w:t>
      </w:r>
    </w:p>
    <w:p w:rsidR="00182245" w:rsidRPr="009C3E06" w:rsidRDefault="00182245" w:rsidP="00182245">
      <w:pPr>
        <w:ind w:left="851" w:hanging="851"/>
        <w:rPr>
          <w:sz w:val="24"/>
          <w:szCs w:val="24"/>
        </w:rPr>
      </w:pPr>
      <w:r w:rsidRPr="009C3E06">
        <w:rPr>
          <w:sz w:val="24"/>
          <w:szCs w:val="24"/>
        </w:rPr>
        <w:tab/>
      </w:r>
    </w:p>
    <w:p w:rsidR="00182245" w:rsidRPr="009C3E06" w:rsidRDefault="00182245" w:rsidP="00182245">
      <w:pPr>
        <w:ind w:left="851" w:hanging="851"/>
        <w:rPr>
          <w:sz w:val="24"/>
          <w:szCs w:val="24"/>
        </w:rPr>
      </w:pPr>
      <w:r w:rsidRPr="009C3E06">
        <w:rPr>
          <w:i/>
          <w:iCs/>
          <w:sz w:val="24"/>
          <w:szCs w:val="24"/>
        </w:rPr>
        <w:tab/>
        <w:t xml:space="preserve">Kapselskal </w:t>
      </w:r>
    </w:p>
    <w:p w:rsidR="00182245" w:rsidRPr="009C3E06" w:rsidRDefault="00182245" w:rsidP="00182245">
      <w:pPr>
        <w:ind w:left="851" w:hanging="851"/>
        <w:rPr>
          <w:sz w:val="24"/>
          <w:szCs w:val="24"/>
        </w:rPr>
      </w:pPr>
      <w:r w:rsidRPr="009C3E06">
        <w:rPr>
          <w:sz w:val="24"/>
          <w:szCs w:val="24"/>
        </w:rPr>
        <w:tab/>
        <w:t>Gelatine</w:t>
      </w:r>
    </w:p>
    <w:p w:rsidR="00182245" w:rsidRPr="009C3E06" w:rsidRDefault="00182245" w:rsidP="00182245">
      <w:pPr>
        <w:ind w:left="851" w:hanging="851"/>
        <w:rPr>
          <w:sz w:val="24"/>
          <w:szCs w:val="24"/>
        </w:rPr>
      </w:pPr>
      <w:r w:rsidRPr="009C3E06">
        <w:rPr>
          <w:sz w:val="24"/>
          <w:szCs w:val="24"/>
        </w:rPr>
        <w:tab/>
        <w:t>Titandioxid (E171)</w:t>
      </w:r>
    </w:p>
    <w:p w:rsidR="00182245" w:rsidRPr="009C3E06" w:rsidRDefault="00182245" w:rsidP="00182245">
      <w:pPr>
        <w:ind w:left="851" w:hanging="851"/>
        <w:rPr>
          <w:sz w:val="24"/>
          <w:szCs w:val="24"/>
        </w:rPr>
      </w:pPr>
      <w:r w:rsidRPr="009C3E06">
        <w:rPr>
          <w:sz w:val="24"/>
          <w:szCs w:val="24"/>
        </w:rPr>
        <w:tab/>
      </w:r>
      <w:proofErr w:type="spellStart"/>
      <w:r w:rsidRPr="009C3E06">
        <w:rPr>
          <w:sz w:val="24"/>
          <w:szCs w:val="24"/>
        </w:rPr>
        <w:t>Quinolingult</w:t>
      </w:r>
      <w:proofErr w:type="spellEnd"/>
      <w:r w:rsidRPr="009C3E06">
        <w:rPr>
          <w:sz w:val="24"/>
          <w:szCs w:val="24"/>
        </w:rPr>
        <w:t xml:space="preserve"> (E104)</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6.2</w:t>
      </w:r>
      <w:r w:rsidRPr="009C3E06">
        <w:rPr>
          <w:b/>
          <w:sz w:val="24"/>
          <w:szCs w:val="24"/>
        </w:rPr>
        <w:tab/>
        <w:t>Uforligeligheder</w:t>
      </w:r>
    </w:p>
    <w:p w:rsidR="00182245" w:rsidRPr="009C3E06" w:rsidRDefault="00182245" w:rsidP="00182245">
      <w:pPr>
        <w:ind w:left="851" w:hanging="851"/>
        <w:rPr>
          <w:sz w:val="24"/>
          <w:szCs w:val="24"/>
        </w:rPr>
      </w:pPr>
      <w:r w:rsidRPr="009C3E06">
        <w:rPr>
          <w:sz w:val="24"/>
          <w:szCs w:val="24"/>
        </w:rPr>
        <w:lastRenderedPageBreak/>
        <w:tab/>
        <w:t>Ikke relevant.</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6.3</w:t>
      </w:r>
      <w:r w:rsidRPr="009C3E06">
        <w:rPr>
          <w:b/>
          <w:sz w:val="24"/>
          <w:szCs w:val="24"/>
        </w:rPr>
        <w:tab/>
        <w:t>Opbevaringstid</w:t>
      </w:r>
    </w:p>
    <w:p w:rsidR="00182245" w:rsidRPr="009C3E06" w:rsidRDefault="00182245" w:rsidP="00182245">
      <w:pPr>
        <w:ind w:left="851" w:hanging="851"/>
        <w:rPr>
          <w:sz w:val="24"/>
          <w:szCs w:val="24"/>
        </w:rPr>
      </w:pPr>
      <w:r w:rsidRPr="009C3E06">
        <w:rPr>
          <w:sz w:val="24"/>
          <w:szCs w:val="24"/>
        </w:rPr>
        <w:tab/>
        <w:t>Al/Al blisterpakning: 3 år</w:t>
      </w:r>
    </w:p>
    <w:p w:rsidR="00182245" w:rsidRPr="009C3E06" w:rsidRDefault="00182245" w:rsidP="00182245">
      <w:pPr>
        <w:ind w:left="851"/>
        <w:rPr>
          <w:sz w:val="24"/>
          <w:szCs w:val="24"/>
        </w:rPr>
      </w:pPr>
      <w:r w:rsidRPr="009C3E06">
        <w:rPr>
          <w:sz w:val="24"/>
          <w:szCs w:val="24"/>
        </w:rPr>
        <w:t>HDPE-beholder: 4 år. Anvendes 6 måneder efter anbrud.</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6.4</w:t>
      </w:r>
      <w:r w:rsidRPr="009C3E06">
        <w:rPr>
          <w:b/>
          <w:sz w:val="24"/>
          <w:szCs w:val="24"/>
        </w:rPr>
        <w:tab/>
        <w:t>Særlige opbevaringsforhold</w:t>
      </w:r>
    </w:p>
    <w:p w:rsidR="00182245" w:rsidRPr="009C3E06" w:rsidRDefault="00182245" w:rsidP="00182245">
      <w:pPr>
        <w:ind w:left="851" w:hanging="851"/>
        <w:rPr>
          <w:sz w:val="24"/>
          <w:szCs w:val="24"/>
        </w:rPr>
      </w:pPr>
      <w:r w:rsidRPr="009C3E06">
        <w:rPr>
          <w:sz w:val="24"/>
          <w:szCs w:val="24"/>
        </w:rPr>
        <w:tab/>
        <w:t>Al/Al blisterpakning:</w:t>
      </w:r>
    </w:p>
    <w:p w:rsidR="00182245" w:rsidRPr="009C3E06" w:rsidRDefault="00182245" w:rsidP="00182245">
      <w:pPr>
        <w:ind w:left="851" w:hanging="851"/>
        <w:rPr>
          <w:sz w:val="24"/>
          <w:szCs w:val="24"/>
        </w:rPr>
      </w:pPr>
      <w:r w:rsidRPr="009C3E06">
        <w:rPr>
          <w:sz w:val="24"/>
          <w:szCs w:val="24"/>
        </w:rPr>
        <w:tab/>
        <w:t xml:space="preserve">Må ikke opbevares ved temperaturer over 30° C. </w:t>
      </w:r>
    </w:p>
    <w:p w:rsidR="00182245" w:rsidRPr="009C3E06" w:rsidRDefault="00182245" w:rsidP="00182245">
      <w:pPr>
        <w:ind w:left="851" w:hanging="851"/>
        <w:rPr>
          <w:sz w:val="24"/>
          <w:szCs w:val="24"/>
        </w:rPr>
      </w:pPr>
      <w:r w:rsidRPr="009C3E06">
        <w:rPr>
          <w:sz w:val="24"/>
          <w:szCs w:val="24"/>
        </w:rPr>
        <w:tab/>
        <w:t>Opbevares i den originale yderpakning for at beskytte mod fugt.</w:t>
      </w:r>
    </w:p>
    <w:p w:rsidR="00182245" w:rsidRPr="009C3E06" w:rsidRDefault="00182245" w:rsidP="00182245">
      <w:pPr>
        <w:ind w:left="851" w:hanging="851"/>
        <w:rPr>
          <w:sz w:val="24"/>
          <w:szCs w:val="24"/>
        </w:rPr>
      </w:pPr>
      <w:r w:rsidRPr="009C3E06">
        <w:rPr>
          <w:sz w:val="24"/>
          <w:szCs w:val="24"/>
        </w:rPr>
        <w:tab/>
      </w:r>
    </w:p>
    <w:p w:rsidR="00182245" w:rsidRPr="009C3E06" w:rsidRDefault="00182245" w:rsidP="00182245">
      <w:pPr>
        <w:ind w:left="851" w:hanging="851"/>
        <w:rPr>
          <w:sz w:val="24"/>
          <w:szCs w:val="24"/>
        </w:rPr>
      </w:pPr>
      <w:r w:rsidRPr="009C3E06">
        <w:rPr>
          <w:sz w:val="24"/>
          <w:szCs w:val="24"/>
        </w:rPr>
        <w:tab/>
        <w:t>HDPE-beholder:</w:t>
      </w:r>
    </w:p>
    <w:p w:rsidR="00182245" w:rsidRPr="009C3E06" w:rsidRDefault="00182245" w:rsidP="00182245">
      <w:pPr>
        <w:ind w:left="851" w:hanging="851"/>
        <w:rPr>
          <w:sz w:val="24"/>
          <w:szCs w:val="24"/>
        </w:rPr>
      </w:pPr>
      <w:r w:rsidRPr="009C3E06">
        <w:rPr>
          <w:sz w:val="24"/>
          <w:szCs w:val="24"/>
        </w:rPr>
        <w:tab/>
        <w:t xml:space="preserve">Må ikke opbevares ved temperaturer over 30° C. </w:t>
      </w:r>
    </w:p>
    <w:p w:rsidR="00182245" w:rsidRPr="009C3E06" w:rsidRDefault="00182245" w:rsidP="00182245">
      <w:pPr>
        <w:ind w:left="851" w:hanging="851"/>
        <w:rPr>
          <w:sz w:val="24"/>
          <w:szCs w:val="24"/>
        </w:rPr>
      </w:pPr>
      <w:r w:rsidRPr="009C3E06">
        <w:rPr>
          <w:sz w:val="24"/>
          <w:szCs w:val="24"/>
        </w:rPr>
        <w:tab/>
        <w:t>Hold beholderen tæt tillukket for at beskytte mod fugt.</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6.5</w:t>
      </w:r>
      <w:r w:rsidRPr="009C3E06">
        <w:rPr>
          <w:b/>
          <w:sz w:val="24"/>
          <w:szCs w:val="24"/>
        </w:rPr>
        <w:tab/>
        <w:t>Emballagetype og pakningsstørrelser</w:t>
      </w:r>
    </w:p>
    <w:p w:rsidR="00182245" w:rsidRPr="009C3E06" w:rsidRDefault="00182245" w:rsidP="00182245">
      <w:pPr>
        <w:ind w:left="851"/>
        <w:rPr>
          <w:sz w:val="24"/>
          <w:szCs w:val="24"/>
        </w:rPr>
      </w:pPr>
      <w:r w:rsidRPr="009C3E06">
        <w:rPr>
          <w:sz w:val="24"/>
          <w:szCs w:val="24"/>
        </w:rPr>
        <w:t>Al/Al blisterpakning:</w:t>
      </w:r>
    </w:p>
    <w:p w:rsidR="00182245" w:rsidRPr="009C3E06" w:rsidRDefault="00182245" w:rsidP="00182245">
      <w:pPr>
        <w:ind w:left="851"/>
        <w:rPr>
          <w:sz w:val="24"/>
          <w:szCs w:val="24"/>
        </w:rPr>
      </w:pPr>
      <w:r w:rsidRPr="009C3E06">
        <w:rPr>
          <w:sz w:val="24"/>
          <w:szCs w:val="24"/>
        </w:rPr>
        <w:t>7, 14, 28, 56 kapsler</w:t>
      </w:r>
    </w:p>
    <w:p w:rsidR="00182245" w:rsidRPr="009C3E06" w:rsidRDefault="00182245" w:rsidP="00182245">
      <w:pPr>
        <w:ind w:left="851" w:hanging="851"/>
        <w:rPr>
          <w:sz w:val="24"/>
          <w:szCs w:val="24"/>
        </w:rPr>
      </w:pPr>
    </w:p>
    <w:p w:rsidR="00182245" w:rsidRPr="009C3E06" w:rsidRDefault="00182245" w:rsidP="00182245">
      <w:pPr>
        <w:ind w:left="851" w:hanging="851"/>
        <w:rPr>
          <w:sz w:val="24"/>
          <w:szCs w:val="24"/>
        </w:rPr>
      </w:pPr>
      <w:r w:rsidRPr="009C3E06">
        <w:rPr>
          <w:sz w:val="24"/>
          <w:szCs w:val="24"/>
        </w:rPr>
        <w:tab/>
        <w:t xml:space="preserve">HDPE-beholder med propylenlåg med </w:t>
      </w:r>
      <w:proofErr w:type="spellStart"/>
      <w:r w:rsidRPr="009C3E06">
        <w:rPr>
          <w:sz w:val="24"/>
          <w:szCs w:val="24"/>
        </w:rPr>
        <w:t>silicagel</w:t>
      </w:r>
      <w:proofErr w:type="spellEnd"/>
      <w:r w:rsidRPr="009C3E06">
        <w:rPr>
          <w:sz w:val="24"/>
          <w:szCs w:val="24"/>
        </w:rPr>
        <w:t xml:space="preserve"> som tørremiddel:</w:t>
      </w:r>
    </w:p>
    <w:p w:rsidR="00182245" w:rsidRPr="009C3E06" w:rsidRDefault="00182245" w:rsidP="00182245">
      <w:pPr>
        <w:ind w:left="851"/>
        <w:rPr>
          <w:sz w:val="24"/>
          <w:szCs w:val="24"/>
        </w:rPr>
      </w:pPr>
      <w:r w:rsidRPr="009C3E06">
        <w:rPr>
          <w:sz w:val="24"/>
          <w:szCs w:val="24"/>
        </w:rPr>
        <w:t>7, 14, 28, 56 kapsler</w:t>
      </w:r>
    </w:p>
    <w:p w:rsidR="00182245" w:rsidRPr="009C3E06" w:rsidRDefault="00182245" w:rsidP="00182245">
      <w:pPr>
        <w:ind w:left="851" w:hanging="851"/>
        <w:rPr>
          <w:sz w:val="24"/>
          <w:szCs w:val="24"/>
        </w:rPr>
      </w:pPr>
    </w:p>
    <w:p w:rsidR="00182245" w:rsidRPr="009C3E06" w:rsidRDefault="00182245" w:rsidP="00182245">
      <w:pPr>
        <w:ind w:left="851" w:hanging="851"/>
        <w:rPr>
          <w:sz w:val="24"/>
          <w:szCs w:val="24"/>
        </w:rPr>
      </w:pPr>
      <w:r w:rsidRPr="009C3E06">
        <w:rPr>
          <w:sz w:val="24"/>
          <w:szCs w:val="24"/>
        </w:rPr>
        <w:tab/>
        <w:t>Ikke alle pakningsstørrelser er nødvendigvis markedsført.</w:t>
      </w:r>
    </w:p>
    <w:p w:rsidR="00AE1008" w:rsidRPr="009C3E06" w:rsidRDefault="00AE1008"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6.6</w:t>
      </w:r>
      <w:r w:rsidRPr="009C3E06">
        <w:rPr>
          <w:b/>
          <w:sz w:val="24"/>
          <w:szCs w:val="24"/>
        </w:rPr>
        <w:tab/>
        <w:t xml:space="preserve">Regler for </w:t>
      </w:r>
      <w:r w:rsidR="00AE1008">
        <w:rPr>
          <w:b/>
          <w:sz w:val="24"/>
          <w:szCs w:val="24"/>
        </w:rPr>
        <w:t>bortskaffelse</w:t>
      </w:r>
      <w:r w:rsidRPr="009C3E06">
        <w:rPr>
          <w:b/>
          <w:sz w:val="24"/>
          <w:szCs w:val="24"/>
        </w:rPr>
        <w:t xml:space="preserve"> og anden håndtering</w:t>
      </w:r>
    </w:p>
    <w:p w:rsidR="00182245" w:rsidRPr="009C3E06" w:rsidRDefault="00182245" w:rsidP="00182245">
      <w:pPr>
        <w:ind w:left="851" w:hanging="851"/>
        <w:rPr>
          <w:sz w:val="24"/>
          <w:szCs w:val="24"/>
        </w:rPr>
      </w:pPr>
      <w:r w:rsidRPr="009C3E06">
        <w:rPr>
          <w:sz w:val="24"/>
          <w:szCs w:val="24"/>
        </w:rPr>
        <w:tab/>
      </w:r>
      <w:r w:rsidR="00D95A6B" w:rsidRPr="005C5108">
        <w:rPr>
          <w:sz w:val="24"/>
          <w:szCs w:val="24"/>
        </w:rPr>
        <w:t>Ikke anvendt lægemiddel samt affald heraf skal bortskaffes i henhold til lokale retningslinjer</w:t>
      </w:r>
      <w:r w:rsidR="00D95A6B">
        <w:rPr>
          <w:sz w:val="24"/>
          <w:szCs w:val="24"/>
        </w:rPr>
        <w:t>.</w:t>
      </w:r>
    </w:p>
    <w:p w:rsidR="00182245" w:rsidRDefault="00182245" w:rsidP="00182245">
      <w:pPr>
        <w:ind w:left="851" w:hanging="851"/>
        <w:jc w:val="both"/>
        <w:rPr>
          <w:sz w:val="24"/>
          <w:szCs w:val="24"/>
        </w:rPr>
      </w:pPr>
    </w:p>
    <w:p w:rsidR="00DC2C3B" w:rsidRPr="009C3E06" w:rsidRDefault="00DC2C3B" w:rsidP="00182245">
      <w:pPr>
        <w:ind w:left="851" w:hanging="851"/>
        <w:jc w:val="both"/>
        <w:rPr>
          <w:sz w:val="24"/>
          <w:szCs w:val="24"/>
        </w:rPr>
      </w:pPr>
    </w:p>
    <w:p w:rsidR="00182245" w:rsidRPr="009C3E06" w:rsidRDefault="00182245" w:rsidP="00182245">
      <w:pPr>
        <w:ind w:left="851" w:hanging="851"/>
        <w:rPr>
          <w:b/>
          <w:sz w:val="24"/>
          <w:szCs w:val="24"/>
        </w:rPr>
      </w:pPr>
      <w:r w:rsidRPr="009C3E06">
        <w:rPr>
          <w:b/>
          <w:sz w:val="24"/>
          <w:szCs w:val="24"/>
        </w:rPr>
        <w:t>7.</w:t>
      </w:r>
      <w:r w:rsidRPr="009C3E06">
        <w:rPr>
          <w:b/>
          <w:sz w:val="24"/>
          <w:szCs w:val="24"/>
        </w:rPr>
        <w:tab/>
        <w:t>INDEHAVER AF MARKEDSFØRINGSTILLADELSEN</w:t>
      </w:r>
    </w:p>
    <w:p w:rsidR="00182245" w:rsidRPr="0042585E" w:rsidRDefault="00182245" w:rsidP="00182245">
      <w:pPr>
        <w:ind w:left="851" w:hanging="851"/>
        <w:rPr>
          <w:sz w:val="24"/>
          <w:szCs w:val="24"/>
        </w:rPr>
      </w:pPr>
      <w:r w:rsidRPr="009C3E06">
        <w:rPr>
          <w:sz w:val="24"/>
          <w:szCs w:val="24"/>
        </w:rPr>
        <w:tab/>
      </w:r>
      <w:r w:rsidRPr="0042585E">
        <w:rPr>
          <w:sz w:val="24"/>
          <w:szCs w:val="24"/>
        </w:rPr>
        <w:t>Orion Corporation</w:t>
      </w:r>
    </w:p>
    <w:p w:rsidR="00182245" w:rsidRPr="0042585E" w:rsidRDefault="00182245" w:rsidP="00182245">
      <w:pPr>
        <w:ind w:left="851" w:hanging="851"/>
        <w:rPr>
          <w:sz w:val="24"/>
          <w:szCs w:val="24"/>
        </w:rPr>
      </w:pPr>
      <w:r w:rsidRPr="0042585E">
        <w:rPr>
          <w:sz w:val="24"/>
          <w:szCs w:val="24"/>
        </w:rPr>
        <w:tab/>
      </w:r>
      <w:proofErr w:type="spellStart"/>
      <w:r w:rsidRPr="0042585E">
        <w:rPr>
          <w:sz w:val="24"/>
          <w:szCs w:val="24"/>
        </w:rPr>
        <w:t>Orionintie</w:t>
      </w:r>
      <w:proofErr w:type="spellEnd"/>
      <w:r w:rsidRPr="0042585E">
        <w:rPr>
          <w:sz w:val="24"/>
          <w:szCs w:val="24"/>
        </w:rPr>
        <w:t xml:space="preserve"> 1</w:t>
      </w:r>
    </w:p>
    <w:p w:rsidR="00182245" w:rsidRPr="0093144A" w:rsidRDefault="00182245" w:rsidP="00182245">
      <w:pPr>
        <w:ind w:left="851" w:hanging="851"/>
        <w:rPr>
          <w:sz w:val="24"/>
          <w:szCs w:val="24"/>
          <w:lang w:val="en-US"/>
        </w:rPr>
      </w:pPr>
      <w:r w:rsidRPr="0042585E">
        <w:rPr>
          <w:sz w:val="24"/>
          <w:szCs w:val="24"/>
        </w:rPr>
        <w:tab/>
      </w:r>
      <w:r w:rsidRPr="0093144A">
        <w:rPr>
          <w:sz w:val="24"/>
          <w:szCs w:val="24"/>
          <w:lang w:val="en-US"/>
        </w:rPr>
        <w:t>FI-02200 Espoo</w:t>
      </w:r>
    </w:p>
    <w:p w:rsidR="00182245" w:rsidRPr="0093144A" w:rsidRDefault="00182245" w:rsidP="00182245">
      <w:pPr>
        <w:ind w:left="851" w:hanging="851"/>
        <w:rPr>
          <w:sz w:val="24"/>
          <w:szCs w:val="24"/>
          <w:lang w:val="en-US"/>
        </w:rPr>
      </w:pPr>
      <w:r w:rsidRPr="0093144A">
        <w:rPr>
          <w:sz w:val="24"/>
          <w:szCs w:val="24"/>
          <w:lang w:val="en-US"/>
        </w:rPr>
        <w:tab/>
        <w:t>Finland</w:t>
      </w:r>
    </w:p>
    <w:p w:rsidR="00182245" w:rsidRPr="0093144A" w:rsidRDefault="00182245" w:rsidP="00182245">
      <w:pPr>
        <w:autoSpaceDE w:val="0"/>
        <w:autoSpaceDN w:val="0"/>
        <w:adjustRightInd w:val="0"/>
        <w:ind w:left="851" w:hanging="851"/>
        <w:rPr>
          <w:rFonts w:eastAsia="SimSun"/>
          <w:sz w:val="24"/>
          <w:szCs w:val="24"/>
          <w:lang w:val="en-US" w:eastAsia="zh-CN"/>
        </w:rPr>
      </w:pPr>
    </w:p>
    <w:p w:rsidR="00182245" w:rsidRPr="0042585E" w:rsidRDefault="00182245" w:rsidP="00182245">
      <w:pPr>
        <w:autoSpaceDE w:val="0"/>
        <w:autoSpaceDN w:val="0"/>
        <w:adjustRightInd w:val="0"/>
        <w:ind w:left="851"/>
        <w:rPr>
          <w:rFonts w:eastAsia="SimSun"/>
          <w:b/>
          <w:sz w:val="24"/>
          <w:szCs w:val="24"/>
          <w:lang w:val="en-US" w:eastAsia="zh-CN"/>
        </w:rPr>
      </w:pPr>
      <w:proofErr w:type="spellStart"/>
      <w:r w:rsidRPr="0042585E">
        <w:rPr>
          <w:rFonts w:eastAsia="SimSun"/>
          <w:b/>
          <w:sz w:val="24"/>
          <w:szCs w:val="24"/>
          <w:lang w:val="en-US" w:eastAsia="zh-CN"/>
        </w:rPr>
        <w:t>Repræsentant</w:t>
      </w:r>
      <w:proofErr w:type="spellEnd"/>
    </w:p>
    <w:p w:rsidR="00182245" w:rsidRPr="0042585E" w:rsidRDefault="00182245" w:rsidP="00182245">
      <w:pPr>
        <w:ind w:left="851"/>
        <w:rPr>
          <w:rFonts w:eastAsia="MS Mincho"/>
          <w:iCs/>
          <w:sz w:val="24"/>
          <w:szCs w:val="24"/>
          <w:lang w:val="en-US"/>
        </w:rPr>
      </w:pPr>
      <w:r w:rsidRPr="0042585E">
        <w:rPr>
          <w:rFonts w:eastAsia="MS Mincho"/>
          <w:iCs/>
          <w:sz w:val="24"/>
          <w:szCs w:val="24"/>
          <w:lang w:val="en-US"/>
        </w:rPr>
        <w:t>Orion Pharma A/S</w:t>
      </w:r>
    </w:p>
    <w:p w:rsidR="00182245" w:rsidRPr="009C3E06" w:rsidRDefault="00182245" w:rsidP="00182245">
      <w:pPr>
        <w:ind w:left="851"/>
        <w:rPr>
          <w:rFonts w:eastAsia="MS Mincho"/>
          <w:iCs/>
          <w:sz w:val="24"/>
          <w:szCs w:val="24"/>
        </w:rPr>
      </w:pPr>
      <w:r w:rsidRPr="009C3E06">
        <w:rPr>
          <w:rFonts w:eastAsia="MS Mincho"/>
          <w:iCs/>
          <w:sz w:val="24"/>
          <w:szCs w:val="24"/>
        </w:rPr>
        <w:t>Ørestads Boulevard 73</w:t>
      </w:r>
    </w:p>
    <w:p w:rsidR="00182245" w:rsidRPr="009C3E06" w:rsidRDefault="00182245" w:rsidP="00182245">
      <w:pPr>
        <w:ind w:left="851"/>
        <w:rPr>
          <w:rFonts w:eastAsia="MS Mincho"/>
          <w:iCs/>
          <w:sz w:val="24"/>
          <w:szCs w:val="24"/>
        </w:rPr>
      </w:pPr>
      <w:r w:rsidRPr="009C3E06">
        <w:rPr>
          <w:rFonts w:eastAsia="MS Mincho"/>
          <w:iCs/>
          <w:sz w:val="24"/>
          <w:szCs w:val="24"/>
        </w:rPr>
        <w:t>2300 København S</w:t>
      </w:r>
    </w:p>
    <w:p w:rsidR="00182245" w:rsidRPr="009C3E06" w:rsidRDefault="00182245" w:rsidP="00182245">
      <w:pPr>
        <w:ind w:left="851" w:hanging="851"/>
        <w:rPr>
          <w:sz w:val="24"/>
          <w:szCs w:val="24"/>
        </w:rPr>
      </w:pPr>
    </w:p>
    <w:p w:rsidR="00182245" w:rsidRPr="009C3E06" w:rsidRDefault="00182245" w:rsidP="00182245">
      <w:pPr>
        <w:ind w:left="851" w:hanging="851"/>
        <w:rPr>
          <w:b/>
          <w:sz w:val="24"/>
          <w:szCs w:val="24"/>
        </w:rPr>
      </w:pPr>
      <w:r w:rsidRPr="009C3E06">
        <w:rPr>
          <w:b/>
          <w:sz w:val="24"/>
          <w:szCs w:val="24"/>
        </w:rPr>
        <w:t>8.</w:t>
      </w:r>
      <w:r w:rsidRPr="009C3E06">
        <w:rPr>
          <w:b/>
          <w:sz w:val="24"/>
          <w:szCs w:val="24"/>
        </w:rPr>
        <w:tab/>
        <w:t>MARKEDSFØRINGSTILLADELSESNUMMER (</w:t>
      </w:r>
      <w:r w:rsidR="00AE1008">
        <w:rPr>
          <w:b/>
          <w:sz w:val="24"/>
          <w:szCs w:val="24"/>
        </w:rPr>
        <w:t>-</w:t>
      </w:r>
      <w:r w:rsidRPr="009C3E06">
        <w:rPr>
          <w:b/>
          <w:sz w:val="24"/>
          <w:szCs w:val="24"/>
        </w:rPr>
        <w:t>NUMRE)</w:t>
      </w:r>
    </w:p>
    <w:p w:rsidR="00182245" w:rsidRDefault="00182245" w:rsidP="00182245">
      <w:pPr>
        <w:ind w:left="851" w:hanging="851"/>
        <w:rPr>
          <w:sz w:val="24"/>
          <w:szCs w:val="24"/>
        </w:rPr>
      </w:pPr>
      <w:r w:rsidRPr="009C3E06">
        <w:rPr>
          <w:sz w:val="24"/>
          <w:szCs w:val="24"/>
        </w:rPr>
        <w:tab/>
        <w:t>49823</w:t>
      </w:r>
    </w:p>
    <w:p w:rsidR="00182245" w:rsidRDefault="00182245" w:rsidP="00AE1008">
      <w:pPr>
        <w:jc w:val="both"/>
        <w:rPr>
          <w:sz w:val="24"/>
          <w:szCs w:val="24"/>
        </w:rPr>
      </w:pPr>
    </w:p>
    <w:p w:rsidR="00DC2C3B" w:rsidRPr="009C3E06" w:rsidRDefault="00DC2C3B" w:rsidP="00AE1008">
      <w:pPr>
        <w:jc w:val="both"/>
        <w:rPr>
          <w:sz w:val="24"/>
          <w:szCs w:val="24"/>
        </w:rPr>
      </w:pPr>
    </w:p>
    <w:p w:rsidR="00182245" w:rsidRPr="009C3E06" w:rsidRDefault="00182245" w:rsidP="00182245">
      <w:pPr>
        <w:ind w:left="851" w:hanging="851"/>
        <w:rPr>
          <w:b/>
          <w:sz w:val="24"/>
          <w:szCs w:val="24"/>
        </w:rPr>
      </w:pPr>
      <w:r w:rsidRPr="009C3E06">
        <w:rPr>
          <w:b/>
          <w:sz w:val="24"/>
          <w:szCs w:val="24"/>
        </w:rPr>
        <w:t>9.</w:t>
      </w:r>
      <w:r w:rsidRPr="009C3E06">
        <w:rPr>
          <w:b/>
          <w:sz w:val="24"/>
          <w:szCs w:val="24"/>
        </w:rPr>
        <w:tab/>
        <w:t>DATO FOR FØRSTE MARKEDSFØRINGSTILLADELSE</w:t>
      </w:r>
    </w:p>
    <w:p w:rsidR="00182245" w:rsidRPr="009C3E06" w:rsidRDefault="00182245" w:rsidP="00182245">
      <w:pPr>
        <w:ind w:left="851" w:hanging="851"/>
        <w:rPr>
          <w:sz w:val="24"/>
          <w:szCs w:val="24"/>
        </w:rPr>
      </w:pPr>
      <w:r w:rsidRPr="009C3E06">
        <w:rPr>
          <w:sz w:val="24"/>
          <w:szCs w:val="24"/>
        </w:rPr>
        <w:tab/>
        <w:t>16. januar 2013</w:t>
      </w:r>
    </w:p>
    <w:p w:rsidR="00182245" w:rsidRDefault="00182245" w:rsidP="00182245">
      <w:pPr>
        <w:ind w:left="851" w:hanging="851"/>
        <w:rPr>
          <w:sz w:val="24"/>
          <w:szCs w:val="24"/>
        </w:rPr>
      </w:pPr>
    </w:p>
    <w:p w:rsidR="00DC2C3B" w:rsidRPr="009C3E06" w:rsidRDefault="00DC2C3B" w:rsidP="00182245">
      <w:pPr>
        <w:ind w:left="851" w:hanging="851"/>
        <w:rPr>
          <w:sz w:val="24"/>
          <w:szCs w:val="24"/>
        </w:rPr>
      </w:pPr>
      <w:bookmarkStart w:id="0" w:name="_GoBack"/>
      <w:bookmarkEnd w:id="0"/>
    </w:p>
    <w:p w:rsidR="00182245" w:rsidRPr="009C3E06" w:rsidRDefault="00182245" w:rsidP="00182245">
      <w:pPr>
        <w:ind w:left="851" w:hanging="851"/>
        <w:rPr>
          <w:b/>
          <w:sz w:val="24"/>
          <w:szCs w:val="24"/>
        </w:rPr>
      </w:pPr>
      <w:r w:rsidRPr="009C3E06">
        <w:rPr>
          <w:b/>
          <w:sz w:val="24"/>
          <w:szCs w:val="24"/>
        </w:rPr>
        <w:t>10.</w:t>
      </w:r>
      <w:r w:rsidRPr="009C3E06">
        <w:rPr>
          <w:b/>
          <w:sz w:val="24"/>
          <w:szCs w:val="24"/>
        </w:rPr>
        <w:tab/>
        <w:t>DATO FOR ÆNDRING AF TEKSTEN</w:t>
      </w:r>
    </w:p>
    <w:p w:rsidR="00182245" w:rsidRPr="009C3E06" w:rsidRDefault="00182245" w:rsidP="00182245">
      <w:pPr>
        <w:ind w:left="851" w:hanging="851"/>
        <w:rPr>
          <w:sz w:val="24"/>
          <w:szCs w:val="24"/>
        </w:rPr>
      </w:pPr>
      <w:r w:rsidRPr="009C3E06">
        <w:rPr>
          <w:sz w:val="24"/>
          <w:szCs w:val="24"/>
        </w:rPr>
        <w:tab/>
      </w:r>
      <w:r w:rsidR="0042585E">
        <w:rPr>
          <w:szCs w:val="24"/>
        </w:rPr>
        <w:t>1</w:t>
      </w:r>
      <w:r w:rsidR="00AE1008">
        <w:rPr>
          <w:szCs w:val="24"/>
        </w:rPr>
        <w:t xml:space="preserve">. </w:t>
      </w:r>
      <w:r w:rsidR="0042585E">
        <w:rPr>
          <w:szCs w:val="24"/>
        </w:rPr>
        <w:t>maj</w:t>
      </w:r>
      <w:r w:rsidR="00AE1008">
        <w:rPr>
          <w:szCs w:val="24"/>
        </w:rPr>
        <w:t xml:space="preserve"> 202</w:t>
      </w:r>
      <w:r w:rsidR="0042585E">
        <w:rPr>
          <w:szCs w:val="24"/>
        </w:rPr>
        <w:t>4</w:t>
      </w:r>
    </w:p>
    <w:p w:rsidR="00182245" w:rsidRPr="009C3E06" w:rsidRDefault="00182245" w:rsidP="00182245"/>
    <w:p w:rsidR="009260DE" w:rsidRPr="009C3E06" w:rsidRDefault="009260DE" w:rsidP="00182245"/>
    <w:sectPr w:rsidR="009260DE" w:rsidRPr="009C3E0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4F0" w:rsidRDefault="00D704F0">
      <w:r>
        <w:separator/>
      </w:r>
    </w:p>
  </w:endnote>
  <w:endnote w:type="continuationSeparator" w:id="0">
    <w:p w:rsidR="00D704F0" w:rsidRDefault="00D7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B1BE5">
      <w:rPr>
        <w:i/>
        <w:noProof/>
        <w:sz w:val="18"/>
        <w:szCs w:val="18"/>
      </w:rPr>
      <w:t>Zolt, hårde enterokapsler 15 mg, til og med 56 stk</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4F0" w:rsidRDefault="00D704F0">
      <w:r>
        <w:separator/>
      </w:r>
    </w:p>
  </w:footnote>
  <w:footnote w:type="continuationSeparator" w:id="0">
    <w:p w:rsidR="00D704F0" w:rsidRDefault="00D70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0C81F17"/>
    <w:multiLevelType w:val="hybridMultilevel"/>
    <w:tmpl w:val="C23AA1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59E7D7B"/>
    <w:multiLevelType w:val="hybridMultilevel"/>
    <w:tmpl w:val="46E2B526"/>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45"/>
    <w:rsid w:val="000259B9"/>
    <w:rsid w:val="00041491"/>
    <w:rsid w:val="00050D16"/>
    <w:rsid w:val="000652D7"/>
    <w:rsid w:val="00074F2A"/>
    <w:rsid w:val="000A1CA8"/>
    <w:rsid w:val="000A466B"/>
    <w:rsid w:val="000B058C"/>
    <w:rsid w:val="000E4EE6"/>
    <w:rsid w:val="000E5342"/>
    <w:rsid w:val="00122FCC"/>
    <w:rsid w:val="001454E2"/>
    <w:rsid w:val="00182245"/>
    <w:rsid w:val="00206CE8"/>
    <w:rsid w:val="0021526C"/>
    <w:rsid w:val="00283A2B"/>
    <w:rsid w:val="002B30AD"/>
    <w:rsid w:val="002C2C01"/>
    <w:rsid w:val="003A29AE"/>
    <w:rsid w:val="003A32D7"/>
    <w:rsid w:val="003B4074"/>
    <w:rsid w:val="003C769A"/>
    <w:rsid w:val="003F1838"/>
    <w:rsid w:val="0042585E"/>
    <w:rsid w:val="0045746C"/>
    <w:rsid w:val="00476460"/>
    <w:rsid w:val="0049104B"/>
    <w:rsid w:val="004A12B7"/>
    <w:rsid w:val="004E3B12"/>
    <w:rsid w:val="00532310"/>
    <w:rsid w:val="00537957"/>
    <w:rsid w:val="00560ECC"/>
    <w:rsid w:val="00565F0F"/>
    <w:rsid w:val="00594A86"/>
    <w:rsid w:val="00596D86"/>
    <w:rsid w:val="00637F5A"/>
    <w:rsid w:val="00650ADA"/>
    <w:rsid w:val="006560B1"/>
    <w:rsid w:val="006756DD"/>
    <w:rsid w:val="0072023E"/>
    <w:rsid w:val="00737275"/>
    <w:rsid w:val="00740EEC"/>
    <w:rsid w:val="0078011A"/>
    <w:rsid w:val="00782AF4"/>
    <w:rsid w:val="00790EE7"/>
    <w:rsid w:val="007A5F7A"/>
    <w:rsid w:val="007B6649"/>
    <w:rsid w:val="0081546F"/>
    <w:rsid w:val="0082576E"/>
    <w:rsid w:val="00907F75"/>
    <w:rsid w:val="009260DE"/>
    <w:rsid w:val="0093144A"/>
    <w:rsid w:val="0093258A"/>
    <w:rsid w:val="009C3E06"/>
    <w:rsid w:val="009C7BA3"/>
    <w:rsid w:val="009D1F5A"/>
    <w:rsid w:val="00A175F0"/>
    <w:rsid w:val="00AE1008"/>
    <w:rsid w:val="00B003BF"/>
    <w:rsid w:val="00B16602"/>
    <w:rsid w:val="00B373D7"/>
    <w:rsid w:val="00BB1BE5"/>
    <w:rsid w:val="00C36276"/>
    <w:rsid w:val="00C42586"/>
    <w:rsid w:val="00C60CCD"/>
    <w:rsid w:val="00C84483"/>
    <w:rsid w:val="00C95551"/>
    <w:rsid w:val="00CB20D7"/>
    <w:rsid w:val="00D020B0"/>
    <w:rsid w:val="00D11748"/>
    <w:rsid w:val="00D366CF"/>
    <w:rsid w:val="00D40F91"/>
    <w:rsid w:val="00D704F0"/>
    <w:rsid w:val="00D95A6B"/>
    <w:rsid w:val="00DC2C3B"/>
    <w:rsid w:val="00E108AA"/>
    <w:rsid w:val="00E31812"/>
    <w:rsid w:val="00E3749A"/>
    <w:rsid w:val="00E7437F"/>
    <w:rsid w:val="00E865B8"/>
    <w:rsid w:val="00E90930"/>
    <w:rsid w:val="00EC0B9B"/>
    <w:rsid w:val="00ED5E9F"/>
    <w:rsid w:val="00F5786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637DB"/>
  <w15:chartTrackingRefBased/>
  <w15:docId w15:val="{ED3C4675-0A66-45C5-BF12-8F4F6899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00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orpsdetexte">
    <w:name w:val="Corps de texte"/>
    <w:basedOn w:val="Normal"/>
    <w:rsid w:val="00182245"/>
    <w:pPr>
      <w:spacing w:before="240" w:line="240" w:lineRule="atLeast"/>
    </w:pPr>
    <w:rPr>
      <w:rFonts w:ascii="Arial" w:hAnsi="Arial" w:cs="Arial"/>
      <w:snapToGrid w:val="0"/>
      <w:sz w:val="22"/>
      <w:szCs w:val="22"/>
      <w:lang w:val="fr-FR" w:eastAsia="da-DK"/>
    </w:rPr>
  </w:style>
  <w:style w:type="table" w:styleId="Tabel-Gitter">
    <w:name w:val="Table Grid"/>
    <w:basedOn w:val="Tabel-Normal"/>
    <w:uiPriority w:val="59"/>
    <w:rsid w:val="0018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822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118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3740</Words>
  <Characters>24971</Characters>
  <Application>Microsoft Office Word</Application>
  <DocSecurity>4</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Rettelser: 4.4, 4.5, 4.6, 4.8, 4.9, 5.1, 5.2, 5.3, 6.6, QRD</dc:description>
  <cp:lastModifiedBy>Gitte Ronnovius</cp:lastModifiedBy>
  <cp:revision>2</cp:revision>
  <cp:lastPrinted>2012-08-22T08:53:00Z</cp:lastPrinted>
  <dcterms:created xsi:type="dcterms:W3CDTF">2024-05-01T08:29:00Z</dcterms:created>
  <dcterms:modified xsi:type="dcterms:W3CDTF">2024-05-01T08:29:00Z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